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2DD4236" w:rsidR="000E48CE" w:rsidRDefault="00FF4C4E" w:rsidP="00FF4C4E">
      <w:pPr>
        <w:pStyle w:val="Pagedecouverture"/>
        <w:rPr>
          <w:noProof/>
        </w:rPr>
      </w:pPr>
      <w:bookmarkStart w:id="0" w:name="LW_BM_COVERPAGE"/>
      <w:r>
        <w:rPr>
          <w:noProof/>
        </w:rPr>
        <w:pict w14:anchorId="6716F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968523BB-C478-4913-B9CB-9D7C229C8B87" style="width:455.25pt;height:410.25pt">
            <v:imagedata r:id="rId11" o:title=""/>
          </v:shape>
        </w:pict>
      </w:r>
    </w:p>
    <w:bookmarkEnd w:id="0"/>
    <w:p w14:paraId="0A37501D" w14:textId="77777777" w:rsidR="000E48CE" w:rsidRDefault="000E48CE">
      <w:pPr>
        <w:rPr>
          <w:rFonts w:ascii="Times New Roman" w:hAnsi="Times New Roman" w:cs="Times New Roman"/>
          <w:noProof/>
        </w:rPr>
        <w:sectPr w:rsidR="000E48CE" w:rsidSect="00FF4C4E">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1"/>
          <w:cols w:space="720"/>
          <w:docGrid w:linePitch="360"/>
        </w:sectPr>
      </w:pPr>
    </w:p>
    <w:p w14:paraId="7FA88332" w14:textId="446D266A" w:rsidR="000E48CE" w:rsidRDefault="00FF4C4E">
      <w:pPr>
        <w:pStyle w:val="P68B1DB1-Normal1"/>
        <w:spacing w:before="120" w:after="120" w:line="240" w:lineRule="auto"/>
        <w:jc w:val="center"/>
        <w:rPr>
          <w:rFonts w:cs="Times New Roman"/>
          <w:noProof/>
        </w:rPr>
      </w:pPr>
      <w:bookmarkStart w:id="1" w:name="_GoBack"/>
      <w:bookmarkEnd w:id="1"/>
      <w:r>
        <w:rPr>
          <w:noProof/>
        </w:rPr>
        <w:lastRenderedPageBreak/>
        <w:t>LIITE</w:t>
      </w:r>
      <w:r>
        <w:rPr>
          <w:noProof/>
        </w:rPr>
        <w:br/>
      </w:r>
    </w:p>
    <w:p w14:paraId="21F95161" w14:textId="77777777" w:rsidR="000E48CE" w:rsidRDefault="00FF4C4E">
      <w:pPr>
        <w:pStyle w:val="P68B1DB1-Normal1"/>
        <w:spacing w:before="120" w:after="120" w:line="240" w:lineRule="auto"/>
        <w:jc w:val="both"/>
        <w:rPr>
          <w:rFonts w:cs="Times New Roman"/>
          <w:noProof/>
        </w:rPr>
      </w:pPr>
      <w:r>
        <w:rPr>
          <w:noProof/>
        </w:rPr>
        <w:t>1 JAKSO: ELPYMIS- JA PALAUTUMISSUUNNITELMAN MUKAISET UUDISTUKSET JA INVESTOINNIT</w:t>
      </w:r>
    </w:p>
    <w:p w14:paraId="5DAB6C7B" w14:textId="77777777" w:rsidR="000E48CE" w:rsidRDefault="000E48CE">
      <w:pPr>
        <w:spacing w:before="120" w:after="120" w:line="240" w:lineRule="auto"/>
        <w:jc w:val="both"/>
        <w:rPr>
          <w:rFonts w:ascii="Times New Roman" w:hAnsi="Times New Roman" w:cs="Times New Roman"/>
          <w:noProof/>
          <w:sz w:val="28"/>
        </w:rPr>
      </w:pPr>
    </w:p>
    <w:p w14:paraId="7965D8B9" w14:textId="77777777" w:rsidR="000E48CE" w:rsidRDefault="00FF4C4E">
      <w:pPr>
        <w:pStyle w:val="P68B1DB1-Normal1"/>
        <w:numPr>
          <w:ilvl w:val="0"/>
          <w:numId w:val="191"/>
        </w:numPr>
        <w:spacing w:before="120" w:after="120" w:line="240" w:lineRule="auto"/>
        <w:jc w:val="both"/>
        <w:rPr>
          <w:rFonts w:cs="Times New Roman"/>
          <w:noProof/>
        </w:rPr>
      </w:pPr>
      <w:r>
        <w:rPr>
          <w:noProof/>
        </w:rPr>
        <w:t xml:space="preserve">Uudistusten ja investointien kuvaus </w:t>
      </w:r>
    </w:p>
    <w:p w14:paraId="60E6C9D1" w14:textId="77777777" w:rsidR="000E48CE" w:rsidRDefault="00FF4C4E">
      <w:pPr>
        <w:pStyle w:val="P68B1DB1-Heading12"/>
        <w:rPr>
          <w:rFonts w:cs="Times New Roman"/>
          <w:noProof/>
        </w:rPr>
      </w:pPr>
      <w:r>
        <w:rPr>
          <w:noProof/>
        </w:rPr>
        <w:t xml:space="preserve">A. OSA 01: KESTÄVÄN, TURVALLISEN JA VERKOTETUN LIIKENTEEN HÄIRIÖSUUNNITELMA KAUPUNKI- JA SUURKAUPUNKIYMPÄRISTÖSSÄ </w:t>
      </w:r>
    </w:p>
    <w:p w14:paraId="155EA4AC" w14:textId="77777777" w:rsidR="000E48CE" w:rsidRDefault="00FF4C4E">
      <w:pPr>
        <w:pStyle w:val="P68B1DB1-Normal4"/>
        <w:spacing w:before="120" w:after="120" w:line="240" w:lineRule="auto"/>
        <w:jc w:val="both"/>
        <w:rPr>
          <w:rFonts w:cs="Times New Roman"/>
          <w:noProof/>
        </w:rPr>
      </w:pPr>
      <w:r>
        <w:rPr>
          <w:noProof/>
        </w:rPr>
        <w:t>Tämä Espanjan elpymis- ja palautumissuunnitelman osa-alue vastaa ilmanlaatuun liittyviin haasteisiin, jotka vaikuttavat pääasiassa suuriin su</w:t>
      </w:r>
      <w:r>
        <w:rPr>
          <w:noProof/>
        </w:rPr>
        <w:t>urkaupunkialueisiin ja jotka ovat johtaneet yli 20000 ennenaikaiseen kuolemaan Espanjassa vuonna 2018. Tämän osa-alueen uudistusten ja investointien yleisenä tavoitteena on siirtyä kohti puhdasta, turvallista ja älykästä kaupunkiliikennettä. Tämän osa-alue</w:t>
      </w:r>
      <w:r>
        <w:rPr>
          <w:noProof/>
        </w:rPr>
        <w:t>en erityistavoitteet ovat seuraavat:</w:t>
      </w:r>
    </w:p>
    <w:p w14:paraId="7292808A" w14:textId="3FB5A64D" w:rsidR="000E48CE" w:rsidRDefault="00FF4C4E">
      <w:pPr>
        <w:pStyle w:val="P68B1DB1-Normal4"/>
        <w:spacing w:before="120" w:after="120" w:line="240" w:lineRule="auto"/>
        <w:jc w:val="both"/>
        <w:rPr>
          <w:rFonts w:cs="Times New Roman"/>
          <w:noProof/>
        </w:rPr>
      </w:pPr>
      <w:r>
        <w:rPr>
          <w:noProof/>
        </w:rPr>
        <w:t>•</w:t>
      </w:r>
      <w:r>
        <w:rPr>
          <w:noProof/>
        </w:rPr>
        <w:tab/>
        <w:t>vauhditetaan vähäpäästöisten vyöhykkeiden toteuttamista kaikissa yli 50000 asukkaan kunnissa ja maakuntien pääkaupungeissa sekä sähköisen liikkuvuuden yleistymistä;</w:t>
      </w:r>
    </w:p>
    <w:p w14:paraId="795A19F4" w14:textId="77777777" w:rsidR="000E48CE" w:rsidRDefault="00FF4C4E">
      <w:pPr>
        <w:pStyle w:val="P68B1DB1-Normal4"/>
        <w:spacing w:before="120" w:after="120" w:line="240" w:lineRule="auto"/>
        <w:jc w:val="both"/>
        <w:rPr>
          <w:rFonts w:cs="Times New Roman"/>
          <w:noProof/>
        </w:rPr>
      </w:pPr>
      <w:r>
        <w:rPr>
          <w:noProof/>
        </w:rPr>
        <w:t>•</w:t>
      </w:r>
      <w:r>
        <w:rPr>
          <w:noProof/>
        </w:rPr>
        <w:tab/>
        <w:t>edistetään aktiivista liikkuvuutta ja muita toimen</w:t>
      </w:r>
      <w:r>
        <w:rPr>
          <w:noProof/>
        </w:rPr>
        <w:t xml:space="preserve">piteitä, joilla autetaan vähentämään yksityisautojen käyttöä; </w:t>
      </w:r>
    </w:p>
    <w:p w14:paraId="10A28E2B" w14:textId="77777777" w:rsidR="000E48CE" w:rsidRDefault="00FF4C4E">
      <w:pPr>
        <w:pStyle w:val="P68B1DB1-Normal4"/>
        <w:spacing w:before="120" w:after="120" w:line="240" w:lineRule="auto"/>
        <w:jc w:val="both"/>
        <w:rPr>
          <w:rFonts w:cs="Times New Roman"/>
          <w:noProof/>
        </w:rPr>
      </w:pPr>
      <w:r>
        <w:rPr>
          <w:noProof/>
        </w:rPr>
        <w:t>•</w:t>
      </w:r>
      <w:r>
        <w:rPr>
          <w:noProof/>
        </w:rPr>
        <w:tab/>
        <w:t>julkisen liikenteen alan digitaalinen ja kestävä muutos todellisena vaihtoehtona yksityisajoneuvojen käytölle;</w:t>
      </w:r>
    </w:p>
    <w:p w14:paraId="4734CA15" w14:textId="77777777" w:rsidR="000E48CE" w:rsidRDefault="00FF4C4E">
      <w:pPr>
        <w:pStyle w:val="P68B1DB1-Normal4"/>
        <w:spacing w:before="120" w:after="120" w:line="240" w:lineRule="auto"/>
        <w:jc w:val="both"/>
        <w:rPr>
          <w:rFonts w:cs="Times New Roman"/>
          <w:noProof/>
        </w:rPr>
      </w:pPr>
      <w:r>
        <w:rPr>
          <w:noProof/>
        </w:rPr>
        <w:t>•</w:t>
      </w:r>
      <w:r>
        <w:rPr>
          <w:noProof/>
        </w:rPr>
        <w:tab/>
        <w:t>parannetaan lyhyen matkan rautatiepalvelujen laatua ja luotettavuutta, jotta v</w:t>
      </w:r>
      <w:r>
        <w:rPr>
          <w:noProof/>
        </w:rPr>
        <w:t>oidaan lisätä niiden tehokasta käyttöä suurkaupunkiympäristöissä yksityisen kulkuneuvon kustannuksella;</w:t>
      </w:r>
    </w:p>
    <w:p w14:paraId="2AE469A1" w14:textId="77777777" w:rsidR="000E48CE" w:rsidRDefault="00FF4C4E">
      <w:pPr>
        <w:pStyle w:val="P68B1DB1-Normal4"/>
        <w:spacing w:before="120" w:after="120" w:line="240" w:lineRule="auto"/>
        <w:jc w:val="both"/>
        <w:rPr>
          <w:rFonts w:cs="Times New Roman"/>
          <w:noProof/>
        </w:rPr>
      </w:pPr>
      <w:r>
        <w:rPr>
          <w:noProof/>
        </w:rPr>
        <w:t>•</w:t>
      </w:r>
      <w:r>
        <w:rPr>
          <w:noProof/>
        </w:rPr>
        <w:tab/>
        <w:t>liikenteen hallinnan optimointi ja päätöksenteon helpottaminen puhtaamman liikkuvuuden edistämiseksi.</w:t>
      </w:r>
    </w:p>
    <w:p w14:paraId="21A64CB2" w14:textId="6060F0E6" w:rsidR="000E48CE" w:rsidRDefault="00FF4C4E">
      <w:pPr>
        <w:pStyle w:val="P68B1DB1-Normal4"/>
        <w:spacing w:before="120" w:after="120" w:line="240" w:lineRule="auto"/>
        <w:jc w:val="both"/>
        <w:rPr>
          <w:rFonts w:cs="Times New Roman"/>
          <w:noProof/>
        </w:rPr>
      </w:pPr>
      <w:r>
        <w:rPr>
          <w:noProof/>
        </w:rPr>
        <w:t>Osa-alueella käsitellään maakohtaisia suosituksi</w:t>
      </w:r>
      <w:r>
        <w:rPr>
          <w:noProof/>
        </w:rPr>
        <w:t>a, jotka koskevat vihreää ja digitaalista siirtymää ja kestävää liikennettä edistävien julkisten ja yksityisten investointien edistämistä (maakohtainen suositus 3 2020), innovointiin ja energiatehokkuuteen ja rautateiden tavaraliikenneinfrastruktuuriin teh</w:t>
      </w:r>
      <w:r>
        <w:rPr>
          <w:noProof/>
        </w:rPr>
        <w:t>tävien investointien edistämistä (maakohtainen suositus 3 2019) sekä eri hallintotasojen välisen yhteistyön vahvistamista (maakohtainen suositus 4 2019).</w:t>
      </w:r>
    </w:p>
    <w:p w14:paraId="5E64A5E4" w14:textId="77E09C16" w:rsidR="000E48CE" w:rsidRDefault="00FF4C4E">
      <w:pPr>
        <w:pStyle w:val="P68B1DB1-Normal4"/>
        <w:spacing w:before="120" w:after="120" w:line="240" w:lineRule="auto"/>
        <w:jc w:val="both"/>
        <w:rPr>
          <w:rFonts w:cs="Times New Roman"/>
          <w:noProof/>
        </w:rPr>
      </w:pPr>
      <w:r>
        <w:rPr>
          <w:noProof/>
        </w:rPr>
        <w:t>On odotettavissa, että mikään tämän komponentin toimenpiteistä ei aiheuta asetuksen (EU) 2020/852 17 a</w:t>
      </w:r>
      <w:r>
        <w:rPr>
          <w:noProof/>
        </w:rPr>
        <w:t xml:space="preserve">rtiklassa tarkoitettua merkittävää haittaa ympäristötavoitteille, kun otetaan huomioon elpymis- ja palautumissuunnitelmassa esitettyjen toimenpiteiden ja lieventävien toimenpiteiden kuvaus teknisten ohjeiden (2021/C58/01) mukaisesti.  </w:t>
      </w:r>
    </w:p>
    <w:p w14:paraId="0C520A87" w14:textId="7CC6A4CA" w:rsidR="000E48CE" w:rsidRDefault="000E48CE">
      <w:pPr>
        <w:spacing w:before="120" w:after="120" w:line="240" w:lineRule="auto"/>
        <w:jc w:val="both"/>
        <w:rPr>
          <w:rFonts w:ascii="Times New Roman" w:hAnsi="Times New Roman" w:cs="Times New Roman"/>
          <w:noProof/>
          <w:sz w:val="24"/>
        </w:rPr>
      </w:pPr>
    </w:p>
    <w:p w14:paraId="047A2FE4" w14:textId="77777777" w:rsidR="000E48CE" w:rsidRDefault="00FF4C4E">
      <w:pPr>
        <w:pStyle w:val="P68B1DB1-Normal5"/>
        <w:spacing w:before="120" w:after="120" w:line="240" w:lineRule="auto"/>
        <w:ind w:left="709"/>
        <w:jc w:val="both"/>
        <w:rPr>
          <w:rFonts w:cs="Times New Roman"/>
          <w:i/>
          <w:noProof/>
        </w:rPr>
      </w:pPr>
      <w:bookmarkStart w:id="2" w:name="_Hlk138340506"/>
      <w:r>
        <w:rPr>
          <w:noProof/>
        </w:rPr>
        <w:t xml:space="preserve">A.1 </w:t>
      </w:r>
      <w:r>
        <w:rPr>
          <w:noProof/>
        </w:rPr>
        <w:tab/>
        <w:t>Kuvaus uudistu</w:t>
      </w:r>
      <w:r>
        <w:rPr>
          <w:noProof/>
        </w:rPr>
        <w:t>ksista ja investoinneista, joita rahoitetaan rahoitustuella, jota ei makseta takaisin</w:t>
      </w:r>
    </w:p>
    <w:p w14:paraId="483637DE" w14:textId="77777777" w:rsidR="000E48CE" w:rsidRDefault="00FF4C4E">
      <w:pPr>
        <w:pStyle w:val="P68B1DB1-Normal6"/>
        <w:spacing w:before="120" w:after="120" w:line="240" w:lineRule="auto"/>
        <w:jc w:val="both"/>
        <w:rPr>
          <w:rFonts w:cs="Times New Roman"/>
          <w:noProof/>
        </w:rPr>
      </w:pPr>
      <w:r>
        <w:rPr>
          <w:noProof/>
        </w:rPr>
        <w:t>Uudistus 1 (C1.R1) – Sähköajoneuvoinfrastruktuurin latausta ja parantamista koskeva käyttöönottosuunnitelma</w:t>
      </w:r>
      <w:bookmarkEnd w:id="2"/>
      <w:r>
        <w:rPr>
          <w:noProof/>
        </w:rPr>
        <w:t xml:space="preserve"> </w:t>
      </w:r>
    </w:p>
    <w:p w14:paraId="5613BC71" w14:textId="3E92A87B" w:rsidR="000E48CE" w:rsidRDefault="00FF4C4E">
      <w:pPr>
        <w:pStyle w:val="P68B1DB1-Normal4"/>
        <w:spacing w:before="120" w:after="120" w:line="240" w:lineRule="auto"/>
        <w:jc w:val="both"/>
        <w:rPr>
          <w:rFonts w:cs="Times New Roman"/>
          <w:noProof/>
        </w:rPr>
      </w:pPr>
      <w:r>
        <w:rPr>
          <w:noProof/>
        </w:rPr>
        <w:lastRenderedPageBreak/>
        <w:t>Tämän toimenpiteen tavoitteena on vahvistaa toiminta- ja sään</w:t>
      </w:r>
      <w:r>
        <w:rPr>
          <w:noProof/>
        </w:rPr>
        <w:t xml:space="preserve">telykehystä, jolla helpotetaan latausinfrastruktuurin käyttöönottoa sähköajoneuvojen käytön lisäämiseksi. </w:t>
      </w:r>
    </w:p>
    <w:p w14:paraId="385D7B78" w14:textId="77777777" w:rsidR="000E48CE" w:rsidRDefault="00FF4C4E">
      <w:pPr>
        <w:pStyle w:val="P68B1DB1-Normal4"/>
        <w:spacing w:before="120" w:after="120" w:line="240" w:lineRule="auto"/>
        <w:jc w:val="both"/>
        <w:rPr>
          <w:rFonts w:cs="Times New Roman"/>
          <w:noProof/>
        </w:rPr>
      </w:pPr>
      <w:r>
        <w:rPr>
          <w:noProof/>
        </w:rPr>
        <w:t xml:space="preserve">Uudistuksessa hyväksytään seuraava sääntelykehys, jolla pyritään poistamaan latauspisteiden leviämistä tällä hetkellä haittaavat esteet: </w:t>
      </w:r>
    </w:p>
    <w:p w14:paraId="41C362C6" w14:textId="77777777" w:rsidR="000E48CE" w:rsidRDefault="00FF4C4E">
      <w:pPr>
        <w:pStyle w:val="P68B1DB1-Normal4"/>
        <w:numPr>
          <w:ilvl w:val="0"/>
          <w:numId w:val="296"/>
        </w:numPr>
        <w:spacing w:before="120" w:after="120" w:line="240" w:lineRule="auto"/>
        <w:jc w:val="both"/>
        <w:rPr>
          <w:rFonts w:cs="Times New Roman"/>
          <w:noProof/>
        </w:rPr>
      </w:pPr>
      <w:r>
        <w:rPr>
          <w:noProof/>
        </w:rPr>
        <w:t>Kuninkaalli</w:t>
      </w:r>
      <w:r>
        <w:rPr>
          <w:noProof/>
        </w:rPr>
        <w:t>nen asetus, jolla säännellään yleisesti saatavilla olevia latauspalveluja ja varmistetaan asennettujen pisteiden asianmukainen ja luotettava toiminta;</w:t>
      </w:r>
    </w:p>
    <w:p w14:paraId="3C6F59B2" w14:textId="77777777" w:rsidR="000E48CE" w:rsidRDefault="00FF4C4E">
      <w:pPr>
        <w:pStyle w:val="P68B1DB1-Normal4"/>
        <w:numPr>
          <w:ilvl w:val="0"/>
          <w:numId w:val="296"/>
        </w:numPr>
        <w:spacing w:before="120" w:after="120" w:line="240" w:lineRule="auto"/>
        <w:jc w:val="both"/>
        <w:rPr>
          <w:rFonts w:cs="Times New Roman"/>
          <w:noProof/>
        </w:rPr>
      </w:pPr>
      <w:r>
        <w:rPr>
          <w:noProof/>
        </w:rPr>
        <w:t>Kuninkaan asetus 23/2020, annettu 23 päivänä kesäkuuta 2020, latausinfrastruktuurin käsittelyn nopeuttami</w:t>
      </w:r>
      <w:r>
        <w:rPr>
          <w:noProof/>
        </w:rPr>
        <w:t xml:space="preserve">sesta ilmoittamalla yli 250 kW:n teholtaan yli 250 kW:n latauslaitteiksi yleishyödyllisiksi; </w:t>
      </w:r>
    </w:p>
    <w:p w14:paraId="0FFB3C08" w14:textId="77777777" w:rsidR="000E48CE" w:rsidRDefault="00FF4C4E">
      <w:pPr>
        <w:pStyle w:val="P68B1DB1-Normal4"/>
        <w:numPr>
          <w:ilvl w:val="0"/>
          <w:numId w:val="296"/>
        </w:numPr>
        <w:spacing w:before="120" w:after="120" w:line="240" w:lineRule="auto"/>
        <w:jc w:val="both"/>
        <w:rPr>
          <w:rFonts w:eastAsia="Arial" w:cs="Times New Roman"/>
          <w:noProof/>
        </w:rPr>
      </w:pPr>
      <w:r>
        <w:rPr>
          <w:noProof/>
        </w:rPr>
        <w:t>Määräys TMA/178/2020, jolla vähennetään hallinnollista taakkaa, joka liittyy sähkönlatauslaitosten hyväksymiseen ja käyttöönottoon polttoaineen tankkausasemilla;</w:t>
      </w:r>
    </w:p>
    <w:p w14:paraId="7822F39A" w14:textId="77777777" w:rsidR="000E48CE" w:rsidRDefault="00FF4C4E">
      <w:pPr>
        <w:pStyle w:val="P68B1DB1-Normal4"/>
        <w:numPr>
          <w:ilvl w:val="0"/>
          <w:numId w:val="296"/>
        </w:numPr>
        <w:spacing w:before="120" w:after="120" w:line="240" w:lineRule="auto"/>
        <w:jc w:val="both"/>
        <w:rPr>
          <w:rFonts w:cs="Times New Roman"/>
          <w:noProof/>
        </w:rPr>
      </w:pPr>
      <w:r>
        <w:rPr>
          <w:noProof/>
        </w:rPr>
        <w:t>Muutettu rakennuslaki, jolla lisätään sähköajoneuvojen latausinfrastruktuurin vähimmäismääriä sekä asuin- että tertiäärisillä pysäköintialueilla, mikä ylittää rakennusten energiatehokkuudesta annetun direktiivin vähimmäisvaatimukset; ja</w:t>
      </w:r>
    </w:p>
    <w:p w14:paraId="45BFDD5B" w14:textId="77777777" w:rsidR="000E48CE" w:rsidRDefault="00FF4C4E">
      <w:pPr>
        <w:pStyle w:val="P68B1DB1-Normal4"/>
        <w:numPr>
          <w:ilvl w:val="0"/>
          <w:numId w:val="296"/>
        </w:numPr>
        <w:spacing w:before="120" w:after="120" w:line="240" w:lineRule="auto"/>
        <w:jc w:val="both"/>
        <w:rPr>
          <w:rFonts w:cs="Times New Roman"/>
          <w:noProof/>
        </w:rPr>
      </w:pPr>
      <w:r>
        <w:rPr>
          <w:noProof/>
        </w:rPr>
        <w:t>Muutettu pienjännit</w:t>
      </w:r>
      <w:r>
        <w:rPr>
          <w:noProof/>
        </w:rPr>
        <w:t>esähköteknistä sääntelyä koskeva asetus, joka sisältää pysäköintialueiden latausinfrastruktuuria koskevat velvoitteet, jotka eivät liity rakennukseen.</w:t>
      </w:r>
    </w:p>
    <w:p w14:paraId="2C641F87" w14:textId="77777777" w:rsidR="000E48CE" w:rsidRDefault="00FF4C4E">
      <w:pPr>
        <w:pStyle w:val="P68B1DB1-Normal4"/>
        <w:spacing w:before="120" w:after="120" w:line="240" w:lineRule="auto"/>
        <w:jc w:val="both"/>
        <w:rPr>
          <w:rFonts w:cs="Times New Roman"/>
          <w:noProof/>
        </w:rPr>
      </w:pPr>
      <w:r>
        <w:rPr>
          <w:noProof/>
        </w:rPr>
        <w:t>Uudistuksen toteutus on määrä saattaa päätökseen 30. kesäkuuta 2022 mennessä.</w:t>
      </w:r>
    </w:p>
    <w:p w14:paraId="6C6834B7" w14:textId="02067FD3" w:rsidR="000E48CE" w:rsidRDefault="00FF4C4E">
      <w:pPr>
        <w:pStyle w:val="P68B1DB1-Normal6"/>
        <w:spacing w:before="120" w:after="120" w:line="240" w:lineRule="auto"/>
        <w:jc w:val="both"/>
        <w:rPr>
          <w:rFonts w:cs="Times New Roman"/>
          <w:noProof/>
        </w:rPr>
      </w:pPr>
      <w:r>
        <w:rPr>
          <w:noProof/>
        </w:rPr>
        <w:t>Uudistus 2 (C1.R2) – Liikku</w:t>
      </w:r>
      <w:r>
        <w:rPr>
          <w:noProof/>
        </w:rPr>
        <w:t xml:space="preserve">vuuslaki </w:t>
      </w:r>
    </w:p>
    <w:p w14:paraId="4FCCBF4A" w14:textId="7E46C380" w:rsidR="000E48CE" w:rsidRDefault="00FF4C4E">
      <w:pPr>
        <w:pStyle w:val="P68B1DB1-Normal4"/>
        <w:spacing w:before="120" w:after="120" w:line="240" w:lineRule="auto"/>
        <w:jc w:val="both"/>
        <w:rPr>
          <w:rFonts w:cs="Times New Roman"/>
          <w:noProof/>
        </w:rPr>
      </w:pPr>
      <w:r>
        <w:rPr>
          <w:noProof/>
        </w:rPr>
        <w:t xml:space="preserve">Toimenpiteen, joka pannaan täytäntöön lailla, tavoitteena on luoda sääntelykehys Espanjan uudistetulle liikkuvuuspolitiikalle, joka perustuu parempaan kestävyyteen ja digitaaliseen ulottuvuuteen. </w:t>
      </w:r>
    </w:p>
    <w:p w14:paraId="740490EB" w14:textId="31AF4E87" w:rsidR="000E48CE" w:rsidRDefault="00FF4C4E">
      <w:pPr>
        <w:pStyle w:val="P68B1DB1-Normal4"/>
        <w:spacing w:before="120" w:after="120" w:line="240" w:lineRule="auto"/>
        <w:jc w:val="both"/>
        <w:rPr>
          <w:rFonts w:cs="Times New Roman"/>
          <w:noProof/>
        </w:rPr>
      </w:pPr>
      <w:r>
        <w:rPr>
          <w:noProof/>
        </w:rPr>
        <w:t>Laissa on säädettävä ainakin seuraavista:</w:t>
      </w:r>
    </w:p>
    <w:p w14:paraId="58678A40" w14:textId="40259FFD" w:rsidR="000E48CE" w:rsidRDefault="00FF4C4E">
      <w:pPr>
        <w:pStyle w:val="P68B1DB1-ListParagraph7"/>
        <w:numPr>
          <w:ilvl w:val="0"/>
          <w:numId w:val="5"/>
        </w:numPr>
        <w:spacing w:before="120" w:after="120" w:line="240" w:lineRule="auto"/>
        <w:jc w:val="both"/>
        <w:rPr>
          <w:rFonts w:cs="Times New Roman"/>
          <w:noProof/>
          <w:sz w:val="18"/>
        </w:rPr>
      </w:pPr>
      <w:r>
        <w:rPr>
          <w:noProof/>
        </w:rPr>
        <w:t xml:space="preserve">Erityistoimenpiteet, joilla edistetään rautateiden tavaraliikennettä, jolla edistetään maarahtiliikenteen maailmanlaajuisten päästöjen vähentämistä, mukaan lukien seuraavat: </w:t>
      </w:r>
    </w:p>
    <w:p w14:paraId="0AF94759" w14:textId="14048C2A" w:rsidR="000E48CE" w:rsidRDefault="00FF4C4E">
      <w:pPr>
        <w:pStyle w:val="P68B1DB1-ListParagraph7"/>
        <w:numPr>
          <w:ilvl w:val="1"/>
          <w:numId w:val="5"/>
        </w:numPr>
        <w:spacing w:before="120" w:after="120" w:line="240" w:lineRule="auto"/>
        <w:jc w:val="both"/>
        <w:rPr>
          <w:rFonts w:eastAsia="Times New Roman" w:cs="Times New Roman"/>
          <w:noProof/>
        </w:rPr>
      </w:pPr>
      <w:r>
        <w:rPr>
          <w:noProof/>
        </w:rPr>
        <w:t>velvollisuus laatia ohjelma vierintävien moottoriteiden toteuttamiseksi niissä li</w:t>
      </w:r>
      <w:r>
        <w:rPr>
          <w:noProof/>
        </w:rPr>
        <w:t>ikennekäytävissä, joissa se on kannattavaa ja joiden kehittäminen on liiketaloudellisesti kiinnostavaa;</w:t>
      </w:r>
    </w:p>
    <w:p w14:paraId="3460F64C" w14:textId="2F8DCDE7" w:rsidR="000E48CE" w:rsidRDefault="00FF4C4E">
      <w:pPr>
        <w:pStyle w:val="P68B1DB1-ListParagraph7"/>
        <w:numPr>
          <w:ilvl w:val="1"/>
          <w:numId w:val="5"/>
        </w:numPr>
        <w:spacing w:before="120" w:after="120" w:line="240" w:lineRule="auto"/>
        <w:jc w:val="both"/>
        <w:rPr>
          <w:rFonts w:eastAsia="Times New Roman" w:cs="Times New Roman"/>
          <w:noProof/>
        </w:rPr>
      </w:pPr>
      <w:r>
        <w:rPr>
          <w:noProof/>
        </w:rPr>
        <w:t>rautateiden rahtimaksuista maksettavat bonukset vähintään viiden vuoden ajan;</w:t>
      </w:r>
    </w:p>
    <w:p w14:paraId="39B7275B" w14:textId="7858A0AE" w:rsidR="000E48CE" w:rsidRDefault="00FF4C4E">
      <w:pPr>
        <w:pStyle w:val="P68B1DB1-ListParagraph7"/>
        <w:numPr>
          <w:ilvl w:val="1"/>
          <w:numId w:val="5"/>
        </w:numPr>
        <w:spacing w:before="120" w:after="120" w:line="240" w:lineRule="auto"/>
        <w:jc w:val="both"/>
        <w:rPr>
          <w:rFonts w:cs="Times New Roman"/>
          <w:noProof/>
        </w:rPr>
      </w:pPr>
      <w:r>
        <w:rPr>
          <w:noProof/>
        </w:rPr>
        <w:t>rautateiden tavaraliikenteen tukiohjelma, mukaan lukien kannustimet, joill</w:t>
      </w:r>
      <w:r>
        <w:rPr>
          <w:noProof/>
        </w:rPr>
        <w:t>a edistetään liikennemuotosiirtymää maanteiltä rautateille sekä rautatieliikenteen nykyaikaistamista ja innovointia;</w:t>
      </w:r>
    </w:p>
    <w:p w14:paraId="29C468E9" w14:textId="58B44112" w:rsidR="000E48CE" w:rsidRDefault="00FF4C4E">
      <w:pPr>
        <w:pStyle w:val="P68B1DB1-ListParagraph7"/>
        <w:numPr>
          <w:ilvl w:val="0"/>
          <w:numId w:val="5"/>
        </w:numPr>
        <w:spacing w:before="120" w:after="120" w:line="240" w:lineRule="auto"/>
        <w:jc w:val="both"/>
        <w:rPr>
          <w:rFonts w:cs="Times New Roman"/>
          <w:noProof/>
        </w:rPr>
      </w:pPr>
      <w:r>
        <w:rPr>
          <w:noProof/>
        </w:rPr>
        <w:t>tietyt velvoitteet ja menetelmäoppaat, joita sovelletaan tietynkokoisiin kuntiin ja yrityksiin, joilla kannustetaan kestävän kaupunkiliiken</w:t>
      </w:r>
      <w:r>
        <w:rPr>
          <w:noProof/>
        </w:rPr>
        <w:t xml:space="preserve">teen suunnitelman ja kestävän työhön liittyvän liikkuvuuden järjestelmien täytäntöönpanoon; </w:t>
      </w:r>
    </w:p>
    <w:p w14:paraId="570063C2" w14:textId="33E02F6F" w:rsidR="000E48CE" w:rsidRDefault="00FF4C4E">
      <w:pPr>
        <w:pStyle w:val="P68B1DB1-ListParagraph7"/>
        <w:numPr>
          <w:ilvl w:val="0"/>
          <w:numId w:val="5"/>
        </w:numPr>
        <w:spacing w:before="120" w:after="120" w:line="240" w:lineRule="auto"/>
        <w:jc w:val="both"/>
        <w:rPr>
          <w:rFonts w:cs="Times New Roman"/>
          <w:noProof/>
        </w:rPr>
      </w:pPr>
      <w:r>
        <w:rPr>
          <w:noProof/>
        </w:rPr>
        <w:t>sellaisen mekanismin perustaminen, jolla lisätään infrastruktuurin suunnittelun kurinalaisuutta riippumattoman finanssiviranomaisen (Autoridad Independiente de Res</w:t>
      </w:r>
      <w:r>
        <w:rPr>
          <w:noProof/>
        </w:rPr>
        <w:t xml:space="preserve">ponsabilidad Fiscal, AIReF) antamien suositusten mukaisesti siten, että otetaan huomioon kestävyys ja sosiaalinen kustannus-hyötyanalyysi; </w:t>
      </w:r>
    </w:p>
    <w:p w14:paraId="08E8E098" w14:textId="32C3B305" w:rsidR="000E48CE" w:rsidRDefault="00FF4C4E">
      <w:pPr>
        <w:pStyle w:val="P68B1DB1-ListParagraph7"/>
        <w:numPr>
          <w:ilvl w:val="0"/>
          <w:numId w:val="5"/>
        </w:numPr>
        <w:spacing w:before="120" w:after="120" w:line="240" w:lineRule="auto"/>
        <w:jc w:val="both"/>
        <w:rPr>
          <w:rFonts w:cs="Times New Roman"/>
          <w:noProof/>
        </w:rPr>
      </w:pPr>
      <w:r>
        <w:rPr>
          <w:noProof/>
        </w:rPr>
        <w:t>sellaisen ennakoitavissa olevan kaupunkiliikenteen rahoitusjärjestelmän perustaminen maan kunnissa, joka perustuu va</w:t>
      </w:r>
      <w:r>
        <w:rPr>
          <w:noProof/>
        </w:rPr>
        <w:t xml:space="preserve">ltion varojen yhdenmukaisiin jakoperusteisiin; </w:t>
      </w:r>
    </w:p>
    <w:p w14:paraId="4C0DDC69" w14:textId="06685730" w:rsidR="000E48CE" w:rsidRDefault="00FF4C4E">
      <w:pPr>
        <w:pStyle w:val="P68B1DB1-ListParagraph7"/>
        <w:numPr>
          <w:ilvl w:val="0"/>
          <w:numId w:val="5"/>
        </w:numPr>
        <w:spacing w:before="120" w:after="120" w:line="240" w:lineRule="auto"/>
        <w:jc w:val="both"/>
        <w:rPr>
          <w:rFonts w:cs="Times New Roman"/>
          <w:noProof/>
        </w:rPr>
      </w:pPr>
      <w:r>
        <w:rPr>
          <w:noProof/>
        </w:rPr>
        <w:t>otetaan käyttöön sääntelyn testiympäristö, jolla helpotetaan liikkuvuus- ja liikennealan innovaatioita ja niiden markkinoille tuloa;</w:t>
      </w:r>
    </w:p>
    <w:p w14:paraId="58B38EEC" w14:textId="262E1CD2" w:rsidR="000E48CE" w:rsidRDefault="00FF4C4E">
      <w:pPr>
        <w:pStyle w:val="P68B1DB1-ListParagraph7"/>
        <w:numPr>
          <w:ilvl w:val="0"/>
          <w:numId w:val="5"/>
        </w:numPr>
        <w:spacing w:before="120" w:after="120" w:line="240" w:lineRule="auto"/>
        <w:jc w:val="both"/>
        <w:rPr>
          <w:rFonts w:cs="Times New Roman"/>
          <w:noProof/>
        </w:rPr>
      </w:pPr>
      <w:r>
        <w:rPr>
          <w:noProof/>
        </w:rPr>
        <w:t>hallinnon parantaminen AIReF:n suositusten mukaisesti laatimalla kansalline</w:t>
      </w:r>
      <w:r>
        <w:rPr>
          <w:noProof/>
        </w:rPr>
        <w:t xml:space="preserve">n liikkuvuusjärjestelmä, jolla edistetään kolmen liikenne- ja liikkuvuusasioista vastaavan </w:t>
      </w:r>
      <w:r>
        <w:rPr>
          <w:noProof/>
        </w:rPr>
        <w:lastRenderedPageBreak/>
        <w:t xml:space="preserve">aluehallinnon välistä koordinointia ja yhteistyötä; korkea-arvoinen liikenne- ja liikkuvuusneuvosto, joka neuvoo, keskustelee ja ottaa tuotantoalat, tiedeyhteisö ja </w:t>
      </w:r>
      <w:r>
        <w:rPr>
          <w:noProof/>
        </w:rPr>
        <w:t>kansalaisyhteiskunta mukaan liikenne- ja liikkuvuuspolitiikkojen määrittelyyn; ja iii) yhdennetty liikenne- ja liikkuvuustietofoorumi, joka kokoaa yhteen eri hallintoelimiltä ja ulkoisilta lähteiltä saadut tiedot liikenteestä ja liikkuvuudesta. Näin hallin</w:t>
      </w:r>
      <w:r>
        <w:rPr>
          <w:noProof/>
        </w:rPr>
        <w:t xml:space="preserve">not voivat optimoida julkisen politiikan suunnittelun ja parantaa valmiuksiaan reagoida kriiseihin ja hätätilanteisiin. </w:t>
      </w:r>
    </w:p>
    <w:p w14:paraId="2E45AE45" w14:textId="7B1926D2" w:rsidR="000E48CE" w:rsidRDefault="00FF4C4E">
      <w:pPr>
        <w:pStyle w:val="P68B1DB1-Normal4"/>
        <w:spacing w:after="0" w:line="240" w:lineRule="auto"/>
        <w:jc w:val="both"/>
        <w:rPr>
          <w:rFonts w:cs="Times New Roman"/>
          <w:noProof/>
        </w:rPr>
      </w:pPr>
      <w:r>
        <w:rPr>
          <w:noProof/>
        </w:rPr>
        <w:t>Edellä kuvatun uuden lain lisäksi toimenpiteeseen on sisällyttävä a) ohjelmistosovelluksen kehittäminen eri liikennemuotojen infrastruk</w:t>
      </w:r>
      <w:r>
        <w:rPr>
          <w:noProof/>
        </w:rPr>
        <w:t>tuuri-investointien kustannus-hyötyanalyyseja varten kestävää liikkuvuutta koskevassa laissa säädetyissä virallisissa menetelmissä esitettyjen kestävyys-, sosiaali- ja ympäristönäkökohtien mukaisesti; ja b) sellaisen kuninkaallisen asetuksen voimaantulo ja</w:t>
      </w:r>
      <w:r>
        <w:rPr>
          <w:noProof/>
        </w:rPr>
        <w:t xml:space="preserve"> julkaiseminen, jolla kehitetään liikenneministeriön organisaatiorakennetta ja määritellään Sandbox-toimiston erityiset toimivaltuudet.</w:t>
      </w:r>
    </w:p>
    <w:p w14:paraId="3924B57A" w14:textId="77777777" w:rsidR="000E48CE" w:rsidRDefault="000E48CE">
      <w:pPr>
        <w:spacing w:after="0" w:line="240" w:lineRule="auto"/>
        <w:jc w:val="both"/>
        <w:rPr>
          <w:rFonts w:ascii="Times New Roman" w:hAnsi="Times New Roman" w:cs="Times New Roman"/>
          <w:noProof/>
          <w:sz w:val="24"/>
        </w:rPr>
      </w:pPr>
    </w:p>
    <w:p w14:paraId="1831BE70" w14:textId="2B7F3139" w:rsidR="000E48CE" w:rsidRDefault="00FF4C4E">
      <w:pPr>
        <w:pStyle w:val="P68B1DB1-Normal4"/>
        <w:spacing w:after="0" w:line="240" w:lineRule="auto"/>
        <w:jc w:val="both"/>
        <w:rPr>
          <w:rFonts w:cs="Times New Roman"/>
          <w:noProof/>
        </w:rPr>
      </w:pPr>
      <w:r>
        <w:rPr>
          <w:noProof/>
        </w:rPr>
        <w:t>Uudistuksen toteutus on määrä saattaa päätökseen 30. kesäkuuta 2026 mennessä.</w:t>
      </w:r>
    </w:p>
    <w:p w14:paraId="276691B0" w14:textId="65262441" w:rsidR="000E48CE" w:rsidRDefault="000E48CE">
      <w:pPr>
        <w:spacing w:before="120" w:after="120" w:line="240" w:lineRule="auto"/>
        <w:jc w:val="both"/>
        <w:rPr>
          <w:rFonts w:ascii="Times New Roman" w:hAnsi="Times New Roman" w:cs="Times New Roman"/>
          <w:noProof/>
          <w:sz w:val="24"/>
        </w:rPr>
      </w:pPr>
    </w:p>
    <w:p w14:paraId="69ACC4C4" w14:textId="77777777" w:rsidR="000E48CE" w:rsidRDefault="00FF4C4E">
      <w:pPr>
        <w:pStyle w:val="P68B1DB1-Normal6"/>
        <w:spacing w:line="240" w:lineRule="auto"/>
        <w:rPr>
          <w:rFonts w:cs="Times New Roman"/>
          <w:noProof/>
        </w:rPr>
      </w:pPr>
      <w:r>
        <w:rPr>
          <w:noProof/>
        </w:rPr>
        <w:t>Investointi 1 (C1.I1) – Vähäpäästöiset a</w:t>
      </w:r>
      <w:r>
        <w:rPr>
          <w:noProof/>
        </w:rPr>
        <w:t>lueet ja kaupunki- ja suurkaupunkiliikenteen muutos</w:t>
      </w:r>
    </w:p>
    <w:p w14:paraId="10BD2E5A" w14:textId="77777777" w:rsidR="000E48CE" w:rsidRDefault="00FF4C4E">
      <w:pPr>
        <w:pStyle w:val="P68B1DB1-Normal4"/>
        <w:spacing w:before="120" w:after="120" w:line="240" w:lineRule="auto"/>
        <w:jc w:val="both"/>
        <w:rPr>
          <w:rFonts w:cs="Times New Roman"/>
          <w:noProof/>
        </w:rPr>
      </w:pPr>
      <w:r>
        <w:rPr>
          <w:noProof/>
        </w:rPr>
        <w:t>Tämän toimenpiteen tavoitteena on edistää liikennepalvelujen kestävää ja digitaalista muutosta tavoitteena vähentää yksityisajoneuvojen käyttöä kaupunkiympäristössä 35 prosentilla vuoteen 2030 mennessä. T</w:t>
      </w:r>
      <w:r>
        <w:rPr>
          <w:noProof/>
        </w:rPr>
        <w:t>oimenpiteen on katettava myös kannustimet, jotka koskevat siirtymistä liikennepalveluja tarjoavien yritysten henkilö- ja tavaraliikenteen puhtaampaan kalustoon. Tämän investoinnin toteuttavat paikallisviranomaiset, itsehallintoalueet ja liikenne-, liikenne</w:t>
      </w:r>
      <w:r>
        <w:rPr>
          <w:noProof/>
        </w:rPr>
        <w:t xml:space="preserve">- ja kaupunkiagendan ministeriö (MITMA). </w:t>
      </w:r>
    </w:p>
    <w:p w14:paraId="08D5899F" w14:textId="5990C230" w:rsidR="000E48CE" w:rsidRDefault="00FF4C4E">
      <w:pPr>
        <w:pStyle w:val="P68B1DB1-Normal8"/>
        <w:spacing w:before="120" w:after="120" w:line="240" w:lineRule="auto"/>
        <w:jc w:val="both"/>
        <w:rPr>
          <w:rFonts w:cs="Times New Roman"/>
          <w:noProof/>
          <w:sz w:val="24"/>
        </w:rPr>
      </w:pPr>
      <w:r>
        <w:rPr>
          <w:noProof/>
          <w:sz w:val="24"/>
        </w:rPr>
        <w:t>Investointihankkeet, joita itsehallintoalueiden on määrä toteuttaa, voivat koskea: julkisen liikenteen ajoneuvokannan muuntaminen puhtaita ajoneuvoja koskevan direktiivin tavoitteiden saavuttamiseksi ja ”ei merkitt</w:t>
      </w:r>
      <w:r>
        <w:rPr>
          <w:noProof/>
          <w:sz w:val="24"/>
        </w:rPr>
        <w:t>ävää haittaa” -periaatetta</w:t>
      </w:r>
      <w:r>
        <w:rPr>
          <w:noProof/>
          <w:sz w:val="20"/>
        </w:rPr>
        <w:t xml:space="preserve"> </w:t>
      </w:r>
      <w:r>
        <w:rPr>
          <w:noProof/>
          <w:sz w:val="24"/>
        </w:rPr>
        <w:t>koskevien teknisten ohjeiden (2021/C58/01) mukaisesti; vähäpäästöisten vyöhykkeiden täytäntöönpano ja hallinnointi; julkisen liikenteen digitalisointi, sen hallinto ja esteettömyyden parantaminen; toimenpiteet, joilla asetetaan e</w:t>
      </w:r>
      <w:r>
        <w:rPr>
          <w:noProof/>
          <w:sz w:val="24"/>
        </w:rPr>
        <w:t>tusijalle joukkoliikenne ja aktiivinen liikkuvuus, mukaan lukien pyöräilyinfrastruktuuri ja jalankulkukaistat; kannustetaan uusien päästöttömien teknologioiden käyttöönottoa Espanjassa liikenteessä; näiden kuntien ja maakunnan pääkaupunkejen ulkopuolella s</w:t>
      </w:r>
      <w:r>
        <w:rPr>
          <w:noProof/>
          <w:sz w:val="24"/>
        </w:rPr>
        <w:t>ijaitsevat pelotepysäköintialueet kaupunkikeskukseen saapuvan liikenteen vähentämiseksi ja rautatieliikennejärjestelmän (esim. metrojen tai rautateiden) laajentaminen tai parantaminen; (H) digitalisaatiohankkeet, joilla täydennetään kestävää liikkuvuutta t</w:t>
      </w:r>
      <w:r>
        <w:rPr>
          <w:noProof/>
          <w:sz w:val="24"/>
        </w:rPr>
        <w:t>ukevia toimenpiteitä, mukaan lukien reaaliaikaiset tietojärjestelmät, jotka koskevat julkisia liikennepalveluja, liikkuvuutta palveluna, intermodaalista tai yksiköiden välistä lipunmyyntiä parantavat hankkeet, liikenteen ja liikkuvuuden hallintaa tukevat h</w:t>
      </w:r>
      <w:r>
        <w:rPr>
          <w:noProof/>
          <w:sz w:val="24"/>
        </w:rPr>
        <w:t>ankkeet ja tiedon analysointi liikennejärjestelmän tehokkuuden lisäämiseksi; ja kaikki muut hankkeet, jotka: i. edistää ilmanlaadun parantamista erityisesti kaupunkialueilla ii. kannustaa vähentämään yksityisen liikenteen käyttöä kaupunki- ja suurkaupunkia</w:t>
      </w:r>
      <w:r>
        <w:rPr>
          <w:noProof/>
          <w:sz w:val="24"/>
        </w:rPr>
        <w:t>lueilla iii. kannustaa julkisen liikenteen käyttöön tai iv) kannustaa aktiiviseen ja terveelliseen liikkuvuuteen.</w:t>
      </w:r>
    </w:p>
    <w:p w14:paraId="0DC7F4CD" w14:textId="7E76A81A" w:rsidR="000E48CE" w:rsidRDefault="00FF4C4E">
      <w:pPr>
        <w:pStyle w:val="P68B1DB1-Normal4"/>
        <w:spacing w:before="120" w:after="120" w:line="240" w:lineRule="auto"/>
        <w:jc w:val="both"/>
        <w:rPr>
          <w:rFonts w:cs="Times New Roman"/>
          <w:noProof/>
        </w:rPr>
      </w:pPr>
      <w:r>
        <w:rPr>
          <w:noProof/>
        </w:rPr>
        <w:t xml:space="preserve">Paikallisviranomaisten hankkeiden </w:t>
      </w:r>
      <w:r>
        <w:rPr>
          <w:noProof/>
          <w:shd w:val="clear" w:color="auto" w:fill="FFFFFF" w:themeFill="background1"/>
        </w:rPr>
        <w:t>on koostuttava</w:t>
      </w:r>
      <w:r>
        <w:rPr>
          <w:noProof/>
        </w:rPr>
        <w:t xml:space="preserve"> esimerkiksi seuraavista: julkisen liikenteen ajoneuvokannan muuntaminen puhtaita ajoneuvoja k</w:t>
      </w:r>
      <w:r>
        <w:rPr>
          <w:noProof/>
        </w:rPr>
        <w:t>oskevan direktiivin tavoitteiden saavuttamiseksi ja ”ei merkittävää haittaa” -periaatteen mukaisesti (2021/C58/01); vähäpäästöisten vyöhykkeiden täytäntöönpano ja hallinnointi; julkisen liikenteen digitalisointi, sen hallinnointi ja esteettömyyden parantam</w:t>
      </w:r>
      <w:r>
        <w:rPr>
          <w:noProof/>
        </w:rPr>
        <w:t xml:space="preserve">inen; ja d) toimenpiteet joukkoliikenteen ja aktiivisen liikkuvuuden kannustamiseksi ja priorisoimiseksi </w:t>
      </w:r>
    </w:p>
    <w:p w14:paraId="1EAD0E8C" w14:textId="77777777" w:rsidR="000E48CE" w:rsidRDefault="00FF4C4E">
      <w:pPr>
        <w:pStyle w:val="P68B1DB1-Normal4"/>
        <w:spacing w:before="120" w:after="120" w:line="240" w:lineRule="auto"/>
        <w:jc w:val="both"/>
        <w:rPr>
          <w:rFonts w:cs="Times New Roman"/>
          <w:noProof/>
        </w:rPr>
      </w:pPr>
      <w:r>
        <w:rPr>
          <w:noProof/>
        </w:rPr>
        <w:lastRenderedPageBreak/>
        <w:t xml:space="preserve">Tuki myönnetään yli 50000 asukkaan kunnille ja maakuntien pääkaupungeille sekä tietyin edellytyksin myös 20000–50000 asukkaan kunnille. </w:t>
      </w:r>
    </w:p>
    <w:p w14:paraId="24027B18" w14:textId="77777777" w:rsidR="000E48CE" w:rsidRDefault="00FF4C4E">
      <w:pPr>
        <w:pStyle w:val="P68B1DB1-Normal4"/>
        <w:spacing w:after="160" w:line="259" w:lineRule="auto"/>
        <w:ind w:left="2"/>
        <w:jc w:val="both"/>
        <w:rPr>
          <w:rFonts w:cs="Times New Roman"/>
          <w:noProof/>
        </w:rPr>
      </w:pPr>
      <w:r>
        <w:rPr>
          <w:noProof/>
        </w:rPr>
        <w:t>MITMAn on tarkoitus toteuttaa investointihankkeita, jotka koskevat sen vastuulla olevien kaupunkiteiden liikenteen humanisointia ja organisointia. Investoinneilla edistetään jalankulkijoiden ja pyöräilijöiden liikkuvuutta ja muita uusia liikkuvuuden muotoj</w:t>
      </w:r>
      <w:r>
        <w:rPr>
          <w:noProof/>
        </w:rPr>
        <w:t xml:space="preserve">a (potkulareita) tai vähennetään autotiloja ja vähennetään ajoneuvojen nopeutta, jotta voidaan vähentää sekä ilman päästöjä että melusaastetta. </w:t>
      </w:r>
    </w:p>
    <w:p w14:paraId="3BB8BED0" w14:textId="77777777" w:rsidR="000E48CE" w:rsidRDefault="00FF4C4E">
      <w:pPr>
        <w:pStyle w:val="P68B1DB1-Normal4"/>
        <w:spacing w:after="160" w:line="259" w:lineRule="auto"/>
        <w:ind w:left="2"/>
        <w:jc w:val="both"/>
        <w:rPr>
          <w:rFonts w:cs="Times New Roman"/>
          <w:noProof/>
        </w:rPr>
      </w:pPr>
      <w:r>
        <w:rPr>
          <w:noProof/>
        </w:rPr>
        <w:t>Kannustimet kuljetusyritysten matkustaja- ja rahtikaluston muuttamiseksi koostuvat seuraavista tukilinjoista: t</w:t>
      </w:r>
      <w:r>
        <w:rPr>
          <w:noProof/>
        </w:rPr>
        <w:t>uki päästöttömien ja vähäpäästöisten henkilö- ja tavaraliikenteen ajoneuvojen hankintaan; tuki vaihtoehtoisia polttoaineita (sähkö, nesteytetty maakaasu, paineistettu maakaasu ja biometaani) käyttävien hyötyajoneuvojen tankkausinfrastruktuurin käyttöönotto</w:t>
      </w:r>
      <w:r>
        <w:rPr>
          <w:noProof/>
        </w:rPr>
        <w:t xml:space="preserve">on; tuki yrityksille perävaunujen ja puoliperävaunujen hankkimiseksi tai mukauttamiseksi intermodaaliliikenteeseen; ja d) tuki yrityksille vanhojen ajoneuvojen romuttamiseen. </w:t>
      </w:r>
    </w:p>
    <w:p w14:paraId="457BA409" w14:textId="77777777" w:rsidR="000E48CE" w:rsidRDefault="00FF4C4E">
      <w:pPr>
        <w:pStyle w:val="P68B1DB1-Normal4"/>
        <w:spacing w:after="160" w:line="259" w:lineRule="auto"/>
        <w:ind w:left="2"/>
        <w:jc w:val="both"/>
        <w:rPr>
          <w:rFonts w:cs="Times New Roman"/>
          <w:noProof/>
        </w:rPr>
      </w:pPr>
      <w:r>
        <w:rPr>
          <w:noProof/>
        </w:rPr>
        <w:t>Tämän toimenpiteen ei odoteta aiheuttavan merkittävää haittaa asetuksen (EU) 202</w:t>
      </w:r>
      <w:r>
        <w:rPr>
          <w:noProof/>
        </w:rPr>
        <w:t>0/852 17 artiklassa tarkoitetuille ympäristötavoitteille, kun otetaan huomioon ”ei merkittävää haittaa” -periaatetta koskevien teknisten ohjeiden (2021/C58/01) mukainen elpymis- ja palautumissuunnitelmassa esitetty toimenpiteen kuvaus ja lieventävät toimen</w:t>
      </w:r>
      <w:r>
        <w:rPr>
          <w:noProof/>
        </w:rPr>
        <w:t>piteet. Erityisesti tukilinjan a tuki kattaa ainoastaan matalalattiaiset sähkö- ja vetylinja-autot (M2- ja M3-luokat, tyypillisesti kaupunki- ja esikaupunkilinja-autot). ’korkealattiaiset’ linja-autot, mukaan lukien LNG/CNG, hybridi-, sähkö- ja vetylinja-a</w:t>
      </w:r>
      <w:r>
        <w:rPr>
          <w:noProof/>
        </w:rPr>
        <w:t>utot (luokat M2 ja M3, tyypillisesti kaupunkien väliset linja-autot), jotka ovat Euro VI-E -luokan mukaisia (M2- ja M3-luokat, yleensä kaupunkien väliset linja-autot); päästöttömiä, vähäpäästöisiä</w:t>
      </w:r>
      <w:r>
        <w:rPr>
          <w:noProof/>
        </w:rPr>
        <w:footnoteReference w:id="2"/>
      </w:r>
      <w:r>
        <w:rPr>
          <w:noProof/>
        </w:rPr>
        <w:footnoteReference w:id="3"/>
      </w:r>
      <w:r>
        <w:rPr>
          <w:noProof/>
        </w:rPr>
        <w:t xml:space="preserve"> ja nesteytettyä maakaasua/CNG-trukkeja, jotka käyttävät b</w:t>
      </w:r>
      <w:r>
        <w:rPr>
          <w:noProof/>
        </w:rPr>
        <w:t>iopolttoaineita, bionesteitä ja biomassapolttoaineita</w:t>
      </w:r>
      <w:r>
        <w:rPr>
          <w:noProof/>
        </w:rPr>
        <w:footnoteReference w:id="4"/>
      </w:r>
      <w:r>
        <w:rPr>
          <w:noProof/>
        </w:rPr>
        <w:t>. Tukilinjan b osalta hyötyajoneuvojen tankkausinfrastruktuurin on täytettävä biopolttoaineita, bionesteitä ja biomassapolttoaineita koskevat edellytykset</w:t>
      </w:r>
      <w:r>
        <w:rPr>
          <w:noProof/>
        </w:rPr>
        <w:footnoteReference w:id="5"/>
      </w:r>
      <w:r>
        <w:rPr>
          <w:noProof/>
        </w:rPr>
        <w:t>.</w:t>
      </w:r>
    </w:p>
    <w:p w14:paraId="1D6D1FC1" w14:textId="77777777" w:rsidR="000E48CE" w:rsidRDefault="00FF4C4E">
      <w:pPr>
        <w:pStyle w:val="P68B1DB1-Normal4"/>
        <w:spacing w:after="160" w:line="259" w:lineRule="auto"/>
        <w:ind w:left="2"/>
        <w:jc w:val="both"/>
        <w:rPr>
          <w:rFonts w:cs="Times New Roman"/>
          <w:noProof/>
        </w:rPr>
      </w:pPr>
      <w:r>
        <w:rPr>
          <w:noProof/>
        </w:rPr>
        <w:t>Valintaperusteilla on varmistettava, että väh</w:t>
      </w:r>
      <w:r>
        <w:rPr>
          <w:noProof/>
        </w:rPr>
        <w:t xml:space="preserve">intään 310000000 eurolla edistetään ilmastonmuutostavoitteiden saavuttamista 100 prosentin ilmastokertoimella ja vähintään </w:t>
      </w:r>
      <w:r>
        <w:rPr>
          <w:noProof/>
        </w:rPr>
        <w:lastRenderedPageBreak/>
        <w:t>2195000000 eurolla 40 prosentin ilmastokertoimella elpymis- ja palautumistukivälinettä koskevan asetuksen (EU) 2021/241 liitteen VI m</w:t>
      </w:r>
      <w:r>
        <w:rPr>
          <w:noProof/>
        </w:rPr>
        <w:t xml:space="preserve">ukaisesti. </w:t>
      </w:r>
    </w:p>
    <w:p w14:paraId="43F0DAF8" w14:textId="77777777" w:rsidR="000E48CE" w:rsidRDefault="00FF4C4E">
      <w:pPr>
        <w:pStyle w:val="P68B1DB1-Normal4"/>
        <w:spacing w:before="120" w:after="120" w:line="240" w:lineRule="auto"/>
        <w:jc w:val="both"/>
        <w:rPr>
          <w:rFonts w:cs="Times New Roman"/>
          <w:noProof/>
        </w:rPr>
      </w:pPr>
      <w:r>
        <w:rPr>
          <w:noProof/>
        </w:rPr>
        <w:t>Tämän toimenpiteen mukaiset investoinnit on toteutettava 31 päivään joulukuuta 2025 mennessä.</w:t>
      </w:r>
    </w:p>
    <w:p w14:paraId="778F7F4E" w14:textId="77777777" w:rsidR="000E48CE" w:rsidRDefault="00FF4C4E">
      <w:pPr>
        <w:pStyle w:val="P68B1DB1-Normal6"/>
        <w:spacing w:before="120" w:after="120" w:line="240" w:lineRule="auto"/>
        <w:jc w:val="both"/>
        <w:rPr>
          <w:rFonts w:cs="Times New Roman"/>
          <w:noProof/>
        </w:rPr>
      </w:pPr>
      <w:r>
        <w:rPr>
          <w:noProof/>
        </w:rPr>
        <w:t>Investointi 2 (C1.I2) – Kannustusjärjestelmä latauspisteiden asentamista, sähkö- ja polttokennoajoneuvojen hankintaa sekä sähköistä liikkuvuutta, lata</w:t>
      </w:r>
      <w:r>
        <w:rPr>
          <w:noProof/>
        </w:rPr>
        <w:t>usta ja vihreää vetyä koskevaa innovointia varten</w:t>
      </w:r>
    </w:p>
    <w:p w14:paraId="28FDED2F" w14:textId="72C4BC50" w:rsidR="000E48CE" w:rsidRDefault="00FF4C4E">
      <w:pPr>
        <w:pStyle w:val="P68B1DB1-Normal4"/>
        <w:spacing w:before="120" w:after="120" w:line="240" w:lineRule="auto"/>
        <w:jc w:val="both"/>
        <w:rPr>
          <w:rFonts w:cs="Times New Roman"/>
          <w:noProof/>
        </w:rPr>
      </w:pPr>
      <w:r>
        <w:rPr>
          <w:noProof/>
        </w:rPr>
        <w:t>Tällä toimenpiteellä pyritään tukemaan liikenteen vaihtoehtoista energiaa koskevan Espanjan kansallisen kehyksen noudattamista, nopeuttamaan yhdennetyn kansallisen energia- ja ilmastosuunnitelman täytäntöön</w:t>
      </w:r>
      <w:r>
        <w:rPr>
          <w:noProof/>
        </w:rPr>
        <w:t>panoa ja tukemaan alueellista yhteenkuuluvuutta sähköistämällä liikkuvuutta maaseutualueilla. Investointi on ilmaistu erilaisissa tukijärjestelmissä, joilla kannustetaan sähköajoneuvojen ja polttokennoajoneuvojen käyttöönottoa ja kannustetaan samalla yksit</w:t>
      </w:r>
      <w:r>
        <w:rPr>
          <w:noProof/>
        </w:rPr>
        <w:t>täisiin innovaatiohankkeisiin, jotka liittyvät sähköiseen liikkuvuuteen, arvoketjuun ja ajoneuvokannan uudistamiseen yleensä, mukaan lukien vihreän vetyteknologian hyödyntäminen. Investointiin on sisällyttävä myös julkisten latausasemien asentaminen asuina</w:t>
      </w:r>
      <w:r>
        <w:rPr>
          <w:noProof/>
        </w:rPr>
        <w:t>lueille ja kansalliseen tieverkkoon. Tukijärjestelmien jakamista koskevissa ehdotuspyynnöissä on käytettävä seuraavia valintaperusteita: ympäristövaikutusten vähentäminen, ii) tekninen ja taloudellinen elinkelpoisuus, iii) teknologisen kehityksen ja innovo</w:t>
      </w:r>
      <w:r>
        <w:rPr>
          <w:noProof/>
        </w:rPr>
        <w:t>innin taso, iv) toistettavuus ja skaalattavuus, v) hankkeeseen liittyvä työpaikkojen luominen, suora ja välillinen vaikutus arvoketjuun ja synergia muiden alojen, pääasiassa teollisuuden, kanssa.</w:t>
      </w:r>
    </w:p>
    <w:p w14:paraId="2238E079" w14:textId="00792EB5" w:rsidR="000E48CE" w:rsidRDefault="00FF4C4E">
      <w:pPr>
        <w:pStyle w:val="P68B1DB1-Normal4"/>
        <w:spacing w:before="120" w:after="120" w:line="240" w:lineRule="auto"/>
        <w:jc w:val="both"/>
        <w:rPr>
          <w:rFonts w:cs="Times New Roman"/>
          <w:noProof/>
        </w:rPr>
      </w:pPr>
      <w:r>
        <w:rPr>
          <w:noProof/>
        </w:rPr>
        <w:t>Nämä investoinnit on toteutettava 31 päivään joulukuuta 2025</w:t>
      </w:r>
      <w:r>
        <w:rPr>
          <w:noProof/>
        </w:rPr>
        <w:t xml:space="preserve"> mennessä. </w:t>
      </w:r>
    </w:p>
    <w:p w14:paraId="26190310" w14:textId="77777777" w:rsidR="000E48CE" w:rsidRDefault="00FF4C4E">
      <w:pPr>
        <w:pStyle w:val="P68B1DB1-Normal6"/>
        <w:keepNext/>
        <w:spacing w:before="120" w:after="120" w:line="240" w:lineRule="auto"/>
        <w:jc w:val="both"/>
        <w:rPr>
          <w:rFonts w:cs="Times New Roman"/>
          <w:noProof/>
        </w:rPr>
      </w:pPr>
      <w:r>
        <w:rPr>
          <w:noProof/>
        </w:rPr>
        <w:t xml:space="preserve">Investointi 3 (C1.I3) – Toimenpiteet rautatieliikennepalvelujen laadun ja luotettavuuden parantamiseksi </w:t>
      </w:r>
    </w:p>
    <w:p w14:paraId="267B0B95" w14:textId="77777777" w:rsidR="000E48CE" w:rsidRDefault="00FF4C4E">
      <w:pPr>
        <w:pStyle w:val="P68B1DB1-Normal4"/>
        <w:keepNext/>
        <w:spacing w:before="120" w:after="120" w:line="240" w:lineRule="auto"/>
        <w:jc w:val="both"/>
        <w:rPr>
          <w:rFonts w:cs="Times New Roman"/>
          <w:noProof/>
        </w:rPr>
      </w:pPr>
      <w:r>
        <w:rPr>
          <w:noProof/>
        </w:rPr>
        <w:t>Toimenpiteen tavoitteena on parantaa julkisen lyhyen matkan rautatieverkon (ns. Cercanías</w:t>
      </w:r>
      <w:r>
        <w:rPr>
          <w:i/>
          <w:noProof/>
        </w:rPr>
        <w:t>)</w:t>
      </w:r>
      <w:r>
        <w:rPr>
          <w:noProof/>
        </w:rPr>
        <w:t xml:space="preserve">houkuttelevuutta ja saavutettavuutta niin, että </w:t>
      </w:r>
      <w:r>
        <w:rPr>
          <w:noProof/>
        </w:rPr>
        <w:t>siitä tulee kaupunkialueiden liikenteen selkäranka ja se korvaa yksityisajoneuvojen käytön suurkaupunkialueilla. Hankkeet toteuttavat ADIF (rautatieinfrastruktuurin haltija) ja RENFE (rautatiepalvelujen tarjoaja, jolla on julkisen palvelun velvoitteita).</w:t>
      </w:r>
    </w:p>
    <w:p w14:paraId="2836AAAE" w14:textId="77777777" w:rsidR="000E48CE" w:rsidRDefault="00FF4C4E">
      <w:pPr>
        <w:pStyle w:val="P68B1DB1-Normal4"/>
        <w:spacing w:before="120" w:after="120" w:line="240" w:lineRule="auto"/>
        <w:jc w:val="both"/>
        <w:rPr>
          <w:rFonts w:cs="Times New Roman"/>
          <w:noProof/>
        </w:rPr>
      </w:pPr>
      <w:r>
        <w:rPr>
          <w:noProof/>
        </w:rPr>
        <w:t>A</w:t>
      </w:r>
      <w:r>
        <w:rPr>
          <w:noProof/>
        </w:rPr>
        <w:t xml:space="preserve">DIF toteuttaa infrastruktuuri-investointeja </w:t>
      </w:r>
      <w:r>
        <w:rPr>
          <w:i/>
          <w:noProof/>
        </w:rPr>
        <w:t>Cercaníasin</w:t>
      </w:r>
      <w:r>
        <w:rPr>
          <w:noProof/>
        </w:rPr>
        <w:t xml:space="preserve"> rautateillä, mukaan lukien radan uudistaminen, asemien parantaminen sekä sähköistämis- ja merkinantojärjestelmän parantaminen. Lisäksi RENFE vastaa julkisen rautatieliikenteen hallinnon nykyaikaistami</w:t>
      </w:r>
      <w:r>
        <w:rPr>
          <w:noProof/>
        </w:rPr>
        <w:t>seen tähtäävien investointien toteuttamisesta. Investoinnit ulottuvat pääasiassa viiteen ulottuvuuteen: asemien turvajärjestelmien digitalisointi; matkustajien tietojärjestelmät; pääsynvalvonnan parantaminen; itsemyyntikoneiden mukauttaminen uuteen teknolo</w:t>
      </w:r>
      <w:r>
        <w:rPr>
          <w:noProof/>
        </w:rPr>
        <w:t xml:space="preserve">giaan; ja e) tilojen kunnostus Cercanías-verkon </w:t>
      </w:r>
      <w:r>
        <w:rPr>
          <w:i/>
          <w:noProof/>
        </w:rPr>
        <w:t>asemilla</w:t>
      </w:r>
      <w:r>
        <w:rPr>
          <w:noProof/>
        </w:rPr>
        <w:t xml:space="preserve">. </w:t>
      </w:r>
    </w:p>
    <w:p w14:paraId="221B1391" w14:textId="77777777" w:rsidR="000E48CE" w:rsidRDefault="00FF4C4E">
      <w:pPr>
        <w:pStyle w:val="P68B1DB1-Normal4"/>
        <w:spacing w:before="120" w:after="120" w:line="240" w:lineRule="auto"/>
        <w:jc w:val="both"/>
        <w:rPr>
          <w:rFonts w:cs="Times New Roman"/>
          <w:noProof/>
        </w:rPr>
      </w:pPr>
      <w:r>
        <w:rPr>
          <w:noProof/>
        </w:rPr>
        <w:t xml:space="preserve">Täytäntöönpano on saatettava päätökseen viimeistään 30 päivänä kesäkuuta 2026. </w:t>
      </w:r>
    </w:p>
    <w:p w14:paraId="1195E51F" w14:textId="77777777" w:rsidR="000E48CE" w:rsidRDefault="000E48CE">
      <w:pPr>
        <w:spacing w:before="120" w:after="120" w:line="240" w:lineRule="auto"/>
        <w:jc w:val="both"/>
        <w:rPr>
          <w:rFonts w:ascii="Times New Roman" w:hAnsi="Times New Roman" w:cs="Times New Roman"/>
          <w:noProof/>
          <w:sz w:val="24"/>
        </w:rPr>
      </w:pPr>
    </w:p>
    <w:p w14:paraId="3C632623" w14:textId="5A815EEC" w:rsidR="000E48CE" w:rsidRDefault="00FF4C4E">
      <w:pPr>
        <w:pStyle w:val="P68B1DB1-Normal5"/>
        <w:spacing w:before="120" w:after="120" w:line="240" w:lineRule="auto"/>
        <w:jc w:val="both"/>
        <w:rPr>
          <w:rFonts w:cs="Times New Roman"/>
          <w:noProof/>
        </w:rPr>
      </w:pPr>
      <w:r>
        <w:rPr>
          <w:noProof/>
        </w:rPr>
        <w:t xml:space="preserve">A.2 </w:t>
      </w:r>
      <w:r>
        <w:rPr>
          <w:noProof/>
        </w:rPr>
        <w:tab/>
        <w:t>Seurantaa ja täytäntöönpanoa koskevat välitavoitteet, tavoitteet, indikaattorit ja aikataulu – rahoitustuki, jo</w:t>
      </w:r>
      <w:r>
        <w:rPr>
          <w:noProof/>
        </w:rPr>
        <w:t>ta ei makseta takaisin</w:t>
      </w:r>
    </w:p>
    <w:p w14:paraId="6DED728A"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 on 1. helmikuuta 2020, ellei toimen kuvauksessa toisin ilmoiteta. Taulukossa esitetyt määrät eivät sisällä arvonlisäveroa.</w:t>
      </w:r>
    </w:p>
    <w:p w14:paraId="02EB378F" w14:textId="77777777" w:rsidR="000E48CE" w:rsidRDefault="000E48CE">
      <w:pPr>
        <w:spacing w:before="120" w:after="120" w:line="240" w:lineRule="auto"/>
        <w:jc w:val="both"/>
        <w:rPr>
          <w:rFonts w:ascii="Times New Roman" w:hAnsi="Times New Roman" w:cs="Times New Roman"/>
          <w:noProof/>
          <w:sz w:val="24"/>
        </w:rPr>
      </w:pPr>
    </w:p>
    <w:p w14:paraId="6A05A809" w14:textId="77777777" w:rsidR="000E48CE" w:rsidRDefault="000E48CE">
      <w:pPr>
        <w:spacing w:before="120" w:after="120" w:line="240" w:lineRule="auto"/>
        <w:jc w:val="both"/>
        <w:rPr>
          <w:rFonts w:ascii="Times New Roman" w:hAnsi="Times New Roman" w:cs="Times New Roman"/>
          <w:noProof/>
          <w:sz w:val="24"/>
        </w:rPr>
        <w:sectPr w:rsidR="000E48CE" w:rsidSect="00BF0BE2">
          <w:headerReference w:type="even" r:id="rId18"/>
          <w:headerReference w:type="default" r:id="rId19"/>
          <w:footerReference w:type="even" r:id="rId20"/>
          <w:footerReference w:type="default" r:id="rId21"/>
          <w:headerReference w:type="first" r:id="rId22"/>
          <w:footerReference w:type="first" r:id="rId23"/>
          <w:pgSz w:w="11907" w:h="16839"/>
          <w:pgMar w:top="1134" w:right="1417" w:bottom="1134" w:left="1417" w:header="709" w:footer="709" w:gutter="0"/>
          <w:pgNumType w:start="1"/>
          <w:cols w:space="720"/>
          <w:docGrid w:linePitch="360"/>
        </w:sect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675"/>
        <w:gridCol w:w="742"/>
        <w:gridCol w:w="425"/>
        <w:gridCol w:w="567"/>
        <w:gridCol w:w="5387"/>
      </w:tblGrid>
      <w:tr w:rsidR="000E48CE" w14:paraId="1C90EE20" w14:textId="77777777">
        <w:trPr>
          <w:trHeight w:val="309"/>
          <w:tblHeader/>
        </w:trPr>
        <w:tc>
          <w:tcPr>
            <w:tcW w:w="709" w:type="dxa"/>
            <w:tcBorders>
              <w:bottom w:val="nil"/>
            </w:tcBorders>
            <w:shd w:val="clear" w:color="auto" w:fill="C6D9F1" w:themeFill="text2" w:themeFillTint="33"/>
            <w:noWrap/>
          </w:tcPr>
          <w:p w14:paraId="616C3DC1" w14:textId="77777777" w:rsidR="000E48CE" w:rsidRDefault="00FF4C4E">
            <w:pPr>
              <w:pStyle w:val="P68B1DB1-Normal12"/>
              <w:spacing w:after="0" w:line="240" w:lineRule="auto"/>
              <w:jc w:val="center"/>
              <w:rPr>
                <w:rFonts w:cs="Times New Roman"/>
                <w:noProof/>
              </w:rPr>
            </w:pPr>
            <w:r>
              <w:rPr>
                <w:noProof/>
              </w:rPr>
              <w:lastRenderedPageBreak/>
              <w:t>Määrä</w:t>
            </w:r>
          </w:p>
        </w:tc>
        <w:tc>
          <w:tcPr>
            <w:tcW w:w="851" w:type="dxa"/>
            <w:tcBorders>
              <w:bottom w:val="nil"/>
            </w:tcBorders>
            <w:shd w:val="clear" w:color="auto" w:fill="C6D9F1" w:themeFill="text2" w:themeFillTint="33"/>
            <w:noWrap/>
          </w:tcPr>
          <w:p w14:paraId="108A00CA"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tcPr>
          <w:p w14:paraId="194CF989"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977" w:type="dxa"/>
            <w:tcBorders>
              <w:bottom w:val="nil"/>
            </w:tcBorders>
            <w:shd w:val="clear" w:color="auto" w:fill="C6D9F1" w:themeFill="text2" w:themeFillTint="33"/>
            <w:noWrap/>
          </w:tcPr>
          <w:p w14:paraId="390DC06E" w14:textId="77777777" w:rsidR="000E48CE" w:rsidRDefault="00FF4C4E">
            <w:pPr>
              <w:pStyle w:val="P68B1DB1-Normal12"/>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tcPr>
          <w:p w14:paraId="5F9C169F"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268" w:type="dxa"/>
            <w:gridSpan w:val="3"/>
            <w:shd w:val="clear" w:color="auto" w:fill="C6D9F1" w:themeFill="text2" w:themeFillTint="33"/>
            <w:noWrap/>
          </w:tcPr>
          <w:p w14:paraId="021CC9BA"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tcPr>
          <w:p w14:paraId="257390A1" w14:textId="77777777" w:rsidR="000E48CE" w:rsidRDefault="00FF4C4E">
            <w:pPr>
              <w:pStyle w:val="P68B1DB1-Normal12"/>
              <w:spacing w:after="0" w:line="240" w:lineRule="auto"/>
              <w:jc w:val="center"/>
              <w:rPr>
                <w:rFonts w:cs="Times New Roman"/>
                <w:noProof/>
              </w:rPr>
            </w:pPr>
            <w:r>
              <w:rPr>
                <w:noProof/>
              </w:rPr>
              <w:t>Aika</w:t>
            </w:r>
          </w:p>
        </w:tc>
        <w:tc>
          <w:tcPr>
            <w:tcW w:w="5387" w:type="dxa"/>
            <w:tcBorders>
              <w:bottom w:val="nil"/>
            </w:tcBorders>
            <w:shd w:val="clear" w:color="auto" w:fill="C6D9F1" w:themeFill="text2" w:themeFillTint="33"/>
            <w:noWrap/>
          </w:tcPr>
          <w:p w14:paraId="5D8042D6"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32FCF7DB" w14:textId="77777777">
        <w:trPr>
          <w:trHeight w:val="309"/>
          <w:tblHeader/>
        </w:trPr>
        <w:tc>
          <w:tcPr>
            <w:tcW w:w="709" w:type="dxa"/>
            <w:tcBorders>
              <w:top w:val="nil"/>
            </w:tcBorders>
            <w:shd w:val="clear" w:color="auto" w:fill="C6D9F1" w:themeFill="text2" w:themeFillTint="33"/>
            <w:noWrap/>
          </w:tcPr>
          <w:p w14:paraId="7F0C080E"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0B9DF767"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628D6B3" w14:textId="77777777" w:rsidR="000E48CE" w:rsidRDefault="000E48CE">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27C17848" w14:textId="77777777" w:rsidR="000E48CE" w:rsidRDefault="000E48C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430212C" w14:textId="77777777" w:rsidR="000E48CE" w:rsidRDefault="000E48CE">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0575659C" w14:textId="77777777" w:rsidR="000E48CE" w:rsidRDefault="00FF4C4E">
            <w:pPr>
              <w:pStyle w:val="P68B1DB1-Normal12"/>
              <w:spacing w:after="0" w:line="240" w:lineRule="auto"/>
              <w:jc w:val="center"/>
              <w:rPr>
                <w:rFonts w:cs="Times New Roman"/>
                <w:noProof/>
              </w:rPr>
            </w:pPr>
            <w:r>
              <w:rPr>
                <w:noProof/>
              </w:rPr>
              <w:t>Yksikkö</w:t>
            </w:r>
          </w:p>
        </w:tc>
        <w:tc>
          <w:tcPr>
            <w:tcW w:w="675" w:type="dxa"/>
            <w:shd w:val="clear" w:color="auto" w:fill="C6D9F1" w:themeFill="text2" w:themeFillTint="33"/>
            <w:noWrap/>
          </w:tcPr>
          <w:p w14:paraId="03C7D63C" w14:textId="4F298F88" w:rsidR="000E48CE" w:rsidRDefault="00FF4C4E">
            <w:pPr>
              <w:pStyle w:val="P68B1DB1-Normal12"/>
              <w:spacing w:after="0" w:line="240" w:lineRule="auto"/>
              <w:jc w:val="center"/>
              <w:rPr>
                <w:rFonts w:cs="Times New Roman"/>
                <w:noProof/>
              </w:rPr>
            </w:pPr>
            <w:r>
              <w:rPr>
                <w:noProof/>
              </w:rPr>
              <w:t>Perusviiva</w:t>
            </w:r>
          </w:p>
        </w:tc>
        <w:tc>
          <w:tcPr>
            <w:tcW w:w="742" w:type="dxa"/>
            <w:shd w:val="clear" w:color="auto" w:fill="C6D9F1" w:themeFill="text2" w:themeFillTint="33"/>
            <w:noWrap/>
          </w:tcPr>
          <w:p w14:paraId="247276FE"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tcPr>
          <w:p w14:paraId="564BB4C8"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31633393" w14:textId="77777777" w:rsidR="000E48CE" w:rsidRDefault="00FF4C4E">
            <w:pPr>
              <w:pStyle w:val="P68B1DB1-Normal12"/>
              <w:spacing w:after="0" w:line="240" w:lineRule="auto"/>
              <w:jc w:val="center"/>
              <w:rPr>
                <w:rFonts w:cs="Times New Roman"/>
                <w:noProof/>
              </w:rPr>
            </w:pPr>
            <w:r>
              <w:rPr>
                <w:noProof/>
              </w:rPr>
              <w:t>Vuosi</w:t>
            </w:r>
          </w:p>
        </w:tc>
        <w:tc>
          <w:tcPr>
            <w:tcW w:w="5387" w:type="dxa"/>
            <w:tcBorders>
              <w:top w:val="nil"/>
            </w:tcBorders>
            <w:shd w:val="clear" w:color="auto" w:fill="C6D9F1" w:themeFill="text2" w:themeFillTint="33"/>
            <w:noWrap/>
          </w:tcPr>
          <w:p w14:paraId="45BE5CDA" w14:textId="77777777" w:rsidR="000E48CE" w:rsidRDefault="000E48CE">
            <w:pPr>
              <w:spacing w:after="0" w:line="240" w:lineRule="auto"/>
              <w:rPr>
                <w:rFonts w:ascii="Times New Roman" w:hAnsi="Times New Roman" w:cs="Times New Roman"/>
                <w:b/>
                <w:noProof/>
                <w:sz w:val="18"/>
              </w:rPr>
            </w:pPr>
          </w:p>
        </w:tc>
      </w:tr>
      <w:tr w:rsidR="000E48CE" w14:paraId="22538EF1" w14:textId="77777777">
        <w:trPr>
          <w:trHeight w:val="309"/>
        </w:trPr>
        <w:tc>
          <w:tcPr>
            <w:tcW w:w="709" w:type="dxa"/>
            <w:shd w:val="clear" w:color="auto" w:fill="C6EFCE"/>
            <w:noWrap/>
          </w:tcPr>
          <w:p w14:paraId="2DBD4C2D" w14:textId="77777777" w:rsidR="000E48CE" w:rsidRDefault="00FF4C4E">
            <w:pPr>
              <w:pStyle w:val="P68B1DB1-Normal13"/>
              <w:spacing w:after="0" w:line="240" w:lineRule="auto"/>
              <w:jc w:val="center"/>
              <w:rPr>
                <w:rFonts w:eastAsia="MS Mincho" w:cs="Times New Roman"/>
                <w:noProof/>
              </w:rPr>
            </w:pPr>
            <w:r>
              <w:rPr>
                <w:noProof/>
              </w:rPr>
              <w:t>1</w:t>
            </w:r>
          </w:p>
        </w:tc>
        <w:tc>
          <w:tcPr>
            <w:tcW w:w="851" w:type="dxa"/>
            <w:shd w:val="clear" w:color="auto" w:fill="C6EFCE"/>
            <w:noWrap/>
          </w:tcPr>
          <w:p w14:paraId="522015FD" w14:textId="77777777" w:rsidR="000E48CE" w:rsidRDefault="00FF4C4E">
            <w:pPr>
              <w:pStyle w:val="P68B1DB1-Normal13"/>
              <w:spacing w:after="0" w:line="240" w:lineRule="auto"/>
              <w:jc w:val="center"/>
              <w:rPr>
                <w:rFonts w:eastAsia="MS Mincho" w:cs="Times New Roman"/>
                <w:noProof/>
              </w:rPr>
            </w:pPr>
            <w:r>
              <w:rPr>
                <w:noProof/>
              </w:rPr>
              <w:t>C1.R1</w:t>
            </w:r>
          </w:p>
        </w:tc>
        <w:tc>
          <w:tcPr>
            <w:tcW w:w="850" w:type="dxa"/>
            <w:shd w:val="clear" w:color="auto" w:fill="C6EFCE"/>
            <w:noWrap/>
          </w:tcPr>
          <w:p w14:paraId="33F87B3B" w14:textId="77777777" w:rsidR="000E48CE" w:rsidRDefault="00FF4C4E">
            <w:pPr>
              <w:pStyle w:val="P68B1DB1-Normal13"/>
              <w:spacing w:after="0" w:line="240" w:lineRule="auto"/>
              <w:jc w:val="center"/>
              <w:rPr>
                <w:rFonts w:eastAsia="MS Mincho" w:cs="Times New Roman"/>
                <w:noProof/>
              </w:rPr>
            </w:pPr>
            <w:r>
              <w:rPr>
                <w:noProof/>
              </w:rPr>
              <w:t>M</w:t>
            </w:r>
          </w:p>
        </w:tc>
        <w:tc>
          <w:tcPr>
            <w:tcW w:w="2977" w:type="dxa"/>
            <w:shd w:val="clear" w:color="auto" w:fill="C6EFCE"/>
            <w:noWrap/>
          </w:tcPr>
          <w:p w14:paraId="5E9C449F" w14:textId="77777777" w:rsidR="000E48CE" w:rsidRDefault="00FF4C4E">
            <w:pPr>
              <w:pStyle w:val="P68B1DB1-Normal13"/>
              <w:spacing w:after="0" w:line="240" w:lineRule="auto"/>
              <w:rPr>
                <w:rFonts w:eastAsia="MS Mincho" w:cs="Times New Roman"/>
                <w:noProof/>
              </w:rPr>
            </w:pPr>
            <w:r>
              <w:rPr>
                <w:noProof/>
              </w:rPr>
              <w:t>Määräys TMA/178/2020 ja kuninkaan asetus 23/2020</w:t>
            </w:r>
          </w:p>
        </w:tc>
        <w:tc>
          <w:tcPr>
            <w:tcW w:w="1134" w:type="dxa"/>
            <w:shd w:val="clear" w:color="auto" w:fill="C6EFCE"/>
            <w:noWrap/>
          </w:tcPr>
          <w:p w14:paraId="2C017ED3" w14:textId="77777777" w:rsidR="000E48CE" w:rsidRDefault="00FF4C4E">
            <w:pPr>
              <w:pStyle w:val="P68B1DB1-Normal13"/>
              <w:spacing w:after="0" w:line="240" w:lineRule="auto"/>
              <w:jc w:val="center"/>
              <w:rPr>
                <w:rFonts w:eastAsia="MS Mincho" w:cs="Times New Roman"/>
                <w:noProof/>
              </w:rPr>
            </w:pPr>
            <w:r>
              <w:rPr>
                <w:noProof/>
              </w:rPr>
              <w:t xml:space="preserve">Asetuksen ja kuninkaallisen asetuksen säännökset, joista käy ilmi niiden voimaantulo </w:t>
            </w:r>
          </w:p>
        </w:tc>
        <w:tc>
          <w:tcPr>
            <w:tcW w:w="851" w:type="dxa"/>
            <w:shd w:val="clear" w:color="auto" w:fill="C6EFCE"/>
            <w:noWrap/>
          </w:tcPr>
          <w:p w14:paraId="506B302E"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675" w:type="dxa"/>
            <w:shd w:val="clear" w:color="auto" w:fill="C6EFCE"/>
            <w:noWrap/>
          </w:tcPr>
          <w:p w14:paraId="3B243226"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42" w:type="dxa"/>
            <w:shd w:val="clear" w:color="auto" w:fill="C6EFCE"/>
            <w:noWrap/>
          </w:tcPr>
          <w:p w14:paraId="76A4A2AF"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25020D56"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5AC65629" w14:textId="77777777" w:rsidR="000E48CE" w:rsidRDefault="00FF4C4E">
            <w:pPr>
              <w:pStyle w:val="P68B1DB1-Normal13"/>
              <w:spacing w:after="0" w:line="240" w:lineRule="auto"/>
              <w:jc w:val="center"/>
              <w:rPr>
                <w:rFonts w:eastAsia="MS Mincho" w:cs="Times New Roman"/>
                <w:noProof/>
              </w:rPr>
            </w:pPr>
            <w:r>
              <w:rPr>
                <w:noProof/>
              </w:rPr>
              <w:t>2020</w:t>
            </w:r>
          </w:p>
        </w:tc>
        <w:tc>
          <w:tcPr>
            <w:tcW w:w="5387" w:type="dxa"/>
            <w:shd w:val="clear" w:color="auto" w:fill="C6EFCE"/>
            <w:noWrap/>
          </w:tcPr>
          <w:p w14:paraId="05E44C66" w14:textId="44018555" w:rsidR="000E48CE" w:rsidRDefault="00FF4C4E">
            <w:pPr>
              <w:pStyle w:val="P68B1DB1-Normal13"/>
              <w:spacing w:after="0" w:line="240" w:lineRule="auto"/>
              <w:rPr>
                <w:rFonts w:eastAsia="MS Mincho" w:cs="Times New Roman"/>
                <w:noProof/>
              </w:rPr>
            </w:pPr>
            <w:r>
              <w:rPr>
                <w:noProof/>
              </w:rPr>
              <w:t xml:space="preserve">Tuli voimaan i) määräys TMA/178/2020 sähkölatauslaitteiden asentamiseen polttoainehuoltoasemille liittyvän </w:t>
            </w:r>
            <w:r>
              <w:rPr>
                <w:noProof/>
              </w:rPr>
              <w:t>hallinnollisen rasitteen vähentämiseksi ja infrastruktuurin hävittämiseen tarvittavan ajan määrittelemiseksi, ii) 23.6.2020 annettu kuninkaallinen asetus 23/2020, jossa todetaan, että yli 250 kW:n latausinfrastruktuuri on yleishyödyllinen tämäntyyppisten j</w:t>
            </w:r>
            <w:r>
              <w:rPr>
                <w:noProof/>
              </w:rPr>
              <w:t>ärjestelmien käyttöönoton nopeuttamiseksi.</w:t>
            </w:r>
          </w:p>
        </w:tc>
      </w:tr>
      <w:tr w:rsidR="000E48CE" w14:paraId="197A472F" w14:textId="77777777">
        <w:trPr>
          <w:trHeight w:val="309"/>
        </w:trPr>
        <w:tc>
          <w:tcPr>
            <w:tcW w:w="709" w:type="dxa"/>
            <w:shd w:val="clear" w:color="auto" w:fill="C6EFCE"/>
            <w:noWrap/>
          </w:tcPr>
          <w:p w14:paraId="7A9F7BA1" w14:textId="77777777" w:rsidR="000E48CE" w:rsidRDefault="00FF4C4E">
            <w:pPr>
              <w:pStyle w:val="P68B1DB1-Normal13"/>
              <w:spacing w:after="0" w:line="240" w:lineRule="auto"/>
              <w:jc w:val="center"/>
              <w:rPr>
                <w:rFonts w:eastAsia="MS Mincho" w:cs="Times New Roman"/>
                <w:noProof/>
              </w:rPr>
            </w:pPr>
            <w:r>
              <w:rPr>
                <w:noProof/>
              </w:rPr>
              <w:t>2</w:t>
            </w:r>
          </w:p>
        </w:tc>
        <w:tc>
          <w:tcPr>
            <w:tcW w:w="851" w:type="dxa"/>
            <w:shd w:val="clear" w:color="auto" w:fill="C6EFCE"/>
            <w:noWrap/>
          </w:tcPr>
          <w:p w14:paraId="5356C5A6" w14:textId="77777777" w:rsidR="000E48CE" w:rsidRDefault="00FF4C4E">
            <w:pPr>
              <w:pStyle w:val="P68B1DB1-Normal13"/>
              <w:spacing w:after="0" w:line="240" w:lineRule="auto"/>
              <w:jc w:val="center"/>
              <w:rPr>
                <w:rFonts w:eastAsia="MS Mincho" w:cs="Times New Roman"/>
                <w:noProof/>
              </w:rPr>
            </w:pPr>
            <w:r>
              <w:rPr>
                <w:noProof/>
              </w:rPr>
              <w:t>C1.R1</w:t>
            </w:r>
          </w:p>
        </w:tc>
        <w:tc>
          <w:tcPr>
            <w:tcW w:w="850" w:type="dxa"/>
            <w:shd w:val="clear" w:color="auto" w:fill="C6EFCE"/>
            <w:noWrap/>
          </w:tcPr>
          <w:p w14:paraId="42E95C61" w14:textId="77777777" w:rsidR="000E48CE" w:rsidRDefault="00FF4C4E">
            <w:pPr>
              <w:pStyle w:val="P68B1DB1-Normal13"/>
              <w:spacing w:after="0" w:line="240" w:lineRule="auto"/>
              <w:jc w:val="center"/>
              <w:rPr>
                <w:rFonts w:eastAsia="MS Mincho" w:cs="Times New Roman"/>
                <w:noProof/>
              </w:rPr>
            </w:pPr>
            <w:r>
              <w:rPr>
                <w:noProof/>
              </w:rPr>
              <w:t>M</w:t>
            </w:r>
          </w:p>
        </w:tc>
        <w:tc>
          <w:tcPr>
            <w:tcW w:w="2977" w:type="dxa"/>
            <w:shd w:val="clear" w:color="auto" w:fill="C6EFCE"/>
            <w:noWrap/>
          </w:tcPr>
          <w:p w14:paraId="0D89BE5F" w14:textId="0964F4D6" w:rsidR="000E48CE" w:rsidRDefault="00FF4C4E">
            <w:pPr>
              <w:pStyle w:val="P68B1DB1-Normal13"/>
              <w:spacing w:after="0" w:line="240" w:lineRule="auto"/>
              <w:rPr>
                <w:rFonts w:eastAsia="MS Mincho" w:cs="Times New Roman"/>
                <w:noProof/>
              </w:rPr>
            </w:pPr>
            <w:r>
              <w:rPr>
                <w:noProof/>
              </w:rPr>
              <w:t xml:space="preserve">Muutokset rakentamista koskevaan tekniseen säännöstöön (vahvistetaan myöhemmin), pienjännitesähkötekniseen sääntöön (laver) ja kuninkaallisen asetuksen hyväksyminen julkisten latauspalvelujen </w:t>
            </w:r>
            <w:r>
              <w:rPr>
                <w:noProof/>
              </w:rPr>
              <w:t>sääntelystä</w:t>
            </w:r>
          </w:p>
        </w:tc>
        <w:tc>
          <w:tcPr>
            <w:tcW w:w="1134" w:type="dxa"/>
            <w:shd w:val="clear" w:color="auto" w:fill="C6EFCE"/>
            <w:noWrap/>
          </w:tcPr>
          <w:p w14:paraId="785900C6" w14:textId="77777777" w:rsidR="000E48CE" w:rsidRDefault="00FF4C4E">
            <w:pPr>
              <w:pStyle w:val="P68B1DB1-Normal13"/>
              <w:spacing w:after="0" w:line="240" w:lineRule="auto"/>
              <w:jc w:val="center"/>
              <w:rPr>
                <w:rFonts w:eastAsia="MS Mincho" w:cs="Times New Roman"/>
                <w:noProof/>
              </w:rPr>
            </w:pPr>
            <w:r>
              <w:rPr>
                <w:noProof/>
              </w:rPr>
              <w:t xml:space="preserve">Lakiin, asetukseen ja kuninkaan asetukseen sisältyvä säännös, jossa ilmoitetaan niiden voimaantulo </w:t>
            </w:r>
          </w:p>
        </w:tc>
        <w:tc>
          <w:tcPr>
            <w:tcW w:w="851" w:type="dxa"/>
            <w:shd w:val="clear" w:color="auto" w:fill="C6EFCE"/>
            <w:noWrap/>
          </w:tcPr>
          <w:p w14:paraId="097FA9F6"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675" w:type="dxa"/>
            <w:shd w:val="clear" w:color="auto" w:fill="C6EFCE"/>
            <w:noWrap/>
          </w:tcPr>
          <w:p w14:paraId="01A809EE"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42" w:type="dxa"/>
            <w:shd w:val="clear" w:color="auto" w:fill="C6EFCE"/>
            <w:noWrap/>
          </w:tcPr>
          <w:p w14:paraId="26918E7C"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913E62B"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4B71CAA9" w14:textId="77777777"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7789F0B" w14:textId="77777777" w:rsidR="000E48CE" w:rsidRDefault="00FF4C4E">
            <w:pPr>
              <w:pStyle w:val="P68B1DB1-Normal13"/>
              <w:spacing w:after="0" w:line="240" w:lineRule="auto"/>
              <w:rPr>
                <w:rFonts w:eastAsia="MS Mincho" w:cs="Times New Roman"/>
                <w:noProof/>
              </w:rPr>
            </w:pPr>
            <w:r>
              <w:rPr>
                <w:noProof/>
              </w:rPr>
              <w:t>Voimaantulopäivä:</w:t>
            </w:r>
            <w:r>
              <w:rPr>
                <w:noProof/>
              </w:rPr>
              <w:br/>
              <w:t>muutokset rakennusten tekniseen säännöstöön (vahvistetaan myöhemmin) siten, että siinä säädetään a) velvollisuud</w:t>
            </w:r>
            <w:r>
              <w:rPr>
                <w:noProof/>
              </w:rPr>
              <w:t>esta asettaa latauspisteet esiasennukseen 100 prosenttiin asuinrakennusten uusista pysäköintipaikoista ja 20 prosenttiin uusista pysäköintipaikoista liikerakennuksissa ja muissa rakennuksissa, b) asentaa yksi latauspiste jokaista 40:tä uutta pysäköintipaik</w:t>
            </w:r>
            <w:r>
              <w:rPr>
                <w:noProof/>
              </w:rPr>
              <w:t>kaa kohti (ja yksi jokaista 20:tä valtionhallinnon rakennusten pysäköintipaikkaa kohden) ja c) velvoite mukauttaa aiemmin olemassa olevat yli 20 pysäköintipaikan muut kuin asuinkäyttöön tarkoitetut pysäköintipaikat edellä mainittuun vaatimukseen (eli asent</w:t>
            </w:r>
            <w:r>
              <w:rPr>
                <w:noProof/>
              </w:rPr>
              <w:t>amalla yksi latauspiste 40 pysäköintipaikkaa kohti) vuoteen 2023 mennessä;</w:t>
            </w:r>
            <w:r>
              <w:rPr>
                <w:noProof/>
              </w:rPr>
              <w:br/>
              <w:t>muutokset pienjännitesähkötekniseen määräykseen (laver) siten, että siihen sisällytetään velvoitteet, jotka koskevat sellaisten autonvaunujen latausinfrastruktuuria, jotka eivät lii</w:t>
            </w:r>
            <w:r>
              <w:rPr>
                <w:noProof/>
              </w:rPr>
              <w:t>ty rakennukseen, ja</w:t>
            </w:r>
            <w:r>
              <w:rPr>
                <w:noProof/>
              </w:rPr>
              <w:br/>
              <w:t>kuninkaallinen asetus julkisten latauspalvelujen sääntelemisestä, mukaan lukien palvelun tarjoamiseen osallistuvien henkilöiden (latauspisteiden ylläpitäjät, sähköisten liikennepalvelujen tarjoajat) suhde ja näiden oikeudet ja velvollis</w:t>
            </w:r>
            <w:r>
              <w:rPr>
                <w:noProof/>
              </w:rPr>
              <w:t>uudet</w:t>
            </w:r>
          </w:p>
        </w:tc>
      </w:tr>
      <w:tr w:rsidR="000E48CE" w14:paraId="6BCD592A" w14:textId="77777777">
        <w:trPr>
          <w:trHeight w:val="309"/>
        </w:trPr>
        <w:tc>
          <w:tcPr>
            <w:tcW w:w="709" w:type="dxa"/>
            <w:shd w:val="clear" w:color="auto" w:fill="C6EFCE"/>
            <w:noWrap/>
          </w:tcPr>
          <w:p w14:paraId="030995EB" w14:textId="77777777" w:rsidR="000E48CE" w:rsidRDefault="00FF4C4E">
            <w:pPr>
              <w:pStyle w:val="P68B1DB1-Normal13"/>
              <w:spacing w:after="0" w:line="240" w:lineRule="auto"/>
              <w:jc w:val="center"/>
              <w:rPr>
                <w:rFonts w:eastAsia="MS Mincho" w:cs="Times New Roman"/>
                <w:noProof/>
              </w:rPr>
            </w:pPr>
            <w:r>
              <w:rPr>
                <w:noProof/>
              </w:rPr>
              <w:t>3</w:t>
            </w:r>
          </w:p>
        </w:tc>
        <w:tc>
          <w:tcPr>
            <w:tcW w:w="851" w:type="dxa"/>
            <w:shd w:val="clear" w:color="auto" w:fill="C6EFCE"/>
            <w:noWrap/>
          </w:tcPr>
          <w:p w14:paraId="21C9028F" w14:textId="77777777" w:rsidR="000E48CE" w:rsidRDefault="00FF4C4E">
            <w:pPr>
              <w:pStyle w:val="P68B1DB1-Normal13"/>
              <w:spacing w:after="0" w:line="240" w:lineRule="auto"/>
              <w:jc w:val="center"/>
              <w:rPr>
                <w:rFonts w:eastAsia="MS Mincho" w:cs="Times New Roman"/>
                <w:noProof/>
              </w:rPr>
            </w:pPr>
            <w:r>
              <w:rPr>
                <w:noProof/>
              </w:rPr>
              <w:t>C1.R2</w:t>
            </w:r>
          </w:p>
        </w:tc>
        <w:tc>
          <w:tcPr>
            <w:tcW w:w="850" w:type="dxa"/>
            <w:shd w:val="clear" w:color="auto" w:fill="C6EFCE"/>
            <w:noWrap/>
          </w:tcPr>
          <w:p w14:paraId="3773E58B" w14:textId="77777777" w:rsidR="000E48CE" w:rsidRDefault="00FF4C4E">
            <w:pPr>
              <w:pStyle w:val="P68B1DB1-Normal13"/>
              <w:spacing w:after="0" w:line="240" w:lineRule="auto"/>
              <w:jc w:val="center"/>
              <w:rPr>
                <w:rFonts w:eastAsia="MS Mincho" w:cs="Times New Roman"/>
                <w:noProof/>
              </w:rPr>
            </w:pPr>
            <w:r>
              <w:rPr>
                <w:noProof/>
              </w:rPr>
              <w:t>M</w:t>
            </w:r>
          </w:p>
        </w:tc>
        <w:tc>
          <w:tcPr>
            <w:tcW w:w="2977" w:type="dxa"/>
            <w:shd w:val="clear" w:color="auto" w:fill="C6EFCE"/>
            <w:noWrap/>
          </w:tcPr>
          <w:p w14:paraId="7439DBD0" w14:textId="0111645A" w:rsidR="000E48CE" w:rsidRDefault="00FF4C4E">
            <w:pPr>
              <w:pStyle w:val="P68B1DB1-Normal13"/>
              <w:spacing w:after="0" w:line="240" w:lineRule="auto"/>
              <w:rPr>
                <w:rFonts w:eastAsia="MS Mincho" w:cs="Times New Roman"/>
                <w:noProof/>
              </w:rPr>
            </w:pPr>
            <w:r>
              <w:rPr>
                <w:noProof/>
              </w:rPr>
              <w:t xml:space="preserve">Kestävää liikkuvuutta koskevan lain hyväksyminen </w:t>
            </w:r>
          </w:p>
        </w:tc>
        <w:tc>
          <w:tcPr>
            <w:tcW w:w="1134" w:type="dxa"/>
            <w:shd w:val="clear" w:color="auto" w:fill="C6EFCE"/>
            <w:noWrap/>
          </w:tcPr>
          <w:p w14:paraId="6AB29DFD" w14:textId="77777777" w:rsidR="000E48CE" w:rsidRDefault="00FF4C4E">
            <w:pPr>
              <w:pStyle w:val="P68B1DB1-Normal13"/>
              <w:spacing w:after="0" w:line="240" w:lineRule="auto"/>
              <w:jc w:val="center"/>
              <w:rPr>
                <w:rFonts w:eastAsia="MS Mincho" w:cs="Times New Roman"/>
                <w:noProof/>
              </w:rPr>
            </w:pPr>
            <w:r>
              <w:rPr>
                <w:noProof/>
              </w:rPr>
              <w:t>Lain voimaantulon osoittava lain säännös</w:t>
            </w:r>
          </w:p>
        </w:tc>
        <w:tc>
          <w:tcPr>
            <w:tcW w:w="851" w:type="dxa"/>
            <w:shd w:val="clear" w:color="auto" w:fill="C6EFCE"/>
            <w:noWrap/>
          </w:tcPr>
          <w:p w14:paraId="6163F49C"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675" w:type="dxa"/>
            <w:shd w:val="clear" w:color="auto" w:fill="C6EFCE"/>
            <w:noWrap/>
          </w:tcPr>
          <w:p w14:paraId="52ABEE9F"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42" w:type="dxa"/>
            <w:shd w:val="clear" w:color="auto" w:fill="C6EFCE"/>
            <w:noWrap/>
          </w:tcPr>
          <w:p w14:paraId="28EE1D75"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51ECE739"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086F47C2" w14:textId="1343836D" w:rsidR="000E48CE" w:rsidRDefault="00FF4C4E">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76486FD9" w14:textId="2780E8EF" w:rsidR="000E48CE" w:rsidRDefault="00FF4C4E">
            <w:pPr>
              <w:pStyle w:val="P68B1DB1-Normal13"/>
              <w:spacing w:after="0" w:line="240" w:lineRule="auto"/>
              <w:rPr>
                <w:rFonts w:cs="Times New Roman"/>
                <w:noProof/>
              </w:rPr>
            </w:pPr>
            <w:r>
              <w:rPr>
                <w:noProof/>
              </w:rPr>
              <w:t xml:space="preserve">Kestävää liikkuvuutta koskevan lain voimaantulo, jolla parannetaan julkista liikennettä koskevien politiikkojen suunnittelua, </w:t>
            </w:r>
            <w:r>
              <w:rPr>
                <w:noProof/>
              </w:rPr>
              <w:t>koordinointia ja tehokkuutta sekä tuetaan liikenteen digitalisointia ja julkisen liikenteen käyttöä.  Siihen sisältyy myös erityistoimenpiteitä, joilla edistetään rautateiden tavaraliikennettä, jolla edistetään maarahtiliikenteen maailmanlaajuisten päästöj</w:t>
            </w:r>
            <w:r>
              <w:rPr>
                <w:noProof/>
              </w:rPr>
              <w:t>en vähentämistä, mukaan lukien seuraavat:</w:t>
            </w:r>
          </w:p>
          <w:p w14:paraId="4D910211" w14:textId="145DEA7E" w:rsidR="000E48CE" w:rsidRDefault="000E48CE">
            <w:pPr>
              <w:spacing w:after="0" w:line="240" w:lineRule="auto"/>
              <w:rPr>
                <w:rFonts w:ascii="Times New Roman" w:hAnsi="Times New Roman" w:cs="Times New Roman"/>
                <w:noProof/>
                <w:sz w:val="18"/>
              </w:rPr>
            </w:pPr>
          </w:p>
          <w:p w14:paraId="4393133D" w14:textId="056F8717" w:rsidR="000E48CE" w:rsidRDefault="00FF4C4E">
            <w:pPr>
              <w:pStyle w:val="P68B1DB1-ListParagraph14"/>
              <w:numPr>
                <w:ilvl w:val="0"/>
                <w:numId w:val="4"/>
              </w:numPr>
              <w:spacing w:after="0" w:line="240" w:lineRule="auto"/>
              <w:rPr>
                <w:rFonts w:eastAsia="Times New Roman" w:cs="Times New Roman"/>
                <w:noProof/>
              </w:rPr>
            </w:pPr>
            <w:r>
              <w:rPr>
                <w:noProof/>
              </w:rPr>
              <w:t xml:space="preserve">Velvollisuus laatia ohjelma kiertävien moottoriteiden toteuttamiseksi niissä liikennekäytävissä, joissa se on </w:t>
            </w:r>
            <w:r>
              <w:rPr>
                <w:noProof/>
              </w:rPr>
              <w:lastRenderedPageBreak/>
              <w:t>kannattavaa ja joiden kehittäminen on liiketaloudellisesti kiinnostavaa.</w:t>
            </w:r>
          </w:p>
          <w:p w14:paraId="7E82E417" w14:textId="3F60EBCC" w:rsidR="000E48CE" w:rsidRDefault="00FF4C4E">
            <w:pPr>
              <w:pStyle w:val="P68B1DB1-ListParagraph14"/>
              <w:numPr>
                <w:ilvl w:val="0"/>
                <w:numId w:val="4"/>
              </w:numPr>
              <w:spacing w:after="0" w:line="240" w:lineRule="auto"/>
              <w:rPr>
                <w:rFonts w:eastAsia="Times New Roman" w:cs="Times New Roman"/>
                <w:noProof/>
              </w:rPr>
            </w:pPr>
            <w:r>
              <w:rPr>
                <w:noProof/>
              </w:rPr>
              <w:t>Bonukset rautateiden rahtimaks</w:t>
            </w:r>
            <w:r>
              <w:rPr>
                <w:noProof/>
              </w:rPr>
              <w:t>uista vähintään viiden vuoden ajan.</w:t>
            </w:r>
          </w:p>
          <w:p w14:paraId="30208CFB" w14:textId="26F2AD83" w:rsidR="000E48CE" w:rsidRDefault="00FF4C4E">
            <w:pPr>
              <w:pStyle w:val="P68B1DB1-ListParagraph14"/>
              <w:numPr>
                <w:ilvl w:val="0"/>
                <w:numId w:val="4"/>
              </w:numPr>
              <w:spacing w:after="0" w:line="240" w:lineRule="auto"/>
              <w:rPr>
                <w:rFonts w:cs="Times New Roman"/>
                <w:noProof/>
              </w:rPr>
            </w:pPr>
            <w:r>
              <w:rPr>
                <w:noProof/>
              </w:rPr>
              <w:t>Rautateiden tavaraliikenteen tukiohjelma, mukaan lukien kannustimet, joilla edistetään liikennemuotosiirtymää maanteiltä rautateille sekä rautatieliikenteen nykyaikaistamista ja innovointia.</w:t>
            </w:r>
          </w:p>
        </w:tc>
      </w:tr>
      <w:tr w:rsidR="000E48CE" w14:paraId="6F2EDAC1" w14:textId="77777777">
        <w:trPr>
          <w:trHeight w:val="309"/>
        </w:trPr>
        <w:tc>
          <w:tcPr>
            <w:tcW w:w="709" w:type="dxa"/>
            <w:shd w:val="clear" w:color="auto" w:fill="C6EFCE"/>
            <w:noWrap/>
          </w:tcPr>
          <w:p w14:paraId="4632EFF2" w14:textId="7CC22680" w:rsidR="000E48CE" w:rsidRDefault="00FF4C4E">
            <w:pPr>
              <w:pStyle w:val="P68B1DB1-Normal13"/>
              <w:spacing w:after="0" w:line="240" w:lineRule="auto"/>
              <w:jc w:val="center"/>
              <w:rPr>
                <w:rFonts w:cs="Times New Roman"/>
                <w:noProof/>
              </w:rPr>
            </w:pPr>
            <w:r>
              <w:rPr>
                <w:noProof/>
              </w:rPr>
              <w:lastRenderedPageBreak/>
              <w:t>417</w:t>
            </w:r>
          </w:p>
        </w:tc>
        <w:tc>
          <w:tcPr>
            <w:tcW w:w="851" w:type="dxa"/>
            <w:shd w:val="clear" w:color="auto" w:fill="C6EFCE"/>
            <w:noWrap/>
          </w:tcPr>
          <w:p w14:paraId="2B2BEF68" w14:textId="12EE464D" w:rsidR="000E48CE" w:rsidRDefault="00FF4C4E">
            <w:pPr>
              <w:pStyle w:val="P68B1DB1-Normal13"/>
              <w:spacing w:after="0" w:line="240" w:lineRule="auto"/>
              <w:jc w:val="center"/>
              <w:rPr>
                <w:rFonts w:cs="Times New Roman"/>
                <w:noProof/>
              </w:rPr>
            </w:pPr>
            <w:r>
              <w:rPr>
                <w:noProof/>
              </w:rPr>
              <w:t>C1.R2</w:t>
            </w:r>
          </w:p>
        </w:tc>
        <w:tc>
          <w:tcPr>
            <w:tcW w:w="850" w:type="dxa"/>
            <w:shd w:val="clear" w:color="auto" w:fill="C6EFCE"/>
            <w:noWrap/>
          </w:tcPr>
          <w:p w14:paraId="4F8C301D" w14:textId="0098C8C5" w:rsidR="000E48CE" w:rsidRDefault="00FF4C4E">
            <w:pPr>
              <w:pStyle w:val="P68B1DB1-Normal13"/>
              <w:spacing w:after="0" w:line="240" w:lineRule="auto"/>
              <w:jc w:val="center"/>
              <w:rPr>
                <w:rFonts w:cs="Times New Roman"/>
                <w:noProof/>
              </w:rPr>
            </w:pPr>
            <w:r>
              <w:rPr>
                <w:noProof/>
              </w:rPr>
              <w:t>M</w:t>
            </w:r>
          </w:p>
        </w:tc>
        <w:tc>
          <w:tcPr>
            <w:tcW w:w="2977" w:type="dxa"/>
            <w:shd w:val="clear" w:color="auto" w:fill="C6EFCE"/>
            <w:noWrap/>
          </w:tcPr>
          <w:p w14:paraId="1272B76D" w14:textId="1BE6B932" w:rsidR="000E48CE" w:rsidRDefault="00FF4C4E">
            <w:pPr>
              <w:pStyle w:val="P68B1DB1-Normal13"/>
              <w:spacing w:after="0" w:line="240" w:lineRule="auto"/>
              <w:rPr>
                <w:rFonts w:cs="Times New Roman"/>
                <w:noProof/>
              </w:rPr>
            </w:pPr>
            <w:r>
              <w:rPr>
                <w:noProof/>
              </w:rPr>
              <w:t xml:space="preserve">Ohjelmistosovelluksen kehittäminen liikenneinfrastruktuuri-investointien kustannus-hyötyanalyysin täytäntöönpanoa varten </w:t>
            </w:r>
          </w:p>
          <w:p w14:paraId="501E9F60" w14:textId="77777777" w:rsidR="000E48CE" w:rsidRDefault="000E48CE">
            <w:pPr>
              <w:spacing w:after="0" w:line="240" w:lineRule="auto"/>
              <w:rPr>
                <w:rFonts w:ascii="Times New Roman" w:hAnsi="Times New Roman" w:cs="Times New Roman"/>
                <w:noProof/>
                <w:sz w:val="18"/>
              </w:rPr>
            </w:pPr>
          </w:p>
        </w:tc>
        <w:tc>
          <w:tcPr>
            <w:tcW w:w="1134" w:type="dxa"/>
            <w:shd w:val="clear" w:color="auto" w:fill="C6EFCE"/>
            <w:noWrap/>
          </w:tcPr>
          <w:p w14:paraId="41D513B8" w14:textId="46F7528E" w:rsidR="000E48CE" w:rsidRDefault="00FF4C4E">
            <w:pPr>
              <w:pStyle w:val="P68B1DB1-Normal13"/>
              <w:spacing w:after="0" w:line="240" w:lineRule="auto"/>
              <w:jc w:val="center"/>
              <w:rPr>
                <w:rFonts w:cs="Times New Roman"/>
                <w:noProof/>
              </w:rPr>
            </w:pPr>
            <w:r>
              <w:rPr>
                <w:noProof/>
              </w:rPr>
              <w:t xml:space="preserve">Työkalun saatavuus virallisella verkkosivustolla </w:t>
            </w:r>
          </w:p>
        </w:tc>
        <w:tc>
          <w:tcPr>
            <w:tcW w:w="851" w:type="dxa"/>
            <w:shd w:val="clear" w:color="auto" w:fill="C6EFCE"/>
            <w:noWrap/>
          </w:tcPr>
          <w:p w14:paraId="26625EA0" w14:textId="77777777" w:rsidR="000E48CE" w:rsidRDefault="000E48CE">
            <w:pPr>
              <w:spacing w:after="0" w:line="240" w:lineRule="auto"/>
              <w:jc w:val="right"/>
              <w:rPr>
                <w:rFonts w:ascii="Times New Roman" w:hAnsi="Times New Roman" w:cs="Times New Roman"/>
                <w:noProof/>
                <w:sz w:val="18"/>
              </w:rPr>
            </w:pPr>
          </w:p>
        </w:tc>
        <w:tc>
          <w:tcPr>
            <w:tcW w:w="675" w:type="dxa"/>
            <w:shd w:val="clear" w:color="auto" w:fill="C6EFCE"/>
            <w:noWrap/>
          </w:tcPr>
          <w:p w14:paraId="26D4DF5E" w14:textId="77777777" w:rsidR="000E48CE" w:rsidRDefault="000E48CE">
            <w:pPr>
              <w:spacing w:after="0" w:line="240" w:lineRule="auto"/>
              <w:jc w:val="right"/>
              <w:rPr>
                <w:rFonts w:ascii="Times New Roman" w:hAnsi="Times New Roman" w:cs="Times New Roman"/>
                <w:noProof/>
                <w:sz w:val="18"/>
              </w:rPr>
            </w:pPr>
          </w:p>
        </w:tc>
        <w:tc>
          <w:tcPr>
            <w:tcW w:w="742" w:type="dxa"/>
            <w:shd w:val="clear" w:color="auto" w:fill="C6EFCE"/>
            <w:noWrap/>
          </w:tcPr>
          <w:p w14:paraId="4F89D850"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763C539E" w14:textId="22B7C416"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0360DD72" w14:textId="2A04E70D" w:rsidR="000E48CE" w:rsidRDefault="00FF4C4E">
            <w:pPr>
              <w:pStyle w:val="P68B1DB1-Normal13"/>
              <w:spacing w:after="0" w:line="240" w:lineRule="auto"/>
              <w:jc w:val="center"/>
              <w:rPr>
                <w:rFonts w:cs="Times New Roman"/>
                <w:noProof/>
              </w:rPr>
            </w:pPr>
            <w:r>
              <w:rPr>
                <w:noProof/>
              </w:rPr>
              <w:t>2025</w:t>
            </w:r>
          </w:p>
        </w:tc>
        <w:tc>
          <w:tcPr>
            <w:tcW w:w="5387" w:type="dxa"/>
            <w:shd w:val="clear" w:color="auto" w:fill="C6EFCE"/>
            <w:noWrap/>
          </w:tcPr>
          <w:p w14:paraId="361C1A6F" w14:textId="7887931C" w:rsidR="000E48CE" w:rsidRDefault="00FF4C4E">
            <w:pPr>
              <w:pStyle w:val="P68B1DB1-Normal13"/>
              <w:spacing w:after="0" w:line="240" w:lineRule="auto"/>
              <w:rPr>
                <w:rFonts w:cs="Times New Roman"/>
                <w:noProof/>
              </w:rPr>
            </w:pPr>
            <w:r>
              <w:rPr>
                <w:noProof/>
              </w:rPr>
              <w:t>Sellaisen ohjelmistosovelluksen kehittäminen ja saatavuus virallisella v</w:t>
            </w:r>
            <w:r>
              <w:rPr>
                <w:noProof/>
              </w:rPr>
              <w:t>erkkosivustolla, jolla toteutetaan eri liikennemuotojen infrastruktuuri-investointien kustannus-hyötyanalyysit kestävää liikkuvuutta koskevassa laissa säädetyissä virallisissa menetelmissä esitettyjen kestävyys-, sosiaali- ja ympäristönäkökohtien mukaisest</w:t>
            </w:r>
            <w:r>
              <w:rPr>
                <w:noProof/>
              </w:rPr>
              <w:t xml:space="preserve">i. </w:t>
            </w:r>
          </w:p>
        </w:tc>
      </w:tr>
      <w:tr w:rsidR="000E48CE" w14:paraId="7331B854" w14:textId="77777777">
        <w:trPr>
          <w:trHeight w:val="309"/>
        </w:trPr>
        <w:tc>
          <w:tcPr>
            <w:tcW w:w="709" w:type="dxa"/>
            <w:shd w:val="clear" w:color="auto" w:fill="C6EFCE"/>
            <w:noWrap/>
          </w:tcPr>
          <w:p w14:paraId="1DF356B6" w14:textId="61411F79" w:rsidR="000E48CE" w:rsidRDefault="00FF4C4E">
            <w:pPr>
              <w:pStyle w:val="P68B1DB1-Normal13"/>
              <w:spacing w:after="0" w:line="240" w:lineRule="auto"/>
              <w:jc w:val="center"/>
              <w:rPr>
                <w:rFonts w:cs="Times New Roman"/>
                <w:noProof/>
              </w:rPr>
            </w:pPr>
            <w:r>
              <w:rPr>
                <w:noProof/>
              </w:rPr>
              <w:t>418</w:t>
            </w:r>
          </w:p>
        </w:tc>
        <w:tc>
          <w:tcPr>
            <w:tcW w:w="851" w:type="dxa"/>
            <w:shd w:val="clear" w:color="auto" w:fill="C6EFCE"/>
            <w:noWrap/>
          </w:tcPr>
          <w:p w14:paraId="1B523965" w14:textId="6C36E10A" w:rsidR="000E48CE" w:rsidRDefault="00FF4C4E">
            <w:pPr>
              <w:pStyle w:val="P68B1DB1-Normal13"/>
              <w:spacing w:after="0" w:line="240" w:lineRule="auto"/>
              <w:jc w:val="center"/>
              <w:rPr>
                <w:rFonts w:cs="Times New Roman"/>
                <w:noProof/>
              </w:rPr>
            </w:pPr>
            <w:r>
              <w:rPr>
                <w:noProof/>
              </w:rPr>
              <w:t>C1.R2</w:t>
            </w:r>
          </w:p>
        </w:tc>
        <w:tc>
          <w:tcPr>
            <w:tcW w:w="850" w:type="dxa"/>
            <w:shd w:val="clear" w:color="auto" w:fill="C6EFCE"/>
            <w:noWrap/>
          </w:tcPr>
          <w:p w14:paraId="3C7090CA" w14:textId="019ED562" w:rsidR="000E48CE" w:rsidRDefault="00FF4C4E">
            <w:pPr>
              <w:pStyle w:val="P68B1DB1-Normal13"/>
              <w:spacing w:after="0" w:line="240" w:lineRule="auto"/>
              <w:jc w:val="center"/>
              <w:rPr>
                <w:rFonts w:cs="Times New Roman"/>
                <w:noProof/>
              </w:rPr>
            </w:pPr>
            <w:r>
              <w:rPr>
                <w:noProof/>
              </w:rPr>
              <w:t>M</w:t>
            </w:r>
          </w:p>
        </w:tc>
        <w:tc>
          <w:tcPr>
            <w:tcW w:w="2977" w:type="dxa"/>
            <w:shd w:val="clear" w:color="auto" w:fill="C6EFCE"/>
            <w:noWrap/>
          </w:tcPr>
          <w:p w14:paraId="456F5898" w14:textId="3BD09882" w:rsidR="000E48CE" w:rsidRDefault="00FF4C4E">
            <w:pPr>
              <w:pStyle w:val="P68B1DB1-Normal13"/>
              <w:spacing w:after="0" w:line="240" w:lineRule="auto"/>
              <w:rPr>
                <w:rFonts w:cs="Times New Roman"/>
                <w:noProof/>
              </w:rPr>
            </w:pPr>
            <w:r>
              <w:rPr>
                <w:noProof/>
              </w:rPr>
              <w:t>Testiympäristötoimisto</w:t>
            </w:r>
          </w:p>
        </w:tc>
        <w:tc>
          <w:tcPr>
            <w:tcW w:w="1134" w:type="dxa"/>
            <w:shd w:val="clear" w:color="auto" w:fill="C6EFCE"/>
            <w:noWrap/>
          </w:tcPr>
          <w:p w14:paraId="5BA6966F" w14:textId="59EFBF3B" w:rsidR="000E48CE" w:rsidRDefault="00FF4C4E">
            <w:pPr>
              <w:pStyle w:val="P68B1DB1-Normal13"/>
              <w:spacing w:after="0" w:line="240" w:lineRule="auto"/>
              <w:jc w:val="center"/>
              <w:rPr>
                <w:rFonts w:cs="Times New Roman"/>
                <w:noProof/>
              </w:rPr>
            </w:pPr>
            <w:r>
              <w:rPr>
                <w:noProof/>
              </w:rPr>
              <w:t>Voimaantuloa koskevat säännökset</w:t>
            </w:r>
          </w:p>
        </w:tc>
        <w:tc>
          <w:tcPr>
            <w:tcW w:w="851" w:type="dxa"/>
            <w:shd w:val="clear" w:color="auto" w:fill="C6EFCE"/>
            <w:noWrap/>
          </w:tcPr>
          <w:p w14:paraId="20E60AA6" w14:textId="77777777" w:rsidR="000E48CE" w:rsidRDefault="000E48CE">
            <w:pPr>
              <w:spacing w:after="0" w:line="240" w:lineRule="auto"/>
              <w:jc w:val="right"/>
              <w:rPr>
                <w:rFonts w:ascii="Times New Roman" w:hAnsi="Times New Roman" w:cs="Times New Roman"/>
                <w:noProof/>
                <w:sz w:val="18"/>
              </w:rPr>
            </w:pPr>
          </w:p>
        </w:tc>
        <w:tc>
          <w:tcPr>
            <w:tcW w:w="675" w:type="dxa"/>
            <w:shd w:val="clear" w:color="auto" w:fill="C6EFCE"/>
            <w:noWrap/>
          </w:tcPr>
          <w:p w14:paraId="3433527B" w14:textId="77777777" w:rsidR="000E48CE" w:rsidRDefault="000E48CE">
            <w:pPr>
              <w:spacing w:after="0" w:line="240" w:lineRule="auto"/>
              <w:jc w:val="right"/>
              <w:rPr>
                <w:rFonts w:ascii="Times New Roman" w:hAnsi="Times New Roman" w:cs="Times New Roman"/>
                <w:noProof/>
                <w:sz w:val="18"/>
              </w:rPr>
            </w:pPr>
          </w:p>
        </w:tc>
        <w:tc>
          <w:tcPr>
            <w:tcW w:w="742" w:type="dxa"/>
            <w:shd w:val="clear" w:color="auto" w:fill="C6EFCE"/>
            <w:noWrap/>
          </w:tcPr>
          <w:p w14:paraId="2FEFF9CC"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244EDB08" w14:textId="7E667CC6"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0035862C" w14:textId="37E7F7F9" w:rsidR="000E48CE" w:rsidRDefault="00FF4C4E">
            <w:pPr>
              <w:pStyle w:val="P68B1DB1-Normal13"/>
              <w:spacing w:after="0" w:line="240" w:lineRule="auto"/>
              <w:jc w:val="center"/>
              <w:rPr>
                <w:rFonts w:cs="Times New Roman"/>
                <w:noProof/>
              </w:rPr>
            </w:pPr>
            <w:r>
              <w:rPr>
                <w:noProof/>
              </w:rPr>
              <w:t>2026</w:t>
            </w:r>
          </w:p>
        </w:tc>
        <w:tc>
          <w:tcPr>
            <w:tcW w:w="5387" w:type="dxa"/>
            <w:shd w:val="clear" w:color="auto" w:fill="C6EFCE"/>
            <w:noWrap/>
          </w:tcPr>
          <w:p w14:paraId="2068E54F" w14:textId="79EBA46A" w:rsidR="000E48CE" w:rsidRDefault="00FF4C4E">
            <w:pPr>
              <w:pStyle w:val="P68B1DB1-Normal13"/>
              <w:spacing w:after="0" w:line="240" w:lineRule="auto"/>
              <w:rPr>
                <w:rFonts w:eastAsia="Times New Roman" w:cs="Times New Roman"/>
                <w:noProof/>
              </w:rPr>
            </w:pPr>
            <w:r>
              <w:rPr>
                <w:noProof/>
              </w:rPr>
              <w:t>Liikenneministeriön organisaatiorakenteen kehittämisestä annetun kuninkaallisen asetuksen julkaiseminen ja voimaantulo sekä Sandbox-toimiston erityistoimivalta.</w:t>
            </w:r>
          </w:p>
        </w:tc>
      </w:tr>
      <w:tr w:rsidR="000E48CE" w14:paraId="08D28B29" w14:textId="77777777">
        <w:trPr>
          <w:trHeight w:val="309"/>
        </w:trPr>
        <w:tc>
          <w:tcPr>
            <w:tcW w:w="709" w:type="dxa"/>
            <w:shd w:val="clear" w:color="auto" w:fill="C6EFCE"/>
            <w:noWrap/>
          </w:tcPr>
          <w:p w14:paraId="3FE2943F" w14:textId="4632317B" w:rsidR="000E48CE" w:rsidRDefault="00FF4C4E">
            <w:pPr>
              <w:pStyle w:val="P68B1DB1-Normal13"/>
              <w:spacing w:after="0" w:line="240" w:lineRule="auto"/>
              <w:jc w:val="center"/>
              <w:rPr>
                <w:rFonts w:eastAsia="MS Mincho" w:cs="Times New Roman"/>
                <w:noProof/>
              </w:rPr>
            </w:pPr>
            <w:r>
              <w:rPr>
                <w:noProof/>
              </w:rPr>
              <w:t>4</w:t>
            </w:r>
          </w:p>
        </w:tc>
        <w:tc>
          <w:tcPr>
            <w:tcW w:w="851" w:type="dxa"/>
            <w:shd w:val="clear" w:color="auto" w:fill="C6EFCE"/>
            <w:noWrap/>
          </w:tcPr>
          <w:p w14:paraId="725E159E" w14:textId="77777777" w:rsidR="000E48CE" w:rsidRDefault="00FF4C4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1E703B59" w14:textId="77777777" w:rsidR="000E48CE" w:rsidRDefault="00FF4C4E">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52A17D01" w14:textId="77777777" w:rsidR="000E48CE" w:rsidRDefault="00FF4C4E">
            <w:pPr>
              <w:pStyle w:val="P68B1DB1-Normal13"/>
              <w:spacing w:after="0" w:line="240" w:lineRule="auto"/>
              <w:rPr>
                <w:rFonts w:eastAsia="MS Mincho" w:cs="Times New Roman"/>
                <w:noProof/>
              </w:rPr>
            </w:pPr>
            <w:r>
              <w:rPr>
                <w:noProof/>
              </w:rPr>
              <w:t>Kestävän liikkuvuuden edistämiseen tähtäävät kuntien ostot tai myöntämät määrärahat</w:t>
            </w:r>
          </w:p>
        </w:tc>
        <w:tc>
          <w:tcPr>
            <w:tcW w:w="1134" w:type="dxa"/>
            <w:shd w:val="clear" w:color="auto" w:fill="C6EFCE"/>
            <w:noWrap/>
          </w:tcPr>
          <w:p w14:paraId="184567A2" w14:textId="77777777" w:rsidR="000E48CE" w:rsidRDefault="00FF4C4E">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39A56447" w14:textId="77777777" w:rsidR="000E48CE" w:rsidRDefault="00FF4C4E">
            <w:pPr>
              <w:pStyle w:val="P68B1DB1-Normal13"/>
              <w:spacing w:after="0" w:line="240" w:lineRule="auto"/>
              <w:jc w:val="right"/>
              <w:rPr>
                <w:rFonts w:eastAsia="MS Mincho" w:cs="Times New Roman"/>
                <w:noProof/>
              </w:rPr>
            </w:pPr>
            <w:r>
              <w:rPr>
                <w:noProof/>
              </w:rPr>
              <w:t>Miljoonaa euroa</w:t>
            </w:r>
          </w:p>
        </w:tc>
        <w:tc>
          <w:tcPr>
            <w:tcW w:w="675" w:type="dxa"/>
            <w:shd w:val="clear" w:color="auto" w:fill="C6EFCE"/>
            <w:noWrap/>
          </w:tcPr>
          <w:p w14:paraId="1904DB00"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6A52555B" w14:textId="77777777" w:rsidR="000E48CE" w:rsidRDefault="00FF4C4E">
            <w:pPr>
              <w:pStyle w:val="P68B1DB1-Normal13"/>
              <w:spacing w:after="0" w:line="240" w:lineRule="auto"/>
              <w:jc w:val="right"/>
              <w:rPr>
                <w:rFonts w:eastAsia="MS Mincho" w:cs="Times New Roman"/>
                <w:noProof/>
              </w:rPr>
            </w:pPr>
            <w:r>
              <w:rPr>
                <w:noProof/>
              </w:rPr>
              <w:t>400</w:t>
            </w:r>
          </w:p>
        </w:tc>
        <w:tc>
          <w:tcPr>
            <w:tcW w:w="425" w:type="dxa"/>
            <w:shd w:val="clear" w:color="auto" w:fill="C6EFCE"/>
            <w:noWrap/>
          </w:tcPr>
          <w:p w14:paraId="73A17366"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13D50D1D" w14:textId="77777777"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F64CB27" w14:textId="77777777" w:rsidR="000E48CE" w:rsidRDefault="00FF4C4E">
            <w:pPr>
              <w:pStyle w:val="P68B1DB1-Normal13"/>
              <w:spacing w:after="0" w:line="240" w:lineRule="auto"/>
              <w:rPr>
                <w:rFonts w:eastAsia="MS Mincho" w:cs="Times New Roman"/>
                <w:noProof/>
              </w:rPr>
            </w:pPr>
            <w:r>
              <w:rPr>
                <w:noProof/>
              </w:rPr>
              <w:t>Hankkeen tai tukien myöntämisen julkaiseminen Euroopan unionin virallisessa lehdessä tai julkisten hankintojen foorumilla tai sellaisten kun</w:t>
            </w:r>
            <w:r>
              <w:rPr>
                <w:noProof/>
              </w:rPr>
              <w:t xml:space="preserve">tien ostoihin liittyvien menojen toteuttaminen, joilla edistetään kestävää liikkuvuutta yli 50000 asukkaan kunnissa ja pääkaupungeissa maakunnassa ja tietyin edellytyksin myös 20000–50000 asukkaan kunnille. Hankkeilla tuetaan seuraavia tapauksia: julkisen </w:t>
            </w:r>
            <w:r>
              <w:rPr>
                <w:noProof/>
              </w:rPr>
              <w:t>liikenteen ajoneuvokannan muuntaminen puhtaita ajoneuvoja koskevan direktiivin tavoitteiden saavuttamiseksi ja ”ei merkittävää haittaa” -periaatetta koskevien teknisten ohjeiden (2021/C58/01) mukaisesti; vähäpäästöisten vyöhykkeiden täytäntöönpano ja halli</w:t>
            </w:r>
            <w:r>
              <w:rPr>
                <w:noProof/>
              </w:rPr>
              <w:t>nnointi; julkisen liikenteen digitalisointi, sen hallinnointi ja esteettömyyden parantaminen; toimenpiteet joukkoliikenteen ja aktiivisen liikkuvuuden kannustamiseksi ja priorisoimiseksi.</w:t>
            </w:r>
            <w:r>
              <w:rPr>
                <w:noProof/>
              </w:rPr>
              <w:br/>
              <w:t>Valintaperusteilla on varmistettava, että 1500000000 euron lopullise</w:t>
            </w:r>
            <w:r>
              <w:rPr>
                <w:noProof/>
              </w:rPr>
              <w:t>sta kokonaistalousarviosta vähintään 310000000 euroa edistetään ilmastonmuutostavoitteiden saavuttamista 100 prosentin ilmastokertoimella ja vähintään 1190000000 eurolla 40 prosentin ilmastokertoimella elpymis- ja palautumistukivälinettä koskevan asetuksen</w:t>
            </w:r>
            <w:r>
              <w:rPr>
                <w:noProof/>
              </w:rPr>
              <w:t xml:space="preserve"> (EU) 2021/241 liitteen VI mukaisesti. </w:t>
            </w:r>
          </w:p>
        </w:tc>
      </w:tr>
      <w:tr w:rsidR="000E48CE" w14:paraId="6450CA45" w14:textId="77777777">
        <w:trPr>
          <w:trHeight w:val="309"/>
        </w:trPr>
        <w:tc>
          <w:tcPr>
            <w:tcW w:w="709" w:type="dxa"/>
            <w:shd w:val="clear" w:color="auto" w:fill="C6EFCE"/>
            <w:noWrap/>
          </w:tcPr>
          <w:p w14:paraId="10315E44" w14:textId="77777777" w:rsidR="000E48CE" w:rsidRDefault="00FF4C4E">
            <w:pPr>
              <w:pStyle w:val="P68B1DB1-Normal13"/>
              <w:spacing w:after="0" w:line="240" w:lineRule="auto"/>
              <w:jc w:val="center"/>
              <w:rPr>
                <w:rFonts w:eastAsia="MS Mincho" w:cs="Times New Roman"/>
                <w:noProof/>
              </w:rPr>
            </w:pPr>
            <w:r>
              <w:rPr>
                <w:noProof/>
              </w:rPr>
              <w:lastRenderedPageBreak/>
              <w:t>5</w:t>
            </w:r>
          </w:p>
        </w:tc>
        <w:tc>
          <w:tcPr>
            <w:tcW w:w="851" w:type="dxa"/>
            <w:shd w:val="clear" w:color="auto" w:fill="C6EFCE"/>
            <w:noWrap/>
          </w:tcPr>
          <w:p w14:paraId="50FA1D49" w14:textId="77777777" w:rsidR="000E48CE" w:rsidRDefault="00FF4C4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26425768" w14:textId="77777777" w:rsidR="000E48CE" w:rsidRDefault="00FF4C4E">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5A1FFB1C" w14:textId="77777777" w:rsidR="000E48CE" w:rsidRDefault="00FF4C4E">
            <w:pPr>
              <w:pStyle w:val="P68B1DB1-Normal13"/>
              <w:spacing w:after="0" w:line="240" w:lineRule="auto"/>
              <w:rPr>
                <w:rFonts w:eastAsia="MS Mincho" w:cs="Times New Roman"/>
                <w:noProof/>
              </w:rPr>
            </w:pPr>
            <w:r>
              <w:rPr>
                <w:noProof/>
              </w:rPr>
              <w:t xml:space="preserve">Autonomisten alueiden ostoihin tai myöntämiin vähintään 900 miljoonan euron määrärahoihin kestävän liikkuvuuden edistämiseksi </w:t>
            </w:r>
          </w:p>
        </w:tc>
        <w:tc>
          <w:tcPr>
            <w:tcW w:w="1134" w:type="dxa"/>
            <w:shd w:val="clear" w:color="auto" w:fill="C6EFCE"/>
            <w:noWrap/>
          </w:tcPr>
          <w:p w14:paraId="17F14235" w14:textId="77777777" w:rsidR="000E48CE" w:rsidRDefault="000E48CE">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1D85A759" w14:textId="77777777" w:rsidR="000E48CE" w:rsidRDefault="00FF4C4E">
            <w:pPr>
              <w:pStyle w:val="P68B1DB1-Normal13"/>
              <w:spacing w:after="0" w:line="240" w:lineRule="auto"/>
              <w:jc w:val="right"/>
              <w:rPr>
                <w:rFonts w:eastAsia="MS Mincho" w:cs="Times New Roman"/>
                <w:noProof/>
              </w:rPr>
            </w:pPr>
            <w:r>
              <w:rPr>
                <w:noProof/>
              </w:rPr>
              <w:t>Miljoonaa euroa</w:t>
            </w:r>
          </w:p>
        </w:tc>
        <w:tc>
          <w:tcPr>
            <w:tcW w:w="675" w:type="dxa"/>
            <w:shd w:val="clear" w:color="auto" w:fill="C6EFCE"/>
            <w:noWrap/>
          </w:tcPr>
          <w:p w14:paraId="2B71CEBC"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4814CE20" w14:textId="77777777" w:rsidR="000E48CE" w:rsidRDefault="00FF4C4E">
            <w:pPr>
              <w:pStyle w:val="P68B1DB1-Normal13"/>
              <w:spacing w:after="0" w:line="240" w:lineRule="auto"/>
              <w:jc w:val="right"/>
              <w:rPr>
                <w:rFonts w:eastAsia="MS Mincho" w:cs="Times New Roman"/>
                <w:noProof/>
              </w:rPr>
            </w:pPr>
            <w:r>
              <w:rPr>
                <w:noProof/>
              </w:rPr>
              <w:t>900</w:t>
            </w:r>
          </w:p>
        </w:tc>
        <w:tc>
          <w:tcPr>
            <w:tcW w:w="425" w:type="dxa"/>
            <w:shd w:val="clear" w:color="auto" w:fill="C6EFCE"/>
            <w:noWrap/>
          </w:tcPr>
          <w:p w14:paraId="61347492"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3468E1CD" w14:textId="77777777" w:rsidR="000E48CE" w:rsidRDefault="00FF4C4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36AB4A5E" w14:textId="77777777" w:rsidR="000E48CE" w:rsidRDefault="00FF4C4E">
            <w:pPr>
              <w:pStyle w:val="P68B1DB1-Normal13"/>
              <w:spacing w:after="0" w:line="240" w:lineRule="auto"/>
              <w:rPr>
                <w:rFonts w:eastAsia="MS Mincho" w:cs="Times New Roman"/>
                <w:noProof/>
              </w:rPr>
            </w:pPr>
            <w:r>
              <w:rPr>
                <w:noProof/>
              </w:rPr>
              <w:t xml:space="preserve">Hankkeen tai tukien myöntämisen julkaiseminen </w:t>
            </w:r>
            <w:r>
              <w:rPr>
                <w:noProof/>
              </w:rPr>
              <w:t>Euroopan unionin virallisessa lehdessä tai julkisten hankintojen foorumissa tai itsehallintoalueiden hankintoihin liittyvien menojen toteuttaminen. Itsehallintoalueiden myöntämissä hankkeissa ja avustuksissa ja hankinnoissa on</w:t>
            </w:r>
            <w:r>
              <w:rPr>
                <w:noProof/>
              </w:rPr>
              <w:br/>
              <w:t>1) edistää kestävää liikkuvuu</w:t>
            </w:r>
            <w:r>
              <w:rPr>
                <w:noProof/>
              </w:rPr>
              <w:t>tta myöntämällä yksityisille yrityksille tukea a) vanhojen raskaiden ajoneuvojen romuttamiseen, b) raskaan henkilö- ja rahtikaluston uudistamiseen puhtaammilla ajoneuvoilla, c) ostaa tai mukauttaa perävaunujaan tai puoliperävaunujaan intermodaaliliikentees</w:t>
            </w:r>
            <w:r>
              <w:rPr>
                <w:noProof/>
              </w:rPr>
              <w:t>een tai d) asentaa lataus- ja tankkauspisteitä vaihtoehtoisilla polttoaineilla (sähkö, nesteytetty maakaasu, paineistettu maakaasu ja biometaani); Tuet olisi myönnettävä ”ei merkittävää haittaa” -periaatetta koskevien teknisten ohjeiden (2021/C58/01) mukai</w:t>
            </w:r>
            <w:r>
              <w:rPr>
                <w:noProof/>
              </w:rPr>
              <w:t xml:space="preserve">sesti; </w:t>
            </w:r>
            <w:r>
              <w:rPr>
                <w:noProof/>
              </w:rPr>
              <w:br/>
              <w:t xml:space="preserve">tai </w:t>
            </w:r>
            <w:r>
              <w:rPr>
                <w:noProof/>
              </w:rPr>
              <w:br/>
              <w:t>Edistetään kestävää liikkuvuutta yli 50000 asukkaan kunnissa ja pääkaupungeissa maakunnassa tukemalla a) julkisen liikenteen kaluston muuntamista puhtaita ajoneuvoja koskevan direktiivin tavoitteiden saavuttamiseksi ja ”ei merkittävää haittaa”</w:t>
            </w:r>
            <w:r>
              <w:rPr>
                <w:noProof/>
              </w:rPr>
              <w:t xml:space="preserve"> -periaatteen mukaisesti (2021/C58/01); vähäpäästöisten vyöhykkeiden täytäntöönpano ja hallinnointi; julkisen liikenteen digitalisointi, sen hallinnointi ja esteettömyyden parantaminen; toimenpiteet, joilla asetetaan etusijalle joukkoliikenne ja aktiivinen</w:t>
            </w:r>
            <w:r>
              <w:rPr>
                <w:noProof/>
              </w:rPr>
              <w:t xml:space="preserve"> liikkuvuus, mukaan lukien pyöräilyinfrastruktuuri ja jalankulkukaistat; kannustetaan uusien päästöttömien teknologioiden käyttöönottoa Espanjassa liikenteessä; pysäköiminen pelotevaikutuksen varmistamiseksi näiden kuntien ja maakunnan pääkaupunkejen ulkop</w:t>
            </w:r>
            <w:r>
              <w:rPr>
                <w:noProof/>
              </w:rPr>
              <w:t>uolella kaupunkikeskukseen saapuvan liikenteen vähentämiseksi; (g) rautatieliikennejärjestelmän, kuten metrojen tai rautateiden, laajentaminen tai parantaminen; h) kestävää liikkuvuutta tukevia toimenpiteitä täydentävät digitalisaatiohankkeet, mukaan lukie</w:t>
            </w:r>
            <w:r>
              <w:rPr>
                <w:noProof/>
              </w:rPr>
              <w:t>n reaaliaikaiset tietojärjestelmät joukkoliikennepalveluista, liikkuminen palveluna, hankkeet intermodaalisen tai palvelujen välisen lipunmyynnin parantamiseksi, hankkeet, joilla tuetaan liikenteen ja liikkuvuuden hallintaa ja tiedon analysointia liikennej</w:t>
            </w:r>
            <w:r>
              <w:rPr>
                <w:noProof/>
              </w:rPr>
              <w:t xml:space="preserve">ärjestelmän tehokkuuden lisäämiseksi, ja i) muut hankkeet, jotka I. Vaikuttaa ilmanlaadun parantamiseen erityisesti kaupunkialueilla ii. Kannustetaan vähentämään yksityisen liikenteen käyttöä kaupunki- ja </w:t>
            </w:r>
            <w:r>
              <w:rPr>
                <w:noProof/>
              </w:rPr>
              <w:lastRenderedPageBreak/>
              <w:t>suurkaupunkialueilla iii. Kannustaa julkisen liiken</w:t>
            </w:r>
            <w:r>
              <w:rPr>
                <w:noProof/>
              </w:rPr>
              <w:t xml:space="preserve">teen käyttöön tai iv. Kannustimet aktiiviseen ja terveelliseen liikkuvuuteen.  </w:t>
            </w:r>
            <w:r>
              <w:rPr>
                <w:noProof/>
              </w:rPr>
              <w:br/>
              <w:t>Valintaperusteilla on varmistettava, että vähintään 900000000 eurolla edistetään ilmastonmuutostavoitteiden saavuttamista 40 prosentin ilmastokertoimella elpymis- ja palautumis</w:t>
            </w:r>
            <w:r>
              <w:rPr>
                <w:noProof/>
              </w:rPr>
              <w:t>tukivälinettä koskevan asetuksen (EU) 2021/241 liitteen VI mukaisesti.</w:t>
            </w:r>
          </w:p>
        </w:tc>
      </w:tr>
      <w:tr w:rsidR="000E48CE" w14:paraId="437C6033" w14:textId="77777777">
        <w:trPr>
          <w:trHeight w:val="309"/>
        </w:trPr>
        <w:tc>
          <w:tcPr>
            <w:tcW w:w="709" w:type="dxa"/>
            <w:shd w:val="clear" w:color="auto" w:fill="C6EFCE"/>
            <w:noWrap/>
          </w:tcPr>
          <w:p w14:paraId="0A6C95E8" w14:textId="77777777" w:rsidR="000E48CE" w:rsidRDefault="00FF4C4E">
            <w:pPr>
              <w:pStyle w:val="P68B1DB1-Normal13"/>
              <w:spacing w:after="0" w:line="240" w:lineRule="auto"/>
              <w:jc w:val="center"/>
              <w:rPr>
                <w:rFonts w:eastAsia="MS Mincho" w:cs="Times New Roman"/>
                <w:noProof/>
              </w:rPr>
            </w:pPr>
            <w:r>
              <w:rPr>
                <w:noProof/>
              </w:rPr>
              <w:lastRenderedPageBreak/>
              <w:t>6</w:t>
            </w:r>
          </w:p>
        </w:tc>
        <w:tc>
          <w:tcPr>
            <w:tcW w:w="851" w:type="dxa"/>
            <w:shd w:val="clear" w:color="auto" w:fill="C6EFCE"/>
            <w:noWrap/>
          </w:tcPr>
          <w:p w14:paraId="02BF9AC9" w14:textId="77777777" w:rsidR="000E48CE" w:rsidRDefault="00FF4C4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0BA1B8A9" w14:textId="77777777" w:rsidR="000E48CE" w:rsidRDefault="00FF4C4E">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5635E23E" w14:textId="5F2DFCAE" w:rsidR="000E48CE" w:rsidRDefault="00FF4C4E">
            <w:pPr>
              <w:pStyle w:val="P68B1DB1-Normal13"/>
              <w:spacing w:after="0" w:line="240" w:lineRule="auto"/>
              <w:rPr>
                <w:rFonts w:eastAsia="MS Mincho" w:cs="Times New Roman"/>
                <w:noProof/>
              </w:rPr>
            </w:pPr>
            <w:r>
              <w:rPr>
                <w:noProof/>
              </w:rPr>
              <w:t xml:space="preserve">Kestävää liikkuvuutta edistävät hankkeet, myös kaupunki- ja suurkaupunkialueilla </w:t>
            </w:r>
          </w:p>
        </w:tc>
        <w:tc>
          <w:tcPr>
            <w:tcW w:w="1134" w:type="dxa"/>
            <w:shd w:val="clear" w:color="auto" w:fill="C6EFCE"/>
            <w:noWrap/>
          </w:tcPr>
          <w:p w14:paraId="6C3553DB" w14:textId="77777777" w:rsidR="000E48CE" w:rsidRDefault="000E48CE">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54DEE654" w14:textId="77777777" w:rsidR="000E48CE" w:rsidRDefault="00FF4C4E">
            <w:pPr>
              <w:pStyle w:val="P68B1DB1-Normal13"/>
              <w:spacing w:after="0" w:line="240" w:lineRule="auto"/>
              <w:jc w:val="right"/>
              <w:rPr>
                <w:rFonts w:eastAsia="MS Mincho" w:cs="Times New Roman"/>
                <w:noProof/>
              </w:rPr>
            </w:pPr>
            <w:r>
              <w:rPr>
                <w:noProof/>
              </w:rPr>
              <w:t>Määrä</w:t>
            </w:r>
          </w:p>
        </w:tc>
        <w:tc>
          <w:tcPr>
            <w:tcW w:w="675" w:type="dxa"/>
            <w:shd w:val="clear" w:color="auto" w:fill="C6EFCE"/>
            <w:noWrap/>
          </w:tcPr>
          <w:p w14:paraId="06370268"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0763F3C0" w14:textId="77777777" w:rsidR="000E48CE" w:rsidRDefault="00FF4C4E">
            <w:pPr>
              <w:pStyle w:val="P68B1DB1-Normal13"/>
              <w:spacing w:after="0" w:line="240" w:lineRule="auto"/>
              <w:jc w:val="right"/>
              <w:rPr>
                <w:rFonts w:eastAsia="MS Mincho" w:cs="Times New Roman"/>
                <w:noProof/>
              </w:rPr>
            </w:pPr>
            <w:r>
              <w:rPr>
                <w:noProof/>
              </w:rPr>
              <w:t>25</w:t>
            </w:r>
          </w:p>
        </w:tc>
        <w:tc>
          <w:tcPr>
            <w:tcW w:w="425" w:type="dxa"/>
            <w:shd w:val="clear" w:color="auto" w:fill="C6EFCE"/>
            <w:noWrap/>
          </w:tcPr>
          <w:p w14:paraId="208AC76C"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07113655" w14:textId="77777777" w:rsidR="000E48CE" w:rsidRDefault="00FF4C4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3A5E01EB" w14:textId="77777777" w:rsidR="000E48CE" w:rsidRDefault="00FF4C4E">
            <w:pPr>
              <w:pStyle w:val="P68B1DB1-Normal13"/>
              <w:spacing w:after="0" w:line="240" w:lineRule="auto"/>
              <w:rPr>
                <w:rFonts w:eastAsia="MS Mincho" w:cs="Times New Roman"/>
                <w:noProof/>
              </w:rPr>
            </w:pPr>
            <w:r>
              <w:rPr>
                <w:noProof/>
              </w:rPr>
              <w:t xml:space="preserve">Vähintään 25 hanketta kestävän liikkuvuuden edistämiseksi on saatu </w:t>
            </w:r>
            <w:r>
              <w:rPr>
                <w:noProof/>
              </w:rPr>
              <w:t>päätökseen 150 kaupunki- ja suurkaupunkialueella, joilla asuu yli 50000 asukasta, ja tietyin edellytyksin 20000–50000 asukkaan kaupunkialueilla.</w:t>
            </w:r>
            <w:r>
              <w:rPr>
                <w:noProof/>
              </w:rPr>
              <w:br/>
              <w:t>Kestävää liikkuvuutta edistävät hankkeet ovat seuraavat:</w:t>
            </w:r>
            <w:r>
              <w:rPr>
                <w:noProof/>
              </w:rPr>
              <w:br/>
              <w:t>I. Kuntahankkeet, joilla edistetään kestävää liikkuvuu</w:t>
            </w:r>
            <w:r>
              <w:rPr>
                <w:noProof/>
              </w:rPr>
              <w:t>tta yli 50000 asukkaan ja pääkaupungin kunnissa maakunnassa ja joita voidaan tietyin edellytyksin kohdentaa myös 20000–50000 asukkaan kunnille. Hankkeilla tuetaan seuraavia tapauksia: julkisen liikenteen ajoneuvokannan muuntaminen puhtaita ajoneuvoja koske</w:t>
            </w:r>
            <w:r>
              <w:rPr>
                <w:noProof/>
              </w:rPr>
              <w:t>van direktiivin tavoitteiden saavuttamiseksi ja ”ei merkittävää haittaa” -periaatteen mukaisesti (2021/C58/01); vähäpäästöisten vyöhykkeiden täytäntöönpano ja hallinnointi; julkisen liikenteen digitalisointi, sen hallinnointi ja esteettömyyden parantaminen</w:t>
            </w:r>
            <w:r>
              <w:rPr>
                <w:noProof/>
              </w:rPr>
              <w:t>; toimenpiteet joukkoliikenteen ja aktiivisen liikkuvuuden kannustamiseksi ja priorisoimiseksi. Hanke on joukko määriteltyjä, toisiinsa liittyviä ja koordinoituja toimia, jotka toteutetaan yhteisenä tavoitteena tietyissä määräajoissa ja budjettirajoissa ja</w:t>
            </w:r>
            <w:r>
              <w:rPr>
                <w:noProof/>
              </w:rPr>
              <w:t xml:space="preserve"> joille haetaan tukea. Yksi kunta voi kehittää useamman kuin yhden hankkeen. </w:t>
            </w:r>
            <w:r>
              <w:rPr>
                <w:noProof/>
              </w:rPr>
              <w:br/>
              <w:t>II. Autonomisten alueiden kehittämät hankkeet, joilla edistetään kestävää liikkuvuutta kaupunki- ja suurkaupunkialueilla. Tämä koskee sijoituksessa C1.I1 määriteltyjä typologioit</w:t>
            </w:r>
            <w:r>
              <w:rPr>
                <w:noProof/>
              </w:rPr>
              <w:t xml:space="preserve">a a-i. Kaupunki- ja suurkaupunkialueet määritellään yli 50000 asukkaan kunniksi, maakuntien pääkaupungeiksi ja tietyin edellytyksin yli 20000 asukkaan kunniksi. Kukin itsehallintoalue voi kehittää useamman kuin yhden hankkeen. </w:t>
            </w:r>
            <w:r>
              <w:rPr>
                <w:noProof/>
              </w:rPr>
              <w:br/>
              <w:t>III. Hankkeet, joilla tuetaa</w:t>
            </w:r>
            <w:r>
              <w:rPr>
                <w:noProof/>
              </w:rPr>
              <w:t xml:space="preserve">n yksityisiä yrityksiä a) vanhojen raskaiden ajoneuvojen romuttamiseen, b) raskaan henkilö- ja rahtikaluston uudistamiseen puhtaammilla ajoneuvoilla, c) ostaa tai mukauttaa perävaunujaan tai puoliperävaunujaan intermodaaliliikennettä varten tai d) asentaa </w:t>
            </w:r>
            <w:r>
              <w:rPr>
                <w:noProof/>
              </w:rPr>
              <w:t xml:space="preserve">tankkauspisteitä vaihtoehtoisilla polttoaineilla (sähköllä, nesteytetyllä maakaasulla, paineistetulla maakaasulla ja biometaanilla). </w:t>
            </w:r>
            <w:r>
              <w:rPr>
                <w:noProof/>
              </w:rPr>
              <w:lastRenderedPageBreak/>
              <w:t>Vähintään 3000:ta raskasta ajoneuvoa tai tankkauspistettä on tuettava, jotta voidaan katsoa, että yksi kestävää liikkuvuutt</w:t>
            </w:r>
            <w:r>
              <w:rPr>
                <w:noProof/>
              </w:rPr>
              <w:t>a edistävä hanke on saatettu päätökseen. Tuet olisi myönnettävä ”ei merkittävää haittaa” -periaatetta koskevien teknisten ohjeiden (2021/C58/01) mukaisesti.</w:t>
            </w:r>
          </w:p>
        </w:tc>
      </w:tr>
      <w:tr w:rsidR="000E48CE" w14:paraId="6CFEF6B8" w14:textId="77777777">
        <w:trPr>
          <w:trHeight w:val="309"/>
        </w:trPr>
        <w:tc>
          <w:tcPr>
            <w:tcW w:w="709" w:type="dxa"/>
            <w:shd w:val="clear" w:color="auto" w:fill="C6EFCE"/>
            <w:noWrap/>
          </w:tcPr>
          <w:p w14:paraId="1583577A" w14:textId="77777777" w:rsidR="000E48CE" w:rsidRDefault="00FF4C4E">
            <w:pPr>
              <w:pStyle w:val="P68B1DB1-Normal13"/>
              <w:spacing w:after="0" w:line="240" w:lineRule="auto"/>
              <w:jc w:val="center"/>
              <w:rPr>
                <w:rFonts w:eastAsia="MS Mincho" w:cs="Times New Roman"/>
                <w:noProof/>
              </w:rPr>
            </w:pPr>
            <w:r>
              <w:rPr>
                <w:noProof/>
              </w:rPr>
              <w:lastRenderedPageBreak/>
              <w:t>7</w:t>
            </w:r>
          </w:p>
        </w:tc>
        <w:tc>
          <w:tcPr>
            <w:tcW w:w="851" w:type="dxa"/>
            <w:shd w:val="clear" w:color="auto" w:fill="C6EFCE"/>
            <w:noWrap/>
          </w:tcPr>
          <w:p w14:paraId="6ABF99B7" w14:textId="77777777" w:rsidR="000E48CE" w:rsidRDefault="00FF4C4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5378FCBD" w14:textId="77777777" w:rsidR="000E48CE" w:rsidRDefault="00FF4C4E">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6384B0C8" w14:textId="77777777" w:rsidR="000E48CE" w:rsidRDefault="00FF4C4E">
            <w:pPr>
              <w:pStyle w:val="P68B1DB1-Normal13"/>
              <w:spacing w:after="0" w:line="240" w:lineRule="auto"/>
              <w:rPr>
                <w:rFonts w:eastAsia="MS Mincho" w:cs="Times New Roman"/>
                <w:noProof/>
              </w:rPr>
            </w:pPr>
            <w:r>
              <w:rPr>
                <w:noProof/>
              </w:rPr>
              <w:t>Kestävän liikkuvuuden edistämiseen tähtäävät kuntien ostot tai myöntämät määrärahat</w:t>
            </w:r>
          </w:p>
        </w:tc>
        <w:tc>
          <w:tcPr>
            <w:tcW w:w="1134" w:type="dxa"/>
            <w:shd w:val="clear" w:color="auto" w:fill="C6EFCE"/>
            <w:noWrap/>
          </w:tcPr>
          <w:p w14:paraId="747EC57D" w14:textId="77777777" w:rsidR="000E48CE" w:rsidRDefault="00FF4C4E">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3E6B4EA3" w14:textId="77777777" w:rsidR="000E48CE" w:rsidRDefault="00FF4C4E">
            <w:pPr>
              <w:pStyle w:val="P68B1DB1-Normal13"/>
              <w:spacing w:after="0" w:line="240" w:lineRule="auto"/>
              <w:jc w:val="right"/>
              <w:rPr>
                <w:rFonts w:eastAsia="MS Mincho" w:cs="Times New Roman"/>
                <w:noProof/>
              </w:rPr>
            </w:pPr>
            <w:r>
              <w:rPr>
                <w:noProof/>
              </w:rPr>
              <w:t>Miljoonaa euroa</w:t>
            </w:r>
          </w:p>
        </w:tc>
        <w:tc>
          <w:tcPr>
            <w:tcW w:w="675" w:type="dxa"/>
            <w:shd w:val="clear" w:color="auto" w:fill="C6EFCE"/>
            <w:noWrap/>
          </w:tcPr>
          <w:p w14:paraId="35B4915E" w14:textId="77777777" w:rsidR="000E48CE" w:rsidRDefault="00FF4C4E">
            <w:pPr>
              <w:pStyle w:val="P68B1DB1-Normal13"/>
              <w:spacing w:after="0" w:line="240" w:lineRule="auto"/>
              <w:jc w:val="right"/>
              <w:rPr>
                <w:rFonts w:eastAsia="MS Mincho" w:cs="Times New Roman"/>
                <w:noProof/>
              </w:rPr>
            </w:pPr>
            <w:r>
              <w:rPr>
                <w:noProof/>
              </w:rPr>
              <w:t>400</w:t>
            </w:r>
          </w:p>
        </w:tc>
        <w:tc>
          <w:tcPr>
            <w:tcW w:w="742" w:type="dxa"/>
            <w:shd w:val="clear" w:color="auto" w:fill="C6EFCE"/>
            <w:noWrap/>
          </w:tcPr>
          <w:p w14:paraId="6B3987EE" w14:textId="77777777" w:rsidR="000E48CE" w:rsidRDefault="00FF4C4E">
            <w:pPr>
              <w:pStyle w:val="P68B1DB1-Normal13"/>
              <w:spacing w:after="0" w:line="240" w:lineRule="auto"/>
              <w:jc w:val="right"/>
              <w:rPr>
                <w:rFonts w:eastAsia="MS Mincho" w:cs="Times New Roman"/>
                <w:noProof/>
              </w:rPr>
            </w:pPr>
            <w:r>
              <w:rPr>
                <w:noProof/>
              </w:rPr>
              <w:t>1 500</w:t>
            </w:r>
          </w:p>
        </w:tc>
        <w:tc>
          <w:tcPr>
            <w:tcW w:w="425" w:type="dxa"/>
            <w:shd w:val="clear" w:color="auto" w:fill="C6EFCE"/>
            <w:noWrap/>
          </w:tcPr>
          <w:p w14:paraId="1920ABED"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15705D52" w14:textId="77777777" w:rsidR="000E48CE" w:rsidRDefault="00FF4C4E">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12B8CB70" w14:textId="77777777" w:rsidR="000E48CE" w:rsidRDefault="00FF4C4E">
            <w:pPr>
              <w:pStyle w:val="P68B1DB1-Normal13"/>
              <w:spacing w:after="0" w:line="240" w:lineRule="auto"/>
              <w:rPr>
                <w:rFonts w:cs="Times New Roman"/>
                <w:noProof/>
              </w:rPr>
            </w:pPr>
            <w:r>
              <w:rPr>
                <w:noProof/>
              </w:rPr>
              <w:t>Hankkeen tai tukien myöntämisen julkaiseminen Euroopan unionin virallisessa lehdessä tai julkisten hankintojen foorumilla tai sellaisten kuntien ostoihin liittyvien menojen toteuttaminen, joilla edistetään kestävää liikkuv</w:t>
            </w:r>
            <w:r>
              <w:rPr>
                <w:noProof/>
              </w:rPr>
              <w:t>uutta yli 50000 asukkaan kunnissa ja pääkaupungeissa maakunnassa ja tietyin edellytyksin myös 20000–50000 asukkaan kunnille. Hankkeilla tuetaan seuraavia tapauksia: julkisen liikenteen ajoneuvokannan muuntaminen puhtaita ajoneuvoja koskevan direktiivin tav</w:t>
            </w:r>
            <w:r>
              <w:rPr>
                <w:noProof/>
              </w:rPr>
              <w:t>oitteiden saavuttamiseksi ja ”ei merkittävää haittaa” -periaatetta koskevien teknisten ohjeiden (2021/C58/01) mukaisesti; vähäpäästöisten vyöhykkeiden täytäntöönpano ja hallinnointi; julkisen liikenteen digitalisointi, sen hallinnointi ja esteettömyyden pa</w:t>
            </w:r>
            <w:r>
              <w:rPr>
                <w:noProof/>
              </w:rPr>
              <w:t>rantaminen; toimenpiteet joukkoliikenteen ja aktiivisen liikkuvuuden kannustamiseksi ja priorisoimiseksi.</w:t>
            </w:r>
            <w:r>
              <w:rPr>
                <w:noProof/>
              </w:rPr>
              <w:br/>
              <w:t>Valintaperusteilla on varmistettava, että vähintään 310000000 eurolla edistetään ilmastonmuutostavoitteiden saavuttamista 100 prosentin ilmastokertoim</w:t>
            </w:r>
            <w:r>
              <w:rPr>
                <w:noProof/>
              </w:rPr>
              <w:t>ella ja vähintään 1190000000 eurolla 40 prosentin ilmastokertoimella elpymis- ja palautumistukivälinettä koskevan asetuksen (EU) 2021/241 liitteen VI mukaisesti.</w:t>
            </w:r>
          </w:p>
          <w:p w14:paraId="56614773" w14:textId="77777777" w:rsidR="000E48CE" w:rsidRDefault="00FF4C4E">
            <w:pPr>
              <w:pStyle w:val="P68B1DB1-Normal13"/>
              <w:spacing w:after="0" w:line="240" w:lineRule="auto"/>
              <w:rPr>
                <w:rFonts w:eastAsia="MS Mincho" w:cs="Times New Roman"/>
                <w:noProof/>
              </w:rPr>
            </w:pPr>
            <w:r>
              <w:rPr>
                <w:noProof/>
              </w:rPr>
              <w:t>(Perustaso: Joulukuuta 2022)</w:t>
            </w:r>
          </w:p>
        </w:tc>
      </w:tr>
      <w:tr w:rsidR="000E48CE" w14:paraId="2B46CC03" w14:textId="77777777">
        <w:trPr>
          <w:trHeight w:val="309"/>
        </w:trPr>
        <w:tc>
          <w:tcPr>
            <w:tcW w:w="709" w:type="dxa"/>
            <w:shd w:val="clear" w:color="auto" w:fill="C6EFCE"/>
            <w:noWrap/>
          </w:tcPr>
          <w:p w14:paraId="0C4BD8EC" w14:textId="77777777" w:rsidR="000E48CE" w:rsidRDefault="00FF4C4E">
            <w:pPr>
              <w:pStyle w:val="P68B1DB1-Normal13"/>
              <w:spacing w:after="0" w:line="240" w:lineRule="auto"/>
              <w:jc w:val="center"/>
              <w:rPr>
                <w:rFonts w:eastAsia="MS Mincho" w:cs="Times New Roman"/>
                <w:noProof/>
              </w:rPr>
            </w:pPr>
            <w:r>
              <w:rPr>
                <w:noProof/>
              </w:rPr>
              <w:t>8</w:t>
            </w:r>
          </w:p>
        </w:tc>
        <w:tc>
          <w:tcPr>
            <w:tcW w:w="851" w:type="dxa"/>
            <w:shd w:val="clear" w:color="auto" w:fill="C6EFCE"/>
            <w:noWrap/>
          </w:tcPr>
          <w:p w14:paraId="54CD94C0" w14:textId="77777777" w:rsidR="000E48CE" w:rsidRDefault="00FF4C4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6DD05A5F" w14:textId="77777777" w:rsidR="000E48CE" w:rsidRDefault="00FF4C4E">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6D27D96F" w14:textId="77777777" w:rsidR="000E48CE" w:rsidRDefault="00FF4C4E">
            <w:pPr>
              <w:pStyle w:val="P68B1DB1-Normal13"/>
              <w:spacing w:after="0" w:line="240" w:lineRule="auto"/>
              <w:rPr>
                <w:rFonts w:eastAsia="MS Mincho" w:cs="Times New Roman"/>
                <w:noProof/>
              </w:rPr>
            </w:pPr>
            <w:r>
              <w:rPr>
                <w:noProof/>
              </w:rPr>
              <w:t xml:space="preserve">Palkinnot hankkeille, joilla parannetaan uusia </w:t>
            </w:r>
            <w:r>
              <w:rPr>
                <w:noProof/>
              </w:rPr>
              <w:t>liikkuvuuden muotoja valtionteillä</w:t>
            </w:r>
          </w:p>
        </w:tc>
        <w:tc>
          <w:tcPr>
            <w:tcW w:w="1134" w:type="dxa"/>
            <w:shd w:val="clear" w:color="auto" w:fill="C6EFCE"/>
            <w:noWrap/>
          </w:tcPr>
          <w:p w14:paraId="2CCD58F5" w14:textId="77777777" w:rsidR="000E48CE" w:rsidRDefault="00FF4C4E">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5CDA7C8E" w14:textId="77777777" w:rsidR="000E48CE" w:rsidRDefault="00FF4C4E">
            <w:pPr>
              <w:pStyle w:val="P68B1DB1-Normal13"/>
              <w:spacing w:after="0" w:line="240" w:lineRule="auto"/>
              <w:jc w:val="right"/>
              <w:rPr>
                <w:rFonts w:eastAsia="MS Mincho" w:cs="Times New Roman"/>
                <w:noProof/>
              </w:rPr>
            </w:pPr>
            <w:r>
              <w:rPr>
                <w:noProof/>
              </w:rPr>
              <w:t>Miljoonaa euroa</w:t>
            </w:r>
          </w:p>
        </w:tc>
        <w:tc>
          <w:tcPr>
            <w:tcW w:w="675" w:type="dxa"/>
            <w:shd w:val="clear" w:color="auto" w:fill="C6EFCE"/>
            <w:noWrap/>
          </w:tcPr>
          <w:p w14:paraId="44E92D5A"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407DA066" w14:textId="77777777" w:rsidR="000E48CE" w:rsidRDefault="00FF4C4E">
            <w:pPr>
              <w:pStyle w:val="P68B1DB1-Normal13"/>
              <w:spacing w:after="0" w:line="240" w:lineRule="auto"/>
              <w:jc w:val="right"/>
              <w:rPr>
                <w:rFonts w:eastAsia="MS Mincho" w:cs="Times New Roman"/>
                <w:noProof/>
              </w:rPr>
            </w:pPr>
            <w:r>
              <w:rPr>
                <w:noProof/>
              </w:rPr>
              <w:t>105</w:t>
            </w:r>
          </w:p>
        </w:tc>
        <w:tc>
          <w:tcPr>
            <w:tcW w:w="425" w:type="dxa"/>
            <w:shd w:val="clear" w:color="auto" w:fill="C6EFCE"/>
            <w:noWrap/>
          </w:tcPr>
          <w:p w14:paraId="2E7F4691"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63C2F686" w14:textId="77777777" w:rsidR="000E48CE" w:rsidRDefault="00FF4C4E">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49786851" w14:textId="02437648" w:rsidR="000E48CE" w:rsidRDefault="00FF4C4E">
            <w:pPr>
              <w:pStyle w:val="P68B1DB1-Normal13"/>
              <w:spacing w:after="0" w:line="240" w:lineRule="auto"/>
              <w:rPr>
                <w:rFonts w:eastAsia="MS Mincho" w:cs="Times New Roman"/>
                <w:noProof/>
              </w:rPr>
            </w:pPr>
            <w:r>
              <w:rPr>
                <w:noProof/>
              </w:rPr>
              <w:t>Liikenne-, liikkuvuus- ja kaupunkikehitysministeriön myöntämän vähintään 105 miljoonan euron palkinnon julkaiseminen Euroopan unionin virallisessa lehdessä tai julkisten hankintojen foorumi</w:t>
            </w:r>
            <w:r>
              <w:rPr>
                <w:noProof/>
              </w:rPr>
              <w:t xml:space="preserve">lla kaupunkialueiden valtionteiden parantamiseen tähtäävissä hankkeissa. Hankkeissa on rakennettava uusia pyöräteitä, laajennettava jalankulkualueita, vähennettävä pysäköintialueita tai parannettava rajanylitysten turvallisuutta. </w:t>
            </w:r>
          </w:p>
        </w:tc>
      </w:tr>
      <w:tr w:rsidR="000E48CE" w14:paraId="6E445ACD" w14:textId="77777777">
        <w:trPr>
          <w:trHeight w:val="309"/>
        </w:trPr>
        <w:tc>
          <w:tcPr>
            <w:tcW w:w="709" w:type="dxa"/>
            <w:shd w:val="clear" w:color="auto" w:fill="C6EFCE"/>
            <w:noWrap/>
          </w:tcPr>
          <w:p w14:paraId="560D47BC" w14:textId="77777777" w:rsidR="000E48CE" w:rsidRDefault="00FF4C4E">
            <w:pPr>
              <w:pStyle w:val="P68B1DB1-Normal13"/>
              <w:spacing w:after="0" w:line="240" w:lineRule="auto"/>
              <w:jc w:val="center"/>
              <w:rPr>
                <w:rFonts w:eastAsia="MS Mincho" w:cs="Times New Roman"/>
                <w:noProof/>
              </w:rPr>
            </w:pPr>
            <w:r>
              <w:rPr>
                <w:noProof/>
              </w:rPr>
              <w:t>9</w:t>
            </w:r>
          </w:p>
        </w:tc>
        <w:tc>
          <w:tcPr>
            <w:tcW w:w="851" w:type="dxa"/>
            <w:shd w:val="clear" w:color="auto" w:fill="C6EFCE"/>
            <w:noWrap/>
          </w:tcPr>
          <w:p w14:paraId="5685DD6C" w14:textId="77777777" w:rsidR="000E48CE" w:rsidRDefault="00FF4C4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688C682D" w14:textId="77777777" w:rsidR="000E48CE" w:rsidRDefault="00FF4C4E">
            <w:pPr>
              <w:pStyle w:val="P68B1DB1-Normal13"/>
              <w:spacing w:after="0" w:line="240" w:lineRule="auto"/>
              <w:jc w:val="center"/>
              <w:rPr>
                <w:rFonts w:eastAsia="MS Mincho" w:cs="Times New Roman"/>
                <w:noProof/>
              </w:rPr>
            </w:pPr>
            <w:r>
              <w:rPr>
                <w:noProof/>
              </w:rPr>
              <w:t>T</w:t>
            </w:r>
          </w:p>
        </w:tc>
        <w:tc>
          <w:tcPr>
            <w:tcW w:w="2977" w:type="dxa"/>
            <w:shd w:val="clear" w:color="auto" w:fill="C6EFCE"/>
            <w:noWrap/>
          </w:tcPr>
          <w:p w14:paraId="6D856E6C" w14:textId="77777777" w:rsidR="000E48CE" w:rsidRDefault="00FF4C4E">
            <w:pPr>
              <w:pStyle w:val="P68B1DB1-Normal13"/>
              <w:spacing w:after="0" w:line="240" w:lineRule="auto"/>
              <w:rPr>
                <w:rFonts w:eastAsia="MS Mincho" w:cs="Times New Roman"/>
                <w:noProof/>
              </w:rPr>
            </w:pPr>
            <w:r>
              <w:rPr>
                <w:noProof/>
              </w:rPr>
              <w:t xml:space="preserve">Kestävää </w:t>
            </w:r>
            <w:r>
              <w:rPr>
                <w:noProof/>
              </w:rPr>
              <w:t>liikkuvuutta edistävät hankkeet, myös kaupunki- ja suurkaupunkialueilla</w:t>
            </w:r>
          </w:p>
        </w:tc>
        <w:tc>
          <w:tcPr>
            <w:tcW w:w="1134" w:type="dxa"/>
            <w:shd w:val="clear" w:color="auto" w:fill="C6EFCE"/>
            <w:noWrap/>
          </w:tcPr>
          <w:p w14:paraId="32EA0A8A" w14:textId="77777777" w:rsidR="000E48CE" w:rsidRDefault="00FF4C4E">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57A319C9" w14:textId="77777777" w:rsidR="000E48CE" w:rsidRDefault="00FF4C4E">
            <w:pPr>
              <w:pStyle w:val="P68B1DB1-Normal13"/>
              <w:spacing w:after="0" w:line="240" w:lineRule="auto"/>
              <w:jc w:val="right"/>
              <w:rPr>
                <w:rFonts w:eastAsia="MS Mincho" w:cs="Times New Roman"/>
                <w:noProof/>
              </w:rPr>
            </w:pPr>
            <w:r>
              <w:rPr>
                <w:noProof/>
              </w:rPr>
              <w:t>Määrä</w:t>
            </w:r>
          </w:p>
        </w:tc>
        <w:tc>
          <w:tcPr>
            <w:tcW w:w="675" w:type="dxa"/>
            <w:shd w:val="clear" w:color="auto" w:fill="C6EFCE"/>
            <w:noWrap/>
          </w:tcPr>
          <w:p w14:paraId="27212311" w14:textId="77777777" w:rsidR="000E48CE" w:rsidRDefault="00FF4C4E">
            <w:pPr>
              <w:pStyle w:val="P68B1DB1-Normal13"/>
              <w:spacing w:after="0" w:line="240" w:lineRule="auto"/>
              <w:jc w:val="right"/>
              <w:rPr>
                <w:rFonts w:eastAsia="MS Mincho" w:cs="Times New Roman"/>
                <w:noProof/>
              </w:rPr>
            </w:pPr>
            <w:r>
              <w:rPr>
                <w:noProof/>
              </w:rPr>
              <w:t>25</w:t>
            </w:r>
          </w:p>
        </w:tc>
        <w:tc>
          <w:tcPr>
            <w:tcW w:w="742" w:type="dxa"/>
            <w:shd w:val="clear" w:color="auto" w:fill="C6EFCE"/>
            <w:noWrap/>
          </w:tcPr>
          <w:p w14:paraId="3D4AFDFF" w14:textId="77777777" w:rsidR="000E48CE" w:rsidRDefault="00FF4C4E">
            <w:pPr>
              <w:pStyle w:val="P68B1DB1-Normal13"/>
              <w:spacing w:after="0" w:line="240" w:lineRule="auto"/>
              <w:jc w:val="right"/>
              <w:rPr>
                <w:rFonts w:eastAsia="MS Mincho" w:cs="Times New Roman"/>
                <w:noProof/>
              </w:rPr>
            </w:pPr>
            <w:r>
              <w:rPr>
                <w:noProof/>
              </w:rPr>
              <w:t>280</w:t>
            </w:r>
          </w:p>
        </w:tc>
        <w:tc>
          <w:tcPr>
            <w:tcW w:w="425" w:type="dxa"/>
            <w:shd w:val="clear" w:color="auto" w:fill="C6EFCE"/>
            <w:noWrap/>
          </w:tcPr>
          <w:p w14:paraId="00FEE9AC"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4E570A48" w14:textId="77777777" w:rsidR="000E48CE" w:rsidRDefault="00FF4C4E">
            <w:pPr>
              <w:pStyle w:val="P68B1DB1-Normal13"/>
              <w:spacing w:after="0" w:line="240" w:lineRule="auto"/>
              <w:jc w:val="center"/>
              <w:rPr>
                <w:rFonts w:eastAsia="MS Mincho" w:cs="Times New Roman"/>
                <w:noProof/>
              </w:rPr>
            </w:pPr>
            <w:r>
              <w:rPr>
                <w:noProof/>
              </w:rPr>
              <w:t>2025</w:t>
            </w:r>
          </w:p>
        </w:tc>
        <w:tc>
          <w:tcPr>
            <w:tcW w:w="5387" w:type="dxa"/>
            <w:shd w:val="clear" w:color="auto" w:fill="C6EFCE"/>
            <w:noWrap/>
          </w:tcPr>
          <w:p w14:paraId="7C3238BB" w14:textId="77777777" w:rsidR="000E48CE" w:rsidRDefault="00FF4C4E">
            <w:pPr>
              <w:pStyle w:val="P68B1DB1-Normal13"/>
              <w:spacing w:after="0" w:line="240" w:lineRule="auto"/>
              <w:rPr>
                <w:rFonts w:cs="Times New Roman"/>
                <w:noProof/>
              </w:rPr>
            </w:pPr>
            <w:r>
              <w:rPr>
                <w:noProof/>
              </w:rPr>
              <w:t xml:space="preserve">Kestävän liikkuvuuden edistämiseksi, myös kaupunki- ja suurkaupunkialueilla, on saatu päätökseen vähintään 280 hanketta, joilla edistetään kestävää liikkuvuutta </w:t>
            </w:r>
            <w:r>
              <w:rPr>
                <w:noProof/>
              </w:rPr>
              <w:t>150:llä yli 50000 asukkaan kaupunkialueella ja tietyin edellytyksin 20000–50000 asukkaan kaupunkialueilla.</w:t>
            </w:r>
            <w:r>
              <w:rPr>
                <w:noProof/>
              </w:rPr>
              <w:br/>
            </w:r>
            <w:r>
              <w:rPr>
                <w:noProof/>
              </w:rPr>
              <w:lastRenderedPageBreak/>
              <w:t>Kestävää liikkuvuutta edistävät hankkeet ovat seuraavat:</w:t>
            </w:r>
            <w:r>
              <w:rPr>
                <w:noProof/>
              </w:rPr>
              <w:br/>
              <w:t>I. Kuntahankkeet, joilla edistetään kestävää liikkuvuutta yli 50000 asukkaan ja pääkaupungin</w:t>
            </w:r>
            <w:r>
              <w:rPr>
                <w:noProof/>
              </w:rPr>
              <w:t xml:space="preserve"> kunnissa maakunnassa ja joita voidaan tietyin edellytyksin kohdentaa myös 20000–50000 asukkaan kunnille. Hankkeilla tuetaan seuraavia tapauksia: julkisen liikenteen ajoneuvokannan muuntaminen puhtaita ajoneuvoja koskevan direktiivin tavoitteiden saavuttam</w:t>
            </w:r>
            <w:r>
              <w:rPr>
                <w:noProof/>
              </w:rPr>
              <w:t>iseksi ja ”ei merkittävää haittaa” -periaatteen mukaisesti (2021/C58/01); vähäpäästöisten vyöhykkeiden täytäntöönpano ja hallinnointi; julkisen liikenteen digitalisointi, sen hallinnointi ja esteettömyyden parantaminen; toimenpiteet joukkoliikenteen ja akt</w:t>
            </w:r>
            <w:r>
              <w:rPr>
                <w:noProof/>
              </w:rPr>
              <w:t xml:space="preserve">iivisen liikkuvuuden kannustamiseksi ja priorisoimiseksi. Hanke on joukko määriteltyjä, toisiinsa liittyviä ja koordinoituja toimia, jotka toteutetaan yhteisenä tavoitteena tietyissä määräajoissa ja budjettirajoissa ja joille haetaan tukea. Yksi kunta voi </w:t>
            </w:r>
            <w:r>
              <w:rPr>
                <w:noProof/>
              </w:rPr>
              <w:t xml:space="preserve">kehittää useamman kuin yhden hankkeen. </w:t>
            </w:r>
            <w:r>
              <w:rPr>
                <w:noProof/>
              </w:rPr>
              <w:br/>
              <w:t>II. Autonomisten alueiden kehittämät hankkeet, joilla edistetään kestävää liikkuvuutta kaupunki- ja suurkaupunkialueilla. Tämä koskee sijoituksessa C1.I1 määriteltyjä typologioita a-i. Kaupunki- ja suurkaupunkialueet</w:t>
            </w:r>
            <w:r>
              <w:rPr>
                <w:noProof/>
              </w:rPr>
              <w:t xml:space="preserve"> määritellään kunniksi, joissa on yli 50000 asukasta, pääkaupunkia maakunnassa ja yli 20000 kuntaa tietyin edellytyksin. Kukin itsehallintoalue voi kehittää useamman kuin yhden hankkeen. </w:t>
            </w:r>
            <w:r>
              <w:rPr>
                <w:noProof/>
              </w:rPr>
              <w:br/>
              <w:t>III. Hankkeet, joilla tuetaan yksityisiä yrityksiä a) vanhojen raska</w:t>
            </w:r>
            <w:r>
              <w:rPr>
                <w:noProof/>
              </w:rPr>
              <w:t>iden ajoneuvojen romuttamiseen, b) raskaan henkilö- ja rahtikaluston uudistamiseen puhtaammilla ajoneuvoilla, c) ostaa tai mukauttaa perävaunujaan tai puoliperävaunujaan intermodaaliliikennettä varten tai d) asentaa tankkauspisteitä vaihtoehtoisilla poltto</w:t>
            </w:r>
            <w:r>
              <w:rPr>
                <w:noProof/>
              </w:rPr>
              <w:t>aineilla (sähköllä, nesteytetyllä maakaasulla, paineistetulla maakaasulla ja biometaanilla). Vähintään 3000:ta raskasta ajoneuvoa tai tankkaus- tai latauspistettä tai tankkauspistettä on tuettava, jotta voidaan katsoa, että yksi kestävää liikkuvuutta edist</w:t>
            </w:r>
            <w:r>
              <w:rPr>
                <w:noProof/>
              </w:rPr>
              <w:t>ävä hanke on saatettu päätökseen. Tuet olisi myönnettävä ”ei merkittävää haittaa” -periaatetta koskevien teknisten ohjeiden (2021/C58/01) mukaisesti.</w:t>
            </w:r>
          </w:p>
          <w:p w14:paraId="2DB75BAA" w14:textId="77777777" w:rsidR="000E48CE" w:rsidRDefault="00FF4C4E">
            <w:pPr>
              <w:pStyle w:val="P68B1DB1-Normal13"/>
              <w:spacing w:after="0" w:line="240" w:lineRule="auto"/>
              <w:rPr>
                <w:rFonts w:eastAsia="MS Mincho" w:cs="Times New Roman"/>
                <w:noProof/>
              </w:rPr>
            </w:pPr>
            <w:r>
              <w:rPr>
                <w:noProof/>
              </w:rPr>
              <w:t>(Perustaso: Joulukuuta 2023)</w:t>
            </w:r>
          </w:p>
        </w:tc>
      </w:tr>
      <w:tr w:rsidR="000E48CE" w14:paraId="3BE7E18D" w14:textId="77777777">
        <w:trPr>
          <w:trHeight w:val="309"/>
        </w:trPr>
        <w:tc>
          <w:tcPr>
            <w:tcW w:w="709" w:type="dxa"/>
            <w:shd w:val="clear" w:color="auto" w:fill="C6EFCE"/>
            <w:noWrap/>
          </w:tcPr>
          <w:p w14:paraId="4F5C66B4" w14:textId="77777777" w:rsidR="000E48CE" w:rsidRDefault="00FF4C4E">
            <w:pPr>
              <w:pStyle w:val="P68B1DB1-Normal13"/>
              <w:spacing w:after="0" w:line="240" w:lineRule="auto"/>
              <w:jc w:val="center"/>
              <w:rPr>
                <w:rFonts w:cs="Times New Roman"/>
                <w:noProof/>
              </w:rPr>
            </w:pPr>
            <w:r>
              <w:rPr>
                <w:noProof/>
              </w:rPr>
              <w:lastRenderedPageBreak/>
              <w:t>10</w:t>
            </w:r>
          </w:p>
        </w:tc>
        <w:tc>
          <w:tcPr>
            <w:tcW w:w="851" w:type="dxa"/>
            <w:shd w:val="clear" w:color="auto" w:fill="C6EFCE"/>
            <w:noWrap/>
          </w:tcPr>
          <w:p w14:paraId="26DCE787" w14:textId="77777777" w:rsidR="000E48CE" w:rsidRDefault="00FF4C4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03AADB3F"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4CA9B203" w14:textId="77777777" w:rsidR="000E48CE" w:rsidRDefault="00FF4C4E">
            <w:pPr>
              <w:pStyle w:val="P68B1DB1-Normal13"/>
              <w:spacing w:after="0" w:line="240" w:lineRule="auto"/>
              <w:rPr>
                <w:rFonts w:cs="Times New Roman"/>
                <w:noProof/>
              </w:rPr>
            </w:pPr>
            <w:r>
              <w:rPr>
                <w:noProof/>
              </w:rPr>
              <w:t xml:space="preserve">Kaupunkialueiden valtionteitä on parannettu uusien </w:t>
            </w:r>
            <w:r>
              <w:rPr>
                <w:noProof/>
              </w:rPr>
              <w:t>liikkumismuotojen edistämiseksi</w:t>
            </w:r>
          </w:p>
        </w:tc>
        <w:tc>
          <w:tcPr>
            <w:tcW w:w="1134" w:type="dxa"/>
            <w:shd w:val="clear" w:color="auto" w:fill="C6EFCE"/>
            <w:noWrap/>
          </w:tcPr>
          <w:p w14:paraId="251F0AC9"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32ED97DD" w14:textId="77777777" w:rsidR="000E48CE" w:rsidRDefault="00FF4C4E">
            <w:pPr>
              <w:pStyle w:val="P68B1DB1-Normal13"/>
              <w:spacing w:after="0" w:line="240" w:lineRule="auto"/>
              <w:jc w:val="right"/>
              <w:rPr>
                <w:rFonts w:eastAsia="MS Mincho" w:cs="Times New Roman"/>
                <w:noProof/>
              </w:rPr>
            </w:pPr>
            <w:r>
              <w:rPr>
                <w:noProof/>
              </w:rPr>
              <w:t xml:space="preserve">Määrä </w:t>
            </w:r>
          </w:p>
        </w:tc>
        <w:tc>
          <w:tcPr>
            <w:tcW w:w="675" w:type="dxa"/>
            <w:shd w:val="clear" w:color="auto" w:fill="C6EFCE"/>
            <w:noWrap/>
          </w:tcPr>
          <w:p w14:paraId="5FE7C0C4"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58DB03FB" w14:textId="77777777" w:rsidR="000E48CE" w:rsidRDefault="00FF4C4E">
            <w:pPr>
              <w:pStyle w:val="P68B1DB1-Normal13"/>
              <w:spacing w:after="0" w:line="240" w:lineRule="auto"/>
              <w:jc w:val="right"/>
              <w:rPr>
                <w:rFonts w:eastAsia="MS Mincho" w:cs="Times New Roman"/>
                <w:noProof/>
              </w:rPr>
            </w:pPr>
            <w:r>
              <w:rPr>
                <w:noProof/>
              </w:rPr>
              <w:t>34</w:t>
            </w:r>
          </w:p>
        </w:tc>
        <w:tc>
          <w:tcPr>
            <w:tcW w:w="425" w:type="dxa"/>
            <w:shd w:val="clear" w:color="auto" w:fill="C6EFCE"/>
            <w:noWrap/>
          </w:tcPr>
          <w:p w14:paraId="653499C9"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2DFC998C" w14:textId="77777777" w:rsidR="000E48CE" w:rsidRDefault="00FF4C4E">
            <w:pPr>
              <w:pStyle w:val="P68B1DB1-Normal13"/>
              <w:spacing w:after="0" w:line="240" w:lineRule="auto"/>
              <w:jc w:val="center"/>
              <w:rPr>
                <w:rFonts w:cs="Times New Roman"/>
                <w:noProof/>
              </w:rPr>
            </w:pPr>
            <w:r>
              <w:rPr>
                <w:noProof/>
              </w:rPr>
              <w:t>2025</w:t>
            </w:r>
          </w:p>
        </w:tc>
        <w:tc>
          <w:tcPr>
            <w:tcW w:w="5387" w:type="dxa"/>
            <w:shd w:val="clear" w:color="auto" w:fill="C6EFCE"/>
            <w:noWrap/>
          </w:tcPr>
          <w:p w14:paraId="4E9B6E6B" w14:textId="77777777" w:rsidR="000E48CE" w:rsidRDefault="00FF4C4E">
            <w:pPr>
              <w:pStyle w:val="P68B1DB1-Normal13"/>
              <w:spacing w:after="0" w:line="240" w:lineRule="auto"/>
              <w:rPr>
                <w:rFonts w:cs="Times New Roman"/>
                <w:noProof/>
              </w:rPr>
            </w:pPr>
            <w:r>
              <w:rPr>
                <w:noProof/>
              </w:rPr>
              <w:t>Vähintään 34 valtiontietä kaupunkialueilla parannettiin rakentamalla uusia pyöräteitä, laajentamalla jalankulkualueita, vähentämällä pysäköintialueita tai parantamalla rajanylitysten turvallisuutta.</w:t>
            </w:r>
            <w:r>
              <w:rPr>
                <w:noProof/>
              </w:rPr>
              <w:br/>
            </w:r>
            <w:r>
              <w:rPr>
                <w:noProof/>
              </w:rPr>
              <w:lastRenderedPageBreak/>
              <w:t>Näm</w:t>
            </w:r>
            <w:r>
              <w:rPr>
                <w:noProof/>
              </w:rPr>
              <w:t>ä investoinnit toteuttaa liikenne-, liikkuvuus- ja kaupunkiagendaministeriö kaupunkialueilla omistamillaan teillä.</w:t>
            </w:r>
          </w:p>
        </w:tc>
      </w:tr>
      <w:tr w:rsidR="000E48CE" w14:paraId="1865056C" w14:textId="77777777">
        <w:trPr>
          <w:trHeight w:val="309"/>
        </w:trPr>
        <w:tc>
          <w:tcPr>
            <w:tcW w:w="709" w:type="dxa"/>
            <w:shd w:val="clear" w:color="auto" w:fill="C6EFCE"/>
            <w:noWrap/>
          </w:tcPr>
          <w:p w14:paraId="49C4C087" w14:textId="77777777" w:rsidR="000E48CE" w:rsidRDefault="00FF4C4E">
            <w:pPr>
              <w:pStyle w:val="P68B1DB1-Normal13"/>
              <w:spacing w:after="0" w:line="240" w:lineRule="auto"/>
              <w:jc w:val="center"/>
              <w:rPr>
                <w:rFonts w:cs="Times New Roman"/>
                <w:noProof/>
              </w:rPr>
            </w:pPr>
            <w:r>
              <w:rPr>
                <w:noProof/>
              </w:rPr>
              <w:lastRenderedPageBreak/>
              <w:t>11</w:t>
            </w:r>
          </w:p>
        </w:tc>
        <w:tc>
          <w:tcPr>
            <w:tcW w:w="851" w:type="dxa"/>
            <w:shd w:val="clear" w:color="auto" w:fill="C6EFCE"/>
            <w:noWrap/>
          </w:tcPr>
          <w:p w14:paraId="1C1AE0DF" w14:textId="77777777" w:rsidR="000E48CE" w:rsidRDefault="00FF4C4E">
            <w:pPr>
              <w:pStyle w:val="P68B1DB1-Normal13"/>
              <w:spacing w:after="0" w:line="240" w:lineRule="auto"/>
              <w:jc w:val="center"/>
              <w:rPr>
                <w:rFonts w:eastAsia="MS Mincho" w:cs="Times New Roman"/>
                <w:noProof/>
              </w:rPr>
            </w:pPr>
            <w:r>
              <w:rPr>
                <w:noProof/>
              </w:rPr>
              <w:t>C1.I2</w:t>
            </w:r>
          </w:p>
        </w:tc>
        <w:tc>
          <w:tcPr>
            <w:tcW w:w="850" w:type="dxa"/>
            <w:shd w:val="clear" w:color="auto" w:fill="C6EFCE"/>
            <w:noWrap/>
          </w:tcPr>
          <w:p w14:paraId="4E319F15"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60B0BAD3" w14:textId="77777777" w:rsidR="000E48CE" w:rsidRDefault="00FF4C4E">
            <w:pPr>
              <w:pStyle w:val="P68B1DB1-Normal13"/>
              <w:spacing w:after="0" w:line="240" w:lineRule="auto"/>
              <w:rPr>
                <w:rFonts w:cs="Times New Roman"/>
                <w:noProof/>
              </w:rPr>
            </w:pPr>
            <w:r>
              <w:rPr>
                <w:noProof/>
              </w:rPr>
              <w:t xml:space="preserve">Sähköistä liikkuvuutta edistävien innovatiivisten hankkeiden myöntäminen </w:t>
            </w:r>
          </w:p>
        </w:tc>
        <w:tc>
          <w:tcPr>
            <w:tcW w:w="1134" w:type="dxa"/>
            <w:shd w:val="clear" w:color="auto" w:fill="C6EFCE"/>
            <w:noWrap/>
          </w:tcPr>
          <w:p w14:paraId="76FC1474"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3FA9A43F" w14:textId="77777777" w:rsidR="000E48CE" w:rsidRDefault="00FF4C4E">
            <w:pPr>
              <w:pStyle w:val="P68B1DB1-Normal13"/>
              <w:spacing w:after="0" w:line="240" w:lineRule="auto"/>
              <w:jc w:val="right"/>
              <w:rPr>
                <w:rFonts w:eastAsia="MS Mincho" w:cs="Times New Roman"/>
                <w:noProof/>
              </w:rPr>
            </w:pPr>
            <w:r>
              <w:rPr>
                <w:noProof/>
              </w:rPr>
              <w:t>Miljoonaa euroa</w:t>
            </w:r>
          </w:p>
        </w:tc>
        <w:tc>
          <w:tcPr>
            <w:tcW w:w="675" w:type="dxa"/>
            <w:shd w:val="clear" w:color="auto" w:fill="C6EFCE"/>
            <w:noWrap/>
          </w:tcPr>
          <w:p w14:paraId="6A0ED356"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55CE6AE6" w14:textId="77777777" w:rsidR="000E48CE" w:rsidRDefault="00FF4C4E">
            <w:pPr>
              <w:pStyle w:val="P68B1DB1-Normal13"/>
              <w:spacing w:after="0" w:line="240" w:lineRule="auto"/>
              <w:jc w:val="right"/>
              <w:rPr>
                <w:rFonts w:eastAsia="MS Mincho" w:cs="Times New Roman"/>
                <w:noProof/>
              </w:rPr>
            </w:pPr>
            <w:r>
              <w:rPr>
                <w:noProof/>
              </w:rPr>
              <w:t>250</w:t>
            </w:r>
          </w:p>
        </w:tc>
        <w:tc>
          <w:tcPr>
            <w:tcW w:w="425" w:type="dxa"/>
            <w:shd w:val="clear" w:color="auto" w:fill="C6EFCE"/>
            <w:noWrap/>
          </w:tcPr>
          <w:p w14:paraId="6AE7DF88"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5C774669" w14:textId="77777777" w:rsidR="000E48CE" w:rsidRDefault="00FF4C4E">
            <w:pPr>
              <w:pStyle w:val="P68B1DB1-Normal13"/>
              <w:spacing w:after="0" w:line="240" w:lineRule="auto"/>
              <w:jc w:val="center"/>
              <w:rPr>
                <w:rFonts w:cs="Times New Roman"/>
                <w:noProof/>
              </w:rPr>
            </w:pPr>
            <w:r>
              <w:rPr>
                <w:noProof/>
              </w:rPr>
              <w:t>2023</w:t>
            </w:r>
          </w:p>
        </w:tc>
        <w:tc>
          <w:tcPr>
            <w:tcW w:w="5387" w:type="dxa"/>
            <w:shd w:val="clear" w:color="auto" w:fill="C6EFCE"/>
            <w:noWrap/>
          </w:tcPr>
          <w:p w14:paraId="66D51A76" w14:textId="6E009872" w:rsidR="000E48CE" w:rsidRDefault="00FF4C4E">
            <w:pPr>
              <w:pStyle w:val="P68B1DB1-Normal13"/>
              <w:spacing w:after="0" w:line="240" w:lineRule="auto"/>
              <w:rPr>
                <w:rFonts w:cs="Times New Roman"/>
                <w:noProof/>
              </w:rPr>
            </w:pPr>
            <w:r>
              <w:rPr>
                <w:noProof/>
              </w:rPr>
              <w:t xml:space="preserve">Julkaistaan vähintään </w:t>
            </w:r>
            <w:r>
              <w:rPr>
                <w:noProof/>
              </w:rPr>
              <w:t>250 miljoonan euron hanke-ehdotuspyynnöt, joilla tuetaan sähköistä liikkuvuutta edistäviä innovatiivisia hankkeita. Tukijärjestelmien jakamista koskevissa ehdotuspyynnöissä on käytettävä seuraavia valintaperusteita: ympäristövaikutusten vähentäminen, ii) t</w:t>
            </w:r>
            <w:r>
              <w:rPr>
                <w:noProof/>
              </w:rPr>
              <w:t>ekninen ja taloudellinen elinkelpoisuus, iii) teknologisen kehityksen ja innovoinnin taso, iv) toistettavuus ja skaalattavuus, v) hankkeeseen liittyvä työpaikkojen luominen, suora ja välillinen vaikutus arvoketjuun ja synergia muiden alojen, pääasiassa teo</w:t>
            </w:r>
            <w:r>
              <w:rPr>
                <w:noProof/>
              </w:rPr>
              <w:t>llisuuden, kanssa.</w:t>
            </w:r>
          </w:p>
        </w:tc>
      </w:tr>
      <w:tr w:rsidR="000E48CE" w14:paraId="3D285064" w14:textId="77777777">
        <w:trPr>
          <w:trHeight w:val="309"/>
        </w:trPr>
        <w:tc>
          <w:tcPr>
            <w:tcW w:w="709" w:type="dxa"/>
            <w:shd w:val="clear" w:color="auto" w:fill="C6EFCE"/>
            <w:noWrap/>
          </w:tcPr>
          <w:p w14:paraId="768DD0EE" w14:textId="77777777" w:rsidR="000E48CE" w:rsidRDefault="00FF4C4E">
            <w:pPr>
              <w:pStyle w:val="P68B1DB1-Normal13"/>
              <w:spacing w:after="0" w:line="240" w:lineRule="auto"/>
              <w:jc w:val="center"/>
              <w:rPr>
                <w:rFonts w:cs="Times New Roman"/>
                <w:noProof/>
              </w:rPr>
            </w:pPr>
            <w:r>
              <w:rPr>
                <w:noProof/>
              </w:rPr>
              <w:t>12</w:t>
            </w:r>
          </w:p>
        </w:tc>
        <w:tc>
          <w:tcPr>
            <w:tcW w:w="851" w:type="dxa"/>
            <w:shd w:val="clear" w:color="auto" w:fill="C6EFCE"/>
            <w:noWrap/>
          </w:tcPr>
          <w:p w14:paraId="39952C5A" w14:textId="77777777" w:rsidR="000E48CE" w:rsidRDefault="00FF4C4E">
            <w:pPr>
              <w:pStyle w:val="P68B1DB1-Normal13"/>
              <w:spacing w:after="0" w:line="240" w:lineRule="auto"/>
              <w:jc w:val="center"/>
              <w:rPr>
                <w:rFonts w:eastAsia="MS Mincho" w:cs="Times New Roman"/>
                <w:noProof/>
              </w:rPr>
            </w:pPr>
            <w:r>
              <w:rPr>
                <w:noProof/>
              </w:rPr>
              <w:t>C1.I2</w:t>
            </w:r>
          </w:p>
        </w:tc>
        <w:tc>
          <w:tcPr>
            <w:tcW w:w="850" w:type="dxa"/>
            <w:shd w:val="clear" w:color="auto" w:fill="C6EFCE"/>
            <w:noWrap/>
          </w:tcPr>
          <w:p w14:paraId="2AD35622"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089C1D3D" w14:textId="45979E08" w:rsidR="000E48CE" w:rsidRDefault="00FF4C4E">
            <w:pPr>
              <w:pStyle w:val="P68B1DB1-Normal13"/>
              <w:spacing w:after="0" w:line="240" w:lineRule="auto"/>
              <w:rPr>
                <w:rFonts w:cs="Times New Roman"/>
                <w:noProof/>
              </w:rPr>
            </w:pPr>
            <w:r>
              <w:rPr>
                <w:noProof/>
              </w:rPr>
              <w:t xml:space="preserve">Sähköajoneuvoja ja latauspisteitä koskevien tukihakemusten rekisteröinti </w:t>
            </w:r>
          </w:p>
        </w:tc>
        <w:tc>
          <w:tcPr>
            <w:tcW w:w="1134" w:type="dxa"/>
            <w:shd w:val="clear" w:color="auto" w:fill="C6EFCE"/>
            <w:noWrap/>
          </w:tcPr>
          <w:p w14:paraId="681A5A31"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5602EA02" w14:textId="77777777" w:rsidR="000E48CE" w:rsidRDefault="00FF4C4E">
            <w:pPr>
              <w:pStyle w:val="P68B1DB1-Normal13"/>
              <w:spacing w:after="0" w:line="240" w:lineRule="auto"/>
              <w:jc w:val="right"/>
              <w:rPr>
                <w:rFonts w:eastAsia="MS Mincho" w:cs="Times New Roman"/>
                <w:noProof/>
              </w:rPr>
            </w:pPr>
            <w:r>
              <w:rPr>
                <w:noProof/>
              </w:rPr>
              <w:t>Määrä</w:t>
            </w:r>
          </w:p>
        </w:tc>
        <w:tc>
          <w:tcPr>
            <w:tcW w:w="675" w:type="dxa"/>
            <w:shd w:val="clear" w:color="auto" w:fill="C6EFCE"/>
            <w:noWrap/>
          </w:tcPr>
          <w:p w14:paraId="48D83142"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28E68559" w14:textId="77777777" w:rsidR="000E48CE" w:rsidRDefault="00FF4C4E">
            <w:pPr>
              <w:pStyle w:val="P68B1DB1-Normal13"/>
              <w:spacing w:after="0" w:line="240" w:lineRule="auto"/>
              <w:jc w:val="right"/>
              <w:rPr>
                <w:rFonts w:eastAsia="MS Mincho" w:cs="Times New Roman"/>
                <w:noProof/>
              </w:rPr>
            </w:pPr>
            <w:r>
              <w:rPr>
                <w:noProof/>
              </w:rPr>
              <w:t>238 000</w:t>
            </w:r>
          </w:p>
        </w:tc>
        <w:tc>
          <w:tcPr>
            <w:tcW w:w="425" w:type="dxa"/>
            <w:shd w:val="clear" w:color="auto" w:fill="C6EFCE"/>
            <w:noWrap/>
          </w:tcPr>
          <w:p w14:paraId="2E966F0A"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5C2EA5F4" w14:textId="77777777" w:rsidR="000E48CE" w:rsidRDefault="00FF4C4E">
            <w:pPr>
              <w:pStyle w:val="P68B1DB1-Normal13"/>
              <w:spacing w:after="0" w:line="240" w:lineRule="auto"/>
              <w:jc w:val="center"/>
              <w:rPr>
                <w:rFonts w:cs="Times New Roman"/>
                <w:noProof/>
              </w:rPr>
            </w:pPr>
            <w:r>
              <w:rPr>
                <w:noProof/>
              </w:rPr>
              <w:t>2023</w:t>
            </w:r>
          </w:p>
        </w:tc>
        <w:tc>
          <w:tcPr>
            <w:tcW w:w="5387" w:type="dxa"/>
            <w:shd w:val="clear" w:color="auto" w:fill="C6EFCE"/>
            <w:noWrap/>
          </w:tcPr>
          <w:p w14:paraId="04A15AE2" w14:textId="3290915B" w:rsidR="000E48CE" w:rsidRDefault="00FF4C4E">
            <w:pPr>
              <w:pStyle w:val="P68B1DB1-Normal13"/>
              <w:spacing w:after="0" w:line="240" w:lineRule="auto"/>
              <w:rPr>
                <w:rFonts w:eastAsia="Times New Roman" w:cs="Times New Roman"/>
                <w:noProof/>
              </w:rPr>
            </w:pPr>
            <w:r>
              <w:rPr>
                <w:noProof/>
              </w:rPr>
              <w:t xml:space="preserve">Tukihakemusten rekisteröinti vähintään 238000 sähköajoneuvolle (BEV, REEV, täyssähköajoneuvo tai FCEV) ja latauspisteille, </w:t>
            </w:r>
            <w:r>
              <w:rPr>
                <w:noProof/>
              </w:rPr>
              <w:t>mukaan lukien muun muassa yleiseen käyttöön tarkoitetut latauspisteet asuinalueilla ja kansallisessa tieverkossa, sillä kyseiset pyynnöt koostuvat erotuksetta sähköajoneuvoista ja/tai latauspisteistä.</w:t>
            </w:r>
          </w:p>
        </w:tc>
      </w:tr>
      <w:tr w:rsidR="000E48CE" w14:paraId="1FAA9ED6" w14:textId="77777777">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DF6B60" w14:textId="3343F026" w:rsidR="000E48CE" w:rsidRDefault="00FF4C4E">
            <w:pPr>
              <w:pStyle w:val="P68B1DB1-Normal13"/>
              <w:spacing w:after="0" w:line="240" w:lineRule="auto"/>
              <w:jc w:val="center"/>
              <w:rPr>
                <w:rFonts w:cs="Times New Roman"/>
                <w:noProof/>
              </w:rPr>
            </w:pPr>
            <w:r>
              <w:rPr>
                <w:noProof/>
              </w:rPr>
              <w:t>419</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C270981" w14:textId="0A184257" w:rsidR="000E48CE" w:rsidRDefault="00FF4C4E">
            <w:pPr>
              <w:pStyle w:val="P68B1DB1-Normal13"/>
              <w:spacing w:after="0" w:line="240" w:lineRule="auto"/>
              <w:jc w:val="center"/>
              <w:rPr>
                <w:rFonts w:cs="Times New Roman"/>
                <w:noProof/>
              </w:rPr>
            </w:pPr>
            <w:r>
              <w:rPr>
                <w:noProof/>
              </w:rPr>
              <w:t>C1.I2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0A48C95" w14:textId="67603249" w:rsidR="000E48CE" w:rsidRDefault="00FF4C4E">
            <w:pPr>
              <w:pStyle w:val="P68B1DB1-Normal13"/>
              <w:spacing w:after="0" w:line="240" w:lineRule="auto"/>
              <w:jc w:val="center"/>
              <w:rPr>
                <w:rFonts w:cs="Times New Roman"/>
                <w:noProof/>
              </w:rPr>
            </w:pPr>
            <w:r>
              <w:rPr>
                <w:noProof/>
              </w:rPr>
              <w:t>T</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43B1E734" w14:textId="0759EA40" w:rsidR="000E48CE" w:rsidRDefault="00FF4C4E">
            <w:pPr>
              <w:pStyle w:val="P68B1DB1-Normal13"/>
              <w:spacing w:after="0" w:line="240" w:lineRule="auto"/>
              <w:rPr>
                <w:rFonts w:cs="Times New Roman"/>
                <w:noProof/>
              </w:rPr>
            </w:pPr>
            <w:r>
              <w:rPr>
                <w:noProof/>
              </w:rPr>
              <w:t>Sähkökäyttöiset ajoneuvot ja latauspisteet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1AFF7CC7" w14:textId="77777777" w:rsidR="000E48CE" w:rsidRDefault="000E48CE">
            <w:pPr>
              <w:spacing w:after="0" w:line="240" w:lineRule="auto"/>
              <w:jc w:val="center"/>
              <w:rPr>
                <w:rFonts w:ascii="Times New Roman" w:hAnsi="Times New Roman" w:cs="Times New Roman"/>
                <w:noProof/>
                <w:sz w:val="18"/>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66296CA" w14:textId="01AE32C3" w:rsidR="000E48CE" w:rsidRDefault="00FF4C4E">
            <w:pPr>
              <w:pStyle w:val="P68B1DB1-Normal13"/>
              <w:spacing w:after="0" w:line="240" w:lineRule="auto"/>
              <w:jc w:val="right"/>
              <w:rPr>
                <w:rFonts w:cs="Times New Roman"/>
                <w:noProof/>
              </w:rPr>
            </w:pPr>
            <w:r>
              <w:rPr>
                <w:noProof/>
              </w:rPr>
              <w:t xml:space="preserve">Määrä </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1F3F9B93" w14:textId="6B0B41F7" w:rsidR="000E48CE" w:rsidRDefault="00FF4C4E">
            <w:pPr>
              <w:pStyle w:val="P68B1DB1-Normal13"/>
              <w:spacing w:after="0" w:line="240" w:lineRule="auto"/>
              <w:jc w:val="right"/>
              <w:rPr>
                <w:rFonts w:cs="Times New Roman"/>
                <w:noProof/>
              </w:rPr>
            </w:pPr>
            <w:r>
              <w:rPr>
                <w:noProof/>
              </w:rPr>
              <w:t>0</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66402839" w14:textId="363F3FC3" w:rsidR="000E48CE" w:rsidRDefault="00FF4C4E">
            <w:pPr>
              <w:pStyle w:val="P68B1DB1-Normal13"/>
              <w:spacing w:after="0" w:line="240" w:lineRule="auto"/>
              <w:jc w:val="right"/>
              <w:rPr>
                <w:rFonts w:cs="Times New Roman"/>
                <w:noProof/>
              </w:rPr>
            </w:pPr>
            <w:r>
              <w:rPr>
                <w:noProof/>
              </w:rPr>
              <w:t>238 000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653FA08" w14:textId="61D19117" w:rsidR="000E48CE" w:rsidRDefault="00FF4C4E">
            <w:pPr>
              <w:pStyle w:val="P68B1DB1-Normal13"/>
              <w:spacing w:after="0" w:line="240" w:lineRule="auto"/>
              <w:jc w:val="center"/>
              <w:rPr>
                <w:rFonts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ABF141" w14:textId="7AA392A8" w:rsidR="000E48CE" w:rsidRDefault="00FF4C4E">
            <w:pPr>
              <w:pStyle w:val="P68B1DB1-Normal13"/>
              <w:spacing w:after="0" w:line="240" w:lineRule="auto"/>
              <w:jc w:val="center"/>
              <w:rPr>
                <w:rFonts w:cs="Times New Roman"/>
                <w:noProof/>
              </w:rPr>
            </w:pPr>
            <w:r>
              <w:rPr>
                <w:noProof/>
              </w:rPr>
              <w:t>2025</w:t>
            </w:r>
          </w:p>
        </w:tc>
        <w:tc>
          <w:tcPr>
            <w:tcW w:w="5387" w:type="dxa"/>
            <w:tcBorders>
              <w:top w:val="single" w:sz="4" w:space="0" w:color="auto"/>
              <w:left w:val="single" w:sz="4" w:space="0" w:color="auto"/>
              <w:bottom w:val="single" w:sz="4" w:space="0" w:color="auto"/>
              <w:right w:val="single" w:sz="4" w:space="0" w:color="auto"/>
            </w:tcBorders>
            <w:shd w:val="clear" w:color="auto" w:fill="C6EFCE"/>
            <w:noWrap/>
          </w:tcPr>
          <w:p w14:paraId="4553171D" w14:textId="7D07CDC7" w:rsidR="000E48CE" w:rsidRDefault="00FF4C4E">
            <w:pPr>
              <w:pStyle w:val="P68B1DB1-Normal13"/>
              <w:spacing w:after="0" w:line="240" w:lineRule="auto"/>
              <w:rPr>
                <w:rFonts w:cs="Times New Roman"/>
                <w:noProof/>
              </w:rPr>
            </w:pPr>
            <w:r>
              <w:rPr>
                <w:noProof/>
              </w:rPr>
              <w:t>Vähintään 238000 sähköajoneuvoa (BEV-, REEV-, täyssähkö- tai FCEV-ajoneuvot) ja latauspisteitä, mukaan lukien muun muassa yleiseen käyttöön tarkoitetut latauspisteet asuinalueilla ja käytössä olevassa kansallisessa tieverkossa.</w:t>
            </w:r>
          </w:p>
        </w:tc>
      </w:tr>
      <w:tr w:rsidR="000E48CE" w14:paraId="2670B1F8" w14:textId="77777777">
        <w:trPr>
          <w:trHeight w:val="309"/>
        </w:trPr>
        <w:tc>
          <w:tcPr>
            <w:tcW w:w="709" w:type="dxa"/>
            <w:shd w:val="clear" w:color="auto" w:fill="C6EFCE"/>
            <w:noWrap/>
          </w:tcPr>
          <w:p w14:paraId="4EA0E052" w14:textId="77777777" w:rsidR="000E48CE" w:rsidRDefault="00FF4C4E">
            <w:pPr>
              <w:pStyle w:val="P68B1DB1-Normal13"/>
              <w:spacing w:after="0" w:line="240" w:lineRule="auto"/>
              <w:jc w:val="center"/>
              <w:rPr>
                <w:rFonts w:cs="Times New Roman"/>
                <w:noProof/>
              </w:rPr>
            </w:pPr>
            <w:r>
              <w:rPr>
                <w:noProof/>
              </w:rPr>
              <w:t>13</w:t>
            </w:r>
          </w:p>
        </w:tc>
        <w:tc>
          <w:tcPr>
            <w:tcW w:w="851" w:type="dxa"/>
            <w:shd w:val="clear" w:color="auto" w:fill="C6EFCE"/>
            <w:noWrap/>
          </w:tcPr>
          <w:p w14:paraId="0CCA9B62" w14:textId="77777777" w:rsidR="000E48CE" w:rsidRDefault="00FF4C4E">
            <w:pPr>
              <w:pStyle w:val="P68B1DB1-Normal13"/>
              <w:spacing w:after="0" w:line="240" w:lineRule="auto"/>
              <w:jc w:val="center"/>
              <w:rPr>
                <w:rFonts w:eastAsia="MS Mincho" w:cs="Times New Roman"/>
                <w:noProof/>
              </w:rPr>
            </w:pPr>
            <w:r>
              <w:rPr>
                <w:noProof/>
              </w:rPr>
              <w:t>C1.I2</w:t>
            </w:r>
          </w:p>
        </w:tc>
        <w:tc>
          <w:tcPr>
            <w:tcW w:w="850" w:type="dxa"/>
            <w:shd w:val="clear" w:color="auto" w:fill="C6EFCE"/>
            <w:noWrap/>
          </w:tcPr>
          <w:p w14:paraId="53B7C02A"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4B53E2A0" w14:textId="0CF9AE93" w:rsidR="000E48CE" w:rsidRDefault="00FF4C4E">
            <w:pPr>
              <w:pStyle w:val="P68B1DB1-Normal13"/>
              <w:spacing w:after="0" w:line="240" w:lineRule="auto"/>
              <w:rPr>
                <w:rFonts w:cs="Times New Roman"/>
                <w:noProof/>
              </w:rPr>
            </w:pPr>
            <w:r>
              <w:rPr>
                <w:noProof/>
              </w:rPr>
              <w:t>Sähköistä liikkuvuutta edistävien innovatiivisten hankkeiden loppuun saattaminen</w:t>
            </w:r>
          </w:p>
        </w:tc>
        <w:tc>
          <w:tcPr>
            <w:tcW w:w="1134" w:type="dxa"/>
            <w:shd w:val="clear" w:color="auto" w:fill="C6EFCE"/>
            <w:noWrap/>
          </w:tcPr>
          <w:p w14:paraId="6C29E605"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1E6A3C1D" w14:textId="77777777" w:rsidR="000E48CE" w:rsidRDefault="00FF4C4E">
            <w:pPr>
              <w:pStyle w:val="P68B1DB1-Normal13"/>
              <w:spacing w:after="0" w:line="240" w:lineRule="auto"/>
              <w:jc w:val="right"/>
              <w:rPr>
                <w:rFonts w:eastAsia="MS Mincho" w:cs="Times New Roman"/>
                <w:noProof/>
              </w:rPr>
            </w:pPr>
            <w:r>
              <w:rPr>
                <w:noProof/>
              </w:rPr>
              <w:t xml:space="preserve">Määrä </w:t>
            </w:r>
          </w:p>
        </w:tc>
        <w:tc>
          <w:tcPr>
            <w:tcW w:w="675" w:type="dxa"/>
            <w:shd w:val="clear" w:color="auto" w:fill="C6EFCE"/>
            <w:noWrap/>
          </w:tcPr>
          <w:p w14:paraId="6C90E665"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0DE3A3EF" w14:textId="77777777" w:rsidR="000E48CE" w:rsidRDefault="00FF4C4E">
            <w:pPr>
              <w:pStyle w:val="P68B1DB1-Normal13"/>
              <w:spacing w:after="0" w:line="240" w:lineRule="auto"/>
              <w:jc w:val="right"/>
              <w:rPr>
                <w:rFonts w:eastAsia="MS Mincho" w:cs="Times New Roman"/>
                <w:noProof/>
              </w:rPr>
            </w:pPr>
            <w:r>
              <w:rPr>
                <w:noProof/>
              </w:rPr>
              <w:t>85</w:t>
            </w:r>
          </w:p>
        </w:tc>
        <w:tc>
          <w:tcPr>
            <w:tcW w:w="425" w:type="dxa"/>
            <w:shd w:val="clear" w:color="auto" w:fill="C6EFCE"/>
            <w:noWrap/>
          </w:tcPr>
          <w:p w14:paraId="7114C962"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457EB255" w14:textId="77777777" w:rsidR="000E48CE" w:rsidRDefault="00FF4C4E">
            <w:pPr>
              <w:pStyle w:val="P68B1DB1-Normal13"/>
              <w:spacing w:after="0" w:line="240" w:lineRule="auto"/>
              <w:jc w:val="center"/>
              <w:rPr>
                <w:rFonts w:cs="Times New Roman"/>
                <w:noProof/>
              </w:rPr>
            </w:pPr>
            <w:r>
              <w:rPr>
                <w:noProof/>
              </w:rPr>
              <w:t>2025</w:t>
            </w:r>
          </w:p>
        </w:tc>
        <w:tc>
          <w:tcPr>
            <w:tcW w:w="5387" w:type="dxa"/>
            <w:shd w:val="clear" w:color="auto" w:fill="C6EFCE"/>
            <w:noWrap/>
          </w:tcPr>
          <w:p w14:paraId="288C38ED" w14:textId="77777777" w:rsidR="000E48CE" w:rsidRDefault="00FF4C4E">
            <w:pPr>
              <w:pStyle w:val="P68B1DB1-Normal13"/>
              <w:spacing w:after="0" w:line="240" w:lineRule="auto"/>
              <w:rPr>
                <w:rFonts w:cs="Times New Roman"/>
                <w:noProof/>
              </w:rPr>
            </w:pPr>
            <w:r>
              <w:rPr>
                <w:noProof/>
              </w:rPr>
              <w:t xml:space="preserve">Saatetaan päätökseen vähintään 85 hanketta, jotka on otettu käyttöön sähköisen liikkuvuuden innovointihankkeiden tukiohjelmassa (MOVES Singulares). </w:t>
            </w:r>
          </w:p>
        </w:tc>
      </w:tr>
      <w:tr w:rsidR="000E48CE" w14:paraId="35CBA65C" w14:textId="77777777">
        <w:trPr>
          <w:trHeight w:val="309"/>
        </w:trPr>
        <w:tc>
          <w:tcPr>
            <w:tcW w:w="709" w:type="dxa"/>
            <w:shd w:val="clear" w:color="auto" w:fill="C6EFCE"/>
            <w:noWrap/>
          </w:tcPr>
          <w:p w14:paraId="4C6830B7" w14:textId="77777777" w:rsidR="000E48CE" w:rsidRDefault="00FF4C4E">
            <w:pPr>
              <w:pStyle w:val="P68B1DB1-Normal13"/>
              <w:spacing w:after="0" w:line="240" w:lineRule="auto"/>
              <w:jc w:val="center"/>
              <w:rPr>
                <w:rFonts w:cs="Times New Roman"/>
                <w:noProof/>
              </w:rPr>
            </w:pPr>
            <w:r>
              <w:rPr>
                <w:noProof/>
              </w:rPr>
              <w:t>14</w:t>
            </w:r>
          </w:p>
        </w:tc>
        <w:tc>
          <w:tcPr>
            <w:tcW w:w="851" w:type="dxa"/>
            <w:shd w:val="clear" w:color="auto" w:fill="C6EFCE"/>
            <w:noWrap/>
          </w:tcPr>
          <w:p w14:paraId="5421AA1B" w14:textId="77777777" w:rsidR="000E48CE" w:rsidRDefault="00FF4C4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2A87AE8B"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323FD114" w14:textId="77777777" w:rsidR="000E48CE" w:rsidRDefault="00FF4C4E">
            <w:pPr>
              <w:pStyle w:val="P68B1DB1-Normal13"/>
              <w:spacing w:after="0" w:line="240" w:lineRule="auto"/>
              <w:rPr>
                <w:rFonts w:cs="Times New Roman"/>
                <w:noProof/>
              </w:rPr>
            </w:pPr>
            <w:r>
              <w:rPr>
                <w:noProof/>
              </w:rPr>
              <w:t xml:space="preserve">Lyhyen matkan rautatiet (Cercanías) </w:t>
            </w:r>
          </w:p>
        </w:tc>
        <w:tc>
          <w:tcPr>
            <w:tcW w:w="1134" w:type="dxa"/>
            <w:shd w:val="clear" w:color="auto" w:fill="C6EFCE"/>
            <w:noWrap/>
          </w:tcPr>
          <w:p w14:paraId="5544CA26"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4B0C047F" w14:textId="77777777" w:rsidR="000E48CE" w:rsidRDefault="00FF4C4E">
            <w:pPr>
              <w:pStyle w:val="P68B1DB1-Normal13"/>
              <w:spacing w:after="0" w:line="240" w:lineRule="auto"/>
              <w:jc w:val="right"/>
              <w:rPr>
                <w:rFonts w:eastAsia="MS Mincho" w:cs="Times New Roman"/>
                <w:noProof/>
              </w:rPr>
            </w:pPr>
            <w:r>
              <w:rPr>
                <w:noProof/>
              </w:rPr>
              <w:t>Lukumäärä (Km)</w:t>
            </w:r>
          </w:p>
        </w:tc>
        <w:tc>
          <w:tcPr>
            <w:tcW w:w="675" w:type="dxa"/>
            <w:shd w:val="clear" w:color="auto" w:fill="C6EFCE"/>
            <w:noWrap/>
          </w:tcPr>
          <w:p w14:paraId="27155D2C"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79A41D13" w14:textId="77777777" w:rsidR="000E48CE" w:rsidRDefault="00FF4C4E">
            <w:pPr>
              <w:pStyle w:val="P68B1DB1-Normal13"/>
              <w:spacing w:after="0" w:line="240" w:lineRule="auto"/>
              <w:jc w:val="right"/>
              <w:rPr>
                <w:rFonts w:eastAsia="MS Mincho" w:cs="Times New Roman"/>
                <w:noProof/>
              </w:rPr>
            </w:pPr>
            <w:r>
              <w:rPr>
                <w:noProof/>
              </w:rPr>
              <w:t>200</w:t>
            </w:r>
          </w:p>
        </w:tc>
        <w:tc>
          <w:tcPr>
            <w:tcW w:w="425" w:type="dxa"/>
            <w:shd w:val="clear" w:color="auto" w:fill="C6EFCE"/>
            <w:noWrap/>
          </w:tcPr>
          <w:p w14:paraId="27FC55AB"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166F4D07" w14:textId="77777777" w:rsidR="000E48CE" w:rsidRDefault="00FF4C4E">
            <w:pPr>
              <w:pStyle w:val="P68B1DB1-Normal13"/>
              <w:spacing w:after="0" w:line="240" w:lineRule="auto"/>
              <w:jc w:val="center"/>
              <w:rPr>
                <w:rFonts w:cs="Times New Roman"/>
                <w:noProof/>
              </w:rPr>
            </w:pPr>
            <w:r>
              <w:rPr>
                <w:noProof/>
              </w:rPr>
              <w:t>2023</w:t>
            </w:r>
          </w:p>
        </w:tc>
        <w:tc>
          <w:tcPr>
            <w:tcW w:w="5387" w:type="dxa"/>
            <w:shd w:val="clear" w:color="auto" w:fill="C6EFCE"/>
            <w:noWrap/>
          </w:tcPr>
          <w:p w14:paraId="46EAB918" w14:textId="77777777" w:rsidR="000E48CE" w:rsidRDefault="00FF4C4E">
            <w:pPr>
              <w:pStyle w:val="P68B1DB1-Normal13"/>
              <w:spacing w:after="0" w:line="240" w:lineRule="auto"/>
              <w:rPr>
                <w:rFonts w:cs="Times New Roman"/>
                <w:noProof/>
              </w:rPr>
            </w:pPr>
            <w:r>
              <w:rPr>
                <w:noProof/>
              </w:rPr>
              <w:t xml:space="preserve">Vähintään 200 kilometriä </w:t>
            </w:r>
            <w:r>
              <w:rPr>
                <w:noProof/>
              </w:rPr>
              <w:t>lyhyen matkan ratoja, jotka on parannettu missä tahansa osajärjestelmässä: laituri-, raide-, sähköistämis-, turvallisuus- ja viestintä-/merkinantolaitteet.</w:t>
            </w:r>
            <w:r>
              <w:rPr>
                <w:noProof/>
              </w:rPr>
              <w:br/>
              <w:t>Kunnostettavien lyhyen matkan ratojen pituus olisi tulkittava kaupunki- tai suurkaupunkialueilla sij</w:t>
            </w:r>
            <w:r>
              <w:rPr>
                <w:noProof/>
              </w:rPr>
              <w:t>aitsevan pituuden perusteella, jolla on toteutettu merkittävä toimenpide, joka ei ole määrä tehdä tai korjata. Toimenpiteisiin voisi kuulua sähköistäminen, radan uudistaminen, merkinanto- ja turvallisuusjärjestelmien parantaminen sekä asemaparannukset, jot</w:t>
            </w:r>
            <w:r>
              <w:rPr>
                <w:noProof/>
              </w:rPr>
              <w:t xml:space="preserve">ka ulottuvat huoltoa ja korjausta pidemmälle ja jotka on toteutettava koko valtion alueella kaikissa väestökeskuksissa, joissa on palveluja Cercanías Ferroviariasilta.  </w:t>
            </w:r>
          </w:p>
        </w:tc>
      </w:tr>
      <w:tr w:rsidR="000E48CE" w14:paraId="79F8DAAD" w14:textId="77777777">
        <w:trPr>
          <w:trHeight w:val="309"/>
        </w:trPr>
        <w:tc>
          <w:tcPr>
            <w:tcW w:w="709" w:type="dxa"/>
            <w:shd w:val="clear" w:color="auto" w:fill="C6EFCE"/>
            <w:noWrap/>
          </w:tcPr>
          <w:p w14:paraId="60B9ECB0" w14:textId="77777777" w:rsidR="000E48CE" w:rsidRDefault="00FF4C4E">
            <w:pPr>
              <w:pStyle w:val="P68B1DB1-Normal13"/>
              <w:spacing w:after="0" w:line="240" w:lineRule="auto"/>
              <w:jc w:val="center"/>
              <w:rPr>
                <w:rFonts w:cs="Times New Roman"/>
                <w:noProof/>
              </w:rPr>
            </w:pPr>
            <w:r>
              <w:rPr>
                <w:noProof/>
              </w:rPr>
              <w:lastRenderedPageBreak/>
              <w:t>15</w:t>
            </w:r>
          </w:p>
        </w:tc>
        <w:tc>
          <w:tcPr>
            <w:tcW w:w="851" w:type="dxa"/>
            <w:shd w:val="clear" w:color="auto" w:fill="C6EFCE"/>
            <w:noWrap/>
          </w:tcPr>
          <w:p w14:paraId="57BA10E6" w14:textId="77777777" w:rsidR="000E48CE" w:rsidRDefault="00FF4C4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18273627"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33552D8B" w14:textId="77777777" w:rsidR="000E48CE" w:rsidRDefault="00FF4C4E">
            <w:pPr>
              <w:pStyle w:val="P68B1DB1-Normal13"/>
              <w:spacing w:after="0" w:line="240" w:lineRule="auto"/>
              <w:rPr>
                <w:rFonts w:cs="Times New Roman"/>
                <w:noProof/>
              </w:rPr>
            </w:pPr>
            <w:r>
              <w:rPr>
                <w:noProof/>
              </w:rPr>
              <w:t xml:space="preserve">Asemat ovat parantuneet digitalisaation myötä </w:t>
            </w:r>
          </w:p>
        </w:tc>
        <w:tc>
          <w:tcPr>
            <w:tcW w:w="1134" w:type="dxa"/>
            <w:shd w:val="clear" w:color="auto" w:fill="C6EFCE"/>
            <w:noWrap/>
          </w:tcPr>
          <w:p w14:paraId="65C0E9E3"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34D992BD" w14:textId="77777777" w:rsidR="000E48CE" w:rsidRDefault="00FF4C4E">
            <w:pPr>
              <w:pStyle w:val="P68B1DB1-Normal13"/>
              <w:spacing w:after="0" w:line="240" w:lineRule="auto"/>
              <w:jc w:val="right"/>
              <w:rPr>
                <w:rFonts w:eastAsia="MS Mincho" w:cs="Times New Roman"/>
                <w:noProof/>
              </w:rPr>
            </w:pPr>
            <w:r>
              <w:rPr>
                <w:noProof/>
              </w:rPr>
              <w:t>Määrä</w:t>
            </w:r>
          </w:p>
        </w:tc>
        <w:tc>
          <w:tcPr>
            <w:tcW w:w="675" w:type="dxa"/>
            <w:shd w:val="clear" w:color="auto" w:fill="C6EFCE"/>
            <w:noWrap/>
          </w:tcPr>
          <w:p w14:paraId="19DF3E5F"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24687098" w14:textId="77777777" w:rsidR="000E48CE" w:rsidRDefault="00FF4C4E">
            <w:pPr>
              <w:pStyle w:val="P68B1DB1-Normal13"/>
              <w:spacing w:after="0" w:line="240" w:lineRule="auto"/>
              <w:jc w:val="right"/>
              <w:rPr>
                <w:rFonts w:eastAsia="MS Mincho" w:cs="Times New Roman"/>
                <w:noProof/>
              </w:rPr>
            </w:pPr>
            <w:r>
              <w:rPr>
                <w:noProof/>
              </w:rPr>
              <w:t>420</w:t>
            </w:r>
          </w:p>
        </w:tc>
        <w:tc>
          <w:tcPr>
            <w:tcW w:w="425" w:type="dxa"/>
            <w:shd w:val="clear" w:color="auto" w:fill="C6EFCE"/>
            <w:noWrap/>
          </w:tcPr>
          <w:p w14:paraId="55B445E4"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7FEA3163" w14:textId="77777777" w:rsidR="000E48CE" w:rsidRDefault="00FF4C4E">
            <w:pPr>
              <w:pStyle w:val="P68B1DB1-Normal13"/>
              <w:spacing w:after="0" w:line="240" w:lineRule="auto"/>
              <w:jc w:val="center"/>
              <w:rPr>
                <w:rFonts w:cs="Times New Roman"/>
                <w:noProof/>
              </w:rPr>
            </w:pPr>
            <w:r>
              <w:rPr>
                <w:noProof/>
              </w:rPr>
              <w:t>2023</w:t>
            </w:r>
          </w:p>
        </w:tc>
        <w:tc>
          <w:tcPr>
            <w:tcW w:w="5387" w:type="dxa"/>
            <w:shd w:val="clear" w:color="auto" w:fill="C6EFCE"/>
            <w:noWrap/>
          </w:tcPr>
          <w:p w14:paraId="5675A2F1" w14:textId="77777777" w:rsidR="000E48CE" w:rsidRDefault="00FF4C4E">
            <w:pPr>
              <w:pStyle w:val="P68B1DB1-Normal13"/>
              <w:spacing w:after="0" w:line="240" w:lineRule="auto"/>
              <w:rPr>
                <w:rFonts w:cs="Times New Roman"/>
                <w:noProof/>
              </w:rPr>
            </w:pPr>
            <w:r>
              <w:rPr>
                <w:noProof/>
              </w:rPr>
              <w:t xml:space="preserve">Vähintään 420 asemaa parannettiin, kun RENFE on kehittänyt SPO-operaattorina kaikki tai jotkin hankkeet, jotka luetellaan seuraavassa luettelossa: </w:t>
            </w:r>
            <w:r>
              <w:rPr>
                <w:noProof/>
              </w:rPr>
              <w:br/>
              <w:t>• Turvallisuusjärjestelmien digitalisointi asemilla (kuten älykäs videoanalyysi, kyberturvallisuus ja petost</w:t>
            </w:r>
            <w:r>
              <w:rPr>
                <w:noProof/>
              </w:rPr>
              <w:t xml:space="preserve">entorjunta) </w:t>
            </w:r>
            <w:r>
              <w:rPr>
                <w:noProof/>
              </w:rPr>
              <w:br/>
              <w:t xml:space="preserve">• Matkustajien tietojärjestelmät </w:t>
            </w:r>
            <w:r>
              <w:rPr>
                <w:noProof/>
              </w:rPr>
              <w:br/>
              <w:t xml:space="preserve">• Aseman kulunvalvonnan parantaminen </w:t>
            </w:r>
            <w:r>
              <w:rPr>
                <w:noProof/>
              </w:rPr>
              <w:br/>
              <w:t xml:space="preserve">• Lipunmyyntiautomaattihankkeet </w:t>
            </w:r>
            <w:r>
              <w:rPr>
                <w:noProof/>
              </w:rPr>
              <w:br/>
              <w:t xml:space="preserve">• Laitosten mukauttaminen </w:t>
            </w:r>
          </w:p>
        </w:tc>
      </w:tr>
      <w:tr w:rsidR="000E48CE" w14:paraId="6DCC179C" w14:textId="77777777">
        <w:trPr>
          <w:trHeight w:val="309"/>
        </w:trPr>
        <w:tc>
          <w:tcPr>
            <w:tcW w:w="709" w:type="dxa"/>
            <w:shd w:val="clear" w:color="auto" w:fill="C6EFCE"/>
            <w:noWrap/>
          </w:tcPr>
          <w:p w14:paraId="5AEA2AF6" w14:textId="77777777" w:rsidR="000E48CE" w:rsidRDefault="00FF4C4E">
            <w:pPr>
              <w:pStyle w:val="P68B1DB1-Normal13"/>
              <w:spacing w:after="0" w:line="240" w:lineRule="auto"/>
              <w:jc w:val="center"/>
              <w:rPr>
                <w:rFonts w:cs="Times New Roman"/>
                <w:noProof/>
              </w:rPr>
            </w:pPr>
            <w:r>
              <w:rPr>
                <w:noProof/>
              </w:rPr>
              <w:t>16</w:t>
            </w:r>
          </w:p>
        </w:tc>
        <w:tc>
          <w:tcPr>
            <w:tcW w:w="851" w:type="dxa"/>
            <w:shd w:val="clear" w:color="auto" w:fill="C6EFCE"/>
            <w:noWrap/>
          </w:tcPr>
          <w:p w14:paraId="647F12FB" w14:textId="77777777" w:rsidR="000E48CE" w:rsidRDefault="00FF4C4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7A080B6F"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21ABA2E1" w14:textId="77777777" w:rsidR="000E48CE" w:rsidRDefault="00FF4C4E">
            <w:pPr>
              <w:pStyle w:val="P68B1DB1-Normal13"/>
              <w:spacing w:after="0" w:line="240" w:lineRule="auto"/>
              <w:rPr>
                <w:rFonts w:cs="Times New Roman"/>
                <w:noProof/>
              </w:rPr>
            </w:pPr>
            <w:r>
              <w:rPr>
                <w:noProof/>
              </w:rPr>
              <w:t xml:space="preserve">Parannetut Cercanías-asemat </w:t>
            </w:r>
          </w:p>
        </w:tc>
        <w:tc>
          <w:tcPr>
            <w:tcW w:w="1134" w:type="dxa"/>
            <w:shd w:val="clear" w:color="auto" w:fill="C6EFCE"/>
            <w:noWrap/>
          </w:tcPr>
          <w:p w14:paraId="50944776"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63865CC5" w14:textId="77777777" w:rsidR="000E48CE" w:rsidRDefault="00FF4C4E">
            <w:pPr>
              <w:pStyle w:val="P68B1DB1-Normal13"/>
              <w:spacing w:after="0" w:line="240" w:lineRule="auto"/>
              <w:jc w:val="right"/>
              <w:rPr>
                <w:rFonts w:eastAsia="MS Mincho" w:cs="Times New Roman"/>
                <w:noProof/>
              </w:rPr>
            </w:pPr>
            <w:r>
              <w:rPr>
                <w:noProof/>
              </w:rPr>
              <w:t>Määrä</w:t>
            </w:r>
          </w:p>
        </w:tc>
        <w:tc>
          <w:tcPr>
            <w:tcW w:w="675" w:type="dxa"/>
            <w:shd w:val="clear" w:color="auto" w:fill="C6EFCE"/>
            <w:noWrap/>
          </w:tcPr>
          <w:p w14:paraId="34A1E8C7"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426BF3C2" w14:textId="77777777" w:rsidR="000E48CE" w:rsidRDefault="00FF4C4E">
            <w:pPr>
              <w:pStyle w:val="P68B1DB1-Normal13"/>
              <w:spacing w:after="0" w:line="240" w:lineRule="auto"/>
              <w:jc w:val="right"/>
              <w:rPr>
                <w:rFonts w:eastAsia="MS Mincho" w:cs="Times New Roman"/>
                <w:noProof/>
              </w:rPr>
            </w:pPr>
            <w:r>
              <w:rPr>
                <w:noProof/>
              </w:rPr>
              <w:t>20</w:t>
            </w:r>
          </w:p>
        </w:tc>
        <w:tc>
          <w:tcPr>
            <w:tcW w:w="425" w:type="dxa"/>
            <w:shd w:val="clear" w:color="auto" w:fill="C6EFCE"/>
            <w:noWrap/>
          </w:tcPr>
          <w:p w14:paraId="42732EAC"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57D2441D" w14:textId="77777777" w:rsidR="000E48CE" w:rsidRDefault="00FF4C4E">
            <w:pPr>
              <w:pStyle w:val="P68B1DB1-Normal13"/>
              <w:spacing w:after="0" w:line="240" w:lineRule="auto"/>
              <w:jc w:val="center"/>
              <w:rPr>
                <w:rFonts w:cs="Times New Roman"/>
                <w:noProof/>
              </w:rPr>
            </w:pPr>
            <w:r>
              <w:rPr>
                <w:noProof/>
              </w:rPr>
              <w:t>2023</w:t>
            </w:r>
          </w:p>
        </w:tc>
        <w:tc>
          <w:tcPr>
            <w:tcW w:w="5387" w:type="dxa"/>
            <w:shd w:val="clear" w:color="auto" w:fill="C6EFCE"/>
            <w:noWrap/>
          </w:tcPr>
          <w:p w14:paraId="388BFF40" w14:textId="77777777" w:rsidR="000E48CE" w:rsidRDefault="00FF4C4E">
            <w:pPr>
              <w:pStyle w:val="P68B1DB1-Normal13"/>
              <w:spacing w:after="0" w:line="240" w:lineRule="auto"/>
              <w:rPr>
                <w:rFonts w:cs="Times New Roman"/>
                <w:noProof/>
              </w:rPr>
            </w:pPr>
            <w:r>
              <w:rPr>
                <w:noProof/>
              </w:rPr>
              <w:t xml:space="preserve">Vähintään 20 Cercanías-asemaa, joita ADIF on parantanut pääasiassa esteettömyyden ja uusien tai kunnostettujen raiteiden osalta </w:t>
            </w:r>
          </w:p>
        </w:tc>
      </w:tr>
      <w:tr w:rsidR="000E48CE" w14:paraId="44008BF5" w14:textId="77777777">
        <w:trPr>
          <w:trHeight w:val="309"/>
        </w:trPr>
        <w:tc>
          <w:tcPr>
            <w:tcW w:w="709" w:type="dxa"/>
            <w:shd w:val="clear" w:color="auto" w:fill="C6EFCE"/>
            <w:noWrap/>
          </w:tcPr>
          <w:p w14:paraId="49B2A1F3" w14:textId="77777777" w:rsidR="000E48CE" w:rsidRDefault="00FF4C4E">
            <w:pPr>
              <w:pStyle w:val="P68B1DB1-Normal13"/>
              <w:spacing w:after="0" w:line="240" w:lineRule="auto"/>
              <w:jc w:val="center"/>
              <w:rPr>
                <w:rFonts w:cs="Times New Roman"/>
                <w:noProof/>
              </w:rPr>
            </w:pPr>
            <w:r>
              <w:rPr>
                <w:noProof/>
              </w:rPr>
              <w:t>17</w:t>
            </w:r>
          </w:p>
        </w:tc>
        <w:tc>
          <w:tcPr>
            <w:tcW w:w="851" w:type="dxa"/>
            <w:shd w:val="clear" w:color="auto" w:fill="C6EFCE"/>
            <w:noWrap/>
          </w:tcPr>
          <w:p w14:paraId="64FBBEDE" w14:textId="77777777" w:rsidR="000E48CE" w:rsidRDefault="00FF4C4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28D63174"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3C33EAB6" w14:textId="77777777" w:rsidR="000E48CE" w:rsidRDefault="00FF4C4E">
            <w:pPr>
              <w:pStyle w:val="P68B1DB1-Normal13"/>
              <w:spacing w:after="0" w:line="240" w:lineRule="auto"/>
              <w:rPr>
                <w:rFonts w:cs="Times New Roman"/>
                <w:noProof/>
              </w:rPr>
            </w:pPr>
            <w:r>
              <w:rPr>
                <w:noProof/>
              </w:rPr>
              <w:t xml:space="preserve">Lyhyen matkan ratoihin tehtäviin investointeihin myönnetty kumulatiivinen talousarvio </w:t>
            </w:r>
          </w:p>
        </w:tc>
        <w:tc>
          <w:tcPr>
            <w:tcW w:w="1134" w:type="dxa"/>
            <w:shd w:val="clear" w:color="auto" w:fill="C6EFCE"/>
            <w:noWrap/>
          </w:tcPr>
          <w:p w14:paraId="2EC00B1B"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1876CD1F" w14:textId="77777777" w:rsidR="000E48CE" w:rsidRDefault="00FF4C4E">
            <w:pPr>
              <w:pStyle w:val="P68B1DB1-Normal13"/>
              <w:spacing w:after="0" w:line="240" w:lineRule="auto"/>
              <w:jc w:val="right"/>
              <w:rPr>
                <w:rFonts w:eastAsia="MS Mincho" w:cs="Times New Roman"/>
                <w:noProof/>
              </w:rPr>
            </w:pPr>
            <w:r>
              <w:rPr>
                <w:noProof/>
              </w:rPr>
              <w:t>Miljoonaa euroa</w:t>
            </w:r>
          </w:p>
        </w:tc>
        <w:tc>
          <w:tcPr>
            <w:tcW w:w="675" w:type="dxa"/>
            <w:shd w:val="clear" w:color="auto" w:fill="C6EFCE"/>
            <w:noWrap/>
          </w:tcPr>
          <w:p w14:paraId="20A7EE96" w14:textId="77777777" w:rsidR="000E48CE" w:rsidRDefault="00FF4C4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6578BF8A" w14:textId="77777777" w:rsidR="000E48CE" w:rsidRDefault="00FF4C4E">
            <w:pPr>
              <w:pStyle w:val="P68B1DB1-Normal13"/>
              <w:spacing w:after="0" w:line="240" w:lineRule="auto"/>
              <w:jc w:val="right"/>
              <w:rPr>
                <w:rFonts w:eastAsia="MS Mincho" w:cs="Times New Roman"/>
                <w:noProof/>
              </w:rPr>
            </w:pPr>
            <w:r>
              <w:rPr>
                <w:noProof/>
              </w:rPr>
              <w:t>1 619</w:t>
            </w:r>
          </w:p>
        </w:tc>
        <w:tc>
          <w:tcPr>
            <w:tcW w:w="425" w:type="dxa"/>
            <w:shd w:val="clear" w:color="auto" w:fill="C6EFCE"/>
            <w:noWrap/>
          </w:tcPr>
          <w:p w14:paraId="6459032C"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45DB9A5B" w14:textId="77777777" w:rsidR="000E48CE" w:rsidRDefault="00FF4C4E">
            <w:pPr>
              <w:pStyle w:val="P68B1DB1-Normal13"/>
              <w:spacing w:after="0" w:line="240" w:lineRule="auto"/>
              <w:jc w:val="center"/>
              <w:rPr>
                <w:rFonts w:cs="Times New Roman"/>
                <w:noProof/>
              </w:rPr>
            </w:pPr>
            <w:r>
              <w:rPr>
                <w:noProof/>
              </w:rPr>
              <w:t>2024</w:t>
            </w:r>
          </w:p>
        </w:tc>
        <w:tc>
          <w:tcPr>
            <w:tcW w:w="5387" w:type="dxa"/>
            <w:shd w:val="clear" w:color="auto" w:fill="C6EFCE"/>
            <w:noWrap/>
          </w:tcPr>
          <w:p w14:paraId="14BD7A11" w14:textId="77777777" w:rsidR="000E48CE" w:rsidRDefault="00FF4C4E">
            <w:pPr>
              <w:pStyle w:val="P68B1DB1-Normal13"/>
              <w:spacing w:after="0" w:line="240" w:lineRule="auto"/>
              <w:rPr>
                <w:rFonts w:cs="Times New Roman"/>
                <w:noProof/>
              </w:rPr>
            </w:pPr>
            <w:r>
              <w:rPr>
                <w:noProof/>
              </w:rPr>
              <w:t xml:space="preserve">Lyhyen matkan rautatieyhteyksiin tehtäviin investointeihin myönnetyn kumulatiivisen talousarvion julkaiseminen Euroopan unionin virallisessa lehdessä: vähintään 1619000000 EUROA. </w:t>
            </w:r>
          </w:p>
        </w:tc>
      </w:tr>
      <w:tr w:rsidR="000E48CE" w14:paraId="3112A574" w14:textId="77777777">
        <w:trPr>
          <w:trHeight w:val="309"/>
        </w:trPr>
        <w:tc>
          <w:tcPr>
            <w:tcW w:w="709" w:type="dxa"/>
            <w:shd w:val="clear" w:color="auto" w:fill="C6EFCE"/>
            <w:noWrap/>
          </w:tcPr>
          <w:p w14:paraId="64060F2B" w14:textId="77777777" w:rsidR="000E48CE" w:rsidRDefault="00FF4C4E">
            <w:pPr>
              <w:pStyle w:val="P68B1DB1-Normal13"/>
              <w:spacing w:after="0" w:line="240" w:lineRule="auto"/>
              <w:jc w:val="center"/>
              <w:rPr>
                <w:rFonts w:cs="Times New Roman"/>
                <w:noProof/>
              </w:rPr>
            </w:pPr>
            <w:r>
              <w:rPr>
                <w:noProof/>
              </w:rPr>
              <w:t>18</w:t>
            </w:r>
          </w:p>
        </w:tc>
        <w:tc>
          <w:tcPr>
            <w:tcW w:w="851" w:type="dxa"/>
            <w:shd w:val="clear" w:color="auto" w:fill="C6EFCE"/>
            <w:noWrap/>
          </w:tcPr>
          <w:p w14:paraId="5780C44E" w14:textId="77777777" w:rsidR="000E48CE" w:rsidRDefault="00FF4C4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01F7BC75"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180578FF" w14:textId="77777777" w:rsidR="000E48CE" w:rsidRDefault="00FF4C4E">
            <w:pPr>
              <w:pStyle w:val="P68B1DB1-Normal13"/>
              <w:spacing w:after="0" w:line="240" w:lineRule="auto"/>
              <w:rPr>
                <w:rFonts w:cs="Times New Roman"/>
                <w:noProof/>
              </w:rPr>
            </w:pPr>
            <w:r>
              <w:rPr>
                <w:noProof/>
              </w:rPr>
              <w:t xml:space="preserve">Parannetut lyhyen matkan radat (Cercanías) </w:t>
            </w:r>
          </w:p>
        </w:tc>
        <w:tc>
          <w:tcPr>
            <w:tcW w:w="1134" w:type="dxa"/>
            <w:shd w:val="clear" w:color="auto" w:fill="C6EFCE"/>
            <w:noWrap/>
          </w:tcPr>
          <w:p w14:paraId="24FF93BA"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7BD2FCD1" w14:textId="77777777" w:rsidR="000E48CE" w:rsidRDefault="00FF4C4E">
            <w:pPr>
              <w:pStyle w:val="P68B1DB1-Normal13"/>
              <w:spacing w:after="0" w:line="240" w:lineRule="auto"/>
              <w:jc w:val="right"/>
              <w:rPr>
                <w:rFonts w:eastAsia="MS Mincho" w:cs="Times New Roman"/>
                <w:noProof/>
              </w:rPr>
            </w:pPr>
            <w:r>
              <w:rPr>
                <w:noProof/>
              </w:rPr>
              <w:t xml:space="preserve">Lukumäärä </w:t>
            </w:r>
            <w:r>
              <w:rPr>
                <w:noProof/>
              </w:rPr>
              <w:t>(km)</w:t>
            </w:r>
          </w:p>
        </w:tc>
        <w:tc>
          <w:tcPr>
            <w:tcW w:w="675" w:type="dxa"/>
            <w:shd w:val="clear" w:color="auto" w:fill="C6EFCE"/>
            <w:noWrap/>
          </w:tcPr>
          <w:p w14:paraId="6839CB3E" w14:textId="77777777" w:rsidR="000E48CE" w:rsidRDefault="00FF4C4E">
            <w:pPr>
              <w:pStyle w:val="P68B1DB1-Normal13"/>
              <w:spacing w:after="0" w:line="240" w:lineRule="auto"/>
              <w:jc w:val="right"/>
              <w:rPr>
                <w:rFonts w:eastAsia="MS Mincho" w:cs="Times New Roman"/>
                <w:noProof/>
              </w:rPr>
            </w:pPr>
            <w:r>
              <w:rPr>
                <w:noProof/>
              </w:rPr>
              <w:t>200</w:t>
            </w:r>
          </w:p>
        </w:tc>
        <w:tc>
          <w:tcPr>
            <w:tcW w:w="742" w:type="dxa"/>
            <w:shd w:val="clear" w:color="auto" w:fill="C6EFCE"/>
            <w:noWrap/>
          </w:tcPr>
          <w:p w14:paraId="0C370A54" w14:textId="77777777" w:rsidR="000E48CE" w:rsidRDefault="00FF4C4E">
            <w:pPr>
              <w:pStyle w:val="P68B1DB1-Normal13"/>
              <w:spacing w:after="0" w:line="240" w:lineRule="auto"/>
              <w:jc w:val="right"/>
              <w:rPr>
                <w:rFonts w:eastAsia="MS Mincho" w:cs="Times New Roman"/>
                <w:noProof/>
              </w:rPr>
            </w:pPr>
            <w:r>
              <w:rPr>
                <w:noProof/>
              </w:rPr>
              <w:t>700</w:t>
            </w:r>
          </w:p>
        </w:tc>
        <w:tc>
          <w:tcPr>
            <w:tcW w:w="425" w:type="dxa"/>
            <w:shd w:val="clear" w:color="auto" w:fill="C6EFCE"/>
            <w:noWrap/>
          </w:tcPr>
          <w:p w14:paraId="3693F535"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6532D109" w14:textId="77777777" w:rsidR="000E48CE" w:rsidRDefault="00FF4C4E">
            <w:pPr>
              <w:pStyle w:val="P68B1DB1-Normal13"/>
              <w:spacing w:after="0" w:line="240" w:lineRule="auto"/>
              <w:jc w:val="center"/>
              <w:rPr>
                <w:rFonts w:cs="Times New Roman"/>
                <w:noProof/>
              </w:rPr>
            </w:pPr>
            <w:r>
              <w:rPr>
                <w:noProof/>
              </w:rPr>
              <w:t>2026</w:t>
            </w:r>
          </w:p>
        </w:tc>
        <w:tc>
          <w:tcPr>
            <w:tcW w:w="5387" w:type="dxa"/>
            <w:shd w:val="clear" w:color="auto" w:fill="C6EFCE"/>
            <w:noWrap/>
          </w:tcPr>
          <w:p w14:paraId="698A3DDA" w14:textId="77777777" w:rsidR="000E48CE" w:rsidRDefault="00FF4C4E">
            <w:pPr>
              <w:pStyle w:val="P68B1DB1-Normal13"/>
              <w:spacing w:after="0" w:line="240" w:lineRule="auto"/>
              <w:rPr>
                <w:rFonts w:cs="Times New Roman"/>
                <w:noProof/>
              </w:rPr>
            </w:pPr>
            <w:r>
              <w:rPr>
                <w:noProof/>
              </w:rPr>
              <w:t>Vähintään 700 kilometriä lyhyen matkan ratoja, jotka on parannettu missä tahansa osajärjestelmässä: laituri-, raide-, sähköistämis-, turvallisuus- ja viestintä-/merkinantolaitteet.</w:t>
            </w:r>
            <w:r>
              <w:rPr>
                <w:noProof/>
              </w:rPr>
              <w:br/>
              <w:t>Kunnostettavien lyhyen matkan ratojen pituus olisi tul</w:t>
            </w:r>
            <w:r>
              <w:rPr>
                <w:noProof/>
              </w:rPr>
              <w:t xml:space="preserve">kittava kaupunki- tai suurkaupunkialueilla sijaitsevan pituuden perusteella, jolla on toteutettu merkittävä toimenpide, joka ei ole määrä tehdä tai korjata. Toimenpiteisiin voisi kuulua sähköistäminen, radan uudistaminen, merkinanto- ja turvajärjestelmien </w:t>
            </w:r>
            <w:r>
              <w:rPr>
                <w:noProof/>
              </w:rPr>
              <w:t xml:space="preserve">parantaminen sekä asemaparannukset, jotka ulottuvat huoltoa ja korjausta pidemmälle ja jotka on toteutettava koko maan alueella kaikissa väestökeskuksissa, joissa on palveluja Cercanías Ferroviariasilta.  </w:t>
            </w:r>
          </w:p>
          <w:p w14:paraId="7773D080" w14:textId="77777777" w:rsidR="000E48CE" w:rsidRDefault="00FF4C4E">
            <w:pPr>
              <w:pStyle w:val="P68B1DB1-Normal13"/>
              <w:spacing w:after="0" w:line="240" w:lineRule="auto"/>
              <w:rPr>
                <w:rFonts w:cs="Times New Roman"/>
                <w:noProof/>
              </w:rPr>
            </w:pPr>
            <w:r>
              <w:rPr>
                <w:noProof/>
              </w:rPr>
              <w:t>(Perustaso: Joulukuuta 2023)</w:t>
            </w:r>
          </w:p>
        </w:tc>
      </w:tr>
      <w:tr w:rsidR="000E48CE" w14:paraId="39CEA4D1" w14:textId="77777777">
        <w:trPr>
          <w:trHeight w:val="309"/>
        </w:trPr>
        <w:tc>
          <w:tcPr>
            <w:tcW w:w="709" w:type="dxa"/>
            <w:shd w:val="clear" w:color="auto" w:fill="C6EFCE"/>
            <w:noWrap/>
          </w:tcPr>
          <w:p w14:paraId="33621CCC" w14:textId="77777777" w:rsidR="000E48CE" w:rsidRDefault="00FF4C4E">
            <w:pPr>
              <w:pStyle w:val="P68B1DB1-Normal13"/>
              <w:spacing w:after="0" w:line="240" w:lineRule="auto"/>
              <w:jc w:val="center"/>
              <w:rPr>
                <w:rFonts w:cs="Times New Roman"/>
                <w:noProof/>
              </w:rPr>
            </w:pPr>
            <w:r>
              <w:rPr>
                <w:noProof/>
              </w:rPr>
              <w:t>19</w:t>
            </w:r>
          </w:p>
        </w:tc>
        <w:tc>
          <w:tcPr>
            <w:tcW w:w="851" w:type="dxa"/>
            <w:shd w:val="clear" w:color="auto" w:fill="C6EFCE"/>
            <w:noWrap/>
          </w:tcPr>
          <w:p w14:paraId="55F786CA" w14:textId="77777777" w:rsidR="000E48CE" w:rsidRDefault="00FF4C4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13FAD491"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18B988B5" w14:textId="77777777" w:rsidR="000E48CE" w:rsidRDefault="00FF4C4E">
            <w:pPr>
              <w:pStyle w:val="P68B1DB1-Normal13"/>
              <w:spacing w:after="0" w:line="240" w:lineRule="auto"/>
              <w:rPr>
                <w:rFonts w:cs="Times New Roman"/>
                <w:noProof/>
              </w:rPr>
            </w:pPr>
            <w:r>
              <w:rPr>
                <w:noProof/>
              </w:rPr>
              <w:t xml:space="preserve">Asemat ovat parantuneet digitalisaation myötä </w:t>
            </w:r>
          </w:p>
        </w:tc>
        <w:tc>
          <w:tcPr>
            <w:tcW w:w="1134" w:type="dxa"/>
            <w:shd w:val="clear" w:color="auto" w:fill="C6EFCE"/>
            <w:noWrap/>
          </w:tcPr>
          <w:p w14:paraId="20BE4CEA"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3F997996" w14:textId="77777777" w:rsidR="000E48CE" w:rsidRDefault="00FF4C4E">
            <w:pPr>
              <w:pStyle w:val="P68B1DB1-Normal13"/>
              <w:spacing w:after="0" w:line="240" w:lineRule="auto"/>
              <w:jc w:val="right"/>
              <w:rPr>
                <w:rFonts w:eastAsia="MS Mincho" w:cs="Times New Roman"/>
                <w:noProof/>
              </w:rPr>
            </w:pPr>
            <w:r>
              <w:rPr>
                <w:noProof/>
              </w:rPr>
              <w:t>Määrä</w:t>
            </w:r>
          </w:p>
        </w:tc>
        <w:tc>
          <w:tcPr>
            <w:tcW w:w="675" w:type="dxa"/>
            <w:shd w:val="clear" w:color="auto" w:fill="C6EFCE"/>
            <w:noWrap/>
          </w:tcPr>
          <w:p w14:paraId="7DDA3B64" w14:textId="77777777" w:rsidR="000E48CE" w:rsidRDefault="00FF4C4E">
            <w:pPr>
              <w:pStyle w:val="P68B1DB1-Normal13"/>
              <w:spacing w:after="0" w:line="240" w:lineRule="auto"/>
              <w:jc w:val="right"/>
              <w:rPr>
                <w:rFonts w:eastAsia="MS Mincho" w:cs="Times New Roman"/>
                <w:noProof/>
              </w:rPr>
            </w:pPr>
            <w:r>
              <w:rPr>
                <w:noProof/>
              </w:rPr>
              <w:t>420</w:t>
            </w:r>
          </w:p>
        </w:tc>
        <w:tc>
          <w:tcPr>
            <w:tcW w:w="742" w:type="dxa"/>
            <w:shd w:val="clear" w:color="auto" w:fill="C6EFCE"/>
            <w:noWrap/>
          </w:tcPr>
          <w:p w14:paraId="38256B9B" w14:textId="77777777" w:rsidR="000E48CE" w:rsidRDefault="00FF4C4E">
            <w:pPr>
              <w:pStyle w:val="P68B1DB1-Normal13"/>
              <w:spacing w:after="0" w:line="240" w:lineRule="auto"/>
              <w:jc w:val="right"/>
              <w:rPr>
                <w:rFonts w:eastAsia="MS Mincho" w:cs="Times New Roman"/>
                <w:noProof/>
              </w:rPr>
            </w:pPr>
            <w:r>
              <w:rPr>
                <w:noProof/>
              </w:rPr>
              <w:t>850</w:t>
            </w:r>
          </w:p>
        </w:tc>
        <w:tc>
          <w:tcPr>
            <w:tcW w:w="425" w:type="dxa"/>
            <w:shd w:val="clear" w:color="auto" w:fill="C6EFCE"/>
            <w:noWrap/>
          </w:tcPr>
          <w:p w14:paraId="0E9DF1F4"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5C57CC8B" w14:textId="77777777" w:rsidR="000E48CE" w:rsidRDefault="00FF4C4E">
            <w:pPr>
              <w:pStyle w:val="P68B1DB1-Normal13"/>
              <w:spacing w:after="0" w:line="240" w:lineRule="auto"/>
              <w:jc w:val="center"/>
              <w:rPr>
                <w:rFonts w:cs="Times New Roman"/>
                <w:noProof/>
              </w:rPr>
            </w:pPr>
            <w:r>
              <w:rPr>
                <w:noProof/>
              </w:rPr>
              <w:t>2026</w:t>
            </w:r>
          </w:p>
        </w:tc>
        <w:tc>
          <w:tcPr>
            <w:tcW w:w="5387" w:type="dxa"/>
            <w:shd w:val="clear" w:color="auto" w:fill="C6EFCE"/>
            <w:noWrap/>
          </w:tcPr>
          <w:p w14:paraId="2F4EE576" w14:textId="0D7494D4" w:rsidR="000E48CE" w:rsidRDefault="00FF4C4E">
            <w:pPr>
              <w:pStyle w:val="P68B1DB1-Normal13"/>
              <w:spacing w:after="0" w:line="240" w:lineRule="auto"/>
              <w:rPr>
                <w:rFonts w:cs="Times New Roman"/>
                <w:noProof/>
              </w:rPr>
            </w:pPr>
            <w:r>
              <w:rPr>
                <w:noProof/>
              </w:rPr>
              <w:t xml:space="preserve">Vähintään 850 asemaa parannettiin, kun RENFE on kehittänyt SPO-operaattorina kaikki tai jotkin hankkeet, jotka luetellaan seuraavassa luettelossa: </w:t>
            </w:r>
            <w:r>
              <w:rPr>
                <w:noProof/>
              </w:rPr>
              <w:br/>
              <w:t>• Turvallisuusjärjestelmien digitalis</w:t>
            </w:r>
            <w:r>
              <w:rPr>
                <w:noProof/>
              </w:rPr>
              <w:t xml:space="preserve">ointi asemilla (kuten älykäs videoanalyysi, kyberturvallisuus ja petostentorjunta) </w:t>
            </w:r>
            <w:r>
              <w:rPr>
                <w:noProof/>
              </w:rPr>
              <w:br/>
              <w:t xml:space="preserve">• Matkustajien tietojärjestelmät </w:t>
            </w:r>
            <w:r>
              <w:rPr>
                <w:noProof/>
              </w:rPr>
              <w:br/>
              <w:t xml:space="preserve">• Aseman kulunvalvonnan parantaminen </w:t>
            </w:r>
            <w:r>
              <w:rPr>
                <w:noProof/>
              </w:rPr>
              <w:br/>
              <w:t xml:space="preserve">• Lipunmyyntiautomaattihankkeet </w:t>
            </w:r>
            <w:r>
              <w:rPr>
                <w:noProof/>
              </w:rPr>
              <w:br/>
              <w:t xml:space="preserve">• Laitosten mukauttaminen </w:t>
            </w:r>
          </w:p>
          <w:p w14:paraId="00C5A81A" w14:textId="77777777" w:rsidR="000E48CE" w:rsidRDefault="00FF4C4E">
            <w:pPr>
              <w:pStyle w:val="P68B1DB1-Normal13"/>
              <w:spacing w:after="0" w:line="240" w:lineRule="auto"/>
              <w:rPr>
                <w:rFonts w:cs="Times New Roman"/>
                <w:noProof/>
              </w:rPr>
            </w:pPr>
            <w:r>
              <w:rPr>
                <w:noProof/>
              </w:rPr>
              <w:lastRenderedPageBreak/>
              <w:t>(Perustaso: Joulukuuta 2023)</w:t>
            </w:r>
          </w:p>
        </w:tc>
      </w:tr>
      <w:tr w:rsidR="000E48CE" w14:paraId="0E532E14" w14:textId="77777777">
        <w:trPr>
          <w:trHeight w:val="309"/>
        </w:trPr>
        <w:tc>
          <w:tcPr>
            <w:tcW w:w="709" w:type="dxa"/>
            <w:shd w:val="clear" w:color="auto" w:fill="C6EFCE"/>
            <w:noWrap/>
          </w:tcPr>
          <w:p w14:paraId="4795C8AF" w14:textId="77777777" w:rsidR="000E48CE" w:rsidRDefault="00FF4C4E">
            <w:pPr>
              <w:pStyle w:val="P68B1DB1-Normal13"/>
              <w:spacing w:after="0" w:line="240" w:lineRule="auto"/>
              <w:jc w:val="center"/>
              <w:rPr>
                <w:rFonts w:cs="Times New Roman"/>
                <w:noProof/>
              </w:rPr>
            </w:pPr>
            <w:r>
              <w:rPr>
                <w:noProof/>
              </w:rPr>
              <w:lastRenderedPageBreak/>
              <w:t>20</w:t>
            </w:r>
          </w:p>
        </w:tc>
        <w:tc>
          <w:tcPr>
            <w:tcW w:w="851" w:type="dxa"/>
            <w:shd w:val="clear" w:color="auto" w:fill="C6EFCE"/>
            <w:noWrap/>
          </w:tcPr>
          <w:p w14:paraId="5840AFF3" w14:textId="77777777" w:rsidR="000E48CE" w:rsidRDefault="00FF4C4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44AAD6F7"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6905ABD4" w14:textId="77777777" w:rsidR="000E48CE" w:rsidRDefault="00FF4C4E">
            <w:pPr>
              <w:pStyle w:val="P68B1DB1-Normal13"/>
              <w:spacing w:after="0" w:line="240" w:lineRule="auto"/>
              <w:rPr>
                <w:rFonts w:cs="Times New Roman"/>
                <w:noProof/>
              </w:rPr>
            </w:pPr>
            <w:r>
              <w:rPr>
                <w:noProof/>
              </w:rPr>
              <w:t xml:space="preserve">Parannetut Cercanías-asemat </w:t>
            </w:r>
          </w:p>
        </w:tc>
        <w:tc>
          <w:tcPr>
            <w:tcW w:w="1134" w:type="dxa"/>
            <w:shd w:val="clear" w:color="auto" w:fill="C6EFCE"/>
            <w:noWrap/>
          </w:tcPr>
          <w:p w14:paraId="199DC5A6" w14:textId="77777777" w:rsidR="000E48CE" w:rsidRDefault="00FF4C4E">
            <w:pPr>
              <w:pStyle w:val="P68B1DB1-Normal13"/>
              <w:spacing w:after="0" w:line="240" w:lineRule="auto"/>
              <w:jc w:val="center"/>
              <w:rPr>
                <w:rFonts w:cs="Times New Roman"/>
                <w:noProof/>
              </w:rPr>
            </w:pPr>
            <w:r>
              <w:rPr>
                <w:noProof/>
              </w:rPr>
              <w:t> </w:t>
            </w:r>
          </w:p>
        </w:tc>
        <w:tc>
          <w:tcPr>
            <w:tcW w:w="851" w:type="dxa"/>
            <w:shd w:val="clear" w:color="auto" w:fill="C6EFCE"/>
            <w:noWrap/>
          </w:tcPr>
          <w:p w14:paraId="54B43EC8" w14:textId="77777777" w:rsidR="000E48CE" w:rsidRDefault="00FF4C4E">
            <w:pPr>
              <w:pStyle w:val="P68B1DB1-Normal13"/>
              <w:spacing w:after="0" w:line="240" w:lineRule="auto"/>
              <w:jc w:val="right"/>
              <w:rPr>
                <w:rFonts w:eastAsia="MS Mincho" w:cs="Times New Roman"/>
                <w:noProof/>
              </w:rPr>
            </w:pPr>
            <w:r>
              <w:rPr>
                <w:noProof/>
              </w:rPr>
              <w:t>Määrä</w:t>
            </w:r>
          </w:p>
        </w:tc>
        <w:tc>
          <w:tcPr>
            <w:tcW w:w="675" w:type="dxa"/>
            <w:shd w:val="clear" w:color="auto" w:fill="C6EFCE"/>
            <w:noWrap/>
          </w:tcPr>
          <w:p w14:paraId="21D95174" w14:textId="77777777" w:rsidR="000E48CE" w:rsidRDefault="00FF4C4E">
            <w:pPr>
              <w:pStyle w:val="P68B1DB1-Normal13"/>
              <w:spacing w:after="0" w:line="240" w:lineRule="auto"/>
              <w:jc w:val="right"/>
              <w:rPr>
                <w:rFonts w:eastAsia="MS Mincho" w:cs="Times New Roman"/>
                <w:noProof/>
              </w:rPr>
            </w:pPr>
            <w:r>
              <w:rPr>
                <w:noProof/>
              </w:rPr>
              <w:t>20</w:t>
            </w:r>
          </w:p>
        </w:tc>
        <w:tc>
          <w:tcPr>
            <w:tcW w:w="742" w:type="dxa"/>
            <w:shd w:val="clear" w:color="auto" w:fill="C6EFCE"/>
            <w:noWrap/>
          </w:tcPr>
          <w:p w14:paraId="29169DF8" w14:textId="77777777" w:rsidR="000E48CE" w:rsidRDefault="00FF4C4E">
            <w:pPr>
              <w:pStyle w:val="P68B1DB1-Normal13"/>
              <w:spacing w:after="0" w:line="240" w:lineRule="auto"/>
              <w:jc w:val="right"/>
              <w:rPr>
                <w:rFonts w:eastAsia="MS Mincho" w:cs="Times New Roman"/>
                <w:noProof/>
              </w:rPr>
            </w:pPr>
            <w:r>
              <w:rPr>
                <w:noProof/>
              </w:rPr>
              <w:t>70</w:t>
            </w:r>
          </w:p>
        </w:tc>
        <w:tc>
          <w:tcPr>
            <w:tcW w:w="425" w:type="dxa"/>
            <w:shd w:val="clear" w:color="auto" w:fill="C6EFCE"/>
            <w:noWrap/>
          </w:tcPr>
          <w:p w14:paraId="63B6E9DD"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7B36BB04" w14:textId="77777777" w:rsidR="000E48CE" w:rsidRDefault="00FF4C4E">
            <w:pPr>
              <w:pStyle w:val="P68B1DB1-Normal13"/>
              <w:spacing w:after="0" w:line="240" w:lineRule="auto"/>
              <w:jc w:val="center"/>
              <w:rPr>
                <w:rFonts w:cs="Times New Roman"/>
                <w:noProof/>
              </w:rPr>
            </w:pPr>
            <w:r>
              <w:rPr>
                <w:noProof/>
              </w:rPr>
              <w:t>2026</w:t>
            </w:r>
          </w:p>
        </w:tc>
        <w:tc>
          <w:tcPr>
            <w:tcW w:w="5387" w:type="dxa"/>
            <w:shd w:val="clear" w:color="auto" w:fill="C6EFCE"/>
            <w:noWrap/>
          </w:tcPr>
          <w:p w14:paraId="7DB192B1" w14:textId="58E06F9D" w:rsidR="000E48CE" w:rsidRDefault="00FF4C4E">
            <w:pPr>
              <w:pStyle w:val="P68B1DB1-Normal13"/>
              <w:spacing w:after="0" w:line="240" w:lineRule="auto"/>
              <w:rPr>
                <w:rFonts w:cs="Times New Roman"/>
                <w:noProof/>
              </w:rPr>
            </w:pPr>
            <w:r>
              <w:rPr>
                <w:noProof/>
              </w:rPr>
              <w:t>Vähintään 70 Cercanías-asemaa, joita ADIF on parantanut pääasiassa esteettömyyden ja uusien tai kunnostettujen raiteiden osalta</w:t>
            </w:r>
          </w:p>
          <w:p w14:paraId="20559573" w14:textId="77777777" w:rsidR="000E48CE" w:rsidRDefault="00FF4C4E">
            <w:pPr>
              <w:pStyle w:val="P68B1DB1-Normal13"/>
              <w:spacing w:after="0" w:line="240" w:lineRule="auto"/>
              <w:rPr>
                <w:rFonts w:cs="Times New Roman"/>
                <w:noProof/>
              </w:rPr>
            </w:pPr>
            <w:r>
              <w:rPr>
                <w:noProof/>
              </w:rPr>
              <w:t>(Perustaso: Joulukuuta 2023)</w:t>
            </w:r>
          </w:p>
        </w:tc>
      </w:tr>
    </w:tbl>
    <w:p w14:paraId="4EDD7DA2" w14:textId="1CB3545C" w:rsidR="000E48CE" w:rsidRDefault="000E48CE">
      <w:pPr>
        <w:rPr>
          <w:rFonts w:ascii="Times New Roman" w:hAnsi="Times New Roman" w:cs="Times New Roman"/>
          <w:noProof/>
        </w:rPr>
      </w:pPr>
    </w:p>
    <w:p w14:paraId="1367D495" w14:textId="77777777" w:rsidR="000E48CE" w:rsidRDefault="000E48CE">
      <w:pPr>
        <w:rPr>
          <w:rFonts w:ascii="Times New Roman" w:hAnsi="Times New Roman" w:cs="Times New Roman"/>
          <w:noProof/>
        </w:rPr>
      </w:pPr>
    </w:p>
    <w:p w14:paraId="69DAA9C7" w14:textId="6DF030F0" w:rsidR="000E48CE" w:rsidRDefault="000E48CE">
      <w:pPr>
        <w:rPr>
          <w:rFonts w:ascii="Times New Roman" w:hAnsi="Times New Roman" w:cs="Times New Roman"/>
          <w:noProof/>
        </w:rPr>
      </w:pPr>
    </w:p>
    <w:p w14:paraId="5BB82DF8" w14:textId="6DF030F0" w:rsidR="000E48CE" w:rsidRDefault="000E48CE">
      <w:pPr>
        <w:rPr>
          <w:rFonts w:ascii="Times New Roman" w:hAnsi="Times New Roman" w:cs="Times New Roman"/>
          <w:noProof/>
          <w:sz w:val="24"/>
        </w:rPr>
      </w:pPr>
    </w:p>
    <w:p w14:paraId="1BC42712" w14:textId="77777777" w:rsidR="000E48CE" w:rsidRDefault="000E48CE">
      <w:pPr>
        <w:rPr>
          <w:rFonts w:ascii="Times New Roman" w:hAnsi="Times New Roman" w:cs="Times New Roman"/>
          <w:noProof/>
          <w:sz w:val="24"/>
        </w:rPr>
        <w:sectPr w:rsidR="000E48CE" w:rsidSect="00BF0BE2">
          <w:headerReference w:type="even" r:id="rId24"/>
          <w:headerReference w:type="default" r:id="rId25"/>
          <w:footerReference w:type="even" r:id="rId26"/>
          <w:footerReference w:type="default" r:id="rId27"/>
          <w:headerReference w:type="first" r:id="rId28"/>
          <w:footerReference w:type="first" r:id="rId29"/>
          <w:pgSz w:w="16839" w:h="11907" w:orient="landscape"/>
          <w:pgMar w:top="1417" w:right="1134" w:bottom="1417" w:left="1134" w:header="709" w:footer="709" w:gutter="0"/>
          <w:cols w:space="720"/>
          <w:docGrid w:linePitch="360"/>
        </w:sectPr>
      </w:pPr>
    </w:p>
    <w:p w14:paraId="6EB2900A" w14:textId="51884807" w:rsidR="000E48CE" w:rsidRDefault="00FF4C4E">
      <w:pPr>
        <w:pStyle w:val="P68B1DB1-Normal8"/>
        <w:spacing w:before="120" w:after="120" w:line="240" w:lineRule="auto"/>
        <w:jc w:val="both"/>
        <w:rPr>
          <w:rFonts w:cs="Times New Roman"/>
          <w:b/>
          <w:noProof/>
          <w:sz w:val="24"/>
          <w:u w:val="single"/>
        </w:rPr>
      </w:pPr>
      <w:r>
        <w:rPr>
          <w:b/>
          <w:noProof/>
          <w:sz w:val="24"/>
          <w:u w:val="single"/>
        </w:rPr>
        <w:lastRenderedPageBreak/>
        <w:t xml:space="preserve">A.4 </w:t>
      </w:r>
      <w:r>
        <w:rPr>
          <w:noProof/>
        </w:rPr>
        <w:tab/>
      </w:r>
      <w:r>
        <w:rPr>
          <w:b/>
          <w:noProof/>
          <w:sz w:val="24"/>
          <w:u w:val="single"/>
        </w:rPr>
        <w:t>Kuvaus lainatukeen liittyvistä uudistuksista ja investoinneista</w:t>
      </w:r>
    </w:p>
    <w:p w14:paraId="6080E2C9" w14:textId="46FBA745" w:rsidR="000E48CE" w:rsidRDefault="00FF4C4E">
      <w:pPr>
        <w:pStyle w:val="P68B1DB1-Normal6"/>
        <w:spacing w:before="120" w:after="120" w:line="240" w:lineRule="auto"/>
        <w:jc w:val="both"/>
        <w:rPr>
          <w:rFonts w:cs="Times New Roman"/>
          <w:noProof/>
        </w:rPr>
      </w:pPr>
      <w:r>
        <w:rPr>
          <w:noProof/>
        </w:rPr>
        <w:t>Uudistus 3 (C1.R3) – Kuninkaallinen asetus vähäpäästöisten vyöhykkeiden vähimmäisvaatimuksista</w:t>
      </w:r>
    </w:p>
    <w:p w14:paraId="5FFDA65D" w14:textId="133FB426" w:rsidR="000E48CE" w:rsidRDefault="00FF4C4E">
      <w:pPr>
        <w:pStyle w:val="P68B1DB1-Normal4"/>
        <w:spacing w:before="120" w:after="120" w:line="240" w:lineRule="auto"/>
        <w:jc w:val="both"/>
        <w:rPr>
          <w:rFonts w:cs="Times New Roman"/>
          <w:noProof/>
        </w:rPr>
      </w:pPr>
      <w:r>
        <w:rPr>
          <w:noProof/>
        </w:rPr>
        <w:t>Uudistuksen tavoitteena on saattaa voimaan 27 päivänä joulukuuta 2</w:t>
      </w:r>
      <w:r>
        <w:rPr>
          <w:noProof/>
        </w:rPr>
        <w:t>022 annettu kuninkaallinen asetus 1052/2022, jossa säädetään vähimmäisvaatimuksista, jotka paikallisviranomaisten on perustettava yli 50000 asukkaan kunnissa ja saarialueilla 20. toukokuuta 2021 annetun lain 7/2021 14 §:n 3 momentissa vahvistettujen oikeud</w:t>
      </w:r>
      <w:r>
        <w:rPr>
          <w:noProof/>
        </w:rPr>
        <w:t xml:space="preserve">ellisten vaatimusten mukaisesti. </w:t>
      </w:r>
    </w:p>
    <w:p w14:paraId="3821A1C6" w14:textId="45AC0A32" w:rsidR="000E48CE" w:rsidRDefault="00FF4C4E">
      <w:pPr>
        <w:pStyle w:val="P68B1DB1-Normal4"/>
        <w:spacing w:before="120" w:after="120" w:line="240" w:lineRule="auto"/>
        <w:jc w:val="both"/>
        <w:rPr>
          <w:rFonts w:cs="Times New Roman"/>
          <w:noProof/>
        </w:rPr>
      </w:pPr>
      <w:r>
        <w:rPr>
          <w:noProof/>
        </w:rPr>
        <w:t xml:space="preserve">Nämä kuninkaan asetuksessa säädetyt vähimmäisvaatimukset koskevat: </w:t>
      </w:r>
    </w:p>
    <w:p w14:paraId="331A4407" w14:textId="103345F9" w:rsidR="000E48CE" w:rsidRDefault="00FF4C4E">
      <w:pPr>
        <w:pStyle w:val="P68B1DB1-Normal4"/>
        <w:spacing w:before="120" w:after="120" w:line="240" w:lineRule="auto"/>
        <w:jc w:val="both"/>
        <w:rPr>
          <w:rFonts w:cs="Times New Roman"/>
          <w:noProof/>
        </w:rPr>
      </w:pPr>
      <w:r>
        <w:rPr>
          <w:noProof/>
        </w:rPr>
        <w:t>— paikallisviranomaisten velvollisuus määrittää erityistoimenpiteet, jotka on toteutettava, jotta voidaan saavuttaa LEZ-alueiden tavoitteet, jotka ovat il</w:t>
      </w:r>
      <w:r>
        <w:rPr>
          <w:noProof/>
        </w:rPr>
        <w:t>manlaadun parantaminen ja ilmastonmuutoksen vaikutusten lieventäminen sekä melua, kestävää liikkuvuutta ja energiatehokkuutta koskevien tavoitteiden noudattaminen liikennevälineiden käytössä. Näillä toimenpiteillä pyritään kannustamaan liikennemuotosiirtym</w:t>
      </w:r>
      <w:r>
        <w:rPr>
          <w:noProof/>
        </w:rPr>
        <w:t>ää kestävämpiin liikennemuotoihin ja asettamaan etusijalle aktiivinen liikkuvuus ja julkinen liikenne.</w:t>
      </w:r>
    </w:p>
    <w:p w14:paraId="4B535B1A" w14:textId="3AB8A5F8" w:rsidR="000E48CE" w:rsidRDefault="00FF4C4E">
      <w:pPr>
        <w:pStyle w:val="P68B1DB1-Normal4"/>
        <w:spacing w:before="120" w:after="120" w:line="240" w:lineRule="auto"/>
        <w:jc w:val="both"/>
        <w:rPr>
          <w:rFonts w:cs="Times New Roman"/>
          <w:noProof/>
        </w:rPr>
      </w:pPr>
      <w:r>
        <w:rPr>
          <w:noProof/>
        </w:rPr>
        <w:t>— Velvollisuus rajata LEZ-alueet ottaen huomioon niiden matkojen lähtö- ja määräpaikka, joilla on katsottu tarpeelliseksi puuttua liikennemuotosiirtymään</w:t>
      </w:r>
      <w:r>
        <w:rPr>
          <w:noProof/>
        </w:rPr>
        <w:t xml:space="preserve"> tai matkojen vähentämiseen kannustamalla. </w:t>
      </w:r>
    </w:p>
    <w:p w14:paraId="65D0042B" w14:textId="3C11E84F" w:rsidR="000E48CE" w:rsidRDefault="00FF4C4E">
      <w:pPr>
        <w:pStyle w:val="P68B1DB1-Normal4"/>
        <w:spacing w:before="120" w:after="120" w:line="240" w:lineRule="auto"/>
        <w:jc w:val="both"/>
        <w:rPr>
          <w:rFonts w:cs="Times New Roman"/>
          <w:noProof/>
        </w:rPr>
      </w:pPr>
      <w:r>
        <w:rPr>
          <w:noProof/>
        </w:rPr>
        <w:t xml:space="preserve">— LEZ-alueiden pinta-alan on oltava riittävä ja riittävä asetettujen tavoitteiden saavuttamiseksi ja oikeassa suhteessa niihin. Kuninkaan asetuksessa säädetään mahdollisuudesta suunnitella paikallisviranomaisten </w:t>
      </w:r>
      <w:r>
        <w:rPr>
          <w:noProof/>
        </w:rPr>
        <w:t xml:space="preserve">päätöksellä useita LEZ-alueita suurissa kaupungeissa ja saarialueilla. </w:t>
      </w:r>
    </w:p>
    <w:p w14:paraId="0A17EE4E" w14:textId="2C33315A" w:rsidR="000E48CE" w:rsidRDefault="00FF4C4E">
      <w:pPr>
        <w:pStyle w:val="P68B1DB1-Normal4"/>
        <w:spacing w:before="120" w:after="120" w:line="240" w:lineRule="auto"/>
        <w:jc w:val="both"/>
        <w:rPr>
          <w:rFonts w:cs="Times New Roman"/>
          <w:noProof/>
        </w:rPr>
      </w:pPr>
      <w:r>
        <w:rPr>
          <w:noProof/>
        </w:rPr>
        <w:t>— Määrällisesti ilmaistavien ilmanlaatutavoitteiden määrittely, joka johtaa parannuksiin lähtötilanteeseen verrattuna ilman vähiten kehittyneitä alueita. Vähiten kehittyneillä talousal</w:t>
      </w:r>
      <w:r>
        <w:rPr>
          <w:noProof/>
        </w:rPr>
        <w:t>ueilla edistetään lisäksi Maailman terveysjärjestön ilmanlaatudirektiivien ohjearvojen saavuttamista.</w:t>
      </w:r>
    </w:p>
    <w:p w14:paraId="0C6247AF" w14:textId="718EA12D" w:rsidR="000E48CE" w:rsidRDefault="00FF4C4E">
      <w:pPr>
        <w:pStyle w:val="P68B1DB1-Normal4"/>
        <w:spacing w:before="120" w:after="120" w:line="240" w:lineRule="auto"/>
        <w:jc w:val="both"/>
        <w:rPr>
          <w:rFonts w:cs="Times New Roman"/>
          <w:noProof/>
        </w:rPr>
      </w:pPr>
      <w:r>
        <w:rPr>
          <w:noProof/>
        </w:rPr>
        <w:t>— Vähäpäästöisiä talousalueita koskevaan hankkeeseen on sisällyttävä mitattavissa ja määrällisesti ilmaistavissa olevia tavoitteita kasvihuonekaasupäästöj</w:t>
      </w:r>
      <w:r>
        <w:rPr>
          <w:noProof/>
        </w:rPr>
        <w:t>en vähentämiseksi vähiten kehittyneillä talousalueilla vuoteen 2030 mennessä kansallisessa yhdennetyssä energia- ja ilmastosuunnitelmassa (PNIEC) asetettujen tavoitteiden ja erityisesti yksityisten moottoriajoneuvojen käytön vähentämistä muihin liikennemuo</w:t>
      </w:r>
      <w:r>
        <w:rPr>
          <w:noProof/>
        </w:rPr>
        <w:t xml:space="preserve">toihin verrattuna koskevan tavoitteen kanssa. </w:t>
      </w:r>
    </w:p>
    <w:p w14:paraId="17220018" w14:textId="105E6062" w:rsidR="000E48CE" w:rsidRDefault="00FF4C4E">
      <w:pPr>
        <w:pStyle w:val="P68B1DB1-Normal4"/>
        <w:spacing w:before="120" w:after="120" w:line="240" w:lineRule="auto"/>
        <w:jc w:val="both"/>
        <w:rPr>
          <w:rFonts w:cs="Times New Roman"/>
          <w:noProof/>
        </w:rPr>
      </w:pPr>
      <w:r>
        <w:rPr>
          <w:noProof/>
        </w:rPr>
        <w:t xml:space="preserve">— Ajoneuvojen pääsyä, liikennöintiä ja pysäköintiä koskevat kiellot tai rajoitukset niiden saastuttamispotentiaalin mukaan. </w:t>
      </w:r>
    </w:p>
    <w:p w14:paraId="49F755DC" w14:textId="6FEB6BD5" w:rsidR="000E48CE" w:rsidRDefault="00FF4C4E">
      <w:pPr>
        <w:pStyle w:val="P68B1DB1-Normal4"/>
        <w:spacing w:before="120" w:after="120" w:line="240" w:lineRule="auto"/>
        <w:jc w:val="both"/>
        <w:rPr>
          <w:rFonts w:cs="Times New Roman"/>
          <w:noProof/>
        </w:rPr>
      </w:pPr>
      <w:r>
        <w:rPr>
          <w:noProof/>
        </w:rPr>
        <w:t>Kuninkaan asetuksessa myönnetään jo olemassa oleville LEZ-alueille, jotka on peruste</w:t>
      </w:r>
      <w:r>
        <w:rPr>
          <w:noProof/>
        </w:rPr>
        <w:t>ttu ennen kuninkaan asetuksen 1052/2022 hyväksymistä, 18 kuukauden siirtymäaika, jotta ne voivat mukautua näihin vähimmäisvaatimuksiin.</w:t>
      </w:r>
    </w:p>
    <w:p w14:paraId="5A9B3D10" w14:textId="35F924EE" w:rsidR="000E48CE" w:rsidRDefault="00FF4C4E">
      <w:pPr>
        <w:pStyle w:val="P68B1DB1-Normal4"/>
        <w:spacing w:after="0"/>
        <w:rPr>
          <w:rFonts w:cs="Times New Roman"/>
          <w:noProof/>
        </w:rPr>
      </w:pPr>
      <w:r>
        <w:rPr>
          <w:noProof/>
        </w:rPr>
        <w:t xml:space="preserve">Toimenpiteen täytäntöönpano on saatettava päätökseen joulukuuhun 2022 mennessä. </w:t>
      </w:r>
    </w:p>
    <w:p w14:paraId="7FBD4578" w14:textId="3C3D3D0F" w:rsidR="000E48CE" w:rsidRDefault="000E48CE">
      <w:pPr>
        <w:spacing w:before="120" w:after="120" w:line="240" w:lineRule="auto"/>
        <w:rPr>
          <w:rFonts w:ascii="Times New Roman" w:eastAsia="Times New Roman" w:hAnsi="Times New Roman" w:cs="Times New Roman"/>
          <w:noProof/>
          <w:sz w:val="24"/>
        </w:rPr>
      </w:pPr>
    </w:p>
    <w:p w14:paraId="01CE9A3D" w14:textId="0CC93156" w:rsidR="000E48CE" w:rsidRDefault="00FF4C4E">
      <w:pPr>
        <w:pStyle w:val="P68B1DB1-Normal15"/>
        <w:spacing w:before="120" w:after="120" w:line="240" w:lineRule="auto"/>
        <w:ind w:left="720"/>
        <w:jc w:val="both"/>
        <w:rPr>
          <w:rFonts w:cs="Times New Roman"/>
          <w:b/>
          <w:noProof/>
          <w:sz w:val="24"/>
        </w:rPr>
      </w:pPr>
      <w:r>
        <w:rPr>
          <w:b/>
          <w:noProof/>
          <w:sz w:val="24"/>
        </w:rPr>
        <w:t xml:space="preserve">A.5 </w:t>
      </w:r>
      <w:r>
        <w:rPr>
          <w:noProof/>
        </w:rPr>
        <w:tab/>
      </w:r>
      <w:r>
        <w:rPr>
          <w:b/>
          <w:noProof/>
          <w:sz w:val="24"/>
        </w:rPr>
        <w:t>Lainatuen seurannan ja täytäntöön</w:t>
      </w:r>
      <w:r>
        <w:rPr>
          <w:b/>
          <w:noProof/>
          <w:sz w:val="24"/>
        </w:rPr>
        <w:t>panon välitavoitteet, tavoitteet, indikaattorit ja aikataulu</w:t>
      </w:r>
    </w:p>
    <w:p w14:paraId="25E41C73" w14:textId="7A957642" w:rsidR="000E48CE" w:rsidRDefault="00FF4C4E">
      <w:pPr>
        <w:pStyle w:val="P68B1DB1-Normal4"/>
        <w:spacing w:before="120" w:after="120" w:line="240" w:lineRule="auto"/>
        <w:jc w:val="both"/>
        <w:rPr>
          <w:rFonts w:cs="Times New Roman"/>
          <w:i/>
          <w:noProof/>
        </w:rPr>
        <w:sectPr w:rsidR="000E48CE" w:rsidSect="00BF0BE2">
          <w:headerReference w:type="even" r:id="rId30"/>
          <w:headerReference w:type="default" r:id="rId31"/>
          <w:footerReference w:type="even" r:id="rId32"/>
          <w:footerReference w:type="default" r:id="rId33"/>
          <w:headerReference w:type="first" r:id="rId34"/>
          <w:footerReference w:type="first" r:id="rId35"/>
          <w:pgSz w:w="11907" w:h="16839"/>
          <w:pgMar w:top="1134" w:right="1417" w:bottom="1134" w:left="1417" w:header="709" w:footer="709" w:gutter="0"/>
          <w:cols w:space="720"/>
          <w:docGrid w:linePitch="360"/>
        </w:sectPr>
      </w:pPr>
      <w:r>
        <w:rPr>
          <w:i/>
          <w:noProof/>
        </w:rPr>
        <w:t>Ks. taulukko jäljempänä.</w:t>
      </w:r>
      <w:r>
        <w:rPr>
          <w:noProof/>
        </w:rPr>
        <w:t xml:space="preserve"> </w:t>
      </w:r>
      <w:r>
        <w:rPr>
          <w:i/>
          <w:noProof/>
        </w:rPr>
        <w:t>Kaikkien indikaattoreiden perustaso on 1. helmikuuta 2020, ellei toimen kuvauksessa toisin ilmoiteta. Taulukossa</w:t>
      </w:r>
      <w:r>
        <w:rPr>
          <w:i/>
          <w:noProof/>
        </w:rPr>
        <w:t xml:space="preserve"> esitetyt määrät eivät sisällä alv:tä.</w:t>
      </w:r>
    </w:p>
    <w:p w14:paraId="3592CA0E" w14:textId="7BF58D31" w:rsidR="000E48CE" w:rsidRDefault="000E48CE">
      <w:pPr>
        <w:spacing w:before="120" w:after="120" w:line="240" w:lineRule="auto"/>
        <w:jc w:val="both"/>
        <w:rPr>
          <w:rFonts w:ascii="Times New Roman" w:hAnsi="Times New Roman" w:cs="Times New Roman"/>
          <w:i/>
          <w:noProof/>
          <w:sz w:val="24"/>
        </w:r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567"/>
        <w:gridCol w:w="850"/>
        <w:gridCol w:w="425"/>
        <w:gridCol w:w="567"/>
        <w:gridCol w:w="5387"/>
      </w:tblGrid>
      <w:tr w:rsidR="000E48CE" w14:paraId="6BD95B45" w14:textId="77777777">
        <w:trPr>
          <w:trHeight w:val="309"/>
          <w:tblHeader/>
        </w:trPr>
        <w:tc>
          <w:tcPr>
            <w:tcW w:w="709" w:type="dxa"/>
            <w:tcBorders>
              <w:bottom w:val="nil"/>
            </w:tcBorders>
            <w:shd w:val="clear" w:color="auto" w:fill="C6D9F1" w:themeFill="text2" w:themeFillTint="33"/>
            <w:noWrap/>
          </w:tcPr>
          <w:p w14:paraId="1AACD3FD"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tcPr>
          <w:p w14:paraId="734D5A56"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tcPr>
          <w:p w14:paraId="798F95BE"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977" w:type="dxa"/>
            <w:tcBorders>
              <w:bottom w:val="nil"/>
            </w:tcBorders>
            <w:shd w:val="clear" w:color="auto" w:fill="C6D9F1" w:themeFill="text2" w:themeFillTint="33"/>
            <w:noWrap/>
          </w:tcPr>
          <w:p w14:paraId="147087A6" w14:textId="77777777" w:rsidR="000E48CE" w:rsidRDefault="00FF4C4E">
            <w:pPr>
              <w:pStyle w:val="P68B1DB1-Normal12"/>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tcPr>
          <w:p w14:paraId="3C1094E4"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268" w:type="dxa"/>
            <w:gridSpan w:val="3"/>
            <w:shd w:val="clear" w:color="auto" w:fill="C6D9F1" w:themeFill="text2" w:themeFillTint="33"/>
            <w:noWrap/>
          </w:tcPr>
          <w:p w14:paraId="632CC166"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tcPr>
          <w:p w14:paraId="47044656" w14:textId="77777777" w:rsidR="000E48CE" w:rsidRDefault="00FF4C4E">
            <w:pPr>
              <w:pStyle w:val="P68B1DB1-Normal12"/>
              <w:spacing w:after="0" w:line="240" w:lineRule="auto"/>
              <w:jc w:val="center"/>
              <w:rPr>
                <w:rFonts w:cs="Times New Roman"/>
                <w:noProof/>
              </w:rPr>
            </w:pPr>
            <w:r>
              <w:rPr>
                <w:noProof/>
              </w:rPr>
              <w:t>Aika</w:t>
            </w:r>
          </w:p>
        </w:tc>
        <w:tc>
          <w:tcPr>
            <w:tcW w:w="5387" w:type="dxa"/>
            <w:tcBorders>
              <w:bottom w:val="nil"/>
            </w:tcBorders>
            <w:shd w:val="clear" w:color="auto" w:fill="C6D9F1" w:themeFill="text2" w:themeFillTint="33"/>
            <w:noWrap/>
          </w:tcPr>
          <w:p w14:paraId="0A0B3ABF"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148BE033" w14:textId="77777777">
        <w:trPr>
          <w:trHeight w:val="309"/>
          <w:tblHeader/>
        </w:trPr>
        <w:tc>
          <w:tcPr>
            <w:tcW w:w="709" w:type="dxa"/>
            <w:tcBorders>
              <w:top w:val="nil"/>
            </w:tcBorders>
            <w:shd w:val="clear" w:color="auto" w:fill="C6D9F1" w:themeFill="text2" w:themeFillTint="33"/>
            <w:noWrap/>
          </w:tcPr>
          <w:p w14:paraId="0C8F5484"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1A9F589"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03D81B5" w14:textId="77777777" w:rsidR="000E48CE" w:rsidRDefault="000E48CE">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72A5B6D2" w14:textId="77777777" w:rsidR="000E48CE" w:rsidRDefault="000E48C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5A638DB9" w14:textId="77777777" w:rsidR="000E48CE" w:rsidRDefault="000E48CE">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3840E0BA"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tcPr>
          <w:p w14:paraId="2BFA1657" w14:textId="77777777" w:rsidR="000E48CE" w:rsidRDefault="00FF4C4E">
            <w:pPr>
              <w:pStyle w:val="P68B1DB1-Normal12"/>
              <w:spacing w:after="0" w:line="240" w:lineRule="auto"/>
              <w:jc w:val="center"/>
              <w:rPr>
                <w:rFonts w:cs="Times New Roman"/>
                <w:noProof/>
              </w:rPr>
            </w:pPr>
            <w:r>
              <w:rPr>
                <w:noProof/>
              </w:rPr>
              <w:t>Perusviiva</w:t>
            </w:r>
          </w:p>
        </w:tc>
        <w:tc>
          <w:tcPr>
            <w:tcW w:w="850" w:type="dxa"/>
            <w:shd w:val="clear" w:color="auto" w:fill="C6D9F1" w:themeFill="text2" w:themeFillTint="33"/>
            <w:noWrap/>
          </w:tcPr>
          <w:p w14:paraId="3437C81F"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tcPr>
          <w:p w14:paraId="5B050FCC"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6C3BEA56" w14:textId="77777777" w:rsidR="000E48CE" w:rsidRDefault="00FF4C4E">
            <w:pPr>
              <w:pStyle w:val="P68B1DB1-Normal12"/>
              <w:spacing w:after="0" w:line="240" w:lineRule="auto"/>
              <w:jc w:val="center"/>
              <w:rPr>
                <w:rFonts w:cs="Times New Roman"/>
                <w:noProof/>
              </w:rPr>
            </w:pPr>
            <w:r>
              <w:rPr>
                <w:noProof/>
              </w:rPr>
              <w:t>Vuosi</w:t>
            </w:r>
          </w:p>
        </w:tc>
        <w:tc>
          <w:tcPr>
            <w:tcW w:w="5387" w:type="dxa"/>
            <w:tcBorders>
              <w:top w:val="nil"/>
            </w:tcBorders>
            <w:shd w:val="clear" w:color="auto" w:fill="C6D9F1" w:themeFill="text2" w:themeFillTint="33"/>
            <w:noWrap/>
          </w:tcPr>
          <w:p w14:paraId="5199CE4A" w14:textId="77777777" w:rsidR="000E48CE" w:rsidRDefault="000E48CE">
            <w:pPr>
              <w:spacing w:after="0" w:line="240" w:lineRule="auto"/>
              <w:rPr>
                <w:rFonts w:ascii="Times New Roman" w:hAnsi="Times New Roman" w:cs="Times New Roman"/>
                <w:b/>
                <w:noProof/>
                <w:sz w:val="18"/>
              </w:rPr>
            </w:pPr>
          </w:p>
        </w:tc>
      </w:tr>
      <w:tr w:rsidR="000E48CE" w14:paraId="3E464E53" w14:textId="77777777">
        <w:trPr>
          <w:trHeight w:val="1382"/>
        </w:trPr>
        <w:tc>
          <w:tcPr>
            <w:tcW w:w="709" w:type="dxa"/>
            <w:shd w:val="clear" w:color="auto" w:fill="C6EFCE"/>
            <w:noWrap/>
          </w:tcPr>
          <w:p w14:paraId="5524CCE8" w14:textId="42F22272" w:rsidR="000E48CE" w:rsidRDefault="00FF4C4E">
            <w:pPr>
              <w:spacing w:after="0" w:line="240" w:lineRule="auto"/>
              <w:jc w:val="center"/>
              <w:rPr>
                <w:rFonts w:ascii="Times New Roman" w:eastAsia="MS Mincho" w:hAnsi="Times New Roman" w:cs="Times New Roman"/>
                <w:noProof/>
                <w:sz w:val="18"/>
              </w:rPr>
            </w:pPr>
            <w:r>
              <w:rPr>
                <w:rFonts w:ascii="Times New Roman" w:hAnsi="Times New Roman"/>
                <w:noProof/>
                <w:sz w:val="18"/>
              </w:rPr>
              <w:t>L1</w:t>
            </w:r>
            <w:r>
              <w:rPr>
                <w:rFonts w:ascii="Arial" w:hAnsi="Arial"/>
                <w:b/>
                <w:noProof/>
                <w:sz w:val="48"/>
              </w:rPr>
              <w:t xml:space="preserve"> </w:t>
            </w:r>
            <w:r>
              <w:rPr>
                <w:rFonts w:ascii="Arial" w:hAnsi="Arial"/>
                <w:b/>
                <w:noProof/>
                <w:sz w:val="48"/>
              </w:rPr>
              <w:tab/>
            </w:r>
            <w:r>
              <w:rPr>
                <w:rFonts w:ascii="Arial" w:hAnsi="Arial"/>
                <w:b/>
                <w:noProof/>
                <w:sz w:val="48"/>
              </w:rPr>
              <w:tab/>
            </w:r>
            <w:r>
              <w:rPr>
                <w:noProof/>
              </w:rPr>
              <w:tab/>
            </w:r>
          </w:p>
        </w:tc>
        <w:tc>
          <w:tcPr>
            <w:tcW w:w="851" w:type="dxa"/>
            <w:shd w:val="clear" w:color="auto" w:fill="C6EFCE"/>
            <w:noWrap/>
          </w:tcPr>
          <w:p w14:paraId="7FD5CBF3" w14:textId="6A46C06E" w:rsidR="000E48CE" w:rsidRDefault="00FF4C4E">
            <w:pPr>
              <w:pStyle w:val="P68B1DB1-Normal13"/>
              <w:spacing w:after="0" w:line="240" w:lineRule="auto"/>
              <w:jc w:val="center"/>
              <w:rPr>
                <w:rFonts w:eastAsia="MS Mincho" w:cs="Times New Roman"/>
                <w:noProof/>
              </w:rPr>
            </w:pPr>
            <w:r>
              <w:rPr>
                <w:noProof/>
              </w:rPr>
              <w:t>C1.R3</w:t>
            </w:r>
          </w:p>
        </w:tc>
        <w:tc>
          <w:tcPr>
            <w:tcW w:w="850" w:type="dxa"/>
            <w:shd w:val="clear" w:color="auto" w:fill="C6EFCE"/>
            <w:noWrap/>
          </w:tcPr>
          <w:p w14:paraId="47FE2A27" w14:textId="77777777" w:rsidR="000E48CE" w:rsidRDefault="00FF4C4E">
            <w:pPr>
              <w:pStyle w:val="P68B1DB1-Normal13"/>
              <w:spacing w:after="0" w:line="240" w:lineRule="auto"/>
              <w:jc w:val="center"/>
              <w:rPr>
                <w:rFonts w:eastAsia="MS Mincho" w:cs="Times New Roman"/>
                <w:noProof/>
              </w:rPr>
            </w:pPr>
            <w:r>
              <w:rPr>
                <w:noProof/>
              </w:rPr>
              <w:t>M</w:t>
            </w:r>
          </w:p>
        </w:tc>
        <w:tc>
          <w:tcPr>
            <w:tcW w:w="2977" w:type="dxa"/>
            <w:shd w:val="clear" w:color="auto" w:fill="C6EFCE"/>
            <w:noWrap/>
          </w:tcPr>
          <w:p w14:paraId="7CA40430" w14:textId="6B532929" w:rsidR="000E48CE" w:rsidRDefault="00FF4C4E">
            <w:pPr>
              <w:pStyle w:val="P68B1DB1-Normal13"/>
              <w:spacing w:after="0" w:line="240" w:lineRule="auto"/>
              <w:rPr>
                <w:rFonts w:eastAsia="MS Mincho" w:cs="Times New Roman"/>
                <w:noProof/>
              </w:rPr>
            </w:pPr>
            <w:r>
              <w:rPr>
                <w:noProof/>
              </w:rPr>
              <w:t>Vähäpäästöisiä vyöhykkeitä koskevan kuninkaallisen asetuksen voimaantulo</w:t>
            </w:r>
          </w:p>
        </w:tc>
        <w:tc>
          <w:tcPr>
            <w:tcW w:w="1134" w:type="dxa"/>
            <w:shd w:val="clear" w:color="auto" w:fill="C6EFCE"/>
            <w:noWrap/>
          </w:tcPr>
          <w:p w14:paraId="3B41A677" w14:textId="0A7A99E8" w:rsidR="000E48CE" w:rsidRDefault="00FF4C4E">
            <w:pPr>
              <w:pStyle w:val="P68B1DB1-Normal13"/>
              <w:spacing w:after="0" w:line="240" w:lineRule="auto"/>
              <w:jc w:val="center"/>
              <w:rPr>
                <w:rFonts w:eastAsia="MS Mincho" w:cs="Times New Roman"/>
                <w:noProof/>
              </w:rPr>
            </w:pPr>
            <w:r>
              <w:rPr>
                <w:noProof/>
              </w:rPr>
              <w:t>Kuninkaan asetuksen voimaantulopäivän osoittava säännös</w:t>
            </w:r>
          </w:p>
        </w:tc>
        <w:tc>
          <w:tcPr>
            <w:tcW w:w="851" w:type="dxa"/>
            <w:shd w:val="clear" w:color="auto" w:fill="C6EFCE"/>
            <w:noWrap/>
          </w:tcPr>
          <w:p w14:paraId="609BF4FA"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5A11FB2D"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850" w:type="dxa"/>
            <w:shd w:val="clear" w:color="auto" w:fill="C6EFCE"/>
            <w:noWrap/>
          </w:tcPr>
          <w:p w14:paraId="7EDDDDD0"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2093670E"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51E54C8A" w14:textId="6B1993A0"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4B63CC5" w14:textId="32E6CE3F" w:rsidR="000E48CE" w:rsidRDefault="00FF4C4E">
            <w:pPr>
              <w:pStyle w:val="P68B1DB1-Normal13"/>
              <w:spacing w:after="0" w:line="240" w:lineRule="auto"/>
              <w:rPr>
                <w:rFonts w:eastAsia="MS Mincho" w:cs="Times New Roman"/>
                <w:noProof/>
              </w:rPr>
            </w:pPr>
            <w:r>
              <w:rPr>
                <w:noProof/>
              </w:rPr>
              <w:t xml:space="preserve">Joulukuun 27. päivänä annetun kuninkaallisen asetuksen 1052/2022, jolla säännellään vähäpäästöisiä </w:t>
            </w:r>
            <w:r>
              <w:rPr>
                <w:noProof/>
              </w:rPr>
              <w:t>vyöhykkeitä, voimaantulo</w:t>
            </w:r>
          </w:p>
        </w:tc>
      </w:tr>
    </w:tbl>
    <w:p w14:paraId="308E1221" w14:textId="77777777" w:rsidR="000E48CE" w:rsidRDefault="000E48CE">
      <w:pPr>
        <w:spacing w:before="120" w:after="120" w:line="240" w:lineRule="auto"/>
        <w:jc w:val="both"/>
        <w:rPr>
          <w:rFonts w:ascii="Times New Roman" w:hAnsi="Times New Roman" w:cs="Times New Roman"/>
          <w:i/>
          <w:noProof/>
          <w:sz w:val="24"/>
        </w:rPr>
      </w:pPr>
    </w:p>
    <w:p w14:paraId="1FC01242" w14:textId="77777777" w:rsidR="000E48CE" w:rsidRDefault="000E48CE">
      <w:pPr>
        <w:spacing w:before="120" w:after="120" w:line="240" w:lineRule="auto"/>
        <w:jc w:val="both"/>
        <w:rPr>
          <w:rFonts w:ascii="Times New Roman" w:hAnsi="Times New Roman" w:cs="Times New Roman"/>
          <w:i/>
          <w:noProof/>
          <w:sz w:val="24"/>
        </w:rPr>
      </w:pPr>
    </w:p>
    <w:p w14:paraId="7A221F47" w14:textId="77777777" w:rsidR="000E48CE" w:rsidRDefault="000E48CE">
      <w:pPr>
        <w:spacing w:before="120" w:after="120" w:line="240" w:lineRule="auto"/>
        <w:jc w:val="both"/>
        <w:rPr>
          <w:rFonts w:ascii="Times New Roman" w:hAnsi="Times New Roman" w:cs="Times New Roman"/>
          <w:i/>
          <w:noProof/>
          <w:sz w:val="24"/>
        </w:rPr>
      </w:pPr>
    </w:p>
    <w:p w14:paraId="2AC58087" w14:textId="77777777" w:rsidR="000E48CE" w:rsidRDefault="000E48CE">
      <w:pPr>
        <w:spacing w:before="120" w:after="120" w:line="240" w:lineRule="auto"/>
        <w:jc w:val="both"/>
        <w:rPr>
          <w:rFonts w:ascii="Times New Roman" w:hAnsi="Times New Roman" w:cs="Times New Roman"/>
          <w:i/>
          <w:noProof/>
          <w:sz w:val="24"/>
        </w:rPr>
      </w:pPr>
    </w:p>
    <w:p w14:paraId="40B73690" w14:textId="77777777" w:rsidR="000E48CE" w:rsidRDefault="000E48CE">
      <w:pPr>
        <w:spacing w:before="120" w:after="120" w:line="240" w:lineRule="auto"/>
        <w:jc w:val="both"/>
        <w:rPr>
          <w:rFonts w:ascii="Times New Roman" w:hAnsi="Times New Roman" w:cs="Times New Roman"/>
          <w:i/>
          <w:noProof/>
          <w:sz w:val="24"/>
        </w:rPr>
      </w:pPr>
    </w:p>
    <w:p w14:paraId="3FB8C7C8" w14:textId="77777777" w:rsidR="000E48CE" w:rsidRDefault="000E48CE">
      <w:pPr>
        <w:spacing w:before="120" w:after="120" w:line="240" w:lineRule="auto"/>
        <w:jc w:val="both"/>
        <w:rPr>
          <w:rFonts w:ascii="Times New Roman" w:hAnsi="Times New Roman" w:cs="Times New Roman"/>
          <w:i/>
          <w:noProof/>
          <w:sz w:val="24"/>
        </w:rPr>
      </w:pPr>
    </w:p>
    <w:p w14:paraId="5810D5C0" w14:textId="77777777" w:rsidR="000E48CE" w:rsidRDefault="000E48CE">
      <w:pPr>
        <w:spacing w:before="120" w:after="120" w:line="240" w:lineRule="auto"/>
        <w:jc w:val="both"/>
        <w:rPr>
          <w:rFonts w:ascii="Times New Roman" w:hAnsi="Times New Roman" w:cs="Times New Roman"/>
          <w:i/>
          <w:noProof/>
          <w:sz w:val="24"/>
        </w:rPr>
      </w:pPr>
    </w:p>
    <w:p w14:paraId="4FA6A412" w14:textId="77777777" w:rsidR="000E48CE" w:rsidRDefault="000E48CE">
      <w:pPr>
        <w:spacing w:before="120" w:after="120" w:line="240" w:lineRule="auto"/>
        <w:jc w:val="both"/>
        <w:rPr>
          <w:rFonts w:ascii="Times New Roman" w:hAnsi="Times New Roman" w:cs="Times New Roman"/>
          <w:i/>
          <w:noProof/>
          <w:sz w:val="24"/>
        </w:rPr>
      </w:pPr>
    </w:p>
    <w:p w14:paraId="432AC264" w14:textId="77777777" w:rsidR="000E48CE" w:rsidRDefault="000E48CE">
      <w:pPr>
        <w:spacing w:before="120" w:after="120" w:line="240" w:lineRule="auto"/>
        <w:jc w:val="both"/>
        <w:rPr>
          <w:rFonts w:ascii="Times New Roman" w:hAnsi="Times New Roman" w:cs="Times New Roman"/>
          <w:i/>
          <w:noProof/>
          <w:sz w:val="24"/>
        </w:rPr>
      </w:pPr>
    </w:p>
    <w:p w14:paraId="207B81E9" w14:textId="77777777" w:rsidR="000E48CE" w:rsidRDefault="000E48CE">
      <w:pPr>
        <w:spacing w:before="120" w:after="120" w:line="240" w:lineRule="auto"/>
        <w:jc w:val="both"/>
        <w:rPr>
          <w:rFonts w:ascii="Times New Roman" w:hAnsi="Times New Roman" w:cs="Times New Roman"/>
          <w:i/>
          <w:noProof/>
          <w:sz w:val="24"/>
        </w:rPr>
      </w:pPr>
    </w:p>
    <w:p w14:paraId="717E2139" w14:textId="2EE809B8" w:rsidR="000E48CE" w:rsidRDefault="000E48CE">
      <w:pPr>
        <w:spacing w:before="120" w:after="120" w:line="240" w:lineRule="auto"/>
        <w:jc w:val="both"/>
        <w:rPr>
          <w:rFonts w:ascii="Times New Roman" w:hAnsi="Times New Roman" w:cs="Times New Roman"/>
          <w:i/>
          <w:noProof/>
          <w:sz w:val="24"/>
        </w:rPr>
        <w:sectPr w:rsidR="000E48CE" w:rsidSect="00BF0BE2">
          <w:headerReference w:type="even" r:id="rId36"/>
          <w:headerReference w:type="default" r:id="rId37"/>
          <w:footerReference w:type="even" r:id="rId38"/>
          <w:footerReference w:type="default" r:id="rId39"/>
          <w:headerReference w:type="first" r:id="rId40"/>
          <w:footerReference w:type="first" r:id="rId41"/>
          <w:pgSz w:w="16839" w:h="11907" w:orient="landscape"/>
          <w:pgMar w:top="1417" w:right="1134" w:bottom="1417" w:left="1134" w:header="709" w:footer="709" w:gutter="0"/>
          <w:cols w:space="720"/>
          <w:docGrid w:linePitch="360"/>
        </w:sectPr>
      </w:pPr>
    </w:p>
    <w:p w14:paraId="37F82C0A" w14:textId="77777777" w:rsidR="000E48CE" w:rsidRDefault="000E48CE">
      <w:pPr>
        <w:spacing w:before="120" w:after="120" w:line="240" w:lineRule="auto"/>
        <w:jc w:val="both"/>
        <w:rPr>
          <w:rFonts w:ascii="Times New Roman" w:hAnsi="Times New Roman" w:cs="Times New Roman"/>
          <w:i/>
          <w:noProof/>
          <w:sz w:val="24"/>
        </w:rPr>
      </w:pPr>
    </w:p>
    <w:p w14:paraId="771F135C" w14:textId="06E4743F" w:rsidR="000E48CE" w:rsidRDefault="00FF4C4E">
      <w:pPr>
        <w:pStyle w:val="P68B1DB1-Heading12"/>
        <w:rPr>
          <w:rFonts w:cs="Times New Roman"/>
          <w:b w:val="0"/>
          <w:smallCaps w:val="0"/>
          <w:noProof/>
          <w:sz w:val="22"/>
        </w:rPr>
      </w:pPr>
      <w:r>
        <w:rPr>
          <w:noProof/>
        </w:rPr>
        <w:t>B. OSA-ALUE 02: Espanjan kaupunkiagendan täytäntöönpano: Kaupunkien kuntoutus- ja elvyttämissuunnitelma</w:t>
      </w:r>
    </w:p>
    <w:p w14:paraId="4711963D" w14:textId="77777777" w:rsidR="000E48CE" w:rsidRDefault="00FF4C4E">
      <w:pPr>
        <w:pStyle w:val="P68B1DB1-Normal4"/>
        <w:spacing w:before="120" w:after="120" w:line="240" w:lineRule="auto"/>
        <w:jc w:val="both"/>
        <w:rPr>
          <w:rFonts w:cs="Times New Roman"/>
          <w:noProof/>
        </w:rPr>
      </w:pPr>
      <w:r>
        <w:rPr>
          <w:noProof/>
        </w:rPr>
        <w:t xml:space="preserve">Espanjan elpymis- ja palautumissuunnitelman tässä </w:t>
      </w:r>
      <w:r>
        <w:rPr>
          <w:noProof/>
        </w:rPr>
        <w:t>osassa käsitellään rakennusten energiakunnostamista, niiden hiilestä irtautumista sekä niiden laadun ja mukavuuden parantamista. Siinä käsitellään myös sosiaalisia vuokra-asuntoja, kasvatetaan niiden määrää ja varmistetaan oikeudenmukaisempi ja osallistava</w:t>
      </w:r>
      <w:r>
        <w:rPr>
          <w:noProof/>
        </w:rPr>
        <w:t>mpi elpyminen. Lisäksi komponentilla pyritään puuttumaan energiaköyhyyteen tukemalla sosiaalisia tai kohtuuhintaisia vuokra-asuntoja. Mukana on myös digitalisointitoimia. Espanjan elpymis- ja palautumissuunnitelman tällä osa-alueella tuetaan Espanjan kansa</w:t>
      </w:r>
      <w:r>
        <w:rPr>
          <w:noProof/>
        </w:rPr>
        <w:t>llisen energia- ja ilmastosuunnitelman täytäntöönpanoa. Suunnitelmassa määrätään 1200000 asuinrakennuksen perusparannuksesta vuoteen 2030 mennessä ja lämmitys- ja jäähdytysjärjestelmistä keskimäärin 300000 asuinrakennusta vuodessa. Tässä yhteydessä Espanja</w:t>
      </w:r>
      <w:r>
        <w:rPr>
          <w:noProof/>
        </w:rPr>
        <w:t xml:space="preserve"> ehdottaa seuraavaa:</w:t>
      </w:r>
    </w:p>
    <w:p w14:paraId="69D11A7C" w14:textId="77777777" w:rsidR="000E48CE" w:rsidRDefault="00FF4C4E">
      <w:pPr>
        <w:pStyle w:val="P68B1DB1-Normal4"/>
        <w:numPr>
          <w:ilvl w:val="0"/>
          <w:numId w:val="68"/>
        </w:numPr>
        <w:spacing w:before="120" w:after="0" w:line="240" w:lineRule="auto"/>
        <w:ind w:left="709" w:hanging="357"/>
        <w:contextualSpacing/>
        <w:jc w:val="both"/>
        <w:rPr>
          <w:rFonts w:cs="Times New Roman"/>
          <w:noProof/>
        </w:rPr>
      </w:pPr>
      <w:r>
        <w:rPr>
          <w:noProof/>
        </w:rPr>
        <w:t>Kehittämään ja toteuttamaan uudistustoimenpiteitä, mukaan lukien Espanjan kaupunkiagenda, Espanjan pitkän aikavälin peruskorjausstrategia, asuntolaki, laki arkkitehtiympäristön parantamiseksi ja keskitettyjen asiointipisteiden perustam</w:t>
      </w:r>
      <w:r>
        <w:rPr>
          <w:noProof/>
        </w:rPr>
        <w:t>inen rakennusten peruskorjauksia varten;</w:t>
      </w:r>
    </w:p>
    <w:p w14:paraId="3972EFB7" w14:textId="2C54E070" w:rsidR="000E48CE" w:rsidRDefault="00FF4C4E">
      <w:pPr>
        <w:pStyle w:val="P68B1DB1-Normal4"/>
        <w:numPr>
          <w:ilvl w:val="0"/>
          <w:numId w:val="68"/>
        </w:numPr>
        <w:spacing w:before="120" w:after="0" w:line="240" w:lineRule="auto"/>
        <w:ind w:left="709" w:hanging="357"/>
        <w:contextualSpacing/>
        <w:jc w:val="both"/>
        <w:rPr>
          <w:rFonts w:cs="Times New Roman"/>
          <w:noProof/>
        </w:rPr>
      </w:pPr>
      <w:r>
        <w:rPr>
          <w:noProof/>
        </w:rPr>
        <w:t xml:space="preserve">kunnostaa vähintään 285000 ainutlaatuista asuinrakennusta osana vähintään 410000 peruskorjaustoimea, vähintään 600 hehtaaria kaupunkialueita, vähintään 40000 asuinrakennusta ja 690 000 m 2 muita kuin </w:t>
      </w:r>
      <w:bookmarkStart w:id="3" w:name="_Hlk145083957"/>
      <w:r>
        <w:rPr>
          <w:noProof/>
          <w:vertAlign w:val="superscript"/>
        </w:rPr>
        <w:t>asuinrakennuksia</w:t>
      </w:r>
      <w:r>
        <w:rPr>
          <w:noProof/>
        </w:rPr>
        <w:t>, vähintään 4300</w:t>
      </w:r>
      <w:bookmarkEnd w:id="3"/>
      <w:r>
        <w:rPr>
          <w:noProof/>
        </w:rPr>
        <w:t>asuinrakennusta ja 230 000 m 2 muita kuin asuinrakennuksia</w:t>
      </w:r>
      <w:r>
        <w:rPr>
          <w:noProof/>
          <w:vertAlign w:val="superscript"/>
        </w:rPr>
        <w:t>kunnissa</w:t>
      </w:r>
      <w:r>
        <w:rPr>
          <w:noProof/>
        </w:rPr>
        <w:t xml:space="preserve"> ja kaupunkialueilla, joissa on alle 5000 asukasta, ja vähintään 1 230 000 m 2 julkisia rakennuksia, saavuttaa</w:t>
      </w:r>
      <w:r>
        <w:rPr>
          <w:noProof/>
          <w:vertAlign w:val="superscript"/>
        </w:rPr>
        <w:t>keskimäärin</w:t>
      </w:r>
      <w:r>
        <w:rPr>
          <w:noProof/>
        </w:rPr>
        <w:t xml:space="preserve"> yli 30 prosentin primäärienergian sä</w:t>
      </w:r>
      <w:r>
        <w:rPr>
          <w:noProof/>
        </w:rPr>
        <w:t>ästöt, mukaan lukien kunnostamalla ja parantamalla lämmitys- ja jäähdytysjärjestelmiä;</w:t>
      </w:r>
    </w:p>
    <w:p w14:paraId="5283C3B9" w14:textId="245BE2FF" w:rsidR="000E48CE" w:rsidRDefault="00FF4C4E">
      <w:pPr>
        <w:pStyle w:val="P68B1DB1-Normal4"/>
        <w:numPr>
          <w:ilvl w:val="0"/>
          <w:numId w:val="68"/>
        </w:numPr>
        <w:spacing w:before="120" w:after="0" w:line="240" w:lineRule="auto"/>
        <w:ind w:left="709" w:hanging="357"/>
        <w:contextualSpacing/>
        <w:jc w:val="both"/>
        <w:rPr>
          <w:rFonts w:cs="Times New Roman"/>
          <w:noProof/>
        </w:rPr>
      </w:pPr>
      <w:r>
        <w:rPr>
          <w:noProof/>
        </w:rPr>
        <w:t>rakennettava vähintään 20000 uutta asuntoa sosiaalista vuokrausta varten tai kohtuullisin hinnoin siten, että primäärienergian kysyntä on vähintään 20 prosenttia pienemp</w:t>
      </w:r>
      <w:r>
        <w:rPr>
          <w:noProof/>
        </w:rPr>
        <w:t xml:space="preserve">i kuin lähes nollaenergiarakennusten tarve; </w:t>
      </w:r>
    </w:p>
    <w:p w14:paraId="24DE2C23" w14:textId="77777777" w:rsidR="000E48CE" w:rsidRDefault="00FF4C4E">
      <w:pPr>
        <w:pStyle w:val="P68B1DB1-Normal4"/>
        <w:numPr>
          <w:ilvl w:val="0"/>
          <w:numId w:val="68"/>
        </w:numPr>
        <w:spacing w:before="120" w:after="0" w:line="240" w:lineRule="auto"/>
        <w:ind w:left="709" w:hanging="357"/>
        <w:contextualSpacing/>
        <w:jc w:val="both"/>
        <w:rPr>
          <w:rFonts w:cs="Times New Roman"/>
          <w:noProof/>
        </w:rPr>
      </w:pPr>
      <w:r>
        <w:rPr>
          <w:noProof/>
        </w:rPr>
        <w:t>toteuttamaan paikallistasolla vähintään 100 pilottihanketta, joilla tuetaan energiatehokkuutta ja Espanjan kaupunkiagendan täytäntöönpanoa; ja</w:t>
      </w:r>
    </w:p>
    <w:p w14:paraId="61840508" w14:textId="228203DC" w:rsidR="000E48CE" w:rsidRDefault="00FF4C4E">
      <w:pPr>
        <w:pStyle w:val="P68B1DB1-Normal4"/>
        <w:numPr>
          <w:ilvl w:val="0"/>
          <w:numId w:val="68"/>
        </w:numPr>
        <w:spacing w:before="120" w:after="0" w:line="240" w:lineRule="auto"/>
        <w:ind w:left="709" w:hanging="357"/>
        <w:contextualSpacing/>
        <w:jc w:val="both"/>
        <w:rPr>
          <w:rFonts w:eastAsia="@MS Mincho" w:cs="Times New Roman"/>
          <w:noProof/>
        </w:rPr>
      </w:pPr>
      <w:r>
        <w:rPr>
          <w:noProof/>
        </w:rPr>
        <w:t>parannetaan rahoituksen saantia energiatehokkaiden sosiaalisten ja k</w:t>
      </w:r>
      <w:r>
        <w:rPr>
          <w:noProof/>
        </w:rPr>
        <w:t>ohtuuhintaisten asuntojen rakentamiseen ja kunnostamiseen ja kehitetään pääomamarkkinoita näillä aloilla.</w:t>
      </w:r>
    </w:p>
    <w:p w14:paraId="362D962F" w14:textId="5283A432" w:rsidR="000E48CE" w:rsidRDefault="00FF4C4E">
      <w:pPr>
        <w:pStyle w:val="P68B1DB1-Normal4"/>
        <w:spacing w:before="120" w:after="120" w:line="240" w:lineRule="auto"/>
        <w:jc w:val="both"/>
        <w:rPr>
          <w:rFonts w:cs="Times New Roman"/>
          <w:noProof/>
        </w:rPr>
      </w:pPr>
      <w:r>
        <w:rPr>
          <w:noProof/>
        </w:rPr>
        <w:t>Espanjan elpymis- ja palautumissuunnitelman tällä osa-alueella edistetään maakohtaisten suositusten 3 2023 ja 4 2022 noudattamista, jotta voidaan para</w:t>
      </w:r>
      <w:r>
        <w:rPr>
          <w:noProof/>
        </w:rPr>
        <w:t>ntaa energiatehokkaiden sosiaalisten ja kohtuuhintaisten asuntojen saatavuutta muun muassa perusparannuksilla. Sillä tuetaan myös vihreää siirtymää (maakohtaiset suositukset 1 2023, 1 2022 ja 3 2019) ja erityisesti energiatehokkuuden parantamista (maakohta</w:t>
      </w:r>
      <w:r>
        <w:rPr>
          <w:noProof/>
        </w:rPr>
        <w:t>inen suositus 3 2020). Se myös parantaa perheille annettavaa tukea (maakohtainen suositus 2 2019; Maakohtainen suositus 2 2020) ja auttaa aikaistamaan toteutusvalmiita julkisia investointihankkeita ja edistää yksityisiä investointeja talouden elpymisen edi</w:t>
      </w:r>
      <w:r>
        <w:rPr>
          <w:noProof/>
        </w:rPr>
        <w:t xml:space="preserve">stämiseksi (maakohtainen suositus 3 2020). </w:t>
      </w:r>
    </w:p>
    <w:p w14:paraId="55DEF04E" w14:textId="77777777" w:rsidR="000E48CE" w:rsidRDefault="00FF4C4E">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w:t>
      </w:r>
      <w:r>
        <w:rPr>
          <w:noProof/>
        </w:rPr>
        <w:t xml:space="preserve"> (2021/C58/01) mukaiset elpymis- ja palautumissuunnitelmassa esitettyjen toimenpiteiden kuvaus ja lieventävät toimet.  </w:t>
      </w:r>
    </w:p>
    <w:p w14:paraId="4BDAA7F8" w14:textId="77777777" w:rsidR="000E48CE" w:rsidRDefault="00FF4C4E">
      <w:pPr>
        <w:pStyle w:val="P68B1DB1-Normal5"/>
        <w:spacing w:before="120" w:after="120" w:line="240" w:lineRule="auto"/>
        <w:ind w:left="709"/>
        <w:jc w:val="both"/>
        <w:rPr>
          <w:rFonts w:cs="Times New Roman"/>
          <w:i/>
          <w:noProof/>
        </w:rPr>
      </w:pPr>
      <w:r>
        <w:rPr>
          <w:noProof/>
        </w:rPr>
        <w:t xml:space="preserve">B.1 </w:t>
      </w:r>
      <w:r>
        <w:rPr>
          <w:noProof/>
        </w:rPr>
        <w:tab/>
        <w:t>Kuvaus uudistuksista ja investoinneista, joita rahoitetaan rahoitustuella, jota ei makseta takaisin</w:t>
      </w:r>
    </w:p>
    <w:p w14:paraId="5DD41E6E" w14:textId="77777777" w:rsidR="000E48CE" w:rsidRDefault="00FF4C4E">
      <w:pPr>
        <w:pStyle w:val="P68B1DB1-Normal6"/>
        <w:spacing w:before="120" w:after="120" w:line="240" w:lineRule="auto"/>
        <w:jc w:val="both"/>
        <w:rPr>
          <w:rFonts w:cs="Times New Roman"/>
          <w:noProof/>
        </w:rPr>
      </w:pPr>
      <w:r>
        <w:rPr>
          <w:noProof/>
        </w:rPr>
        <w:lastRenderedPageBreak/>
        <w:t>Uudistus 1 (C2.R1) – Espanjan k</w:t>
      </w:r>
      <w:r>
        <w:rPr>
          <w:noProof/>
        </w:rPr>
        <w:t>aupunkiagendan (ja siihen liittyvän toimintasuunnitelman) täytäntöönpano</w:t>
      </w:r>
    </w:p>
    <w:p w14:paraId="606349AF" w14:textId="77777777" w:rsidR="000E48CE" w:rsidRDefault="00FF4C4E">
      <w:pPr>
        <w:pStyle w:val="P68B1DB1-Normal4"/>
        <w:spacing w:before="120" w:after="120" w:line="240" w:lineRule="auto"/>
        <w:jc w:val="both"/>
        <w:rPr>
          <w:rFonts w:cs="Times New Roman"/>
          <w:noProof/>
        </w:rPr>
      </w:pPr>
      <w:r>
        <w:rPr>
          <w:noProof/>
        </w:rPr>
        <w:t>Tämän toimenpiteen tavoitteena on valmistella ja hyväksyä Espanjan kaupunkiagenda, joka on strateginen ja muu kuin sääntelyyn liittyvä asiakirja, jolla kestävyys sisällytetään kaupunk</w:t>
      </w:r>
      <w:r>
        <w:rPr>
          <w:noProof/>
        </w:rPr>
        <w:t>ikehityspolitiikkaan. Se on myös työmenetelmä, joka ohjaa kaikkia julkisia ja yksityisiä sidosryhmiä saavuttamaan tasa-arvoista, oikeudenmukaista ja kestävää kehitystä omilla alueillaan ja palvelee paikallishallintoa, kaupunkeja ja kyliä niiden väestömäärä</w:t>
      </w:r>
      <w:r>
        <w:rPr>
          <w:noProof/>
        </w:rPr>
        <w:t xml:space="preserve">stä riippumatta välineenä, jolla on strateginen, yhdennetty ja kattava näkökulma, kuten EU:n kaupunkiagendassa ja uudessa Leipzigin peruskirjassa edellytetään. </w:t>
      </w:r>
    </w:p>
    <w:p w14:paraId="4DA86DCA" w14:textId="77777777" w:rsidR="000E48CE" w:rsidRDefault="00FF4C4E">
      <w:pPr>
        <w:pStyle w:val="P68B1DB1-Normal4"/>
        <w:spacing w:before="120" w:after="120" w:line="240" w:lineRule="auto"/>
        <w:jc w:val="both"/>
        <w:rPr>
          <w:rFonts w:cs="Times New Roman"/>
          <w:noProof/>
        </w:rPr>
      </w:pPr>
      <w:r>
        <w:rPr>
          <w:noProof/>
        </w:rPr>
        <w:t>Espanjan kaupunkiagendaan on sisällyttävä analyysi Espanjan kaupunkien ja kylien kohtaamista he</w:t>
      </w:r>
      <w:r>
        <w:rPr>
          <w:noProof/>
        </w:rPr>
        <w:t>ikkouksista ja haasteista, jotta voidaan saavuttaa ympäristön kannalta kestävä, sosiaalisesti yhtenäinen ja taloudellisesti toteuttamiskelpoinen kaupunkikehitys. Siihen sisältyy strateginen kehys, joka rakentuu seuraavien kymmenen strategisen haasteen ympä</w:t>
      </w:r>
      <w:r>
        <w:rPr>
          <w:noProof/>
        </w:rPr>
        <w:t xml:space="preserve">rille: väestörakenne; ympäristö taloudellinen ja sosiaalinen; nykyinen rakennuskantatilanne; alttius ilmastonmuutoksen haitallisille vaikutuksille; (korkea) riippuvuus matkailusta; ja pilaantumiseen liittyvät riskit. </w:t>
      </w:r>
    </w:p>
    <w:p w14:paraId="6A741BC3" w14:textId="77777777" w:rsidR="000E48CE" w:rsidRDefault="00FF4C4E">
      <w:pPr>
        <w:pStyle w:val="P68B1DB1-Normal4"/>
        <w:spacing w:before="120" w:after="120" w:line="240" w:lineRule="auto"/>
        <w:jc w:val="both"/>
        <w:rPr>
          <w:rFonts w:cs="Times New Roman"/>
          <w:noProof/>
        </w:rPr>
      </w:pPr>
      <w:r>
        <w:rPr>
          <w:noProof/>
        </w:rPr>
        <w:t xml:space="preserve">Kaupunkiagendaan on myös sisällyttävä </w:t>
      </w:r>
      <w:r>
        <w:rPr>
          <w:noProof/>
        </w:rPr>
        <w:t>erityinen kansallisen hallinnon toimintasuunnitelma ja siihen on sisällyttävä ohjeita, joilla tuetaan paikallisia tahoja niiden laatiessa omia paikallisia toimintasuunnitelmiaan valtionhallinnon ehdottaman menetelmän mukaisesti ja sitoudutaan parantamaan j</w:t>
      </w:r>
      <w:r>
        <w:rPr>
          <w:noProof/>
        </w:rPr>
        <w:t>ulkista ja julkista ja yksityistä hallintoa. Investoinnilla 6 täydennetään tätä uudistusta tukemalla vähintään 100 paikallisen toimintasuunnitelman laatimista.</w:t>
      </w:r>
    </w:p>
    <w:p w14:paraId="29A1F400" w14:textId="77777777" w:rsidR="000E48CE" w:rsidRDefault="00FF4C4E">
      <w:pPr>
        <w:pStyle w:val="P68B1DB1-Normal4"/>
        <w:spacing w:before="120" w:after="120" w:line="240" w:lineRule="auto"/>
        <w:jc w:val="both"/>
        <w:rPr>
          <w:rFonts w:cs="Times New Roman"/>
          <w:noProof/>
        </w:rPr>
      </w:pPr>
      <w:r>
        <w:rPr>
          <w:noProof/>
        </w:rPr>
        <w:t>Espanjan on osana kaupunkeja koskevaa toimintaohjelmaa ja rakennusten energiatehokkuudesta ja en</w:t>
      </w:r>
      <w:r>
        <w:rPr>
          <w:noProof/>
        </w:rPr>
        <w:t>ergiatehokkuudesta annetun direktiivin (EU) 2018/844 mukaisesti laadittava pitkän aikavälin peruskorjausstrategia, jolla tuetaan asuinrakennusten ja muiden kuin asuinrakennusten kansallisen kannan peruskorjausta. Tähän on sisällyttävä sekä julkiset että yk</w:t>
      </w:r>
      <w:r>
        <w:rPr>
          <w:noProof/>
        </w:rPr>
        <w:t>sityiset rakennukset, ja sen avulla on saavutettava erittäin energiatehokas ja hiilivapaa rakennuskanta vuoteen 2050 mennessä, mikä helpottaa olemassa olevien rakennusten muuttamista kustannustehokkaasti lähes nollaenergiarakennuksiksi.</w:t>
      </w:r>
    </w:p>
    <w:p w14:paraId="34A65850" w14:textId="77777777" w:rsidR="000E48CE" w:rsidRDefault="00FF4C4E">
      <w:pPr>
        <w:pStyle w:val="P68B1DB1-Normal4"/>
        <w:spacing w:before="120" w:after="120" w:line="240" w:lineRule="auto"/>
        <w:jc w:val="both"/>
        <w:rPr>
          <w:rFonts w:cs="Times New Roman"/>
          <w:noProof/>
        </w:rPr>
      </w:pPr>
      <w:r>
        <w:rPr>
          <w:noProof/>
        </w:rPr>
        <w:t>Toimenpiteen täytän</w:t>
      </w:r>
      <w:r>
        <w:rPr>
          <w:noProof/>
        </w:rPr>
        <w:t>töönpano on saatettava päätökseen viimeistään 30 päivänä kesäkuuta 2020.</w:t>
      </w:r>
    </w:p>
    <w:p w14:paraId="4D7A5946" w14:textId="77777777" w:rsidR="000E48CE" w:rsidRDefault="00FF4C4E">
      <w:pPr>
        <w:pStyle w:val="P68B1DB1-Normal6"/>
        <w:spacing w:before="120" w:after="120" w:line="240" w:lineRule="auto"/>
        <w:jc w:val="both"/>
        <w:rPr>
          <w:rFonts w:cs="Times New Roman"/>
          <w:noProof/>
        </w:rPr>
      </w:pPr>
      <w:r>
        <w:rPr>
          <w:noProof/>
        </w:rPr>
        <w:t>Uudistus 2 (C2.R2) – Espanjan pitkän aikavälin peruskorjausstrategian ja siihen liittyvän toimintasuunnitelman päivitys vuonna 2020</w:t>
      </w:r>
    </w:p>
    <w:p w14:paraId="448BED53" w14:textId="77777777" w:rsidR="000E48CE" w:rsidRDefault="00FF4C4E">
      <w:pPr>
        <w:pStyle w:val="P68B1DB1-Normal4"/>
        <w:spacing w:before="120" w:after="120" w:line="240" w:lineRule="auto"/>
        <w:jc w:val="both"/>
        <w:rPr>
          <w:rFonts w:cs="Times New Roman"/>
          <w:noProof/>
        </w:rPr>
      </w:pPr>
      <w:r>
        <w:rPr>
          <w:noProof/>
        </w:rPr>
        <w:t>Toimenpiteen tavoitteena on panna täytäntöön pitkän</w:t>
      </w:r>
      <w:r>
        <w:rPr>
          <w:noProof/>
        </w:rPr>
        <w:t xml:space="preserve"> aikavälin peruskorjausstrategia (ERESEE). Tähän sisältyy toimia pitkän aikavälin perusparannusstrategian toimintasuunnitelman strategisen asiakirjan valmistelemiseksi, niistä keskustelemiseksi erityisissä työryhmissä sekä sen hyväksymiseksi ja levittämise</w:t>
      </w:r>
      <w:r>
        <w:rPr>
          <w:noProof/>
        </w:rPr>
        <w:t>ksi. Toimintasuunnitelman on oltava ERESEE-järjestelmään sisältyvien toimien mukainen. ERESEE-direktiivin täytäntöönpanoa varten perustetaan useita työryhmiä, joiden tehtävänä on laatia selkeitä suosituksia kaupunkien kunnostamista ja kunnostamista koskeva</w:t>
      </w:r>
      <w:r>
        <w:rPr>
          <w:noProof/>
        </w:rPr>
        <w:t>n toimintasuunnitelman täytäntöönpanoa varten. Työryhmien suositukset sisältävät raportit julkaistaan.</w:t>
      </w:r>
    </w:p>
    <w:p w14:paraId="5B3DA269" w14:textId="77777777" w:rsidR="000E48CE" w:rsidRDefault="00FF4C4E">
      <w:pPr>
        <w:pStyle w:val="P68B1DB1-xmsonormal16"/>
        <w:jc w:val="both"/>
        <w:rPr>
          <w:rFonts w:cs="Times New Roman"/>
          <w:noProof/>
        </w:rPr>
      </w:pPr>
      <w:r>
        <w:rPr>
          <w:noProof/>
        </w:rPr>
        <w:t>ERESEE-asetuksen III osaan ”Täytäntöönpano” sisältyy joukko toimia, joihin sisältyy joukko uudistuksia osana etenemissuunnitelmaa, jolla edistetään kaupu</w:t>
      </w:r>
      <w:r>
        <w:rPr>
          <w:noProof/>
        </w:rPr>
        <w:t>nkien kunnostamista ja uudistamista sekä vihreää siirtymää ja digitaalista siirtymää. Etenemissuunnitelma rakentuu 11 toimintalinjan ja toimen ympärille, joilla pyritään parantamaan hallintoa, sääntelyä ja rahoitusta. Tämä etenemissuunnitelma sisällytetään</w:t>
      </w:r>
      <w:r>
        <w:rPr>
          <w:noProof/>
        </w:rPr>
        <w:t xml:space="preserve"> strategiseen asiakirjaan tärkeimpänä askeleena kohti ERESEE-direktiivin täytäntöönpanoa. Tärkeimpiä toimia ovat seuraavat:</w:t>
      </w:r>
    </w:p>
    <w:p w14:paraId="04819348" w14:textId="77777777" w:rsidR="000E48CE" w:rsidRDefault="00FF4C4E">
      <w:pPr>
        <w:pStyle w:val="P68B1DB1-Normal4"/>
        <w:numPr>
          <w:ilvl w:val="0"/>
          <w:numId w:val="273"/>
        </w:numPr>
        <w:spacing w:before="120" w:after="160" w:line="259" w:lineRule="auto"/>
        <w:contextualSpacing/>
        <w:jc w:val="both"/>
        <w:rPr>
          <w:rFonts w:cs="Times New Roman"/>
          <w:noProof/>
        </w:rPr>
      </w:pPr>
      <w:r>
        <w:rPr>
          <w:noProof/>
        </w:rPr>
        <w:t>Julkishallinnon rakennusten kunnostaminen (Espanjan elpymis- ja palautumissuunnitelman osa-alueen 11 mukaisesti)</w:t>
      </w:r>
    </w:p>
    <w:p w14:paraId="4BB0FB6D" w14:textId="77777777" w:rsidR="000E48CE" w:rsidRDefault="00FF4C4E">
      <w:pPr>
        <w:pStyle w:val="P68B1DB1-Normal4"/>
        <w:numPr>
          <w:ilvl w:val="0"/>
          <w:numId w:val="273"/>
        </w:numPr>
        <w:spacing w:before="120" w:after="160" w:line="259" w:lineRule="auto"/>
        <w:contextualSpacing/>
        <w:jc w:val="both"/>
        <w:rPr>
          <w:rFonts w:cs="Times New Roman"/>
          <w:noProof/>
        </w:rPr>
      </w:pPr>
      <w:r>
        <w:rPr>
          <w:noProof/>
        </w:rPr>
        <w:lastRenderedPageBreak/>
        <w:t>rahastoi alueet, jo</w:t>
      </w:r>
      <w:r>
        <w:rPr>
          <w:noProof/>
        </w:rPr>
        <w:t>illa on parantamisen varaa, mukaan lukien uusi perusparannukselle suotuisa verotus sekä asuin- että palvelualoilla;</w:t>
      </w:r>
    </w:p>
    <w:p w14:paraId="3B0DE689" w14:textId="77777777" w:rsidR="000E48CE" w:rsidRDefault="00FF4C4E">
      <w:pPr>
        <w:pStyle w:val="P68B1DB1-Normal4"/>
        <w:numPr>
          <w:ilvl w:val="0"/>
          <w:numId w:val="273"/>
        </w:numPr>
        <w:spacing w:before="120" w:after="160" w:line="259" w:lineRule="auto"/>
        <w:contextualSpacing/>
        <w:jc w:val="both"/>
        <w:rPr>
          <w:rFonts w:cs="Times New Roman"/>
          <w:noProof/>
        </w:rPr>
      </w:pPr>
      <w:r>
        <w:rPr>
          <w:noProof/>
        </w:rPr>
        <w:t>edistää ja mobilisoida yksityistä rahoitusta;</w:t>
      </w:r>
    </w:p>
    <w:p w14:paraId="07868898" w14:textId="77777777" w:rsidR="000E48CE" w:rsidRDefault="00FF4C4E">
      <w:pPr>
        <w:pStyle w:val="P68B1DB1-Normal4"/>
        <w:numPr>
          <w:ilvl w:val="0"/>
          <w:numId w:val="273"/>
        </w:numPr>
        <w:spacing w:before="120" w:after="160" w:line="259" w:lineRule="auto"/>
        <w:contextualSpacing/>
        <w:jc w:val="both"/>
        <w:rPr>
          <w:rFonts w:cs="Times New Roman"/>
          <w:noProof/>
        </w:rPr>
      </w:pPr>
      <w:r>
        <w:rPr>
          <w:noProof/>
        </w:rPr>
        <w:t>torjutaan energiaköyhyyttä;</w:t>
      </w:r>
    </w:p>
    <w:p w14:paraId="4474F65F" w14:textId="77777777" w:rsidR="000E48CE" w:rsidRDefault="00FF4C4E">
      <w:pPr>
        <w:pStyle w:val="P68B1DB1-Normal4"/>
        <w:numPr>
          <w:ilvl w:val="0"/>
          <w:numId w:val="273"/>
        </w:numPr>
        <w:spacing w:before="120" w:after="160" w:line="259" w:lineRule="auto"/>
        <w:contextualSpacing/>
        <w:jc w:val="both"/>
        <w:rPr>
          <w:rFonts w:cs="Times New Roman"/>
          <w:noProof/>
        </w:rPr>
      </w:pPr>
      <w:r>
        <w:rPr>
          <w:noProof/>
        </w:rPr>
        <w:t>otetaan rakennusalalla käyttöön uusi energiamalli, jolla edistetää</w:t>
      </w:r>
      <w:r>
        <w:rPr>
          <w:noProof/>
        </w:rPr>
        <w:t>n uusiutuvan energian kulutusta rakennuksissa;</w:t>
      </w:r>
    </w:p>
    <w:p w14:paraId="53D558B3" w14:textId="77777777" w:rsidR="000E48CE" w:rsidRDefault="00FF4C4E">
      <w:pPr>
        <w:pStyle w:val="P68B1DB1-Normal4"/>
        <w:numPr>
          <w:ilvl w:val="0"/>
          <w:numId w:val="273"/>
        </w:numPr>
        <w:spacing w:before="120" w:after="160" w:line="259" w:lineRule="auto"/>
        <w:contextualSpacing/>
        <w:jc w:val="both"/>
        <w:rPr>
          <w:rFonts w:cs="Times New Roman"/>
          <w:noProof/>
        </w:rPr>
      </w:pPr>
      <w:r>
        <w:rPr>
          <w:noProof/>
        </w:rPr>
        <w:t>aktivoidaan kuntoutuksen tarve ja kokonaiskysyntä;</w:t>
      </w:r>
    </w:p>
    <w:p w14:paraId="6F15193D" w14:textId="77777777" w:rsidR="000E48CE" w:rsidRDefault="00FF4C4E">
      <w:pPr>
        <w:pStyle w:val="P68B1DB1-Normal4"/>
        <w:numPr>
          <w:ilvl w:val="0"/>
          <w:numId w:val="273"/>
        </w:numPr>
        <w:spacing w:before="120" w:after="160" w:line="259" w:lineRule="auto"/>
        <w:contextualSpacing/>
        <w:jc w:val="both"/>
        <w:rPr>
          <w:rFonts w:cs="Times New Roman"/>
          <w:noProof/>
        </w:rPr>
      </w:pPr>
      <w:r>
        <w:rPr>
          <w:noProof/>
        </w:rPr>
        <w:t>parannetaan tarjontapuolen olosuhteita edistämällä kuntoutusalan nykyaikaistamista tutkimuksen, kehittämisen ja innovoinnin, digitalisaation ja seurannan avul</w:t>
      </w:r>
      <w:r>
        <w:rPr>
          <w:noProof/>
        </w:rPr>
        <w:t>la sekä vahvistamalla osaamista ja koulutusta;</w:t>
      </w:r>
    </w:p>
    <w:p w14:paraId="5EDE96A4" w14:textId="77777777" w:rsidR="000E48CE" w:rsidRDefault="00FF4C4E">
      <w:pPr>
        <w:pStyle w:val="P68B1DB1-Normal4"/>
        <w:numPr>
          <w:ilvl w:val="0"/>
          <w:numId w:val="273"/>
        </w:numPr>
        <w:spacing w:before="120" w:after="160" w:line="259" w:lineRule="auto"/>
        <w:contextualSpacing/>
        <w:jc w:val="both"/>
        <w:rPr>
          <w:rFonts w:cs="Times New Roman"/>
          <w:noProof/>
        </w:rPr>
      </w:pPr>
      <w:r>
        <w:rPr>
          <w:noProof/>
        </w:rPr>
        <w:t>levittää tietoa kansalaisille ja yrityksille ja vaihtaa hyviä käytäntöjä hallintojen välillä; ja</w:t>
      </w:r>
    </w:p>
    <w:p w14:paraId="671356B3" w14:textId="77777777" w:rsidR="000E48CE" w:rsidRDefault="00FF4C4E">
      <w:pPr>
        <w:pStyle w:val="P68B1DB1-Normal4"/>
        <w:numPr>
          <w:ilvl w:val="0"/>
          <w:numId w:val="273"/>
        </w:numPr>
        <w:spacing w:before="120" w:after="120" w:line="259" w:lineRule="auto"/>
        <w:jc w:val="both"/>
        <w:rPr>
          <w:rFonts w:eastAsia="Arial" w:cs="Times New Roman"/>
          <w:noProof/>
        </w:rPr>
      </w:pPr>
      <w:r>
        <w:rPr>
          <w:noProof/>
        </w:rPr>
        <w:t>kehitetään tilastoja ja indikaattoreita julkisrahoitteisten toimien seuraamiseksi, jotta julkista politiikkaa vo</w:t>
      </w:r>
      <w:r>
        <w:rPr>
          <w:noProof/>
        </w:rPr>
        <w:t>idaan arvioida asianmukaisesti.</w:t>
      </w:r>
    </w:p>
    <w:p w14:paraId="44527D69" w14:textId="77777777" w:rsidR="000E48CE" w:rsidRDefault="00FF4C4E">
      <w:pPr>
        <w:pStyle w:val="P68B1DB1-Normal4"/>
        <w:spacing w:before="120" w:after="120" w:line="240" w:lineRule="auto"/>
        <w:jc w:val="both"/>
        <w:rPr>
          <w:rFonts w:cs="Times New Roman"/>
          <w:noProof/>
        </w:rPr>
      </w:pPr>
      <w:r>
        <w:rPr>
          <w:noProof/>
        </w:rPr>
        <w:t>Strategia-asiakirjan on mahdollistettava ERESEE-ohjelman täytäntöönpano Espanjan kaupunkiagendan puitteissa siten, että eri hallintotahot (keskus-, alue- ja paikallishallinto) integroidaan toisiinsa.</w:t>
      </w:r>
    </w:p>
    <w:p w14:paraId="31BABA68" w14:textId="77777777" w:rsidR="000E48CE" w:rsidRDefault="00FF4C4E">
      <w:pPr>
        <w:pStyle w:val="P68B1DB1-Normal4"/>
        <w:spacing w:before="120" w:after="120" w:line="240" w:lineRule="auto"/>
        <w:jc w:val="both"/>
        <w:rPr>
          <w:rFonts w:cs="Times New Roman"/>
          <w:noProof/>
        </w:rPr>
      </w:pPr>
      <w:r>
        <w:rPr>
          <w:noProof/>
        </w:rPr>
        <w:t xml:space="preserve">Toimenpiteen </w:t>
      </w:r>
      <w:r>
        <w:rPr>
          <w:noProof/>
        </w:rPr>
        <w:t>täytäntöönpano on saatettava päätökseen viimeistään 30 päivänä kesäkuuta 2023.</w:t>
      </w:r>
    </w:p>
    <w:p w14:paraId="01CD77D3" w14:textId="362BFD12" w:rsidR="000E48CE" w:rsidRDefault="00FF4C4E">
      <w:pPr>
        <w:pStyle w:val="P68B1DB1-Normal6"/>
        <w:spacing w:before="120" w:after="120" w:line="240" w:lineRule="auto"/>
        <w:jc w:val="both"/>
        <w:rPr>
          <w:rFonts w:cs="Times New Roman"/>
          <w:noProof/>
        </w:rPr>
      </w:pPr>
      <w:r>
        <w:rPr>
          <w:noProof/>
        </w:rPr>
        <w:t>Uudistus 3 (C2.R3) – Asuntolaki</w:t>
      </w:r>
    </w:p>
    <w:p w14:paraId="35AEF606" w14:textId="77777777" w:rsidR="000E48CE" w:rsidRDefault="00FF4C4E">
      <w:pPr>
        <w:pStyle w:val="P68B1DB1-Normal4"/>
        <w:spacing w:before="120" w:after="120" w:line="240" w:lineRule="auto"/>
        <w:jc w:val="both"/>
        <w:rPr>
          <w:rFonts w:cs="Times New Roman"/>
          <w:noProof/>
        </w:rPr>
      </w:pPr>
      <w:r>
        <w:rPr>
          <w:noProof/>
        </w:rPr>
        <w:t>Toimenpiteen tavoitteena on panna asuntolain avulla täytäntöön Espanjassa ensimmäinen eräänlainen asetus, jossa käsitellään erilaisia julkisia su</w:t>
      </w:r>
      <w:r>
        <w:rPr>
          <w:noProof/>
        </w:rPr>
        <w:t>unnittelu-, ohjelmasuunnittelu- ja yhteistyövälineitä, joilla tuetaan oikeutta kunnolliseen ja asianmukaiseen asumiseen. Siinä käsitellään nykyisen julkisen ja yksityisen asuntokannan kunnostamista ja parantamista sekä asuinympäristöjen uudistamista ja uud</w:t>
      </w:r>
      <w:r>
        <w:rPr>
          <w:noProof/>
        </w:rPr>
        <w:t>istamista elämänlaadun parantamiseksi. Lailla pyritään saavuttamaan vuokra-asuntojen riittävä määrä kohtuuhintaan saatavilla olevaa asuntokantaa.</w:t>
      </w:r>
    </w:p>
    <w:p w14:paraId="1522B52E" w14:textId="77777777" w:rsidR="000E48CE" w:rsidRDefault="00FF4C4E">
      <w:pPr>
        <w:pStyle w:val="P68B1DB1-Normal4"/>
        <w:spacing w:before="120" w:after="120" w:line="240" w:lineRule="auto"/>
        <w:jc w:val="both"/>
        <w:rPr>
          <w:rFonts w:cs="Times New Roman"/>
          <w:noProof/>
        </w:rPr>
      </w:pPr>
      <w:r>
        <w:rPr>
          <w:noProof/>
        </w:rPr>
        <w:t>Lainsäädännössä on käsiteltävä erilaisia suunnittelu-, ohjelmasuunnittelu- ja yhteistyövälineitä, joilla varmi</w:t>
      </w:r>
      <w:r>
        <w:rPr>
          <w:noProof/>
        </w:rPr>
        <w:t xml:space="preserve">stetaan ihmisarvoista ja asianmukaista asumista koskevan oikeuden toteutuminen, mukaan lukien yhtenä ensisijaisena tavoitteena nykyisen asuntokannan kunnostaminen ja parantaminen sekä asuinympäristöjen uudistaminen ja kunnostaminen, joissa ne sijaitsevat. </w:t>
      </w:r>
    </w:p>
    <w:p w14:paraId="153EC4BA" w14:textId="025A7751" w:rsidR="000E48CE" w:rsidRDefault="00FF4C4E">
      <w:pPr>
        <w:pStyle w:val="P68B1DB1-Normal4"/>
        <w:spacing w:before="120" w:after="120" w:line="240" w:lineRule="auto"/>
        <w:jc w:val="both"/>
        <w:rPr>
          <w:rFonts w:cs="Times New Roman"/>
          <w:noProof/>
        </w:rPr>
      </w:pPr>
      <w:r>
        <w:rPr>
          <w:noProof/>
        </w:rPr>
        <w:t>Lisäksi lailla on kannustettava kohtuuhintaisten ja sosiaalisten asuntojen tarjonnan lisäämiseen varmistamalla, että noudatetaan vaatimuksia, jotka tällä hetkellä asetetaan lähes nollaenergiarakennuksille teknisen rakennuslain (CTE) energiansäästöä koskev</w:t>
      </w:r>
      <w:r>
        <w:rPr>
          <w:noProof/>
        </w:rPr>
        <w:t>an perusasiakirjan (DB-HE) mukaisesti, ja siinä on vältettävä toimenpiteitä, jotka voisivat haitata asuntojen tarjontaa keskipitkällä aikavälillä.</w:t>
      </w:r>
    </w:p>
    <w:p w14:paraId="20C995A0" w14:textId="77777777" w:rsidR="000E48CE" w:rsidRDefault="00FF4C4E">
      <w:pPr>
        <w:pStyle w:val="P68B1DB1-Normal4"/>
        <w:spacing w:before="120" w:after="120" w:line="240" w:lineRule="auto"/>
        <w:jc w:val="both"/>
        <w:rPr>
          <w:rFonts w:cs="Times New Roman"/>
          <w:noProof/>
        </w:rPr>
      </w:pPr>
      <w:r>
        <w:rPr>
          <w:noProof/>
        </w:rPr>
        <w:t>Uudistuksen täytäntöönpano on saatettava päätökseen 30 päivään syyskuuta 2022 mennessä.</w:t>
      </w:r>
    </w:p>
    <w:p w14:paraId="4C37D3DE" w14:textId="50987288" w:rsidR="000E48CE" w:rsidRDefault="00FF4C4E">
      <w:pPr>
        <w:pStyle w:val="P68B1DB1-Normal6"/>
        <w:spacing w:before="120" w:after="120" w:line="240" w:lineRule="auto"/>
        <w:jc w:val="both"/>
        <w:rPr>
          <w:rFonts w:cs="Times New Roman"/>
          <w:noProof/>
        </w:rPr>
      </w:pPr>
      <w:r>
        <w:rPr>
          <w:noProof/>
        </w:rPr>
        <w:t xml:space="preserve">Uudistus 4 (C2.R4) – </w:t>
      </w:r>
      <w:r>
        <w:rPr>
          <w:noProof/>
        </w:rPr>
        <w:t>Laki arkkitehtuurin ja rakennusympäristön laadusta ja uudesta kansallisesta arkkitehtuuristrategiasta</w:t>
      </w:r>
    </w:p>
    <w:p w14:paraId="430C635A" w14:textId="77777777" w:rsidR="000E48CE" w:rsidRDefault="00FF4C4E">
      <w:pPr>
        <w:pStyle w:val="P68B1DB1-Normal4"/>
        <w:spacing w:before="120" w:after="120" w:line="240" w:lineRule="auto"/>
        <w:jc w:val="both"/>
        <w:rPr>
          <w:rFonts w:cs="Times New Roman"/>
          <w:noProof/>
        </w:rPr>
      </w:pPr>
      <w:r>
        <w:rPr>
          <w:noProof/>
        </w:rPr>
        <w:t>Lain tavoitteena on julistaa arkkitehtuurin ja rakennusten laatu julkiseksi hyödykkeeksi, parantaa elämänlaatua, edistää arkkitehtuurin sosiaalisia juuria</w:t>
      </w:r>
      <w:r>
        <w:rPr>
          <w:noProof/>
        </w:rPr>
        <w:t>, edistää kaupunkialueiden ja keskusten kestävää kehitystä, edistää taloudellista ja sosiaalista kehitystä sekä suojella ja suojella kulttuuri- ja luonnonperintöä.</w:t>
      </w:r>
    </w:p>
    <w:p w14:paraId="2D3C58D9" w14:textId="77777777" w:rsidR="000E48CE" w:rsidRDefault="00FF4C4E">
      <w:pPr>
        <w:pStyle w:val="P68B1DB1-Normal4"/>
        <w:spacing w:before="120" w:after="120" w:line="240" w:lineRule="auto"/>
        <w:jc w:val="both"/>
        <w:rPr>
          <w:rFonts w:cs="Times New Roman"/>
          <w:noProof/>
        </w:rPr>
      </w:pPr>
      <w:r>
        <w:rPr>
          <w:noProof/>
        </w:rPr>
        <w:t>Tätä varten laissa käsitellään erilaisia aloitteita ja toimia, jotka liittyvät läheisesti Es</w:t>
      </w:r>
      <w:r>
        <w:rPr>
          <w:noProof/>
        </w:rPr>
        <w:t>panjan elpymis- ja palautumissuunnitelman tähän osaan sisältyviin kunnostus- ja elvyttämisohjelmiin. Laissa säädetään erityisesti seuraavista: hallinnolliset yhteistyötoimet arkkitehti-, insinööri- ja kaupunkisuunnitteluhankkeiden ja -urakoiden hankinnassa</w:t>
      </w:r>
      <w:r>
        <w:rPr>
          <w:noProof/>
        </w:rPr>
        <w:t xml:space="preserve">; välineet, joilla levitetään hyviä </w:t>
      </w:r>
      <w:r>
        <w:rPr>
          <w:noProof/>
        </w:rPr>
        <w:lastRenderedPageBreak/>
        <w:t xml:space="preserve">käytäntöjä ja tukea, koulutusta ja julkisen ja yksityisen sektorin kumppanuuksia; ja iii) kuntoutuksen edistäminen kokonaisvaltaisesta näkökulmasta, kuten edellä kuvattu. </w:t>
      </w:r>
    </w:p>
    <w:p w14:paraId="419B85C4" w14:textId="77777777" w:rsidR="000E48CE" w:rsidRDefault="00FF4C4E">
      <w:pPr>
        <w:pStyle w:val="P68B1DB1-Normal4"/>
        <w:spacing w:before="120" w:after="120" w:line="240" w:lineRule="auto"/>
        <w:jc w:val="both"/>
        <w:rPr>
          <w:rFonts w:cs="Times New Roman"/>
          <w:noProof/>
        </w:rPr>
      </w:pPr>
      <w:r>
        <w:rPr>
          <w:noProof/>
        </w:rPr>
        <w:t>Uudistuksen täytäntöönpano on saatettava päätöks</w:t>
      </w:r>
      <w:r>
        <w:rPr>
          <w:noProof/>
        </w:rPr>
        <w:t>een 30 päivään syyskuuta 2022 mennessä.</w:t>
      </w:r>
    </w:p>
    <w:p w14:paraId="549C398D" w14:textId="036EA0D4" w:rsidR="000E48CE" w:rsidRDefault="00FF4C4E">
      <w:pPr>
        <w:pStyle w:val="P68B1DB1-Normal6"/>
        <w:spacing w:before="120" w:after="120" w:line="240" w:lineRule="auto"/>
        <w:jc w:val="both"/>
        <w:rPr>
          <w:rFonts w:cs="Times New Roman"/>
          <w:noProof/>
        </w:rPr>
      </w:pPr>
      <w:r>
        <w:rPr>
          <w:noProof/>
        </w:rPr>
        <w:t>Uudistus 5 (C2.R5) – perusparannustoimistot (”keskitetty palvelupiste”)</w:t>
      </w:r>
    </w:p>
    <w:p w14:paraId="7B668DD1" w14:textId="77777777" w:rsidR="000E48CE" w:rsidRDefault="00FF4C4E">
      <w:pPr>
        <w:pStyle w:val="P68B1DB1-Normal4"/>
        <w:spacing w:before="120" w:after="120" w:line="240" w:lineRule="auto"/>
        <w:jc w:val="both"/>
        <w:rPr>
          <w:rFonts w:cs="Times New Roman"/>
          <w:noProof/>
        </w:rPr>
      </w:pPr>
      <w:r>
        <w:rPr>
          <w:noProof/>
        </w:rPr>
        <w:t>Tämän toimenpiteen tavoitteena on kannustaa ja laajentaa joissakin kunnissa perustettuja paikallisia peruskorjaustoimistoja, jotka auttavat koti</w:t>
      </w:r>
      <w:r>
        <w:rPr>
          <w:noProof/>
        </w:rPr>
        <w:t>talouksia ja omistajayhteisöjä asuinrakennuksen kunnostamiseen liittyvissä erittäin monimutkaisissa tehtävissä.</w:t>
      </w:r>
    </w:p>
    <w:p w14:paraId="03EB3CFC" w14:textId="77777777" w:rsidR="000E48CE" w:rsidRDefault="00FF4C4E">
      <w:pPr>
        <w:pStyle w:val="P68B1DB1-Normal4"/>
        <w:spacing w:before="120" w:after="120" w:line="240" w:lineRule="auto"/>
        <w:jc w:val="both"/>
        <w:rPr>
          <w:rFonts w:cs="Times New Roman"/>
          <w:noProof/>
        </w:rPr>
      </w:pPr>
      <w:r>
        <w:rPr>
          <w:noProof/>
        </w:rPr>
        <w:t>Tätä varten tällä toimenpiteellä kannustetaan edelleen tähän lähestymistapaan ja laajennetaan sitä ottamalla käyttöön prosessi, jolla varmisteta</w:t>
      </w:r>
      <w:r>
        <w:rPr>
          <w:noProof/>
        </w:rPr>
        <w:t>an tehokas yhteistyö keskus-, alue- ja/tai paikallishallinnon välillä. Tähän sisältyy kaiken julkisen tuen koordinoinnin vahvistaminen (keskus-, alue- tai paikallistasolla). Kaikkien hallintotasojen on osallistuttava näihin keskitettyihin palvelupisteisiin</w:t>
      </w:r>
      <w:r>
        <w:rPr>
          <w:noProof/>
        </w:rPr>
        <w:t xml:space="preserve"> peruskorjaustoimien tehokkuuden maksimoimiseksi.</w:t>
      </w:r>
    </w:p>
    <w:p w14:paraId="643CD522" w14:textId="77777777" w:rsidR="000E48CE" w:rsidRDefault="00FF4C4E">
      <w:pPr>
        <w:pStyle w:val="P68B1DB1-Normal4"/>
        <w:rPr>
          <w:rFonts w:cs="Times New Roman"/>
          <w:noProof/>
        </w:rPr>
      </w:pPr>
      <w:r>
        <w:rPr>
          <w:noProof/>
        </w:rPr>
        <w:t>Uudistuksen täytäntöönpano on saatettava päätökseen 30 päivään syyskuuta 2021 mennessä.</w:t>
      </w:r>
    </w:p>
    <w:p w14:paraId="47FCDE60" w14:textId="461C9B30" w:rsidR="000E48CE" w:rsidRDefault="00FF4C4E">
      <w:pPr>
        <w:pStyle w:val="P68B1DB1-Normal6"/>
        <w:spacing w:before="120" w:after="120" w:line="240" w:lineRule="auto"/>
        <w:jc w:val="both"/>
        <w:rPr>
          <w:rFonts w:cs="Times New Roman"/>
          <w:noProof/>
        </w:rPr>
      </w:pPr>
      <w:r>
        <w:rPr>
          <w:noProof/>
        </w:rPr>
        <w:t>Uudistus 6 (C2.R6) – Parannetaan perusparannustoimien rahoitusta</w:t>
      </w:r>
    </w:p>
    <w:p w14:paraId="2B8E3D1A" w14:textId="77777777" w:rsidR="000E48CE" w:rsidRDefault="00FF4C4E">
      <w:pPr>
        <w:pStyle w:val="P68B1DB1-Normal4"/>
        <w:spacing w:before="120" w:after="120" w:line="240" w:lineRule="auto"/>
        <w:jc w:val="both"/>
        <w:rPr>
          <w:rFonts w:cs="Times New Roman"/>
          <w:noProof/>
        </w:rPr>
      </w:pPr>
      <w:r>
        <w:rPr>
          <w:noProof/>
        </w:rPr>
        <w:t xml:space="preserve">Tämän toimenpiteen tavoitteena on puuttua yhteen </w:t>
      </w:r>
      <w:r>
        <w:rPr>
          <w:noProof/>
        </w:rPr>
        <w:t>peruskorjaustoiminnan käynnistämisen suurimmista esteistä eli rahoituksen saantiin suotuisin ehdoin. Peruskorjauslainan hyväksyminen edellyttää toisinaan henkilökohtaisen lainan myöntämistä jokaiselle rakennuksen yksittäiselle omistajalle. Tämä on muodosta</w:t>
      </w:r>
      <w:r>
        <w:rPr>
          <w:noProof/>
        </w:rPr>
        <w:t>nut esteen rakennusten perusteelliselle ja integroidulle kunnostamiselle.</w:t>
      </w:r>
    </w:p>
    <w:p w14:paraId="7029A272" w14:textId="77777777" w:rsidR="000E48CE" w:rsidRDefault="00FF4C4E">
      <w:pPr>
        <w:pStyle w:val="P68B1DB1-Normal4"/>
        <w:spacing w:before="120" w:after="120" w:line="240" w:lineRule="auto"/>
        <w:jc w:val="both"/>
        <w:rPr>
          <w:rFonts w:cs="Times New Roman"/>
          <w:noProof/>
        </w:rPr>
      </w:pPr>
      <w:r>
        <w:rPr>
          <w:noProof/>
        </w:rPr>
        <w:t>Tämän ongelman ratkaisemiseksi toimenpiteessä</w:t>
      </w:r>
    </w:p>
    <w:p w14:paraId="424D4897" w14:textId="77777777" w:rsidR="000E48CE" w:rsidRDefault="00FF4C4E">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 xml:space="preserve">Perustetaan uusi </w:t>
      </w:r>
      <w:r>
        <w:rPr>
          <w:i/>
          <w:noProof/>
        </w:rPr>
        <w:t>Instituto de Crédito Oficial</w:t>
      </w:r>
      <w:r>
        <w:rPr>
          <w:noProof/>
        </w:rPr>
        <w:t xml:space="preserve"> (ICO) -takausjärjestely, jolla katetaan osittain yksityisten rahoituslaitosten asuinrakenn</w:t>
      </w:r>
      <w:r>
        <w:rPr>
          <w:noProof/>
        </w:rPr>
        <w:t>usten kunnostamiseen myöntämien lainojen riski;</w:t>
      </w:r>
    </w:p>
    <w:p w14:paraId="00BDEC3B" w14:textId="77777777" w:rsidR="000E48CE" w:rsidRDefault="00FF4C4E">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edistää erityisten säännösten hyväksymistä, mukaan lukien horisontaalisen omaisuuslain uudistus, omistajayhteisöjen rahoituksen saannin parantamiseksi; ja</w:t>
      </w:r>
    </w:p>
    <w:p w14:paraId="00F6EF93" w14:textId="77777777" w:rsidR="000E48CE" w:rsidRDefault="00FF4C4E">
      <w:pPr>
        <w:pStyle w:val="P68B1DB1-Normal4"/>
        <w:numPr>
          <w:ilvl w:val="0"/>
          <w:numId w:val="274"/>
        </w:numPr>
        <w:autoSpaceDE w:val="0"/>
        <w:autoSpaceDN w:val="0"/>
        <w:adjustRightInd w:val="0"/>
        <w:spacing w:before="120" w:after="120" w:line="240" w:lineRule="auto"/>
        <w:jc w:val="both"/>
        <w:rPr>
          <w:rFonts w:eastAsia="Arial" w:cs="Times New Roman"/>
          <w:noProof/>
        </w:rPr>
      </w:pPr>
      <w:r>
        <w:rPr>
          <w:noProof/>
        </w:rPr>
        <w:t>kannustaa rahoituslaitoksia ottamaan käyttöön vihreää</w:t>
      </w:r>
      <w:r>
        <w:rPr>
          <w:noProof/>
        </w:rPr>
        <w:t xml:space="preserve"> rahoitusta.</w:t>
      </w:r>
    </w:p>
    <w:p w14:paraId="29520B70" w14:textId="77777777" w:rsidR="000E48CE" w:rsidRDefault="00FF4C4E">
      <w:pPr>
        <w:pStyle w:val="P68B1DB1-Normal4"/>
        <w:autoSpaceDE w:val="0"/>
        <w:autoSpaceDN w:val="0"/>
        <w:adjustRightInd w:val="0"/>
        <w:spacing w:before="120" w:after="120" w:line="240" w:lineRule="auto"/>
        <w:jc w:val="both"/>
        <w:rPr>
          <w:rFonts w:eastAsia="Arial" w:cs="Times New Roman"/>
          <w:noProof/>
        </w:rPr>
      </w:pPr>
      <w:r>
        <w:rPr>
          <w:noProof/>
        </w:rPr>
        <w:t>Uudistuksen täytäntöönpano on saatettava päätökseen 30 päivään syyskuuta 2022 mennessä.</w:t>
      </w:r>
    </w:p>
    <w:p w14:paraId="56F6608F" w14:textId="08AC5CE0" w:rsidR="000E48CE" w:rsidRDefault="00FF4C4E">
      <w:pPr>
        <w:pStyle w:val="P68B1DB1-Normal6"/>
        <w:spacing w:before="120" w:after="120" w:line="240" w:lineRule="auto"/>
        <w:jc w:val="both"/>
        <w:rPr>
          <w:rFonts w:cs="Times New Roman"/>
          <w:noProof/>
        </w:rPr>
      </w:pPr>
      <w:r>
        <w:rPr>
          <w:noProof/>
        </w:rPr>
        <w:t>Investointi 1 (C2.I1) – Kuntoutusohjelma asuinympäristöjen taloudellisen ja sosiaalisen elpymisen edistämiseksi</w:t>
      </w:r>
    </w:p>
    <w:p w14:paraId="2C53FCFF" w14:textId="719056C0" w:rsidR="000E48CE" w:rsidRDefault="00FF4C4E">
      <w:pPr>
        <w:pStyle w:val="P68B1DB1-Normal4"/>
        <w:spacing w:before="120" w:after="120" w:line="240" w:lineRule="auto"/>
        <w:jc w:val="both"/>
        <w:rPr>
          <w:rFonts w:cs="Times New Roman"/>
          <w:noProof/>
        </w:rPr>
      </w:pPr>
      <w:r>
        <w:rPr>
          <w:noProof/>
        </w:rPr>
        <w:t xml:space="preserve">Tämän toimenpiteen tavoitteena on tukea </w:t>
      </w:r>
      <w:r>
        <w:rPr>
          <w:noProof/>
        </w:rPr>
        <w:t>asuinrakennusten ja asuinalueiden energiatehokkuutta parantavia peruskorjauksia. Tämän toimenpiteen mukaisissa toimissa on toteutettava vähintään 410000 peruskorjaustoimea vähintään 285000 yksittäisessä asunnossa siten, että primäärienergian kysyntä vähene</w:t>
      </w:r>
      <w:r>
        <w:rPr>
          <w:noProof/>
        </w:rPr>
        <w:t>e keskimäärin vähintään 30 prosenttia, mikä todennetaan energiatehokkuustodistuksilla. Sen yhteydessä tuetaan seuraavia toimia:</w:t>
      </w:r>
    </w:p>
    <w:p w14:paraId="304FC7A1" w14:textId="495CE96D" w:rsidR="000E48CE" w:rsidRDefault="00FF4C4E">
      <w:pPr>
        <w:pStyle w:val="P68B1DB1-Normal4"/>
        <w:numPr>
          <w:ilvl w:val="0"/>
          <w:numId w:val="69"/>
        </w:numPr>
        <w:spacing w:before="120" w:after="120" w:line="240" w:lineRule="auto"/>
        <w:ind w:left="714" w:hanging="357"/>
        <w:contextualSpacing/>
        <w:jc w:val="both"/>
        <w:rPr>
          <w:rFonts w:cs="Times New Roman"/>
          <w:noProof/>
        </w:rPr>
      </w:pPr>
      <w:r>
        <w:rPr>
          <w:noProof/>
        </w:rPr>
        <w:t>Ohjelma, jolla tuetaan energiaperuskorjauksia naapurustossa. Ohjelmassa on kunnostettava vähintään 600 hehtaaria kaupunkialueita</w:t>
      </w:r>
      <w:r>
        <w:rPr>
          <w:noProof/>
        </w:rPr>
        <w:t xml:space="preserve"> siten, että primäärienergian kysyntä vähenee keskimäärin vähintään 30 prosenttia, mikä todennetaan energiatehokkuustodistuksilla. Toimia ovat energiatehokkuuden parantaminen, sähköisen liikkuvuuden infrastruktuurin käyttöönotto, rakennusten esteettömyyden</w:t>
      </w:r>
      <w:r>
        <w:rPr>
          <w:noProof/>
        </w:rPr>
        <w:t xml:space="preserve"> parantaminen ja vaarallisten aineiden poistaminen. Enintään 15 prosenttia toimenpiteestä osoitetaan asuinalueiden tason parannuksiin, kuten ulkovalaistuksen parantamiseen, pyöräilyväyliin, vihreään infrastruktuuriin ja kuivatusjärjestelmiin, ottaen huomio</w:t>
      </w:r>
      <w:r>
        <w:rPr>
          <w:noProof/>
        </w:rPr>
        <w:t xml:space="preserve">on naapuruston sosioekonomiset erityispiirteet. </w:t>
      </w:r>
    </w:p>
    <w:p w14:paraId="3C7153CC" w14:textId="55783E07" w:rsidR="000E48CE" w:rsidRDefault="00FF4C4E">
      <w:pPr>
        <w:pStyle w:val="P68B1DB1-Normal4"/>
        <w:numPr>
          <w:ilvl w:val="0"/>
          <w:numId w:val="69"/>
        </w:numPr>
        <w:spacing w:before="120" w:after="120" w:line="240" w:lineRule="auto"/>
        <w:ind w:left="714" w:hanging="357"/>
        <w:contextualSpacing/>
        <w:jc w:val="both"/>
        <w:rPr>
          <w:rFonts w:cs="Times New Roman"/>
          <w:noProof/>
        </w:rPr>
      </w:pPr>
      <w:r>
        <w:rPr>
          <w:noProof/>
        </w:rPr>
        <w:t xml:space="preserve">Ohjelma asuinrakennusten energiaperuskorjausten tukemiseksi. Tuen tason on oltava suurempi niiden toimien osalta, joissa primäärienergian kysyntä vähenee enemmän, ja </w:t>
      </w:r>
      <w:r>
        <w:rPr>
          <w:noProof/>
        </w:rPr>
        <w:lastRenderedPageBreak/>
        <w:t>pienituloisille kotitalouksille. Toimia o</w:t>
      </w:r>
      <w:r>
        <w:rPr>
          <w:noProof/>
        </w:rPr>
        <w:t xml:space="preserve">vat energiatehokkuuden parantaminen, sähköisen liikkuvuuden infrastruktuurin käyttöönotto, rakennusten esteettömyyden parantaminen ja vaarallisten aineiden </w:t>
      </w:r>
      <w:bookmarkStart w:id="4" w:name="_Hlk145665613"/>
      <w:r>
        <w:rPr>
          <w:noProof/>
        </w:rPr>
        <w:t>poistaminen</w:t>
      </w:r>
      <w:bookmarkEnd w:id="4"/>
      <w:r>
        <w:rPr>
          <w:noProof/>
        </w:rPr>
        <w:t>.</w:t>
      </w:r>
    </w:p>
    <w:p w14:paraId="213E32C8" w14:textId="77777777" w:rsidR="000E48CE" w:rsidRDefault="00FF4C4E">
      <w:pPr>
        <w:pStyle w:val="P68B1DB1-Normal4"/>
        <w:numPr>
          <w:ilvl w:val="0"/>
          <w:numId w:val="69"/>
        </w:numPr>
        <w:spacing w:before="120" w:after="120" w:line="240" w:lineRule="auto"/>
        <w:ind w:left="709"/>
        <w:jc w:val="both"/>
        <w:rPr>
          <w:rFonts w:cs="Times New Roman"/>
          <w:noProof/>
        </w:rPr>
      </w:pPr>
      <w:r>
        <w:rPr>
          <w:noProof/>
        </w:rPr>
        <w:t xml:space="preserve">Toimissa on käsiteltävä energiaperuskorjausten kannustimia. Tähän sisältyy muun muassa </w:t>
      </w:r>
      <w:r>
        <w:rPr>
          <w:noProof/>
        </w:rPr>
        <w:t>i) mahdollisuus vähentää perusparannukset henkilökohtaisesta tuloverosta, jos primäärienergian kysyntä vähenee vähintään 30 prosenttia, ja ii) rahoituskehyksen parantaminen kannustamalla julkisen ja yksityisen sektorin kumppanuuksia.</w:t>
      </w:r>
    </w:p>
    <w:p w14:paraId="65EBC0B5" w14:textId="77777777" w:rsidR="000E48CE" w:rsidRDefault="00FF4C4E">
      <w:pPr>
        <w:pStyle w:val="P68B1DB1-Normal4"/>
        <w:spacing w:before="120" w:after="120" w:line="240" w:lineRule="auto"/>
        <w:jc w:val="both"/>
        <w:rPr>
          <w:rFonts w:cs="Times New Roman"/>
          <w:noProof/>
        </w:rPr>
      </w:pPr>
      <w:r>
        <w:rPr>
          <w:noProof/>
        </w:rPr>
        <w:t>Kuninkaallisella asetu</w:t>
      </w:r>
      <w:r>
        <w:rPr>
          <w:noProof/>
        </w:rPr>
        <w:t>ksella vahvistetaan tekniset vaatimukset, joilla varmistetaan primäärienergian kysynnän 30 prosentin keskimääräisen vähennyksen noudattaminen. Henkilökohtaisen tuloveron muutokset hyväksytään kuninkaallisella asetuksella, ja niiden tavoitteena on määritell</w:t>
      </w:r>
      <w:r>
        <w:rPr>
          <w:noProof/>
        </w:rPr>
        <w:t>ä verokannustimet rakennusten uudistamistoimille energiatehokkuuden parantamiseksi.</w:t>
      </w:r>
    </w:p>
    <w:p w14:paraId="5AFC7AC4"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2026.</w:t>
      </w:r>
    </w:p>
    <w:p w14:paraId="507FD263" w14:textId="77777777" w:rsidR="000E48CE" w:rsidRDefault="00FF4C4E">
      <w:pPr>
        <w:pStyle w:val="P68B1DB1-Normal6"/>
        <w:spacing w:before="120" w:after="120" w:line="240" w:lineRule="auto"/>
        <w:jc w:val="both"/>
        <w:rPr>
          <w:rFonts w:cs="Times New Roman"/>
          <w:noProof/>
        </w:rPr>
      </w:pPr>
      <w:r>
        <w:rPr>
          <w:noProof/>
        </w:rPr>
        <w:t xml:space="preserve">Investointi 2 (C2.I2) – Ohjelma sosiaalisten vuokra-asuntojen rakentamiseksi energiatehokkaisiin </w:t>
      </w:r>
      <w:r>
        <w:rPr>
          <w:noProof/>
        </w:rPr>
        <w:t>rakennuksiin</w:t>
      </w:r>
    </w:p>
    <w:p w14:paraId="22FD70AB" w14:textId="77777777" w:rsidR="000E48CE" w:rsidRDefault="00FF4C4E">
      <w:pPr>
        <w:pStyle w:val="P68B1DB1-Normal4"/>
        <w:spacing w:before="120" w:after="120" w:line="240" w:lineRule="auto"/>
        <w:jc w:val="both"/>
        <w:rPr>
          <w:rFonts w:cs="Times New Roman"/>
          <w:noProof/>
        </w:rPr>
      </w:pPr>
      <w:r>
        <w:rPr>
          <w:noProof/>
        </w:rPr>
        <w:t>Tämän toimenpiteen tavoitteena on rakentaa vähintään 20000 uutta asuntoa sosiaalista vuokrausta varten tai kohtuulliseen hintaan energiatehokkuutta koskevien kriteerien mukaisesti. Ne on rakennettava erityisesti alueille, joilla sosiaalinen as</w:t>
      </w:r>
      <w:r>
        <w:rPr>
          <w:noProof/>
        </w:rPr>
        <w:t>untotuotanto on tällä hetkellä riittämätöntä, ja julkisessa omistuksessa olevalle maalle.</w:t>
      </w:r>
    </w:p>
    <w:p w14:paraId="67B4BC21" w14:textId="77777777" w:rsidR="000E48CE" w:rsidRDefault="00FF4C4E">
      <w:pPr>
        <w:pStyle w:val="P68B1DB1-Normal4"/>
        <w:spacing w:before="120" w:after="120" w:line="240" w:lineRule="auto"/>
        <w:jc w:val="both"/>
        <w:rPr>
          <w:rFonts w:cs="Times New Roman"/>
          <w:noProof/>
        </w:rPr>
      </w:pPr>
      <w:r>
        <w:rPr>
          <w:noProof/>
        </w:rPr>
        <w:t>Sosiaalisen asuntotuotannon primäärienergian kysynnän on oltava vähintään 20 prosenttia vähemmän kuin lähes nollaenergiarakennuksissa. Tätä varten on annettava kunink</w:t>
      </w:r>
      <w:r>
        <w:rPr>
          <w:noProof/>
        </w:rPr>
        <w:t>aallinen asetus, jossa vahvistetaan tekniset vaatimukset primäärienergian kysynnän rajoittamiseksi 80 prosenttiin energiansäästöä koskevan teknisen säännöstön (CTE) kohdassa HE 0 asetetusta rajasta.</w:t>
      </w:r>
    </w:p>
    <w:p w14:paraId="609773F7"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w:t>
      </w:r>
      <w:r>
        <w:rPr>
          <w:noProof/>
        </w:rPr>
        <w:t>. kesäkuuta 2026.</w:t>
      </w:r>
    </w:p>
    <w:p w14:paraId="4020EDED" w14:textId="77777777" w:rsidR="000E48CE" w:rsidRDefault="00FF4C4E">
      <w:pPr>
        <w:pStyle w:val="P68B1DB1-Normal6"/>
        <w:spacing w:before="120" w:after="120" w:line="240" w:lineRule="auto"/>
        <w:jc w:val="both"/>
        <w:rPr>
          <w:rFonts w:cs="Times New Roman"/>
          <w:noProof/>
        </w:rPr>
      </w:pPr>
      <w:r>
        <w:rPr>
          <w:noProof/>
        </w:rPr>
        <w:t>Investointi 3 (C2.I3) – Rakennusten energiakunnostamista koskeva ohjelma</w:t>
      </w:r>
    </w:p>
    <w:p w14:paraId="7394FF66" w14:textId="77777777" w:rsidR="000E48CE" w:rsidRDefault="00FF4C4E">
      <w:pPr>
        <w:pStyle w:val="P68B1DB1-Normal4"/>
        <w:spacing w:before="120" w:after="120" w:line="240" w:lineRule="auto"/>
        <w:jc w:val="both"/>
        <w:rPr>
          <w:rFonts w:cs="Times New Roman"/>
          <w:noProof/>
        </w:rPr>
      </w:pPr>
      <w:r>
        <w:rPr>
          <w:noProof/>
        </w:rPr>
        <w:t>Tämän toimenpiteen tavoitteena on tukea vähintään 40000 asuinrakennusta ja 690 000 m²</w:t>
      </w:r>
      <w:r>
        <w:rPr>
          <w:noProof/>
          <w:vertAlign w:val="superscript"/>
        </w:rPr>
        <w:t>muiden kuin</w:t>
      </w:r>
      <w:r>
        <w:rPr>
          <w:noProof/>
        </w:rPr>
        <w:t xml:space="preserve"> asuinrakennusten energiaperuskorjauksia sekä parantamalla energiateh</w:t>
      </w:r>
      <w:r>
        <w:rPr>
          <w:noProof/>
        </w:rPr>
        <w:t>okkuutta ja integroimalla uusiutuvaa energiaa. Ohjelmasta tuetaan ainoastaan uusiutuvaa energiaa fossiilisia polttoaineita lukuun ottamatta, ja se tarjoaa energiayhteisöille korkeamman tuki-intensiteetin ja mahdollistaa peruskorjaustoimien ennakkorahoituks</w:t>
      </w:r>
      <w:r>
        <w:rPr>
          <w:noProof/>
        </w:rPr>
        <w:t>en. Erityistoimet koskevat energiatehokkuuden parantamista lämpöeristyksen avulla, uusiutuvan energian käyttöä lämmitys- ja jäähdytysjärjestelmissä sekä valaistusjärjestelmän parantamista. Kelpoisuusperusteena on, että primäärienergian kysynnän keskimäärin</w:t>
      </w:r>
      <w:r>
        <w:rPr>
          <w:noProof/>
        </w:rPr>
        <w:t xml:space="preserve"> vähintään 30 prosentin vähennys todennetaan energiatehokkuustodistuksilla.</w:t>
      </w:r>
    </w:p>
    <w:p w14:paraId="2298B8EB"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2026.</w:t>
      </w:r>
    </w:p>
    <w:p w14:paraId="58B2CDE9" w14:textId="77777777" w:rsidR="000E48CE" w:rsidRDefault="00FF4C4E">
      <w:pPr>
        <w:pStyle w:val="P68B1DB1-Normal6"/>
        <w:spacing w:before="120" w:after="120" w:line="240" w:lineRule="auto"/>
        <w:jc w:val="both"/>
        <w:rPr>
          <w:rFonts w:cs="Times New Roman"/>
          <w:noProof/>
        </w:rPr>
      </w:pPr>
      <w:r>
        <w:rPr>
          <w:noProof/>
        </w:rPr>
        <w:t>Investointi 4 (C2.I4) – Regenerointiohjelma ja väestökehityksen haasteet</w:t>
      </w:r>
    </w:p>
    <w:p w14:paraId="5F772F25" w14:textId="77777777" w:rsidR="000E48CE" w:rsidRDefault="00FF4C4E">
      <w:pPr>
        <w:pStyle w:val="P68B1DB1-Normal4"/>
        <w:spacing w:before="120" w:after="120" w:line="240" w:lineRule="auto"/>
        <w:jc w:val="both"/>
        <w:rPr>
          <w:rFonts w:cs="Times New Roman"/>
          <w:noProof/>
        </w:rPr>
      </w:pPr>
      <w:r>
        <w:rPr>
          <w:noProof/>
        </w:rPr>
        <w:t>Toimenpiteen tavoitteena on tuke</w:t>
      </w:r>
      <w:r>
        <w:rPr>
          <w:noProof/>
        </w:rPr>
        <w:t>a alle 5000 asukkaan kuntien ja kaupunkialueiden rakennusten peruskorjausta. Toimia ovat rakennusten, julkisten laitteiden ja infrastruktuurin energiatehokkuuden parantaminen, uusiutuvan energian tuotanto ja kulutus, oma kulutus ja omistajien paikalliset e</w:t>
      </w:r>
      <w:r>
        <w:rPr>
          <w:noProof/>
        </w:rPr>
        <w:t>nergiayhteisöt sekä kestävä liikkuvuus (kuten sähkölatausasemat). Toteutetaan kahdentyyppisiä toimia:</w:t>
      </w:r>
    </w:p>
    <w:p w14:paraId="01326C6C" w14:textId="527A66CA" w:rsidR="000E48CE" w:rsidRDefault="00FF4C4E">
      <w:pPr>
        <w:pStyle w:val="P68B1DB1-Normal4"/>
        <w:numPr>
          <w:ilvl w:val="0"/>
          <w:numId w:val="70"/>
        </w:numPr>
        <w:spacing w:before="120" w:after="120" w:line="240" w:lineRule="auto"/>
        <w:ind w:left="714" w:hanging="357"/>
        <w:contextualSpacing/>
        <w:jc w:val="both"/>
        <w:rPr>
          <w:rFonts w:cs="Times New Roman"/>
          <w:noProof/>
        </w:rPr>
      </w:pPr>
      <w:r>
        <w:rPr>
          <w:noProof/>
        </w:rPr>
        <w:t>Energiatehokkuuden osalta asuinrakennuksissa ja 230 000 m²:ssä muissa kuin asuinrakennuksissa on tehtävä vähintään 4300 energiaperuskorjausta, joilla saavutetaan keskimäärin vähintään 30 prosentin primäärienergian kysynnän vähennys, joka on todennettu ener</w:t>
      </w:r>
      <w:r>
        <w:rPr>
          <w:noProof/>
        </w:rPr>
        <w:t xml:space="preserve">giatehokkuustodistuksilla. </w:t>
      </w:r>
    </w:p>
    <w:p w14:paraId="7EE1C8FD" w14:textId="3CC631DE" w:rsidR="000E48CE" w:rsidRDefault="00FF4C4E">
      <w:pPr>
        <w:pStyle w:val="P68B1DB1-Normal4"/>
        <w:numPr>
          <w:ilvl w:val="0"/>
          <w:numId w:val="70"/>
        </w:numPr>
        <w:spacing w:before="120" w:after="120" w:line="240" w:lineRule="auto"/>
        <w:jc w:val="both"/>
        <w:rPr>
          <w:rFonts w:cs="Times New Roman"/>
          <w:noProof/>
        </w:rPr>
      </w:pPr>
      <w:r>
        <w:rPr>
          <w:noProof/>
        </w:rPr>
        <w:lastRenderedPageBreak/>
        <w:t>Vähintään 500 ainutlaatuista puhtaan energian hanketta on toteutettava tarjouskilpailujen tai paikallisviranomaisten tekemien investointien avulla seuraavilla aloilla: julkisten rakennusten tai infrastruktuurin uusiutuvan sähkön</w:t>
      </w:r>
      <w:r>
        <w:rPr>
          <w:noProof/>
        </w:rPr>
        <w:t xml:space="preserve"> tai lämmityksen ja jäähdytyksen asentaminen (mukaan lukien vähintään 80 prosenttia omasta kulutuksesta); julkisten rakennusten tai infrastruktuurin energiaperuskorjaukset (joiden avulla saavutetaan vähintään 30 prosentin primäärienergian säästöt, jotka on</w:t>
      </w:r>
      <w:r>
        <w:rPr>
          <w:noProof/>
        </w:rPr>
        <w:t xml:space="preserve"> todennettu energiatehokkuustodistuksilla); kestävä liikkuvuus (liikennemuotosiirtymää tai sähköistä liikkuvuutta koskevat hankkeet); valosaasteen vähentäminen parantamalla julkista valaistusta; ja v) paikallinen energiayhteisö tai muut yhteisölähtöiset ha</w:t>
      </w:r>
      <w:r>
        <w:rPr>
          <w:noProof/>
        </w:rPr>
        <w:t>nkkeet näissä kunnissa.</w:t>
      </w:r>
    </w:p>
    <w:p w14:paraId="70CDAE8F" w14:textId="77777777" w:rsidR="000E48CE" w:rsidRDefault="00FF4C4E">
      <w:pPr>
        <w:pStyle w:val="P68B1DB1-Normal4"/>
        <w:spacing w:before="120" w:after="120" w:line="240" w:lineRule="auto"/>
        <w:jc w:val="both"/>
        <w:rPr>
          <w:rFonts w:cs="Times New Roman"/>
          <w:noProof/>
        </w:rPr>
      </w:pPr>
      <w:r>
        <w:rPr>
          <w:noProof/>
        </w:rPr>
        <w:t xml:space="preserve">Tätä varten paikallisviranomaisille myönnetyn investointituen oikeusperustat ja ehdotuspyyntö julkaistaan Euroopan unionin virallisessa lehdessä. </w:t>
      </w:r>
    </w:p>
    <w:p w14:paraId="78DFE28D"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2026.</w:t>
      </w:r>
    </w:p>
    <w:p w14:paraId="00B8F52C" w14:textId="77777777" w:rsidR="000E48CE" w:rsidRDefault="00FF4C4E">
      <w:pPr>
        <w:pStyle w:val="P68B1DB1-Normal6"/>
        <w:spacing w:before="120" w:after="120" w:line="240" w:lineRule="auto"/>
        <w:jc w:val="both"/>
        <w:rPr>
          <w:rFonts w:cs="Times New Roman"/>
          <w:noProof/>
        </w:rPr>
      </w:pPr>
      <w:r>
        <w:rPr>
          <w:noProof/>
        </w:rPr>
        <w:t>Investoint</w:t>
      </w:r>
      <w:r>
        <w:rPr>
          <w:noProof/>
        </w:rPr>
        <w:t>i 5 (C2.I5) – Julkisten rakennusten kunnostusohjelma</w:t>
      </w:r>
    </w:p>
    <w:p w14:paraId="5C84FBF4" w14:textId="77777777" w:rsidR="000E48CE" w:rsidRDefault="00FF4C4E">
      <w:pPr>
        <w:pStyle w:val="P68B1DB1-Normal4"/>
        <w:spacing w:before="120" w:after="120" w:line="240" w:lineRule="auto"/>
        <w:jc w:val="both"/>
        <w:rPr>
          <w:rFonts w:cs="Times New Roman"/>
          <w:noProof/>
        </w:rPr>
      </w:pPr>
      <w:r>
        <w:rPr>
          <w:noProof/>
        </w:rPr>
        <w:t>Tämän toimenpiteen tavoitteena on tukea energiaperuskorjauksia julkisissa rakennuksissa, myös julkishallinnossa, koulutuksessa, sosiaalihuollossa, urheilussa, terveydenhuollossa, kulttuurissa tai julkisi</w:t>
      </w:r>
      <w:r>
        <w:rPr>
          <w:noProof/>
        </w:rPr>
        <w:t>ssa palveluissa. Vähintään 1 230 000 m²</w:t>
      </w:r>
      <w:r>
        <w:rPr>
          <w:noProof/>
          <w:vertAlign w:val="superscript"/>
        </w:rPr>
        <w:t>julkisia</w:t>
      </w:r>
      <w:r>
        <w:rPr>
          <w:noProof/>
        </w:rPr>
        <w:t xml:space="preserve"> rakennuksia on kunnostettava siten, että primäärienergian kysyntä vähenee keskimäärin vähintään 30 prosenttia, ja ne on todennettava energiatehokkuustodistuksilla. Toimenpiteellä tuetaan veden, materiaalien, </w:t>
      </w:r>
      <w:r>
        <w:rPr>
          <w:noProof/>
        </w:rPr>
        <w:t xml:space="preserve">jätehuollon ja ilmastonmuutokseen sopeutumisen parantaminen; rakennusten esteettömyyden parantaminen; vaarallisten aineiden poistaminen ja sisäilman laadun parantaminen; ja iv) rakennusten säilyttäminen. </w:t>
      </w:r>
    </w:p>
    <w:p w14:paraId="0B17E944"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w:t>
      </w:r>
      <w:r>
        <w:rPr>
          <w:noProof/>
        </w:rPr>
        <w:t>ään 30. kesäkuuta 2026.</w:t>
      </w:r>
    </w:p>
    <w:p w14:paraId="490F1E3A" w14:textId="77777777" w:rsidR="000E48CE" w:rsidRDefault="00FF4C4E">
      <w:pPr>
        <w:pStyle w:val="P68B1DB1-Normal6"/>
        <w:spacing w:before="120" w:after="120" w:line="240" w:lineRule="auto"/>
        <w:jc w:val="both"/>
        <w:rPr>
          <w:rFonts w:cs="Times New Roman"/>
          <w:noProof/>
        </w:rPr>
      </w:pPr>
      <w:r>
        <w:rPr>
          <w:noProof/>
        </w:rPr>
        <w:t>Investointi 6 (C2.I6) – Tukiohjelma Espanjan kaupunkiagendan paikallisia toimintasuunnitelmia koskevien pilottihankkeiden kehittämiseksi</w:t>
      </w:r>
    </w:p>
    <w:p w14:paraId="71C49580" w14:textId="77777777" w:rsidR="000E48CE" w:rsidRDefault="00FF4C4E">
      <w:pPr>
        <w:pStyle w:val="P68B1DB1-Normal4"/>
        <w:spacing w:before="120" w:after="120" w:line="240" w:lineRule="auto"/>
        <w:jc w:val="both"/>
        <w:rPr>
          <w:rFonts w:cs="Times New Roman"/>
          <w:noProof/>
        </w:rPr>
      </w:pPr>
      <w:r>
        <w:rPr>
          <w:noProof/>
        </w:rPr>
        <w:t>Toimenpiteen tavoitteena on tukea paikallisviranomaisia Espanjan kaupunkiagendan kymmenen strat</w:t>
      </w:r>
      <w:r>
        <w:rPr>
          <w:noProof/>
        </w:rPr>
        <w:t>egisen tavoitteen täytäntöönpanossa hyväksymällä vähintään 100 paikallista toimintasuunnitelmaa. Espanjan kaupunkiagendan kymmenen strategista tavoitetta ovat: maankäytön suunnittelu ja sen järkevämpi käyttö sekä sen säilyttäminen ja suojelu; vältetään kau</w:t>
      </w:r>
      <w:r>
        <w:rPr>
          <w:noProof/>
        </w:rPr>
        <w:t>punkien hajautumista ja elvytetään olemassa olevia kaupunkeja; ilmastonmuutoksen ja sietokyvyn vaikutusten ehkäiseminen ja vähentäminen; resurssien kestävä käyttö ja kiertotalouden edistäminen; edistetään läheisyyttä ja kestävää liikkuvuutta; edistetään so</w:t>
      </w:r>
      <w:r>
        <w:rPr>
          <w:noProof/>
        </w:rPr>
        <w:t>siaalista yhteenkuuluvuutta ja pyritään tasa-arvoon; VII) kaupunkitalouden edistäminen ja kannustaminen; VIII) asunnon saatavuuden varmistaminen; IX) johtaa ja edistää digitaalista innovointia; ja x) osallistumis- ja hallintovälineiden parantaminen.</w:t>
      </w:r>
    </w:p>
    <w:p w14:paraId="1C387669" w14:textId="77777777" w:rsidR="000E48CE" w:rsidRDefault="00FF4C4E">
      <w:pPr>
        <w:pStyle w:val="P68B1DB1-Normal4"/>
        <w:spacing w:before="120" w:after="120" w:line="240" w:lineRule="auto"/>
        <w:jc w:val="both"/>
        <w:rPr>
          <w:rFonts w:cs="Times New Roman"/>
          <w:noProof/>
        </w:rPr>
      </w:pPr>
      <w:r>
        <w:rPr>
          <w:noProof/>
        </w:rPr>
        <w:t>Toimen</w:t>
      </w:r>
      <w:r>
        <w:rPr>
          <w:noProof/>
        </w:rPr>
        <w:t>piteen on i) toimittava roolimallina ja ohjenuorana muille paikallisviranomaisille niiden laatiessa omia toimintasuunnitelmiaan; pannaan täytäntöön Espanjan kaupunkiagenda paikallistasolla laadituilla toimintasuunnitelmilla; ja iii) toteutetaan konkreettis</w:t>
      </w:r>
      <w:r>
        <w:rPr>
          <w:noProof/>
        </w:rPr>
        <w:t>ia hankkeita osana paikallisia toimintasuunnitelmia, joissa korostetaan Espanjan kaupunkiagendan tarjoamia mahdollisuuksia. Tuki myönnetään tarjouskilpailujen kautta, ja se käsittää erityisesti monialaisia ja integroituja hankkeita, joilla on strateginen v</w:t>
      </w:r>
      <w:r>
        <w:rPr>
          <w:noProof/>
        </w:rPr>
        <w:t xml:space="preserve">isio ja jotka perustuvat hallintomalliin, jolla varmistetaan mahdollisimman laaja osallistuminen. </w:t>
      </w:r>
    </w:p>
    <w:p w14:paraId="3A173C06" w14:textId="77777777" w:rsidR="000E48CE" w:rsidRDefault="00FF4C4E">
      <w:pPr>
        <w:pStyle w:val="P68B1DB1-Normal4"/>
        <w:spacing w:before="120" w:after="120" w:line="240" w:lineRule="auto"/>
        <w:jc w:val="both"/>
        <w:rPr>
          <w:rFonts w:cs="Times New Roman"/>
          <w:noProof/>
        </w:rPr>
      </w:pPr>
      <w:r>
        <w:rPr>
          <w:noProof/>
        </w:rPr>
        <w:t>Tämän toimenpiteen mukaiset investoinnit on saatettava päätökseen viimeistään 31 päivänä joulukuuta 2022.</w:t>
      </w:r>
    </w:p>
    <w:p w14:paraId="567278F9" w14:textId="77777777" w:rsidR="000E48CE" w:rsidRDefault="00FF4C4E">
      <w:pPr>
        <w:pStyle w:val="P68B1DB1-Normal5"/>
        <w:spacing w:before="120" w:after="120" w:line="240" w:lineRule="auto"/>
        <w:ind w:left="709"/>
        <w:jc w:val="both"/>
        <w:rPr>
          <w:rFonts w:cs="Times New Roman"/>
          <w:noProof/>
        </w:rPr>
      </w:pPr>
      <w:r>
        <w:rPr>
          <w:noProof/>
        </w:rPr>
        <w:t xml:space="preserve">B.2 </w:t>
      </w:r>
      <w:r>
        <w:rPr>
          <w:noProof/>
        </w:rPr>
        <w:tab/>
        <w:t>Seurantaa ja täytäntöönpanoa koskevat välitavo</w:t>
      </w:r>
      <w:r>
        <w:rPr>
          <w:noProof/>
        </w:rPr>
        <w:t>itteet, tavoitteet, indikaattorit ja aikataulu – rahoitustuki, jota ei makseta takaisin</w:t>
      </w:r>
    </w:p>
    <w:p w14:paraId="49802B6B" w14:textId="77777777" w:rsidR="000E48CE" w:rsidRDefault="00FF4C4E">
      <w:pPr>
        <w:pStyle w:val="P68B1DB1-Normal4"/>
        <w:spacing w:before="120" w:after="120" w:line="240" w:lineRule="auto"/>
        <w:jc w:val="both"/>
        <w:rPr>
          <w:rFonts w:cs="Times New Roman"/>
          <w:i/>
          <w:noProof/>
        </w:rPr>
      </w:pPr>
      <w:r>
        <w:rPr>
          <w:i/>
          <w:noProof/>
        </w:rPr>
        <w:lastRenderedPageBreak/>
        <w:t>Ks. taulukko jäljempänä.</w:t>
      </w:r>
      <w:r>
        <w:rPr>
          <w:noProof/>
        </w:rPr>
        <w:t xml:space="preserve"> </w:t>
      </w:r>
      <w:r>
        <w:rPr>
          <w:i/>
          <w:noProof/>
        </w:rPr>
        <w:t xml:space="preserve">Kaikkien indikaattoreiden perustaso on 1. helmikuuta 2020, ellei toimen kuvauksessa toisin ilmoiteta. Taulukossa esitetyt määrät eivät sisällä </w:t>
      </w:r>
      <w:r>
        <w:rPr>
          <w:i/>
          <w:noProof/>
        </w:rPr>
        <w:t>arvonlisäveroa.</w:t>
      </w:r>
    </w:p>
    <w:p w14:paraId="0F361146" w14:textId="77777777" w:rsidR="000E48CE" w:rsidRDefault="000E48CE">
      <w:pPr>
        <w:spacing w:before="120" w:after="120" w:line="240" w:lineRule="auto"/>
        <w:jc w:val="both"/>
        <w:rPr>
          <w:rFonts w:ascii="Times New Roman" w:hAnsi="Times New Roman" w:cs="Times New Roman"/>
          <w:noProof/>
          <w:sz w:val="24"/>
        </w:rPr>
      </w:pPr>
    </w:p>
    <w:p w14:paraId="02246708" w14:textId="40E43E47" w:rsidR="000E48CE" w:rsidRDefault="000E48CE">
      <w:pPr>
        <w:spacing w:before="120" w:after="120" w:line="240" w:lineRule="auto"/>
        <w:jc w:val="both"/>
        <w:rPr>
          <w:rFonts w:ascii="Times New Roman" w:hAnsi="Times New Roman" w:cs="Times New Roman"/>
          <w:noProof/>
          <w:sz w:val="24"/>
        </w:rPr>
        <w:sectPr w:rsidR="000E48CE" w:rsidSect="004F0858">
          <w:headerReference w:type="even" r:id="rId42"/>
          <w:headerReference w:type="default" r:id="rId43"/>
          <w:footerReference w:type="even" r:id="rId44"/>
          <w:footerReference w:type="default" r:id="rId45"/>
          <w:headerReference w:type="first" r:id="rId46"/>
          <w:footerReference w:type="first" r:id="rId47"/>
          <w:pgSz w:w="11907" w:h="16839"/>
          <w:pgMar w:top="1134" w:right="1417" w:bottom="1134" w:left="1417" w:header="709" w:footer="709" w:gutter="0"/>
          <w:cols w:space="720"/>
          <w:docGrid w:linePitch="360"/>
        </w:sectPr>
      </w:pPr>
    </w:p>
    <w:tbl>
      <w:tblPr>
        <w:tblpPr w:leftFromText="180" w:rightFromText="180" w:vertAnchor="text" w:tblpX="-114"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985"/>
        <w:gridCol w:w="1134"/>
        <w:gridCol w:w="850"/>
        <w:gridCol w:w="709"/>
        <w:gridCol w:w="851"/>
        <w:gridCol w:w="425"/>
        <w:gridCol w:w="567"/>
        <w:gridCol w:w="6379"/>
      </w:tblGrid>
      <w:tr w:rsidR="000E48CE" w14:paraId="2E3C9312" w14:textId="77777777">
        <w:trPr>
          <w:trHeight w:val="309"/>
          <w:tblHeader/>
        </w:trPr>
        <w:tc>
          <w:tcPr>
            <w:tcW w:w="709" w:type="dxa"/>
            <w:tcBorders>
              <w:bottom w:val="nil"/>
            </w:tcBorders>
            <w:shd w:val="clear" w:color="auto" w:fill="C6D9F1" w:themeFill="text2" w:themeFillTint="33"/>
            <w:noWrap/>
            <w:vAlign w:val="center"/>
          </w:tcPr>
          <w:p w14:paraId="5B1788F6" w14:textId="77777777" w:rsidR="000E48CE" w:rsidRDefault="00FF4C4E">
            <w:pPr>
              <w:pStyle w:val="P68B1DB1-Normal12"/>
              <w:spacing w:after="0" w:line="240" w:lineRule="auto"/>
              <w:jc w:val="center"/>
              <w:rPr>
                <w:rFonts w:cs="Times New Roman"/>
                <w:noProof/>
              </w:rPr>
            </w:pPr>
            <w:r>
              <w:rPr>
                <w:noProof/>
              </w:rPr>
              <w:lastRenderedPageBreak/>
              <w:t>Määrä</w:t>
            </w:r>
          </w:p>
        </w:tc>
        <w:tc>
          <w:tcPr>
            <w:tcW w:w="851" w:type="dxa"/>
            <w:tcBorders>
              <w:bottom w:val="nil"/>
            </w:tcBorders>
            <w:shd w:val="clear" w:color="auto" w:fill="C6D9F1" w:themeFill="text2" w:themeFillTint="33"/>
            <w:noWrap/>
            <w:vAlign w:val="center"/>
          </w:tcPr>
          <w:p w14:paraId="49584422"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39827929"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1985" w:type="dxa"/>
            <w:tcBorders>
              <w:bottom w:val="nil"/>
            </w:tcBorders>
            <w:shd w:val="clear" w:color="auto" w:fill="C6D9F1" w:themeFill="text2" w:themeFillTint="33"/>
            <w:noWrap/>
            <w:vAlign w:val="center"/>
          </w:tcPr>
          <w:p w14:paraId="76CAFD79" w14:textId="77777777" w:rsidR="000E48CE" w:rsidRDefault="00FF4C4E">
            <w:pPr>
              <w:pStyle w:val="P68B1DB1-Normal12"/>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4600E658"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410" w:type="dxa"/>
            <w:gridSpan w:val="3"/>
            <w:shd w:val="clear" w:color="auto" w:fill="C6D9F1" w:themeFill="text2" w:themeFillTint="33"/>
            <w:noWrap/>
            <w:vAlign w:val="center"/>
          </w:tcPr>
          <w:p w14:paraId="38F0721A"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77B6B7CC" w14:textId="77777777" w:rsidR="000E48CE" w:rsidRDefault="00FF4C4E">
            <w:pPr>
              <w:pStyle w:val="P68B1DB1-Normal12"/>
              <w:spacing w:after="0" w:line="240" w:lineRule="auto"/>
              <w:jc w:val="center"/>
              <w:rPr>
                <w:rFonts w:cs="Times New Roman"/>
                <w:noProof/>
              </w:rPr>
            </w:pPr>
            <w:r>
              <w:rPr>
                <w:noProof/>
              </w:rPr>
              <w:t>Aika</w:t>
            </w:r>
          </w:p>
        </w:tc>
        <w:tc>
          <w:tcPr>
            <w:tcW w:w="6379" w:type="dxa"/>
            <w:tcBorders>
              <w:bottom w:val="nil"/>
            </w:tcBorders>
            <w:shd w:val="clear" w:color="auto" w:fill="C6D9F1" w:themeFill="text2" w:themeFillTint="33"/>
            <w:noWrap/>
            <w:vAlign w:val="center"/>
          </w:tcPr>
          <w:p w14:paraId="038D6592"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4A804D2F" w14:textId="77777777">
        <w:trPr>
          <w:trHeight w:val="309"/>
          <w:tblHeader/>
        </w:trPr>
        <w:tc>
          <w:tcPr>
            <w:tcW w:w="709" w:type="dxa"/>
            <w:tcBorders>
              <w:top w:val="nil"/>
            </w:tcBorders>
            <w:shd w:val="clear" w:color="auto" w:fill="C6D9F1" w:themeFill="text2" w:themeFillTint="33"/>
            <w:noWrap/>
          </w:tcPr>
          <w:p w14:paraId="3656B9AB"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5FB0818"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49F31CB" w14:textId="77777777" w:rsidR="000E48CE" w:rsidRDefault="000E48CE">
            <w:pPr>
              <w:spacing w:after="0" w:line="240" w:lineRule="auto"/>
              <w:jc w:val="center"/>
              <w:rPr>
                <w:rFonts w:ascii="Times New Roman" w:hAnsi="Times New Roman" w:cs="Times New Roman"/>
                <w:b/>
                <w:noProof/>
                <w:sz w:val="18"/>
              </w:rPr>
            </w:pPr>
          </w:p>
        </w:tc>
        <w:tc>
          <w:tcPr>
            <w:tcW w:w="1985" w:type="dxa"/>
            <w:tcBorders>
              <w:top w:val="nil"/>
            </w:tcBorders>
            <w:shd w:val="clear" w:color="auto" w:fill="C6D9F1" w:themeFill="text2" w:themeFillTint="33"/>
            <w:noWrap/>
          </w:tcPr>
          <w:p w14:paraId="53128261" w14:textId="77777777" w:rsidR="000E48CE" w:rsidRDefault="000E48C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2486C05"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2405BE9F" w14:textId="77777777" w:rsidR="000E48CE" w:rsidRDefault="00FF4C4E">
            <w:pPr>
              <w:pStyle w:val="P68B1DB1-Normal12"/>
              <w:spacing w:after="0" w:line="240" w:lineRule="auto"/>
              <w:jc w:val="center"/>
              <w:rPr>
                <w:rFonts w:cs="Times New Roman"/>
                <w:noProof/>
              </w:rPr>
            </w:pPr>
            <w:r>
              <w:rPr>
                <w:noProof/>
              </w:rPr>
              <w:t>Yksikkö</w:t>
            </w:r>
          </w:p>
        </w:tc>
        <w:tc>
          <w:tcPr>
            <w:tcW w:w="709" w:type="dxa"/>
            <w:shd w:val="clear" w:color="auto" w:fill="C6D9F1" w:themeFill="text2" w:themeFillTint="33"/>
            <w:noWrap/>
            <w:vAlign w:val="center"/>
          </w:tcPr>
          <w:p w14:paraId="0F1DE017" w14:textId="77777777" w:rsidR="000E48CE" w:rsidRDefault="00FF4C4E">
            <w:pPr>
              <w:pStyle w:val="P68B1DB1-Normal12"/>
              <w:spacing w:after="0" w:line="240" w:lineRule="auto"/>
              <w:jc w:val="center"/>
              <w:rPr>
                <w:rFonts w:cs="Times New Roman"/>
                <w:noProof/>
              </w:rPr>
            </w:pPr>
            <w:r>
              <w:rPr>
                <w:noProof/>
              </w:rPr>
              <w:t>Perusviiva</w:t>
            </w:r>
          </w:p>
        </w:tc>
        <w:tc>
          <w:tcPr>
            <w:tcW w:w="851" w:type="dxa"/>
            <w:shd w:val="clear" w:color="auto" w:fill="C6D9F1" w:themeFill="text2" w:themeFillTint="33"/>
            <w:noWrap/>
            <w:vAlign w:val="center"/>
          </w:tcPr>
          <w:p w14:paraId="09320768"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5EF36C89"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D6DE76D" w14:textId="77777777" w:rsidR="000E48CE" w:rsidRDefault="00FF4C4E">
            <w:pPr>
              <w:pStyle w:val="P68B1DB1-Normal12"/>
              <w:spacing w:after="0" w:line="240" w:lineRule="auto"/>
              <w:jc w:val="center"/>
              <w:rPr>
                <w:rFonts w:cs="Times New Roman"/>
                <w:noProof/>
              </w:rPr>
            </w:pPr>
            <w:r>
              <w:rPr>
                <w:noProof/>
              </w:rPr>
              <w:t>Vuosi</w:t>
            </w:r>
          </w:p>
        </w:tc>
        <w:tc>
          <w:tcPr>
            <w:tcW w:w="6379" w:type="dxa"/>
            <w:tcBorders>
              <w:top w:val="nil"/>
            </w:tcBorders>
            <w:shd w:val="clear" w:color="auto" w:fill="C6D9F1" w:themeFill="text2" w:themeFillTint="33"/>
            <w:noWrap/>
          </w:tcPr>
          <w:p w14:paraId="4101652C" w14:textId="77777777" w:rsidR="000E48CE" w:rsidRDefault="000E48CE">
            <w:pPr>
              <w:spacing w:after="0" w:line="240" w:lineRule="auto"/>
              <w:rPr>
                <w:rFonts w:ascii="Times New Roman" w:hAnsi="Times New Roman" w:cs="Times New Roman"/>
                <w:b/>
                <w:noProof/>
                <w:sz w:val="18"/>
              </w:rPr>
            </w:pPr>
          </w:p>
        </w:tc>
      </w:tr>
      <w:tr w:rsidR="000E48CE" w14:paraId="6E905AD4" w14:textId="77777777">
        <w:trPr>
          <w:trHeight w:val="309"/>
        </w:trPr>
        <w:tc>
          <w:tcPr>
            <w:tcW w:w="709" w:type="dxa"/>
            <w:shd w:val="clear" w:color="auto" w:fill="C6EFCE"/>
            <w:noWrap/>
          </w:tcPr>
          <w:p w14:paraId="7B568215" w14:textId="77777777" w:rsidR="000E48CE" w:rsidRDefault="00FF4C4E">
            <w:pPr>
              <w:pStyle w:val="P68B1DB1-Normal13"/>
              <w:spacing w:after="0" w:line="240" w:lineRule="auto"/>
              <w:jc w:val="center"/>
              <w:rPr>
                <w:rFonts w:eastAsia="MS Mincho" w:cs="Times New Roman"/>
                <w:noProof/>
              </w:rPr>
            </w:pPr>
            <w:r>
              <w:rPr>
                <w:noProof/>
              </w:rPr>
              <w:t>21</w:t>
            </w:r>
          </w:p>
        </w:tc>
        <w:tc>
          <w:tcPr>
            <w:tcW w:w="851" w:type="dxa"/>
            <w:shd w:val="clear" w:color="auto" w:fill="C6EFCE"/>
            <w:noWrap/>
          </w:tcPr>
          <w:p w14:paraId="54F29CE8" w14:textId="77777777" w:rsidR="000E48CE" w:rsidRDefault="00FF4C4E">
            <w:pPr>
              <w:pStyle w:val="P68B1DB1-Normal13"/>
              <w:spacing w:after="0" w:line="240" w:lineRule="auto"/>
              <w:jc w:val="center"/>
              <w:rPr>
                <w:rFonts w:eastAsia="MS Mincho" w:cs="Times New Roman"/>
                <w:noProof/>
              </w:rPr>
            </w:pPr>
            <w:r>
              <w:rPr>
                <w:noProof/>
              </w:rPr>
              <w:t>C2.R1</w:t>
            </w:r>
          </w:p>
        </w:tc>
        <w:tc>
          <w:tcPr>
            <w:tcW w:w="850" w:type="dxa"/>
            <w:shd w:val="clear" w:color="auto" w:fill="C6EFCE"/>
            <w:noWrap/>
          </w:tcPr>
          <w:p w14:paraId="5DB29657" w14:textId="77777777" w:rsidR="000E48CE" w:rsidRDefault="00FF4C4E">
            <w:pPr>
              <w:pStyle w:val="P68B1DB1-Normal13"/>
              <w:spacing w:after="0" w:line="240" w:lineRule="auto"/>
              <w:jc w:val="center"/>
              <w:rPr>
                <w:rFonts w:eastAsia="MS Mincho" w:cs="Times New Roman"/>
                <w:noProof/>
              </w:rPr>
            </w:pPr>
            <w:r>
              <w:rPr>
                <w:noProof/>
              </w:rPr>
              <w:t>M</w:t>
            </w:r>
          </w:p>
        </w:tc>
        <w:tc>
          <w:tcPr>
            <w:tcW w:w="1985" w:type="dxa"/>
            <w:shd w:val="clear" w:color="auto" w:fill="C6EFCE"/>
            <w:noWrap/>
          </w:tcPr>
          <w:p w14:paraId="6BD4891F" w14:textId="77777777" w:rsidR="000E48CE" w:rsidRDefault="00FF4C4E">
            <w:pPr>
              <w:pStyle w:val="P68B1DB1-Normal13"/>
              <w:spacing w:after="0" w:line="240" w:lineRule="auto"/>
              <w:rPr>
                <w:rFonts w:eastAsia="MS Mincho" w:cs="Times New Roman"/>
                <w:noProof/>
              </w:rPr>
            </w:pPr>
            <w:r>
              <w:rPr>
                <w:noProof/>
              </w:rPr>
              <w:t xml:space="preserve">Espanjan kaupunkiagendan ja rakennusalan energian kunnostamista koskevan pitkän aikavälin strategian voimaantulo Espanjassa </w:t>
            </w:r>
          </w:p>
        </w:tc>
        <w:tc>
          <w:tcPr>
            <w:tcW w:w="1134" w:type="dxa"/>
            <w:shd w:val="clear" w:color="auto" w:fill="C6EFCE"/>
            <w:noWrap/>
          </w:tcPr>
          <w:p w14:paraId="5CC747CB" w14:textId="77777777" w:rsidR="000E48CE" w:rsidRDefault="00FF4C4E">
            <w:pPr>
              <w:pStyle w:val="P68B1DB1-Normal13"/>
              <w:spacing w:after="0" w:line="240" w:lineRule="auto"/>
              <w:jc w:val="center"/>
              <w:rPr>
                <w:rFonts w:eastAsia="MS Mincho" w:cs="Times New Roman"/>
                <w:noProof/>
              </w:rPr>
            </w:pPr>
            <w:r>
              <w:rPr>
                <w:noProof/>
              </w:rPr>
              <w:t>Julkaiseminen virallisessa lehdessä</w:t>
            </w:r>
          </w:p>
        </w:tc>
        <w:tc>
          <w:tcPr>
            <w:tcW w:w="850" w:type="dxa"/>
            <w:shd w:val="clear" w:color="auto" w:fill="C6EFCE"/>
            <w:noWrap/>
          </w:tcPr>
          <w:p w14:paraId="5EDB29A5" w14:textId="77777777" w:rsidR="000E48CE" w:rsidRDefault="00FF4C4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4474F8A0" w14:textId="77777777" w:rsidR="000E48CE" w:rsidRDefault="00FF4C4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5E6F60B5"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7694BBC2"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77F781D2" w14:textId="77777777" w:rsidR="000E48CE" w:rsidRDefault="00FF4C4E">
            <w:pPr>
              <w:pStyle w:val="P68B1DB1-Normal13"/>
              <w:spacing w:after="0" w:line="240" w:lineRule="auto"/>
              <w:jc w:val="center"/>
              <w:rPr>
                <w:rFonts w:eastAsia="MS Mincho" w:cs="Times New Roman"/>
                <w:noProof/>
              </w:rPr>
            </w:pPr>
            <w:r>
              <w:rPr>
                <w:noProof/>
              </w:rPr>
              <w:t>2020</w:t>
            </w:r>
          </w:p>
        </w:tc>
        <w:tc>
          <w:tcPr>
            <w:tcW w:w="6379" w:type="dxa"/>
            <w:shd w:val="clear" w:color="auto" w:fill="C6EFCE"/>
            <w:noWrap/>
          </w:tcPr>
          <w:p w14:paraId="3F8518F0" w14:textId="77777777" w:rsidR="000E48CE" w:rsidRDefault="00FF4C4E">
            <w:pPr>
              <w:pStyle w:val="P68B1DB1-Normal13"/>
              <w:spacing w:after="0" w:line="240" w:lineRule="auto"/>
              <w:rPr>
                <w:rFonts w:eastAsia="MS Mincho" w:cs="Times New Roman"/>
                <w:noProof/>
              </w:rPr>
            </w:pPr>
            <w:r>
              <w:rPr>
                <w:noProof/>
              </w:rPr>
              <w:t xml:space="preserve">Espanjan kaupunkiagendan </w:t>
            </w:r>
            <w:r>
              <w:rPr>
                <w:noProof/>
              </w:rPr>
              <w:t>voimaantulo kansallisena kaupunkipolitiikkana, jolla varmistetaan kaupunkien yhdennetty ja kattava strateginen suunnittelu, sekä Espanjan rakennusalan energian kunnostamista koskevan pitkän aikavälin strategian (LTRS) vuoden 2020 päivitys (ERESEE). ERESEE-</w:t>
            </w:r>
            <w:r>
              <w:rPr>
                <w:noProof/>
              </w:rPr>
              <w:t>strategian tarkoituksena on diagnosoida Espanjan rakennuskanta, poistaa esteitä ja luoda uusia lähestymistapoja rakennusten perusparannuksen laajentamiseksi, alan investointien edistämiseksi, energiansäästön lisäämiseksi ja hiilidioksidipäästöjen vähentämi</w:t>
            </w:r>
            <w:r>
              <w:rPr>
                <w:noProof/>
              </w:rPr>
              <w:t>seksi ilmastotavoitteiden mukaisesti.</w:t>
            </w:r>
          </w:p>
        </w:tc>
      </w:tr>
      <w:tr w:rsidR="000E48CE" w14:paraId="33ED5252" w14:textId="77777777">
        <w:trPr>
          <w:trHeight w:val="309"/>
        </w:trPr>
        <w:tc>
          <w:tcPr>
            <w:tcW w:w="709" w:type="dxa"/>
            <w:shd w:val="clear" w:color="auto" w:fill="C6EFCE"/>
            <w:noWrap/>
          </w:tcPr>
          <w:p w14:paraId="2569FBD6" w14:textId="77777777" w:rsidR="000E48CE" w:rsidRDefault="00FF4C4E">
            <w:pPr>
              <w:pStyle w:val="P68B1DB1-Normal13"/>
              <w:spacing w:after="0" w:line="240" w:lineRule="auto"/>
              <w:jc w:val="center"/>
              <w:rPr>
                <w:rFonts w:cs="Times New Roman"/>
                <w:noProof/>
              </w:rPr>
            </w:pPr>
            <w:r>
              <w:rPr>
                <w:noProof/>
              </w:rPr>
              <w:t>21 a</w:t>
            </w:r>
          </w:p>
        </w:tc>
        <w:tc>
          <w:tcPr>
            <w:tcW w:w="851" w:type="dxa"/>
            <w:shd w:val="clear" w:color="auto" w:fill="C6EFCE"/>
            <w:noWrap/>
          </w:tcPr>
          <w:p w14:paraId="43DCEA58" w14:textId="77777777" w:rsidR="000E48CE" w:rsidRDefault="00FF4C4E">
            <w:pPr>
              <w:pStyle w:val="P68B1DB1-Normal13"/>
              <w:spacing w:after="0" w:line="240" w:lineRule="auto"/>
              <w:jc w:val="center"/>
              <w:rPr>
                <w:rFonts w:cs="Times New Roman"/>
                <w:noProof/>
              </w:rPr>
            </w:pPr>
            <w:r>
              <w:rPr>
                <w:noProof/>
              </w:rPr>
              <w:t>C2.R2</w:t>
            </w:r>
          </w:p>
        </w:tc>
        <w:tc>
          <w:tcPr>
            <w:tcW w:w="850" w:type="dxa"/>
            <w:shd w:val="clear" w:color="auto" w:fill="C6EFCE"/>
            <w:noWrap/>
          </w:tcPr>
          <w:p w14:paraId="1F0E4D68" w14:textId="77777777"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38D6AED2" w14:textId="77777777" w:rsidR="000E48CE" w:rsidRDefault="00FF4C4E">
            <w:pPr>
              <w:pStyle w:val="P68B1DB1-Normal13"/>
              <w:spacing w:after="0" w:line="240" w:lineRule="auto"/>
              <w:rPr>
                <w:rFonts w:cs="Times New Roman"/>
                <w:noProof/>
                <w:highlight w:val="yellow"/>
              </w:rPr>
            </w:pPr>
            <w:r>
              <w:rPr>
                <w:noProof/>
              </w:rPr>
              <w:t>Espanjan pitkän aikavälin peruskorjausstrategian täytäntöönpanoa käsittelevien työryhmien suositusten julkaiseminen</w:t>
            </w:r>
          </w:p>
        </w:tc>
        <w:tc>
          <w:tcPr>
            <w:tcW w:w="1134" w:type="dxa"/>
            <w:shd w:val="clear" w:color="auto" w:fill="C6EFCE"/>
            <w:noWrap/>
          </w:tcPr>
          <w:p w14:paraId="008F8ECF" w14:textId="77777777" w:rsidR="000E48CE" w:rsidRDefault="00FF4C4E">
            <w:pPr>
              <w:pStyle w:val="P68B1DB1-Normal13"/>
              <w:spacing w:after="0" w:line="240" w:lineRule="auto"/>
              <w:jc w:val="center"/>
              <w:rPr>
                <w:rFonts w:cs="Times New Roman"/>
                <w:noProof/>
                <w:highlight w:val="yellow"/>
              </w:rPr>
            </w:pPr>
            <w:r>
              <w:rPr>
                <w:noProof/>
              </w:rPr>
              <w:t>Työryhmien suositusten julkaiseminen</w:t>
            </w:r>
          </w:p>
        </w:tc>
        <w:tc>
          <w:tcPr>
            <w:tcW w:w="850" w:type="dxa"/>
            <w:shd w:val="clear" w:color="auto" w:fill="C6EFCE"/>
            <w:noWrap/>
          </w:tcPr>
          <w:p w14:paraId="4B99056E"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1299C43A" w14:textId="77777777" w:rsidR="000E48CE" w:rsidRDefault="000E48CE">
            <w:pPr>
              <w:spacing w:after="0" w:line="240" w:lineRule="auto"/>
              <w:jc w:val="right"/>
              <w:rPr>
                <w:rFonts w:ascii="Times New Roman" w:hAnsi="Times New Roman" w:cs="Times New Roman"/>
                <w:noProof/>
                <w:sz w:val="18"/>
              </w:rPr>
            </w:pPr>
          </w:p>
        </w:tc>
        <w:tc>
          <w:tcPr>
            <w:tcW w:w="851" w:type="dxa"/>
            <w:shd w:val="clear" w:color="auto" w:fill="C6EFCE"/>
            <w:noWrap/>
          </w:tcPr>
          <w:p w14:paraId="4DDBEF00"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6F320D90"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21D5FB87" w14:textId="77777777" w:rsidR="000E48CE" w:rsidRDefault="00FF4C4E">
            <w:pPr>
              <w:pStyle w:val="P68B1DB1-Normal13"/>
              <w:spacing w:after="0" w:line="240" w:lineRule="auto"/>
              <w:jc w:val="center"/>
              <w:rPr>
                <w:rFonts w:cs="Times New Roman"/>
                <w:noProof/>
              </w:rPr>
            </w:pPr>
            <w:r>
              <w:rPr>
                <w:noProof/>
              </w:rPr>
              <w:t>2023</w:t>
            </w:r>
          </w:p>
        </w:tc>
        <w:tc>
          <w:tcPr>
            <w:tcW w:w="6379" w:type="dxa"/>
            <w:shd w:val="clear" w:color="auto" w:fill="C6EFCE"/>
            <w:noWrap/>
          </w:tcPr>
          <w:p w14:paraId="27A9E5F9" w14:textId="77777777" w:rsidR="000E48CE" w:rsidRDefault="00FF4C4E">
            <w:pPr>
              <w:pStyle w:val="P68B1DB1-Normal13"/>
              <w:spacing w:after="0" w:line="240" w:lineRule="auto"/>
              <w:rPr>
                <w:rFonts w:cs="Times New Roman"/>
                <w:noProof/>
              </w:rPr>
            </w:pPr>
            <w:r>
              <w:rPr>
                <w:noProof/>
              </w:rPr>
              <w:t xml:space="preserve">Espanjan rakennusalan pitkän aikavälin </w:t>
            </w:r>
            <w:r>
              <w:rPr>
                <w:noProof/>
              </w:rPr>
              <w:t xml:space="preserve">peruskorjausstrategian (LTRS) vuoden 2020 päivityksen täytäntöönpanoa koskevien työryhmien yksityiskohtaisten suositusten julkaiseminen. ERESEE-strategian tarkoituksena on diagnosoida Espanjan rakennuskanta, poistaa esteitä ja luoda uusia lähestymistapoja </w:t>
            </w:r>
            <w:r>
              <w:rPr>
                <w:noProof/>
              </w:rPr>
              <w:t>rakennusten perusparannusten laajentamiseksi, alan investointien edistämiseksi, energiansäästön lisäämiseksi ja hiilidioksidipäästöjen vähentämiseksi ilmastotavoitteiden mukaisesti. ERESEE-direktiivin täytäntöönpanoa varten perustetaan useita työryhmiä, jo</w:t>
            </w:r>
            <w:r>
              <w:rPr>
                <w:noProof/>
              </w:rPr>
              <w:t>iden tehtävänä on laatia selkeitä suosituksia kaupunkien kunnostamista ja kunnostamista koskevan toimintasuunnitelman täytäntöönpanoa varten. Yksityiskohtaisiin suosituksiin on sisällyttävä etenemissuunnitelma ja metodologiset ohjeet jokaisesta toteutettav</w:t>
            </w:r>
            <w:r>
              <w:rPr>
                <w:noProof/>
              </w:rPr>
              <w:t>asta toimenpiteestä, joka osoitetaan kaikille asianomaisille toimijoille (julkishallinto, sidosryhmät jne.).</w:t>
            </w:r>
          </w:p>
        </w:tc>
      </w:tr>
      <w:tr w:rsidR="000E48CE" w14:paraId="54164076" w14:textId="77777777">
        <w:trPr>
          <w:trHeight w:val="309"/>
        </w:trPr>
        <w:tc>
          <w:tcPr>
            <w:tcW w:w="709" w:type="dxa"/>
            <w:shd w:val="clear" w:color="auto" w:fill="C6EFCE"/>
            <w:noWrap/>
          </w:tcPr>
          <w:p w14:paraId="44C26413" w14:textId="77777777" w:rsidR="000E48CE" w:rsidRDefault="00FF4C4E">
            <w:pPr>
              <w:pStyle w:val="P68B1DB1-Normal13"/>
              <w:spacing w:after="0" w:line="240" w:lineRule="auto"/>
              <w:jc w:val="center"/>
              <w:rPr>
                <w:rFonts w:eastAsia="MS Mincho" w:cs="Times New Roman"/>
                <w:noProof/>
              </w:rPr>
            </w:pPr>
            <w:r>
              <w:rPr>
                <w:noProof/>
              </w:rPr>
              <w:t>22</w:t>
            </w:r>
          </w:p>
        </w:tc>
        <w:tc>
          <w:tcPr>
            <w:tcW w:w="851" w:type="dxa"/>
            <w:shd w:val="clear" w:color="auto" w:fill="C6EFCE"/>
            <w:noWrap/>
          </w:tcPr>
          <w:p w14:paraId="63C0F8BD" w14:textId="77777777" w:rsidR="000E48CE" w:rsidRDefault="00FF4C4E">
            <w:pPr>
              <w:pStyle w:val="P68B1DB1-Normal13"/>
              <w:spacing w:after="0" w:line="240" w:lineRule="auto"/>
              <w:jc w:val="center"/>
              <w:rPr>
                <w:rFonts w:eastAsia="MS Mincho" w:cs="Times New Roman"/>
                <w:noProof/>
              </w:rPr>
            </w:pPr>
            <w:r>
              <w:rPr>
                <w:noProof/>
              </w:rPr>
              <w:t>C2.R3</w:t>
            </w:r>
          </w:p>
        </w:tc>
        <w:tc>
          <w:tcPr>
            <w:tcW w:w="850" w:type="dxa"/>
            <w:shd w:val="clear" w:color="auto" w:fill="C6EFCE"/>
            <w:noWrap/>
          </w:tcPr>
          <w:p w14:paraId="556F2A3E" w14:textId="77777777" w:rsidR="000E48CE" w:rsidRDefault="00FF4C4E">
            <w:pPr>
              <w:pStyle w:val="P68B1DB1-Normal13"/>
              <w:spacing w:after="0" w:line="240" w:lineRule="auto"/>
              <w:jc w:val="center"/>
              <w:rPr>
                <w:rFonts w:eastAsia="MS Mincho" w:cs="Times New Roman"/>
                <w:noProof/>
              </w:rPr>
            </w:pPr>
            <w:r>
              <w:rPr>
                <w:noProof/>
              </w:rPr>
              <w:t>M</w:t>
            </w:r>
          </w:p>
        </w:tc>
        <w:tc>
          <w:tcPr>
            <w:tcW w:w="1985" w:type="dxa"/>
            <w:shd w:val="clear" w:color="auto" w:fill="C6EFCE"/>
            <w:noWrap/>
          </w:tcPr>
          <w:p w14:paraId="2A3A3294" w14:textId="77777777" w:rsidR="000E48CE" w:rsidRDefault="00FF4C4E">
            <w:pPr>
              <w:pStyle w:val="P68B1DB1-Normal13"/>
              <w:spacing w:after="0" w:line="240" w:lineRule="auto"/>
              <w:rPr>
                <w:rFonts w:eastAsia="MS Mincho" w:cs="Times New Roman"/>
                <w:noProof/>
              </w:rPr>
            </w:pPr>
            <w:r>
              <w:rPr>
                <w:noProof/>
              </w:rPr>
              <w:t xml:space="preserve">Asuntolain voimaantulo, mukaan lukien toimet, joilla tuetaan asuntotarjonnan lisäämistä lähes nollaenergiarakennusten mukaisesti </w:t>
            </w:r>
          </w:p>
        </w:tc>
        <w:tc>
          <w:tcPr>
            <w:tcW w:w="1134" w:type="dxa"/>
            <w:shd w:val="clear" w:color="auto" w:fill="C6EFCE"/>
            <w:noWrap/>
          </w:tcPr>
          <w:p w14:paraId="54B322DF" w14:textId="77777777" w:rsidR="000E48CE" w:rsidRDefault="00FF4C4E">
            <w:pPr>
              <w:pStyle w:val="P68B1DB1-Normal13"/>
              <w:spacing w:after="0" w:line="240" w:lineRule="auto"/>
              <w:jc w:val="center"/>
              <w:rPr>
                <w:rFonts w:eastAsia="MS Mincho" w:cs="Times New Roman"/>
                <w:noProof/>
              </w:rPr>
            </w:pPr>
            <w:r>
              <w:rPr>
                <w:noProof/>
              </w:rPr>
              <w:t>Asuntolain voimaantulosäännös</w:t>
            </w:r>
          </w:p>
        </w:tc>
        <w:tc>
          <w:tcPr>
            <w:tcW w:w="850" w:type="dxa"/>
            <w:shd w:val="clear" w:color="auto" w:fill="C6EFCE"/>
            <w:noWrap/>
          </w:tcPr>
          <w:p w14:paraId="1DF8BA61" w14:textId="77777777" w:rsidR="000E48CE" w:rsidRDefault="00FF4C4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365DB198" w14:textId="77777777" w:rsidR="000E48CE" w:rsidRDefault="00FF4C4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1D5BCD6B"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0356CC74" w14:textId="77777777" w:rsidR="000E48CE" w:rsidRDefault="00FF4C4E">
            <w:pPr>
              <w:pStyle w:val="P68B1DB1-Normal13"/>
              <w:spacing w:after="0" w:line="240" w:lineRule="auto"/>
              <w:jc w:val="center"/>
              <w:rPr>
                <w:rFonts w:eastAsia="MS Mincho" w:cs="Times New Roman"/>
                <w:noProof/>
              </w:rPr>
            </w:pPr>
            <w:r>
              <w:rPr>
                <w:noProof/>
              </w:rPr>
              <w:t>KOLMAS VUOSINELJÄNNES</w:t>
            </w:r>
          </w:p>
        </w:tc>
        <w:tc>
          <w:tcPr>
            <w:tcW w:w="567" w:type="dxa"/>
            <w:shd w:val="clear" w:color="auto" w:fill="C6EFCE"/>
            <w:noWrap/>
          </w:tcPr>
          <w:p w14:paraId="69D64232" w14:textId="77777777" w:rsidR="000E48CE" w:rsidRDefault="00FF4C4E">
            <w:pPr>
              <w:pStyle w:val="P68B1DB1-Normal13"/>
              <w:spacing w:after="0" w:line="240" w:lineRule="auto"/>
              <w:jc w:val="center"/>
              <w:rPr>
                <w:rFonts w:eastAsia="MS Mincho" w:cs="Times New Roman"/>
                <w:noProof/>
              </w:rPr>
            </w:pPr>
            <w:r>
              <w:rPr>
                <w:noProof/>
              </w:rPr>
              <w:t>2022</w:t>
            </w:r>
          </w:p>
        </w:tc>
        <w:tc>
          <w:tcPr>
            <w:tcW w:w="6379" w:type="dxa"/>
            <w:shd w:val="clear" w:color="auto" w:fill="C6EFCE"/>
            <w:noWrap/>
          </w:tcPr>
          <w:p w14:paraId="06B97AE7" w14:textId="77777777" w:rsidR="000E48CE" w:rsidRDefault="00FF4C4E">
            <w:pPr>
              <w:pStyle w:val="P68B1DB1-Normal13"/>
              <w:spacing w:after="0" w:line="240" w:lineRule="auto"/>
              <w:rPr>
                <w:rFonts w:eastAsia="MS Mincho" w:cs="Times New Roman"/>
                <w:noProof/>
              </w:rPr>
            </w:pPr>
            <w:r>
              <w:rPr>
                <w:noProof/>
              </w:rPr>
              <w:t>Asuntolaissa käsitellään erilaisia suunnittelu-, ohjelmasuunnittelu- ja yhteistyövälineitä, joilla varmistetaan kunnollista ja asianmukaista asumista koskevan oikeuden asianmukainen toteutumine</w:t>
            </w:r>
            <w:r>
              <w:rPr>
                <w:noProof/>
              </w:rPr>
              <w:t>n, mukaan lukien yhtenä painopisteenä nykyisen asuntokannan kunnostaminen ja parantaminen sekä asuinympäristöjen uudistaminen ja kunnostaminen, jossa ne sijaitsevat. Lailla on kannustettava kohtuuhintaisten ja sosiaalisten asuntojen tarjonnan lisäämiseen v</w:t>
            </w:r>
            <w:r>
              <w:rPr>
                <w:noProof/>
              </w:rPr>
              <w:t xml:space="preserve">armistamalla, että noudatetaan tällä hetkellä lähes nollaenergiarakennuksia koskevia vaatimuksia, jotka on vahvistettu rakennusten teknisen säännöstön (CTE) energiansäästöä koskevan perusasiakirjan (DB-HE) mukaisesti. </w:t>
            </w:r>
          </w:p>
        </w:tc>
      </w:tr>
      <w:tr w:rsidR="000E48CE" w14:paraId="48EB6E46" w14:textId="77777777">
        <w:trPr>
          <w:trHeight w:val="309"/>
        </w:trPr>
        <w:tc>
          <w:tcPr>
            <w:tcW w:w="709" w:type="dxa"/>
            <w:shd w:val="clear" w:color="auto" w:fill="C6EFCE"/>
            <w:noWrap/>
          </w:tcPr>
          <w:p w14:paraId="72E4F76D" w14:textId="77777777" w:rsidR="000E48CE" w:rsidRDefault="00FF4C4E">
            <w:pPr>
              <w:pStyle w:val="P68B1DB1-Normal13"/>
              <w:spacing w:after="0" w:line="240" w:lineRule="auto"/>
              <w:jc w:val="center"/>
              <w:rPr>
                <w:rFonts w:eastAsia="MS Mincho" w:cs="Times New Roman"/>
                <w:noProof/>
              </w:rPr>
            </w:pPr>
            <w:r>
              <w:rPr>
                <w:noProof/>
              </w:rPr>
              <w:t>23</w:t>
            </w:r>
          </w:p>
        </w:tc>
        <w:tc>
          <w:tcPr>
            <w:tcW w:w="851" w:type="dxa"/>
            <w:shd w:val="clear" w:color="auto" w:fill="C6EFCE"/>
            <w:noWrap/>
          </w:tcPr>
          <w:p w14:paraId="160AA391" w14:textId="77777777" w:rsidR="000E48CE" w:rsidRDefault="00FF4C4E">
            <w:pPr>
              <w:pStyle w:val="P68B1DB1-Normal13"/>
              <w:spacing w:after="0" w:line="240" w:lineRule="auto"/>
              <w:jc w:val="center"/>
              <w:rPr>
                <w:rFonts w:eastAsia="MS Mincho" w:cs="Times New Roman"/>
                <w:noProof/>
              </w:rPr>
            </w:pPr>
            <w:r>
              <w:rPr>
                <w:noProof/>
              </w:rPr>
              <w:t>C2.R4</w:t>
            </w:r>
          </w:p>
        </w:tc>
        <w:tc>
          <w:tcPr>
            <w:tcW w:w="850" w:type="dxa"/>
            <w:shd w:val="clear" w:color="auto" w:fill="C6EFCE"/>
            <w:noWrap/>
          </w:tcPr>
          <w:p w14:paraId="0E261B8E" w14:textId="77777777" w:rsidR="000E48CE" w:rsidRDefault="00FF4C4E">
            <w:pPr>
              <w:pStyle w:val="P68B1DB1-Normal13"/>
              <w:spacing w:after="0" w:line="240" w:lineRule="auto"/>
              <w:jc w:val="center"/>
              <w:rPr>
                <w:rFonts w:eastAsia="MS Mincho" w:cs="Times New Roman"/>
                <w:noProof/>
              </w:rPr>
            </w:pPr>
            <w:r>
              <w:rPr>
                <w:noProof/>
              </w:rPr>
              <w:t>M</w:t>
            </w:r>
          </w:p>
        </w:tc>
        <w:tc>
          <w:tcPr>
            <w:tcW w:w="1985" w:type="dxa"/>
            <w:shd w:val="clear" w:color="auto" w:fill="C6EFCE"/>
            <w:noWrap/>
          </w:tcPr>
          <w:p w14:paraId="00A74DA3" w14:textId="77777777" w:rsidR="000E48CE" w:rsidRDefault="00FF4C4E">
            <w:pPr>
              <w:pStyle w:val="P68B1DB1-Normal13"/>
              <w:spacing w:after="0" w:line="240" w:lineRule="auto"/>
              <w:rPr>
                <w:rFonts w:eastAsia="MS Mincho" w:cs="Times New Roman"/>
                <w:noProof/>
              </w:rPr>
            </w:pPr>
            <w:r>
              <w:rPr>
                <w:noProof/>
              </w:rPr>
              <w:t xml:space="preserve">Arkkitehtuurin laatua ja rakennusympäristöä koskevan lain voimaantulo </w:t>
            </w:r>
          </w:p>
        </w:tc>
        <w:tc>
          <w:tcPr>
            <w:tcW w:w="1134" w:type="dxa"/>
            <w:shd w:val="clear" w:color="auto" w:fill="C6EFCE"/>
            <w:noWrap/>
          </w:tcPr>
          <w:p w14:paraId="132F5AEB" w14:textId="77777777" w:rsidR="000E48CE" w:rsidRDefault="00FF4C4E">
            <w:pPr>
              <w:pStyle w:val="P68B1DB1-Normal13"/>
              <w:spacing w:after="0" w:line="240" w:lineRule="auto"/>
              <w:jc w:val="center"/>
              <w:rPr>
                <w:rFonts w:eastAsia="MS Mincho" w:cs="Times New Roman"/>
                <w:noProof/>
              </w:rPr>
            </w:pPr>
            <w:r>
              <w:rPr>
                <w:noProof/>
              </w:rPr>
              <w:t xml:space="preserve">Arkkitehtuurin laadusta ja rakennusympäristöstä annetun lain </w:t>
            </w:r>
            <w:r>
              <w:rPr>
                <w:noProof/>
              </w:rPr>
              <w:lastRenderedPageBreak/>
              <w:t>voimaantulosäännös</w:t>
            </w:r>
          </w:p>
        </w:tc>
        <w:tc>
          <w:tcPr>
            <w:tcW w:w="850" w:type="dxa"/>
            <w:shd w:val="clear" w:color="auto" w:fill="C6EFCE"/>
            <w:noWrap/>
          </w:tcPr>
          <w:p w14:paraId="3BC5EC03" w14:textId="77777777" w:rsidR="000E48CE" w:rsidRDefault="00FF4C4E">
            <w:pPr>
              <w:pStyle w:val="P68B1DB1-Normal13"/>
              <w:spacing w:after="0" w:line="240" w:lineRule="auto"/>
              <w:jc w:val="right"/>
              <w:rPr>
                <w:rFonts w:eastAsia="MS Mincho" w:cs="Times New Roman"/>
                <w:noProof/>
              </w:rPr>
            </w:pPr>
            <w:r>
              <w:rPr>
                <w:noProof/>
              </w:rPr>
              <w:lastRenderedPageBreak/>
              <w:t> </w:t>
            </w:r>
          </w:p>
        </w:tc>
        <w:tc>
          <w:tcPr>
            <w:tcW w:w="709" w:type="dxa"/>
            <w:shd w:val="clear" w:color="auto" w:fill="C6EFCE"/>
            <w:noWrap/>
          </w:tcPr>
          <w:p w14:paraId="3751300F" w14:textId="77777777" w:rsidR="000E48CE" w:rsidRDefault="00FF4C4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35F0889A"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7A8F9DAC" w14:textId="77777777" w:rsidR="000E48CE" w:rsidRDefault="00FF4C4E">
            <w:pPr>
              <w:pStyle w:val="P68B1DB1-Normal13"/>
              <w:spacing w:after="0" w:line="240" w:lineRule="auto"/>
              <w:jc w:val="center"/>
              <w:rPr>
                <w:rFonts w:eastAsia="MS Mincho" w:cs="Times New Roman"/>
                <w:noProof/>
              </w:rPr>
            </w:pPr>
            <w:r>
              <w:rPr>
                <w:noProof/>
              </w:rPr>
              <w:t>KOLMAS VUOSI</w:t>
            </w:r>
            <w:r>
              <w:rPr>
                <w:noProof/>
              </w:rPr>
              <w:lastRenderedPageBreak/>
              <w:t>NELJÄNNES</w:t>
            </w:r>
          </w:p>
        </w:tc>
        <w:tc>
          <w:tcPr>
            <w:tcW w:w="567" w:type="dxa"/>
            <w:shd w:val="clear" w:color="auto" w:fill="C6EFCE"/>
            <w:noWrap/>
          </w:tcPr>
          <w:p w14:paraId="053A94A5" w14:textId="77777777" w:rsidR="000E48CE" w:rsidRDefault="00FF4C4E">
            <w:pPr>
              <w:pStyle w:val="P68B1DB1-Normal13"/>
              <w:spacing w:after="0" w:line="240" w:lineRule="auto"/>
              <w:jc w:val="center"/>
              <w:rPr>
                <w:rFonts w:eastAsia="MS Mincho" w:cs="Times New Roman"/>
                <w:noProof/>
              </w:rPr>
            </w:pPr>
            <w:r>
              <w:rPr>
                <w:noProof/>
              </w:rPr>
              <w:lastRenderedPageBreak/>
              <w:t>2022</w:t>
            </w:r>
          </w:p>
        </w:tc>
        <w:tc>
          <w:tcPr>
            <w:tcW w:w="6379" w:type="dxa"/>
            <w:shd w:val="clear" w:color="auto" w:fill="C6EFCE"/>
            <w:noWrap/>
          </w:tcPr>
          <w:p w14:paraId="5B5E55E4" w14:textId="1A73ED5D" w:rsidR="000E48CE" w:rsidRDefault="00FF4C4E">
            <w:pPr>
              <w:pStyle w:val="P68B1DB1-Normal13"/>
              <w:spacing w:after="0" w:line="240" w:lineRule="auto"/>
              <w:rPr>
                <w:rFonts w:eastAsia="MS Mincho" w:cs="Times New Roman"/>
                <w:noProof/>
              </w:rPr>
            </w:pPr>
            <w:r>
              <w:rPr>
                <w:noProof/>
              </w:rPr>
              <w:t>Hyväksytään arkkitehtuurin laatua ja rakennusympäristöä koskeva laki, jo</w:t>
            </w:r>
            <w:r>
              <w:rPr>
                <w:noProof/>
              </w:rPr>
              <w:t xml:space="preserve">hon sisältyy kokonaisvaltainen lähestymistapa kunnostamiseen, jolla edistetään lähes nollaenergiarakennuskannan kasvua uusien rakennusten lisäksi myös olemassa olevien rakennusten välillä. Laissa vahvistetaan arkkitehtuurin ja rakennetun ympäristön laadun </w:t>
            </w:r>
            <w:r>
              <w:rPr>
                <w:noProof/>
              </w:rPr>
              <w:t xml:space="preserve">periaate, vahvistetaan ympäristökestävyys ja edistetään energiatehokkuustavoitteiden </w:t>
            </w:r>
            <w:r>
              <w:rPr>
                <w:noProof/>
              </w:rPr>
              <w:lastRenderedPageBreak/>
              <w:t xml:space="preserve">saavuttamista yhtenä keskeisenä arviointiperusteena ja ohjataan asuntokannan tarvittavaa kunnostamista kohti kokonaisvaltaista lähestymistapaa kunnostamiseen. </w:t>
            </w:r>
          </w:p>
        </w:tc>
      </w:tr>
      <w:tr w:rsidR="000E48CE" w14:paraId="376975DA" w14:textId="77777777">
        <w:trPr>
          <w:trHeight w:val="309"/>
        </w:trPr>
        <w:tc>
          <w:tcPr>
            <w:tcW w:w="709" w:type="dxa"/>
            <w:shd w:val="clear" w:color="auto" w:fill="C6EFCE"/>
            <w:noWrap/>
          </w:tcPr>
          <w:p w14:paraId="1D8EB8EE" w14:textId="77777777" w:rsidR="000E48CE" w:rsidRDefault="00FF4C4E">
            <w:pPr>
              <w:pStyle w:val="P68B1DB1-Normal13"/>
              <w:spacing w:after="0" w:line="240" w:lineRule="auto"/>
              <w:jc w:val="center"/>
              <w:rPr>
                <w:rFonts w:cs="Times New Roman"/>
                <w:noProof/>
              </w:rPr>
            </w:pPr>
            <w:r>
              <w:rPr>
                <w:noProof/>
              </w:rPr>
              <w:lastRenderedPageBreak/>
              <w:t>24</w:t>
            </w:r>
          </w:p>
        </w:tc>
        <w:tc>
          <w:tcPr>
            <w:tcW w:w="851" w:type="dxa"/>
            <w:shd w:val="clear" w:color="auto" w:fill="C6EFCE"/>
            <w:noWrap/>
          </w:tcPr>
          <w:p w14:paraId="58D79CB0" w14:textId="77777777" w:rsidR="000E48CE" w:rsidRDefault="00FF4C4E">
            <w:pPr>
              <w:pStyle w:val="P68B1DB1-Normal13"/>
              <w:spacing w:after="0" w:line="240" w:lineRule="auto"/>
              <w:jc w:val="center"/>
              <w:rPr>
                <w:rFonts w:eastAsia="MS Mincho" w:cs="Times New Roman"/>
                <w:noProof/>
              </w:rPr>
            </w:pPr>
            <w:r>
              <w:rPr>
                <w:noProof/>
              </w:rPr>
              <w:t>C2.R5</w:t>
            </w:r>
          </w:p>
        </w:tc>
        <w:tc>
          <w:tcPr>
            <w:tcW w:w="850" w:type="dxa"/>
            <w:shd w:val="clear" w:color="auto" w:fill="C6EFCE"/>
            <w:noWrap/>
          </w:tcPr>
          <w:p w14:paraId="6FA8D4AF" w14:textId="77777777"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35C9E65C" w14:textId="77777777" w:rsidR="000E48CE" w:rsidRDefault="00FF4C4E">
            <w:pPr>
              <w:pStyle w:val="P68B1DB1-Normal13"/>
              <w:spacing w:after="0" w:line="240" w:lineRule="auto"/>
              <w:rPr>
                <w:rFonts w:cs="Times New Roman"/>
                <w:noProof/>
              </w:rPr>
            </w:pPr>
            <w:r>
              <w:rPr>
                <w:noProof/>
              </w:rPr>
              <w:t xml:space="preserve">Kuninkaallinen asetus perusparannustoimistoista (yhden luukunnallinen palvelupiste) tulee voimaan </w:t>
            </w:r>
          </w:p>
        </w:tc>
        <w:tc>
          <w:tcPr>
            <w:tcW w:w="1134" w:type="dxa"/>
            <w:shd w:val="clear" w:color="auto" w:fill="C6EFCE"/>
            <w:noWrap/>
          </w:tcPr>
          <w:p w14:paraId="742C21B6" w14:textId="77777777" w:rsidR="000E48CE" w:rsidRDefault="00FF4C4E">
            <w:pPr>
              <w:pStyle w:val="P68B1DB1-Normal13"/>
              <w:spacing w:after="0" w:line="240" w:lineRule="auto"/>
              <w:jc w:val="center"/>
              <w:rPr>
                <w:rFonts w:cs="Times New Roman"/>
                <w:noProof/>
              </w:rPr>
            </w:pPr>
            <w:r>
              <w:rPr>
                <w:noProof/>
              </w:rPr>
              <w:t>Kuninkaallisen asetuksen voimaantulosäännös</w:t>
            </w:r>
          </w:p>
        </w:tc>
        <w:tc>
          <w:tcPr>
            <w:tcW w:w="850" w:type="dxa"/>
            <w:shd w:val="clear" w:color="auto" w:fill="C6EFCE"/>
            <w:noWrap/>
          </w:tcPr>
          <w:p w14:paraId="6B515302" w14:textId="77777777" w:rsidR="000E48CE" w:rsidRDefault="00FF4C4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4253EF77" w14:textId="77777777" w:rsidR="000E48CE" w:rsidRDefault="00FF4C4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2D6473E8"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34E9DC57" w14:textId="77777777"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noWrap/>
          </w:tcPr>
          <w:p w14:paraId="65B281B9" w14:textId="77777777" w:rsidR="000E48CE" w:rsidRDefault="00FF4C4E">
            <w:pPr>
              <w:pStyle w:val="P68B1DB1-Normal13"/>
              <w:spacing w:after="0" w:line="240" w:lineRule="auto"/>
              <w:jc w:val="center"/>
              <w:rPr>
                <w:rFonts w:cs="Times New Roman"/>
                <w:noProof/>
              </w:rPr>
            </w:pPr>
            <w:r>
              <w:rPr>
                <w:noProof/>
              </w:rPr>
              <w:t>2021</w:t>
            </w:r>
          </w:p>
        </w:tc>
        <w:tc>
          <w:tcPr>
            <w:tcW w:w="6379" w:type="dxa"/>
            <w:shd w:val="clear" w:color="auto" w:fill="C6EFCE"/>
            <w:noWrap/>
          </w:tcPr>
          <w:p w14:paraId="4599037D" w14:textId="77777777" w:rsidR="000E48CE" w:rsidRDefault="00FF4C4E">
            <w:pPr>
              <w:pStyle w:val="P68B1DB1-Normal13"/>
              <w:spacing w:after="0" w:line="240" w:lineRule="auto"/>
              <w:rPr>
                <w:rFonts w:cs="Times New Roman"/>
                <w:noProof/>
              </w:rPr>
            </w:pPr>
            <w:r>
              <w:rPr>
                <w:noProof/>
              </w:rPr>
              <w:t>Kuninkaallisen asetuksen antaminen kunnostusvirastojen (’keskitetyt palvelupist</w:t>
            </w:r>
            <w:r>
              <w:rPr>
                <w:noProof/>
              </w:rPr>
              <w:t xml:space="preserve">eet’) soveltamisalasta ja niiden rahoituksesta. Alakohtainen asuntokonferenssi järjestetään ja tiedotusvaihe ja muut oikeudelliset menettelyt saatetaan päätökseen ennen kuninkaallisen asetuksen viimeistelyä. </w:t>
            </w:r>
          </w:p>
        </w:tc>
      </w:tr>
      <w:tr w:rsidR="000E48CE" w14:paraId="095B70E7" w14:textId="77777777">
        <w:trPr>
          <w:trHeight w:val="309"/>
        </w:trPr>
        <w:tc>
          <w:tcPr>
            <w:tcW w:w="709" w:type="dxa"/>
            <w:shd w:val="clear" w:color="auto" w:fill="C6EFCE"/>
            <w:noWrap/>
          </w:tcPr>
          <w:p w14:paraId="2AFCDB24" w14:textId="77777777" w:rsidR="000E48CE" w:rsidRDefault="00FF4C4E">
            <w:pPr>
              <w:pStyle w:val="P68B1DB1-Normal13"/>
              <w:spacing w:after="0" w:line="240" w:lineRule="auto"/>
              <w:jc w:val="center"/>
              <w:rPr>
                <w:rFonts w:cs="Times New Roman"/>
                <w:noProof/>
              </w:rPr>
            </w:pPr>
            <w:r>
              <w:rPr>
                <w:noProof/>
              </w:rPr>
              <w:t>25</w:t>
            </w:r>
          </w:p>
        </w:tc>
        <w:tc>
          <w:tcPr>
            <w:tcW w:w="851" w:type="dxa"/>
            <w:shd w:val="clear" w:color="auto" w:fill="C6EFCE"/>
            <w:noWrap/>
          </w:tcPr>
          <w:p w14:paraId="29EC4356" w14:textId="77777777" w:rsidR="000E48CE" w:rsidRDefault="00FF4C4E">
            <w:pPr>
              <w:pStyle w:val="P68B1DB1-Normal13"/>
              <w:spacing w:after="0" w:line="240" w:lineRule="auto"/>
              <w:jc w:val="center"/>
              <w:rPr>
                <w:rFonts w:eastAsia="MS Mincho" w:cs="Times New Roman"/>
                <w:noProof/>
              </w:rPr>
            </w:pPr>
            <w:r>
              <w:rPr>
                <w:noProof/>
              </w:rPr>
              <w:t>C2.R6</w:t>
            </w:r>
          </w:p>
        </w:tc>
        <w:tc>
          <w:tcPr>
            <w:tcW w:w="850" w:type="dxa"/>
            <w:shd w:val="clear" w:color="auto" w:fill="C6EFCE"/>
            <w:noWrap/>
          </w:tcPr>
          <w:p w14:paraId="755F1112" w14:textId="77777777"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638669B5" w14:textId="77777777" w:rsidR="000E48CE" w:rsidRDefault="00FF4C4E">
            <w:pPr>
              <w:pStyle w:val="P68B1DB1-Normal13"/>
              <w:spacing w:after="0" w:line="240" w:lineRule="auto"/>
              <w:rPr>
                <w:rFonts w:cs="Times New Roman"/>
                <w:noProof/>
              </w:rPr>
            </w:pPr>
            <w:r>
              <w:rPr>
                <w:noProof/>
              </w:rPr>
              <w:t xml:space="preserve">Horisontaalista omaisuuslakia koskevien muutosten voimaantulo kuntoutuksen rahoituksen helpottamiseksi </w:t>
            </w:r>
          </w:p>
        </w:tc>
        <w:tc>
          <w:tcPr>
            <w:tcW w:w="1134" w:type="dxa"/>
            <w:shd w:val="clear" w:color="auto" w:fill="C6EFCE"/>
            <w:noWrap/>
          </w:tcPr>
          <w:p w14:paraId="062F57EB" w14:textId="77777777" w:rsidR="000E48CE" w:rsidRDefault="00FF4C4E">
            <w:pPr>
              <w:pStyle w:val="P68B1DB1-Normal13"/>
              <w:spacing w:after="0" w:line="240" w:lineRule="auto"/>
              <w:jc w:val="center"/>
              <w:rPr>
                <w:rFonts w:cs="Times New Roman"/>
                <w:noProof/>
              </w:rPr>
            </w:pPr>
            <w:r>
              <w:rPr>
                <w:noProof/>
              </w:rPr>
              <w:t>Horisontaalisen omaisuuslain voimaantulosäännös</w:t>
            </w:r>
          </w:p>
        </w:tc>
        <w:tc>
          <w:tcPr>
            <w:tcW w:w="850" w:type="dxa"/>
            <w:shd w:val="clear" w:color="auto" w:fill="C6EFCE"/>
            <w:noWrap/>
          </w:tcPr>
          <w:p w14:paraId="696D69FC" w14:textId="77777777" w:rsidR="000E48CE" w:rsidRDefault="00FF4C4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72302A59" w14:textId="77777777" w:rsidR="000E48CE" w:rsidRDefault="00FF4C4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31CBAF0D"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484860D8" w14:textId="77777777"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noWrap/>
          </w:tcPr>
          <w:p w14:paraId="66B410D7" w14:textId="77777777" w:rsidR="000E48CE" w:rsidRDefault="00FF4C4E">
            <w:pPr>
              <w:pStyle w:val="P68B1DB1-Normal13"/>
              <w:spacing w:after="0" w:line="240" w:lineRule="auto"/>
              <w:jc w:val="center"/>
              <w:rPr>
                <w:rFonts w:cs="Times New Roman"/>
                <w:noProof/>
              </w:rPr>
            </w:pPr>
            <w:r>
              <w:rPr>
                <w:noProof/>
              </w:rPr>
              <w:t>2022</w:t>
            </w:r>
          </w:p>
        </w:tc>
        <w:tc>
          <w:tcPr>
            <w:tcW w:w="6379" w:type="dxa"/>
            <w:shd w:val="clear" w:color="auto" w:fill="C6EFCE"/>
            <w:noWrap/>
          </w:tcPr>
          <w:p w14:paraId="56C0CAB7" w14:textId="77777777" w:rsidR="000E48CE" w:rsidRDefault="00FF4C4E">
            <w:pPr>
              <w:pStyle w:val="P68B1DB1-Normal13"/>
              <w:spacing w:after="0" w:line="240" w:lineRule="auto"/>
              <w:rPr>
                <w:rFonts w:cs="Times New Roman"/>
                <w:noProof/>
              </w:rPr>
            </w:pPr>
            <w:r>
              <w:rPr>
                <w:noProof/>
              </w:rPr>
              <w:t xml:space="preserve">Muutokset lakiin 49/1960 (horisontaalinen omaisuuslaki), annettu 21 </w:t>
            </w:r>
            <w:r>
              <w:rPr>
                <w:noProof/>
              </w:rPr>
              <w:t>päivänä heinäkuuta, yhteisomistuksesta, jotta voidaan edistää omistajayhteisöjen suorittamaa rakennusten kunnostamista ja parantamista sekä rahoituksen saantia. Tarkistuksen tavoitteena on helpottaa omistajayhteisöjen päätöksentekoa rakennusten perusparann</w:t>
            </w:r>
            <w:r>
              <w:rPr>
                <w:noProof/>
              </w:rPr>
              <w:t>ustöiden toteuttamiseksi, joilla edistetään energiatehokkuuden parantamista, ja helpottaa pankkirahoituksen saantia.</w:t>
            </w:r>
          </w:p>
        </w:tc>
      </w:tr>
      <w:tr w:rsidR="000E48CE" w14:paraId="776F96A2" w14:textId="77777777">
        <w:trPr>
          <w:trHeight w:val="309"/>
        </w:trPr>
        <w:tc>
          <w:tcPr>
            <w:tcW w:w="709" w:type="dxa"/>
            <w:shd w:val="clear" w:color="auto" w:fill="C6EFCE"/>
            <w:noWrap/>
          </w:tcPr>
          <w:p w14:paraId="36334656" w14:textId="77777777" w:rsidR="000E48CE" w:rsidRDefault="00FF4C4E">
            <w:pPr>
              <w:pStyle w:val="P68B1DB1-Normal13"/>
              <w:spacing w:after="0" w:line="240" w:lineRule="auto"/>
              <w:jc w:val="center"/>
              <w:rPr>
                <w:rFonts w:cs="Times New Roman"/>
                <w:noProof/>
              </w:rPr>
            </w:pPr>
            <w:r>
              <w:rPr>
                <w:noProof/>
              </w:rPr>
              <w:t>26</w:t>
            </w:r>
          </w:p>
        </w:tc>
        <w:tc>
          <w:tcPr>
            <w:tcW w:w="851" w:type="dxa"/>
            <w:shd w:val="clear" w:color="auto" w:fill="C6EFCE"/>
            <w:noWrap/>
          </w:tcPr>
          <w:p w14:paraId="4A6141F8" w14:textId="77777777" w:rsidR="000E48CE" w:rsidRDefault="00FF4C4E">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383E7029" w14:textId="77777777"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51896814" w14:textId="77777777" w:rsidR="000E48CE" w:rsidRDefault="00FF4C4E">
            <w:pPr>
              <w:pStyle w:val="P68B1DB1-Normal13"/>
              <w:spacing w:after="0" w:line="240" w:lineRule="auto"/>
              <w:rPr>
                <w:rFonts w:cs="Times New Roman"/>
                <w:noProof/>
              </w:rPr>
            </w:pPr>
            <w:r>
              <w:rPr>
                <w:noProof/>
              </w:rPr>
              <w:t xml:space="preserve">Uudistamisohjelman täytäntöönpanon sääntelykehyksestä annetun kuninkaallisen asetuksen voimaantulo; ja kuninkaallinen asetus, jolla säännellään henkilökohtaisia tuloverokannustimia ohjelman tukemiseksi </w:t>
            </w:r>
          </w:p>
        </w:tc>
        <w:tc>
          <w:tcPr>
            <w:tcW w:w="1134" w:type="dxa"/>
            <w:shd w:val="clear" w:color="auto" w:fill="C6EFCE"/>
            <w:noWrap/>
          </w:tcPr>
          <w:p w14:paraId="3494296F" w14:textId="77777777" w:rsidR="000E48CE" w:rsidRDefault="00FF4C4E">
            <w:pPr>
              <w:pStyle w:val="P68B1DB1-Normal13"/>
              <w:spacing w:after="0" w:line="240" w:lineRule="auto"/>
              <w:jc w:val="center"/>
              <w:rPr>
                <w:rFonts w:cs="Times New Roman"/>
                <w:noProof/>
              </w:rPr>
            </w:pPr>
            <w:r>
              <w:rPr>
                <w:noProof/>
              </w:rPr>
              <w:t>Kuninkaan asetuksen ja kuninkaan asetuksen voimaantul</w:t>
            </w:r>
            <w:r>
              <w:rPr>
                <w:noProof/>
              </w:rPr>
              <w:t>oa koskeva säännös</w:t>
            </w:r>
          </w:p>
        </w:tc>
        <w:tc>
          <w:tcPr>
            <w:tcW w:w="850" w:type="dxa"/>
            <w:shd w:val="clear" w:color="auto" w:fill="C6EFCE"/>
            <w:noWrap/>
          </w:tcPr>
          <w:p w14:paraId="4A7717C8" w14:textId="77777777" w:rsidR="000E48CE" w:rsidRDefault="00FF4C4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419A23A7" w14:textId="77777777" w:rsidR="000E48CE" w:rsidRDefault="00FF4C4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74536B0D"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02A756F6" w14:textId="77777777"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noWrap/>
          </w:tcPr>
          <w:p w14:paraId="1897C7B7" w14:textId="77777777" w:rsidR="000E48CE" w:rsidRDefault="00FF4C4E">
            <w:pPr>
              <w:pStyle w:val="P68B1DB1-Normal13"/>
              <w:spacing w:after="0" w:line="240" w:lineRule="auto"/>
              <w:jc w:val="center"/>
              <w:rPr>
                <w:rFonts w:cs="Times New Roman"/>
                <w:noProof/>
              </w:rPr>
            </w:pPr>
            <w:r>
              <w:rPr>
                <w:noProof/>
              </w:rPr>
              <w:t>2021</w:t>
            </w:r>
          </w:p>
        </w:tc>
        <w:tc>
          <w:tcPr>
            <w:tcW w:w="6379" w:type="dxa"/>
            <w:shd w:val="clear" w:color="auto" w:fill="C6EFCE"/>
            <w:noWrap/>
          </w:tcPr>
          <w:p w14:paraId="2E8C9D62" w14:textId="77777777" w:rsidR="000E48CE" w:rsidRDefault="00FF4C4E">
            <w:pPr>
              <w:pStyle w:val="P68B1DB1-Normal13"/>
              <w:spacing w:after="0" w:line="240" w:lineRule="auto"/>
              <w:rPr>
                <w:rFonts w:cs="Times New Roman"/>
                <w:noProof/>
              </w:rPr>
            </w:pPr>
            <w:r>
              <w:rPr>
                <w:noProof/>
              </w:rPr>
              <w:t>Annetaan kuninkaallinen asetus, jossa määritellään uusimisohjelman täytäntöönpanon sääntelykehys; ja kuninkaallinen asetus, jolla säännellään henkilökohtaisia tuloverokannustimia ohjelman tukemiseksi. Sää</w:t>
            </w:r>
            <w:r>
              <w:rPr>
                <w:noProof/>
              </w:rPr>
              <w:t>ntelykehyksen määrittelevässä kuninkaallisessa asetuksessa vahvistetaan tekniset vaatimukset, joilla varmistetaan uusiutumattoman primäärienergian kulutuksen 30 prosentin keskimääräisen vähennyksen noudattaminen. Asumista käsittelevä alakohtainen konferens</w:t>
            </w:r>
            <w:r>
              <w:rPr>
                <w:noProof/>
              </w:rPr>
              <w:t>si pidetään ja tiedotusvaihe ja muut oikeudelliset menettelyt saatetaan päätökseen ennen kuninkaallisen asetuksen viimeistelyä.</w:t>
            </w:r>
          </w:p>
        </w:tc>
      </w:tr>
      <w:tr w:rsidR="000E48CE" w14:paraId="43DA2FAA" w14:textId="77777777">
        <w:trPr>
          <w:trHeight w:val="309"/>
        </w:trPr>
        <w:tc>
          <w:tcPr>
            <w:tcW w:w="709" w:type="dxa"/>
            <w:shd w:val="clear" w:color="auto" w:fill="C6EFCE"/>
            <w:noWrap/>
          </w:tcPr>
          <w:p w14:paraId="41C0AA51" w14:textId="0124B5C6" w:rsidR="000E48CE" w:rsidRDefault="00FF4C4E">
            <w:pPr>
              <w:pStyle w:val="P68B1DB1-Normal13"/>
              <w:spacing w:after="0" w:line="240" w:lineRule="auto"/>
              <w:jc w:val="center"/>
              <w:rPr>
                <w:rFonts w:cs="Times New Roman"/>
                <w:noProof/>
              </w:rPr>
            </w:pPr>
            <w:r>
              <w:rPr>
                <w:noProof/>
              </w:rPr>
              <w:t>27</w:t>
            </w:r>
          </w:p>
        </w:tc>
        <w:tc>
          <w:tcPr>
            <w:tcW w:w="851" w:type="dxa"/>
            <w:shd w:val="clear" w:color="auto" w:fill="C6EFCE"/>
            <w:noWrap/>
          </w:tcPr>
          <w:p w14:paraId="26F54131" w14:textId="77777777" w:rsidR="000E48CE" w:rsidRDefault="00FF4C4E">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1F830FBF" w14:textId="77777777" w:rsidR="000E48CE" w:rsidRDefault="00FF4C4E">
            <w:pPr>
              <w:pStyle w:val="P68B1DB1-Normal13"/>
              <w:spacing w:after="0" w:line="240" w:lineRule="auto"/>
              <w:jc w:val="center"/>
              <w:rPr>
                <w:rFonts w:cs="Times New Roman"/>
                <w:noProof/>
              </w:rPr>
            </w:pPr>
            <w:r>
              <w:rPr>
                <w:noProof/>
              </w:rPr>
              <w:t>T</w:t>
            </w:r>
          </w:p>
        </w:tc>
        <w:tc>
          <w:tcPr>
            <w:tcW w:w="1985" w:type="dxa"/>
            <w:shd w:val="clear" w:color="auto" w:fill="C6EFCE"/>
            <w:noWrap/>
          </w:tcPr>
          <w:p w14:paraId="540F575C" w14:textId="00F0717B" w:rsidR="000E48CE" w:rsidRDefault="00FF4C4E">
            <w:pPr>
              <w:pStyle w:val="P68B1DB1-Normal13"/>
              <w:spacing w:after="0" w:line="240" w:lineRule="auto"/>
              <w:rPr>
                <w:rFonts w:cs="Times New Roman"/>
                <w:noProof/>
              </w:rPr>
            </w:pPr>
            <w:r>
              <w:rPr>
                <w:noProof/>
              </w:rPr>
              <w:t xml:space="preserve">Asuinasuntojen perusparannustoimien loppuun saattaminen tai päätökset myöntää tukea asuinrakennusten </w:t>
            </w:r>
            <w:r>
              <w:rPr>
                <w:noProof/>
              </w:rPr>
              <w:t xml:space="preserve">perusparannustoimiin, joilla saavutetaan tai pyritään keskimäärin vähentämään primäärienergian kysyntää </w:t>
            </w:r>
            <w:r>
              <w:rPr>
                <w:noProof/>
              </w:rPr>
              <w:lastRenderedPageBreak/>
              <w:t>vähintään 30 prosenttia (vähintään 231000 toimea vähintään 160000 yksittäisessä asunnossa)</w:t>
            </w:r>
          </w:p>
        </w:tc>
        <w:tc>
          <w:tcPr>
            <w:tcW w:w="1134" w:type="dxa"/>
            <w:shd w:val="clear" w:color="auto" w:fill="C6EFCE"/>
            <w:noWrap/>
          </w:tcPr>
          <w:p w14:paraId="7D7A3EC8" w14:textId="77777777" w:rsidR="000E48CE" w:rsidRDefault="00FF4C4E">
            <w:pPr>
              <w:pStyle w:val="P68B1DB1-Normal13"/>
              <w:spacing w:after="0" w:line="240" w:lineRule="auto"/>
              <w:jc w:val="center"/>
              <w:rPr>
                <w:rFonts w:cs="Times New Roman"/>
                <w:noProof/>
              </w:rPr>
            </w:pPr>
            <w:r>
              <w:rPr>
                <w:noProof/>
              </w:rPr>
              <w:lastRenderedPageBreak/>
              <w:t> </w:t>
            </w:r>
          </w:p>
        </w:tc>
        <w:tc>
          <w:tcPr>
            <w:tcW w:w="850" w:type="dxa"/>
            <w:shd w:val="clear" w:color="auto" w:fill="C6EFCE"/>
            <w:noWrap/>
          </w:tcPr>
          <w:p w14:paraId="20B375FC" w14:textId="77777777" w:rsidR="000E48CE" w:rsidRDefault="00FF4C4E">
            <w:pPr>
              <w:pStyle w:val="P68B1DB1-Normal13"/>
              <w:spacing w:after="0" w:line="240" w:lineRule="auto"/>
              <w:jc w:val="right"/>
              <w:rPr>
                <w:rFonts w:eastAsia="MS Mincho" w:cs="Times New Roman"/>
                <w:noProof/>
              </w:rPr>
            </w:pPr>
            <w:r>
              <w:rPr>
                <w:noProof/>
              </w:rPr>
              <w:t>Määrä</w:t>
            </w:r>
          </w:p>
        </w:tc>
        <w:tc>
          <w:tcPr>
            <w:tcW w:w="709" w:type="dxa"/>
            <w:shd w:val="clear" w:color="auto" w:fill="C6EFCE"/>
            <w:noWrap/>
          </w:tcPr>
          <w:p w14:paraId="0CF44D54" w14:textId="77777777" w:rsidR="000E48CE" w:rsidRDefault="00FF4C4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7D969CEE" w14:textId="77777777" w:rsidR="000E48CE" w:rsidRDefault="00FF4C4E">
            <w:pPr>
              <w:pStyle w:val="P68B1DB1-Normal13"/>
              <w:spacing w:after="0" w:line="240" w:lineRule="auto"/>
              <w:jc w:val="right"/>
              <w:rPr>
                <w:rFonts w:eastAsia="MS Mincho" w:cs="Times New Roman"/>
                <w:noProof/>
              </w:rPr>
            </w:pPr>
            <w:r>
              <w:rPr>
                <w:noProof/>
              </w:rPr>
              <w:t>231 000</w:t>
            </w:r>
          </w:p>
        </w:tc>
        <w:tc>
          <w:tcPr>
            <w:tcW w:w="425" w:type="dxa"/>
            <w:shd w:val="clear" w:color="auto" w:fill="C6EFCE"/>
            <w:noWrap/>
          </w:tcPr>
          <w:p w14:paraId="65DAC869"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4FF3EC85" w14:textId="6C65C8D9" w:rsidR="000E48CE" w:rsidRDefault="00FF4C4E">
            <w:pPr>
              <w:pStyle w:val="P68B1DB1-Normal13"/>
              <w:spacing w:after="0" w:line="240" w:lineRule="auto"/>
              <w:jc w:val="center"/>
              <w:rPr>
                <w:rFonts w:cs="Times New Roman"/>
                <w:noProof/>
              </w:rPr>
            </w:pPr>
            <w:r>
              <w:rPr>
                <w:noProof/>
              </w:rPr>
              <w:t>2024</w:t>
            </w:r>
          </w:p>
        </w:tc>
        <w:tc>
          <w:tcPr>
            <w:tcW w:w="6379" w:type="dxa"/>
            <w:shd w:val="clear" w:color="auto" w:fill="C6EFCE"/>
            <w:noWrap/>
          </w:tcPr>
          <w:p w14:paraId="1C8971BD" w14:textId="17D7124A" w:rsidR="000E48CE" w:rsidRDefault="00FF4C4E">
            <w:pPr>
              <w:pStyle w:val="P68B1DB1-Normal13"/>
              <w:spacing w:after="0" w:line="240" w:lineRule="auto"/>
              <w:rPr>
                <w:rFonts w:cs="Times New Roman"/>
                <w:noProof/>
              </w:rPr>
            </w:pPr>
            <w:r>
              <w:rPr>
                <w:noProof/>
              </w:rPr>
              <w:t>Vähintään 231000 asuinrakennusten p</w:t>
            </w:r>
            <w:r>
              <w:rPr>
                <w:noProof/>
              </w:rPr>
              <w:t>eruskorjaustoimea tai päätöstä tuen myöntämisestä näiden toimien toteuttamiseksi vähintään 160000 yksittäisessä asunnossa, jotka on saatu päätökseen ja joilla pyritään keskimäärin vähentämään primäärienergian kysyntää vähintään 30 prosenttia (kumulatiivise</w:t>
            </w:r>
            <w:r>
              <w:rPr>
                <w:noProof/>
              </w:rPr>
              <w:t xml:space="preserve">t). Indikaattoria sovellettaessa asumisen käsitteen on oltava Eurostatin määritelmän mukainen (”asuminen on huone tai huoneiden kokonaisuus – mukaan lukien sen lisävarusteet, eturyhmät ja käytävät – pysyvässä rakennuksessa tai rakennuksen rakenteellisesti </w:t>
            </w:r>
            <w:r>
              <w:rPr>
                <w:noProof/>
              </w:rPr>
              <w:t>erillisessä osassa, joka on rakennettu, rakennettu uudelleen tai muunnettu siten, että se on tarkoitettu yhden yksityisen kotitalouden asumista varten ympäri vuoden), ja siihen voi sisältyä tarvittaessa sosiaalinen tai julkinen asunto. Käytetyt energiateho</w:t>
            </w:r>
            <w:r>
              <w:rPr>
                <w:noProof/>
              </w:rPr>
              <w:t xml:space="preserve">kkuuden </w:t>
            </w:r>
            <w:r>
              <w:rPr>
                <w:noProof/>
              </w:rPr>
              <w:lastRenderedPageBreak/>
              <w:t>parannusindikaattorit on akkreditoitava rakennusten energiatehokkuudesta 19 päivänä toukokuuta 2010 annetun Euroopan parlamentin ja neuvoston direktiivin 2010/31/EU mukaisella asiaankuuluvalla energiatehokkuustodistuksella. Asuinrakennusten kuntout</w:t>
            </w:r>
            <w:r>
              <w:rPr>
                <w:noProof/>
              </w:rPr>
              <w:t>ustoimien lukumäärä määritellään kaikkien sellaisten parannus- ja kunnostustoimien summana, jotka on toteutettu tai joille on myönnetty tukea hallinnollisella päätöksellä jonkin tukikohdan (täydellinen kunnostaminen tai rakentaminen) tai verokannustimen av</w:t>
            </w:r>
            <w:r>
              <w:rPr>
                <w:noProof/>
              </w:rPr>
              <w:t>ulla. Uusiutumattoman primäärienergian kulutuksen keskimääräinen säästöprosentti 30 prosentin vähimmäisarvon noudattamiseksi saadaan painottamalla kunnostustoimien joukko elpymis- ja palautumissuunnitelman mukaisesti sovelletun tuen tai rahoituksen määräll</w:t>
            </w:r>
            <w:r>
              <w:rPr>
                <w:noProof/>
              </w:rPr>
              <w:t>ä. Tämä indikaattori sisältää parannus- ja kuntoutustoimet kaikissa kunnissa niiden koosta riippumatta. Saavutettujen energiansäästöjen noudattamisen perustelemiseksi valmistuneiden töiden energiatehokkuustodistukset on koottava yhteen, jotta voidaan vahvi</w:t>
            </w:r>
            <w:r>
              <w:rPr>
                <w:noProof/>
              </w:rPr>
              <w:t>staa saavutetut keskimääräiset energiansäästöt.</w:t>
            </w:r>
          </w:p>
        </w:tc>
      </w:tr>
      <w:tr w:rsidR="000E48CE" w14:paraId="717FD4F2" w14:textId="77777777">
        <w:trPr>
          <w:trHeight w:val="309"/>
        </w:trPr>
        <w:tc>
          <w:tcPr>
            <w:tcW w:w="709" w:type="dxa"/>
            <w:shd w:val="clear" w:color="auto" w:fill="C6EFCE"/>
            <w:noWrap/>
          </w:tcPr>
          <w:p w14:paraId="57393B24" w14:textId="77777777" w:rsidR="000E48CE" w:rsidRDefault="00FF4C4E">
            <w:pPr>
              <w:pStyle w:val="P68B1DB1-Normal13"/>
              <w:spacing w:after="0" w:line="240" w:lineRule="auto"/>
              <w:jc w:val="center"/>
              <w:rPr>
                <w:rFonts w:cs="Times New Roman"/>
                <w:noProof/>
              </w:rPr>
            </w:pPr>
            <w:r>
              <w:rPr>
                <w:noProof/>
              </w:rPr>
              <w:lastRenderedPageBreak/>
              <w:t>28</w:t>
            </w:r>
          </w:p>
        </w:tc>
        <w:tc>
          <w:tcPr>
            <w:tcW w:w="851" w:type="dxa"/>
            <w:shd w:val="clear" w:color="auto" w:fill="C6EFCE"/>
            <w:noWrap/>
          </w:tcPr>
          <w:p w14:paraId="543D3716" w14:textId="77777777" w:rsidR="000E48CE" w:rsidRDefault="00FF4C4E">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18C9352D" w14:textId="77777777" w:rsidR="000E48CE" w:rsidRDefault="00FF4C4E">
            <w:pPr>
              <w:pStyle w:val="P68B1DB1-Normal13"/>
              <w:spacing w:after="0" w:line="240" w:lineRule="auto"/>
              <w:jc w:val="center"/>
              <w:rPr>
                <w:rFonts w:cs="Times New Roman"/>
                <w:noProof/>
              </w:rPr>
            </w:pPr>
            <w:r>
              <w:rPr>
                <w:noProof/>
              </w:rPr>
              <w:t>T</w:t>
            </w:r>
          </w:p>
        </w:tc>
        <w:tc>
          <w:tcPr>
            <w:tcW w:w="1985" w:type="dxa"/>
            <w:shd w:val="clear" w:color="auto" w:fill="C6EFCE"/>
            <w:noWrap/>
          </w:tcPr>
          <w:p w14:paraId="7C490BA1" w14:textId="77777777" w:rsidR="000E48CE" w:rsidRDefault="00FF4C4E">
            <w:pPr>
              <w:pStyle w:val="P68B1DB1-Normal13"/>
              <w:spacing w:after="0" w:line="240" w:lineRule="auto"/>
              <w:rPr>
                <w:rFonts w:cs="Times New Roman"/>
                <w:noProof/>
              </w:rPr>
            </w:pPr>
            <w:r>
              <w:rPr>
                <w:noProof/>
              </w:rPr>
              <w:t>Uusittavalla alueella tai naapurustossa oleva maa-ala, jonka primäärienergian kysyntä vähenee keskimäärin vähintään 30 prosenttia, hehtaareina</w:t>
            </w:r>
          </w:p>
        </w:tc>
        <w:tc>
          <w:tcPr>
            <w:tcW w:w="1134" w:type="dxa"/>
            <w:shd w:val="clear" w:color="auto" w:fill="C6EFCE"/>
            <w:noWrap/>
          </w:tcPr>
          <w:p w14:paraId="129C278E"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0934D530" w14:textId="77777777" w:rsidR="000E48CE" w:rsidRDefault="00FF4C4E">
            <w:pPr>
              <w:pStyle w:val="P68B1DB1-Normal13"/>
              <w:spacing w:after="0" w:line="240" w:lineRule="auto"/>
              <w:jc w:val="right"/>
              <w:rPr>
                <w:rFonts w:eastAsia="MS Mincho" w:cs="Times New Roman"/>
                <w:noProof/>
              </w:rPr>
            </w:pPr>
            <w:r>
              <w:rPr>
                <w:noProof/>
              </w:rPr>
              <w:t>Lukumäärä (hehtaareina)</w:t>
            </w:r>
          </w:p>
        </w:tc>
        <w:tc>
          <w:tcPr>
            <w:tcW w:w="709" w:type="dxa"/>
            <w:shd w:val="clear" w:color="auto" w:fill="C6EFCE"/>
            <w:noWrap/>
          </w:tcPr>
          <w:p w14:paraId="165DCE8A" w14:textId="77777777" w:rsidR="000E48CE" w:rsidRDefault="00FF4C4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0DC15D76" w14:textId="77777777" w:rsidR="000E48CE" w:rsidRDefault="00FF4C4E">
            <w:pPr>
              <w:pStyle w:val="P68B1DB1-Normal13"/>
              <w:spacing w:after="0" w:line="240" w:lineRule="auto"/>
              <w:jc w:val="right"/>
              <w:rPr>
                <w:rFonts w:eastAsia="MS Mincho" w:cs="Times New Roman"/>
                <w:noProof/>
              </w:rPr>
            </w:pPr>
            <w:r>
              <w:rPr>
                <w:noProof/>
              </w:rPr>
              <w:t>600</w:t>
            </w:r>
          </w:p>
        </w:tc>
        <w:tc>
          <w:tcPr>
            <w:tcW w:w="425" w:type="dxa"/>
            <w:shd w:val="clear" w:color="auto" w:fill="C6EFCE"/>
            <w:noWrap/>
          </w:tcPr>
          <w:p w14:paraId="02862E1E"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1D5B6C8C" w14:textId="77777777" w:rsidR="000E48CE" w:rsidRDefault="00FF4C4E">
            <w:pPr>
              <w:pStyle w:val="P68B1DB1-Normal13"/>
              <w:spacing w:after="0" w:line="240" w:lineRule="auto"/>
              <w:jc w:val="center"/>
              <w:rPr>
                <w:rFonts w:cs="Times New Roman"/>
                <w:noProof/>
              </w:rPr>
            </w:pPr>
            <w:r>
              <w:rPr>
                <w:noProof/>
              </w:rPr>
              <w:t>2026</w:t>
            </w:r>
          </w:p>
        </w:tc>
        <w:tc>
          <w:tcPr>
            <w:tcW w:w="6379" w:type="dxa"/>
            <w:shd w:val="clear" w:color="auto" w:fill="C6EFCE"/>
            <w:noWrap/>
          </w:tcPr>
          <w:p w14:paraId="4F6AE6DF" w14:textId="77777777" w:rsidR="000E48CE" w:rsidRDefault="00FF4C4E">
            <w:pPr>
              <w:pStyle w:val="P68B1DB1-Normal13"/>
              <w:spacing w:after="0" w:line="240" w:lineRule="auto"/>
              <w:rPr>
                <w:rFonts w:cs="Times New Roman"/>
                <w:noProof/>
              </w:rPr>
            </w:pPr>
            <w:r>
              <w:rPr>
                <w:noProof/>
              </w:rPr>
              <w:t>Vähintään 600</w:t>
            </w:r>
            <w:r>
              <w:rPr>
                <w:noProof/>
              </w:rPr>
              <w:t xml:space="preserve"> hehtaaria maata uusittavalla alueella tai naapurustossa on valmis. Tähän lukuun sisältyy niiden alueiden tai kaupunkialueiden pinta-ala, jotka ovat olleet ohjelman puitteissa tehtyjen sopimusten perusteella toteutettujen toimien kohteena. Toimet on toteut</w:t>
            </w:r>
            <w:r>
              <w:rPr>
                <w:noProof/>
              </w:rPr>
              <w:t>ettava varmistamalla tekniset vaatimukset, joilla varmistetaan uusiutumattoman primäärienergian kulutuksen 30 prosentin keskimääräisen vähennyksen noudattaminen rakennusten peruskorjauksessa. Saavutettujen energiansäästöjen noudattamisen perustelemiseksi v</w:t>
            </w:r>
            <w:r>
              <w:rPr>
                <w:noProof/>
              </w:rPr>
              <w:t>almistuneiden töiden energiatehokkuustodistukset on koottava yhteen, jotta voidaan vahvistaa saavutetut keskimääräiset energiansäästöt.</w:t>
            </w:r>
          </w:p>
        </w:tc>
      </w:tr>
      <w:tr w:rsidR="000E48CE" w14:paraId="7BCABE61" w14:textId="77777777">
        <w:trPr>
          <w:trHeight w:val="309"/>
        </w:trPr>
        <w:tc>
          <w:tcPr>
            <w:tcW w:w="709" w:type="dxa"/>
            <w:shd w:val="clear" w:color="auto" w:fill="C6EFCE"/>
            <w:noWrap/>
          </w:tcPr>
          <w:p w14:paraId="4B34824B" w14:textId="77777777" w:rsidR="000E48CE" w:rsidRDefault="00FF4C4E">
            <w:pPr>
              <w:pStyle w:val="P68B1DB1-Normal13"/>
              <w:spacing w:after="0" w:line="240" w:lineRule="auto"/>
              <w:jc w:val="center"/>
              <w:rPr>
                <w:rFonts w:cs="Times New Roman"/>
                <w:noProof/>
              </w:rPr>
            </w:pPr>
            <w:r>
              <w:rPr>
                <w:noProof/>
              </w:rPr>
              <w:t>29</w:t>
            </w:r>
          </w:p>
        </w:tc>
        <w:tc>
          <w:tcPr>
            <w:tcW w:w="851" w:type="dxa"/>
            <w:shd w:val="clear" w:color="auto" w:fill="C6EFCE"/>
            <w:noWrap/>
          </w:tcPr>
          <w:p w14:paraId="4A10A290" w14:textId="77777777" w:rsidR="000E48CE" w:rsidRDefault="00FF4C4E">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4F26EDEE" w14:textId="77777777" w:rsidR="000E48CE" w:rsidRDefault="00FF4C4E">
            <w:pPr>
              <w:pStyle w:val="P68B1DB1-Normal13"/>
              <w:spacing w:after="0" w:line="240" w:lineRule="auto"/>
              <w:jc w:val="center"/>
              <w:rPr>
                <w:rFonts w:cs="Times New Roman"/>
                <w:noProof/>
              </w:rPr>
            </w:pPr>
            <w:r>
              <w:rPr>
                <w:noProof/>
              </w:rPr>
              <w:t>T</w:t>
            </w:r>
          </w:p>
        </w:tc>
        <w:tc>
          <w:tcPr>
            <w:tcW w:w="1985" w:type="dxa"/>
            <w:shd w:val="clear" w:color="auto" w:fill="C6EFCE"/>
            <w:noWrap/>
          </w:tcPr>
          <w:p w14:paraId="3B75242F" w14:textId="24702063" w:rsidR="000E48CE" w:rsidRDefault="00FF4C4E">
            <w:pPr>
              <w:pStyle w:val="P68B1DB1-Normal13"/>
              <w:spacing w:after="0" w:line="240" w:lineRule="auto"/>
              <w:rPr>
                <w:rFonts w:cs="Times New Roman"/>
                <w:noProof/>
              </w:rPr>
            </w:pPr>
            <w:r>
              <w:rPr>
                <w:noProof/>
              </w:rPr>
              <w:t xml:space="preserve">Asuinrakennusten perusparannustoimien loppuun saattaminen siten, </w:t>
            </w:r>
            <w:r>
              <w:rPr>
                <w:noProof/>
              </w:rPr>
              <w:t xml:space="preserve">että primäärienergian kysyntä vähenee keskimäärin vähintään 30 prosenttia (vähintään 410000 toimea vähintään 285000 yksittäisessä asunnossa) </w:t>
            </w:r>
          </w:p>
        </w:tc>
        <w:tc>
          <w:tcPr>
            <w:tcW w:w="1134" w:type="dxa"/>
            <w:shd w:val="clear" w:color="auto" w:fill="C6EFCE"/>
            <w:noWrap/>
          </w:tcPr>
          <w:p w14:paraId="2790C8A6"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6EFB9251" w14:textId="77777777" w:rsidR="000E48CE" w:rsidRDefault="00FF4C4E">
            <w:pPr>
              <w:pStyle w:val="P68B1DB1-Normal13"/>
              <w:spacing w:after="0" w:line="240" w:lineRule="auto"/>
              <w:jc w:val="right"/>
              <w:rPr>
                <w:rFonts w:eastAsia="MS Mincho" w:cs="Times New Roman"/>
                <w:noProof/>
              </w:rPr>
            </w:pPr>
            <w:r>
              <w:rPr>
                <w:noProof/>
              </w:rPr>
              <w:t>Määrä</w:t>
            </w:r>
          </w:p>
        </w:tc>
        <w:tc>
          <w:tcPr>
            <w:tcW w:w="709" w:type="dxa"/>
            <w:shd w:val="clear" w:color="auto" w:fill="C6EFCE"/>
            <w:noWrap/>
          </w:tcPr>
          <w:p w14:paraId="74DF813D" w14:textId="77777777" w:rsidR="000E48CE" w:rsidRDefault="00FF4C4E">
            <w:pPr>
              <w:pStyle w:val="P68B1DB1-Normal13"/>
              <w:spacing w:after="0" w:line="240" w:lineRule="auto"/>
              <w:jc w:val="right"/>
              <w:rPr>
                <w:rFonts w:eastAsia="MS Mincho" w:cs="Times New Roman"/>
                <w:noProof/>
              </w:rPr>
            </w:pPr>
            <w:r>
              <w:rPr>
                <w:noProof/>
              </w:rPr>
              <w:t>231 000</w:t>
            </w:r>
          </w:p>
        </w:tc>
        <w:tc>
          <w:tcPr>
            <w:tcW w:w="851" w:type="dxa"/>
            <w:shd w:val="clear" w:color="auto" w:fill="C6EFCE"/>
            <w:noWrap/>
          </w:tcPr>
          <w:p w14:paraId="53E2E224" w14:textId="328687B3" w:rsidR="000E48CE" w:rsidRDefault="00FF4C4E">
            <w:pPr>
              <w:pStyle w:val="P68B1DB1-Normal13"/>
              <w:spacing w:after="0" w:line="240" w:lineRule="auto"/>
              <w:jc w:val="right"/>
              <w:rPr>
                <w:rFonts w:eastAsia="MS Mincho" w:cs="Times New Roman"/>
                <w:noProof/>
              </w:rPr>
            </w:pPr>
            <w:r>
              <w:rPr>
                <w:noProof/>
              </w:rPr>
              <w:t>410 000</w:t>
            </w:r>
          </w:p>
        </w:tc>
        <w:tc>
          <w:tcPr>
            <w:tcW w:w="425" w:type="dxa"/>
            <w:shd w:val="clear" w:color="auto" w:fill="C6EFCE"/>
            <w:noWrap/>
          </w:tcPr>
          <w:p w14:paraId="3B1CE8F1"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2576EDE7" w14:textId="77777777" w:rsidR="000E48CE" w:rsidRDefault="00FF4C4E">
            <w:pPr>
              <w:pStyle w:val="P68B1DB1-Normal13"/>
              <w:spacing w:after="0" w:line="240" w:lineRule="auto"/>
              <w:jc w:val="center"/>
              <w:rPr>
                <w:rFonts w:cs="Times New Roman"/>
                <w:noProof/>
              </w:rPr>
            </w:pPr>
            <w:r>
              <w:rPr>
                <w:noProof/>
              </w:rPr>
              <w:t>2026</w:t>
            </w:r>
          </w:p>
        </w:tc>
        <w:tc>
          <w:tcPr>
            <w:tcW w:w="6379" w:type="dxa"/>
            <w:shd w:val="clear" w:color="auto" w:fill="C6EFCE"/>
            <w:noWrap/>
          </w:tcPr>
          <w:p w14:paraId="2D19D2ED" w14:textId="64BA6765" w:rsidR="000E48CE" w:rsidRDefault="00FF4C4E">
            <w:pPr>
              <w:pStyle w:val="P68B1DB1-Normal13"/>
              <w:spacing w:after="0" w:line="240" w:lineRule="auto"/>
              <w:rPr>
                <w:rFonts w:cs="Times New Roman"/>
                <w:noProof/>
              </w:rPr>
            </w:pPr>
            <w:r>
              <w:rPr>
                <w:noProof/>
              </w:rPr>
              <w:t xml:space="preserve">Vähintään 410000 asuinrakennusten peruskorjaustoimea vähintään 285000 yksittäisessä asunnossa, jotka on saatu päätökseen ja joilla primäärienergian kysyntä vähenee keskimäärin vähintään 30 prosenttia (kumulatiiviset). Indikaattoria sovellettaessa asumisen </w:t>
            </w:r>
            <w:r>
              <w:rPr>
                <w:noProof/>
              </w:rPr>
              <w:t>käsitteen on oltava Eurostatin määritelmän mukainen (”asuminen on huone tai huoneiden kokonaisuus – mukaan lukien sen lisävarusteet, eturyhmät ja käytävät – pysyvässä rakennuksessa tai rakennuksen rakenteellisesti erillisessä osassa, joka on rakennettu, ra</w:t>
            </w:r>
            <w:r>
              <w:rPr>
                <w:noProof/>
              </w:rPr>
              <w:t>kennettu uudelleen tai muunnettu siten, että se on tarkoitettu yhden yksityisen kotitalouden asumista varten ympäri vuoden), ja siihen voi sisältyä tarvittaessa sosiaalinen tai julkinen asunto. Käytetyt energiatehokkuuden parannusindikaattorit on akkredito</w:t>
            </w:r>
            <w:r>
              <w:rPr>
                <w:noProof/>
              </w:rPr>
              <w:t>itava rakennusten energiatehokkuudesta 19 päivänä toukokuuta 2010 annetun Euroopan parlamentin ja neuvoston direktiivin 2010/31/EU mukaisella asiaankuuluvalla energiatehokkuustodistuksella. Asuntojen kuntoutusten lukumäärä on kaikkien (rajatuilla asuinalue</w:t>
            </w:r>
            <w:r>
              <w:rPr>
                <w:noProof/>
              </w:rPr>
              <w:t>illa, rakennusten tai asuntojen tasolla) toteutettujen parannus- ja kuntoutustoimien summa, jotka toteutetaan jonkin tukikohdan (täydellinen kuntoutus tai rakennusosa) tai verokannustimen avulla. Uusiutumattoman primäärienergian kulutuksen keskimääräinen s</w:t>
            </w:r>
            <w:r>
              <w:rPr>
                <w:noProof/>
              </w:rPr>
              <w:t xml:space="preserve">äästöprosentti 30 prosentin vähimmäisarvon noudattamiseksi saadaan painottamalla kunnostustoimien </w:t>
            </w:r>
            <w:r>
              <w:rPr>
                <w:noProof/>
              </w:rPr>
              <w:lastRenderedPageBreak/>
              <w:t>joukko elpymis- ja palautumissuunnitelman mukaisesti sovelletun tuen tai rahoituksen määrällä. Tämä indikaattori sisältää parannus- ja kuntoutustoimet kaikiss</w:t>
            </w:r>
            <w:r>
              <w:rPr>
                <w:noProof/>
              </w:rPr>
              <w:t>a kunnissa niiden koosta riippumatta. Saavutettujen energiansäästöjen noudattamisen perustelemiseksi valmistuneiden töiden energiatehokkuustodistukset on koottava yhteen, jotta voidaan vahvistaa saavutetut keskimääräiset energiansäästöt. (Perustaso: Jouluk</w:t>
            </w:r>
            <w:r>
              <w:rPr>
                <w:noProof/>
              </w:rPr>
              <w:t>uuta 2024.)</w:t>
            </w:r>
          </w:p>
        </w:tc>
      </w:tr>
      <w:tr w:rsidR="000E48CE" w14:paraId="4187DA6B" w14:textId="77777777">
        <w:trPr>
          <w:trHeight w:val="309"/>
        </w:trPr>
        <w:tc>
          <w:tcPr>
            <w:tcW w:w="709" w:type="dxa"/>
            <w:shd w:val="clear" w:color="auto" w:fill="C6EFCE"/>
            <w:noWrap/>
          </w:tcPr>
          <w:p w14:paraId="219897CE" w14:textId="77777777" w:rsidR="000E48CE" w:rsidRDefault="00FF4C4E">
            <w:pPr>
              <w:pStyle w:val="P68B1DB1-Normal13"/>
              <w:spacing w:after="0" w:line="240" w:lineRule="auto"/>
              <w:jc w:val="center"/>
              <w:rPr>
                <w:rFonts w:cs="Times New Roman"/>
                <w:noProof/>
              </w:rPr>
            </w:pPr>
            <w:r>
              <w:rPr>
                <w:noProof/>
              </w:rPr>
              <w:lastRenderedPageBreak/>
              <w:t>30</w:t>
            </w:r>
          </w:p>
        </w:tc>
        <w:tc>
          <w:tcPr>
            <w:tcW w:w="851" w:type="dxa"/>
            <w:shd w:val="clear" w:color="auto" w:fill="C6EFCE"/>
            <w:noWrap/>
          </w:tcPr>
          <w:p w14:paraId="39E1901F" w14:textId="77777777" w:rsidR="000E48CE" w:rsidRDefault="00FF4C4E">
            <w:pPr>
              <w:pStyle w:val="P68B1DB1-Normal13"/>
              <w:spacing w:after="0" w:line="240" w:lineRule="auto"/>
              <w:jc w:val="center"/>
              <w:rPr>
                <w:rFonts w:cs="Times New Roman"/>
                <w:noProof/>
              </w:rPr>
            </w:pPr>
            <w:r>
              <w:rPr>
                <w:noProof/>
              </w:rPr>
              <w:t>C2.I2</w:t>
            </w:r>
          </w:p>
        </w:tc>
        <w:tc>
          <w:tcPr>
            <w:tcW w:w="850" w:type="dxa"/>
            <w:shd w:val="clear" w:color="auto" w:fill="C6EFCE"/>
            <w:noWrap/>
          </w:tcPr>
          <w:p w14:paraId="64558372" w14:textId="77777777"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01EEAA9C" w14:textId="77777777" w:rsidR="000E48CE" w:rsidRDefault="00FF4C4E">
            <w:pPr>
              <w:pStyle w:val="P68B1DB1-Normal13"/>
              <w:spacing w:after="0" w:line="240" w:lineRule="auto"/>
              <w:rPr>
                <w:rFonts w:cs="Times New Roman"/>
                <w:noProof/>
              </w:rPr>
            </w:pPr>
            <w:r>
              <w:rPr>
                <w:noProof/>
              </w:rPr>
              <w:t xml:space="preserve">Energiatehokkaita sosiaalisia vuokra-asuntoja koskevan ohjelman täytäntöönpanoa koskevan sääntelykehyksen määrittelystä annetun kuninkaallisen asetuksen voimaantulo </w:t>
            </w:r>
          </w:p>
        </w:tc>
        <w:tc>
          <w:tcPr>
            <w:tcW w:w="1134" w:type="dxa"/>
            <w:shd w:val="clear" w:color="auto" w:fill="C6EFCE"/>
            <w:noWrap/>
          </w:tcPr>
          <w:p w14:paraId="2A07BAB2" w14:textId="77777777" w:rsidR="000E48CE" w:rsidRDefault="00FF4C4E">
            <w:pPr>
              <w:pStyle w:val="P68B1DB1-Normal13"/>
              <w:spacing w:after="0" w:line="240" w:lineRule="auto"/>
              <w:jc w:val="center"/>
              <w:rPr>
                <w:rFonts w:cs="Times New Roman"/>
                <w:noProof/>
              </w:rPr>
            </w:pPr>
            <w:r>
              <w:rPr>
                <w:noProof/>
              </w:rPr>
              <w:t>Voimaantuloa koskevan kuninkaan asetuksen säännös</w:t>
            </w:r>
          </w:p>
        </w:tc>
        <w:tc>
          <w:tcPr>
            <w:tcW w:w="850" w:type="dxa"/>
            <w:shd w:val="clear" w:color="auto" w:fill="C6EFCE"/>
            <w:noWrap/>
          </w:tcPr>
          <w:p w14:paraId="6ECDD213" w14:textId="77777777" w:rsidR="000E48CE" w:rsidRDefault="00FF4C4E">
            <w:pPr>
              <w:pStyle w:val="P68B1DB1-Normal13"/>
              <w:spacing w:after="0" w:line="240" w:lineRule="auto"/>
              <w:jc w:val="right"/>
              <w:rPr>
                <w:rFonts w:cs="Times New Roman"/>
                <w:noProof/>
              </w:rPr>
            </w:pPr>
            <w:r>
              <w:rPr>
                <w:noProof/>
              </w:rPr>
              <w:t> </w:t>
            </w:r>
          </w:p>
        </w:tc>
        <w:tc>
          <w:tcPr>
            <w:tcW w:w="709" w:type="dxa"/>
            <w:shd w:val="clear" w:color="auto" w:fill="C6EFCE"/>
            <w:noWrap/>
          </w:tcPr>
          <w:p w14:paraId="5B68B9CD" w14:textId="77777777" w:rsidR="000E48CE" w:rsidRDefault="00FF4C4E">
            <w:pPr>
              <w:pStyle w:val="P68B1DB1-Normal13"/>
              <w:spacing w:after="0" w:line="240" w:lineRule="auto"/>
              <w:jc w:val="right"/>
              <w:rPr>
                <w:rFonts w:cs="Times New Roman"/>
                <w:noProof/>
              </w:rPr>
            </w:pPr>
            <w:r>
              <w:rPr>
                <w:noProof/>
              </w:rPr>
              <w:t xml:space="preserve"> </w:t>
            </w:r>
          </w:p>
        </w:tc>
        <w:tc>
          <w:tcPr>
            <w:tcW w:w="851" w:type="dxa"/>
            <w:shd w:val="clear" w:color="auto" w:fill="C6EFCE"/>
            <w:noWrap/>
          </w:tcPr>
          <w:p w14:paraId="1B7172F4" w14:textId="77777777" w:rsidR="000E48CE" w:rsidRDefault="00FF4C4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35DAEC7D" w14:textId="77777777" w:rsidR="000E48CE" w:rsidRDefault="00FF4C4E">
            <w:pPr>
              <w:pStyle w:val="P68B1DB1-Normal13"/>
              <w:spacing w:after="0" w:line="240" w:lineRule="auto"/>
              <w:jc w:val="center"/>
              <w:rPr>
                <w:rFonts w:cs="Times New Roman"/>
                <w:noProof/>
              </w:rPr>
            </w:pPr>
            <w:r>
              <w:rPr>
                <w:noProof/>
              </w:rPr>
              <w:t xml:space="preserve">KOLMAS </w:t>
            </w:r>
            <w:r>
              <w:rPr>
                <w:noProof/>
              </w:rPr>
              <w:t>VUOSINELJÄNNES</w:t>
            </w:r>
          </w:p>
        </w:tc>
        <w:tc>
          <w:tcPr>
            <w:tcW w:w="567" w:type="dxa"/>
            <w:shd w:val="clear" w:color="auto" w:fill="C6EFCE"/>
            <w:noWrap/>
          </w:tcPr>
          <w:p w14:paraId="6EC9CF6B" w14:textId="77777777" w:rsidR="000E48CE" w:rsidRDefault="00FF4C4E">
            <w:pPr>
              <w:pStyle w:val="P68B1DB1-Normal13"/>
              <w:spacing w:after="0" w:line="240" w:lineRule="auto"/>
              <w:jc w:val="center"/>
              <w:rPr>
                <w:rFonts w:cs="Times New Roman"/>
                <w:noProof/>
              </w:rPr>
            </w:pPr>
            <w:r>
              <w:rPr>
                <w:noProof/>
              </w:rPr>
              <w:t>2021</w:t>
            </w:r>
          </w:p>
        </w:tc>
        <w:tc>
          <w:tcPr>
            <w:tcW w:w="6379" w:type="dxa"/>
            <w:shd w:val="clear" w:color="auto" w:fill="C6EFCE"/>
            <w:noWrap/>
          </w:tcPr>
          <w:p w14:paraId="03EF9BF8" w14:textId="77777777" w:rsidR="000E48CE" w:rsidRDefault="00FF4C4E">
            <w:pPr>
              <w:pStyle w:val="P68B1DB1-Normal13"/>
              <w:spacing w:after="0" w:line="240" w:lineRule="auto"/>
              <w:rPr>
                <w:rFonts w:cs="Times New Roman"/>
                <w:noProof/>
              </w:rPr>
            </w:pPr>
            <w:r>
              <w:rPr>
                <w:noProof/>
              </w:rPr>
              <w:t>Annetaan kuninkaallinen asetus, jossa määritellään sääntelykehys energiatehokkaita sosiaalisia vuokra-asuntoja koskevan ohjelman täytäntöönpanoa varten energiatehokkuutta koskevien kriteerien mukaisesti. Kuninkaan asetuksessa vahvisteta</w:t>
            </w:r>
            <w:r>
              <w:rPr>
                <w:noProof/>
              </w:rPr>
              <w:t xml:space="preserve">an tekniset vaatimukset sen varmistamiseksi, että rakennusten rakentamisessa saavutetaan tavoite primäärienergian kysynnästä, joka on vähintään 20 prosenttia alhaisempi kuin kansallisten suuntaviivojen mukainen lähes nollaenergiarakennusten vaatimus. Tätä </w:t>
            </w:r>
            <w:r>
              <w:rPr>
                <w:noProof/>
              </w:rPr>
              <w:t>varten vaatimuksena on, että uusiutumattoman primäärienergian kulutuksen arvo rajoitetaan 80 prosenttiin energiansäästöä koskevan teknisen säännöstön (CTE) kohdassa HE 0 asetetusta rajasta. Asumista käsittelevä alakohtainen konferenssi pidetään ja tiedotus</w:t>
            </w:r>
            <w:r>
              <w:rPr>
                <w:noProof/>
              </w:rPr>
              <w:t>vaihe ja muut oikeudelliset menettelyt saatetaan päätökseen ennen kuninkaallisen asetuksen viimeistelyä.</w:t>
            </w:r>
          </w:p>
        </w:tc>
      </w:tr>
      <w:tr w:rsidR="000E48CE" w14:paraId="08CF31DB" w14:textId="77777777">
        <w:trPr>
          <w:trHeight w:val="309"/>
        </w:trPr>
        <w:tc>
          <w:tcPr>
            <w:tcW w:w="709" w:type="dxa"/>
            <w:shd w:val="clear" w:color="auto" w:fill="C6EFCE"/>
            <w:noWrap/>
          </w:tcPr>
          <w:p w14:paraId="2C8B330C" w14:textId="77777777" w:rsidR="000E48CE" w:rsidRDefault="00FF4C4E">
            <w:pPr>
              <w:pStyle w:val="P68B1DB1-Normal13"/>
              <w:spacing w:after="0" w:line="240" w:lineRule="auto"/>
              <w:jc w:val="center"/>
              <w:rPr>
                <w:rFonts w:cs="Times New Roman"/>
                <w:noProof/>
              </w:rPr>
            </w:pPr>
            <w:r>
              <w:rPr>
                <w:noProof/>
              </w:rPr>
              <w:t>31</w:t>
            </w:r>
          </w:p>
        </w:tc>
        <w:tc>
          <w:tcPr>
            <w:tcW w:w="851" w:type="dxa"/>
            <w:shd w:val="clear" w:color="auto" w:fill="C6EFCE"/>
            <w:noWrap/>
          </w:tcPr>
          <w:p w14:paraId="60C24825" w14:textId="77777777" w:rsidR="000E48CE" w:rsidRDefault="00FF4C4E">
            <w:pPr>
              <w:pStyle w:val="P68B1DB1-Normal13"/>
              <w:spacing w:after="0" w:line="240" w:lineRule="auto"/>
              <w:jc w:val="center"/>
              <w:rPr>
                <w:rFonts w:eastAsia="MS Mincho" w:cs="Times New Roman"/>
                <w:noProof/>
              </w:rPr>
            </w:pPr>
            <w:r>
              <w:rPr>
                <w:noProof/>
              </w:rPr>
              <w:t>C2.I2</w:t>
            </w:r>
          </w:p>
        </w:tc>
        <w:tc>
          <w:tcPr>
            <w:tcW w:w="850" w:type="dxa"/>
            <w:shd w:val="clear" w:color="auto" w:fill="C6EFCE"/>
            <w:noWrap/>
          </w:tcPr>
          <w:p w14:paraId="4D7714BB" w14:textId="77777777" w:rsidR="000E48CE" w:rsidRDefault="00FF4C4E">
            <w:pPr>
              <w:pStyle w:val="P68B1DB1-Normal13"/>
              <w:spacing w:after="0" w:line="240" w:lineRule="auto"/>
              <w:jc w:val="center"/>
              <w:rPr>
                <w:rFonts w:cs="Times New Roman"/>
                <w:noProof/>
              </w:rPr>
            </w:pPr>
            <w:r>
              <w:rPr>
                <w:noProof/>
              </w:rPr>
              <w:t>T</w:t>
            </w:r>
          </w:p>
        </w:tc>
        <w:tc>
          <w:tcPr>
            <w:tcW w:w="1985" w:type="dxa"/>
            <w:shd w:val="clear" w:color="auto" w:fill="C6EFCE"/>
            <w:noWrap/>
          </w:tcPr>
          <w:p w14:paraId="66003F66" w14:textId="77777777" w:rsidR="000E48CE" w:rsidRDefault="00FF4C4E">
            <w:pPr>
              <w:pStyle w:val="P68B1DB1-Normal13"/>
              <w:spacing w:after="0" w:line="240" w:lineRule="auto"/>
              <w:rPr>
                <w:rFonts w:cs="Times New Roman"/>
                <w:noProof/>
              </w:rPr>
            </w:pPr>
            <w:r>
              <w:rPr>
                <w:noProof/>
              </w:rPr>
              <w:t>Uudet asuinrakennukset, jotka on rakennettu sosiaalista vuokrausta varten tai kohtuuhintaan energiatehokkaiden kriteerien mukaisesti</w:t>
            </w:r>
          </w:p>
        </w:tc>
        <w:tc>
          <w:tcPr>
            <w:tcW w:w="1134" w:type="dxa"/>
            <w:shd w:val="clear" w:color="auto" w:fill="C6EFCE"/>
            <w:noWrap/>
          </w:tcPr>
          <w:p w14:paraId="71CA3204"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125BCDC3" w14:textId="77777777" w:rsidR="000E48CE" w:rsidRDefault="00FF4C4E">
            <w:pPr>
              <w:pStyle w:val="P68B1DB1-Normal13"/>
              <w:spacing w:after="0" w:line="240" w:lineRule="auto"/>
              <w:jc w:val="right"/>
              <w:rPr>
                <w:rFonts w:eastAsia="MS Mincho" w:cs="Times New Roman"/>
                <w:noProof/>
              </w:rPr>
            </w:pPr>
            <w:r>
              <w:rPr>
                <w:noProof/>
              </w:rPr>
              <w:t>Määrä</w:t>
            </w:r>
          </w:p>
        </w:tc>
        <w:tc>
          <w:tcPr>
            <w:tcW w:w="709" w:type="dxa"/>
            <w:shd w:val="clear" w:color="auto" w:fill="C6EFCE"/>
            <w:noWrap/>
          </w:tcPr>
          <w:p w14:paraId="7BD0726E" w14:textId="77777777" w:rsidR="000E48CE" w:rsidRDefault="00FF4C4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1D57C1F4" w14:textId="77777777" w:rsidR="000E48CE" w:rsidRDefault="00FF4C4E">
            <w:pPr>
              <w:pStyle w:val="P68B1DB1-Normal13"/>
              <w:spacing w:after="0" w:line="240" w:lineRule="auto"/>
              <w:jc w:val="right"/>
              <w:rPr>
                <w:rFonts w:eastAsia="MS Mincho" w:cs="Times New Roman"/>
                <w:noProof/>
              </w:rPr>
            </w:pPr>
            <w:r>
              <w:rPr>
                <w:noProof/>
              </w:rPr>
              <w:t>20 000</w:t>
            </w:r>
          </w:p>
        </w:tc>
        <w:tc>
          <w:tcPr>
            <w:tcW w:w="425" w:type="dxa"/>
            <w:shd w:val="clear" w:color="auto" w:fill="C6EFCE"/>
            <w:noWrap/>
          </w:tcPr>
          <w:p w14:paraId="2CF36DD5"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75D37C4C" w14:textId="77777777" w:rsidR="000E48CE" w:rsidRDefault="00FF4C4E">
            <w:pPr>
              <w:pStyle w:val="P68B1DB1-Normal13"/>
              <w:spacing w:after="0" w:line="240" w:lineRule="auto"/>
              <w:jc w:val="center"/>
              <w:rPr>
                <w:rFonts w:cs="Times New Roman"/>
                <w:noProof/>
              </w:rPr>
            </w:pPr>
            <w:r>
              <w:rPr>
                <w:noProof/>
              </w:rPr>
              <w:t>2026</w:t>
            </w:r>
          </w:p>
        </w:tc>
        <w:tc>
          <w:tcPr>
            <w:tcW w:w="6379" w:type="dxa"/>
            <w:shd w:val="clear" w:color="auto" w:fill="C6EFCE"/>
            <w:noWrap/>
          </w:tcPr>
          <w:p w14:paraId="44442375" w14:textId="77777777" w:rsidR="000E48CE" w:rsidRDefault="00FF4C4E">
            <w:pPr>
              <w:pStyle w:val="P68B1DB1-Normal13"/>
              <w:spacing w:after="0" w:line="240" w:lineRule="auto"/>
              <w:rPr>
                <w:rFonts w:cs="Times New Roman"/>
                <w:noProof/>
              </w:rPr>
            </w:pPr>
            <w:r>
              <w:rPr>
                <w:noProof/>
              </w:rPr>
              <w:t xml:space="preserve">Vähintään 20000 asuntoa, jotka on rakennettu sosiaalista vuokrausta varten tai kohtuuhintaan energiatehokkuutta koskevien kriteerien mukaisesti. Tämä luku vastaa niiden asuntojen määrää, joiden rakentaminen on saatettava päätökseen, </w:t>
            </w:r>
            <w:r>
              <w:rPr>
                <w:noProof/>
              </w:rPr>
              <w:t>ja siinä on käsiteltävä kohtuuhintaista sosiaalista vuokrausta, joka osoitetaan toimivaltaisen viranomaisen todistuksella tai todistuksella asunnon valmistumisesta ja käytöstä. Lisäksi energiatehokkuustodistuksella varmistetaan sen vaatimuksen noudattamine</w:t>
            </w:r>
            <w:r>
              <w:rPr>
                <w:noProof/>
              </w:rPr>
              <w:t>n, jonka mukaan uusiutumattoman primäärienergian kulutuksen arvo on rajoitettava 80 prosenttiin rakennusten energiatehokkuutta koskevan perusasiakirjan (DB-HE) kohdassa HE 0 asetetusta rajasta.</w:t>
            </w:r>
          </w:p>
        </w:tc>
      </w:tr>
      <w:tr w:rsidR="000E48CE" w14:paraId="6C2D39E7" w14:textId="77777777">
        <w:trPr>
          <w:trHeight w:val="309"/>
        </w:trPr>
        <w:tc>
          <w:tcPr>
            <w:tcW w:w="709" w:type="dxa"/>
            <w:shd w:val="clear" w:color="auto" w:fill="C6EFCE"/>
            <w:noWrap/>
          </w:tcPr>
          <w:p w14:paraId="434292C4" w14:textId="77777777" w:rsidR="000E48CE" w:rsidRDefault="00FF4C4E">
            <w:pPr>
              <w:pStyle w:val="P68B1DB1-Normal13"/>
              <w:spacing w:after="0" w:line="240" w:lineRule="auto"/>
              <w:jc w:val="center"/>
              <w:rPr>
                <w:rFonts w:cs="Times New Roman"/>
                <w:noProof/>
              </w:rPr>
            </w:pPr>
            <w:r>
              <w:rPr>
                <w:noProof/>
              </w:rPr>
              <w:t>32</w:t>
            </w:r>
          </w:p>
        </w:tc>
        <w:tc>
          <w:tcPr>
            <w:tcW w:w="851" w:type="dxa"/>
            <w:shd w:val="clear" w:color="auto" w:fill="C6EFCE"/>
            <w:noWrap/>
          </w:tcPr>
          <w:p w14:paraId="16A7C4CA" w14:textId="77777777" w:rsidR="000E48CE" w:rsidRDefault="00FF4C4E">
            <w:pPr>
              <w:pStyle w:val="P68B1DB1-Normal13"/>
              <w:spacing w:after="0" w:line="240" w:lineRule="auto"/>
              <w:jc w:val="center"/>
              <w:rPr>
                <w:rFonts w:eastAsia="MS Mincho" w:cs="Times New Roman"/>
                <w:noProof/>
              </w:rPr>
            </w:pPr>
            <w:r>
              <w:rPr>
                <w:noProof/>
              </w:rPr>
              <w:t>C2.I3</w:t>
            </w:r>
          </w:p>
        </w:tc>
        <w:tc>
          <w:tcPr>
            <w:tcW w:w="850" w:type="dxa"/>
            <w:shd w:val="clear" w:color="auto" w:fill="C6EFCE"/>
            <w:noWrap/>
          </w:tcPr>
          <w:p w14:paraId="1C7B615D" w14:textId="77777777"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0852DD39" w14:textId="77777777" w:rsidR="000E48CE" w:rsidRDefault="00FF4C4E">
            <w:pPr>
              <w:pStyle w:val="P68B1DB1-Normal13"/>
              <w:spacing w:after="0" w:line="240" w:lineRule="auto"/>
              <w:rPr>
                <w:rFonts w:cs="Times New Roman"/>
                <w:noProof/>
              </w:rPr>
            </w:pPr>
            <w:r>
              <w:rPr>
                <w:noProof/>
              </w:rPr>
              <w:t xml:space="preserve">Asuntojen ja muiden kuin asuinrakennusten </w:t>
            </w:r>
            <w:r>
              <w:rPr>
                <w:noProof/>
              </w:rPr>
              <w:t>peruskorjausten myöntäminen siten, että primäärienergian kysyntä vähenee keskimäärin vähintään 30 prosenttia</w:t>
            </w:r>
          </w:p>
        </w:tc>
        <w:tc>
          <w:tcPr>
            <w:tcW w:w="1134" w:type="dxa"/>
            <w:shd w:val="clear" w:color="auto" w:fill="C6EFCE"/>
            <w:noWrap/>
          </w:tcPr>
          <w:p w14:paraId="1337BEF1" w14:textId="77777777" w:rsidR="000E48CE" w:rsidRDefault="00FF4C4E">
            <w:pPr>
              <w:pStyle w:val="P68B1DB1-Normal13"/>
              <w:spacing w:after="0" w:line="240" w:lineRule="auto"/>
              <w:jc w:val="center"/>
              <w:rPr>
                <w:rFonts w:cs="Times New Roman"/>
                <w:noProof/>
              </w:rPr>
            </w:pPr>
            <w:r>
              <w:rPr>
                <w:noProof/>
              </w:rPr>
              <w:t>Itsehallintoalueiden yhteenlasketut käyttöoikeuspäätökset</w:t>
            </w:r>
          </w:p>
        </w:tc>
        <w:tc>
          <w:tcPr>
            <w:tcW w:w="850" w:type="dxa"/>
            <w:shd w:val="clear" w:color="auto" w:fill="C6EFCE"/>
            <w:noWrap/>
          </w:tcPr>
          <w:p w14:paraId="6D71D07C" w14:textId="77777777" w:rsidR="000E48CE" w:rsidRDefault="00FF4C4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64AD8D14" w14:textId="77777777" w:rsidR="000E48CE" w:rsidRDefault="00FF4C4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4A586566"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7033E754"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0ED0F85E" w14:textId="77777777" w:rsidR="000E48CE" w:rsidRDefault="00FF4C4E">
            <w:pPr>
              <w:pStyle w:val="P68B1DB1-Normal13"/>
              <w:spacing w:after="0" w:line="240" w:lineRule="auto"/>
              <w:jc w:val="center"/>
              <w:rPr>
                <w:rFonts w:cs="Times New Roman"/>
                <w:noProof/>
              </w:rPr>
            </w:pPr>
            <w:r>
              <w:rPr>
                <w:noProof/>
              </w:rPr>
              <w:t>2023</w:t>
            </w:r>
          </w:p>
        </w:tc>
        <w:tc>
          <w:tcPr>
            <w:tcW w:w="6379" w:type="dxa"/>
            <w:shd w:val="clear" w:color="auto" w:fill="C6EFCE"/>
            <w:noWrap/>
          </w:tcPr>
          <w:p w14:paraId="14C5AE00" w14:textId="77777777" w:rsidR="000E48CE" w:rsidRDefault="00FF4C4E">
            <w:pPr>
              <w:pStyle w:val="P68B1DB1-Normal13"/>
              <w:spacing w:after="0" w:line="240" w:lineRule="auto"/>
              <w:rPr>
                <w:rFonts w:cs="Times New Roman"/>
                <w:noProof/>
              </w:rPr>
            </w:pPr>
            <w:r>
              <w:rPr>
                <w:noProof/>
              </w:rPr>
              <w:t>Vähintään 40000 asuinrakennusten peruskorjausta ja 690 000 m²</w:t>
            </w:r>
            <w:r>
              <w:rPr>
                <w:noProof/>
                <w:vertAlign w:val="superscript"/>
              </w:rPr>
              <w:t>muiden kuin</w:t>
            </w:r>
            <w:r>
              <w:rPr>
                <w:noProof/>
              </w:rPr>
              <w:t xml:space="preserve"> as</w:t>
            </w:r>
            <w:r>
              <w:rPr>
                <w:noProof/>
              </w:rPr>
              <w:t>uinrakennusten osalta tehtyjä sopimuksia, joiden avulla primäärienergian kysyntä vähenee keskimäärin vähintään 30 prosenttia. Vastaavuus määritellään suhteessa kunkin tukitoimityypin vastaaviin keskimääräisiin energiansäästöihin metriä</w:t>
            </w:r>
            <w:r>
              <w:rPr>
                <w:noProof/>
                <w:vertAlign w:val="superscript"/>
              </w:rPr>
              <w:t>2</w:t>
            </w:r>
            <w:r>
              <w:rPr>
                <w:noProof/>
              </w:rPr>
              <w:t xml:space="preserve"> kohti. Indikaattori</w:t>
            </w:r>
            <w:r>
              <w:rPr>
                <w:noProof/>
              </w:rPr>
              <w:t>a sovellettaessa asumisen käsitteen on oltava Eurostatin määritelmän mukainen (”asuminen on huone tai huoneiden kokonaisuus – mukaan lukien sen lisävarusteet, eturyhmät ja käytävät – pysyvässä rakennuksessa tai rakennuksen rakenteellisesti erillisessä osas</w:t>
            </w:r>
            <w:r>
              <w:rPr>
                <w:noProof/>
              </w:rPr>
              <w:t>sa, joka on rakennettu, rakennettu uudelleen tai muunnettu siten, että se on tarkoitettu yhden yksityisen kotitalouden asumista varten ympäri vuoden), ja siihen voi sisältyä tarvittaessa sosiaalinen tai julkinen asunto. Käytetyt energiatehokkuuden parannus</w:t>
            </w:r>
            <w:r>
              <w:rPr>
                <w:noProof/>
              </w:rPr>
              <w:t xml:space="preserve">indikaattorit on akkreditoitava rakennusten energiatehokkuudesta 19 päivänä toukokuuta 2010 annetun Euroopan parlamentin ja </w:t>
            </w:r>
            <w:r>
              <w:rPr>
                <w:noProof/>
              </w:rPr>
              <w:lastRenderedPageBreak/>
              <w:t>neuvoston direktiivin 2010/31/EU mukaisella asiaankuuluvalla energiatehokkuustodistuksella.</w:t>
            </w:r>
          </w:p>
        </w:tc>
      </w:tr>
      <w:tr w:rsidR="000E48CE" w14:paraId="1C3C2C83" w14:textId="77777777">
        <w:trPr>
          <w:trHeight w:val="309"/>
        </w:trPr>
        <w:tc>
          <w:tcPr>
            <w:tcW w:w="709" w:type="dxa"/>
            <w:shd w:val="clear" w:color="auto" w:fill="C6EFCE"/>
            <w:noWrap/>
          </w:tcPr>
          <w:p w14:paraId="7CE58F48" w14:textId="77777777" w:rsidR="000E48CE" w:rsidRDefault="00FF4C4E">
            <w:pPr>
              <w:pStyle w:val="P68B1DB1-Normal13"/>
              <w:spacing w:after="0" w:line="240" w:lineRule="auto"/>
              <w:jc w:val="center"/>
              <w:rPr>
                <w:rFonts w:cs="Times New Roman"/>
                <w:noProof/>
              </w:rPr>
            </w:pPr>
            <w:r>
              <w:rPr>
                <w:noProof/>
              </w:rPr>
              <w:lastRenderedPageBreak/>
              <w:t>33</w:t>
            </w:r>
          </w:p>
        </w:tc>
        <w:tc>
          <w:tcPr>
            <w:tcW w:w="851" w:type="dxa"/>
            <w:shd w:val="clear" w:color="auto" w:fill="C6EFCE"/>
            <w:noWrap/>
          </w:tcPr>
          <w:p w14:paraId="735917EE" w14:textId="77777777" w:rsidR="000E48CE" w:rsidRDefault="00FF4C4E">
            <w:pPr>
              <w:pStyle w:val="P68B1DB1-Normal13"/>
              <w:spacing w:after="0" w:line="240" w:lineRule="auto"/>
              <w:jc w:val="center"/>
              <w:rPr>
                <w:rFonts w:eastAsia="MS Mincho" w:cs="Times New Roman"/>
                <w:noProof/>
              </w:rPr>
            </w:pPr>
            <w:r>
              <w:rPr>
                <w:noProof/>
              </w:rPr>
              <w:t>C2.I3</w:t>
            </w:r>
          </w:p>
        </w:tc>
        <w:tc>
          <w:tcPr>
            <w:tcW w:w="850" w:type="dxa"/>
            <w:shd w:val="clear" w:color="auto" w:fill="C6EFCE"/>
            <w:noWrap/>
          </w:tcPr>
          <w:p w14:paraId="6929BCAA" w14:textId="77777777"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165C110F" w14:textId="77777777" w:rsidR="000E48CE" w:rsidRDefault="00FF4C4E">
            <w:pPr>
              <w:pStyle w:val="P68B1DB1-Normal13"/>
              <w:spacing w:after="0" w:line="240" w:lineRule="auto"/>
              <w:rPr>
                <w:rFonts w:cs="Times New Roman"/>
                <w:noProof/>
              </w:rPr>
            </w:pPr>
            <w:r>
              <w:rPr>
                <w:noProof/>
              </w:rPr>
              <w:t xml:space="preserve">Asuinrakennusten ja muiden kuin asuinrakennusten peruskorjausten loppuun saattaminen siten, että primäärienergian kysyntä vähenee keskimäärin vähintään 30 prosenttia </w:t>
            </w:r>
          </w:p>
        </w:tc>
        <w:tc>
          <w:tcPr>
            <w:tcW w:w="1134" w:type="dxa"/>
            <w:shd w:val="clear" w:color="auto" w:fill="C6EFCE"/>
            <w:noWrap/>
          </w:tcPr>
          <w:p w14:paraId="5550885B" w14:textId="77777777" w:rsidR="000E48CE" w:rsidRDefault="00FF4C4E">
            <w:pPr>
              <w:pStyle w:val="P68B1DB1-Normal13"/>
              <w:spacing w:after="0" w:line="240" w:lineRule="auto"/>
              <w:jc w:val="center"/>
              <w:rPr>
                <w:rFonts w:cs="Times New Roman"/>
                <w:noProof/>
              </w:rPr>
            </w:pPr>
            <w:r>
              <w:rPr>
                <w:noProof/>
              </w:rPr>
              <w:t>Valmistuneiden töiden yhdistetyt energiatehokkuustodistukset—</w:t>
            </w:r>
          </w:p>
        </w:tc>
        <w:tc>
          <w:tcPr>
            <w:tcW w:w="850" w:type="dxa"/>
            <w:shd w:val="clear" w:color="auto" w:fill="C6EFCE"/>
            <w:noWrap/>
          </w:tcPr>
          <w:p w14:paraId="1721E545" w14:textId="77777777" w:rsidR="000E48CE" w:rsidRDefault="00FF4C4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3DD1135A" w14:textId="77777777" w:rsidR="000E48CE" w:rsidRDefault="00FF4C4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0236E82D"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0B0E13F4"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55CFB499" w14:textId="77777777" w:rsidR="000E48CE" w:rsidRDefault="00FF4C4E">
            <w:pPr>
              <w:pStyle w:val="P68B1DB1-Normal13"/>
              <w:spacing w:after="0" w:line="240" w:lineRule="auto"/>
              <w:jc w:val="center"/>
              <w:rPr>
                <w:rFonts w:cs="Times New Roman"/>
                <w:noProof/>
              </w:rPr>
            </w:pPr>
            <w:r>
              <w:rPr>
                <w:noProof/>
              </w:rPr>
              <w:t>2026</w:t>
            </w:r>
          </w:p>
        </w:tc>
        <w:tc>
          <w:tcPr>
            <w:tcW w:w="6379" w:type="dxa"/>
            <w:shd w:val="clear" w:color="auto" w:fill="C6EFCE"/>
            <w:noWrap/>
          </w:tcPr>
          <w:p w14:paraId="492B2804" w14:textId="77777777" w:rsidR="000E48CE" w:rsidRDefault="00FF4C4E">
            <w:pPr>
              <w:pStyle w:val="P68B1DB1-Normal13"/>
              <w:spacing w:after="0" w:line="240" w:lineRule="auto"/>
              <w:rPr>
                <w:rFonts w:cs="Times New Roman"/>
                <w:noProof/>
              </w:rPr>
            </w:pPr>
            <w:r>
              <w:rPr>
                <w:noProof/>
              </w:rPr>
              <w:t xml:space="preserve">Vähintään </w:t>
            </w:r>
            <w:r>
              <w:rPr>
                <w:noProof/>
              </w:rPr>
              <w:t>40000 asuntoa ja 690 000 m 2 kunnostettuja</w:t>
            </w:r>
            <w:r>
              <w:rPr>
                <w:noProof/>
                <w:vertAlign w:val="superscript"/>
              </w:rPr>
              <w:t>muita kuin</w:t>
            </w:r>
            <w:r>
              <w:rPr>
                <w:noProof/>
              </w:rPr>
              <w:t xml:space="preserve"> asuinrakennuksia vastaavat peruskorjatut asuinrakennukset, joiden primäärienergian kysyntä vähenee keskimäärin vähintään 30 prosenttia. Vastaavuus määritellään suhteessa kunkin tukitoimityypin vastaaviin</w:t>
            </w:r>
            <w:r>
              <w:rPr>
                <w:noProof/>
              </w:rPr>
              <w:t xml:space="preserve"> keskimääräisiin energiansäästöihin metriä</w:t>
            </w:r>
            <w:r>
              <w:rPr>
                <w:noProof/>
                <w:vertAlign w:val="superscript"/>
              </w:rPr>
              <w:t>2</w:t>
            </w:r>
            <w:r>
              <w:rPr>
                <w:noProof/>
              </w:rPr>
              <w:t xml:space="preserve"> kohti. Indikaattoria sovellettaessa asumisen käsitteen on oltava Eurostatin määritelmän mukainen ”asuminen on huone tai huoneiden kokonaisuus – mukaan lukien sen lisävarusteet, lobbaukset ja käytävät – pysyvässä </w:t>
            </w:r>
            <w:r>
              <w:rPr>
                <w:noProof/>
              </w:rPr>
              <w:t>rakennuksessa tai rakennuksen rakenteellisesti erillisessä osassa, joka on rakennettu, rakennettu uudelleen tai muunnettu siten, että se on tarkoitettu yhden yksityisen kotitalouden asuntoon ympäri vuoden, ja siihen voi sisältyä tarvittaessa sosiaalinen ta</w:t>
            </w:r>
            <w:r>
              <w:rPr>
                <w:noProof/>
              </w:rPr>
              <w:t>i julkinen asunto. Käytetyt energiatehokkuuden parannusindikaattorit on akkreditoitava rakennusten energiatehokkuudesta 19 päivänä toukokuuta 2010 annetun Euroopan parlamentin ja neuvoston direktiivin 2010/31/EU mukaisella asiaankuuluvalla energiatehokkuus</w:t>
            </w:r>
            <w:r>
              <w:rPr>
                <w:noProof/>
              </w:rPr>
              <w:t>todistuksella. Saavutettujen energiansäästöjen noudattamisen perustelemiseksi valmistuneiden töiden energiatehokkuustodistukset on koottava yhteen, jotta voidaan vahvistaa saavutetut keskimääräiset energiansäästöt.</w:t>
            </w:r>
          </w:p>
        </w:tc>
      </w:tr>
      <w:tr w:rsidR="000E48CE" w14:paraId="286F2F1B" w14:textId="77777777">
        <w:trPr>
          <w:trHeight w:val="309"/>
        </w:trPr>
        <w:tc>
          <w:tcPr>
            <w:tcW w:w="709" w:type="dxa"/>
            <w:shd w:val="clear" w:color="auto" w:fill="C6EFCE"/>
            <w:noWrap/>
          </w:tcPr>
          <w:p w14:paraId="1EA9D8CF" w14:textId="0D46D351" w:rsidR="000E48CE" w:rsidRDefault="00FF4C4E">
            <w:pPr>
              <w:pStyle w:val="P68B1DB1-Normal13"/>
              <w:spacing w:after="0" w:line="240" w:lineRule="auto"/>
              <w:jc w:val="center"/>
              <w:rPr>
                <w:rFonts w:cs="Times New Roman"/>
                <w:noProof/>
              </w:rPr>
            </w:pPr>
            <w:r>
              <w:rPr>
                <w:noProof/>
              </w:rPr>
              <w:t>34</w:t>
            </w:r>
          </w:p>
        </w:tc>
        <w:tc>
          <w:tcPr>
            <w:tcW w:w="851" w:type="dxa"/>
            <w:shd w:val="clear" w:color="auto" w:fill="C6EFCE"/>
            <w:noWrap/>
          </w:tcPr>
          <w:p w14:paraId="4C8A2F19" w14:textId="77777777" w:rsidR="000E48CE" w:rsidRDefault="00FF4C4E">
            <w:pPr>
              <w:pStyle w:val="P68B1DB1-Normal13"/>
              <w:spacing w:after="0" w:line="240" w:lineRule="auto"/>
              <w:jc w:val="center"/>
              <w:rPr>
                <w:rFonts w:eastAsia="MS Mincho" w:cs="Times New Roman"/>
                <w:noProof/>
              </w:rPr>
            </w:pPr>
            <w:r>
              <w:rPr>
                <w:noProof/>
              </w:rPr>
              <w:t>C2.I4</w:t>
            </w:r>
          </w:p>
        </w:tc>
        <w:tc>
          <w:tcPr>
            <w:tcW w:w="850" w:type="dxa"/>
            <w:shd w:val="clear" w:color="auto" w:fill="C6EFCE"/>
            <w:noWrap/>
          </w:tcPr>
          <w:p w14:paraId="56E99CA2" w14:textId="5E1D777D"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281C42FE" w14:textId="32F7B6AC" w:rsidR="000E48CE" w:rsidRDefault="00FF4C4E">
            <w:pPr>
              <w:pStyle w:val="P68B1DB1-Normal13"/>
              <w:spacing w:after="0" w:line="240" w:lineRule="auto"/>
              <w:rPr>
                <w:rFonts w:cs="Times New Roman"/>
                <w:noProof/>
              </w:rPr>
            </w:pPr>
            <w:r>
              <w:rPr>
                <w:noProof/>
              </w:rPr>
              <w:t xml:space="preserve">Asuinrakennusten ja muiden kuin asuinrakennusten kunnostaminen kunnissa, joissa on alle 5000 asukasta, niin että primäärienergian kysyntä vähenee keskimäärin vähintään 30 prosenttia </w:t>
            </w:r>
          </w:p>
        </w:tc>
        <w:tc>
          <w:tcPr>
            <w:tcW w:w="1134" w:type="dxa"/>
            <w:shd w:val="clear" w:color="auto" w:fill="C6EFCE"/>
            <w:noWrap/>
          </w:tcPr>
          <w:p w14:paraId="7ADA28FF"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099A72F1" w14:textId="19393C73" w:rsidR="000E48CE" w:rsidRDefault="000E48CE">
            <w:pPr>
              <w:spacing w:after="0" w:line="240" w:lineRule="auto"/>
              <w:jc w:val="right"/>
              <w:rPr>
                <w:rFonts w:ascii="Times New Roman" w:eastAsia="MS Mincho" w:hAnsi="Times New Roman" w:cs="Times New Roman"/>
                <w:noProof/>
                <w:sz w:val="18"/>
              </w:rPr>
            </w:pPr>
          </w:p>
        </w:tc>
        <w:tc>
          <w:tcPr>
            <w:tcW w:w="709" w:type="dxa"/>
            <w:shd w:val="clear" w:color="auto" w:fill="C6EFCE"/>
            <w:noWrap/>
          </w:tcPr>
          <w:p w14:paraId="47F30171" w14:textId="43D0BE53" w:rsidR="000E48CE" w:rsidRDefault="000E48CE">
            <w:pPr>
              <w:spacing w:after="0" w:line="240" w:lineRule="auto"/>
              <w:jc w:val="right"/>
              <w:rPr>
                <w:rFonts w:ascii="Times New Roman" w:eastAsia="MS Mincho" w:hAnsi="Times New Roman" w:cs="Times New Roman"/>
                <w:noProof/>
                <w:sz w:val="18"/>
              </w:rPr>
            </w:pPr>
          </w:p>
        </w:tc>
        <w:tc>
          <w:tcPr>
            <w:tcW w:w="851" w:type="dxa"/>
            <w:shd w:val="clear" w:color="auto" w:fill="C6EFCE"/>
            <w:noWrap/>
          </w:tcPr>
          <w:p w14:paraId="3C6BE649" w14:textId="4EABC358" w:rsidR="000E48CE" w:rsidRDefault="000E48CE">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266B4723"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16EAFDA7" w14:textId="77777777" w:rsidR="000E48CE" w:rsidRDefault="00FF4C4E">
            <w:pPr>
              <w:pStyle w:val="P68B1DB1-Normal13"/>
              <w:spacing w:after="0" w:line="240" w:lineRule="auto"/>
              <w:jc w:val="center"/>
              <w:rPr>
                <w:rFonts w:cs="Times New Roman"/>
                <w:noProof/>
              </w:rPr>
            </w:pPr>
            <w:r>
              <w:rPr>
                <w:noProof/>
              </w:rPr>
              <w:t>2026</w:t>
            </w:r>
          </w:p>
        </w:tc>
        <w:tc>
          <w:tcPr>
            <w:tcW w:w="6379" w:type="dxa"/>
            <w:shd w:val="clear" w:color="auto" w:fill="C6EFCE"/>
            <w:noWrap/>
          </w:tcPr>
          <w:p w14:paraId="616015E6" w14:textId="62DB4A95" w:rsidR="000E48CE" w:rsidRDefault="00FF4C4E">
            <w:pPr>
              <w:pStyle w:val="P68B1DB1-Normal13"/>
              <w:spacing w:after="0" w:line="240" w:lineRule="auto"/>
              <w:rPr>
                <w:rFonts w:cs="Times New Roman"/>
                <w:noProof/>
              </w:rPr>
            </w:pPr>
            <w:r>
              <w:rPr>
                <w:noProof/>
              </w:rPr>
              <w:t>Vähintään 4300 asuinrakennusta ja 230000 neliömetriä muita k</w:t>
            </w:r>
            <w:r>
              <w:rPr>
                <w:noProof/>
              </w:rPr>
              <w:t>uin asuinrakennuksia (julkiset, yksityiset tai sosiaaliset rakennukset mukaan luettuina), jotka on kunnostettu alle 5000 asukkaan kunnissa ja kaupunkialueilla siten, että primäärienergian kysyntä vähenee keskimäärin vähintään 30 prosenttia. Vastaavuus määr</w:t>
            </w:r>
            <w:r>
              <w:rPr>
                <w:noProof/>
              </w:rPr>
              <w:t>itellään suhteessa kunkin tukitoimityypin vastaaviin keskimääräisiin energiansäästöihin neliömetriä kohti. Saavutettujen energiansäästöjen noudattamisen perustelemiseksi valmistuneiden töiden energiatehokkuustodistukset on koottava yhteen, jotta voidaan va</w:t>
            </w:r>
            <w:r>
              <w:rPr>
                <w:noProof/>
              </w:rPr>
              <w:t>hvistaa saavutetut keskimääräiset energiansäästöt.</w:t>
            </w:r>
          </w:p>
        </w:tc>
      </w:tr>
      <w:tr w:rsidR="000E48CE" w14:paraId="12EA9356" w14:textId="77777777">
        <w:trPr>
          <w:trHeight w:val="309"/>
        </w:trPr>
        <w:tc>
          <w:tcPr>
            <w:tcW w:w="709" w:type="dxa"/>
            <w:shd w:val="clear" w:color="auto" w:fill="C6EFCE"/>
            <w:noWrap/>
          </w:tcPr>
          <w:p w14:paraId="3D5C510C" w14:textId="49A052F5" w:rsidR="000E48CE" w:rsidRDefault="00FF4C4E">
            <w:pPr>
              <w:pStyle w:val="P68B1DB1-Normal13"/>
              <w:spacing w:after="0" w:line="240" w:lineRule="auto"/>
              <w:jc w:val="center"/>
              <w:rPr>
                <w:rFonts w:cs="Times New Roman"/>
                <w:noProof/>
              </w:rPr>
            </w:pPr>
            <w:r>
              <w:rPr>
                <w:noProof/>
              </w:rPr>
              <w:t>35</w:t>
            </w:r>
          </w:p>
        </w:tc>
        <w:tc>
          <w:tcPr>
            <w:tcW w:w="851" w:type="dxa"/>
            <w:shd w:val="clear" w:color="auto" w:fill="C6EFCE"/>
            <w:noWrap/>
          </w:tcPr>
          <w:p w14:paraId="6825C8B5" w14:textId="77777777" w:rsidR="000E48CE" w:rsidRDefault="00FF4C4E">
            <w:pPr>
              <w:pStyle w:val="P68B1DB1-Normal13"/>
              <w:spacing w:after="0" w:line="240" w:lineRule="auto"/>
              <w:jc w:val="center"/>
              <w:rPr>
                <w:rFonts w:eastAsia="MS Mincho" w:cs="Times New Roman"/>
                <w:noProof/>
              </w:rPr>
            </w:pPr>
            <w:r>
              <w:rPr>
                <w:noProof/>
              </w:rPr>
              <w:t>C2.I4</w:t>
            </w:r>
          </w:p>
        </w:tc>
        <w:tc>
          <w:tcPr>
            <w:tcW w:w="850" w:type="dxa"/>
            <w:shd w:val="clear" w:color="auto" w:fill="C6EFCE"/>
            <w:noWrap/>
          </w:tcPr>
          <w:p w14:paraId="4A4CD420" w14:textId="77777777" w:rsidR="000E48CE" w:rsidRDefault="00FF4C4E">
            <w:pPr>
              <w:pStyle w:val="P68B1DB1-Normal13"/>
              <w:spacing w:after="0" w:line="240" w:lineRule="auto"/>
              <w:jc w:val="center"/>
              <w:rPr>
                <w:rFonts w:cs="Times New Roman"/>
                <w:noProof/>
              </w:rPr>
            </w:pPr>
            <w:r>
              <w:rPr>
                <w:noProof/>
              </w:rPr>
              <w:t>T</w:t>
            </w:r>
          </w:p>
        </w:tc>
        <w:tc>
          <w:tcPr>
            <w:tcW w:w="1985" w:type="dxa"/>
            <w:shd w:val="clear" w:color="auto" w:fill="C6EFCE"/>
            <w:noWrap/>
          </w:tcPr>
          <w:p w14:paraId="50BECBC1" w14:textId="77777777" w:rsidR="000E48CE" w:rsidRDefault="00FF4C4E">
            <w:pPr>
              <w:pStyle w:val="P68B1DB1-Normal13"/>
              <w:spacing w:after="0" w:line="240" w:lineRule="auto"/>
              <w:rPr>
                <w:rFonts w:cs="Times New Roman"/>
                <w:noProof/>
              </w:rPr>
            </w:pPr>
            <w:r>
              <w:rPr>
                <w:noProof/>
              </w:rPr>
              <w:t xml:space="preserve">Puhtaan energian hankkeet alle 5000 asukkaan kunnissa </w:t>
            </w:r>
          </w:p>
        </w:tc>
        <w:tc>
          <w:tcPr>
            <w:tcW w:w="1134" w:type="dxa"/>
            <w:shd w:val="clear" w:color="auto" w:fill="C6EFCE"/>
            <w:noWrap/>
          </w:tcPr>
          <w:p w14:paraId="12673AC1"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460C58E8" w14:textId="77777777" w:rsidR="000E48CE" w:rsidRDefault="00FF4C4E">
            <w:pPr>
              <w:pStyle w:val="P68B1DB1-Normal13"/>
              <w:spacing w:after="0" w:line="240" w:lineRule="auto"/>
              <w:jc w:val="right"/>
              <w:rPr>
                <w:rFonts w:eastAsia="MS Mincho" w:cs="Times New Roman"/>
                <w:noProof/>
              </w:rPr>
            </w:pPr>
            <w:r>
              <w:rPr>
                <w:noProof/>
              </w:rPr>
              <w:t>Määrä</w:t>
            </w:r>
          </w:p>
        </w:tc>
        <w:tc>
          <w:tcPr>
            <w:tcW w:w="709" w:type="dxa"/>
            <w:shd w:val="clear" w:color="auto" w:fill="C6EFCE"/>
            <w:noWrap/>
          </w:tcPr>
          <w:p w14:paraId="132FFD68" w14:textId="77777777" w:rsidR="000E48CE" w:rsidRDefault="00FF4C4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78F5FD09" w14:textId="7067A379" w:rsidR="000E48CE" w:rsidRDefault="00FF4C4E">
            <w:pPr>
              <w:pStyle w:val="P68B1DB1-Normal13"/>
              <w:spacing w:after="0" w:line="240" w:lineRule="auto"/>
              <w:jc w:val="right"/>
              <w:rPr>
                <w:rFonts w:eastAsia="MS Mincho" w:cs="Times New Roman"/>
                <w:noProof/>
              </w:rPr>
            </w:pPr>
            <w:r>
              <w:rPr>
                <w:noProof/>
              </w:rPr>
              <w:t>500</w:t>
            </w:r>
          </w:p>
        </w:tc>
        <w:tc>
          <w:tcPr>
            <w:tcW w:w="425" w:type="dxa"/>
            <w:shd w:val="clear" w:color="auto" w:fill="C6EFCE"/>
            <w:noWrap/>
          </w:tcPr>
          <w:p w14:paraId="4472FA99"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19A3A52D" w14:textId="77777777" w:rsidR="000E48CE" w:rsidRDefault="00FF4C4E">
            <w:pPr>
              <w:pStyle w:val="P68B1DB1-Normal13"/>
              <w:spacing w:after="0" w:line="240" w:lineRule="auto"/>
              <w:jc w:val="center"/>
              <w:rPr>
                <w:rFonts w:cs="Times New Roman"/>
                <w:noProof/>
              </w:rPr>
            </w:pPr>
            <w:r>
              <w:rPr>
                <w:noProof/>
              </w:rPr>
              <w:t>2026</w:t>
            </w:r>
          </w:p>
        </w:tc>
        <w:tc>
          <w:tcPr>
            <w:tcW w:w="6379" w:type="dxa"/>
            <w:shd w:val="clear" w:color="auto" w:fill="C6EFCE"/>
            <w:noWrap/>
          </w:tcPr>
          <w:p w14:paraId="2E73E388" w14:textId="52F74CDF" w:rsidR="000E48CE" w:rsidRDefault="00FF4C4E">
            <w:pPr>
              <w:pStyle w:val="P68B1DB1-Normal8"/>
              <w:spacing w:after="0" w:line="240" w:lineRule="auto"/>
              <w:rPr>
                <w:rFonts w:cs="Times New Roman"/>
                <w:noProof/>
                <w:sz w:val="18"/>
              </w:rPr>
            </w:pPr>
            <w:r>
              <w:rPr>
                <w:noProof/>
                <w:sz w:val="18"/>
              </w:rPr>
              <w:t xml:space="preserve">Vähintään 500 ainutlaatuista puhtaan energian hanketta on saatu päätökseen paikallistasolla alle 5000 asukkaan </w:t>
            </w:r>
            <w:r>
              <w:rPr>
                <w:noProof/>
                <w:sz w:val="18"/>
              </w:rPr>
              <w:t>kunnissa. Ominaisuudet: Hankkeet, mukaan lukien hankkeet, jotka on myönnetty tarjouskilpailuissa, tai paikallisviranomaisten investoinnit, jotka on valittu tai jotka on yhdistetty seuraaviin:</w:t>
            </w:r>
            <w:r>
              <w:rPr>
                <w:noProof/>
              </w:rPr>
              <w:br/>
            </w:r>
            <w:r>
              <w:rPr>
                <w:noProof/>
                <w:sz w:val="18"/>
              </w:rPr>
              <w:t>— Uusiutuviin energialähteisiin perustuvan sähkön tai lämmitykse</w:t>
            </w:r>
            <w:r>
              <w:rPr>
                <w:noProof/>
                <w:sz w:val="18"/>
              </w:rPr>
              <w:t>n ja jäähdytyksen asentaminen julkisiin rakennuksiin tai infrastruktuuriin (mukaan lukien vähintään 80 prosenttia omasta kulutuksesta). Voi sisältää kaukolämmön/-jäähdytyksen.</w:t>
            </w:r>
            <w:r>
              <w:rPr>
                <w:noProof/>
              </w:rPr>
              <w:br/>
            </w:r>
            <w:r>
              <w:rPr>
                <w:noProof/>
                <w:sz w:val="18"/>
              </w:rPr>
              <w:t>Julkisten rakennusten tai infrastruktuurin energian uusiminen (vähimmäisenergian</w:t>
            </w:r>
            <w:r>
              <w:rPr>
                <w:noProof/>
                <w:sz w:val="18"/>
              </w:rPr>
              <w:t xml:space="preserve"> säästöt vähintään 30 %)</w:t>
            </w:r>
            <w:r>
              <w:rPr>
                <w:noProof/>
              </w:rPr>
              <w:br/>
              <w:t xml:space="preserve"> </w:t>
            </w:r>
            <w:r>
              <w:rPr>
                <w:noProof/>
                <w:sz w:val="18"/>
              </w:rPr>
              <w:t>Kestävä liikkuvuus (liikennemuotosiirtymää tai sähköistä liikkuvuutta koskevat hankkeet)</w:t>
            </w:r>
            <w:r>
              <w:rPr>
                <w:noProof/>
              </w:rPr>
              <w:br/>
            </w:r>
            <w:r>
              <w:rPr>
                <w:noProof/>
              </w:rPr>
              <w:lastRenderedPageBreak/>
              <w:t xml:space="preserve"> </w:t>
            </w:r>
            <w:r>
              <w:rPr>
                <w:noProof/>
                <w:sz w:val="18"/>
              </w:rPr>
              <w:t>Valosaasteen vähentäminen parantamalla julkista valaistusta</w:t>
            </w:r>
            <w:r>
              <w:rPr>
                <w:noProof/>
              </w:rPr>
              <w:br/>
              <w:t xml:space="preserve"> </w:t>
            </w:r>
            <w:r>
              <w:rPr>
                <w:noProof/>
                <w:sz w:val="18"/>
              </w:rPr>
              <w:t>— Paikallinen energiayhteisö tai muut yhteisöjohtoiset hankkeet näissä kunnissa</w:t>
            </w:r>
            <w:r>
              <w:rPr>
                <w:noProof/>
                <w:sz w:val="18"/>
              </w:rPr>
              <w:t>.</w:t>
            </w:r>
          </w:p>
        </w:tc>
      </w:tr>
      <w:tr w:rsidR="000E48CE" w14:paraId="3A2C5FAB" w14:textId="77777777">
        <w:trPr>
          <w:trHeight w:val="309"/>
        </w:trPr>
        <w:tc>
          <w:tcPr>
            <w:tcW w:w="709" w:type="dxa"/>
            <w:shd w:val="clear" w:color="auto" w:fill="C6EFCE"/>
            <w:noWrap/>
          </w:tcPr>
          <w:p w14:paraId="5AFB958C" w14:textId="77777777" w:rsidR="000E48CE" w:rsidRDefault="00FF4C4E">
            <w:pPr>
              <w:pStyle w:val="P68B1DB1-Normal13"/>
              <w:spacing w:after="0" w:line="240" w:lineRule="auto"/>
              <w:jc w:val="center"/>
              <w:rPr>
                <w:rFonts w:cs="Times New Roman"/>
                <w:noProof/>
              </w:rPr>
            </w:pPr>
            <w:r>
              <w:rPr>
                <w:noProof/>
              </w:rPr>
              <w:lastRenderedPageBreak/>
              <w:t>36</w:t>
            </w:r>
          </w:p>
        </w:tc>
        <w:tc>
          <w:tcPr>
            <w:tcW w:w="851" w:type="dxa"/>
            <w:shd w:val="clear" w:color="auto" w:fill="C6EFCE"/>
            <w:noWrap/>
          </w:tcPr>
          <w:p w14:paraId="1231534C" w14:textId="77777777" w:rsidR="000E48CE" w:rsidRDefault="00FF4C4E">
            <w:pPr>
              <w:pStyle w:val="P68B1DB1-Normal13"/>
              <w:spacing w:after="0" w:line="240" w:lineRule="auto"/>
              <w:jc w:val="center"/>
              <w:rPr>
                <w:rFonts w:eastAsia="MS Mincho" w:cs="Times New Roman"/>
                <w:noProof/>
              </w:rPr>
            </w:pPr>
            <w:r>
              <w:rPr>
                <w:noProof/>
              </w:rPr>
              <w:t>C2.I5</w:t>
            </w:r>
          </w:p>
        </w:tc>
        <w:tc>
          <w:tcPr>
            <w:tcW w:w="850" w:type="dxa"/>
            <w:shd w:val="clear" w:color="auto" w:fill="C6EFCE"/>
            <w:noWrap/>
          </w:tcPr>
          <w:p w14:paraId="037FADB2" w14:textId="77777777" w:rsidR="000E48CE" w:rsidRDefault="00FF4C4E">
            <w:pPr>
              <w:pStyle w:val="P68B1DB1-Normal13"/>
              <w:spacing w:after="0" w:line="240" w:lineRule="auto"/>
              <w:jc w:val="center"/>
              <w:rPr>
                <w:rFonts w:cs="Times New Roman"/>
                <w:noProof/>
              </w:rPr>
            </w:pPr>
            <w:r>
              <w:rPr>
                <w:noProof/>
              </w:rPr>
              <w:t>T</w:t>
            </w:r>
          </w:p>
        </w:tc>
        <w:tc>
          <w:tcPr>
            <w:tcW w:w="1985" w:type="dxa"/>
            <w:shd w:val="clear" w:color="auto" w:fill="C6EFCE"/>
            <w:noWrap/>
          </w:tcPr>
          <w:p w14:paraId="5D69E038" w14:textId="77777777" w:rsidR="000E48CE" w:rsidRDefault="00FF4C4E">
            <w:pPr>
              <w:pStyle w:val="P68B1DB1-Normal13"/>
              <w:spacing w:after="0" w:line="240" w:lineRule="auto"/>
              <w:rPr>
                <w:rFonts w:cs="Times New Roman"/>
                <w:noProof/>
              </w:rPr>
            </w:pPr>
            <w:r>
              <w:rPr>
                <w:noProof/>
              </w:rPr>
              <w:t>Julkisten rakennusten peruskorjausten loppuun saattaminen siten, että primäärienergian kysyntä vähenee keskimäärin vähintään 30 prosenttia (vähintään 290 000 m 2</w:t>
            </w:r>
            <w:r>
              <w:rPr>
                <w:noProof/>
                <w:vertAlign w:val="superscript"/>
              </w:rPr>
              <w:t>)</w:t>
            </w:r>
          </w:p>
        </w:tc>
        <w:tc>
          <w:tcPr>
            <w:tcW w:w="1134" w:type="dxa"/>
            <w:shd w:val="clear" w:color="auto" w:fill="C6EFCE"/>
            <w:noWrap/>
          </w:tcPr>
          <w:p w14:paraId="2C6BD880"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75E17FED" w14:textId="77777777" w:rsidR="000E48CE" w:rsidRDefault="00FF4C4E">
            <w:pPr>
              <w:pStyle w:val="P68B1DB1-Normal13"/>
              <w:spacing w:after="0" w:line="240" w:lineRule="auto"/>
              <w:jc w:val="right"/>
              <w:rPr>
                <w:rFonts w:eastAsia="MS Mincho" w:cs="Times New Roman"/>
                <w:noProof/>
              </w:rPr>
            </w:pPr>
            <w:r>
              <w:rPr>
                <w:noProof/>
              </w:rPr>
              <w:t>Lukumäärä (m</w:t>
            </w:r>
            <w:r>
              <w:rPr>
                <w:noProof/>
                <w:vertAlign w:val="superscript"/>
              </w:rPr>
              <w:t>2</w:t>
            </w:r>
            <w:r>
              <w:rPr>
                <w:noProof/>
              </w:rPr>
              <w:t>)</w:t>
            </w:r>
          </w:p>
        </w:tc>
        <w:tc>
          <w:tcPr>
            <w:tcW w:w="709" w:type="dxa"/>
            <w:shd w:val="clear" w:color="auto" w:fill="C6EFCE"/>
            <w:noWrap/>
          </w:tcPr>
          <w:p w14:paraId="6F6BB521" w14:textId="77777777" w:rsidR="000E48CE" w:rsidRDefault="00FF4C4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1EEB8F88" w14:textId="77777777" w:rsidR="000E48CE" w:rsidRDefault="00FF4C4E">
            <w:pPr>
              <w:pStyle w:val="P68B1DB1-Normal13"/>
              <w:spacing w:after="0" w:line="240" w:lineRule="auto"/>
              <w:jc w:val="right"/>
              <w:rPr>
                <w:rFonts w:eastAsia="MS Mincho" w:cs="Times New Roman"/>
                <w:noProof/>
              </w:rPr>
            </w:pPr>
            <w:r>
              <w:rPr>
                <w:noProof/>
              </w:rPr>
              <w:t>290 000</w:t>
            </w:r>
          </w:p>
        </w:tc>
        <w:tc>
          <w:tcPr>
            <w:tcW w:w="425" w:type="dxa"/>
            <w:shd w:val="clear" w:color="auto" w:fill="C6EFCE"/>
            <w:noWrap/>
          </w:tcPr>
          <w:p w14:paraId="104A8A9A"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7EEB8710" w14:textId="77777777" w:rsidR="000E48CE" w:rsidRDefault="00FF4C4E">
            <w:pPr>
              <w:pStyle w:val="P68B1DB1-Normal13"/>
              <w:spacing w:after="0" w:line="240" w:lineRule="auto"/>
              <w:jc w:val="center"/>
              <w:rPr>
                <w:rFonts w:cs="Times New Roman"/>
                <w:noProof/>
              </w:rPr>
            </w:pPr>
            <w:r>
              <w:rPr>
                <w:noProof/>
              </w:rPr>
              <w:t>2024</w:t>
            </w:r>
          </w:p>
        </w:tc>
        <w:tc>
          <w:tcPr>
            <w:tcW w:w="6379" w:type="dxa"/>
            <w:shd w:val="clear" w:color="auto" w:fill="C6EFCE"/>
            <w:noWrap/>
          </w:tcPr>
          <w:p w14:paraId="74BABF0F" w14:textId="77777777" w:rsidR="000E48CE" w:rsidRDefault="00FF4C4E">
            <w:pPr>
              <w:pStyle w:val="P68B1DB1-Normal13"/>
              <w:spacing w:after="0" w:line="240" w:lineRule="auto"/>
              <w:rPr>
                <w:rFonts w:cs="Times New Roman"/>
                <w:noProof/>
              </w:rPr>
            </w:pPr>
            <w:r>
              <w:rPr>
                <w:noProof/>
              </w:rPr>
              <w:t>Vähintään 290 000 m²</w:t>
            </w:r>
            <w:r>
              <w:rPr>
                <w:noProof/>
                <w:vertAlign w:val="superscript"/>
              </w:rPr>
              <w:t>(</w:t>
            </w:r>
            <w:r>
              <w:rPr>
                <w:noProof/>
              </w:rPr>
              <w:t xml:space="preserve"> kumulatiiviset) kunnostetut julkiset rakennukset saavuttavat keskimäärin vähintään 30 prosentin vähennyksen primäärienergian kysynnässä. Tukilain (38/2003) 30 §:n mukaisesti töiden päättymistä koskevien todistusten tai töiden vastaanottamista koskevien to</w:t>
            </w:r>
            <w:r>
              <w:rPr>
                <w:noProof/>
              </w:rPr>
              <w:t>distusten (itsehallintoalueet) tai jokaisen sitä saavan kunnan tositteet tarkastetaan hankkeen päätyttyä (eell). Saavutettujen energiansäästöjen noudattamisen perustelemiseksi valmistuneiden töiden energiasertifiointi on suoritettava ja koottava yhteen, jo</w:t>
            </w:r>
            <w:r>
              <w:rPr>
                <w:noProof/>
              </w:rPr>
              <w:t xml:space="preserve">tta voidaan vahvistaa saavutetut keskimääräiset energiansäästöt.  </w:t>
            </w:r>
          </w:p>
        </w:tc>
      </w:tr>
      <w:tr w:rsidR="000E48CE" w14:paraId="1E15E109" w14:textId="77777777">
        <w:trPr>
          <w:trHeight w:val="309"/>
        </w:trPr>
        <w:tc>
          <w:tcPr>
            <w:tcW w:w="709" w:type="dxa"/>
            <w:shd w:val="clear" w:color="auto" w:fill="C6EFCE"/>
            <w:noWrap/>
          </w:tcPr>
          <w:p w14:paraId="0903FD93" w14:textId="77777777" w:rsidR="000E48CE" w:rsidRDefault="00FF4C4E">
            <w:pPr>
              <w:pStyle w:val="P68B1DB1-Normal13"/>
              <w:spacing w:after="0" w:line="240" w:lineRule="auto"/>
              <w:jc w:val="center"/>
              <w:rPr>
                <w:rFonts w:cs="Times New Roman"/>
                <w:noProof/>
              </w:rPr>
            </w:pPr>
            <w:r>
              <w:rPr>
                <w:noProof/>
              </w:rPr>
              <w:t>37</w:t>
            </w:r>
          </w:p>
        </w:tc>
        <w:tc>
          <w:tcPr>
            <w:tcW w:w="851" w:type="dxa"/>
            <w:shd w:val="clear" w:color="auto" w:fill="C6EFCE"/>
            <w:noWrap/>
          </w:tcPr>
          <w:p w14:paraId="5377F766" w14:textId="77777777" w:rsidR="000E48CE" w:rsidRDefault="00FF4C4E">
            <w:pPr>
              <w:pStyle w:val="P68B1DB1-Normal13"/>
              <w:spacing w:after="0" w:line="240" w:lineRule="auto"/>
              <w:jc w:val="center"/>
              <w:rPr>
                <w:rFonts w:eastAsia="MS Mincho" w:cs="Times New Roman"/>
                <w:noProof/>
              </w:rPr>
            </w:pPr>
            <w:r>
              <w:rPr>
                <w:noProof/>
              </w:rPr>
              <w:t>C2.I5</w:t>
            </w:r>
          </w:p>
        </w:tc>
        <w:tc>
          <w:tcPr>
            <w:tcW w:w="850" w:type="dxa"/>
            <w:shd w:val="clear" w:color="auto" w:fill="C6EFCE"/>
            <w:noWrap/>
          </w:tcPr>
          <w:p w14:paraId="36F6B0F4" w14:textId="77777777" w:rsidR="000E48CE" w:rsidRDefault="00FF4C4E">
            <w:pPr>
              <w:pStyle w:val="P68B1DB1-Normal13"/>
              <w:spacing w:after="0" w:line="240" w:lineRule="auto"/>
              <w:jc w:val="center"/>
              <w:rPr>
                <w:rFonts w:cs="Times New Roman"/>
                <w:noProof/>
              </w:rPr>
            </w:pPr>
            <w:r>
              <w:rPr>
                <w:noProof/>
              </w:rPr>
              <w:t>T</w:t>
            </w:r>
          </w:p>
        </w:tc>
        <w:tc>
          <w:tcPr>
            <w:tcW w:w="1985" w:type="dxa"/>
            <w:shd w:val="clear" w:color="auto" w:fill="C6EFCE"/>
            <w:noWrap/>
          </w:tcPr>
          <w:p w14:paraId="61D8F5E6" w14:textId="77777777" w:rsidR="000E48CE" w:rsidRDefault="00FF4C4E">
            <w:pPr>
              <w:pStyle w:val="P68B1DB1-Normal13"/>
              <w:spacing w:after="0" w:line="240" w:lineRule="auto"/>
              <w:rPr>
                <w:rFonts w:cs="Times New Roman"/>
                <w:noProof/>
              </w:rPr>
            </w:pPr>
            <w:r>
              <w:rPr>
                <w:noProof/>
              </w:rPr>
              <w:t xml:space="preserve">Julkisten rakennusten peruskorjausten loppuun saattaminen siten, että primäärienergian kysyntä vähenee keskimäärin vähintään 30 prosenttia (vähintään 1 230 000 m 2) </w:t>
            </w:r>
          </w:p>
        </w:tc>
        <w:tc>
          <w:tcPr>
            <w:tcW w:w="1134" w:type="dxa"/>
            <w:shd w:val="clear" w:color="auto" w:fill="C6EFCE"/>
            <w:noWrap/>
          </w:tcPr>
          <w:p w14:paraId="5561E1DE"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6ECAC681" w14:textId="77777777" w:rsidR="000E48CE" w:rsidRDefault="00FF4C4E">
            <w:pPr>
              <w:pStyle w:val="P68B1DB1-Normal13"/>
              <w:spacing w:after="0" w:line="240" w:lineRule="auto"/>
              <w:jc w:val="right"/>
              <w:rPr>
                <w:rFonts w:eastAsia="MS Mincho" w:cs="Times New Roman"/>
                <w:noProof/>
              </w:rPr>
            </w:pPr>
            <w:r>
              <w:rPr>
                <w:noProof/>
              </w:rPr>
              <w:t>Lukumäärä</w:t>
            </w:r>
            <w:r>
              <w:rPr>
                <w:noProof/>
              </w:rPr>
              <w:t xml:space="preserve"> (m</w:t>
            </w:r>
            <w:r>
              <w:rPr>
                <w:noProof/>
                <w:vertAlign w:val="superscript"/>
              </w:rPr>
              <w:t>2</w:t>
            </w:r>
            <w:r>
              <w:rPr>
                <w:noProof/>
              </w:rPr>
              <w:t>)</w:t>
            </w:r>
          </w:p>
        </w:tc>
        <w:tc>
          <w:tcPr>
            <w:tcW w:w="709" w:type="dxa"/>
            <w:shd w:val="clear" w:color="auto" w:fill="C6EFCE"/>
            <w:noWrap/>
          </w:tcPr>
          <w:p w14:paraId="4043743D" w14:textId="77777777" w:rsidR="000E48CE" w:rsidRDefault="00FF4C4E">
            <w:pPr>
              <w:pStyle w:val="P68B1DB1-Normal13"/>
              <w:spacing w:after="0" w:line="240" w:lineRule="auto"/>
              <w:jc w:val="right"/>
              <w:rPr>
                <w:rFonts w:eastAsia="MS Mincho" w:cs="Times New Roman"/>
                <w:noProof/>
              </w:rPr>
            </w:pPr>
            <w:r>
              <w:rPr>
                <w:noProof/>
              </w:rPr>
              <w:t>290 000</w:t>
            </w:r>
          </w:p>
        </w:tc>
        <w:tc>
          <w:tcPr>
            <w:tcW w:w="851" w:type="dxa"/>
            <w:shd w:val="clear" w:color="auto" w:fill="C6EFCE"/>
            <w:noWrap/>
          </w:tcPr>
          <w:p w14:paraId="7E87C33F" w14:textId="77777777" w:rsidR="000E48CE" w:rsidRDefault="00FF4C4E">
            <w:pPr>
              <w:pStyle w:val="P68B1DB1-Normal13"/>
              <w:spacing w:after="0" w:line="240" w:lineRule="auto"/>
              <w:jc w:val="right"/>
              <w:rPr>
                <w:rFonts w:eastAsia="MS Mincho" w:cs="Times New Roman"/>
                <w:noProof/>
              </w:rPr>
            </w:pPr>
            <w:r>
              <w:rPr>
                <w:noProof/>
              </w:rPr>
              <w:t>1 230 000</w:t>
            </w:r>
          </w:p>
        </w:tc>
        <w:tc>
          <w:tcPr>
            <w:tcW w:w="425" w:type="dxa"/>
            <w:shd w:val="clear" w:color="auto" w:fill="C6EFCE"/>
            <w:noWrap/>
          </w:tcPr>
          <w:p w14:paraId="3F4224B7"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38F8FD95" w14:textId="77777777" w:rsidR="000E48CE" w:rsidRDefault="00FF4C4E">
            <w:pPr>
              <w:pStyle w:val="P68B1DB1-Normal13"/>
              <w:spacing w:after="0" w:line="240" w:lineRule="auto"/>
              <w:jc w:val="center"/>
              <w:rPr>
                <w:rFonts w:cs="Times New Roman"/>
                <w:noProof/>
              </w:rPr>
            </w:pPr>
            <w:r>
              <w:rPr>
                <w:noProof/>
              </w:rPr>
              <w:t>2026</w:t>
            </w:r>
          </w:p>
        </w:tc>
        <w:tc>
          <w:tcPr>
            <w:tcW w:w="6379" w:type="dxa"/>
            <w:shd w:val="clear" w:color="auto" w:fill="C6EFCE"/>
            <w:noWrap/>
          </w:tcPr>
          <w:p w14:paraId="617E4098" w14:textId="77777777" w:rsidR="000E48CE" w:rsidRDefault="00FF4C4E">
            <w:pPr>
              <w:pStyle w:val="P68B1DB1-Normal13"/>
              <w:spacing w:after="0" w:line="240" w:lineRule="auto"/>
              <w:rPr>
                <w:rFonts w:cs="Times New Roman"/>
                <w:noProof/>
              </w:rPr>
            </w:pPr>
            <w:r>
              <w:rPr>
                <w:noProof/>
              </w:rPr>
              <w:t>Vähintään 1 230 000 m² (</w:t>
            </w:r>
            <w:r>
              <w:rPr>
                <w:noProof/>
                <w:vertAlign w:val="superscript"/>
              </w:rPr>
              <w:t>kumulatiiviset</w:t>
            </w:r>
            <w:r>
              <w:rPr>
                <w:noProof/>
              </w:rPr>
              <w:t>) kunnostetut julkiset rakennukset saavuttavat keskimäärin vähintään 30 prosentin vähennyksen primäärienergian kysynnässä. Tukilain (38/2003) 30 §:n mukaisesti töiden päättymistä koskevi</w:t>
            </w:r>
            <w:r>
              <w:rPr>
                <w:noProof/>
              </w:rPr>
              <w:t>en todistusten tai töiden vastaanottamista koskevien todistusten (itsehallintoalueet) tai jokaisen sitä saavan kunnan tositteet tarkastetaan hankkeen päätyttyä (eell). Saavutettujen energiansäästöjen noudattamisen perustelemiseksi valmistuneiden töiden ene</w:t>
            </w:r>
            <w:r>
              <w:rPr>
                <w:noProof/>
              </w:rPr>
              <w:t xml:space="preserve">rgiasertifiointi on suoritettava ja koottava yhteen, jotta voidaan vahvistaa saavutetut keskimääräiset energiansäästöt. (Perustaso: Joulukuuta 2024.) </w:t>
            </w:r>
          </w:p>
        </w:tc>
      </w:tr>
      <w:tr w:rsidR="000E48CE" w14:paraId="7B61CA55" w14:textId="77777777">
        <w:trPr>
          <w:trHeight w:val="309"/>
        </w:trPr>
        <w:tc>
          <w:tcPr>
            <w:tcW w:w="709" w:type="dxa"/>
            <w:shd w:val="clear" w:color="auto" w:fill="C6EFCE"/>
            <w:noWrap/>
          </w:tcPr>
          <w:p w14:paraId="0CD124DB" w14:textId="77777777" w:rsidR="000E48CE" w:rsidRDefault="00FF4C4E">
            <w:pPr>
              <w:pStyle w:val="P68B1DB1-Normal13"/>
              <w:spacing w:after="0" w:line="240" w:lineRule="auto"/>
              <w:jc w:val="center"/>
              <w:rPr>
                <w:rFonts w:cs="Times New Roman"/>
                <w:noProof/>
              </w:rPr>
            </w:pPr>
            <w:r>
              <w:rPr>
                <w:noProof/>
              </w:rPr>
              <w:t>38</w:t>
            </w:r>
          </w:p>
        </w:tc>
        <w:tc>
          <w:tcPr>
            <w:tcW w:w="851" w:type="dxa"/>
            <w:shd w:val="clear" w:color="auto" w:fill="C6EFCE"/>
            <w:noWrap/>
          </w:tcPr>
          <w:p w14:paraId="44F83E1B" w14:textId="77777777" w:rsidR="000E48CE" w:rsidRDefault="00FF4C4E">
            <w:pPr>
              <w:pStyle w:val="P68B1DB1-Normal13"/>
              <w:spacing w:after="0" w:line="240" w:lineRule="auto"/>
              <w:jc w:val="center"/>
              <w:rPr>
                <w:rFonts w:eastAsia="MS Mincho" w:cs="Times New Roman"/>
                <w:noProof/>
              </w:rPr>
            </w:pPr>
            <w:r>
              <w:rPr>
                <w:noProof/>
              </w:rPr>
              <w:t>C2.I6</w:t>
            </w:r>
          </w:p>
        </w:tc>
        <w:tc>
          <w:tcPr>
            <w:tcW w:w="850" w:type="dxa"/>
            <w:shd w:val="clear" w:color="auto" w:fill="C6EFCE"/>
            <w:noWrap/>
          </w:tcPr>
          <w:p w14:paraId="2FE7BF0B" w14:textId="77777777" w:rsidR="000E48CE" w:rsidRDefault="00FF4C4E">
            <w:pPr>
              <w:pStyle w:val="P68B1DB1-Normal13"/>
              <w:spacing w:after="0" w:line="240" w:lineRule="auto"/>
              <w:jc w:val="center"/>
              <w:rPr>
                <w:rFonts w:cs="Times New Roman"/>
                <w:noProof/>
              </w:rPr>
            </w:pPr>
            <w:r>
              <w:rPr>
                <w:noProof/>
              </w:rPr>
              <w:t>T</w:t>
            </w:r>
          </w:p>
        </w:tc>
        <w:tc>
          <w:tcPr>
            <w:tcW w:w="1985" w:type="dxa"/>
            <w:shd w:val="clear" w:color="auto" w:fill="C6EFCE"/>
            <w:noWrap/>
          </w:tcPr>
          <w:p w14:paraId="13CD28E4" w14:textId="77777777" w:rsidR="000E48CE" w:rsidRDefault="00FF4C4E">
            <w:pPr>
              <w:pStyle w:val="P68B1DB1-Normal13"/>
              <w:spacing w:after="0" w:line="240" w:lineRule="auto"/>
              <w:rPr>
                <w:rFonts w:cs="Times New Roman"/>
                <w:noProof/>
              </w:rPr>
            </w:pPr>
            <w:r>
              <w:rPr>
                <w:noProof/>
              </w:rPr>
              <w:t xml:space="preserve">Espanjan kaupunkiagendan toimintasuunnitelmat </w:t>
            </w:r>
          </w:p>
        </w:tc>
        <w:tc>
          <w:tcPr>
            <w:tcW w:w="1134" w:type="dxa"/>
            <w:shd w:val="clear" w:color="auto" w:fill="C6EFCE"/>
            <w:noWrap/>
          </w:tcPr>
          <w:p w14:paraId="48D3F40D"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42087AF3" w14:textId="77777777" w:rsidR="000E48CE" w:rsidRDefault="00FF4C4E">
            <w:pPr>
              <w:pStyle w:val="P68B1DB1-Normal13"/>
              <w:spacing w:after="0" w:line="240" w:lineRule="auto"/>
              <w:jc w:val="right"/>
              <w:rPr>
                <w:rFonts w:eastAsia="MS Mincho" w:cs="Times New Roman"/>
                <w:noProof/>
              </w:rPr>
            </w:pPr>
            <w:r>
              <w:rPr>
                <w:noProof/>
              </w:rPr>
              <w:t>Määrä</w:t>
            </w:r>
          </w:p>
        </w:tc>
        <w:tc>
          <w:tcPr>
            <w:tcW w:w="709" w:type="dxa"/>
            <w:shd w:val="clear" w:color="auto" w:fill="C6EFCE"/>
            <w:noWrap/>
          </w:tcPr>
          <w:p w14:paraId="53AF8648" w14:textId="77777777" w:rsidR="000E48CE" w:rsidRDefault="00FF4C4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0CCF700D" w14:textId="77777777" w:rsidR="000E48CE" w:rsidRDefault="00FF4C4E">
            <w:pPr>
              <w:pStyle w:val="P68B1DB1-Normal13"/>
              <w:spacing w:after="0" w:line="240" w:lineRule="auto"/>
              <w:jc w:val="right"/>
              <w:rPr>
                <w:rFonts w:eastAsia="MS Mincho" w:cs="Times New Roman"/>
                <w:noProof/>
              </w:rPr>
            </w:pPr>
            <w:r>
              <w:rPr>
                <w:noProof/>
              </w:rPr>
              <w:t>100</w:t>
            </w:r>
          </w:p>
        </w:tc>
        <w:tc>
          <w:tcPr>
            <w:tcW w:w="425" w:type="dxa"/>
            <w:shd w:val="clear" w:color="auto" w:fill="C6EFCE"/>
            <w:noWrap/>
          </w:tcPr>
          <w:p w14:paraId="68967742"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76F3685A" w14:textId="77777777" w:rsidR="000E48CE" w:rsidRDefault="00FF4C4E">
            <w:pPr>
              <w:pStyle w:val="P68B1DB1-Normal13"/>
              <w:spacing w:after="0" w:line="240" w:lineRule="auto"/>
              <w:jc w:val="center"/>
              <w:rPr>
                <w:rFonts w:cs="Times New Roman"/>
                <w:noProof/>
              </w:rPr>
            </w:pPr>
            <w:r>
              <w:rPr>
                <w:noProof/>
              </w:rPr>
              <w:t>2022</w:t>
            </w:r>
          </w:p>
        </w:tc>
        <w:tc>
          <w:tcPr>
            <w:tcW w:w="6379" w:type="dxa"/>
            <w:shd w:val="clear" w:color="auto" w:fill="C6EFCE"/>
            <w:noWrap/>
          </w:tcPr>
          <w:p w14:paraId="4B38E9F2" w14:textId="77777777" w:rsidR="000E48CE" w:rsidRDefault="00FF4C4E">
            <w:pPr>
              <w:pStyle w:val="P68B1DB1-Normal13"/>
              <w:spacing w:after="0" w:line="240" w:lineRule="auto"/>
              <w:rPr>
                <w:rFonts w:cs="Times New Roman"/>
                <w:noProof/>
              </w:rPr>
            </w:pPr>
            <w:r>
              <w:rPr>
                <w:noProof/>
              </w:rPr>
              <w:t xml:space="preserve">Vähintään 100 kuntaa on hyväksyttävä paikallinen toimintasuunnitelma (kaupunkeja koskeva strategia), ja siinä on oltava Espanjan kaupunkiagendassa vahvistetut kriteerit, joihin sisältyy arviointi ja toimintalinjat toimintasuunnitelman kymmenen strategisen </w:t>
            </w:r>
            <w:r>
              <w:rPr>
                <w:noProof/>
              </w:rPr>
              <w:t xml:space="preserve">tavoitteen mukaisesti. </w:t>
            </w:r>
          </w:p>
        </w:tc>
      </w:tr>
    </w:tbl>
    <w:p w14:paraId="4BCF813A" w14:textId="77777777" w:rsidR="000E48CE" w:rsidRDefault="000E48CE">
      <w:pPr>
        <w:spacing w:before="120" w:after="120" w:line="240" w:lineRule="auto"/>
        <w:jc w:val="both"/>
        <w:rPr>
          <w:rFonts w:ascii="Times New Roman" w:hAnsi="Times New Roman" w:cs="Times New Roman"/>
          <w:noProof/>
          <w:sz w:val="24"/>
        </w:rPr>
      </w:pPr>
    </w:p>
    <w:p w14:paraId="1E57B6E2" w14:textId="77777777" w:rsidR="000E48CE" w:rsidRDefault="000E48CE">
      <w:pPr>
        <w:rPr>
          <w:rFonts w:ascii="Times New Roman" w:hAnsi="Times New Roman" w:cs="Times New Roman"/>
          <w:noProof/>
        </w:rPr>
        <w:sectPr w:rsidR="000E48CE" w:rsidSect="004F0858">
          <w:headerReference w:type="even" r:id="rId48"/>
          <w:headerReference w:type="default" r:id="rId49"/>
          <w:footerReference w:type="even" r:id="rId50"/>
          <w:footerReference w:type="default" r:id="rId51"/>
          <w:headerReference w:type="first" r:id="rId52"/>
          <w:footerReference w:type="first" r:id="rId53"/>
          <w:pgSz w:w="16839" w:h="11907" w:orient="landscape"/>
          <w:pgMar w:top="1417" w:right="1134" w:bottom="1417" w:left="1134" w:header="709" w:footer="709" w:gutter="0"/>
          <w:cols w:space="720"/>
          <w:docGrid w:linePitch="360"/>
        </w:sectPr>
      </w:pPr>
    </w:p>
    <w:p w14:paraId="650C567F" w14:textId="229E388D" w:rsidR="000E48CE" w:rsidRDefault="00FF4C4E">
      <w:pPr>
        <w:pStyle w:val="P68B1DB1-Normal5"/>
        <w:spacing w:before="120" w:after="120" w:line="240" w:lineRule="auto"/>
        <w:ind w:left="709"/>
        <w:jc w:val="both"/>
        <w:rPr>
          <w:rFonts w:cs="Times New Roman"/>
          <w:noProof/>
        </w:rPr>
      </w:pPr>
      <w:r>
        <w:rPr>
          <w:noProof/>
        </w:rPr>
        <w:lastRenderedPageBreak/>
        <w:t>B.3 Kuvaus lainamuotoisella tuella rahoitettavista uudistuksista ja investoinneista</w:t>
      </w:r>
    </w:p>
    <w:p w14:paraId="0F6EF98C" w14:textId="44365BC5" w:rsidR="000E48CE" w:rsidRDefault="00FF4C4E">
      <w:pPr>
        <w:pStyle w:val="P68B1DB1-Normal6"/>
        <w:spacing w:before="120" w:after="120" w:line="240" w:lineRule="auto"/>
        <w:rPr>
          <w:rFonts w:cs="Times New Roman"/>
          <w:noProof/>
        </w:rPr>
      </w:pPr>
      <w:r>
        <w:rPr>
          <w:noProof/>
        </w:rPr>
        <w:t xml:space="preserve">Uudistus 7 (C2.R7) – </w:t>
      </w:r>
      <w:bookmarkStart w:id="5" w:name="_Hlk140249148"/>
      <w:r>
        <w:rPr>
          <w:noProof/>
        </w:rPr>
        <w:t>Toimenpideohjelma vuokra-asuntojen tarjonnan edistämiseksi</w:t>
      </w:r>
      <w:bookmarkEnd w:id="5"/>
    </w:p>
    <w:p w14:paraId="2F6825A9" w14:textId="302B8460" w:rsidR="000E48CE" w:rsidRDefault="00FF4C4E">
      <w:pPr>
        <w:pStyle w:val="P68B1DB1-Normal4"/>
        <w:spacing w:before="120" w:after="120" w:line="240" w:lineRule="auto"/>
        <w:jc w:val="both"/>
        <w:rPr>
          <w:rFonts w:cs="Times New Roman"/>
          <w:noProof/>
        </w:rPr>
      </w:pPr>
      <w:r>
        <w:rPr>
          <w:noProof/>
        </w:rPr>
        <w:t xml:space="preserve">Toimenpiteen tavoitteena on lisätä vuokra-asuntojen tarjontaa erityisesti sosiaalisessa asuntokannassa ja niissä kaupungeissa, joissa hinnat ovat nousseet enemmän. </w:t>
      </w:r>
    </w:p>
    <w:p w14:paraId="4E68BFB1" w14:textId="7EEAFAEE" w:rsidR="000E48CE" w:rsidRDefault="00FF4C4E">
      <w:pPr>
        <w:pStyle w:val="P68B1DB1-Normal4"/>
        <w:spacing w:before="120" w:after="120" w:line="240" w:lineRule="auto"/>
        <w:rPr>
          <w:rFonts w:cs="Times New Roman"/>
          <w:noProof/>
        </w:rPr>
      </w:pPr>
      <w:r>
        <w:rPr>
          <w:noProof/>
        </w:rPr>
        <w:t xml:space="preserve">Tämän ongelman ratkaisemiseksi toimenpiteeseen sisältyy </w:t>
      </w:r>
    </w:p>
    <w:p w14:paraId="4AED4110" w14:textId="13857EDE" w:rsidR="000E48CE" w:rsidRDefault="00FF4C4E">
      <w:pPr>
        <w:pStyle w:val="P68B1DB1-ListParagraph7"/>
        <w:numPr>
          <w:ilvl w:val="0"/>
          <w:numId w:val="298"/>
        </w:numPr>
        <w:spacing w:line="240" w:lineRule="auto"/>
        <w:jc w:val="both"/>
        <w:rPr>
          <w:rFonts w:cs="Times New Roman"/>
          <w:noProof/>
        </w:rPr>
      </w:pPr>
      <w:r>
        <w:rPr>
          <w:noProof/>
        </w:rPr>
        <w:t>lokakuun 30. päivänä annetulla kun</w:t>
      </w:r>
      <w:r>
        <w:rPr>
          <w:noProof/>
        </w:rPr>
        <w:t>inkaan asetuksella 7/2015 hyväksytyn maa- ja kaupunkialueiden kuntoutuslain konsolidoidun tekstin muutos, jolla otetaan käyttöön toimenpiteitä, joilla nopeutetaan rakennusten kunnostamiseen ja rakennusten rakentamiseen sosiaalista asuntotuotantoa varten li</w:t>
      </w:r>
      <w:r>
        <w:rPr>
          <w:noProof/>
        </w:rPr>
        <w:t>ittyviä kaavoitusmenettelyjä;</w:t>
      </w:r>
    </w:p>
    <w:p w14:paraId="5FA31788" w14:textId="302B91A7" w:rsidR="000E48CE" w:rsidRDefault="00FF4C4E">
      <w:pPr>
        <w:pStyle w:val="P68B1DB1-ListParagraph7"/>
        <w:numPr>
          <w:ilvl w:val="0"/>
          <w:numId w:val="298"/>
        </w:numPr>
        <w:spacing w:line="240" w:lineRule="auto"/>
        <w:jc w:val="both"/>
        <w:rPr>
          <w:rFonts w:cs="Times New Roman"/>
          <w:noProof/>
        </w:rPr>
      </w:pPr>
      <w:r>
        <w:rPr>
          <w:noProof/>
        </w:rPr>
        <w:t>julkaistaan suosituksia ja parhaita käytäntöjä sisältävä opas, jonka tarkoituksena on yksinkertaistaa ja nopeuttaa kaupunkisuunnittelun lupamenettelyjä kannustamalla i) tietojen ja kokemusten vaihtoon paikallis-, alue- ja kesk</w:t>
      </w:r>
      <w:r>
        <w:rPr>
          <w:noProof/>
        </w:rPr>
        <w:t>ushallinnon viranomaisten välillä, ii) toimenpiteitä prosessien systematisoimiseksi ja optimoimiseksi ja iii) pilottihankkeiden tulevaa kehittämistä erilaisissa alueellisissa yhteyksissä.</w:t>
      </w:r>
    </w:p>
    <w:p w14:paraId="565F9C02" w14:textId="431104DD" w:rsidR="000E48CE" w:rsidRDefault="00FF4C4E">
      <w:pPr>
        <w:pStyle w:val="P68B1DB1-Normal4"/>
        <w:spacing w:before="120" w:after="120" w:line="240" w:lineRule="auto"/>
        <w:rPr>
          <w:rFonts w:cs="Times New Roman"/>
          <w:noProof/>
        </w:rPr>
      </w:pPr>
      <w:r>
        <w:rPr>
          <w:noProof/>
        </w:rPr>
        <w:t xml:space="preserve">Uudistuksen toteutus on määrä saattaa päätökseen 30. kesäkuuta 2025 </w:t>
      </w:r>
      <w:r>
        <w:rPr>
          <w:noProof/>
        </w:rPr>
        <w:t>mennessä.</w:t>
      </w:r>
    </w:p>
    <w:p w14:paraId="2BC9A8ED" w14:textId="7EF47603" w:rsidR="000E48CE" w:rsidRDefault="00FF4C4E">
      <w:pPr>
        <w:pStyle w:val="P68B1DB1-Normal6"/>
        <w:spacing w:before="120" w:after="120" w:line="240" w:lineRule="auto"/>
        <w:jc w:val="both"/>
        <w:rPr>
          <w:rFonts w:cs="Times New Roman"/>
          <w:noProof/>
        </w:rPr>
      </w:pPr>
      <w:r>
        <w:rPr>
          <w:noProof/>
        </w:rPr>
        <w:t>Investointi 7 (C2.I7) – ICO:n lainajärjestely sosiaalisen asuntotuotannon edistämiseksi</w:t>
      </w:r>
    </w:p>
    <w:p w14:paraId="562AF89C" w14:textId="7C8F63D7" w:rsidR="000E48CE" w:rsidRDefault="00FF4C4E">
      <w:pPr>
        <w:pStyle w:val="P68B1DB1-Normal4"/>
        <w:spacing w:before="120" w:after="120" w:line="240" w:lineRule="auto"/>
        <w:jc w:val="both"/>
        <w:rPr>
          <w:rFonts w:eastAsia="@MS Mincho" w:cs="Times New Roman"/>
          <w:noProof/>
        </w:rPr>
      </w:pPr>
      <w:r>
        <w:rPr>
          <w:noProof/>
        </w:rPr>
        <w:t>Tämä toimenpide koostuu julkisesta investoinnista ICO-lainajärjestelyyn sosiaalisen asuntotuotannon edistämiseksi, jotta voidaan kannustaa yksityisiä investoi</w:t>
      </w:r>
      <w:r>
        <w:rPr>
          <w:noProof/>
        </w:rPr>
        <w:t>nteja ja parantaa rahoituksen saantia energiatehokkaiden sosiaalisten ja kohtuuhintaisten asuntojen rakentamiseen ja kunnostamiseen sekä kehittää pääomamarkkinoita näillä aloilla. Investointikehys toimii myöntämällä lainoja suoraan tai välittäjien kautta y</w:t>
      </w:r>
      <w:r>
        <w:rPr>
          <w:noProof/>
        </w:rPr>
        <w:t>ksityiselle sektorille sekä vastaavaa toimintaa harjoittaville julkisyhteisöille ja julkisoikeudellisille laitoksille. Elpymis- ja palautumistukivälineen investointien perusteella tukivälineestä on alun perin tarkoitus myöntää rahoitusta vähintään 40000000</w:t>
      </w:r>
      <w:r>
        <w:rPr>
          <w:noProof/>
        </w:rPr>
        <w:t xml:space="preserve">00 euroa. </w:t>
      </w:r>
    </w:p>
    <w:p w14:paraId="229B51D7" w14:textId="456DDDED" w:rsidR="000E48CE" w:rsidRDefault="00FF4C4E">
      <w:pPr>
        <w:pStyle w:val="P68B1DB1-Normal4"/>
        <w:spacing w:before="120" w:after="120" w:line="240" w:lineRule="auto"/>
        <w:jc w:val="both"/>
        <w:rPr>
          <w:rFonts w:eastAsia="@MS Mincho" w:cs="Times New Roman"/>
          <w:noProof/>
        </w:rPr>
      </w:pPr>
      <w:r>
        <w:rPr>
          <w:noProof/>
        </w:rPr>
        <w:t>Investointikehystä hallinnoi toteutuskumppanina toimiva Instituto de Crédito Official (ICO). Lainajärjestely sisältää seuraavat tuotelinjat:</w:t>
      </w:r>
    </w:p>
    <w:p w14:paraId="0DF0145A" w14:textId="128F9AE1" w:rsidR="000E48CE" w:rsidRDefault="00FF4C4E">
      <w:pPr>
        <w:pStyle w:val="P68B1DB1-ListParagraph7"/>
        <w:numPr>
          <w:ilvl w:val="0"/>
          <w:numId w:val="298"/>
        </w:numPr>
        <w:spacing w:line="240" w:lineRule="auto"/>
        <w:jc w:val="both"/>
        <w:rPr>
          <w:rFonts w:eastAsia="@MS Mincho" w:cs="Times New Roman"/>
          <w:noProof/>
        </w:rPr>
      </w:pPr>
      <w:r>
        <w:rPr>
          <w:noProof/>
        </w:rPr>
        <w:t>Suorat lainat energiatehokkaiden rakennusten rakentamiseen. Rakennusten primäärienergian kulutuksen on o</w:t>
      </w:r>
      <w:r>
        <w:rPr>
          <w:noProof/>
        </w:rPr>
        <w:t>ltava vähintään 20 prosenttia alhaisempi kuin kansallisissa suuntaviivoissa asetetut lähes nollaenergiaa koskevat rakennusten energiavaatimukset.</w:t>
      </w:r>
    </w:p>
    <w:p w14:paraId="7C583A3D" w14:textId="584648C4" w:rsidR="000E48CE" w:rsidRDefault="00FF4C4E">
      <w:pPr>
        <w:pStyle w:val="P68B1DB1-ListParagraph7"/>
        <w:numPr>
          <w:ilvl w:val="0"/>
          <w:numId w:val="298"/>
        </w:numPr>
        <w:spacing w:line="240" w:lineRule="auto"/>
        <w:jc w:val="both"/>
        <w:rPr>
          <w:rFonts w:eastAsia="@MS Mincho" w:cs="Times New Roman"/>
          <w:noProof/>
        </w:rPr>
      </w:pPr>
      <w:r>
        <w:rPr>
          <w:noProof/>
        </w:rPr>
        <w:t>Suorat lainat olemassa olevien rakennusten kunnostamiseen. Peruskorjauksen on johdettava uusiutumattoman energ</w:t>
      </w:r>
      <w:r>
        <w:rPr>
          <w:noProof/>
        </w:rPr>
        <w:t xml:space="preserve">ian primäärienergian kulutuksen vähenemiseen vähintään 30 prosentilla. </w:t>
      </w:r>
    </w:p>
    <w:p w14:paraId="023FCA6B" w14:textId="64269845" w:rsidR="000E48CE" w:rsidRDefault="00FF4C4E">
      <w:pPr>
        <w:pStyle w:val="P68B1DB1-ListParagraph7"/>
        <w:numPr>
          <w:ilvl w:val="0"/>
          <w:numId w:val="298"/>
        </w:numPr>
        <w:spacing w:line="240" w:lineRule="auto"/>
        <w:jc w:val="both"/>
        <w:rPr>
          <w:rFonts w:eastAsia="@MS Mincho" w:cs="Times New Roman"/>
          <w:noProof/>
        </w:rPr>
      </w:pPr>
      <w:r>
        <w:rPr>
          <w:noProof/>
        </w:rPr>
        <w:t>Sovittelulinja: sovittelulinja koostuu ICO:n liikepankeille myöntämistä lainoista, jotka puolestaan myöntävät lainoja lopullisille edunsaajille energiatehokkaiden rakennusten rakentami</w:t>
      </w:r>
      <w:r>
        <w:rPr>
          <w:noProof/>
        </w:rPr>
        <w:t>seen tai olemassa olevien rakennusten kunnostamiseen.</w:t>
      </w:r>
    </w:p>
    <w:p w14:paraId="4B97937C" w14:textId="154B5C97" w:rsidR="000E48CE" w:rsidRDefault="00FF4C4E">
      <w:pPr>
        <w:pStyle w:val="P68B1DB1-Normal4"/>
        <w:spacing w:after="160" w:line="240" w:lineRule="auto"/>
        <w:jc w:val="both"/>
        <w:rPr>
          <w:rFonts w:cs="Times New Roman"/>
          <w:noProof/>
        </w:rPr>
      </w:pPr>
      <w:r>
        <w:rPr>
          <w:noProof/>
        </w:rPr>
        <w:t>Rakennetut ja/tai kunnostetut rakennukset on käytettävä sosiaaliseen tai kohtuuhintaiseen vuokraan tai ne on siirrettävä sosiaaliseen ja kohtuuhintaiseen vuokraan vähintään 50 vuoden ajaksi. Sosiaalisen</w:t>
      </w:r>
      <w:r>
        <w:rPr>
          <w:noProof/>
        </w:rPr>
        <w:t xml:space="preserve"> ja kohtuuhintaisen vuokran määrittämisessä käytetään kuninkaan asetuksen 853/2021 kuudennessa ohjelmassa vahvistettuja perusteita.</w:t>
      </w:r>
    </w:p>
    <w:p w14:paraId="3A501942" w14:textId="1C5CCB36" w:rsidR="000E48CE" w:rsidRDefault="00FF4C4E">
      <w:pPr>
        <w:pStyle w:val="P68B1DB1-Normal4"/>
        <w:spacing w:after="160" w:line="240" w:lineRule="auto"/>
        <w:jc w:val="both"/>
        <w:rPr>
          <w:rFonts w:cs="Times New Roman"/>
          <w:noProof/>
        </w:rPr>
      </w:pPr>
      <w:r>
        <w:rPr>
          <w:noProof/>
        </w:rPr>
        <w:t>Investointikehykseen tehtävän investoinnin toteuttamiseksi Espanja ja ICO allekirjoittavat täytäntöönpanosopimuksen, joka si</w:t>
      </w:r>
      <w:r>
        <w:rPr>
          <w:noProof/>
        </w:rPr>
        <w:t>sältää seuraavat tiedot:</w:t>
      </w:r>
    </w:p>
    <w:p w14:paraId="7F40B6D1" w14:textId="65296399" w:rsidR="000E48CE" w:rsidRDefault="00FF4C4E">
      <w:pPr>
        <w:pStyle w:val="P68B1DB1-ListParagraph7"/>
        <w:numPr>
          <w:ilvl w:val="0"/>
          <w:numId w:val="747"/>
        </w:numPr>
        <w:rPr>
          <w:rFonts w:eastAsia="Times New Roman" w:cs="Times New Roman"/>
          <w:noProof/>
        </w:rPr>
      </w:pPr>
      <w:r>
        <w:rPr>
          <w:noProof/>
        </w:rPr>
        <w:lastRenderedPageBreak/>
        <w:t>Kuvaus tukivälineen päätöksentekoprosessista:  Investointikehyksen lopullisen investointipäätöksen tekee investointikomitea tai muu vastaava hallintoelin, ja se hyväksytään äänten enemmistöllä Espanjan hallituksesta riippumattomilt</w:t>
      </w:r>
      <w:r>
        <w:rPr>
          <w:noProof/>
        </w:rPr>
        <w:t>a jäseniltä. Välitettyjen sijoitusten osalta lopullisen sijoituspäätöksen tekevät välittäjät.</w:t>
      </w:r>
    </w:p>
    <w:p w14:paraId="79E54BA4" w14:textId="77777777" w:rsidR="000E48CE" w:rsidRDefault="000E48CE">
      <w:pPr>
        <w:pStyle w:val="ListParagraph"/>
        <w:rPr>
          <w:noProof/>
        </w:rPr>
      </w:pPr>
    </w:p>
    <w:p w14:paraId="2FD39D5B" w14:textId="7FDECDB4" w:rsidR="000E48CE" w:rsidRDefault="00FF4C4E">
      <w:pPr>
        <w:pStyle w:val="P68B1DB1-ListParagraph7"/>
        <w:spacing w:after="0"/>
        <w:jc w:val="both"/>
        <w:rPr>
          <w:rFonts w:eastAsia="Times New Roman" w:cs="Times New Roman"/>
          <w:noProof/>
        </w:rPr>
      </w:pPr>
      <w:r>
        <w:rPr>
          <w:noProof/>
        </w:rPr>
        <w:t xml:space="preserve">2. Asiaan liittyvän sijoituspolitiikan keskeiset vaatimukset, joita ovat muun muassa seuraavat: </w:t>
      </w:r>
    </w:p>
    <w:p w14:paraId="1C4DA3C2" w14:textId="7080EDBE" w:rsidR="000E48CE" w:rsidRDefault="00FF4C4E">
      <w:pPr>
        <w:pStyle w:val="P68B1DB1-LegalNumPar317"/>
        <w:numPr>
          <w:ilvl w:val="2"/>
          <w:numId w:val="0"/>
        </w:numPr>
        <w:spacing w:after="0"/>
        <w:ind w:left="720"/>
        <w:rPr>
          <w:rFonts w:eastAsia="Times New Roman" w:cs="Times New Roman"/>
          <w:noProof/>
        </w:rPr>
      </w:pPr>
      <w:r>
        <w:rPr>
          <w:noProof/>
        </w:rPr>
        <w:t xml:space="preserve">a. Rahoitustuotteiden ja tukikelpoisten lopullisten tuensaajien </w:t>
      </w:r>
      <w:r>
        <w:rPr>
          <w:noProof/>
        </w:rPr>
        <w:t>kuvaus toimenpiteen kuvauksen mukaisesti.</w:t>
      </w:r>
    </w:p>
    <w:p w14:paraId="2D0BC6C2" w14:textId="21866C87" w:rsidR="000E48CE" w:rsidRDefault="00FF4C4E">
      <w:pPr>
        <w:pStyle w:val="P68B1DB1-ListParagraph7"/>
        <w:spacing w:after="0"/>
        <w:jc w:val="both"/>
        <w:rPr>
          <w:rFonts w:eastAsia="Times New Roman" w:cs="Times New Roman"/>
          <w:noProof/>
        </w:rPr>
      </w:pPr>
      <w:r>
        <w:rPr>
          <w:noProof/>
        </w:rPr>
        <w:t xml:space="preserve">b. Kaikkien tuettujen investointien on oltava taloudellisesti kannattavia. </w:t>
      </w:r>
    </w:p>
    <w:p w14:paraId="156B3B26" w14:textId="3CFE2D84" w:rsidR="000E48CE" w:rsidRDefault="00FF4C4E">
      <w:pPr>
        <w:pStyle w:val="P68B1DB1-ListParagraph7"/>
        <w:spacing w:after="0"/>
        <w:jc w:val="both"/>
        <w:rPr>
          <w:rFonts w:eastAsia="Times New Roman" w:cs="Times New Roman"/>
          <w:noProof/>
        </w:rPr>
      </w:pPr>
      <w:r>
        <w:rPr>
          <w:noProof/>
        </w:rPr>
        <w:t>C. Kielto jälleenrahoittaa kaikkia jäljellä olevia lainoja.</w:t>
      </w:r>
    </w:p>
    <w:p w14:paraId="57AA2BC1" w14:textId="7E24FCD0" w:rsidR="000E48CE" w:rsidRDefault="00FF4C4E">
      <w:pPr>
        <w:pStyle w:val="P68B1DB1-ListParagraph7"/>
        <w:spacing w:after="0"/>
        <w:jc w:val="both"/>
        <w:rPr>
          <w:rFonts w:eastAsia="Times New Roman" w:cs="Times New Roman"/>
          <w:noProof/>
        </w:rPr>
      </w:pPr>
      <w:r>
        <w:rPr>
          <w:noProof/>
        </w:rPr>
        <w:t>d. Vaatimus noudattaa ”ei merkittävää haittaa” -periaatetta sellaisena kuin se</w:t>
      </w:r>
      <w:r>
        <w:rPr>
          <w:noProof/>
        </w:rPr>
        <w:t xml:space="preserve"> on vahvistettu ”ei merkittävää haittaa” -periaatteen noudattamisessa, sellaisena kuin se on määritelty ”ei merkittävää haittaa” -periaatetta koskevissa teknisissä ohjeissa (2021/C58/01), erityisesti:</w:t>
      </w:r>
    </w:p>
    <w:p w14:paraId="31ADAA96" w14:textId="7FC32407" w:rsidR="000E48CE" w:rsidRDefault="00FF4C4E">
      <w:pPr>
        <w:pStyle w:val="ListParagraph"/>
        <w:numPr>
          <w:ilvl w:val="0"/>
          <w:numId w:val="748"/>
        </w:numPr>
        <w:spacing w:after="0"/>
        <w:jc w:val="both"/>
        <w:rPr>
          <w:rFonts w:ascii="Times New Roman" w:hAnsi="Times New Roman" w:cs="Times New Roman"/>
          <w:noProof/>
          <w:u w:val="single"/>
        </w:rPr>
      </w:pPr>
      <w:r>
        <w:rPr>
          <w:rFonts w:ascii="Times New Roman" w:hAnsi="Times New Roman"/>
          <w:noProof/>
          <w:sz w:val="24"/>
        </w:rPr>
        <w:t>Lainojen osalta: investointipolitiikassa on jätettävä t</w:t>
      </w:r>
      <w:r>
        <w:rPr>
          <w:rFonts w:ascii="Times New Roman" w:hAnsi="Times New Roman"/>
          <w:noProof/>
          <w:sz w:val="24"/>
        </w:rPr>
        <w:t>ukikelpoisuuden ulkopuolelle seuraava luettelo toiminnoista ja omaisuuseristä: (I) fossiilisiin polttoaineisiin liittyvät toiminnot ja omaisuuserät, mukaan lukien jatkokäyttö</w:t>
      </w:r>
      <w:r>
        <w:rPr>
          <w:rStyle w:val="FootnoteReference"/>
          <w:rFonts w:ascii="Times New Roman" w:eastAsia="Times New Roman" w:hAnsi="Times New Roman" w:cs="Times New Roman"/>
          <w:noProof/>
          <w:sz w:val="24"/>
        </w:rPr>
        <w:footnoteReference w:id="6"/>
      </w:r>
      <w:r>
        <w:rPr>
          <w:rFonts w:ascii="Times New Roman" w:hAnsi="Times New Roman"/>
          <w:noProof/>
          <w:sz w:val="24"/>
        </w:rPr>
        <w:t>, ii) EU:n päästökauppajärjestelmään kuuluvat toiminnot ja omaisuuserät, joilla s</w:t>
      </w:r>
      <w:r>
        <w:rPr>
          <w:rFonts w:ascii="Times New Roman" w:hAnsi="Times New Roman"/>
          <w:noProof/>
          <w:sz w:val="24"/>
        </w:rPr>
        <w:t>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7"/>
      </w:r>
      <w:r>
        <w:rPr>
          <w:rFonts w:ascii="Times New Roman" w:hAnsi="Times New Roman"/>
          <w:noProof/>
          <w:sz w:val="24"/>
        </w:rPr>
        <w:t>, iii) kaatopaikkoihin, polttolaitoksiin ja mekaanisiin biologisiin käsittelylaitoksiin liittyvät toiminnot</w:t>
      </w:r>
      <w:r>
        <w:rPr>
          <w:rStyle w:val="FootnoteReference"/>
          <w:rFonts w:ascii="Times New Roman" w:eastAsia="Times New Roman" w:hAnsi="Times New Roman" w:cs="Times New Roman"/>
          <w:noProof/>
          <w:sz w:val="24"/>
        </w:rPr>
        <w:footnoteReference w:id="8"/>
      </w:r>
      <w:r>
        <w:rPr>
          <w:rFonts w:ascii="Times New Roman" w:hAnsi="Times New Roman"/>
          <w:noProof/>
          <w:sz w:val="24"/>
        </w:rPr>
        <w:t xml:space="preserve"> ja omaisuus</w:t>
      </w:r>
      <w:r>
        <w:rPr>
          <w:rStyle w:val="FootnoteReference"/>
          <w:rFonts w:ascii="Times New Roman" w:eastAsia="Times New Roman" w:hAnsi="Times New Roman" w:cs="Times New Roman"/>
          <w:noProof/>
          <w:sz w:val="24"/>
        </w:rPr>
        <w:footnoteReference w:id="9"/>
      </w:r>
      <w:r>
        <w:rPr>
          <w:rFonts w:ascii="Times New Roman" w:hAnsi="Times New Roman"/>
          <w:noProof/>
          <w:sz w:val="24"/>
        </w:rPr>
        <w:t xml:space="preserve">.  </w:t>
      </w:r>
    </w:p>
    <w:p w14:paraId="54346E24" w14:textId="2D8D7C89" w:rsidR="000E48CE" w:rsidRDefault="00FF4C4E">
      <w:pPr>
        <w:pStyle w:val="P68B1DB1-ListParagraph7"/>
        <w:numPr>
          <w:ilvl w:val="0"/>
          <w:numId w:val="748"/>
        </w:numPr>
        <w:spacing w:after="0"/>
        <w:jc w:val="both"/>
        <w:rPr>
          <w:rFonts w:eastAsia="Times New Roman" w:cs="Times New Roman"/>
          <w:noProof/>
          <w:u w:val="single"/>
        </w:rPr>
      </w:pPr>
      <w:r>
        <w:rPr>
          <w:noProof/>
        </w:rPr>
        <w:t>Investointipolitiikka edellyttää tuki</w:t>
      </w:r>
      <w:r>
        <w:rPr>
          <w:noProof/>
        </w:rPr>
        <w:t>välineen lopullisten edunsaajien asiaankuuluvan EU:n ja kansallisen ympäristölainsäädännön noudattamista.</w:t>
      </w:r>
    </w:p>
    <w:p w14:paraId="20CEDAAC" w14:textId="30B4C3EE" w:rsidR="000E48CE" w:rsidRDefault="00FF4C4E">
      <w:pPr>
        <w:pStyle w:val="P68B1DB1-Normal4"/>
        <w:spacing w:after="0"/>
        <w:ind w:left="720"/>
        <w:jc w:val="both"/>
        <w:rPr>
          <w:rFonts w:eastAsia="Times New Roman" w:cs="Times New Roman"/>
          <w:noProof/>
        </w:rPr>
      </w:pPr>
      <w:r>
        <w:rPr>
          <w:noProof/>
        </w:rPr>
        <w:t xml:space="preserve">e. Vaatimus, jonka mukaan lainajärjestelyn lopulliset edunsaajat eivät saa tukea muista unionin välineistä samojen kustannusten kattamiseksi. </w:t>
      </w:r>
    </w:p>
    <w:p w14:paraId="579A0112" w14:textId="30B4C3EE" w:rsidR="000E48CE" w:rsidRDefault="000E48CE">
      <w:pPr>
        <w:spacing w:after="0"/>
        <w:jc w:val="both"/>
        <w:rPr>
          <w:rFonts w:ascii="Times New Roman" w:eastAsia="Times New Roman" w:hAnsi="Times New Roman" w:cs="Times New Roman"/>
          <w:noProof/>
          <w:sz w:val="24"/>
        </w:rPr>
      </w:pPr>
    </w:p>
    <w:p w14:paraId="06A75224" w14:textId="26559678" w:rsidR="000E48CE" w:rsidRDefault="00FF4C4E">
      <w:pPr>
        <w:pStyle w:val="P68B1DB1-Normal4"/>
        <w:spacing w:after="0"/>
        <w:jc w:val="both"/>
        <w:rPr>
          <w:rFonts w:eastAsia="Times New Roman" w:cs="Times New Roman"/>
          <w:noProof/>
        </w:rPr>
      </w:pPr>
      <w:r>
        <w:rPr>
          <w:noProof/>
        </w:rPr>
        <w:lastRenderedPageBreak/>
        <w:t>3. Täy</w:t>
      </w:r>
      <w:r>
        <w:rPr>
          <w:noProof/>
        </w:rPr>
        <w:t>täntöönpanosopimuksen kattama määrä, toteutuskumppanin vapaa rakenne ja vaatimus sijoittaa takaisin saadut varat tukivälineen investointipolitiikan mukaisesti, paitsi jos niitä käytetään elpymis- ja palautumistukivälineen lainojen takaisinmaksujen hoitamis</w:t>
      </w:r>
      <w:r>
        <w:rPr>
          <w:noProof/>
        </w:rPr>
        <w:t>een.</w:t>
      </w:r>
    </w:p>
    <w:p w14:paraId="76EA64F4" w14:textId="77777777" w:rsidR="000E48CE" w:rsidRDefault="000E48CE">
      <w:pPr>
        <w:spacing w:after="0"/>
        <w:jc w:val="both"/>
        <w:rPr>
          <w:rFonts w:ascii="Times New Roman" w:eastAsia="Times New Roman" w:hAnsi="Times New Roman" w:cs="Times New Roman"/>
          <w:noProof/>
          <w:sz w:val="24"/>
        </w:rPr>
      </w:pPr>
    </w:p>
    <w:p w14:paraId="7D35602F" w14:textId="3C7A35C3" w:rsidR="000E48CE" w:rsidRDefault="00FF4C4E">
      <w:pPr>
        <w:pStyle w:val="P68B1DB1-Normal4"/>
        <w:spacing w:after="0"/>
        <w:jc w:val="both"/>
        <w:rPr>
          <w:rFonts w:eastAsia="Times New Roman" w:cs="Times New Roman"/>
          <w:noProof/>
        </w:rPr>
      </w:pPr>
      <w:r>
        <w:rPr>
          <w:noProof/>
        </w:rPr>
        <w:t xml:space="preserve">4. Seuranta-, auditointi- ja valvontavaatimukset, mukaan lukien  </w:t>
      </w:r>
    </w:p>
    <w:p w14:paraId="48BEE247" w14:textId="728E63C1" w:rsidR="000E48CE" w:rsidRDefault="00FF4C4E">
      <w:pPr>
        <w:pStyle w:val="P68B1DB1-ListParagraph7"/>
        <w:numPr>
          <w:ilvl w:val="0"/>
          <w:numId w:val="274"/>
        </w:numPr>
        <w:rPr>
          <w:rFonts w:eastAsia="Times New Roman" w:cs="Times New Roman"/>
          <w:noProof/>
        </w:rPr>
      </w:pPr>
      <w:r>
        <w:rPr>
          <w:noProof/>
        </w:rPr>
        <w:t>Kuvaus toteutuskumppanin seurantajärjestelmästä, jolla raportoidaan liikkeelle saaduista investoinneista.</w:t>
      </w:r>
    </w:p>
    <w:p w14:paraId="76AE288A" w14:textId="775E3552" w:rsidR="000E48CE" w:rsidRDefault="00FF4C4E">
      <w:pPr>
        <w:pStyle w:val="P68B1DB1-ListParagraph7"/>
        <w:numPr>
          <w:ilvl w:val="0"/>
          <w:numId w:val="274"/>
        </w:numPr>
        <w:rPr>
          <w:rFonts w:eastAsia="Times New Roman" w:cs="Times New Roman"/>
          <w:noProof/>
        </w:rPr>
      </w:pPr>
      <w:r>
        <w:rPr>
          <w:noProof/>
        </w:rPr>
        <w:t>Kuvaus toteutuskumppanin menettelyistä, joilla varmistetaan petosten, lahjonna</w:t>
      </w:r>
      <w:r>
        <w:rPr>
          <w:noProof/>
        </w:rPr>
        <w:t>n ja eturistiriitojen ehkäiseminen, havaitseminen ja korjaaminen.</w:t>
      </w:r>
    </w:p>
    <w:p w14:paraId="2A4FD3CA" w14:textId="0456EF33" w:rsidR="000E48CE" w:rsidRDefault="00FF4C4E">
      <w:pPr>
        <w:pStyle w:val="P68B1DB1-ListParagraph7"/>
        <w:numPr>
          <w:ilvl w:val="0"/>
          <w:numId w:val="274"/>
        </w:numPr>
        <w:rPr>
          <w:rFonts w:eastAsia="Times New Roman" w:cs="Times New Roman"/>
          <w:noProof/>
        </w:rPr>
      </w:pPr>
      <w:r>
        <w:rPr>
          <w:noProof/>
        </w:rPr>
        <w:t>Velvoite tarkistaa kunkin toimen tukikelpoisuus täytäntöönpanosopimuksessa ja elpymis- ja palautumistukivälineessä vahvistettujen vaatimusten mukaisesti ennen kuin se sitoutuu rahoittamaan t</w:t>
      </w:r>
      <w:r>
        <w:rPr>
          <w:noProof/>
        </w:rPr>
        <w:t>oimea.</w:t>
      </w:r>
    </w:p>
    <w:p w14:paraId="00ECEF68" w14:textId="00EDD802" w:rsidR="000E48CE" w:rsidRDefault="00FF4C4E">
      <w:pPr>
        <w:pStyle w:val="P68B1DB1-ListParagraph7"/>
        <w:numPr>
          <w:ilvl w:val="0"/>
          <w:numId w:val="274"/>
        </w:numPr>
        <w:rPr>
          <w:rFonts w:eastAsia="Times New Roman" w:cs="Times New Roman"/>
          <w:noProof/>
        </w:rPr>
      </w:pPr>
      <w:r>
        <w:rPr>
          <w:noProof/>
        </w:rPr>
        <w:t>Velvollisuus suorittaa riskiperusteisia jälkitarkastuksia ICO:n tarkastussuunnitelman mukaisesti. Näillä tarkastuksilla on varmistettava i) valvontajärjestelmien tehokkuus, mukaan lukien petosten, lahjonnan ja eturistiriitojen havaitseminen; ”ei merkittävä</w:t>
      </w:r>
      <w:r>
        <w:rPr>
          <w:noProof/>
        </w:rPr>
        <w:t>ä haittaa” -periaatteen, valtiontukisääntöjen ja ilmastotavoitteita koskevien vaatimusten noudattaminen; ja iii) noudatetaan vaatimusta, jonka mukaan välittäjän on valvottava, katetaanko samat kustannukset toisella unionin välineellä. Tarkastuksissa on myö</w:t>
      </w:r>
      <w:r>
        <w:rPr>
          <w:noProof/>
        </w:rPr>
        <w:t xml:space="preserve">s varmistettava tapahtumien laillisuus ja se, että sovellettavien täytäntöönpano- ja rahoitussopimusten ehtoja noudatetaan. </w:t>
      </w:r>
    </w:p>
    <w:p w14:paraId="56B8AD55" w14:textId="48B85017" w:rsidR="000E48CE" w:rsidRDefault="00FF4C4E">
      <w:pPr>
        <w:spacing w:after="0"/>
        <w:jc w:val="both"/>
        <w:rPr>
          <w:rFonts w:ascii="Times New Roman" w:eastAsia="Times New Roman" w:hAnsi="Times New Roman" w:cs="Times New Roman"/>
          <w:noProof/>
          <w:sz w:val="24"/>
        </w:rPr>
      </w:pPr>
      <w:r>
        <w:rPr>
          <w:rFonts w:ascii="Times New Roman" w:hAnsi="Times New Roman"/>
          <w:noProof/>
          <w:sz w:val="24"/>
        </w:rPr>
        <w:t>5. Toteutuskumppanin tekemiä ilmastoinvestointeja koskevat vaatimukset: vähintään 2122000000 euron elpymis- ja palautumistukiväline</w:t>
      </w:r>
      <w:r>
        <w:rPr>
          <w:rFonts w:ascii="Times New Roman" w:hAnsi="Times New Roman"/>
          <w:noProof/>
          <w:sz w:val="24"/>
        </w:rPr>
        <w:t>en investoinneista tukivälineeseen on edistettävä ilmastotavoitteiden saavuttamista elpymis- ja palautumistukivälinettä koskevan asetuksen liitteen VI mukaisesti.</w:t>
      </w:r>
      <w:r>
        <w:rPr>
          <w:rStyle w:val="FootnoteReference"/>
          <w:rFonts w:ascii="Times New Roman" w:hAnsi="Times New Roman" w:cs="Times New Roman"/>
          <w:noProof/>
        </w:rPr>
        <w:footnoteReference w:id="10"/>
      </w:r>
    </w:p>
    <w:p w14:paraId="32CF5D78" w14:textId="20363EB8" w:rsidR="000E48CE" w:rsidRDefault="000E48CE">
      <w:pPr>
        <w:spacing w:after="0"/>
        <w:jc w:val="both"/>
        <w:rPr>
          <w:rFonts w:ascii="Times New Roman" w:eastAsia="Times New Roman" w:hAnsi="Times New Roman" w:cs="Times New Roman"/>
          <w:noProof/>
          <w:sz w:val="24"/>
        </w:rPr>
      </w:pPr>
    </w:p>
    <w:p w14:paraId="5C10D3A9" w14:textId="3805F0B7" w:rsidR="000E48CE" w:rsidRDefault="00FF4C4E">
      <w:pPr>
        <w:pStyle w:val="P68B1DB1-Normal4"/>
        <w:spacing w:after="0"/>
        <w:jc w:val="both"/>
        <w:rPr>
          <w:rFonts w:eastAsia="Times New Roman" w:cs="Times New Roman"/>
          <w:noProof/>
        </w:rPr>
      </w:pPr>
      <w:r>
        <w:rPr>
          <w:noProof/>
        </w:rPr>
        <w:t>6. Rahoituksen välittäjien valintaa koskevat vaatimukset: ICO valitsee rahoituksen välittäj</w:t>
      </w:r>
      <w:r>
        <w:rPr>
          <w:noProof/>
        </w:rPr>
        <w:t>ät avoimella, läpinäkyvällä ja syrjimättömällä tavalla. Rahoituksenvälittäjien eturistiriitojen puuttumista koskevat tarkastukset on suoritettava etukäteen kaikkien rahoitusalan toimijoiden osalta Minervan kaltaisen tietoteknisen järjestelmän kautta.</w:t>
      </w:r>
    </w:p>
    <w:p w14:paraId="7C59C747" w14:textId="77777777" w:rsidR="000E48CE" w:rsidRDefault="000E48CE">
      <w:pPr>
        <w:spacing w:after="0"/>
        <w:jc w:val="both"/>
        <w:rPr>
          <w:rFonts w:ascii="Times New Roman" w:eastAsia="Times New Roman" w:hAnsi="Times New Roman" w:cs="Times New Roman"/>
          <w:noProof/>
          <w:sz w:val="24"/>
        </w:rPr>
      </w:pPr>
    </w:p>
    <w:p w14:paraId="504ECEFE" w14:textId="5DF50B40" w:rsidR="000E48CE" w:rsidRDefault="00FF4C4E">
      <w:pPr>
        <w:pStyle w:val="P68B1DB1-Normal4"/>
        <w:spacing w:after="0"/>
        <w:jc w:val="both"/>
        <w:rPr>
          <w:rFonts w:eastAsia="Times New Roman" w:cs="Times New Roman"/>
          <w:noProof/>
          <w:u w:val="single"/>
        </w:rPr>
      </w:pPr>
      <w:r>
        <w:rPr>
          <w:noProof/>
        </w:rPr>
        <w:t xml:space="preserve">7. </w:t>
      </w:r>
      <w:r>
        <w:rPr>
          <w:noProof/>
        </w:rPr>
        <w:t>Rahoitussopimusten allekirjoittaminen: ICO allekirjoittaa rahoituksen välittäjien kanssa rahoitussopimukset täytäntöönpanosopimuksen liitteenä olevien keskeisten vaatimusten mukaisesti. Rahoitussopimuksen keskeisiin vaatimuksiin on sisällyttävä kaikki vaat</w:t>
      </w:r>
      <w:r>
        <w:rPr>
          <w:noProof/>
        </w:rPr>
        <w:t>imukset, joiden mukaisesti rahasto toimii, mukaan lukien seuraavat:</w:t>
      </w:r>
    </w:p>
    <w:p w14:paraId="51E71FEA" w14:textId="704B31FC" w:rsidR="000E48CE" w:rsidRDefault="00FF4C4E">
      <w:pPr>
        <w:pStyle w:val="P68B1DB1-ListParagraph7"/>
        <w:numPr>
          <w:ilvl w:val="0"/>
          <w:numId w:val="274"/>
        </w:numPr>
        <w:rPr>
          <w:rFonts w:eastAsia="Times New Roman" w:cs="Times New Roman"/>
          <w:noProof/>
        </w:rPr>
      </w:pPr>
      <w:r>
        <w:rPr>
          <w:noProof/>
        </w:rPr>
        <w:t>Rahoituksen välittäjän velvollisuus tehdä päätöksensä noudattaen soveltuvin osin edellä täsmennettyjä päätöksentekoa ja sijoituspolitiikkaa koskevia vaatimuksia, mukaan lukien ”ei merkittä</w:t>
      </w:r>
      <w:r>
        <w:rPr>
          <w:noProof/>
        </w:rPr>
        <w:t>vää haittaa” -periaatteen noudattaminen.</w:t>
      </w:r>
    </w:p>
    <w:p w14:paraId="63E2C596" w14:textId="6A7B121C" w:rsidR="000E48CE" w:rsidRDefault="00FF4C4E">
      <w:pPr>
        <w:pStyle w:val="P68B1DB1-ListParagraph7"/>
        <w:numPr>
          <w:ilvl w:val="0"/>
          <w:numId w:val="274"/>
        </w:numPr>
        <w:rPr>
          <w:rFonts w:eastAsia="Times New Roman" w:cs="Times New Roman"/>
          <w:noProof/>
        </w:rPr>
      </w:pPr>
      <w:r>
        <w:rPr>
          <w:noProof/>
        </w:rPr>
        <w:lastRenderedPageBreak/>
        <w:t xml:space="preserve">Kuvaus seuranta-, tarkastus- ja valvontakehyksestä, joka rahoituksen välittäjän on otettava käyttöön ja johon sovelletaan soveltuvin osin kaikkia edellä määriteltyjä seuranta-, tarkastus- ja valvontavaatimuksia. </w:t>
      </w:r>
    </w:p>
    <w:p w14:paraId="3B66219C" w14:textId="0894DEC9" w:rsidR="000E48CE" w:rsidRDefault="00FF4C4E">
      <w:pPr>
        <w:pStyle w:val="P68B1DB1-Normal4"/>
        <w:spacing w:after="160" w:line="240" w:lineRule="auto"/>
        <w:jc w:val="both"/>
        <w:rPr>
          <w:rFonts w:cs="Times New Roman"/>
          <w:noProof/>
        </w:rPr>
      </w:pPr>
      <w:r>
        <w:rPr>
          <w:noProof/>
        </w:rPr>
        <w:t>To</w:t>
      </w:r>
      <w:r>
        <w:rPr>
          <w:noProof/>
        </w:rPr>
        <w:t>imenpiteen täytäntöönpano on saatettava päätökseen viimeistään 31 päivänä elokuuta 2026.</w:t>
      </w:r>
    </w:p>
    <w:p w14:paraId="7A01FDB1" w14:textId="07141A96" w:rsidR="000E48CE" w:rsidRDefault="00FF4C4E">
      <w:pPr>
        <w:pStyle w:val="P68B1DB1-Normal5"/>
        <w:spacing w:before="120" w:after="160" w:line="240" w:lineRule="auto"/>
        <w:ind w:left="720"/>
        <w:jc w:val="both"/>
        <w:rPr>
          <w:rFonts w:cs="Times New Roman"/>
          <w:noProof/>
        </w:rPr>
      </w:pPr>
      <w:r>
        <w:rPr>
          <w:noProof/>
        </w:rPr>
        <w:t>B.4 Lainatuen seurannan ja täytäntöönpanon välitavoitteet, tavoitteet, indikaattorit ja aikataulu</w:t>
      </w:r>
    </w:p>
    <w:p w14:paraId="0078074C" w14:textId="77777777" w:rsidR="000E48CE" w:rsidRDefault="00FF4C4E">
      <w:pPr>
        <w:pStyle w:val="P68B1DB1-Normal18"/>
        <w:spacing w:before="120" w:after="120" w:line="240" w:lineRule="auto"/>
        <w:jc w:val="both"/>
        <w:rPr>
          <w:rFonts w:cs="Times New Roman"/>
          <w:noProof/>
        </w:rPr>
        <w:sectPr w:rsidR="000E48CE" w:rsidSect="00B90E2C">
          <w:headerReference w:type="even" r:id="rId54"/>
          <w:headerReference w:type="default" r:id="rId55"/>
          <w:footerReference w:type="even" r:id="rId56"/>
          <w:footerReference w:type="default" r:id="rId57"/>
          <w:headerReference w:type="first" r:id="rId58"/>
          <w:footerReference w:type="first" r:id="rId59"/>
          <w:pgSz w:w="11907" w:h="16839"/>
          <w:pgMar w:top="1134" w:right="1417" w:bottom="1134" w:left="1417" w:header="709" w:footer="709" w:gutter="0"/>
          <w:cols w:space="720"/>
          <w:docGrid w:linePitch="360"/>
        </w:sectPr>
      </w:pPr>
      <w:r>
        <w:rPr>
          <w:noProof/>
        </w:rPr>
        <w:t>Ks. tauluk</w:t>
      </w:r>
      <w:r>
        <w:rPr>
          <w:noProof/>
        </w:rPr>
        <w:t xml:space="preserve">ko jäljempänä. Kaikkien indikaattoreiden perustaso on 1. helmikuuta 2020, ellei toimen kuvauksessa toisin ilmoiteta. </w:t>
      </w:r>
    </w:p>
    <w:p w14:paraId="734892DB" w14:textId="4694793E" w:rsidR="000E48CE" w:rsidRDefault="000E48CE">
      <w:pPr>
        <w:spacing w:before="120" w:after="120" w:line="240" w:lineRule="auto"/>
        <w:jc w:val="both"/>
        <w:rPr>
          <w:rFonts w:ascii="Times New Roman" w:hAnsi="Times New Roman" w:cs="Times New Roman"/>
          <w:i/>
          <w:noProof/>
          <w:sz w:val="24"/>
        </w:rPr>
        <w:sectPr w:rsidR="000E48CE" w:rsidSect="00865B1F">
          <w:headerReference w:type="even" r:id="rId60"/>
          <w:headerReference w:type="default" r:id="rId61"/>
          <w:footerReference w:type="even" r:id="rId62"/>
          <w:footerReference w:type="default" r:id="rId63"/>
          <w:headerReference w:type="first" r:id="rId64"/>
          <w:footerReference w:type="first" r:id="rId65"/>
          <w:type w:val="continuous"/>
          <w:pgSz w:w="11907" w:h="16839"/>
          <w:pgMar w:top="1134" w:right="1417" w:bottom="1134" w:left="1417" w:header="709" w:footer="709" w:gutter="0"/>
          <w:cols w:space="720"/>
          <w:docGrid w:linePitch="360"/>
        </w:sectPr>
      </w:pPr>
    </w:p>
    <w:p w14:paraId="48C9FD97" w14:textId="17BC93ED" w:rsidR="000E48CE" w:rsidRDefault="000E48CE">
      <w:pPr>
        <w:rPr>
          <w:rFonts w:ascii="Times New Roman" w:hAnsi="Times New Roman" w:cs="Times New Roman"/>
          <w:noProof/>
          <w:sz w:val="24"/>
        </w:rPr>
        <w:sectPr w:rsidR="000E48CE" w:rsidSect="00865B1F">
          <w:headerReference w:type="even" r:id="rId66"/>
          <w:headerReference w:type="default" r:id="rId67"/>
          <w:footerReference w:type="even" r:id="rId68"/>
          <w:footerReference w:type="default" r:id="rId69"/>
          <w:headerReference w:type="first" r:id="rId70"/>
          <w:footerReference w:type="first" r:id="rId71"/>
          <w:type w:val="continuous"/>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275"/>
        <w:gridCol w:w="851"/>
        <w:gridCol w:w="567"/>
        <w:gridCol w:w="615"/>
        <w:gridCol w:w="377"/>
        <w:gridCol w:w="567"/>
        <w:gridCol w:w="7088"/>
      </w:tblGrid>
      <w:tr w:rsidR="000E48CE" w14:paraId="53E9F9D5" w14:textId="77777777">
        <w:trPr>
          <w:trHeight w:val="309"/>
          <w:tblHeader/>
        </w:trPr>
        <w:tc>
          <w:tcPr>
            <w:tcW w:w="709" w:type="dxa"/>
            <w:tcBorders>
              <w:bottom w:val="nil"/>
            </w:tcBorders>
            <w:shd w:val="clear" w:color="auto" w:fill="C6D9F1" w:themeFill="text2" w:themeFillTint="33"/>
            <w:noWrap/>
            <w:vAlign w:val="center"/>
          </w:tcPr>
          <w:p w14:paraId="7D2F5074" w14:textId="19B273CC" w:rsidR="000E48CE" w:rsidRDefault="00FF4C4E">
            <w:pPr>
              <w:pStyle w:val="P68B1DB1-Normal12"/>
              <w:spacing w:after="0" w:line="240" w:lineRule="auto"/>
              <w:jc w:val="center"/>
              <w:rPr>
                <w:rFonts w:cs="Times New Roman"/>
                <w:noProof/>
              </w:rPr>
            </w:pPr>
            <w:r>
              <w:rPr>
                <w:noProof/>
              </w:rPr>
              <w:lastRenderedPageBreak/>
              <w:t>Määrä</w:t>
            </w:r>
          </w:p>
        </w:tc>
        <w:tc>
          <w:tcPr>
            <w:tcW w:w="851" w:type="dxa"/>
            <w:tcBorders>
              <w:bottom w:val="nil"/>
            </w:tcBorders>
            <w:shd w:val="clear" w:color="auto" w:fill="C6D9F1" w:themeFill="text2" w:themeFillTint="33"/>
            <w:noWrap/>
            <w:vAlign w:val="center"/>
          </w:tcPr>
          <w:p w14:paraId="1B2E6169" w14:textId="19B273CC"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5D5BC8F1" w14:textId="19B273CC" w:rsidR="000E48CE" w:rsidRDefault="00FF4C4E">
            <w:pPr>
              <w:pStyle w:val="P68B1DB1-Normal8"/>
              <w:spacing w:after="0" w:line="240" w:lineRule="auto"/>
              <w:jc w:val="center"/>
              <w:rPr>
                <w:rFonts w:cs="Times New Roman"/>
                <w:b/>
                <w:noProof/>
                <w:sz w:val="18"/>
              </w:rPr>
            </w:pPr>
            <w:r>
              <w:rPr>
                <w:b/>
                <w:noProof/>
                <w:sz w:val="18"/>
              </w:rPr>
              <w:t>Välitavoite</w:t>
            </w:r>
            <w:r>
              <w:rPr>
                <w:noProof/>
              </w:rPr>
              <w:br/>
            </w:r>
            <w:r>
              <w:rPr>
                <w:b/>
                <w:noProof/>
                <w:sz w:val="18"/>
              </w:rPr>
              <w:t xml:space="preserve"> /Kohde</w:t>
            </w:r>
          </w:p>
        </w:tc>
        <w:tc>
          <w:tcPr>
            <w:tcW w:w="1560" w:type="dxa"/>
            <w:tcBorders>
              <w:bottom w:val="nil"/>
            </w:tcBorders>
            <w:shd w:val="clear" w:color="auto" w:fill="C6D9F1" w:themeFill="text2" w:themeFillTint="33"/>
            <w:noWrap/>
            <w:vAlign w:val="center"/>
          </w:tcPr>
          <w:p w14:paraId="2538B08D" w14:textId="19B273CC" w:rsidR="000E48CE" w:rsidRDefault="00FF4C4E">
            <w:pPr>
              <w:pStyle w:val="P68B1DB1-Normal12"/>
              <w:spacing w:after="0" w:line="240" w:lineRule="auto"/>
              <w:jc w:val="center"/>
              <w:rPr>
                <w:rFonts w:cs="Times New Roman"/>
                <w:noProof/>
              </w:rPr>
            </w:pPr>
            <w:r>
              <w:rPr>
                <w:noProof/>
              </w:rPr>
              <w:t>Nimi</w:t>
            </w:r>
          </w:p>
        </w:tc>
        <w:tc>
          <w:tcPr>
            <w:tcW w:w="1275" w:type="dxa"/>
            <w:tcBorders>
              <w:bottom w:val="nil"/>
            </w:tcBorders>
            <w:shd w:val="clear" w:color="auto" w:fill="C6D9F1" w:themeFill="text2" w:themeFillTint="33"/>
            <w:noWrap/>
            <w:vAlign w:val="center"/>
          </w:tcPr>
          <w:p w14:paraId="0AD9D363" w14:textId="19B273CC" w:rsidR="000E48CE" w:rsidRDefault="00FF4C4E">
            <w:pPr>
              <w:pStyle w:val="P68B1DB1-Normal12"/>
              <w:spacing w:after="0" w:line="240" w:lineRule="auto"/>
              <w:jc w:val="center"/>
              <w:rPr>
                <w:rFonts w:cs="Times New Roman"/>
                <w:noProof/>
              </w:rPr>
            </w:pPr>
            <w:r>
              <w:rPr>
                <w:noProof/>
              </w:rPr>
              <w:t>Välitavoitteiden laadullinen indikaattori</w:t>
            </w:r>
          </w:p>
        </w:tc>
        <w:tc>
          <w:tcPr>
            <w:tcW w:w="2033" w:type="dxa"/>
            <w:gridSpan w:val="3"/>
            <w:shd w:val="clear" w:color="auto" w:fill="C6D9F1" w:themeFill="text2" w:themeFillTint="33"/>
            <w:noWrap/>
            <w:vAlign w:val="center"/>
          </w:tcPr>
          <w:p w14:paraId="618F3F59" w14:textId="19B273CC" w:rsidR="000E48CE" w:rsidRDefault="00FF4C4E">
            <w:pPr>
              <w:pStyle w:val="P68B1DB1-Normal12"/>
              <w:spacing w:after="0" w:line="240" w:lineRule="auto"/>
              <w:jc w:val="center"/>
              <w:rPr>
                <w:rFonts w:cs="Times New Roman"/>
                <w:noProof/>
              </w:rPr>
            </w:pPr>
            <w:r>
              <w:rPr>
                <w:noProof/>
              </w:rPr>
              <w:t>Määrällinen indikaattori tavoitteelle</w:t>
            </w:r>
          </w:p>
        </w:tc>
        <w:tc>
          <w:tcPr>
            <w:tcW w:w="944" w:type="dxa"/>
            <w:gridSpan w:val="2"/>
            <w:shd w:val="clear" w:color="auto" w:fill="C6D9F1" w:themeFill="text2" w:themeFillTint="33"/>
            <w:noWrap/>
            <w:vAlign w:val="center"/>
          </w:tcPr>
          <w:p w14:paraId="4F7E36FC" w14:textId="19B273CC" w:rsidR="000E48CE" w:rsidRDefault="00FF4C4E">
            <w:pPr>
              <w:pStyle w:val="P68B1DB1-Normal12"/>
              <w:spacing w:after="0" w:line="240" w:lineRule="auto"/>
              <w:jc w:val="center"/>
              <w:rPr>
                <w:rFonts w:cs="Times New Roman"/>
                <w:noProof/>
              </w:rPr>
            </w:pPr>
            <w:r>
              <w:rPr>
                <w:noProof/>
              </w:rPr>
              <w:t>Aika</w:t>
            </w:r>
          </w:p>
        </w:tc>
        <w:tc>
          <w:tcPr>
            <w:tcW w:w="7088" w:type="dxa"/>
            <w:tcBorders>
              <w:bottom w:val="nil"/>
            </w:tcBorders>
            <w:shd w:val="clear" w:color="auto" w:fill="C6D9F1" w:themeFill="text2" w:themeFillTint="33"/>
            <w:noWrap/>
            <w:vAlign w:val="center"/>
          </w:tcPr>
          <w:p w14:paraId="381052D7" w14:textId="19B273CC"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00542BF5" w14:textId="77777777">
        <w:trPr>
          <w:trHeight w:val="309"/>
          <w:tblHeader/>
        </w:trPr>
        <w:tc>
          <w:tcPr>
            <w:tcW w:w="709" w:type="dxa"/>
            <w:tcBorders>
              <w:top w:val="nil"/>
            </w:tcBorders>
            <w:shd w:val="clear" w:color="auto" w:fill="C6D9F1" w:themeFill="text2" w:themeFillTint="33"/>
            <w:noWrap/>
          </w:tcPr>
          <w:p w14:paraId="685FBC61"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BCACC00"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E00F204" w14:textId="77777777" w:rsidR="000E48CE" w:rsidRDefault="000E48CE">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35517160" w14:textId="77777777" w:rsidR="000E48CE" w:rsidRDefault="000E48CE">
            <w:pPr>
              <w:spacing w:after="0" w:line="240" w:lineRule="auto"/>
              <w:rPr>
                <w:rFonts w:ascii="Times New Roman" w:hAnsi="Times New Roman" w:cs="Times New Roman"/>
                <w:b/>
                <w:noProof/>
                <w:sz w:val="18"/>
              </w:rPr>
            </w:pPr>
          </w:p>
        </w:tc>
        <w:tc>
          <w:tcPr>
            <w:tcW w:w="1275" w:type="dxa"/>
            <w:tcBorders>
              <w:top w:val="nil"/>
            </w:tcBorders>
            <w:shd w:val="clear" w:color="auto" w:fill="C6D9F1" w:themeFill="text2" w:themeFillTint="33"/>
            <w:noWrap/>
          </w:tcPr>
          <w:p w14:paraId="10773556" w14:textId="77777777" w:rsidR="000E48CE" w:rsidRDefault="000E48CE">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vAlign w:val="center"/>
          </w:tcPr>
          <w:p w14:paraId="4845E654" w14:textId="19B273CC"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vAlign w:val="center"/>
          </w:tcPr>
          <w:p w14:paraId="3CA2064C" w14:textId="19B273CC" w:rsidR="000E48CE" w:rsidRDefault="00FF4C4E">
            <w:pPr>
              <w:pStyle w:val="P68B1DB1-Normal12"/>
              <w:spacing w:after="0" w:line="240" w:lineRule="auto"/>
              <w:jc w:val="center"/>
              <w:rPr>
                <w:rFonts w:cs="Times New Roman"/>
                <w:noProof/>
              </w:rPr>
            </w:pPr>
            <w:r>
              <w:rPr>
                <w:noProof/>
              </w:rPr>
              <w:t>Perusviiva</w:t>
            </w:r>
          </w:p>
        </w:tc>
        <w:tc>
          <w:tcPr>
            <w:tcW w:w="615" w:type="dxa"/>
            <w:shd w:val="clear" w:color="auto" w:fill="C6D9F1" w:themeFill="text2" w:themeFillTint="33"/>
            <w:noWrap/>
            <w:vAlign w:val="center"/>
          </w:tcPr>
          <w:p w14:paraId="2ED86D06" w14:textId="19B273CC" w:rsidR="000E48CE" w:rsidRDefault="00FF4C4E">
            <w:pPr>
              <w:pStyle w:val="P68B1DB1-Normal12"/>
              <w:spacing w:after="0" w:line="240" w:lineRule="auto"/>
              <w:jc w:val="center"/>
              <w:rPr>
                <w:rFonts w:cs="Times New Roman"/>
                <w:noProof/>
              </w:rPr>
            </w:pPr>
            <w:r>
              <w:rPr>
                <w:noProof/>
              </w:rPr>
              <w:t>Päämäärä</w:t>
            </w:r>
          </w:p>
        </w:tc>
        <w:tc>
          <w:tcPr>
            <w:tcW w:w="377" w:type="dxa"/>
            <w:shd w:val="clear" w:color="auto" w:fill="C6D9F1" w:themeFill="text2" w:themeFillTint="33"/>
            <w:noWrap/>
            <w:vAlign w:val="center"/>
          </w:tcPr>
          <w:p w14:paraId="3FDB49BC" w14:textId="19B273CC"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5AA880DF" w14:textId="19B273CC" w:rsidR="000E48CE" w:rsidRDefault="00FF4C4E">
            <w:pPr>
              <w:pStyle w:val="P68B1DB1-Normal12"/>
              <w:spacing w:after="0" w:line="240" w:lineRule="auto"/>
              <w:jc w:val="center"/>
              <w:rPr>
                <w:rFonts w:cs="Times New Roman"/>
                <w:noProof/>
              </w:rPr>
            </w:pPr>
            <w:r>
              <w:rPr>
                <w:noProof/>
              </w:rPr>
              <w:t>Vuosi</w:t>
            </w:r>
          </w:p>
        </w:tc>
        <w:tc>
          <w:tcPr>
            <w:tcW w:w="7088" w:type="dxa"/>
            <w:tcBorders>
              <w:top w:val="nil"/>
            </w:tcBorders>
            <w:shd w:val="clear" w:color="auto" w:fill="C6D9F1" w:themeFill="text2" w:themeFillTint="33"/>
            <w:noWrap/>
          </w:tcPr>
          <w:p w14:paraId="0D64C11C" w14:textId="77777777" w:rsidR="000E48CE" w:rsidRDefault="000E48CE">
            <w:pPr>
              <w:spacing w:after="0" w:line="240" w:lineRule="auto"/>
              <w:rPr>
                <w:rFonts w:ascii="Times New Roman" w:hAnsi="Times New Roman" w:cs="Times New Roman"/>
                <w:b/>
                <w:noProof/>
                <w:sz w:val="18"/>
              </w:rPr>
            </w:pPr>
          </w:p>
        </w:tc>
      </w:tr>
      <w:tr w:rsidR="000E48CE" w14:paraId="47249D9F" w14:textId="77777777">
        <w:trPr>
          <w:trHeight w:val="309"/>
        </w:trPr>
        <w:tc>
          <w:tcPr>
            <w:tcW w:w="709" w:type="dxa"/>
            <w:shd w:val="clear" w:color="auto" w:fill="C6EFCE"/>
            <w:noWrap/>
          </w:tcPr>
          <w:p w14:paraId="562D5F81" w14:textId="6A6FF0B0" w:rsidR="000E48CE" w:rsidRDefault="00FF4C4E">
            <w:pPr>
              <w:pStyle w:val="P68B1DB1-Normal13"/>
              <w:spacing w:after="0" w:line="240" w:lineRule="auto"/>
              <w:jc w:val="center"/>
              <w:rPr>
                <w:rFonts w:cs="Times New Roman"/>
                <w:noProof/>
              </w:rPr>
            </w:pPr>
            <w:r>
              <w:rPr>
                <w:noProof/>
              </w:rPr>
              <w:t>L2</w:t>
            </w:r>
          </w:p>
        </w:tc>
        <w:tc>
          <w:tcPr>
            <w:tcW w:w="851" w:type="dxa"/>
            <w:shd w:val="clear" w:color="auto" w:fill="C6EFCE"/>
            <w:noWrap/>
          </w:tcPr>
          <w:p w14:paraId="25B5B9CC" w14:textId="04C0F159" w:rsidR="000E48CE" w:rsidRDefault="00FF4C4E">
            <w:pPr>
              <w:pStyle w:val="P68B1DB1-Normal13"/>
              <w:spacing w:after="0" w:line="240" w:lineRule="auto"/>
              <w:jc w:val="center"/>
              <w:rPr>
                <w:rFonts w:eastAsia="MS Mincho" w:cs="Times New Roman"/>
                <w:noProof/>
              </w:rPr>
            </w:pPr>
            <w:r>
              <w:rPr>
                <w:noProof/>
              </w:rPr>
              <w:t>C2.R7</w:t>
            </w:r>
          </w:p>
        </w:tc>
        <w:tc>
          <w:tcPr>
            <w:tcW w:w="850" w:type="dxa"/>
            <w:shd w:val="clear" w:color="auto" w:fill="C6EFCE"/>
            <w:noWrap/>
          </w:tcPr>
          <w:p w14:paraId="47A58A18" w14:textId="04C0F159" w:rsidR="000E48CE" w:rsidRDefault="00FF4C4E">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34AFA365" w14:textId="5D0596A8" w:rsidR="000E48CE" w:rsidRDefault="00FF4C4E">
            <w:pPr>
              <w:pStyle w:val="P68B1DB1-Normal13"/>
              <w:spacing w:after="0" w:line="240" w:lineRule="auto"/>
              <w:rPr>
                <w:rFonts w:eastAsia="MS Mincho" w:cs="Times New Roman"/>
                <w:noProof/>
              </w:rPr>
            </w:pPr>
            <w:r>
              <w:rPr>
                <w:noProof/>
              </w:rPr>
              <w:t xml:space="preserve">Maa- ja kaupunkialueiden kuntoutuslain konsolidoidun tekstin muutoksen voimaantulo </w:t>
            </w:r>
          </w:p>
        </w:tc>
        <w:tc>
          <w:tcPr>
            <w:tcW w:w="1275" w:type="dxa"/>
            <w:shd w:val="clear" w:color="auto" w:fill="C6EFCE"/>
            <w:noWrap/>
          </w:tcPr>
          <w:p w14:paraId="511C2A04" w14:textId="3A7195F4" w:rsidR="000E48CE" w:rsidRDefault="00FF4C4E">
            <w:pPr>
              <w:pStyle w:val="P68B1DB1-Normal13"/>
              <w:spacing w:after="0" w:line="240" w:lineRule="auto"/>
              <w:jc w:val="center"/>
              <w:rPr>
                <w:rFonts w:eastAsia="MS Mincho" w:cs="Times New Roman"/>
                <w:noProof/>
              </w:rPr>
            </w:pPr>
            <w:r>
              <w:rPr>
                <w:noProof/>
              </w:rPr>
              <w:t>Tarkistetun lain voimaantulosäännös</w:t>
            </w:r>
          </w:p>
        </w:tc>
        <w:tc>
          <w:tcPr>
            <w:tcW w:w="851" w:type="dxa"/>
            <w:shd w:val="clear" w:color="auto" w:fill="C6EFCE"/>
            <w:noWrap/>
          </w:tcPr>
          <w:p w14:paraId="4084AA81" w14:textId="77777777" w:rsidR="000E48CE" w:rsidRDefault="000E48CE">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3C8DE28B" w14:textId="77777777" w:rsidR="000E48CE" w:rsidRDefault="000E48CE">
            <w:pPr>
              <w:spacing w:after="0" w:line="240" w:lineRule="auto"/>
              <w:jc w:val="right"/>
              <w:rPr>
                <w:rFonts w:ascii="Times New Roman" w:eastAsia="MS Mincho" w:hAnsi="Times New Roman" w:cs="Times New Roman"/>
                <w:noProof/>
                <w:sz w:val="18"/>
              </w:rPr>
            </w:pPr>
          </w:p>
        </w:tc>
        <w:tc>
          <w:tcPr>
            <w:tcW w:w="615" w:type="dxa"/>
            <w:shd w:val="clear" w:color="auto" w:fill="C6EFCE"/>
            <w:noWrap/>
          </w:tcPr>
          <w:p w14:paraId="2A38B382" w14:textId="77777777" w:rsidR="000E48CE" w:rsidRDefault="000E48CE">
            <w:pPr>
              <w:spacing w:after="0" w:line="240" w:lineRule="auto"/>
              <w:jc w:val="right"/>
              <w:rPr>
                <w:rFonts w:ascii="Times New Roman" w:eastAsia="MS Mincho" w:hAnsi="Times New Roman" w:cs="Times New Roman"/>
                <w:noProof/>
                <w:sz w:val="18"/>
              </w:rPr>
            </w:pPr>
          </w:p>
        </w:tc>
        <w:tc>
          <w:tcPr>
            <w:tcW w:w="377" w:type="dxa"/>
            <w:shd w:val="clear" w:color="auto" w:fill="C6EFCE"/>
            <w:noWrap/>
          </w:tcPr>
          <w:p w14:paraId="5C4B40DD" w14:textId="4C8BF3DC"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4E0458CB" w14:textId="4C86333E" w:rsidR="000E48CE" w:rsidRDefault="00FF4C4E">
            <w:pPr>
              <w:pStyle w:val="P68B1DB1-Normal13"/>
              <w:spacing w:after="0" w:line="240" w:lineRule="auto"/>
              <w:jc w:val="center"/>
              <w:rPr>
                <w:rFonts w:eastAsia="MS Mincho" w:cs="Times New Roman"/>
                <w:noProof/>
              </w:rPr>
            </w:pPr>
            <w:r>
              <w:rPr>
                <w:noProof/>
              </w:rPr>
              <w:t xml:space="preserve"> 2025</w:t>
            </w:r>
          </w:p>
        </w:tc>
        <w:tc>
          <w:tcPr>
            <w:tcW w:w="7088" w:type="dxa"/>
            <w:shd w:val="clear" w:color="auto" w:fill="C6EFCE"/>
            <w:noWrap/>
          </w:tcPr>
          <w:p w14:paraId="17CF3CEA" w14:textId="5E1751E3" w:rsidR="000E48CE" w:rsidRDefault="00FF4C4E">
            <w:pPr>
              <w:pStyle w:val="P68B1DB1-Normal13"/>
              <w:spacing w:after="0" w:line="240" w:lineRule="auto"/>
              <w:jc w:val="both"/>
              <w:rPr>
                <w:rFonts w:eastAsia="MS Mincho" w:cs="Times New Roman"/>
                <w:noProof/>
              </w:rPr>
            </w:pPr>
            <w:r>
              <w:rPr>
                <w:noProof/>
              </w:rPr>
              <w:t>Maa- ja kaupunkialueiden kuntoutuslain konsolidoidun tekstin muutos, joka hyväksyttiin 30. lokakuuta annetulla kuninkaan ase</w:t>
            </w:r>
            <w:r>
              <w:rPr>
                <w:noProof/>
              </w:rPr>
              <w:t>tuksella 7/2015, tulee voimaan. Muutoksella otetaan käyttöön toimenpiteitä, joilla nopeutetaan rakennusten kunnostamiseen ja rakennusten rakentamiseen sosiaalista asuntotarjontaa varten liittyviä kaupunkisuunnittelumenettelyjä.</w:t>
            </w:r>
          </w:p>
        </w:tc>
      </w:tr>
      <w:tr w:rsidR="000E48CE" w14:paraId="07844CC8" w14:textId="77777777">
        <w:trPr>
          <w:trHeight w:val="309"/>
        </w:trPr>
        <w:tc>
          <w:tcPr>
            <w:tcW w:w="709" w:type="dxa"/>
            <w:shd w:val="clear" w:color="auto" w:fill="C6EFCE"/>
            <w:noWrap/>
          </w:tcPr>
          <w:p w14:paraId="0873ECA3" w14:textId="49855681" w:rsidR="000E48CE" w:rsidRDefault="00FF4C4E">
            <w:pPr>
              <w:pStyle w:val="P68B1DB1-Normal13"/>
              <w:spacing w:after="0" w:line="240" w:lineRule="auto"/>
              <w:jc w:val="center"/>
              <w:rPr>
                <w:rFonts w:cs="Times New Roman"/>
                <w:noProof/>
              </w:rPr>
            </w:pPr>
            <w:r>
              <w:rPr>
                <w:noProof/>
              </w:rPr>
              <w:t>L3</w:t>
            </w:r>
          </w:p>
        </w:tc>
        <w:tc>
          <w:tcPr>
            <w:tcW w:w="851" w:type="dxa"/>
            <w:shd w:val="clear" w:color="auto" w:fill="C6EFCE"/>
            <w:noWrap/>
          </w:tcPr>
          <w:p w14:paraId="6249CDB4" w14:textId="04C0F159" w:rsidR="000E48CE" w:rsidRDefault="00FF4C4E">
            <w:pPr>
              <w:pStyle w:val="P68B1DB1-Normal13"/>
              <w:spacing w:after="0" w:line="240" w:lineRule="auto"/>
              <w:jc w:val="center"/>
              <w:rPr>
                <w:rFonts w:eastAsia="MS Mincho" w:cs="Times New Roman"/>
                <w:noProof/>
              </w:rPr>
            </w:pPr>
            <w:r>
              <w:rPr>
                <w:noProof/>
              </w:rPr>
              <w:t>C2.R7</w:t>
            </w:r>
          </w:p>
        </w:tc>
        <w:tc>
          <w:tcPr>
            <w:tcW w:w="850" w:type="dxa"/>
            <w:shd w:val="clear" w:color="auto" w:fill="C6EFCE"/>
            <w:noWrap/>
          </w:tcPr>
          <w:p w14:paraId="44655DD6" w14:textId="04C0F159" w:rsidR="000E48CE" w:rsidRDefault="00FF4C4E">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7FCDC6B6" w14:textId="04C0F159" w:rsidR="000E48CE" w:rsidRDefault="00FF4C4E">
            <w:pPr>
              <w:pStyle w:val="P68B1DB1-Normal13"/>
              <w:spacing w:after="0" w:line="240" w:lineRule="auto"/>
              <w:rPr>
                <w:rFonts w:eastAsia="MS Mincho" w:cs="Times New Roman"/>
                <w:noProof/>
              </w:rPr>
            </w:pPr>
            <w:r>
              <w:rPr>
                <w:noProof/>
              </w:rPr>
              <w:t xml:space="preserve">Parhaiden </w:t>
            </w:r>
            <w:r>
              <w:rPr>
                <w:noProof/>
              </w:rPr>
              <w:t>käytäntöjen oppaan julkaiseminen kaavoituslupamenettelyjen yksinkertaistamiseksi ja virtaviivaistamiseksi</w:t>
            </w:r>
          </w:p>
        </w:tc>
        <w:tc>
          <w:tcPr>
            <w:tcW w:w="1275" w:type="dxa"/>
            <w:shd w:val="clear" w:color="auto" w:fill="C6EFCE"/>
            <w:noWrap/>
          </w:tcPr>
          <w:p w14:paraId="144D2A82" w14:textId="54EF3D42" w:rsidR="000E48CE" w:rsidRDefault="00FF4C4E">
            <w:pPr>
              <w:pStyle w:val="P68B1DB1-Normal13"/>
              <w:spacing w:after="0" w:line="240" w:lineRule="auto"/>
              <w:jc w:val="center"/>
              <w:rPr>
                <w:rFonts w:eastAsia="MS Mincho" w:cs="Times New Roman"/>
                <w:noProof/>
              </w:rPr>
            </w:pPr>
            <w:r>
              <w:rPr>
                <w:noProof/>
              </w:rPr>
              <w:t>Julkaiseminen verkossa</w:t>
            </w:r>
          </w:p>
        </w:tc>
        <w:tc>
          <w:tcPr>
            <w:tcW w:w="851" w:type="dxa"/>
            <w:shd w:val="clear" w:color="auto" w:fill="C6EFCE"/>
            <w:noWrap/>
          </w:tcPr>
          <w:p w14:paraId="6F647066" w14:textId="343CA82C" w:rsidR="000E48CE" w:rsidRDefault="000E48CE">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7B38FB94" w14:textId="57EB123C" w:rsidR="000E48CE" w:rsidRDefault="000E48CE">
            <w:pPr>
              <w:spacing w:after="0" w:line="240" w:lineRule="auto"/>
              <w:jc w:val="right"/>
              <w:rPr>
                <w:rFonts w:ascii="Times New Roman" w:eastAsia="MS Mincho" w:hAnsi="Times New Roman" w:cs="Times New Roman"/>
                <w:noProof/>
                <w:sz w:val="18"/>
              </w:rPr>
            </w:pPr>
          </w:p>
        </w:tc>
        <w:tc>
          <w:tcPr>
            <w:tcW w:w="615" w:type="dxa"/>
            <w:shd w:val="clear" w:color="auto" w:fill="C6EFCE"/>
            <w:noWrap/>
          </w:tcPr>
          <w:p w14:paraId="541846CA" w14:textId="3768BCF4" w:rsidR="000E48CE" w:rsidRDefault="000E48CE">
            <w:pPr>
              <w:spacing w:after="0" w:line="240" w:lineRule="auto"/>
              <w:jc w:val="right"/>
              <w:rPr>
                <w:rFonts w:ascii="Times New Roman" w:eastAsia="MS Mincho" w:hAnsi="Times New Roman" w:cs="Times New Roman"/>
                <w:noProof/>
                <w:sz w:val="18"/>
              </w:rPr>
            </w:pPr>
          </w:p>
        </w:tc>
        <w:tc>
          <w:tcPr>
            <w:tcW w:w="377" w:type="dxa"/>
            <w:shd w:val="clear" w:color="auto" w:fill="C6EFCE"/>
            <w:noWrap/>
          </w:tcPr>
          <w:p w14:paraId="42608E1F" w14:textId="088E2098"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0D3913D5" w14:textId="27794172" w:rsidR="000E48CE" w:rsidRDefault="00FF4C4E">
            <w:pPr>
              <w:pStyle w:val="P68B1DB1-Normal13"/>
              <w:spacing w:after="0" w:line="240" w:lineRule="auto"/>
              <w:jc w:val="center"/>
              <w:rPr>
                <w:rFonts w:eastAsia="MS Mincho" w:cs="Times New Roman"/>
                <w:noProof/>
              </w:rPr>
            </w:pPr>
            <w:r>
              <w:rPr>
                <w:noProof/>
              </w:rPr>
              <w:t>2025</w:t>
            </w:r>
          </w:p>
        </w:tc>
        <w:tc>
          <w:tcPr>
            <w:tcW w:w="7088" w:type="dxa"/>
            <w:shd w:val="clear" w:color="auto" w:fill="C6EFCE"/>
            <w:noWrap/>
          </w:tcPr>
          <w:p w14:paraId="61BA7A50" w14:textId="3FAD521F" w:rsidR="000E48CE" w:rsidRDefault="00FF4C4E">
            <w:pPr>
              <w:pStyle w:val="P68B1DB1-Normal13"/>
              <w:spacing w:after="0" w:line="240" w:lineRule="auto"/>
              <w:jc w:val="both"/>
              <w:rPr>
                <w:rFonts w:cs="Times New Roman"/>
                <w:noProof/>
              </w:rPr>
            </w:pPr>
            <w:r>
              <w:rPr>
                <w:noProof/>
              </w:rPr>
              <w:t>Julkaistaan suosituksia ja parhaita käytäntöjä sisältävä opas, jonka tarkoituksena on yksinkertaistaa ja nopeuttaa k</w:t>
            </w:r>
            <w:r>
              <w:rPr>
                <w:noProof/>
              </w:rPr>
              <w:t>aupunkisuunnittelun lupamenettelyjä kannustamalla i) tietojen ja kokemusten vaihtoon paikallis-, alue- ja keskushallinnon viranomaisten välillä, ii) toimenpiteitä prosessien systematisoimiseksi ja optimoimiseksi ja iii) pilottihankkeiden tulevaa kehittämis</w:t>
            </w:r>
            <w:r>
              <w:rPr>
                <w:noProof/>
              </w:rPr>
              <w:t>tä erilaisissa alueellisissa yhteyksissä.</w:t>
            </w:r>
          </w:p>
        </w:tc>
      </w:tr>
      <w:tr w:rsidR="000E48CE" w14:paraId="38D56DF5" w14:textId="77777777">
        <w:trPr>
          <w:trHeight w:val="309"/>
        </w:trPr>
        <w:tc>
          <w:tcPr>
            <w:tcW w:w="709" w:type="dxa"/>
            <w:shd w:val="clear" w:color="auto" w:fill="C6EFCE"/>
            <w:noWrap/>
          </w:tcPr>
          <w:p w14:paraId="581D0E86" w14:textId="61284E5C" w:rsidR="000E48CE" w:rsidRDefault="00FF4C4E">
            <w:pPr>
              <w:pStyle w:val="P68B1DB1-Normal13"/>
              <w:spacing w:after="0" w:line="240" w:lineRule="auto"/>
              <w:jc w:val="center"/>
              <w:rPr>
                <w:rFonts w:cs="Times New Roman"/>
                <w:noProof/>
              </w:rPr>
            </w:pPr>
            <w:r>
              <w:rPr>
                <w:noProof/>
              </w:rPr>
              <w:t>L4</w:t>
            </w:r>
          </w:p>
        </w:tc>
        <w:tc>
          <w:tcPr>
            <w:tcW w:w="851" w:type="dxa"/>
            <w:shd w:val="clear" w:color="auto" w:fill="C6EFCE"/>
            <w:noWrap/>
          </w:tcPr>
          <w:p w14:paraId="6DC31959" w14:textId="3382D85A" w:rsidR="000E48CE" w:rsidRDefault="00FF4C4E">
            <w:pPr>
              <w:pStyle w:val="P68B1DB1-Normal13"/>
              <w:spacing w:after="0" w:line="240" w:lineRule="auto"/>
              <w:jc w:val="center"/>
              <w:rPr>
                <w:rFonts w:cs="Times New Roman"/>
                <w:noProof/>
              </w:rPr>
            </w:pPr>
            <w:r>
              <w:rPr>
                <w:noProof/>
              </w:rPr>
              <w:t>C2.I7</w:t>
            </w:r>
          </w:p>
        </w:tc>
        <w:tc>
          <w:tcPr>
            <w:tcW w:w="850" w:type="dxa"/>
            <w:shd w:val="clear" w:color="auto" w:fill="C6EFCE"/>
            <w:noWrap/>
          </w:tcPr>
          <w:p w14:paraId="70B05008" w14:textId="04C0F159" w:rsidR="000E48CE" w:rsidRDefault="00FF4C4E">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36FB47E8" w14:textId="5CCF2693" w:rsidR="000E48CE" w:rsidRDefault="00FF4C4E">
            <w:pPr>
              <w:pStyle w:val="P68B1DB1-Normal13"/>
              <w:spacing w:after="0" w:line="240" w:lineRule="auto"/>
              <w:rPr>
                <w:rFonts w:eastAsia="MS Mincho" w:cs="Times New Roman"/>
                <w:noProof/>
              </w:rPr>
            </w:pPr>
            <w:r>
              <w:rPr>
                <w:noProof/>
              </w:rPr>
              <w:t>Täytäntöönpanosopimus</w:t>
            </w:r>
          </w:p>
        </w:tc>
        <w:tc>
          <w:tcPr>
            <w:tcW w:w="1275" w:type="dxa"/>
            <w:shd w:val="clear" w:color="auto" w:fill="C6EFCE"/>
            <w:noWrap/>
          </w:tcPr>
          <w:p w14:paraId="610252A4" w14:textId="1207B9F6" w:rsidR="000E48CE" w:rsidRDefault="00FF4C4E">
            <w:pPr>
              <w:pStyle w:val="P68B1DB1-Normal13"/>
              <w:spacing w:after="0" w:line="240" w:lineRule="auto"/>
              <w:jc w:val="center"/>
              <w:rPr>
                <w:rFonts w:eastAsia="MS Mincho" w:cs="Times New Roman"/>
                <w:noProof/>
              </w:rPr>
            </w:pPr>
            <w:r>
              <w:rPr>
                <w:noProof/>
              </w:rPr>
              <w:t>Täytäntöönpanosopimuksen voimaantulo </w:t>
            </w:r>
          </w:p>
        </w:tc>
        <w:tc>
          <w:tcPr>
            <w:tcW w:w="851" w:type="dxa"/>
            <w:shd w:val="clear" w:color="auto" w:fill="C6EFCE"/>
            <w:noWrap/>
          </w:tcPr>
          <w:p w14:paraId="312942BC" w14:textId="77777777" w:rsidR="000E48CE" w:rsidRDefault="000E48CE">
            <w:pPr>
              <w:spacing w:after="0" w:line="240" w:lineRule="auto"/>
              <w:jc w:val="center"/>
              <w:rPr>
                <w:rFonts w:ascii="Times New Roman" w:eastAsia="MS Mincho" w:hAnsi="Times New Roman" w:cs="Times New Roman"/>
                <w:noProof/>
                <w:sz w:val="18"/>
              </w:rPr>
            </w:pPr>
          </w:p>
        </w:tc>
        <w:tc>
          <w:tcPr>
            <w:tcW w:w="567" w:type="dxa"/>
            <w:shd w:val="clear" w:color="auto" w:fill="C6EFCE"/>
            <w:noWrap/>
          </w:tcPr>
          <w:p w14:paraId="16F1E204" w14:textId="77777777" w:rsidR="000E48CE" w:rsidRDefault="000E48CE">
            <w:pPr>
              <w:spacing w:after="0" w:line="240" w:lineRule="auto"/>
              <w:jc w:val="center"/>
              <w:rPr>
                <w:rFonts w:ascii="Times New Roman" w:eastAsia="MS Mincho" w:hAnsi="Times New Roman" w:cs="Times New Roman"/>
                <w:noProof/>
                <w:sz w:val="18"/>
              </w:rPr>
            </w:pPr>
          </w:p>
        </w:tc>
        <w:tc>
          <w:tcPr>
            <w:tcW w:w="615" w:type="dxa"/>
            <w:shd w:val="clear" w:color="auto" w:fill="C6EFCE"/>
            <w:noWrap/>
          </w:tcPr>
          <w:p w14:paraId="58788460" w14:textId="77777777" w:rsidR="000E48CE" w:rsidRDefault="000E48CE">
            <w:pPr>
              <w:spacing w:after="0" w:line="240" w:lineRule="auto"/>
              <w:jc w:val="center"/>
              <w:rPr>
                <w:rFonts w:ascii="Times New Roman" w:eastAsia="MS Mincho" w:hAnsi="Times New Roman" w:cs="Times New Roman"/>
                <w:noProof/>
                <w:sz w:val="18"/>
              </w:rPr>
            </w:pPr>
          </w:p>
        </w:tc>
        <w:tc>
          <w:tcPr>
            <w:tcW w:w="377" w:type="dxa"/>
            <w:shd w:val="clear" w:color="auto" w:fill="C6EFCE"/>
            <w:noWrap/>
          </w:tcPr>
          <w:p w14:paraId="227B374F" w14:textId="2DD063CB"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6C05A2C5" w14:textId="0E982D44" w:rsidR="000E48CE" w:rsidRDefault="00FF4C4E">
            <w:pPr>
              <w:pStyle w:val="P68B1DB1-Normal13"/>
              <w:spacing w:after="0" w:line="240" w:lineRule="auto"/>
              <w:jc w:val="center"/>
              <w:rPr>
                <w:rFonts w:eastAsia="MS Mincho" w:cs="Times New Roman"/>
                <w:noProof/>
              </w:rPr>
            </w:pPr>
            <w:r>
              <w:rPr>
                <w:noProof/>
              </w:rPr>
              <w:t>2023</w:t>
            </w:r>
          </w:p>
        </w:tc>
        <w:tc>
          <w:tcPr>
            <w:tcW w:w="7088" w:type="dxa"/>
            <w:shd w:val="clear" w:color="auto" w:fill="C6EFCE"/>
            <w:noWrap/>
          </w:tcPr>
          <w:p w14:paraId="2F424DF0" w14:textId="4D75BCB4" w:rsidR="000E48CE" w:rsidRDefault="00FF4C4E">
            <w:pPr>
              <w:pStyle w:val="P68B1DB1-Normal13"/>
              <w:spacing w:after="0" w:line="240" w:lineRule="auto"/>
              <w:rPr>
                <w:rFonts w:eastAsia="Times New Roman" w:cs="Times New Roman"/>
                <w:noProof/>
              </w:rPr>
            </w:pPr>
            <w:r>
              <w:rPr>
                <w:noProof/>
              </w:rPr>
              <w:t>Täytäntöönpanosopimuksen voimaantulo.</w:t>
            </w:r>
          </w:p>
        </w:tc>
      </w:tr>
      <w:tr w:rsidR="000E48CE" w14:paraId="2CD0167A" w14:textId="77777777">
        <w:trPr>
          <w:trHeight w:val="309"/>
        </w:trPr>
        <w:tc>
          <w:tcPr>
            <w:tcW w:w="709" w:type="dxa"/>
            <w:shd w:val="clear" w:color="auto" w:fill="C6EFCE"/>
            <w:noWrap/>
          </w:tcPr>
          <w:p w14:paraId="392D9D71" w14:textId="56AACBAD" w:rsidR="000E48CE" w:rsidRDefault="00FF4C4E">
            <w:pPr>
              <w:pStyle w:val="P68B1DB1-Normal13"/>
              <w:spacing w:after="0" w:line="240" w:lineRule="auto"/>
              <w:jc w:val="center"/>
              <w:rPr>
                <w:rFonts w:cs="Times New Roman"/>
                <w:noProof/>
              </w:rPr>
            </w:pPr>
            <w:r>
              <w:rPr>
                <w:noProof/>
              </w:rPr>
              <w:t>L5</w:t>
            </w:r>
          </w:p>
        </w:tc>
        <w:tc>
          <w:tcPr>
            <w:tcW w:w="851" w:type="dxa"/>
            <w:shd w:val="clear" w:color="auto" w:fill="C6EFCE"/>
            <w:noWrap/>
          </w:tcPr>
          <w:p w14:paraId="25FDDC15" w14:textId="5CA09D84" w:rsidR="000E48CE" w:rsidRDefault="00FF4C4E">
            <w:pPr>
              <w:pStyle w:val="P68B1DB1-Normal13"/>
              <w:spacing w:after="0" w:line="240" w:lineRule="auto"/>
              <w:jc w:val="center"/>
              <w:rPr>
                <w:rFonts w:eastAsia="MS Mincho" w:cs="Times New Roman"/>
                <w:noProof/>
              </w:rPr>
            </w:pPr>
            <w:r>
              <w:rPr>
                <w:noProof/>
              </w:rPr>
              <w:t>C2.I7</w:t>
            </w:r>
          </w:p>
        </w:tc>
        <w:tc>
          <w:tcPr>
            <w:tcW w:w="850" w:type="dxa"/>
            <w:shd w:val="clear" w:color="auto" w:fill="C6EFCE"/>
            <w:noWrap/>
          </w:tcPr>
          <w:p w14:paraId="16F0D7EA" w14:textId="345E298E" w:rsidR="000E48CE" w:rsidRDefault="00FF4C4E">
            <w:pPr>
              <w:pStyle w:val="P68B1DB1-Normal13"/>
              <w:spacing w:after="0" w:line="240" w:lineRule="auto"/>
              <w:jc w:val="center"/>
              <w:rPr>
                <w:rFonts w:cs="Times New Roman"/>
                <w:noProof/>
              </w:rPr>
            </w:pPr>
            <w:r>
              <w:rPr>
                <w:noProof/>
              </w:rPr>
              <w:t>T</w:t>
            </w:r>
          </w:p>
        </w:tc>
        <w:tc>
          <w:tcPr>
            <w:tcW w:w="1560" w:type="dxa"/>
            <w:shd w:val="clear" w:color="auto" w:fill="C6EFCE"/>
            <w:noWrap/>
          </w:tcPr>
          <w:p w14:paraId="3097EE05" w14:textId="60F6E4CE" w:rsidR="000E48CE" w:rsidRDefault="00FF4C4E">
            <w:pPr>
              <w:pStyle w:val="P68B1DB1-Normal13"/>
              <w:spacing w:after="0" w:line="240" w:lineRule="auto"/>
              <w:rPr>
                <w:rFonts w:eastAsia="Times New Roman" w:cs="Times New Roman"/>
                <w:noProof/>
              </w:rPr>
            </w:pPr>
            <w:r>
              <w:rPr>
                <w:noProof/>
              </w:rPr>
              <w:t xml:space="preserve">ICO:n lainajärjestely sosiaalisen asuntotuotannon edistämiseksi: Lopullisten </w:t>
            </w:r>
            <w:r>
              <w:rPr>
                <w:noProof/>
              </w:rPr>
              <w:t>edunsaajien kanssa allekirjoitetut oikeudelliset sopimukset (I)</w:t>
            </w:r>
          </w:p>
        </w:tc>
        <w:tc>
          <w:tcPr>
            <w:tcW w:w="1275" w:type="dxa"/>
            <w:shd w:val="clear" w:color="auto" w:fill="C6EFCE"/>
            <w:noWrap/>
          </w:tcPr>
          <w:p w14:paraId="4F9310A1" w14:textId="7AB4A014" w:rsidR="000E48CE" w:rsidRDefault="00FF4C4E">
            <w:pPr>
              <w:pStyle w:val="P68B1DB1-Normal13"/>
              <w:spacing w:after="0" w:line="240" w:lineRule="auto"/>
              <w:jc w:val="center"/>
              <w:rPr>
                <w:rFonts w:eastAsia="MS Mincho" w:cs="Times New Roman"/>
                <w:noProof/>
              </w:rPr>
            </w:pPr>
            <w:r>
              <w:rPr>
                <w:noProof/>
              </w:rPr>
              <w:t>Oikeudellisten rahoitussopimusten voimaantulo</w:t>
            </w:r>
          </w:p>
        </w:tc>
        <w:tc>
          <w:tcPr>
            <w:tcW w:w="851" w:type="dxa"/>
            <w:shd w:val="clear" w:color="auto" w:fill="C6EFCE"/>
            <w:noWrap/>
          </w:tcPr>
          <w:p w14:paraId="57F1D005" w14:textId="77777777" w:rsidR="000E48CE" w:rsidRDefault="000E48CE">
            <w:pPr>
              <w:spacing w:after="0" w:line="240" w:lineRule="auto"/>
              <w:jc w:val="center"/>
              <w:rPr>
                <w:rFonts w:ascii="Times New Roman" w:eastAsia="MS Mincho" w:hAnsi="Times New Roman" w:cs="Times New Roman"/>
                <w:noProof/>
                <w:sz w:val="18"/>
              </w:rPr>
            </w:pPr>
          </w:p>
        </w:tc>
        <w:tc>
          <w:tcPr>
            <w:tcW w:w="567" w:type="dxa"/>
            <w:shd w:val="clear" w:color="auto" w:fill="C6EFCE"/>
            <w:noWrap/>
          </w:tcPr>
          <w:p w14:paraId="72C6405B" w14:textId="39EBCFBA" w:rsidR="000E48CE" w:rsidRDefault="00FF4C4E">
            <w:pPr>
              <w:pStyle w:val="P68B1DB1-Normal13"/>
              <w:spacing w:after="0" w:line="240" w:lineRule="auto"/>
              <w:jc w:val="center"/>
              <w:rPr>
                <w:rFonts w:eastAsia="MS Mincho" w:cs="Times New Roman"/>
                <w:noProof/>
              </w:rPr>
            </w:pPr>
            <w:r>
              <w:rPr>
                <w:noProof/>
              </w:rPr>
              <w:t>0</w:t>
            </w:r>
          </w:p>
        </w:tc>
        <w:tc>
          <w:tcPr>
            <w:tcW w:w="615" w:type="dxa"/>
            <w:shd w:val="clear" w:color="auto" w:fill="C6EFCE"/>
            <w:noWrap/>
          </w:tcPr>
          <w:p w14:paraId="3A9FDC85" w14:textId="21C170F1" w:rsidR="000E48CE" w:rsidRDefault="00FF4C4E">
            <w:pPr>
              <w:pStyle w:val="P68B1DB1-Normal13"/>
              <w:spacing w:after="0" w:line="240" w:lineRule="auto"/>
              <w:jc w:val="center"/>
              <w:rPr>
                <w:rFonts w:eastAsia="MS Mincho" w:cs="Times New Roman"/>
                <w:noProof/>
              </w:rPr>
            </w:pPr>
            <w:r>
              <w:rPr>
                <w:noProof/>
              </w:rPr>
              <w:t>40 %</w:t>
            </w:r>
          </w:p>
        </w:tc>
        <w:tc>
          <w:tcPr>
            <w:tcW w:w="377" w:type="dxa"/>
            <w:shd w:val="clear" w:color="auto" w:fill="C6EFCE"/>
            <w:noWrap/>
          </w:tcPr>
          <w:p w14:paraId="21DB9EBA" w14:textId="00934B7F"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01651932" w14:textId="611A3511" w:rsidR="000E48CE" w:rsidRDefault="00FF4C4E">
            <w:pPr>
              <w:pStyle w:val="P68B1DB1-Normal13"/>
              <w:spacing w:after="0" w:line="240" w:lineRule="auto"/>
              <w:jc w:val="center"/>
              <w:rPr>
                <w:rFonts w:eastAsia="MS Mincho" w:cs="Times New Roman"/>
                <w:noProof/>
              </w:rPr>
            </w:pPr>
            <w:r>
              <w:rPr>
                <w:noProof/>
              </w:rPr>
              <w:t>2025</w:t>
            </w:r>
          </w:p>
        </w:tc>
        <w:tc>
          <w:tcPr>
            <w:tcW w:w="7088" w:type="dxa"/>
            <w:shd w:val="clear" w:color="auto" w:fill="C6EFCE"/>
            <w:noWrap/>
          </w:tcPr>
          <w:p w14:paraId="51ED6664" w14:textId="414B348B" w:rsidR="000E48CE" w:rsidRDefault="00FF4C4E">
            <w:pPr>
              <w:pStyle w:val="P68B1DB1-Normal13"/>
              <w:spacing w:after="0" w:line="240" w:lineRule="auto"/>
              <w:rPr>
                <w:rFonts w:eastAsia="Times New Roman" w:cs="Times New Roman"/>
                <w:noProof/>
              </w:rPr>
            </w:pPr>
            <w:r>
              <w:rPr>
                <w:noProof/>
              </w:rPr>
              <w:t>ICO:n ja sen valitsemien välittäjien on tehtävä lopullisten edunsaajien kanssa oikeudellisia rahoitussopimuksia, joiden määrä on tarpeen vähintään 40 prosentin käyttämiseksi elpymis- ja palautumistukivälineen investoinneista tukivälineeseen (hallinnolliset</w:t>
            </w:r>
            <w:r>
              <w:rPr>
                <w:noProof/>
              </w:rPr>
              <w:t xml:space="preserve"> maksut huomioon ottaen). ICO laatii elpymis- ja palautumistukivälinettä koskevan asetuksen liitteessä VI esitetyn menetelmän mukaisesti raportin, jossa esitetään yksityiskohtaisesti tämän ilmastotavoitteiden saavuttamista edistävän rahoituksen prosenttios</w:t>
            </w:r>
            <w:r>
              <w:rPr>
                <w:noProof/>
              </w:rPr>
              <w:t xml:space="preserve">uus. </w:t>
            </w:r>
          </w:p>
        </w:tc>
      </w:tr>
      <w:tr w:rsidR="000E48CE" w14:paraId="746F530B" w14:textId="77777777">
        <w:trPr>
          <w:trHeight w:val="1347"/>
        </w:trPr>
        <w:tc>
          <w:tcPr>
            <w:tcW w:w="709" w:type="dxa"/>
            <w:shd w:val="clear" w:color="auto" w:fill="C6EFCE"/>
            <w:noWrap/>
          </w:tcPr>
          <w:p w14:paraId="4E2B308E" w14:textId="0CF5707A" w:rsidR="000E48CE" w:rsidRDefault="00FF4C4E">
            <w:pPr>
              <w:pStyle w:val="P68B1DB1-Normal13"/>
              <w:spacing w:line="240" w:lineRule="auto"/>
              <w:jc w:val="center"/>
              <w:rPr>
                <w:rFonts w:cs="Times New Roman"/>
                <w:noProof/>
              </w:rPr>
            </w:pPr>
            <w:r>
              <w:rPr>
                <w:noProof/>
              </w:rPr>
              <w:t>L6</w:t>
            </w:r>
          </w:p>
        </w:tc>
        <w:tc>
          <w:tcPr>
            <w:tcW w:w="851" w:type="dxa"/>
            <w:shd w:val="clear" w:color="auto" w:fill="C6EFCE"/>
            <w:noWrap/>
          </w:tcPr>
          <w:p w14:paraId="058524C6" w14:textId="0333633D" w:rsidR="000E48CE" w:rsidRDefault="00FF4C4E">
            <w:pPr>
              <w:pStyle w:val="P68B1DB1-Normal13"/>
              <w:spacing w:line="240" w:lineRule="auto"/>
              <w:jc w:val="center"/>
              <w:rPr>
                <w:rFonts w:cs="Times New Roman"/>
                <w:noProof/>
              </w:rPr>
            </w:pPr>
            <w:r>
              <w:rPr>
                <w:noProof/>
              </w:rPr>
              <w:t>C2.I7</w:t>
            </w:r>
          </w:p>
        </w:tc>
        <w:tc>
          <w:tcPr>
            <w:tcW w:w="850" w:type="dxa"/>
            <w:shd w:val="clear" w:color="auto" w:fill="C6EFCE"/>
            <w:noWrap/>
          </w:tcPr>
          <w:p w14:paraId="304E6E44" w14:textId="005A04C6" w:rsidR="000E48CE" w:rsidRDefault="00FF4C4E">
            <w:pPr>
              <w:pStyle w:val="P68B1DB1-Normal13"/>
              <w:spacing w:line="240" w:lineRule="auto"/>
              <w:jc w:val="center"/>
              <w:rPr>
                <w:rFonts w:cs="Times New Roman"/>
                <w:noProof/>
              </w:rPr>
            </w:pPr>
            <w:r>
              <w:rPr>
                <w:noProof/>
              </w:rPr>
              <w:t>T</w:t>
            </w:r>
          </w:p>
        </w:tc>
        <w:tc>
          <w:tcPr>
            <w:tcW w:w="1560" w:type="dxa"/>
            <w:shd w:val="clear" w:color="auto" w:fill="C6EFCE"/>
            <w:noWrap/>
          </w:tcPr>
          <w:p w14:paraId="428F4723" w14:textId="5B70B40B" w:rsidR="000E48CE" w:rsidRDefault="00FF4C4E">
            <w:pPr>
              <w:pStyle w:val="P68B1DB1-Normal13"/>
              <w:spacing w:line="240" w:lineRule="auto"/>
              <w:rPr>
                <w:rFonts w:eastAsia="Times New Roman" w:cs="Times New Roman"/>
                <w:noProof/>
              </w:rPr>
            </w:pPr>
            <w:r>
              <w:rPr>
                <w:noProof/>
              </w:rPr>
              <w:t xml:space="preserve">ICO:n lainajärjestely sosiaalisen asuntotuotannon edistämiseksi: Lopullisten </w:t>
            </w:r>
            <w:r>
              <w:rPr>
                <w:noProof/>
              </w:rPr>
              <w:lastRenderedPageBreak/>
              <w:t>edunsaajien kanssa allekirjoitetut oikeudelliset sopimukset (II)</w:t>
            </w:r>
          </w:p>
        </w:tc>
        <w:tc>
          <w:tcPr>
            <w:tcW w:w="1275" w:type="dxa"/>
            <w:shd w:val="clear" w:color="auto" w:fill="C6EFCE"/>
            <w:noWrap/>
          </w:tcPr>
          <w:p w14:paraId="5C08B433" w14:textId="0DB80089" w:rsidR="000E48CE" w:rsidRDefault="00FF4C4E">
            <w:pPr>
              <w:pStyle w:val="P68B1DB1-Normal13"/>
              <w:spacing w:line="240" w:lineRule="auto"/>
              <w:jc w:val="center"/>
              <w:rPr>
                <w:rFonts w:eastAsia="MS Mincho" w:cs="Times New Roman"/>
                <w:noProof/>
              </w:rPr>
            </w:pPr>
            <w:r>
              <w:rPr>
                <w:noProof/>
              </w:rPr>
              <w:lastRenderedPageBreak/>
              <w:t>Oikeudellisten rahoitussopimusten voimaantulo</w:t>
            </w:r>
          </w:p>
        </w:tc>
        <w:tc>
          <w:tcPr>
            <w:tcW w:w="851" w:type="dxa"/>
            <w:shd w:val="clear" w:color="auto" w:fill="C6EFCE"/>
            <w:noWrap/>
          </w:tcPr>
          <w:p w14:paraId="2D173D44" w14:textId="0FCC8573" w:rsidR="000E48CE" w:rsidRDefault="000E48CE">
            <w:pPr>
              <w:spacing w:line="240" w:lineRule="auto"/>
              <w:jc w:val="center"/>
              <w:rPr>
                <w:rFonts w:ascii="Times New Roman" w:eastAsia="MS Mincho" w:hAnsi="Times New Roman" w:cs="Times New Roman"/>
                <w:noProof/>
                <w:sz w:val="18"/>
              </w:rPr>
            </w:pPr>
          </w:p>
        </w:tc>
        <w:tc>
          <w:tcPr>
            <w:tcW w:w="567" w:type="dxa"/>
            <w:shd w:val="clear" w:color="auto" w:fill="C6EFCE"/>
            <w:noWrap/>
          </w:tcPr>
          <w:p w14:paraId="4D6F13DE" w14:textId="21999F9C" w:rsidR="000E48CE" w:rsidRDefault="00FF4C4E">
            <w:pPr>
              <w:pStyle w:val="P68B1DB1-Normal13"/>
              <w:spacing w:line="240" w:lineRule="auto"/>
              <w:jc w:val="center"/>
              <w:rPr>
                <w:rFonts w:eastAsia="MS Mincho" w:cs="Times New Roman"/>
                <w:noProof/>
              </w:rPr>
            </w:pPr>
            <w:r>
              <w:rPr>
                <w:noProof/>
              </w:rPr>
              <w:t>40 %</w:t>
            </w:r>
          </w:p>
        </w:tc>
        <w:tc>
          <w:tcPr>
            <w:tcW w:w="615" w:type="dxa"/>
            <w:shd w:val="clear" w:color="auto" w:fill="C6EFCE"/>
            <w:noWrap/>
          </w:tcPr>
          <w:p w14:paraId="0246FBFE" w14:textId="2C356C95" w:rsidR="000E48CE" w:rsidRDefault="00FF4C4E">
            <w:pPr>
              <w:pStyle w:val="P68B1DB1-Normal13"/>
              <w:spacing w:line="240" w:lineRule="auto"/>
              <w:jc w:val="center"/>
              <w:rPr>
                <w:rFonts w:eastAsia="MS Mincho" w:cs="Times New Roman"/>
                <w:noProof/>
              </w:rPr>
            </w:pPr>
            <w:r>
              <w:rPr>
                <w:noProof/>
              </w:rPr>
              <w:t>100 %</w:t>
            </w:r>
          </w:p>
        </w:tc>
        <w:tc>
          <w:tcPr>
            <w:tcW w:w="377" w:type="dxa"/>
            <w:shd w:val="clear" w:color="auto" w:fill="C6EFCE"/>
            <w:noWrap/>
          </w:tcPr>
          <w:p w14:paraId="443766DD" w14:textId="1C897B17" w:rsidR="000E48CE" w:rsidRDefault="00FF4C4E">
            <w:pPr>
              <w:pStyle w:val="P68B1DB1-Normal13"/>
              <w:spacing w:line="240" w:lineRule="auto"/>
              <w:jc w:val="center"/>
              <w:rPr>
                <w:rFonts w:eastAsia="MS Mincho" w:cs="Times New Roman"/>
                <w:noProof/>
              </w:rPr>
            </w:pPr>
            <w:r>
              <w:rPr>
                <w:noProof/>
              </w:rPr>
              <w:t>KOLMAS VUOSINE</w:t>
            </w:r>
            <w:r>
              <w:rPr>
                <w:noProof/>
              </w:rPr>
              <w:lastRenderedPageBreak/>
              <w:t>LJÄNNES</w:t>
            </w:r>
          </w:p>
        </w:tc>
        <w:tc>
          <w:tcPr>
            <w:tcW w:w="567" w:type="dxa"/>
            <w:shd w:val="clear" w:color="auto" w:fill="C6EFCE"/>
            <w:noWrap/>
          </w:tcPr>
          <w:p w14:paraId="4C89FFCC" w14:textId="13364794" w:rsidR="000E48CE" w:rsidRDefault="00FF4C4E">
            <w:pPr>
              <w:pStyle w:val="P68B1DB1-Normal13"/>
              <w:spacing w:line="240" w:lineRule="auto"/>
              <w:jc w:val="center"/>
              <w:rPr>
                <w:rFonts w:eastAsia="MS Mincho" w:cs="Times New Roman"/>
                <w:noProof/>
              </w:rPr>
            </w:pPr>
            <w:r>
              <w:rPr>
                <w:noProof/>
              </w:rPr>
              <w:lastRenderedPageBreak/>
              <w:t>2026</w:t>
            </w:r>
          </w:p>
        </w:tc>
        <w:tc>
          <w:tcPr>
            <w:tcW w:w="7088" w:type="dxa"/>
            <w:shd w:val="clear" w:color="auto" w:fill="C6EFCE"/>
            <w:noWrap/>
          </w:tcPr>
          <w:p w14:paraId="6A232E7E" w14:textId="06BB6E20" w:rsidR="000E48CE" w:rsidRDefault="00FF4C4E">
            <w:pPr>
              <w:pStyle w:val="P68B1DB1-Normal13"/>
              <w:spacing w:line="240" w:lineRule="auto"/>
              <w:rPr>
                <w:rFonts w:eastAsia="MS Mincho" w:cs="Times New Roman"/>
                <w:noProof/>
                <w:highlight w:val="yellow"/>
              </w:rPr>
            </w:pPr>
            <w:r>
              <w:rPr>
                <w:noProof/>
              </w:rPr>
              <w:t xml:space="preserve">ICO ja sen valitsemat välittäjät ovat tehneet lopullisten edunsaajien kanssa oikeudellisia rahoitussopimuksia, joiden määrä on tarpeen, jotta elpymis- ja palautumistukivälineen investoinneista voidaan käyttää 100 prosenttia tukivälineeseen (hallinnolliset </w:t>
            </w:r>
            <w:r>
              <w:rPr>
                <w:noProof/>
              </w:rPr>
              <w:t xml:space="preserve">maksut huomioon ottaen). Vähintään 53 prosentilla tästä rahoituksesta on edistettävä ilmastotavoitteiden </w:t>
            </w:r>
            <w:r>
              <w:rPr>
                <w:noProof/>
              </w:rPr>
              <w:lastRenderedPageBreak/>
              <w:t>saavuttamista elpymis- ja palautumistukivälinettä koskevan asetuksen liitteessä VI esitettyä menetelmää käyttäen.</w:t>
            </w:r>
          </w:p>
        </w:tc>
      </w:tr>
      <w:tr w:rsidR="000E48CE" w14:paraId="6B2B8293" w14:textId="77777777">
        <w:trPr>
          <w:trHeight w:val="309"/>
        </w:trPr>
        <w:tc>
          <w:tcPr>
            <w:tcW w:w="709" w:type="dxa"/>
            <w:shd w:val="clear" w:color="auto" w:fill="C6EFCE"/>
            <w:noWrap/>
          </w:tcPr>
          <w:p w14:paraId="1CF3BA19" w14:textId="0C399F54" w:rsidR="000E48CE" w:rsidRDefault="00FF4C4E">
            <w:pPr>
              <w:pStyle w:val="P68B1DB1-Normal13"/>
              <w:spacing w:line="240" w:lineRule="auto"/>
              <w:jc w:val="center"/>
              <w:rPr>
                <w:rFonts w:cs="Times New Roman"/>
                <w:noProof/>
              </w:rPr>
            </w:pPr>
            <w:r>
              <w:rPr>
                <w:noProof/>
              </w:rPr>
              <w:lastRenderedPageBreak/>
              <w:t>L7</w:t>
            </w:r>
          </w:p>
        </w:tc>
        <w:tc>
          <w:tcPr>
            <w:tcW w:w="851" w:type="dxa"/>
            <w:shd w:val="clear" w:color="auto" w:fill="C6EFCE"/>
            <w:noWrap/>
          </w:tcPr>
          <w:p w14:paraId="1408412B" w14:textId="7DB586C1" w:rsidR="000E48CE" w:rsidRDefault="00FF4C4E">
            <w:pPr>
              <w:pStyle w:val="P68B1DB1-Normal13"/>
              <w:spacing w:line="240" w:lineRule="auto"/>
              <w:jc w:val="center"/>
              <w:rPr>
                <w:rFonts w:cs="Times New Roman"/>
                <w:noProof/>
              </w:rPr>
            </w:pPr>
            <w:r>
              <w:rPr>
                <w:noProof/>
              </w:rPr>
              <w:t>C2.I7</w:t>
            </w:r>
          </w:p>
        </w:tc>
        <w:tc>
          <w:tcPr>
            <w:tcW w:w="850" w:type="dxa"/>
            <w:shd w:val="clear" w:color="auto" w:fill="C6EFCE"/>
            <w:noWrap/>
          </w:tcPr>
          <w:p w14:paraId="10367F2B" w14:textId="065962E0" w:rsidR="000E48CE" w:rsidRDefault="00FF4C4E">
            <w:pPr>
              <w:pStyle w:val="P68B1DB1-Normal13"/>
              <w:spacing w:line="240" w:lineRule="auto"/>
              <w:jc w:val="center"/>
              <w:rPr>
                <w:rFonts w:eastAsia="Times New Roman" w:cs="Times New Roman"/>
                <w:noProof/>
              </w:rPr>
            </w:pPr>
            <w:r>
              <w:rPr>
                <w:noProof/>
              </w:rPr>
              <w:t>M</w:t>
            </w:r>
          </w:p>
        </w:tc>
        <w:tc>
          <w:tcPr>
            <w:tcW w:w="1560" w:type="dxa"/>
            <w:shd w:val="clear" w:color="auto" w:fill="C6EFCE"/>
            <w:noWrap/>
          </w:tcPr>
          <w:p w14:paraId="7C8F71CB" w14:textId="5F7C72DA" w:rsidR="000E48CE" w:rsidRDefault="00FF4C4E">
            <w:pPr>
              <w:pStyle w:val="P68B1DB1-Normal13"/>
              <w:spacing w:line="240" w:lineRule="auto"/>
              <w:rPr>
                <w:rFonts w:eastAsia="Times New Roman" w:cs="Times New Roman"/>
                <w:noProof/>
              </w:rPr>
            </w:pPr>
            <w:r>
              <w:rPr>
                <w:noProof/>
              </w:rPr>
              <w:t xml:space="preserve">ICO:n lainajärjestely </w:t>
            </w:r>
            <w:r>
              <w:rPr>
                <w:noProof/>
              </w:rPr>
              <w:t>sosiaalisen asuntotuotannon edistämiseksi: Ministeriö on saattanut investoinnin päätökseen</w:t>
            </w:r>
          </w:p>
        </w:tc>
        <w:tc>
          <w:tcPr>
            <w:tcW w:w="1275" w:type="dxa"/>
            <w:shd w:val="clear" w:color="auto" w:fill="C6EFCE"/>
            <w:noWrap/>
          </w:tcPr>
          <w:p w14:paraId="71336454" w14:textId="444EFBFF" w:rsidR="000E48CE" w:rsidRDefault="00FF4C4E">
            <w:pPr>
              <w:pStyle w:val="P68B1DB1-Normal13"/>
              <w:spacing w:line="240" w:lineRule="auto"/>
              <w:jc w:val="center"/>
              <w:rPr>
                <w:rFonts w:eastAsia="Times New Roman" w:cs="Times New Roman"/>
                <w:noProof/>
              </w:rPr>
            </w:pPr>
            <w:r>
              <w:rPr>
                <w:noProof/>
              </w:rPr>
              <w:t>Siirtotodistus</w:t>
            </w:r>
          </w:p>
        </w:tc>
        <w:tc>
          <w:tcPr>
            <w:tcW w:w="851" w:type="dxa"/>
            <w:shd w:val="clear" w:color="auto" w:fill="C6EFCE"/>
            <w:noWrap/>
          </w:tcPr>
          <w:p w14:paraId="25B9BE26" w14:textId="4D610181" w:rsidR="000E48CE" w:rsidRDefault="000E48CE">
            <w:pPr>
              <w:spacing w:line="240" w:lineRule="auto"/>
              <w:jc w:val="center"/>
              <w:rPr>
                <w:rFonts w:ascii="Times New Roman" w:eastAsia="Times New Roman" w:hAnsi="Times New Roman" w:cs="Times New Roman"/>
                <w:noProof/>
                <w:sz w:val="18"/>
              </w:rPr>
            </w:pPr>
          </w:p>
        </w:tc>
        <w:tc>
          <w:tcPr>
            <w:tcW w:w="567" w:type="dxa"/>
            <w:shd w:val="clear" w:color="auto" w:fill="C6EFCE"/>
            <w:noWrap/>
          </w:tcPr>
          <w:p w14:paraId="122EAD9D" w14:textId="40776BE9" w:rsidR="000E48CE" w:rsidRDefault="000E48CE">
            <w:pPr>
              <w:spacing w:line="240" w:lineRule="auto"/>
              <w:jc w:val="center"/>
              <w:rPr>
                <w:rFonts w:ascii="Times New Roman" w:eastAsia="Times New Roman" w:hAnsi="Times New Roman" w:cs="Times New Roman"/>
                <w:noProof/>
                <w:sz w:val="18"/>
              </w:rPr>
            </w:pPr>
          </w:p>
        </w:tc>
        <w:tc>
          <w:tcPr>
            <w:tcW w:w="615" w:type="dxa"/>
            <w:shd w:val="clear" w:color="auto" w:fill="C6EFCE"/>
            <w:noWrap/>
          </w:tcPr>
          <w:p w14:paraId="7D2A09D9" w14:textId="0C44DE8B" w:rsidR="000E48CE" w:rsidRDefault="000E48CE">
            <w:pPr>
              <w:spacing w:line="240" w:lineRule="auto"/>
              <w:jc w:val="center"/>
              <w:rPr>
                <w:rFonts w:ascii="Times New Roman" w:eastAsia="Times New Roman" w:hAnsi="Times New Roman" w:cs="Times New Roman"/>
                <w:noProof/>
                <w:sz w:val="18"/>
              </w:rPr>
            </w:pPr>
          </w:p>
        </w:tc>
        <w:tc>
          <w:tcPr>
            <w:tcW w:w="377" w:type="dxa"/>
            <w:shd w:val="clear" w:color="auto" w:fill="C6EFCE"/>
            <w:noWrap/>
          </w:tcPr>
          <w:p w14:paraId="28734C61" w14:textId="6143EC0F" w:rsidR="000E48CE" w:rsidRDefault="00FF4C4E">
            <w:pPr>
              <w:pStyle w:val="P68B1DB1-Normal13"/>
              <w:spacing w:line="240" w:lineRule="auto"/>
              <w:jc w:val="center"/>
              <w:rPr>
                <w:rFonts w:eastAsia="Times New Roman" w:cs="Times New Roman"/>
                <w:noProof/>
              </w:rPr>
            </w:pPr>
            <w:r>
              <w:rPr>
                <w:noProof/>
              </w:rPr>
              <w:t>KOLMAS VUOSINELJÄNNES</w:t>
            </w:r>
          </w:p>
        </w:tc>
        <w:tc>
          <w:tcPr>
            <w:tcW w:w="567" w:type="dxa"/>
            <w:shd w:val="clear" w:color="auto" w:fill="C6EFCE"/>
            <w:noWrap/>
          </w:tcPr>
          <w:p w14:paraId="56C6C541" w14:textId="16AFCE3E" w:rsidR="000E48CE" w:rsidRDefault="00FF4C4E">
            <w:pPr>
              <w:pStyle w:val="P68B1DB1-Normal13"/>
              <w:spacing w:line="240" w:lineRule="auto"/>
              <w:jc w:val="center"/>
              <w:rPr>
                <w:rFonts w:eastAsia="Times New Roman" w:cs="Times New Roman"/>
                <w:noProof/>
              </w:rPr>
            </w:pPr>
            <w:r>
              <w:rPr>
                <w:noProof/>
              </w:rPr>
              <w:t>2026</w:t>
            </w:r>
          </w:p>
        </w:tc>
        <w:tc>
          <w:tcPr>
            <w:tcW w:w="7088" w:type="dxa"/>
            <w:shd w:val="clear" w:color="auto" w:fill="C6EFCE"/>
            <w:noWrap/>
          </w:tcPr>
          <w:p w14:paraId="7E8991B2" w14:textId="017421DC" w:rsidR="000E48CE" w:rsidRDefault="00FF4C4E">
            <w:pPr>
              <w:pStyle w:val="P68B1DB1-Normal13"/>
              <w:spacing w:line="240" w:lineRule="auto"/>
              <w:rPr>
                <w:rFonts w:eastAsia="Times New Roman" w:cs="Times New Roman"/>
                <w:noProof/>
              </w:rPr>
            </w:pPr>
            <w:r>
              <w:rPr>
                <w:noProof/>
              </w:rPr>
              <w:t>Espanja siirtää 4000000000 euroa ICO Facilityille.</w:t>
            </w:r>
          </w:p>
          <w:p w14:paraId="0F7D42DE" w14:textId="42AE55C2" w:rsidR="000E48CE" w:rsidRDefault="000E48CE">
            <w:pPr>
              <w:spacing w:line="240" w:lineRule="auto"/>
              <w:rPr>
                <w:rFonts w:ascii="Times New Roman" w:eastAsia="Times New Roman" w:hAnsi="Times New Roman" w:cs="Times New Roman"/>
                <w:noProof/>
                <w:sz w:val="18"/>
              </w:rPr>
            </w:pPr>
          </w:p>
        </w:tc>
      </w:tr>
    </w:tbl>
    <w:p w14:paraId="1FC39945" w14:textId="77777777" w:rsidR="000E48CE" w:rsidRDefault="000E48CE">
      <w:pPr>
        <w:spacing w:before="120" w:after="120" w:line="240" w:lineRule="auto"/>
        <w:jc w:val="both"/>
        <w:rPr>
          <w:rFonts w:ascii="Times New Roman" w:hAnsi="Times New Roman" w:cs="Times New Roman"/>
          <w:noProof/>
          <w:sz w:val="24"/>
        </w:rPr>
        <w:sectPr w:rsidR="000E48CE" w:rsidSect="00B90E2C">
          <w:headerReference w:type="even" r:id="rId72"/>
          <w:headerReference w:type="default" r:id="rId73"/>
          <w:footerReference w:type="even" r:id="rId74"/>
          <w:footerReference w:type="default" r:id="rId75"/>
          <w:headerReference w:type="first" r:id="rId76"/>
          <w:footerReference w:type="first" r:id="rId77"/>
          <w:pgSz w:w="16839" w:h="11907" w:orient="landscape"/>
          <w:pgMar w:top="1417" w:right="1134" w:bottom="1417" w:left="1134" w:header="709" w:footer="709" w:gutter="0"/>
          <w:cols w:space="720"/>
          <w:docGrid w:linePitch="360"/>
        </w:sectPr>
      </w:pPr>
    </w:p>
    <w:p w14:paraId="3FF61C03" w14:textId="77777777" w:rsidR="000E48CE" w:rsidRDefault="00FF4C4E">
      <w:pPr>
        <w:pStyle w:val="P68B1DB1-Heading12"/>
        <w:rPr>
          <w:rFonts w:cs="Times New Roman"/>
          <w:noProof/>
        </w:rPr>
      </w:pPr>
      <w:r>
        <w:rPr>
          <w:noProof/>
        </w:rPr>
        <w:lastRenderedPageBreak/>
        <w:t xml:space="preserve">C. </w:t>
      </w:r>
      <w:r>
        <w:rPr>
          <w:noProof/>
        </w:rPr>
        <w:t>OSA 03: Maatalouden elintarvike- ja kalastusjärjestelmän ekologinen ja digitaalinen muutos</w:t>
      </w:r>
    </w:p>
    <w:p w14:paraId="7393EFBB" w14:textId="77777777" w:rsidR="000E48CE" w:rsidRDefault="00FF4C4E">
      <w:pPr>
        <w:pStyle w:val="P68B1DB1-Normal4"/>
        <w:spacing w:before="120" w:after="120" w:line="240" w:lineRule="auto"/>
        <w:jc w:val="both"/>
        <w:rPr>
          <w:rFonts w:cs="Times New Roman"/>
          <w:noProof/>
        </w:rPr>
      </w:pPr>
      <w:r>
        <w:rPr>
          <w:noProof/>
        </w:rPr>
        <w:t>Espanjan elpymis- ja palautumissuunnitelman tällä osa-alueella parannetaan maatalouselintarvike- ja kalastusalan kestävyyttä, kilpailukykyä ja häiriönsietokykyä talo</w:t>
      </w:r>
      <w:r>
        <w:rPr>
          <w:noProof/>
        </w:rPr>
        <w:t>udellisesti, ekologisesti ja sosiaalisesti. Tämän tavoitteen saavuttamiseksi Espanjan elpymis- ja palautumissuunnitelman tähän osaan sisältyvissä investoinneissa ja uudistuksissa keskitytään</w:t>
      </w:r>
      <w:r>
        <w:rPr>
          <w:b/>
          <w:noProof/>
        </w:rPr>
        <w:t xml:space="preserve"> </w:t>
      </w:r>
      <w:r>
        <w:rPr>
          <w:noProof/>
        </w:rPr>
        <w:t>seuraaviin osatekijöihin:</w:t>
      </w:r>
    </w:p>
    <w:p w14:paraId="7108D29F" w14:textId="77777777" w:rsidR="000E48CE" w:rsidRDefault="00FF4C4E">
      <w:pPr>
        <w:pStyle w:val="P68B1DB1-Normal4"/>
        <w:numPr>
          <w:ilvl w:val="0"/>
          <w:numId w:val="73"/>
        </w:numPr>
        <w:spacing w:before="120" w:after="120" w:line="240" w:lineRule="auto"/>
        <w:ind w:left="425" w:hanging="425"/>
        <w:contextualSpacing/>
        <w:jc w:val="both"/>
        <w:rPr>
          <w:rFonts w:cs="Times New Roman"/>
          <w:noProof/>
        </w:rPr>
      </w:pPr>
      <w:r>
        <w:rPr>
          <w:noProof/>
        </w:rPr>
        <w:t xml:space="preserve">Kastelun tehokkuuden ja kestävyyden </w:t>
      </w:r>
      <w:r>
        <w:rPr>
          <w:noProof/>
        </w:rPr>
        <w:t>parantaminen;</w:t>
      </w:r>
    </w:p>
    <w:p w14:paraId="2967FDFE" w14:textId="77777777" w:rsidR="000E48CE" w:rsidRDefault="00FF4C4E">
      <w:pPr>
        <w:pStyle w:val="P68B1DB1-Normal4"/>
        <w:numPr>
          <w:ilvl w:val="0"/>
          <w:numId w:val="73"/>
        </w:numPr>
        <w:spacing w:before="120" w:after="120" w:line="240" w:lineRule="auto"/>
        <w:ind w:left="425" w:hanging="425"/>
        <w:contextualSpacing/>
        <w:jc w:val="both"/>
        <w:rPr>
          <w:rFonts w:cs="Times New Roman"/>
          <w:noProof/>
        </w:rPr>
      </w:pPr>
      <w:r>
        <w:rPr>
          <w:noProof/>
        </w:rPr>
        <w:t>maatalouden ja karjankasvatuksen kestävyyden ja kilpailukyvyn parantaminen;</w:t>
      </w:r>
    </w:p>
    <w:p w14:paraId="43D2A3C8" w14:textId="77777777" w:rsidR="000E48CE" w:rsidRDefault="00FF4C4E">
      <w:pPr>
        <w:pStyle w:val="P68B1DB1-Normal4"/>
        <w:numPr>
          <w:ilvl w:val="0"/>
          <w:numId w:val="73"/>
        </w:numPr>
        <w:spacing w:before="120" w:after="120" w:line="240" w:lineRule="auto"/>
        <w:ind w:left="425" w:hanging="425"/>
        <w:contextualSpacing/>
        <w:jc w:val="both"/>
        <w:rPr>
          <w:rFonts w:cs="Times New Roman"/>
          <w:noProof/>
        </w:rPr>
      </w:pPr>
      <w:r>
        <w:rPr>
          <w:noProof/>
        </w:rPr>
        <w:t>laaditaan strategia, jolla edistetään digitalisaatiota maatalouselintarvikealalla ja maaseutualueilla kokonaisuudessaan; ja</w:t>
      </w:r>
    </w:p>
    <w:p w14:paraId="02B938DA" w14:textId="77777777" w:rsidR="000E48CE" w:rsidRDefault="00FF4C4E">
      <w:pPr>
        <w:pStyle w:val="P68B1DB1-Normal4"/>
        <w:numPr>
          <w:ilvl w:val="0"/>
          <w:numId w:val="73"/>
        </w:numPr>
        <w:spacing w:before="120" w:after="120" w:line="240" w:lineRule="auto"/>
        <w:ind w:left="426" w:hanging="426"/>
        <w:jc w:val="both"/>
        <w:rPr>
          <w:rFonts w:cs="Times New Roman"/>
          <w:noProof/>
        </w:rPr>
      </w:pPr>
      <w:r>
        <w:rPr>
          <w:noProof/>
        </w:rPr>
        <w:t>kalastusalan kestävyyden, tutkimuksen, inn</w:t>
      </w:r>
      <w:r>
        <w:rPr>
          <w:noProof/>
        </w:rPr>
        <w:t>ovoinnin ja digitalisaation edistäminen.</w:t>
      </w:r>
    </w:p>
    <w:p w14:paraId="3730B049" w14:textId="77777777" w:rsidR="000E48CE" w:rsidRDefault="00FF4C4E">
      <w:pPr>
        <w:pStyle w:val="P68B1DB1-Normal4"/>
        <w:spacing w:before="120" w:after="120" w:line="240" w:lineRule="auto"/>
        <w:jc w:val="both"/>
        <w:rPr>
          <w:rFonts w:cs="Times New Roman"/>
          <w:noProof/>
        </w:rPr>
      </w:pPr>
      <w:r>
        <w:rPr>
          <w:noProof/>
        </w:rPr>
        <w:t>Osa-alue koskee maakohtaisia suosituksia innovointiin ja energiatehokkuuteen tehtävien investointien edistämisestä (maakohtainen suositus 3 2019), digitaalisen oppimisen saatavuuden parantamisesta (maakohtainen suos</w:t>
      </w:r>
      <w:r>
        <w:rPr>
          <w:noProof/>
        </w:rPr>
        <w:t>itus 2 2020) sekä julkisten ja yksityisten investointien edistämisestä ja vihreän siirtymän edistämisestä (maakohtainen suositus 3 2020).</w:t>
      </w:r>
    </w:p>
    <w:p w14:paraId="6079AE52" w14:textId="77777777" w:rsidR="000E48CE" w:rsidRDefault="00FF4C4E">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w:t>
      </w:r>
      <w:r>
        <w:rPr>
          <w:noProof/>
        </w:rPr>
        <w:t xml:space="preserve">ttävää haittaa ympäristötavoitteille, kun otetaan huomioon ”ei merkittävää haittaa” -periaatteen soveltamista koskevien teknisten ohjeiden (2021/C58/01) mukaiset elpymis- ja palautumissuunnitelmassa esitettyjen toimenpiteiden kuvaus ja lieventävät toimet. </w:t>
      </w:r>
    </w:p>
    <w:p w14:paraId="3807EE3C" w14:textId="77777777" w:rsidR="000E48CE" w:rsidRDefault="00FF4C4E">
      <w:pPr>
        <w:pStyle w:val="P68B1DB1-Normal5"/>
        <w:spacing w:before="120" w:after="120" w:line="240" w:lineRule="auto"/>
        <w:ind w:left="720"/>
        <w:jc w:val="both"/>
        <w:rPr>
          <w:rFonts w:cs="Times New Roman"/>
          <w:i/>
          <w:noProof/>
        </w:rPr>
      </w:pPr>
      <w:r>
        <w:rPr>
          <w:noProof/>
        </w:rPr>
        <w:t xml:space="preserve">C.1 </w:t>
      </w:r>
      <w:r>
        <w:rPr>
          <w:noProof/>
        </w:rPr>
        <w:tab/>
        <w:t>Kuvaus uudistuksista ja investoinneista, joita rahoitetaan rahoitustuella, jota ei makseta takaisin</w:t>
      </w:r>
    </w:p>
    <w:p w14:paraId="1234D340" w14:textId="77777777" w:rsidR="000E48CE" w:rsidRDefault="00FF4C4E">
      <w:pPr>
        <w:pStyle w:val="P68B1DB1-Normal6"/>
        <w:spacing w:before="120" w:after="120" w:line="240" w:lineRule="auto"/>
        <w:jc w:val="both"/>
        <w:rPr>
          <w:rFonts w:cs="Times New Roman"/>
          <w:noProof/>
        </w:rPr>
      </w:pPr>
      <w:r>
        <w:rPr>
          <w:noProof/>
        </w:rPr>
        <w:t>Uudistus 1 (C3.R1) – Elintarvikeketjun kauppasuhteita koskevien sääntöjen muuttaminen, mukaan lukien toimenpiteistä elintarvikeketjun toiminnan parant</w:t>
      </w:r>
      <w:r>
        <w:rPr>
          <w:noProof/>
        </w:rPr>
        <w:t>amiseksi 2. elokuuta 2007 annetun lain 12/2013 muuttaminen</w:t>
      </w:r>
    </w:p>
    <w:p w14:paraId="2518E7B7" w14:textId="77777777" w:rsidR="000E48CE" w:rsidRDefault="00FF4C4E">
      <w:pPr>
        <w:pStyle w:val="P68B1DB1-Normal4"/>
        <w:spacing w:before="120" w:after="120" w:line="240" w:lineRule="auto"/>
        <w:jc w:val="both"/>
        <w:rPr>
          <w:rFonts w:cs="Times New Roman"/>
          <w:noProof/>
        </w:rPr>
      </w:pPr>
      <w:r>
        <w:rPr>
          <w:noProof/>
        </w:rPr>
        <w:t>Tämän toimenpiteen tavoitteena on parantaa elintarvikeketjun toimintaa muuttamalla elintarvikeketjun kauppasuhteita koskevaa kansallista lainsäädäntöä (laki 12/2013), mukaan lukien direktiivin (EU)</w:t>
      </w:r>
      <w:r>
        <w:rPr>
          <w:noProof/>
        </w:rPr>
        <w:t xml:space="preserve"> 2019/633 saattaminen osaksi kansallista lainsäädäntöä, mutta mennään pidemmälle. Toimenpiteen on katettava vähintään seuraavat:</w:t>
      </w:r>
    </w:p>
    <w:p w14:paraId="311FCBFE" w14:textId="77777777" w:rsidR="000E48CE" w:rsidRDefault="00FF4C4E">
      <w:pPr>
        <w:pStyle w:val="P68B1DB1-Normal4"/>
        <w:numPr>
          <w:ilvl w:val="0"/>
          <w:numId w:val="74"/>
        </w:numPr>
        <w:spacing w:before="120" w:after="120" w:line="240" w:lineRule="auto"/>
        <w:ind w:left="425" w:hanging="425"/>
        <w:contextualSpacing/>
        <w:jc w:val="both"/>
        <w:rPr>
          <w:rFonts w:cs="Times New Roman"/>
          <w:noProof/>
        </w:rPr>
      </w:pPr>
      <w:r>
        <w:rPr>
          <w:noProof/>
        </w:rPr>
        <w:t>Lain soveltamisalan laajentaminen sisällyttämällä siihen i) kauppasuhteet sekä jäsenvaltioihin että kolmansiin maihin aina, kun</w:t>
      </w:r>
      <w:r>
        <w:rPr>
          <w:noProof/>
        </w:rPr>
        <w:t xml:space="preserve"> toimija sijaitsee Espanjassa, ja ii) raaka-aineet ja muut Euroopan unionin toiminnasta tehdyn sopimuksen liitteen I soveltamisalaan kuuluvat tuotteet;</w:t>
      </w:r>
    </w:p>
    <w:p w14:paraId="4735A7DF" w14:textId="77777777" w:rsidR="000E48CE" w:rsidRDefault="00FF4C4E">
      <w:pPr>
        <w:pStyle w:val="P68B1DB1-Normal4"/>
        <w:numPr>
          <w:ilvl w:val="0"/>
          <w:numId w:val="74"/>
        </w:numPr>
        <w:spacing w:before="120" w:after="120" w:line="240" w:lineRule="auto"/>
        <w:ind w:left="425" w:hanging="425"/>
        <w:contextualSpacing/>
        <w:jc w:val="both"/>
        <w:rPr>
          <w:rFonts w:cs="Times New Roman"/>
          <w:noProof/>
        </w:rPr>
      </w:pPr>
      <w:r>
        <w:rPr>
          <w:noProof/>
        </w:rPr>
        <w:t>laajennetaan elintarvikesopimusten vähimmäissisältöä sisällyttämällä siihen i) sopimussakot, ii) poikkeu</w:t>
      </w:r>
      <w:r>
        <w:rPr>
          <w:noProof/>
        </w:rPr>
        <w:t>kset ylivoimaisen esteen vuoksi ja iii) viittaus osapuolten sovittelupyyntöön, jossa käsitellään tapauksia, joissa sopimusta ei ole tehty;</w:t>
      </w:r>
    </w:p>
    <w:p w14:paraId="0E244484" w14:textId="77777777" w:rsidR="000E48CE" w:rsidRDefault="00FF4C4E">
      <w:pPr>
        <w:pStyle w:val="P68B1DB1-Normal4"/>
        <w:numPr>
          <w:ilvl w:val="0"/>
          <w:numId w:val="74"/>
        </w:numPr>
        <w:spacing w:before="120" w:after="120" w:line="240" w:lineRule="auto"/>
        <w:ind w:left="425" w:hanging="425"/>
        <w:contextualSpacing/>
        <w:jc w:val="both"/>
        <w:rPr>
          <w:rFonts w:cs="Times New Roman"/>
          <w:noProof/>
        </w:rPr>
      </w:pPr>
      <w:r>
        <w:rPr>
          <w:noProof/>
        </w:rPr>
        <w:t>laajennetaan sopimattomien kaupallisten menettelyjen luetteloa, kuten sopimusten yksipuolinen muuttaminen määrän osal</w:t>
      </w:r>
      <w:r>
        <w:rPr>
          <w:noProof/>
        </w:rPr>
        <w:t>ta tai myymättä jääneiden tuotteiden palauttaminen; ja</w:t>
      </w:r>
    </w:p>
    <w:p w14:paraId="7CDA0286" w14:textId="77777777" w:rsidR="000E48CE" w:rsidRDefault="00FF4C4E">
      <w:pPr>
        <w:pStyle w:val="P68B1DB1-Normal4"/>
        <w:numPr>
          <w:ilvl w:val="0"/>
          <w:numId w:val="74"/>
        </w:numPr>
        <w:spacing w:before="120" w:after="120" w:line="240" w:lineRule="auto"/>
        <w:ind w:left="426" w:hanging="426"/>
        <w:jc w:val="both"/>
        <w:rPr>
          <w:rFonts w:cs="Times New Roman"/>
          <w:noProof/>
        </w:rPr>
      </w:pPr>
      <w:r>
        <w:rPr>
          <w:noProof/>
        </w:rPr>
        <w:t xml:space="preserve">tunnustavat elintarviketieto- ja -valvontaviraston olevan elin, joka vastaa sellaisen valvontajärjestelmän perustamisesta ja kehittämisestä, joka on tarpeen lainsäädännön noudattamisen tarkastamiseksi </w:t>
      </w:r>
      <w:r>
        <w:rPr>
          <w:noProof/>
        </w:rPr>
        <w:t>kansallisella tasolla, sekä valvontaviranomaisten välisen yhteistyön yhteyspisteenä sekä Euroopan komission ja itsehallintoalueiden kanssa omilla alueillaan.</w:t>
      </w:r>
      <w:r>
        <w:rPr>
          <w:noProof/>
        </w:rPr>
        <w:tab/>
      </w:r>
    </w:p>
    <w:p w14:paraId="50CF7AFA" w14:textId="77777777" w:rsidR="000E48CE" w:rsidRDefault="00FF4C4E">
      <w:pPr>
        <w:pStyle w:val="P68B1DB1-Normal4"/>
        <w:spacing w:before="120" w:after="120" w:line="240" w:lineRule="auto"/>
        <w:jc w:val="both"/>
        <w:rPr>
          <w:rFonts w:cs="Times New Roman"/>
          <w:noProof/>
        </w:rPr>
      </w:pPr>
      <w:r>
        <w:rPr>
          <w:noProof/>
        </w:rPr>
        <w:lastRenderedPageBreak/>
        <w:t>Toimenpide täydentää i) 25 päivänä helmikuuta 2020 annettua kuninkaallista asetusta 5/2020, jolla</w:t>
      </w:r>
      <w:r>
        <w:rPr>
          <w:noProof/>
        </w:rPr>
        <w:t xml:space="preserve"> hyväksyttiin maataloutta ja elintarvikkeita koskevia kiireellisiä toimenpiteitä, ja ii) lakia 8/2020 kiireellisistä toimenpiteistä elintarvikeketjun toiminnan parantamiseksi annetun lain 12/2013 muuttamisesta.</w:t>
      </w:r>
    </w:p>
    <w:p w14:paraId="652B9321"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w:t>
      </w:r>
      <w:r>
        <w:rPr>
          <w:noProof/>
        </w:rPr>
        <w:t>tökseen viimeistään 31 päivänä joulukuuta 2021.</w:t>
      </w:r>
    </w:p>
    <w:p w14:paraId="65CF45F9" w14:textId="77777777" w:rsidR="000E48CE" w:rsidRDefault="00FF4C4E">
      <w:pPr>
        <w:pStyle w:val="P68B1DB1-Normal6"/>
        <w:spacing w:before="120" w:after="120" w:line="240" w:lineRule="auto"/>
        <w:jc w:val="both"/>
        <w:rPr>
          <w:rFonts w:cs="Times New Roman"/>
          <w:noProof/>
        </w:rPr>
      </w:pPr>
      <w:bookmarkStart w:id="6" w:name="_Hlk144118141"/>
      <w:r>
        <w:rPr>
          <w:noProof/>
        </w:rPr>
        <w:t>Uudistus 2 (C3.R2) – Kotieläintalouden ympäristökestävyyttä koskevan sääntelykehyksen kehittäminen ja tarkistaminen</w:t>
      </w:r>
    </w:p>
    <w:bookmarkEnd w:id="6"/>
    <w:p w14:paraId="1D9E2DBB" w14:textId="77777777" w:rsidR="000E48CE" w:rsidRDefault="00FF4C4E">
      <w:pPr>
        <w:pStyle w:val="P68B1DB1-Normal4"/>
        <w:spacing w:before="120" w:after="120" w:line="240" w:lineRule="auto"/>
        <w:jc w:val="both"/>
        <w:rPr>
          <w:rFonts w:cs="Times New Roman"/>
          <w:noProof/>
        </w:rPr>
      </w:pPr>
      <w:r>
        <w:rPr>
          <w:noProof/>
        </w:rPr>
        <w:t>Tällä toimenpiteellä parannetaan kotieläintuotannon ympäristökestävyyttä kehittämällä ja tar</w:t>
      </w:r>
      <w:r>
        <w:rPr>
          <w:noProof/>
        </w:rPr>
        <w:t>kistamalla lainsäädäntökehystä seuraavasti:</w:t>
      </w:r>
    </w:p>
    <w:p w14:paraId="28ED085C" w14:textId="77777777" w:rsidR="000E48CE" w:rsidRDefault="00FF4C4E">
      <w:pPr>
        <w:pStyle w:val="P68B1DB1-Normal4"/>
        <w:numPr>
          <w:ilvl w:val="0"/>
          <w:numId w:val="75"/>
        </w:numPr>
        <w:spacing w:before="120" w:after="120" w:line="240" w:lineRule="auto"/>
        <w:ind w:left="425" w:hanging="425"/>
        <w:contextualSpacing/>
        <w:jc w:val="both"/>
        <w:rPr>
          <w:rFonts w:cs="Times New Roman"/>
          <w:noProof/>
        </w:rPr>
      </w:pPr>
      <w:r>
        <w:rPr>
          <w:noProof/>
        </w:rPr>
        <w:t>Kehitetään parhaita käytettävissä olevia tekniikoita (BAT) koskeva yleinen rekisteri, jotta voidaan helpottaa saastuttavien ja kasvihuonekaasupäästöjen laskemista sika- ja siipikarjatiloilla sekä muiden ympäristö</w:t>
      </w:r>
      <w:r>
        <w:rPr>
          <w:noProof/>
        </w:rPr>
        <w:t>tietojen kattamista. Sen on tarjottava parempi arvio siitä, miten karjankasvattajat noudattavat kasvihuonekaasu- ja epäpuhtauspäästösitoumuksia.</w:t>
      </w:r>
    </w:p>
    <w:p w14:paraId="664D0C51" w14:textId="77777777" w:rsidR="000E48CE" w:rsidRDefault="00FF4C4E">
      <w:pPr>
        <w:pStyle w:val="P68B1DB1-Normal4"/>
        <w:numPr>
          <w:ilvl w:val="0"/>
          <w:numId w:val="75"/>
        </w:numPr>
        <w:spacing w:before="120" w:after="120" w:line="240" w:lineRule="auto"/>
        <w:ind w:left="426" w:hanging="426"/>
        <w:jc w:val="both"/>
        <w:rPr>
          <w:rFonts w:cs="Times New Roman"/>
          <w:noProof/>
        </w:rPr>
      </w:pPr>
      <w:r>
        <w:rPr>
          <w:noProof/>
        </w:rPr>
        <w:t>Tarkistetaan asteittain karjankasvatusalan suunnittelulainsäädäntöä, jossa asetetaan vaatimuksia, jotka koskeva</w:t>
      </w:r>
      <w:r>
        <w:rPr>
          <w:noProof/>
        </w:rPr>
        <w:t xml:space="preserve">t sijaintia, etäisyyttä, kokoa, terveysolosuhteita, bioturvallisuutta sekä ympäristön ja eläinten hyvinvoinnin infrastruktuuria aloilla, joilla sitä jo on (sikojenkasvatus), sekä luodaan uusi sääntelykehys aloille (siipikarjankasvatus), joita ei ole vielä </w:t>
      </w:r>
      <w:r>
        <w:rPr>
          <w:noProof/>
        </w:rPr>
        <w:t>säännelty. Se vahvistaa yksittäiset alakohtaiset päästövähennysvelvoitteet, joissa asetetaan suhteellisuusperiaatteen mukaisesti vaatimuksia sen mukaan, mikä on niiden osuus pilaavien aineiden tuottamisessa.</w:t>
      </w:r>
    </w:p>
    <w:p w14:paraId="3BDCBD98" w14:textId="77777777" w:rsidR="000E48CE" w:rsidRDefault="00FF4C4E">
      <w:pPr>
        <w:pStyle w:val="P68B1DB1-Normal4"/>
        <w:spacing w:before="120" w:after="120" w:line="240" w:lineRule="auto"/>
        <w:jc w:val="both"/>
        <w:rPr>
          <w:rFonts w:cs="Times New Roman"/>
          <w:noProof/>
        </w:rPr>
      </w:pPr>
      <w:r>
        <w:rPr>
          <w:noProof/>
        </w:rPr>
        <w:t>Toimenpide sisältää molemmat säännökset, jotka o</w:t>
      </w:r>
      <w:r>
        <w:rPr>
          <w:noProof/>
        </w:rPr>
        <w:t>n määrä julkaista vuoden 2022 loppuun mennessä. Siinä ennakoidaan myös, että parhaita käytettävissä olevia tekniikoita koskeva yleinen rekisteri on pantava täytäntöön sika- ja siipikarjatiloilla 31. joulukuuta 2023 mennessä. Tarkistettua suunnittelulainsää</w:t>
      </w:r>
      <w:r>
        <w:rPr>
          <w:noProof/>
        </w:rPr>
        <w:t>däntöä sovelletaan asteittain noin kahden vuoden kuluessa sen julkaisemisesta.</w:t>
      </w:r>
    </w:p>
    <w:p w14:paraId="5DF9BC92" w14:textId="5F439EE1" w:rsidR="000E48CE" w:rsidRDefault="00FF4C4E">
      <w:pPr>
        <w:pStyle w:val="P68B1DB1-Normal4"/>
        <w:spacing w:before="120" w:after="120" w:line="240" w:lineRule="auto"/>
        <w:contextualSpacing/>
        <w:jc w:val="both"/>
        <w:rPr>
          <w:rFonts w:cs="Times New Roman"/>
          <w:noProof/>
        </w:rPr>
      </w:pPr>
      <w:r>
        <w:rPr>
          <w:noProof/>
        </w:rPr>
        <w:t>Lisäksi tämän toimenpiteen tavoitteena on</w:t>
      </w:r>
    </w:p>
    <w:p w14:paraId="2098B483" w14:textId="2D2F2221" w:rsidR="000E48CE" w:rsidRDefault="00FF4C4E">
      <w:pPr>
        <w:pStyle w:val="P68B1DB1-Normal4"/>
        <w:numPr>
          <w:ilvl w:val="0"/>
          <w:numId w:val="269"/>
        </w:numPr>
        <w:spacing w:before="120" w:after="120" w:line="240" w:lineRule="auto"/>
        <w:ind w:left="425" w:hanging="425"/>
        <w:contextualSpacing/>
        <w:jc w:val="both"/>
        <w:rPr>
          <w:rFonts w:cs="Times New Roman"/>
          <w:noProof/>
        </w:rPr>
      </w:pPr>
      <w:r>
        <w:rPr>
          <w:noProof/>
        </w:rPr>
        <w:t xml:space="preserve">Eläinkuljetusten bioturvallisuuden parantaminen tarttuvien eläintautien osalta. Uudessa asetuksessa sisällytetään digitalisaatio ja uudet teknologiat kuljetus-, puhdistus- ja desinfiointikeskuksina käytettäviin ajoneuvoihin. </w:t>
      </w:r>
    </w:p>
    <w:p w14:paraId="22473C04" w14:textId="6D01DF04" w:rsidR="000E48CE" w:rsidRDefault="00FF4C4E">
      <w:pPr>
        <w:pStyle w:val="P68B1DB1-Normal4"/>
        <w:numPr>
          <w:ilvl w:val="0"/>
          <w:numId w:val="269"/>
        </w:numPr>
        <w:spacing w:before="120" w:after="120" w:line="240" w:lineRule="auto"/>
        <w:ind w:left="425" w:hanging="425"/>
        <w:contextualSpacing/>
        <w:jc w:val="both"/>
        <w:rPr>
          <w:rFonts w:cs="Times New Roman"/>
          <w:noProof/>
        </w:rPr>
      </w:pPr>
      <w:r>
        <w:rPr>
          <w:noProof/>
        </w:rPr>
        <w:t xml:space="preserve">Antibioottien käytön sääntely </w:t>
      </w:r>
      <w:r>
        <w:rPr>
          <w:noProof/>
        </w:rPr>
        <w:t>kotieläinlajeissa käyttämällä menetelmää, jolla lasketaan antibioottien säännöllinen ja neljännesvuosittainen kulutus karjatilakohtaisesti sekä kansallista viiteindikaattoria. Asetuksessa on kuvattava tulosten perusteella toteutettavat toimenpiteet. Lainsä</w:t>
      </w:r>
      <w:r>
        <w:rPr>
          <w:noProof/>
        </w:rPr>
        <w:t xml:space="preserve">ädännön siirtymäaika on yksi vuosi niiden kotieläintilojen osalta, joilla ei ole velvollisuutta ottaa alakohtaisessa lainsäädännössään käyttöön yhdennettyä hallintojärjestelmää.   </w:t>
      </w:r>
    </w:p>
    <w:p w14:paraId="3129CDA9" w14:textId="77777777" w:rsidR="000E48CE" w:rsidRDefault="000E48CE">
      <w:pPr>
        <w:spacing w:before="120" w:after="120" w:line="240" w:lineRule="auto"/>
        <w:ind w:left="425"/>
        <w:contextualSpacing/>
        <w:jc w:val="both"/>
        <w:rPr>
          <w:rFonts w:ascii="Times New Roman" w:hAnsi="Times New Roman" w:cs="Times New Roman"/>
          <w:noProof/>
          <w:sz w:val="24"/>
        </w:rPr>
      </w:pPr>
    </w:p>
    <w:p w14:paraId="223A83E5" w14:textId="74661DE4" w:rsidR="000E48CE" w:rsidRDefault="00FF4C4E">
      <w:pPr>
        <w:pStyle w:val="P68B1DB1-Normal4"/>
        <w:spacing w:before="120" w:after="120" w:line="240" w:lineRule="auto"/>
        <w:contextualSpacing/>
        <w:jc w:val="both"/>
        <w:rPr>
          <w:rFonts w:cs="Times New Roman"/>
          <w:noProof/>
        </w:rPr>
      </w:pPr>
      <w:r>
        <w:rPr>
          <w:noProof/>
        </w:rPr>
        <w:t>Toimenpiteen täytäntöönpano on saatettava päätökseen viimeistään 30 päivän</w:t>
      </w:r>
      <w:r>
        <w:rPr>
          <w:noProof/>
        </w:rPr>
        <w:t>ä kesäkuuta 2024.</w:t>
      </w:r>
    </w:p>
    <w:p w14:paraId="17685D86" w14:textId="77777777" w:rsidR="000E48CE" w:rsidRDefault="000E48CE">
      <w:pPr>
        <w:spacing w:before="120" w:after="120" w:line="240" w:lineRule="auto"/>
        <w:jc w:val="both"/>
        <w:rPr>
          <w:rFonts w:ascii="Times New Roman" w:hAnsi="Times New Roman" w:cs="Times New Roman"/>
          <w:noProof/>
          <w:sz w:val="24"/>
          <w:u w:val="single"/>
        </w:rPr>
      </w:pPr>
    </w:p>
    <w:p w14:paraId="7008C47F" w14:textId="77777777" w:rsidR="000E48CE" w:rsidRDefault="00FF4C4E">
      <w:pPr>
        <w:pStyle w:val="P68B1DB1-Normal6"/>
        <w:spacing w:before="120" w:after="120" w:line="240" w:lineRule="auto"/>
        <w:jc w:val="both"/>
        <w:rPr>
          <w:rFonts w:cs="Times New Roman"/>
          <w:noProof/>
        </w:rPr>
      </w:pPr>
      <w:r>
        <w:rPr>
          <w:noProof/>
        </w:rPr>
        <w:t>Uudistus 3 (C3.R3) – Maatalousmaiden kestävää ravitsemusta koskeva lainsäädäntökehys ja maatalousperäistä pilaantumista koskeva lainsäädäntö</w:t>
      </w:r>
    </w:p>
    <w:p w14:paraId="4FF389C3" w14:textId="77777777" w:rsidR="000E48CE" w:rsidRDefault="00FF4C4E">
      <w:pPr>
        <w:pStyle w:val="P68B1DB1-Normal4"/>
        <w:spacing w:before="120" w:after="120" w:line="240" w:lineRule="auto"/>
        <w:jc w:val="both"/>
        <w:rPr>
          <w:rFonts w:cs="Times New Roman"/>
          <w:noProof/>
        </w:rPr>
      </w:pPr>
      <w:r>
        <w:rPr>
          <w:noProof/>
        </w:rPr>
        <w:t>Tämän toimenpiteen tavoitteena on säännellä maatalouslannoitusta, jotta voidaan puuttua johdonmu</w:t>
      </w:r>
      <w:r>
        <w:rPr>
          <w:noProof/>
        </w:rPr>
        <w:t xml:space="preserve">kaisesti eri ravinteiden lähteisiin maatalousmaahan. Lisäksi sen on annettava viljelijöille teknistä neuvontaa lakisääteisten vaatimusten täyttämiseksi ja lannoituksen järkeistämiseksi. Toimintasuunnitelmilla on määrä puuttua ilmastonmuutoksen kielteisiin </w:t>
      </w:r>
      <w:r>
        <w:rPr>
          <w:noProof/>
        </w:rPr>
        <w:lastRenderedPageBreak/>
        <w:t>vaikutuksiin; vähentää maataloudesta peräisin olevien nitraattien ja fosfaattien aiheuttamaa vesien pilaantumista; ja iii) ilmanlaadun parantaminen.</w:t>
      </w:r>
    </w:p>
    <w:p w14:paraId="30D53276" w14:textId="77777777" w:rsidR="000E48CE" w:rsidRDefault="00FF4C4E">
      <w:pPr>
        <w:pStyle w:val="P68B1DB1-Normal4"/>
        <w:spacing w:before="120" w:after="120" w:line="240" w:lineRule="auto"/>
        <w:jc w:val="both"/>
        <w:rPr>
          <w:rFonts w:cs="Times New Roman"/>
          <w:noProof/>
        </w:rPr>
      </w:pPr>
      <w:r>
        <w:rPr>
          <w:noProof/>
        </w:rPr>
        <w:t>Ehdotettu lainsäädäntökehys liittyy toiseen säädökseen: luonnos kuninkaalliseksi asetukseksi vesien suojele</w:t>
      </w:r>
      <w:r>
        <w:rPr>
          <w:noProof/>
        </w:rPr>
        <w:t>misesta maataloudesta peräisin olevien nitraattien aiheuttamalta pilaantumiselta (joka korvaa 16. helmikuuta 1996 annetun kuninkaan asetuksen 261/1996). Se liittyy myös toimintasuunnitelman laatimiseen erityisesti maataloudesta peräisin olevien nitraattien</w:t>
      </w:r>
      <w:r>
        <w:rPr>
          <w:noProof/>
        </w:rPr>
        <w:t xml:space="preserve"> aiheuttaman hajakuormituksen ehkäisemiseksi, korjaamiseksi ja vähentämiseksi. Tällä toimenpiteellä otetaan käyttöön kuninkaallinen asetus, jolla saatetaan osaksi kansallista lainsäädäntöä vesien suojelemisesta maataloudesta peräisin olevien nitraattien ai</w:t>
      </w:r>
      <w:r>
        <w:rPr>
          <w:noProof/>
        </w:rPr>
        <w:t>heuttamalta pilaantumiselta 12 päivänä joulukuuta 1991 annettu direktiivi 91/676/ETY, asetetaan nitraattidirektiiviä kunnianhimoisemmat tavoitteet ja lisätään lähentymistä vesipolitiikan puitedirektiivin mukaisiin vesisuunnittelutavoitteisiin.</w:t>
      </w:r>
    </w:p>
    <w:p w14:paraId="21CE4873" w14:textId="77777777" w:rsidR="000E48CE" w:rsidRDefault="00FF4C4E">
      <w:pPr>
        <w:pStyle w:val="P68B1DB1-Normal4"/>
        <w:spacing w:before="120" w:after="120" w:line="240" w:lineRule="auto"/>
        <w:jc w:val="both"/>
        <w:rPr>
          <w:rFonts w:cs="Times New Roman"/>
          <w:noProof/>
        </w:rPr>
      </w:pPr>
      <w:r>
        <w:rPr>
          <w:noProof/>
        </w:rPr>
        <w:t>Toimenpiteen</w:t>
      </w:r>
      <w:r>
        <w:rPr>
          <w:noProof/>
        </w:rPr>
        <w:t xml:space="preserve"> täytäntöönpano on saatettava päätökseen viimeistään 31 päivänä maaliskuuta 2023. </w:t>
      </w:r>
    </w:p>
    <w:p w14:paraId="5EC2BBD2" w14:textId="77777777" w:rsidR="000E48CE" w:rsidRDefault="00FF4C4E">
      <w:pPr>
        <w:pStyle w:val="P68B1DB1-Normal6"/>
        <w:spacing w:before="120" w:after="120" w:line="240" w:lineRule="auto"/>
        <w:jc w:val="both"/>
        <w:rPr>
          <w:rFonts w:cs="Times New Roman"/>
          <w:noProof/>
        </w:rPr>
      </w:pPr>
      <w:r>
        <w:rPr>
          <w:noProof/>
        </w:rPr>
        <w:t>Uudistus 4 (C3.R4) – Espanjan kastelun hallinnoinnin ja kestävän hoidon edistäminen</w:t>
      </w:r>
    </w:p>
    <w:p w14:paraId="4BA48D99" w14:textId="77777777" w:rsidR="000E48CE" w:rsidRDefault="00FF4C4E">
      <w:pPr>
        <w:pStyle w:val="P68B1DB1-Normal4"/>
        <w:spacing w:before="120" w:after="120" w:line="240" w:lineRule="auto"/>
        <w:jc w:val="both"/>
        <w:rPr>
          <w:rFonts w:cs="Times New Roman"/>
          <w:noProof/>
        </w:rPr>
      </w:pPr>
      <w:r>
        <w:rPr>
          <w:noProof/>
        </w:rPr>
        <w:t>Tämän toimenpiteen tavoitteena on luoda kansallisella tasolla hallintomekanismi, jonka av</w:t>
      </w:r>
      <w:r>
        <w:rPr>
          <w:noProof/>
        </w:rPr>
        <w:t>ulla kaikki asianomaiset alat ja viranomaisten tasot voivat tehdä yhteistyötä kastelun alalla. Tähän sisältyvät ympäristön kestävyys, täytäntöönpanokriteerit ja sovellettavaan lainsäädäntöön liittyvät näkökohdat. Toimenpiteellä perustetaan Espanjaan kastel</w:t>
      </w:r>
      <w:r>
        <w:rPr>
          <w:noProof/>
        </w:rPr>
        <w:t>un kestävyyttä käsittelevä seurantakeskus, joka toimittaa tietoja kastelun taloudellisista, sosiaalisista ja ympäristövaikutuksista alueella.</w:t>
      </w:r>
    </w:p>
    <w:p w14:paraId="326A145B" w14:textId="77777777" w:rsidR="000E48CE" w:rsidRDefault="00FF4C4E">
      <w:pPr>
        <w:pStyle w:val="P68B1DB1-Normal4"/>
        <w:spacing w:before="120" w:after="120" w:line="240" w:lineRule="auto"/>
        <w:jc w:val="both"/>
        <w:rPr>
          <w:rFonts w:cs="Times New Roman"/>
          <w:noProof/>
          <w:u w:val="single"/>
        </w:rPr>
      </w:pPr>
      <w:r>
        <w:rPr>
          <w:noProof/>
        </w:rPr>
        <w:t>Uudistuksen täytäntöönpano on saatettava päätökseen 31 päivään joulukuuta 2022 mennessä.</w:t>
      </w:r>
    </w:p>
    <w:p w14:paraId="0A0562DB" w14:textId="77777777" w:rsidR="000E48CE" w:rsidRDefault="00FF4C4E">
      <w:pPr>
        <w:pStyle w:val="P68B1DB1-Normal6"/>
        <w:spacing w:before="120" w:after="120" w:line="240" w:lineRule="auto"/>
        <w:jc w:val="both"/>
        <w:rPr>
          <w:rFonts w:cs="Times New Roman"/>
          <w:noProof/>
        </w:rPr>
      </w:pPr>
      <w:r>
        <w:rPr>
          <w:noProof/>
        </w:rPr>
        <w:t>Uudistus 5 (C3.R5) – Maat</w:t>
      </w:r>
      <w:r>
        <w:rPr>
          <w:noProof/>
        </w:rPr>
        <w:t>alous- ja maaseutualueiden digitalisointistrategian toisen toimintasuunnitelman täytäntöönpano</w:t>
      </w:r>
    </w:p>
    <w:p w14:paraId="11992691" w14:textId="77777777" w:rsidR="000E48CE" w:rsidRDefault="00FF4C4E">
      <w:pPr>
        <w:pStyle w:val="P68B1DB1-Normal4"/>
        <w:spacing w:before="120" w:after="120" w:line="240" w:lineRule="auto"/>
        <w:jc w:val="both"/>
        <w:rPr>
          <w:rFonts w:cs="Times New Roman"/>
          <w:noProof/>
        </w:rPr>
      </w:pPr>
      <w:r>
        <w:rPr>
          <w:noProof/>
        </w:rPr>
        <w:t>Tällä toimenpiteellä pyritään jatkamaan Espanjan hallituksen maaliskuussa 2019 hyväksymän maatalouselintarvikkeiden ja maaseudun digitalisointia koskevan strateg</w:t>
      </w:r>
      <w:r>
        <w:rPr>
          <w:noProof/>
        </w:rPr>
        <w:t>ian täytäntöönpanoa. Toimenpiteessä on esitettävä toinen toimintasuunnitelma, joka vastaa strategian kolmea perustavoitetta: digitaalisen kuilun kaventaminen; edistämällä datan käyttöä; ja iii) liiketoiminnan kehittämisen ja uusien liiketoimintamallien edi</w:t>
      </w:r>
      <w:r>
        <w:rPr>
          <w:noProof/>
        </w:rPr>
        <w:t xml:space="preserve">stäminen. </w:t>
      </w:r>
    </w:p>
    <w:p w14:paraId="1DCF0FDA" w14:textId="77777777" w:rsidR="000E48CE" w:rsidRDefault="00FF4C4E">
      <w:pPr>
        <w:pStyle w:val="P68B1DB1-Normal4"/>
        <w:spacing w:before="120" w:after="120" w:line="240" w:lineRule="auto"/>
        <w:jc w:val="both"/>
        <w:rPr>
          <w:rFonts w:cs="Times New Roman"/>
          <w:noProof/>
        </w:rPr>
      </w:pPr>
      <w:r>
        <w:rPr>
          <w:noProof/>
        </w:rPr>
        <w:t>Toimenpiteellä tuetaan edelleen digitaalisten prosessien ja taitojen käyttöönottoa ja sisällyttämistä maaseutualueisiin ja niiden sosiaaliseen rakenteeseen liittyvässä taloudellisessa toiminnassa. Toimenpiteellä suunnitellaan, laaditaan ja panna</w:t>
      </w:r>
      <w:r>
        <w:rPr>
          <w:noProof/>
        </w:rPr>
        <w:t>an täytäntöön maatalouselintarvikealan ja maaseutualueiden digitalisointistrategian toinen toimintasuunnitelma.</w:t>
      </w:r>
    </w:p>
    <w:p w14:paraId="1392C3C9"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päivänä joulukuuta 2023.</w:t>
      </w:r>
    </w:p>
    <w:p w14:paraId="701358BE" w14:textId="77777777" w:rsidR="000E48CE" w:rsidRDefault="00FF4C4E">
      <w:pPr>
        <w:pStyle w:val="P68B1DB1-Normal6"/>
        <w:spacing w:before="120" w:after="120" w:line="240" w:lineRule="auto"/>
        <w:jc w:val="both"/>
        <w:rPr>
          <w:rFonts w:cs="Times New Roman"/>
          <w:noProof/>
        </w:rPr>
      </w:pPr>
      <w:bookmarkStart w:id="7" w:name="_Hlk144117478"/>
      <w:r>
        <w:rPr>
          <w:noProof/>
        </w:rPr>
        <w:t>Uudistus 6 (C3.R6) – Kestävän kalastuksen sääntelyä</w:t>
      </w:r>
      <w:r>
        <w:rPr>
          <w:noProof/>
        </w:rPr>
        <w:t xml:space="preserve"> koskevan kansallisen sääntelykehyksen tarkistaminen</w:t>
      </w:r>
    </w:p>
    <w:bookmarkEnd w:id="7"/>
    <w:p w14:paraId="168525BC" w14:textId="77777777" w:rsidR="000E48CE" w:rsidRDefault="00FF4C4E">
      <w:pPr>
        <w:pStyle w:val="P68B1DB1-Normal4"/>
        <w:spacing w:before="120" w:after="120" w:line="240" w:lineRule="auto"/>
        <w:jc w:val="both"/>
        <w:rPr>
          <w:rFonts w:cs="Times New Roman"/>
          <w:noProof/>
        </w:rPr>
      </w:pPr>
      <w:r>
        <w:rPr>
          <w:noProof/>
        </w:rPr>
        <w:t>Tämän toimenpiteen tavoitteena on edistää taloudellisen ja sosiaalisen kestävyyden sisällyttämistä kalastuksenhoitoon; II) parantaa kaikkien kalastusalan toimijoiden oikeusvarmuutta; ja iii) lisätä kalas</w:t>
      </w:r>
      <w:r>
        <w:rPr>
          <w:noProof/>
        </w:rPr>
        <w:t>tuksenhoidon avoimuutta, nykyaikaistamista ja digitalisointia. Toimenpiteessä on otettava huomioon EU:n politiikkojen ja haasteiden tavoitteet, mukaan lukien yhteisen kalastuspolitiikan uudistus, vuoteen 2030 ulottuva biodiversiteettistrategia, meristrateg</w:t>
      </w:r>
      <w:r>
        <w:rPr>
          <w:noProof/>
        </w:rPr>
        <w:t>iat ja kestävän kehityksen tavoitteet.</w:t>
      </w:r>
    </w:p>
    <w:p w14:paraId="45B4B9BE" w14:textId="77777777" w:rsidR="000E48CE" w:rsidRDefault="00FF4C4E">
      <w:pPr>
        <w:pStyle w:val="P68B1DB1-Normal4"/>
        <w:spacing w:before="120" w:after="120" w:line="240" w:lineRule="auto"/>
        <w:jc w:val="both"/>
        <w:rPr>
          <w:rFonts w:cs="Times New Roman"/>
          <w:noProof/>
        </w:rPr>
      </w:pPr>
      <w:r>
        <w:rPr>
          <w:noProof/>
        </w:rPr>
        <w:t>Näiden tavoitteiden saavuttamiseksi toimenpiteellä on saavutettava seuraavat tavoitteet:</w:t>
      </w:r>
    </w:p>
    <w:p w14:paraId="3290735B" w14:textId="77777777" w:rsidR="000E48CE" w:rsidRDefault="00FF4C4E">
      <w:pPr>
        <w:pStyle w:val="P68B1DB1-Normal4"/>
        <w:numPr>
          <w:ilvl w:val="0"/>
          <w:numId w:val="76"/>
        </w:numPr>
        <w:spacing w:before="120" w:after="120" w:line="240" w:lineRule="auto"/>
        <w:ind w:left="425" w:hanging="425"/>
        <w:contextualSpacing/>
        <w:jc w:val="both"/>
        <w:rPr>
          <w:rFonts w:cs="Times New Roman"/>
          <w:noProof/>
        </w:rPr>
      </w:pPr>
      <w:bookmarkStart w:id="8" w:name="_Hlk144117739"/>
      <w:r>
        <w:rPr>
          <w:noProof/>
        </w:rPr>
        <w:lastRenderedPageBreak/>
        <w:t xml:space="preserve">Tarkistetaan nykyistä kalastuslakia sen mukauttamiseksi kalastusalan uusiin kestävyyskriteereihin ja tutkimustarpeisiin; </w:t>
      </w:r>
    </w:p>
    <w:p w14:paraId="5C15178B" w14:textId="77777777" w:rsidR="000E48CE" w:rsidRDefault="00FF4C4E">
      <w:pPr>
        <w:pStyle w:val="P68B1DB1-Normal4"/>
        <w:numPr>
          <w:ilvl w:val="0"/>
          <w:numId w:val="76"/>
        </w:numPr>
        <w:spacing w:before="120" w:after="120" w:line="240" w:lineRule="auto"/>
        <w:ind w:left="425" w:hanging="425"/>
        <w:contextualSpacing/>
        <w:jc w:val="both"/>
        <w:rPr>
          <w:rFonts w:cs="Times New Roman"/>
          <w:noProof/>
        </w:rPr>
      </w:pPr>
      <w:bookmarkStart w:id="9" w:name="_Hlk144117746"/>
      <w:bookmarkEnd w:id="8"/>
      <w:r>
        <w:rPr>
          <w:noProof/>
        </w:rPr>
        <w:t>kansallisten kalastusalueiden eri välineiden, menetelmien ja laskentojen hallinnoinnin ajantasaistaminen kuninkaallisella asetuksella; ja</w:t>
      </w:r>
    </w:p>
    <w:p w14:paraId="042E0201" w14:textId="77777777" w:rsidR="000E48CE" w:rsidRDefault="00FF4C4E">
      <w:pPr>
        <w:pStyle w:val="P68B1DB1-Normal4"/>
        <w:numPr>
          <w:ilvl w:val="0"/>
          <w:numId w:val="76"/>
        </w:numPr>
        <w:spacing w:before="120" w:after="120" w:line="240" w:lineRule="auto"/>
        <w:ind w:left="426" w:hanging="426"/>
        <w:jc w:val="both"/>
        <w:rPr>
          <w:rFonts w:cs="Times New Roman"/>
          <w:noProof/>
        </w:rPr>
      </w:pPr>
      <w:bookmarkStart w:id="10" w:name="_Hlk144117704"/>
      <w:r>
        <w:rPr>
          <w:noProof/>
        </w:rPr>
        <w:t>kalastusalan valvonta-, tarkastus- ja seuraamusjärjestelmien nykyaikaistamista koskevan lain täytäntöönpano.</w:t>
      </w:r>
    </w:p>
    <w:bookmarkEnd w:id="9"/>
    <w:bookmarkEnd w:id="10"/>
    <w:p w14:paraId="16CACB9E" w14:textId="77777777" w:rsidR="000E48CE" w:rsidRDefault="00FF4C4E">
      <w:pPr>
        <w:pStyle w:val="P68B1DB1-Normal4"/>
        <w:spacing w:before="120" w:after="120" w:line="240" w:lineRule="auto"/>
        <w:jc w:val="both"/>
        <w:rPr>
          <w:rFonts w:cs="Times New Roman"/>
          <w:noProof/>
        </w:rPr>
      </w:pPr>
      <w:r>
        <w:rPr>
          <w:noProof/>
        </w:rPr>
        <w:t>Kuninkaan</w:t>
      </w:r>
      <w:r>
        <w:rPr>
          <w:noProof/>
        </w:rPr>
        <w:t xml:space="preserve"> asetus kansallisten kalastusalueiden eri välineiden, menetelmien ja valitusten hallinnoinnin parantamisesta on määrä julkaista 30. kesäkuuta 2022 mennessä. </w:t>
      </w:r>
    </w:p>
    <w:p w14:paraId="2DC96A53" w14:textId="3D1A5832" w:rsidR="000E48CE" w:rsidRDefault="00FF4C4E">
      <w:pPr>
        <w:pStyle w:val="P68B1DB1-Normal4"/>
        <w:spacing w:before="120" w:after="120" w:line="240" w:lineRule="auto"/>
        <w:jc w:val="both"/>
        <w:rPr>
          <w:rFonts w:cs="Times New Roman"/>
          <w:noProof/>
        </w:rPr>
      </w:pPr>
      <w:r>
        <w:rPr>
          <w:noProof/>
        </w:rPr>
        <w:t>Toimenpiteen täytäntöönpano on määrä saattaa päätökseen 30. kesäkuuta 2026 mennessä.</w:t>
      </w:r>
    </w:p>
    <w:p w14:paraId="72D1D3BF" w14:textId="77777777" w:rsidR="000E48CE" w:rsidRDefault="00FF4C4E">
      <w:pPr>
        <w:pStyle w:val="P68B1DB1-Normal6"/>
        <w:spacing w:before="120" w:after="120" w:line="240" w:lineRule="auto"/>
        <w:jc w:val="both"/>
        <w:rPr>
          <w:rFonts w:cs="Times New Roman"/>
          <w:noProof/>
        </w:rPr>
      </w:pPr>
      <w:r>
        <w:rPr>
          <w:noProof/>
        </w:rPr>
        <w:t>Investointi 1</w:t>
      </w:r>
      <w:r>
        <w:rPr>
          <w:noProof/>
        </w:rPr>
        <w:t xml:space="preserve"> (C3.I1) – Suunnitelma kastelun tehokkuuden ja kestävyyden parantamiseksi </w:t>
      </w:r>
    </w:p>
    <w:p w14:paraId="6302894E" w14:textId="77777777" w:rsidR="000E48CE" w:rsidRDefault="00FF4C4E">
      <w:pPr>
        <w:pStyle w:val="P68B1DB1-Normal4"/>
        <w:spacing w:before="120" w:after="120" w:line="240" w:lineRule="auto"/>
        <w:jc w:val="both"/>
        <w:rPr>
          <w:rFonts w:cs="Times New Roman"/>
          <w:noProof/>
        </w:rPr>
      </w:pPr>
      <w:r>
        <w:rPr>
          <w:noProof/>
        </w:rPr>
        <w:t>Toimenpiteen tavoitteena on parantaa kastelun tehokkuutta ja kestävyyttä valikoitujen toimien avulla. Sillä edistetään veden säästämistä ja energiatehokkuutta kastelutoiminnassa. Nä</w:t>
      </w:r>
      <w:r>
        <w:rPr>
          <w:noProof/>
        </w:rPr>
        <w:t>itä ovat:</w:t>
      </w:r>
    </w:p>
    <w:p w14:paraId="376E0EC4" w14:textId="77777777" w:rsidR="000E48CE" w:rsidRDefault="00FF4C4E">
      <w:pPr>
        <w:pStyle w:val="P68B1DB1-Normal4"/>
        <w:numPr>
          <w:ilvl w:val="0"/>
          <w:numId w:val="81"/>
        </w:numPr>
        <w:spacing w:before="120" w:after="120" w:line="240" w:lineRule="auto"/>
        <w:ind w:left="425" w:hanging="425"/>
        <w:contextualSpacing/>
        <w:jc w:val="both"/>
        <w:rPr>
          <w:rFonts w:cs="Times New Roman"/>
          <w:noProof/>
        </w:rPr>
      </w:pPr>
      <w:r>
        <w:rPr>
          <w:noProof/>
        </w:rPr>
        <w:t>Nykyaikaistamistoimet, mukaan lukien vähintään seuraavat: toimet alueilla, joilla pinta- tai pohjavesi korvataan epätavanomaisilla vesivaroilla (kuten asetuksen (EU) 2020/741 mukaisella kierrätetyllä vedellä ja suolalla poistettu vesi ”ei merkitt</w:t>
      </w:r>
      <w:r>
        <w:rPr>
          <w:noProof/>
        </w:rPr>
        <w:t>ävää haittaa” -periaatteen mukaisesti, osana nykyaikaistamisprosessia; ja ii) toimet, joilla lisätään vedensäästöjä tai vähennetään edelleen veden kysyntää tai lisätään energiansäästöä;</w:t>
      </w:r>
    </w:p>
    <w:p w14:paraId="72FEE5A3" w14:textId="77777777" w:rsidR="000E48CE" w:rsidRDefault="00FF4C4E">
      <w:pPr>
        <w:pStyle w:val="P68B1DB1-Normal4"/>
        <w:numPr>
          <w:ilvl w:val="0"/>
          <w:numId w:val="81"/>
        </w:numPr>
        <w:spacing w:before="120" w:after="120" w:line="240" w:lineRule="auto"/>
        <w:ind w:left="425" w:hanging="425"/>
        <w:contextualSpacing/>
        <w:jc w:val="both"/>
        <w:rPr>
          <w:rFonts w:cs="Times New Roman"/>
          <w:noProof/>
        </w:rPr>
      </w:pPr>
      <w:r>
        <w:rPr>
          <w:noProof/>
        </w:rPr>
        <w:t>energiavaikutuksia aiheuttavien kastelujärjestelmien nykyaikaistaminen</w:t>
      </w:r>
      <w:r>
        <w:rPr>
          <w:noProof/>
        </w:rPr>
        <w:t>, mukaan lukien i) sellaisten toimien suosiminen, jotka eivät edellytä sähköä niiden käyttämiseksi, verrattuna niihin, jotka tarvitsevat tai tarvitsevat uusiutuvaa energiaa; ja ii) nykyaikaistamistoimenpiteet, joilla helpotetaan energiaomavaraisuutta, muka</w:t>
      </w:r>
      <w:r>
        <w:rPr>
          <w:noProof/>
        </w:rPr>
        <w:t>an lukien uusiutuvan energian käyttö; ja</w:t>
      </w:r>
    </w:p>
    <w:p w14:paraId="1E9DE30C" w14:textId="77777777" w:rsidR="000E48CE" w:rsidRDefault="00FF4C4E">
      <w:pPr>
        <w:pStyle w:val="P68B1DB1-Normal4"/>
        <w:numPr>
          <w:ilvl w:val="0"/>
          <w:numId w:val="81"/>
        </w:numPr>
        <w:spacing w:before="120" w:after="120" w:line="240" w:lineRule="auto"/>
        <w:ind w:left="426" w:hanging="426"/>
        <w:jc w:val="both"/>
        <w:rPr>
          <w:rFonts w:cs="Times New Roman"/>
          <w:noProof/>
        </w:rPr>
      </w:pPr>
      <w:r>
        <w:rPr>
          <w:noProof/>
        </w:rPr>
        <w:t>uusien teknologioiden edistäminen, kuten toimet, joilla mahdollistetaan uusien teknologioiden ja innovaatioiden parempi käyttöönotto tehokkaamman kastelun aikaansaamiseksi; ja ii) toimet, joilla pyritään lisäämään k</w:t>
      </w:r>
      <w:r>
        <w:rPr>
          <w:noProof/>
        </w:rPr>
        <w:t>astelun nykyaikaistamista.</w:t>
      </w:r>
    </w:p>
    <w:p w14:paraId="1A33E4FC" w14:textId="77777777" w:rsidR="000E48CE" w:rsidRDefault="00FF4C4E">
      <w:pPr>
        <w:pStyle w:val="P68B1DB1-Normal4"/>
        <w:spacing w:before="120" w:after="120" w:line="240" w:lineRule="auto"/>
        <w:jc w:val="both"/>
        <w:rPr>
          <w:rFonts w:cs="Times New Roman"/>
          <w:noProof/>
        </w:rPr>
      </w:pPr>
      <w:r>
        <w:rPr>
          <w:noProof/>
        </w:rPr>
        <w:t xml:space="preserve">Toimenpiteen toteuttamisesta vastaa julkinen yritys </w:t>
      </w:r>
      <w:r>
        <w:rPr>
          <w:i/>
          <w:noProof/>
        </w:rPr>
        <w:t>Sociedad Estatal de Infraestructuras Agrarias</w:t>
      </w:r>
      <w:r>
        <w:rPr>
          <w:noProof/>
        </w:rPr>
        <w:t xml:space="preserve"> (SEIASA). Tätä varten maatalous-, kalastus- ja elintarvikeministeriön (MAPA) ja SEIASAn välisellä sopimuksella säännellään kastelun</w:t>
      </w:r>
      <w:r>
        <w:rPr>
          <w:noProof/>
        </w:rPr>
        <w:t xml:space="preserve"> nykyaikaistamiseen tehtävien investointien julkista/yksityistä rahoitusjärjestelmää, hankkeiden valintaperusteita, täytäntöönpanomenettelyjä sekä toteutettavien toimien luetteloa. Tähän toimenpideluetteloon on sisällyttävä ainakin seuraavat:</w:t>
      </w:r>
    </w:p>
    <w:p w14:paraId="1A5D4B3F" w14:textId="77777777" w:rsidR="000E48CE" w:rsidRDefault="00FF4C4E">
      <w:pPr>
        <w:pStyle w:val="P68B1DB1-Normal4"/>
        <w:numPr>
          <w:ilvl w:val="0"/>
          <w:numId w:val="83"/>
        </w:numPr>
        <w:spacing w:before="120" w:after="120" w:line="240" w:lineRule="auto"/>
        <w:ind w:left="357" w:hanging="357"/>
        <w:contextualSpacing/>
        <w:jc w:val="both"/>
        <w:rPr>
          <w:rFonts w:cs="Times New Roman"/>
          <w:noProof/>
        </w:rPr>
      </w:pPr>
      <w:r>
        <w:rPr>
          <w:noProof/>
        </w:rPr>
        <w:t>Pohjaveden ta</w:t>
      </w:r>
      <w:r>
        <w:rPr>
          <w:noProof/>
        </w:rPr>
        <w:t xml:space="preserve">i pintaveden käytön korvaaminen muilla kuin perinteisillä vesivaroilla (kierrätetty vesi tai suolasta poistettu vesi ”ei merkittävää haittaa” -ohjeiden (2021/C58/01) mukaisesti); </w:t>
      </w:r>
    </w:p>
    <w:p w14:paraId="4EB8D444" w14:textId="77777777" w:rsidR="000E48CE" w:rsidRDefault="00FF4C4E">
      <w:pPr>
        <w:pStyle w:val="P68B1DB1-Normal4"/>
        <w:numPr>
          <w:ilvl w:val="0"/>
          <w:numId w:val="83"/>
        </w:numPr>
        <w:spacing w:before="120" w:after="120" w:line="240" w:lineRule="auto"/>
        <w:ind w:left="357" w:hanging="357"/>
        <w:contextualSpacing/>
        <w:jc w:val="both"/>
        <w:rPr>
          <w:rFonts w:cs="Times New Roman"/>
          <w:noProof/>
        </w:rPr>
      </w:pPr>
      <w:r>
        <w:rPr>
          <w:noProof/>
        </w:rPr>
        <w:t xml:space="preserve">sellaisten vedensäätöjärjestelmien (säiliöiden) käyttöönotto, jotka </w:t>
      </w:r>
      <w:r>
        <w:rPr>
          <w:noProof/>
        </w:rPr>
        <w:t>mahdollistavat painovoimaisen kastelun;</w:t>
      </w:r>
    </w:p>
    <w:p w14:paraId="71771AF9" w14:textId="77777777" w:rsidR="000E48CE" w:rsidRDefault="00FF4C4E">
      <w:pPr>
        <w:pStyle w:val="P68B1DB1-Normal4"/>
        <w:numPr>
          <w:ilvl w:val="0"/>
          <w:numId w:val="83"/>
        </w:numPr>
        <w:spacing w:before="120" w:after="120" w:line="240" w:lineRule="auto"/>
        <w:ind w:left="357" w:hanging="357"/>
        <w:contextualSpacing/>
        <w:jc w:val="both"/>
        <w:rPr>
          <w:rFonts w:cs="Times New Roman"/>
          <w:noProof/>
        </w:rPr>
      </w:pPr>
      <w:r>
        <w:rPr>
          <w:noProof/>
        </w:rPr>
        <w:t>ulkoilmaojien korvaaminen maanalaisilla putkilla;</w:t>
      </w:r>
    </w:p>
    <w:p w14:paraId="604535BE" w14:textId="77777777" w:rsidR="000E48CE" w:rsidRDefault="00FF4C4E">
      <w:pPr>
        <w:pStyle w:val="P68B1DB1-Normal4"/>
        <w:numPr>
          <w:ilvl w:val="0"/>
          <w:numId w:val="83"/>
        </w:numPr>
        <w:spacing w:before="120" w:after="120" w:line="240" w:lineRule="auto"/>
        <w:ind w:left="357" w:hanging="357"/>
        <w:contextualSpacing/>
        <w:jc w:val="both"/>
        <w:rPr>
          <w:rFonts w:cs="Times New Roman"/>
          <w:noProof/>
        </w:rPr>
      </w:pPr>
      <w:r>
        <w:rPr>
          <w:noProof/>
        </w:rPr>
        <w:t>suodatus- ja pumppausjärjestelmien rakentaminen; ja</w:t>
      </w:r>
    </w:p>
    <w:p w14:paraId="2312E5D1" w14:textId="77777777" w:rsidR="000E48CE" w:rsidRDefault="00FF4C4E">
      <w:pPr>
        <w:pStyle w:val="P68B1DB1-Normal4"/>
        <w:numPr>
          <w:ilvl w:val="0"/>
          <w:numId w:val="83"/>
        </w:numPr>
        <w:spacing w:before="120" w:after="120" w:line="240" w:lineRule="auto"/>
        <w:jc w:val="both"/>
        <w:rPr>
          <w:rFonts w:cs="Times New Roman"/>
          <w:noProof/>
        </w:rPr>
      </w:pPr>
      <w:r>
        <w:rPr>
          <w:noProof/>
        </w:rPr>
        <w:t>mittareiden ja kaukohallintajärjestelmien asentaminen.</w:t>
      </w:r>
    </w:p>
    <w:p w14:paraId="38A38CF1" w14:textId="77777777" w:rsidR="000E48CE" w:rsidRDefault="00FF4C4E">
      <w:pPr>
        <w:pStyle w:val="P68B1DB1-Normal4"/>
        <w:spacing w:before="120" w:after="120" w:line="240" w:lineRule="auto"/>
        <w:jc w:val="both"/>
        <w:rPr>
          <w:rFonts w:cs="Times New Roman"/>
          <w:noProof/>
        </w:rPr>
      </w:pPr>
      <w:r>
        <w:rPr>
          <w:noProof/>
        </w:rPr>
        <w:t>Tämän toimenpiteen ei odoteta aiheuttavan merkittävää haitt</w:t>
      </w:r>
      <w:r>
        <w:rPr>
          <w:noProof/>
        </w:rPr>
        <w:t xml:space="preserve">aa asetuksen (EU) 2020/852 17 artiklassa tarkoitetuille ympäristötavoitteille, kun otetaan huomioon ”ei merkittävää haittaa” -periaatetta koskevien teknisten ohjeiden (2021/C58/01) mukainen elpymis- ja palautumissuunnitelmassa esitetty toimenpiteen kuvaus </w:t>
      </w:r>
      <w:r>
        <w:rPr>
          <w:noProof/>
        </w:rPr>
        <w:t>ja lieventävät toimenpiteet. Erityisesti suolanpoistoveden tuotannossa on käytettävä parasta saatavilla olevaa teknologiaa, jonka ympäristövaikutukset alalla ovat vähäisimmät. Kaikki kastelutoimet on toteutettava vesipolitiikan puitedirektiivin mukaisesti,</w:t>
      </w:r>
      <w:r>
        <w:rPr>
          <w:noProof/>
        </w:rPr>
        <w:t xml:space="preserve"> tarvittavat ympäristövaikutusten arvioinnit on tehtävä direktiivien 2009/147/EY ja 92/43/ETY mukaisesti ja on toteutettava tarvittavat ympäristönsuojelutoimenpiteet.</w:t>
      </w:r>
    </w:p>
    <w:p w14:paraId="20F6D375" w14:textId="77777777" w:rsidR="000E48CE" w:rsidRDefault="00FF4C4E">
      <w:pPr>
        <w:pStyle w:val="P68B1DB1-Normal4"/>
        <w:spacing w:before="120" w:after="120" w:line="240" w:lineRule="auto"/>
        <w:jc w:val="both"/>
        <w:rPr>
          <w:rFonts w:cs="Times New Roman"/>
          <w:noProof/>
        </w:rPr>
      </w:pPr>
      <w:r>
        <w:rPr>
          <w:noProof/>
        </w:rPr>
        <w:lastRenderedPageBreak/>
        <w:t>Investoinnin toteutus saatetaan päätökseen viimeistään 30. kesäkuuta 2026.</w:t>
      </w:r>
    </w:p>
    <w:p w14:paraId="19B2E2EB" w14:textId="77777777" w:rsidR="000E48CE" w:rsidRDefault="00FF4C4E">
      <w:pPr>
        <w:pStyle w:val="P68B1DB1-Normal6"/>
        <w:spacing w:before="120" w:after="120" w:line="240" w:lineRule="auto"/>
        <w:jc w:val="both"/>
        <w:rPr>
          <w:rFonts w:cs="Times New Roman"/>
          <w:noProof/>
        </w:rPr>
      </w:pPr>
      <w:r>
        <w:rPr>
          <w:noProof/>
        </w:rPr>
        <w:t xml:space="preserve">Investointi 2 </w:t>
      </w:r>
      <w:r>
        <w:rPr>
          <w:noProof/>
        </w:rPr>
        <w:t xml:space="preserve">(C3.I2) – Suunnitelma maatalouden ja karjankasvatuksen kestävyyden ja kilpailukyvyn parantamiseksi (I): Eläinten ja kasvien terveyttä käsittelevien laboratorioiden nykyaikaistaminen </w:t>
      </w:r>
    </w:p>
    <w:p w14:paraId="2AB9C24A" w14:textId="77777777" w:rsidR="000E48CE" w:rsidRDefault="00FF4C4E">
      <w:pPr>
        <w:pStyle w:val="P68B1DB1-Normal4"/>
        <w:spacing w:before="120" w:after="120" w:line="240" w:lineRule="auto"/>
        <w:jc w:val="both"/>
        <w:rPr>
          <w:rFonts w:cs="Times New Roman"/>
          <w:noProof/>
        </w:rPr>
      </w:pPr>
      <w:r>
        <w:rPr>
          <w:noProof/>
        </w:rPr>
        <w:t>Tällä toimenpiteellä parannetaan maatalous- ja karjankasvatusalan elintar</w:t>
      </w:r>
      <w:r>
        <w:rPr>
          <w:noProof/>
        </w:rPr>
        <w:t>viketurvaa varmistamalla nopeat toimet eläintautien, myös ihmisiin vaikuttavien tautien, sekä kasvintuhoojien puhkeamisen torjumiseksi rakentamalla laitoksia, joiden bioturvallisuustaso on 3. Toimenpiteellä on erityisesti varmistettava seuraavien laitosten</w:t>
      </w:r>
      <w:r>
        <w:rPr>
          <w:noProof/>
        </w:rPr>
        <w:t xml:space="preserve"> käyttöönotto:</w:t>
      </w:r>
    </w:p>
    <w:p w14:paraId="45F0ABAF" w14:textId="77777777" w:rsidR="000E48CE" w:rsidRDefault="00FF4C4E">
      <w:pPr>
        <w:pStyle w:val="P68B1DB1-Normal4"/>
        <w:numPr>
          <w:ilvl w:val="0"/>
          <w:numId w:val="84"/>
        </w:numPr>
        <w:spacing w:before="120" w:after="120" w:line="240" w:lineRule="auto"/>
        <w:ind w:left="357" w:hanging="357"/>
        <w:contextualSpacing/>
        <w:jc w:val="both"/>
        <w:rPr>
          <w:rFonts w:cs="Times New Roman"/>
          <w:noProof/>
        </w:rPr>
      </w:pPr>
      <w:r>
        <w:rPr>
          <w:noProof/>
        </w:rPr>
        <w:t>tason 3 biologisen turvallisuuden laboratorio (LSCA-Santa Fe);</w:t>
      </w:r>
    </w:p>
    <w:p w14:paraId="7A8D5F63" w14:textId="77777777" w:rsidR="000E48CE" w:rsidRDefault="00FF4C4E">
      <w:pPr>
        <w:pStyle w:val="P68B1DB1-Normal4"/>
        <w:numPr>
          <w:ilvl w:val="0"/>
          <w:numId w:val="84"/>
        </w:numPr>
        <w:spacing w:before="120" w:after="120" w:line="240" w:lineRule="auto"/>
        <w:ind w:left="357" w:hanging="357"/>
        <w:contextualSpacing/>
        <w:jc w:val="both"/>
        <w:rPr>
          <w:rFonts w:cs="Times New Roman"/>
          <w:noProof/>
        </w:rPr>
      </w:pPr>
      <w:r>
        <w:rPr>
          <w:noProof/>
        </w:rPr>
        <w:t>tason 3 biologisten eläinten turvallisuutta käsittelevä väline (LCV-Algete); ja</w:t>
      </w:r>
    </w:p>
    <w:p w14:paraId="6D5D30E8" w14:textId="77777777" w:rsidR="000E48CE" w:rsidRDefault="00FF4C4E">
      <w:pPr>
        <w:pStyle w:val="P68B1DB1-Normal4"/>
        <w:numPr>
          <w:ilvl w:val="0"/>
          <w:numId w:val="84"/>
        </w:numPr>
        <w:spacing w:before="120" w:after="120" w:line="240" w:lineRule="auto"/>
        <w:jc w:val="both"/>
        <w:rPr>
          <w:rFonts w:cs="Times New Roman"/>
          <w:noProof/>
        </w:rPr>
      </w:pPr>
      <w:r>
        <w:rPr>
          <w:noProof/>
        </w:rPr>
        <w:t>Lugon kansallinen kasvinterveyslaboratorio.</w:t>
      </w:r>
    </w:p>
    <w:p w14:paraId="59041FD8" w14:textId="0A984E81" w:rsidR="000E48CE" w:rsidRDefault="00FF4C4E">
      <w:pPr>
        <w:pStyle w:val="P68B1DB1-Normal4"/>
        <w:spacing w:before="120" w:after="120" w:line="240" w:lineRule="auto"/>
        <w:jc w:val="both"/>
        <w:rPr>
          <w:rFonts w:cs="Times New Roman"/>
          <w:noProof/>
          <w:u w:val="single"/>
        </w:rPr>
      </w:pPr>
      <w:r>
        <w:rPr>
          <w:noProof/>
        </w:rPr>
        <w:t>Investoinnin toteutus saatetaan päätökseen viimeistään</w:t>
      </w:r>
      <w:r>
        <w:rPr>
          <w:noProof/>
        </w:rPr>
        <w:t xml:space="preserve"> 30. kesäkuuta 2026.</w:t>
      </w:r>
    </w:p>
    <w:p w14:paraId="7503F97D" w14:textId="77777777" w:rsidR="000E48CE" w:rsidRDefault="00FF4C4E">
      <w:pPr>
        <w:pStyle w:val="P68B1DB1-Normal6"/>
        <w:spacing w:before="120" w:after="120" w:line="240" w:lineRule="auto"/>
        <w:jc w:val="both"/>
        <w:rPr>
          <w:rFonts w:cs="Times New Roman"/>
          <w:noProof/>
        </w:rPr>
      </w:pPr>
      <w:r>
        <w:rPr>
          <w:noProof/>
        </w:rPr>
        <w:t>Investointi 3 (C3.I3) – Suunnitelma maatalouden ja karjankasvatuksen kestävyyden ja kilpailukyvyn parantamiseksi (II): Vahvistetaan valmiuksien kehittämistä ja bioturvaamisjärjestelmiä taimitarha-, puhdistus- ja desinfiointikeskuksissa</w:t>
      </w:r>
      <w:r>
        <w:rPr>
          <w:noProof/>
        </w:rPr>
        <w:t xml:space="preserve"> </w:t>
      </w:r>
    </w:p>
    <w:p w14:paraId="14BC482A" w14:textId="77777777" w:rsidR="000E48CE" w:rsidRDefault="00FF4C4E">
      <w:pPr>
        <w:pStyle w:val="P68B1DB1-Normal4"/>
        <w:spacing w:before="120" w:after="120" w:line="240" w:lineRule="auto"/>
        <w:jc w:val="both"/>
        <w:rPr>
          <w:rFonts w:cs="Times New Roman"/>
          <w:noProof/>
        </w:rPr>
      </w:pPr>
      <w:r>
        <w:rPr>
          <w:noProof/>
        </w:rPr>
        <w:t>Tällä toimenpiteellä vahvistetaan ennaltaehkäisyä ja suojelua sellaisia eläintauteja ja kasvintuhoojia vastaan, joiden esiintyvyys on lisääntynyt ilmastonmuutoksen vuoksi, parantamalla taimitarhojen valmiuksien kehittämistä ja bioturvaamisjärjestelmiä se</w:t>
      </w:r>
      <w:r>
        <w:rPr>
          <w:noProof/>
        </w:rPr>
        <w:t xml:space="preserve">kä puhdistus- ja desinfiointikeskuksia. Sen on vahvistettava bioturvaamisjärjestelmiä kasvien lisäysaineistoa tuottavissa laitoksissa, joilla on tärkeä rooli kasvintuhoojista vapaan aineiston hankinnassa ja vähennetään kasvinsuojeluaineiden käyttöä. </w:t>
      </w:r>
    </w:p>
    <w:p w14:paraId="09913FC4" w14:textId="77777777" w:rsidR="000E48CE" w:rsidRDefault="00FF4C4E">
      <w:pPr>
        <w:pStyle w:val="P68B1DB1-Normal4"/>
        <w:spacing w:before="120" w:after="120" w:line="240" w:lineRule="auto"/>
        <w:jc w:val="both"/>
        <w:rPr>
          <w:rFonts w:cs="Times New Roman"/>
          <w:noProof/>
        </w:rPr>
      </w:pPr>
      <w:r>
        <w:rPr>
          <w:noProof/>
        </w:rPr>
        <w:t xml:space="preserve">Tuki </w:t>
      </w:r>
      <w:r>
        <w:rPr>
          <w:noProof/>
        </w:rPr>
        <w:t>myönnetään investointitukena, joka on tarkoitettu kasvien lisäysaineistoa tuottaville maatiloille sekä elävien eläinten kuljetusvälineiden puhdistus- ja desinfiointikeskuksille. Avustuksia on tarkoitus myöntää erityisesti näiden laitosten teknologiseen par</w:t>
      </w:r>
      <w:r>
        <w:rPr>
          <w:noProof/>
        </w:rPr>
        <w:t xml:space="preserve">antamiseen automaation, robotisaation ja uusien puhdistus- ja desinfiointijärjestelmien, kuten lämpödesinfioinnin, asentamiseen. </w:t>
      </w:r>
    </w:p>
    <w:p w14:paraId="7804C26F" w14:textId="77777777" w:rsidR="000E48CE" w:rsidRDefault="00FF4C4E">
      <w:pPr>
        <w:pStyle w:val="P68B1DB1-Normal4"/>
        <w:spacing w:before="120" w:after="120" w:line="240" w:lineRule="auto"/>
        <w:jc w:val="both"/>
        <w:rPr>
          <w:rFonts w:cs="Times New Roman"/>
          <w:noProof/>
        </w:rPr>
      </w:pPr>
      <w:r>
        <w:rPr>
          <w:noProof/>
        </w:rPr>
        <w:t>Toimenpiteeseen kuuluu vähintään 465 puhdistus- ja desinfiointikeskuksen sekä kasvien lisäysaineistoa tuottavien keskusten vah</w:t>
      </w:r>
      <w:r>
        <w:rPr>
          <w:noProof/>
        </w:rPr>
        <w:t>vistaminen lisäämällä koulutusta ja bioturvaamisjärjestelmiä.</w:t>
      </w:r>
    </w:p>
    <w:p w14:paraId="5590D1C9" w14:textId="7291F610" w:rsidR="000E48CE" w:rsidRDefault="00FF4C4E">
      <w:pPr>
        <w:pStyle w:val="P68B1DB1-Normal4"/>
        <w:spacing w:before="120" w:after="120" w:line="240" w:lineRule="auto"/>
        <w:jc w:val="both"/>
        <w:rPr>
          <w:rFonts w:cs="Times New Roman"/>
          <w:noProof/>
        </w:rPr>
      </w:pPr>
      <w:r>
        <w:rPr>
          <w:noProof/>
        </w:rPr>
        <w:t>Investoinnin toteuttaminen on saatettava päätökseen viimeistään 30 päivänä syyskuuta 2024.</w:t>
      </w:r>
    </w:p>
    <w:p w14:paraId="4D9D5B08" w14:textId="77777777" w:rsidR="000E48CE" w:rsidRDefault="00FF4C4E">
      <w:pPr>
        <w:pStyle w:val="P68B1DB1-Normal6"/>
        <w:spacing w:before="120" w:after="120" w:line="240" w:lineRule="auto"/>
        <w:jc w:val="both"/>
        <w:rPr>
          <w:rFonts w:cs="Times New Roman"/>
          <w:noProof/>
        </w:rPr>
      </w:pPr>
      <w:r>
        <w:rPr>
          <w:noProof/>
        </w:rPr>
        <w:t xml:space="preserve">Investointi 4 (C3.I4) – Suunnitelma maatalouden ja karjankasvatuksen kestävyyden ja kilpailukyvyn parantamiseksi (III): Investoinnit täsmäviljelyyn, energiatehokkuuteen ja kiertotalouteen maatalous- ja karjankasvatusalalla </w:t>
      </w:r>
    </w:p>
    <w:p w14:paraId="75E59DDF" w14:textId="77777777" w:rsidR="000E48CE" w:rsidRDefault="00FF4C4E">
      <w:pPr>
        <w:pStyle w:val="P68B1DB1-Normal4"/>
        <w:spacing w:before="120" w:after="120" w:line="240" w:lineRule="auto"/>
        <w:jc w:val="both"/>
        <w:rPr>
          <w:rFonts w:cs="Times New Roman"/>
          <w:noProof/>
        </w:rPr>
      </w:pPr>
      <w:r>
        <w:rPr>
          <w:noProof/>
        </w:rPr>
        <w:t xml:space="preserve">Tällä toimenpiteellä edistetään </w:t>
      </w:r>
      <w:r>
        <w:rPr>
          <w:noProof/>
        </w:rPr>
        <w:t xml:space="preserve">maatalouden ja karjankasvatusalan kestävyyttä ja kilpailukykyä investoimalla täsmäviljely; energiatehokkuus; kiertotalous; ja iv) uusiutuvan energian käyttö. </w:t>
      </w:r>
    </w:p>
    <w:p w14:paraId="182A33E1" w14:textId="77777777" w:rsidR="000E48CE" w:rsidRDefault="00FF4C4E">
      <w:pPr>
        <w:pStyle w:val="P68B1DB1-Normal4"/>
        <w:spacing w:before="120" w:after="120" w:line="240" w:lineRule="auto"/>
        <w:jc w:val="both"/>
        <w:rPr>
          <w:rFonts w:cs="Times New Roman"/>
          <w:noProof/>
        </w:rPr>
      </w:pPr>
      <w:r>
        <w:rPr>
          <w:noProof/>
        </w:rPr>
        <w:t xml:space="preserve">Investoinnit liittyvät erityisesti seuraaviin: </w:t>
      </w:r>
    </w:p>
    <w:p w14:paraId="0B534188" w14:textId="77777777" w:rsidR="000E48CE" w:rsidRDefault="00FF4C4E">
      <w:pPr>
        <w:pStyle w:val="P68B1DB1-Normal4"/>
        <w:numPr>
          <w:ilvl w:val="0"/>
          <w:numId w:val="85"/>
        </w:numPr>
        <w:spacing w:before="120" w:after="120" w:line="240" w:lineRule="auto"/>
        <w:ind w:left="357" w:hanging="357"/>
        <w:contextualSpacing/>
        <w:jc w:val="both"/>
        <w:rPr>
          <w:rFonts w:cs="Times New Roman"/>
          <w:noProof/>
        </w:rPr>
      </w:pPr>
      <w:r>
        <w:rPr>
          <w:noProof/>
        </w:rPr>
        <w:t>Otetaan käyttöön uusia järjestelmiä maatalousjätt</w:t>
      </w:r>
      <w:r>
        <w:rPr>
          <w:noProof/>
        </w:rPr>
        <w:t xml:space="preserve">een ja karjan päästöjen ja niistä saatavien sivutuotteiden käsittelemiseksi, mukaan lukien rakenneuudistukset; </w:t>
      </w:r>
    </w:p>
    <w:p w14:paraId="6A0A438D" w14:textId="77777777" w:rsidR="000E48CE" w:rsidRDefault="00FF4C4E">
      <w:pPr>
        <w:pStyle w:val="P68B1DB1-Normal4"/>
        <w:numPr>
          <w:ilvl w:val="0"/>
          <w:numId w:val="85"/>
        </w:numPr>
        <w:spacing w:before="120" w:after="120" w:line="240" w:lineRule="auto"/>
        <w:ind w:left="357" w:hanging="357"/>
        <w:contextualSpacing/>
        <w:jc w:val="both"/>
        <w:rPr>
          <w:rFonts w:cs="Times New Roman"/>
          <w:noProof/>
        </w:rPr>
      </w:pPr>
      <w:r>
        <w:rPr>
          <w:noProof/>
        </w:rPr>
        <w:t xml:space="preserve">kasvihuoneiden sekä niiden laitteistojen että laitteiden nykyaikaistaminen; </w:t>
      </w:r>
    </w:p>
    <w:p w14:paraId="0E4AA40F" w14:textId="77777777" w:rsidR="000E48CE" w:rsidRDefault="00FF4C4E">
      <w:pPr>
        <w:pStyle w:val="P68B1DB1-Normal4"/>
        <w:numPr>
          <w:ilvl w:val="0"/>
          <w:numId w:val="85"/>
        </w:numPr>
        <w:spacing w:before="120" w:after="120" w:line="240" w:lineRule="auto"/>
        <w:ind w:left="357" w:hanging="357"/>
        <w:contextualSpacing/>
        <w:jc w:val="both"/>
        <w:rPr>
          <w:rFonts w:cs="Times New Roman"/>
          <w:noProof/>
        </w:rPr>
      </w:pPr>
      <w:r>
        <w:rPr>
          <w:noProof/>
        </w:rPr>
        <w:t>edistetään biokaasujen ja uusiutuvien energialähteiden käyttöä; ja</w:t>
      </w:r>
    </w:p>
    <w:p w14:paraId="5A639482" w14:textId="77777777" w:rsidR="000E48CE" w:rsidRDefault="00FF4C4E">
      <w:pPr>
        <w:pStyle w:val="P68B1DB1-Normal4"/>
        <w:numPr>
          <w:ilvl w:val="0"/>
          <w:numId w:val="85"/>
        </w:numPr>
        <w:spacing w:before="120" w:after="120" w:line="240" w:lineRule="auto"/>
        <w:jc w:val="both"/>
        <w:rPr>
          <w:rFonts w:cs="Times New Roman"/>
          <w:noProof/>
        </w:rPr>
      </w:pPr>
      <w:r>
        <w:rPr>
          <w:noProof/>
        </w:rPr>
        <w:t>reaaliaikaisten tietojen kerääminen käyttäen antureita, jotka mahdollistavat täsmäviljelyn ja -teknologian käytön maatiloilla, mukaan lukien satelliittinavigointijärjestelmien (GNSS) käyttöönotto ja maantieteellinen paikannus karjankasvatuksessa.</w:t>
      </w:r>
    </w:p>
    <w:p w14:paraId="7D8DD025" w14:textId="77777777" w:rsidR="000E48CE" w:rsidRDefault="00FF4C4E">
      <w:pPr>
        <w:pStyle w:val="P68B1DB1-Normal4"/>
        <w:spacing w:before="120" w:after="120" w:line="240" w:lineRule="auto"/>
        <w:jc w:val="both"/>
        <w:rPr>
          <w:rFonts w:cs="Times New Roman"/>
          <w:noProof/>
        </w:rPr>
      </w:pPr>
      <w:r>
        <w:rPr>
          <w:noProof/>
        </w:rPr>
        <w:t>Toimenpid</w:t>
      </w:r>
      <w:r>
        <w:rPr>
          <w:noProof/>
        </w:rPr>
        <w:t xml:space="preserve">e on toteutettava maatiloilla tai palveluyrityksissä tehtävinä yksittäisinä tai kollektiivisina investointeina. Vähintään 5000 maatilan on täytynyt saattaa päätökseen </w:t>
      </w:r>
      <w:r>
        <w:rPr>
          <w:noProof/>
        </w:rPr>
        <w:lastRenderedPageBreak/>
        <w:t>täsmäviljelyä, energiatehokkuutta, kiertotaloutta ja uusiutuvan energian käyttöä koskevat</w:t>
      </w:r>
      <w:r>
        <w:rPr>
          <w:noProof/>
        </w:rPr>
        <w:t xml:space="preserve"> hankkeet.</w:t>
      </w:r>
    </w:p>
    <w:p w14:paraId="5E653E8F" w14:textId="77777777" w:rsidR="000E48CE" w:rsidRDefault="00FF4C4E">
      <w:pPr>
        <w:pStyle w:val="P68B1DB1-Normal4"/>
        <w:spacing w:before="120" w:after="120" w:line="240" w:lineRule="auto"/>
        <w:jc w:val="both"/>
        <w:rPr>
          <w:rFonts w:cs="Times New Roman"/>
          <w:noProof/>
          <w:u w:val="single"/>
        </w:rPr>
      </w:pPr>
      <w:r>
        <w:rPr>
          <w:noProof/>
        </w:rPr>
        <w:t>Investoinnin toteutus saatetaan päätökseen viimeistään 30. kesäkuuta 2026.</w:t>
      </w:r>
    </w:p>
    <w:p w14:paraId="5787123F" w14:textId="77777777" w:rsidR="000E48CE" w:rsidRDefault="00FF4C4E">
      <w:pPr>
        <w:pStyle w:val="P68B1DB1-Normal6"/>
        <w:spacing w:before="120" w:after="120" w:line="240" w:lineRule="auto"/>
        <w:jc w:val="both"/>
        <w:rPr>
          <w:rFonts w:cs="Times New Roman"/>
          <w:noProof/>
        </w:rPr>
      </w:pPr>
      <w:r>
        <w:rPr>
          <w:noProof/>
        </w:rPr>
        <w:t>Investointi 5 (C3.I5) – Maatalous- ja metsätalousalan ja maaseutuympäristön digitalisointistrategia: maatalous-, elintarvike- ja metsätalousalan ja maaseutuympäristön dig</w:t>
      </w:r>
      <w:r>
        <w:rPr>
          <w:noProof/>
        </w:rPr>
        <w:t xml:space="preserve">italisointia ja yrittäjyyttä tukevien toimien kehittäminen </w:t>
      </w:r>
    </w:p>
    <w:p w14:paraId="21E6740E" w14:textId="77777777" w:rsidR="000E48CE" w:rsidRDefault="00FF4C4E">
      <w:pPr>
        <w:pStyle w:val="P68B1DB1-Normal4"/>
        <w:spacing w:before="120" w:after="120" w:line="240" w:lineRule="auto"/>
        <w:jc w:val="both"/>
        <w:rPr>
          <w:rFonts w:cs="Times New Roman"/>
          <w:noProof/>
        </w:rPr>
      </w:pPr>
      <w:r>
        <w:rPr>
          <w:noProof/>
        </w:rPr>
        <w:t>Tässä toimenpiteessä esitetään toimet, jotka sisältyvät Espanjan hallituksen maaliskuussa 2019 hyväksymään maatalous-, elintarvike-, metsätalous- ja maaseutualojen digitalisointia koskevaan strate</w:t>
      </w:r>
      <w:r>
        <w:rPr>
          <w:noProof/>
        </w:rPr>
        <w:t>giaan ja sen vuosien 2021–2023 toiseen toimintasuunnitelmaan. Toimiin on sisällyttävä:</w:t>
      </w:r>
    </w:p>
    <w:p w14:paraId="288244F9" w14:textId="77777777" w:rsidR="000E48CE" w:rsidRDefault="00FF4C4E">
      <w:pPr>
        <w:pStyle w:val="P68B1DB1-Normal4"/>
        <w:numPr>
          <w:ilvl w:val="0"/>
          <w:numId w:val="77"/>
        </w:numPr>
        <w:spacing w:before="120" w:after="120" w:line="240" w:lineRule="auto"/>
        <w:ind w:left="425" w:hanging="425"/>
        <w:contextualSpacing/>
        <w:jc w:val="both"/>
        <w:rPr>
          <w:rFonts w:cs="Times New Roman"/>
          <w:noProof/>
        </w:rPr>
      </w:pPr>
      <w:r>
        <w:rPr>
          <w:noProof/>
        </w:rPr>
        <w:t>Erityinen rahoitustuki maatalouselintarvikealan pk-yrityksille innovatiivisten ja digitaalisten liiketoimintahankkeiden kannustamiseksi, joka toteutetaan myöntämällä osa</w:t>
      </w:r>
      <w:r>
        <w:rPr>
          <w:noProof/>
        </w:rPr>
        <w:t>llistavia lainoja;</w:t>
      </w:r>
    </w:p>
    <w:p w14:paraId="50C1BDF4" w14:textId="77777777" w:rsidR="000E48CE" w:rsidRDefault="00FF4C4E">
      <w:pPr>
        <w:pStyle w:val="P68B1DB1-Normal4"/>
        <w:numPr>
          <w:ilvl w:val="0"/>
          <w:numId w:val="77"/>
        </w:numPr>
        <w:spacing w:before="120" w:after="120" w:line="240" w:lineRule="auto"/>
        <w:ind w:left="425" w:hanging="425"/>
        <w:contextualSpacing/>
        <w:jc w:val="both"/>
        <w:rPr>
          <w:rFonts w:cs="Times New Roman"/>
          <w:noProof/>
        </w:rPr>
      </w:pPr>
      <w:r>
        <w:rPr>
          <w:noProof/>
        </w:rPr>
        <w:t>maatalouselintarvikealan yritysten digitaali-innovointikeskittymä, joka toteutetaan sisäisellä sopimuksella ja julkisilla hankinnoilla kilpailuttamalla;</w:t>
      </w:r>
    </w:p>
    <w:p w14:paraId="447F264E" w14:textId="77777777" w:rsidR="000E48CE" w:rsidRDefault="00FF4C4E">
      <w:pPr>
        <w:pStyle w:val="P68B1DB1-Normal4"/>
        <w:numPr>
          <w:ilvl w:val="0"/>
          <w:numId w:val="77"/>
        </w:numPr>
        <w:spacing w:before="120" w:after="120" w:line="240" w:lineRule="auto"/>
        <w:ind w:left="425" w:hanging="425"/>
        <w:contextualSpacing/>
        <w:jc w:val="both"/>
        <w:rPr>
          <w:rFonts w:cs="Times New Roman"/>
          <w:noProof/>
        </w:rPr>
      </w:pPr>
      <w:r>
        <w:rPr>
          <w:noProof/>
        </w:rPr>
        <w:t>maatalouselintarvikealan digitalisointia käsittelevä seurantakeskus MAPA:n ja yhteis</w:t>
      </w:r>
      <w:r>
        <w:rPr>
          <w:noProof/>
        </w:rPr>
        <w:t>työelimen välisellä kumppanuussopimuksella; ja</w:t>
      </w:r>
    </w:p>
    <w:p w14:paraId="61C3C163" w14:textId="77777777" w:rsidR="000E48CE" w:rsidRDefault="00FF4C4E">
      <w:pPr>
        <w:pStyle w:val="P68B1DB1-Normal4"/>
        <w:numPr>
          <w:ilvl w:val="0"/>
          <w:numId w:val="77"/>
        </w:numPr>
        <w:spacing w:before="120" w:after="120" w:line="240" w:lineRule="auto"/>
        <w:ind w:left="426" w:hanging="426"/>
        <w:jc w:val="both"/>
        <w:rPr>
          <w:rFonts w:cs="Times New Roman"/>
          <w:noProof/>
        </w:rPr>
      </w:pPr>
      <w:r>
        <w:rPr>
          <w:noProof/>
        </w:rPr>
        <w:t xml:space="preserve">maatalouden tieto- ja tietojärjestelmän (AKIS) neuvonantajien foorumi, joka toimii välineenä, jolla edistetään tietämyksen ja tiedon siirtoa AKIS-toimijoiden välillä ja joka toteutetaan sisäisen sopimuksen ja </w:t>
      </w:r>
      <w:r>
        <w:rPr>
          <w:noProof/>
        </w:rPr>
        <w:t>tarjouskilpailujen avulla tehtävien julkisten hankintojen avulla.</w:t>
      </w:r>
    </w:p>
    <w:p w14:paraId="32BC8D05" w14:textId="77777777" w:rsidR="000E48CE" w:rsidRDefault="00FF4C4E">
      <w:pPr>
        <w:pStyle w:val="P68B1DB1-Normal4"/>
        <w:spacing w:before="120" w:after="120" w:line="240" w:lineRule="auto"/>
        <w:jc w:val="both"/>
        <w:rPr>
          <w:rFonts w:cs="Times New Roman"/>
          <w:noProof/>
        </w:rPr>
      </w:pPr>
      <w:r>
        <w:rPr>
          <w:noProof/>
        </w:rPr>
        <w:t>Osana toimenpidettä vähintään 60 maatalouselintarvikealan pk-yrityksen on toteutettava innovatiivisia ja digitaalisia liiketoimintahankkeita, joiden on oltava ”ei merkittävää haittaa” -peria</w:t>
      </w:r>
      <w:r>
        <w:rPr>
          <w:noProof/>
        </w:rPr>
        <w:t xml:space="preserve">atteen mukaisia ja jotka rahoitetaan osallistavilla lainoilla vuoden 2023 loppuun mennessä. </w:t>
      </w:r>
    </w:p>
    <w:p w14:paraId="6B1ACAB3" w14:textId="77777777" w:rsidR="000E48CE" w:rsidRDefault="00FF4C4E">
      <w:pPr>
        <w:pStyle w:val="P68B1DB1-Text119"/>
        <w:ind w:left="0"/>
        <w:rPr>
          <w:rFonts w:cs="Times New Roman"/>
          <w:noProof/>
        </w:rPr>
      </w:pPr>
      <w:r>
        <w:rPr>
          <w:noProof/>
        </w:rPr>
        <w:t xml:space="preserve">Sen varmistamiseksi, että toimenpide on ”ei merkittävää haittaa” -ohjeiden (2021/C58/01) mukainen, maatalous-, kalastus- ja elintarvikeministeriön ja </w:t>
      </w:r>
      <w:r>
        <w:rPr>
          <w:i/>
          <w:noProof/>
        </w:rPr>
        <w:t xml:space="preserve">Empresa </w:t>
      </w:r>
      <w:r>
        <w:rPr>
          <w:i/>
          <w:noProof/>
        </w:rPr>
        <w:t>Nacional de Innovaciónin (</w:t>
      </w:r>
      <w:r>
        <w:rPr>
          <w:noProof/>
        </w:rPr>
        <w:t xml:space="preserve"> ENISA) välisessä oikeudellisessa sopimuksessa ja rahoitusvälineen myöhemmässä investointipolitiikassa on </w:t>
      </w:r>
    </w:p>
    <w:p w14:paraId="66580EAC" w14:textId="77777777" w:rsidR="000E48CE" w:rsidRDefault="00FF4C4E">
      <w:pPr>
        <w:pStyle w:val="P68B1DB1-Text119"/>
        <w:numPr>
          <w:ilvl w:val="0"/>
          <w:numId w:val="195"/>
        </w:numPr>
        <w:ind w:left="714" w:hanging="357"/>
        <w:contextualSpacing/>
        <w:rPr>
          <w:rFonts w:cs="Times New Roman"/>
          <w:noProof/>
        </w:rPr>
      </w:pPr>
      <w:r>
        <w:rPr>
          <w:noProof/>
        </w:rPr>
        <w:t>vaatia InvestEU-rahaston kestävyysarviointia koskevien komission teknisten ohjeiden soveltamista; ja</w:t>
      </w:r>
    </w:p>
    <w:p w14:paraId="393CB774" w14:textId="77777777" w:rsidR="000E48CE" w:rsidRDefault="00FF4C4E">
      <w:pPr>
        <w:pStyle w:val="Text1"/>
        <w:numPr>
          <w:ilvl w:val="0"/>
          <w:numId w:val="195"/>
        </w:numPr>
        <w:ind w:left="714" w:hanging="357"/>
        <w:contextualSpacing/>
        <w:rPr>
          <w:rFonts w:ascii="Times New Roman" w:hAnsi="Times New Roman" w:cs="Times New Roman"/>
          <w:noProof/>
        </w:rPr>
      </w:pPr>
      <w:r>
        <w:rPr>
          <w:rFonts w:ascii="Times New Roman" w:hAnsi="Times New Roman"/>
          <w:noProof/>
        </w:rPr>
        <w:t xml:space="preserve">jättää </w:t>
      </w:r>
      <w:r>
        <w:rPr>
          <w:rFonts w:ascii="Times New Roman" w:hAnsi="Times New Roman"/>
          <w:noProof/>
        </w:rPr>
        <w:t>tukikelpoisuuden ulkopuolelle seuraavan luettelon toiminnoista ja omaisuuseristä: fossiilisiin polttoaineisiin liittyvät toiminnot ja omaisuuserät, mukaan lukien käyttö tuotantoketjun loppupäässä</w:t>
      </w:r>
      <w:r>
        <w:rPr>
          <w:rStyle w:val="FootnoteReference"/>
          <w:rFonts w:ascii="Times New Roman" w:hAnsi="Times New Roman" w:cs="Times New Roman"/>
          <w:noProof/>
        </w:rPr>
        <w:footnoteReference w:id="11"/>
      </w:r>
      <w:r>
        <w:rPr>
          <w:rFonts w:ascii="Times New Roman" w:hAnsi="Times New Roman"/>
          <w:noProof/>
        </w:rPr>
        <w:t>; II) EU:n päästökauppajärjestelmään kuuluvat toiminnot ja o</w:t>
      </w:r>
      <w:r>
        <w:rPr>
          <w:rFonts w:ascii="Times New Roman" w:hAnsi="Times New Roman"/>
          <w:noProof/>
        </w:rPr>
        <w:t>maisuuserät, joilla saavutetaan ennustetut kasvihuonekaasupäästöt, jotka eivät alita asiaankuuluvia vertailuarvoja</w:t>
      </w:r>
      <w:r>
        <w:rPr>
          <w:rStyle w:val="FootnoteReference"/>
          <w:rFonts w:ascii="Times New Roman" w:hAnsi="Times New Roman" w:cs="Times New Roman"/>
          <w:noProof/>
        </w:rPr>
        <w:footnoteReference w:id="12"/>
      </w:r>
      <w:r>
        <w:rPr>
          <w:rFonts w:ascii="Times New Roman" w:hAnsi="Times New Roman"/>
          <w:noProof/>
        </w:rPr>
        <w:t xml:space="preserve">; jätteiden kaatopaikkoihin, polttolaitoksiin ja </w:t>
      </w:r>
      <w:r>
        <w:rPr>
          <w:rFonts w:ascii="Times New Roman" w:hAnsi="Times New Roman"/>
          <w:noProof/>
        </w:rPr>
        <w:lastRenderedPageBreak/>
        <w:t>mekaanisiin biologisiin käsittelylaitoksiin liittyvät toiminnot</w:t>
      </w:r>
      <w:r>
        <w:rPr>
          <w:rStyle w:val="FootnoteReference"/>
          <w:rFonts w:ascii="Times New Roman" w:hAnsi="Times New Roman" w:cs="Times New Roman"/>
          <w:noProof/>
        </w:rPr>
        <w:footnoteReference w:id="13"/>
      </w:r>
      <w:r>
        <w:rPr>
          <w:rFonts w:ascii="Times New Roman" w:hAnsi="Times New Roman"/>
          <w:noProof/>
        </w:rPr>
        <w:t xml:space="preserve"> ja omaisuus</w:t>
      </w:r>
      <w:r>
        <w:rPr>
          <w:rStyle w:val="FootnoteReference"/>
          <w:rFonts w:ascii="Times New Roman" w:hAnsi="Times New Roman" w:cs="Times New Roman"/>
          <w:noProof/>
        </w:rPr>
        <w:footnoteReference w:id="14"/>
      </w:r>
      <w:r>
        <w:rPr>
          <w:rFonts w:ascii="Times New Roman" w:hAnsi="Times New Roman"/>
          <w:noProof/>
        </w:rPr>
        <w:t>; ja iv) toimin</w:t>
      </w:r>
      <w:r>
        <w:rPr>
          <w:rFonts w:ascii="Times New Roman" w:hAnsi="Times New Roman"/>
          <w:noProof/>
        </w:rPr>
        <w:t xml:space="preserve">not ja omaisuuserät, joissa jätteiden pitkän aikavälin loppukäsittely voi aiheuttaa vahinkoa ympäristölle; </w:t>
      </w:r>
    </w:p>
    <w:p w14:paraId="5C96C0E7" w14:textId="77777777" w:rsidR="000E48CE" w:rsidRDefault="00FF4C4E">
      <w:pPr>
        <w:pStyle w:val="P68B1DB1-Text119"/>
        <w:numPr>
          <w:ilvl w:val="0"/>
          <w:numId w:val="195"/>
        </w:numPr>
        <w:rPr>
          <w:rFonts w:cs="Times New Roman"/>
          <w:noProof/>
        </w:rPr>
      </w:pPr>
      <w:r>
        <w:rPr>
          <w:noProof/>
        </w:rPr>
        <w:t>edellytettävä, että ENISA varmentaa hankkeiden asiaankuuluvan EU:n ja kansallisen ympäristölainsäädännön noudattamisen kaikkien liiketoimien osalta,</w:t>
      </w:r>
      <w:r>
        <w:rPr>
          <w:noProof/>
        </w:rPr>
        <w:t xml:space="preserve"> mukaan lukien ne, jotka on vapautettu kestävyysarvioinnista.</w:t>
      </w:r>
    </w:p>
    <w:p w14:paraId="0EAA64EC" w14:textId="77777777" w:rsidR="000E48CE" w:rsidRDefault="00FF4C4E">
      <w:pPr>
        <w:pStyle w:val="P68B1DB1-Normal4"/>
        <w:spacing w:before="120" w:after="120" w:line="240" w:lineRule="auto"/>
        <w:jc w:val="both"/>
        <w:rPr>
          <w:rFonts w:cs="Times New Roman"/>
          <w:noProof/>
        </w:rPr>
      </w:pPr>
      <w:r>
        <w:rPr>
          <w:noProof/>
        </w:rPr>
        <w:t xml:space="preserve">Hiilidioksidin talteenottoon ja varastointiin liittyviä toimia ei tueta. </w:t>
      </w:r>
    </w:p>
    <w:p w14:paraId="07BE4ACA"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2026.</w:t>
      </w:r>
    </w:p>
    <w:p w14:paraId="5DB45D12" w14:textId="77777777" w:rsidR="000E48CE" w:rsidRDefault="00FF4C4E">
      <w:pPr>
        <w:pStyle w:val="P68B1DB1-Normal6"/>
        <w:spacing w:before="120" w:after="120" w:line="240" w:lineRule="auto"/>
        <w:jc w:val="both"/>
        <w:rPr>
          <w:rFonts w:cs="Times New Roman"/>
          <w:noProof/>
        </w:rPr>
      </w:pPr>
      <w:r>
        <w:rPr>
          <w:noProof/>
        </w:rPr>
        <w:t>Investointi 6 (C3.I6) – Suunnitelma kalastusa</w:t>
      </w:r>
      <w:r>
        <w:rPr>
          <w:noProof/>
        </w:rPr>
        <w:t xml:space="preserve">lan kestävyyden, tutkimuksen, innovoinnin ja digitalisaation edistämiseksi (I): Kalastuksen kannalta tärkeiden merialueiden verkoston nykyaikaistaminen </w:t>
      </w:r>
    </w:p>
    <w:p w14:paraId="5BE7D24B" w14:textId="77777777" w:rsidR="000E48CE" w:rsidRDefault="00FF4C4E">
      <w:pPr>
        <w:pStyle w:val="P68B1DB1-Normal4"/>
        <w:spacing w:before="120" w:after="120" w:line="240" w:lineRule="auto"/>
        <w:jc w:val="both"/>
        <w:rPr>
          <w:rFonts w:cs="Times New Roman"/>
          <w:noProof/>
        </w:rPr>
      </w:pPr>
      <w:r>
        <w:rPr>
          <w:noProof/>
        </w:rPr>
        <w:t>Tämän toimenpiteen tavoitteena on nykyaikaistaa kalastuksen kannalta tärkeiden merialueiden verkosto se</w:t>
      </w:r>
      <w:r>
        <w:rPr>
          <w:noProof/>
        </w:rPr>
        <w:t>uraavin toimin:</w:t>
      </w:r>
    </w:p>
    <w:p w14:paraId="65B6E506" w14:textId="77777777" w:rsidR="000E48CE" w:rsidRDefault="00FF4C4E">
      <w:pPr>
        <w:pStyle w:val="P68B1DB1-Normal4"/>
        <w:numPr>
          <w:ilvl w:val="0"/>
          <w:numId w:val="78"/>
        </w:numPr>
        <w:spacing w:before="120" w:after="120" w:line="240" w:lineRule="auto"/>
        <w:ind w:left="425" w:hanging="425"/>
        <w:contextualSpacing/>
        <w:jc w:val="both"/>
        <w:rPr>
          <w:rFonts w:cs="Times New Roman"/>
          <w:noProof/>
        </w:rPr>
      </w:pPr>
      <w:r>
        <w:rPr>
          <w:noProof/>
        </w:rPr>
        <w:t>Kahden erityiskäyttöön tarkoitetun aluksen hankinta varannon toimintojen valvonnan ja tarkkailun varmistamiseksi;</w:t>
      </w:r>
    </w:p>
    <w:p w14:paraId="6010D33B" w14:textId="7719209E" w:rsidR="000E48CE" w:rsidRDefault="00FF4C4E">
      <w:pPr>
        <w:pStyle w:val="P68B1DB1-Normal4"/>
        <w:numPr>
          <w:ilvl w:val="0"/>
          <w:numId w:val="78"/>
        </w:numPr>
        <w:spacing w:before="120" w:after="120" w:line="240" w:lineRule="auto"/>
        <w:ind w:left="425" w:hanging="425"/>
        <w:contextualSpacing/>
        <w:jc w:val="both"/>
        <w:rPr>
          <w:rFonts w:cs="Times New Roman"/>
          <w:noProof/>
        </w:rPr>
      </w:pPr>
      <w:r>
        <w:rPr>
          <w:noProof/>
        </w:rPr>
        <w:t>tieto- ja viestintätekniikan käyttöönotto reservien valvonnan ja seurannan mahdollistamiseksi hankkimalla ainakin miehittämätt</w:t>
      </w:r>
      <w:r>
        <w:rPr>
          <w:noProof/>
        </w:rPr>
        <w:t>ömiä ilma-aluksia, joilla on riittävät voimavarat valvonta- ja seurantatoimien mahdollistamiseksi ja olemassa olevien keinojen optimoimiseksi;</w:t>
      </w:r>
    </w:p>
    <w:p w14:paraId="23F7DD70" w14:textId="77777777" w:rsidR="000E48CE" w:rsidRDefault="00FF4C4E">
      <w:pPr>
        <w:pStyle w:val="P68B1DB1-Normal4"/>
        <w:numPr>
          <w:ilvl w:val="0"/>
          <w:numId w:val="78"/>
        </w:numPr>
        <w:spacing w:before="120" w:after="120" w:line="240" w:lineRule="auto"/>
        <w:ind w:left="425" w:hanging="425"/>
        <w:contextualSpacing/>
        <w:jc w:val="both"/>
        <w:rPr>
          <w:rFonts w:cs="Times New Roman"/>
          <w:noProof/>
        </w:rPr>
      </w:pPr>
      <w:r>
        <w:rPr>
          <w:noProof/>
        </w:rPr>
        <w:t>reserviverkoston laajentaminen perustamalla uusi merialuereservi; ja</w:t>
      </w:r>
    </w:p>
    <w:p w14:paraId="3BD0D107" w14:textId="40331327" w:rsidR="000E48CE" w:rsidRDefault="00FF4C4E">
      <w:pPr>
        <w:pStyle w:val="P68B1DB1-Normal4"/>
        <w:numPr>
          <w:ilvl w:val="0"/>
          <w:numId w:val="78"/>
        </w:numPr>
        <w:spacing w:before="120" w:after="120" w:line="240" w:lineRule="auto"/>
        <w:ind w:left="426" w:hanging="426"/>
        <w:jc w:val="both"/>
        <w:rPr>
          <w:rFonts w:cs="Times New Roman"/>
          <w:noProof/>
        </w:rPr>
      </w:pPr>
      <w:r>
        <w:rPr>
          <w:noProof/>
        </w:rPr>
        <w:t xml:space="preserve">olemassa olevan merialueen, </w:t>
      </w:r>
      <w:r>
        <w:rPr>
          <w:i/>
          <w:noProof/>
        </w:rPr>
        <w:t>Isla de Alboráni</w:t>
      </w:r>
      <w:r>
        <w:rPr>
          <w:i/>
          <w:noProof/>
        </w:rPr>
        <w:t>n, ja</w:t>
      </w:r>
      <w:r>
        <w:rPr>
          <w:noProof/>
        </w:rPr>
        <w:t xml:space="preserve"> sen ympäristön päivittäminen, jotta voidaan helpottaa sen saatavuutta, parantaa energiatehokkuutta ja varustaa se asianmukaisilla laitteilla (eli tutkaradioyhteydellä niemimaalle) varannon seurantaa ja valvontaa varten. </w:t>
      </w:r>
    </w:p>
    <w:p w14:paraId="04349FDD" w14:textId="77777777" w:rsidR="000E48CE" w:rsidRDefault="00FF4C4E">
      <w:pPr>
        <w:pStyle w:val="P68B1DB1-Normal4"/>
        <w:spacing w:before="120" w:after="120" w:line="240" w:lineRule="auto"/>
        <w:jc w:val="both"/>
        <w:rPr>
          <w:rFonts w:cs="Times New Roman"/>
          <w:noProof/>
        </w:rPr>
      </w:pPr>
      <w:r>
        <w:rPr>
          <w:noProof/>
        </w:rPr>
        <w:t>Kahden erityiskäyttöön tarkoi</w:t>
      </w:r>
      <w:r>
        <w:rPr>
          <w:noProof/>
        </w:rPr>
        <w:t xml:space="preserve">tetun tukialuksen hankinta ja valvonnan ja seurannan mahdollistavan tieto- ja viestintätekniikan käyttöönotto on toteutettava julkisten hankintamenettelyjen avulla. </w:t>
      </w:r>
    </w:p>
    <w:p w14:paraId="121BFA3E" w14:textId="00FD380F" w:rsidR="000E48CE" w:rsidRDefault="00FF4C4E">
      <w:pPr>
        <w:pStyle w:val="P68B1DB1-Normal4"/>
        <w:spacing w:before="120" w:after="120" w:line="240" w:lineRule="auto"/>
        <w:jc w:val="both"/>
        <w:rPr>
          <w:rFonts w:cs="Times New Roman"/>
          <w:noProof/>
        </w:rPr>
      </w:pPr>
      <w:r>
        <w:rPr>
          <w:noProof/>
        </w:rPr>
        <w:t>Tämän toimenpiteen ei odoteta aiheuttavan merkittävää haittaa asetuksen (EU) 2020/852 17 a</w:t>
      </w:r>
      <w:r>
        <w:rPr>
          <w:noProof/>
        </w:rPr>
        <w:t>rtiklassa tarkoitetuille ympäristötavoitteille, kun otetaan huomioon ”ei merkittävää haittaa” -periaatetta koskevien teknisten ohjeiden (2021/C58/01) mukainen elpymis- ja palautumissuunnitelmassa esitetty toimenpiteen kuvaus ja lieventävät toimenpiteet. Nä</w:t>
      </w:r>
      <w:r>
        <w:rPr>
          <w:noProof/>
        </w:rPr>
        <w:t>iden kahden erityiskäyttöön tarkoitetun aluksen on erityisesti oltava parasta saatavilla olevaa teknologiaa, jonka ympäristövaikutukset alalla ovat vähäisimmät. Merivarantoverkoston laajentamiseen liittyvä investointi koostuu uuden merivarannon perustamist</w:t>
      </w:r>
      <w:r>
        <w:rPr>
          <w:noProof/>
        </w:rPr>
        <w:t xml:space="preserve">a koskevasta tutkimuksesta, joka on tarkoitus toteuttaa sisäisellä sopimuksella. Sama koskee </w:t>
      </w:r>
      <w:r>
        <w:rPr>
          <w:i/>
          <w:noProof/>
        </w:rPr>
        <w:t xml:space="preserve">Isla de </w:t>
      </w:r>
      <w:r>
        <w:rPr>
          <w:i/>
          <w:noProof/>
        </w:rPr>
        <w:lastRenderedPageBreak/>
        <w:t>Alboránin varannon</w:t>
      </w:r>
      <w:r>
        <w:rPr>
          <w:noProof/>
        </w:rPr>
        <w:t xml:space="preserve"> ja sen ympäristön päivittämiseksi suunniteltuja töitä, joihin sisältyy tarvittava selvitys energian rakentamisesta ja optimoinnista.</w:t>
      </w:r>
    </w:p>
    <w:p w14:paraId="531A07C6" w14:textId="77777777" w:rsidR="000E48CE" w:rsidRDefault="00FF4C4E">
      <w:pPr>
        <w:pStyle w:val="P68B1DB1-Normal4"/>
        <w:spacing w:before="120" w:after="120" w:line="240" w:lineRule="auto"/>
        <w:jc w:val="both"/>
        <w:rPr>
          <w:rFonts w:cs="Times New Roman"/>
          <w:noProof/>
        </w:rPr>
      </w:pPr>
      <w:r>
        <w:rPr>
          <w:noProof/>
        </w:rPr>
        <w:t>Inv</w:t>
      </w:r>
      <w:r>
        <w:rPr>
          <w:noProof/>
        </w:rPr>
        <w:t>estoinnin toteutus saatetaan päätökseen viimeistään 31. joulukuuta 2024.</w:t>
      </w:r>
    </w:p>
    <w:p w14:paraId="07DA216E" w14:textId="77777777" w:rsidR="000E48CE" w:rsidRDefault="00FF4C4E">
      <w:pPr>
        <w:pStyle w:val="P68B1DB1-Normal6"/>
        <w:spacing w:before="120" w:after="120" w:line="240" w:lineRule="auto"/>
        <w:jc w:val="both"/>
        <w:rPr>
          <w:rFonts w:cs="Times New Roman"/>
          <w:noProof/>
        </w:rPr>
      </w:pPr>
      <w:r>
        <w:rPr>
          <w:noProof/>
        </w:rPr>
        <w:t>Investointi 7 (C3.I7) – Suunnitelma kalastusalan kestävyyden, tutkimuksen, innovoinnin ja digitalisaation edistämiseksi (II): Kalastus- ja vesiviljelyalan tutkimuksen ja koulutuksen t</w:t>
      </w:r>
      <w:r>
        <w:rPr>
          <w:noProof/>
        </w:rPr>
        <w:t>ukeminen</w:t>
      </w:r>
    </w:p>
    <w:p w14:paraId="5079C142" w14:textId="77777777" w:rsidR="000E48CE" w:rsidRDefault="00FF4C4E">
      <w:pPr>
        <w:pStyle w:val="P68B1DB1-Normal4"/>
        <w:spacing w:before="120" w:after="120" w:line="240" w:lineRule="auto"/>
        <w:jc w:val="both"/>
        <w:rPr>
          <w:rFonts w:cs="Times New Roman"/>
          <w:noProof/>
        </w:rPr>
      </w:pPr>
      <w:r>
        <w:rPr>
          <w:noProof/>
        </w:rPr>
        <w:t>Tällä toimenpiteellä parannetaan kalastuksenhoitoa koskevan päätöksenteon perustana olevan tieteellisen tietämyksen määrää ja laatua. Toimenpiteeseen kuuluvat: vähintään kahden akustisen näytteenottimen hankinta kahden olemassa olevan kalastus- ja</w:t>
      </w:r>
      <w:r>
        <w:rPr>
          <w:noProof/>
        </w:rPr>
        <w:t xml:space="preserve"> merentutkimusaluksen varustamiseksi pelagisten lajien eri kantojen tieteellistä arviointia varten saatujen tietojen laadun varmistamiseksi; ja ii) kalastus- ja vesiviljelytutkimuksen edistäminen ekosysteemilähtöisen lähestymistavan varmistamiseksi kalastu</w:t>
      </w:r>
      <w:r>
        <w:rPr>
          <w:noProof/>
        </w:rPr>
        <w:t>ksenhoitoa koskevassa päätöksenteossa.</w:t>
      </w:r>
    </w:p>
    <w:p w14:paraId="3FF3E691" w14:textId="77777777" w:rsidR="000E48CE" w:rsidRDefault="00FF4C4E">
      <w:pPr>
        <w:pStyle w:val="P68B1DB1-Normal4"/>
        <w:spacing w:before="120" w:after="120" w:line="240" w:lineRule="auto"/>
        <w:jc w:val="both"/>
        <w:rPr>
          <w:rFonts w:cs="Times New Roman"/>
          <w:noProof/>
        </w:rPr>
      </w:pPr>
      <w:r>
        <w:rPr>
          <w:noProof/>
        </w:rPr>
        <w:t xml:space="preserve">Kahden akustisen näytteenottimen hankinta toteutetaan julkisessa hankintamenettelyssä, jossa tarjous tehdään yksinoikeudella. Kalastus- ja vesiviljelyalan tutkimusta edistetään allekirjoittamalla sopimuksia julkisten </w:t>
      </w:r>
      <w:r>
        <w:rPr>
          <w:noProof/>
        </w:rPr>
        <w:t>tutkimuslaitosten kanssa ja tarvittaessa osoittamalla omiin varoihin aluksella olevien tarkkailijoiden palvelukseen ottamista tai tarjouskilpailuja.</w:t>
      </w:r>
    </w:p>
    <w:p w14:paraId="28C7456C" w14:textId="77777777" w:rsidR="000E48CE" w:rsidRDefault="00FF4C4E">
      <w:pPr>
        <w:pStyle w:val="P68B1DB1-Normal4"/>
        <w:spacing w:before="120" w:after="120" w:line="240" w:lineRule="auto"/>
        <w:jc w:val="both"/>
        <w:rPr>
          <w:rFonts w:cs="Times New Roman"/>
          <w:noProof/>
        </w:rPr>
      </w:pPr>
      <w:r>
        <w:rPr>
          <w:noProof/>
        </w:rPr>
        <w:t>Investoinnin toteuttaminen on saatettava päätökseen viimeistään 30 päivänä kesäkuuta 2022.</w:t>
      </w:r>
    </w:p>
    <w:p w14:paraId="44C6B4CF" w14:textId="77777777" w:rsidR="000E48CE" w:rsidRDefault="00FF4C4E">
      <w:pPr>
        <w:pStyle w:val="P68B1DB1-Normal6"/>
        <w:spacing w:before="120" w:after="120" w:line="240" w:lineRule="auto"/>
        <w:jc w:val="both"/>
        <w:rPr>
          <w:rFonts w:cs="Times New Roman"/>
          <w:noProof/>
        </w:rPr>
      </w:pPr>
      <w:r>
        <w:rPr>
          <w:noProof/>
        </w:rPr>
        <w:t>Investointi 8 (C</w:t>
      </w:r>
      <w:r>
        <w:rPr>
          <w:noProof/>
        </w:rPr>
        <w:t xml:space="preserve">3.I8) – Suunnitelma kalastusalan kestävyyden, tutkimuksen, innovoinnin ja digitalisaation edistämiseksi (III): Tekninen kehitys ja innovointi kalastus- ja vesiviljelyalalla </w:t>
      </w:r>
    </w:p>
    <w:p w14:paraId="10034A14" w14:textId="77777777" w:rsidR="000E48CE" w:rsidRDefault="00FF4C4E">
      <w:pPr>
        <w:pStyle w:val="P68B1DB1-Normal4"/>
        <w:spacing w:before="120" w:after="120" w:line="240" w:lineRule="auto"/>
        <w:jc w:val="both"/>
        <w:rPr>
          <w:rFonts w:cs="Times New Roman"/>
          <w:noProof/>
        </w:rPr>
      </w:pPr>
      <w:r>
        <w:rPr>
          <w:noProof/>
        </w:rPr>
        <w:t>Toimenpiteen tavoitteena on luoda ympäristön kannalta, taloudellisesti ja sosiaali</w:t>
      </w:r>
      <w:r>
        <w:rPr>
          <w:noProof/>
        </w:rPr>
        <w:t>sesti kestävämpi kalastus- ja vesiviljelyala kahden toimintalinjan avulla:</w:t>
      </w:r>
    </w:p>
    <w:p w14:paraId="3F2F72A7" w14:textId="77777777" w:rsidR="000E48CE" w:rsidRDefault="00FF4C4E">
      <w:pPr>
        <w:pStyle w:val="P68B1DB1-Normal4"/>
        <w:numPr>
          <w:ilvl w:val="0"/>
          <w:numId w:val="79"/>
        </w:numPr>
        <w:spacing w:before="120" w:after="120" w:line="240" w:lineRule="auto"/>
        <w:ind w:left="425" w:hanging="425"/>
        <w:contextualSpacing/>
        <w:jc w:val="both"/>
        <w:rPr>
          <w:rFonts w:cs="Times New Roman"/>
          <w:noProof/>
        </w:rPr>
      </w:pPr>
      <w:r>
        <w:rPr>
          <w:noProof/>
        </w:rPr>
        <w:t>Julkisen ja yksityisen sektorin kumppanuuksien luominen alan sinisen kasvun vauhdittamiseksi sellaisten hankkeiden toteuttamiseksi, jotka toimivat sinisen talouden prosessien kataly</w:t>
      </w:r>
      <w:r>
        <w:rPr>
          <w:noProof/>
        </w:rPr>
        <w:t>saattoreina; ja</w:t>
      </w:r>
    </w:p>
    <w:p w14:paraId="5FDFD627" w14:textId="77777777" w:rsidR="000E48CE" w:rsidRDefault="00FF4C4E">
      <w:pPr>
        <w:pStyle w:val="P68B1DB1-Normal4"/>
        <w:numPr>
          <w:ilvl w:val="0"/>
          <w:numId w:val="79"/>
        </w:numPr>
        <w:spacing w:before="120" w:after="120" w:line="240" w:lineRule="auto"/>
        <w:ind w:left="426" w:hanging="426"/>
        <w:jc w:val="both"/>
        <w:rPr>
          <w:rFonts w:cs="Times New Roman"/>
          <w:noProof/>
        </w:rPr>
      </w:pPr>
      <w:r>
        <w:rPr>
          <w:noProof/>
        </w:rPr>
        <w:t xml:space="preserve">alan teknologisen kehityksen ja innovoinnin tukeminen. </w:t>
      </w:r>
    </w:p>
    <w:p w14:paraId="5A889EEB" w14:textId="77777777" w:rsidR="000E48CE" w:rsidRDefault="00FF4C4E">
      <w:pPr>
        <w:pStyle w:val="P68B1DB1-Normal4"/>
        <w:spacing w:before="120" w:after="120" w:line="240" w:lineRule="auto"/>
        <w:jc w:val="both"/>
        <w:rPr>
          <w:rFonts w:cs="Times New Roman"/>
          <w:noProof/>
        </w:rPr>
      </w:pPr>
      <w:r>
        <w:rPr>
          <w:noProof/>
        </w:rPr>
        <w:t xml:space="preserve">Toimenpiteen tarkoituksena on saattaa päätökseen vähintään 20 tutkimus-, kehitys- ja innovointihanketta sellaisten uusien teknologioiden käyttöönottamiseksi, jotka edistävät kalastus- </w:t>
      </w:r>
      <w:r>
        <w:rPr>
          <w:noProof/>
        </w:rPr>
        <w:t>ja vesiviljelyalan häiriönsietokykyä ja kestävyyttä.</w:t>
      </w:r>
    </w:p>
    <w:p w14:paraId="38FD27C3" w14:textId="77777777" w:rsidR="000E48CE" w:rsidRDefault="00FF4C4E">
      <w:pPr>
        <w:pStyle w:val="P68B1DB1-Normal4"/>
        <w:spacing w:before="120" w:after="120" w:line="240" w:lineRule="auto"/>
        <w:jc w:val="both"/>
        <w:rPr>
          <w:rFonts w:cs="Times New Roman"/>
          <w:noProof/>
        </w:rPr>
      </w:pPr>
      <w:r>
        <w:rPr>
          <w:noProof/>
        </w:rPr>
        <w:t>Investoinnin toteuttaminen on saatettava päätökseen 31 päivään joulukuuta 2023 mennessä.</w:t>
      </w:r>
    </w:p>
    <w:p w14:paraId="6E88A54F" w14:textId="77777777" w:rsidR="000E48CE" w:rsidRDefault="00FF4C4E">
      <w:pPr>
        <w:pStyle w:val="P68B1DB1-Normal6"/>
        <w:spacing w:before="120" w:after="120" w:line="240" w:lineRule="auto"/>
        <w:jc w:val="both"/>
        <w:rPr>
          <w:rFonts w:cs="Times New Roman"/>
          <w:noProof/>
        </w:rPr>
      </w:pPr>
      <w:r>
        <w:rPr>
          <w:noProof/>
        </w:rPr>
        <w:t>Investointi 9 (C3.I9) – Suunnitelma kalastusalan kestävyyden, tutkimuksen, innovoinnin ja digitalisaation edistämi</w:t>
      </w:r>
      <w:r>
        <w:rPr>
          <w:noProof/>
        </w:rPr>
        <w:t xml:space="preserve">seksi (IV): Digitalisaatio ja tieto- ja viestintätekniikan käyttö kalastusalalla </w:t>
      </w:r>
    </w:p>
    <w:p w14:paraId="3685C600" w14:textId="77777777" w:rsidR="000E48CE" w:rsidRDefault="00FF4C4E">
      <w:pPr>
        <w:pStyle w:val="P68B1DB1-Normal4"/>
        <w:spacing w:before="120" w:after="120" w:line="240" w:lineRule="auto"/>
        <w:jc w:val="both"/>
        <w:rPr>
          <w:rFonts w:cs="Times New Roman"/>
          <w:noProof/>
        </w:rPr>
      </w:pPr>
      <w:r>
        <w:rPr>
          <w:noProof/>
        </w:rPr>
        <w:t>Toimenpiteen tavoitteena on parantaa kalastustoiminnan valvontaa ympäristön kestävyyden sekä kalastusalan keskipitkän ja pitkän aikavälin elinkelpoisuuden varmistamiseksi. To</w:t>
      </w:r>
      <w:r>
        <w:rPr>
          <w:noProof/>
        </w:rPr>
        <w:t>imenpide koostuu kahdesta toimintalinjasta:</w:t>
      </w:r>
    </w:p>
    <w:p w14:paraId="10654A36" w14:textId="77777777" w:rsidR="000E48CE" w:rsidRDefault="00FF4C4E">
      <w:pPr>
        <w:pStyle w:val="P68B1DB1-Normal4"/>
        <w:numPr>
          <w:ilvl w:val="0"/>
          <w:numId w:val="80"/>
        </w:numPr>
        <w:spacing w:before="120" w:after="120" w:line="240" w:lineRule="auto"/>
        <w:ind w:left="425" w:hanging="425"/>
        <w:contextualSpacing/>
        <w:jc w:val="both"/>
        <w:rPr>
          <w:rFonts w:cs="Times New Roman"/>
          <w:noProof/>
        </w:rPr>
      </w:pPr>
      <w:r>
        <w:rPr>
          <w:noProof/>
        </w:rPr>
        <w:t>Tukijärjestelmä kalastus- ja vesiviljelyalan digitalisointia varten, mukaan lukien i) tuki laitteille, jotka on tarkoitettu saaliiden sähköiseen toimittamiseen ja niiden maantieteelliseen sijaintiin alle 12 metri</w:t>
      </w:r>
      <w:r>
        <w:rPr>
          <w:noProof/>
        </w:rPr>
        <w:t>n pituisille aluksille; ja ii) tuki sellaisen valvontajärjestelmän asentamiseen, jossa käytetään kameroita kalastuksen etävalvontaan ja yli 24 metrin pituisten alusten poisheittämisen torjuntaan; ja</w:t>
      </w:r>
    </w:p>
    <w:p w14:paraId="77EEACF1" w14:textId="77777777" w:rsidR="000E48CE" w:rsidRDefault="00FF4C4E">
      <w:pPr>
        <w:pStyle w:val="P68B1DB1-Normal4"/>
        <w:numPr>
          <w:ilvl w:val="0"/>
          <w:numId w:val="80"/>
        </w:numPr>
        <w:spacing w:before="120" w:after="120" w:line="240" w:lineRule="auto"/>
        <w:ind w:left="426" w:hanging="426"/>
        <w:jc w:val="both"/>
        <w:rPr>
          <w:rFonts w:cs="Times New Roman"/>
          <w:noProof/>
        </w:rPr>
      </w:pPr>
      <w:r>
        <w:rPr>
          <w:noProof/>
        </w:rPr>
        <w:t>nykyaikaiset tieto- ja viestintätekniset ratkaisut kalast</w:t>
      </w:r>
      <w:r>
        <w:rPr>
          <w:noProof/>
        </w:rPr>
        <w:t>uksen valvontaa varten, mukaan lukien i) saaliiden rekisteröintijärjestelmä, jossa voidaan jäljittää alle 12 metrin pituisia aluksia; droonilentopalvelun perustaminen kalastuksen valvontaa ja tarkkailua varten ja etäseurantajärjestelmän perustaminen yli 24</w:t>
      </w:r>
      <w:r>
        <w:rPr>
          <w:noProof/>
        </w:rPr>
        <w:t xml:space="preserve"> metrin pituisten kalastusalusten saaliita </w:t>
      </w:r>
      <w:r>
        <w:rPr>
          <w:noProof/>
        </w:rPr>
        <w:lastRenderedPageBreak/>
        <w:t xml:space="preserve">varten; ja iii) laitteet ja ohjelmistot (eli toisen palomuurin asentaminen) Espanjan kalastustietojärjestelmän turvallisuuden parantamiseksi. </w:t>
      </w:r>
    </w:p>
    <w:p w14:paraId="0873398E" w14:textId="77777777" w:rsidR="000E48CE" w:rsidRDefault="00FF4C4E">
      <w:pPr>
        <w:pStyle w:val="P68B1DB1-Normal4"/>
        <w:spacing w:before="120" w:after="120" w:line="240" w:lineRule="auto"/>
        <w:jc w:val="both"/>
        <w:rPr>
          <w:rFonts w:cs="Times New Roman"/>
          <w:noProof/>
        </w:rPr>
      </w:pPr>
      <w:r>
        <w:rPr>
          <w:noProof/>
        </w:rPr>
        <w:t>Espanjan kalastus- ja vesiviljelyalan digitalisointi toteutetaan tarjo</w:t>
      </w:r>
      <w:r>
        <w:rPr>
          <w:noProof/>
        </w:rPr>
        <w:t>uskilpailuihin myönnettävinä avustuksina, kun taas nykyaikaisten tieto- ja viestintäteknisten ratkaisujen täytäntöönpano kalastuksen valvontaa varten tapahtuu avoimilla ja keskitetyillä hankinnoilla.</w:t>
      </w:r>
    </w:p>
    <w:p w14:paraId="63A8A9F0"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w:t>
      </w:r>
      <w:r>
        <w:rPr>
          <w:noProof/>
        </w:rPr>
        <w:t>1. joulukuuta 2024.</w:t>
      </w:r>
    </w:p>
    <w:p w14:paraId="3C3B31F3" w14:textId="77777777" w:rsidR="000E48CE" w:rsidRDefault="00FF4C4E">
      <w:pPr>
        <w:pStyle w:val="P68B1DB1-Normal6"/>
        <w:spacing w:before="120" w:after="120" w:line="240" w:lineRule="auto"/>
        <w:jc w:val="both"/>
        <w:rPr>
          <w:rFonts w:cs="Times New Roman"/>
          <w:noProof/>
        </w:rPr>
      </w:pPr>
      <w:r>
        <w:rPr>
          <w:noProof/>
        </w:rPr>
        <w:t>Investointi 10 (C3.I10) – Suunnitelma kalastusalan kestävyyden, tutkimuksen, innovoinnin ja digitalisaation edistämiseksi (V): Laittoman, ilmoittamattoman ja sääntelemättömän kalastuksen torjunnan tukeminen</w:t>
      </w:r>
    </w:p>
    <w:p w14:paraId="0F153A69" w14:textId="77777777" w:rsidR="000E48CE" w:rsidRDefault="00FF4C4E">
      <w:pPr>
        <w:pStyle w:val="P68B1DB1-Normal4"/>
        <w:spacing w:before="120" w:after="120" w:line="240" w:lineRule="auto"/>
        <w:jc w:val="both"/>
        <w:rPr>
          <w:rFonts w:cs="Times New Roman"/>
          <w:noProof/>
        </w:rPr>
      </w:pPr>
      <w:r>
        <w:rPr>
          <w:noProof/>
        </w:rPr>
        <w:t xml:space="preserve">Tällä toimenpiteellä tuetaan </w:t>
      </w:r>
      <w:r>
        <w:rPr>
          <w:noProof/>
        </w:rPr>
        <w:t>laittoman, ilmoittamattoman ja sääntelemättömän kalastuksen torjuntaa, joka on edelleen uhka meriekosysteemeille. Tätä varten toimenpiteellä tuetaan seuraavia investointeja:</w:t>
      </w:r>
    </w:p>
    <w:p w14:paraId="5AAA67EC" w14:textId="77777777" w:rsidR="000E48CE" w:rsidRDefault="00FF4C4E">
      <w:pPr>
        <w:pStyle w:val="P68B1DB1-Normal4"/>
        <w:numPr>
          <w:ilvl w:val="0"/>
          <w:numId w:val="82"/>
        </w:numPr>
        <w:spacing w:before="120" w:after="120" w:line="240" w:lineRule="auto"/>
        <w:ind w:left="425" w:hanging="425"/>
        <w:contextualSpacing/>
        <w:jc w:val="both"/>
        <w:rPr>
          <w:rFonts w:cs="Times New Roman"/>
          <w:noProof/>
        </w:rPr>
      </w:pPr>
      <w:r>
        <w:rPr>
          <w:noProof/>
        </w:rPr>
        <w:t>Neljän partioaluksen hankinta; ja</w:t>
      </w:r>
    </w:p>
    <w:p w14:paraId="427E0998" w14:textId="77777777" w:rsidR="000E48CE" w:rsidRDefault="00FF4C4E">
      <w:pPr>
        <w:pStyle w:val="P68B1DB1-Normal4"/>
        <w:numPr>
          <w:ilvl w:val="0"/>
          <w:numId w:val="82"/>
        </w:numPr>
        <w:spacing w:before="120" w:after="120" w:line="240" w:lineRule="auto"/>
        <w:ind w:left="426" w:hanging="426"/>
        <w:jc w:val="both"/>
        <w:rPr>
          <w:rFonts w:cs="Times New Roman"/>
          <w:noProof/>
        </w:rPr>
      </w:pPr>
      <w:r>
        <w:rPr>
          <w:noProof/>
        </w:rPr>
        <w:t>kolmen aavan meren partioaluksen nykyaikaistamin</w:t>
      </w:r>
      <w:r>
        <w:rPr>
          <w:noProof/>
        </w:rPr>
        <w:t xml:space="preserve">en, joita käytetään laittoman, raportoidun ja sääntelemättömän kalastuksen torjuntaan. </w:t>
      </w:r>
    </w:p>
    <w:p w14:paraId="2330BD62" w14:textId="77777777" w:rsidR="000E48CE" w:rsidRDefault="00FF4C4E">
      <w:pPr>
        <w:pStyle w:val="P68B1DB1-Normal4"/>
        <w:spacing w:before="120" w:after="120" w:line="240" w:lineRule="auto"/>
        <w:jc w:val="both"/>
        <w:rPr>
          <w:rFonts w:cs="Times New Roman"/>
          <w:noProof/>
        </w:rPr>
      </w:pPr>
      <w:r>
        <w:rPr>
          <w:noProof/>
        </w:rPr>
        <w:t>Toimenpide toteutetaan partioalusten rakentamista koskevalla julkisella hankintamenettelyllä ja muuttamalla Espanjan laivaston kanssa tehtyä sopimusta, kun on kyse offs</w:t>
      </w:r>
      <w:r>
        <w:rPr>
          <w:noProof/>
        </w:rPr>
        <w:t xml:space="preserve">hore-partioaluksista. Kyseisessä sopimuksessa määrätään merivoimien siirrolle laillisesta suojasta edellä mainittujen nykyaikaistamistöiden hallinnoimiseksi. </w:t>
      </w:r>
    </w:p>
    <w:p w14:paraId="78209AC5" w14:textId="77777777" w:rsidR="000E48CE" w:rsidRDefault="00FF4C4E">
      <w:pPr>
        <w:pStyle w:val="P68B1DB1-Normal4"/>
        <w:spacing w:before="120" w:after="120" w:line="240" w:lineRule="auto"/>
        <w:jc w:val="both"/>
        <w:rPr>
          <w:rFonts w:cs="Times New Roman"/>
          <w:noProof/>
        </w:rPr>
      </w:pPr>
      <w:r>
        <w:rPr>
          <w:noProof/>
        </w:rPr>
        <w:t>Tämän toimenpiteen ei odoteta aiheuttavan merkittävää haittaa asetuksen (EU) 2020/852 17 artiklas</w:t>
      </w:r>
      <w:r>
        <w:rPr>
          <w:noProof/>
        </w:rPr>
        <w:t>sa tarkoitetuille ympäristötavoitteille, kun otetaan huomioon ”ei merkittävää haittaa” -periaatetta koskevien teknisten ohjeiden (2021/C58/01) mukainen elpymis- ja palautumissuunnitelmassa esitetty toimenpiteen kuvaus ja lieventävät toimenpiteet. Erityises</w:t>
      </w:r>
      <w:r>
        <w:rPr>
          <w:noProof/>
        </w:rPr>
        <w:t xml:space="preserve">ti alusten hankinnan ja nykyaikaistamisen on oltava parasta saatavilla olevaa teknologiaa, jonka ympäristövaikutukset alalla ovat vähäisimmät. </w:t>
      </w:r>
    </w:p>
    <w:p w14:paraId="5521310B" w14:textId="77777777" w:rsidR="000E48CE" w:rsidRDefault="00FF4C4E">
      <w:pPr>
        <w:pStyle w:val="P68B1DB1-Normal4"/>
        <w:spacing w:before="120" w:after="120" w:line="240" w:lineRule="auto"/>
        <w:jc w:val="both"/>
        <w:rPr>
          <w:rFonts w:cs="Times New Roman"/>
          <w:noProof/>
          <w:u w:val="single"/>
        </w:rPr>
      </w:pPr>
      <w:r>
        <w:rPr>
          <w:noProof/>
        </w:rPr>
        <w:t>Investoinnin toteutus saatetaan päätökseen viimeistään 31. joulukuuta 2022.</w:t>
      </w:r>
    </w:p>
    <w:p w14:paraId="23C67E2D" w14:textId="77777777" w:rsidR="000E48CE" w:rsidRDefault="00FF4C4E">
      <w:pPr>
        <w:pStyle w:val="P68B1DB1-Normal6"/>
        <w:spacing w:before="120" w:after="120" w:line="240" w:lineRule="auto"/>
        <w:jc w:val="both"/>
        <w:rPr>
          <w:rFonts w:cs="Times New Roman"/>
          <w:noProof/>
        </w:rPr>
      </w:pPr>
      <w:r>
        <w:rPr>
          <w:noProof/>
        </w:rPr>
        <w:t xml:space="preserve">Investointi 11 (C3.I11) – Suunnitelma kalastusalan kestävyyden, tutkimuksen, innovoinnin ja digitalisaation edistämiseksi (VI): Kalatalousalan rahoitustuki </w:t>
      </w:r>
    </w:p>
    <w:p w14:paraId="34D83F9F" w14:textId="77777777" w:rsidR="000E48CE" w:rsidRDefault="00FF4C4E">
      <w:pPr>
        <w:pStyle w:val="P68B1DB1-Normal4"/>
        <w:spacing w:before="120" w:after="120" w:line="240" w:lineRule="auto"/>
        <w:jc w:val="both"/>
        <w:rPr>
          <w:rFonts w:cs="Times New Roman"/>
          <w:noProof/>
        </w:rPr>
      </w:pPr>
      <w:r>
        <w:rPr>
          <w:noProof/>
        </w:rPr>
        <w:t xml:space="preserve">Tällä toimenpiteellä rahoitetaan kalastusalan investointihankkeita myöntämällä laina </w:t>
      </w:r>
      <w:r>
        <w:rPr>
          <w:i/>
          <w:noProof/>
        </w:rPr>
        <w:t>Sociedad Anóni</w:t>
      </w:r>
      <w:r>
        <w:rPr>
          <w:i/>
          <w:noProof/>
        </w:rPr>
        <w:t>ma Estatal de Caución Agrarialle (SAECA</w:t>
      </w:r>
      <w:r>
        <w:rPr>
          <w:noProof/>
        </w:rPr>
        <w:t>). Toimenpiteen tavoitteena on luoda rahoitusväline kestäviin kalastustoimiin liittyville hankkeille, joita ovat muun muassa seuraavat: työ- ja turvallisuusolosuhteiden parantaminen; prosessien ja järjestelmien digita</w:t>
      </w:r>
      <w:r>
        <w:rPr>
          <w:noProof/>
        </w:rPr>
        <w:t>lisointi; III) tuotteiden arvon ja jäljitettävyyden parantaminen; uusien tuotteiden ja esillepanojen etsiminen, mukaan lukien pakkaukset; ja v) innovoinnin, energian parantamisen ja energiatehokkuuden sekä energiasiirtymän edistäminen ilmastovaikutuksiltaa</w:t>
      </w:r>
      <w:r>
        <w:rPr>
          <w:noProof/>
        </w:rPr>
        <w:t>n vähäisemmällä tavalla.</w:t>
      </w:r>
    </w:p>
    <w:p w14:paraId="0403E22F" w14:textId="77777777" w:rsidR="000E48CE" w:rsidRDefault="00FF4C4E">
      <w:pPr>
        <w:pStyle w:val="P68B1DB1-Normal4"/>
        <w:spacing w:before="120" w:after="120" w:line="240" w:lineRule="auto"/>
        <w:jc w:val="both"/>
        <w:rPr>
          <w:rFonts w:cs="Times New Roman"/>
          <w:noProof/>
        </w:rPr>
      </w:pPr>
      <w:r>
        <w:rPr>
          <w:noProof/>
        </w:rPr>
        <w:t>Toimenpide pannaan täytäntöön maatalous-, kalastus- ja elintarvikeministeriön ja SAECA:n välisellä sopimuksella, jolla tuetaan kalastusalan investointihankkeiden rahoittamista. Mekanismi perustuu SAECA:lle myönnettyyn lainaan sella</w:t>
      </w:r>
      <w:r>
        <w:rPr>
          <w:noProof/>
        </w:rPr>
        <w:t>isen budjettikohdan luomiseksi, jonka tarkoituksena on taata uudelleen kestävään kalastustoimintaan liittyvät hankkeet. Sopimukseen on sisällyttävä ehto, jolla taataan, että tällä rahoituksella tehdyt investoinnit ovat ”ei merkittävää haittaa” -ohjeiden (2</w:t>
      </w:r>
      <w:r>
        <w:rPr>
          <w:noProof/>
        </w:rPr>
        <w:t>021/C58/01) mukaisia.</w:t>
      </w:r>
    </w:p>
    <w:p w14:paraId="2F1A6EED" w14:textId="77777777" w:rsidR="000E48CE" w:rsidRDefault="00FF4C4E">
      <w:pPr>
        <w:pStyle w:val="P68B1DB1-Text119"/>
        <w:ind w:left="0"/>
        <w:rPr>
          <w:rFonts w:cs="Times New Roman"/>
          <w:noProof/>
        </w:rPr>
      </w:pPr>
      <w:r>
        <w:rPr>
          <w:noProof/>
        </w:rPr>
        <w:t>Sen varmistamiseksi, että toimenpide on ”ei merkittävää haittaa” -periaatteen mukainen (2021/C58/01), maatalous-, kalastus- ja elintarvikeministeriön ja SAECA:n välinen oikeudellinen sopimus ja rahoitusvälineen myöhempi investointipol</w:t>
      </w:r>
      <w:r>
        <w:rPr>
          <w:noProof/>
        </w:rPr>
        <w:t xml:space="preserve">itiikka </w:t>
      </w:r>
    </w:p>
    <w:p w14:paraId="460501DF" w14:textId="77777777" w:rsidR="000E48CE" w:rsidRDefault="00FF4C4E">
      <w:pPr>
        <w:pStyle w:val="P68B1DB1-Text119"/>
        <w:numPr>
          <w:ilvl w:val="0"/>
          <w:numId w:val="196"/>
        </w:numPr>
        <w:ind w:left="714" w:hanging="357"/>
        <w:contextualSpacing/>
        <w:rPr>
          <w:rFonts w:cs="Times New Roman"/>
          <w:noProof/>
        </w:rPr>
      </w:pPr>
      <w:r>
        <w:rPr>
          <w:noProof/>
        </w:rPr>
        <w:lastRenderedPageBreak/>
        <w:t>vaatia InvestEU-rahaston kestävyysarviointia koskevien komission teknisten ohjeiden soveltamista; ja</w:t>
      </w:r>
    </w:p>
    <w:p w14:paraId="773373C3" w14:textId="77777777" w:rsidR="000E48CE" w:rsidRDefault="00FF4C4E">
      <w:pPr>
        <w:pStyle w:val="Text1"/>
        <w:numPr>
          <w:ilvl w:val="0"/>
          <w:numId w:val="196"/>
        </w:numPr>
        <w:ind w:left="714" w:hanging="357"/>
        <w:contextualSpacing/>
        <w:rPr>
          <w:rFonts w:ascii="Times New Roman" w:hAnsi="Times New Roman" w:cs="Times New Roman"/>
          <w:noProof/>
        </w:rPr>
      </w:pPr>
      <w:r>
        <w:rPr>
          <w:rFonts w:ascii="Times New Roman" w:hAnsi="Times New Roman"/>
          <w:noProof/>
        </w:rPr>
        <w:t>jättää tukikelpoisuuden ulkopuolelle seuraavan luettelon toiminnoista ja omaisuuseristä: fossiilisiin polttoaineisiin liittyvät toiminnot ja omais</w:t>
      </w:r>
      <w:r>
        <w:rPr>
          <w:rFonts w:ascii="Times New Roman" w:hAnsi="Times New Roman"/>
          <w:noProof/>
        </w:rPr>
        <w:t>uuserät, mukaan lukien käyttö tuotantoketjun loppupäässä</w:t>
      </w:r>
      <w:r>
        <w:rPr>
          <w:rStyle w:val="FootnoteReference"/>
          <w:rFonts w:ascii="Times New Roman" w:hAnsi="Times New Roman" w:cs="Times New Roman"/>
          <w:noProof/>
        </w:rPr>
        <w:footnoteReference w:id="15"/>
      </w:r>
      <w:r>
        <w:rPr>
          <w:rFonts w:ascii="Times New Roman" w:hAnsi="Times New Roman"/>
          <w:noProof/>
        </w:rPr>
        <w:t>; 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rPr>
        <w:footnoteReference w:id="16"/>
      </w:r>
      <w:r>
        <w:rPr>
          <w:rFonts w:ascii="Times New Roman" w:hAnsi="Times New Roman"/>
          <w:noProof/>
        </w:rPr>
        <w:t>; jätteiden kaatopaikkoi</w:t>
      </w:r>
      <w:r>
        <w:rPr>
          <w:rFonts w:ascii="Times New Roman" w:hAnsi="Times New Roman"/>
          <w:noProof/>
        </w:rPr>
        <w:t>hin, polttolaitoksiin ja mekaanisiin biologisiin käsittelylaitoksiin liittyvät toiminnot</w:t>
      </w:r>
      <w:r>
        <w:rPr>
          <w:rStyle w:val="FootnoteReference"/>
          <w:rFonts w:ascii="Times New Roman" w:hAnsi="Times New Roman" w:cs="Times New Roman"/>
          <w:noProof/>
        </w:rPr>
        <w:footnoteReference w:id="17"/>
      </w:r>
      <w:r>
        <w:rPr>
          <w:rFonts w:ascii="Times New Roman" w:hAnsi="Times New Roman"/>
          <w:noProof/>
        </w:rPr>
        <w:t xml:space="preserve"> ja omaisuus</w:t>
      </w:r>
      <w:r>
        <w:rPr>
          <w:rStyle w:val="FootnoteReference"/>
          <w:rFonts w:ascii="Times New Roman" w:hAnsi="Times New Roman" w:cs="Times New Roman"/>
          <w:noProof/>
        </w:rPr>
        <w:footnoteReference w:id="18"/>
      </w:r>
      <w:r>
        <w:rPr>
          <w:rFonts w:ascii="Times New Roman" w:hAnsi="Times New Roman"/>
          <w:noProof/>
        </w:rPr>
        <w:t>; ja iv) toiminnot ja omaisuuserät, joissa jätteiden pitkän aikavälin loppukäsittely voi aiheuttaa vahinkoa ympäristölle; ja</w:t>
      </w:r>
    </w:p>
    <w:p w14:paraId="21A033D6" w14:textId="77777777" w:rsidR="000E48CE" w:rsidRDefault="00FF4C4E">
      <w:pPr>
        <w:pStyle w:val="P68B1DB1-Text119"/>
        <w:numPr>
          <w:ilvl w:val="0"/>
          <w:numId w:val="196"/>
        </w:numPr>
        <w:rPr>
          <w:rFonts w:cs="Times New Roman"/>
          <w:noProof/>
        </w:rPr>
      </w:pPr>
      <w:r>
        <w:rPr>
          <w:noProof/>
        </w:rPr>
        <w:t>vaatia SAECA:lta hankkeiden a</w:t>
      </w:r>
      <w:r>
        <w:rPr>
          <w:noProof/>
        </w:rPr>
        <w:t>siaankuuluvan EU:n ja kansallisen ympäristölainsäädännön noudattamisen todentamista kaikissa liiketoimissa, mukaan lukien ne, jotka on vapautettu kestävyysarvioinnista.</w:t>
      </w:r>
    </w:p>
    <w:p w14:paraId="1ACA65E4" w14:textId="77777777" w:rsidR="000E48CE" w:rsidRDefault="00FF4C4E">
      <w:pPr>
        <w:pStyle w:val="P68B1DB1-Normal4"/>
        <w:spacing w:before="120" w:after="120" w:line="240" w:lineRule="auto"/>
        <w:jc w:val="both"/>
        <w:rPr>
          <w:rFonts w:cs="Times New Roman"/>
          <w:noProof/>
        </w:rPr>
      </w:pPr>
      <w:r>
        <w:rPr>
          <w:noProof/>
        </w:rPr>
        <w:t>Investoinnin toteuttaminen on saatettava päätökseen viimeistään 30 päivänä kesäkuuta 20</w:t>
      </w:r>
      <w:r>
        <w:rPr>
          <w:noProof/>
        </w:rPr>
        <w:t>22.</w:t>
      </w:r>
    </w:p>
    <w:p w14:paraId="1FA4A2A6" w14:textId="77777777" w:rsidR="000E48CE" w:rsidRDefault="00FF4C4E">
      <w:pPr>
        <w:pStyle w:val="P68B1DB1-Normal5"/>
        <w:keepNext/>
        <w:spacing w:before="120" w:after="120" w:line="240" w:lineRule="auto"/>
        <w:ind w:left="709"/>
        <w:jc w:val="both"/>
        <w:rPr>
          <w:rFonts w:cs="Times New Roman"/>
          <w:noProof/>
        </w:rPr>
      </w:pPr>
      <w:r>
        <w:rPr>
          <w:noProof/>
        </w:rPr>
        <w:t xml:space="preserve">C.2 </w:t>
      </w:r>
      <w:r>
        <w:rPr>
          <w:noProof/>
        </w:rPr>
        <w:tab/>
        <w:t>Seurantaa ja täytäntöönpanoa koskevat välitavoitteet, tavoitteet, indikaattorit ja aikataulu – rahoitustuki, jota ei makseta takaisin</w:t>
      </w:r>
    </w:p>
    <w:p w14:paraId="74A95577" w14:textId="77777777" w:rsidR="000E48CE" w:rsidRDefault="00FF4C4E">
      <w:pPr>
        <w:pStyle w:val="P68B1DB1-Normal4"/>
        <w:spacing w:before="120" w:after="120" w:line="240" w:lineRule="auto"/>
        <w:jc w:val="both"/>
        <w:rPr>
          <w:rFonts w:cs="Times New Roman"/>
          <w:b/>
          <w:noProof/>
          <w:u w:val="single"/>
        </w:rPr>
      </w:pPr>
      <w:r>
        <w:rPr>
          <w:i/>
          <w:noProof/>
        </w:rPr>
        <w:t>Ks. taulukko jäljempänä.</w:t>
      </w:r>
      <w:r>
        <w:rPr>
          <w:noProof/>
        </w:rPr>
        <w:t xml:space="preserve"> </w:t>
      </w:r>
      <w:r>
        <w:rPr>
          <w:i/>
          <w:noProof/>
        </w:rPr>
        <w:t xml:space="preserve">Kaikkien indikaattoreiden perustaso on 1. helmikuuta 2020, ellei toimen kuvauksessa </w:t>
      </w:r>
      <w:r>
        <w:rPr>
          <w:i/>
          <w:noProof/>
        </w:rPr>
        <w:t>toisin ilmoiteta. Taulukossa esitetyt määrät eivät sisällä arvonlisäveroa.</w:t>
      </w:r>
    </w:p>
    <w:p w14:paraId="0562CB0E" w14:textId="77777777" w:rsidR="000E48CE" w:rsidRDefault="000E48CE">
      <w:pPr>
        <w:spacing w:before="120" w:after="120" w:line="240" w:lineRule="auto"/>
        <w:ind w:left="709"/>
        <w:jc w:val="both"/>
        <w:rPr>
          <w:rFonts w:ascii="Times New Roman" w:hAnsi="Times New Roman" w:cs="Times New Roman"/>
          <w:noProof/>
          <w:sz w:val="24"/>
        </w:rPr>
        <w:sectPr w:rsidR="000E48CE" w:rsidSect="00B90E2C">
          <w:headerReference w:type="even" r:id="rId78"/>
          <w:headerReference w:type="default" r:id="rId79"/>
          <w:footerReference w:type="even" r:id="rId80"/>
          <w:footerReference w:type="default" r:id="rId81"/>
          <w:headerReference w:type="first" r:id="rId82"/>
          <w:footerReference w:type="first" r:id="rId83"/>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1080"/>
        <w:gridCol w:w="2889"/>
        <w:gridCol w:w="1276"/>
        <w:gridCol w:w="850"/>
        <w:gridCol w:w="567"/>
        <w:gridCol w:w="709"/>
        <w:gridCol w:w="425"/>
        <w:gridCol w:w="567"/>
        <w:gridCol w:w="5387"/>
      </w:tblGrid>
      <w:tr w:rsidR="000E48CE" w14:paraId="6356C3BA" w14:textId="77777777">
        <w:trPr>
          <w:trHeight w:val="309"/>
          <w:tblHeader/>
        </w:trPr>
        <w:tc>
          <w:tcPr>
            <w:tcW w:w="709" w:type="dxa"/>
            <w:tcBorders>
              <w:bottom w:val="nil"/>
            </w:tcBorders>
            <w:shd w:val="clear" w:color="auto" w:fill="C6D9F1" w:themeFill="text2" w:themeFillTint="33"/>
            <w:noWrap/>
            <w:vAlign w:val="center"/>
          </w:tcPr>
          <w:p w14:paraId="62583AFD" w14:textId="77777777" w:rsidR="000E48CE" w:rsidRDefault="00FF4C4E">
            <w:pPr>
              <w:pStyle w:val="P68B1DB1-Normal12"/>
              <w:spacing w:after="0" w:line="240" w:lineRule="auto"/>
              <w:jc w:val="center"/>
              <w:rPr>
                <w:rFonts w:cs="Times New Roman"/>
                <w:noProof/>
              </w:rPr>
            </w:pPr>
            <w:r>
              <w:rPr>
                <w:noProof/>
              </w:rPr>
              <w:lastRenderedPageBreak/>
              <w:t>Määrä</w:t>
            </w:r>
          </w:p>
        </w:tc>
        <w:tc>
          <w:tcPr>
            <w:tcW w:w="851" w:type="dxa"/>
            <w:tcBorders>
              <w:bottom w:val="nil"/>
            </w:tcBorders>
            <w:shd w:val="clear" w:color="auto" w:fill="C6D9F1" w:themeFill="text2" w:themeFillTint="33"/>
            <w:noWrap/>
            <w:vAlign w:val="center"/>
          </w:tcPr>
          <w:p w14:paraId="6DA1E61E" w14:textId="77777777" w:rsidR="000E48CE" w:rsidRDefault="00FF4C4E">
            <w:pPr>
              <w:pStyle w:val="P68B1DB1-Normal12"/>
              <w:spacing w:after="0" w:line="240" w:lineRule="auto"/>
              <w:jc w:val="center"/>
              <w:rPr>
                <w:rFonts w:cs="Times New Roman"/>
                <w:noProof/>
              </w:rPr>
            </w:pPr>
            <w:r>
              <w:rPr>
                <w:noProof/>
              </w:rPr>
              <w:t>Toimenpide</w:t>
            </w:r>
          </w:p>
        </w:tc>
        <w:tc>
          <w:tcPr>
            <w:tcW w:w="1080" w:type="dxa"/>
            <w:tcBorders>
              <w:bottom w:val="nil"/>
            </w:tcBorders>
            <w:shd w:val="clear" w:color="auto" w:fill="C6D9F1" w:themeFill="text2" w:themeFillTint="33"/>
            <w:noWrap/>
            <w:vAlign w:val="center"/>
          </w:tcPr>
          <w:p w14:paraId="099D9751"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889" w:type="dxa"/>
            <w:tcBorders>
              <w:bottom w:val="nil"/>
            </w:tcBorders>
            <w:shd w:val="clear" w:color="auto" w:fill="C6D9F1" w:themeFill="text2" w:themeFillTint="33"/>
            <w:noWrap/>
            <w:vAlign w:val="center"/>
          </w:tcPr>
          <w:p w14:paraId="5D4478A0" w14:textId="77777777" w:rsidR="000E48CE" w:rsidRDefault="00FF4C4E">
            <w:pPr>
              <w:pStyle w:val="P68B1DB1-Normal12"/>
              <w:spacing w:after="0" w:line="240" w:lineRule="auto"/>
              <w:jc w:val="center"/>
              <w:rPr>
                <w:rFonts w:cs="Times New Roman"/>
                <w:noProof/>
              </w:rPr>
            </w:pPr>
            <w:r>
              <w:rPr>
                <w:noProof/>
              </w:rPr>
              <w:t>Nimi</w:t>
            </w:r>
          </w:p>
        </w:tc>
        <w:tc>
          <w:tcPr>
            <w:tcW w:w="1276" w:type="dxa"/>
            <w:tcBorders>
              <w:bottom w:val="nil"/>
            </w:tcBorders>
            <w:shd w:val="clear" w:color="auto" w:fill="C6D9F1" w:themeFill="text2" w:themeFillTint="33"/>
            <w:noWrap/>
            <w:vAlign w:val="center"/>
          </w:tcPr>
          <w:p w14:paraId="6F976713"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126" w:type="dxa"/>
            <w:gridSpan w:val="3"/>
            <w:shd w:val="clear" w:color="auto" w:fill="C6D9F1" w:themeFill="text2" w:themeFillTint="33"/>
            <w:noWrap/>
            <w:vAlign w:val="center"/>
          </w:tcPr>
          <w:p w14:paraId="4054A7C9"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5A77FFC3" w14:textId="77777777" w:rsidR="000E48CE" w:rsidRDefault="00FF4C4E">
            <w:pPr>
              <w:pStyle w:val="P68B1DB1-Normal12"/>
              <w:spacing w:after="0" w:line="240" w:lineRule="auto"/>
              <w:jc w:val="center"/>
              <w:rPr>
                <w:rFonts w:cs="Times New Roman"/>
                <w:noProof/>
              </w:rPr>
            </w:pPr>
            <w:r>
              <w:rPr>
                <w:noProof/>
              </w:rPr>
              <w:t>Aika</w:t>
            </w:r>
          </w:p>
        </w:tc>
        <w:tc>
          <w:tcPr>
            <w:tcW w:w="5387" w:type="dxa"/>
            <w:tcBorders>
              <w:bottom w:val="nil"/>
            </w:tcBorders>
            <w:shd w:val="clear" w:color="auto" w:fill="C6D9F1" w:themeFill="text2" w:themeFillTint="33"/>
            <w:noWrap/>
            <w:vAlign w:val="center"/>
          </w:tcPr>
          <w:p w14:paraId="7DF1CA4F"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1C0DE7C1" w14:textId="77777777">
        <w:trPr>
          <w:trHeight w:val="309"/>
          <w:tblHeader/>
        </w:trPr>
        <w:tc>
          <w:tcPr>
            <w:tcW w:w="709" w:type="dxa"/>
            <w:tcBorders>
              <w:top w:val="nil"/>
            </w:tcBorders>
            <w:shd w:val="clear" w:color="auto" w:fill="C6D9F1" w:themeFill="text2" w:themeFillTint="33"/>
            <w:noWrap/>
          </w:tcPr>
          <w:p w14:paraId="34CE0A41"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2EBF3C5" w14:textId="77777777" w:rsidR="000E48CE" w:rsidRDefault="000E48CE">
            <w:pPr>
              <w:spacing w:after="0" w:line="240" w:lineRule="auto"/>
              <w:jc w:val="center"/>
              <w:rPr>
                <w:rFonts w:ascii="Times New Roman" w:hAnsi="Times New Roman" w:cs="Times New Roman"/>
                <w:b/>
                <w:noProof/>
                <w:sz w:val="18"/>
              </w:rPr>
            </w:pPr>
          </w:p>
        </w:tc>
        <w:tc>
          <w:tcPr>
            <w:tcW w:w="1080" w:type="dxa"/>
            <w:tcBorders>
              <w:top w:val="nil"/>
            </w:tcBorders>
            <w:shd w:val="clear" w:color="auto" w:fill="C6D9F1" w:themeFill="text2" w:themeFillTint="33"/>
            <w:noWrap/>
          </w:tcPr>
          <w:p w14:paraId="6D98A12B" w14:textId="77777777" w:rsidR="000E48CE" w:rsidRDefault="000E48CE">
            <w:pPr>
              <w:spacing w:after="0" w:line="240" w:lineRule="auto"/>
              <w:jc w:val="center"/>
              <w:rPr>
                <w:rFonts w:ascii="Times New Roman" w:hAnsi="Times New Roman" w:cs="Times New Roman"/>
                <w:b/>
                <w:noProof/>
                <w:sz w:val="18"/>
              </w:rPr>
            </w:pPr>
          </w:p>
        </w:tc>
        <w:tc>
          <w:tcPr>
            <w:tcW w:w="2889" w:type="dxa"/>
            <w:tcBorders>
              <w:top w:val="nil"/>
            </w:tcBorders>
            <w:shd w:val="clear" w:color="auto" w:fill="C6D9F1" w:themeFill="text2" w:themeFillTint="33"/>
            <w:noWrap/>
          </w:tcPr>
          <w:p w14:paraId="2946DB82" w14:textId="77777777" w:rsidR="000E48CE" w:rsidRDefault="000E48CE">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5997CC1D"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0DC741B2"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vAlign w:val="center"/>
          </w:tcPr>
          <w:p w14:paraId="45A1BAA3" w14:textId="77777777" w:rsidR="000E48CE" w:rsidRDefault="00FF4C4E">
            <w:pPr>
              <w:pStyle w:val="P68B1DB1-Normal12"/>
              <w:spacing w:after="0" w:line="240" w:lineRule="auto"/>
              <w:jc w:val="center"/>
              <w:rPr>
                <w:rFonts w:cs="Times New Roman"/>
                <w:noProof/>
              </w:rPr>
            </w:pPr>
            <w:r>
              <w:rPr>
                <w:noProof/>
              </w:rPr>
              <w:t>Perusviiva</w:t>
            </w:r>
          </w:p>
        </w:tc>
        <w:tc>
          <w:tcPr>
            <w:tcW w:w="709" w:type="dxa"/>
            <w:shd w:val="clear" w:color="auto" w:fill="C6D9F1" w:themeFill="text2" w:themeFillTint="33"/>
            <w:noWrap/>
            <w:vAlign w:val="center"/>
          </w:tcPr>
          <w:p w14:paraId="642BD0C5"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74DC4EC1"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C34323D" w14:textId="77777777" w:rsidR="000E48CE" w:rsidRDefault="00FF4C4E">
            <w:pPr>
              <w:pStyle w:val="P68B1DB1-Normal12"/>
              <w:spacing w:after="0" w:line="240" w:lineRule="auto"/>
              <w:jc w:val="center"/>
              <w:rPr>
                <w:rFonts w:cs="Times New Roman"/>
                <w:noProof/>
              </w:rPr>
            </w:pPr>
            <w:r>
              <w:rPr>
                <w:noProof/>
              </w:rPr>
              <w:t>Vuosi</w:t>
            </w:r>
          </w:p>
        </w:tc>
        <w:tc>
          <w:tcPr>
            <w:tcW w:w="5387" w:type="dxa"/>
            <w:tcBorders>
              <w:top w:val="nil"/>
            </w:tcBorders>
            <w:shd w:val="clear" w:color="auto" w:fill="C6D9F1" w:themeFill="text2" w:themeFillTint="33"/>
            <w:noWrap/>
          </w:tcPr>
          <w:p w14:paraId="110FFD37" w14:textId="77777777" w:rsidR="000E48CE" w:rsidRDefault="000E48CE">
            <w:pPr>
              <w:spacing w:after="0" w:line="240" w:lineRule="auto"/>
              <w:rPr>
                <w:rFonts w:ascii="Times New Roman" w:hAnsi="Times New Roman" w:cs="Times New Roman"/>
                <w:b/>
                <w:noProof/>
                <w:sz w:val="18"/>
              </w:rPr>
            </w:pPr>
          </w:p>
        </w:tc>
      </w:tr>
      <w:tr w:rsidR="000E48CE" w14:paraId="1EB1ADBE" w14:textId="77777777">
        <w:trPr>
          <w:trHeight w:val="309"/>
        </w:trPr>
        <w:tc>
          <w:tcPr>
            <w:tcW w:w="709" w:type="dxa"/>
            <w:shd w:val="clear" w:color="auto" w:fill="C6EFCE"/>
            <w:noWrap/>
          </w:tcPr>
          <w:p w14:paraId="61A51A77" w14:textId="77777777" w:rsidR="000E48CE" w:rsidRDefault="00FF4C4E">
            <w:pPr>
              <w:pStyle w:val="P68B1DB1-Normal13"/>
              <w:spacing w:after="0" w:line="240" w:lineRule="auto"/>
              <w:jc w:val="center"/>
              <w:rPr>
                <w:rFonts w:eastAsia="MS Mincho" w:cs="Times New Roman"/>
                <w:noProof/>
              </w:rPr>
            </w:pPr>
            <w:r>
              <w:rPr>
                <w:noProof/>
              </w:rPr>
              <w:t>39</w:t>
            </w:r>
          </w:p>
        </w:tc>
        <w:tc>
          <w:tcPr>
            <w:tcW w:w="851" w:type="dxa"/>
            <w:shd w:val="clear" w:color="auto" w:fill="C6EFCE"/>
            <w:noWrap/>
          </w:tcPr>
          <w:p w14:paraId="2EA089AC" w14:textId="77777777" w:rsidR="000E48CE" w:rsidRDefault="00FF4C4E">
            <w:pPr>
              <w:pStyle w:val="P68B1DB1-Normal13"/>
              <w:spacing w:after="0" w:line="240" w:lineRule="auto"/>
              <w:jc w:val="center"/>
              <w:rPr>
                <w:rFonts w:eastAsia="MS Mincho" w:cs="Times New Roman"/>
                <w:noProof/>
              </w:rPr>
            </w:pPr>
            <w:r>
              <w:rPr>
                <w:noProof/>
              </w:rPr>
              <w:t>C3.R1</w:t>
            </w:r>
          </w:p>
        </w:tc>
        <w:tc>
          <w:tcPr>
            <w:tcW w:w="1080" w:type="dxa"/>
            <w:shd w:val="clear" w:color="auto" w:fill="C6EFCE"/>
            <w:noWrap/>
          </w:tcPr>
          <w:p w14:paraId="50046019" w14:textId="77777777"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282F7252" w14:textId="6DCA8D46" w:rsidR="000E48CE" w:rsidRDefault="00FF4C4E">
            <w:pPr>
              <w:pStyle w:val="P68B1DB1-Normal13"/>
              <w:spacing w:after="0" w:line="240" w:lineRule="auto"/>
              <w:rPr>
                <w:rFonts w:eastAsia="MS Mincho" w:cs="Times New Roman"/>
                <w:noProof/>
              </w:rPr>
            </w:pPr>
            <w:r>
              <w:rPr>
                <w:noProof/>
              </w:rPr>
              <w:t xml:space="preserve">Maataloutta ja elintarvikkeita koskevista kiireellisistä toimenpiteistä annetun kuninkaan asetuksen 5/2020 ja elintarvikeketjun toimintaa parantavista </w:t>
            </w:r>
            <w:r>
              <w:rPr>
                <w:noProof/>
              </w:rPr>
              <w:t>toimenpiteistä annetun lain 12/2013 muuttamisesta annetun lain 12/2013 muuttamisesta annetun lain 8/2020 voimaantulo</w:t>
            </w:r>
          </w:p>
        </w:tc>
        <w:tc>
          <w:tcPr>
            <w:tcW w:w="1276" w:type="dxa"/>
            <w:shd w:val="clear" w:color="auto" w:fill="C6EFCE"/>
            <w:noWrap/>
          </w:tcPr>
          <w:p w14:paraId="407A7AE4" w14:textId="77777777" w:rsidR="000E48CE" w:rsidRDefault="00FF4C4E">
            <w:pPr>
              <w:pStyle w:val="P68B1DB1-Normal13"/>
              <w:spacing w:after="0" w:line="240" w:lineRule="auto"/>
              <w:jc w:val="center"/>
              <w:rPr>
                <w:rFonts w:eastAsia="MS Mincho" w:cs="Times New Roman"/>
                <w:noProof/>
              </w:rPr>
            </w:pPr>
            <w:r>
              <w:rPr>
                <w:noProof/>
              </w:rPr>
              <w:t>Kuninkaan asetuksen 5/2020, lain 8/2020, voimaantuloa koskevan lain 12/2013 säännökset</w:t>
            </w:r>
          </w:p>
        </w:tc>
        <w:tc>
          <w:tcPr>
            <w:tcW w:w="850" w:type="dxa"/>
            <w:shd w:val="clear" w:color="auto" w:fill="C6EFCE"/>
            <w:noWrap/>
          </w:tcPr>
          <w:p w14:paraId="325CE300"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25DD3341"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23DD831B"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768D4F30"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30C877E0" w14:textId="77777777" w:rsidR="000E48CE" w:rsidRDefault="00FF4C4E">
            <w:pPr>
              <w:pStyle w:val="P68B1DB1-Normal13"/>
              <w:spacing w:after="0" w:line="240" w:lineRule="auto"/>
              <w:jc w:val="center"/>
              <w:rPr>
                <w:rFonts w:eastAsia="MS Mincho" w:cs="Times New Roman"/>
                <w:noProof/>
              </w:rPr>
            </w:pPr>
            <w:r>
              <w:rPr>
                <w:noProof/>
              </w:rPr>
              <w:t>2020</w:t>
            </w:r>
          </w:p>
        </w:tc>
        <w:tc>
          <w:tcPr>
            <w:tcW w:w="5387" w:type="dxa"/>
            <w:shd w:val="clear" w:color="auto" w:fill="C6EFCE"/>
            <w:noWrap/>
          </w:tcPr>
          <w:p w14:paraId="04BB5652" w14:textId="77777777" w:rsidR="000E48CE" w:rsidRDefault="00FF4C4E">
            <w:pPr>
              <w:pStyle w:val="P68B1DB1-Normal13"/>
              <w:spacing w:after="0" w:line="240" w:lineRule="auto"/>
              <w:rPr>
                <w:rFonts w:cs="Times New Roman"/>
                <w:noProof/>
              </w:rPr>
            </w:pPr>
            <w:r>
              <w:rPr>
                <w:noProof/>
              </w:rPr>
              <w:t>Kuninkaan asetuksen 5/2020 (25. helmik</w:t>
            </w:r>
            <w:r>
              <w:rPr>
                <w:noProof/>
              </w:rPr>
              <w:t>uuta 2020) voimaantulo maataloutta ja elintarvikkeita koskevin kiireellisin toimenpitein elintarvikeketjun toiminnan parantamiseksi muuttamalla elintarvikeketjun kauppasuhteita koskevaa kansallista lainsäädäntöä. Päätavoitteena on varmistaa, että elintarvi</w:t>
            </w:r>
            <w:r>
              <w:rPr>
                <w:noProof/>
              </w:rPr>
              <w:t>kkeiden hinnat kattavat tuotantokustannukset, välttää elintarvikeketjun arvon tuhoutuminen ja kieltää myynninedistäminen, jonka tarkoituksena on johtaa kuluttajia harhaan tuotteiden hinnasta ja imagosta.</w:t>
            </w:r>
            <w:r>
              <w:rPr>
                <w:noProof/>
              </w:rPr>
              <w:br/>
              <w:t>Kiireellisistä toimenpiteistä elintarvikeketjun toim</w:t>
            </w:r>
            <w:r>
              <w:rPr>
                <w:noProof/>
              </w:rPr>
              <w:t>innan parantamiseksi annetun lain 12/2013 muuttamisesta annetun lain 8/2020 voimaantulo, jotta edellä mainittu kuninkaallinen asetus voidaan vahvistaa hyväksymällä laki.</w:t>
            </w:r>
          </w:p>
        </w:tc>
      </w:tr>
      <w:tr w:rsidR="000E48CE" w14:paraId="77A2137B" w14:textId="77777777">
        <w:trPr>
          <w:trHeight w:val="309"/>
        </w:trPr>
        <w:tc>
          <w:tcPr>
            <w:tcW w:w="709" w:type="dxa"/>
            <w:shd w:val="clear" w:color="auto" w:fill="C6EFCE"/>
            <w:noWrap/>
          </w:tcPr>
          <w:p w14:paraId="704A35C2" w14:textId="77777777" w:rsidR="000E48CE" w:rsidRDefault="00FF4C4E">
            <w:pPr>
              <w:pStyle w:val="P68B1DB1-Normal13"/>
              <w:spacing w:after="0" w:line="240" w:lineRule="auto"/>
              <w:jc w:val="center"/>
              <w:rPr>
                <w:rFonts w:eastAsia="MS Mincho" w:cs="Times New Roman"/>
                <w:noProof/>
              </w:rPr>
            </w:pPr>
            <w:r>
              <w:rPr>
                <w:noProof/>
              </w:rPr>
              <w:t>40</w:t>
            </w:r>
          </w:p>
        </w:tc>
        <w:tc>
          <w:tcPr>
            <w:tcW w:w="851" w:type="dxa"/>
            <w:shd w:val="clear" w:color="auto" w:fill="C6EFCE"/>
            <w:noWrap/>
          </w:tcPr>
          <w:p w14:paraId="3BE130A3" w14:textId="77777777" w:rsidR="000E48CE" w:rsidRDefault="00FF4C4E">
            <w:pPr>
              <w:pStyle w:val="P68B1DB1-Normal13"/>
              <w:spacing w:after="0" w:line="240" w:lineRule="auto"/>
              <w:jc w:val="center"/>
              <w:rPr>
                <w:rFonts w:eastAsia="MS Mincho" w:cs="Times New Roman"/>
                <w:noProof/>
              </w:rPr>
            </w:pPr>
            <w:r>
              <w:rPr>
                <w:noProof/>
              </w:rPr>
              <w:t>C3.R1</w:t>
            </w:r>
          </w:p>
        </w:tc>
        <w:tc>
          <w:tcPr>
            <w:tcW w:w="1080" w:type="dxa"/>
            <w:shd w:val="clear" w:color="auto" w:fill="C6EFCE"/>
            <w:noWrap/>
          </w:tcPr>
          <w:p w14:paraId="799EC85C" w14:textId="77777777"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259502C5" w14:textId="77777777" w:rsidR="000E48CE" w:rsidRDefault="00FF4C4E">
            <w:pPr>
              <w:pStyle w:val="P68B1DB1-Normal13"/>
              <w:spacing w:after="0" w:line="240" w:lineRule="auto"/>
              <w:rPr>
                <w:rFonts w:eastAsia="MS Mincho" w:cs="Times New Roman"/>
                <w:noProof/>
              </w:rPr>
            </w:pPr>
            <w:r>
              <w:rPr>
                <w:noProof/>
              </w:rPr>
              <w:t xml:space="preserve">Elintarvikeketjun toimintaa parantavista toimenpiteistä annetun lain 12/2013 toisen muutoksen voimaantulo </w:t>
            </w:r>
          </w:p>
        </w:tc>
        <w:tc>
          <w:tcPr>
            <w:tcW w:w="1276" w:type="dxa"/>
            <w:shd w:val="clear" w:color="auto" w:fill="C6EFCE"/>
            <w:noWrap/>
          </w:tcPr>
          <w:p w14:paraId="2599AC3B" w14:textId="77777777" w:rsidR="000E48CE" w:rsidRDefault="00FF4C4E">
            <w:pPr>
              <w:pStyle w:val="P68B1DB1-Normal13"/>
              <w:spacing w:after="0" w:line="240" w:lineRule="auto"/>
              <w:jc w:val="center"/>
              <w:rPr>
                <w:rFonts w:eastAsia="MS Mincho" w:cs="Times New Roman"/>
                <w:noProof/>
              </w:rPr>
            </w:pPr>
            <w:r>
              <w:rPr>
                <w:noProof/>
              </w:rPr>
              <w:t>Lain 12/2013 voimaantulosäännös</w:t>
            </w:r>
          </w:p>
        </w:tc>
        <w:tc>
          <w:tcPr>
            <w:tcW w:w="850" w:type="dxa"/>
            <w:shd w:val="clear" w:color="auto" w:fill="C6EFCE"/>
            <w:noWrap/>
          </w:tcPr>
          <w:p w14:paraId="28CE8CB7"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1895D3B7"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FDE0BDC"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D0FD3D3"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0F366D60" w14:textId="77777777" w:rsidR="000E48CE" w:rsidRDefault="00FF4C4E">
            <w:pPr>
              <w:pStyle w:val="P68B1DB1-Normal13"/>
              <w:spacing w:after="0" w:line="240" w:lineRule="auto"/>
              <w:jc w:val="center"/>
              <w:rPr>
                <w:rFonts w:eastAsia="MS Mincho" w:cs="Times New Roman"/>
                <w:noProof/>
              </w:rPr>
            </w:pPr>
            <w:r>
              <w:rPr>
                <w:noProof/>
              </w:rPr>
              <w:t>2021</w:t>
            </w:r>
          </w:p>
        </w:tc>
        <w:tc>
          <w:tcPr>
            <w:tcW w:w="5387" w:type="dxa"/>
            <w:shd w:val="clear" w:color="auto" w:fill="C6EFCE"/>
            <w:noWrap/>
          </w:tcPr>
          <w:p w14:paraId="53B6E5A7" w14:textId="77777777" w:rsidR="000E48CE" w:rsidRDefault="00FF4C4E">
            <w:pPr>
              <w:pStyle w:val="P68B1DB1-Normal13"/>
              <w:spacing w:after="0" w:line="240" w:lineRule="auto"/>
              <w:rPr>
                <w:rFonts w:eastAsia="MS Mincho" w:cs="Times New Roman"/>
                <w:noProof/>
              </w:rPr>
            </w:pPr>
            <w:r>
              <w:rPr>
                <w:noProof/>
              </w:rPr>
              <w:t>Elintarvikeketjun toimintaa parantavista toimenpiteistä annetun lain 12/2013 toinen muutos, joka ylittä</w:t>
            </w:r>
            <w:r>
              <w:rPr>
                <w:noProof/>
              </w:rPr>
              <w:t>ä direktiivin (EU) 2019/633 vähimmäisvaatimukset, tulee voimaan. Tällä lainsäädäntömuutoksella edistetään erilaisia toimia, joilla pyritään entistä avoimempaan ja tasapainoisempaan elintarvikkeiden arvoketjuun, mikä merkitsee muutoksia i) lain soveltamisal</w:t>
            </w:r>
            <w:r>
              <w:rPr>
                <w:noProof/>
              </w:rPr>
              <w:t xml:space="preserve">an laajentamiseen kauppasuhteisiin; elintarvikesopimusten vähimmäissisältö ulotetaan koskemaan käytännössä kaikkia liiketoimia. </w:t>
            </w:r>
          </w:p>
        </w:tc>
      </w:tr>
      <w:tr w:rsidR="000E48CE" w14:paraId="56651C19" w14:textId="77777777">
        <w:trPr>
          <w:trHeight w:val="309"/>
        </w:trPr>
        <w:tc>
          <w:tcPr>
            <w:tcW w:w="709" w:type="dxa"/>
            <w:shd w:val="clear" w:color="auto" w:fill="C6EFCE"/>
            <w:noWrap/>
          </w:tcPr>
          <w:p w14:paraId="245D991A" w14:textId="77777777" w:rsidR="000E48CE" w:rsidRDefault="00FF4C4E">
            <w:pPr>
              <w:pStyle w:val="P68B1DB1-Normal13"/>
              <w:spacing w:after="0" w:line="240" w:lineRule="auto"/>
              <w:jc w:val="center"/>
              <w:rPr>
                <w:rFonts w:eastAsia="MS Mincho" w:cs="Times New Roman"/>
                <w:noProof/>
              </w:rPr>
            </w:pPr>
            <w:r>
              <w:rPr>
                <w:noProof/>
              </w:rPr>
              <w:t>41</w:t>
            </w:r>
          </w:p>
        </w:tc>
        <w:tc>
          <w:tcPr>
            <w:tcW w:w="851" w:type="dxa"/>
            <w:shd w:val="clear" w:color="auto" w:fill="C6EFCE"/>
            <w:noWrap/>
          </w:tcPr>
          <w:p w14:paraId="3F301039" w14:textId="77777777" w:rsidR="000E48CE" w:rsidRDefault="00FF4C4E">
            <w:pPr>
              <w:pStyle w:val="P68B1DB1-Normal13"/>
              <w:spacing w:after="0" w:line="240" w:lineRule="auto"/>
              <w:jc w:val="center"/>
              <w:rPr>
                <w:rFonts w:eastAsia="MS Mincho" w:cs="Times New Roman"/>
                <w:noProof/>
              </w:rPr>
            </w:pPr>
            <w:r>
              <w:rPr>
                <w:noProof/>
              </w:rPr>
              <w:t>C3.R2</w:t>
            </w:r>
          </w:p>
        </w:tc>
        <w:tc>
          <w:tcPr>
            <w:tcW w:w="1080" w:type="dxa"/>
            <w:shd w:val="clear" w:color="auto" w:fill="C6EFCE"/>
            <w:noWrap/>
          </w:tcPr>
          <w:p w14:paraId="748CD6EC" w14:textId="77777777"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44E3E4D1" w14:textId="77777777" w:rsidR="000E48CE" w:rsidRDefault="00FF4C4E">
            <w:pPr>
              <w:pStyle w:val="P68B1DB1-Normal13"/>
              <w:spacing w:after="0" w:line="240" w:lineRule="auto"/>
              <w:rPr>
                <w:rFonts w:eastAsia="MS Mincho" w:cs="Times New Roman"/>
                <w:noProof/>
              </w:rPr>
            </w:pPr>
            <w:r>
              <w:rPr>
                <w:noProof/>
              </w:rPr>
              <w:t xml:space="preserve">Sääntelykehyksen voimaantulo, jotta voidaan kehittää maatilojen parhaita käytettävissä olevia tekniikoita koskeva </w:t>
            </w:r>
            <w:r>
              <w:rPr>
                <w:noProof/>
              </w:rPr>
              <w:t>yleinen rekisteri epäpuhtaus- ja kasvihuonekaasupäästöistä tiedottamista varten, ja uudistaa suunnittelulainsäädäntöä siten, että otetaan huomioon eri alojen maatiloille sovellettavat kriteerit</w:t>
            </w:r>
          </w:p>
        </w:tc>
        <w:tc>
          <w:tcPr>
            <w:tcW w:w="1276" w:type="dxa"/>
            <w:shd w:val="clear" w:color="auto" w:fill="C6EFCE"/>
            <w:noWrap/>
          </w:tcPr>
          <w:p w14:paraId="02B63BCD" w14:textId="77777777" w:rsidR="000E48CE" w:rsidRDefault="00FF4C4E">
            <w:pPr>
              <w:pStyle w:val="P68B1DB1-Normal13"/>
              <w:spacing w:after="0" w:line="240" w:lineRule="auto"/>
              <w:jc w:val="center"/>
              <w:rPr>
                <w:rFonts w:eastAsia="MS Mincho" w:cs="Times New Roman"/>
                <w:noProof/>
              </w:rPr>
            </w:pPr>
            <w:r>
              <w:rPr>
                <w:noProof/>
              </w:rPr>
              <w:t>Voimaantuloa koskevan sääntelykehyksen säännökset</w:t>
            </w:r>
          </w:p>
        </w:tc>
        <w:tc>
          <w:tcPr>
            <w:tcW w:w="850" w:type="dxa"/>
            <w:shd w:val="clear" w:color="auto" w:fill="C6EFCE"/>
            <w:noWrap/>
          </w:tcPr>
          <w:p w14:paraId="6C1031F9"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4CE745D7"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D149327"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70263436"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454DE2D5" w14:textId="77777777" w:rsidR="000E48CE" w:rsidRDefault="00FF4C4E">
            <w:pPr>
              <w:pStyle w:val="P68B1DB1-Normal13"/>
              <w:spacing w:after="0" w:line="240" w:lineRule="auto"/>
              <w:jc w:val="center"/>
              <w:rPr>
                <w:rFonts w:eastAsia="MS Mincho" w:cs="Times New Roman"/>
                <w:noProof/>
              </w:rPr>
            </w:pPr>
            <w:r>
              <w:rPr>
                <w:noProof/>
              </w:rPr>
              <w:t>202</w:t>
            </w:r>
            <w:r>
              <w:rPr>
                <w:noProof/>
              </w:rPr>
              <w:t>2</w:t>
            </w:r>
          </w:p>
        </w:tc>
        <w:tc>
          <w:tcPr>
            <w:tcW w:w="5387" w:type="dxa"/>
            <w:shd w:val="clear" w:color="auto" w:fill="C6EFCE"/>
            <w:noWrap/>
          </w:tcPr>
          <w:p w14:paraId="5C19F011" w14:textId="77777777" w:rsidR="000E48CE" w:rsidRDefault="00FF4C4E">
            <w:pPr>
              <w:pStyle w:val="P68B1DB1-Normal13"/>
              <w:spacing w:after="0" w:line="240" w:lineRule="auto"/>
              <w:rPr>
                <w:rFonts w:eastAsia="MS Mincho" w:cs="Times New Roman"/>
                <w:noProof/>
              </w:rPr>
            </w:pPr>
            <w:r>
              <w:rPr>
                <w:noProof/>
              </w:rPr>
              <w:t>Parhaiden käytettävissä olevien tekniikoiden yleisen rekisterin kehittämistä koskevalla sääntelykehyksellä helpotetaan sika- ja siipikarjatilojen saastuttavien päästöjen ja kasvihuonekaasupäästöjen laskemista sekä muiden ympäristötietojen kirjaamista. Ka</w:t>
            </w:r>
            <w:r>
              <w:rPr>
                <w:noProof/>
              </w:rPr>
              <w:t>rjankasvatusalan suunnittelulainsäädännön asteittaisessa tarkistamisessa on säänneltävä tilojen sijaintia, kokoa, terveysolosuhteita ja infrastruktuureja koskevia vaatimuksia, muutettava sikatiloja koskevia vaatimuksia ja luotava uusi sääntelykehys siipika</w:t>
            </w:r>
            <w:r>
              <w:rPr>
                <w:noProof/>
              </w:rPr>
              <w:t>rja-alalle.</w:t>
            </w:r>
          </w:p>
        </w:tc>
      </w:tr>
      <w:tr w:rsidR="000E48CE" w14:paraId="40128808" w14:textId="77777777">
        <w:trPr>
          <w:trHeight w:val="309"/>
        </w:trPr>
        <w:tc>
          <w:tcPr>
            <w:tcW w:w="709" w:type="dxa"/>
            <w:shd w:val="clear" w:color="auto" w:fill="C6EFCE"/>
            <w:noWrap/>
          </w:tcPr>
          <w:p w14:paraId="0C2CDCBB" w14:textId="1802298C" w:rsidR="000E48CE" w:rsidRDefault="00FF4C4E">
            <w:pPr>
              <w:pStyle w:val="P68B1DB1-Normal13"/>
              <w:spacing w:after="0" w:line="240" w:lineRule="auto"/>
              <w:jc w:val="center"/>
              <w:rPr>
                <w:rFonts w:cs="Times New Roman"/>
                <w:noProof/>
              </w:rPr>
            </w:pPr>
            <w:r>
              <w:rPr>
                <w:noProof/>
              </w:rPr>
              <w:t>422</w:t>
            </w:r>
          </w:p>
        </w:tc>
        <w:tc>
          <w:tcPr>
            <w:tcW w:w="851" w:type="dxa"/>
            <w:shd w:val="clear" w:color="auto" w:fill="C6EFCE"/>
            <w:noWrap/>
          </w:tcPr>
          <w:p w14:paraId="301CA15D" w14:textId="2600A4CC" w:rsidR="000E48CE" w:rsidRDefault="00FF4C4E">
            <w:pPr>
              <w:pStyle w:val="P68B1DB1-Normal13"/>
              <w:spacing w:after="0" w:line="240" w:lineRule="auto"/>
              <w:jc w:val="center"/>
              <w:rPr>
                <w:rFonts w:cs="Times New Roman"/>
                <w:noProof/>
              </w:rPr>
            </w:pPr>
            <w:r>
              <w:rPr>
                <w:noProof/>
              </w:rPr>
              <w:t>C3.R2</w:t>
            </w:r>
          </w:p>
        </w:tc>
        <w:tc>
          <w:tcPr>
            <w:tcW w:w="1080" w:type="dxa"/>
            <w:shd w:val="clear" w:color="auto" w:fill="C6EFCE"/>
            <w:noWrap/>
          </w:tcPr>
          <w:p w14:paraId="556745CD" w14:textId="01BEDDC9" w:rsidR="000E48CE" w:rsidRDefault="00FF4C4E">
            <w:pPr>
              <w:pStyle w:val="P68B1DB1-Normal13"/>
              <w:spacing w:after="0" w:line="240" w:lineRule="auto"/>
              <w:jc w:val="center"/>
              <w:rPr>
                <w:rFonts w:cs="Times New Roman"/>
                <w:noProof/>
              </w:rPr>
            </w:pPr>
            <w:r>
              <w:rPr>
                <w:noProof/>
              </w:rPr>
              <w:t>M</w:t>
            </w:r>
          </w:p>
        </w:tc>
        <w:tc>
          <w:tcPr>
            <w:tcW w:w="2889" w:type="dxa"/>
            <w:shd w:val="clear" w:color="auto" w:fill="C6EFCE"/>
            <w:noWrap/>
          </w:tcPr>
          <w:p w14:paraId="75ED9B37" w14:textId="124F19ED" w:rsidR="000E48CE" w:rsidRDefault="00FF4C4E">
            <w:pPr>
              <w:pStyle w:val="P68B1DB1-Normal13"/>
              <w:spacing w:after="0" w:line="240" w:lineRule="auto"/>
              <w:rPr>
                <w:rFonts w:cs="Times New Roman"/>
                <w:noProof/>
              </w:rPr>
            </w:pPr>
            <w:r>
              <w:rPr>
                <w:noProof/>
              </w:rPr>
              <w:t>Kotieläinkuljetusten bioturvallisuuden parantamista koskevan asetuksen ja antibioottien kestävää käyttöä kotieläinlajeissa koskevan asetuksen voimaantulo</w:t>
            </w:r>
          </w:p>
        </w:tc>
        <w:tc>
          <w:tcPr>
            <w:tcW w:w="1276" w:type="dxa"/>
            <w:shd w:val="clear" w:color="auto" w:fill="C6EFCE"/>
            <w:noWrap/>
          </w:tcPr>
          <w:p w14:paraId="376893B4" w14:textId="7FA24B86" w:rsidR="000E48CE" w:rsidRDefault="00FF4C4E">
            <w:pPr>
              <w:pStyle w:val="P68B1DB1-Normal13"/>
              <w:spacing w:after="0" w:line="240" w:lineRule="auto"/>
              <w:jc w:val="center"/>
              <w:rPr>
                <w:rFonts w:cs="Times New Roman"/>
                <w:noProof/>
              </w:rPr>
            </w:pPr>
            <w:r>
              <w:rPr>
                <w:noProof/>
              </w:rPr>
              <w:t xml:space="preserve">Asetuksen voimaantulosta annetun kuninkaan </w:t>
            </w:r>
            <w:r>
              <w:rPr>
                <w:noProof/>
              </w:rPr>
              <w:lastRenderedPageBreak/>
              <w:t>asetuksen säännös</w:t>
            </w:r>
          </w:p>
        </w:tc>
        <w:tc>
          <w:tcPr>
            <w:tcW w:w="850" w:type="dxa"/>
            <w:shd w:val="clear" w:color="auto" w:fill="C6EFCE"/>
            <w:noWrap/>
          </w:tcPr>
          <w:p w14:paraId="41F72AA5" w14:textId="10384DE4" w:rsidR="000E48CE" w:rsidRDefault="00FF4C4E">
            <w:pPr>
              <w:pStyle w:val="P68B1DB1-Normal13"/>
              <w:spacing w:after="0" w:line="240" w:lineRule="auto"/>
              <w:jc w:val="right"/>
              <w:rPr>
                <w:rFonts w:cs="Times New Roman"/>
                <w:noProof/>
              </w:rPr>
            </w:pPr>
            <w:r>
              <w:rPr>
                <w:noProof/>
              </w:rPr>
              <w:lastRenderedPageBreak/>
              <w:t xml:space="preserve"> </w:t>
            </w:r>
          </w:p>
        </w:tc>
        <w:tc>
          <w:tcPr>
            <w:tcW w:w="567" w:type="dxa"/>
            <w:shd w:val="clear" w:color="auto" w:fill="C6EFCE"/>
            <w:noWrap/>
          </w:tcPr>
          <w:p w14:paraId="422BD601" w14:textId="5B10E131" w:rsidR="000E48CE" w:rsidRDefault="00FF4C4E">
            <w:pPr>
              <w:pStyle w:val="P68B1DB1-Normal13"/>
              <w:spacing w:after="0" w:line="240" w:lineRule="auto"/>
              <w:jc w:val="right"/>
              <w:rPr>
                <w:rFonts w:cs="Times New Roman"/>
                <w:noProof/>
              </w:rPr>
            </w:pPr>
            <w:r>
              <w:rPr>
                <w:noProof/>
              </w:rPr>
              <w:t xml:space="preserve"> </w:t>
            </w:r>
          </w:p>
        </w:tc>
        <w:tc>
          <w:tcPr>
            <w:tcW w:w="709" w:type="dxa"/>
            <w:shd w:val="clear" w:color="auto" w:fill="C6EFCE"/>
            <w:noWrap/>
          </w:tcPr>
          <w:p w14:paraId="26BDCAF1" w14:textId="319C0BF0" w:rsidR="000E48CE" w:rsidRDefault="00FF4C4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5A1F4C93" w14:textId="4A82C8AF"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7DC9991C" w14:textId="1659BAE4" w:rsidR="000E48CE" w:rsidRDefault="00FF4C4E">
            <w:pPr>
              <w:pStyle w:val="P68B1DB1-Normal13"/>
              <w:spacing w:after="0" w:line="240" w:lineRule="auto"/>
              <w:jc w:val="center"/>
              <w:rPr>
                <w:rFonts w:cs="Times New Roman"/>
                <w:noProof/>
              </w:rPr>
            </w:pPr>
            <w:r>
              <w:rPr>
                <w:noProof/>
              </w:rPr>
              <w:t>2023</w:t>
            </w:r>
          </w:p>
        </w:tc>
        <w:tc>
          <w:tcPr>
            <w:tcW w:w="5387" w:type="dxa"/>
            <w:shd w:val="clear" w:color="auto" w:fill="C6EFCE"/>
            <w:noWrap/>
          </w:tcPr>
          <w:p w14:paraId="0B638417" w14:textId="05C3D8F7" w:rsidR="000E48CE" w:rsidRDefault="00FF4C4E">
            <w:pPr>
              <w:pStyle w:val="P68B1DB1-Normal13"/>
              <w:spacing w:line="257" w:lineRule="auto"/>
              <w:jc w:val="both"/>
              <w:rPr>
                <w:rFonts w:eastAsia="MS Mincho" w:cs="Times New Roman"/>
                <w:noProof/>
              </w:rPr>
            </w:pPr>
            <w:r>
              <w:rPr>
                <w:noProof/>
              </w:rPr>
              <w:t xml:space="preserve">Kuninkaallinen asetus kotieläinkuljetusten bioturvallisuuden parantamisesta ja kuninkaallinen asetus antibioottien kestävästä käytöstä </w:t>
            </w:r>
            <w:r>
              <w:rPr>
                <w:noProof/>
              </w:rPr>
              <w:lastRenderedPageBreak/>
              <w:t>merkittävissä eläinlajeissa toimenpiteen kuvauksen mukaisesti, tulee voimaan.</w:t>
            </w:r>
          </w:p>
          <w:p w14:paraId="3A03D516" w14:textId="77777777" w:rsidR="000E48CE" w:rsidRDefault="000E48CE">
            <w:pPr>
              <w:spacing w:after="0" w:line="240" w:lineRule="auto"/>
              <w:rPr>
                <w:rFonts w:ascii="Times New Roman" w:hAnsi="Times New Roman" w:cs="Times New Roman"/>
                <w:noProof/>
                <w:sz w:val="18"/>
              </w:rPr>
            </w:pPr>
          </w:p>
        </w:tc>
      </w:tr>
      <w:tr w:rsidR="000E48CE" w14:paraId="6769C491" w14:textId="77777777">
        <w:trPr>
          <w:trHeight w:val="309"/>
        </w:trPr>
        <w:tc>
          <w:tcPr>
            <w:tcW w:w="709" w:type="dxa"/>
            <w:shd w:val="clear" w:color="auto" w:fill="C6EFCE"/>
            <w:noWrap/>
          </w:tcPr>
          <w:p w14:paraId="21C9D991" w14:textId="77777777" w:rsidR="000E48CE" w:rsidRDefault="00FF4C4E">
            <w:pPr>
              <w:pStyle w:val="P68B1DB1-Normal13"/>
              <w:spacing w:after="0" w:line="240" w:lineRule="auto"/>
              <w:jc w:val="center"/>
              <w:rPr>
                <w:rFonts w:eastAsia="MS Mincho" w:cs="Times New Roman"/>
                <w:noProof/>
              </w:rPr>
            </w:pPr>
            <w:r>
              <w:rPr>
                <w:noProof/>
              </w:rPr>
              <w:lastRenderedPageBreak/>
              <w:t>42</w:t>
            </w:r>
          </w:p>
        </w:tc>
        <w:tc>
          <w:tcPr>
            <w:tcW w:w="851" w:type="dxa"/>
            <w:shd w:val="clear" w:color="auto" w:fill="C6EFCE"/>
            <w:noWrap/>
          </w:tcPr>
          <w:p w14:paraId="5A189353" w14:textId="77777777" w:rsidR="000E48CE" w:rsidRDefault="00FF4C4E">
            <w:pPr>
              <w:pStyle w:val="P68B1DB1-Normal13"/>
              <w:spacing w:after="0" w:line="240" w:lineRule="auto"/>
              <w:jc w:val="center"/>
              <w:rPr>
                <w:rFonts w:eastAsia="MS Mincho" w:cs="Times New Roman"/>
                <w:noProof/>
              </w:rPr>
            </w:pPr>
            <w:r>
              <w:rPr>
                <w:noProof/>
              </w:rPr>
              <w:t>C3.R3</w:t>
            </w:r>
          </w:p>
        </w:tc>
        <w:tc>
          <w:tcPr>
            <w:tcW w:w="1080" w:type="dxa"/>
            <w:shd w:val="clear" w:color="auto" w:fill="C6EFCE"/>
            <w:noWrap/>
          </w:tcPr>
          <w:p w14:paraId="477EF257" w14:textId="77777777"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3FA9F6A1" w14:textId="77777777" w:rsidR="000E48CE" w:rsidRDefault="00FF4C4E">
            <w:pPr>
              <w:pStyle w:val="P68B1DB1-Normal13"/>
              <w:spacing w:after="0" w:line="240" w:lineRule="auto"/>
              <w:rPr>
                <w:rFonts w:eastAsia="MS Mincho" w:cs="Times New Roman"/>
                <w:noProof/>
              </w:rPr>
            </w:pPr>
            <w:r>
              <w:rPr>
                <w:noProof/>
              </w:rPr>
              <w:t xml:space="preserve">Maatalousmaiden kestävää </w:t>
            </w:r>
            <w:r>
              <w:rPr>
                <w:noProof/>
              </w:rPr>
              <w:t>ravitsemusta koskevan normatiivisen kehyksen voimaantulo.</w:t>
            </w:r>
          </w:p>
        </w:tc>
        <w:tc>
          <w:tcPr>
            <w:tcW w:w="1276" w:type="dxa"/>
            <w:shd w:val="clear" w:color="auto" w:fill="C6EFCE"/>
            <w:noWrap/>
          </w:tcPr>
          <w:p w14:paraId="35C35665" w14:textId="77777777" w:rsidR="000E48CE" w:rsidRDefault="00FF4C4E">
            <w:pPr>
              <w:pStyle w:val="P68B1DB1-Normal13"/>
              <w:spacing w:after="0" w:line="240" w:lineRule="auto"/>
              <w:jc w:val="center"/>
              <w:rPr>
                <w:rFonts w:eastAsia="MS Mincho" w:cs="Times New Roman"/>
                <w:noProof/>
              </w:rPr>
            </w:pPr>
            <w:r>
              <w:rPr>
                <w:noProof/>
              </w:rPr>
              <w:t>Voimaantuloa koskevan normatiivisen kehyksen antaminen</w:t>
            </w:r>
          </w:p>
        </w:tc>
        <w:tc>
          <w:tcPr>
            <w:tcW w:w="850" w:type="dxa"/>
            <w:shd w:val="clear" w:color="auto" w:fill="C6EFCE"/>
            <w:noWrap/>
          </w:tcPr>
          <w:p w14:paraId="253B9705"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52553BD"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56051E44"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4B5F073" w14:textId="77777777" w:rsidR="000E48CE" w:rsidRDefault="00FF4C4E">
            <w:pPr>
              <w:pStyle w:val="P68B1DB1-Normal13"/>
              <w:spacing w:after="0" w:line="240" w:lineRule="auto"/>
              <w:jc w:val="center"/>
              <w:rPr>
                <w:rFonts w:eastAsia="MS Mincho" w:cs="Times New Roman"/>
                <w:noProof/>
              </w:rPr>
            </w:pPr>
            <w:r>
              <w:rPr>
                <w:noProof/>
              </w:rPr>
              <w:t>Q1</w:t>
            </w:r>
          </w:p>
        </w:tc>
        <w:tc>
          <w:tcPr>
            <w:tcW w:w="567" w:type="dxa"/>
            <w:shd w:val="clear" w:color="auto" w:fill="C6EFCE"/>
            <w:noWrap/>
          </w:tcPr>
          <w:p w14:paraId="094D2E42" w14:textId="77777777" w:rsidR="000E48CE" w:rsidRDefault="00FF4C4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3CC5FFD3" w14:textId="77777777" w:rsidR="000E48CE" w:rsidRDefault="00FF4C4E">
            <w:pPr>
              <w:pStyle w:val="P68B1DB1-Normal13"/>
              <w:spacing w:after="0" w:line="240" w:lineRule="auto"/>
              <w:rPr>
                <w:rFonts w:eastAsia="MS Mincho" w:cs="Times New Roman"/>
                <w:noProof/>
              </w:rPr>
            </w:pPr>
            <w:r>
              <w:rPr>
                <w:noProof/>
              </w:rPr>
              <w:t>Tämän normatiivisen kehyksen tarkoituksena on säännellä lannoitustyötä ja edistää viljelijöille annettavaa teknistä neuvontaa lan</w:t>
            </w:r>
            <w:r>
              <w:rPr>
                <w:noProof/>
              </w:rPr>
              <w:t xml:space="preserve">noituksen järkeistämiseksi ja lakisääteisten vaatimusten täyttämiseksi. </w:t>
            </w:r>
          </w:p>
        </w:tc>
      </w:tr>
      <w:tr w:rsidR="000E48CE" w14:paraId="37DD0363" w14:textId="77777777">
        <w:trPr>
          <w:trHeight w:val="309"/>
        </w:trPr>
        <w:tc>
          <w:tcPr>
            <w:tcW w:w="709" w:type="dxa"/>
            <w:shd w:val="clear" w:color="auto" w:fill="C6EFCE"/>
            <w:noWrap/>
          </w:tcPr>
          <w:p w14:paraId="55739EF0" w14:textId="77777777" w:rsidR="000E48CE" w:rsidRDefault="00FF4C4E">
            <w:pPr>
              <w:pStyle w:val="P68B1DB1-Normal13"/>
              <w:spacing w:after="0" w:line="240" w:lineRule="auto"/>
              <w:jc w:val="center"/>
              <w:rPr>
                <w:rFonts w:eastAsia="MS Mincho" w:cs="Times New Roman"/>
                <w:noProof/>
              </w:rPr>
            </w:pPr>
            <w:r>
              <w:rPr>
                <w:noProof/>
              </w:rPr>
              <w:t>43</w:t>
            </w:r>
          </w:p>
        </w:tc>
        <w:tc>
          <w:tcPr>
            <w:tcW w:w="851" w:type="dxa"/>
            <w:shd w:val="clear" w:color="auto" w:fill="C6EFCE"/>
            <w:noWrap/>
          </w:tcPr>
          <w:p w14:paraId="11E8956A" w14:textId="77777777" w:rsidR="000E48CE" w:rsidRDefault="00FF4C4E">
            <w:pPr>
              <w:pStyle w:val="P68B1DB1-Normal13"/>
              <w:spacing w:after="0" w:line="240" w:lineRule="auto"/>
              <w:jc w:val="center"/>
              <w:rPr>
                <w:rFonts w:eastAsia="MS Mincho" w:cs="Times New Roman"/>
                <w:noProof/>
              </w:rPr>
            </w:pPr>
            <w:r>
              <w:rPr>
                <w:noProof/>
              </w:rPr>
              <w:t>C3.R4</w:t>
            </w:r>
          </w:p>
        </w:tc>
        <w:tc>
          <w:tcPr>
            <w:tcW w:w="1080" w:type="dxa"/>
            <w:shd w:val="clear" w:color="auto" w:fill="C6EFCE"/>
            <w:noWrap/>
          </w:tcPr>
          <w:p w14:paraId="5AD787E6" w14:textId="77777777"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7832744C" w14:textId="77777777" w:rsidR="000E48CE" w:rsidRDefault="00FF4C4E">
            <w:pPr>
              <w:pStyle w:val="P68B1DB1-Normal13"/>
              <w:spacing w:after="0" w:line="240" w:lineRule="auto"/>
              <w:rPr>
                <w:rFonts w:eastAsia="MS Mincho" w:cs="Times New Roman"/>
                <w:noProof/>
              </w:rPr>
            </w:pPr>
            <w:r>
              <w:rPr>
                <w:noProof/>
              </w:rPr>
              <w:t>Kuninkaallinen asetus hallintomekanismista Espanjan kastelujärjestelmän parantamiseksi on tullut voimaan.</w:t>
            </w:r>
          </w:p>
        </w:tc>
        <w:tc>
          <w:tcPr>
            <w:tcW w:w="1276" w:type="dxa"/>
            <w:shd w:val="clear" w:color="auto" w:fill="C6EFCE"/>
            <w:noWrap/>
          </w:tcPr>
          <w:p w14:paraId="10FCA3E8" w14:textId="77777777" w:rsidR="000E48CE" w:rsidRDefault="00FF4C4E">
            <w:pPr>
              <w:pStyle w:val="P68B1DB1-Normal13"/>
              <w:spacing w:after="0" w:line="240" w:lineRule="auto"/>
              <w:jc w:val="center"/>
              <w:rPr>
                <w:rFonts w:eastAsia="MS Mincho" w:cs="Times New Roman"/>
                <w:noProof/>
              </w:rPr>
            </w:pPr>
            <w:r>
              <w:rPr>
                <w:noProof/>
              </w:rPr>
              <w:t xml:space="preserve">Voimaantuloa koskevan kuninkaan asetuksen säännös </w:t>
            </w:r>
          </w:p>
        </w:tc>
        <w:tc>
          <w:tcPr>
            <w:tcW w:w="850" w:type="dxa"/>
            <w:shd w:val="clear" w:color="auto" w:fill="C6EFCE"/>
            <w:noWrap/>
          </w:tcPr>
          <w:p w14:paraId="554EF5F4"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E235B9D"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66AC4DF1"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B2E4500"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057ED589" w14:textId="77777777"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253F0D80" w14:textId="77777777" w:rsidR="000E48CE" w:rsidRDefault="00FF4C4E">
            <w:pPr>
              <w:pStyle w:val="P68B1DB1-Normal13"/>
              <w:spacing w:after="0" w:line="240" w:lineRule="auto"/>
              <w:rPr>
                <w:rFonts w:eastAsia="MS Mincho" w:cs="Times New Roman"/>
                <w:noProof/>
              </w:rPr>
            </w:pPr>
            <w:r>
              <w:rPr>
                <w:noProof/>
              </w:rPr>
              <w:t>Kuninkaan asetuksella perustetaan kansallisen tason hallintomekanismi, jotta asianomaiset alat voivat tehdä yhteistyötä Espanjan kasteluun liittyvissä kysymyksissä, kuten kestävyys, toteuttamiskriteerit, määräykset jne. Sen tarkoituksena on myös perustaa k</w:t>
            </w:r>
            <w:r>
              <w:rPr>
                <w:noProof/>
              </w:rPr>
              <w:t>estävän kastelun seurantakeskus Espanjaan.</w:t>
            </w:r>
          </w:p>
        </w:tc>
      </w:tr>
      <w:tr w:rsidR="000E48CE" w14:paraId="19DF5004" w14:textId="77777777">
        <w:trPr>
          <w:trHeight w:val="309"/>
        </w:trPr>
        <w:tc>
          <w:tcPr>
            <w:tcW w:w="709" w:type="dxa"/>
            <w:shd w:val="clear" w:color="auto" w:fill="C6EFCE"/>
            <w:noWrap/>
          </w:tcPr>
          <w:p w14:paraId="64397A95" w14:textId="77777777" w:rsidR="000E48CE" w:rsidRDefault="00FF4C4E">
            <w:pPr>
              <w:pStyle w:val="P68B1DB1-Normal13"/>
              <w:spacing w:after="0" w:line="240" w:lineRule="auto"/>
              <w:jc w:val="center"/>
              <w:rPr>
                <w:rFonts w:eastAsia="MS Mincho" w:cs="Times New Roman"/>
                <w:noProof/>
              </w:rPr>
            </w:pPr>
            <w:r>
              <w:rPr>
                <w:noProof/>
              </w:rPr>
              <w:t>44</w:t>
            </w:r>
          </w:p>
        </w:tc>
        <w:tc>
          <w:tcPr>
            <w:tcW w:w="851" w:type="dxa"/>
            <w:shd w:val="clear" w:color="auto" w:fill="C6EFCE"/>
            <w:noWrap/>
          </w:tcPr>
          <w:p w14:paraId="7D07F206" w14:textId="77777777" w:rsidR="000E48CE" w:rsidRDefault="00FF4C4E">
            <w:pPr>
              <w:pStyle w:val="P68B1DB1-Normal13"/>
              <w:spacing w:after="0" w:line="240" w:lineRule="auto"/>
              <w:jc w:val="center"/>
              <w:rPr>
                <w:rFonts w:eastAsia="MS Mincho" w:cs="Times New Roman"/>
                <w:noProof/>
              </w:rPr>
            </w:pPr>
            <w:r>
              <w:rPr>
                <w:noProof/>
              </w:rPr>
              <w:t>C3.R5</w:t>
            </w:r>
          </w:p>
        </w:tc>
        <w:tc>
          <w:tcPr>
            <w:tcW w:w="1080" w:type="dxa"/>
            <w:shd w:val="clear" w:color="auto" w:fill="C6EFCE"/>
            <w:noWrap/>
          </w:tcPr>
          <w:p w14:paraId="0D3EABE3" w14:textId="77777777"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280F306B" w14:textId="77777777" w:rsidR="000E48CE" w:rsidRDefault="00FF4C4E">
            <w:pPr>
              <w:pStyle w:val="P68B1DB1-Normal13"/>
              <w:spacing w:after="0" w:line="240" w:lineRule="auto"/>
              <w:rPr>
                <w:rFonts w:eastAsia="MS Mincho" w:cs="Times New Roman"/>
                <w:noProof/>
              </w:rPr>
            </w:pPr>
            <w:r>
              <w:rPr>
                <w:noProof/>
              </w:rPr>
              <w:t>Hyväksytään maatalouselintarvikealan ja maaseutualueiden digitalisointistrategian toinen toimintasuunnitelma.</w:t>
            </w:r>
          </w:p>
        </w:tc>
        <w:tc>
          <w:tcPr>
            <w:tcW w:w="1276" w:type="dxa"/>
            <w:shd w:val="clear" w:color="auto" w:fill="C6EFCE"/>
            <w:noWrap/>
          </w:tcPr>
          <w:p w14:paraId="2DAF3BAF" w14:textId="77777777" w:rsidR="000E48CE" w:rsidRDefault="00FF4C4E">
            <w:pPr>
              <w:pStyle w:val="P68B1DB1-Normal13"/>
              <w:spacing w:after="0" w:line="240" w:lineRule="auto"/>
              <w:jc w:val="center"/>
              <w:rPr>
                <w:rFonts w:eastAsia="MS Mincho" w:cs="Times New Roman"/>
                <w:noProof/>
              </w:rPr>
            </w:pPr>
            <w:r>
              <w:rPr>
                <w:noProof/>
              </w:rPr>
              <w:t>Julkaiseminen maatalousministeriön verkkosivustolla</w:t>
            </w:r>
          </w:p>
        </w:tc>
        <w:tc>
          <w:tcPr>
            <w:tcW w:w="850" w:type="dxa"/>
            <w:shd w:val="clear" w:color="auto" w:fill="C6EFCE"/>
            <w:noWrap/>
          </w:tcPr>
          <w:p w14:paraId="131F8F3A"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455E230F"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0A8DB014"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1213C6B"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23B3A032" w14:textId="77777777"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31655646" w14:textId="77777777" w:rsidR="000E48CE" w:rsidRDefault="00FF4C4E">
            <w:pPr>
              <w:pStyle w:val="P68B1DB1-Normal13"/>
              <w:spacing w:after="0" w:line="240" w:lineRule="auto"/>
              <w:rPr>
                <w:rFonts w:eastAsia="MS Mincho" w:cs="Times New Roman"/>
                <w:noProof/>
              </w:rPr>
            </w:pPr>
            <w:r>
              <w:rPr>
                <w:noProof/>
              </w:rPr>
              <w:t xml:space="preserve">Toimenpiteellä on varmistettava maatalouselintarvikealan ja maaseutuympäristön digitalisointistrategian jatkuvuus toisella suunnitelmalla, jonka tavoitteena on kaventaa digitaalista kuilua, edistää datan käyttöä sekä edistää liiketoiminnan kehittämistä ja </w:t>
            </w:r>
            <w:r>
              <w:rPr>
                <w:noProof/>
              </w:rPr>
              <w:t xml:space="preserve">uusia liiketoimintamalleja. </w:t>
            </w:r>
          </w:p>
        </w:tc>
      </w:tr>
      <w:tr w:rsidR="000E48CE" w14:paraId="6F3FDDA7" w14:textId="77777777">
        <w:trPr>
          <w:trHeight w:val="309"/>
        </w:trPr>
        <w:tc>
          <w:tcPr>
            <w:tcW w:w="709" w:type="dxa"/>
            <w:shd w:val="clear" w:color="auto" w:fill="C6EFCE"/>
            <w:noWrap/>
          </w:tcPr>
          <w:p w14:paraId="43FBD11F" w14:textId="77777777" w:rsidR="000E48CE" w:rsidRDefault="00FF4C4E">
            <w:pPr>
              <w:pStyle w:val="P68B1DB1-Normal13"/>
              <w:spacing w:after="0" w:line="240" w:lineRule="auto"/>
              <w:jc w:val="center"/>
              <w:rPr>
                <w:rFonts w:eastAsia="MS Mincho" w:cs="Times New Roman"/>
                <w:noProof/>
              </w:rPr>
            </w:pPr>
            <w:r>
              <w:rPr>
                <w:noProof/>
              </w:rPr>
              <w:t>45</w:t>
            </w:r>
          </w:p>
        </w:tc>
        <w:tc>
          <w:tcPr>
            <w:tcW w:w="851" w:type="dxa"/>
            <w:shd w:val="clear" w:color="auto" w:fill="C6EFCE"/>
            <w:noWrap/>
          </w:tcPr>
          <w:p w14:paraId="2E01EC5D" w14:textId="77777777" w:rsidR="000E48CE" w:rsidRDefault="00FF4C4E">
            <w:pPr>
              <w:pStyle w:val="P68B1DB1-Normal13"/>
              <w:spacing w:after="0" w:line="240" w:lineRule="auto"/>
              <w:jc w:val="center"/>
              <w:rPr>
                <w:rFonts w:eastAsia="MS Mincho" w:cs="Times New Roman"/>
                <w:noProof/>
              </w:rPr>
            </w:pPr>
            <w:r>
              <w:rPr>
                <w:noProof/>
              </w:rPr>
              <w:t>C3.R6</w:t>
            </w:r>
          </w:p>
        </w:tc>
        <w:tc>
          <w:tcPr>
            <w:tcW w:w="1080" w:type="dxa"/>
            <w:shd w:val="clear" w:color="auto" w:fill="C6EFCE"/>
            <w:noWrap/>
          </w:tcPr>
          <w:p w14:paraId="4E82A334" w14:textId="77777777"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53B192B7" w14:textId="77777777" w:rsidR="000E48CE" w:rsidRDefault="00FF4C4E">
            <w:pPr>
              <w:pStyle w:val="P68B1DB1-Normal13"/>
              <w:spacing w:after="0" w:line="240" w:lineRule="auto"/>
              <w:rPr>
                <w:rFonts w:eastAsia="MS Mincho" w:cs="Times New Roman"/>
                <w:noProof/>
              </w:rPr>
            </w:pPr>
            <w:r>
              <w:rPr>
                <w:noProof/>
              </w:rPr>
              <w:t xml:space="preserve">Kansallisten kalastusalueiden hallinnoinnista annetun kuninkaallisen asetuksen voimaantulo </w:t>
            </w:r>
          </w:p>
        </w:tc>
        <w:tc>
          <w:tcPr>
            <w:tcW w:w="1276" w:type="dxa"/>
            <w:shd w:val="clear" w:color="auto" w:fill="C6EFCE"/>
            <w:noWrap/>
          </w:tcPr>
          <w:p w14:paraId="57042A16" w14:textId="77777777" w:rsidR="000E48CE" w:rsidRDefault="00FF4C4E">
            <w:pPr>
              <w:pStyle w:val="P68B1DB1-Normal13"/>
              <w:spacing w:after="0" w:line="240" w:lineRule="auto"/>
              <w:jc w:val="center"/>
              <w:rPr>
                <w:rFonts w:eastAsia="MS Mincho" w:cs="Times New Roman"/>
                <w:noProof/>
              </w:rPr>
            </w:pPr>
            <w:r>
              <w:rPr>
                <w:noProof/>
              </w:rPr>
              <w:t>Voimaantuloa koskevan kuninkaan asetuksen säännös</w:t>
            </w:r>
          </w:p>
        </w:tc>
        <w:tc>
          <w:tcPr>
            <w:tcW w:w="850" w:type="dxa"/>
            <w:shd w:val="clear" w:color="auto" w:fill="C6EFCE"/>
            <w:noWrap/>
          </w:tcPr>
          <w:p w14:paraId="03D8BA8D" w14:textId="77777777" w:rsidR="000E48CE" w:rsidRDefault="00FF4C4E">
            <w:pPr>
              <w:pStyle w:val="P68B1DB1-Normal13"/>
              <w:spacing w:after="0" w:line="240" w:lineRule="auto"/>
              <w:jc w:val="center"/>
              <w:rPr>
                <w:rFonts w:eastAsia="MS Mincho" w:cs="Times New Roman"/>
                <w:noProof/>
              </w:rPr>
            </w:pPr>
            <w:r>
              <w:rPr>
                <w:noProof/>
              </w:rPr>
              <w:t xml:space="preserve"> </w:t>
            </w:r>
          </w:p>
        </w:tc>
        <w:tc>
          <w:tcPr>
            <w:tcW w:w="567" w:type="dxa"/>
            <w:shd w:val="clear" w:color="auto" w:fill="C6EFCE"/>
            <w:noWrap/>
          </w:tcPr>
          <w:p w14:paraId="69A0658A"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2EA285AA"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3288100"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3041507C" w14:textId="77777777"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0AA2858" w14:textId="77777777" w:rsidR="000E48CE" w:rsidRDefault="00FF4C4E">
            <w:pPr>
              <w:pStyle w:val="P68B1DB1-Normal13"/>
              <w:spacing w:after="0" w:line="240" w:lineRule="auto"/>
              <w:rPr>
                <w:rFonts w:eastAsia="MS Mincho" w:cs="Times New Roman"/>
                <w:noProof/>
              </w:rPr>
            </w:pPr>
            <w:r>
              <w:rPr>
                <w:noProof/>
              </w:rPr>
              <w:t>Kuninkaallisella asetuksella yhdenmukaistetaan kansallisten</w:t>
            </w:r>
            <w:r>
              <w:rPr>
                <w:noProof/>
              </w:rPr>
              <w:t xml:space="preserve"> kalastusalueiden eri välineiden, menetelmien ja laskentojen hallinnointi, helpotetaan liiketoiminnan parempaa hallintaa ja otetaan huomioon EU:n tärkeimpien politiikkojen ja haasteiden, kuten yhteisen kalastuspolitiikan uudistuksen, vuoteen 2030 ulottuvan</w:t>
            </w:r>
            <w:r>
              <w:rPr>
                <w:noProof/>
              </w:rPr>
              <w:t xml:space="preserve"> biodiversiteettistrategian, meristrategioiden ja kestävän kehityksen tavoitteiden, tavoitteet.</w:t>
            </w:r>
          </w:p>
        </w:tc>
      </w:tr>
      <w:tr w:rsidR="000E48CE" w14:paraId="5BDD290F" w14:textId="77777777">
        <w:trPr>
          <w:trHeight w:val="309"/>
        </w:trPr>
        <w:tc>
          <w:tcPr>
            <w:tcW w:w="709" w:type="dxa"/>
            <w:shd w:val="clear" w:color="auto" w:fill="C6EFCE"/>
            <w:noWrap/>
          </w:tcPr>
          <w:p w14:paraId="23AFD0D9" w14:textId="60B7F2D5" w:rsidR="000E48CE" w:rsidRDefault="00FF4C4E">
            <w:pPr>
              <w:pStyle w:val="P68B1DB1-Normal13"/>
              <w:spacing w:after="0" w:line="240" w:lineRule="auto"/>
              <w:jc w:val="center"/>
              <w:rPr>
                <w:rFonts w:cs="Times New Roman"/>
                <w:noProof/>
              </w:rPr>
            </w:pPr>
            <w:r>
              <w:rPr>
                <w:noProof/>
              </w:rPr>
              <w:t>423</w:t>
            </w:r>
          </w:p>
        </w:tc>
        <w:tc>
          <w:tcPr>
            <w:tcW w:w="851" w:type="dxa"/>
            <w:shd w:val="clear" w:color="auto" w:fill="C6EFCE"/>
            <w:noWrap/>
          </w:tcPr>
          <w:p w14:paraId="2AEBE349" w14:textId="0BEBCD58" w:rsidR="000E48CE" w:rsidRDefault="00FF4C4E">
            <w:pPr>
              <w:pStyle w:val="P68B1DB1-Normal13"/>
              <w:spacing w:after="0" w:line="240" w:lineRule="auto"/>
              <w:jc w:val="center"/>
              <w:rPr>
                <w:rFonts w:cs="Times New Roman"/>
                <w:noProof/>
              </w:rPr>
            </w:pPr>
            <w:r>
              <w:rPr>
                <w:noProof/>
              </w:rPr>
              <w:t>C3.R6</w:t>
            </w:r>
          </w:p>
        </w:tc>
        <w:tc>
          <w:tcPr>
            <w:tcW w:w="1080" w:type="dxa"/>
            <w:shd w:val="clear" w:color="auto" w:fill="C6EFCE"/>
            <w:noWrap/>
          </w:tcPr>
          <w:p w14:paraId="367B21D1" w14:textId="70315506" w:rsidR="000E48CE" w:rsidRDefault="00FF4C4E">
            <w:pPr>
              <w:pStyle w:val="P68B1DB1-Normal13"/>
              <w:spacing w:after="0" w:line="240" w:lineRule="auto"/>
              <w:jc w:val="center"/>
              <w:rPr>
                <w:rFonts w:cs="Times New Roman"/>
                <w:noProof/>
              </w:rPr>
            </w:pPr>
            <w:r>
              <w:rPr>
                <w:noProof/>
              </w:rPr>
              <w:t>M</w:t>
            </w:r>
          </w:p>
        </w:tc>
        <w:tc>
          <w:tcPr>
            <w:tcW w:w="2889" w:type="dxa"/>
            <w:shd w:val="clear" w:color="auto" w:fill="C6EFCE"/>
            <w:noWrap/>
          </w:tcPr>
          <w:p w14:paraId="2CCD0E8B" w14:textId="2F97BFE4" w:rsidR="000E48CE" w:rsidRDefault="00FF4C4E">
            <w:pPr>
              <w:pStyle w:val="P68B1DB1-Normal13"/>
              <w:spacing w:after="0" w:line="240" w:lineRule="auto"/>
              <w:rPr>
                <w:rFonts w:cs="Times New Roman"/>
                <w:noProof/>
              </w:rPr>
            </w:pPr>
            <w:r>
              <w:rPr>
                <w:noProof/>
              </w:rPr>
              <w:t>Kalastuslain ja kalastuksen valvonta-, tarkastus- ja seuraamusjärjestelmien nykyaikaistamista koskevan lain tarkistaminen tulee voimaan.</w:t>
            </w:r>
          </w:p>
        </w:tc>
        <w:tc>
          <w:tcPr>
            <w:tcW w:w="1276" w:type="dxa"/>
            <w:shd w:val="clear" w:color="auto" w:fill="C6EFCE"/>
            <w:noWrap/>
          </w:tcPr>
          <w:p w14:paraId="51B3A623" w14:textId="02ED56CF" w:rsidR="000E48CE" w:rsidRDefault="00FF4C4E">
            <w:pPr>
              <w:pStyle w:val="P68B1DB1-Normal13"/>
              <w:spacing w:after="0" w:line="240" w:lineRule="auto"/>
              <w:jc w:val="center"/>
              <w:rPr>
                <w:rFonts w:cs="Times New Roman"/>
                <w:noProof/>
              </w:rPr>
            </w:pPr>
            <w:r>
              <w:rPr>
                <w:noProof/>
              </w:rPr>
              <w:t xml:space="preserve">Lain </w:t>
            </w:r>
            <w:r>
              <w:rPr>
                <w:noProof/>
              </w:rPr>
              <w:t>säännös, jolla se tulee voimaan</w:t>
            </w:r>
          </w:p>
        </w:tc>
        <w:tc>
          <w:tcPr>
            <w:tcW w:w="850" w:type="dxa"/>
            <w:shd w:val="clear" w:color="auto" w:fill="C6EFCE"/>
            <w:noWrap/>
          </w:tcPr>
          <w:p w14:paraId="73F97D08" w14:textId="77777777"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tcPr>
          <w:p w14:paraId="453E8076"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09D2FFB8"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7EA8E8F1" w14:textId="5AD2F59F"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30FD611C" w14:textId="6A25C647" w:rsidR="000E48CE" w:rsidRDefault="00FF4C4E">
            <w:pPr>
              <w:pStyle w:val="P68B1DB1-Normal13"/>
              <w:spacing w:after="0" w:line="240" w:lineRule="auto"/>
              <w:jc w:val="center"/>
              <w:rPr>
                <w:rFonts w:cs="Times New Roman"/>
                <w:noProof/>
              </w:rPr>
            </w:pPr>
            <w:r>
              <w:rPr>
                <w:noProof/>
              </w:rPr>
              <w:t>2026</w:t>
            </w:r>
          </w:p>
        </w:tc>
        <w:tc>
          <w:tcPr>
            <w:tcW w:w="5387" w:type="dxa"/>
            <w:shd w:val="clear" w:color="auto" w:fill="C6EFCE"/>
            <w:noWrap/>
          </w:tcPr>
          <w:p w14:paraId="038336E2" w14:textId="45672338" w:rsidR="000E48CE" w:rsidRDefault="00FF4C4E">
            <w:pPr>
              <w:pStyle w:val="P68B1DB1-Normal13"/>
              <w:spacing w:after="0" w:line="240" w:lineRule="auto"/>
              <w:rPr>
                <w:rFonts w:cs="Times New Roman"/>
                <w:noProof/>
              </w:rPr>
            </w:pPr>
            <w:r>
              <w:rPr>
                <w:noProof/>
              </w:rPr>
              <w:t>Kalastuslain ja valvonta-, tarkastus- ja seuraamusjärjestelmien nykyaikaistamisesta annetun lain tarkistuksen voimaantulo toimenpiteen kuvauksen mukaisesti.</w:t>
            </w:r>
          </w:p>
        </w:tc>
      </w:tr>
      <w:tr w:rsidR="000E48CE" w14:paraId="48ABB541" w14:textId="77777777">
        <w:trPr>
          <w:trHeight w:val="309"/>
        </w:trPr>
        <w:tc>
          <w:tcPr>
            <w:tcW w:w="709" w:type="dxa"/>
            <w:shd w:val="clear" w:color="auto" w:fill="C6EFCE"/>
            <w:noWrap/>
          </w:tcPr>
          <w:p w14:paraId="0750B6FA" w14:textId="5FEB1B58" w:rsidR="000E48CE" w:rsidRDefault="00FF4C4E">
            <w:pPr>
              <w:pStyle w:val="P68B1DB1-Normal13"/>
              <w:spacing w:after="0" w:line="240" w:lineRule="auto"/>
              <w:jc w:val="center"/>
              <w:rPr>
                <w:rFonts w:cs="Times New Roman"/>
                <w:noProof/>
              </w:rPr>
            </w:pPr>
            <w:r>
              <w:rPr>
                <w:noProof/>
              </w:rPr>
              <w:t>46</w:t>
            </w:r>
          </w:p>
        </w:tc>
        <w:tc>
          <w:tcPr>
            <w:tcW w:w="851" w:type="dxa"/>
            <w:shd w:val="clear" w:color="auto" w:fill="C6EFCE"/>
            <w:noWrap/>
          </w:tcPr>
          <w:p w14:paraId="52841C32" w14:textId="5984E8B1" w:rsidR="000E48CE" w:rsidRDefault="00FF4C4E">
            <w:pPr>
              <w:pStyle w:val="P68B1DB1-Normal13"/>
              <w:spacing w:after="0"/>
              <w:jc w:val="center"/>
              <w:rPr>
                <w:rFonts w:cs="Times New Roman"/>
                <w:noProof/>
              </w:rPr>
            </w:pPr>
            <w:r>
              <w:rPr>
                <w:noProof/>
              </w:rPr>
              <w:t>C3.I1</w:t>
            </w:r>
          </w:p>
        </w:tc>
        <w:tc>
          <w:tcPr>
            <w:tcW w:w="1080" w:type="dxa"/>
            <w:shd w:val="clear" w:color="auto" w:fill="C6EFCE"/>
            <w:noWrap/>
          </w:tcPr>
          <w:p w14:paraId="3779626A" w14:textId="5ADFB374" w:rsidR="000E48CE" w:rsidRDefault="00FF4C4E">
            <w:pPr>
              <w:pStyle w:val="P68B1DB1-Normal13"/>
              <w:spacing w:after="0"/>
              <w:jc w:val="center"/>
              <w:rPr>
                <w:rFonts w:cs="Times New Roman"/>
                <w:noProof/>
              </w:rPr>
            </w:pPr>
            <w:r>
              <w:rPr>
                <w:noProof/>
              </w:rPr>
              <w:t>T</w:t>
            </w:r>
          </w:p>
        </w:tc>
        <w:tc>
          <w:tcPr>
            <w:tcW w:w="2889" w:type="dxa"/>
            <w:shd w:val="clear" w:color="auto" w:fill="C6EFCE"/>
            <w:noWrap/>
          </w:tcPr>
          <w:p w14:paraId="30D32596" w14:textId="52F44B39" w:rsidR="000E48CE" w:rsidRDefault="00FF4C4E">
            <w:pPr>
              <w:pStyle w:val="P68B1DB1-Normal13"/>
              <w:spacing w:after="0"/>
              <w:jc w:val="both"/>
              <w:rPr>
                <w:rFonts w:cs="Times New Roman"/>
                <w:noProof/>
              </w:rPr>
            </w:pPr>
            <w:r>
              <w:rPr>
                <w:noProof/>
              </w:rPr>
              <w:t xml:space="preserve">Maatalous-, kalastus- ja elintarvikeministeriön (MAPA) ja SEIASAn välisen sopimuksen </w:t>
            </w:r>
            <w:r>
              <w:rPr>
                <w:noProof/>
              </w:rPr>
              <w:lastRenderedPageBreak/>
              <w:t>voimaantulo kasteltujen alueiden parantamisen ja kestävyyden tukemiseksi (I vaihe)</w:t>
            </w:r>
          </w:p>
        </w:tc>
        <w:tc>
          <w:tcPr>
            <w:tcW w:w="1276" w:type="dxa"/>
            <w:shd w:val="clear" w:color="auto" w:fill="C6EFCE"/>
            <w:noWrap/>
          </w:tcPr>
          <w:p w14:paraId="1BA8419B" w14:textId="32E5C9C6" w:rsidR="000E48CE" w:rsidRDefault="000E48CE">
            <w:pPr>
              <w:spacing w:after="0"/>
              <w:jc w:val="both"/>
              <w:rPr>
                <w:rFonts w:ascii="Times New Roman" w:hAnsi="Times New Roman" w:cs="Times New Roman"/>
                <w:noProof/>
                <w:sz w:val="18"/>
              </w:rPr>
            </w:pPr>
          </w:p>
        </w:tc>
        <w:tc>
          <w:tcPr>
            <w:tcW w:w="850" w:type="dxa"/>
            <w:shd w:val="clear" w:color="auto" w:fill="C6EFCE"/>
            <w:noWrap/>
          </w:tcPr>
          <w:p w14:paraId="00F69AA2" w14:textId="6055BA41" w:rsidR="000E48CE" w:rsidRDefault="00FF4C4E">
            <w:pPr>
              <w:pStyle w:val="P68B1DB1-Normal13"/>
              <w:spacing w:after="0" w:line="240" w:lineRule="auto"/>
              <w:jc w:val="right"/>
              <w:rPr>
                <w:rFonts w:cs="Times New Roman"/>
                <w:noProof/>
              </w:rPr>
            </w:pPr>
            <w:r>
              <w:rPr>
                <w:noProof/>
              </w:rPr>
              <w:t>Miljoonaa euroa</w:t>
            </w:r>
          </w:p>
          <w:p w14:paraId="2D568180" w14:textId="68449AFA" w:rsidR="000E48CE" w:rsidRDefault="000E48CE">
            <w:pPr>
              <w:spacing w:after="0"/>
              <w:jc w:val="right"/>
              <w:rPr>
                <w:rFonts w:ascii="Times New Roman" w:hAnsi="Times New Roman" w:cs="Times New Roman"/>
                <w:noProof/>
                <w:sz w:val="18"/>
              </w:rPr>
            </w:pPr>
          </w:p>
        </w:tc>
        <w:tc>
          <w:tcPr>
            <w:tcW w:w="567" w:type="dxa"/>
            <w:shd w:val="clear" w:color="auto" w:fill="C6EFCE"/>
            <w:noWrap/>
          </w:tcPr>
          <w:p w14:paraId="6E8C024D" w14:textId="0F96F2ED" w:rsidR="000E48CE" w:rsidRDefault="00FF4C4E">
            <w:pPr>
              <w:pStyle w:val="P68B1DB1-Normal13"/>
              <w:spacing w:after="0"/>
              <w:jc w:val="center"/>
              <w:rPr>
                <w:rFonts w:cs="Times New Roman"/>
                <w:noProof/>
              </w:rPr>
            </w:pPr>
            <w:r>
              <w:rPr>
                <w:noProof/>
              </w:rPr>
              <w:t>0</w:t>
            </w:r>
          </w:p>
        </w:tc>
        <w:tc>
          <w:tcPr>
            <w:tcW w:w="709" w:type="dxa"/>
            <w:shd w:val="clear" w:color="auto" w:fill="C6EFCE"/>
            <w:noWrap/>
          </w:tcPr>
          <w:p w14:paraId="5E555695" w14:textId="2CF218CF" w:rsidR="000E48CE" w:rsidRDefault="00FF4C4E">
            <w:pPr>
              <w:pStyle w:val="P68B1DB1-Normal13"/>
              <w:spacing w:after="0"/>
              <w:jc w:val="center"/>
              <w:rPr>
                <w:rFonts w:cs="Times New Roman"/>
                <w:noProof/>
              </w:rPr>
            </w:pPr>
            <w:r>
              <w:rPr>
                <w:noProof/>
              </w:rPr>
              <w:t>260</w:t>
            </w:r>
          </w:p>
        </w:tc>
        <w:tc>
          <w:tcPr>
            <w:tcW w:w="425" w:type="dxa"/>
            <w:shd w:val="clear" w:color="auto" w:fill="C6EFCE"/>
            <w:noWrap/>
          </w:tcPr>
          <w:p w14:paraId="769D54F7" w14:textId="5EAE90B5" w:rsidR="000E48CE" w:rsidRDefault="00FF4C4E">
            <w:pPr>
              <w:pStyle w:val="P68B1DB1-Normal13"/>
              <w:spacing w:after="0"/>
              <w:jc w:val="center"/>
              <w:rPr>
                <w:rFonts w:cs="Times New Roman"/>
                <w:noProof/>
              </w:rPr>
            </w:pPr>
            <w:r>
              <w:rPr>
                <w:noProof/>
              </w:rPr>
              <w:t xml:space="preserve">KOLMAS </w:t>
            </w:r>
            <w:r>
              <w:rPr>
                <w:noProof/>
              </w:rPr>
              <w:lastRenderedPageBreak/>
              <w:t>VUOSINELJÄNNES</w:t>
            </w:r>
          </w:p>
        </w:tc>
        <w:tc>
          <w:tcPr>
            <w:tcW w:w="567" w:type="dxa"/>
            <w:shd w:val="clear" w:color="auto" w:fill="C6EFCE"/>
            <w:noWrap/>
          </w:tcPr>
          <w:p w14:paraId="0F52CF20" w14:textId="69F2473B" w:rsidR="000E48CE" w:rsidRDefault="00FF4C4E">
            <w:pPr>
              <w:pStyle w:val="P68B1DB1-Normal13"/>
              <w:spacing w:after="0"/>
              <w:jc w:val="center"/>
              <w:rPr>
                <w:rFonts w:cs="Times New Roman"/>
                <w:noProof/>
              </w:rPr>
            </w:pPr>
            <w:r>
              <w:rPr>
                <w:noProof/>
              </w:rPr>
              <w:lastRenderedPageBreak/>
              <w:t>2021</w:t>
            </w:r>
          </w:p>
        </w:tc>
        <w:tc>
          <w:tcPr>
            <w:tcW w:w="5387" w:type="dxa"/>
            <w:shd w:val="clear" w:color="auto" w:fill="C6EFCE"/>
            <w:noWrap/>
          </w:tcPr>
          <w:p w14:paraId="79D3D6CC" w14:textId="0EA391EE" w:rsidR="000E48CE" w:rsidRDefault="00FF4C4E">
            <w:pPr>
              <w:pStyle w:val="P68B1DB1-Normal13"/>
              <w:spacing w:after="0"/>
              <w:jc w:val="both"/>
              <w:rPr>
                <w:rFonts w:cs="Times New Roman"/>
                <w:noProof/>
              </w:rPr>
            </w:pPr>
            <w:r>
              <w:rPr>
                <w:noProof/>
              </w:rPr>
              <w:t>Maatalous-, kalastus- ja elintarvikem</w:t>
            </w:r>
            <w:r>
              <w:rPr>
                <w:noProof/>
              </w:rPr>
              <w:t xml:space="preserve">inisteriön (MAPA) ja SEIASAn välinen yhteistyösopimus (I vaihe; Talousarvion toteuttamisessa 260000000 euroa on pantava täytäntöön tällä investoinnilla toteutettavan </w:t>
            </w:r>
            <w:r>
              <w:rPr>
                <w:noProof/>
              </w:rPr>
              <w:lastRenderedPageBreak/>
              <w:t>kastelun tehokkuuden ja kestävyyden parantamista koskevan suunnitelman ehdot. Tällä oikeud</w:t>
            </w:r>
            <w:r>
              <w:rPr>
                <w:noProof/>
              </w:rPr>
              <w:t>ellisella normilla säännellään muun muassa näiden kastelun nykyaikaistamiseen tehtävien investointien julkista/yksityistä rahoitusjärjestelmää, hankkeiden valintaperusteita, suunnitelman toteutusmenettelyjä sekä luetteloa toimista, jotka liittyvät tämän to</w:t>
            </w:r>
            <w:r>
              <w:rPr>
                <w:noProof/>
              </w:rPr>
              <w:t xml:space="preserve">imenpiteen mukaiseen talousarvion toteuttamiseen. </w:t>
            </w:r>
          </w:p>
        </w:tc>
      </w:tr>
      <w:tr w:rsidR="000E48CE" w14:paraId="6CBDEA99" w14:textId="77777777">
        <w:trPr>
          <w:trHeight w:val="309"/>
        </w:trPr>
        <w:tc>
          <w:tcPr>
            <w:tcW w:w="709" w:type="dxa"/>
            <w:shd w:val="clear" w:color="auto" w:fill="C6EFCE"/>
            <w:noWrap/>
          </w:tcPr>
          <w:p w14:paraId="53F5FDCC" w14:textId="342215BA" w:rsidR="000E48CE" w:rsidRDefault="00FF4C4E">
            <w:pPr>
              <w:pStyle w:val="P68B1DB1-Normal13"/>
              <w:spacing w:line="240" w:lineRule="auto"/>
              <w:jc w:val="center"/>
              <w:rPr>
                <w:rFonts w:cs="Times New Roman"/>
                <w:noProof/>
              </w:rPr>
            </w:pPr>
            <w:r>
              <w:rPr>
                <w:noProof/>
              </w:rPr>
              <w:lastRenderedPageBreak/>
              <w:t>47</w:t>
            </w:r>
          </w:p>
        </w:tc>
        <w:tc>
          <w:tcPr>
            <w:tcW w:w="851" w:type="dxa"/>
            <w:shd w:val="clear" w:color="auto" w:fill="C6EFCE"/>
            <w:noWrap/>
          </w:tcPr>
          <w:p w14:paraId="64FBB728" w14:textId="1AA8583D" w:rsidR="000E48CE" w:rsidRDefault="00FF4C4E">
            <w:pPr>
              <w:pStyle w:val="P68B1DB1-Normal13"/>
              <w:jc w:val="center"/>
              <w:rPr>
                <w:rFonts w:eastAsia="MS Mincho" w:cs="Times New Roman"/>
                <w:noProof/>
              </w:rPr>
            </w:pPr>
            <w:r>
              <w:rPr>
                <w:noProof/>
              </w:rPr>
              <w:t>C3.I1</w:t>
            </w:r>
          </w:p>
        </w:tc>
        <w:tc>
          <w:tcPr>
            <w:tcW w:w="1080" w:type="dxa"/>
            <w:shd w:val="clear" w:color="auto" w:fill="C6EFCE"/>
            <w:noWrap/>
          </w:tcPr>
          <w:p w14:paraId="27F2A861" w14:textId="474DE391" w:rsidR="000E48CE" w:rsidRDefault="00FF4C4E">
            <w:pPr>
              <w:pStyle w:val="P68B1DB1-Normal13"/>
              <w:jc w:val="center"/>
              <w:rPr>
                <w:rFonts w:eastAsia="MS Mincho" w:cs="Times New Roman"/>
                <w:noProof/>
              </w:rPr>
            </w:pPr>
            <w:r>
              <w:rPr>
                <w:noProof/>
              </w:rPr>
              <w:t>T</w:t>
            </w:r>
          </w:p>
        </w:tc>
        <w:tc>
          <w:tcPr>
            <w:tcW w:w="2889" w:type="dxa"/>
            <w:shd w:val="clear" w:color="auto" w:fill="C6EFCE"/>
            <w:noWrap/>
          </w:tcPr>
          <w:p w14:paraId="1AB834DC" w14:textId="12200F7D" w:rsidR="000E48CE" w:rsidRDefault="00FF4C4E">
            <w:pPr>
              <w:pStyle w:val="P68B1DB1-Normal13"/>
              <w:jc w:val="both"/>
              <w:rPr>
                <w:rFonts w:eastAsia="MS Mincho" w:cs="Times New Roman"/>
                <w:noProof/>
              </w:rPr>
            </w:pPr>
            <w:r>
              <w:rPr>
                <w:noProof/>
              </w:rPr>
              <w:t>Maatalous-, kalastus- ja elintarvikeministeriön (MAPA) ja SEIASAn välisen sopimuksen täytäntöönpano kasteltujen alueiden parantamisen ja kestävyyden tukemiseksi (vaihe II)</w:t>
            </w:r>
          </w:p>
        </w:tc>
        <w:tc>
          <w:tcPr>
            <w:tcW w:w="1276" w:type="dxa"/>
            <w:shd w:val="clear" w:color="auto" w:fill="C6EFCE"/>
            <w:noWrap/>
          </w:tcPr>
          <w:p w14:paraId="2F9ACA8D" w14:textId="0C857BE8" w:rsidR="000E48CE" w:rsidRDefault="000E48CE">
            <w:pPr>
              <w:jc w:val="both"/>
              <w:rPr>
                <w:rFonts w:ascii="Times New Roman" w:eastAsia="MS Mincho" w:hAnsi="Times New Roman" w:cs="Times New Roman"/>
                <w:noProof/>
                <w:sz w:val="18"/>
              </w:rPr>
            </w:pPr>
          </w:p>
        </w:tc>
        <w:tc>
          <w:tcPr>
            <w:tcW w:w="850" w:type="dxa"/>
            <w:shd w:val="clear" w:color="auto" w:fill="C6EFCE"/>
            <w:noWrap/>
          </w:tcPr>
          <w:p w14:paraId="4CA86D2C" w14:textId="72FEF1C5" w:rsidR="000E48CE" w:rsidRDefault="00FF4C4E">
            <w:pPr>
              <w:pStyle w:val="P68B1DB1-Normal13"/>
              <w:jc w:val="right"/>
              <w:rPr>
                <w:rFonts w:eastAsia="MS Mincho" w:cs="Times New Roman"/>
                <w:noProof/>
              </w:rPr>
            </w:pPr>
            <w:r>
              <w:rPr>
                <w:noProof/>
              </w:rPr>
              <w:t xml:space="preserve"> Miljoonaa euroa</w:t>
            </w:r>
          </w:p>
        </w:tc>
        <w:tc>
          <w:tcPr>
            <w:tcW w:w="567" w:type="dxa"/>
            <w:shd w:val="clear" w:color="auto" w:fill="C6EFCE"/>
            <w:noWrap/>
          </w:tcPr>
          <w:p w14:paraId="28C1EA42" w14:textId="398DF7B8" w:rsidR="000E48CE" w:rsidRDefault="00FF4C4E">
            <w:pPr>
              <w:pStyle w:val="P68B1DB1-Normal13"/>
              <w:jc w:val="center"/>
              <w:rPr>
                <w:rFonts w:eastAsia="MS Mincho" w:cs="Times New Roman"/>
                <w:noProof/>
              </w:rPr>
            </w:pPr>
            <w:r>
              <w:rPr>
                <w:noProof/>
              </w:rPr>
              <w:t>0</w:t>
            </w:r>
          </w:p>
        </w:tc>
        <w:tc>
          <w:tcPr>
            <w:tcW w:w="709" w:type="dxa"/>
            <w:shd w:val="clear" w:color="auto" w:fill="C6EFCE"/>
            <w:noWrap/>
          </w:tcPr>
          <w:p w14:paraId="4A8791FA" w14:textId="16653014" w:rsidR="000E48CE" w:rsidRDefault="00FF4C4E">
            <w:pPr>
              <w:pStyle w:val="P68B1DB1-Normal13"/>
              <w:jc w:val="center"/>
              <w:rPr>
                <w:rFonts w:eastAsia="MS Mincho" w:cs="Times New Roman"/>
                <w:noProof/>
              </w:rPr>
            </w:pPr>
            <w:r>
              <w:rPr>
                <w:noProof/>
              </w:rPr>
              <w:t>303</w:t>
            </w:r>
          </w:p>
        </w:tc>
        <w:tc>
          <w:tcPr>
            <w:tcW w:w="425" w:type="dxa"/>
            <w:shd w:val="clear" w:color="auto" w:fill="C6EFCE"/>
            <w:noWrap/>
          </w:tcPr>
          <w:p w14:paraId="27AD45C1" w14:textId="42F227C3" w:rsidR="000E48CE" w:rsidRDefault="00FF4C4E">
            <w:pPr>
              <w:pStyle w:val="P68B1DB1-Normal13"/>
              <w:jc w:val="center"/>
              <w:rPr>
                <w:rFonts w:eastAsia="MS Mincho" w:cs="Times New Roman"/>
                <w:noProof/>
              </w:rPr>
            </w:pPr>
            <w:r>
              <w:rPr>
                <w:noProof/>
              </w:rPr>
              <w:t>Q4</w:t>
            </w:r>
          </w:p>
        </w:tc>
        <w:tc>
          <w:tcPr>
            <w:tcW w:w="567" w:type="dxa"/>
            <w:shd w:val="clear" w:color="auto" w:fill="C6EFCE"/>
            <w:noWrap/>
          </w:tcPr>
          <w:p w14:paraId="401541CC" w14:textId="5EEC3C07" w:rsidR="000E48CE" w:rsidRDefault="00FF4C4E">
            <w:pPr>
              <w:pStyle w:val="P68B1DB1-Normal13"/>
              <w:jc w:val="center"/>
              <w:rPr>
                <w:rFonts w:eastAsia="MS Mincho" w:cs="Times New Roman"/>
                <w:noProof/>
              </w:rPr>
            </w:pPr>
            <w:r>
              <w:rPr>
                <w:noProof/>
              </w:rPr>
              <w:t>2022</w:t>
            </w:r>
          </w:p>
        </w:tc>
        <w:tc>
          <w:tcPr>
            <w:tcW w:w="5387" w:type="dxa"/>
            <w:shd w:val="clear" w:color="auto" w:fill="C6EFCE"/>
            <w:noWrap/>
          </w:tcPr>
          <w:p w14:paraId="6AB7ED07" w14:textId="27C7D0BB" w:rsidR="000E48CE" w:rsidRDefault="00FF4C4E">
            <w:pPr>
              <w:pStyle w:val="P68B1DB1-Normal13"/>
              <w:rPr>
                <w:rFonts w:eastAsia="MS Mincho" w:cs="Times New Roman"/>
                <w:noProof/>
              </w:rPr>
            </w:pPr>
            <w:r>
              <w:rPr>
                <w:noProof/>
              </w:rPr>
              <w:t>Maatalous-, kalastus- ja elintarvikeministeriön (MAPA) ja SEIASAn välinen yhteistyösopimus (toinen vaihe; Talousarvion toteuttamisesta 303000000 euroa) pannaan täytäntöön tällä investointihankkeella toteutettavan kastelun tehokkuuden ja kestävy</w:t>
            </w:r>
            <w:r>
              <w:rPr>
                <w:noProof/>
              </w:rPr>
              <w:t>yden parantamista koskevan suunnitelman ehdot. Tällä oikeudellisella normilla säännellään muun muassa näiden kastelun nykyaikaistamiseen tehtävien investointien julkista/yksityistä rahoitusjärjestelmää, hankkeiden valintaperusteita, suunnitelman toteutusme</w:t>
            </w:r>
            <w:r>
              <w:rPr>
                <w:noProof/>
              </w:rPr>
              <w:t>nettelyjä sekä luetteloa toimista, jotka liittyvät tämän toimenpiteen mukaiseen talousarvion toteuttamiseen.</w:t>
            </w:r>
          </w:p>
        </w:tc>
      </w:tr>
      <w:tr w:rsidR="000E48CE" w14:paraId="7577C33F" w14:textId="77777777">
        <w:trPr>
          <w:trHeight w:val="309"/>
        </w:trPr>
        <w:tc>
          <w:tcPr>
            <w:tcW w:w="709" w:type="dxa"/>
            <w:shd w:val="clear" w:color="auto" w:fill="C6EFCE"/>
            <w:noWrap/>
          </w:tcPr>
          <w:p w14:paraId="36D2D02A" w14:textId="68F8EBAD" w:rsidR="000E48CE" w:rsidRDefault="00FF4C4E">
            <w:pPr>
              <w:pStyle w:val="P68B1DB1-Normal13"/>
              <w:spacing w:line="240" w:lineRule="auto"/>
              <w:jc w:val="center"/>
              <w:rPr>
                <w:rFonts w:cs="Times New Roman"/>
                <w:noProof/>
              </w:rPr>
            </w:pPr>
            <w:r>
              <w:rPr>
                <w:noProof/>
              </w:rPr>
              <w:t>424</w:t>
            </w:r>
          </w:p>
        </w:tc>
        <w:tc>
          <w:tcPr>
            <w:tcW w:w="851" w:type="dxa"/>
            <w:shd w:val="clear" w:color="auto" w:fill="C6EFCE"/>
            <w:noWrap/>
          </w:tcPr>
          <w:p w14:paraId="5088AA62" w14:textId="30762D2E" w:rsidR="000E48CE" w:rsidRDefault="00FF4C4E">
            <w:pPr>
              <w:pStyle w:val="P68B1DB1-Normal13"/>
              <w:jc w:val="center"/>
              <w:rPr>
                <w:rFonts w:cs="Times New Roman"/>
                <w:noProof/>
              </w:rPr>
            </w:pPr>
            <w:r>
              <w:rPr>
                <w:noProof/>
              </w:rPr>
              <w:t>C3.I1</w:t>
            </w:r>
          </w:p>
        </w:tc>
        <w:tc>
          <w:tcPr>
            <w:tcW w:w="1080" w:type="dxa"/>
            <w:shd w:val="clear" w:color="auto" w:fill="C6EFCE"/>
            <w:noWrap/>
          </w:tcPr>
          <w:p w14:paraId="25FD4440" w14:textId="40B015AD" w:rsidR="000E48CE" w:rsidRDefault="00FF4C4E">
            <w:pPr>
              <w:pStyle w:val="P68B1DB1-Normal13"/>
              <w:jc w:val="center"/>
              <w:rPr>
                <w:rFonts w:cs="Times New Roman"/>
                <w:noProof/>
              </w:rPr>
            </w:pPr>
            <w:r>
              <w:rPr>
                <w:noProof/>
              </w:rPr>
              <w:t>T</w:t>
            </w:r>
          </w:p>
        </w:tc>
        <w:tc>
          <w:tcPr>
            <w:tcW w:w="2889" w:type="dxa"/>
            <w:shd w:val="clear" w:color="auto" w:fill="C6EFCE"/>
            <w:noWrap/>
          </w:tcPr>
          <w:p w14:paraId="00300C24" w14:textId="3E3C7121" w:rsidR="000E48CE" w:rsidRDefault="00FF4C4E">
            <w:pPr>
              <w:pStyle w:val="P68B1DB1-Normal13"/>
              <w:jc w:val="both"/>
              <w:rPr>
                <w:rFonts w:cs="Times New Roman"/>
                <w:noProof/>
              </w:rPr>
            </w:pPr>
            <w:r>
              <w:rPr>
                <w:noProof/>
              </w:rPr>
              <w:t xml:space="preserve">Maatalous-, kalastus- ja elintarvikeministeriön (MAPA) ja SEIASAn väliseen sopimukseen kasteltujen alueiden parantamisen ja </w:t>
            </w:r>
            <w:r>
              <w:rPr>
                <w:noProof/>
              </w:rPr>
              <w:t>kestävyyden tukemiseksi tehdyn lisäyksen täytäntöönpano (toinen vaihe)</w:t>
            </w:r>
          </w:p>
        </w:tc>
        <w:tc>
          <w:tcPr>
            <w:tcW w:w="1276" w:type="dxa"/>
            <w:shd w:val="clear" w:color="auto" w:fill="C6EFCE"/>
            <w:noWrap/>
          </w:tcPr>
          <w:p w14:paraId="4E4E8018" w14:textId="77777777" w:rsidR="000E48CE" w:rsidRDefault="000E48CE">
            <w:pPr>
              <w:jc w:val="both"/>
              <w:rPr>
                <w:rFonts w:ascii="Times New Roman" w:eastAsia="MS Mincho" w:hAnsi="Times New Roman" w:cs="Times New Roman"/>
                <w:noProof/>
                <w:sz w:val="18"/>
              </w:rPr>
            </w:pPr>
          </w:p>
        </w:tc>
        <w:tc>
          <w:tcPr>
            <w:tcW w:w="850" w:type="dxa"/>
            <w:shd w:val="clear" w:color="auto" w:fill="C6EFCE"/>
            <w:noWrap/>
          </w:tcPr>
          <w:p w14:paraId="3494E958" w14:textId="2FCCCC51" w:rsidR="000E48CE" w:rsidRDefault="00FF4C4E">
            <w:pPr>
              <w:pStyle w:val="P68B1DB1-Normal13"/>
              <w:jc w:val="right"/>
              <w:rPr>
                <w:rFonts w:cs="Times New Roman"/>
                <w:noProof/>
              </w:rPr>
            </w:pPr>
            <w:r>
              <w:rPr>
                <w:noProof/>
              </w:rPr>
              <w:t xml:space="preserve"> Miljoonaa euroa</w:t>
            </w:r>
          </w:p>
        </w:tc>
        <w:tc>
          <w:tcPr>
            <w:tcW w:w="567" w:type="dxa"/>
            <w:shd w:val="clear" w:color="auto" w:fill="C6EFCE"/>
            <w:noWrap/>
          </w:tcPr>
          <w:p w14:paraId="4FC8A7EA" w14:textId="5EC70449" w:rsidR="000E48CE" w:rsidRDefault="00FF4C4E">
            <w:pPr>
              <w:pStyle w:val="P68B1DB1-Normal13"/>
              <w:jc w:val="center"/>
              <w:rPr>
                <w:rFonts w:cs="Times New Roman"/>
                <w:noProof/>
              </w:rPr>
            </w:pPr>
            <w:r>
              <w:rPr>
                <w:noProof/>
              </w:rPr>
              <w:t>303</w:t>
            </w:r>
          </w:p>
        </w:tc>
        <w:tc>
          <w:tcPr>
            <w:tcW w:w="709" w:type="dxa"/>
            <w:shd w:val="clear" w:color="auto" w:fill="C6EFCE"/>
            <w:noWrap/>
          </w:tcPr>
          <w:p w14:paraId="5FDE98C4" w14:textId="13FC3B97" w:rsidR="000E48CE" w:rsidRDefault="00FF4C4E">
            <w:pPr>
              <w:pStyle w:val="P68B1DB1-Normal13"/>
              <w:jc w:val="center"/>
              <w:rPr>
                <w:rFonts w:cs="Times New Roman"/>
                <w:noProof/>
              </w:rPr>
            </w:pPr>
            <w:r>
              <w:rPr>
                <w:noProof/>
              </w:rPr>
              <w:t>453</w:t>
            </w:r>
          </w:p>
        </w:tc>
        <w:tc>
          <w:tcPr>
            <w:tcW w:w="425" w:type="dxa"/>
            <w:shd w:val="clear" w:color="auto" w:fill="C6EFCE"/>
            <w:noWrap/>
          </w:tcPr>
          <w:p w14:paraId="79979275" w14:textId="4E86C5E1" w:rsidR="000E48CE" w:rsidRDefault="00FF4C4E">
            <w:pPr>
              <w:pStyle w:val="P68B1DB1-Normal13"/>
              <w:jc w:val="center"/>
              <w:rPr>
                <w:rFonts w:cs="Times New Roman"/>
                <w:noProof/>
              </w:rPr>
            </w:pPr>
            <w:r>
              <w:rPr>
                <w:noProof/>
              </w:rPr>
              <w:t>Q4</w:t>
            </w:r>
          </w:p>
        </w:tc>
        <w:tc>
          <w:tcPr>
            <w:tcW w:w="567" w:type="dxa"/>
            <w:shd w:val="clear" w:color="auto" w:fill="C6EFCE"/>
            <w:noWrap/>
          </w:tcPr>
          <w:p w14:paraId="46DA8AFD" w14:textId="23622128" w:rsidR="000E48CE" w:rsidRDefault="00FF4C4E">
            <w:pPr>
              <w:pStyle w:val="P68B1DB1-Normal13"/>
              <w:jc w:val="center"/>
              <w:rPr>
                <w:rFonts w:cs="Times New Roman"/>
                <w:noProof/>
              </w:rPr>
            </w:pPr>
            <w:r>
              <w:rPr>
                <w:noProof/>
              </w:rPr>
              <w:t>2023</w:t>
            </w:r>
          </w:p>
        </w:tc>
        <w:tc>
          <w:tcPr>
            <w:tcW w:w="5387" w:type="dxa"/>
            <w:shd w:val="clear" w:color="auto" w:fill="C6EFCE"/>
            <w:noWrap/>
          </w:tcPr>
          <w:p w14:paraId="4912E8BF" w14:textId="573B8FFB" w:rsidR="000E48CE" w:rsidRDefault="00FF4C4E">
            <w:pPr>
              <w:pStyle w:val="P68B1DB1-Normal13"/>
              <w:rPr>
                <w:rFonts w:cs="Times New Roman"/>
                <w:noProof/>
              </w:rPr>
            </w:pPr>
            <w:r>
              <w:rPr>
                <w:noProof/>
              </w:rPr>
              <w:t xml:space="preserve">Lisäys maatalous-, kalastus- ja elintarvikeministeriön (MAPA) ja SEIASAn väliseen yhteistyösopimukseen (vaiheen II laajentaminen; Talousarvion </w:t>
            </w:r>
            <w:r>
              <w:rPr>
                <w:noProof/>
              </w:rPr>
              <w:t>toteuttamisesta 150000000 euroa) pannaan täytäntöön tällä investointihankkeella toteutettavan kastelun tehokkuuden ja kestävyyden parantamista koskevan suunnitelman ehdot. Tällä oikeudellisella normilla säännellään muun muassa näiden kastelun nykyaikaistam</w:t>
            </w:r>
            <w:r>
              <w:rPr>
                <w:noProof/>
              </w:rPr>
              <w:t>iseen tehtävien investointien julkista/yksityistä rahoitusjärjestelmää, hankkeiden valintaperusteita, suunnitelman toteutusmenettelyjä sekä luetteloa toimista, jotka liittyvät tämän toimenpiteen mukaiseen talousarvion toteuttamiseen.  (Perustaso: Kesäkuuta</w:t>
            </w:r>
            <w:r>
              <w:rPr>
                <w:noProof/>
              </w:rPr>
              <w:t xml:space="preserve"> 2022 tavoitteen 47 perusteella)</w:t>
            </w:r>
          </w:p>
        </w:tc>
      </w:tr>
      <w:tr w:rsidR="000E48CE" w14:paraId="0B6296AC" w14:textId="77777777">
        <w:trPr>
          <w:trHeight w:val="309"/>
        </w:trPr>
        <w:tc>
          <w:tcPr>
            <w:tcW w:w="709" w:type="dxa"/>
            <w:shd w:val="clear" w:color="auto" w:fill="C6EFCE"/>
            <w:noWrap/>
          </w:tcPr>
          <w:p w14:paraId="28E52AA1" w14:textId="354ADA0D" w:rsidR="000E48CE" w:rsidRDefault="00FF4C4E">
            <w:pPr>
              <w:pStyle w:val="P68B1DB1-Normal13"/>
              <w:spacing w:after="0" w:line="240" w:lineRule="auto"/>
              <w:jc w:val="center"/>
              <w:rPr>
                <w:rFonts w:eastAsia="MS Mincho" w:cs="Times New Roman"/>
                <w:noProof/>
              </w:rPr>
            </w:pPr>
            <w:r>
              <w:rPr>
                <w:noProof/>
              </w:rPr>
              <w:t>48</w:t>
            </w:r>
          </w:p>
        </w:tc>
        <w:tc>
          <w:tcPr>
            <w:tcW w:w="851" w:type="dxa"/>
            <w:shd w:val="clear" w:color="auto" w:fill="C6EFCE"/>
            <w:noWrap/>
          </w:tcPr>
          <w:p w14:paraId="023805EF" w14:textId="77777777" w:rsidR="000E48CE" w:rsidRDefault="00FF4C4E">
            <w:pPr>
              <w:pStyle w:val="P68B1DB1-Normal13"/>
              <w:spacing w:after="0" w:line="240" w:lineRule="auto"/>
              <w:jc w:val="center"/>
              <w:rPr>
                <w:rFonts w:eastAsia="MS Mincho" w:cs="Times New Roman"/>
                <w:noProof/>
              </w:rPr>
            </w:pPr>
            <w:r>
              <w:rPr>
                <w:noProof/>
              </w:rPr>
              <w:t>C3.I1</w:t>
            </w:r>
          </w:p>
        </w:tc>
        <w:tc>
          <w:tcPr>
            <w:tcW w:w="1080" w:type="dxa"/>
            <w:shd w:val="clear" w:color="auto" w:fill="C6EFCE"/>
            <w:noWrap/>
          </w:tcPr>
          <w:p w14:paraId="55F394AC" w14:textId="77777777" w:rsidR="000E48CE" w:rsidRDefault="00FF4C4E">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37A0B2C3" w14:textId="65364637" w:rsidR="000E48CE" w:rsidRDefault="00FF4C4E">
            <w:pPr>
              <w:pStyle w:val="P68B1DB1-Normal13"/>
              <w:spacing w:after="0" w:line="240" w:lineRule="auto"/>
              <w:rPr>
                <w:rFonts w:eastAsia="MS Mincho" w:cs="Times New Roman"/>
                <w:noProof/>
              </w:rPr>
            </w:pPr>
            <w:r>
              <w:rPr>
                <w:noProof/>
              </w:rPr>
              <w:t xml:space="preserve">Kastelujärjestelmien nykyaikaistaminen veden säästämisen ja energiatehokkuuden osalta  </w:t>
            </w:r>
          </w:p>
        </w:tc>
        <w:tc>
          <w:tcPr>
            <w:tcW w:w="1276" w:type="dxa"/>
            <w:shd w:val="clear" w:color="auto" w:fill="C6EFCE"/>
            <w:noWrap/>
          </w:tcPr>
          <w:p w14:paraId="1F72F646"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69A22CFF" w14:textId="5A648E9A" w:rsidR="000E48CE" w:rsidRDefault="00FF4C4E">
            <w:pPr>
              <w:pStyle w:val="P68B1DB1-Normal13"/>
              <w:spacing w:after="0" w:line="240" w:lineRule="auto"/>
              <w:jc w:val="right"/>
              <w:rPr>
                <w:rFonts w:eastAsia="MS Mincho" w:cs="Times New Roman"/>
                <w:noProof/>
              </w:rPr>
            </w:pPr>
            <w:r>
              <w:rPr>
                <w:noProof/>
              </w:rPr>
              <w:t xml:space="preserve">Lukumäärä </w:t>
            </w:r>
            <w:r>
              <w:rPr>
                <w:noProof/>
              </w:rPr>
              <w:lastRenderedPageBreak/>
              <w:t>(hehtaareina)</w:t>
            </w:r>
          </w:p>
        </w:tc>
        <w:tc>
          <w:tcPr>
            <w:tcW w:w="567" w:type="dxa"/>
            <w:shd w:val="clear" w:color="auto" w:fill="C6EFCE"/>
            <w:noWrap/>
          </w:tcPr>
          <w:p w14:paraId="5D56E414" w14:textId="77777777" w:rsidR="000E48CE" w:rsidRDefault="00FF4C4E">
            <w:pPr>
              <w:pStyle w:val="P68B1DB1-Normal13"/>
              <w:spacing w:after="0" w:line="240" w:lineRule="auto"/>
              <w:jc w:val="right"/>
              <w:rPr>
                <w:rFonts w:eastAsia="MS Mincho" w:cs="Times New Roman"/>
                <w:noProof/>
              </w:rPr>
            </w:pPr>
            <w:r>
              <w:rPr>
                <w:noProof/>
              </w:rPr>
              <w:lastRenderedPageBreak/>
              <w:t>0</w:t>
            </w:r>
          </w:p>
        </w:tc>
        <w:tc>
          <w:tcPr>
            <w:tcW w:w="709" w:type="dxa"/>
            <w:shd w:val="clear" w:color="auto" w:fill="C6EFCE"/>
            <w:noWrap/>
          </w:tcPr>
          <w:p w14:paraId="65BA75C7" w14:textId="1A054656" w:rsidR="000E48CE" w:rsidRDefault="00FF4C4E">
            <w:pPr>
              <w:pStyle w:val="P68B1DB1-Normal13"/>
              <w:spacing w:after="0" w:line="240" w:lineRule="auto"/>
              <w:jc w:val="right"/>
              <w:rPr>
                <w:rFonts w:eastAsia="MS Mincho" w:cs="Times New Roman"/>
                <w:noProof/>
              </w:rPr>
            </w:pPr>
            <w:r>
              <w:rPr>
                <w:noProof/>
              </w:rPr>
              <w:t>125 000</w:t>
            </w:r>
          </w:p>
        </w:tc>
        <w:tc>
          <w:tcPr>
            <w:tcW w:w="425" w:type="dxa"/>
            <w:shd w:val="clear" w:color="auto" w:fill="C6EFCE"/>
            <w:noWrap/>
          </w:tcPr>
          <w:p w14:paraId="7757B762" w14:textId="30E4530E"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5177A41D" w14:textId="07F9D794" w:rsidR="000E48CE" w:rsidRDefault="00FF4C4E">
            <w:pPr>
              <w:pStyle w:val="P68B1DB1-Normal13"/>
              <w:spacing w:after="0" w:line="240" w:lineRule="auto"/>
              <w:jc w:val="center"/>
              <w:rPr>
                <w:rFonts w:eastAsia="MS Mincho" w:cs="Times New Roman"/>
                <w:noProof/>
              </w:rPr>
            </w:pPr>
            <w:r>
              <w:rPr>
                <w:noProof/>
              </w:rPr>
              <w:t>2026</w:t>
            </w:r>
          </w:p>
        </w:tc>
        <w:tc>
          <w:tcPr>
            <w:tcW w:w="5387" w:type="dxa"/>
            <w:shd w:val="clear" w:color="auto" w:fill="C6EFCE"/>
            <w:noWrap/>
          </w:tcPr>
          <w:p w14:paraId="3EA8274B" w14:textId="7C567330" w:rsidR="000E48CE" w:rsidRDefault="00FF4C4E">
            <w:pPr>
              <w:pStyle w:val="P68B1DB1-Normal13"/>
              <w:spacing w:after="0" w:line="240" w:lineRule="auto"/>
              <w:rPr>
                <w:rFonts w:eastAsia="MS Mincho" w:cs="Times New Roman"/>
                <w:noProof/>
              </w:rPr>
            </w:pPr>
            <w:r>
              <w:rPr>
                <w:noProof/>
              </w:rPr>
              <w:t xml:space="preserve">Vähintään 125000 hehtaaria kastelujärjestelmiä nykyaikaistetaan veden säästämisen ja energiatehokkuuden osalta. Elpymis- ja palautumissuunnitelman investoinneilla sekä toteutettujen toimien </w:t>
            </w:r>
            <w:r>
              <w:rPr>
                <w:noProof/>
              </w:rPr>
              <w:lastRenderedPageBreak/>
              <w:t>luokittelulla modernisoidut pinta-alat on otettava huomioon SEIASA</w:t>
            </w:r>
            <w:r>
              <w:rPr>
                <w:noProof/>
              </w:rPr>
              <w:t xml:space="preserve">n asianomaisten I vedenkäyttäjien yhteisöjen kanssa allekirjoittamissa yhteistyösopimuksissa. Näissä sopimuksissa vahvistetaan erityiset toimet, jotka on toteutettava nykyaikaistettujen kastelujärjestelmien vedensäästön ja energiatehokkuuden takaamiseksi. </w:t>
            </w:r>
            <w:r>
              <w:rPr>
                <w:noProof/>
              </w:rPr>
              <w:t>Tämän suunnitelman yhteydessä on toteutettava muun muassa seuraavat toimet: (I) pohja- tai pintaveden käytön korvaaminen käyttämällä epätavanomaisia vesivaroja (regeneroituja tai suolasta poistettuja) teknisiä ohjeita ”ei merkittävää haittaa” (2021/C58/01)</w:t>
            </w:r>
            <w:r>
              <w:rPr>
                <w:noProof/>
              </w:rPr>
              <w:t xml:space="preserve"> ii) sellaisten vedensäätelyjärjestelmien täytäntöönpano, jotka mahdollistavat painovoimakastelun (korkeuseron käyttäminen siten, että veden kuljetus ei edellytä energian käyttöä), iii) uusiutuvista energialähteistä pumppaamiseen tarvittavan energian (pääa</w:t>
            </w:r>
            <w:r>
              <w:rPr>
                <w:noProof/>
              </w:rPr>
              <w:t>siassa aurinkosähkön) korvaaminen fossiilisista lähteistä, iv) betonista tai maasta valmistettujen ulkoilmaojien korvaaminen haudatuilla putkilla, v) suodatus- ja pumppausasemien rakentaminen ja vi) mittareiden ja kaukohallintajärjestelmien asentaminen. Vu</w:t>
            </w:r>
            <w:r>
              <w:rPr>
                <w:noProof/>
              </w:rPr>
              <w:t>oden 2026 toiseen neljännekseen mennessä kastelujärjestelmiä nykyaikaistetaan vähintään 125000 hehtaaria vedensäästön ja energiatehokkuuden osalta, mikä voidaan todentaa SIEASAn ja kasteluyhteisöjen sopimuksilla.</w:t>
            </w:r>
          </w:p>
        </w:tc>
      </w:tr>
      <w:tr w:rsidR="000E48CE" w14:paraId="16112381" w14:textId="77777777">
        <w:trPr>
          <w:trHeight w:val="309"/>
        </w:trPr>
        <w:tc>
          <w:tcPr>
            <w:tcW w:w="709" w:type="dxa"/>
            <w:shd w:val="clear" w:color="auto" w:fill="C6EFCE"/>
            <w:noWrap/>
          </w:tcPr>
          <w:p w14:paraId="20228FB5" w14:textId="05046FB4" w:rsidR="000E48CE" w:rsidRDefault="00FF4C4E">
            <w:pPr>
              <w:pStyle w:val="P68B1DB1-Normal13"/>
              <w:spacing w:after="0" w:line="240" w:lineRule="auto"/>
              <w:jc w:val="center"/>
              <w:rPr>
                <w:rFonts w:cs="Times New Roman"/>
                <w:noProof/>
              </w:rPr>
            </w:pPr>
            <w:r>
              <w:rPr>
                <w:noProof/>
              </w:rPr>
              <w:lastRenderedPageBreak/>
              <w:t>421</w:t>
            </w:r>
          </w:p>
        </w:tc>
        <w:tc>
          <w:tcPr>
            <w:tcW w:w="851" w:type="dxa"/>
            <w:shd w:val="clear" w:color="auto" w:fill="C6EFCE"/>
            <w:noWrap/>
          </w:tcPr>
          <w:p w14:paraId="68EFC70D" w14:textId="163DFC93" w:rsidR="000E48CE" w:rsidRDefault="00FF4C4E">
            <w:pPr>
              <w:pStyle w:val="P68B1DB1-Normal13"/>
              <w:spacing w:after="0" w:line="240" w:lineRule="auto"/>
              <w:jc w:val="center"/>
              <w:rPr>
                <w:rFonts w:cs="Times New Roman"/>
                <w:noProof/>
              </w:rPr>
            </w:pPr>
            <w:r>
              <w:rPr>
                <w:noProof/>
              </w:rPr>
              <w:t>C3.I2</w:t>
            </w:r>
          </w:p>
        </w:tc>
        <w:tc>
          <w:tcPr>
            <w:tcW w:w="1080" w:type="dxa"/>
            <w:shd w:val="clear" w:color="auto" w:fill="C6EFCE"/>
            <w:noWrap/>
          </w:tcPr>
          <w:p w14:paraId="51B435AF" w14:textId="630F3F02" w:rsidR="000E48CE" w:rsidRDefault="00FF4C4E">
            <w:pPr>
              <w:pStyle w:val="P68B1DB1-Normal13"/>
              <w:spacing w:after="0" w:line="240" w:lineRule="auto"/>
              <w:jc w:val="center"/>
              <w:rPr>
                <w:rFonts w:cs="Times New Roman"/>
                <w:noProof/>
              </w:rPr>
            </w:pPr>
            <w:r>
              <w:rPr>
                <w:noProof/>
              </w:rPr>
              <w:t>T</w:t>
            </w:r>
          </w:p>
        </w:tc>
        <w:tc>
          <w:tcPr>
            <w:tcW w:w="2889" w:type="dxa"/>
            <w:shd w:val="clear" w:color="auto" w:fill="C6EFCE"/>
            <w:noWrap/>
          </w:tcPr>
          <w:p w14:paraId="097C4D00" w14:textId="5AF124FD" w:rsidR="000E48CE" w:rsidRDefault="00FF4C4E">
            <w:pPr>
              <w:pStyle w:val="P68B1DB1-Normal13"/>
              <w:spacing w:after="0" w:line="240" w:lineRule="auto"/>
              <w:rPr>
                <w:rFonts w:cs="Times New Roman"/>
                <w:noProof/>
              </w:rPr>
            </w:pPr>
            <w:r>
              <w:rPr>
                <w:noProof/>
              </w:rPr>
              <w:t xml:space="preserve">Bioturvallisuustason 3 </w:t>
            </w:r>
            <w:r>
              <w:rPr>
                <w:noProof/>
              </w:rPr>
              <w:t>laboratorion ja kansallisen kasvinsuojelulaboratorion rakentamisen loppuun saattaminen.</w:t>
            </w:r>
          </w:p>
        </w:tc>
        <w:tc>
          <w:tcPr>
            <w:tcW w:w="1276" w:type="dxa"/>
            <w:shd w:val="clear" w:color="auto" w:fill="C6EFCE"/>
            <w:noWrap/>
          </w:tcPr>
          <w:p w14:paraId="00A2A4FD"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7AA022EC" w14:textId="7024E203" w:rsidR="000E48CE" w:rsidRDefault="00FF4C4E">
            <w:pPr>
              <w:pStyle w:val="P68B1DB1-Normal13"/>
              <w:spacing w:after="0" w:line="240" w:lineRule="auto"/>
              <w:jc w:val="right"/>
              <w:rPr>
                <w:rFonts w:cs="Times New Roman"/>
                <w:noProof/>
              </w:rPr>
            </w:pPr>
            <w:r>
              <w:rPr>
                <w:noProof/>
              </w:rPr>
              <w:t>Määrä</w:t>
            </w:r>
          </w:p>
        </w:tc>
        <w:tc>
          <w:tcPr>
            <w:tcW w:w="567" w:type="dxa"/>
            <w:shd w:val="clear" w:color="auto" w:fill="C6EFCE"/>
            <w:noWrap/>
          </w:tcPr>
          <w:p w14:paraId="6C68AD98"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06D8A153" w14:textId="51FF80B4" w:rsidR="000E48CE" w:rsidRDefault="00FF4C4E">
            <w:pPr>
              <w:pStyle w:val="P68B1DB1-Normal13"/>
              <w:spacing w:after="0" w:line="240" w:lineRule="auto"/>
              <w:jc w:val="right"/>
              <w:rPr>
                <w:rFonts w:cs="Times New Roman"/>
                <w:noProof/>
              </w:rPr>
            </w:pPr>
            <w:r>
              <w:rPr>
                <w:noProof/>
              </w:rPr>
              <w:t>2</w:t>
            </w:r>
          </w:p>
        </w:tc>
        <w:tc>
          <w:tcPr>
            <w:tcW w:w="425" w:type="dxa"/>
            <w:shd w:val="clear" w:color="auto" w:fill="C6EFCE"/>
            <w:noWrap/>
          </w:tcPr>
          <w:p w14:paraId="3FB19F6E" w14:textId="51F95DB8" w:rsidR="000E48CE" w:rsidRDefault="00FF4C4E">
            <w:pPr>
              <w:pStyle w:val="P68B1DB1-Normal13"/>
              <w:spacing w:after="0" w:line="240" w:lineRule="auto"/>
              <w:jc w:val="center"/>
              <w:rPr>
                <w:rFonts w:cs="Times New Roman"/>
                <w:noProof/>
              </w:rPr>
            </w:pPr>
            <w:r>
              <w:rPr>
                <w:noProof/>
              </w:rPr>
              <w:t>Q1</w:t>
            </w:r>
          </w:p>
        </w:tc>
        <w:tc>
          <w:tcPr>
            <w:tcW w:w="567" w:type="dxa"/>
            <w:shd w:val="clear" w:color="auto" w:fill="C6EFCE"/>
            <w:noWrap/>
          </w:tcPr>
          <w:p w14:paraId="1C3E143B" w14:textId="668D3DFF" w:rsidR="000E48CE" w:rsidRDefault="00FF4C4E">
            <w:pPr>
              <w:pStyle w:val="P68B1DB1-Normal13"/>
              <w:spacing w:after="0" w:line="240" w:lineRule="auto"/>
              <w:jc w:val="center"/>
              <w:rPr>
                <w:rFonts w:cs="Times New Roman"/>
                <w:noProof/>
              </w:rPr>
            </w:pPr>
            <w:r>
              <w:rPr>
                <w:noProof/>
              </w:rPr>
              <w:t>2025</w:t>
            </w:r>
          </w:p>
        </w:tc>
        <w:tc>
          <w:tcPr>
            <w:tcW w:w="5387" w:type="dxa"/>
            <w:shd w:val="clear" w:color="auto" w:fill="C6EFCE"/>
            <w:noWrap/>
          </w:tcPr>
          <w:p w14:paraId="149AEA09" w14:textId="53905DE4" w:rsidR="000E48CE" w:rsidRDefault="00FF4C4E">
            <w:pPr>
              <w:pStyle w:val="P68B1DB1-Normal13"/>
              <w:spacing w:after="0" w:line="240" w:lineRule="auto"/>
              <w:rPr>
                <w:rFonts w:cs="Times New Roman"/>
                <w:noProof/>
              </w:rPr>
            </w:pPr>
            <w:r>
              <w:rPr>
                <w:noProof/>
              </w:rPr>
              <w:t>Tason 3 biologisen turvallisuuden laboratorion (LCSA – Santa Fe) ja Lugossa sijaitsevan kansallisen kasvinterveyslaboratorion rakentamisen loppuun saa</w:t>
            </w:r>
            <w:r>
              <w:rPr>
                <w:noProof/>
              </w:rPr>
              <w:t>ttaminen.</w:t>
            </w:r>
          </w:p>
        </w:tc>
      </w:tr>
      <w:tr w:rsidR="000E48CE" w14:paraId="3C0A710D" w14:textId="77777777">
        <w:trPr>
          <w:trHeight w:val="309"/>
        </w:trPr>
        <w:tc>
          <w:tcPr>
            <w:tcW w:w="709" w:type="dxa"/>
            <w:shd w:val="clear" w:color="auto" w:fill="C6EFCE"/>
            <w:noWrap/>
          </w:tcPr>
          <w:p w14:paraId="12424CF8" w14:textId="54319176" w:rsidR="000E48CE" w:rsidRDefault="00FF4C4E">
            <w:pPr>
              <w:pStyle w:val="P68B1DB1-Normal13"/>
              <w:spacing w:after="0" w:line="240" w:lineRule="auto"/>
              <w:jc w:val="center"/>
              <w:rPr>
                <w:rFonts w:cs="Times New Roman"/>
                <w:noProof/>
              </w:rPr>
            </w:pPr>
            <w:r>
              <w:rPr>
                <w:noProof/>
              </w:rPr>
              <w:t>49</w:t>
            </w:r>
          </w:p>
        </w:tc>
        <w:tc>
          <w:tcPr>
            <w:tcW w:w="851" w:type="dxa"/>
            <w:shd w:val="clear" w:color="auto" w:fill="C6EFCE"/>
            <w:noWrap/>
          </w:tcPr>
          <w:p w14:paraId="148F71E4" w14:textId="5E05A255" w:rsidR="000E48CE" w:rsidRDefault="00FF4C4E">
            <w:pPr>
              <w:pStyle w:val="P68B1DB1-Normal13"/>
              <w:spacing w:after="0" w:line="240" w:lineRule="auto"/>
              <w:jc w:val="center"/>
              <w:rPr>
                <w:rFonts w:cs="Times New Roman"/>
                <w:noProof/>
              </w:rPr>
            </w:pPr>
            <w:r>
              <w:rPr>
                <w:noProof/>
              </w:rPr>
              <w:t>C3.I2</w:t>
            </w:r>
          </w:p>
        </w:tc>
        <w:tc>
          <w:tcPr>
            <w:tcW w:w="1080" w:type="dxa"/>
            <w:shd w:val="clear" w:color="auto" w:fill="C6EFCE"/>
            <w:noWrap/>
          </w:tcPr>
          <w:p w14:paraId="5E1104F7" w14:textId="56875245" w:rsidR="000E48CE" w:rsidRDefault="00FF4C4E">
            <w:pPr>
              <w:pStyle w:val="P68B1DB1-Normal13"/>
              <w:spacing w:after="0" w:line="240" w:lineRule="auto"/>
              <w:jc w:val="center"/>
              <w:rPr>
                <w:rFonts w:cs="Times New Roman"/>
                <w:noProof/>
              </w:rPr>
            </w:pPr>
            <w:r>
              <w:rPr>
                <w:noProof/>
              </w:rPr>
              <w:t>T</w:t>
            </w:r>
          </w:p>
        </w:tc>
        <w:tc>
          <w:tcPr>
            <w:tcW w:w="2889" w:type="dxa"/>
            <w:shd w:val="clear" w:color="auto" w:fill="C6EFCE"/>
            <w:noWrap/>
          </w:tcPr>
          <w:p w14:paraId="4DF864B7" w14:textId="0D5C4563" w:rsidR="000E48CE" w:rsidRDefault="00FF4C4E">
            <w:pPr>
              <w:pStyle w:val="P68B1DB1-Normal13"/>
              <w:spacing w:after="0" w:line="240" w:lineRule="auto"/>
              <w:rPr>
                <w:rFonts w:cs="Times New Roman"/>
                <w:noProof/>
              </w:rPr>
            </w:pPr>
            <w:r>
              <w:rPr>
                <w:noProof/>
              </w:rPr>
              <w:t xml:space="preserve">Sellaisen eläinlaitoksen rakentamisen loppuun saattaminen, jonka bioturvallisuustaso on 3. </w:t>
            </w:r>
          </w:p>
        </w:tc>
        <w:tc>
          <w:tcPr>
            <w:tcW w:w="1276" w:type="dxa"/>
            <w:shd w:val="clear" w:color="auto" w:fill="C6EFCE"/>
            <w:noWrap/>
          </w:tcPr>
          <w:p w14:paraId="4D3C8EB5"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273B8182" w14:textId="751D5AB5" w:rsidR="000E48CE" w:rsidRDefault="00FF4C4E">
            <w:pPr>
              <w:pStyle w:val="P68B1DB1-Normal13"/>
              <w:spacing w:after="0" w:line="240" w:lineRule="auto"/>
              <w:jc w:val="right"/>
              <w:rPr>
                <w:rFonts w:cs="Times New Roman"/>
                <w:noProof/>
              </w:rPr>
            </w:pPr>
            <w:r>
              <w:rPr>
                <w:noProof/>
              </w:rPr>
              <w:t>Määrä</w:t>
            </w:r>
          </w:p>
        </w:tc>
        <w:tc>
          <w:tcPr>
            <w:tcW w:w="567" w:type="dxa"/>
            <w:shd w:val="clear" w:color="auto" w:fill="C6EFCE"/>
            <w:noWrap/>
          </w:tcPr>
          <w:p w14:paraId="30E42435" w14:textId="3418A787"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3B4DBFC6" w14:textId="4E296265" w:rsidR="000E48CE" w:rsidRDefault="00FF4C4E">
            <w:pPr>
              <w:pStyle w:val="P68B1DB1-Normal13"/>
              <w:spacing w:after="0" w:line="240" w:lineRule="auto"/>
              <w:jc w:val="right"/>
              <w:rPr>
                <w:rFonts w:cs="Times New Roman"/>
                <w:noProof/>
              </w:rPr>
            </w:pPr>
            <w:r>
              <w:rPr>
                <w:noProof/>
              </w:rPr>
              <w:t>1</w:t>
            </w:r>
          </w:p>
        </w:tc>
        <w:tc>
          <w:tcPr>
            <w:tcW w:w="425" w:type="dxa"/>
            <w:shd w:val="clear" w:color="auto" w:fill="C6EFCE"/>
            <w:noWrap/>
          </w:tcPr>
          <w:p w14:paraId="30C2E373" w14:textId="10AD5E3C"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3F9C886C" w14:textId="6604ECA0" w:rsidR="000E48CE" w:rsidRDefault="00FF4C4E">
            <w:pPr>
              <w:pStyle w:val="P68B1DB1-Normal13"/>
              <w:spacing w:after="0" w:line="240" w:lineRule="auto"/>
              <w:jc w:val="center"/>
              <w:rPr>
                <w:rFonts w:cs="Times New Roman"/>
                <w:noProof/>
              </w:rPr>
            </w:pPr>
            <w:r>
              <w:rPr>
                <w:noProof/>
              </w:rPr>
              <w:t>2026</w:t>
            </w:r>
          </w:p>
        </w:tc>
        <w:tc>
          <w:tcPr>
            <w:tcW w:w="5387" w:type="dxa"/>
            <w:shd w:val="clear" w:color="auto" w:fill="C6EFCE"/>
            <w:noWrap/>
          </w:tcPr>
          <w:p w14:paraId="732A624F" w14:textId="16CC0677" w:rsidR="000E48CE" w:rsidRDefault="00FF4C4E">
            <w:pPr>
              <w:pStyle w:val="P68B1DB1-Normal13"/>
              <w:spacing w:after="0" w:line="240" w:lineRule="auto"/>
              <w:rPr>
                <w:rFonts w:cs="Times New Roman"/>
                <w:noProof/>
              </w:rPr>
            </w:pPr>
            <w:r>
              <w:rPr>
                <w:noProof/>
              </w:rPr>
              <w:t>Tason 3 biologisten eläinten turvallisuutta käsittelevän laitoksen (LCV-Algete) rakentamisen loppuun saattaminen</w:t>
            </w:r>
          </w:p>
        </w:tc>
      </w:tr>
      <w:tr w:rsidR="000E48CE" w14:paraId="4FC01CD0" w14:textId="77777777">
        <w:trPr>
          <w:trHeight w:val="309"/>
        </w:trPr>
        <w:tc>
          <w:tcPr>
            <w:tcW w:w="709" w:type="dxa"/>
            <w:shd w:val="clear" w:color="auto" w:fill="C6EFCE"/>
            <w:noWrap/>
          </w:tcPr>
          <w:p w14:paraId="54368C02" w14:textId="26A50E97" w:rsidR="000E48CE" w:rsidRDefault="00FF4C4E">
            <w:pPr>
              <w:pStyle w:val="P68B1DB1-Normal13"/>
              <w:spacing w:after="0" w:line="240" w:lineRule="auto"/>
              <w:jc w:val="center"/>
              <w:rPr>
                <w:rFonts w:eastAsia="MS Mincho" w:cs="Times New Roman"/>
                <w:noProof/>
              </w:rPr>
            </w:pPr>
            <w:r>
              <w:rPr>
                <w:noProof/>
              </w:rPr>
              <w:t>50</w:t>
            </w:r>
          </w:p>
        </w:tc>
        <w:tc>
          <w:tcPr>
            <w:tcW w:w="851" w:type="dxa"/>
            <w:shd w:val="clear" w:color="auto" w:fill="C6EFCE"/>
            <w:noWrap/>
          </w:tcPr>
          <w:p w14:paraId="15507CD7" w14:textId="5DBC095D" w:rsidR="000E48CE" w:rsidRDefault="00FF4C4E">
            <w:pPr>
              <w:pStyle w:val="P68B1DB1-Normal13"/>
              <w:spacing w:after="0" w:line="240" w:lineRule="auto"/>
              <w:jc w:val="center"/>
              <w:rPr>
                <w:rFonts w:eastAsia="MS Mincho" w:cs="Times New Roman"/>
                <w:noProof/>
              </w:rPr>
            </w:pPr>
            <w:r>
              <w:rPr>
                <w:noProof/>
              </w:rPr>
              <w:t>C3.I3</w:t>
            </w:r>
          </w:p>
        </w:tc>
        <w:tc>
          <w:tcPr>
            <w:tcW w:w="1080" w:type="dxa"/>
            <w:shd w:val="clear" w:color="auto" w:fill="C6EFCE"/>
            <w:noWrap/>
          </w:tcPr>
          <w:p w14:paraId="12E77EC6" w14:textId="77777777" w:rsidR="000E48CE" w:rsidRDefault="00FF4C4E">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73767E53" w14:textId="2E4D0259" w:rsidR="000E48CE" w:rsidRDefault="00FF4C4E">
            <w:pPr>
              <w:pStyle w:val="P68B1DB1-Normal13"/>
              <w:spacing w:after="0" w:line="240" w:lineRule="auto"/>
              <w:rPr>
                <w:rFonts w:eastAsia="MS Mincho" w:cs="Times New Roman"/>
                <w:noProof/>
              </w:rPr>
            </w:pPr>
            <w:r>
              <w:rPr>
                <w:noProof/>
              </w:rPr>
              <w:t>Paremmat puhdistus- ja desinfiointikeskukset ja kasvien lisäysaineiston tuotantokeskukset sekä tehostetut koulutus- ja bioturvaamisjärjestelmät</w:t>
            </w:r>
          </w:p>
        </w:tc>
        <w:tc>
          <w:tcPr>
            <w:tcW w:w="1276" w:type="dxa"/>
            <w:shd w:val="clear" w:color="auto" w:fill="C6EFCE"/>
            <w:noWrap/>
          </w:tcPr>
          <w:p w14:paraId="61CDCEAD"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D78A289" w14:textId="77777777" w:rsidR="000E48CE" w:rsidRDefault="00FF4C4E">
            <w:pPr>
              <w:pStyle w:val="P68B1DB1-Normal13"/>
              <w:spacing w:after="0" w:line="240" w:lineRule="auto"/>
              <w:jc w:val="right"/>
              <w:rPr>
                <w:rFonts w:eastAsia="MS Mincho" w:cs="Times New Roman"/>
                <w:noProof/>
              </w:rPr>
            </w:pPr>
            <w:r>
              <w:rPr>
                <w:noProof/>
              </w:rPr>
              <w:t>Määrä</w:t>
            </w:r>
          </w:p>
        </w:tc>
        <w:tc>
          <w:tcPr>
            <w:tcW w:w="567" w:type="dxa"/>
            <w:shd w:val="clear" w:color="auto" w:fill="C6EFCE"/>
            <w:noWrap/>
          </w:tcPr>
          <w:p w14:paraId="24452D0A" w14:textId="77777777"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0B778152" w14:textId="1EA32FC5" w:rsidR="000E48CE" w:rsidRDefault="00FF4C4E">
            <w:pPr>
              <w:pStyle w:val="P68B1DB1-Normal13"/>
              <w:spacing w:after="0" w:line="240" w:lineRule="auto"/>
              <w:jc w:val="right"/>
              <w:rPr>
                <w:rFonts w:eastAsia="MS Mincho" w:cs="Times New Roman"/>
                <w:noProof/>
              </w:rPr>
            </w:pPr>
            <w:r>
              <w:rPr>
                <w:noProof/>
              </w:rPr>
              <w:t>465</w:t>
            </w:r>
          </w:p>
        </w:tc>
        <w:tc>
          <w:tcPr>
            <w:tcW w:w="425" w:type="dxa"/>
            <w:shd w:val="clear" w:color="auto" w:fill="C6EFCE"/>
            <w:noWrap/>
          </w:tcPr>
          <w:p w14:paraId="7CAE184B" w14:textId="59B4FD02" w:rsidR="000E48CE" w:rsidRDefault="00FF4C4E">
            <w:pPr>
              <w:pStyle w:val="P68B1DB1-Normal13"/>
              <w:spacing w:after="0" w:line="240" w:lineRule="auto"/>
              <w:jc w:val="center"/>
              <w:rPr>
                <w:rFonts w:eastAsia="MS Mincho" w:cs="Times New Roman"/>
                <w:noProof/>
              </w:rPr>
            </w:pPr>
            <w:r>
              <w:rPr>
                <w:noProof/>
              </w:rPr>
              <w:t>KOLMAS VUOSINELJÄNNES</w:t>
            </w:r>
          </w:p>
        </w:tc>
        <w:tc>
          <w:tcPr>
            <w:tcW w:w="567" w:type="dxa"/>
            <w:shd w:val="clear" w:color="auto" w:fill="C6EFCE"/>
            <w:noWrap/>
          </w:tcPr>
          <w:p w14:paraId="2063B540" w14:textId="0F5B2526" w:rsidR="000E48CE" w:rsidRDefault="00FF4C4E">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4D6A125A" w14:textId="3475416D" w:rsidR="000E48CE" w:rsidRDefault="00FF4C4E">
            <w:pPr>
              <w:pStyle w:val="P68B1DB1-Normal13"/>
              <w:spacing w:after="0" w:line="240" w:lineRule="auto"/>
              <w:rPr>
                <w:rFonts w:cs="Times New Roman"/>
                <w:noProof/>
              </w:rPr>
            </w:pPr>
            <w:r>
              <w:rPr>
                <w:noProof/>
              </w:rPr>
              <w:t>Vähintään 465 puhdistus- ja desinfiointikeskusta ja kasvien lisäysaineiston tuotantokeskusta, joissa on tehostetut koulutus- ja bioturvaamisjärjestelmät. Kapasiteetin kehittämiseen kuuluu puhdistus- ja desinfiointilaitosten parantaminen ja rakentaminen kai</w:t>
            </w:r>
            <w:r>
              <w:rPr>
                <w:noProof/>
              </w:rPr>
              <w:t>kkialla Espanjassa, ja bioturvallisuus koostuu esteettömistä, nykyaikaisista ja varustetuista puhdistus- ja desinfiointitiloista. Puhdistus ja desinfiointi ovat keskeinen osa bioturvallisuustoimenpiteitä, joten näiden tilojen tekninen parantaminen on olenn</w:t>
            </w:r>
            <w:r>
              <w:rPr>
                <w:noProof/>
              </w:rPr>
              <w:t xml:space="preserve">aisen tärkeää, kuten automaatiota, robotisaatiota, </w:t>
            </w:r>
            <w:r>
              <w:rPr>
                <w:noProof/>
              </w:rPr>
              <w:lastRenderedPageBreak/>
              <w:t xml:space="preserve">uusien puhdistus- ja desinfiointijärjestelmien, kuten lämpödesinfioinnin tai järjestelmien asentamisen, asentamista. </w:t>
            </w:r>
          </w:p>
        </w:tc>
      </w:tr>
      <w:tr w:rsidR="000E48CE" w14:paraId="56738BA1" w14:textId="77777777">
        <w:trPr>
          <w:trHeight w:val="309"/>
        </w:trPr>
        <w:tc>
          <w:tcPr>
            <w:tcW w:w="709" w:type="dxa"/>
            <w:shd w:val="clear" w:color="auto" w:fill="C6EFCE"/>
            <w:noWrap/>
          </w:tcPr>
          <w:p w14:paraId="25E19083" w14:textId="12369BAE" w:rsidR="000E48CE" w:rsidRDefault="00FF4C4E">
            <w:pPr>
              <w:pStyle w:val="P68B1DB1-Normal13"/>
              <w:spacing w:after="0" w:line="240" w:lineRule="auto"/>
              <w:jc w:val="center"/>
              <w:rPr>
                <w:rFonts w:cs="Times New Roman"/>
                <w:noProof/>
              </w:rPr>
            </w:pPr>
            <w:r>
              <w:rPr>
                <w:noProof/>
              </w:rPr>
              <w:lastRenderedPageBreak/>
              <w:t>51</w:t>
            </w:r>
          </w:p>
        </w:tc>
        <w:tc>
          <w:tcPr>
            <w:tcW w:w="851" w:type="dxa"/>
            <w:shd w:val="clear" w:color="auto" w:fill="C6EFCE"/>
            <w:noWrap/>
          </w:tcPr>
          <w:p w14:paraId="5971B254" w14:textId="53FF2EB6" w:rsidR="000E48CE" w:rsidRDefault="00FF4C4E">
            <w:pPr>
              <w:pStyle w:val="P68B1DB1-Normal13"/>
              <w:spacing w:after="0" w:line="240" w:lineRule="auto"/>
              <w:jc w:val="center"/>
              <w:rPr>
                <w:rFonts w:cs="Times New Roman"/>
                <w:noProof/>
              </w:rPr>
            </w:pPr>
            <w:r>
              <w:rPr>
                <w:noProof/>
              </w:rPr>
              <w:t>C3.I4</w:t>
            </w:r>
          </w:p>
        </w:tc>
        <w:tc>
          <w:tcPr>
            <w:tcW w:w="1080" w:type="dxa"/>
            <w:shd w:val="clear" w:color="auto" w:fill="C6EFCE"/>
            <w:noWrap/>
          </w:tcPr>
          <w:p w14:paraId="79D317F4" w14:textId="7FAFE769" w:rsidR="000E48CE" w:rsidRDefault="00FF4C4E">
            <w:pPr>
              <w:pStyle w:val="P68B1DB1-Normal13"/>
              <w:spacing w:after="0" w:line="240" w:lineRule="auto"/>
              <w:jc w:val="center"/>
              <w:rPr>
                <w:rFonts w:cs="Times New Roman"/>
                <w:noProof/>
              </w:rPr>
            </w:pPr>
            <w:r>
              <w:rPr>
                <w:noProof/>
              </w:rPr>
              <w:t>T</w:t>
            </w:r>
          </w:p>
        </w:tc>
        <w:tc>
          <w:tcPr>
            <w:tcW w:w="2889" w:type="dxa"/>
            <w:shd w:val="clear" w:color="auto" w:fill="C6EFCE"/>
            <w:noWrap/>
          </w:tcPr>
          <w:p w14:paraId="324AEADF" w14:textId="1A4DAB8C" w:rsidR="000E48CE" w:rsidRDefault="00FF4C4E">
            <w:pPr>
              <w:pStyle w:val="P68B1DB1-Normal13"/>
              <w:spacing w:after="0" w:line="240" w:lineRule="auto"/>
              <w:rPr>
                <w:rFonts w:cs="Times New Roman"/>
                <w:noProof/>
              </w:rPr>
            </w:pPr>
            <w:r>
              <w:rPr>
                <w:noProof/>
              </w:rPr>
              <w:t xml:space="preserve">Investointisuunnitelma maatalouden ja karjankasvatuksen kestävyyden ja kilpailukyvyn edistämiseksi </w:t>
            </w:r>
          </w:p>
        </w:tc>
        <w:tc>
          <w:tcPr>
            <w:tcW w:w="1276" w:type="dxa"/>
            <w:shd w:val="clear" w:color="auto" w:fill="C6EFCE"/>
            <w:noWrap/>
          </w:tcPr>
          <w:p w14:paraId="7F2130F8"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376090A2" w14:textId="30BACBD6" w:rsidR="000E48CE" w:rsidRDefault="00FF4C4E">
            <w:pPr>
              <w:pStyle w:val="P68B1DB1-Normal13"/>
              <w:spacing w:after="0" w:line="240" w:lineRule="auto"/>
              <w:jc w:val="right"/>
              <w:rPr>
                <w:rFonts w:cs="Times New Roman"/>
                <w:noProof/>
              </w:rPr>
            </w:pPr>
            <w:r>
              <w:rPr>
                <w:noProof/>
              </w:rPr>
              <w:t xml:space="preserve"> Miljoonaa euroa</w:t>
            </w:r>
          </w:p>
        </w:tc>
        <w:tc>
          <w:tcPr>
            <w:tcW w:w="567" w:type="dxa"/>
            <w:shd w:val="clear" w:color="auto" w:fill="C6EFCE"/>
            <w:noWrap/>
          </w:tcPr>
          <w:p w14:paraId="0E99581E" w14:textId="092AB081"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2BD63265" w14:textId="45C1FD95" w:rsidR="000E48CE" w:rsidRDefault="00FF4C4E">
            <w:pPr>
              <w:pStyle w:val="P68B1DB1-Normal13"/>
              <w:spacing w:after="0" w:line="240" w:lineRule="auto"/>
              <w:jc w:val="right"/>
              <w:rPr>
                <w:rFonts w:cs="Times New Roman"/>
                <w:noProof/>
              </w:rPr>
            </w:pPr>
            <w:r>
              <w:rPr>
                <w:noProof/>
              </w:rPr>
              <w:t>307</w:t>
            </w:r>
          </w:p>
        </w:tc>
        <w:tc>
          <w:tcPr>
            <w:tcW w:w="425" w:type="dxa"/>
            <w:shd w:val="clear" w:color="auto" w:fill="C6EFCE"/>
            <w:noWrap/>
          </w:tcPr>
          <w:p w14:paraId="535808B5" w14:textId="3E2A2A3A"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7352F48C" w14:textId="72A2B887" w:rsidR="000E48CE" w:rsidRDefault="00FF4C4E">
            <w:pPr>
              <w:pStyle w:val="P68B1DB1-Normal13"/>
              <w:spacing w:after="0" w:line="240" w:lineRule="auto"/>
              <w:jc w:val="center"/>
              <w:rPr>
                <w:rFonts w:cs="Times New Roman"/>
                <w:noProof/>
              </w:rPr>
            </w:pPr>
            <w:r>
              <w:rPr>
                <w:noProof/>
              </w:rPr>
              <w:t>2022</w:t>
            </w:r>
          </w:p>
        </w:tc>
        <w:tc>
          <w:tcPr>
            <w:tcW w:w="5387" w:type="dxa"/>
            <w:shd w:val="clear" w:color="auto" w:fill="C6EFCE"/>
            <w:noWrap/>
          </w:tcPr>
          <w:p w14:paraId="507C952C" w14:textId="678DFB7E" w:rsidR="000E48CE" w:rsidRDefault="00FF4C4E">
            <w:pPr>
              <w:pStyle w:val="P68B1DB1-Normal13"/>
              <w:spacing w:after="0" w:line="240" w:lineRule="auto"/>
              <w:rPr>
                <w:rFonts w:cs="Times New Roman"/>
                <w:noProof/>
              </w:rPr>
            </w:pPr>
            <w:r>
              <w:rPr>
                <w:noProof/>
              </w:rPr>
              <w:t>Maatalouden ja karjankasvatustoiminnan kestävyyden ja kilpailukyvyn edistämiseen tähtäävän investointisuunnitelman loppuun s</w:t>
            </w:r>
            <w:r>
              <w:rPr>
                <w:noProof/>
              </w:rPr>
              <w:t>aattaminen täsmäviljelyn, energiatehokkuuden ja kiertotalouden aloilla (talousarvion toteutus 307000000 euroa). Sääntelyperusteissa on määritettävä, ketkä ovat tuensaajat, niiden on täytettävä vaatimukset, tukikelpoisten investointien tyyppi ja tukikelpois</w:t>
            </w:r>
            <w:r>
              <w:rPr>
                <w:noProof/>
              </w:rPr>
              <w:t xml:space="preserve">uusperusteet, jotka koskevat investointeja seuraaviin: täsmäviljely, energiatehokkuus, kiertotalous ja uusiutuvien energialähteiden käyttö. </w:t>
            </w:r>
          </w:p>
        </w:tc>
      </w:tr>
      <w:tr w:rsidR="000E48CE" w14:paraId="0CBF72EE" w14:textId="77777777">
        <w:trPr>
          <w:trHeight w:val="309"/>
        </w:trPr>
        <w:tc>
          <w:tcPr>
            <w:tcW w:w="709" w:type="dxa"/>
            <w:shd w:val="clear" w:color="auto" w:fill="C6EFCE"/>
            <w:noWrap/>
          </w:tcPr>
          <w:p w14:paraId="68861898" w14:textId="2AFA8B58" w:rsidR="000E48CE" w:rsidRDefault="00FF4C4E">
            <w:pPr>
              <w:pStyle w:val="P68B1DB1-Normal13"/>
              <w:spacing w:after="0" w:line="240" w:lineRule="auto"/>
              <w:jc w:val="center"/>
              <w:rPr>
                <w:rFonts w:eastAsia="MS Mincho" w:cs="Times New Roman"/>
                <w:noProof/>
              </w:rPr>
            </w:pPr>
            <w:r>
              <w:rPr>
                <w:noProof/>
              </w:rPr>
              <w:t>52</w:t>
            </w:r>
          </w:p>
        </w:tc>
        <w:tc>
          <w:tcPr>
            <w:tcW w:w="851" w:type="dxa"/>
            <w:shd w:val="clear" w:color="auto" w:fill="C6EFCE"/>
            <w:noWrap/>
          </w:tcPr>
          <w:p w14:paraId="0380C3E0" w14:textId="3A9B5DE9" w:rsidR="000E48CE" w:rsidRDefault="00FF4C4E">
            <w:pPr>
              <w:pStyle w:val="P68B1DB1-Normal13"/>
              <w:spacing w:after="0" w:line="240" w:lineRule="auto"/>
              <w:jc w:val="center"/>
              <w:rPr>
                <w:rFonts w:eastAsia="MS Mincho" w:cs="Times New Roman"/>
                <w:noProof/>
              </w:rPr>
            </w:pPr>
            <w:r>
              <w:rPr>
                <w:noProof/>
              </w:rPr>
              <w:t>C3.I4</w:t>
            </w:r>
          </w:p>
        </w:tc>
        <w:tc>
          <w:tcPr>
            <w:tcW w:w="1080" w:type="dxa"/>
            <w:shd w:val="clear" w:color="auto" w:fill="C6EFCE"/>
            <w:noWrap/>
          </w:tcPr>
          <w:p w14:paraId="72102FF3" w14:textId="77777777" w:rsidR="000E48CE" w:rsidRDefault="00FF4C4E">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658F795B" w14:textId="67E5E718" w:rsidR="000E48CE" w:rsidRDefault="00FF4C4E">
            <w:pPr>
              <w:pStyle w:val="P68B1DB1-Normal13"/>
              <w:spacing w:after="0" w:line="240" w:lineRule="auto"/>
              <w:rPr>
                <w:rFonts w:eastAsia="MS Mincho" w:cs="Times New Roman"/>
                <w:noProof/>
              </w:rPr>
            </w:pPr>
            <w:r>
              <w:rPr>
                <w:noProof/>
              </w:rPr>
              <w:t xml:space="preserve">Päätökseen saatetut hankkeet täsmäviljelyn, energiatehokkuuden, kiertotalouden ja uusiutuvan energian käytön aloilla  </w:t>
            </w:r>
          </w:p>
        </w:tc>
        <w:tc>
          <w:tcPr>
            <w:tcW w:w="1276" w:type="dxa"/>
            <w:shd w:val="clear" w:color="auto" w:fill="C6EFCE"/>
            <w:noWrap/>
          </w:tcPr>
          <w:p w14:paraId="6BB9E253"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708A672B" w14:textId="77777777" w:rsidR="000E48CE" w:rsidRDefault="00FF4C4E">
            <w:pPr>
              <w:pStyle w:val="P68B1DB1-Normal13"/>
              <w:spacing w:after="0" w:line="240" w:lineRule="auto"/>
              <w:jc w:val="right"/>
              <w:rPr>
                <w:rFonts w:eastAsia="MS Mincho" w:cs="Times New Roman"/>
                <w:noProof/>
              </w:rPr>
            </w:pPr>
            <w:r>
              <w:rPr>
                <w:noProof/>
              </w:rPr>
              <w:t>Määrä</w:t>
            </w:r>
          </w:p>
        </w:tc>
        <w:tc>
          <w:tcPr>
            <w:tcW w:w="567" w:type="dxa"/>
            <w:shd w:val="clear" w:color="auto" w:fill="C6EFCE"/>
            <w:noWrap/>
          </w:tcPr>
          <w:p w14:paraId="6A355B75" w14:textId="77777777"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5952E2BA" w14:textId="6F1ECA1F" w:rsidR="000E48CE" w:rsidRDefault="00FF4C4E">
            <w:pPr>
              <w:pStyle w:val="P68B1DB1-Normal13"/>
              <w:spacing w:after="0" w:line="240" w:lineRule="auto"/>
              <w:jc w:val="right"/>
              <w:rPr>
                <w:rFonts w:eastAsia="MS Mincho" w:cs="Times New Roman"/>
                <w:noProof/>
              </w:rPr>
            </w:pPr>
            <w:r>
              <w:rPr>
                <w:noProof/>
              </w:rPr>
              <w:t>5 000</w:t>
            </w:r>
          </w:p>
        </w:tc>
        <w:tc>
          <w:tcPr>
            <w:tcW w:w="425" w:type="dxa"/>
            <w:shd w:val="clear" w:color="auto" w:fill="C6EFCE"/>
            <w:noWrap/>
          </w:tcPr>
          <w:p w14:paraId="59EDD68F" w14:textId="3E34BEE9"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1F5307AE" w14:textId="1BBF6E8A" w:rsidR="000E48CE" w:rsidRDefault="00FF4C4E">
            <w:pPr>
              <w:pStyle w:val="P68B1DB1-Normal13"/>
              <w:spacing w:after="0" w:line="240" w:lineRule="auto"/>
              <w:jc w:val="center"/>
              <w:rPr>
                <w:rFonts w:eastAsia="MS Mincho" w:cs="Times New Roman"/>
                <w:noProof/>
              </w:rPr>
            </w:pPr>
            <w:r>
              <w:rPr>
                <w:noProof/>
              </w:rPr>
              <w:t>2026</w:t>
            </w:r>
          </w:p>
        </w:tc>
        <w:tc>
          <w:tcPr>
            <w:tcW w:w="5387" w:type="dxa"/>
            <w:shd w:val="clear" w:color="auto" w:fill="C6EFCE"/>
            <w:noWrap/>
          </w:tcPr>
          <w:p w14:paraId="6BEEF825" w14:textId="1EE7F6E6" w:rsidR="000E48CE" w:rsidRDefault="00FF4C4E">
            <w:pPr>
              <w:pStyle w:val="P68B1DB1-Normal13"/>
              <w:spacing w:after="0" w:line="240" w:lineRule="auto"/>
              <w:rPr>
                <w:rFonts w:eastAsia="MS Mincho" w:cs="Times New Roman"/>
                <w:noProof/>
              </w:rPr>
            </w:pPr>
            <w:r>
              <w:rPr>
                <w:noProof/>
              </w:rPr>
              <w:t>Vähintään 5000 maatilaa, jotka ovat saattaneet päätökseen täsmäviljelyä, energiatehokkuutta, kiertotaloutta ja uus</w:t>
            </w:r>
            <w:r>
              <w:rPr>
                <w:noProof/>
              </w:rPr>
              <w:t>iutuvan energian käyttöä koskevat hankkeet. Täsmäviljely käsittää geopaikannus- ja satelliittinavigointijärjestelmät (GNSS), reaaliaikaisen tiedonkeruun antureiden ja satelliitti- ja ilmakuvien avulla yhdessä maantieteellisten tietojärjestelmien (GIS) kans</w:t>
            </w:r>
            <w:r>
              <w:rPr>
                <w:noProof/>
              </w:rPr>
              <w:t>sa, kartoitus, viestintä ja yhteenliitettävyys, energiatehokkuus sisältää rakennusten (varastot ja apurakennukset) ilmastoinnin ja -eristyksen sekä järjestelmät, joilla optimoidaan kasvihuonekaasujen ilmastointi ja maatalous- ja karjatilojen energian- ja l</w:t>
            </w:r>
            <w:r>
              <w:rPr>
                <w:noProof/>
              </w:rPr>
              <w:t>ämpökulutus, kiertotalous sisältää rakenteet maatalousjäämien ja karjan sivutuotteiden käyttöä ja talteenottoa varten esikäsittelytoimilla ja -tekniikoilla, joilla parannetaan niiden hallintaa ja myöhempää käyttöä, ja uusiutuvan energian käyttöön kuuluu en</w:t>
            </w:r>
            <w:r>
              <w:rPr>
                <w:noProof/>
              </w:rPr>
              <w:t xml:space="preserve">ergiantuotantoinfrastruktuurien asentaminen useista uusiutuvista lähteistä sähkön ja lämpöenergian tarpeiden tukemiseksi.  </w:t>
            </w:r>
          </w:p>
        </w:tc>
      </w:tr>
      <w:tr w:rsidR="000E48CE" w14:paraId="533FA9DB" w14:textId="77777777">
        <w:trPr>
          <w:trHeight w:val="309"/>
        </w:trPr>
        <w:tc>
          <w:tcPr>
            <w:tcW w:w="709" w:type="dxa"/>
            <w:shd w:val="clear" w:color="auto" w:fill="C6EFCE"/>
            <w:noWrap/>
          </w:tcPr>
          <w:p w14:paraId="3CBA40D0" w14:textId="0EB4B704" w:rsidR="000E48CE" w:rsidRDefault="00FF4C4E">
            <w:pPr>
              <w:pStyle w:val="P68B1DB1-Normal13"/>
              <w:spacing w:after="0" w:line="240" w:lineRule="auto"/>
              <w:jc w:val="center"/>
              <w:rPr>
                <w:rFonts w:eastAsia="MS Mincho" w:cs="Times New Roman"/>
                <w:noProof/>
              </w:rPr>
            </w:pPr>
            <w:r>
              <w:rPr>
                <w:noProof/>
              </w:rPr>
              <w:t>53</w:t>
            </w:r>
          </w:p>
        </w:tc>
        <w:tc>
          <w:tcPr>
            <w:tcW w:w="851" w:type="dxa"/>
            <w:shd w:val="clear" w:color="auto" w:fill="C6EFCE"/>
            <w:noWrap/>
          </w:tcPr>
          <w:p w14:paraId="5071D00F" w14:textId="6837A809" w:rsidR="000E48CE" w:rsidRDefault="00FF4C4E">
            <w:pPr>
              <w:pStyle w:val="P68B1DB1-Normal13"/>
              <w:spacing w:after="0" w:line="240" w:lineRule="auto"/>
              <w:jc w:val="center"/>
              <w:rPr>
                <w:rFonts w:eastAsia="MS Mincho" w:cs="Times New Roman"/>
                <w:noProof/>
              </w:rPr>
            </w:pPr>
            <w:r>
              <w:rPr>
                <w:noProof/>
              </w:rPr>
              <w:t>C3.I5</w:t>
            </w:r>
          </w:p>
        </w:tc>
        <w:tc>
          <w:tcPr>
            <w:tcW w:w="1080" w:type="dxa"/>
            <w:shd w:val="clear" w:color="auto" w:fill="C6EFCE"/>
            <w:noWrap/>
          </w:tcPr>
          <w:p w14:paraId="1ACBF373" w14:textId="77777777" w:rsidR="000E48CE" w:rsidRDefault="00FF4C4E">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6F1617C3" w14:textId="4178FFFF" w:rsidR="000E48CE" w:rsidRDefault="00FF4C4E">
            <w:pPr>
              <w:pStyle w:val="P68B1DB1-Normal13"/>
              <w:spacing w:after="0" w:line="240" w:lineRule="auto"/>
              <w:rPr>
                <w:rFonts w:eastAsia="MS Mincho" w:cs="Times New Roman"/>
                <w:noProof/>
              </w:rPr>
            </w:pPr>
            <w:r>
              <w:rPr>
                <w:noProof/>
              </w:rPr>
              <w:t>Maatalous-, kalastus- ja elintarvikeministeriön (MAPA) ja ENISAn välisten sopimusten allekirjoittaminen</w:t>
            </w:r>
          </w:p>
        </w:tc>
        <w:tc>
          <w:tcPr>
            <w:tcW w:w="1276" w:type="dxa"/>
            <w:shd w:val="clear" w:color="auto" w:fill="C6EFCE"/>
            <w:noWrap/>
          </w:tcPr>
          <w:p w14:paraId="23DE523C"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9274C5F" w14:textId="77777777" w:rsidR="000E48CE" w:rsidRDefault="00FF4C4E">
            <w:pPr>
              <w:pStyle w:val="P68B1DB1-Normal13"/>
              <w:spacing w:after="0" w:line="240" w:lineRule="auto"/>
              <w:jc w:val="right"/>
              <w:rPr>
                <w:rFonts w:eastAsia="MS Mincho" w:cs="Times New Roman"/>
                <w:noProof/>
              </w:rPr>
            </w:pPr>
            <w:r>
              <w:rPr>
                <w:noProof/>
              </w:rPr>
              <w:t xml:space="preserve"> Miljoonaa euroa</w:t>
            </w:r>
          </w:p>
        </w:tc>
        <w:tc>
          <w:tcPr>
            <w:tcW w:w="567" w:type="dxa"/>
            <w:shd w:val="clear" w:color="auto" w:fill="C6EFCE"/>
            <w:noWrap/>
          </w:tcPr>
          <w:p w14:paraId="579F9DF6" w14:textId="77777777"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28853779" w14:textId="47B3CC6F" w:rsidR="000E48CE" w:rsidRDefault="00FF4C4E">
            <w:pPr>
              <w:pStyle w:val="P68B1DB1-Normal13"/>
              <w:spacing w:after="0" w:line="240" w:lineRule="auto"/>
              <w:jc w:val="right"/>
              <w:rPr>
                <w:rFonts w:eastAsia="MS Mincho" w:cs="Times New Roman"/>
                <w:noProof/>
              </w:rPr>
            </w:pPr>
            <w:r>
              <w:rPr>
                <w:noProof/>
              </w:rPr>
              <w:t>30</w:t>
            </w:r>
          </w:p>
        </w:tc>
        <w:tc>
          <w:tcPr>
            <w:tcW w:w="425" w:type="dxa"/>
            <w:shd w:val="clear" w:color="auto" w:fill="C6EFCE"/>
            <w:noWrap/>
          </w:tcPr>
          <w:p w14:paraId="147ED631"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0FF5363C" w14:textId="6A918136" w:rsidR="000E48CE" w:rsidRDefault="00FF4C4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613339AC" w14:textId="686AC89A" w:rsidR="000E48CE" w:rsidRDefault="00FF4C4E">
            <w:pPr>
              <w:pStyle w:val="P68B1DB1-Normal13"/>
              <w:spacing w:after="0" w:line="240" w:lineRule="auto"/>
              <w:rPr>
                <w:rFonts w:eastAsia="MS Mincho" w:cs="Times New Roman"/>
                <w:noProof/>
              </w:rPr>
            </w:pPr>
            <w:r>
              <w:rPr>
                <w:noProof/>
              </w:rPr>
              <w:t>Maatalous-, kalastus- ja elintarvikeministeriön (MAPA) ja ENISAn välillä allekirjoitetaan kolme sopimusta (yksi vuodessa), joilla tuetaan maatalouselintarvikealan pk-yritysten digitalisaatiota tukemalla innovatiivista tai tekn</w:t>
            </w:r>
            <w:r>
              <w:rPr>
                <w:noProof/>
              </w:rPr>
              <w:t>ologiapohjaista yrittäjyyttä Espanjan maatalouselintarvikealalla (talousarvion toteuttaminen: SUUNNITELTU KOKONAISMÄÄRÄ 30000000 EUROA 10000000 euroa vuodessa). Maatalous-, kalastus- ja elintarvikeministeriön ja ENISAn välisissä yhteistyösopimuksissa vahvi</w:t>
            </w:r>
            <w:r>
              <w:rPr>
                <w:noProof/>
              </w:rPr>
              <w:t xml:space="preserve">stetaan teknologiapohjaisen yrittäjyyden ehdot, jotta voidaan tukea innovatiivisia ja digitaalisia </w:t>
            </w:r>
            <w:r>
              <w:rPr>
                <w:noProof/>
              </w:rPr>
              <w:lastRenderedPageBreak/>
              <w:t xml:space="preserve">liiketoimintahankkeita esittäviä maatalouselintarvikealan pk-yrityksiä myöntämällä osallistavia lainoja, investointipolitiikkaa ja tukikelpoisuusperusteita. </w:t>
            </w:r>
            <w:r>
              <w:rPr>
                <w:noProof/>
              </w:rPr>
              <w:t>Edellä mainittuihin sopimuksiin on sisällyttävä lauseke, jolla taataan, että tällä rahoituksella tehdyt investoinnit ovat tämän toimenpiteen piiriin kuuluvien tuettujen transaktioiden teknisten ohjeiden (2021/C58/01) mukaisia, kun käytetään kestävyysarvioi</w:t>
            </w:r>
            <w:r>
              <w:rPr>
                <w:noProof/>
              </w:rPr>
              <w:t>ntia, poissulkemisluetteloa ja asiaankuuluvan EU:n ja kansallisen ympäristölainsäädännön noudattamista koskevaa vaatimusta. Investoinnin tavoitteena on vastata useisiin Espanjan maatalouselintarvikealan ja maaseutuympäristön digitalisointia koskevan strate</w:t>
            </w:r>
            <w:r>
              <w:rPr>
                <w:noProof/>
              </w:rPr>
              <w:t xml:space="preserve">gian ja sen toimintasuunnitelmien tavoitteisiin. </w:t>
            </w:r>
          </w:p>
        </w:tc>
      </w:tr>
      <w:tr w:rsidR="000E48CE" w14:paraId="047BADB5" w14:textId="77777777">
        <w:trPr>
          <w:trHeight w:val="309"/>
        </w:trPr>
        <w:tc>
          <w:tcPr>
            <w:tcW w:w="709" w:type="dxa"/>
            <w:shd w:val="clear" w:color="auto" w:fill="C6EFCE"/>
            <w:noWrap/>
          </w:tcPr>
          <w:p w14:paraId="00B008B9" w14:textId="569189EE" w:rsidR="000E48CE" w:rsidRDefault="00FF4C4E">
            <w:pPr>
              <w:pStyle w:val="P68B1DB1-Normal13"/>
              <w:spacing w:after="0" w:line="240" w:lineRule="auto"/>
              <w:jc w:val="center"/>
              <w:rPr>
                <w:rFonts w:eastAsia="MS Mincho" w:cs="Times New Roman"/>
                <w:noProof/>
              </w:rPr>
            </w:pPr>
            <w:r>
              <w:rPr>
                <w:noProof/>
              </w:rPr>
              <w:lastRenderedPageBreak/>
              <w:t>54</w:t>
            </w:r>
          </w:p>
        </w:tc>
        <w:tc>
          <w:tcPr>
            <w:tcW w:w="851" w:type="dxa"/>
            <w:shd w:val="clear" w:color="auto" w:fill="C6EFCE"/>
            <w:noWrap/>
          </w:tcPr>
          <w:p w14:paraId="58544615" w14:textId="53D8FCB1" w:rsidR="000E48CE" w:rsidRDefault="00FF4C4E">
            <w:pPr>
              <w:pStyle w:val="P68B1DB1-Normal13"/>
              <w:spacing w:after="0" w:line="240" w:lineRule="auto"/>
              <w:jc w:val="center"/>
              <w:rPr>
                <w:rFonts w:eastAsia="MS Mincho" w:cs="Times New Roman"/>
                <w:noProof/>
              </w:rPr>
            </w:pPr>
            <w:r>
              <w:rPr>
                <w:noProof/>
              </w:rPr>
              <w:t>C3.I5</w:t>
            </w:r>
          </w:p>
        </w:tc>
        <w:tc>
          <w:tcPr>
            <w:tcW w:w="1080" w:type="dxa"/>
            <w:shd w:val="clear" w:color="auto" w:fill="C6EFCE"/>
            <w:noWrap/>
          </w:tcPr>
          <w:p w14:paraId="439DB716" w14:textId="77777777" w:rsidR="000E48CE" w:rsidRDefault="00FF4C4E">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79AF0533" w14:textId="23580548" w:rsidR="000E48CE" w:rsidRDefault="00FF4C4E">
            <w:pPr>
              <w:pStyle w:val="P68B1DB1-Normal13"/>
              <w:spacing w:after="0" w:line="240" w:lineRule="auto"/>
              <w:rPr>
                <w:rFonts w:eastAsia="MS Mincho" w:cs="Times New Roman"/>
                <w:noProof/>
              </w:rPr>
            </w:pPr>
            <w:r>
              <w:rPr>
                <w:noProof/>
              </w:rPr>
              <w:t>Maatalouden ja elintarviketeollisuuden pk-yritykset saavat tukea innovatiivisten ja digitaalisten liiketoimintahankkeiden toteuttamiseen</w:t>
            </w:r>
          </w:p>
        </w:tc>
        <w:tc>
          <w:tcPr>
            <w:tcW w:w="1276" w:type="dxa"/>
            <w:shd w:val="clear" w:color="auto" w:fill="C6EFCE"/>
            <w:noWrap/>
          </w:tcPr>
          <w:p w14:paraId="52E56223"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4EE654F7" w14:textId="77777777" w:rsidR="000E48CE" w:rsidRDefault="00FF4C4E">
            <w:pPr>
              <w:pStyle w:val="P68B1DB1-Normal13"/>
              <w:spacing w:after="0" w:line="240" w:lineRule="auto"/>
              <w:jc w:val="right"/>
              <w:rPr>
                <w:rFonts w:eastAsia="MS Mincho" w:cs="Times New Roman"/>
                <w:noProof/>
              </w:rPr>
            </w:pPr>
            <w:r>
              <w:rPr>
                <w:noProof/>
              </w:rPr>
              <w:t>Määrä</w:t>
            </w:r>
          </w:p>
        </w:tc>
        <w:tc>
          <w:tcPr>
            <w:tcW w:w="567" w:type="dxa"/>
            <w:shd w:val="clear" w:color="auto" w:fill="C6EFCE"/>
            <w:noWrap/>
          </w:tcPr>
          <w:p w14:paraId="0146225B" w14:textId="77777777"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02012C1B" w14:textId="42911D1D" w:rsidR="000E48CE" w:rsidRDefault="00FF4C4E">
            <w:pPr>
              <w:pStyle w:val="P68B1DB1-Normal13"/>
              <w:spacing w:after="0" w:line="240" w:lineRule="auto"/>
              <w:jc w:val="right"/>
              <w:rPr>
                <w:rFonts w:eastAsia="MS Mincho" w:cs="Times New Roman"/>
                <w:noProof/>
              </w:rPr>
            </w:pPr>
            <w:r>
              <w:rPr>
                <w:noProof/>
              </w:rPr>
              <w:t>60</w:t>
            </w:r>
          </w:p>
        </w:tc>
        <w:tc>
          <w:tcPr>
            <w:tcW w:w="425" w:type="dxa"/>
            <w:shd w:val="clear" w:color="auto" w:fill="C6EFCE"/>
            <w:noWrap/>
          </w:tcPr>
          <w:p w14:paraId="62ACD4F7" w14:textId="07D9FB25"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1125D523" w14:textId="038241A9" w:rsidR="000E48CE" w:rsidRDefault="00FF4C4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76E2AC45" w14:textId="0538E9CD" w:rsidR="000E48CE" w:rsidRDefault="00FF4C4E">
            <w:pPr>
              <w:pStyle w:val="P68B1DB1-Normal13"/>
              <w:spacing w:after="0" w:line="240" w:lineRule="auto"/>
              <w:rPr>
                <w:rFonts w:eastAsia="MS Mincho" w:cs="Times New Roman"/>
                <w:noProof/>
              </w:rPr>
            </w:pPr>
            <w:r>
              <w:rPr>
                <w:noProof/>
              </w:rPr>
              <w:t>Vähintään 60 maatalouselintarvikealan</w:t>
            </w:r>
            <w:r>
              <w:rPr>
                <w:noProof/>
              </w:rPr>
              <w:t xml:space="preserve"> pk-yritystä, joille myönnetään luottoja innovatiivisten ja digitaalisten liiketoimintahankkeiden toteuttamiseen.  Tämän toimintalinjan tavoitteena on myöntää osallistavia lainoja, joilla kannustetaan yrityksiä kehittämään elinkelpoisia ja innovatiivisia h</w:t>
            </w:r>
            <w:r>
              <w:rPr>
                <w:noProof/>
              </w:rPr>
              <w:t>ankkeita, jotka liittyvät sähköiseen kaupankäyntiin ja teollisuus 4.0:n vakiinnuttamiseen, kuten monet muut elintarviketeollisuuden digitaalisten liiketoimintamallien muutosvoimat.</w:t>
            </w:r>
            <w:r>
              <w:rPr>
                <w:noProof/>
              </w:rPr>
              <w:br/>
              <w:t>Muun muassa valintakriteereillä on taattava, että näiden pk-yritysten näill</w:t>
            </w:r>
            <w:r>
              <w:rPr>
                <w:noProof/>
              </w:rPr>
              <w:t>ä lainoilla toteuttamat tämän sijoituksen mukaiset transaktiot ovat tämän toimenpiteen puitteissa tuettujen transaktioiden osalta annettujen ”ei merkittävää haittaa” -ohjeiden (2021/C58/01) mukaisia, käyttämällä kestävyysarviointia, poissulkemisluetteloa j</w:t>
            </w:r>
            <w:r>
              <w:rPr>
                <w:noProof/>
              </w:rPr>
              <w:t xml:space="preserve">a asiaankuuluvan EU:n ja kansallisen ympäristölainsäädännön noudattamista koskevaa vaatimusta. </w:t>
            </w:r>
          </w:p>
        </w:tc>
      </w:tr>
      <w:tr w:rsidR="000E48CE" w14:paraId="022F94A2" w14:textId="77777777">
        <w:trPr>
          <w:trHeight w:val="309"/>
        </w:trPr>
        <w:tc>
          <w:tcPr>
            <w:tcW w:w="709" w:type="dxa"/>
            <w:shd w:val="clear" w:color="auto" w:fill="C6EFCE"/>
            <w:noWrap/>
          </w:tcPr>
          <w:p w14:paraId="3F6FB1E0" w14:textId="629B1448" w:rsidR="000E48CE" w:rsidRDefault="00FF4C4E">
            <w:pPr>
              <w:pStyle w:val="P68B1DB1-Normal13"/>
              <w:spacing w:after="0" w:line="240" w:lineRule="auto"/>
              <w:jc w:val="center"/>
              <w:rPr>
                <w:rFonts w:eastAsia="MS Mincho" w:cs="Times New Roman"/>
                <w:noProof/>
              </w:rPr>
            </w:pPr>
            <w:r>
              <w:rPr>
                <w:noProof/>
              </w:rPr>
              <w:t>55</w:t>
            </w:r>
          </w:p>
        </w:tc>
        <w:tc>
          <w:tcPr>
            <w:tcW w:w="851" w:type="dxa"/>
            <w:shd w:val="clear" w:color="auto" w:fill="C6EFCE"/>
            <w:noWrap/>
          </w:tcPr>
          <w:p w14:paraId="4F7497D4" w14:textId="4C6A9D53" w:rsidR="000E48CE" w:rsidRDefault="00FF4C4E">
            <w:pPr>
              <w:pStyle w:val="P68B1DB1-Normal13"/>
              <w:spacing w:after="0" w:line="240" w:lineRule="auto"/>
              <w:jc w:val="center"/>
              <w:rPr>
                <w:rFonts w:eastAsia="MS Mincho" w:cs="Times New Roman"/>
                <w:noProof/>
              </w:rPr>
            </w:pPr>
            <w:r>
              <w:rPr>
                <w:noProof/>
              </w:rPr>
              <w:t>C3.I6</w:t>
            </w:r>
          </w:p>
        </w:tc>
        <w:tc>
          <w:tcPr>
            <w:tcW w:w="1080" w:type="dxa"/>
            <w:shd w:val="clear" w:color="auto" w:fill="C6EFCE"/>
            <w:noWrap/>
          </w:tcPr>
          <w:p w14:paraId="1BEE1494" w14:textId="0B443E0E"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095A004D" w14:textId="1E4D6E2D" w:rsidR="000E48CE" w:rsidRDefault="00FF4C4E">
            <w:pPr>
              <w:pStyle w:val="P68B1DB1-Normal13"/>
              <w:spacing w:after="0" w:line="240" w:lineRule="auto"/>
              <w:rPr>
                <w:rFonts w:eastAsia="MS Mincho" w:cs="Times New Roman"/>
                <w:noProof/>
              </w:rPr>
            </w:pPr>
            <w:r>
              <w:rPr>
                <w:noProof/>
              </w:rPr>
              <w:t>Tieto- ja viestintäteknisten laitteiden hankinta kalastuskorkoja varten ja erityisalusten hankintasopimukset merivarantoja varten</w:t>
            </w:r>
          </w:p>
        </w:tc>
        <w:tc>
          <w:tcPr>
            <w:tcW w:w="1276" w:type="dxa"/>
            <w:shd w:val="clear" w:color="auto" w:fill="C6EFCE"/>
            <w:noWrap/>
          </w:tcPr>
          <w:p w14:paraId="07547A01" w14:textId="1B887A68" w:rsidR="000E48CE" w:rsidRDefault="00FF4C4E">
            <w:pPr>
              <w:pStyle w:val="P68B1DB1-Normal13"/>
              <w:spacing w:after="0" w:line="240" w:lineRule="auto"/>
              <w:jc w:val="center"/>
              <w:rPr>
                <w:rFonts w:eastAsia="MS Mincho" w:cs="Times New Roman"/>
                <w:noProof/>
              </w:rPr>
            </w:pPr>
            <w:r>
              <w:rPr>
                <w:noProof/>
              </w:rPr>
              <w:t xml:space="preserve">Hankintasopimuksen julkaiseminen julkisten hankintojen alustalla </w:t>
            </w:r>
          </w:p>
        </w:tc>
        <w:tc>
          <w:tcPr>
            <w:tcW w:w="850" w:type="dxa"/>
            <w:shd w:val="clear" w:color="auto" w:fill="C6EFCE"/>
            <w:noWrap/>
          </w:tcPr>
          <w:p w14:paraId="324D7EF8" w14:textId="12386D6E"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4207ADCD" w14:textId="14279A79"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60DA3216" w14:textId="0139C229"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9F6EBCF" w14:textId="15C7B5FD"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000E632F" w14:textId="17E29F0E"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FFE1FB1" w14:textId="222990EE" w:rsidR="000E48CE" w:rsidRDefault="00FF4C4E">
            <w:pPr>
              <w:pStyle w:val="P68B1DB1-Normal13"/>
              <w:spacing w:after="0" w:line="240" w:lineRule="auto"/>
              <w:rPr>
                <w:rFonts w:eastAsia="MS Mincho" w:cs="Times New Roman"/>
                <w:noProof/>
              </w:rPr>
            </w:pPr>
            <w:r>
              <w:rPr>
                <w:noProof/>
              </w:rPr>
              <w:t>Julkistetaan julkisten hankintojen foorumissa tieto- ja viestintäteknisten laitteiden hankintaa koskeva sopimus, joka on tehty merialueiden edunvalvonta-alueiden tieto- ja vies</w:t>
            </w:r>
            <w:r>
              <w:rPr>
                <w:noProof/>
              </w:rPr>
              <w:t xml:space="preserve">tintäteknisten laitteiden hankinnasta, ja kahden sopimuksen tekeminen kahden erityisaluksen hankkimiseksi meripelastusalueita varten. Merialueiden tieto- ja viestintätekniset laitteet koostuvat i) Alborán Lighthouse-tutkaradioyhteydestä niemimaalle ja ii) </w:t>
            </w:r>
            <w:r>
              <w:rPr>
                <w:noProof/>
              </w:rPr>
              <w:t>sellaisten miehittämättömien ilma-alusten hankinnasta, joilla on riittävä voima, joka mahdollistaa valvonta- ja seurantatoimet ja optimoida olemassa olevat keinot ja vähentää myös ympäristövaikutuksia. Erityisaluksia hankittaessa on käytettävä parasta tekn</w:t>
            </w:r>
            <w:r>
              <w:rPr>
                <w:noProof/>
              </w:rPr>
              <w:t xml:space="preserve">ologiaa, joka </w:t>
            </w:r>
            <w:r>
              <w:rPr>
                <w:noProof/>
              </w:rPr>
              <w:lastRenderedPageBreak/>
              <w:t xml:space="preserve">mahdollistaa ”ei merkittävää haittaa” -periaatteen noudattamisen (2021/C58/01) teknisten ohjeiden (2021/C58/01) noudattamisen. </w:t>
            </w:r>
          </w:p>
        </w:tc>
      </w:tr>
      <w:tr w:rsidR="000E48CE" w14:paraId="38D9B000" w14:textId="77777777">
        <w:trPr>
          <w:trHeight w:val="309"/>
        </w:trPr>
        <w:tc>
          <w:tcPr>
            <w:tcW w:w="709" w:type="dxa"/>
            <w:shd w:val="clear" w:color="auto" w:fill="C6EFCE"/>
            <w:noWrap/>
          </w:tcPr>
          <w:p w14:paraId="0868EBB2" w14:textId="222429D7" w:rsidR="000E48CE" w:rsidRDefault="00FF4C4E">
            <w:pPr>
              <w:pStyle w:val="P68B1DB1-Normal13"/>
              <w:spacing w:after="0" w:line="240" w:lineRule="auto"/>
              <w:jc w:val="center"/>
              <w:rPr>
                <w:rFonts w:eastAsia="MS Mincho" w:cs="Times New Roman"/>
                <w:noProof/>
              </w:rPr>
            </w:pPr>
            <w:r>
              <w:rPr>
                <w:noProof/>
              </w:rPr>
              <w:lastRenderedPageBreak/>
              <w:t>56</w:t>
            </w:r>
          </w:p>
        </w:tc>
        <w:tc>
          <w:tcPr>
            <w:tcW w:w="851" w:type="dxa"/>
            <w:shd w:val="clear" w:color="auto" w:fill="C6EFCE"/>
            <w:noWrap/>
          </w:tcPr>
          <w:p w14:paraId="36FEFEFA" w14:textId="3D673125" w:rsidR="000E48CE" w:rsidRDefault="00FF4C4E">
            <w:pPr>
              <w:pStyle w:val="P68B1DB1-Normal13"/>
              <w:spacing w:after="0" w:line="240" w:lineRule="auto"/>
              <w:jc w:val="center"/>
              <w:rPr>
                <w:rFonts w:eastAsia="MS Mincho" w:cs="Times New Roman"/>
                <w:noProof/>
              </w:rPr>
            </w:pPr>
            <w:r>
              <w:rPr>
                <w:noProof/>
              </w:rPr>
              <w:t>C3.I7</w:t>
            </w:r>
          </w:p>
        </w:tc>
        <w:tc>
          <w:tcPr>
            <w:tcW w:w="1080" w:type="dxa"/>
            <w:shd w:val="clear" w:color="auto" w:fill="C6EFCE"/>
            <w:noWrap/>
          </w:tcPr>
          <w:p w14:paraId="5EE5B567" w14:textId="20A8FDD0"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02876A43" w14:textId="2972E394" w:rsidR="000E48CE" w:rsidRDefault="00FF4C4E">
            <w:pPr>
              <w:pStyle w:val="P68B1DB1-Normal13"/>
              <w:spacing w:after="0" w:line="240" w:lineRule="auto"/>
              <w:rPr>
                <w:rFonts w:eastAsia="MS Mincho" w:cs="Times New Roman"/>
                <w:noProof/>
              </w:rPr>
            </w:pPr>
            <w:r>
              <w:rPr>
                <w:noProof/>
              </w:rPr>
              <w:t>Sopimukset julkisten tutkimuslaitosten kanssa</w:t>
            </w:r>
          </w:p>
        </w:tc>
        <w:tc>
          <w:tcPr>
            <w:tcW w:w="1276" w:type="dxa"/>
            <w:shd w:val="clear" w:color="auto" w:fill="C6EFCE"/>
            <w:noWrap/>
          </w:tcPr>
          <w:p w14:paraId="5043CB0F" w14:textId="37917C5C" w:rsidR="000E48CE" w:rsidRDefault="00FF4C4E">
            <w:pPr>
              <w:pStyle w:val="P68B1DB1-Normal13"/>
              <w:spacing w:after="0" w:line="240" w:lineRule="auto"/>
              <w:jc w:val="center"/>
              <w:rPr>
                <w:rFonts w:eastAsia="MS Mincho" w:cs="Times New Roman"/>
                <w:noProof/>
              </w:rPr>
            </w:pPr>
            <w:r>
              <w:rPr>
                <w:noProof/>
              </w:rPr>
              <w:t xml:space="preserve">Sopimusten allekirjoittaminen julkisten </w:t>
            </w:r>
            <w:r>
              <w:rPr>
                <w:noProof/>
              </w:rPr>
              <w:t>tutkimuslaitosten kanssa</w:t>
            </w:r>
          </w:p>
        </w:tc>
        <w:tc>
          <w:tcPr>
            <w:tcW w:w="850" w:type="dxa"/>
            <w:shd w:val="clear" w:color="auto" w:fill="C6EFCE"/>
            <w:noWrap/>
          </w:tcPr>
          <w:p w14:paraId="11027AA7" w14:textId="71EDFADA"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5D64A453" w14:textId="6A13CB52"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174B1212" w14:textId="0A8BA489"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5585A9C2"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0B50C5A4" w14:textId="19AA6B8A" w:rsidR="000E48CE" w:rsidRDefault="00FF4C4E">
            <w:pPr>
              <w:pStyle w:val="P68B1DB1-Normal13"/>
              <w:spacing w:after="0" w:line="240" w:lineRule="auto"/>
              <w:jc w:val="center"/>
              <w:rPr>
                <w:rFonts w:eastAsia="MS Mincho" w:cs="Times New Roman"/>
                <w:noProof/>
              </w:rPr>
            </w:pPr>
            <w:r>
              <w:rPr>
                <w:noProof/>
              </w:rPr>
              <w:t>2021</w:t>
            </w:r>
          </w:p>
        </w:tc>
        <w:tc>
          <w:tcPr>
            <w:tcW w:w="5387" w:type="dxa"/>
            <w:shd w:val="clear" w:color="auto" w:fill="C6EFCE"/>
            <w:noWrap/>
          </w:tcPr>
          <w:p w14:paraId="616FEBE4" w14:textId="37D92DF3" w:rsidR="000E48CE" w:rsidRDefault="00FF4C4E">
            <w:pPr>
              <w:pStyle w:val="P68B1DB1-Normal13"/>
              <w:spacing w:after="0" w:line="240" w:lineRule="auto"/>
              <w:rPr>
                <w:rFonts w:eastAsia="MS Mincho" w:cs="Times New Roman"/>
                <w:noProof/>
              </w:rPr>
            </w:pPr>
            <w:r>
              <w:rPr>
                <w:noProof/>
              </w:rPr>
              <w:t xml:space="preserve">Sopimusten allekirjoittaminen julkisten tutkimuslaitosten kanssa kalastus- ja vesiviljelytutkimuksen edistämiseksi ja ekosysteemilähtöisen lähestymistavan varmistamiseksi kalastuksenhoitoa koskevassa päätöksenteossa  </w:t>
            </w:r>
          </w:p>
        </w:tc>
      </w:tr>
      <w:tr w:rsidR="000E48CE" w14:paraId="256BC99F" w14:textId="77777777">
        <w:trPr>
          <w:trHeight w:val="309"/>
        </w:trPr>
        <w:tc>
          <w:tcPr>
            <w:tcW w:w="709" w:type="dxa"/>
            <w:shd w:val="clear" w:color="auto" w:fill="C6EFCE"/>
            <w:noWrap/>
          </w:tcPr>
          <w:p w14:paraId="5FE3165D" w14:textId="0AFB058B" w:rsidR="000E48CE" w:rsidRDefault="00FF4C4E">
            <w:pPr>
              <w:pStyle w:val="P68B1DB1-Normal13"/>
              <w:spacing w:after="0" w:line="240" w:lineRule="auto"/>
              <w:jc w:val="center"/>
              <w:rPr>
                <w:rFonts w:eastAsia="MS Mincho" w:cs="Times New Roman"/>
                <w:noProof/>
              </w:rPr>
            </w:pPr>
            <w:r>
              <w:rPr>
                <w:noProof/>
              </w:rPr>
              <w:t>57</w:t>
            </w:r>
          </w:p>
        </w:tc>
        <w:tc>
          <w:tcPr>
            <w:tcW w:w="851" w:type="dxa"/>
            <w:shd w:val="clear" w:color="auto" w:fill="C6EFCE"/>
            <w:noWrap/>
          </w:tcPr>
          <w:p w14:paraId="33E213DF" w14:textId="2023383F" w:rsidR="000E48CE" w:rsidRDefault="00FF4C4E">
            <w:pPr>
              <w:pStyle w:val="P68B1DB1-Normal13"/>
              <w:spacing w:after="0" w:line="240" w:lineRule="auto"/>
              <w:jc w:val="center"/>
              <w:rPr>
                <w:rFonts w:eastAsia="MS Mincho" w:cs="Times New Roman"/>
                <w:noProof/>
              </w:rPr>
            </w:pPr>
            <w:r>
              <w:rPr>
                <w:noProof/>
              </w:rPr>
              <w:t>C3.I7</w:t>
            </w:r>
          </w:p>
        </w:tc>
        <w:tc>
          <w:tcPr>
            <w:tcW w:w="1080" w:type="dxa"/>
            <w:shd w:val="clear" w:color="auto" w:fill="C6EFCE"/>
            <w:noWrap/>
          </w:tcPr>
          <w:p w14:paraId="388498F2" w14:textId="44569597" w:rsidR="000E48CE" w:rsidRDefault="00FF4C4E">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31C63DEF" w14:textId="77BBC003" w:rsidR="000E48CE" w:rsidRDefault="00FF4C4E">
            <w:pPr>
              <w:pStyle w:val="P68B1DB1-Normal13"/>
              <w:spacing w:after="0" w:line="240" w:lineRule="auto"/>
              <w:rPr>
                <w:rFonts w:eastAsia="MS Mincho" w:cs="Times New Roman"/>
                <w:noProof/>
              </w:rPr>
            </w:pPr>
            <w:r>
              <w:rPr>
                <w:noProof/>
              </w:rPr>
              <w:t>Akustisten näytteenottimien hankinta kalastusalan tutkimusta varten</w:t>
            </w:r>
          </w:p>
        </w:tc>
        <w:tc>
          <w:tcPr>
            <w:tcW w:w="1276" w:type="dxa"/>
            <w:shd w:val="clear" w:color="auto" w:fill="C6EFCE"/>
            <w:noWrap/>
          </w:tcPr>
          <w:p w14:paraId="01947563" w14:textId="78C22953"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8BC89FB" w14:textId="7792EE1E" w:rsidR="000E48CE" w:rsidRDefault="00FF4C4E">
            <w:pPr>
              <w:pStyle w:val="P68B1DB1-Normal13"/>
              <w:spacing w:after="0" w:line="240" w:lineRule="auto"/>
              <w:jc w:val="right"/>
              <w:rPr>
                <w:rFonts w:eastAsia="MS Mincho" w:cs="Times New Roman"/>
                <w:noProof/>
              </w:rPr>
            </w:pPr>
            <w:r>
              <w:rPr>
                <w:noProof/>
              </w:rPr>
              <w:t>Määrä </w:t>
            </w:r>
          </w:p>
        </w:tc>
        <w:tc>
          <w:tcPr>
            <w:tcW w:w="567" w:type="dxa"/>
            <w:shd w:val="clear" w:color="auto" w:fill="C6EFCE"/>
            <w:noWrap/>
          </w:tcPr>
          <w:p w14:paraId="70945AB8" w14:textId="73B2824C"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45FB2F13" w14:textId="2CA05724" w:rsidR="000E48CE" w:rsidRDefault="00FF4C4E">
            <w:pPr>
              <w:pStyle w:val="P68B1DB1-Normal13"/>
              <w:spacing w:after="0" w:line="240" w:lineRule="auto"/>
              <w:jc w:val="right"/>
              <w:rPr>
                <w:rFonts w:eastAsia="MS Mincho" w:cs="Times New Roman"/>
                <w:noProof/>
              </w:rPr>
            </w:pPr>
            <w:r>
              <w:rPr>
                <w:noProof/>
              </w:rPr>
              <w:t>2</w:t>
            </w:r>
          </w:p>
        </w:tc>
        <w:tc>
          <w:tcPr>
            <w:tcW w:w="425" w:type="dxa"/>
            <w:shd w:val="clear" w:color="auto" w:fill="C6EFCE"/>
            <w:noWrap/>
          </w:tcPr>
          <w:p w14:paraId="1317816B" w14:textId="784687FF"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5B19E796" w14:textId="77777777"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0DBBBB21" w14:textId="50C527C4" w:rsidR="000E48CE" w:rsidRDefault="00FF4C4E">
            <w:pPr>
              <w:pStyle w:val="P68B1DB1-Normal13"/>
              <w:spacing w:after="0" w:line="240" w:lineRule="auto"/>
              <w:rPr>
                <w:rFonts w:cs="Times New Roman"/>
                <w:noProof/>
              </w:rPr>
            </w:pPr>
            <w:r>
              <w:rPr>
                <w:noProof/>
              </w:rPr>
              <w:t xml:space="preserve">Kahden kalatalouden tutkimukseen tarkoitetun akustisen koettimen hankintaa koskevan sopimuksen julkaiseminen julkisten hankintojen foorumissa. Kahden </w:t>
            </w:r>
            <w:r>
              <w:rPr>
                <w:noProof/>
              </w:rPr>
              <w:t>koettimen hankkimisen tavoitteena on varmistaa saatujen tietojen laatu ja siten suosia pelagisten lajien eri kantoja koskevia tieteellisiä arviointeja, mikä edistää kalastuksen kestävyyttä ja kalastuksenhoitoa koskevaa päätöksentekoa, joka perustuu parhaas</w:t>
            </w:r>
            <w:r>
              <w:rPr>
                <w:noProof/>
              </w:rPr>
              <w:t>een tieteelliseen tietoon.</w:t>
            </w:r>
          </w:p>
        </w:tc>
      </w:tr>
      <w:tr w:rsidR="000E48CE" w14:paraId="1406655C" w14:textId="77777777">
        <w:trPr>
          <w:trHeight w:val="309"/>
        </w:trPr>
        <w:tc>
          <w:tcPr>
            <w:tcW w:w="709" w:type="dxa"/>
            <w:shd w:val="clear" w:color="auto" w:fill="C6EFCE"/>
            <w:noWrap/>
          </w:tcPr>
          <w:p w14:paraId="6F8A58DE" w14:textId="51E18F9A" w:rsidR="000E48CE" w:rsidRDefault="00FF4C4E">
            <w:pPr>
              <w:pStyle w:val="P68B1DB1-Normal13"/>
              <w:spacing w:after="0" w:line="240" w:lineRule="auto"/>
              <w:jc w:val="center"/>
              <w:rPr>
                <w:rFonts w:eastAsia="MS Mincho" w:cs="Times New Roman"/>
                <w:noProof/>
              </w:rPr>
            </w:pPr>
            <w:r>
              <w:rPr>
                <w:noProof/>
              </w:rPr>
              <w:t>58</w:t>
            </w:r>
          </w:p>
        </w:tc>
        <w:tc>
          <w:tcPr>
            <w:tcW w:w="851" w:type="dxa"/>
            <w:shd w:val="clear" w:color="auto" w:fill="C6EFCE"/>
            <w:noWrap/>
          </w:tcPr>
          <w:p w14:paraId="2E9F658E" w14:textId="51F7C3D1" w:rsidR="000E48CE" w:rsidRDefault="00FF4C4E">
            <w:pPr>
              <w:pStyle w:val="P68B1DB1-Normal13"/>
              <w:spacing w:after="0" w:line="240" w:lineRule="auto"/>
              <w:jc w:val="center"/>
              <w:rPr>
                <w:rFonts w:eastAsia="MS Mincho" w:cs="Times New Roman"/>
                <w:noProof/>
              </w:rPr>
            </w:pPr>
            <w:r>
              <w:rPr>
                <w:noProof/>
              </w:rPr>
              <w:t>C3.I8</w:t>
            </w:r>
          </w:p>
        </w:tc>
        <w:tc>
          <w:tcPr>
            <w:tcW w:w="1080" w:type="dxa"/>
            <w:shd w:val="clear" w:color="auto" w:fill="C6EFCE"/>
            <w:noWrap/>
          </w:tcPr>
          <w:p w14:paraId="36908B73" w14:textId="4A705DE3" w:rsidR="000E48CE" w:rsidRDefault="00FF4C4E">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59366F03" w14:textId="38B05B9F" w:rsidR="000E48CE" w:rsidRDefault="00FF4C4E">
            <w:pPr>
              <w:pStyle w:val="P68B1DB1-Normal13"/>
              <w:spacing w:after="0" w:line="240" w:lineRule="auto"/>
              <w:rPr>
                <w:rFonts w:eastAsia="MS Mincho" w:cs="Times New Roman"/>
                <w:noProof/>
              </w:rPr>
            </w:pPr>
            <w:r>
              <w:rPr>
                <w:noProof/>
              </w:rPr>
              <w:t>Tutkimus-, kehittämis- ja innovointihankkeet kalastus- ja vesiviljelyalan häiriönsietokyvyn ja kestävyyden tukemiseksi</w:t>
            </w:r>
          </w:p>
        </w:tc>
        <w:tc>
          <w:tcPr>
            <w:tcW w:w="1276" w:type="dxa"/>
            <w:shd w:val="clear" w:color="auto" w:fill="C6EFCE"/>
            <w:noWrap/>
          </w:tcPr>
          <w:p w14:paraId="4E801B33" w14:textId="60B7C178"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184D15E4" w14:textId="251C36AF" w:rsidR="000E48CE" w:rsidRDefault="00FF4C4E">
            <w:pPr>
              <w:pStyle w:val="P68B1DB1-Normal13"/>
              <w:spacing w:after="0" w:line="240" w:lineRule="auto"/>
              <w:jc w:val="right"/>
              <w:rPr>
                <w:rFonts w:eastAsia="MS Mincho" w:cs="Times New Roman"/>
                <w:noProof/>
              </w:rPr>
            </w:pPr>
            <w:r>
              <w:rPr>
                <w:noProof/>
              </w:rPr>
              <w:t>Määrä</w:t>
            </w:r>
          </w:p>
        </w:tc>
        <w:tc>
          <w:tcPr>
            <w:tcW w:w="567" w:type="dxa"/>
            <w:shd w:val="clear" w:color="auto" w:fill="C6EFCE"/>
            <w:noWrap/>
          </w:tcPr>
          <w:p w14:paraId="63A420E6" w14:textId="024DED6A"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028EB558" w14:textId="5B485D53" w:rsidR="000E48CE" w:rsidRDefault="00FF4C4E">
            <w:pPr>
              <w:pStyle w:val="P68B1DB1-Normal13"/>
              <w:spacing w:after="0" w:line="240" w:lineRule="auto"/>
              <w:jc w:val="right"/>
              <w:rPr>
                <w:rFonts w:eastAsia="MS Mincho" w:cs="Times New Roman"/>
                <w:noProof/>
              </w:rPr>
            </w:pPr>
            <w:r>
              <w:rPr>
                <w:noProof/>
              </w:rPr>
              <w:t>20</w:t>
            </w:r>
          </w:p>
        </w:tc>
        <w:tc>
          <w:tcPr>
            <w:tcW w:w="425" w:type="dxa"/>
            <w:shd w:val="clear" w:color="auto" w:fill="C6EFCE"/>
            <w:noWrap/>
          </w:tcPr>
          <w:p w14:paraId="6AC464C5"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3A713548" w14:textId="6D21B9C8" w:rsidR="000E48CE" w:rsidRDefault="00FF4C4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10FE26EE" w14:textId="76476710" w:rsidR="000E48CE" w:rsidRDefault="00FF4C4E">
            <w:pPr>
              <w:pStyle w:val="P68B1DB1-Normal13"/>
              <w:spacing w:after="0" w:line="240" w:lineRule="auto"/>
              <w:rPr>
                <w:rFonts w:eastAsia="MS Mincho" w:cs="Times New Roman"/>
                <w:noProof/>
              </w:rPr>
            </w:pPr>
            <w:r>
              <w:rPr>
                <w:noProof/>
              </w:rPr>
              <w:t xml:space="preserve">Saatetaan päätökseen vähintään 20 tutkimus-, kehitys- ja innovointihanketta, </w:t>
            </w:r>
            <w:r>
              <w:rPr>
                <w:noProof/>
              </w:rPr>
              <w:t>joiden tarkoituksena on ottaa käyttöön uusia teknologioita, jotka edistävät kalastus- ja vesiviljelyalan häiriönsietokykyä ja kestävyyttä.</w:t>
            </w:r>
          </w:p>
        </w:tc>
      </w:tr>
      <w:tr w:rsidR="000E48CE" w14:paraId="30C4F024" w14:textId="77777777">
        <w:trPr>
          <w:trHeight w:val="309"/>
        </w:trPr>
        <w:tc>
          <w:tcPr>
            <w:tcW w:w="709" w:type="dxa"/>
            <w:shd w:val="clear" w:color="auto" w:fill="C6EFCE"/>
            <w:noWrap/>
          </w:tcPr>
          <w:p w14:paraId="4D2760AF" w14:textId="25DEC3E5" w:rsidR="000E48CE" w:rsidRDefault="00FF4C4E">
            <w:pPr>
              <w:pStyle w:val="P68B1DB1-Normal13"/>
              <w:spacing w:after="0" w:line="240" w:lineRule="auto"/>
              <w:jc w:val="center"/>
              <w:rPr>
                <w:rFonts w:eastAsia="MS Mincho" w:cs="Times New Roman"/>
                <w:noProof/>
              </w:rPr>
            </w:pPr>
            <w:r>
              <w:rPr>
                <w:noProof/>
              </w:rPr>
              <w:t>59</w:t>
            </w:r>
          </w:p>
        </w:tc>
        <w:tc>
          <w:tcPr>
            <w:tcW w:w="851" w:type="dxa"/>
            <w:shd w:val="clear" w:color="auto" w:fill="C6EFCE"/>
            <w:noWrap/>
          </w:tcPr>
          <w:p w14:paraId="74A6100D" w14:textId="2914EE3A" w:rsidR="000E48CE" w:rsidRDefault="00FF4C4E">
            <w:pPr>
              <w:pStyle w:val="P68B1DB1-Normal13"/>
              <w:spacing w:after="0" w:line="240" w:lineRule="auto"/>
              <w:jc w:val="center"/>
              <w:rPr>
                <w:rFonts w:eastAsia="MS Mincho" w:cs="Times New Roman"/>
                <w:noProof/>
              </w:rPr>
            </w:pPr>
            <w:r>
              <w:rPr>
                <w:noProof/>
              </w:rPr>
              <w:t>C3.I9</w:t>
            </w:r>
          </w:p>
        </w:tc>
        <w:tc>
          <w:tcPr>
            <w:tcW w:w="1080" w:type="dxa"/>
            <w:shd w:val="clear" w:color="auto" w:fill="C6EFCE"/>
            <w:noWrap/>
          </w:tcPr>
          <w:p w14:paraId="60A92451" w14:textId="6B927D17"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2F0C1A98" w14:textId="3E386702" w:rsidR="000E48CE" w:rsidRDefault="00FF4C4E">
            <w:pPr>
              <w:pStyle w:val="P68B1DB1-Normal13"/>
              <w:spacing w:after="0" w:line="240" w:lineRule="auto"/>
              <w:rPr>
                <w:rFonts w:eastAsia="MS Mincho" w:cs="Times New Roman"/>
                <w:noProof/>
              </w:rPr>
            </w:pPr>
            <w:r>
              <w:rPr>
                <w:noProof/>
              </w:rPr>
              <w:t xml:space="preserve">Espanjan kalastustietojärjestelmän (SIPE) ja kalastuksenvalvontajärjestelmän digitaalinen vahvistaminen </w:t>
            </w:r>
          </w:p>
        </w:tc>
        <w:tc>
          <w:tcPr>
            <w:tcW w:w="1276" w:type="dxa"/>
            <w:shd w:val="clear" w:color="auto" w:fill="C6EFCE"/>
            <w:noWrap/>
          </w:tcPr>
          <w:p w14:paraId="07459315" w14:textId="14D49FA8" w:rsidR="000E48CE" w:rsidRDefault="00FF4C4E">
            <w:pPr>
              <w:pStyle w:val="P68B1DB1-Normal13"/>
              <w:spacing w:after="0" w:line="240" w:lineRule="auto"/>
              <w:jc w:val="center"/>
              <w:rPr>
                <w:rFonts w:eastAsia="MS Mincho" w:cs="Times New Roman"/>
                <w:noProof/>
              </w:rPr>
            </w:pPr>
            <w:r>
              <w:rPr>
                <w:noProof/>
              </w:rPr>
              <w:t>Toisen palomuuriesteen asentaminen</w:t>
            </w:r>
          </w:p>
        </w:tc>
        <w:tc>
          <w:tcPr>
            <w:tcW w:w="850" w:type="dxa"/>
            <w:shd w:val="clear" w:color="auto" w:fill="C6EFCE"/>
            <w:noWrap/>
          </w:tcPr>
          <w:p w14:paraId="492888C9" w14:textId="0C17A82B" w:rsidR="000E48CE" w:rsidRDefault="00FF4C4E">
            <w:pPr>
              <w:pStyle w:val="P68B1DB1-Normal13"/>
              <w:spacing w:after="0" w:line="240" w:lineRule="auto"/>
              <w:jc w:val="right"/>
              <w:rPr>
                <w:rFonts w:eastAsia="MS Mincho" w:cs="Times New Roman"/>
                <w:noProof/>
              </w:rPr>
            </w:pPr>
            <w:r>
              <w:rPr>
                <w:noProof/>
              </w:rPr>
              <w:t> </w:t>
            </w:r>
          </w:p>
        </w:tc>
        <w:tc>
          <w:tcPr>
            <w:tcW w:w="567" w:type="dxa"/>
            <w:shd w:val="clear" w:color="auto" w:fill="C6EFCE"/>
            <w:noWrap/>
          </w:tcPr>
          <w:p w14:paraId="3081C80F" w14:textId="192EA673"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144751B" w14:textId="7A6D4372"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0DC41FC3" w14:textId="2F9F671E"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162C3D42" w14:textId="6DF5AFA2" w:rsidR="000E48CE" w:rsidRDefault="00FF4C4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514E70BC" w14:textId="48658675" w:rsidR="000E48CE" w:rsidRDefault="00FF4C4E">
            <w:pPr>
              <w:pStyle w:val="P68B1DB1-Normal13"/>
              <w:spacing w:after="0" w:line="240" w:lineRule="auto"/>
              <w:rPr>
                <w:rFonts w:eastAsia="MS Mincho" w:cs="Times New Roman"/>
                <w:noProof/>
              </w:rPr>
            </w:pPr>
            <w:r>
              <w:rPr>
                <w:noProof/>
              </w:rPr>
              <w:t>Kalastustietojen ja -valvonnan digitaalinen vahvistaminen, mukaan lukien toisen palomuuriesteen (palomuurin) asentaminen Espanjan kalastustietojärjestelmän (SIPE) turvallisuuden lisäämiseksi, noudattaen kans</w:t>
            </w:r>
            <w:r>
              <w:rPr>
                <w:noProof/>
              </w:rPr>
              <w:t xml:space="preserve">allisessa turvallisuusjärjestelmässä (ENS) vahvistettuja vaatimuksia, jotka koskevat korkeaa turvallisuustasoa, ja kalastusalusten digitalisointia.  </w:t>
            </w:r>
          </w:p>
        </w:tc>
      </w:tr>
      <w:tr w:rsidR="000E48CE" w14:paraId="1E462E9F" w14:textId="77777777">
        <w:trPr>
          <w:trHeight w:val="309"/>
        </w:trPr>
        <w:tc>
          <w:tcPr>
            <w:tcW w:w="709" w:type="dxa"/>
            <w:shd w:val="clear" w:color="auto" w:fill="C6EFCE"/>
            <w:noWrap/>
          </w:tcPr>
          <w:p w14:paraId="60E7A8A8" w14:textId="3D95EEAB" w:rsidR="000E48CE" w:rsidRDefault="00FF4C4E">
            <w:pPr>
              <w:pStyle w:val="P68B1DB1-Normal13"/>
              <w:spacing w:after="0" w:line="240" w:lineRule="auto"/>
              <w:jc w:val="center"/>
              <w:rPr>
                <w:rFonts w:eastAsia="MS Mincho" w:cs="Times New Roman"/>
                <w:noProof/>
              </w:rPr>
            </w:pPr>
            <w:r>
              <w:rPr>
                <w:noProof/>
              </w:rPr>
              <w:t>60</w:t>
            </w:r>
          </w:p>
        </w:tc>
        <w:tc>
          <w:tcPr>
            <w:tcW w:w="851" w:type="dxa"/>
            <w:shd w:val="clear" w:color="auto" w:fill="C6EFCE"/>
            <w:noWrap/>
          </w:tcPr>
          <w:p w14:paraId="195DB6A2" w14:textId="48CC61DA" w:rsidR="000E48CE" w:rsidRDefault="00FF4C4E">
            <w:pPr>
              <w:pStyle w:val="P68B1DB1-Normal13"/>
              <w:spacing w:after="0" w:line="240" w:lineRule="auto"/>
              <w:jc w:val="center"/>
              <w:rPr>
                <w:rFonts w:eastAsia="MS Mincho" w:cs="Times New Roman"/>
                <w:noProof/>
              </w:rPr>
            </w:pPr>
            <w:r>
              <w:rPr>
                <w:noProof/>
              </w:rPr>
              <w:t>C3.I10</w:t>
            </w:r>
          </w:p>
        </w:tc>
        <w:tc>
          <w:tcPr>
            <w:tcW w:w="1080" w:type="dxa"/>
            <w:shd w:val="clear" w:color="auto" w:fill="C6EFCE"/>
            <w:noWrap/>
          </w:tcPr>
          <w:p w14:paraId="1EE4D7E7" w14:textId="29CC0987" w:rsidR="000E48CE" w:rsidRDefault="00FF4C4E">
            <w:pPr>
              <w:pStyle w:val="P68B1DB1-Normal13"/>
              <w:spacing w:after="0" w:line="240" w:lineRule="auto"/>
              <w:jc w:val="center"/>
              <w:rPr>
                <w:rFonts w:eastAsia="MS Mincho" w:cs="Times New Roman"/>
                <w:noProof/>
              </w:rPr>
            </w:pPr>
            <w:r>
              <w:rPr>
                <w:noProof/>
              </w:rPr>
              <w:t>M</w:t>
            </w:r>
          </w:p>
        </w:tc>
        <w:tc>
          <w:tcPr>
            <w:tcW w:w="2889" w:type="dxa"/>
            <w:shd w:val="clear" w:color="auto" w:fill="C6EFCE"/>
            <w:noWrap/>
          </w:tcPr>
          <w:p w14:paraId="4637942A" w14:textId="057F78C4" w:rsidR="000E48CE" w:rsidRDefault="00FF4C4E">
            <w:pPr>
              <w:pStyle w:val="P68B1DB1-Normal13"/>
              <w:spacing w:after="0" w:line="240" w:lineRule="auto"/>
              <w:rPr>
                <w:rFonts w:eastAsia="MS Mincho" w:cs="Times New Roman"/>
                <w:noProof/>
              </w:rPr>
            </w:pPr>
            <w:r>
              <w:rPr>
                <w:noProof/>
              </w:rPr>
              <w:t xml:space="preserve">Kevyiden partioalusten ja aavan meren partioalusten hankinta laittoman, ilmoittamattoman ja sääntelemättömän kalastuksen torjumiseksi </w:t>
            </w:r>
          </w:p>
        </w:tc>
        <w:tc>
          <w:tcPr>
            <w:tcW w:w="1276" w:type="dxa"/>
            <w:shd w:val="clear" w:color="auto" w:fill="C6EFCE"/>
            <w:noWrap/>
          </w:tcPr>
          <w:p w14:paraId="6537F28F" w14:textId="0648B147" w:rsidR="000E48CE" w:rsidRDefault="00FF4C4E">
            <w:pPr>
              <w:pStyle w:val="P68B1DB1-Normal13"/>
              <w:spacing w:after="0" w:line="240" w:lineRule="auto"/>
              <w:jc w:val="center"/>
              <w:rPr>
                <w:rFonts w:eastAsia="MS Mincho" w:cs="Times New Roman"/>
                <w:noProof/>
              </w:rPr>
            </w:pPr>
            <w:r>
              <w:rPr>
                <w:noProof/>
              </w:rPr>
              <w:t xml:space="preserve">Hankintasopimuksen julkaiseminen julkisten hankintojen alustalla </w:t>
            </w:r>
          </w:p>
        </w:tc>
        <w:tc>
          <w:tcPr>
            <w:tcW w:w="850" w:type="dxa"/>
            <w:shd w:val="clear" w:color="auto" w:fill="C6EFCE"/>
            <w:noWrap/>
          </w:tcPr>
          <w:p w14:paraId="24395A78" w14:textId="10EB6BDF"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3209E21E" w14:textId="425DB139"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B5474F0" w14:textId="772120D4"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73E51AB3"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31A5C52D" w14:textId="1D6B0EE5"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79CBC4EB" w14:textId="0F3BC9FD" w:rsidR="000E48CE" w:rsidRDefault="00FF4C4E">
            <w:pPr>
              <w:pStyle w:val="P68B1DB1-Normal13"/>
              <w:spacing w:after="0" w:line="240" w:lineRule="auto"/>
              <w:rPr>
                <w:rFonts w:eastAsia="MS Mincho" w:cs="Times New Roman"/>
                <w:noProof/>
              </w:rPr>
            </w:pPr>
            <w:r>
              <w:rPr>
                <w:noProof/>
              </w:rPr>
              <w:t>Neljää uutta kevyttä partioalustaa ja kol</w:t>
            </w:r>
            <w:r>
              <w:rPr>
                <w:noProof/>
              </w:rPr>
              <w:t>mea uudistettua aavan meren partioalustaa koskevan hankintasopimuksen julkaiseminen julkisten hankintojen foorumissa laittoman, ilmoittamattoman ja sääntelemättömän kalastuksen torjumiseksi, joka on edelleen yksi suurimmista meriekosysteemeihin kohdistuvis</w:t>
            </w:r>
            <w:r>
              <w:rPr>
                <w:noProof/>
              </w:rPr>
              <w:t>ta uhkista. On etsittävä parasta teknologiaa, joka mahdollistaa ”ei merkittävää haittaa” -periaatteen noudattamisen (2021/C58/01) teknisten ohjeiden (2021/C58/01) noudattamisen.</w:t>
            </w:r>
          </w:p>
        </w:tc>
      </w:tr>
      <w:tr w:rsidR="000E48CE" w14:paraId="7F936975" w14:textId="77777777">
        <w:trPr>
          <w:trHeight w:val="309"/>
        </w:trPr>
        <w:tc>
          <w:tcPr>
            <w:tcW w:w="709" w:type="dxa"/>
            <w:shd w:val="clear" w:color="auto" w:fill="C6EFCE"/>
            <w:noWrap/>
          </w:tcPr>
          <w:p w14:paraId="6E55690C" w14:textId="0FF76394" w:rsidR="000E48CE" w:rsidRDefault="00FF4C4E">
            <w:pPr>
              <w:pStyle w:val="P68B1DB1-Normal13"/>
              <w:spacing w:after="0" w:line="240" w:lineRule="auto"/>
              <w:jc w:val="center"/>
              <w:rPr>
                <w:rFonts w:eastAsia="MS Mincho" w:cs="Times New Roman"/>
                <w:noProof/>
              </w:rPr>
            </w:pPr>
            <w:r>
              <w:rPr>
                <w:noProof/>
              </w:rPr>
              <w:lastRenderedPageBreak/>
              <w:t>61</w:t>
            </w:r>
          </w:p>
        </w:tc>
        <w:tc>
          <w:tcPr>
            <w:tcW w:w="851" w:type="dxa"/>
            <w:shd w:val="clear" w:color="auto" w:fill="C6EFCE"/>
            <w:noWrap/>
          </w:tcPr>
          <w:p w14:paraId="1A723A1E" w14:textId="31EE0C7E" w:rsidR="000E48CE" w:rsidRDefault="00FF4C4E">
            <w:pPr>
              <w:pStyle w:val="P68B1DB1-Normal13"/>
              <w:spacing w:after="0" w:line="240" w:lineRule="auto"/>
              <w:jc w:val="center"/>
              <w:rPr>
                <w:rFonts w:eastAsia="MS Mincho" w:cs="Times New Roman"/>
                <w:noProof/>
              </w:rPr>
            </w:pPr>
            <w:r>
              <w:rPr>
                <w:noProof/>
              </w:rPr>
              <w:t>C3.I11</w:t>
            </w:r>
          </w:p>
        </w:tc>
        <w:tc>
          <w:tcPr>
            <w:tcW w:w="1080" w:type="dxa"/>
            <w:shd w:val="clear" w:color="auto" w:fill="C6EFCE"/>
            <w:noWrap/>
          </w:tcPr>
          <w:p w14:paraId="02EB2921" w14:textId="123F1310" w:rsidR="000E48CE" w:rsidRDefault="00FF4C4E">
            <w:pPr>
              <w:pStyle w:val="P68B1DB1-Normal13"/>
              <w:spacing w:after="0" w:line="240" w:lineRule="auto"/>
              <w:jc w:val="center"/>
              <w:rPr>
                <w:rFonts w:eastAsia="MS Mincho" w:cs="Times New Roman"/>
                <w:noProof/>
              </w:rPr>
            </w:pPr>
            <w:r>
              <w:rPr>
                <w:noProof/>
              </w:rPr>
              <w:t>T</w:t>
            </w:r>
          </w:p>
        </w:tc>
        <w:tc>
          <w:tcPr>
            <w:tcW w:w="2889" w:type="dxa"/>
            <w:shd w:val="clear" w:color="auto" w:fill="C6EFCE"/>
            <w:noWrap/>
          </w:tcPr>
          <w:p w14:paraId="5707BEAA" w14:textId="416EEAAE" w:rsidR="000E48CE" w:rsidRDefault="00FF4C4E">
            <w:pPr>
              <w:pStyle w:val="P68B1DB1-Normal13"/>
              <w:spacing w:after="0" w:line="240" w:lineRule="auto"/>
              <w:rPr>
                <w:rFonts w:eastAsia="MS Mincho" w:cs="Times New Roman"/>
                <w:noProof/>
              </w:rPr>
            </w:pPr>
            <w:r>
              <w:rPr>
                <w:noProof/>
              </w:rPr>
              <w:t>Kalatalousalan investointihankkeiden rahoitus</w:t>
            </w:r>
          </w:p>
        </w:tc>
        <w:tc>
          <w:tcPr>
            <w:tcW w:w="1276" w:type="dxa"/>
            <w:shd w:val="clear" w:color="auto" w:fill="C6EFCE"/>
            <w:noWrap/>
          </w:tcPr>
          <w:p w14:paraId="3973365E" w14:textId="572DF5B8"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222CCC41" w14:textId="248FA75A" w:rsidR="000E48CE" w:rsidRDefault="00FF4C4E">
            <w:pPr>
              <w:pStyle w:val="P68B1DB1-Normal13"/>
              <w:spacing w:after="0" w:line="240" w:lineRule="auto"/>
              <w:jc w:val="right"/>
              <w:rPr>
                <w:rFonts w:eastAsia="MS Mincho" w:cs="Times New Roman"/>
                <w:noProof/>
              </w:rPr>
            </w:pPr>
            <w:r>
              <w:rPr>
                <w:noProof/>
              </w:rPr>
              <w:t>Miljoonaa euroa</w:t>
            </w:r>
          </w:p>
        </w:tc>
        <w:tc>
          <w:tcPr>
            <w:tcW w:w="567" w:type="dxa"/>
            <w:shd w:val="clear" w:color="auto" w:fill="C6EFCE"/>
            <w:noWrap/>
          </w:tcPr>
          <w:p w14:paraId="66E8DF9A" w14:textId="360D9327"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637F08B6" w14:textId="5981BE43" w:rsidR="000E48CE" w:rsidRDefault="00FF4C4E">
            <w:pPr>
              <w:pStyle w:val="P68B1DB1-Normal13"/>
              <w:spacing w:after="0" w:line="240" w:lineRule="auto"/>
              <w:jc w:val="right"/>
              <w:rPr>
                <w:rFonts w:eastAsia="MS Mincho" w:cs="Times New Roman"/>
                <w:noProof/>
              </w:rPr>
            </w:pPr>
            <w:r>
              <w:rPr>
                <w:noProof/>
              </w:rPr>
              <w:t>5</w:t>
            </w:r>
          </w:p>
        </w:tc>
        <w:tc>
          <w:tcPr>
            <w:tcW w:w="425" w:type="dxa"/>
            <w:shd w:val="clear" w:color="auto" w:fill="C6EFCE"/>
            <w:noWrap/>
          </w:tcPr>
          <w:p w14:paraId="067D6490" w14:textId="2A71F79C"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5EC703BC" w14:textId="13F59FB8" w:rsidR="000E48CE" w:rsidRDefault="00FF4C4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7E761D4" w14:textId="16D9DAC6" w:rsidR="000E48CE" w:rsidRDefault="00FF4C4E">
            <w:pPr>
              <w:pStyle w:val="P68B1DB1-Normal13"/>
              <w:spacing w:after="0" w:line="240" w:lineRule="auto"/>
              <w:rPr>
                <w:rFonts w:eastAsia="MS Mincho" w:cs="Times New Roman"/>
                <w:noProof/>
              </w:rPr>
            </w:pPr>
            <w:r>
              <w:rPr>
                <w:noProof/>
              </w:rPr>
              <w:t xml:space="preserve">Hyväksytään maatalous-, kalastus- ja elintarvikeministeriön ja SAECA:n välinen sopimus kalastusalan investointihankkeiden rahoittamisen tukemisesta myöntämällä Sociedad Anónima Estatal de Caución Agrarialle (SAECA) vähintään 5000000 euron laina, </w:t>
            </w:r>
            <w:r>
              <w:rPr>
                <w:noProof/>
              </w:rPr>
              <w:t>joka koskee sellaisen budjettikohdan perustamista, jonka tarkoituksena on taata uudelleen kestävään kalastustoimintaan liittyvät hankkeet; parantaa toiminnan työoloja ja turvallisuutta; sekä prosessien ja järjestelmien digitalisointiin. Edellä mainittuun s</w:t>
            </w:r>
            <w:r>
              <w:rPr>
                <w:noProof/>
              </w:rPr>
              <w:t>opimukseen on sisällytettävä lauseke, jolla taataan, että tämän investoinnin puitteissa tuetut transaktiot ovat tämän toimenpiteen nojalla tuettujen transaktioiden osalta annettujen ”ei merkittävää haittaa” -ohjeiden (2021/C58/01) mukaisia, kun käytetään k</w:t>
            </w:r>
            <w:r>
              <w:rPr>
                <w:noProof/>
              </w:rPr>
              <w:t>estävyysarviointia, poissulkemisluetteloa ja vaatimusta noudattaa asiaankuuluvaa EU:n ja kansallista ympäristölainsäädäntöä.</w:t>
            </w:r>
          </w:p>
        </w:tc>
      </w:tr>
    </w:tbl>
    <w:p w14:paraId="70DF9E56" w14:textId="77777777" w:rsidR="000E48CE" w:rsidRDefault="000E48CE">
      <w:pPr>
        <w:spacing w:before="120" w:after="120" w:line="240" w:lineRule="auto"/>
        <w:ind w:left="709"/>
        <w:jc w:val="both"/>
        <w:rPr>
          <w:rFonts w:ascii="Times New Roman" w:hAnsi="Times New Roman" w:cs="Times New Roman"/>
          <w:noProof/>
          <w:sz w:val="24"/>
        </w:rPr>
      </w:pPr>
    </w:p>
    <w:p w14:paraId="44E871BC" w14:textId="77777777" w:rsidR="000E48CE" w:rsidRDefault="000E48CE">
      <w:pPr>
        <w:spacing w:before="120" w:after="120" w:line="240" w:lineRule="auto"/>
        <w:ind w:left="709"/>
        <w:jc w:val="both"/>
        <w:rPr>
          <w:rFonts w:ascii="Times New Roman" w:hAnsi="Times New Roman" w:cs="Times New Roman"/>
          <w:noProof/>
          <w:sz w:val="24"/>
        </w:rPr>
      </w:pPr>
    </w:p>
    <w:p w14:paraId="0EB18B02" w14:textId="785A064A" w:rsidR="000E48CE" w:rsidRDefault="000E48CE">
      <w:pPr>
        <w:spacing w:before="120" w:after="120" w:line="240" w:lineRule="auto"/>
        <w:ind w:left="709"/>
        <w:jc w:val="both"/>
        <w:rPr>
          <w:rFonts w:ascii="Times New Roman" w:hAnsi="Times New Roman" w:cs="Times New Roman"/>
          <w:noProof/>
          <w:sz w:val="24"/>
        </w:rPr>
      </w:pPr>
    </w:p>
    <w:p w14:paraId="2A718143" w14:textId="01B8AB2B" w:rsidR="000E48CE" w:rsidRDefault="000E48CE">
      <w:pPr>
        <w:spacing w:before="120" w:after="120" w:line="240" w:lineRule="auto"/>
        <w:ind w:left="709"/>
        <w:jc w:val="both"/>
        <w:rPr>
          <w:rFonts w:ascii="Times New Roman" w:hAnsi="Times New Roman" w:cs="Times New Roman"/>
          <w:noProof/>
          <w:sz w:val="24"/>
        </w:rPr>
      </w:pPr>
    </w:p>
    <w:p w14:paraId="6443D1A8" w14:textId="31ECC4F1" w:rsidR="000E48CE" w:rsidRDefault="000E48CE">
      <w:pPr>
        <w:spacing w:before="120" w:after="120" w:line="240" w:lineRule="auto"/>
        <w:ind w:left="709"/>
        <w:jc w:val="both"/>
        <w:rPr>
          <w:rFonts w:ascii="Times New Roman" w:hAnsi="Times New Roman" w:cs="Times New Roman"/>
          <w:noProof/>
          <w:sz w:val="24"/>
        </w:rPr>
      </w:pPr>
    </w:p>
    <w:p w14:paraId="72DEA653" w14:textId="2C15C0E9" w:rsidR="000E48CE" w:rsidRDefault="000E48CE">
      <w:pPr>
        <w:spacing w:before="120" w:after="120" w:line="240" w:lineRule="auto"/>
        <w:ind w:left="709"/>
        <w:jc w:val="both"/>
        <w:rPr>
          <w:rFonts w:ascii="Times New Roman" w:hAnsi="Times New Roman" w:cs="Times New Roman"/>
          <w:noProof/>
          <w:sz w:val="24"/>
        </w:rPr>
      </w:pPr>
    </w:p>
    <w:p w14:paraId="62CC3A09" w14:textId="77777777" w:rsidR="000E48CE" w:rsidRDefault="000E48CE">
      <w:pPr>
        <w:spacing w:before="120" w:after="120" w:line="240" w:lineRule="auto"/>
        <w:ind w:left="709"/>
        <w:jc w:val="both"/>
        <w:rPr>
          <w:rFonts w:ascii="Times New Roman" w:hAnsi="Times New Roman" w:cs="Times New Roman"/>
          <w:noProof/>
          <w:sz w:val="24"/>
        </w:rPr>
        <w:sectPr w:rsidR="000E48CE" w:rsidSect="00522183">
          <w:headerReference w:type="even" r:id="rId84"/>
          <w:headerReference w:type="default" r:id="rId85"/>
          <w:footerReference w:type="even" r:id="rId86"/>
          <w:footerReference w:type="default" r:id="rId87"/>
          <w:headerReference w:type="first" r:id="rId88"/>
          <w:footerReference w:type="first" r:id="rId89"/>
          <w:pgSz w:w="16839" w:h="11907" w:orient="landscape"/>
          <w:pgMar w:top="1417" w:right="1134" w:bottom="1417" w:left="1134" w:header="709" w:footer="709" w:gutter="0"/>
          <w:cols w:space="720"/>
          <w:docGrid w:linePitch="360"/>
        </w:sectPr>
      </w:pPr>
    </w:p>
    <w:p w14:paraId="066BE16A" w14:textId="0032779E" w:rsidR="000E48CE" w:rsidRDefault="00FF4C4E">
      <w:pPr>
        <w:pStyle w:val="P68B1DB1-Text120"/>
        <w:ind w:left="709"/>
        <w:rPr>
          <w:rFonts w:eastAsia="MS Mincho" w:cs="Times New Roman"/>
          <w:noProof/>
        </w:rPr>
      </w:pPr>
      <w:r>
        <w:rPr>
          <w:b/>
          <w:noProof/>
        </w:rPr>
        <w:t xml:space="preserve">C.3 </w:t>
      </w:r>
      <w:r>
        <w:rPr>
          <w:noProof/>
        </w:rPr>
        <w:t xml:space="preserve">Kuvaus lainatukeen liittyvistä uudistuksista ja investoinneista </w:t>
      </w:r>
    </w:p>
    <w:p w14:paraId="649BE32E" w14:textId="7CA16918" w:rsidR="000E48CE" w:rsidRDefault="00FF4C4E">
      <w:pPr>
        <w:pStyle w:val="P68B1DB1-Normal6"/>
        <w:spacing w:before="120" w:after="120" w:line="240" w:lineRule="auto"/>
        <w:jc w:val="both"/>
        <w:rPr>
          <w:rFonts w:eastAsia="MS Mincho" w:cs="Times New Roman"/>
          <w:noProof/>
        </w:rPr>
      </w:pPr>
      <w:bookmarkStart w:id="11" w:name="_Hlk144117337"/>
      <w:r>
        <w:rPr>
          <w:noProof/>
        </w:rPr>
        <w:t>Uudistus 7 (C3.R7) – Laki ruokahävikin ja ruokajätteen ehkäisemisestä</w:t>
      </w:r>
    </w:p>
    <w:bookmarkEnd w:id="11"/>
    <w:p w14:paraId="78010986" w14:textId="45762D7F" w:rsidR="000E48CE" w:rsidRDefault="00FF4C4E">
      <w:pPr>
        <w:pStyle w:val="P68B1DB1-Normal4"/>
        <w:spacing w:before="120" w:after="120" w:line="240" w:lineRule="auto"/>
        <w:jc w:val="both"/>
        <w:rPr>
          <w:rFonts w:cs="Times New Roman"/>
          <w:noProof/>
        </w:rPr>
      </w:pPr>
      <w:r>
        <w:rPr>
          <w:noProof/>
        </w:rPr>
        <w:t xml:space="preserve">Uudistuksella pyritään ehkäisemään ruokahävikkiä ja -jätettä asettamalla elintarvikkeiden käytön tärkeysjärjestys, jotta </w:t>
      </w:r>
      <w:r>
        <w:rPr>
          <w:noProof/>
        </w:rPr>
        <w:t>siitä ei tule jätettä.</w:t>
      </w:r>
    </w:p>
    <w:p w14:paraId="5AA96578" w14:textId="489BD0AD" w:rsidR="000E48CE" w:rsidRDefault="00FF4C4E">
      <w:pPr>
        <w:pStyle w:val="P68B1DB1-Normal4"/>
        <w:spacing w:before="120" w:after="120" w:line="240" w:lineRule="auto"/>
        <w:jc w:val="both"/>
        <w:rPr>
          <w:rFonts w:cs="Times New Roman"/>
          <w:noProof/>
        </w:rPr>
      </w:pPr>
      <w:r>
        <w:rPr>
          <w:noProof/>
        </w:rPr>
        <w:t>Uuden asetuksen tavoitteena on tehostaa resurssien hallinnointia seuraavin keinoin:</w:t>
      </w:r>
    </w:p>
    <w:p w14:paraId="66D140DA" w14:textId="45762D7F" w:rsidR="000E48CE" w:rsidRDefault="00FF4C4E">
      <w:pPr>
        <w:pStyle w:val="P68B1DB1-ListParagraph7"/>
        <w:numPr>
          <w:ilvl w:val="0"/>
          <w:numId w:val="42"/>
        </w:numPr>
        <w:spacing w:before="120" w:after="120" w:line="240" w:lineRule="auto"/>
        <w:jc w:val="both"/>
        <w:rPr>
          <w:rFonts w:cs="Times New Roman"/>
          <w:noProof/>
        </w:rPr>
      </w:pPr>
      <w:r>
        <w:rPr>
          <w:noProof/>
        </w:rPr>
        <w:t xml:space="preserve">edistetään kiertobiotaloutta; </w:t>
      </w:r>
    </w:p>
    <w:p w14:paraId="36661960" w14:textId="45762D7F" w:rsidR="000E48CE" w:rsidRDefault="00FF4C4E">
      <w:pPr>
        <w:pStyle w:val="P68B1DB1-ListParagraph7"/>
        <w:numPr>
          <w:ilvl w:val="0"/>
          <w:numId w:val="42"/>
        </w:numPr>
        <w:spacing w:before="120" w:after="120" w:line="240" w:lineRule="auto"/>
        <w:jc w:val="both"/>
        <w:rPr>
          <w:rFonts w:cs="Times New Roman"/>
          <w:noProof/>
        </w:rPr>
      </w:pPr>
      <w:r>
        <w:rPr>
          <w:noProof/>
        </w:rPr>
        <w:t xml:space="preserve">edistetään ylijäämäelintarvikkeiden talteenottoa ja jakelua sosiaaliseen solidaarisuuteen liittyviin tarkoituksiin ja </w:t>
      </w:r>
      <w:r>
        <w:rPr>
          <w:noProof/>
        </w:rPr>
        <w:t xml:space="preserve">asetetaan ne etusijalle ihmisten käytössä; </w:t>
      </w:r>
    </w:p>
    <w:p w14:paraId="76DD6320" w14:textId="45762D7F" w:rsidR="000E48CE" w:rsidRDefault="00FF4C4E">
      <w:pPr>
        <w:pStyle w:val="P68B1DB1-ListParagraph7"/>
        <w:numPr>
          <w:ilvl w:val="0"/>
          <w:numId w:val="42"/>
        </w:numPr>
        <w:spacing w:before="120" w:after="120" w:line="240" w:lineRule="auto"/>
        <w:jc w:val="both"/>
        <w:rPr>
          <w:rFonts w:cs="Times New Roman"/>
          <w:noProof/>
        </w:rPr>
      </w:pPr>
      <w:r>
        <w:rPr>
          <w:noProof/>
        </w:rPr>
        <w:t xml:space="preserve">tutkimuksen ja innovoinnin tukeminen ruokahävikin ja ruokajätteen ehkäisemisen ja vähentämisen alalla; </w:t>
      </w:r>
    </w:p>
    <w:p w14:paraId="3D61E10A" w14:textId="6AF5CF44" w:rsidR="000E48CE" w:rsidRDefault="00FF4C4E">
      <w:pPr>
        <w:pStyle w:val="P68B1DB1-ListParagraph7"/>
        <w:numPr>
          <w:ilvl w:val="0"/>
          <w:numId w:val="42"/>
        </w:numPr>
        <w:spacing w:before="120" w:after="120" w:line="240" w:lineRule="auto"/>
        <w:jc w:val="both"/>
        <w:rPr>
          <w:rFonts w:cs="Times New Roman"/>
          <w:noProof/>
        </w:rPr>
      </w:pPr>
      <w:r>
        <w:rPr>
          <w:noProof/>
        </w:rPr>
        <w:t>Agenda 2030 -toimintaohjelman vastuullisen tuotannon ja kulutuksen tavoitteen saavuttaminen; ja</w:t>
      </w:r>
    </w:p>
    <w:p w14:paraId="20011AAB" w14:textId="45762D7F" w:rsidR="000E48CE" w:rsidRDefault="00FF4C4E">
      <w:pPr>
        <w:pStyle w:val="P68B1DB1-ListParagraph7"/>
        <w:numPr>
          <w:ilvl w:val="0"/>
          <w:numId w:val="42"/>
        </w:numPr>
        <w:spacing w:before="120" w:after="120" w:line="240" w:lineRule="auto"/>
        <w:jc w:val="both"/>
        <w:rPr>
          <w:rFonts w:cs="Times New Roman"/>
          <w:noProof/>
        </w:rPr>
      </w:pPr>
      <w:r>
        <w:rPr>
          <w:noProof/>
        </w:rPr>
        <w:t>kasvihuoneka</w:t>
      </w:r>
      <w:r>
        <w:rPr>
          <w:noProof/>
        </w:rPr>
        <w:t>asupäästöjen ja muiden pilaavien aineiden vähentäminen.</w:t>
      </w:r>
    </w:p>
    <w:p w14:paraId="388EA854" w14:textId="51011AC0" w:rsidR="000E48CE" w:rsidRDefault="00FF4C4E">
      <w:pPr>
        <w:pStyle w:val="P68B1DB1-Normal4"/>
        <w:spacing w:before="120" w:after="120" w:line="240" w:lineRule="auto"/>
        <w:jc w:val="both"/>
        <w:rPr>
          <w:rFonts w:cs="Times New Roman"/>
          <w:noProof/>
        </w:rPr>
      </w:pPr>
      <w:r>
        <w:rPr>
          <w:noProof/>
        </w:rPr>
        <w:t>Toimenpiteen täytäntöönpano on määrä saattaa päätökseen 30. kesäkuuta 2026 mennessä.</w:t>
      </w:r>
    </w:p>
    <w:p w14:paraId="7155D10D" w14:textId="464E489C" w:rsidR="000E48CE" w:rsidRDefault="00FF4C4E">
      <w:pPr>
        <w:pStyle w:val="P68B1DB1-Normal6"/>
        <w:spacing w:before="120" w:after="120" w:line="240" w:lineRule="auto"/>
        <w:jc w:val="both"/>
        <w:rPr>
          <w:rFonts w:eastAsia="MS Mincho" w:cs="Times New Roman"/>
          <w:noProof/>
        </w:rPr>
      </w:pPr>
      <w:bookmarkStart w:id="12" w:name="_Hlk144116941"/>
      <w:r>
        <w:rPr>
          <w:noProof/>
        </w:rPr>
        <w:t>Uudistus 8 (C3.R8) – Maatilatietojärjestelmää koskeva asetus</w:t>
      </w:r>
    </w:p>
    <w:bookmarkEnd w:id="12"/>
    <w:p w14:paraId="026A03FE" w14:textId="3B1B52DC" w:rsidR="000E48CE" w:rsidRDefault="00FF4C4E">
      <w:pPr>
        <w:pStyle w:val="P68B1DB1-Normal4"/>
        <w:spacing w:before="120" w:after="120" w:line="240" w:lineRule="auto"/>
        <w:jc w:val="both"/>
        <w:rPr>
          <w:rFonts w:cs="Times New Roman"/>
          <w:noProof/>
        </w:rPr>
      </w:pPr>
      <w:r>
        <w:rPr>
          <w:noProof/>
        </w:rPr>
        <w:t xml:space="preserve">Uudistuksen tavoitteena on perustaa maa- ja </w:t>
      </w:r>
      <w:r>
        <w:rPr>
          <w:noProof/>
        </w:rPr>
        <w:t>metsätaloustietojärjestelmä (SIEX), jonka avulla maatalous-, kalastus- ja elintarvikeministeriö voi hallinnoida maatalous- ja karjankasvatuspolitiikkaa. Tietojärjestelmän on yksinkertaistettava viljelijöiden ja hallinnon välistä suhdetta ja parannettava vi</w:t>
      </w:r>
      <w:r>
        <w:rPr>
          <w:noProof/>
        </w:rPr>
        <w:t>ljelijöiden yritystoiminnan hallintaa kokoamalla maatilaa koskevat asiaankuuluvat tiedot yhteen tietojärjestelmään,</w:t>
      </w:r>
    </w:p>
    <w:p w14:paraId="513ECEA3" w14:textId="6D3B564A" w:rsidR="000E48CE" w:rsidRDefault="00FF4C4E">
      <w:pPr>
        <w:pStyle w:val="P68B1DB1-Normal4"/>
        <w:spacing w:line="257" w:lineRule="auto"/>
        <w:jc w:val="both"/>
        <w:rPr>
          <w:rFonts w:cs="Times New Roman"/>
          <w:noProof/>
        </w:rPr>
      </w:pPr>
      <w:r>
        <w:rPr>
          <w:noProof/>
        </w:rPr>
        <w:t>Asetuksella perustetaan ja säännellään maa- ja karjatiloja ja maataloustuotantoa koskevaa tietojärjestelmää sekä autonomisten alueiden maati</w:t>
      </w:r>
      <w:r>
        <w:rPr>
          <w:noProof/>
        </w:rPr>
        <w:t xml:space="preserve">larekisteriä ja maatilojen digitaalista rekisteriä. Digitaalisessa maatilakirjassa on määrättävä asiaankuuluvasta siirtymäkaudesta: erityisesti digitaalisen </w:t>
      </w:r>
      <w:bookmarkStart w:id="13" w:name="_Hlk144117029"/>
      <w:r>
        <w:rPr>
          <w:noProof/>
        </w:rPr>
        <w:t xml:space="preserve">maatilakirjan 9 ja 10 artikla tulevat voimaan kaikkien maatilojen osalta viimeistään vuoden </w:t>
      </w:r>
      <w:bookmarkEnd w:id="13"/>
      <w:r>
        <w:rPr>
          <w:noProof/>
        </w:rPr>
        <w:t>2025 ko</w:t>
      </w:r>
      <w:r>
        <w:rPr>
          <w:noProof/>
        </w:rPr>
        <w:t xml:space="preserve">lmannella neljänneksellä.  </w:t>
      </w:r>
    </w:p>
    <w:p w14:paraId="3034905E" w14:textId="2A420807" w:rsidR="000E48CE" w:rsidRDefault="00FF4C4E">
      <w:pPr>
        <w:pStyle w:val="P68B1DB1-Normal4"/>
        <w:spacing w:line="257" w:lineRule="auto"/>
        <w:jc w:val="both"/>
        <w:rPr>
          <w:rFonts w:cs="Times New Roman"/>
          <w:noProof/>
        </w:rPr>
      </w:pPr>
      <w:r>
        <w:rPr>
          <w:noProof/>
        </w:rPr>
        <w:t>Toimenpiteen täytäntöönpano on saatettava päätökseen viimeistään 30 päivänä syyskuuta 2025.</w:t>
      </w:r>
    </w:p>
    <w:p w14:paraId="3B02038A" w14:textId="64EE6C06" w:rsidR="000E48CE" w:rsidRDefault="00FF4C4E">
      <w:pPr>
        <w:pStyle w:val="P68B1DB1-Normal6"/>
        <w:spacing w:before="120" w:after="120" w:line="240" w:lineRule="auto"/>
        <w:jc w:val="both"/>
        <w:rPr>
          <w:rFonts w:cs="Times New Roman"/>
          <w:noProof/>
        </w:rPr>
      </w:pPr>
      <w:r>
        <w:rPr>
          <w:noProof/>
        </w:rPr>
        <w:t xml:space="preserve">Investointi 12 (C3.I12) – Suunnitelma kastelun tehokkuuden ja kestävyyden parantamiseksi </w:t>
      </w:r>
    </w:p>
    <w:p w14:paraId="3CC16C42" w14:textId="75ACC599" w:rsidR="000E48CE" w:rsidRDefault="00FF4C4E">
      <w:pPr>
        <w:pStyle w:val="P68B1DB1-Normal4"/>
        <w:spacing w:before="120" w:after="120" w:line="240" w:lineRule="auto"/>
        <w:jc w:val="both"/>
        <w:rPr>
          <w:rFonts w:cs="Times New Roman"/>
          <w:noProof/>
        </w:rPr>
      </w:pPr>
      <w:r>
        <w:rPr>
          <w:noProof/>
        </w:rPr>
        <w:t>Tämän toimenpiteen tavoitteena on nostaa inves</w:t>
      </w:r>
      <w:r>
        <w:rPr>
          <w:noProof/>
        </w:rPr>
        <w:t>toinnin 1 (C3.I1) tavoitetasoa: Suunnitelma keinokastelun tehokkuuden ja kestävyyden parantamiseksi lisäämällä nykyaikaistettujen hehtaarien määrää vedensäästön ja energiatehokkuuden osalta.</w:t>
      </w:r>
    </w:p>
    <w:p w14:paraId="2509A6F4" w14:textId="3625D1BE" w:rsidR="000E48CE" w:rsidRDefault="00FF4C4E">
      <w:pPr>
        <w:pStyle w:val="P68B1DB1-Normal4"/>
        <w:spacing w:before="120" w:after="120" w:line="240" w:lineRule="auto"/>
        <w:jc w:val="both"/>
        <w:rPr>
          <w:rFonts w:cs="Times New Roman"/>
          <w:noProof/>
        </w:rPr>
      </w:pPr>
      <w:r>
        <w:rPr>
          <w:noProof/>
        </w:rPr>
        <w:t>Toimenpiteen täytäntöönpano on määrä saattaa päätökseen 30. kesäk</w:t>
      </w:r>
      <w:r>
        <w:rPr>
          <w:noProof/>
        </w:rPr>
        <w:t>uuta 2026 mennessä.</w:t>
      </w:r>
    </w:p>
    <w:p w14:paraId="6DAC6ACD" w14:textId="77777777" w:rsidR="000E48CE" w:rsidRDefault="000E48CE">
      <w:pPr>
        <w:spacing w:before="120" w:after="120" w:line="240" w:lineRule="auto"/>
        <w:jc w:val="both"/>
        <w:rPr>
          <w:rFonts w:ascii="Times New Roman" w:hAnsi="Times New Roman" w:cs="Times New Roman"/>
          <w:noProof/>
          <w:sz w:val="24"/>
        </w:rPr>
      </w:pPr>
    </w:p>
    <w:p w14:paraId="705C34EA" w14:textId="18746366" w:rsidR="000E48CE" w:rsidRDefault="00FF4C4E">
      <w:pPr>
        <w:pStyle w:val="P68B1DB1-Normal5"/>
        <w:spacing w:before="120" w:after="120" w:line="240" w:lineRule="auto"/>
        <w:ind w:left="709"/>
        <w:jc w:val="both"/>
        <w:rPr>
          <w:rFonts w:cs="Times New Roman"/>
          <w:noProof/>
        </w:rPr>
      </w:pPr>
      <w:r>
        <w:rPr>
          <w:noProof/>
        </w:rPr>
        <w:t xml:space="preserve">C.4 </w:t>
      </w:r>
      <w:r>
        <w:rPr>
          <w:noProof/>
        </w:rPr>
        <w:tab/>
        <w:t>Lainatuen seurannan ja täytäntöönpanon välitavoitteet, tavoitteet, indikaattorit ja aikataulu</w:t>
      </w:r>
    </w:p>
    <w:p w14:paraId="205EEAAB" w14:textId="77777777" w:rsidR="000E48CE" w:rsidRDefault="00FF4C4E">
      <w:pPr>
        <w:pStyle w:val="P68B1DB1-Normal18"/>
        <w:spacing w:before="120" w:after="120" w:line="240" w:lineRule="auto"/>
        <w:jc w:val="both"/>
        <w:rPr>
          <w:rFonts w:cs="Times New Roman"/>
          <w:noProof/>
        </w:rPr>
      </w:pPr>
      <w:r>
        <w:rPr>
          <w:noProof/>
        </w:rPr>
        <w:t>Ks. taulukko jäljempänä. Kaikkien indikaattoreiden perustaso on 1. helmikuuta 2020, ellei toimen kuvauksessa toisin ilmoiteta. Taulukoss</w:t>
      </w:r>
      <w:r>
        <w:rPr>
          <w:noProof/>
        </w:rPr>
        <w:t>a esitetyt määrät eivät sisällä arvonlisäveroa.</w:t>
      </w:r>
    </w:p>
    <w:p w14:paraId="02B0CF37" w14:textId="77777777" w:rsidR="000E48CE" w:rsidRDefault="000E48CE">
      <w:pPr>
        <w:spacing w:before="120" w:after="120" w:line="240" w:lineRule="auto"/>
        <w:jc w:val="both"/>
        <w:rPr>
          <w:rFonts w:ascii="Times New Roman" w:hAnsi="Times New Roman" w:cs="Times New Roman"/>
          <w:i/>
          <w:noProof/>
          <w:sz w:val="24"/>
        </w:rPr>
      </w:pPr>
    </w:p>
    <w:p w14:paraId="3F634206" w14:textId="0C0F90FE" w:rsidR="000E48CE" w:rsidRDefault="000E48CE">
      <w:pPr>
        <w:spacing w:before="120" w:after="120" w:line="240" w:lineRule="auto"/>
        <w:jc w:val="both"/>
        <w:rPr>
          <w:rFonts w:ascii="Times New Roman" w:hAnsi="Times New Roman" w:cs="Times New Roman"/>
          <w:i/>
          <w:noProof/>
          <w:sz w:val="24"/>
        </w:rPr>
        <w:sectPr w:rsidR="000E48CE" w:rsidSect="00522183">
          <w:headerReference w:type="even" r:id="rId90"/>
          <w:headerReference w:type="default" r:id="rId91"/>
          <w:footerReference w:type="even" r:id="rId92"/>
          <w:footerReference w:type="default" r:id="rId93"/>
          <w:headerReference w:type="first" r:id="rId94"/>
          <w:footerReference w:type="first" r:id="rId95"/>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1080"/>
        <w:gridCol w:w="2889"/>
        <w:gridCol w:w="1276"/>
        <w:gridCol w:w="850"/>
        <w:gridCol w:w="567"/>
        <w:gridCol w:w="709"/>
        <w:gridCol w:w="425"/>
        <w:gridCol w:w="567"/>
        <w:gridCol w:w="5387"/>
      </w:tblGrid>
      <w:tr w:rsidR="000E48CE" w14:paraId="77B98CAE" w14:textId="77777777">
        <w:trPr>
          <w:trHeight w:val="309"/>
          <w:tblHeader/>
        </w:trPr>
        <w:tc>
          <w:tcPr>
            <w:tcW w:w="709" w:type="dxa"/>
            <w:tcBorders>
              <w:bottom w:val="nil"/>
            </w:tcBorders>
            <w:shd w:val="clear" w:color="auto" w:fill="C6D9F1" w:themeFill="text2" w:themeFillTint="33"/>
            <w:noWrap/>
            <w:vAlign w:val="center"/>
          </w:tcPr>
          <w:p w14:paraId="337A57E0"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7789EA1D" w14:textId="77777777" w:rsidR="000E48CE" w:rsidRDefault="00FF4C4E">
            <w:pPr>
              <w:pStyle w:val="P68B1DB1-Normal12"/>
              <w:spacing w:after="0" w:line="240" w:lineRule="auto"/>
              <w:jc w:val="center"/>
              <w:rPr>
                <w:rFonts w:cs="Times New Roman"/>
                <w:noProof/>
              </w:rPr>
            </w:pPr>
            <w:r>
              <w:rPr>
                <w:noProof/>
              </w:rPr>
              <w:t>Toimenpide</w:t>
            </w:r>
          </w:p>
        </w:tc>
        <w:tc>
          <w:tcPr>
            <w:tcW w:w="1080" w:type="dxa"/>
            <w:tcBorders>
              <w:bottom w:val="nil"/>
            </w:tcBorders>
            <w:shd w:val="clear" w:color="auto" w:fill="C6D9F1" w:themeFill="text2" w:themeFillTint="33"/>
            <w:noWrap/>
            <w:vAlign w:val="center"/>
          </w:tcPr>
          <w:p w14:paraId="00E74E27"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889" w:type="dxa"/>
            <w:tcBorders>
              <w:bottom w:val="nil"/>
            </w:tcBorders>
            <w:shd w:val="clear" w:color="auto" w:fill="C6D9F1" w:themeFill="text2" w:themeFillTint="33"/>
            <w:noWrap/>
            <w:vAlign w:val="center"/>
          </w:tcPr>
          <w:p w14:paraId="44ADEC22" w14:textId="77777777" w:rsidR="000E48CE" w:rsidRDefault="00FF4C4E">
            <w:pPr>
              <w:pStyle w:val="P68B1DB1-Normal12"/>
              <w:spacing w:after="0" w:line="240" w:lineRule="auto"/>
              <w:jc w:val="center"/>
              <w:rPr>
                <w:rFonts w:cs="Times New Roman"/>
                <w:noProof/>
              </w:rPr>
            </w:pPr>
            <w:r>
              <w:rPr>
                <w:noProof/>
              </w:rPr>
              <w:t>Nimi</w:t>
            </w:r>
          </w:p>
        </w:tc>
        <w:tc>
          <w:tcPr>
            <w:tcW w:w="1276" w:type="dxa"/>
            <w:tcBorders>
              <w:bottom w:val="nil"/>
            </w:tcBorders>
            <w:shd w:val="clear" w:color="auto" w:fill="C6D9F1" w:themeFill="text2" w:themeFillTint="33"/>
            <w:noWrap/>
            <w:vAlign w:val="center"/>
          </w:tcPr>
          <w:p w14:paraId="5F48B682"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126" w:type="dxa"/>
            <w:gridSpan w:val="3"/>
            <w:shd w:val="clear" w:color="auto" w:fill="C6D9F1" w:themeFill="text2" w:themeFillTint="33"/>
            <w:noWrap/>
            <w:vAlign w:val="center"/>
          </w:tcPr>
          <w:p w14:paraId="038E7C96"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0C4E346D" w14:textId="77777777" w:rsidR="000E48CE" w:rsidRDefault="00FF4C4E">
            <w:pPr>
              <w:pStyle w:val="P68B1DB1-Normal12"/>
              <w:spacing w:after="0" w:line="240" w:lineRule="auto"/>
              <w:jc w:val="center"/>
              <w:rPr>
                <w:rFonts w:cs="Times New Roman"/>
                <w:noProof/>
              </w:rPr>
            </w:pPr>
            <w:r>
              <w:rPr>
                <w:noProof/>
              </w:rPr>
              <w:t>Aika</w:t>
            </w:r>
          </w:p>
        </w:tc>
        <w:tc>
          <w:tcPr>
            <w:tcW w:w="5387" w:type="dxa"/>
            <w:tcBorders>
              <w:bottom w:val="nil"/>
            </w:tcBorders>
            <w:shd w:val="clear" w:color="auto" w:fill="C6D9F1" w:themeFill="text2" w:themeFillTint="33"/>
            <w:noWrap/>
            <w:vAlign w:val="center"/>
          </w:tcPr>
          <w:p w14:paraId="2F3DFA56" w14:textId="77777777" w:rsidR="000E48CE" w:rsidRDefault="00FF4C4E">
            <w:pPr>
              <w:pStyle w:val="P68B1DB1-Normal12"/>
              <w:spacing w:after="0" w:line="240" w:lineRule="auto"/>
              <w:jc w:val="center"/>
              <w:rPr>
                <w:rFonts w:cs="Times New Roman"/>
                <w:noProof/>
              </w:rPr>
            </w:pPr>
            <w:r>
              <w:rPr>
                <w:noProof/>
              </w:rPr>
              <w:t>Kunkin välitavoitteen</w:t>
            </w:r>
            <w:r>
              <w:rPr>
                <w:noProof/>
              </w:rPr>
              <w:t xml:space="preserve"> ja tavoitteen kuvaus</w:t>
            </w:r>
          </w:p>
        </w:tc>
      </w:tr>
      <w:tr w:rsidR="000E48CE" w14:paraId="0FB3FC90" w14:textId="77777777">
        <w:trPr>
          <w:trHeight w:val="309"/>
          <w:tblHeader/>
        </w:trPr>
        <w:tc>
          <w:tcPr>
            <w:tcW w:w="709" w:type="dxa"/>
            <w:tcBorders>
              <w:top w:val="nil"/>
            </w:tcBorders>
            <w:shd w:val="clear" w:color="auto" w:fill="C6D9F1" w:themeFill="text2" w:themeFillTint="33"/>
            <w:noWrap/>
          </w:tcPr>
          <w:p w14:paraId="2456EE71"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6062903" w14:textId="77777777" w:rsidR="000E48CE" w:rsidRDefault="000E48CE">
            <w:pPr>
              <w:spacing w:after="0" w:line="240" w:lineRule="auto"/>
              <w:jc w:val="center"/>
              <w:rPr>
                <w:rFonts w:ascii="Times New Roman" w:hAnsi="Times New Roman" w:cs="Times New Roman"/>
                <w:b/>
                <w:noProof/>
                <w:sz w:val="18"/>
              </w:rPr>
            </w:pPr>
          </w:p>
        </w:tc>
        <w:tc>
          <w:tcPr>
            <w:tcW w:w="1080" w:type="dxa"/>
            <w:tcBorders>
              <w:top w:val="nil"/>
            </w:tcBorders>
            <w:shd w:val="clear" w:color="auto" w:fill="C6D9F1" w:themeFill="text2" w:themeFillTint="33"/>
            <w:noWrap/>
          </w:tcPr>
          <w:p w14:paraId="25602844" w14:textId="77777777" w:rsidR="000E48CE" w:rsidRDefault="000E48CE">
            <w:pPr>
              <w:spacing w:after="0" w:line="240" w:lineRule="auto"/>
              <w:jc w:val="center"/>
              <w:rPr>
                <w:rFonts w:ascii="Times New Roman" w:hAnsi="Times New Roman" w:cs="Times New Roman"/>
                <w:b/>
                <w:noProof/>
                <w:sz w:val="18"/>
              </w:rPr>
            </w:pPr>
          </w:p>
        </w:tc>
        <w:tc>
          <w:tcPr>
            <w:tcW w:w="2889" w:type="dxa"/>
            <w:tcBorders>
              <w:top w:val="nil"/>
            </w:tcBorders>
            <w:shd w:val="clear" w:color="auto" w:fill="C6D9F1" w:themeFill="text2" w:themeFillTint="33"/>
            <w:noWrap/>
          </w:tcPr>
          <w:p w14:paraId="74F579D0" w14:textId="77777777" w:rsidR="000E48CE" w:rsidRDefault="000E48CE">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084F1AD9"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5DC5BB17"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vAlign w:val="center"/>
          </w:tcPr>
          <w:p w14:paraId="05A74D68" w14:textId="77777777" w:rsidR="000E48CE" w:rsidRDefault="00FF4C4E">
            <w:pPr>
              <w:pStyle w:val="P68B1DB1-Normal12"/>
              <w:spacing w:after="0" w:line="240" w:lineRule="auto"/>
              <w:jc w:val="center"/>
              <w:rPr>
                <w:rFonts w:cs="Times New Roman"/>
                <w:noProof/>
              </w:rPr>
            </w:pPr>
            <w:r>
              <w:rPr>
                <w:noProof/>
              </w:rPr>
              <w:t>Perusviiva</w:t>
            </w:r>
          </w:p>
        </w:tc>
        <w:tc>
          <w:tcPr>
            <w:tcW w:w="709" w:type="dxa"/>
            <w:shd w:val="clear" w:color="auto" w:fill="C6D9F1" w:themeFill="text2" w:themeFillTint="33"/>
            <w:noWrap/>
            <w:vAlign w:val="center"/>
          </w:tcPr>
          <w:p w14:paraId="7E513F68"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0DFA7491"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5C5694D9" w14:textId="77777777" w:rsidR="000E48CE" w:rsidRDefault="00FF4C4E">
            <w:pPr>
              <w:pStyle w:val="P68B1DB1-Normal12"/>
              <w:spacing w:after="0" w:line="240" w:lineRule="auto"/>
              <w:jc w:val="center"/>
              <w:rPr>
                <w:rFonts w:cs="Times New Roman"/>
                <w:noProof/>
              </w:rPr>
            </w:pPr>
            <w:r>
              <w:rPr>
                <w:noProof/>
              </w:rPr>
              <w:t>Vuosi</w:t>
            </w:r>
          </w:p>
        </w:tc>
        <w:tc>
          <w:tcPr>
            <w:tcW w:w="5387" w:type="dxa"/>
            <w:tcBorders>
              <w:top w:val="nil"/>
            </w:tcBorders>
            <w:shd w:val="clear" w:color="auto" w:fill="C6D9F1" w:themeFill="text2" w:themeFillTint="33"/>
            <w:noWrap/>
          </w:tcPr>
          <w:p w14:paraId="00992F30" w14:textId="77777777" w:rsidR="000E48CE" w:rsidRDefault="000E48CE">
            <w:pPr>
              <w:spacing w:after="0" w:line="240" w:lineRule="auto"/>
              <w:rPr>
                <w:rFonts w:ascii="Times New Roman" w:hAnsi="Times New Roman" w:cs="Times New Roman"/>
                <w:b/>
                <w:noProof/>
                <w:sz w:val="18"/>
              </w:rPr>
            </w:pPr>
          </w:p>
        </w:tc>
      </w:tr>
      <w:tr w:rsidR="000E48CE" w14:paraId="09C47A75" w14:textId="77777777">
        <w:trPr>
          <w:trHeight w:val="499"/>
        </w:trPr>
        <w:tc>
          <w:tcPr>
            <w:tcW w:w="709" w:type="dxa"/>
            <w:shd w:val="clear" w:color="auto" w:fill="C6EFCE"/>
            <w:noWrap/>
          </w:tcPr>
          <w:p w14:paraId="06ECD5AB" w14:textId="70156A1E" w:rsidR="000E48CE" w:rsidRDefault="00FF4C4E">
            <w:pPr>
              <w:pStyle w:val="P68B1DB1-Normal13"/>
              <w:spacing w:after="0" w:line="240" w:lineRule="auto"/>
              <w:jc w:val="center"/>
              <w:rPr>
                <w:rFonts w:eastAsia="MS Mincho" w:cs="Times New Roman"/>
                <w:noProof/>
              </w:rPr>
            </w:pPr>
            <w:r>
              <w:rPr>
                <w:noProof/>
              </w:rPr>
              <w:t>L8</w:t>
            </w:r>
          </w:p>
        </w:tc>
        <w:tc>
          <w:tcPr>
            <w:tcW w:w="851" w:type="dxa"/>
            <w:shd w:val="clear" w:color="auto" w:fill="C6EFCE"/>
            <w:noWrap/>
          </w:tcPr>
          <w:p w14:paraId="46CDA653" w14:textId="3A3289B4" w:rsidR="000E48CE" w:rsidRDefault="00FF4C4E">
            <w:pPr>
              <w:pStyle w:val="P68B1DB1-Normal13"/>
              <w:spacing w:after="0" w:line="240" w:lineRule="auto"/>
              <w:jc w:val="center"/>
              <w:rPr>
                <w:rFonts w:eastAsia="MS Mincho" w:cs="Times New Roman"/>
                <w:noProof/>
              </w:rPr>
            </w:pPr>
            <w:r>
              <w:rPr>
                <w:noProof/>
              </w:rPr>
              <w:t>C3.R7</w:t>
            </w:r>
          </w:p>
        </w:tc>
        <w:tc>
          <w:tcPr>
            <w:tcW w:w="1080" w:type="dxa"/>
            <w:shd w:val="clear" w:color="auto" w:fill="C6EFCE"/>
            <w:noWrap/>
          </w:tcPr>
          <w:p w14:paraId="5A728BE4" w14:textId="4EB8AB00" w:rsidR="000E48CE" w:rsidRDefault="00FF4C4E">
            <w:pPr>
              <w:pStyle w:val="P68B1DB1-Normal13"/>
              <w:spacing w:after="0" w:line="240" w:lineRule="auto"/>
              <w:jc w:val="center"/>
              <w:rPr>
                <w:rFonts w:eastAsia="MS Mincho" w:cs="Times New Roman"/>
                <w:noProof/>
              </w:rPr>
            </w:pPr>
            <w:r>
              <w:rPr>
                <w:noProof/>
              </w:rPr>
              <w:t xml:space="preserve">M </w:t>
            </w:r>
          </w:p>
        </w:tc>
        <w:tc>
          <w:tcPr>
            <w:tcW w:w="2889" w:type="dxa"/>
            <w:shd w:val="clear" w:color="auto" w:fill="C6EFCE"/>
            <w:noWrap/>
          </w:tcPr>
          <w:p w14:paraId="776D81CA" w14:textId="66069DC8" w:rsidR="000E48CE" w:rsidRDefault="00FF4C4E">
            <w:pPr>
              <w:pStyle w:val="P68B1DB1-Normal13"/>
              <w:spacing w:after="0" w:line="240" w:lineRule="auto"/>
              <w:rPr>
                <w:rFonts w:eastAsia="MS Mincho" w:cs="Times New Roman"/>
                <w:noProof/>
              </w:rPr>
            </w:pPr>
            <w:r>
              <w:rPr>
                <w:noProof/>
              </w:rPr>
              <w:t>Ruokahävikin ja -jätteen ehkäisemisestä annetun lain voimaantulo</w:t>
            </w:r>
          </w:p>
        </w:tc>
        <w:tc>
          <w:tcPr>
            <w:tcW w:w="1276" w:type="dxa"/>
            <w:shd w:val="clear" w:color="auto" w:fill="C6EFCE"/>
            <w:noWrap/>
          </w:tcPr>
          <w:p w14:paraId="3F192C07" w14:textId="310C69F8" w:rsidR="000E48CE" w:rsidRDefault="00FF4C4E">
            <w:pPr>
              <w:pStyle w:val="P68B1DB1-Normal13"/>
              <w:spacing w:after="0" w:line="240" w:lineRule="auto"/>
              <w:jc w:val="center"/>
              <w:rPr>
                <w:rFonts w:eastAsia="MS Mincho" w:cs="Times New Roman"/>
                <w:noProof/>
              </w:rPr>
            </w:pPr>
            <w:r>
              <w:rPr>
                <w:noProof/>
              </w:rPr>
              <w:t>Voimaantulolain säännös</w:t>
            </w:r>
          </w:p>
        </w:tc>
        <w:tc>
          <w:tcPr>
            <w:tcW w:w="850" w:type="dxa"/>
            <w:shd w:val="clear" w:color="auto" w:fill="C6EFCE"/>
            <w:noWrap/>
          </w:tcPr>
          <w:p w14:paraId="43BAD5F2" w14:textId="6E689CDC"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1AE70BD" w14:textId="19EF3350"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4C27FBF8" w14:textId="21110AE6"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4FA35EE" w14:textId="0F24B3D3" w:rsidR="000E48CE" w:rsidRDefault="00FF4C4E">
            <w:pPr>
              <w:pStyle w:val="P68B1DB1-Normal13"/>
              <w:spacing w:after="0" w:line="240" w:lineRule="auto"/>
              <w:jc w:val="center"/>
              <w:rPr>
                <w:rFonts w:eastAsia="MS Mincho" w:cs="Times New Roman"/>
                <w:noProof/>
              </w:rPr>
            </w:pPr>
            <w:r>
              <w:rPr>
                <w:noProof/>
              </w:rPr>
              <w:t xml:space="preserve"> Q2</w:t>
            </w:r>
          </w:p>
        </w:tc>
        <w:tc>
          <w:tcPr>
            <w:tcW w:w="567" w:type="dxa"/>
            <w:shd w:val="clear" w:color="auto" w:fill="C6EFCE"/>
            <w:noWrap/>
          </w:tcPr>
          <w:p w14:paraId="7DF3C752" w14:textId="0A625AD7" w:rsidR="000E48CE" w:rsidRDefault="00FF4C4E">
            <w:pPr>
              <w:pStyle w:val="P68B1DB1-Normal13"/>
              <w:spacing w:after="0" w:line="240" w:lineRule="auto"/>
              <w:jc w:val="center"/>
              <w:rPr>
                <w:rFonts w:eastAsia="MS Mincho" w:cs="Times New Roman"/>
                <w:noProof/>
              </w:rPr>
            </w:pPr>
            <w:r>
              <w:rPr>
                <w:noProof/>
              </w:rPr>
              <w:t xml:space="preserve">2026 </w:t>
            </w:r>
          </w:p>
        </w:tc>
        <w:tc>
          <w:tcPr>
            <w:tcW w:w="5387" w:type="dxa"/>
            <w:shd w:val="clear" w:color="auto" w:fill="C6EFCE"/>
            <w:noWrap/>
          </w:tcPr>
          <w:p w14:paraId="0C328928" w14:textId="3B269B37" w:rsidR="000E48CE" w:rsidRDefault="00FF4C4E">
            <w:pPr>
              <w:pStyle w:val="P68B1DB1-Normal13"/>
              <w:spacing w:line="240" w:lineRule="auto"/>
              <w:jc w:val="both"/>
              <w:rPr>
                <w:rFonts w:cs="Times New Roman"/>
                <w:noProof/>
              </w:rPr>
            </w:pPr>
            <w:r>
              <w:rPr>
                <w:noProof/>
              </w:rPr>
              <w:t xml:space="preserve">Ruokahävikin ja elintarvikejätteen ehkäisemistä koskevan asetuksen </w:t>
            </w:r>
            <w:r>
              <w:rPr>
                <w:noProof/>
              </w:rPr>
              <w:t>voimaantulo toimenpiteen kuvauksen mukaisesti.</w:t>
            </w:r>
          </w:p>
        </w:tc>
      </w:tr>
      <w:tr w:rsidR="000E48CE" w14:paraId="6EDA9D91" w14:textId="77777777">
        <w:trPr>
          <w:trHeight w:val="309"/>
        </w:trPr>
        <w:tc>
          <w:tcPr>
            <w:tcW w:w="709" w:type="dxa"/>
            <w:shd w:val="clear" w:color="auto" w:fill="C6EFCE"/>
            <w:noWrap/>
          </w:tcPr>
          <w:p w14:paraId="7161990D" w14:textId="12334B2C" w:rsidR="000E48CE" w:rsidRDefault="00FF4C4E">
            <w:pPr>
              <w:pStyle w:val="P68B1DB1-Normal13"/>
              <w:spacing w:after="0" w:line="240" w:lineRule="auto"/>
              <w:jc w:val="center"/>
              <w:rPr>
                <w:rFonts w:cs="Times New Roman"/>
                <w:noProof/>
              </w:rPr>
            </w:pPr>
            <w:r>
              <w:rPr>
                <w:noProof/>
              </w:rPr>
              <w:t>L9</w:t>
            </w:r>
          </w:p>
        </w:tc>
        <w:tc>
          <w:tcPr>
            <w:tcW w:w="851" w:type="dxa"/>
            <w:shd w:val="clear" w:color="auto" w:fill="C6EFCE"/>
            <w:noWrap/>
          </w:tcPr>
          <w:p w14:paraId="483982C1" w14:textId="20DDE527" w:rsidR="000E48CE" w:rsidRDefault="00FF4C4E">
            <w:pPr>
              <w:pStyle w:val="P68B1DB1-Normal13"/>
              <w:spacing w:after="0" w:line="240" w:lineRule="auto"/>
              <w:jc w:val="center"/>
              <w:rPr>
                <w:rFonts w:cs="Times New Roman"/>
                <w:noProof/>
              </w:rPr>
            </w:pPr>
            <w:r>
              <w:rPr>
                <w:noProof/>
              </w:rPr>
              <w:t>C3.R8</w:t>
            </w:r>
          </w:p>
        </w:tc>
        <w:tc>
          <w:tcPr>
            <w:tcW w:w="1080" w:type="dxa"/>
            <w:shd w:val="clear" w:color="auto" w:fill="C6EFCE"/>
            <w:noWrap/>
          </w:tcPr>
          <w:p w14:paraId="615A09D7" w14:textId="38C9B77E" w:rsidR="000E48CE" w:rsidRDefault="00FF4C4E">
            <w:pPr>
              <w:pStyle w:val="P68B1DB1-Normal13"/>
              <w:spacing w:after="0" w:line="240" w:lineRule="auto"/>
              <w:jc w:val="center"/>
              <w:rPr>
                <w:rFonts w:cs="Times New Roman"/>
                <w:noProof/>
              </w:rPr>
            </w:pPr>
            <w:r>
              <w:rPr>
                <w:noProof/>
              </w:rPr>
              <w:t>M</w:t>
            </w:r>
          </w:p>
        </w:tc>
        <w:tc>
          <w:tcPr>
            <w:tcW w:w="2889" w:type="dxa"/>
            <w:shd w:val="clear" w:color="auto" w:fill="C6EFCE"/>
            <w:noWrap/>
          </w:tcPr>
          <w:p w14:paraId="5638743E" w14:textId="08C082A8" w:rsidR="000E48CE" w:rsidRDefault="00FF4C4E">
            <w:pPr>
              <w:pStyle w:val="P68B1DB1-Normal13"/>
              <w:spacing w:after="0" w:line="240" w:lineRule="auto"/>
              <w:rPr>
                <w:rFonts w:cs="Times New Roman"/>
                <w:noProof/>
              </w:rPr>
            </w:pPr>
            <w:r>
              <w:rPr>
                <w:noProof/>
              </w:rPr>
              <w:t>Maatilojen tietojärjestelmää koskevan asetuksen voimaantulo</w:t>
            </w:r>
          </w:p>
        </w:tc>
        <w:tc>
          <w:tcPr>
            <w:tcW w:w="1276" w:type="dxa"/>
            <w:shd w:val="clear" w:color="auto" w:fill="C6EFCE"/>
            <w:noWrap/>
          </w:tcPr>
          <w:p w14:paraId="4ED04105" w14:textId="6B75F17A" w:rsidR="000E48CE" w:rsidRDefault="00FF4C4E">
            <w:pPr>
              <w:pStyle w:val="P68B1DB1-Normal13"/>
              <w:spacing w:after="0" w:line="240" w:lineRule="auto"/>
              <w:jc w:val="center"/>
              <w:rPr>
                <w:rFonts w:cs="Times New Roman"/>
                <w:noProof/>
              </w:rPr>
            </w:pPr>
            <w:r>
              <w:rPr>
                <w:noProof/>
              </w:rPr>
              <w:t>Voimaantuloa koskevan kuninkaan asetuksen säännös</w:t>
            </w:r>
          </w:p>
        </w:tc>
        <w:tc>
          <w:tcPr>
            <w:tcW w:w="850" w:type="dxa"/>
            <w:shd w:val="clear" w:color="auto" w:fill="C6EFCE"/>
            <w:noWrap/>
          </w:tcPr>
          <w:p w14:paraId="265B3622" w14:textId="4D4D1781" w:rsidR="000E48CE" w:rsidRDefault="00FF4C4E">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14387D9D" w14:textId="218B91A6" w:rsidR="000E48CE" w:rsidRDefault="00FF4C4E">
            <w:pPr>
              <w:pStyle w:val="P68B1DB1-Normal13"/>
              <w:spacing w:after="0" w:line="240" w:lineRule="auto"/>
              <w:jc w:val="right"/>
              <w:rPr>
                <w:rFonts w:cs="Times New Roman"/>
                <w:noProof/>
              </w:rPr>
            </w:pPr>
            <w:r>
              <w:rPr>
                <w:noProof/>
              </w:rPr>
              <w:t xml:space="preserve"> </w:t>
            </w:r>
          </w:p>
        </w:tc>
        <w:tc>
          <w:tcPr>
            <w:tcW w:w="709" w:type="dxa"/>
            <w:shd w:val="clear" w:color="auto" w:fill="C6EFCE"/>
            <w:noWrap/>
          </w:tcPr>
          <w:p w14:paraId="5637998B" w14:textId="025F425C" w:rsidR="000E48CE" w:rsidRDefault="00FF4C4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2E0A5B77" w14:textId="78A634BB" w:rsidR="000E48CE" w:rsidRDefault="00FF4C4E">
            <w:pPr>
              <w:pStyle w:val="P68B1DB1-Normal13"/>
              <w:spacing w:after="0" w:line="240" w:lineRule="auto"/>
              <w:jc w:val="center"/>
              <w:rPr>
                <w:rFonts w:cs="Times New Roman"/>
                <w:noProof/>
              </w:rPr>
            </w:pPr>
            <w:r>
              <w:rPr>
                <w:noProof/>
              </w:rPr>
              <w:t xml:space="preserve"> KOLMAS VUOSINELJÄNNES</w:t>
            </w:r>
          </w:p>
        </w:tc>
        <w:tc>
          <w:tcPr>
            <w:tcW w:w="567" w:type="dxa"/>
            <w:shd w:val="clear" w:color="auto" w:fill="C6EFCE"/>
            <w:noWrap/>
          </w:tcPr>
          <w:p w14:paraId="5E63A245" w14:textId="27DE9857" w:rsidR="000E48CE" w:rsidRDefault="00FF4C4E">
            <w:pPr>
              <w:pStyle w:val="P68B1DB1-Normal13"/>
              <w:spacing w:after="0" w:line="240" w:lineRule="auto"/>
              <w:jc w:val="center"/>
              <w:rPr>
                <w:rFonts w:cs="Times New Roman"/>
                <w:noProof/>
              </w:rPr>
            </w:pPr>
            <w:r>
              <w:rPr>
                <w:noProof/>
              </w:rPr>
              <w:t xml:space="preserve">2025 </w:t>
            </w:r>
          </w:p>
        </w:tc>
        <w:tc>
          <w:tcPr>
            <w:tcW w:w="5387" w:type="dxa"/>
            <w:shd w:val="clear" w:color="auto" w:fill="C6EFCE"/>
            <w:noWrap/>
          </w:tcPr>
          <w:p w14:paraId="2F551A31" w14:textId="4F8941EC" w:rsidR="000E48CE" w:rsidRDefault="00FF4C4E">
            <w:pPr>
              <w:pStyle w:val="P68B1DB1-Normal13"/>
              <w:spacing w:after="0" w:line="240" w:lineRule="auto"/>
              <w:rPr>
                <w:rFonts w:cs="Times New Roman"/>
                <w:noProof/>
              </w:rPr>
            </w:pPr>
            <w:r>
              <w:rPr>
                <w:noProof/>
              </w:rPr>
              <w:t xml:space="preserve">Maatilojen tietojärjestelmästä annetun </w:t>
            </w:r>
            <w:r>
              <w:rPr>
                <w:noProof/>
              </w:rPr>
              <w:t>kuninkaallisen asetuksen voimaantulo toimenpiteen kuvauksen mukaisesti.</w:t>
            </w:r>
          </w:p>
        </w:tc>
      </w:tr>
      <w:tr w:rsidR="000E48CE" w14:paraId="4F361425" w14:textId="77777777">
        <w:trPr>
          <w:trHeight w:val="309"/>
        </w:trPr>
        <w:tc>
          <w:tcPr>
            <w:tcW w:w="709" w:type="dxa"/>
            <w:shd w:val="clear" w:color="auto" w:fill="C6EFCE"/>
            <w:noWrap/>
          </w:tcPr>
          <w:p w14:paraId="3765393A" w14:textId="39A39A05" w:rsidR="000E48CE" w:rsidRDefault="00FF4C4E">
            <w:pPr>
              <w:pStyle w:val="P68B1DB1-Normal13"/>
              <w:spacing w:after="0" w:line="240" w:lineRule="auto"/>
              <w:jc w:val="center"/>
              <w:rPr>
                <w:rFonts w:cs="Times New Roman"/>
                <w:noProof/>
              </w:rPr>
            </w:pPr>
            <w:r>
              <w:rPr>
                <w:noProof/>
              </w:rPr>
              <w:t>L10</w:t>
            </w:r>
          </w:p>
        </w:tc>
        <w:tc>
          <w:tcPr>
            <w:tcW w:w="851" w:type="dxa"/>
            <w:shd w:val="clear" w:color="auto" w:fill="C6EFCE"/>
            <w:noWrap/>
          </w:tcPr>
          <w:p w14:paraId="41512B9B" w14:textId="36CEDF11" w:rsidR="000E48CE" w:rsidRDefault="00FF4C4E">
            <w:pPr>
              <w:pStyle w:val="P68B1DB1-Normal13"/>
              <w:spacing w:after="0" w:line="240" w:lineRule="auto"/>
              <w:jc w:val="center"/>
              <w:rPr>
                <w:rFonts w:cs="Times New Roman"/>
                <w:noProof/>
              </w:rPr>
            </w:pPr>
            <w:r>
              <w:rPr>
                <w:noProof/>
              </w:rPr>
              <w:t>C3.I12</w:t>
            </w:r>
          </w:p>
        </w:tc>
        <w:tc>
          <w:tcPr>
            <w:tcW w:w="1080" w:type="dxa"/>
            <w:shd w:val="clear" w:color="auto" w:fill="C6EFCE"/>
            <w:noWrap/>
          </w:tcPr>
          <w:p w14:paraId="6202A25D" w14:textId="1215A545" w:rsidR="000E48CE" w:rsidRDefault="00FF4C4E">
            <w:pPr>
              <w:pStyle w:val="P68B1DB1-Normal13"/>
              <w:spacing w:after="0" w:line="240" w:lineRule="auto"/>
              <w:jc w:val="center"/>
              <w:rPr>
                <w:rFonts w:cs="Times New Roman"/>
                <w:noProof/>
              </w:rPr>
            </w:pPr>
            <w:r>
              <w:rPr>
                <w:noProof/>
              </w:rPr>
              <w:t>T</w:t>
            </w:r>
          </w:p>
        </w:tc>
        <w:tc>
          <w:tcPr>
            <w:tcW w:w="2889" w:type="dxa"/>
            <w:shd w:val="clear" w:color="auto" w:fill="C6EFCE"/>
            <w:noWrap/>
          </w:tcPr>
          <w:p w14:paraId="1A1BA773" w14:textId="36FE45C6" w:rsidR="000E48CE" w:rsidRDefault="00FF4C4E">
            <w:pPr>
              <w:pStyle w:val="P68B1DB1-Normal13"/>
              <w:spacing w:after="0" w:line="240" w:lineRule="auto"/>
              <w:rPr>
                <w:rFonts w:cs="Times New Roman"/>
                <w:noProof/>
              </w:rPr>
            </w:pPr>
            <w:r>
              <w:rPr>
                <w:noProof/>
              </w:rPr>
              <w:t xml:space="preserve">Maatalous-, kalastus- ja elintarvikeministeriön (MAPA) ja SEIASAn välisen sopimuksen täytäntöönpano kasteltujen alueiden parantamisen ja kestävyyden tukemiseksi (vaihe </w:t>
            </w:r>
            <w:r>
              <w:rPr>
                <w:noProof/>
              </w:rPr>
              <w:t>III)</w:t>
            </w:r>
          </w:p>
        </w:tc>
        <w:tc>
          <w:tcPr>
            <w:tcW w:w="1276" w:type="dxa"/>
            <w:shd w:val="clear" w:color="auto" w:fill="C6EFCE"/>
            <w:noWrap/>
          </w:tcPr>
          <w:p w14:paraId="31F39C34"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69BC3DEC" w14:textId="2866E2AD" w:rsidR="000E48CE" w:rsidRDefault="00FF4C4E">
            <w:pPr>
              <w:pStyle w:val="P68B1DB1-Normal13"/>
              <w:spacing w:after="0" w:line="240" w:lineRule="auto"/>
              <w:jc w:val="right"/>
              <w:rPr>
                <w:rFonts w:cs="Times New Roman"/>
                <w:noProof/>
              </w:rPr>
            </w:pPr>
            <w:r>
              <w:rPr>
                <w:noProof/>
              </w:rPr>
              <w:t xml:space="preserve"> Miljoonaa euroa</w:t>
            </w:r>
          </w:p>
        </w:tc>
        <w:tc>
          <w:tcPr>
            <w:tcW w:w="567" w:type="dxa"/>
            <w:shd w:val="clear" w:color="auto" w:fill="C6EFCE"/>
            <w:noWrap/>
          </w:tcPr>
          <w:p w14:paraId="75A06810" w14:textId="0E12D261"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25C52C25" w14:textId="031D8A51" w:rsidR="000E48CE" w:rsidRDefault="00FF4C4E">
            <w:pPr>
              <w:pStyle w:val="P68B1DB1-Normal13"/>
              <w:spacing w:after="0" w:line="240" w:lineRule="auto"/>
              <w:jc w:val="right"/>
              <w:rPr>
                <w:rFonts w:cs="Times New Roman"/>
                <w:noProof/>
              </w:rPr>
            </w:pPr>
            <w:r>
              <w:rPr>
                <w:noProof/>
              </w:rPr>
              <w:t>260</w:t>
            </w:r>
          </w:p>
        </w:tc>
        <w:tc>
          <w:tcPr>
            <w:tcW w:w="425" w:type="dxa"/>
            <w:shd w:val="clear" w:color="auto" w:fill="C6EFCE"/>
            <w:noWrap/>
          </w:tcPr>
          <w:p w14:paraId="183B4483" w14:textId="1F4FE5F2"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34C00A7D" w14:textId="5735484F" w:rsidR="000E48CE" w:rsidRDefault="00FF4C4E">
            <w:pPr>
              <w:pStyle w:val="P68B1DB1-Normal13"/>
              <w:spacing w:after="0" w:line="240" w:lineRule="auto"/>
              <w:jc w:val="center"/>
              <w:rPr>
                <w:rFonts w:cs="Times New Roman"/>
                <w:noProof/>
              </w:rPr>
            </w:pPr>
            <w:r>
              <w:rPr>
                <w:noProof/>
              </w:rPr>
              <w:t>2023</w:t>
            </w:r>
          </w:p>
        </w:tc>
        <w:tc>
          <w:tcPr>
            <w:tcW w:w="5387" w:type="dxa"/>
            <w:shd w:val="clear" w:color="auto" w:fill="C6EFCE"/>
            <w:noWrap/>
          </w:tcPr>
          <w:p w14:paraId="465F4064" w14:textId="3223F5E9" w:rsidR="000E48CE" w:rsidRDefault="00FF4C4E">
            <w:pPr>
              <w:pStyle w:val="P68B1DB1-Normal13"/>
              <w:spacing w:after="0" w:line="240" w:lineRule="auto"/>
              <w:rPr>
                <w:rFonts w:cs="Times New Roman"/>
                <w:noProof/>
              </w:rPr>
            </w:pPr>
            <w:r>
              <w:rPr>
                <w:noProof/>
              </w:rPr>
              <w:t xml:space="preserve">Maatalous-, kalastus- ja elintarvikeministeriön (MAPA) ja SEIASAn välinen yhteistyösopimus (vaihe III; Talousarvion toteuttamisesta 260000000 euroa) pannaan täytäntöön tällä investointihankkeella toteutettavan kastelun </w:t>
            </w:r>
            <w:r>
              <w:rPr>
                <w:noProof/>
              </w:rPr>
              <w:t>tehokkuuden ja kestävyyden parantamista koskevan suunnitelman ehdot. Tällä oikeudellisella normilla säännellään muun muassa näiden kastelun nykyaikaistamiseen tehtävien investointien julkista/yksityistä rahoitusjärjestelmää, hankkeiden valintaperusteita, s</w:t>
            </w:r>
            <w:r>
              <w:rPr>
                <w:noProof/>
              </w:rPr>
              <w:t>uunnitelman toteutusmenettelyjä sekä luetteloa toimista, jotka liittyvät tämän toimenpiteen mukaiseen talousarvion toteuttamiseen.</w:t>
            </w:r>
          </w:p>
        </w:tc>
      </w:tr>
      <w:tr w:rsidR="000E48CE" w14:paraId="50413452" w14:textId="77777777">
        <w:trPr>
          <w:trHeight w:val="309"/>
        </w:trPr>
        <w:tc>
          <w:tcPr>
            <w:tcW w:w="709" w:type="dxa"/>
            <w:shd w:val="clear" w:color="auto" w:fill="C6EFCE"/>
            <w:noWrap/>
          </w:tcPr>
          <w:p w14:paraId="277D79EB" w14:textId="33C73E96" w:rsidR="000E48CE" w:rsidRDefault="00FF4C4E">
            <w:pPr>
              <w:pStyle w:val="P68B1DB1-Normal13"/>
              <w:spacing w:after="0" w:line="240" w:lineRule="auto"/>
              <w:jc w:val="center"/>
              <w:rPr>
                <w:rFonts w:cs="Times New Roman"/>
                <w:noProof/>
              </w:rPr>
            </w:pPr>
            <w:r>
              <w:rPr>
                <w:noProof/>
              </w:rPr>
              <w:t>L11</w:t>
            </w:r>
          </w:p>
        </w:tc>
        <w:tc>
          <w:tcPr>
            <w:tcW w:w="851" w:type="dxa"/>
            <w:shd w:val="clear" w:color="auto" w:fill="C6EFCE"/>
            <w:noWrap/>
          </w:tcPr>
          <w:p w14:paraId="13BAE5B2" w14:textId="0AC9B46B" w:rsidR="000E48CE" w:rsidRDefault="00FF4C4E">
            <w:pPr>
              <w:pStyle w:val="P68B1DB1-Normal13"/>
              <w:spacing w:after="0" w:line="240" w:lineRule="auto"/>
              <w:jc w:val="center"/>
              <w:rPr>
                <w:rFonts w:cs="Times New Roman"/>
                <w:noProof/>
              </w:rPr>
            </w:pPr>
            <w:r>
              <w:rPr>
                <w:noProof/>
              </w:rPr>
              <w:t>C3.I12</w:t>
            </w:r>
          </w:p>
        </w:tc>
        <w:tc>
          <w:tcPr>
            <w:tcW w:w="1080" w:type="dxa"/>
            <w:shd w:val="clear" w:color="auto" w:fill="C6EFCE"/>
            <w:noWrap/>
          </w:tcPr>
          <w:p w14:paraId="040A8F6C" w14:textId="05EF6C8A" w:rsidR="000E48CE" w:rsidRDefault="00FF4C4E">
            <w:pPr>
              <w:pStyle w:val="P68B1DB1-Normal13"/>
              <w:spacing w:after="0" w:line="240" w:lineRule="auto"/>
              <w:jc w:val="center"/>
              <w:rPr>
                <w:rFonts w:cs="Times New Roman"/>
                <w:noProof/>
              </w:rPr>
            </w:pPr>
            <w:r>
              <w:rPr>
                <w:noProof/>
              </w:rPr>
              <w:t>T</w:t>
            </w:r>
          </w:p>
        </w:tc>
        <w:tc>
          <w:tcPr>
            <w:tcW w:w="2889" w:type="dxa"/>
            <w:shd w:val="clear" w:color="auto" w:fill="C6EFCE"/>
            <w:noWrap/>
          </w:tcPr>
          <w:p w14:paraId="242CC6BA" w14:textId="4D238C3A" w:rsidR="000E48CE" w:rsidRDefault="00FF4C4E">
            <w:pPr>
              <w:pStyle w:val="P68B1DB1-Normal13"/>
              <w:spacing w:after="0" w:line="240" w:lineRule="auto"/>
              <w:rPr>
                <w:rFonts w:cs="Times New Roman"/>
                <w:noProof/>
              </w:rPr>
            </w:pPr>
            <w:r>
              <w:rPr>
                <w:noProof/>
              </w:rPr>
              <w:t xml:space="preserve">Kastelujärjestelmien nykyaikaistaminen veden säästämisen ja energiatehokkuuden osalta  </w:t>
            </w:r>
          </w:p>
        </w:tc>
        <w:tc>
          <w:tcPr>
            <w:tcW w:w="1276" w:type="dxa"/>
            <w:shd w:val="clear" w:color="auto" w:fill="C6EFCE"/>
            <w:noWrap/>
          </w:tcPr>
          <w:p w14:paraId="64D092A7"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3096FCA4" w14:textId="67C75958" w:rsidR="000E48CE" w:rsidRDefault="00FF4C4E">
            <w:pPr>
              <w:pStyle w:val="P68B1DB1-Normal13"/>
              <w:spacing w:after="0" w:line="240" w:lineRule="auto"/>
              <w:jc w:val="right"/>
              <w:rPr>
                <w:rFonts w:cs="Times New Roman"/>
                <w:noProof/>
              </w:rPr>
            </w:pPr>
            <w:r>
              <w:rPr>
                <w:noProof/>
              </w:rPr>
              <w:t xml:space="preserve">Lukumäärä </w:t>
            </w:r>
            <w:r>
              <w:rPr>
                <w:noProof/>
              </w:rPr>
              <w:t>(hehtaareina)</w:t>
            </w:r>
          </w:p>
        </w:tc>
        <w:tc>
          <w:tcPr>
            <w:tcW w:w="567" w:type="dxa"/>
            <w:shd w:val="clear" w:color="auto" w:fill="C6EFCE"/>
            <w:noWrap/>
          </w:tcPr>
          <w:p w14:paraId="2B66EF9A" w14:textId="6D53B724" w:rsidR="000E48CE" w:rsidRDefault="00FF4C4E">
            <w:pPr>
              <w:pStyle w:val="P68B1DB1-Normal13"/>
              <w:spacing w:after="0" w:line="240" w:lineRule="auto"/>
              <w:jc w:val="right"/>
              <w:rPr>
                <w:rFonts w:cs="Times New Roman"/>
                <w:noProof/>
              </w:rPr>
            </w:pPr>
            <w:r>
              <w:rPr>
                <w:noProof/>
              </w:rPr>
              <w:t>125 000</w:t>
            </w:r>
          </w:p>
        </w:tc>
        <w:tc>
          <w:tcPr>
            <w:tcW w:w="709" w:type="dxa"/>
            <w:shd w:val="clear" w:color="auto" w:fill="C6EFCE"/>
            <w:noWrap/>
          </w:tcPr>
          <w:p w14:paraId="2702C07D" w14:textId="3ED9D421" w:rsidR="000E48CE" w:rsidRDefault="00FF4C4E">
            <w:pPr>
              <w:pStyle w:val="P68B1DB1-Normal13"/>
              <w:spacing w:after="0" w:line="240" w:lineRule="auto"/>
              <w:jc w:val="right"/>
              <w:rPr>
                <w:rFonts w:cs="Times New Roman"/>
                <w:noProof/>
              </w:rPr>
            </w:pPr>
            <w:r>
              <w:rPr>
                <w:noProof/>
              </w:rPr>
              <w:t>160 000</w:t>
            </w:r>
          </w:p>
        </w:tc>
        <w:tc>
          <w:tcPr>
            <w:tcW w:w="425" w:type="dxa"/>
            <w:shd w:val="clear" w:color="auto" w:fill="C6EFCE"/>
            <w:noWrap/>
          </w:tcPr>
          <w:p w14:paraId="2F9F3136" w14:textId="0E8E9174"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092FA822" w14:textId="0E6ECC23" w:rsidR="000E48CE" w:rsidRDefault="00FF4C4E">
            <w:pPr>
              <w:pStyle w:val="P68B1DB1-Normal13"/>
              <w:spacing w:after="0" w:line="240" w:lineRule="auto"/>
              <w:jc w:val="center"/>
              <w:rPr>
                <w:rFonts w:cs="Times New Roman"/>
                <w:noProof/>
              </w:rPr>
            </w:pPr>
            <w:r>
              <w:rPr>
                <w:noProof/>
              </w:rPr>
              <w:t>2026</w:t>
            </w:r>
          </w:p>
        </w:tc>
        <w:tc>
          <w:tcPr>
            <w:tcW w:w="5387" w:type="dxa"/>
            <w:shd w:val="clear" w:color="auto" w:fill="C6EFCE"/>
            <w:noWrap/>
          </w:tcPr>
          <w:p w14:paraId="0451C6B8" w14:textId="004AC059" w:rsidR="000E48CE" w:rsidRDefault="00FF4C4E">
            <w:pPr>
              <w:pStyle w:val="P68B1DB1-Normal13"/>
              <w:spacing w:after="0" w:line="240" w:lineRule="auto"/>
              <w:rPr>
                <w:rFonts w:cs="Times New Roman"/>
                <w:noProof/>
              </w:rPr>
            </w:pPr>
            <w:r>
              <w:rPr>
                <w:noProof/>
              </w:rPr>
              <w:t>Vähintään 160 000 hehtaaria kastelujärjestelmiä nykyaikaistetaan veden säästämisen ja energiatehokkuuden osalta. Elpymis- ja palautumissuunnitelman investoinneilla sekä toteutettujen toimien luokittelulla modernisoidut</w:t>
            </w:r>
            <w:r>
              <w:rPr>
                <w:noProof/>
              </w:rPr>
              <w:t xml:space="preserve"> pinta-alat on otettava huomioon SEIASAn asianomaisten vedenkäyttäjäyhteisöjen kanssa allekirjoittamissa yhteistyösopimuksissa. Näissä sopimuksissa vahvistetaan erityiset toimet, jotka on toteutettava nykyaikaistettujen kastelujärjestelmien vedensäästön ja</w:t>
            </w:r>
            <w:r>
              <w:rPr>
                <w:noProof/>
              </w:rPr>
              <w:t xml:space="preserve"> energiatehokkuuden takaamiseksi. Tämän suunnitelman yhteydessä on toteutettava muun muassa seuraavat toimet: (I) pohja- tai pintaveden käytön korvaaminen käyttämällä epätavanomaisia vesivaroja (regeneroituja tai suolasta poistettuja) teknisiä ohjeita ”ei </w:t>
            </w:r>
            <w:r>
              <w:rPr>
                <w:noProof/>
              </w:rPr>
              <w:t>merkittävää haittaa” (2021/C58/01) ii) sellaisten vedensäätelyjärjestelmien täytäntöönpano, jotka mahdollistavat painovoimakastelun (korkeuseron käyttäminen siten, että veden kuljetus ei edellytä energian käyttöä), iii) uusiutuvista energialähteistä pumppa</w:t>
            </w:r>
            <w:r>
              <w:rPr>
                <w:noProof/>
              </w:rPr>
              <w:t>amiseen tarvittavan energian (pääasiassa aurinkosähkön) korvaaminen fossiilisista lähteistä, iv) betonista tai maasta valmistettujen ulkoilmaojien korvaaminen haudatuilla putkilla, v) suodatus- ja pumppausasemien rakentaminen ja vi) mittareiden ja kaukohal</w:t>
            </w:r>
            <w:r>
              <w:rPr>
                <w:noProof/>
              </w:rPr>
              <w:t>lintajärjestelmien asentaminen. Vuoden 2026 toiseen neljännekseen mennessä kastelujärjestelmiä nykyaikaistetaan vähintään 35000 hehtaaria vedensäästön ja energiatehokkuuden osalta, mikä voidaan todentaa SIEASAn ja kasteluyhteisöjen sopimuksilla. (Tavoittee</w:t>
            </w:r>
            <w:r>
              <w:rPr>
                <w:noProof/>
              </w:rPr>
              <w:t>n 48 tavoitteeseen perustuva perustaso)</w:t>
            </w:r>
          </w:p>
        </w:tc>
      </w:tr>
    </w:tbl>
    <w:p w14:paraId="111CCC4F" w14:textId="77777777" w:rsidR="000E48CE" w:rsidRDefault="000E48CE">
      <w:pPr>
        <w:spacing w:before="120" w:after="120" w:line="240" w:lineRule="auto"/>
        <w:jc w:val="both"/>
        <w:rPr>
          <w:rFonts w:ascii="Times New Roman" w:hAnsi="Times New Roman" w:cs="Times New Roman"/>
          <w:noProof/>
          <w:sz w:val="24"/>
        </w:rPr>
      </w:pPr>
    </w:p>
    <w:p w14:paraId="159885DA" w14:textId="127E154C" w:rsidR="000E48CE" w:rsidRDefault="000E48CE">
      <w:pPr>
        <w:spacing w:before="120" w:after="120" w:line="240" w:lineRule="auto"/>
        <w:jc w:val="both"/>
        <w:rPr>
          <w:rFonts w:ascii="Times New Roman" w:hAnsi="Times New Roman" w:cs="Times New Roman"/>
          <w:noProof/>
          <w:sz w:val="24"/>
        </w:rPr>
      </w:pPr>
    </w:p>
    <w:p w14:paraId="375E651E" w14:textId="7B0D8992" w:rsidR="000E48CE" w:rsidRDefault="000E48CE">
      <w:pPr>
        <w:spacing w:before="120" w:after="120" w:line="240" w:lineRule="auto"/>
        <w:jc w:val="both"/>
        <w:rPr>
          <w:rFonts w:ascii="Times New Roman" w:hAnsi="Times New Roman" w:cs="Times New Roman"/>
          <w:noProof/>
          <w:sz w:val="24"/>
        </w:rPr>
        <w:sectPr w:rsidR="000E48CE" w:rsidSect="00522183">
          <w:headerReference w:type="even" r:id="rId96"/>
          <w:headerReference w:type="default" r:id="rId97"/>
          <w:footerReference w:type="even" r:id="rId98"/>
          <w:footerReference w:type="default" r:id="rId99"/>
          <w:headerReference w:type="first" r:id="rId100"/>
          <w:footerReference w:type="first" r:id="rId101"/>
          <w:pgSz w:w="16839" w:h="11907" w:orient="landscape"/>
          <w:pgMar w:top="1417" w:right="1134" w:bottom="1417" w:left="1134" w:header="709" w:footer="709" w:gutter="0"/>
          <w:cols w:space="720"/>
          <w:docGrid w:linePitch="360"/>
        </w:sectPr>
      </w:pPr>
    </w:p>
    <w:p w14:paraId="3066E461" w14:textId="77777777" w:rsidR="000E48CE" w:rsidRDefault="00FF4C4E">
      <w:pPr>
        <w:pStyle w:val="P68B1DB1-Heading12"/>
        <w:rPr>
          <w:rFonts w:cs="Times New Roman"/>
          <w:noProof/>
        </w:rPr>
      </w:pPr>
      <w:r>
        <w:rPr>
          <w:noProof/>
        </w:rPr>
        <w:t>D. OSA 04: Ekosysteemit ja biologinen monimuotoisuus</w:t>
      </w:r>
    </w:p>
    <w:p w14:paraId="30F8696F" w14:textId="15F4BA49" w:rsidR="000E48CE" w:rsidRDefault="00FF4C4E">
      <w:pPr>
        <w:pStyle w:val="P68B1DB1-Normal4"/>
        <w:spacing w:before="120" w:after="120" w:line="240" w:lineRule="auto"/>
        <w:jc w:val="both"/>
        <w:rPr>
          <w:rFonts w:cs="Times New Roman"/>
          <w:noProof/>
        </w:rPr>
      </w:pPr>
      <w:r>
        <w:rPr>
          <w:noProof/>
        </w:rPr>
        <w:t>Espanjan elpymis- ja palautumissuunnitelman tällä osa-alueella puututaan Espanjan haavoittuvuuteen ilmastonmuutoksen suorille ja välillisille haittavaikutuksille, jotka johtuvat sen biogeografiasta ja geomorfologiasta, parantamalla ekosysteemien suojelun t</w:t>
      </w:r>
      <w:r>
        <w:rPr>
          <w:noProof/>
        </w:rPr>
        <w:t>asoa tarvittaessa ekologisen ennallistamisen avulla ja kääntämällä luonnon monimuotoisuuden köyhtyminen, varmistamalla luonnonvarojen kestävä käyttö sekä säilyttämällä ja parantamalla ekosysteemipalveluja. Tällä osa-alueella edistetään myös ekosysteemien s</w:t>
      </w:r>
      <w:r>
        <w:rPr>
          <w:noProof/>
        </w:rPr>
        <w:t xml:space="preserve">opeutumista ilmastonmuutoksen haittavaikutuksiin hyväksymällä toimenpiteitä ilmastonmuutoksen vaikutusten minimoimiseksi, hyväksymällä kansallinen strategia aavikoitumisen torjumiseksi ja keskittymällä metsäpaloihin. </w:t>
      </w:r>
    </w:p>
    <w:p w14:paraId="6B11FF22" w14:textId="61539AD8" w:rsidR="000E48CE" w:rsidRDefault="00FF4C4E">
      <w:pPr>
        <w:pStyle w:val="P68B1DB1-Normal4"/>
        <w:spacing w:before="120" w:after="120" w:line="240" w:lineRule="auto"/>
        <w:jc w:val="both"/>
        <w:rPr>
          <w:rFonts w:cs="Times New Roman"/>
          <w:noProof/>
        </w:rPr>
      </w:pPr>
      <w:r>
        <w:rPr>
          <w:noProof/>
        </w:rPr>
        <w:t>Meriekosysteemien suojeluun, säilyttäm</w:t>
      </w:r>
      <w:r>
        <w:rPr>
          <w:noProof/>
        </w:rPr>
        <w:t>iseen ja ennallistamiseen on kiinnitettävä lisähuomiota. Espanjan elpymis- ja palautumissuunnitelman tämän osan täytäntöönpanon on i) käynnistettävä sininen ohjelma merten ja niiden biologisen monimuotoisuuden parantamiseksi; lisätä suojeltujen merialueide</w:t>
      </w:r>
      <w:r>
        <w:rPr>
          <w:noProof/>
        </w:rPr>
        <w:t>n osuutta suojelemalla vähintään 18 prosenttia Espanjan alueesta vuoden 2025 loppuun mennessä ja suojelemalla sekä eläimistöä että kasvistoa; ja iii) ottaa ensimmäistä kertaa Espanjassa käyttöön merten hoidon puitteet.</w:t>
      </w:r>
    </w:p>
    <w:p w14:paraId="6A501ED7" w14:textId="3639AB36" w:rsidR="000E48CE" w:rsidRDefault="00FF4C4E">
      <w:pPr>
        <w:pStyle w:val="P68B1DB1-Normal4"/>
        <w:spacing w:before="120" w:after="120" w:line="240" w:lineRule="auto"/>
        <w:jc w:val="both"/>
        <w:rPr>
          <w:rFonts w:cs="Times New Roman"/>
          <w:noProof/>
        </w:rPr>
      </w:pPr>
      <w:r>
        <w:rPr>
          <w:noProof/>
        </w:rPr>
        <w:t>Lisäksi sen on suojeltava ja hoidetta</w:t>
      </w:r>
      <w:r>
        <w:rPr>
          <w:noProof/>
        </w:rPr>
        <w:t>va kestävällä tavalla maaseutualueita, niiden ekosysteemejä, biologista monimuotoisuutta ja metsämaata. Maaseutualueilla, joilla väestökato on vaikuttanut erityisen kielteisesti, sijaitsee suuri osa Espanjan rikkaasta luonnonperinnöstä, minkä vuoksi ne ova</w:t>
      </w:r>
      <w:r>
        <w:rPr>
          <w:noProof/>
        </w:rPr>
        <w:t xml:space="preserve">t paikallisen vaurauden lähde, mikä avaa mahdollisuuksia kääntää väestön väheneminen päinvastaiseksi. </w:t>
      </w:r>
    </w:p>
    <w:p w14:paraId="4BF45026" w14:textId="77777777" w:rsidR="000E48CE" w:rsidRDefault="00FF4C4E">
      <w:pPr>
        <w:pStyle w:val="P68B1DB1-Normal4"/>
        <w:spacing w:before="120" w:after="120" w:line="240" w:lineRule="auto"/>
        <w:jc w:val="both"/>
        <w:rPr>
          <w:rFonts w:cs="Times New Roman"/>
          <w:noProof/>
        </w:rPr>
      </w:pPr>
      <w:r>
        <w:rPr>
          <w:noProof/>
        </w:rPr>
        <w:t>Espanjan elpymis- ja palautumissuunnitelman tällä osa-alueella tuetaan investointeja vihreään ja digitaaliseen siirtymään (maakohtainen suositus 3 2020).</w:t>
      </w:r>
      <w:r>
        <w:rPr>
          <w:noProof/>
        </w:rPr>
        <w:t xml:space="preserve"> Sillä tuetaan myös asianmukaista maankäyttöä, erityisesti metsänhoitoa, luonnonsuojelua ja ennallistamista Euroopan vihreän kehityksen ohjelman ja vuoteen 2030 ulottuvan EU:n biodiversiteettistrategian tavoitteiden mukaisesti. </w:t>
      </w:r>
    </w:p>
    <w:p w14:paraId="44250219" w14:textId="77777777" w:rsidR="000E48CE" w:rsidRDefault="00FF4C4E">
      <w:pPr>
        <w:pStyle w:val="P68B1DB1-Normal4"/>
        <w:spacing w:before="120" w:after="120" w:line="240" w:lineRule="auto"/>
        <w:jc w:val="both"/>
        <w:rPr>
          <w:rFonts w:cs="Times New Roman"/>
          <w:noProof/>
        </w:rPr>
      </w:pPr>
      <w:r>
        <w:rPr>
          <w:noProof/>
        </w:rPr>
        <w:t>Minkään tämän komponentin t</w:t>
      </w:r>
      <w:r>
        <w:rPr>
          <w:noProof/>
        </w:rPr>
        <w:t>oimenpiteen ei odoteta aiheuttavan asetuksen (EU) 2020/852 17 artiklassa tarkoitettua merkittävää haittaa ympäristötavoitteille, kun otetaan huomioon ”ei merkittävää haittaa” -periaatteen soveltamista koskevien teknisten ohjeiden (2021/C58/01) mukaiset elp</w:t>
      </w:r>
      <w:r>
        <w:rPr>
          <w:noProof/>
        </w:rPr>
        <w:t>ymis- ja palautumissuunnitelmassa esitettyjen toimenpiteiden kuvaus ja lieventävät toimet.</w:t>
      </w:r>
    </w:p>
    <w:p w14:paraId="21FC91AB" w14:textId="77777777" w:rsidR="000E48CE" w:rsidRDefault="00FF4C4E">
      <w:pPr>
        <w:pStyle w:val="P68B1DB1-Normal5"/>
        <w:spacing w:before="120" w:after="120" w:line="240" w:lineRule="auto"/>
        <w:ind w:left="720"/>
        <w:jc w:val="both"/>
        <w:rPr>
          <w:rFonts w:cs="Times New Roman"/>
          <w:i/>
          <w:noProof/>
        </w:rPr>
      </w:pPr>
      <w:r>
        <w:rPr>
          <w:noProof/>
        </w:rPr>
        <w:t xml:space="preserve">D.1. </w:t>
      </w:r>
      <w:r>
        <w:rPr>
          <w:noProof/>
        </w:rPr>
        <w:tab/>
        <w:t>Kuvaus uudistuksista ja investoinneista, joita rahoitetaan rahoitustuella, jota ei makseta takaisin</w:t>
      </w:r>
    </w:p>
    <w:p w14:paraId="25340F12" w14:textId="77777777" w:rsidR="000E48CE" w:rsidRDefault="00FF4C4E">
      <w:pPr>
        <w:pStyle w:val="P68B1DB1-Normal6"/>
        <w:spacing w:before="120" w:after="120" w:line="240" w:lineRule="auto"/>
        <w:jc w:val="both"/>
        <w:rPr>
          <w:rFonts w:cs="Times New Roman"/>
          <w:noProof/>
        </w:rPr>
      </w:pPr>
      <w:r>
        <w:rPr>
          <w:noProof/>
        </w:rPr>
        <w:t>Uudistus 1 (C4.R1) – Maan ja meren biologisen monimuotoisuu</w:t>
      </w:r>
      <w:r>
        <w:rPr>
          <w:noProof/>
        </w:rPr>
        <w:t>den säilyttäminen</w:t>
      </w:r>
    </w:p>
    <w:p w14:paraId="59340859" w14:textId="77777777" w:rsidR="000E48CE" w:rsidRDefault="00FF4C4E">
      <w:pPr>
        <w:pStyle w:val="P68B1DB1-Normal4"/>
        <w:spacing w:before="120" w:after="120" w:line="240" w:lineRule="auto"/>
        <w:jc w:val="both"/>
        <w:rPr>
          <w:rFonts w:cs="Times New Roman"/>
          <w:noProof/>
        </w:rPr>
      </w:pPr>
      <w:r>
        <w:rPr>
          <w:noProof/>
        </w:rPr>
        <w:t>Uudistuksella päivitetään biologista monimuotoisuutta ja luonnonperintöä koskevaa lainsäädäntöä, jotta voidaan tukea biologista monimuotoisuutta koskevasta yleissopimuksesta ja äskettäin hyväksytystä vuoteen 2030 ulottuvasta EU:n biodiver</w:t>
      </w:r>
      <w:r>
        <w:rPr>
          <w:noProof/>
        </w:rPr>
        <w:t xml:space="preserve">siteettistrategiasta johtuvien sitoumusten täyttämistä. </w:t>
      </w:r>
    </w:p>
    <w:p w14:paraId="701C4F91" w14:textId="7158DFF6" w:rsidR="000E48CE" w:rsidRDefault="00FF4C4E">
      <w:pPr>
        <w:pStyle w:val="P68B1DB1-Normal4"/>
        <w:spacing w:before="120" w:after="120" w:line="240" w:lineRule="auto"/>
        <w:jc w:val="both"/>
        <w:rPr>
          <w:rFonts w:cs="Times New Roman"/>
          <w:noProof/>
        </w:rPr>
      </w:pPr>
      <w:r>
        <w:rPr>
          <w:noProof/>
        </w:rPr>
        <w:t>Uudistuksen keskeisenä toimena on luonnonperintöä ja biologista monimuotoisuutta koskevan strategisen suunnitelman (sellaisena kuin se on määritelty luonnonperinnöstä ja biologisesta monimuotoisuudes</w:t>
      </w:r>
      <w:r>
        <w:rPr>
          <w:noProof/>
        </w:rPr>
        <w:t>ta annetussa laissa 42/2007) valmistelu, hyväksyminen ja käyttöönotto, jotta sillä olisi pitkäkestoinen vaikutus kaikkien Espanjan luonnonjärjestelmien suojeluun ja hoitoon sekä sen yhteiskunnalle tarjoamiin palveluihin. Uudistukseen sisältyy myös seuraava</w:t>
      </w:r>
      <w:r>
        <w:rPr>
          <w:noProof/>
        </w:rPr>
        <w:t xml:space="preserve">t tämän toimenpiteen mukaiset toimet: </w:t>
      </w:r>
    </w:p>
    <w:p w14:paraId="09D845DD" w14:textId="77777777" w:rsidR="000E48CE" w:rsidRDefault="00FF4C4E">
      <w:pPr>
        <w:pStyle w:val="P68B1DB1-Normal4"/>
        <w:numPr>
          <w:ilvl w:val="0"/>
          <w:numId w:val="90"/>
        </w:numPr>
        <w:spacing w:before="120" w:after="160" w:line="240" w:lineRule="auto"/>
        <w:ind w:left="714" w:hanging="357"/>
        <w:contextualSpacing/>
        <w:jc w:val="both"/>
        <w:rPr>
          <w:rFonts w:cs="Times New Roman"/>
          <w:noProof/>
        </w:rPr>
      </w:pPr>
      <w:r>
        <w:rPr>
          <w:noProof/>
        </w:rPr>
        <w:t>Hyväksytään biologista monimuotoisuutta, tiedettä ja tietämystä koskeva strategia, jossa yksilöidään tärkeimmät tutkimuspuutteet ja määritetään erityiset alat, joilla biologista monimuotoisuutta koskeva tutkimus on ta</w:t>
      </w:r>
      <w:r>
        <w:rPr>
          <w:noProof/>
        </w:rPr>
        <w:t xml:space="preserve">rpeen. </w:t>
      </w:r>
    </w:p>
    <w:p w14:paraId="005A8DCC" w14:textId="77777777" w:rsidR="000E48CE" w:rsidRDefault="00FF4C4E">
      <w:pPr>
        <w:pStyle w:val="P68B1DB1-Normal4"/>
        <w:numPr>
          <w:ilvl w:val="0"/>
          <w:numId w:val="90"/>
        </w:numPr>
        <w:spacing w:before="120" w:after="160" w:line="240" w:lineRule="auto"/>
        <w:contextualSpacing/>
        <w:jc w:val="both"/>
        <w:rPr>
          <w:rFonts w:cs="Times New Roman"/>
          <w:noProof/>
        </w:rPr>
      </w:pPr>
      <w:r>
        <w:rPr>
          <w:noProof/>
        </w:rPr>
        <w:t>Annetaan kuninkaallinen asetus merellisten suojelualueiden verkostoa koskevan suunnitelman hyväksymisestä, jolla edistetään ekologisesti yhtenäistä verkostoa, joka edistää luonnonperinnön ja merten biologisen monimuotoisuuden säilyttämistä ja edist</w:t>
      </w:r>
      <w:r>
        <w:rPr>
          <w:noProof/>
        </w:rPr>
        <w:t xml:space="preserve">ää suojeltujen merialueiden suunniteltua, tehokasta ja johdonmukaista hallinnointia. </w:t>
      </w:r>
    </w:p>
    <w:p w14:paraId="6814E040" w14:textId="77777777" w:rsidR="000E48CE" w:rsidRDefault="00FF4C4E">
      <w:pPr>
        <w:pStyle w:val="P68B1DB1-Normal4"/>
        <w:numPr>
          <w:ilvl w:val="0"/>
          <w:numId w:val="90"/>
        </w:numPr>
        <w:spacing w:before="120" w:after="160" w:line="240" w:lineRule="auto"/>
        <w:contextualSpacing/>
        <w:jc w:val="both"/>
        <w:rPr>
          <w:rFonts w:cs="Times New Roman"/>
          <w:noProof/>
        </w:rPr>
      </w:pPr>
      <w:r>
        <w:rPr>
          <w:noProof/>
        </w:rPr>
        <w:t>Pölyttäjien suojelua koskevassa kansallisessa strategiassa on esitettävä tarvittavat toimet pölyttäjien tilanteen parantamiseksi. Strategiassa keskitytään erityisesti i) pölyttäjille suotuisten alueiden edistämiseen, sen hallinnan parantaminen ja haitallis</w:t>
      </w:r>
      <w:r>
        <w:rPr>
          <w:noProof/>
        </w:rPr>
        <w:t xml:space="preserve">ten lajien aiheuttamien riskien vähentäminen; kasvinsuojeluaineet; ja iv) pölyttäjien suojelua koskevan tutkimuksen edistäminen ja siihen liittyvien tutkimustulosten levittäminen tällä alalla. </w:t>
      </w:r>
    </w:p>
    <w:p w14:paraId="16BFEBDC" w14:textId="77777777" w:rsidR="000E48CE" w:rsidRDefault="00FF4C4E">
      <w:pPr>
        <w:pStyle w:val="P68B1DB1-Normal4"/>
        <w:numPr>
          <w:ilvl w:val="0"/>
          <w:numId w:val="90"/>
        </w:numPr>
        <w:spacing w:before="120" w:after="160" w:line="240" w:lineRule="auto"/>
        <w:contextualSpacing/>
        <w:jc w:val="both"/>
        <w:rPr>
          <w:rFonts w:cs="Times New Roman"/>
          <w:noProof/>
        </w:rPr>
      </w:pPr>
      <w:r>
        <w:rPr>
          <w:noProof/>
        </w:rPr>
        <w:t>Hyväksytään luonnonvaraisen eläimistön ja kasviston uhanalaist</w:t>
      </w:r>
      <w:r>
        <w:rPr>
          <w:noProof/>
        </w:rPr>
        <w:t>en lajien kansainvälistä kauppaa koskevan yleissopimuksen (CITES-asetus) mukainen hallinto- ja tiedeviranomaisten ajan tasalle saattamista koskeva asetus, jolla taataan CITES-sopimuksesta johdettujen toimenpiteiden täytäntöönpano ja varmistetaan, että kaup</w:t>
      </w:r>
      <w:r>
        <w:rPr>
          <w:noProof/>
        </w:rPr>
        <w:t xml:space="preserve">pa ei haittaa lajien suojelun tasoa ja niiden eloonjäämistä pitkällä aikavälillä. </w:t>
      </w:r>
    </w:p>
    <w:p w14:paraId="37927D61" w14:textId="77777777" w:rsidR="000E48CE" w:rsidRDefault="00FF4C4E">
      <w:pPr>
        <w:pStyle w:val="P68B1DB1-Normal4"/>
        <w:numPr>
          <w:ilvl w:val="0"/>
          <w:numId w:val="90"/>
        </w:numPr>
        <w:spacing w:before="120" w:after="120" w:line="240" w:lineRule="auto"/>
        <w:ind w:left="714" w:hanging="357"/>
        <w:jc w:val="both"/>
        <w:rPr>
          <w:rFonts w:cs="Times New Roman"/>
          <w:noProof/>
        </w:rPr>
      </w:pPr>
      <w:r>
        <w:rPr>
          <w:noProof/>
        </w:rPr>
        <w:t xml:space="preserve">Kosteikkojen suojelu- ja ennallistamissuunnitelma, jolla taataan kosteikkojen suojelu ja järkevä käyttö. </w:t>
      </w:r>
    </w:p>
    <w:p w14:paraId="3EAB1E06" w14:textId="77777777" w:rsidR="000E48CE" w:rsidRDefault="00FF4C4E">
      <w:pPr>
        <w:pStyle w:val="P68B1DB1-Normal4"/>
        <w:spacing w:before="120" w:after="120" w:line="240" w:lineRule="auto"/>
        <w:jc w:val="both"/>
        <w:rPr>
          <w:rFonts w:cs="Times New Roman"/>
          <w:noProof/>
        </w:rPr>
      </w:pPr>
      <w:r>
        <w:rPr>
          <w:noProof/>
        </w:rPr>
        <w:t>Näiden toimien kehittämistä tämän toimenpiteen puitteissa tuetaan s</w:t>
      </w:r>
      <w:r>
        <w:rPr>
          <w:noProof/>
        </w:rPr>
        <w:t xml:space="preserve">uoraan Espanjan elpymis- ja palautumissuunnitelman tämän osan investoinneista 1 ja 2 (kuvattu jäljempänä). Se täydentää myös kahta muuta Espanjan elpymis- ja palautumissuunnitelman tässä osassa kuvattua uudistusta ja investointia. </w:t>
      </w:r>
    </w:p>
    <w:p w14:paraId="18300707" w14:textId="77777777" w:rsidR="000E48CE" w:rsidRDefault="00FF4C4E">
      <w:pPr>
        <w:pStyle w:val="P68B1DB1-Normal4"/>
        <w:spacing w:before="120" w:after="120" w:line="240" w:lineRule="auto"/>
        <w:jc w:val="both"/>
        <w:rPr>
          <w:rFonts w:cs="Times New Roman"/>
          <w:noProof/>
        </w:rPr>
      </w:pPr>
      <w:r>
        <w:rPr>
          <w:noProof/>
        </w:rPr>
        <w:t>Toimenpiteen täytäntöönp</w:t>
      </w:r>
      <w:r>
        <w:rPr>
          <w:noProof/>
        </w:rPr>
        <w:t xml:space="preserve">ano on saatettava päätökseen 31 päivään joulukuuta 2022 mennessä. </w:t>
      </w:r>
    </w:p>
    <w:p w14:paraId="020DA12D" w14:textId="77777777" w:rsidR="000E48CE" w:rsidRDefault="00FF4C4E">
      <w:pPr>
        <w:pStyle w:val="P68B1DB1-Normal6"/>
        <w:spacing w:before="120" w:after="120" w:line="240" w:lineRule="auto"/>
        <w:jc w:val="both"/>
        <w:rPr>
          <w:rFonts w:cs="Times New Roman"/>
          <w:noProof/>
        </w:rPr>
      </w:pPr>
      <w:r>
        <w:rPr>
          <w:noProof/>
        </w:rPr>
        <w:t>Uudistus 2 (C4.R2) – Ekosysteemien ja vihreän infrastruktuurin ennallistaminen</w:t>
      </w:r>
    </w:p>
    <w:p w14:paraId="39BD5F75" w14:textId="77777777" w:rsidR="000E48CE" w:rsidRDefault="00FF4C4E">
      <w:pPr>
        <w:pStyle w:val="P68B1DB1-Normal4"/>
        <w:spacing w:before="120" w:after="120" w:line="240" w:lineRule="auto"/>
        <w:jc w:val="both"/>
        <w:rPr>
          <w:rFonts w:cs="Times New Roman"/>
          <w:noProof/>
        </w:rPr>
      </w:pPr>
      <w:r>
        <w:rPr>
          <w:noProof/>
        </w:rPr>
        <w:t>Uudistuksen tavoitteena on kehittää ja panna täytäntöön vihreää infrastruktuuria, yhteenliitettävyyttä ja ekol</w:t>
      </w:r>
      <w:r>
        <w:rPr>
          <w:noProof/>
        </w:rPr>
        <w:t>ogista ennallistamista koskeva keskushallinnon strategia, palauttaa vahingoittuneet ekosysteemit ja vakiinnuttaa Espanjassa vuoteen 2050 mennessä täysin toimivien luonnon- ja merialueiden sekä osittain luonnontilaisten alueiden verkosto.</w:t>
      </w:r>
    </w:p>
    <w:p w14:paraId="40AEC7EC" w14:textId="77777777" w:rsidR="000E48CE" w:rsidRDefault="00FF4C4E">
      <w:pPr>
        <w:pStyle w:val="P68B1DB1-Normal4"/>
        <w:spacing w:before="120" w:after="120" w:line="240" w:lineRule="auto"/>
        <w:jc w:val="both"/>
        <w:rPr>
          <w:rFonts w:cs="Times New Roman"/>
          <w:noProof/>
        </w:rPr>
      </w:pPr>
      <w:r>
        <w:rPr>
          <w:noProof/>
        </w:rPr>
        <w:t>Uudistuksissa on s</w:t>
      </w:r>
      <w:r>
        <w:rPr>
          <w:noProof/>
        </w:rPr>
        <w:t>eitsemän eri toimintalinjaa: vähentää hajanaisuuden ja ekologisen yhteenliitettävyyden menettämisen vaikutuksia; elinympäristöjen ja ekosysteemien ennallistaminen keskeisillä alueilla; ylläpitää ja parantaa vihreän infrastruktuurin elementteihin liittyvien</w:t>
      </w:r>
      <w:r>
        <w:rPr>
          <w:noProof/>
        </w:rPr>
        <w:t xml:space="preserve"> ekosysteemipalvelujen tarjontaa; parantaa vihreään infrastruktuuriin liittyvien osatekijöiden häiriönsietokykyä; v) alueellisen johdonmukaisuuden varmistaminen; siihen on sisällytettävä tehokas vihreä infrastruktuuri; ja vii) varmistamaan asianmukaisen vi</w:t>
      </w:r>
      <w:r>
        <w:rPr>
          <w:noProof/>
        </w:rPr>
        <w:t xml:space="preserve">estinnän, koulutuksen ja eturyhmien ja yhteiskunnan osallistumisen vihreän infrastruktuurin kehittämiseen. </w:t>
      </w:r>
    </w:p>
    <w:p w14:paraId="568339C9" w14:textId="77777777" w:rsidR="000E48CE" w:rsidRDefault="00FF4C4E">
      <w:pPr>
        <w:pStyle w:val="P68B1DB1-Normal4"/>
        <w:spacing w:before="120" w:after="120" w:line="240" w:lineRule="auto"/>
        <w:jc w:val="both"/>
        <w:rPr>
          <w:rFonts w:cs="Times New Roman"/>
          <w:noProof/>
        </w:rPr>
      </w:pPr>
      <w:r>
        <w:rPr>
          <w:noProof/>
        </w:rPr>
        <w:t>Uudistusta tuetaan edelleen Espanjan elpymis- ja palautumissuunnitelman tämän osan investoinnilla 3, jossa käsitellään erityisesti vuoteen 2030 ulot</w:t>
      </w:r>
      <w:r>
        <w:rPr>
          <w:noProof/>
        </w:rPr>
        <w:t>tuvan EU:n biodiversiteettistrategian suosituksia, jotka koskevat ekologisten käytävien sisällyttämistä, puiden laajamittaista istuttamista, merkittävää edistymistä saastuneen maan kunnostamisessa ja tavoitetta varmistaa, että vähintään 20000 asukkaan kaup</w:t>
      </w:r>
      <w:r>
        <w:rPr>
          <w:noProof/>
        </w:rPr>
        <w:t xml:space="preserve">ungeilla on kunnianhimoinen kaupunkien viherryttämissuunnitelma. Se liittyy myös Espanjan elpymis- ja palautumissuunnitelman tämän osan uudistuksiin 1 ja investointeihin 1. </w:t>
      </w:r>
    </w:p>
    <w:p w14:paraId="3C9F2936"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30 päivänä kesäku</w:t>
      </w:r>
      <w:r>
        <w:rPr>
          <w:noProof/>
        </w:rPr>
        <w:t xml:space="preserve">uta 2021. </w:t>
      </w:r>
    </w:p>
    <w:p w14:paraId="4C4CB362" w14:textId="77777777" w:rsidR="000E48CE" w:rsidRDefault="00FF4C4E">
      <w:pPr>
        <w:pStyle w:val="P68B1DB1-Normal6"/>
        <w:spacing w:before="120" w:after="120" w:line="240" w:lineRule="auto"/>
        <w:jc w:val="both"/>
        <w:rPr>
          <w:rFonts w:cs="Times New Roman"/>
          <w:noProof/>
        </w:rPr>
      </w:pPr>
      <w:r>
        <w:rPr>
          <w:noProof/>
        </w:rPr>
        <w:t>Uudistus 3 (C4.R3) – Kestävä metsänhoito</w:t>
      </w:r>
    </w:p>
    <w:p w14:paraId="5B135FED" w14:textId="77777777" w:rsidR="000E48CE" w:rsidRDefault="00FF4C4E">
      <w:pPr>
        <w:pStyle w:val="P68B1DB1-Normal4"/>
        <w:spacing w:before="120" w:after="120" w:line="240" w:lineRule="auto"/>
        <w:jc w:val="both"/>
        <w:rPr>
          <w:rFonts w:cs="Times New Roman"/>
          <w:noProof/>
        </w:rPr>
      </w:pPr>
      <w:r>
        <w:rPr>
          <w:noProof/>
        </w:rPr>
        <w:t>Uudistuksella päivitetään Espanjan vuoden 1999 metsästrategiaa yhdessä Espanjan metsäsuunnitelman 2002–2032 kanssa ja kehitetään toimenpidepaketti metsäalan elvyttämiseksi, joka kattaa Espanjan metsän kok</w:t>
      </w:r>
      <w:r>
        <w:rPr>
          <w:noProof/>
        </w:rPr>
        <w:t>onaisuudessaan: muun muassa lajien ja alueiden suojelu, tulipalot, omistussuhteet, kehitys, metsäalueiden ja -resurssien nykyinen tila ja suuntaukset. Uudistuksella puututaan suurten maaseutualueiden taloudelliseen ja sosiaaliseen elvyttämiseen, sillä niil</w:t>
      </w:r>
      <w:r>
        <w:rPr>
          <w:noProof/>
        </w:rPr>
        <w:t xml:space="preserve">lä on vakavia väestökadosta johtuvia ongelmia, ja se on sovitettava hyvin yhteen Euroopan vihreän kehityksen ohjelman kanssa. </w:t>
      </w:r>
    </w:p>
    <w:p w14:paraId="73FE2331" w14:textId="77777777" w:rsidR="000E48CE" w:rsidRDefault="00FF4C4E">
      <w:pPr>
        <w:pStyle w:val="P68B1DB1-Normal4"/>
        <w:spacing w:before="120" w:after="120" w:line="240" w:lineRule="auto"/>
        <w:jc w:val="both"/>
        <w:rPr>
          <w:rFonts w:cs="Times New Roman"/>
          <w:noProof/>
        </w:rPr>
      </w:pPr>
      <w:r>
        <w:rPr>
          <w:noProof/>
        </w:rPr>
        <w:t>Espanjan metsästrategialla on viisi strategista painopistettä:</w:t>
      </w:r>
    </w:p>
    <w:p w14:paraId="014728FC" w14:textId="77777777" w:rsidR="000E48CE" w:rsidRDefault="00FF4C4E">
      <w:pPr>
        <w:pStyle w:val="P68B1DB1-Normal4"/>
        <w:numPr>
          <w:ilvl w:val="0"/>
          <w:numId w:val="87"/>
        </w:numPr>
        <w:spacing w:before="120" w:after="160" w:line="240" w:lineRule="auto"/>
        <w:contextualSpacing/>
        <w:jc w:val="both"/>
        <w:rPr>
          <w:rFonts w:cs="Times New Roman"/>
          <w:noProof/>
        </w:rPr>
      </w:pPr>
      <w:r>
        <w:rPr>
          <w:noProof/>
        </w:rPr>
        <w:t>Luonnonperinnön, biologisen monimuotoisuuden ja yhteenliitettävyyd</w:t>
      </w:r>
      <w:r>
        <w:rPr>
          <w:noProof/>
        </w:rPr>
        <w:t>en säilyttäminen ja parantaminen.</w:t>
      </w:r>
    </w:p>
    <w:p w14:paraId="54D6C91C" w14:textId="77777777" w:rsidR="000E48CE" w:rsidRDefault="00FF4C4E">
      <w:pPr>
        <w:pStyle w:val="P68B1DB1-Normal4"/>
        <w:numPr>
          <w:ilvl w:val="0"/>
          <w:numId w:val="87"/>
        </w:numPr>
        <w:spacing w:before="120" w:after="160" w:line="240" w:lineRule="auto"/>
        <w:contextualSpacing/>
        <w:jc w:val="both"/>
        <w:rPr>
          <w:rFonts w:cs="Times New Roman"/>
          <w:noProof/>
        </w:rPr>
      </w:pPr>
      <w:r>
        <w:rPr>
          <w:noProof/>
        </w:rPr>
        <w:t xml:space="preserve">Suojelu, terveysturva sekä luonnon- ja ympäristöriskien ennaltaehkäisyn ja niihin sopeutumisen suojelu. </w:t>
      </w:r>
    </w:p>
    <w:p w14:paraId="25D0CC2D" w14:textId="77777777" w:rsidR="000E48CE" w:rsidRDefault="00FF4C4E">
      <w:pPr>
        <w:pStyle w:val="P68B1DB1-Normal4"/>
        <w:numPr>
          <w:ilvl w:val="0"/>
          <w:numId w:val="87"/>
        </w:numPr>
        <w:spacing w:before="120" w:after="160" w:line="240" w:lineRule="auto"/>
        <w:contextualSpacing/>
        <w:jc w:val="both"/>
        <w:rPr>
          <w:rFonts w:cs="Times New Roman"/>
          <w:noProof/>
        </w:rPr>
      </w:pPr>
      <w:r>
        <w:rPr>
          <w:noProof/>
        </w:rPr>
        <w:t xml:space="preserve">Metsäbiotalous: vihreä talous ja työpaikat, metsävarojen käyttöönotto ja metsätalousalan kestävä sosioekonominen </w:t>
      </w:r>
      <w:r>
        <w:rPr>
          <w:noProof/>
        </w:rPr>
        <w:t>kehitys.</w:t>
      </w:r>
    </w:p>
    <w:p w14:paraId="72908E0E" w14:textId="77777777" w:rsidR="000E48CE" w:rsidRDefault="00FF4C4E">
      <w:pPr>
        <w:pStyle w:val="P68B1DB1-Normal4"/>
        <w:numPr>
          <w:ilvl w:val="0"/>
          <w:numId w:val="87"/>
        </w:numPr>
        <w:spacing w:before="120" w:after="160" w:line="240" w:lineRule="auto"/>
        <w:contextualSpacing/>
        <w:jc w:val="both"/>
        <w:rPr>
          <w:rFonts w:cs="Times New Roman"/>
          <w:noProof/>
        </w:rPr>
      </w:pPr>
      <w:r>
        <w:rPr>
          <w:noProof/>
        </w:rPr>
        <w:t>Tietämyksen ja metsäkulttuurin kehittäminen ja parantaminen.</w:t>
      </w:r>
    </w:p>
    <w:p w14:paraId="1FBCD1F4" w14:textId="77777777" w:rsidR="000E48CE" w:rsidRDefault="00FF4C4E">
      <w:pPr>
        <w:pStyle w:val="P68B1DB1-Normal4"/>
        <w:numPr>
          <w:ilvl w:val="0"/>
          <w:numId w:val="87"/>
        </w:numPr>
        <w:spacing w:before="120" w:after="120" w:line="240" w:lineRule="auto"/>
        <w:ind w:left="357" w:hanging="357"/>
        <w:jc w:val="both"/>
        <w:rPr>
          <w:rFonts w:cs="Times New Roman"/>
          <w:noProof/>
        </w:rPr>
      </w:pPr>
      <w:r>
        <w:rPr>
          <w:noProof/>
        </w:rPr>
        <w:t>Metsähallintomalli: Espanjan metsäpolitiikan sääntely-, hallinto- ja välinekehys.</w:t>
      </w:r>
    </w:p>
    <w:p w14:paraId="394982C6" w14:textId="1E66C333" w:rsidR="000E48CE" w:rsidRDefault="00FF4C4E">
      <w:pPr>
        <w:pStyle w:val="P68B1DB1-Normal4"/>
        <w:spacing w:before="120" w:after="120" w:line="240" w:lineRule="auto"/>
        <w:jc w:val="both"/>
        <w:rPr>
          <w:rFonts w:cs="Times New Roman"/>
          <w:noProof/>
        </w:rPr>
      </w:pPr>
      <w:r>
        <w:rPr>
          <w:noProof/>
        </w:rPr>
        <w:t>Espanjan metsästrategiassa on kaksi keskeistä välinettä, jotka ovat tarpeen koko metsäsektorin uudistamiseksi. Ensimmäinen niistä on kestävää metsänhoitoa koskevien suuntaviivojen hyväksyminen. Näissä suuntaviivoissa käsitellään muun muassa biologista moni</w:t>
      </w:r>
      <w:r>
        <w:rPr>
          <w:noProof/>
        </w:rPr>
        <w:t>muotoisuutta, ilmastonmuutosta ja kiertobiotaloutta. Toiseksi Espanjan metsäpalojen hallintaa koskevat strategiset suuntaviivat, joissa vahvistetaan noudatettavat tavoitteet, määritellään toiminnan päälinjat ja yksilöidään yhteiskuntaryhmät, joilla on tiet</w:t>
      </w:r>
      <w:r>
        <w:rPr>
          <w:noProof/>
        </w:rPr>
        <w:t xml:space="preserve">ty vastuu. Nämä strategiset suuntaviivat ovat ratkaisevan tärkeitä metsäpalojen hillitsemiseksi ja metsäalan strategisen aseman parantamiseksi ekologisen siirtymän yhteydessä. </w:t>
      </w:r>
    </w:p>
    <w:p w14:paraId="1606FD51" w14:textId="4679A788" w:rsidR="000E48CE" w:rsidRDefault="00FF4C4E">
      <w:pPr>
        <w:pStyle w:val="P68B1DB1-Normal4"/>
        <w:spacing w:before="120" w:after="120" w:line="240" w:lineRule="auto"/>
        <w:jc w:val="both"/>
        <w:rPr>
          <w:rFonts w:cs="Times New Roman"/>
          <w:noProof/>
        </w:rPr>
      </w:pPr>
      <w:r>
        <w:rPr>
          <w:noProof/>
        </w:rPr>
        <w:t xml:space="preserve">Uudistuksen täytäntöönpano on saatettava päätökseen 31 päivään joulukuuta 2022 </w:t>
      </w:r>
      <w:r>
        <w:rPr>
          <w:noProof/>
        </w:rPr>
        <w:t xml:space="preserve">mennessä. </w:t>
      </w:r>
    </w:p>
    <w:p w14:paraId="06E3C4A2" w14:textId="77777777" w:rsidR="000E48CE" w:rsidRDefault="00FF4C4E">
      <w:pPr>
        <w:pStyle w:val="P68B1DB1-Normal6"/>
        <w:spacing w:before="120" w:after="120" w:line="240" w:lineRule="auto"/>
        <w:jc w:val="both"/>
        <w:rPr>
          <w:rFonts w:cs="Times New Roman"/>
          <w:noProof/>
        </w:rPr>
      </w:pPr>
      <w:r>
        <w:rPr>
          <w:noProof/>
        </w:rPr>
        <w:t>Investointi 1 (C4.I1) – Digitalisaatio ja luonnonperinnön tuntemus</w:t>
      </w:r>
    </w:p>
    <w:p w14:paraId="099D11B9" w14:textId="77777777" w:rsidR="000E48CE" w:rsidRDefault="00FF4C4E">
      <w:pPr>
        <w:pStyle w:val="P68B1DB1-Normal4"/>
        <w:spacing w:before="120" w:after="120" w:line="240" w:lineRule="auto"/>
        <w:jc w:val="both"/>
        <w:rPr>
          <w:rFonts w:cs="Times New Roman"/>
          <w:noProof/>
          <w:u w:val="single"/>
        </w:rPr>
      </w:pPr>
      <w:r>
        <w:rPr>
          <w:noProof/>
        </w:rPr>
        <w:t>Investoinnilla on luotava järjestelmä, jolla digitalisoidaan luonnonperinnön hallinta, valvonta ja seuranta, joka kattaa sekä maa- että merialueet. Tällä investoinnilla on parann</w:t>
      </w:r>
      <w:r>
        <w:rPr>
          <w:noProof/>
        </w:rPr>
        <w:t>ettava merkittävästi tietoja lajeista ja luontotyypeistä sekä kartoitettava tietoa ja luonnonperintöä, myös geologista. Investointi keskittyy tiedon hankintaan ja hallinnointiin, mukaan lukien</w:t>
      </w:r>
    </w:p>
    <w:p w14:paraId="54D4512D" w14:textId="77777777" w:rsidR="000E48CE" w:rsidRDefault="00FF4C4E">
      <w:pPr>
        <w:pStyle w:val="P68B1DB1-Normal4"/>
        <w:numPr>
          <w:ilvl w:val="0"/>
          <w:numId w:val="226"/>
        </w:numPr>
        <w:spacing w:before="120" w:after="160" w:line="240" w:lineRule="auto"/>
        <w:contextualSpacing/>
        <w:jc w:val="both"/>
        <w:rPr>
          <w:rFonts w:cs="Times New Roman"/>
          <w:noProof/>
        </w:rPr>
      </w:pPr>
      <w:r>
        <w:rPr>
          <w:noProof/>
        </w:rPr>
        <w:t>Ohjelma, jolla parannetaan luonnon monimuotoisuuden ja luonnonp</w:t>
      </w:r>
      <w:r>
        <w:rPr>
          <w:noProof/>
        </w:rPr>
        <w:t xml:space="preserve">erinnön hallintaa koskevaa tietämystä ja digitalisointia kansallisella tasolla kehittämällä seurantaverkkoja, ottamalla käyttöön antureita sekä käyttämällä kiinteitä ja liikkuvia digitaalisia tiedonhankintajärjestelmiä. </w:t>
      </w:r>
    </w:p>
    <w:p w14:paraId="4CE99295" w14:textId="77777777" w:rsidR="000E48CE" w:rsidRDefault="00FF4C4E">
      <w:pPr>
        <w:pStyle w:val="P68B1DB1-Normal4"/>
        <w:numPr>
          <w:ilvl w:val="0"/>
          <w:numId w:val="226"/>
        </w:numPr>
        <w:spacing w:before="120" w:after="120" w:line="240" w:lineRule="auto"/>
        <w:ind w:left="357" w:hanging="357"/>
        <w:jc w:val="both"/>
        <w:rPr>
          <w:rFonts w:cs="Times New Roman"/>
          <w:noProof/>
        </w:rPr>
      </w:pPr>
      <w:r>
        <w:rPr>
          <w:noProof/>
        </w:rPr>
        <w:t>Sellaisten tiedonhallintajärjestelm</w:t>
      </w:r>
      <w:r>
        <w:rPr>
          <w:noProof/>
        </w:rPr>
        <w:t xml:space="preserve">ien tai -alustojen kehittäminen kansallisella tasolla, joilla on lisäanalyysi- ja tiedonlevitysvalmiuksia. </w:t>
      </w:r>
    </w:p>
    <w:p w14:paraId="45010B81" w14:textId="2186FCDB" w:rsidR="000E48CE" w:rsidRDefault="00FF4C4E">
      <w:pPr>
        <w:pStyle w:val="P68B1DB1-Normal4"/>
        <w:spacing w:before="120" w:after="120" w:line="240" w:lineRule="auto"/>
        <w:jc w:val="both"/>
        <w:rPr>
          <w:rFonts w:cs="Times New Roman"/>
          <w:noProof/>
        </w:rPr>
      </w:pPr>
      <w:r>
        <w:rPr>
          <w:noProof/>
        </w:rPr>
        <w:t>Sammakko-ilma-alusten lentokaluston ilmailutekniikan järjestelmän päivitys on käynnistettävä, ja siihen on sisällyttävä sellaisten laitteiden suunni</w:t>
      </w:r>
      <w:r>
        <w:rPr>
          <w:noProof/>
        </w:rPr>
        <w:t>ttelu, sertifiointi ja hankinta, joilla ilma-aluksista tehdään turvallisempia ja tehokkaampia palontorjunnassa. Tämän toimenpiteen ei odoteta aiheuttavan merkittävää haittaa asetuksen (EU) 2020/852 17 artiklassa tarkoitetuille ympäristötavoitteille, kun ot</w:t>
      </w:r>
      <w:r>
        <w:rPr>
          <w:noProof/>
        </w:rPr>
        <w:t>etaan huomioon ”ei merkittävää haittaa” -periaatetta koskevien teknisten ohjeiden (2021/C58/01) mukainen elpymis- ja palautumissuunnitelmassa esitetty toimenpiteen kuvaus ja lieventävät toimenpiteet. Erityisesti sammakko-ilma-alusten lentokaluston ilmailuj</w:t>
      </w:r>
      <w:r>
        <w:rPr>
          <w:noProof/>
        </w:rPr>
        <w:t xml:space="preserve">ärjestelmän parantaminen on sisällytettävä ainoastaan olemassa oleviin ilma-aluksiin, eikä se saa lisätä näiden ilma-alusten käyttöikää tai kapasiteettia. Se saa varmistaa turvallisuuden ja lento-olosuhteiden vain silloin, kun niitä käytetään metsäpalojen </w:t>
      </w:r>
      <w:r>
        <w:rPr>
          <w:noProof/>
        </w:rPr>
        <w:t xml:space="preserve">sammuttamiseen. </w:t>
      </w:r>
    </w:p>
    <w:p w14:paraId="08E0D1DD" w14:textId="77777777" w:rsidR="000E48CE" w:rsidRDefault="00FF4C4E">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032D8062" w14:textId="77777777" w:rsidR="000E48CE" w:rsidRDefault="00FF4C4E">
      <w:pPr>
        <w:pStyle w:val="P68B1DB1-Normal6"/>
        <w:keepNext/>
        <w:spacing w:before="120" w:after="120" w:line="240" w:lineRule="auto"/>
        <w:jc w:val="both"/>
        <w:rPr>
          <w:rFonts w:cs="Times New Roman"/>
          <w:noProof/>
        </w:rPr>
      </w:pPr>
      <w:r>
        <w:rPr>
          <w:noProof/>
        </w:rPr>
        <w:t>Investointi 2 (C4.I2) – Maan ja meren biologisen monimuotoisuuden säilyttäminen</w:t>
      </w:r>
    </w:p>
    <w:p w14:paraId="099D951E" w14:textId="77777777" w:rsidR="000E48CE" w:rsidRDefault="00FF4C4E">
      <w:pPr>
        <w:pStyle w:val="P68B1DB1-Normal4"/>
        <w:keepNext/>
        <w:spacing w:before="120" w:after="120" w:line="240" w:lineRule="auto"/>
        <w:jc w:val="both"/>
        <w:rPr>
          <w:rFonts w:cs="Times New Roman"/>
          <w:noProof/>
        </w:rPr>
      </w:pPr>
      <w:r>
        <w:rPr>
          <w:noProof/>
        </w:rPr>
        <w:t>Investointi koostuu suorista investoinneista ja avustuksista sekä maa- että meriluo</w:t>
      </w:r>
      <w:r>
        <w:rPr>
          <w:noProof/>
        </w:rPr>
        <w:t xml:space="preserve">nnon monimuotoisuuden säilyttämiseksi. Se sisältää viisi toimintalinjaa, jotka on sovitettava yhteen uudistuksen 1 kanssa: </w:t>
      </w:r>
    </w:p>
    <w:p w14:paraId="28E70048" w14:textId="77777777" w:rsidR="000E48CE" w:rsidRDefault="00FF4C4E">
      <w:pPr>
        <w:pStyle w:val="P68B1DB1-Normal4"/>
        <w:numPr>
          <w:ilvl w:val="0"/>
          <w:numId w:val="227"/>
        </w:numPr>
        <w:spacing w:before="120" w:after="160" w:line="240" w:lineRule="auto"/>
        <w:contextualSpacing/>
        <w:jc w:val="both"/>
        <w:rPr>
          <w:rFonts w:cs="Times New Roman"/>
          <w:noProof/>
        </w:rPr>
      </w:pPr>
      <w:r>
        <w:rPr>
          <w:noProof/>
        </w:rPr>
        <w:t>Maan biologisen monimuotoisuuden säilyttäminen, lajien ja elinympäristöjen suojelun tason parantaminen, uhkien ja kuolleisuuden ehkä</w:t>
      </w:r>
      <w:r>
        <w:rPr>
          <w:noProof/>
        </w:rPr>
        <w:t xml:space="preserve">iseminen sekä toimet haitallisten vieraslajien valvomiseksi ja hävittämiseksi. </w:t>
      </w:r>
    </w:p>
    <w:p w14:paraId="5B4482F1" w14:textId="77777777" w:rsidR="000E48CE" w:rsidRDefault="00FF4C4E">
      <w:pPr>
        <w:pStyle w:val="P68B1DB1-Normal4"/>
        <w:numPr>
          <w:ilvl w:val="0"/>
          <w:numId w:val="227"/>
        </w:numPr>
        <w:spacing w:before="120" w:after="160" w:line="240" w:lineRule="auto"/>
        <w:contextualSpacing/>
        <w:jc w:val="both"/>
        <w:rPr>
          <w:rFonts w:cs="Times New Roman"/>
          <w:noProof/>
        </w:rPr>
      </w:pPr>
      <w:r>
        <w:rPr>
          <w:noProof/>
        </w:rPr>
        <w:t xml:space="preserve">Infrastruktuurien parantaminen, johon kuuluvat muun muassa luonnonperinnön hallintaan liittyvien laitosten ja infrastruktuurien tarjoaminen, kunnostaminen ja parantaminen sekä </w:t>
      </w:r>
      <w:r>
        <w:rPr>
          <w:noProof/>
        </w:rPr>
        <w:t xml:space="preserve">tietoisuuden lisääminen sekä biologisen monimuotoisuuden säilyttämisen merkityksen korostaminen ja levittäminen ihmisten terveydelle ja hyvinvoinnille. </w:t>
      </w:r>
    </w:p>
    <w:p w14:paraId="2BE7436A" w14:textId="529F32E7" w:rsidR="000E48CE" w:rsidRDefault="00FF4C4E">
      <w:pPr>
        <w:pStyle w:val="P68B1DB1-Normal4"/>
        <w:numPr>
          <w:ilvl w:val="0"/>
          <w:numId w:val="227"/>
        </w:numPr>
        <w:spacing w:before="120" w:after="160" w:line="240" w:lineRule="auto"/>
        <w:contextualSpacing/>
        <w:jc w:val="both"/>
        <w:rPr>
          <w:rFonts w:cs="Times New Roman"/>
          <w:noProof/>
        </w:rPr>
      </w:pPr>
      <w:r>
        <w:rPr>
          <w:noProof/>
        </w:rPr>
        <w:t>Investointi merten biologisen monimuotoisuuden säilyttämiseen, jotta voidaan suojella vähintään 18 pros</w:t>
      </w:r>
      <w:r>
        <w:rPr>
          <w:noProof/>
        </w:rPr>
        <w:t xml:space="preserve">enttia Espanjan merialueesta vuoteen 2025 mennessä.   </w:t>
      </w:r>
    </w:p>
    <w:p w14:paraId="5100FD0E" w14:textId="77777777" w:rsidR="000E48CE" w:rsidRDefault="00FF4C4E">
      <w:pPr>
        <w:pStyle w:val="P68B1DB1-Normal4"/>
        <w:numPr>
          <w:ilvl w:val="0"/>
          <w:numId w:val="227"/>
        </w:numPr>
        <w:spacing w:before="120" w:after="160" w:line="240" w:lineRule="auto"/>
        <w:contextualSpacing/>
        <w:jc w:val="both"/>
        <w:rPr>
          <w:rFonts w:cs="Times New Roman"/>
          <w:noProof/>
        </w:rPr>
      </w:pPr>
      <w:r>
        <w:rPr>
          <w:noProof/>
        </w:rPr>
        <w:t xml:space="preserve">Kosteikkojen ennallistaminen kosteikkojen säilyttämistä, parantamista ja ennallistamista koskevilla toimilla ja erityisesti uudistuksessa 2 esitettyyn kosteikkojen suojelu- ja ennallistamissuunnitelmaan liittyvillä toimilla. </w:t>
      </w:r>
    </w:p>
    <w:p w14:paraId="4D9ABA9A" w14:textId="77777777" w:rsidR="000E48CE" w:rsidRDefault="00FF4C4E">
      <w:pPr>
        <w:pStyle w:val="P68B1DB1-Normal4"/>
        <w:numPr>
          <w:ilvl w:val="0"/>
          <w:numId w:val="227"/>
        </w:numPr>
        <w:spacing w:before="120" w:after="120" w:line="240" w:lineRule="auto"/>
        <w:ind w:left="357" w:hanging="357"/>
        <w:jc w:val="both"/>
        <w:rPr>
          <w:rFonts w:cs="Times New Roman"/>
          <w:noProof/>
        </w:rPr>
      </w:pPr>
      <w:r>
        <w:rPr>
          <w:noProof/>
        </w:rPr>
        <w:t>Kansainvälisen kaupan valvonta</w:t>
      </w:r>
      <w:r>
        <w:rPr>
          <w:noProof/>
        </w:rPr>
        <w:t xml:space="preserve"> CITES-pelastuskeskusten verkoston parantamiseksi ja lujittamiseksi sekä laittoman kaupan torjuntaa koskevan toimintasuunnitelman vahvistamiseksi. </w:t>
      </w:r>
    </w:p>
    <w:p w14:paraId="066857D4" w14:textId="77777777" w:rsidR="000E48CE" w:rsidRDefault="00FF4C4E">
      <w:pPr>
        <w:pStyle w:val="P68B1DB1-Normal4"/>
        <w:spacing w:before="120" w:after="120" w:line="240" w:lineRule="auto"/>
        <w:jc w:val="both"/>
        <w:rPr>
          <w:rFonts w:cs="Times New Roman"/>
          <w:noProof/>
        </w:rPr>
      </w:pPr>
      <w:r>
        <w:rPr>
          <w:noProof/>
        </w:rPr>
        <w:t>Tämän toimenpiteen ei odoteta aiheuttavan merkittävää haittaa asetuksen (EU) 2020/852 17 artiklassa tarkoite</w:t>
      </w:r>
      <w:r>
        <w:rPr>
          <w:noProof/>
        </w:rPr>
        <w:t>tuille ympäristötavoitteille, kun otetaan huomioon ”ei merkittävää haittaa” -periaatetta koskevien teknisten ohjeiden (2021/C58/01) mukainen elpymis- ja palautumissuunnitelmassa esitetty toimenpiteen kuvaus ja lieventävät toimenpiteet. Erityisesti erikoisa</w:t>
      </w:r>
      <w:r>
        <w:rPr>
          <w:noProof/>
        </w:rPr>
        <w:t xml:space="preserve">luksia hankittaessa investoinnin valintaperusteilla on varmistettava, että valitaan ainoastaan parhaat saatavilla olevat teknologiat, joiden ympäristövaikutukset alalla ovat vähäisimmät, ottaen huomioon niiden erityistarkoitus. </w:t>
      </w:r>
    </w:p>
    <w:p w14:paraId="7C5BBC2A" w14:textId="77777777" w:rsidR="000E48CE" w:rsidRDefault="00FF4C4E">
      <w:pPr>
        <w:pStyle w:val="P68B1DB1-Normal4"/>
        <w:spacing w:before="120" w:after="120" w:line="240" w:lineRule="auto"/>
        <w:jc w:val="both"/>
        <w:rPr>
          <w:rFonts w:cs="Times New Roman"/>
          <w:noProof/>
        </w:rPr>
      </w:pPr>
      <w:r>
        <w:rPr>
          <w:noProof/>
        </w:rPr>
        <w:t>Investoinnin toteutus saate</w:t>
      </w:r>
      <w:r>
        <w:rPr>
          <w:noProof/>
        </w:rPr>
        <w:t xml:space="preserve">taan päätökseen viimeistään 30. kesäkuuta 2026. </w:t>
      </w:r>
    </w:p>
    <w:p w14:paraId="5041CEF8" w14:textId="77777777" w:rsidR="000E48CE" w:rsidRDefault="00FF4C4E">
      <w:pPr>
        <w:pStyle w:val="P68B1DB1-Normal6"/>
        <w:spacing w:before="120" w:after="120" w:line="240" w:lineRule="auto"/>
        <w:jc w:val="both"/>
        <w:rPr>
          <w:rFonts w:cs="Times New Roman"/>
          <w:noProof/>
        </w:rPr>
      </w:pPr>
      <w:r>
        <w:rPr>
          <w:noProof/>
        </w:rPr>
        <w:t>Investointi 3 (C4.I3) – Ekosysteemien ja vihreän infrastruktuurin ennallistaminen</w:t>
      </w:r>
    </w:p>
    <w:p w14:paraId="067A6342" w14:textId="77777777" w:rsidR="000E48CE" w:rsidRDefault="00FF4C4E">
      <w:pPr>
        <w:pStyle w:val="P68B1DB1-Normal4"/>
        <w:spacing w:before="120" w:after="120" w:line="240" w:lineRule="auto"/>
        <w:jc w:val="both"/>
        <w:rPr>
          <w:rFonts w:cs="Times New Roman"/>
          <w:noProof/>
        </w:rPr>
      </w:pPr>
      <w:r>
        <w:rPr>
          <w:noProof/>
        </w:rPr>
        <w:t>Investoinnin on sisällettävä joukko toimia, joilla tuetaan uudistuksen 2 täytäntöönpanoa. Tavoitteena on ennallistaa kaivosto</w:t>
      </w:r>
      <w:r>
        <w:rPr>
          <w:noProof/>
        </w:rPr>
        <w:t xml:space="preserve">iminnan vaurioittamia luonnollisia ekosysteemejä ja alueita sekä muita kaupunkiympäristöissä toteutettavia aloitteita, joilla pyritään edistämään kaupunkiyhteyksiä ja kääntämään taaksepäin. </w:t>
      </w:r>
    </w:p>
    <w:p w14:paraId="0EFA8DBE" w14:textId="77777777" w:rsidR="000E48CE" w:rsidRDefault="00FF4C4E">
      <w:pPr>
        <w:pStyle w:val="P68B1DB1-Normal4"/>
        <w:spacing w:before="120" w:after="120" w:line="240" w:lineRule="auto"/>
        <w:jc w:val="both"/>
        <w:rPr>
          <w:rFonts w:cs="Times New Roman"/>
          <w:noProof/>
        </w:rPr>
      </w:pPr>
      <w:r>
        <w:rPr>
          <w:noProof/>
        </w:rPr>
        <w:t>Investoinnilla asetetaan tavoitteeksi ennallistaa vähintään 30000</w:t>
      </w:r>
      <w:r>
        <w:rPr>
          <w:noProof/>
        </w:rPr>
        <w:t xml:space="preserve"> hehtaaria luonnon ekosysteemejä. Ennallistamistoimissa on keskityttävä huonontuneisiin alueisiin tai ekosysteemeihin poistamalla keinotekoisia elementtejä, parantamalla maaperää ja morfologiaa sekä kasvillisuuden palauttamista ja kansalaistamista. Kaivost</w:t>
      </w:r>
      <w:r>
        <w:rPr>
          <w:noProof/>
        </w:rPr>
        <w:t>oiminnan osalta investoinnilla on kunnostettava vähintään 30 entistä kaivosaluetta. Entisten kaivosalueiden kunnostaminen käsittää maaperän puhdistamisen, morfologian elvyttämisen ja kasvillisuuden palauttamisen sekä entisten kaivosalueiden, jotka eivät en</w:t>
      </w:r>
      <w:r>
        <w:rPr>
          <w:noProof/>
        </w:rPr>
        <w:t xml:space="preserve">ää ole toiminnassa, kansalaistaminen. </w:t>
      </w:r>
    </w:p>
    <w:p w14:paraId="0B8C5AF7" w14:textId="77777777" w:rsidR="000E48CE" w:rsidRDefault="00FF4C4E">
      <w:pPr>
        <w:pStyle w:val="P68B1DB1-Normal4"/>
        <w:spacing w:before="120" w:after="120" w:line="240" w:lineRule="auto"/>
        <w:jc w:val="both"/>
        <w:rPr>
          <w:rFonts w:cs="Times New Roman"/>
          <w:noProof/>
        </w:rPr>
      </w:pPr>
      <w:r>
        <w:rPr>
          <w:noProof/>
        </w:rPr>
        <w:t>Lisäksi investoinnilla edistetään vihreää infrastruktuuria, joka kattaa paikallisviranomaisten tarpeet, mukaan lukien seuraavat: kaupunkisuunnittelu- ja elvyttämisstrategiat, joiden tavoitteena on luoda ja uudistaa vi</w:t>
      </w:r>
      <w:r>
        <w:rPr>
          <w:noProof/>
        </w:rPr>
        <w:t>hreää ja sinistä infrastruktuuria ja vapauttaa kaupunkialueita biologisen monimuotoisuuden, maaperän läpäisevyyden ja luonnollisten yhteyksien lisäämiseksi kaupungeissa; toimet ja hankkeet, jotka kattavat hallinto- ja osallistumisprosessit, viheralueiden j</w:t>
      </w:r>
      <w:r>
        <w:rPr>
          <w:noProof/>
        </w:rPr>
        <w:t xml:space="preserve">a sinisten alueiden hallinnan sekä luonnon monimuotoisuuteen liittyvät kaupunkien aineenvaihduntahankkeet; ja iii) kaupunkisuunnittelun laitteisto- ja infrastruktuurihankkeiden tukeminen. </w:t>
      </w:r>
    </w:p>
    <w:p w14:paraId="3B8A491A"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w:t>
      </w:r>
      <w:r>
        <w:rPr>
          <w:noProof/>
        </w:rPr>
        <w:t>a 2026.</w:t>
      </w:r>
    </w:p>
    <w:p w14:paraId="6B3AF97C" w14:textId="77777777" w:rsidR="000E48CE" w:rsidRDefault="00FF4C4E">
      <w:pPr>
        <w:pStyle w:val="P68B1DB1-Normal6"/>
        <w:spacing w:before="120" w:after="120" w:line="240" w:lineRule="auto"/>
        <w:jc w:val="both"/>
        <w:rPr>
          <w:rFonts w:cs="Times New Roman"/>
          <w:noProof/>
        </w:rPr>
      </w:pPr>
      <w:r>
        <w:rPr>
          <w:noProof/>
        </w:rPr>
        <w:t>C4.I4 Kestävä metsänhoito</w:t>
      </w:r>
    </w:p>
    <w:p w14:paraId="69ABB971" w14:textId="77777777" w:rsidR="000E48CE" w:rsidRDefault="00FF4C4E">
      <w:pPr>
        <w:pStyle w:val="P68B1DB1-Normal4"/>
        <w:spacing w:before="120" w:after="120" w:line="240" w:lineRule="auto"/>
        <w:jc w:val="both"/>
        <w:rPr>
          <w:rFonts w:cs="Times New Roman"/>
          <w:noProof/>
        </w:rPr>
      </w:pPr>
      <w:r>
        <w:rPr>
          <w:noProof/>
        </w:rPr>
        <w:t xml:space="preserve">Investointi käsittää investoinnit kestävään metsänhoitoon: </w:t>
      </w:r>
    </w:p>
    <w:p w14:paraId="2788BBF5" w14:textId="77777777" w:rsidR="000E48CE" w:rsidRDefault="00FF4C4E">
      <w:pPr>
        <w:pStyle w:val="P68B1DB1-Normal4"/>
        <w:numPr>
          <w:ilvl w:val="0"/>
          <w:numId w:val="228"/>
        </w:numPr>
        <w:spacing w:before="120" w:after="160" w:line="240" w:lineRule="auto"/>
        <w:contextualSpacing/>
        <w:jc w:val="both"/>
        <w:rPr>
          <w:rFonts w:cs="Times New Roman"/>
          <w:noProof/>
        </w:rPr>
      </w:pPr>
      <w:r>
        <w:rPr>
          <w:noProof/>
        </w:rPr>
        <w:t>Toimet, joilla parannetaan metsänhoitoa metsäpalojen ja muiden metsänhoitotoimien torjumiseksi; tekninen tuki metsänomistajille ja hallinnoille julkisen omistukse</w:t>
      </w:r>
      <w:r>
        <w:rPr>
          <w:noProof/>
        </w:rPr>
        <w:t xml:space="preserve">n lujittamiseksi; metsänhoitosuunnitelmat biologisen monimuotoisuuden ja metsien kestävän käytön edistämiseksi. </w:t>
      </w:r>
    </w:p>
    <w:p w14:paraId="397F3A18" w14:textId="77777777" w:rsidR="000E48CE" w:rsidRDefault="00FF4C4E">
      <w:pPr>
        <w:pStyle w:val="P68B1DB1-Normal4"/>
        <w:numPr>
          <w:ilvl w:val="0"/>
          <w:numId w:val="228"/>
        </w:numPr>
        <w:spacing w:before="120" w:after="160" w:line="240" w:lineRule="auto"/>
        <w:contextualSpacing/>
        <w:jc w:val="both"/>
        <w:rPr>
          <w:rFonts w:cs="Times New Roman"/>
          <w:noProof/>
        </w:rPr>
      </w:pPr>
      <w:r>
        <w:rPr>
          <w:noProof/>
        </w:rPr>
        <w:t>Toimet, joilla suojellaan ilmastonmuutosta ja sopeudutaan siihen, mukaan lukien vähintään 100:n erityiskäyttöön tarkoitetun palontorjuntakalust</w:t>
      </w:r>
      <w:r>
        <w:rPr>
          <w:noProof/>
        </w:rPr>
        <w:t xml:space="preserve">on, palokunnan tukikohdan uusiminen ja metsien parannustoimien edistyminen. </w:t>
      </w:r>
    </w:p>
    <w:p w14:paraId="2D9AEB0F" w14:textId="77777777" w:rsidR="000E48CE" w:rsidRDefault="00FF4C4E">
      <w:pPr>
        <w:pStyle w:val="P68B1DB1-Normal4"/>
        <w:numPr>
          <w:ilvl w:val="0"/>
          <w:numId w:val="228"/>
        </w:numPr>
        <w:spacing w:before="120" w:after="120" w:line="240" w:lineRule="auto"/>
        <w:ind w:left="357" w:hanging="357"/>
        <w:jc w:val="both"/>
        <w:rPr>
          <w:rFonts w:cs="Times New Roman"/>
          <w:noProof/>
        </w:rPr>
      </w:pPr>
      <w:r>
        <w:rPr>
          <w:noProof/>
        </w:rPr>
        <w:t>Metsäalaa tuetaan useilla toimilla, jotka ovat keskeinen voimavara väestökehityksen haasteeseen vastaamisessa ja joissa keskitytään erityisesti vihreään yrittäjyyteen ja paikallis</w:t>
      </w:r>
      <w:r>
        <w:rPr>
          <w:noProof/>
        </w:rPr>
        <w:t>een biotalouteen. Tämä osa investoinnista sisältää avustuksia paikallisviranomaisille ja muille julkisille ja yksityisille toimijoille metsäalan ja sen teollisuuden kilpailukyvyn, yrittäjyyden ja kestävyyden edistämiseksi. Näissä toimissa keskitytään erity</w:t>
      </w:r>
      <w:r>
        <w:rPr>
          <w:noProof/>
        </w:rPr>
        <w:t xml:space="preserve">isesti vihreiden työpaikkojen luomiseen erityisesti tukemalla naisten ja nuorten osallistumista metsäalaan ja vihreää yrittäjyyttä. </w:t>
      </w:r>
    </w:p>
    <w:p w14:paraId="73F7F758" w14:textId="260265BE" w:rsidR="000E48CE" w:rsidRDefault="00FF4C4E">
      <w:pPr>
        <w:pStyle w:val="P68B1DB1-Normal4"/>
        <w:spacing w:before="120" w:after="120" w:line="240" w:lineRule="auto"/>
        <w:jc w:val="both"/>
        <w:rPr>
          <w:rFonts w:cs="Times New Roman"/>
          <w:noProof/>
        </w:rPr>
      </w:pPr>
      <w:r>
        <w:rPr>
          <w:noProof/>
        </w:rPr>
        <w:t>Tämän toimenpiteen ei odoteta aiheuttavan merkittävää haittaa asetuksen (EU) 2020/852 17 artiklassa tarkoitetuille ympärist</w:t>
      </w:r>
      <w:r>
        <w:rPr>
          <w:noProof/>
        </w:rPr>
        <w:t>ötavoitteille, kun otetaan huomioon ”ei merkittävää haittaa” -periaatetta koskevien teknisten ohjeiden (2021/C58/01) mukainen elpymis- ja palautumissuunnitelmassa esitetty toimenpiteen kuvaus ja lieventävät toimenpiteet. Toimenpiteessä on erityisesti nimen</w:t>
      </w:r>
      <w:r>
        <w:rPr>
          <w:noProof/>
        </w:rPr>
        <w:t xml:space="preserve">omaisesti estettävä ja suljettava pois tuki monokulttuuriviljelmille, erityisesti eukalyptusille, jotta minimoidaan vesistressi ja tulipaloriskit. Palontorjuntakaluston hankinnassa tuetaan ainoastaan parasta saatavilla olevaa teknologiaa, jolla on vähiten </w:t>
      </w:r>
      <w:r>
        <w:rPr>
          <w:noProof/>
        </w:rPr>
        <w:t>ympäristövaikutuksia alalla, ottaen huomioon niiden erityistarkoitus.</w:t>
      </w:r>
    </w:p>
    <w:p w14:paraId="1D7B6836"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2026.</w:t>
      </w:r>
    </w:p>
    <w:p w14:paraId="2E997092" w14:textId="77777777" w:rsidR="000E48CE" w:rsidRDefault="00FF4C4E">
      <w:pPr>
        <w:pStyle w:val="P68B1DB1-Normal5"/>
        <w:spacing w:before="120" w:after="120" w:line="240" w:lineRule="auto"/>
        <w:ind w:left="709"/>
        <w:jc w:val="both"/>
        <w:rPr>
          <w:rFonts w:cs="Times New Roman"/>
          <w:noProof/>
        </w:rPr>
      </w:pPr>
      <w:r>
        <w:rPr>
          <w:noProof/>
        </w:rPr>
        <w:t xml:space="preserve">D.2 </w:t>
      </w:r>
      <w:r>
        <w:rPr>
          <w:noProof/>
        </w:rPr>
        <w:tab/>
        <w:t xml:space="preserve">Seurantaa ja täytäntöönpanoa koskevat välitavoitteet, tavoitteet, indikaattorit ja aikataulu – </w:t>
      </w:r>
      <w:r>
        <w:rPr>
          <w:noProof/>
        </w:rPr>
        <w:t>rahoitustuki, jota ei makseta takaisin</w:t>
      </w:r>
    </w:p>
    <w:p w14:paraId="4293400D" w14:textId="6A5C7FA0"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 on 1. helmikuuta 2020, ellei toimen kuvauksessa toisin ilmoiteta. Taulukossa esitetyt määrät eivät sisällä arvonlisäveroa.</w:t>
      </w:r>
    </w:p>
    <w:p w14:paraId="144A5D23" w14:textId="77777777" w:rsidR="000E48CE" w:rsidRDefault="000E48CE">
      <w:pPr>
        <w:spacing w:before="120" w:after="120" w:line="240" w:lineRule="auto"/>
        <w:jc w:val="both"/>
        <w:rPr>
          <w:rFonts w:ascii="Times New Roman" w:hAnsi="Times New Roman" w:cs="Times New Roman"/>
          <w:noProof/>
          <w:sz w:val="24"/>
        </w:rPr>
        <w:sectPr w:rsidR="000E48CE" w:rsidSect="00522183">
          <w:headerReference w:type="even" r:id="rId102"/>
          <w:headerReference w:type="default" r:id="rId103"/>
          <w:footerReference w:type="even" r:id="rId104"/>
          <w:footerReference w:type="default" r:id="rId105"/>
          <w:headerReference w:type="first" r:id="rId106"/>
          <w:footerReference w:type="first" r:id="rId107"/>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51"/>
        <w:gridCol w:w="992"/>
        <w:gridCol w:w="2126"/>
        <w:gridCol w:w="1276"/>
        <w:gridCol w:w="850"/>
        <w:gridCol w:w="567"/>
        <w:gridCol w:w="709"/>
        <w:gridCol w:w="425"/>
        <w:gridCol w:w="567"/>
        <w:gridCol w:w="6096"/>
      </w:tblGrid>
      <w:tr w:rsidR="000E48CE" w14:paraId="38A1D4BF" w14:textId="77777777">
        <w:trPr>
          <w:trHeight w:val="309"/>
          <w:tblHeader/>
        </w:trPr>
        <w:tc>
          <w:tcPr>
            <w:tcW w:w="851" w:type="dxa"/>
            <w:tcBorders>
              <w:bottom w:val="nil"/>
            </w:tcBorders>
            <w:shd w:val="clear" w:color="auto" w:fill="C6D9F1" w:themeFill="text2" w:themeFillTint="33"/>
            <w:noWrap/>
            <w:vAlign w:val="center"/>
          </w:tcPr>
          <w:p w14:paraId="4EA0688D"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37349FCC" w14:textId="77777777" w:rsidR="000E48CE" w:rsidRDefault="00FF4C4E">
            <w:pPr>
              <w:pStyle w:val="P68B1DB1-Normal12"/>
              <w:spacing w:after="0" w:line="240" w:lineRule="auto"/>
              <w:jc w:val="center"/>
              <w:rPr>
                <w:rFonts w:cs="Times New Roman"/>
                <w:noProof/>
              </w:rPr>
            </w:pPr>
            <w:r>
              <w:rPr>
                <w:noProof/>
              </w:rPr>
              <w:t>Toimenpide</w:t>
            </w:r>
          </w:p>
        </w:tc>
        <w:tc>
          <w:tcPr>
            <w:tcW w:w="992" w:type="dxa"/>
            <w:tcBorders>
              <w:bottom w:val="nil"/>
            </w:tcBorders>
            <w:shd w:val="clear" w:color="auto" w:fill="C6D9F1" w:themeFill="text2" w:themeFillTint="33"/>
            <w:noWrap/>
            <w:vAlign w:val="center"/>
          </w:tcPr>
          <w:p w14:paraId="1C39CEE4"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126" w:type="dxa"/>
            <w:tcBorders>
              <w:bottom w:val="nil"/>
            </w:tcBorders>
            <w:shd w:val="clear" w:color="auto" w:fill="C6D9F1" w:themeFill="text2" w:themeFillTint="33"/>
            <w:noWrap/>
            <w:vAlign w:val="center"/>
          </w:tcPr>
          <w:p w14:paraId="44BD188F" w14:textId="77777777" w:rsidR="000E48CE" w:rsidRDefault="00FF4C4E">
            <w:pPr>
              <w:pStyle w:val="P68B1DB1-Normal12"/>
              <w:spacing w:after="0" w:line="240" w:lineRule="auto"/>
              <w:jc w:val="center"/>
              <w:rPr>
                <w:rFonts w:cs="Times New Roman"/>
                <w:noProof/>
              </w:rPr>
            </w:pPr>
            <w:r>
              <w:rPr>
                <w:noProof/>
              </w:rPr>
              <w:t>Nimi</w:t>
            </w:r>
          </w:p>
        </w:tc>
        <w:tc>
          <w:tcPr>
            <w:tcW w:w="1276" w:type="dxa"/>
            <w:tcBorders>
              <w:bottom w:val="nil"/>
            </w:tcBorders>
            <w:shd w:val="clear" w:color="auto" w:fill="C6D9F1" w:themeFill="text2" w:themeFillTint="33"/>
            <w:noWrap/>
            <w:vAlign w:val="center"/>
          </w:tcPr>
          <w:p w14:paraId="4E2A6197"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126" w:type="dxa"/>
            <w:gridSpan w:val="3"/>
            <w:shd w:val="clear" w:color="auto" w:fill="C6D9F1" w:themeFill="text2" w:themeFillTint="33"/>
            <w:noWrap/>
            <w:vAlign w:val="center"/>
          </w:tcPr>
          <w:p w14:paraId="37FB5AFD"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307F8153" w14:textId="77777777" w:rsidR="000E48CE" w:rsidRDefault="00FF4C4E">
            <w:pPr>
              <w:pStyle w:val="P68B1DB1-Normal12"/>
              <w:spacing w:after="0" w:line="240" w:lineRule="auto"/>
              <w:jc w:val="center"/>
              <w:rPr>
                <w:rFonts w:cs="Times New Roman"/>
                <w:noProof/>
              </w:rPr>
            </w:pPr>
            <w:r>
              <w:rPr>
                <w:noProof/>
              </w:rPr>
              <w:t>Aika</w:t>
            </w:r>
          </w:p>
        </w:tc>
        <w:tc>
          <w:tcPr>
            <w:tcW w:w="6096" w:type="dxa"/>
            <w:tcBorders>
              <w:bottom w:val="nil"/>
            </w:tcBorders>
            <w:shd w:val="clear" w:color="auto" w:fill="C6D9F1" w:themeFill="text2" w:themeFillTint="33"/>
            <w:noWrap/>
            <w:vAlign w:val="center"/>
          </w:tcPr>
          <w:p w14:paraId="376C7589"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67E72A50" w14:textId="77777777">
        <w:trPr>
          <w:trHeight w:val="309"/>
          <w:tblHeader/>
        </w:trPr>
        <w:tc>
          <w:tcPr>
            <w:tcW w:w="851" w:type="dxa"/>
            <w:tcBorders>
              <w:top w:val="nil"/>
            </w:tcBorders>
            <w:shd w:val="clear" w:color="auto" w:fill="C6D9F1" w:themeFill="text2" w:themeFillTint="33"/>
            <w:noWrap/>
          </w:tcPr>
          <w:p w14:paraId="738610EB"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37805D2" w14:textId="77777777" w:rsidR="000E48CE" w:rsidRDefault="000E48CE">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463F29E8" w14:textId="77777777" w:rsidR="000E48CE" w:rsidRDefault="000E48CE">
            <w:pPr>
              <w:spacing w:after="0" w:line="240" w:lineRule="auto"/>
              <w:jc w:val="center"/>
              <w:rPr>
                <w:rFonts w:ascii="Times New Roman" w:hAnsi="Times New Roman" w:cs="Times New Roman"/>
                <w:b/>
                <w:noProof/>
                <w:sz w:val="18"/>
              </w:rPr>
            </w:pPr>
          </w:p>
        </w:tc>
        <w:tc>
          <w:tcPr>
            <w:tcW w:w="2126" w:type="dxa"/>
            <w:tcBorders>
              <w:top w:val="nil"/>
            </w:tcBorders>
            <w:shd w:val="clear" w:color="auto" w:fill="C6D9F1" w:themeFill="text2" w:themeFillTint="33"/>
            <w:noWrap/>
          </w:tcPr>
          <w:p w14:paraId="3B7B4B86" w14:textId="77777777" w:rsidR="000E48CE" w:rsidRDefault="000E48CE">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3A0FF5F2"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3E5A4947"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vAlign w:val="center"/>
          </w:tcPr>
          <w:p w14:paraId="123CDAE8" w14:textId="77777777" w:rsidR="000E48CE" w:rsidRDefault="00FF4C4E">
            <w:pPr>
              <w:pStyle w:val="P68B1DB1-Normal12"/>
              <w:spacing w:after="0" w:line="240" w:lineRule="auto"/>
              <w:jc w:val="center"/>
              <w:rPr>
                <w:rFonts w:cs="Times New Roman"/>
                <w:noProof/>
              </w:rPr>
            </w:pPr>
            <w:r>
              <w:rPr>
                <w:noProof/>
              </w:rPr>
              <w:t>Perusviiva</w:t>
            </w:r>
          </w:p>
        </w:tc>
        <w:tc>
          <w:tcPr>
            <w:tcW w:w="709" w:type="dxa"/>
            <w:shd w:val="clear" w:color="auto" w:fill="C6D9F1" w:themeFill="text2" w:themeFillTint="33"/>
            <w:noWrap/>
            <w:vAlign w:val="center"/>
          </w:tcPr>
          <w:p w14:paraId="44FCF72C"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57EEC46D"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07C5301E" w14:textId="77777777" w:rsidR="000E48CE" w:rsidRDefault="00FF4C4E">
            <w:pPr>
              <w:pStyle w:val="P68B1DB1-Normal12"/>
              <w:spacing w:after="0" w:line="240" w:lineRule="auto"/>
              <w:jc w:val="center"/>
              <w:rPr>
                <w:rFonts w:cs="Times New Roman"/>
                <w:noProof/>
              </w:rPr>
            </w:pPr>
            <w:r>
              <w:rPr>
                <w:noProof/>
              </w:rPr>
              <w:t>Vuosi</w:t>
            </w:r>
          </w:p>
        </w:tc>
        <w:tc>
          <w:tcPr>
            <w:tcW w:w="6096" w:type="dxa"/>
            <w:tcBorders>
              <w:top w:val="nil"/>
            </w:tcBorders>
            <w:shd w:val="clear" w:color="auto" w:fill="C6D9F1" w:themeFill="text2" w:themeFillTint="33"/>
            <w:noWrap/>
          </w:tcPr>
          <w:p w14:paraId="5630AD66" w14:textId="77777777" w:rsidR="000E48CE" w:rsidRDefault="000E48CE">
            <w:pPr>
              <w:spacing w:after="0" w:line="240" w:lineRule="auto"/>
              <w:rPr>
                <w:rFonts w:ascii="Times New Roman" w:hAnsi="Times New Roman" w:cs="Times New Roman"/>
                <w:b/>
                <w:noProof/>
                <w:sz w:val="18"/>
              </w:rPr>
            </w:pPr>
          </w:p>
        </w:tc>
      </w:tr>
      <w:tr w:rsidR="000E48CE" w14:paraId="0889AFF1" w14:textId="77777777">
        <w:trPr>
          <w:trHeight w:val="309"/>
        </w:trPr>
        <w:tc>
          <w:tcPr>
            <w:tcW w:w="851" w:type="dxa"/>
            <w:shd w:val="clear" w:color="auto" w:fill="C6EFCE"/>
            <w:noWrap/>
          </w:tcPr>
          <w:p w14:paraId="04C1D538" w14:textId="77777777" w:rsidR="000E48CE" w:rsidRDefault="00FF4C4E">
            <w:pPr>
              <w:pStyle w:val="P68B1DB1-Normal13"/>
              <w:spacing w:after="0" w:line="240" w:lineRule="auto"/>
              <w:jc w:val="center"/>
              <w:rPr>
                <w:rFonts w:eastAsia="MS Mincho" w:cs="Times New Roman"/>
                <w:noProof/>
              </w:rPr>
            </w:pPr>
            <w:r>
              <w:rPr>
                <w:noProof/>
              </w:rPr>
              <w:t>62</w:t>
            </w:r>
          </w:p>
        </w:tc>
        <w:tc>
          <w:tcPr>
            <w:tcW w:w="851" w:type="dxa"/>
            <w:shd w:val="clear" w:color="auto" w:fill="C6EFCE"/>
            <w:noWrap/>
          </w:tcPr>
          <w:p w14:paraId="454EEF67" w14:textId="77777777" w:rsidR="000E48CE" w:rsidRDefault="00FF4C4E">
            <w:pPr>
              <w:pStyle w:val="P68B1DB1-Normal13"/>
              <w:spacing w:after="0" w:line="240" w:lineRule="auto"/>
              <w:jc w:val="center"/>
              <w:rPr>
                <w:rFonts w:eastAsia="MS Mincho" w:cs="Times New Roman"/>
                <w:noProof/>
              </w:rPr>
            </w:pPr>
            <w:r>
              <w:rPr>
                <w:noProof/>
              </w:rPr>
              <w:t>C4.R1</w:t>
            </w:r>
          </w:p>
        </w:tc>
        <w:tc>
          <w:tcPr>
            <w:tcW w:w="992" w:type="dxa"/>
            <w:shd w:val="clear" w:color="auto" w:fill="C6EFCE"/>
            <w:noWrap/>
          </w:tcPr>
          <w:p w14:paraId="2B9DE707" w14:textId="77777777" w:rsidR="000E48CE" w:rsidRDefault="00FF4C4E">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02923C49" w14:textId="77777777" w:rsidR="000E48CE" w:rsidRDefault="00FF4C4E">
            <w:pPr>
              <w:pStyle w:val="P68B1DB1-Normal13"/>
              <w:spacing w:after="0" w:line="240" w:lineRule="auto"/>
              <w:rPr>
                <w:rFonts w:eastAsia="MS Mincho" w:cs="Times New Roman"/>
                <w:noProof/>
              </w:rPr>
            </w:pPr>
            <w:r>
              <w:rPr>
                <w:noProof/>
              </w:rPr>
              <w:t xml:space="preserve">Luonnonperintöä ja biologista monimuotoisuutta koskeva strateginen suunnitelma ja suojeltujen merialueiden verkostoa koskeva suunnitelma </w:t>
            </w:r>
          </w:p>
        </w:tc>
        <w:tc>
          <w:tcPr>
            <w:tcW w:w="1276" w:type="dxa"/>
            <w:shd w:val="clear" w:color="auto" w:fill="C6EFCE"/>
            <w:noWrap/>
          </w:tcPr>
          <w:p w14:paraId="6964E4DC" w14:textId="77777777" w:rsidR="000E48CE" w:rsidRDefault="00FF4C4E">
            <w:pPr>
              <w:pStyle w:val="P68B1DB1-Normal13"/>
              <w:spacing w:after="0" w:line="240" w:lineRule="auto"/>
              <w:jc w:val="center"/>
              <w:rPr>
                <w:rFonts w:eastAsia="MS Mincho" w:cs="Times New Roman"/>
                <w:noProof/>
              </w:rPr>
            </w:pPr>
            <w:r>
              <w:rPr>
                <w:noProof/>
              </w:rPr>
              <w:t>Julkaiseminen virallisessa lehdessä</w:t>
            </w:r>
          </w:p>
        </w:tc>
        <w:tc>
          <w:tcPr>
            <w:tcW w:w="850" w:type="dxa"/>
            <w:shd w:val="clear" w:color="auto" w:fill="C6EFCE"/>
            <w:noWrap/>
          </w:tcPr>
          <w:p w14:paraId="7BFC34AB" w14:textId="77777777" w:rsidR="000E48CE" w:rsidRDefault="00FF4C4E">
            <w:pPr>
              <w:pStyle w:val="P68B1DB1-Normal13"/>
              <w:spacing w:after="0" w:line="240" w:lineRule="auto"/>
              <w:jc w:val="right"/>
              <w:rPr>
                <w:rFonts w:eastAsia="MS Mincho" w:cs="Times New Roman"/>
                <w:noProof/>
              </w:rPr>
            </w:pPr>
            <w:r>
              <w:rPr>
                <w:noProof/>
              </w:rPr>
              <w:t> </w:t>
            </w:r>
          </w:p>
        </w:tc>
        <w:tc>
          <w:tcPr>
            <w:tcW w:w="567" w:type="dxa"/>
            <w:shd w:val="clear" w:color="auto" w:fill="C6EFCE"/>
            <w:noWrap/>
          </w:tcPr>
          <w:p w14:paraId="2CA4ECA7" w14:textId="77777777" w:rsidR="000E48CE" w:rsidRDefault="00FF4C4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157D6B25"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654DB9FF"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09F1A918" w14:textId="77777777" w:rsidR="000E48CE" w:rsidRDefault="00FF4C4E">
            <w:pPr>
              <w:pStyle w:val="P68B1DB1-Normal13"/>
              <w:spacing w:after="0" w:line="240" w:lineRule="auto"/>
              <w:jc w:val="center"/>
              <w:rPr>
                <w:rFonts w:eastAsia="MS Mincho" w:cs="Times New Roman"/>
                <w:noProof/>
              </w:rPr>
            </w:pPr>
            <w:r>
              <w:rPr>
                <w:noProof/>
              </w:rPr>
              <w:t>2022</w:t>
            </w:r>
          </w:p>
        </w:tc>
        <w:tc>
          <w:tcPr>
            <w:tcW w:w="6096" w:type="dxa"/>
            <w:shd w:val="clear" w:color="auto" w:fill="C6EFCE"/>
            <w:noWrap/>
          </w:tcPr>
          <w:p w14:paraId="65F86F5F" w14:textId="691C0D8B" w:rsidR="000E48CE" w:rsidRDefault="00FF4C4E">
            <w:pPr>
              <w:pStyle w:val="P68B1DB1-Normal13"/>
              <w:spacing w:after="0" w:line="240" w:lineRule="auto"/>
              <w:rPr>
                <w:rFonts w:eastAsia="MS Mincho" w:cs="Times New Roman"/>
                <w:noProof/>
              </w:rPr>
            </w:pPr>
            <w:r>
              <w:rPr>
                <w:noProof/>
              </w:rPr>
              <w:t xml:space="preserve">Luonnonperintöä ja biologista monimuotoisuutta koskevan strategisen </w:t>
            </w:r>
            <w:r>
              <w:rPr>
                <w:noProof/>
              </w:rPr>
              <w:t xml:space="preserve">suunnitelman (kuninkaallinen asetus) ja suojelualueiden verkostoa koskevan suunnitelman (kuninkaallinen asetus) hyväksyminen, mukaan lukien vähintään yhdeksän merien hoitoperustan perustaminen, iii) luonnon monimuotoisuutta, tiedettä ja tietämystä koskeva </w:t>
            </w:r>
            <w:r>
              <w:rPr>
                <w:noProof/>
              </w:rPr>
              <w:t>strategia, iv) kansallinen strategia pölyttäjien suojelemiseksi, v) asetus viranomaisten, hallinto- ja tiedeelinten päivittämisestä luonnonvaraisen eläimistön ja kasviston uhanalaisten lajien kansainvälistä kauppaa koskevan yleissopimuksen ja vi) kosteikko</w:t>
            </w:r>
            <w:r>
              <w:rPr>
                <w:noProof/>
              </w:rPr>
              <w:t>jen suojelu- ja ennallistamissuunnitelman mukaisesti.</w:t>
            </w:r>
          </w:p>
        </w:tc>
      </w:tr>
      <w:tr w:rsidR="000E48CE" w14:paraId="21F03F8F" w14:textId="77777777">
        <w:trPr>
          <w:trHeight w:val="309"/>
        </w:trPr>
        <w:tc>
          <w:tcPr>
            <w:tcW w:w="851" w:type="dxa"/>
            <w:shd w:val="clear" w:color="auto" w:fill="C6EFCE"/>
            <w:noWrap/>
          </w:tcPr>
          <w:p w14:paraId="43028211" w14:textId="77777777" w:rsidR="000E48CE" w:rsidRDefault="00FF4C4E">
            <w:pPr>
              <w:pStyle w:val="P68B1DB1-Normal13"/>
              <w:spacing w:after="0" w:line="240" w:lineRule="auto"/>
              <w:jc w:val="center"/>
              <w:rPr>
                <w:rFonts w:eastAsia="MS Mincho" w:cs="Times New Roman"/>
                <w:noProof/>
              </w:rPr>
            </w:pPr>
            <w:r>
              <w:rPr>
                <w:noProof/>
              </w:rPr>
              <w:t>63</w:t>
            </w:r>
          </w:p>
        </w:tc>
        <w:tc>
          <w:tcPr>
            <w:tcW w:w="851" w:type="dxa"/>
            <w:shd w:val="clear" w:color="auto" w:fill="C6EFCE"/>
            <w:noWrap/>
          </w:tcPr>
          <w:p w14:paraId="6A6470C9" w14:textId="77777777" w:rsidR="000E48CE" w:rsidRDefault="00FF4C4E">
            <w:pPr>
              <w:pStyle w:val="P68B1DB1-Normal13"/>
              <w:spacing w:after="0" w:line="240" w:lineRule="auto"/>
              <w:jc w:val="center"/>
              <w:rPr>
                <w:rFonts w:eastAsia="MS Mincho" w:cs="Times New Roman"/>
                <w:noProof/>
              </w:rPr>
            </w:pPr>
            <w:r>
              <w:rPr>
                <w:noProof/>
              </w:rPr>
              <w:t>C4.R2</w:t>
            </w:r>
          </w:p>
        </w:tc>
        <w:tc>
          <w:tcPr>
            <w:tcW w:w="992" w:type="dxa"/>
            <w:shd w:val="clear" w:color="auto" w:fill="C6EFCE"/>
            <w:noWrap/>
          </w:tcPr>
          <w:p w14:paraId="3E638E00" w14:textId="77777777" w:rsidR="000E48CE" w:rsidRDefault="00FF4C4E">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24215B88" w14:textId="77777777" w:rsidR="000E48CE" w:rsidRDefault="00FF4C4E">
            <w:pPr>
              <w:pStyle w:val="P68B1DB1-Normal13"/>
              <w:spacing w:after="0" w:line="240" w:lineRule="auto"/>
              <w:rPr>
                <w:rFonts w:eastAsia="MS Mincho" w:cs="Times New Roman"/>
                <w:noProof/>
              </w:rPr>
            </w:pPr>
            <w:r>
              <w:rPr>
                <w:noProof/>
              </w:rPr>
              <w:t>Vihreää infrastruktuuria, yhteyksiä ja ekologista ennallistamista koskevan kansallisen strategian hyväksyminen</w:t>
            </w:r>
          </w:p>
        </w:tc>
        <w:tc>
          <w:tcPr>
            <w:tcW w:w="1276" w:type="dxa"/>
            <w:shd w:val="clear" w:color="auto" w:fill="C6EFCE"/>
            <w:noWrap/>
          </w:tcPr>
          <w:p w14:paraId="2B5B2E57" w14:textId="77777777" w:rsidR="000E48CE" w:rsidRDefault="00FF4C4E">
            <w:pPr>
              <w:pStyle w:val="P68B1DB1-Normal13"/>
              <w:spacing w:after="0" w:line="240" w:lineRule="auto"/>
              <w:jc w:val="center"/>
              <w:rPr>
                <w:rFonts w:eastAsia="MS Mincho" w:cs="Times New Roman"/>
                <w:noProof/>
              </w:rPr>
            </w:pPr>
            <w:r>
              <w:rPr>
                <w:noProof/>
              </w:rPr>
              <w:t>Julkaiseminen virallisessa lehdessä</w:t>
            </w:r>
          </w:p>
        </w:tc>
        <w:tc>
          <w:tcPr>
            <w:tcW w:w="850" w:type="dxa"/>
            <w:shd w:val="clear" w:color="auto" w:fill="C6EFCE"/>
            <w:noWrap/>
          </w:tcPr>
          <w:p w14:paraId="11596254"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06ED1C03"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07D7BCF"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72F91B2"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007151C5" w14:textId="77777777" w:rsidR="000E48CE" w:rsidRDefault="00FF4C4E">
            <w:pPr>
              <w:pStyle w:val="P68B1DB1-Normal13"/>
              <w:spacing w:after="0" w:line="240" w:lineRule="auto"/>
              <w:jc w:val="center"/>
              <w:rPr>
                <w:rFonts w:eastAsia="MS Mincho" w:cs="Times New Roman"/>
                <w:noProof/>
              </w:rPr>
            </w:pPr>
            <w:r>
              <w:rPr>
                <w:noProof/>
              </w:rPr>
              <w:t>2021</w:t>
            </w:r>
          </w:p>
        </w:tc>
        <w:tc>
          <w:tcPr>
            <w:tcW w:w="6096" w:type="dxa"/>
            <w:shd w:val="clear" w:color="auto" w:fill="C6EFCE"/>
            <w:noWrap/>
          </w:tcPr>
          <w:p w14:paraId="09DF981C" w14:textId="77777777" w:rsidR="000E48CE" w:rsidRDefault="00FF4C4E">
            <w:pPr>
              <w:pStyle w:val="P68B1DB1-Normal13"/>
              <w:spacing w:after="0" w:line="240" w:lineRule="auto"/>
              <w:rPr>
                <w:rFonts w:eastAsia="MS Mincho" w:cs="Times New Roman"/>
                <w:noProof/>
              </w:rPr>
            </w:pPr>
            <w:r>
              <w:rPr>
                <w:noProof/>
              </w:rPr>
              <w:t xml:space="preserve">Vihreää infrastruktuuria, </w:t>
            </w:r>
            <w:r>
              <w:rPr>
                <w:noProof/>
              </w:rPr>
              <w:t>yhteyksiä ja ekologista ennallistamista koskevan kansallisen strategian hyväksyminen. Strategiaan on sisällyttävä toimintalinjoja, joilla saavutetaan sirpaloitumisen ja ekologisen yhteenliitettävyyden menettämisen vaikutusten vähentäminen; ekosysteemien en</w:t>
            </w:r>
            <w:r>
              <w:rPr>
                <w:noProof/>
              </w:rPr>
              <w:t>nallistaminen keskeisillä alueilla; ekosysteemipalvelujen tarjonnan ylläpitäminen ja parantaminen; häiriönsietokyvyn parantaminen; hallintomallin määrittely; ja vi) viestintä, koulutus ja sidosryhmien osallistuminen.</w:t>
            </w:r>
          </w:p>
        </w:tc>
      </w:tr>
      <w:tr w:rsidR="000E48CE" w14:paraId="76603375" w14:textId="77777777">
        <w:trPr>
          <w:trHeight w:val="309"/>
        </w:trPr>
        <w:tc>
          <w:tcPr>
            <w:tcW w:w="851" w:type="dxa"/>
            <w:shd w:val="clear" w:color="auto" w:fill="C6EFCE"/>
            <w:noWrap/>
          </w:tcPr>
          <w:p w14:paraId="55440C04" w14:textId="77777777" w:rsidR="000E48CE" w:rsidRDefault="00FF4C4E">
            <w:pPr>
              <w:pStyle w:val="P68B1DB1-Normal13"/>
              <w:spacing w:after="0" w:line="240" w:lineRule="auto"/>
              <w:jc w:val="center"/>
              <w:rPr>
                <w:rFonts w:eastAsia="MS Mincho" w:cs="Times New Roman"/>
                <w:noProof/>
              </w:rPr>
            </w:pPr>
            <w:r>
              <w:rPr>
                <w:noProof/>
              </w:rPr>
              <w:t>64</w:t>
            </w:r>
          </w:p>
        </w:tc>
        <w:tc>
          <w:tcPr>
            <w:tcW w:w="851" w:type="dxa"/>
            <w:shd w:val="clear" w:color="auto" w:fill="C6EFCE"/>
            <w:noWrap/>
          </w:tcPr>
          <w:p w14:paraId="54F57C4C" w14:textId="77777777" w:rsidR="000E48CE" w:rsidRDefault="00FF4C4E">
            <w:pPr>
              <w:pStyle w:val="P68B1DB1-Normal13"/>
              <w:spacing w:after="0" w:line="240" w:lineRule="auto"/>
              <w:jc w:val="center"/>
              <w:rPr>
                <w:rFonts w:eastAsia="MS Mincho" w:cs="Times New Roman"/>
                <w:noProof/>
              </w:rPr>
            </w:pPr>
            <w:r>
              <w:rPr>
                <w:noProof/>
              </w:rPr>
              <w:t>C4.R3</w:t>
            </w:r>
          </w:p>
        </w:tc>
        <w:tc>
          <w:tcPr>
            <w:tcW w:w="992" w:type="dxa"/>
            <w:shd w:val="clear" w:color="auto" w:fill="C6EFCE"/>
            <w:noWrap/>
          </w:tcPr>
          <w:p w14:paraId="7CBC6735" w14:textId="77777777" w:rsidR="000E48CE" w:rsidRDefault="00FF4C4E">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3C25E92A" w14:textId="77777777" w:rsidR="000E48CE" w:rsidRDefault="00FF4C4E">
            <w:pPr>
              <w:pStyle w:val="P68B1DB1-Normal13"/>
              <w:spacing w:after="0" w:line="240" w:lineRule="auto"/>
              <w:rPr>
                <w:rFonts w:eastAsia="MS Mincho" w:cs="Times New Roman"/>
                <w:noProof/>
              </w:rPr>
            </w:pPr>
            <w:r>
              <w:rPr>
                <w:noProof/>
              </w:rPr>
              <w:t>Espanjan metsästrategian ja</w:t>
            </w:r>
            <w:r>
              <w:rPr>
                <w:noProof/>
              </w:rPr>
              <w:t xml:space="preserve"> tukisuunnitelman hyväksyminen</w:t>
            </w:r>
          </w:p>
        </w:tc>
        <w:tc>
          <w:tcPr>
            <w:tcW w:w="1276" w:type="dxa"/>
            <w:shd w:val="clear" w:color="auto" w:fill="C6EFCE"/>
            <w:noWrap/>
          </w:tcPr>
          <w:p w14:paraId="5908B21B" w14:textId="77777777" w:rsidR="000E48CE" w:rsidRDefault="00FF4C4E">
            <w:pPr>
              <w:pStyle w:val="P68B1DB1-Normal13"/>
              <w:spacing w:after="0" w:line="240" w:lineRule="auto"/>
              <w:jc w:val="center"/>
              <w:rPr>
                <w:rFonts w:eastAsia="MS Mincho" w:cs="Times New Roman"/>
                <w:noProof/>
              </w:rPr>
            </w:pPr>
            <w:r>
              <w:rPr>
                <w:noProof/>
              </w:rPr>
              <w:t>Julkaiseminen Euroopan unionin virallisessa lehdessä</w:t>
            </w:r>
          </w:p>
        </w:tc>
        <w:tc>
          <w:tcPr>
            <w:tcW w:w="850" w:type="dxa"/>
            <w:shd w:val="clear" w:color="auto" w:fill="C6EFCE"/>
            <w:noWrap/>
          </w:tcPr>
          <w:p w14:paraId="2A47D515"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15E48944"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0A4E68ED"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686F1C1C"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2C8BB7A9" w14:textId="77777777" w:rsidR="000E48CE" w:rsidRDefault="00FF4C4E">
            <w:pPr>
              <w:pStyle w:val="P68B1DB1-Normal13"/>
              <w:spacing w:after="0" w:line="240" w:lineRule="auto"/>
              <w:jc w:val="center"/>
              <w:rPr>
                <w:rFonts w:eastAsia="MS Mincho" w:cs="Times New Roman"/>
                <w:noProof/>
              </w:rPr>
            </w:pPr>
            <w:r>
              <w:rPr>
                <w:noProof/>
              </w:rPr>
              <w:t>2022</w:t>
            </w:r>
          </w:p>
        </w:tc>
        <w:tc>
          <w:tcPr>
            <w:tcW w:w="6096" w:type="dxa"/>
            <w:shd w:val="clear" w:color="auto" w:fill="C6EFCE"/>
            <w:noWrap/>
          </w:tcPr>
          <w:p w14:paraId="6E970EA2" w14:textId="77777777" w:rsidR="000E48CE" w:rsidRDefault="00FF4C4E">
            <w:pPr>
              <w:pStyle w:val="P68B1DB1-Normal13"/>
              <w:spacing w:after="0" w:line="240" w:lineRule="auto"/>
              <w:rPr>
                <w:rFonts w:eastAsia="MS Mincho" w:cs="Times New Roman"/>
                <w:noProof/>
              </w:rPr>
            </w:pPr>
            <w:r>
              <w:rPr>
                <w:noProof/>
              </w:rPr>
              <w:t>Hyväksytään Espanjan metsästrategia ja tukisuunnitelma, joka sisältää kestävän metsänhoidon suuntaviivat.</w:t>
            </w:r>
          </w:p>
        </w:tc>
      </w:tr>
      <w:tr w:rsidR="000E48CE" w14:paraId="4C4C7EFD" w14:textId="77777777">
        <w:trPr>
          <w:trHeight w:val="309"/>
        </w:trPr>
        <w:tc>
          <w:tcPr>
            <w:tcW w:w="851" w:type="dxa"/>
            <w:shd w:val="clear" w:color="auto" w:fill="C6EFCE"/>
            <w:noWrap/>
          </w:tcPr>
          <w:p w14:paraId="46DE38F6" w14:textId="77777777" w:rsidR="000E48CE" w:rsidRDefault="00FF4C4E">
            <w:pPr>
              <w:pStyle w:val="P68B1DB1-Normal13"/>
              <w:spacing w:after="0" w:line="240" w:lineRule="auto"/>
              <w:jc w:val="center"/>
              <w:rPr>
                <w:rFonts w:eastAsia="MS Mincho" w:cs="Times New Roman"/>
                <w:noProof/>
              </w:rPr>
            </w:pPr>
            <w:r>
              <w:rPr>
                <w:noProof/>
              </w:rPr>
              <w:t>65</w:t>
            </w:r>
          </w:p>
        </w:tc>
        <w:tc>
          <w:tcPr>
            <w:tcW w:w="851" w:type="dxa"/>
            <w:shd w:val="clear" w:color="auto" w:fill="C6EFCE"/>
            <w:noWrap/>
          </w:tcPr>
          <w:p w14:paraId="4DB89285" w14:textId="77777777" w:rsidR="000E48CE" w:rsidRDefault="00FF4C4E">
            <w:pPr>
              <w:pStyle w:val="P68B1DB1-Normal13"/>
              <w:spacing w:after="0" w:line="240" w:lineRule="auto"/>
              <w:jc w:val="center"/>
              <w:rPr>
                <w:rFonts w:eastAsia="MS Mincho" w:cs="Times New Roman"/>
                <w:noProof/>
              </w:rPr>
            </w:pPr>
            <w:r>
              <w:rPr>
                <w:noProof/>
              </w:rPr>
              <w:t>C4.I1</w:t>
            </w:r>
          </w:p>
        </w:tc>
        <w:tc>
          <w:tcPr>
            <w:tcW w:w="992" w:type="dxa"/>
            <w:shd w:val="clear" w:color="auto" w:fill="C6EFCE"/>
            <w:noWrap/>
          </w:tcPr>
          <w:p w14:paraId="497BDA4B" w14:textId="77777777" w:rsidR="000E48CE" w:rsidRDefault="00FF4C4E">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043BD904" w14:textId="77777777" w:rsidR="000E48CE" w:rsidRDefault="00FF4C4E">
            <w:pPr>
              <w:pStyle w:val="P68B1DB1-Normal13"/>
              <w:spacing w:after="0" w:line="240" w:lineRule="auto"/>
              <w:rPr>
                <w:rFonts w:eastAsia="MS Mincho" w:cs="Times New Roman"/>
                <w:noProof/>
              </w:rPr>
            </w:pPr>
            <w:r>
              <w:rPr>
                <w:noProof/>
              </w:rPr>
              <w:t xml:space="preserve">Palontorjuntaan tarkoitettuja </w:t>
            </w:r>
            <w:r>
              <w:rPr>
                <w:noProof/>
              </w:rPr>
              <w:t>ilma-aluksia koskevien sopimusten tekeminen ja biologista monimuotoisuutta koskevan tietämyksen seuranta- ja hallintajärjestelmän perustaminen</w:t>
            </w:r>
          </w:p>
        </w:tc>
        <w:tc>
          <w:tcPr>
            <w:tcW w:w="1276" w:type="dxa"/>
            <w:shd w:val="clear" w:color="auto" w:fill="C6EFCE"/>
            <w:noWrap/>
          </w:tcPr>
          <w:p w14:paraId="58C01D8C" w14:textId="77777777" w:rsidR="000E48CE" w:rsidRDefault="00FF4C4E">
            <w:pPr>
              <w:pStyle w:val="P68B1DB1-Normal13"/>
              <w:spacing w:after="0" w:line="240" w:lineRule="auto"/>
              <w:jc w:val="center"/>
              <w:rPr>
                <w:rFonts w:eastAsia="MS Mincho" w:cs="Times New Roman"/>
                <w:noProof/>
              </w:rPr>
            </w:pPr>
            <w:r>
              <w:rPr>
                <w:noProof/>
              </w:rPr>
              <w:t>Sopimusten tekeminen</w:t>
            </w:r>
          </w:p>
        </w:tc>
        <w:tc>
          <w:tcPr>
            <w:tcW w:w="850" w:type="dxa"/>
            <w:shd w:val="clear" w:color="auto" w:fill="C6EFCE"/>
            <w:noWrap/>
          </w:tcPr>
          <w:p w14:paraId="30E85FE0"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2080AEB9"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29AC5F55"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647EC82C"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2CA49D28" w14:textId="77777777" w:rsidR="000E48CE" w:rsidRDefault="00FF4C4E">
            <w:pPr>
              <w:pStyle w:val="P68B1DB1-Normal13"/>
              <w:spacing w:after="0" w:line="240" w:lineRule="auto"/>
              <w:jc w:val="center"/>
              <w:rPr>
                <w:rFonts w:eastAsia="MS Mincho" w:cs="Times New Roman"/>
                <w:noProof/>
              </w:rPr>
            </w:pPr>
            <w:r>
              <w:rPr>
                <w:noProof/>
              </w:rPr>
              <w:t>2022</w:t>
            </w:r>
          </w:p>
        </w:tc>
        <w:tc>
          <w:tcPr>
            <w:tcW w:w="6096" w:type="dxa"/>
            <w:shd w:val="clear" w:color="auto" w:fill="C6EFCE"/>
            <w:noWrap/>
          </w:tcPr>
          <w:p w14:paraId="24085CCD" w14:textId="7696C775" w:rsidR="000E48CE" w:rsidRDefault="00FF4C4E">
            <w:pPr>
              <w:pStyle w:val="P68B1DB1-Normal13"/>
              <w:spacing w:after="0" w:line="240" w:lineRule="auto"/>
              <w:rPr>
                <w:rFonts w:eastAsia="MS Mincho" w:cs="Times New Roman"/>
                <w:noProof/>
              </w:rPr>
            </w:pPr>
            <w:r>
              <w:rPr>
                <w:noProof/>
              </w:rPr>
              <w:t>Sopimusten tekeminen vähintään kymmenen erityiskäyttöön tarkoitetun ilma-aluks</w:t>
            </w:r>
            <w:r>
              <w:rPr>
                <w:noProof/>
              </w:rPr>
              <w:t>en (Canadair) päivittämiseksi ja päivittämiseksi palontorjuntaa varten sekä biologista monimuotoisuutta koskevan tietämyksen seuranta- ja hallintajärjestelmän asettaminen saataville. Järjestelmä sisältää lisää tietoa lajeista ja luontotyypeistä sekä digita</w:t>
            </w:r>
            <w:r>
              <w:rPr>
                <w:noProof/>
              </w:rPr>
              <w:t>alisen alustan. Investoinnilla on varmistettava, että ”ei merkittävää haittaa” -periaatetta koskevia teknisiä ohjeita (2021/C58/01) noudatetaan päivittämällä ainoastaan olemassa olevia ilma-aluksia, mikä ei saa lisätä niiden käyttöikää tai kapasiteettia.</w:t>
            </w:r>
          </w:p>
        </w:tc>
      </w:tr>
      <w:tr w:rsidR="000E48CE" w14:paraId="49DC0193" w14:textId="77777777">
        <w:trPr>
          <w:trHeight w:val="309"/>
        </w:trPr>
        <w:tc>
          <w:tcPr>
            <w:tcW w:w="851" w:type="dxa"/>
            <w:shd w:val="clear" w:color="auto" w:fill="C6EFCE"/>
            <w:noWrap/>
          </w:tcPr>
          <w:p w14:paraId="43A19E73" w14:textId="1ED42F4E" w:rsidR="000E48CE" w:rsidRDefault="00FF4C4E">
            <w:pPr>
              <w:pStyle w:val="P68B1DB1-Normal13"/>
              <w:spacing w:after="0" w:line="240" w:lineRule="auto"/>
              <w:jc w:val="center"/>
              <w:rPr>
                <w:rFonts w:eastAsia="MS Mincho" w:cs="Times New Roman"/>
                <w:noProof/>
              </w:rPr>
            </w:pPr>
            <w:r>
              <w:rPr>
                <w:noProof/>
              </w:rPr>
              <w:t>66</w:t>
            </w:r>
          </w:p>
        </w:tc>
        <w:tc>
          <w:tcPr>
            <w:tcW w:w="851" w:type="dxa"/>
            <w:shd w:val="clear" w:color="auto" w:fill="C6EFCE"/>
            <w:noWrap/>
          </w:tcPr>
          <w:p w14:paraId="59DED0D3" w14:textId="77777777" w:rsidR="000E48CE" w:rsidRDefault="00FF4C4E">
            <w:pPr>
              <w:pStyle w:val="P68B1DB1-Normal13"/>
              <w:spacing w:after="0" w:line="240" w:lineRule="auto"/>
              <w:jc w:val="center"/>
              <w:rPr>
                <w:rFonts w:eastAsia="MS Mincho" w:cs="Times New Roman"/>
                <w:noProof/>
              </w:rPr>
            </w:pPr>
            <w:r>
              <w:rPr>
                <w:noProof/>
              </w:rPr>
              <w:t>C4.I1</w:t>
            </w:r>
          </w:p>
        </w:tc>
        <w:tc>
          <w:tcPr>
            <w:tcW w:w="992" w:type="dxa"/>
            <w:shd w:val="clear" w:color="auto" w:fill="C6EFCE"/>
            <w:noWrap/>
          </w:tcPr>
          <w:p w14:paraId="24D19C8D" w14:textId="77777777" w:rsidR="000E48CE" w:rsidRDefault="00FF4C4E">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1A68EE37" w14:textId="7C3DF2E8" w:rsidR="000E48CE" w:rsidRDefault="00FF4C4E">
            <w:pPr>
              <w:pStyle w:val="P68B1DB1-Normal13"/>
              <w:spacing w:after="0" w:line="240" w:lineRule="auto"/>
              <w:rPr>
                <w:rFonts w:eastAsia="MS Mincho" w:cs="Times New Roman"/>
                <w:noProof/>
              </w:rPr>
            </w:pPr>
            <w:r>
              <w:rPr>
                <w:noProof/>
              </w:rPr>
              <w:t>Luonnon monimuotoisuutta koskevan tietämyksen seuranta- ja hallintajärjestelmän loppuun saattaminen ja käyttöönotto</w:t>
            </w:r>
          </w:p>
        </w:tc>
        <w:tc>
          <w:tcPr>
            <w:tcW w:w="1276" w:type="dxa"/>
            <w:shd w:val="clear" w:color="auto" w:fill="C6EFCE"/>
            <w:noWrap/>
          </w:tcPr>
          <w:p w14:paraId="4EEE0BA8" w14:textId="77777777" w:rsidR="000E48CE" w:rsidRDefault="00FF4C4E">
            <w:pPr>
              <w:pStyle w:val="P68B1DB1-Normal21"/>
              <w:spacing w:after="0" w:line="240" w:lineRule="auto"/>
              <w:jc w:val="center"/>
              <w:rPr>
                <w:rFonts w:eastAsia="MS Mincho" w:cs="Times New Roman"/>
                <w:noProof/>
              </w:rPr>
            </w:pPr>
            <w:r>
              <w:rPr>
                <w:noProof/>
              </w:rPr>
              <w:t>ACTA de Recepción</w:t>
            </w:r>
          </w:p>
        </w:tc>
        <w:tc>
          <w:tcPr>
            <w:tcW w:w="850" w:type="dxa"/>
            <w:shd w:val="clear" w:color="auto" w:fill="C6EFCE"/>
            <w:noWrap/>
          </w:tcPr>
          <w:p w14:paraId="79E427E6" w14:textId="77777777" w:rsidR="000E48CE" w:rsidRDefault="00FF4C4E">
            <w:pPr>
              <w:pStyle w:val="P68B1DB1-Normal13"/>
              <w:spacing w:after="0" w:line="240" w:lineRule="auto"/>
              <w:jc w:val="right"/>
              <w:rPr>
                <w:rFonts w:eastAsia="MS Mincho" w:cs="Times New Roman"/>
                <w:noProof/>
              </w:rPr>
            </w:pPr>
            <w:r>
              <w:rPr>
                <w:noProof/>
              </w:rPr>
              <w:t> </w:t>
            </w:r>
          </w:p>
        </w:tc>
        <w:tc>
          <w:tcPr>
            <w:tcW w:w="567" w:type="dxa"/>
            <w:shd w:val="clear" w:color="auto" w:fill="C6EFCE"/>
            <w:noWrap/>
          </w:tcPr>
          <w:p w14:paraId="566C1BCE" w14:textId="77777777" w:rsidR="000E48CE" w:rsidRDefault="00FF4C4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1DB36F4A" w14:textId="77777777" w:rsidR="000E48CE" w:rsidRDefault="00FF4C4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1655411C"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1A5F6368" w14:textId="77777777" w:rsidR="000E48CE" w:rsidRDefault="00FF4C4E">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6874F34F" w14:textId="7864295E" w:rsidR="000E48CE" w:rsidRDefault="00FF4C4E">
            <w:pPr>
              <w:pStyle w:val="P68B1DB1-Normal13"/>
              <w:spacing w:after="0" w:line="240" w:lineRule="auto"/>
              <w:rPr>
                <w:rFonts w:cs="Times New Roman"/>
                <w:noProof/>
              </w:rPr>
            </w:pPr>
            <w:r>
              <w:rPr>
                <w:noProof/>
              </w:rPr>
              <w:t xml:space="preserve">Luonnon monimuotoisuutta koskevan tietämyksen seuranta- ja hallintajärjestelmä (mukaan lukien digitaalinen alusta) on saatu valmiiksi ja toiminnassa, ja LIDAR-tarkkalento on suoritettu vähintään 75 prosenttia kansallisesta maa-alueesta. </w:t>
            </w:r>
          </w:p>
        </w:tc>
      </w:tr>
      <w:tr w:rsidR="000E48CE" w14:paraId="246B8B84" w14:textId="77777777">
        <w:trPr>
          <w:trHeight w:val="309"/>
        </w:trPr>
        <w:tc>
          <w:tcPr>
            <w:tcW w:w="851" w:type="dxa"/>
            <w:shd w:val="clear" w:color="auto" w:fill="C6EFCE"/>
            <w:noWrap/>
          </w:tcPr>
          <w:p w14:paraId="1CB76B51" w14:textId="77777777" w:rsidR="000E48CE" w:rsidRDefault="00FF4C4E">
            <w:pPr>
              <w:pStyle w:val="P68B1DB1-Normal13"/>
              <w:spacing w:after="0" w:line="240" w:lineRule="auto"/>
              <w:jc w:val="center"/>
              <w:rPr>
                <w:rFonts w:eastAsia="MS Mincho" w:cs="Times New Roman"/>
                <w:noProof/>
              </w:rPr>
            </w:pPr>
            <w:r>
              <w:rPr>
                <w:noProof/>
              </w:rPr>
              <w:t>67</w:t>
            </w:r>
          </w:p>
        </w:tc>
        <w:tc>
          <w:tcPr>
            <w:tcW w:w="851" w:type="dxa"/>
            <w:shd w:val="clear" w:color="auto" w:fill="C6EFCE"/>
            <w:noWrap/>
          </w:tcPr>
          <w:p w14:paraId="7C064685" w14:textId="77777777" w:rsidR="000E48CE" w:rsidRDefault="00FF4C4E">
            <w:pPr>
              <w:pStyle w:val="P68B1DB1-Normal13"/>
              <w:spacing w:after="0" w:line="240" w:lineRule="auto"/>
              <w:jc w:val="center"/>
              <w:rPr>
                <w:rFonts w:eastAsia="MS Mincho" w:cs="Times New Roman"/>
                <w:noProof/>
              </w:rPr>
            </w:pPr>
            <w:r>
              <w:rPr>
                <w:noProof/>
              </w:rPr>
              <w:t>C4.I2</w:t>
            </w:r>
          </w:p>
        </w:tc>
        <w:tc>
          <w:tcPr>
            <w:tcW w:w="992" w:type="dxa"/>
            <w:shd w:val="clear" w:color="auto" w:fill="C6EFCE"/>
            <w:noWrap/>
          </w:tcPr>
          <w:p w14:paraId="067EFF58" w14:textId="77777777" w:rsidR="000E48CE" w:rsidRDefault="00FF4C4E">
            <w:pPr>
              <w:pStyle w:val="P68B1DB1-Normal13"/>
              <w:spacing w:after="0" w:line="240" w:lineRule="auto"/>
              <w:jc w:val="center"/>
              <w:rPr>
                <w:rFonts w:eastAsia="MS Mincho" w:cs="Times New Roman"/>
                <w:noProof/>
              </w:rPr>
            </w:pPr>
            <w:r>
              <w:rPr>
                <w:noProof/>
              </w:rPr>
              <w:t>T</w:t>
            </w:r>
          </w:p>
        </w:tc>
        <w:tc>
          <w:tcPr>
            <w:tcW w:w="2126" w:type="dxa"/>
            <w:shd w:val="clear" w:color="auto" w:fill="C6EFCE"/>
            <w:noWrap/>
          </w:tcPr>
          <w:p w14:paraId="6E204478" w14:textId="77777777" w:rsidR="000E48CE" w:rsidRDefault="00FF4C4E">
            <w:pPr>
              <w:pStyle w:val="P68B1DB1-Normal13"/>
              <w:spacing w:after="0" w:line="240" w:lineRule="auto"/>
              <w:rPr>
                <w:rFonts w:eastAsia="MS Mincho" w:cs="Times New Roman"/>
                <w:noProof/>
              </w:rPr>
            </w:pPr>
            <w:r>
              <w:rPr>
                <w:noProof/>
              </w:rPr>
              <w:t xml:space="preserve">Suojellut merialueet </w:t>
            </w:r>
          </w:p>
        </w:tc>
        <w:tc>
          <w:tcPr>
            <w:tcW w:w="1276" w:type="dxa"/>
            <w:shd w:val="clear" w:color="auto" w:fill="C6EFCE"/>
            <w:noWrap/>
          </w:tcPr>
          <w:p w14:paraId="61829076"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B6C19F2" w14:textId="77777777" w:rsidR="000E48CE" w:rsidRDefault="00FF4C4E">
            <w:pPr>
              <w:pStyle w:val="P68B1DB1-Normal13"/>
              <w:spacing w:after="0" w:line="240" w:lineRule="auto"/>
              <w:jc w:val="center"/>
              <w:rPr>
                <w:rFonts w:eastAsia="MS Mincho" w:cs="Times New Roman"/>
                <w:noProof/>
              </w:rPr>
            </w:pPr>
            <w:r>
              <w:rPr>
                <w:noProof/>
              </w:rPr>
              <w:t>% Espanjan merialueesta</w:t>
            </w:r>
          </w:p>
        </w:tc>
        <w:tc>
          <w:tcPr>
            <w:tcW w:w="567" w:type="dxa"/>
            <w:shd w:val="clear" w:color="auto" w:fill="C6EFCE"/>
            <w:noWrap/>
          </w:tcPr>
          <w:p w14:paraId="5D0116D1" w14:textId="77777777" w:rsidR="000E48CE" w:rsidRDefault="00FF4C4E">
            <w:pPr>
              <w:pStyle w:val="P68B1DB1-Normal13"/>
              <w:spacing w:after="0" w:line="240" w:lineRule="auto"/>
              <w:jc w:val="right"/>
              <w:rPr>
                <w:rFonts w:eastAsia="MS Mincho" w:cs="Times New Roman"/>
                <w:noProof/>
              </w:rPr>
            </w:pPr>
            <w:r>
              <w:rPr>
                <w:noProof/>
              </w:rPr>
              <w:t>13</w:t>
            </w:r>
          </w:p>
        </w:tc>
        <w:tc>
          <w:tcPr>
            <w:tcW w:w="709" w:type="dxa"/>
            <w:shd w:val="clear" w:color="auto" w:fill="C6EFCE"/>
            <w:noWrap/>
          </w:tcPr>
          <w:p w14:paraId="423D4B9D" w14:textId="77777777" w:rsidR="000E48CE" w:rsidRDefault="00FF4C4E">
            <w:pPr>
              <w:pStyle w:val="P68B1DB1-Normal13"/>
              <w:spacing w:after="0" w:line="240" w:lineRule="auto"/>
              <w:jc w:val="right"/>
              <w:rPr>
                <w:rFonts w:eastAsia="MS Mincho" w:cs="Times New Roman"/>
                <w:noProof/>
              </w:rPr>
            </w:pPr>
            <w:r>
              <w:rPr>
                <w:noProof/>
              </w:rPr>
              <w:t>15</w:t>
            </w:r>
          </w:p>
        </w:tc>
        <w:tc>
          <w:tcPr>
            <w:tcW w:w="425" w:type="dxa"/>
            <w:shd w:val="clear" w:color="auto" w:fill="C6EFCE"/>
            <w:noWrap/>
          </w:tcPr>
          <w:p w14:paraId="23956E26"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72C583B8" w14:textId="77777777" w:rsidR="000E48CE" w:rsidRDefault="00FF4C4E">
            <w:pPr>
              <w:pStyle w:val="P68B1DB1-Normal13"/>
              <w:spacing w:after="0" w:line="240" w:lineRule="auto"/>
              <w:jc w:val="center"/>
              <w:rPr>
                <w:rFonts w:eastAsia="MS Mincho" w:cs="Times New Roman"/>
                <w:noProof/>
              </w:rPr>
            </w:pPr>
            <w:r>
              <w:rPr>
                <w:noProof/>
              </w:rPr>
              <w:t>2023</w:t>
            </w:r>
          </w:p>
        </w:tc>
        <w:tc>
          <w:tcPr>
            <w:tcW w:w="6096" w:type="dxa"/>
            <w:shd w:val="clear" w:color="auto" w:fill="C6EFCE"/>
            <w:noWrap/>
          </w:tcPr>
          <w:p w14:paraId="4B1A0A70" w14:textId="188B7551" w:rsidR="000E48CE" w:rsidRDefault="00FF4C4E">
            <w:pPr>
              <w:pStyle w:val="P68B1DB1-Normal13"/>
              <w:spacing w:after="0" w:line="240" w:lineRule="auto"/>
              <w:rPr>
                <w:rFonts w:eastAsia="MS Mincho" w:cs="Times New Roman"/>
                <w:noProof/>
              </w:rPr>
            </w:pPr>
            <w:r>
              <w:rPr>
                <w:noProof/>
              </w:rPr>
              <w:t>Vähintään 15 prosenttia Espanjan merialueesta on suojeltu merialue. Suojellulla merialueella tarkoitetaan merialuetta, joka kuuluu Natura 2000 -verkostoon tai muihin suojeltujen luonnonalueiden l</w:t>
            </w:r>
            <w:r>
              <w:rPr>
                <w:noProof/>
              </w:rPr>
              <w:t xml:space="preserve">uokkiin, kuten laissa 42/2007 säädetään; kansainvälisillä välineillä suojellut alueet ja merialueet sisällytetään soveltuvin osin Espanjan merisuojelualueiden verkostoon (RAMPE). (Perustaso: Joulukuuta 2020) </w:t>
            </w:r>
          </w:p>
        </w:tc>
      </w:tr>
      <w:tr w:rsidR="000E48CE" w14:paraId="39A6ECF2" w14:textId="77777777">
        <w:trPr>
          <w:trHeight w:val="309"/>
        </w:trPr>
        <w:tc>
          <w:tcPr>
            <w:tcW w:w="851" w:type="dxa"/>
            <w:shd w:val="clear" w:color="auto" w:fill="C6EFCE"/>
            <w:noWrap/>
          </w:tcPr>
          <w:p w14:paraId="224139B5" w14:textId="77777777" w:rsidR="000E48CE" w:rsidRDefault="00FF4C4E">
            <w:pPr>
              <w:pStyle w:val="P68B1DB1-Normal13"/>
              <w:spacing w:after="0" w:line="240" w:lineRule="auto"/>
              <w:jc w:val="center"/>
              <w:rPr>
                <w:rFonts w:cs="Times New Roman"/>
                <w:noProof/>
              </w:rPr>
            </w:pPr>
            <w:r>
              <w:rPr>
                <w:noProof/>
              </w:rPr>
              <w:t>68</w:t>
            </w:r>
          </w:p>
        </w:tc>
        <w:tc>
          <w:tcPr>
            <w:tcW w:w="851" w:type="dxa"/>
            <w:shd w:val="clear" w:color="auto" w:fill="C6EFCE"/>
            <w:noWrap/>
          </w:tcPr>
          <w:p w14:paraId="08B4E5E9" w14:textId="77777777" w:rsidR="000E48CE" w:rsidRDefault="00FF4C4E">
            <w:pPr>
              <w:pStyle w:val="P68B1DB1-Normal13"/>
              <w:spacing w:after="0" w:line="240" w:lineRule="auto"/>
              <w:jc w:val="center"/>
              <w:rPr>
                <w:rFonts w:cs="Times New Roman"/>
                <w:noProof/>
              </w:rPr>
            </w:pPr>
            <w:r>
              <w:rPr>
                <w:noProof/>
              </w:rPr>
              <w:t>C4.I2</w:t>
            </w:r>
          </w:p>
        </w:tc>
        <w:tc>
          <w:tcPr>
            <w:tcW w:w="992" w:type="dxa"/>
            <w:shd w:val="clear" w:color="auto" w:fill="C6EFCE"/>
            <w:noWrap/>
          </w:tcPr>
          <w:p w14:paraId="5D7BA318" w14:textId="77777777" w:rsidR="000E48CE" w:rsidRDefault="00FF4C4E">
            <w:pPr>
              <w:pStyle w:val="P68B1DB1-Normal13"/>
              <w:spacing w:after="0" w:line="240" w:lineRule="auto"/>
              <w:jc w:val="center"/>
              <w:rPr>
                <w:rFonts w:cs="Times New Roman"/>
                <w:noProof/>
              </w:rPr>
            </w:pPr>
            <w:r>
              <w:rPr>
                <w:noProof/>
              </w:rPr>
              <w:t>T</w:t>
            </w:r>
          </w:p>
        </w:tc>
        <w:tc>
          <w:tcPr>
            <w:tcW w:w="2126" w:type="dxa"/>
            <w:shd w:val="clear" w:color="auto" w:fill="C6EFCE"/>
            <w:noWrap/>
          </w:tcPr>
          <w:p w14:paraId="74522CB6" w14:textId="77777777" w:rsidR="000E48CE" w:rsidRDefault="00FF4C4E">
            <w:pPr>
              <w:pStyle w:val="P68B1DB1-Normal13"/>
              <w:spacing w:after="0" w:line="240" w:lineRule="auto"/>
              <w:rPr>
                <w:rFonts w:cs="Times New Roman"/>
                <w:noProof/>
              </w:rPr>
            </w:pPr>
            <w:r>
              <w:rPr>
                <w:noProof/>
              </w:rPr>
              <w:t xml:space="preserve">Suojellut merialueet </w:t>
            </w:r>
          </w:p>
        </w:tc>
        <w:tc>
          <w:tcPr>
            <w:tcW w:w="1276" w:type="dxa"/>
            <w:shd w:val="clear" w:color="auto" w:fill="C6EFCE"/>
            <w:noWrap/>
          </w:tcPr>
          <w:p w14:paraId="2BA226A1"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017E78C1" w14:textId="77777777" w:rsidR="000E48CE" w:rsidRDefault="00FF4C4E">
            <w:pPr>
              <w:pStyle w:val="P68B1DB1-Normal13"/>
              <w:spacing w:after="0" w:line="240" w:lineRule="auto"/>
              <w:jc w:val="center"/>
              <w:rPr>
                <w:rFonts w:cs="Times New Roman"/>
                <w:noProof/>
              </w:rPr>
            </w:pPr>
            <w:r>
              <w:rPr>
                <w:noProof/>
              </w:rPr>
              <w:t xml:space="preserve">% Espanjan </w:t>
            </w:r>
            <w:r>
              <w:rPr>
                <w:noProof/>
              </w:rPr>
              <w:t>merialueesta</w:t>
            </w:r>
          </w:p>
        </w:tc>
        <w:tc>
          <w:tcPr>
            <w:tcW w:w="567" w:type="dxa"/>
            <w:shd w:val="clear" w:color="auto" w:fill="C6EFCE"/>
            <w:noWrap/>
          </w:tcPr>
          <w:p w14:paraId="4C2A823A" w14:textId="77777777" w:rsidR="000E48CE" w:rsidRDefault="00FF4C4E">
            <w:pPr>
              <w:pStyle w:val="P68B1DB1-Normal13"/>
              <w:spacing w:after="0" w:line="240" w:lineRule="auto"/>
              <w:jc w:val="right"/>
              <w:rPr>
                <w:rFonts w:cs="Times New Roman"/>
                <w:noProof/>
              </w:rPr>
            </w:pPr>
            <w:r>
              <w:rPr>
                <w:noProof/>
              </w:rPr>
              <w:t>15</w:t>
            </w:r>
          </w:p>
        </w:tc>
        <w:tc>
          <w:tcPr>
            <w:tcW w:w="709" w:type="dxa"/>
            <w:shd w:val="clear" w:color="auto" w:fill="C6EFCE"/>
            <w:noWrap/>
          </w:tcPr>
          <w:p w14:paraId="5D9857E1" w14:textId="77777777" w:rsidR="000E48CE" w:rsidRDefault="00FF4C4E">
            <w:pPr>
              <w:pStyle w:val="P68B1DB1-Normal13"/>
              <w:spacing w:after="0" w:line="240" w:lineRule="auto"/>
              <w:jc w:val="right"/>
              <w:rPr>
                <w:rFonts w:cs="Times New Roman"/>
                <w:noProof/>
              </w:rPr>
            </w:pPr>
            <w:r>
              <w:rPr>
                <w:noProof/>
              </w:rPr>
              <w:t>18</w:t>
            </w:r>
          </w:p>
        </w:tc>
        <w:tc>
          <w:tcPr>
            <w:tcW w:w="425" w:type="dxa"/>
            <w:shd w:val="clear" w:color="auto" w:fill="C6EFCE"/>
            <w:noWrap/>
          </w:tcPr>
          <w:p w14:paraId="0D4AC936"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4FA36ACC" w14:textId="77777777" w:rsidR="000E48CE" w:rsidRDefault="00FF4C4E">
            <w:pPr>
              <w:pStyle w:val="P68B1DB1-Normal13"/>
              <w:spacing w:after="0" w:line="240" w:lineRule="auto"/>
              <w:jc w:val="center"/>
              <w:rPr>
                <w:rFonts w:cs="Times New Roman"/>
                <w:noProof/>
              </w:rPr>
            </w:pPr>
            <w:r>
              <w:rPr>
                <w:noProof/>
              </w:rPr>
              <w:t>2025</w:t>
            </w:r>
          </w:p>
        </w:tc>
        <w:tc>
          <w:tcPr>
            <w:tcW w:w="6096" w:type="dxa"/>
            <w:shd w:val="clear" w:color="auto" w:fill="C6EFCE"/>
            <w:noWrap/>
          </w:tcPr>
          <w:p w14:paraId="12544D96" w14:textId="3920702E" w:rsidR="000E48CE" w:rsidRDefault="00FF4C4E">
            <w:pPr>
              <w:pStyle w:val="P68B1DB1-Normal13"/>
              <w:spacing w:after="0" w:line="240" w:lineRule="auto"/>
              <w:rPr>
                <w:rFonts w:cs="Times New Roman"/>
                <w:noProof/>
              </w:rPr>
            </w:pPr>
            <w:r>
              <w:rPr>
                <w:noProof/>
              </w:rPr>
              <w:t>Vähintään 18 prosenttia Espanjan merialueesta on suojeltu merialue. Suojellulla merialueella tarkoitetaan merialuetta, joka kuuluu Natura 2000 -verkostoihin tai muihin suojeltujen luonnonalueiden luokkiin, kuten laissa 42/2007 sä</w:t>
            </w:r>
            <w:r>
              <w:rPr>
                <w:noProof/>
              </w:rPr>
              <w:t>ädetään; kansainvälisillä välineillä suojellut alueet ja merialueet sisällytetään soveltuvin osin Espanjan merisuojelualueiden verkostoon (RAMPE). (Perustaso: Joulukuuta 2023)</w:t>
            </w:r>
          </w:p>
        </w:tc>
      </w:tr>
      <w:tr w:rsidR="000E48CE" w14:paraId="0E646B10" w14:textId="77777777">
        <w:trPr>
          <w:trHeight w:val="309"/>
        </w:trPr>
        <w:tc>
          <w:tcPr>
            <w:tcW w:w="851" w:type="dxa"/>
            <w:shd w:val="clear" w:color="auto" w:fill="C6EFCE"/>
            <w:noWrap/>
          </w:tcPr>
          <w:p w14:paraId="5D87285D" w14:textId="77777777" w:rsidR="000E48CE" w:rsidRDefault="00FF4C4E">
            <w:pPr>
              <w:pStyle w:val="P68B1DB1-Normal13"/>
              <w:spacing w:after="0" w:line="240" w:lineRule="auto"/>
              <w:jc w:val="center"/>
              <w:rPr>
                <w:rFonts w:eastAsia="MS Mincho" w:cs="Times New Roman"/>
                <w:noProof/>
              </w:rPr>
            </w:pPr>
            <w:r>
              <w:rPr>
                <w:noProof/>
              </w:rPr>
              <w:t>69</w:t>
            </w:r>
          </w:p>
        </w:tc>
        <w:tc>
          <w:tcPr>
            <w:tcW w:w="851" w:type="dxa"/>
            <w:shd w:val="clear" w:color="auto" w:fill="C6EFCE"/>
            <w:noWrap/>
          </w:tcPr>
          <w:p w14:paraId="3AC0FAB3" w14:textId="77777777" w:rsidR="000E48CE" w:rsidRDefault="00FF4C4E">
            <w:pPr>
              <w:pStyle w:val="P68B1DB1-Normal13"/>
              <w:spacing w:after="0" w:line="240" w:lineRule="auto"/>
              <w:jc w:val="center"/>
              <w:rPr>
                <w:rFonts w:eastAsia="MS Mincho" w:cs="Times New Roman"/>
                <w:noProof/>
              </w:rPr>
            </w:pPr>
            <w:r>
              <w:rPr>
                <w:noProof/>
              </w:rPr>
              <w:t>C4.I2</w:t>
            </w:r>
          </w:p>
        </w:tc>
        <w:tc>
          <w:tcPr>
            <w:tcW w:w="992" w:type="dxa"/>
            <w:shd w:val="clear" w:color="auto" w:fill="C6EFCE"/>
            <w:noWrap/>
          </w:tcPr>
          <w:p w14:paraId="207ECE38" w14:textId="77777777" w:rsidR="000E48CE" w:rsidRDefault="00FF4C4E">
            <w:pPr>
              <w:pStyle w:val="P68B1DB1-Normal13"/>
              <w:spacing w:after="0" w:line="240" w:lineRule="auto"/>
              <w:jc w:val="center"/>
              <w:rPr>
                <w:rFonts w:eastAsia="MS Mincho" w:cs="Times New Roman"/>
                <w:noProof/>
              </w:rPr>
            </w:pPr>
            <w:r>
              <w:rPr>
                <w:noProof/>
              </w:rPr>
              <w:t>T</w:t>
            </w:r>
          </w:p>
        </w:tc>
        <w:tc>
          <w:tcPr>
            <w:tcW w:w="2126" w:type="dxa"/>
            <w:shd w:val="clear" w:color="auto" w:fill="C6EFCE"/>
            <w:noWrap/>
          </w:tcPr>
          <w:p w14:paraId="00C6CFE2" w14:textId="77777777" w:rsidR="000E48CE" w:rsidRDefault="00FF4C4E">
            <w:pPr>
              <w:pStyle w:val="P68B1DB1-Normal13"/>
              <w:spacing w:after="0" w:line="240" w:lineRule="auto"/>
              <w:rPr>
                <w:rFonts w:eastAsia="MS Mincho" w:cs="Times New Roman"/>
                <w:noProof/>
              </w:rPr>
            </w:pPr>
            <w:r>
              <w:rPr>
                <w:noProof/>
              </w:rPr>
              <w:t>Biologisen monimuotoisuuden suojelutoimet</w:t>
            </w:r>
          </w:p>
        </w:tc>
        <w:tc>
          <w:tcPr>
            <w:tcW w:w="1276" w:type="dxa"/>
            <w:shd w:val="clear" w:color="auto" w:fill="C6EFCE"/>
            <w:noWrap/>
          </w:tcPr>
          <w:p w14:paraId="17AD93B2"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0F314C26" w14:textId="77777777" w:rsidR="000E48CE" w:rsidRDefault="00FF4C4E">
            <w:pPr>
              <w:pStyle w:val="P68B1DB1-Normal13"/>
              <w:spacing w:after="0" w:line="240" w:lineRule="auto"/>
              <w:jc w:val="center"/>
              <w:rPr>
                <w:rFonts w:eastAsia="MS Mincho" w:cs="Times New Roman"/>
                <w:noProof/>
              </w:rPr>
            </w:pPr>
            <w:r>
              <w:rPr>
                <w:noProof/>
              </w:rPr>
              <w:t>Lukumäärä (hehtaareina)</w:t>
            </w:r>
          </w:p>
        </w:tc>
        <w:tc>
          <w:tcPr>
            <w:tcW w:w="567" w:type="dxa"/>
            <w:shd w:val="clear" w:color="auto" w:fill="C6EFCE"/>
            <w:noWrap/>
          </w:tcPr>
          <w:p w14:paraId="1E6EE343" w14:textId="77777777"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2E818D2F" w14:textId="77777777" w:rsidR="000E48CE" w:rsidRDefault="00FF4C4E">
            <w:pPr>
              <w:pStyle w:val="P68B1DB1-Normal13"/>
              <w:spacing w:after="0" w:line="240" w:lineRule="auto"/>
              <w:jc w:val="right"/>
              <w:rPr>
                <w:rFonts w:eastAsia="MS Mincho" w:cs="Times New Roman"/>
                <w:noProof/>
              </w:rPr>
            </w:pPr>
            <w:r>
              <w:rPr>
                <w:noProof/>
              </w:rPr>
              <w:t>50 000</w:t>
            </w:r>
          </w:p>
        </w:tc>
        <w:tc>
          <w:tcPr>
            <w:tcW w:w="425" w:type="dxa"/>
            <w:shd w:val="clear" w:color="auto" w:fill="C6EFCE"/>
            <w:noWrap/>
          </w:tcPr>
          <w:p w14:paraId="32D6FAE0"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52E5F677" w14:textId="77777777" w:rsidR="000E48CE" w:rsidRDefault="00FF4C4E">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4D3026EA" w14:textId="77EB272E" w:rsidR="000E48CE" w:rsidRDefault="00FF4C4E">
            <w:pPr>
              <w:pStyle w:val="P68B1DB1-Normal13"/>
              <w:spacing w:after="0" w:line="240" w:lineRule="auto"/>
              <w:rPr>
                <w:rFonts w:eastAsia="MS Mincho" w:cs="Times New Roman"/>
                <w:noProof/>
              </w:rPr>
            </w:pPr>
            <w:r>
              <w:rPr>
                <w:noProof/>
              </w:rPr>
              <w:t>Vähintään 50000 hehtaaria, jotka kuuluvat päätökseen saatettujen luonnon monimuotoisuuden säilyttämistoimien piiriin. Suojelutoimia ovat muun muassa seuraavat: toimet, joilla ehkäistään eläin- ja kasvilajien kuolleisuutta, ii) toimet haital</w:t>
            </w:r>
            <w:r>
              <w:rPr>
                <w:noProof/>
              </w:rPr>
              <w:t>listen vieraslajien varhaisen havaitsemisen, torjunnan tai hävittämisen varmistamiseksi, iii) hoito- ja elinympäristöjen parantamistoimenpiteet, erityisesti suojeltujen lajien osalta toteutetut toimenpiteet, iv) kosteikkojen ennallistamistoimet, kuten luon</w:t>
            </w:r>
            <w:r>
              <w:rPr>
                <w:noProof/>
              </w:rPr>
              <w:t>nollisen dynamiikan, veden määrän ja laadun sekä luonnoneläimistön ja -kasviston parantaminen; ja v) toimet luonnonperinnön ja erityisesti suojelualueiden hoitoon liittyvien laitosten ja infrastruktuurin tarjoamiseksi, kunnostamiseksi ja parantamiseksi (Na</w:t>
            </w:r>
            <w:r>
              <w:rPr>
                <w:noProof/>
              </w:rPr>
              <w:t>tura 2000 ja suojellut luonnonalueet), ja uhanalaisten lajien laitonta kauppaa koskevan yleissopimuksen (CITES) parantaminen, mukaan lukien uuden pelastustoiminnan viitekeskuksen perustaminen. Erityiskäyttöön tarkoitettujen alusten hankinnan osalta investo</w:t>
            </w:r>
            <w:r>
              <w:rPr>
                <w:noProof/>
              </w:rPr>
              <w:t>innin valintaperusteilla on varmistettava, että noudatetaan teknisiä ohjeita ”ei merkittävää haittaa” (2021/C58/01) tukemalla ainoastaan parasta saatavilla olevaa teknologiaa, jonka ympäristövaikutukset alalla ovat vähäisimmät, ottaen huomioon niiden erity</w:t>
            </w:r>
            <w:r>
              <w:rPr>
                <w:noProof/>
              </w:rPr>
              <w:t xml:space="preserve">istarkoitus. </w:t>
            </w:r>
          </w:p>
        </w:tc>
      </w:tr>
      <w:tr w:rsidR="000E48CE" w14:paraId="19C39336" w14:textId="77777777">
        <w:trPr>
          <w:trHeight w:val="309"/>
        </w:trPr>
        <w:tc>
          <w:tcPr>
            <w:tcW w:w="851" w:type="dxa"/>
            <w:shd w:val="clear" w:color="auto" w:fill="C6EFCE"/>
            <w:noWrap/>
          </w:tcPr>
          <w:p w14:paraId="743D8313" w14:textId="77777777" w:rsidR="000E48CE" w:rsidRDefault="00FF4C4E">
            <w:pPr>
              <w:pStyle w:val="P68B1DB1-Normal13"/>
              <w:spacing w:after="0" w:line="240" w:lineRule="auto"/>
              <w:jc w:val="center"/>
              <w:rPr>
                <w:rFonts w:eastAsia="MS Mincho" w:cs="Times New Roman"/>
                <w:noProof/>
              </w:rPr>
            </w:pPr>
            <w:r>
              <w:rPr>
                <w:noProof/>
              </w:rPr>
              <w:t>70</w:t>
            </w:r>
          </w:p>
        </w:tc>
        <w:tc>
          <w:tcPr>
            <w:tcW w:w="851" w:type="dxa"/>
            <w:shd w:val="clear" w:color="auto" w:fill="C6EFCE"/>
            <w:noWrap/>
          </w:tcPr>
          <w:p w14:paraId="5FFACCF4" w14:textId="77777777" w:rsidR="000E48CE" w:rsidRDefault="00FF4C4E">
            <w:pPr>
              <w:pStyle w:val="P68B1DB1-Normal13"/>
              <w:spacing w:after="0" w:line="240" w:lineRule="auto"/>
              <w:jc w:val="center"/>
              <w:rPr>
                <w:rFonts w:eastAsia="MS Mincho" w:cs="Times New Roman"/>
                <w:noProof/>
              </w:rPr>
            </w:pPr>
            <w:r>
              <w:rPr>
                <w:noProof/>
              </w:rPr>
              <w:t>C4.I3</w:t>
            </w:r>
          </w:p>
        </w:tc>
        <w:tc>
          <w:tcPr>
            <w:tcW w:w="992" w:type="dxa"/>
            <w:shd w:val="clear" w:color="auto" w:fill="C6EFCE"/>
            <w:noWrap/>
          </w:tcPr>
          <w:p w14:paraId="1663E188" w14:textId="77777777" w:rsidR="000E48CE" w:rsidRDefault="00FF4C4E">
            <w:pPr>
              <w:pStyle w:val="P68B1DB1-Normal13"/>
              <w:spacing w:after="0" w:line="240" w:lineRule="auto"/>
              <w:jc w:val="center"/>
              <w:rPr>
                <w:rFonts w:eastAsia="MS Mincho" w:cs="Times New Roman"/>
                <w:noProof/>
              </w:rPr>
            </w:pPr>
            <w:r>
              <w:rPr>
                <w:noProof/>
              </w:rPr>
              <w:t>T</w:t>
            </w:r>
          </w:p>
        </w:tc>
        <w:tc>
          <w:tcPr>
            <w:tcW w:w="2126" w:type="dxa"/>
            <w:shd w:val="clear" w:color="auto" w:fill="C6EFCE"/>
            <w:noWrap/>
          </w:tcPr>
          <w:p w14:paraId="5918C8BE" w14:textId="77777777" w:rsidR="000E48CE" w:rsidRDefault="00FF4C4E">
            <w:pPr>
              <w:pStyle w:val="P68B1DB1-Normal13"/>
              <w:spacing w:after="0" w:line="240" w:lineRule="auto"/>
              <w:rPr>
                <w:rFonts w:eastAsia="MS Mincho" w:cs="Times New Roman"/>
                <w:noProof/>
              </w:rPr>
            </w:pPr>
            <w:r>
              <w:rPr>
                <w:noProof/>
              </w:rPr>
              <w:t>Entisten kaivosalueiden kunnostaminen (ainakin 20 entistä kaivosaluetta)</w:t>
            </w:r>
          </w:p>
        </w:tc>
        <w:tc>
          <w:tcPr>
            <w:tcW w:w="1276" w:type="dxa"/>
            <w:shd w:val="clear" w:color="auto" w:fill="C6EFCE"/>
            <w:noWrap/>
          </w:tcPr>
          <w:p w14:paraId="0DE4B5B7"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6A9BF725" w14:textId="77777777" w:rsidR="000E48CE" w:rsidRDefault="00FF4C4E">
            <w:pPr>
              <w:pStyle w:val="P68B1DB1-Normal13"/>
              <w:spacing w:after="0" w:line="240" w:lineRule="auto"/>
              <w:jc w:val="center"/>
              <w:rPr>
                <w:rFonts w:eastAsia="MS Mincho" w:cs="Times New Roman"/>
                <w:noProof/>
              </w:rPr>
            </w:pPr>
            <w:r>
              <w:rPr>
                <w:noProof/>
              </w:rPr>
              <w:t>Lukumäärä (kaivosalueet)</w:t>
            </w:r>
          </w:p>
        </w:tc>
        <w:tc>
          <w:tcPr>
            <w:tcW w:w="567" w:type="dxa"/>
            <w:shd w:val="clear" w:color="auto" w:fill="C6EFCE"/>
            <w:noWrap/>
          </w:tcPr>
          <w:p w14:paraId="42EFDDCA" w14:textId="77777777"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77BB07BD" w14:textId="77777777" w:rsidR="000E48CE" w:rsidRDefault="00FF4C4E">
            <w:pPr>
              <w:pStyle w:val="P68B1DB1-Normal13"/>
              <w:spacing w:after="0" w:line="240" w:lineRule="auto"/>
              <w:jc w:val="right"/>
              <w:rPr>
                <w:rFonts w:eastAsia="MS Mincho" w:cs="Times New Roman"/>
                <w:noProof/>
              </w:rPr>
            </w:pPr>
            <w:r>
              <w:rPr>
                <w:noProof/>
              </w:rPr>
              <w:t>20</w:t>
            </w:r>
          </w:p>
        </w:tc>
        <w:tc>
          <w:tcPr>
            <w:tcW w:w="425" w:type="dxa"/>
            <w:shd w:val="clear" w:color="auto" w:fill="C6EFCE"/>
            <w:noWrap/>
          </w:tcPr>
          <w:p w14:paraId="7D4BE697"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62B4D3A0" w14:textId="77777777" w:rsidR="000E48CE" w:rsidRDefault="00FF4C4E">
            <w:pPr>
              <w:pStyle w:val="P68B1DB1-Normal13"/>
              <w:spacing w:after="0" w:line="240" w:lineRule="auto"/>
              <w:jc w:val="center"/>
              <w:rPr>
                <w:rFonts w:eastAsia="MS Mincho" w:cs="Times New Roman"/>
                <w:noProof/>
              </w:rPr>
            </w:pPr>
            <w:r>
              <w:rPr>
                <w:noProof/>
              </w:rPr>
              <w:t>2023</w:t>
            </w:r>
          </w:p>
        </w:tc>
        <w:tc>
          <w:tcPr>
            <w:tcW w:w="6096" w:type="dxa"/>
            <w:shd w:val="clear" w:color="auto" w:fill="C6EFCE"/>
            <w:noWrap/>
          </w:tcPr>
          <w:p w14:paraId="598D2537" w14:textId="77777777" w:rsidR="000E48CE" w:rsidRDefault="00FF4C4E">
            <w:pPr>
              <w:pStyle w:val="P68B1DB1-Normal13"/>
              <w:spacing w:after="0" w:line="240" w:lineRule="auto"/>
              <w:rPr>
                <w:rFonts w:eastAsia="MS Mincho" w:cs="Times New Roman"/>
                <w:noProof/>
              </w:rPr>
            </w:pPr>
            <w:r>
              <w:rPr>
                <w:noProof/>
              </w:rPr>
              <w:t xml:space="preserve">Kunnostetaan vähintään 50 prosenttia kustakin kaivosalueesta siten, että kohteena on vähintään 20 entistä </w:t>
            </w:r>
            <w:r>
              <w:rPr>
                <w:noProof/>
              </w:rPr>
              <w:t>kaivosaluetta, mukaan lukien maaperän puhdistaminen, morfologian elpyminen sekä kasvillisuuden palauttaminen ja kansalaistaminen.</w:t>
            </w:r>
          </w:p>
        </w:tc>
      </w:tr>
      <w:tr w:rsidR="000E48CE" w14:paraId="16763420" w14:textId="77777777">
        <w:trPr>
          <w:trHeight w:val="309"/>
        </w:trPr>
        <w:tc>
          <w:tcPr>
            <w:tcW w:w="851" w:type="dxa"/>
            <w:shd w:val="clear" w:color="auto" w:fill="C6EFCE"/>
            <w:noWrap/>
          </w:tcPr>
          <w:p w14:paraId="2A4CBA15" w14:textId="16E7A848" w:rsidR="000E48CE" w:rsidRDefault="00FF4C4E">
            <w:pPr>
              <w:pStyle w:val="P68B1DB1-Normal13"/>
              <w:spacing w:after="0" w:line="240" w:lineRule="auto"/>
              <w:jc w:val="center"/>
              <w:rPr>
                <w:rFonts w:eastAsia="MS Mincho" w:cs="Times New Roman"/>
                <w:noProof/>
              </w:rPr>
            </w:pPr>
            <w:r>
              <w:rPr>
                <w:noProof/>
              </w:rPr>
              <w:t>71</w:t>
            </w:r>
          </w:p>
        </w:tc>
        <w:tc>
          <w:tcPr>
            <w:tcW w:w="851" w:type="dxa"/>
            <w:shd w:val="clear" w:color="auto" w:fill="C6EFCE"/>
            <w:noWrap/>
          </w:tcPr>
          <w:p w14:paraId="31CDC745" w14:textId="77777777" w:rsidR="000E48CE" w:rsidRDefault="00FF4C4E">
            <w:pPr>
              <w:pStyle w:val="P68B1DB1-Normal13"/>
              <w:spacing w:after="0" w:line="240" w:lineRule="auto"/>
              <w:jc w:val="center"/>
              <w:rPr>
                <w:rFonts w:eastAsia="MS Mincho" w:cs="Times New Roman"/>
                <w:noProof/>
              </w:rPr>
            </w:pPr>
            <w:r>
              <w:rPr>
                <w:noProof/>
              </w:rPr>
              <w:t>C4.I3</w:t>
            </w:r>
          </w:p>
        </w:tc>
        <w:tc>
          <w:tcPr>
            <w:tcW w:w="992" w:type="dxa"/>
            <w:shd w:val="clear" w:color="auto" w:fill="C6EFCE"/>
            <w:noWrap/>
          </w:tcPr>
          <w:p w14:paraId="49BB626F" w14:textId="3A9620D2" w:rsidR="000E48CE" w:rsidRDefault="00FF4C4E">
            <w:pPr>
              <w:pStyle w:val="P68B1DB1-Normal13"/>
              <w:spacing w:after="0" w:line="240" w:lineRule="auto"/>
              <w:jc w:val="center"/>
              <w:rPr>
                <w:rFonts w:eastAsia="MS Mincho" w:cs="Times New Roman"/>
                <w:noProof/>
              </w:rPr>
            </w:pPr>
            <w:r>
              <w:rPr>
                <w:noProof/>
              </w:rPr>
              <w:t>M</w:t>
            </w:r>
          </w:p>
        </w:tc>
        <w:tc>
          <w:tcPr>
            <w:tcW w:w="2126" w:type="dxa"/>
            <w:shd w:val="clear" w:color="auto" w:fill="C6EFCE"/>
            <w:noWrap/>
          </w:tcPr>
          <w:p w14:paraId="0C0DFDFF" w14:textId="77777777" w:rsidR="000E48CE" w:rsidRDefault="00FF4C4E">
            <w:pPr>
              <w:pStyle w:val="P68B1DB1-Normal13"/>
              <w:spacing w:after="0" w:line="240" w:lineRule="auto"/>
              <w:rPr>
                <w:rFonts w:eastAsia="MS Mincho" w:cs="Times New Roman"/>
                <w:noProof/>
              </w:rPr>
            </w:pPr>
            <w:r>
              <w:rPr>
                <w:noProof/>
              </w:rPr>
              <w:t xml:space="preserve">Ekosysteemien ennallistamistoimet </w:t>
            </w:r>
          </w:p>
        </w:tc>
        <w:tc>
          <w:tcPr>
            <w:tcW w:w="1276" w:type="dxa"/>
            <w:shd w:val="clear" w:color="auto" w:fill="C6EFCE"/>
            <w:noWrap/>
          </w:tcPr>
          <w:p w14:paraId="66204FF1" w14:textId="7B82D200" w:rsidR="000E48CE" w:rsidRDefault="00FF4C4E">
            <w:pPr>
              <w:pStyle w:val="P68B1DB1-Normal13"/>
              <w:spacing w:after="0" w:line="240" w:lineRule="auto"/>
              <w:jc w:val="center"/>
              <w:rPr>
                <w:rFonts w:eastAsia="MS Mincho" w:cs="Times New Roman"/>
                <w:noProof/>
              </w:rPr>
            </w:pPr>
            <w:r>
              <w:rPr>
                <w:noProof/>
              </w:rPr>
              <w:t xml:space="preserve">Päätökseen saatettujen töiden/hankkeiden virallinen sertifiointi </w:t>
            </w:r>
          </w:p>
        </w:tc>
        <w:tc>
          <w:tcPr>
            <w:tcW w:w="850" w:type="dxa"/>
            <w:shd w:val="clear" w:color="auto" w:fill="C6EFCE"/>
            <w:noWrap/>
          </w:tcPr>
          <w:p w14:paraId="32002FF6" w14:textId="2C75ECCF" w:rsidR="000E48CE" w:rsidRDefault="000E48CE">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624370D3" w14:textId="430A96D8" w:rsidR="000E48CE" w:rsidRDefault="000E48CE">
            <w:pPr>
              <w:spacing w:after="0" w:line="240" w:lineRule="auto"/>
              <w:jc w:val="right"/>
              <w:rPr>
                <w:rFonts w:ascii="Times New Roman" w:eastAsia="MS Mincho" w:hAnsi="Times New Roman" w:cs="Times New Roman"/>
                <w:noProof/>
                <w:sz w:val="18"/>
              </w:rPr>
            </w:pPr>
          </w:p>
        </w:tc>
        <w:tc>
          <w:tcPr>
            <w:tcW w:w="709" w:type="dxa"/>
            <w:shd w:val="clear" w:color="auto" w:fill="C6EFCE"/>
            <w:noWrap/>
          </w:tcPr>
          <w:p w14:paraId="1129AE4B" w14:textId="0849A78D" w:rsidR="000E48CE" w:rsidRDefault="000E48CE">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1D69C1E3" w14:textId="214C37E5"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04715A28" w14:textId="0CAD7FDA" w:rsidR="000E48CE" w:rsidRDefault="00FF4C4E">
            <w:pPr>
              <w:pStyle w:val="P68B1DB1-Normal13"/>
              <w:spacing w:after="0" w:line="240" w:lineRule="auto"/>
              <w:jc w:val="center"/>
              <w:rPr>
                <w:rFonts w:cs="Times New Roman"/>
                <w:noProof/>
              </w:rPr>
            </w:pPr>
            <w:r>
              <w:rPr>
                <w:noProof/>
              </w:rPr>
              <w:t xml:space="preserve">2025  </w:t>
            </w:r>
          </w:p>
        </w:tc>
        <w:tc>
          <w:tcPr>
            <w:tcW w:w="6096" w:type="dxa"/>
            <w:shd w:val="clear" w:color="auto" w:fill="C6EFCE"/>
            <w:noWrap/>
          </w:tcPr>
          <w:p w14:paraId="63501E8C" w14:textId="7B240D57" w:rsidR="000E48CE" w:rsidRDefault="00FF4C4E">
            <w:pPr>
              <w:pStyle w:val="P68B1DB1-Normal13"/>
              <w:spacing w:after="0" w:line="240" w:lineRule="auto"/>
              <w:rPr>
                <w:rFonts w:eastAsia="MS Mincho" w:cs="Times New Roman"/>
                <w:noProof/>
              </w:rPr>
            </w:pPr>
            <w:r>
              <w:rPr>
                <w:noProof/>
              </w:rPr>
              <w:t xml:space="preserve">Vähintään 30000 hehtaaria, joilla on toteutettu ekosysteemien ennallistamistoimia huonontuneilla alueilla tai ekosysteemeissä, mukaan lukien keinotekoisten elementtien poistaminen, maaperän ja morfologian parantaminen sekä kasvillisuuden ja kansalaisuuden </w:t>
            </w:r>
            <w:r>
              <w:rPr>
                <w:noProof/>
              </w:rPr>
              <w:t xml:space="preserve">palauttaminen sekä vihreään infrastruktuuriin liittyvien hankkeiden loppuun saattaminen vähintään 30 kaupungissa, joissa on yli 50000 asukasta. </w:t>
            </w:r>
          </w:p>
        </w:tc>
      </w:tr>
      <w:tr w:rsidR="000E48CE" w14:paraId="68AF4929" w14:textId="77777777">
        <w:trPr>
          <w:trHeight w:val="309"/>
        </w:trPr>
        <w:tc>
          <w:tcPr>
            <w:tcW w:w="851" w:type="dxa"/>
            <w:shd w:val="clear" w:color="auto" w:fill="C6EFCE"/>
            <w:noWrap/>
          </w:tcPr>
          <w:p w14:paraId="23D9E551" w14:textId="77777777" w:rsidR="000E48CE" w:rsidRDefault="00FF4C4E">
            <w:pPr>
              <w:pStyle w:val="P68B1DB1-Normal13"/>
              <w:spacing w:after="0" w:line="240" w:lineRule="auto"/>
              <w:jc w:val="center"/>
              <w:rPr>
                <w:rFonts w:eastAsia="MS Mincho" w:cs="Times New Roman"/>
                <w:noProof/>
              </w:rPr>
            </w:pPr>
            <w:r>
              <w:rPr>
                <w:noProof/>
              </w:rPr>
              <w:t>72</w:t>
            </w:r>
          </w:p>
        </w:tc>
        <w:tc>
          <w:tcPr>
            <w:tcW w:w="851" w:type="dxa"/>
            <w:shd w:val="clear" w:color="auto" w:fill="C6EFCE"/>
            <w:noWrap/>
          </w:tcPr>
          <w:p w14:paraId="6D366088" w14:textId="77777777" w:rsidR="000E48CE" w:rsidRDefault="00FF4C4E">
            <w:pPr>
              <w:pStyle w:val="P68B1DB1-Normal13"/>
              <w:spacing w:after="0" w:line="240" w:lineRule="auto"/>
              <w:jc w:val="center"/>
              <w:rPr>
                <w:rFonts w:eastAsia="MS Mincho" w:cs="Times New Roman"/>
                <w:noProof/>
              </w:rPr>
            </w:pPr>
            <w:r>
              <w:rPr>
                <w:noProof/>
              </w:rPr>
              <w:t>C4.I3</w:t>
            </w:r>
          </w:p>
        </w:tc>
        <w:tc>
          <w:tcPr>
            <w:tcW w:w="992" w:type="dxa"/>
            <w:shd w:val="clear" w:color="auto" w:fill="C6EFCE"/>
            <w:noWrap/>
          </w:tcPr>
          <w:p w14:paraId="2A1DC271" w14:textId="77777777" w:rsidR="000E48CE" w:rsidRDefault="00FF4C4E">
            <w:pPr>
              <w:pStyle w:val="P68B1DB1-Normal13"/>
              <w:spacing w:after="0" w:line="240" w:lineRule="auto"/>
              <w:jc w:val="center"/>
              <w:rPr>
                <w:rFonts w:eastAsia="MS Mincho" w:cs="Times New Roman"/>
                <w:noProof/>
              </w:rPr>
            </w:pPr>
            <w:r>
              <w:rPr>
                <w:noProof/>
              </w:rPr>
              <w:t>T</w:t>
            </w:r>
          </w:p>
        </w:tc>
        <w:tc>
          <w:tcPr>
            <w:tcW w:w="2126" w:type="dxa"/>
            <w:shd w:val="clear" w:color="auto" w:fill="C6EFCE"/>
            <w:noWrap/>
          </w:tcPr>
          <w:p w14:paraId="2D238FBC" w14:textId="77777777" w:rsidR="000E48CE" w:rsidRDefault="00FF4C4E">
            <w:pPr>
              <w:pStyle w:val="P68B1DB1-Normal13"/>
              <w:spacing w:after="0" w:line="240" w:lineRule="auto"/>
              <w:rPr>
                <w:rFonts w:eastAsia="MS Mincho" w:cs="Times New Roman"/>
                <w:noProof/>
              </w:rPr>
            </w:pPr>
            <w:r>
              <w:rPr>
                <w:noProof/>
              </w:rPr>
              <w:t>Entisten kaivosalueiden (vähintään 30 entisen kaivosalueen) kunnostamisen loppuun saattaminen</w:t>
            </w:r>
          </w:p>
        </w:tc>
        <w:tc>
          <w:tcPr>
            <w:tcW w:w="1276" w:type="dxa"/>
            <w:shd w:val="clear" w:color="auto" w:fill="C6EFCE"/>
            <w:noWrap/>
          </w:tcPr>
          <w:p w14:paraId="2DBF0D7D" w14:textId="77777777" w:rsidR="000E48CE" w:rsidRDefault="000E48CE">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20E6432" w14:textId="77777777" w:rsidR="000E48CE" w:rsidRDefault="00FF4C4E">
            <w:pPr>
              <w:pStyle w:val="P68B1DB1-Normal13"/>
              <w:spacing w:after="0" w:line="240" w:lineRule="auto"/>
              <w:jc w:val="right"/>
              <w:rPr>
                <w:rFonts w:eastAsia="MS Mincho" w:cs="Times New Roman"/>
                <w:noProof/>
              </w:rPr>
            </w:pPr>
            <w:r>
              <w:rPr>
                <w:noProof/>
              </w:rPr>
              <w:t>Lukumäärä (kaivosalueet)</w:t>
            </w:r>
          </w:p>
        </w:tc>
        <w:tc>
          <w:tcPr>
            <w:tcW w:w="567" w:type="dxa"/>
            <w:shd w:val="clear" w:color="auto" w:fill="C6EFCE"/>
            <w:noWrap/>
          </w:tcPr>
          <w:p w14:paraId="5353C90A" w14:textId="77777777" w:rsidR="000E48CE" w:rsidRDefault="00FF4C4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18E8C380" w14:textId="77777777" w:rsidR="000E48CE" w:rsidRDefault="00FF4C4E">
            <w:pPr>
              <w:pStyle w:val="P68B1DB1-Normal13"/>
              <w:spacing w:after="0" w:line="240" w:lineRule="auto"/>
              <w:jc w:val="right"/>
              <w:rPr>
                <w:rFonts w:eastAsia="MS Mincho" w:cs="Times New Roman"/>
                <w:noProof/>
              </w:rPr>
            </w:pPr>
            <w:r>
              <w:rPr>
                <w:noProof/>
              </w:rPr>
              <w:t>30</w:t>
            </w:r>
          </w:p>
        </w:tc>
        <w:tc>
          <w:tcPr>
            <w:tcW w:w="425" w:type="dxa"/>
            <w:shd w:val="clear" w:color="auto" w:fill="C6EFCE"/>
            <w:noWrap/>
          </w:tcPr>
          <w:p w14:paraId="0E1FBC29" w14:textId="77777777"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771F6154" w14:textId="77777777" w:rsidR="000E48CE" w:rsidRDefault="00FF4C4E">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7F51EC37" w14:textId="77777777" w:rsidR="000E48CE" w:rsidRDefault="00FF4C4E">
            <w:pPr>
              <w:pStyle w:val="P68B1DB1-Normal13"/>
              <w:spacing w:after="0" w:line="240" w:lineRule="auto"/>
              <w:rPr>
                <w:rFonts w:eastAsia="MS Mincho" w:cs="Times New Roman"/>
                <w:noProof/>
              </w:rPr>
            </w:pPr>
            <w:r>
              <w:rPr>
                <w:noProof/>
              </w:rPr>
              <w:t>Ainakin 30 entistä kaivosaluetta on kunnostettu, mukaan lukien maaperän puhdistaminen, morfologian ennallistaminen sekä sellaisten entisten kaivosalueiden ennallistaminen ja kansalaistaminen, jotka eivät ole enää toimi</w:t>
            </w:r>
            <w:r>
              <w:rPr>
                <w:noProof/>
              </w:rPr>
              <w:t xml:space="preserve">nnassa. </w:t>
            </w:r>
          </w:p>
        </w:tc>
      </w:tr>
      <w:tr w:rsidR="000E48CE" w14:paraId="34FD8005" w14:textId="77777777">
        <w:trPr>
          <w:trHeight w:val="309"/>
        </w:trPr>
        <w:tc>
          <w:tcPr>
            <w:tcW w:w="851" w:type="dxa"/>
            <w:shd w:val="clear" w:color="auto" w:fill="C6EFCE"/>
            <w:noWrap/>
          </w:tcPr>
          <w:p w14:paraId="0375044D" w14:textId="3E0D4FB5" w:rsidR="000E48CE" w:rsidRDefault="00FF4C4E">
            <w:pPr>
              <w:pStyle w:val="P68B1DB1-Normal13"/>
              <w:spacing w:after="0" w:line="240" w:lineRule="auto"/>
              <w:jc w:val="center"/>
              <w:rPr>
                <w:rFonts w:cs="Times New Roman"/>
                <w:noProof/>
              </w:rPr>
            </w:pPr>
            <w:r>
              <w:rPr>
                <w:noProof/>
              </w:rPr>
              <w:t>73</w:t>
            </w:r>
          </w:p>
        </w:tc>
        <w:tc>
          <w:tcPr>
            <w:tcW w:w="851" w:type="dxa"/>
            <w:shd w:val="clear" w:color="auto" w:fill="C6EFCE"/>
            <w:noWrap/>
          </w:tcPr>
          <w:p w14:paraId="3B32B977" w14:textId="50FD26F3" w:rsidR="000E48CE" w:rsidRDefault="00FF4C4E">
            <w:pPr>
              <w:pStyle w:val="P68B1DB1-Normal13"/>
              <w:spacing w:after="0" w:line="240" w:lineRule="auto"/>
              <w:jc w:val="center"/>
              <w:rPr>
                <w:rFonts w:cs="Times New Roman"/>
                <w:noProof/>
              </w:rPr>
            </w:pPr>
            <w:r>
              <w:rPr>
                <w:noProof/>
              </w:rPr>
              <w:t>C4.I4</w:t>
            </w:r>
          </w:p>
        </w:tc>
        <w:tc>
          <w:tcPr>
            <w:tcW w:w="992" w:type="dxa"/>
            <w:shd w:val="clear" w:color="auto" w:fill="C6EFCE"/>
            <w:noWrap/>
          </w:tcPr>
          <w:p w14:paraId="2401EC9D" w14:textId="1ACC20F4" w:rsidR="000E48CE" w:rsidRDefault="00FF4C4E">
            <w:pPr>
              <w:pStyle w:val="P68B1DB1-Normal13"/>
              <w:spacing w:after="0" w:line="240" w:lineRule="auto"/>
              <w:jc w:val="center"/>
              <w:rPr>
                <w:rFonts w:cs="Times New Roman"/>
                <w:noProof/>
              </w:rPr>
            </w:pPr>
            <w:r>
              <w:rPr>
                <w:noProof/>
              </w:rPr>
              <w:t>M</w:t>
            </w:r>
          </w:p>
        </w:tc>
        <w:tc>
          <w:tcPr>
            <w:tcW w:w="2126" w:type="dxa"/>
            <w:shd w:val="clear" w:color="auto" w:fill="C6EFCE"/>
            <w:noWrap/>
          </w:tcPr>
          <w:p w14:paraId="78DF0977" w14:textId="241900F7" w:rsidR="000E48CE" w:rsidRDefault="00FF4C4E">
            <w:pPr>
              <w:pStyle w:val="P68B1DB1-Normal13"/>
              <w:spacing w:after="0" w:line="240" w:lineRule="auto"/>
              <w:rPr>
                <w:rFonts w:cs="Times New Roman"/>
                <w:noProof/>
              </w:rPr>
            </w:pPr>
            <w:r>
              <w:rPr>
                <w:noProof/>
              </w:rPr>
              <w:t xml:space="preserve">Kestävää metsänhoitoa koskevat toimet </w:t>
            </w:r>
          </w:p>
        </w:tc>
        <w:tc>
          <w:tcPr>
            <w:tcW w:w="1276" w:type="dxa"/>
            <w:shd w:val="clear" w:color="auto" w:fill="C6EFCE"/>
            <w:noWrap/>
          </w:tcPr>
          <w:p w14:paraId="1F7B108B" w14:textId="6E46D2C7" w:rsidR="000E48CE" w:rsidRDefault="00FF4C4E">
            <w:pPr>
              <w:pStyle w:val="P68B1DB1-Normal13"/>
              <w:spacing w:after="0" w:line="240" w:lineRule="auto"/>
              <w:jc w:val="center"/>
              <w:rPr>
                <w:rFonts w:cs="Times New Roman"/>
                <w:noProof/>
              </w:rPr>
            </w:pPr>
            <w:r>
              <w:rPr>
                <w:noProof/>
              </w:rPr>
              <w:t>MITERD:n allekirjoittama todistus</w:t>
            </w:r>
          </w:p>
        </w:tc>
        <w:tc>
          <w:tcPr>
            <w:tcW w:w="850" w:type="dxa"/>
            <w:shd w:val="clear" w:color="auto" w:fill="C6EFCE"/>
            <w:noWrap/>
          </w:tcPr>
          <w:p w14:paraId="4F367724" w14:textId="2E110E56" w:rsidR="000E48CE" w:rsidRDefault="00FF4C4E">
            <w:pPr>
              <w:pStyle w:val="P68B1DB1-Normal13"/>
              <w:spacing w:after="0" w:line="240" w:lineRule="auto"/>
              <w:jc w:val="right"/>
              <w:rPr>
                <w:rFonts w:cs="Times New Roman"/>
                <w:noProof/>
              </w:rPr>
            </w:pPr>
            <w:r>
              <w:rPr>
                <w:noProof/>
              </w:rPr>
              <w:t> </w:t>
            </w:r>
          </w:p>
        </w:tc>
        <w:tc>
          <w:tcPr>
            <w:tcW w:w="567" w:type="dxa"/>
            <w:shd w:val="clear" w:color="auto" w:fill="C6EFCE"/>
            <w:noWrap/>
          </w:tcPr>
          <w:p w14:paraId="77858754" w14:textId="5F5FBE66" w:rsidR="000E48CE" w:rsidRDefault="00FF4C4E">
            <w:pPr>
              <w:pStyle w:val="P68B1DB1-Normal13"/>
              <w:spacing w:after="0" w:line="240" w:lineRule="auto"/>
              <w:jc w:val="right"/>
              <w:rPr>
                <w:rFonts w:cs="Times New Roman"/>
                <w:noProof/>
              </w:rPr>
            </w:pPr>
            <w:r>
              <w:rPr>
                <w:noProof/>
              </w:rPr>
              <w:t> </w:t>
            </w:r>
          </w:p>
        </w:tc>
        <w:tc>
          <w:tcPr>
            <w:tcW w:w="709" w:type="dxa"/>
            <w:shd w:val="clear" w:color="auto" w:fill="C6EFCE"/>
            <w:noWrap/>
          </w:tcPr>
          <w:p w14:paraId="58A586E4" w14:textId="771841FE" w:rsidR="000E48CE" w:rsidRDefault="00FF4C4E">
            <w:pPr>
              <w:pStyle w:val="P68B1DB1-Normal13"/>
              <w:spacing w:after="0" w:line="240" w:lineRule="auto"/>
              <w:jc w:val="right"/>
              <w:rPr>
                <w:rFonts w:cs="Times New Roman"/>
                <w:noProof/>
              </w:rPr>
            </w:pPr>
            <w:r>
              <w:rPr>
                <w:noProof/>
              </w:rPr>
              <w:t> </w:t>
            </w:r>
          </w:p>
        </w:tc>
        <w:tc>
          <w:tcPr>
            <w:tcW w:w="425" w:type="dxa"/>
            <w:shd w:val="clear" w:color="auto" w:fill="C6EFCE"/>
            <w:noWrap/>
          </w:tcPr>
          <w:p w14:paraId="6134CFE3" w14:textId="78A89F89"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4218295B" w14:textId="77FD4B1E" w:rsidR="000E48CE" w:rsidRDefault="00FF4C4E">
            <w:pPr>
              <w:pStyle w:val="P68B1DB1-Normal13"/>
              <w:spacing w:after="0" w:line="240" w:lineRule="auto"/>
              <w:jc w:val="center"/>
              <w:rPr>
                <w:rFonts w:cs="Times New Roman"/>
                <w:noProof/>
              </w:rPr>
            </w:pPr>
            <w:r>
              <w:rPr>
                <w:noProof/>
              </w:rPr>
              <w:t xml:space="preserve">2023 </w:t>
            </w:r>
          </w:p>
        </w:tc>
        <w:tc>
          <w:tcPr>
            <w:tcW w:w="6096" w:type="dxa"/>
            <w:shd w:val="clear" w:color="auto" w:fill="C6EFCE"/>
            <w:noWrap/>
          </w:tcPr>
          <w:p w14:paraId="33F7657F" w14:textId="4B37C3F2" w:rsidR="000E48CE" w:rsidRDefault="00FF4C4E">
            <w:pPr>
              <w:pStyle w:val="P68B1DB1-Normal13"/>
              <w:spacing w:after="0" w:line="240" w:lineRule="auto"/>
              <w:rPr>
                <w:rFonts w:cs="Times New Roman"/>
                <w:noProof/>
              </w:rPr>
            </w:pPr>
            <w:r>
              <w:rPr>
                <w:noProof/>
              </w:rPr>
              <w:t xml:space="preserve">Palontorjuntaan käytettävän vähintään 100 erikoisajoneuvon uusiminen. Investoinnin valintaperusteilla on varmistettava, että noudatetaan teknisiä ohjeita ”ei merkittävää haittaa” (2021/C58/01) tukemalla ainoastaan parhaita saatavilla olevia teknologioita, </w:t>
            </w:r>
            <w:r>
              <w:rPr>
                <w:noProof/>
              </w:rPr>
              <w:t xml:space="preserve">joiden ympäristövaikutukset alalla ovat vähäisimmät, ottaen huomioon niiden erityistarkoitus. </w:t>
            </w:r>
          </w:p>
        </w:tc>
      </w:tr>
      <w:tr w:rsidR="000E48CE" w14:paraId="23BEFE0B" w14:textId="77777777">
        <w:trPr>
          <w:trHeight w:val="309"/>
        </w:trPr>
        <w:tc>
          <w:tcPr>
            <w:tcW w:w="851" w:type="dxa"/>
            <w:shd w:val="clear" w:color="auto" w:fill="C6EFCE"/>
            <w:noWrap/>
          </w:tcPr>
          <w:p w14:paraId="25C60E7B" w14:textId="1588200C" w:rsidR="000E48CE" w:rsidRDefault="00FF4C4E">
            <w:pPr>
              <w:pStyle w:val="P68B1DB1-Normal13"/>
              <w:spacing w:after="0" w:line="240" w:lineRule="auto"/>
              <w:jc w:val="center"/>
              <w:rPr>
                <w:rFonts w:cs="Times New Roman"/>
                <w:noProof/>
              </w:rPr>
            </w:pPr>
            <w:r>
              <w:rPr>
                <w:noProof/>
              </w:rPr>
              <w:t>425</w:t>
            </w:r>
          </w:p>
        </w:tc>
        <w:tc>
          <w:tcPr>
            <w:tcW w:w="851" w:type="dxa"/>
            <w:shd w:val="clear" w:color="auto" w:fill="C6EFCE"/>
            <w:noWrap/>
          </w:tcPr>
          <w:p w14:paraId="3A265DED" w14:textId="14C3DB14" w:rsidR="000E48CE" w:rsidRDefault="00FF4C4E">
            <w:pPr>
              <w:pStyle w:val="P68B1DB1-Normal13"/>
              <w:spacing w:after="0" w:line="240" w:lineRule="auto"/>
              <w:jc w:val="center"/>
              <w:rPr>
                <w:rFonts w:cs="Times New Roman"/>
                <w:noProof/>
              </w:rPr>
            </w:pPr>
            <w:r>
              <w:rPr>
                <w:noProof/>
              </w:rPr>
              <w:t>C4.I4</w:t>
            </w:r>
          </w:p>
        </w:tc>
        <w:tc>
          <w:tcPr>
            <w:tcW w:w="992" w:type="dxa"/>
            <w:shd w:val="clear" w:color="auto" w:fill="C6EFCE"/>
            <w:noWrap/>
          </w:tcPr>
          <w:p w14:paraId="6CEE0D62" w14:textId="2FE2B40D" w:rsidR="000E48CE" w:rsidRDefault="00FF4C4E">
            <w:pPr>
              <w:pStyle w:val="P68B1DB1-Normal13"/>
              <w:spacing w:after="0" w:line="240" w:lineRule="auto"/>
              <w:jc w:val="center"/>
              <w:rPr>
                <w:rFonts w:cs="Times New Roman"/>
                <w:noProof/>
              </w:rPr>
            </w:pPr>
            <w:r>
              <w:rPr>
                <w:noProof/>
              </w:rPr>
              <w:t>M</w:t>
            </w:r>
          </w:p>
        </w:tc>
        <w:tc>
          <w:tcPr>
            <w:tcW w:w="2126" w:type="dxa"/>
            <w:shd w:val="clear" w:color="auto" w:fill="C6EFCE"/>
            <w:noWrap/>
          </w:tcPr>
          <w:p w14:paraId="038462F7" w14:textId="5C85A665" w:rsidR="000E48CE" w:rsidRDefault="00FF4C4E">
            <w:pPr>
              <w:pStyle w:val="P68B1DB1-Normal13"/>
              <w:spacing w:after="0" w:line="240" w:lineRule="auto"/>
              <w:rPr>
                <w:rFonts w:cs="Times New Roman"/>
                <w:noProof/>
              </w:rPr>
            </w:pPr>
            <w:r>
              <w:rPr>
                <w:noProof/>
              </w:rPr>
              <w:t>Kestävää metsänhoitoa koskevat toimet (II osa)</w:t>
            </w:r>
          </w:p>
        </w:tc>
        <w:tc>
          <w:tcPr>
            <w:tcW w:w="1276" w:type="dxa"/>
            <w:shd w:val="clear" w:color="auto" w:fill="C6EFCE"/>
            <w:noWrap/>
          </w:tcPr>
          <w:p w14:paraId="08D542AC" w14:textId="44C55E2E" w:rsidR="000E48CE" w:rsidRDefault="00FF4C4E">
            <w:pPr>
              <w:pStyle w:val="P68B1DB1-Normal13"/>
              <w:spacing w:after="0" w:line="240" w:lineRule="auto"/>
              <w:jc w:val="center"/>
              <w:rPr>
                <w:rFonts w:cs="Times New Roman"/>
                <w:noProof/>
              </w:rPr>
            </w:pPr>
            <w:r>
              <w:rPr>
                <w:noProof/>
              </w:rPr>
              <w:t>MITERD:n allekirjoittama todistus</w:t>
            </w:r>
          </w:p>
        </w:tc>
        <w:tc>
          <w:tcPr>
            <w:tcW w:w="850" w:type="dxa"/>
            <w:shd w:val="clear" w:color="auto" w:fill="C6EFCE"/>
            <w:noWrap/>
          </w:tcPr>
          <w:p w14:paraId="786B8903" w14:textId="77777777" w:rsidR="000E48CE" w:rsidRDefault="000E48CE">
            <w:pPr>
              <w:spacing w:after="0" w:line="240" w:lineRule="auto"/>
              <w:jc w:val="right"/>
              <w:rPr>
                <w:rFonts w:ascii="Times New Roman" w:hAnsi="Times New Roman" w:cs="Times New Roman"/>
                <w:noProof/>
                <w:sz w:val="18"/>
              </w:rPr>
            </w:pPr>
          </w:p>
        </w:tc>
        <w:tc>
          <w:tcPr>
            <w:tcW w:w="567" w:type="dxa"/>
            <w:shd w:val="clear" w:color="auto" w:fill="C6EFCE"/>
            <w:noWrap/>
          </w:tcPr>
          <w:p w14:paraId="507431B3"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14A37260"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5D679840" w14:textId="0C83E141"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6A48C51C" w14:textId="435E4784" w:rsidR="000E48CE" w:rsidRDefault="00FF4C4E">
            <w:pPr>
              <w:pStyle w:val="P68B1DB1-Normal13"/>
              <w:spacing w:after="0" w:line="240" w:lineRule="auto"/>
              <w:jc w:val="center"/>
              <w:rPr>
                <w:rFonts w:cs="Times New Roman"/>
                <w:noProof/>
              </w:rPr>
            </w:pPr>
            <w:r>
              <w:rPr>
                <w:noProof/>
              </w:rPr>
              <w:t>2026</w:t>
            </w:r>
          </w:p>
        </w:tc>
        <w:tc>
          <w:tcPr>
            <w:tcW w:w="6096" w:type="dxa"/>
            <w:shd w:val="clear" w:color="auto" w:fill="C6EFCE"/>
            <w:noWrap/>
          </w:tcPr>
          <w:p w14:paraId="04BEB8AA" w14:textId="7676240A" w:rsidR="000E48CE" w:rsidRDefault="00FF4C4E">
            <w:pPr>
              <w:pStyle w:val="P68B1DB1-Normal13"/>
              <w:spacing w:after="0" w:line="240" w:lineRule="auto"/>
              <w:rPr>
                <w:rFonts w:cs="Times New Roman"/>
                <w:noProof/>
              </w:rPr>
            </w:pPr>
            <w:r>
              <w:rPr>
                <w:noProof/>
              </w:rPr>
              <w:t xml:space="preserve">Kestävää metsänhoitoa koskevien toimien loppuun </w:t>
            </w:r>
            <w:r>
              <w:rPr>
                <w:noProof/>
              </w:rPr>
              <w:t>saattaminen, mukaan lukien palokunnan perusparannus ja metsien parannustoimien loppuun saattaminen, mukaan lukien sopeutumiskykyisten kestävien metsänhoitokäytäntöjen suunnittelu ja lajien rikastaminen, sekä vähintään 70 hanketta, joilla tuetaan vihreää yr</w:t>
            </w:r>
            <w:r>
              <w:rPr>
                <w:noProof/>
              </w:rPr>
              <w:t>ittäjyyttä ja paikallista biotaloutta, toimenpiteen kuvauksen mukaisesti. Investoinnin valintaperusteilla on varmistettava, että noudatetaan teknisiä ohjeita ”ei merkittävää haittaa” (2021/C58/01) tukemalla ainoastaan parhaita saatavilla olevia teknologioi</w:t>
            </w:r>
            <w:r>
              <w:rPr>
                <w:noProof/>
              </w:rPr>
              <w:t>ta, joiden ympäristövaikutukset alalla ovat vähäisimmät, ottaen huomioon niiden erityistarkoitus.</w:t>
            </w:r>
          </w:p>
        </w:tc>
      </w:tr>
    </w:tbl>
    <w:p w14:paraId="6B62F1B3" w14:textId="77777777" w:rsidR="000E48CE" w:rsidRDefault="000E48CE">
      <w:pPr>
        <w:spacing w:before="120" w:after="120" w:line="240" w:lineRule="auto"/>
        <w:jc w:val="both"/>
        <w:rPr>
          <w:rFonts w:ascii="Times New Roman" w:hAnsi="Times New Roman" w:cs="Times New Roman"/>
          <w:noProof/>
          <w:sz w:val="24"/>
        </w:rPr>
      </w:pPr>
    </w:p>
    <w:p w14:paraId="1CCA4F00" w14:textId="2C9CB4D8" w:rsidR="000E48CE" w:rsidRDefault="000E48CE">
      <w:pPr>
        <w:keepNext/>
        <w:spacing w:before="120" w:after="120" w:line="240" w:lineRule="auto"/>
        <w:ind w:left="720"/>
        <w:jc w:val="both"/>
        <w:rPr>
          <w:rFonts w:ascii="Times New Roman" w:hAnsi="Times New Roman" w:cs="Times New Roman"/>
          <w:b/>
          <w:noProof/>
          <w:sz w:val="24"/>
          <w:u w:val="single"/>
        </w:rPr>
        <w:sectPr w:rsidR="000E48CE" w:rsidSect="00522183">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417" w:right="1134" w:bottom="1417" w:left="1134" w:header="709" w:footer="709" w:gutter="0"/>
          <w:cols w:space="720"/>
          <w:docGrid w:linePitch="360"/>
        </w:sectPr>
      </w:pPr>
    </w:p>
    <w:p w14:paraId="5254717D" w14:textId="6A1075EB" w:rsidR="000E48CE" w:rsidRDefault="00FF4C4E">
      <w:pPr>
        <w:pStyle w:val="P68B1DB1-Normal5"/>
        <w:keepNext/>
        <w:spacing w:before="120" w:after="120" w:line="240" w:lineRule="auto"/>
        <w:ind w:left="720"/>
        <w:jc w:val="both"/>
        <w:rPr>
          <w:rFonts w:cs="Times New Roman"/>
          <w:noProof/>
        </w:rPr>
      </w:pPr>
      <w:r>
        <w:rPr>
          <w:noProof/>
        </w:rPr>
        <w:t xml:space="preserve">D.3 </w:t>
      </w:r>
      <w:r>
        <w:rPr>
          <w:noProof/>
        </w:rPr>
        <w:tab/>
        <w:t>Lainatukeen tarkoitettujen investointien kuvaus</w:t>
      </w:r>
    </w:p>
    <w:p w14:paraId="3E0AEBC0" w14:textId="37122D8A" w:rsidR="000E48CE" w:rsidRDefault="00FF4C4E">
      <w:pPr>
        <w:pStyle w:val="P68B1DB1-Normal6"/>
        <w:spacing w:before="120" w:after="120" w:line="240" w:lineRule="auto"/>
        <w:jc w:val="both"/>
        <w:rPr>
          <w:rFonts w:cs="Times New Roman"/>
          <w:noProof/>
        </w:rPr>
      </w:pPr>
      <w:r>
        <w:rPr>
          <w:noProof/>
        </w:rPr>
        <w:t>Uudistus 4 (C4.R4) – Kansallinen strategia</w:t>
      </w:r>
      <w:r>
        <w:rPr>
          <w:noProof/>
        </w:rPr>
        <w:t xml:space="preserve"> aavikoitumisen torjumiseksi</w:t>
      </w:r>
    </w:p>
    <w:p w14:paraId="5728AEA5" w14:textId="77777777" w:rsidR="000E48CE" w:rsidRDefault="00FF4C4E">
      <w:pPr>
        <w:pStyle w:val="P68B1DB1-Normal4"/>
        <w:spacing w:before="120" w:after="120" w:line="240" w:lineRule="auto"/>
        <w:jc w:val="both"/>
        <w:rPr>
          <w:rFonts w:cs="Times New Roman"/>
          <w:noProof/>
        </w:rPr>
      </w:pPr>
      <w:r>
        <w:rPr>
          <w:noProof/>
        </w:rPr>
        <w:t xml:space="preserve">Uudistuksella saatetaan ajan tasalle aavikoitumisen torjuntaa koskeva kansallinen strategia, jolla korvataan vuonna 2008 julkaistu aavikoitumisen torjuntaa koskeva kansallinen toimintasuunnitelma ja luodaan uusi strategiakehys </w:t>
      </w:r>
      <w:r>
        <w:rPr>
          <w:noProof/>
        </w:rPr>
        <w:t>aavikoitumisen torjumiseksi Espanjan alueella. Uudistuksella pyritään edistämään luonnonpääoman suojelua, säilyttämistä ja parantamista, ja se kohdistuu kuiviin, puolikuiviin ja kuiviin subhumideihin vyöhykkeisiin sekä maaperän huonontumisen minimoimiseen.</w:t>
      </w:r>
    </w:p>
    <w:p w14:paraId="4EC0D026" w14:textId="77777777" w:rsidR="000E48CE" w:rsidRDefault="00FF4C4E">
      <w:pPr>
        <w:pStyle w:val="P68B1DB1-Normal4"/>
        <w:spacing w:before="120" w:after="120" w:line="240" w:lineRule="auto"/>
        <w:jc w:val="both"/>
        <w:rPr>
          <w:rFonts w:cs="Times New Roman"/>
          <w:noProof/>
        </w:rPr>
      </w:pPr>
      <w:r>
        <w:rPr>
          <w:noProof/>
        </w:rPr>
        <w:t xml:space="preserve">Strategiassa on kolme pilaria: </w:t>
      </w:r>
    </w:p>
    <w:p w14:paraId="55FE2456" w14:textId="77777777" w:rsidR="000E48CE" w:rsidRDefault="00FF4C4E">
      <w:pPr>
        <w:pStyle w:val="P68B1DB1-ListParagraph7"/>
        <w:numPr>
          <w:ilvl w:val="0"/>
          <w:numId w:val="41"/>
        </w:numPr>
        <w:spacing w:before="120" w:after="120" w:line="240" w:lineRule="auto"/>
        <w:jc w:val="both"/>
        <w:rPr>
          <w:rFonts w:cs="Times New Roman"/>
          <w:noProof/>
        </w:rPr>
      </w:pPr>
      <w:r>
        <w:rPr>
          <w:noProof/>
        </w:rPr>
        <w:t xml:space="preserve">Toimet aavikoitumisen ehkäisemiseksi ja vähentämiseksi sekä huonontuneiden alueiden ennallistamiseksi. </w:t>
      </w:r>
    </w:p>
    <w:p w14:paraId="11C4CB9D" w14:textId="77777777" w:rsidR="000E48CE" w:rsidRDefault="00FF4C4E">
      <w:pPr>
        <w:pStyle w:val="P68B1DB1-ListParagraph7"/>
        <w:numPr>
          <w:ilvl w:val="0"/>
          <w:numId w:val="41"/>
        </w:numPr>
        <w:spacing w:before="120" w:after="120" w:line="240" w:lineRule="auto"/>
        <w:jc w:val="both"/>
        <w:rPr>
          <w:rFonts w:cs="Times New Roman"/>
          <w:noProof/>
        </w:rPr>
      </w:pPr>
      <w:r>
        <w:rPr>
          <w:noProof/>
        </w:rPr>
        <w:t xml:space="preserve">Valmiuksien kehittäminen ja hallinto. </w:t>
      </w:r>
    </w:p>
    <w:p w14:paraId="45C40DBE" w14:textId="77777777" w:rsidR="000E48CE" w:rsidRDefault="00FF4C4E">
      <w:pPr>
        <w:pStyle w:val="P68B1DB1-ListParagraph7"/>
        <w:numPr>
          <w:ilvl w:val="0"/>
          <w:numId w:val="41"/>
        </w:numPr>
        <w:spacing w:before="120" w:after="120" w:line="240" w:lineRule="auto"/>
        <w:jc w:val="both"/>
        <w:rPr>
          <w:rFonts w:cs="Times New Roman"/>
          <w:noProof/>
        </w:rPr>
      </w:pPr>
      <w:r>
        <w:rPr>
          <w:noProof/>
        </w:rPr>
        <w:t>Osaaminen ja yhteiskunta: toimet, joilla parannetaan tietämystä, avoimuutta ja k</w:t>
      </w:r>
      <w:r>
        <w:rPr>
          <w:noProof/>
        </w:rPr>
        <w:t xml:space="preserve">ansalaisosallistumista. </w:t>
      </w:r>
    </w:p>
    <w:p w14:paraId="0D500559" w14:textId="134B0C9F" w:rsidR="000E48CE" w:rsidRDefault="00FF4C4E">
      <w:pPr>
        <w:pStyle w:val="P68B1DB1-Normal4"/>
        <w:spacing w:before="120" w:after="120" w:line="240" w:lineRule="auto"/>
        <w:jc w:val="both"/>
        <w:rPr>
          <w:rFonts w:cs="Times New Roman"/>
          <w:noProof/>
        </w:rPr>
      </w:pPr>
      <w:r>
        <w:rPr>
          <w:noProof/>
        </w:rPr>
        <w:t xml:space="preserve">Uudistukseen sisältyy toimintasuunnitelma vuosiksi 2022–2026. Tällä toimintasuunnitelmalla edistetään strategian kehittämistä, määritellään painopisteet ja vahvistetaan niiden sisältö ja toteuttamisaikataulu. </w:t>
      </w:r>
    </w:p>
    <w:p w14:paraId="51E9DA35" w14:textId="77777777" w:rsidR="000E48CE" w:rsidRDefault="00FF4C4E">
      <w:pPr>
        <w:pStyle w:val="P68B1DB1-Normal4"/>
        <w:spacing w:before="120" w:after="120" w:line="240" w:lineRule="auto"/>
        <w:jc w:val="both"/>
        <w:rPr>
          <w:rFonts w:cs="Times New Roman"/>
          <w:noProof/>
        </w:rPr>
      </w:pPr>
      <w:r>
        <w:rPr>
          <w:noProof/>
        </w:rPr>
        <w:t>Strategialla edistetä</w:t>
      </w:r>
      <w:r>
        <w:rPr>
          <w:noProof/>
        </w:rPr>
        <w:t xml:space="preserve">än myös koordinointia ja yhteistyötä aavikoitumiskysymyksiä käsittelevien toimijoiden välillä ja perustetaan seuraavat kollegiaaliset elimet: </w:t>
      </w:r>
    </w:p>
    <w:p w14:paraId="136509E9" w14:textId="77777777" w:rsidR="000E48CE" w:rsidRDefault="00FF4C4E">
      <w:pPr>
        <w:pStyle w:val="P68B1DB1-ListParagraph7"/>
        <w:numPr>
          <w:ilvl w:val="0"/>
          <w:numId w:val="39"/>
        </w:numPr>
        <w:spacing w:before="120" w:after="120" w:line="240" w:lineRule="auto"/>
        <w:jc w:val="both"/>
        <w:rPr>
          <w:rFonts w:cs="Times New Roman"/>
          <w:noProof/>
        </w:rPr>
      </w:pPr>
      <w:r>
        <w:rPr>
          <w:noProof/>
        </w:rPr>
        <w:t>Aavikoitumisen torjunnasta vastaava kansallinen komitea, joka toimii luonnonperintöä ja biologista monimuotoisuut</w:t>
      </w:r>
      <w:r>
        <w:rPr>
          <w:noProof/>
        </w:rPr>
        <w:t xml:space="preserve">ta käsittelevän kansallisen toimikunnan yhteydessä. Komitean tavoitteena on toimia neuvoa-antavana elimenä ja edistää yhteistyötä valtionhallinnon ja itsehallintoalueiden hallintojen välillä. </w:t>
      </w:r>
    </w:p>
    <w:p w14:paraId="2639DD47" w14:textId="77777777" w:rsidR="000E48CE" w:rsidRDefault="00FF4C4E">
      <w:pPr>
        <w:pStyle w:val="P68B1DB1-ListParagraph7"/>
        <w:numPr>
          <w:ilvl w:val="0"/>
          <w:numId w:val="39"/>
        </w:numPr>
        <w:spacing w:before="120" w:after="120" w:line="240" w:lineRule="auto"/>
        <w:jc w:val="both"/>
        <w:rPr>
          <w:rFonts w:cs="Times New Roman"/>
          <w:noProof/>
        </w:rPr>
      </w:pPr>
      <w:r>
        <w:rPr>
          <w:noProof/>
        </w:rPr>
        <w:t>Kansallinen aavikoitumisen torjuntaneuvosto. Tämä elin toimii n</w:t>
      </w:r>
      <w:r>
        <w:rPr>
          <w:noProof/>
        </w:rPr>
        <w:t>euvoa-antavana elimenä, joka tukee kansallista hallintoa ja osallistuu tieteellisen ja kansalaisyhteiskunnan koordinointiin. ja</w:t>
      </w:r>
    </w:p>
    <w:p w14:paraId="14EAB806" w14:textId="77777777" w:rsidR="000E48CE" w:rsidRDefault="00FF4C4E">
      <w:pPr>
        <w:pStyle w:val="P68B1DB1-ListParagraph7"/>
        <w:numPr>
          <w:ilvl w:val="0"/>
          <w:numId w:val="39"/>
        </w:numPr>
        <w:spacing w:before="120" w:after="120" w:line="240" w:lineRule="auto"/>
        <w:jc w:val="both"/>
        <w:rPr>
          <w:rFonts w:cs="Times New Roman"/>
          <w:noProof/>
        </w:rPr>
      </w:pPr>
      <w:r>
        <w:rPr>
          <w:noProof/>
        </w:rPr>
        <w:t>Aavikoitumisen torjunnan tekninen yksikkö ekologisesta siirtymästä ja väestöhaasteista vastaavan ministeriön biologisen monimuot</w:t>
      </w:r>
      <w:r>
        <w:rPr>
          <w:noProof/>
        </w:rPr>
        <w:t xml:space="preserve">oisuuden, metsien ja aavikoitumisen pääosastossa. Yksikkö vastaa aavikoitumista koskevien toimenpiteiden ja toimien kehittämisestä, täytäntöönpanosta ja koordinoinnista Espanjan alueella. </w:t>
      </w:r>
    </w:p>
    <w:p w14:paraId="1727D508" w14:textId="5E4C4118"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w:t>
      </w:r>
      <w:r>
        <w:rPr>
          <w:noProof/>
        </w:rPr>
        <w:t xml:space="preserve"> päivänä joulukuuta 2024.</w:t>
      </w:r>
    </w:p>
    <w:p w14:paraId="01C9430F" w14:textId="77777777" w:rsidR="000E48CE" w:rsidRDefault="000E48CE">
      <w:pPr>
        <w:spacing w:before="120" w:after="120" w:line="240" w:lineRule="auto"/>
        <w:jc w:val="both"/>
        <w:rPr>
          <w:rFonts w:ascii="Times New Roman" w:hAnsi="Times New Roman" w:cs="Times New Roman"/>
          <w:noProof/>
          <w:sz w:val="24"/>
        </w:rPr>
      </w:pPr>
    </w:p>
    <w:p w14:paraId="2CBFC02A" w14:textId="23C034D3" w:rsidR="000E48CE" w:rsidRDefault="00FF4C4E">
      <w:pPr>
        <w:pStyle w:val="P68B1DB1-Normal5"/>
        <w:spacing w:before="120" w:after="120" w:line="240" w:lineRule="auto"/>
        <w:ind w:left="709"/>
        <w:jc w:val="both"/>
        <w:rPr>
          <w:rFonts w:cs="Times New Roman"/>
          <w:noProof/>
        </w:rPr>
      </w:pPr>
      <w:r>
        <w:rPr>
          <w:noProof/>
        </w:rPr>
        <w:t xml:space="preserve">D.4 </w:t>
      </w:r>
      <w:r>
        <w:rPr>
          <w:noProof/>
        </w:rPr>
        <w:tab/>
        <w:t xml:space="preserve">Lainatuen seurannan ja täytäntöönpanon välitavoitteet, tavoitteet, indikaattorit ja aikataulu </w:t>
      </w:r>
    </w:p>
    <w:p w14:paraId="533BCFD1" w14:textId="77B04D19"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 xml:space="preserve">Kaikkien indikaattoreiden perustaso on 1. helmikuuta 2020, ellei toimen kuvauksessa toisin ilmoiteta. </w:t>
      </w:r>
      <w:r>
        <w:rPr>
          <w:i/>
          <w:noProof/>
        </w:rPr>
        <w:t>Taulukossa esitetyt määrät eivät sisällä arvonlisäveroa.</w:t>
      </w:r>
    </w:p>
    <w:p w14:paraId="510ED064" w14:textId="2F536112" w:rsidR="000E48CE" w:rsidRDefault="000E48CE">
      <w:pPr>
        <w:spacing w:before="120" w:after="120" w:line="240" w:lineRule="auto"/>
        <w:jc w:val="both"/>
        <w:rPr>
          <w:rFonts w:ascii="Times New Roman" w:hAnsi="Times New Roman" w:cs="Times New Roman"/>
          <w:b/>
          <w:noProof/>
          <w:sz w:val="24"/>
          <w:u w:val="single"/>
        </w:rPr>
      </w:pPr>
    </w:p>
    <w:p w14:paraId="42BFB184" w14:textId="16096736" w:rsidR="000E48CE" w:rsidRDefault="000E48CE">
      <w:pPr>
        <w:spacing w:before="120" w:after="120" w:line="240" w:lineRule="auto"/>
        <w:jc w:val="both"/>
        <w:rPr>
          <w:rFonts w:ascii="Times New Roman" w:hAnsi="Times New Roman" w:cs="Times New Roman"/>
          <w:noProof/>
          <w:sz w:val="24"/>
        </w:rPr>
        <w:sectPr w:rsidR="000E48CE" w:rsidSect="00522183">
          <w:headerReference w:type="even" r:id="rId114"/>
          <w:headerReference w:type="default" r:id="rId115"/>
          <w:footerReference w:type="even" r:id="rId116"/>
          <w:footerReference w:type="default" r:id="rId117"/>
          <w:headerReference w:type="first" r:id="rId118"/>
          <w:footerReference w:type="first" r:id="rId119"/>
          <w:pgSz w:w="11907" w:h="16839"/>
          <w:pgMar w:top="1134" w:right="1417" w:bottom="1134" w:left="1417" w:header="709" w:footer="709" w:gutter="0"/>
          <w:cols w:space="720"/>
          <w:docGrid w:linePitch="360"/>
        </w:sectPr>
      </w:pPr>
    </w:p>
    <w:p w14:paraId="2F4418AF" w14:textId="77777777" w:rsidR="000E48CE" w:rsidRDefault="000E48CE">
      <w:pPr>
        <w:spacing w:before="120" w:after="120" w:line="240" w:lineRule="auto"/>
        <w:jc w:val="both"/>
        <w:rPr>
          <w:rFonts w:ascii="Times New Roman" w:hAnsi="Times New Roman" w:cs="Times New Roman"/>
          <w:noProof/>
          <w:sz w:val="24"/>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0E48CE" w14:paraId="0982F655" w14:textId="77777777">
        <w:trPr>
          <w:trHeight w:val="309"/>
          <w:tblHeader/>
        </w:trPr>
        <w:tc>
          <w:tcPr>
            <w:tcW w:w="709" w:type="dxa"/>
            <w:tcBorders>
              <w:bottom w:val="nil"/>
            </w:tcBorders>
            <w:shd w:val="clear" w:color="auto" w:fill="C6D9F1" w:themeFill="text2" w:themeFillTint="33"/>
            <w:noWrap/>
            <w:vAlign w:val="center"/>
          </w:tcPr>
          <w:p w14:paraId="434CDFC2"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7730F4B5"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2C28BECA"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835" w:type="dxa"/>
            <w:tcBorders>
              <w:bottom w:val="nil"/>
            </w:tcBorders>
            <w:shd w:val="clear" w:color="auto" w:fill="C6D9F1" w:themeFill="text2" w:themeFillTint="33"/>
            <w:noWrap/>
            <w:vAlign w:val="center"/>
          </w:tcPr>
          <w:p w14:paraId="322C08C0" w14:textId="77777777" w:rsidR="000E48CE" w:rsidRDefault="00FF4C4E">
            <w:pPr>
              <w:pStyle w:val="P68B1DB1-Normal12"/>
              <w:spacing w:after="0" w:line="240" w:lineRule="auto"/>
              <w:jc w:val="center"/>
              <w:rPr>
                <w:rFonts w:cs="Times New Roman"/>
                <w:noProof/>
              </w:rPr>
            </w:pPr>
            <w:r>
              <w:rPr>
                <w:noProof/>
              </w:rPr>
              <w:t>Nimi</w:t>
            </w:r>
          </w:p>
        </w:tc>
        <w:tc>
          <w:tcPr>
            <w:tcW w:w="993" w:type="dxa"/>
            <w:tcBorders>
              <w:bottom w:val="nil"/>
            </w:tcBorders>
            <w:shd w:val="clear" w:color="auto" w:fill="C6D9F1" w:themeFill="text2" w:themeFillTint="33"/>
            <w:noWrap/>
            <w:vAlign w:val="center"/>
          </w:tcPr>
          <w:p w14:paraId="5E587E85"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4" w:type="dxa"/>
            <w:gridSpan w:val="3"/>
            <w:shd w:val="clear" w:color="auto" w:fill="C6D9F1" w:themeFill="text2" w:themeFillTint="33"/>
            <w:noWrap/>
            <w:vAlign w:val="center"/>
          </w:tcPr>
          <w:p w14:paraId="03FAAD2E"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42D270AA" w14:textId="77777777" w:rsidR="000E48CE" w:rsidRDefault="00FF4C4E">
            <w:pPr>
              <w:pStyle w:val="P68B1DB1-Normal12"/>
              <w:spacing w:after="0" w:line="240" w:lineRule="auto"/>
              <w:jc w:val="center"/>
              <w:rPr>
                <w:rFonts w:cs="Times New Roman"/>
                <w:noProof/>
              </w:rPr>
            </w:pPr>
            <w:r>
              <w:rPr>
                <w:noProof/>
              </w:rPr>
              <w:t>Aika</w:t>
            </w:r>
          </w:p>
        </w:tc>
        <w:tc>
          <w:tcPr>
            <w:tcW w:w="6096" w:type="dxa"/>
            <w:tcBorders>
              <w:bottom w:val="nil"/>
            </w:tcBorders>
            <w:shd w:val="clear" w:color="auto" w:fill="C6D9F1" w:themeFill="text2" w:themeFillTint="33"/>
            <w:noWrap/>
            <w:vAlign w:val="center"/>
          </w:tcPr>
          <w:p w14:paraId="1E38F104" w14:textId="77777777" w:rsidR="000E48CE" w:rsidRDefault="00FF4C4E">
            <w:pPr>
              <w:pStyle w:val="P68B1DB1-Normal12"/>
              <w:spacing w:after="0" w:line="240" w:lineRule="auto"/>
              <w:jc w:val="center"/>
              <w:rPr>
                <w:rFonts w:cs="Times New Roman"/>
                <w:noProof/>
              </w:rPr>
            </w:pPr>
            <w:r>
              <w:rPr>
                <w:noProof/>
              </w:rPr>
              <w:t>Kunkin väli</w:t>
            </w:r>
            <w:r>
              <w:rPr>
                <w:noProof/>
              </w:rPr>
              <w:t>tavoitteen ja tavoitteen kuvaus</w:t>
            </w:r>
          </w:p>
        </w:tc>
      </w:tr>
      <w:tr w:rsidR="000E48CE" w14:paraId="22567CB0" w14:textId="77777777">
        <w:trPr>
          <w:trHeight w:val="309"/>
          <w:tblHeader/>
        </w:trPr>
        <w:tc>
          <w:tcPr>
            <w:tcW w:w="709" w:type="dxa"/>
            <w:tcBorders>
              <w:top w:val="nil"/>
            </w:tcBorders>
            <w:shd w:val="clear" w:color="auto" w:fill="C6D9F1" w:themeFill="text2" w:themeFillTint="33"/>
            <w:noWrap/>
          </w:tcPr>
          <w:p w14:paraId="0030C01F"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947234D"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9222A19" w14:textId="77777777" w:rsidR="000E48CE" w:rsidRDefault="000E48CE">
            <w:pPr>
              <w:spacing w:after="0" w:line="240" w:lineRule="auto"/>
              <w:jc w:val="center"/>
              <w:rPr>
                <w:rFonts w:ascii="Times New Roman" w:hAnsi="Times New Roman" w:cs="Times New Roman"/>
                <w:b/>
                <w:noProof/>
                <w:sz w:val="18"/>
              </w:rPr>
            </w:pPr>
          </w:p>
        </w:tc>
        <w:tc>
          <w:tcPr>
            <w:tcW w:w="2835" w:type="dxa"/>
            <w:tcBorders>
              <w:top w:val="nil"/>
            </w:tcBorders>
            <w:shd w:val="clear" w:color="auto" w:fill="C6D9F1" w:themeFill="text2" w:themeFillTint="33"/>
            <w:noWrap/>
          </w:tcPr>
          <w:p w14:paraId="5EB5E33D" w14:textId="77777777" w:rsidR="000E48CE" w:rsidRDefault="000E48CE">
            <w:pPr>
              <w:spacing w:after="0" w:line="240" w:lineRule="auto"/>
              <w:rPr>
                <w:rFonts w:ascii="Times New Roman" w:hAnsi="Times New Roman" w:cs="Times New Roman"/>
                <w:b/>
                <w:noProof/>
                <w:sz w:val="18"/>
              </w:rPr>
            </w:pPr>
          </w:p>
        </w:tc>
        <w:tc>
          <w:tcPr>
            <w:tcW w:w="993" w:type="dxa"/>
            <w:tcBorders>
              <w:top w:val="nil"/>
            </w:tcBorders>
            <w:shd w:val="clear" w:color="auto" w:fill="C6D9F1" w:themeFill="text2" w:themeFillTint="33"/>
            <w:noWrap/>
          </w:tcPr>
          <w:p w14:paraId="02DB730E"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37D99609" w14:textId="77777777" w:rsidR="000E48CE" w:rsidRDefault="00FF4C4E">
            <w:pPr>
              <w:pStyle w:val="P68B1DB1-Normal12"/>
              <w:spacing w:after="0" w:line="240" w:lineRule="auto"/>
              <w:jc w:val="center"/>
              <w:rPr>
                <w:rFonts w:cs="Times New Roman"/>
                <w:noProof/>
              </w:rPr>
            </w:pPr>
            <w:r>
              <w:rPr>
                <w:noProof/>
              </w:rPr>
              <w:t>Yksikkö</w:t>
            </w:r>
          </w:p>
        </w:tc>
        <w:tc>
          <w:tcPr>
            <w:tcW w:w="425" w:type="dxa"/>
            <w:shd w:val="clear" w:color="auto" w:fill="C6D9F1" w:themeFill="text2" w:themeFillTint="33"/>
            <w:noWrap/>
            <w:vAlign w:val="center"/>
          </w:tcPr>
          <w:p w14:paraId="315DA8B8" w14:textId="77777777" w:rsidR="000E48CE" w:rsidRDefault="00FF4C4E">
            <w:pPr>
              <w:pStyle w:val="P68B1DB1-Normal12"/>
              <w:spacing w:after="0" w:line="240" w:lineRule="auto"/>
              <w:jc w:val="center"/>
              <w:rPr>
                <w:rFonts w:cs="Times New Roman"/>
                <w:noProof/>
              </w:rPr>
            </w:pPr>
            <w:r>
              <w:rPr>
                <w:noProof/>
              </w:rPr>
              <w:t>Perusviiva</w:t>
            </w:r>
          </w:p>
        </w:tc>
        <w:tc>
          <w:tcPr>
            <w:tcW w:w="709" w:type="dxa"/>
            <w:shd w:val="clear" w:color="auto" w:fill="C6D9F1" w:themeFill="text2" w:themeFillTint="33"/>
            <w:noWrap/>
            <w:vAlign w:val="center"/>
          </w:tcPr>
          <w:p w14:paraId="711E7654"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38AE6C67"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68176E0" w14:textId="77777777" w:rsidR="000E48CE" w:rsidRDefault="00FF4C4E">
            <w:pPr>
              <w:pStyle w:val="P68B1DB1-Normal12"/>
              <w:spacing w:after="0" w:line="240" w:lineRule="auto"/>
              <w:jc w:val="center"/>
              <w:rPr>
                <w:rFonts w:cs="Times New Roman"/>
                <w:noProof/>
              </w:rPr>
            </w:pPr>
            <w:r>
              <w:rPr>
                <w:noProof/>
              </w:rPr>
              <w:t>Vuosi</w:t>
            </w:r>
          </w:p>
        </w:tc>
        <w:tc>
          <w:tcPr>
            <w:tcW w:w="6096" w:type="dxa"/>
            <w:tcBorders>
              <w:top w:val="nil"/>
            </w:tcBorders>
            <w:shd w:val="clear" w:color="auto" w:fill="C6D9F1" w:themeFill="text2" w:themeFillTint="33"/>
            <w:noWrap/>
          </w:tcPr>
          <w:p w14:paraId="7FBA1F7A" w14:textId="77777777" w:rsidR="000E48CE" w:rsidRDefault="000E48CE">
            <w:pPr>
              <w:spacing w:after="0" w:line="240" w:lineRule="auto"/>
              <w:rPr>
                <w:rFonts w:ascii="Times New Roman" w:hAnsi="Times New Roman" w:cs="Times New Roman"/>
                <w:b/>
                <w:noProof/>
                <w:sz w:val="18"/>
              </w:rPr>
            </w:pPr>
          </w:p>
        </w:tc>
      </w:tr>
      <w:tr w:rsidR="000E48CE" w14:paraId="0CF12790" w14:textId="77777777">
        <w:trPr>
          <w:trHeight w:val="309"/>
        </w:trPr>
        <w:tc>
          <w:tcPr>
            <w:tcW w:w="709" w:type="dxa"/>
            <w:shd w:val="clear" w:color="auto" w:fill="C6EFCE"/>
            <w:noWrap/>
          </w:tcPr>
          <w:p w14:paraId="57980422" w14:textId="4C50EFCC" w:rsidR="000E48CE" w:rsidRDefault="00FF4C4E">
            <w:pPr>
              <w:pStyle w:val="P68B1DB1-Normal13"/>
              <w:spacing w:after="0" w:line="240" w:lineRule="auto"/>
              <w:jc w:val="center"/>
              <w:rPr>
                <w:rFonts w:eastAsia="MS Mincho" w:cs="Times New Roman"/>
                <w:noProof/>
              </w:rPr>
            </w:pPr>
            <w:r>
              <w:rPr>
                <w:noProof/>
              </w:rPr>
              <w:t>L12</w:t>
            </w:r>
          </w:p>
          <w:p w14:paraId="6AFA3F08" w14:textId="73A98BC6" w:rsidR="000E48CE" w:rsidRDefault="000E48CE">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1D51009B" w14:textId="7DFE2321" w:rsidR="000E48CE" w:rsidRDefault="00FF4C4E">
            <w:pPr>
              <w:pStyle w:val="P68B1DB1-Normal13"/>
              <w:spacing w:after="0" w:line="240" w:lineRule="auto"/>
              <w:jc w:val="center"/>
              <w:rPr>
                <w:rFonts w:eastAsia="MS Mincho" w:cs="Times New Roman"/>
                <w:noProof/>
              </w:rPr>
            </w:pPr>
            <w:r>
              <w:rPr>
                <w:noProof/>
              </w:rPr>
              <w:t>C4.R4</w:t>
            </w:r>
          </w:p>
        </w:tc>
        <w:tc>
          <w:tcPr>
            <w:tcW w:w="850" w:type="dxa"/>
            <w:shd w:val="clear" w:color="auto" w:fill="C6EFCE"/>
            <w:noWrap/>
          </w:tcPr>
          <w:p w14:paraId="479106F6" w14:textId="7D6B9A07" w:rsidR="000E48CE" w:rsidRDefault="00FF4C4E">
            <w:pPr>
              <w:pStyle w:val="P68B1DB1-Normal13"/>
              <w:spacing w:after="0" w:line="240" w:lineRule="auto"/>
              <w:jc w:val="center"/>
              <w:rPr>
                <w:rFonts w:eastAsia="MS Mincho" w:cs="Times New Roman"/>
                <w:noProof/>
              </w:rPr>
            </w:pPr>
            <w:r>
              <w:rPr>
                <w:noProof/>
              </w:rPr>
              <w:t>M</w:t>
            </w:r>
          </w:p>
        </w:tc>
        <w:tc>
          <w:tcPr>
            <w:tcW w:w="2835" w:type="dxa"/>
            <w:shd w:val="clear" w:color="auto" w:fill="C6EFCE"/>
            <w:noWrap/>
          </w:tcPr>
          <w:p w14:paraId="21C4DE3D" w14:textId="4341CCBB" w:rsidR="000E48CE" w:rsidRDefault="00FF4C4E">
            <w:pPr>
              <w:pStyle w:val="P68B1DB1-Normal13"/>
              <w:spacing w:after="0" w:line="240" w:lineRule="auto"/>
              <w:rPr>
                <w:rFonts w:eastAsia="MS Mincho" w:cs="Times New Roman"/>
                <w:noProof/>
              </w:rPr>
            </w:pPr>
            <w:r>
              <w:rPr>
                <w:noProof/>
              </w:rPr>
              <w:t xml:space="preserve">Aavikoitumisen torjuntaa koskevan kansallisen strategian ja siihen liittyvän toimintasuunnitelman (2022–2026) hyväksyminen ja kollegiaalisten elinten perustaminen.  </w:t>
            </w:r>
          </w:p>
        </w:tc>
        <w:tc>
          <w:tcPr>
            <w:tcW w:w="993" w:type="dxa"/>
            <w:shd w:val="clear" w:color="auto" w:fill="C6EFCE"/>
            <w:noWrap/>
          </w:tcPr>
          <w:p w14:paraId="188E9FF5" w14:textId="79B328D4" w:rsidR="000E48CE" w:rsidRDefault="00FF4C4E">
            <w:pPr>
              <w:pStyle w:val="P68B1DB1-Normal13"/>
              <w:spacing w:after="0" w:line="240" w:lineRule="auto"/>
              <w:jc w:val="center"/>
              <w:rPr>
                <w:rFonts w:eastAsia="MS Mincho" w:cs="Times New Roman"/>
                <w:noProof/>
              </w:rPr>
            </w:pPr>
            <w:r>
              <w:rPr>
                <w:noProof/>
              </w:rPr>
              <w:t>Julkaiseminen virallisessa lehdessä</w:t>
            </w:r>
          </w:p>
        </w:tc>
        <w:tc>
          <w:tcPr>
            <w:tcW w:w="850" w:type="dxa"/>
            <w:shd w:val="clear" w:color="auto" w:fill="C6EFCE"/>
            <w:noWrap/>
          </w:tcPr>
          <w:p w14:paraId="329B2CA8" w14:textId="1B21E023" w:rsidR="000E48CE" w:rsidRDefault="00FF4C4E">
            <w:pPr>
              <w:pStyle w:val="P68B1DB1-Normal13"/>
              <w:spacing w:after="0" w:line="240" w:lineRule="auto"/>
              <w:rPr>
                <w:rFonts w:eastAsia="MS Mincho" w:cs="Times New Roman"/>
                <w:noProof/>
              </w:rPr>
            </w:pPr>
            <w:r>
              <w:rPr>
                <w:noProof/>
              </w:rPr>
              <w:t xml:space="preserve">  </w:t>
            </w:r>
          </w:p>
        </w:tc>
        <w:tc>
          <w:tcPr>
            <w:tcW w:w="425" w:type="dxa"/>
            <w:shd w:val="clear" w:color="auto" w:fill="C6EFCE"/>
            <w:noWrap/>
          </w:tcPr>
          <w:p w14:paraId="060CFAC8" w14:textId="418932F9"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3AFD84A7" w14:textId="3D5AB106"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2AD6C4C6" w14:textId="72BBB14D"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0C47AC0F" w14:textId="743AEA69" w:rsidR="000E48CE" w:rsidRDefault="00FF4C4E">
            <w:pPr>
              <w:pStyle w:val="P68B1DB1-Normal13"/>
              <w:spacing w:after="0" w:line="240" w:lineRule="auto"/>
              <w:jc w:val="center"/>
              <w:rPr>
                <w:rFonts w:eastAsia="MS Mincho" w:cs="Times New Roman"/>
                <w:noProof/>
              </w:rPr>
            </w:pPr>
            <w:r>
              <w:rPr>
                <w:noProof/>
              </w:rPr>
              <w:t>2024</w:t>
            </w:r>
          </w:p>
        </w:tc>
        <w:tc>
          <w:tcPr>
            <w:tcW w:w="6096" w:type="dxa"/>
            <w:shd w:val="clear" w:color="auto" w:fill="C6EFCE"/>
            <w:noWrap/>
          </w:tcPr>
          <w:p w14:paraId="34A083E8" w14:textId="18CB5AE9" w:rsidR="000E48CE" w:rsidRDefault="00FF4C4E">
            <w:pPr>
              <w:pStyle w:val="P68B1DB1-Normal13"/>
              <w:spacing w:after="0" w:line="240" w:lineRule="auto"/>
              <w:rPr>
                <w:rFonts w:eastAsia="MS Mincho" w:cs="Times New Roman"/>
                <w:noProof/>
              </w:rPr>
            </w:pPr>
            <w:r>
              <w:rPr>
                <w:noProof/>
              </w:rPr>
              <w:t xml:space="preserve">Aavikoitumisen torjuntaa koskevan kansallisen strategian ja siihen liittyvien toimien hyväksyminen toimenpiteen kuvauksen mukaisesti. </w:t>
            </w:r>
          </w:p>
        </w:tc>
      </w:tr>
    </w:tbl>
    <w:p w14:paraId="02F2C34E" w14:textId="769AB717" w:rsidR="000E48CE" w:rsidRDefault="000E48CE">
      <w:pPr>
        <w:spacing w:before="120" w:after="120" w:line="240" w:lineRule="auto"/>
        <w:jc w:val="both"/>
        <w:rPr>
          <w:rFonts w:ascii="Times New Roman" w:hAnsi="Times New Roman" w:cs="Times New Roman"/>
          <w:noProof/>
          <w:sz w:val="24"/>
        </w:rPr>
        <w:sectPr w:rsidR="000E48CE" w:rsidSect="00522183">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417" w:right="1134" w:bottom="1417" w:left="1134" w:header="709" w:footer="709" w:gutter="0"/>
          <w:cols w:space="720"/>
          <w:docGrid w:linePitch="360"/>
        </w:sectPr>
      </w:pPr>
    </w:p>
    <w:p w14:paraId="53A58CED" w14:textId="77777777" w:rsidR="000E48CE" w:rsidRDefault="00FF4C4E">
      <w:pPr>
        <w:pStyle w:val="P68B1DB1-Heading12"/>
        <w:rPr>
          <w:rFonts w:cs="Times New Roman"/>
          <w:noProof/>
        </w:rPr>
      </w:pPr>
      <w:r>
        <w:rPr>
          <w:noProof/>
        </w:rPr>
        <w:t xml:space="preserve">E. OSA </w:t>
      </w:r>
      <w:r>
        <w:rPr>
          <w:noProof/>
        </w:rPr>
        <w:t>05: Rannikko- ja vesivarat</w:t>
      </w:r>
    </w:p>
    <w:p w14:paraId="411410E6" w14:textId="77777777" w:rsidR="000E48CE" w:rsidRDefault="00FF4C4E">
      <w:pPr>
        <w:pStyle w:val="P68B1DB1-Normal4"/>
        <w:spacing w:before="120" w:after="120" w:line="240" w:lineRule="auto"/>
        <w:jc w:val="both"/>
        <w:rPr>
          <w:rFonts w:cs="Times New Roman"/>
          <w:noProof/>
        </w:rPr>
      </w:pPr>
      <w:r>
        <w:rPr>
          <w:noProof/>
        </w:rPr>
        <w:t>Tällä osa-alueella pyritään parantamaan vesivarojen hoitoa, toteuttamaan rannikkoalueiden sopeutumispolitiikkaa, jolla puututaan ilmastonmuutoksen kielteisiin vaikutuksiin, sekä vahvistamaan meristrategioiden ja merten aluesuunni</w:t>
      </w:r>
      <w:r>
        <w:rPr>
          <w:noProof/>
        </w:rPr>
        <w:t xml:space="preserve">telmien täytäntöönpanoa. </w:t>
      </w:r>
    </w:p>
    <w:p w14:paraId="446DF730" w14:textId="77777777" w:rsidR="000E48CE" w:rsidRDefault="00FF4C4E">
      <w:pPr>
        <w:pStyle w:val="P68B1DB1-Normal4"/>
        <w:spacing w:before="120" w:after="120" w:line="240" w:lineRule="auto"/>
        <w:jc w:val="both"/>
        <w:rPr>
          <w:rFonts w:cs="Times New Roman"/>
          <w:noProof/>
        </w:rPr>
      </w:pPr>
      <w:r>
        <w:rPr>
          <w:noProof/>
        </w:rPr>
        <w:t>Vesivarojen hoidon parantamiseksi Espanjan on vastattava erilaisiin haasteisiin, kuten uusien pilaavien aineiden (esim. mikromuovien) tunnistamiseen, olemassa olevaan investointivajeeseen suunnitteluun, rannikon sopeutumiseen ilma</w:t>
      </w:r>
      <w:r>
        <w:rPr>
          <w:noProof/>
        </w:rPr>
        <w:t>stonmuutokseen, julkisen vesialueen hallintaan ja hallintaan, meri- ja maaomaisuuteen ja vedenkäsittelyyn sekä vesihuollon uusien teknologioiden ja tieto- ja viestintätekniikan käyttöönoton viivästymiseen. Tätä varten Espanjan on parannettava alan tehokkuu</w:t>
      </w:r>
      <w:r>
        <w:rPr>
          <w:noProof/>
        </w:rPr>
        <w:t xml:space="preserve">tta. Espanjan on myös pyrittävä sovittamaan vesivarojensa hoito paremmin yhteen Euroopan vihreän kehityksen ohjelmassa, vuoteen 2030 ulottuvassa biodiversiteettistrategiassa ja saasteettomuustoimintasuunnitelmassa asetettujen ympäristötavoitteiden kanssa. </w:t>
      </w:r>
      <w:r>
        <w:rPr>
          <w:noProof/>
        </w:rPr>
        <w:t>Tätä varten on otettava käyttöön erilaisia strategioita, kuten julkishallinnon digitalisointi tiedonsaannin mahdollistamiseksi, mukaan lukien veden laatu ja ekologisten virtausten noudattaminen, ympäristöinfrastruktuurin tarjoaminen ja parantaminen, infras</w:t>
      </w:r>
      <w:r>
        <w:rPr>
          <w:noProof/>
        </w:rPr>
        <w:t>truktuurin turvallisuus tai pohjaveden tilan parantaminen ja pohjavesikerrostuman toipuminen.</w:t>
      </w:r>
    </w:p>
    <w:p w14:paraId="4B419439" w14:textId="77777777" w:rsidR="000E48CE" w:rsidRDefault="00FF4C4E">
      <w:pPr>
        <w:pStyle w:val="P68B1DB1-Normal4"/>
        <w:spacing w:before="120" w:after="120" w:line="240" w:lineRule="auto"/>
        <w:jc w:val="both"/>
        <w:rPr>
          <w:rFonts w:cs="Times New Roman"/>
          <w:noProof/>
        </w:rPr>
      </w:pPr>
      <w:r>
        <w:rPr>
          <w:noProof/>
        </w:rPr>
        <w:t>Ilmastonmuutos on pahentanut eroosion ja tulvien vaikutuksia rannikolla. Sen vuoksi Espanjan elpymis- ja palautumissuunnitelman tällä osa-alueella on myös pantava</w:t>
      </w:r>
      <w:r>
        <w:rPr>
          <w:noProof/>
        </w:rPr>
        <w:t xml:space="preserve"> täytäntöön politiikka, jolla Espanjan rannikko mukautetaan ilmastonmuutoksen haitallisiin vaikutuksiin. Eroosion torjumiseksi ja tulvariskin vähentämiseksi on toteutettava useita sopeutumistoimenpiteitä, kuten huonontuneiden alueiden ympäristön elvyttämis</w:t>
      </w:r>
      <w:r>
        <w:rPr>
          <w:noProof/>
        </w:rPr>
        <w:t>tä, julkisen maalla sijaitsevan merialueen asianmukaisen ja asianmukaisen saavutettavuuden parantamista tai luontoon perustuvien ratkaisujen laatimista ja täytäntöönpanoa. Tämän toimintalinjan tarkoituksena on parantaa rantaviivan kykyä sietää ilmastonmuut</w:t>
      </w:r>
      <w:r>
        <w:rPr>
          <w:noProof/>
        </w:rPr>
        <w:t>oksen vaikutuksia ja valmistautua paremmin matkailualaan ja muihin rannikkoalueiden tilasta riippuvaisiin aloihin. Lisäksi tämä vahvistaa entisestään Copernicus-ohjelman roolia, sillä se on ratkaisevan tärkeä äärimmäisten sääilmiöiden vahinkojen ja vaikutu</w:t>
      </w:r>
      <w:r>
        <w:rPr>
          <w:noProof/>
        </w:rPr>
        <w:t>sten ehkäisemiseksi ja arvioimiseksi.</w:t>
      </w:r>
    </w:p>
    <w:p w14:paraId="7350F698" w14:textId="77777777" w:rsidR="000E48CE" w:rsidRDefault="00FF4C4E">
      <w:pPr>
        <w:pStyle w:val="P68B1DB1-Normal4"/>
        <w:spacing w:before="120" w:after="120" w:line="240" w:lineRule="auto"/>
        <w:jc w:val="both"/>
        <w:rPr>
          <w:rFonts w:cs="Times New Roman"/>
          <w:noProof/>
        </w:rPr>
      </w:pPr>
      <w:r>
        <w:rPr>
          <w:noProof/>
        </w:rPr>
        <w:t>Espanjan on osana tätä Espanjan elpymis- ja palautumissuunnitelman komponenttia edistettävä merialan optimaalista kestävää kehitystä ja suojeltava meriympäristöä ympäristön hyvän tilan saavuttamiseksi hyväksymällä laki</w:t>
      </w:r>
      <w:r>
        <w:rPr>
          <w:noProof/>
        </w:rPr>
        <w:t xml:space="preserve">, saattamalla meristrategiapuitedirektiivi osaksi kansallista lainsäädäntöä ja tehostamalla sen täytäntöönpanoa. </w:t>
      </w:r>
    </w:p>
    <w:p w14:paraId="7921A5A8" w14:textId="7EC3B47E" w:rsidR="000E48CE" w:rsidRDefault="00FF4C4E">
      <w:pPr>
        <w:pStyle w:val="P68B1DB1-Normal4"/>
        <w:spacing w:before="120" w:after="120" w:line="240" w:lineRule="auto"/>
        <w:jc w:val="both"/>
        <w:rPr>
          <w:rFonts w:cs="Times New Roman"/>
          <w:noProof/>
        </w:rPr>
      </w:pPr>
      <w:r>
        <w:rPr>
          <w:noProof/>
        </w:rPr>
        <w:t>Tämä Espanjan elpymis- ja palautumissuunnitelman osa auttaa keskittämään investointeihin liittyvän talouspolitiikan energiatehokkuuden ja resu</w:t>
      </w:r>
      <w:r>
        <w:rPr>
          <w:noProof/>
        </w:rPr>
        <w:t>rssien käytön edistämiseen (maakohtainen suositus 3 2019). Siinä keskitytään myös vihreään ja digitaaliseen siirtymään, erityisesti edistämällä tutkimusta ja innovointia, energialähteiden puhdasta ja tehokasta tuotantoa ja käyttöä, energiainfrastruktuuria,</w:t>
      </w:r>
      <w:r>
        <w:rPr>
          <w:noProof/>
        </w:rPr>
        <w:t xml:space="preserve"> vesi- ja jätehuoltoa ja kestävää liikennettä (maakohtainen suositus 3 2020). Se myös parantaa veden uudelleenkäyttöä (maakohtainen suositus 3 2022). </w:t>
      </w:r>
    </w:p>
    <w:p w14:paraId="1B2C36A4" w14:textId="77777777" w:rsidR="000E48CE" w:rsidRDefault="00FF4C4E">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w:t>
      </w:r>
      <w:r>
        <w:rPr>
          <w:noProof/>
        </w:rPr>
        <w:t>itettua merkittävää haittaa ympäristötavoitteille, kun otetaan huomioon ”ei merkittävää haittaa” -periaatteen soveltamista koskevien teknisten ohjeiden (2021/C58/01) mukaiset elpymis- ja palautumissuunnitelmassa esitettyjen toimenpiteiden kuvaus ja lievent</w:t>
      </w:r>
      <w:r>
        <w:rPr>
          <w:noProof/>
        </w:rPr>
        <w:t>ävät toimet.</w:t>
      </w:r>
    </w:p>
    <w:p w14:paraId="47EE4D1F" w14:textId="77777777" w:rsidR="000E48CE" w:rsidRDefault="00FF4C4E">
      <w:pPr>
        <w:pStyle w:val="P68B1DB1-Normal5"/>
        <w:keepNext/>
        <w:spacing w:before="120" w:after="120" w:line="240" w:lineRule="auto"/>
        <w:ind w:left="720"/>
        <w:jc w:val="both"/>
        <w:rPr>
          <w:rFonts w:cs="Times New Roman"/>
          <w:i/>
          <w:noProof/>
        </w:rPr>
      </w:pPr>
      <w:r>
        <w:rPr>
          <w:noProof/>
        </w:rPr>
        <w:t xml:space="preserve">E.1. </w:t>
      </w:r>
      <w:r>
        <w:rPr>
          <w:noProof/>
        </w:rPr>
        <w:tab/>
        <w:t>Kuvaus uudistuksista ja investoinneista, joita rahoitetaan rahoitustuella, jota ei makseta takaisin</w:t>
      </w:r>
    </w:p>
    <w:p w14:paraId="6B2567BA" w14:textId="77777777" w:rsidR="000E48CE" w:rsidRDefault="00FF4C4E">
      <w:pPr>
        <w:pStyle w:val="P68B1DB1-Normal6"/>
        <w:keepNext/>
        <w:spacing w:before="120" w:after="120" w:line="240" w:lineRule="auto"/>
        <w:jc w:val="both"/>
        <w:rPr>
          <w:rFonts w:cs="Times New Roman"/>
          <w:noProof/>
        </w:rPr>
      </w:pPr>
      <w:r>
        <w:rPr>
          <w:noProof/>
        </w:rPr>
        <w:t>Uudistus 1 (C5.R1) – Vesisuunnitelmat ja -strategiat sekä sääntelyn muutokset</w:t>
      </w:r>
    </w:p>
    <w:p w14:paraId="20497A4A" w14:textId="77777777" w:rsidR="000E48CE" w:rsidRDefault="00FF4C4E">
      <w:pPr>
        <w:pStyle w:val="P68B1DB1-Normal4"/>
        <w:keepNext/>
        <w:spacing w:before="120" w:after="120" w:line="240" w:lineRule="auto"/>
        <w:jc w:val="both"/>
        <w:rPr>
          <w:rFonts w:cs="Times New Roman"/>
          <w:noProof/>
        </w:rPr>
      </w:pPr>
      <w:r>
        <w:rPr>
          <w:noProof/>
        </w:rPr>
        <w:t>Uudistuksessa käsitellään vesilain, sen asetusten ja muun s</w:t>
      </w:r>
      <w:r>
        <w:rPr>
          <w:noProof/>
        </w:rPr>
        <w:t>ekundaarilainsäädännön tarkistamista ja päivittämistä investointien edistämiseksi suotuisan oikeudellisen kehyksen varmistamiseksi. Uudistukseen sisältyy sellaisten suunnitelmien ja strategioiden hyväksyminen ja tarkistaminen, jotka muodostavat perustan in</w:t>
      </w:r>
      <w:r>
        <w:rPr>
          <w:noProof/>
        </w:rPr>
        <w:t xml:space="preserve">vestoinneille ja vesihuollolle, joilla vahvistetaan ja lisätään investointeja. Nämä sääntelymuutokset on sovitettava yhteen Euroopan vihreän kehityksen ohjelman kanssa. </w:t>
      </w:r>
    </w:p>
    <w:p w14:paraId="4F41A8EA" w14:textId="44889464" w:rsidR="000E48CE" w:rsidRDefault="00FF4C4E">
      <w:pPr>
        <w:pStyle w:val="P68B1DB1-Normal4"/>
        <w:spacing w:before="120" w:after="120" w:line="240" w:lineRule="auto"/>
        <w:jc w:val="both"/>
        <w:rPr>
          <w:rFonts w:cs="Times New Roman"/>
          <w:noProof/>
        </w:rPr>
      </w:pPr>
      <w:r>
        <w:rPr>
          <w:noProof/>
        </w:rPr>
        <w:t>Uudistuksessa käsitellään useita kaikentyyppiseen veteen liittyviä kysymyksiä, kuten j</w:t>
      </w:r>
      <w:r>
        <w:rPr>
          <w:noProof/>
        </w:rPr>
        <w:t>äteveden uudelleenkäyttöä koskevan rahoituskehyksen parantaminen, patojen ja niiden altaiden turvallisuutta koskevien teknisten standardien hyväksyminen sekä veden puhdistusta, kunnostamista, tehokkuutta, säästöjä ja uudelleenkäyttöä koskevan kansallisen s</w:t>
      </w:r>
      <w:r>
        <w:rPr>
          <w:noProof/>
        </w:rPr>
        <w:t xml:space="preserve">uunnitelman hyväksyminen (puhdistuksen, sanitaation, tehokkuuden, säästöjen, uudelleenkäytön ja infrastruktuurin turvallisuuden toteuttaminen). </w:t>
      </w:r>
    </w:p>
    <w:p w14:paraId="34A42ADB" w14:textId="45166EA4" w:rsidR="000E48CE" w:rsidRDefault="00FF4C4E">
      <w:pPr>
        <w:pStyle w:val="P68B1DB1-Normal4"/>
        <w:spacing w:before="120" w:after="120" w:line="240" w:lineRule="auto"/>
        <w:jc w:val="both"/>
        <w:rPr>
          <w:rFonts w:cs="Times New Roman"/>
          <w:noProof/>
        </w:rPr>
      </w:pPr>
      <w:r>
        <w:rPr>
          <w:noProof/>
        </w:rPr>
        <w:t xml:space="preserve">Toimenpide on saatettava päätökseen viimeistään 30 päivänä kesäkuuta 2023. </w:t>
      </w:r>
    </w:p>
    <w:p w14:paraId="431D7824" w14:textId="77777777" w:rsidR="000E48CE" w:rsidRDefault="00FF4C4E">
      <w:pPr>
        <w:pStyle w:val="P68B1DB1-Normal6"/>
        <w:spacing w:before="120" w:after="120" w:line="240" w:lineRule="auto"/>
        <w:jc w:val="both"/>
        <w:rPr>
          <w:rFonts w:cs="Times New Roman"/>
          <w:noProof/>
        </w:rPr>
      </w:pPr>
      <w:r>
        <w:rPr>
          <w:noProof/>
        </w:rPr>
        <w:t>Investointi 1 (C5.I1) – Käsittely-,</w:t>
      </w:r>
      <w:r>
        <w:rPr>
          <w:noProof/>
        </w:rPr>
        <w:t xml:space="preserve"> sanitaatio-, tehokkuus-, säästö-, uudelleenkäyttö- ja infrastruktuuriturvallisuustoimien toteuttaminen (DESEAR)</w:t>
      </w:r>
    </w:p>
    <w:p w14:paraId="3F9DF6FF" w14:textId="77777777" w:rsidR="000E48CE" w:rsidRDefault="00FF4C4E">
      <w:pPr>
        <w:pStyle w:val="P68B1DB1-Normal4"/>
        <w:spacing w:before="120" w:after="120" w:line="240" w:lineRule="auto"/>
        <w:jc w:val="both"/>
        <w:rPr>
          <w:rFonts w:cs="Times New Roman"/>
          <w:noProof/>
        </w:rPr>
      </w:pPr>
      <w:r>
        <w:rPr>
          <w:noProof/>
        </w:rPr>
        <w:t>Investoinnilla on toteutettava seuraavat toimet:</w:t>
      </w:r>
    </w:p>
    <w:p w14:paraId="73C11D16" w14:textId="46B1A063" w:rsidR="000E48CE" w:rsidRDefault="00FF4C4E">
      <w:pPr>
        <w:pStyle w:val="P68B1DB1-Normal4"/>
        <w:numPr>
          <w:ilvl w:val="0"/>
          <w:numId w:val="91"/>
        </w:numPr>
        <w:spacing w:before="120" w:after="160" w:line="240" w:lineRule="auto"/>
        <w:contextualSpacing/>
        <w:jc w:val="both"/>
        <w:rPr>
          <w:rFonts w:cs="Times New Roman"/>
          <w:noProof/>
        </w:rPr>
      </w:pPr>
      <w:r>
        <w:rPr>
          <w:noProof/>
        </w:rPr>
        <w:t>Veden puhdistus-, sanitaatio- ja uudelleenkäyttötoimenpiteiden täytäntöönpano. Tämän toimintalinjan tavoitteena on parantaa yhdyskuntajätevesien keräystä ja käsittelyä. Joissakin tapauksissa toimissa on käytettävä uudelleen yhdyskuntajätevettä, mikä vähent</w:t>
      </w:r>
      <w:r>
        <w:rPr>
          <w:noProof/>
        </w:rPr>
        <w:t>ää nykyisiä vedenottopaineita. Uusilla käsittelytoimenpiteillä on saavutettava energian nollanettokulutus täydellisessä jätevedenkäsittelyjärjestelmässä. Infrastruktuurit on otettava huomioon ainakin sellaisten uusien tai parannettujen jätevedenkäsittelyin</w:t>
      </w:r>
      <w:r>
        <w:rPr>
          <w:noProof/>
        </w:rPr>
        <w:t>frastruktuurien osalta, jotka tarjoavat lisäkapasiteettia jäteveden käsittelyyn. Käsittely on määriteltävä uudelleen tai parannettava vähintään yhdyskuntajätevesien käsittelystä annetun direktiivin 91/271/ETY mukaisesti. Olemassa olevan infrastruktuurin pa</w:t>
      </w:r>
      <w:r>
        <w:rPr>
          <w:noProof/>
        </w:rPr>
        <w:t>rantamisen ja uudistamisen on johdettava keskimääräisen energiankulutuksen vähenemiseen vähintään 10 prosentilla. Nämä säästöt on saavutettava toteuttamalla energiatehokkuustoimenpiteitä (yhteistuotanto, energian ja lämmön talteenotto, aurinkosähköpaneelit</w:t>
      </w:r>
      <w:r>
        <w:rPr>
          <w:noProof/>
        </w:rPr>
        <w:t xml:space="preserve">, LED-valaistus jne.) hankkeiden valmistelussa ja ottamalla käyttöön energiatehokkuuslausekkeita ja -kriteereitä hanke- ja työpyynnöissä. </w:t>
      </w:r>
    </w:p>
    <w:p w14:paraId="5832932A" w14:textId="77777777" w:rsidR="000E48CE" w:rsidRDefault="00FF4C4E">
      <w:pPr>
        <w:pStyle w:val="P68B1DB1-Normal4"/>
        <w:numPr>
          <w:ilvl w:val="0"/>
          <w:numId w:val="91"/>
        </w:numPr>
        <w:spacing w:before="120" w:after="160" w:line="240" w:lineRule="auto"/>
        <w:contextualSpacing/>
        <w:jc w:val="both"/>
        <w:rPr>
          <w:rFonts w:cs="Times New Roman"/>
          <w:noProof/>
        </w:rPr>
      </w:pPr>
      <w:r>
        <w:rPr>
          <w:noProof/>
        </w:rPr>
        <w:t>Toimet tehokkuuden parantamiseksi ja vesihävikin vähentämiseksi. Toimissa on pantava täytäntöön tukijärjestelmä, joll</w:t>
      </w:r>
      <w:r>
        <w:rPr>
          <w:noProof/>
        </w:rPr>
        <w:t xml:space="preserve">a parannetaan keskikokoisten ja pienten kuntien toimitusverkostojen tehokkuutta ja annetaan vedenjakelusta vastaaville kunnille tai julkisille elimille mahdollisuus parantaa sitä vähentämällä jakeluverkkojen hävikkiä ja toteuttamalla toimia vesivarastojen </w:t>
      </w:r>
      <w:r>
        <w:rPr>
          <w:noProof/>
        </w:rPr>
        <w:t xml:space="preserve">sekä keskisuurten ja pienten kuntien laitosten korjaamiseksi ja parantamiseksi. Näiden infrastruktuurien palvelemien asukkaiden on vastattava vedenjakeluverkon palvelemia asukkaita. </w:t>
      </w:r>
    </w:p>
    <w:p w14:paraId="1C71DD76" w14:textId="77777777" w:rsidR="000E48CE" w:rsidRDefault="00FF4C4E">
      <w:pPr>
        <w:pStyle w:val="P68B1DB1-Normal4"/>
        <w:numPr>
          <w:ilvl w:val="0"/>
          <w:numId w:val="91"/>
        </w:numPr>
        <w:spacing w:after="0" w:line="240" w:lineRule="auto"/>
        <w:ind w:left="357" w:hanging="357"/>
        <w:jc w:val="both"/>
        <w:rPr>
          <w:rFonts w:cs="Times New Roman"/>
          <w:noProof/>
        </w:rPr>
      </w:pPr>
      <w:r>
        <w:rPr>
          <w:noProof/>
        </w:rPr>
        <w:t xml:space="preserve">Investoinnit patojen ja säiliöiden turvallisuuden parantamiseksi. Näillä </w:t>
      </w:r>
      <w:r>
        <w:rPr>
          <w:noProof/>
        </w:rPr>
        <w:t>toimilla on varmistettava olemassa olevien suurten valtion omistamien patojen turvallisuus panemalla täytäntöön vastaavat pelastussuunnitelmat ja muut täydentävät toimet. Tämä ei saa johtaa uusien patojen rakentamiseen tai olemassa olevien patojen laajenta</w:t>
      </w:r>
      <w:r>
        <w:rPr>
          <w:noProof/>
        </w:rPr>
        <w:t>miseen.</w:t>
      </w:r>
    </w:p>
    <w:p w14:paraId="5D5FA6C3" w14:textId="48C32B9A" w:rsidR="000E48CE" w:rsidRDefault="00FF4C4E">
      <w:pPr>
        <w:pStyle w:val="P68B1DB1-Normal4"/>
        <w:numPr>
          <w:ilvl w:val="0"/>
          <w:numId w:val="91"/>
        </w:numPr>
        <w:spacing w:after="0" w:line="240" w:lineRule="auto"/>
        <w:ind w:left="357" w:hanging="357"/>
        <w:jc w:val="both"/>
        <w:rPr>
          <w:rFonts w:cs="Times New Roman"/>
          <w:noProof/>
        </w:rPr>
      </w:pPr>
      <w:r>
        <w:rPr>
          <w:noProof/>
        </w:rPr>
        <w:t>Toimet energia- ja vesitehokkuuden parantamiseksi kaupunkivesikierrossa. Näillä toimilla edistetään hankkeita, jotka liittyvät veden puhdistamiseen, sanitaatioon ja uudelleenkäyttöön, vedenkäytön tehokkuuden parantamiseen ja vesihävikin vähentämise</w:t>
      </w:r>
      <w:r>
        <w:rPr>
          <w:noProof/>
        </w:rPr>
        <w:t xml:space="preserve">en veden käyttäjien digitalisoinnin avulla. Tämä on tehtävä L’Horta Sudin alueella Valenciassa tarjoamalla uusia infrastruktuureja vedenpuhdistamiseen, sanitaatioon ja uudelleenkäyttöön 250000 asukasvastinelukua varten; ja Alicantessa sijaitsevassa Rincón </w:t>
      </w:r>
      <w:r>
        <w:rPr>
          <w:noProof/>
        </w:rPr>
        <w:t xml:space="preserve">de Leónin puhdistamossa kastelun vesihuollon parantaminen 18500 hehtaarissa.  </w:t>
      </w:r>
    </w:p>
    <w:p w14:paraId="0A4C1CF3" w14:textId="1401AC90" w:rsidR="000E48CE" w:rsidRDefault="00FF4C4E">
      <w:pPr>
        <w:pStyle w:val="P68B1DB1-Normal4"/>
        <w:spacing w:before="120" w:after="120" w:line="240" w:lineRule="auto"/>
        <w:jc w:val="both"/>
        <w:rPr>
          <w:rFonts w:cs="Times New Roman"/>
          <w:noProof/>
        </w:rPr>
      </w:pPr>
      <w:r>
        <w:rPr>
          <w:noProof/>
        </w:rPr>
        <w:t xml:space="preserve">Investointi on saatettava päätökseen viimeistään 30 päivänä kesäkuuta 2026. </w:t>
      </w:r>
    </w:p>
    <w:p w14:paraId="277B6F8E" w14:textId="77777777" w:rsidR="000E48CE" w:rsidRDefault="00FF4C4E">
      <w:pPr>
        <w:pStyle w:val="P68B1DB1-Normal6"/>
        <w:spacing w:before="120" w:after="120" w:line="240" w:lineRule="auto"/>
        <w:jc w:val="both"/>
        <w:rPr>
          <w:rFonts w:cs="Times New Roman"/>
          <w:noProof/>
        </w:rPr>
      </w:pPr>
      <w:r>
        <w:rPr>
          <w:noProof/>
        </w:rPr>
        <w:t>Investointi 2 (C5.I2) – Jokiekosysteemien seuranta ja ennallistaminen, pohjavesien elpyminen ja tulv</w:t>
      </w:r>
      <w:r>
        <w:rPr>
          <w:noProof/>
        </w:rPr>
        <w:t>ariskien lieventäminen</w:t>
      </w:r>
    </w:p>
    <w:p w14:paraId="289BB7B3" w14:textId="77777777" w:rsidR="000E48CE" w:rsidRDefault="00FF4C4E">
      <w:pPr>
        <w:pStyle w:val="P68B1DB1-Normal4"/>
        <w:spacing w:before="120" w:after="120" w:line="240" w:lineRule="auto"/>
        <w:jc w:val="both"/>
        <w:rPr>
          <w:rFonts w:cs="Times New Roman"/>
          <w:noProof/>
        </w:rPr>
      </w:pPr>
      <w:r>
        <w:rPr>
          <w:noProof/>
        </w:rPr>
        <w:t>Investoinnin tavoitteena on</w:t>
      </w:r>
    </w:p>
    <w:p w14:paraId="4D23A9E6" w14:textId="77777777" w:rsidR="000E48CE" w:rsidRDefault="00FF4C4E">
      <w:pPr>
        <w:pStyle w:val="P68B1DB1-Normal4"/>
        <w:numPr>
          <w:ilvl w:val="0"/>
          <w:numId w:val="92"/>
        </w:numPr>
        <w:spacing w:before="120" w:after="160" w:line="240" w:lineRule="auto"/>
        <w:contextualSpacing/>
        <w:jc w:val="both"/>
        <w:rPr>
          <w:rFonts w:cs="Times New Roman"/>
          <w:noProof/>
        </w:rPr>
      </w:pPr>
      <w:r>
        <w:rPr>
          <w:noProof/>
        </w:rPr>
        <w:t xml:space="preserve">Seurata ja ennallistaa jokiekosysteemejä ja luonnonjokialueita. Tähän kohtaan sisältyy useita konkreettisia toimia, joilla pyritään ennallistamaan jokialueita, laajentamaan seurantaverkostoja ja </w:t>
      </w:r>
      <w:r>
        <w:rPr>
          <w:noProof/>
        </w:rPr>
        <w:t>parantamaan sitä uhkaavien hydrologis-morfologisten paineiden kartoitusta.</w:t>
      </w:r>
    </w:p>
    <w:p w14:paraId="00815E0F" w14:textId="77777777" w:rsidR="000E48CE" w:rsidRDefault="00FF4C4E">
      <w:pPr>
        <w:pStyle w:val="P68B1DB1-Normal4"/>
        <w:numPr>
          <w:ilvl w:val="0"/>
          <w:numId w:val="92"/>
        </w:numPr>
        <w:spacing w:before="120" w:after="160" w:line="240" w:lineRule="auto"/>
        <w:contextualSpacing/>
        <w:jc w:val="both"/>
        <w:rPr>
          <w:rFonts w:cs="Times New Roman"/>
          <w:noProof/>
        </w:rPr>
      </w:pPr>
      <w:r>
        <w:rPr>
          <w:noProof/>
        </w:rPr>
        <w:t>Toteuttaa toimia tulvariskin lieventämiseksi. Tähän toimintalinjaan kuuluvat jo olemassa olevat tulvariskien hallintasuunnitelmat, mukaan lukien alue- ja kaupunkisuunnittelua koskev</w:t>
      </w:r>
      <w:r>
        <w:rPr>
          <w:noProof/>
        </w:rPr>
        <w:t>at ennaltaehkäisevät toimenpiteet, teknisten suuntaviivojen laatiminen tulva-alueiden haavoittuvuuden vähentämiseksi ja talouden eri alojen tulvariskeihin sopeutumisen edistämiseksi. Lisäksi kuntien on puututtava jokien ennallistamistoimenpiteiden täytäntö</w:t>
      </w:r>
      <w:r>
        <w:rPr>
          <w:noProof/>
        </w:rPr>
        <w:t>önpanoon kaupunkiympäristöissä, otettava käyttöön kestäviä viemäröintijärjestelmiä ja parannettava kaupunkiympäristöjen läpäisevyyttä ja niiden yhteyttä jokien ympäristöarvoihin kaupunkialueilla kehittämällä vesisuunnittelun teknisiä suuntaviivoja ja tavoi</w:t>
      </w:r>
      <w:r>
        <w:rPr>
          <w:noProof/>
        </w:rPr>
        <w:t>tteita.</w:t>
      </w:r>
    </w:p>
    <w:p w14:paraId="5F010068" w14:textId="77777777" w:rsidR="000E48CE" w:rsidRDefault="00FF4C4E">
      <w:pPr>
        <w:pStyle w:val="P68B1DB1-Normal4"/>
        <w:numPr>
          <w:ilvl w:val="0"/>
          <w:numId w:val="92"/>
        </w:numPr>
        <w:spacing w:before="120" w:after="120" w:line="240" w:lineRule="auto"/>
        <w:ind w:left="357" w:hanging="357"/>
        <w:jc w:val="both"/>
        <w:rPr>
          <w:rFonts w:cs="Times New Roman"/>
          <w:noProof/>
        </w:rPr>
      </w:pPr>
      <w:r>
        <w:rPr>
          <w:noProof/>
        </w:rPr>
        <w:t xml:space="preserve">Toteuttaa toimenpiteitä, joilla vähennetään pohjavedenottoa käyttämällä vaihtoehtoisia luonnonvaroja (akviferin talteenotto). Näillä toimenpiteillä vähennetään joidenkin pohjavesimuodostumien – erityisesti </w:t>
      </w:r>
      <w:r>
        <w:rPr>
          <w:i/>
          <w:noProof/>
        </w:rPr>
        <w:t>Doñanan</w:t>
      </w:r>
      <w:r>
        <w:rPr>
          <w:noProof/>
        </w:rPr>
        <w:t xml:space="preserve"> aluetta ja tiettyjä pohjavesiesiin</w:t>
      </w:r>
      <w:r>
        <w:rPr>
          <w:noProof/>
        </w:rPr>
        <w:t>tymiä Kaakkois-Espanjassa uhkaavien pohjavesimuodostumien – vedenottoa ja laajennettava pietsometrisiä seurantaverkostoja.</w:t>
      </w:r>
    </w:p>
    <w:p w14:paraId="5B3C678C" w14:textId="2E08BE8F" w:rsidR="000E48CE" w:rsidRDefault="00FF4C4E">
      <w:pPr>
        <w:pStyle w:val="P68B1DB1-Normal4"/>
        <w:numPr>
          <w:ilvl w:val="0"/>
          <w:numId w:val="92"/>
        </w:numPr>
        <w:spacing w:before="120" w:after="120" w:line="240" w:lineRule="auto"/>
        <w:ind w:left="357" w:hanging="357"/>
        <w:jc w:val="both"/>
        <w:rPr>
          <w:rFonts w:cs="Times New Roman"/>
          <w:noProof/>
        </w:rPr>
      </w:pPr>
      <w:r>
        <w:rPr>
          <w:noProof/>
        </w:rPr>
        <w:t xml:space="preserve">Aurinkosähkön toimittaminen suolanpoistolaitoksille ja niiden jakelu.  </w:t>
      </w:r>
    </w:p>
    <w:p w14:paraId="7CC753ED" w14:textId="1F45D746" w:rsidR="000E48CE" w:rsidRDefault="00FF4C4E">
      <w:pPr>
        <w:pStyle w:val="P68B1DB1-Normal4"/>
        <w:spacing w:before="120" w:after="120" w:line="240" w:lineRule="auto"/>
        <w:jc w:val="both"/>
        <w:rPr>
          <w:rFonts w:cs="Times New Roman"/>
          <w:noProof/>
        </w:rPr>
      </w:pPr>
      <w:r>
        <w:rPr>
          <w:noProof/>
        </w:rPr>
        <w:t>Tämän toimenpiteen ei odoteta aiheuttavan merkittävää haittaa</w:t>
      </w:r>
      <w:r>
        <w:rPr>
          <w:noProof/>
        </w:rPr>
        <w:t xml:space="preserve"> asetuksen (EU) 2020/852 17 artiklassa tarkoitetuille ympäristötavoitteille, kun otetaan huomioon ”ei merkittävää haittaa” -periaatetta koskevien teknisten ohjeiden (2021/C58/01) mukainen elpymis- ja palautumissuunnitelmassa esitetty toimenpiteen kuvaus ja</w:t>
      </w:r>
      <w:r>
        <w:rPr>
          <w:noProof/>
        </w:rPr>
        <w:t xml:space="preserve"> lieventävät toimenpiteet. Erityisesti suolanpoistoveden tuotannossa on käytettävä parasta saatavilla olevaa teknologiaa, jonka ympäristövaikutukset alalla ovat vähäisimmät. </w:t>
      </w:r>
    </w:p>
    <w:p w14:paraId="4B2AF1BD" w14:textId="247F5344" w:rsidR="000E48CE" w:rsidRDefault="00FF4C4E">
      <w:pPr>
        <w:pStyle w:val="P68B1DB1-Normal4"/>
        <w:spacing w:before="120" w:after="120" w:line="240" w:lineRule="auto"/>
        <w:jc w:val="both"/>
        <w:rPr>
          <w:rFonts w:cs="Times New Roman"/>
          <w:noProof/>
        </w:rPr>
      </w:pPr>
      <w:r>
        <w:rPr>
          <w:noProof/>
        </w:rPr>
        <w:t xml:space="preserve">Tämä investointi on saatettava päätökseen 30 päivään kesäkuuta 2026 mennessä. </w:t>
      </w:r>
    </w:p>
    <w:p w14:paraId="070A9A31" w14:textId="19BC6F22" w:rsidR="000E48CE" w:rsidRDefault="00FF4C4E">
      <w:pPr>
        <w:pStyle w:val="P68B1DB1-Normal6"/>
        <w:spacing w:before="120" w:after="120" w:line="240" w:lineRule="auto"/>
        <w:jc w:val="both"/>
        <w:rPr>
          <w:rFonts w:cs="Times New Roman"/>
          <w:noProof/>
        </w:rPr>
      </w:pPr>
      <w:r>
        <w:rPr>
          <w:noProof/>
        </w:rPr>
        <w:t>In</w:t>
      </w:r>
      <w:r>
        <w:rPr>
          <w:noProof/>
        </w:rPr>
        <w:t>vestointi 3 (C5.I3) – Digitaalinen siirtymä vesialalla (digitaalinen ympäristövalvonta) – Talouden elpymistä ja muutosta koskeva strateginen hanke (PERTE) vedenkäytön digitalisointia varten.</w:t>
      </w:r>
    </w:p>
    <w:p w14:paraId="554E6A8B" w14:textId="77777777" w:rsidR="000E48CE" w:rsidRDefault="00FF4C4E">
      <w:pPr>
        <w:pStyle w:val="P68B1DB1-Normal4"/>
        <w:spacing w:before="120" w:after="120" w:line="240" w:lineRule="auto"/>
        <w:jc w:val="both"/>
        <w:rPr>
          <w:rFonts w:cs="Times New Roman"/>
          <w:noProof/>
        </w:rPr>
      </w:pPr>
      <w:r>
        <w:rPr>
          <w:noProof/>
        </w:rPr>
        <w:t>Digitaalisella siirtymällä voi olla ratkaiseva rooli vesialan teh</w:t>
      </w:r>
      <w:r>
        <w:rPr>
          <w:noProof/>
        </w:rPr>
        <w:t xml:space="preserve">okkuuden parantamisessa. Vesihuollon digitalisoinnin parantamiseksi investointiin on kuuluttava kolme toimintalinjaa:  </w:t>
      </w:r>
    </w:p>
    <w:p w14:paraId="215E8BC9" w14:textId="627C0C7C" w:rsidR="000E48CE" w:rsidRDefault="00FF4C4E">
      <w:pPr>
        <w:pStyle w:val="P68B1DB1-ListParagraph7"/>
        <w:numPr>
          <w:ilvl w:val="0"/>
          <w:numId w:val="93"/>
        </w:numPr>
        <w:spacing w:before="120" w:line="240" w:lineRule="auto"/>
        <w:jc w:val="both"/>
        <w:rPr>
          <w:rFonts w:cs="Times New Roman"/>
          <w:noProof/>
        </w:rPr>
      </w:pPr>
      <w:r>
        <w:rPr>
          <w:noProof/>
        </w:rPr>
        <w:t>Vesivarojen tuntemuksen ja käytön parantaminen – PERTE vedenkäytön digitalisointia varten. Tällä PERTE-ohjelmalla nykyaikaistetaan veden</w:t>
      </w:r>
      <w:r>
        <w:rPr>
          <w:noProof/>
        </w:rPr>
        <w:t xml:space="preserve"> kiertokulkua digitalisaation ja innovoinnin avulla. Näin saavutetaan tehokkaampi ja kestävämpi vesihuolto parantamalla tietämystä vedenkäytöstä digitalisoinnin avulla. Tämä toteutetaan tukemalla ohjelmia, joilla edistetään digitalisaatiota kaupunkien vede</w:t>
      </w:r>
      <w:r>
        <w:rPr>
          <w:noProof/>
        </w:rPr>
        <w:t xml:space="preserve">n kiertokulussa, tarjouskilpailujen avulla ja kastelussa digitaalisen kastelujärjestelmän kautta. </w:t>
      </w:r>
    </w:p>
    <w:p w14:paraId="18993E17" w14:textId="77777777" w:rsidR="000E48CE" w:rsidRDefault="00FF4C4E">
      <w:pPr>
        <w:pStyle w:val="P68B1DB1-ListParagraph7"/>
        <w:numPr>
          <w:ilvl w:val="0"/>
          <w:numId w:val="93"/>
        </w:numPr>
        <w:spacing w:after="0" w:line="240" w:lineRule="auto"/>
        <w:jc w:val="both"/>
        <w:rPr>
          <w:rFonts w:cs="Times New Roman"/>
          <w:noProof/>
        </w:rPr>
      </w:pPr>
      <w:r>
        <w:rPr>
          <w:noProof/>
        </w:rPr>
        <w:t xml:space="preserve">Toimet vesistöalueiden ja rannikkoalueiden sademäärien seuraamiseksi. Tällä toimintalinjalla edistetään säätutkaverkon uudistamista ja sen täydentämistä uusilla lyhyen kaistan laitteilla, kuten automaattisten sääasemien uudistamista ja parantamista tutkan </w:t>
      </w:r>
      <w:r>
        <w:rPr>
          <w:noProof/>
        </w:rPr>
        <w:t xml:space="preserve">reaaliaikaista kalibrointia varten sekä kansallisen tutkakeskuksen suunnittelua, kehittämistä ja toteuttamista. </w:t>
      </w:r>
    </w:p>
    <w:p w14:paraId="6F6BD6C5" w14:textId="77777777" w:rsidR="000E48CE" w:rsidRDefault="00FF4C4E">
      <w:pPr>
        <w:pStyle w:val="P68B1DB1-Normal4"/>
        <w:numPr>
          <w:ilvl w:val="0"/>
          <w:numId w:val="93"/>
        </w:numPr>
        <w:spacing w:after="0" w:line="240" w:lineRule="auto"/>
        <w:ind w:left="357" w:hanging="357"/>
        <w:jc w:val="both"/>
        <w:rPr>
          <w:rFonts w:cs="Times New Roman"/>
          <w:noProof/>
        </w:rPr>
      </w:pPr>
      <w:r>
        <w:rPr>
          <w:noProof/>
        </w:rPr>
        <w:t>Parannettu säähavainnointi, seuranta ja ilmastoriskien ehkäiseminen, mukaan lukien uusi yhdennetty sääapujärjestelmä, säähavainnointivälineet v</w:t>
      </w:r>
      <w:r>
        <w:rPr>
          <w:noProof/>
        </w:rPr>
        <w:t>arhaisvaroitusta varten, mukaan lukien integroidun maailmanlaajuisen havainnointijärjestelmän käyttöönotto, ulkoistaminen, automaattinen laadunvalvonta ja säätietojen merkitseminen käyttämällä tekoälytekniikoita, sekä NoSQL-tietojen syvyys suurten tietomää</w:t>
      </w:r>
      <w:r>
        <w:rPr>
          <w:noProof/>
        </w:rPr>
        <w:t xml:space="preserve">rien käsittelyyn perustuvien tietojen tehokasta täytäntöönpanoa varten. </w:t>
      </w:r>
    </w:p>
    <w:p w14:paraId="660533E1" w14:textId="77777777" w:rsidR="000E48CE" w:rsidRDefault="00FF4C4E">
      <w:pPr>
        <w:pStyle w:val="P68B1DB1-Normal4"/>
        <w:spacing w:before="120" w:after="120" w:line="240" w:lineRule="auto"/>
        <w:jc w:val="both"/>
        <w:rPr>
          <w:rFonts w:cs="Times New Roman"/>
          <w:noProof/>
        </w:rPr>
      </w:pPr>
      <w:r>
        <w:rPr>
          <w:noProof/>
        </w:rPr>
        <w:t>Investointi koskee 26 välineen tai uudistetun infrastruktuurin käyttöönottoa vesivaroja koskevan tietämyksen ja käytön parantamiseksi sekä sademäärien ja muiden säätietojen seuraamise</w:t>
      </w:r>
      <w:r>
        <w:rPr>
          <w:noProof/>
        </w:rPr>
        <w:t>ksi ilmastoriskien ehkäisemiseksi.</w:t>
      </w:r>
    </w:p>
    <w:p w14:paraId="09230588" w14:textId="0A75C870" w:rsidR="000E48CE" w:rsidRDefault="00FF4C4E">
      <w:pPr>
        <w:pStyle w:val="P68B1DB1-Normal4"/>
        <w:spacing w:before="120" w:after="120" w:line="240" w:lineRule="auto"/>
        <w:jc w:val="both"/>
        <w:rPr>
          <w:rFonts w:cs="Times New Roman"/>
          <w:noProof/>
        </w:rPr>
      </w:pPr>
      <w:r>
        <w:rPr>
          <w:noProof/>
        </w:rPr>
        <w:t xml:space="preserve">Investointi on saatettava päätökseen viimeistään 30 päivänä kesäkuuta 2026. </w:t>
      </w:r>
    </w:p>
    <w:p w14:paraId="5E7C27E2" w14:textId="77777777" w:rsidR="000E48CE" w:rsidRDefault="00FF4C4E">
      <w:pPr>
        <w:pStyle w:val="P68B1DB1-Normal6"/>
        <w:keepNext/>
        <w:spacing w:before="120" w:after="120" w:line="240" w:lineRule="auto"/>
        <w:jc w:val="both"/>
        <w:rPr>
          <w:rFonts w:cs="Times New Roman"/>
          <w:noProof/>
        </w:rPr>
      </w:pPr>
      <w:r>
        <w:rPr>
          <w:noProof/>
        </w:rPr>
        <w:t>Investointi 4 (C5.I4) – Rannikkoviivan mukauttaminen ilmastonmuutokseen sekä meristrategioiden ja merten aluesuunnittelusuunnitelmien täytäntöön</w:t>
      </w:r>
      <w:r>
        <w:rPr>
          <w:noProof/>
        </w:rPr>
        <w:t>pano</w:t>
      </w:r>
    </w:p>
    <w:p w14:paraId="7A7A0757" w14:textId="63972270" w:rsidR="000E48CE" w:rsidRDefault="00FF4C4E">
      <w:pPr>
        <w:pStyle w:val="P68B1DB1-Normal4"/>
        <w:keepNext/>
        <w:spacing w:before="120" w:after="120" w:line="240" w:lineRule="auto"/>
        <w:jc w:val="both"/>
        <w:rPr>
          <w:rFonts w:cs="Times New Roman"/>
          <w:noProof/>
        </w:rPr>
      </w:pPr>
      <w:r>
        <w:rPr>
          <w:noProof/>
        </w:rPr>
        <w:t>Ilmastonmuutoksella on ja sen odotetaan olevan erittäin haitallisia vaikutuksia Espanjan rannikolle. Tällä investoinnilla on pantava täytäntöön strategia rannikkoalueiden sopeutumiseksi ilmastonmuutoksen vaikutuksiin, jotta voidaan parantaa Espanjan r</w:t>
      </w:r>
      <w:r>
        <w:rPr>
          <w:noProof/>
        </w:rPr>
        <w:t xml:space="preserve">annikon kykyä sietää ilmastonmuutosta ja ilmastonmuutoksen vaihtelua ja sisällyttää ilmastonmuutokseen sopeutuminen Espanjan rannikon suunnitteluun ja hoitoon. Tähän on sisällyttävä aallonmurtajan, keinotekoisten rantojen, kelluvien pintojen, sedimenttien </w:t>
      </w:r>
      <w:r>
        <w:rPr>
          <w:noProof/>
        </w:rPr>
        <w:t xml:space="preserve">hallinta, luontoon perustuvat ratkaisut, rantojen ja dyynijärjestelmien ennallistaminen, rannikoiden suojeluinfrastruktuuri, älykkäiden verkkojen käyttöönotto rannikon eroosion etäseurantaa varten tai toimet, joilla on vastaavia vaikutuksia. </w:t>
      </w:r>
    </w:p>
    <w:p w14:paraId="6E481BF5" w14:textId="3A00F0FC" w:rsidR="000E48CE" w:rsidRDefault="00FF4C4E">
      <w:pPr>
        <w:pStyle w:val="P68B1DB1-Normal4"/>
        <w:spacing w:before="120" w:after="120" w:line="240" w:lineRule="auto"/>
        <w:jc w:val="both"/>
        <w:rPr>
          <w:rFonts w:cs="Times New Roman"/>
          <w:noProof/>
        </w:rPr>
      </w:pPr>
      <w:r>
        <w:rPr>
          <w:noProof/>
        </w:rPr>
        <w:t>Tällä investo</w:t>
      </w:r>
      <w:r>
        <w:rPr>
          <w:noProof/>
        </w:rPr>
        <w:t>innilla on suojeltava ja ennallistettava rannikkoekosysteemejä tai huonontuneita alueita. Tähän päästään erilaisin toimin, kuten sellaisten laitosten siirtäminen, joissa on tapahtunut taantumista; valtion omistaman maa-alueen rajaaminen; perusteettomasti t</w:t>
      </w:r>
      <w:r>
        <w:rPr>
          <w:noProof/>
        </w:rPr>
        <w:t>ai epäasianmukaisesti miehitetyn valtion omistaman merimaan takaisinperintä; riskien arviointi ja hallinta tai vastaavat toimet; huonontuneiden rannikkoalueiden ja ekosysteemien ympäristön elvyttäminen, rannikkoalueiden suojelu ja hoito; ja/tai vi) toimet,</w:t>
      </w:r>
      <w:r>
        <w:rPr>
          <w:noProof/>
        </w:rPr>
        <w:t xml:space="preserve"> joilla on samanlaiset vaikutukset. </w:t>
      </w:r>
    </w:p>
    <w:p w14:paraId="5490957C" w14:textId="77777777" w:rsidR="000E48CE" w:rsidRDefault="00FF4C4E">
      <w:pPr>
        <w:pStyle w:val="P68B1DB1-Normal4"/>
        <w:spacing w:before="120" w:after="120" w:line="240" w:lineRule="auto"/>
        <w:jc w:val="both"/>
        <w:rPr>
          <w:rFonts w:cs="Times New Roman"/>
          <w:noProof/>
        </w:rPr>
      </w:pPr>
      <w:r>
        <w:rPr>
          <w:noProof/>
        </w:rPr>
        <w:t>Toimenpiteellä on myös parannettava julkisen maa-alueen hallittua ja asianmukaista saavutettavuutta ottamalla maa takaisin, jotta ne voivat käyttää julkista aluetta, suunnitella, hallinnoida ja ennallistaa pääsyä tai to</w:t>
      </w:r>
      <w:r>
        <w:rPr>
          <w:noProof/>
        </w:rPr>
        <w:t>imia, joilla on vastaava vaikutus. Investoinnilla on pyrittävä strategisen merisuunnittelupolitiikan täytäntöönpanoon. Tämä toteutetaan merten aluesuunnittelulla, meristrategioilla, valtameriä ja ilmastoa koskevalla tieteellisellä neuvonnalla ja kehittämäl</w:t>
      </w:r>
      <w:r>
        <w:rPr>
          <w:noProof/>
        </w:rPr>
        <w:t xml:space="preserve">lä merten käyttäjille tarkoitettu georeferoitu verkkosovellus. </w:t>
      </w:r>
    </w:p>
    <w:p w14:paraId="1EB9D0C2" w14:textId="412FDB72" w:rsidR="000E48CE" w:rsidRDefault="00FF4C4E">
      <w:pPr>
        <w:pStyle w:val="P68B1DB1-Normal4"/>
        <w:spacing w:before="120" w:after="120" w:line="240" w:lineRule="auto"/>
        <w:jc w:val="both"/>
        <w:rPr>
          <w:rFonts w:cs="Times New Roman"/>
          <w:noProof/>
        </w:rPr>
      </w:pPr>
      <w:r>
        <w:rPr>
          <w:noProof/>
        </w:rPr>
        <w:t xml:space="preserve">Tämä investointi on saatettava päätökseen 31 päivään joulukuuta 2025 mennessä. </w:t>
      </w:r>
    </w:p>
    <w:p w14:paraId="4AE0E1B1" w14:textId="77777777" w:rsidR="000E48CE" w:rsidRDefault="00FF4C4E">
      <w:pPr>
        <w:pStyle w:val="P68B1DB1-Normal5"/>
        <w:spacing w:before="120" w:after="120" w:line="240" w:lineRule="auto"/>
        <w:ind w:left="720"/>
        <w:jc w:val="both"/>
        <w:rPr>
          <w:rFonts w:cs="Times New Roman"/>
          <w:noProof/>
        </w:rPr>
      </w:pPr>
      <w:r>
        <w:rPr>
          <w:noProof/>
        </w:rPr>
        <w:t xml:space="preserve">E.2 </w:t>
      </w:r>
      <w:r>
        <w:rPr>
          <w:noProof/>
        </w:rPr>
        <w:tab/>
        <w:t>Seurantaa ja täytäntöönpanoa koskevat välitavoitteet, tavoitteet, indikaattorit ja aikataulu – rahoitustuki</w:t>
      </w:r>
      <w:r>
        <w:rPr>
          <w:noProof/>
        </w:rPr>
        <w:t>, jota ei makseta takaisin</w:t>
      </w:r>
    </w:p>
    <w:p w14:paraId="2F87F039"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 on 1. helmikuuta 2020, ellei toimen kuvauksessa toisin ilmoiteta. Taulukossa esitetyt määrät eivät sisällä arvonlisäveroa.</w:t>
      </w:r>
    </w:p>
    <w:p w14:paraId="680A4E5D" w14:textId="77777777" w:rsidR="000E48CE" w:rsidRDefault="000E48CE">
      <w:pPr>
        <w:spacing w:before="120" w:after="120" w:line="240" w:lineRule="auto"/>
        <w:ind w:left="709"/>
        <w:jc w:val="both"/>
        <w:rPr>
          <w:rFonts w:ascii="Times New Roman" w:hAnsi="Times New Roman" w:cs="Times New Roman"/>
          <w:noProof/>
          <w:sz w:val="24"/>
        </w:rPr>
        <w:sectPr w:rsidR="000E48CE" w:rsidSect="00522183">
          <w:headerReference w:type="even" r:id="rId126"/>
          <w:headerReference w:type="default" r:id="rId127"/>
          <w:footerReference w:type="even" r:id="rId128"/>
          <w:footerReference w:type="default" r:id="rId129"/>
          <w:headerReference w:type="first" r:id="rId130"/>
          <w:footerReference w:type="first" r:id="rId13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0E48CE" w14:paraId="701187C7" w14:textId="77777777">
        <w:trPr>
          <w:trHeight w:val="309"/>
          <w:tblHeader/>
        </w:trPr>
        <w:tc>
          <w:tcPr>
            <w:tcW w:w="709" w:type="dxa"/>
            <w:tcBorders>
              <w:bottom w:val="nil"/>
            </w:tcBorders>
            <w:shd w:val="clear" w:color="auto" w:fill="C6D9F1" w:themeFill="text2" w:themeFillTint="33"/>
            <w:noWrap/>
            <w:vAlign w:val="center"/>
          </w:tcPr>
          <w:p w14:paraId="4EEC6ACA"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3A6302B5"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69514B1F"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835" w:type="dxa"/>
            <w:tcBorders>
              <w:bottom w:val="nil"/>
            </w:tcBorders>
            <w:shd w:val="clear" w:color="auto" w:fill="C6D9F1" w:themeFill="text2" w:themeFillTint="33"/>
            <w:noWrap/>
            <w:vAlign w:val="center"/>
          </w:tcPr>
          <w:p w14:paraId="178F8722" w14:textId="77777777" w:rsidR="000E48CE" w:rsidRDefault="00FF4C4E">
            <w:pPr>
              <w:pStyle w:val="P68B1DB1-Normal12"/>
              <w:spacing w:after="0" w:line="240" w:lineRule="auto"/>
              <w:jc w:val="center"/>
              <w:rPr>
                <w:rFonts w:cs="Times New Roman"/>
                <w:noProof/>
              </w:rPr>
            </w:pPr>
            <w:r>
              <w:rPr>
                <w:noProof/>
              </w:rPr>
              <w:t>Nimi</w:t>
            </w:r>
          </w:p>
        </w:tc>
        <w:tc>
          <w:tcPr>
            <w:tcW w:w="993" w:type="dxa"/>
            <w:tcBorders>
              <w:bottom w:val="nil"/>
            </w:tcBorders>
            <w:shd w:val="clear" w:color="auto" w:fill="C6D9F1" w:themeFill="text2" w:themeFillTint="33"/>
            <w:noWrap/>
            <w:vAlign w:val="center"/>
          </w:tcPr>
          <w:p w14:paraId="3A30B3BB"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4" w:type="dxa"/>
            <w:gridSpan w:val="3"/>
            <w:shd w:val="clear" w:color="auto" w:fill="C6D9F1" w:themeFill="text2" w:themeFillTint="33"/>
            <w:noWrap/>
            <w:vAlign w:val="center"/>
          </w:tcPr>
          <w:p w14:paraId="0A60ADD5"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32A3605C" w14:textId="77777777" w:rsidR="000E48CE" w:rsidRDefault="00FF4C4E">
            <w:pPr>
              <w:pStyle w:val="P68B1DB1-Normal12"/>
              <w:spacing w:after="0" w:line="240" w:lineRule="auto"/>
              <w:jc w:val="center"/>
              <w:rPr>
                <w:rFonts w:cs="Times New Roman"/>
                <w:noProof/>
              </w:rPr>
            </w:pPr>
            <w:r>
              <w:rPr>
                <w:noProof/>
              </w:rPr>
              <w:t>Aika</w:t>
            </w:r>
          </w:p>
        </w:tc>
        <w:tc>
          <w:tcPr>
            <w:tcW w:w="6096" w:type="dxa"/>
            <w:tcBorders>
              <w:bottom w:val="nil"/>
            </w:tcBorders>
            <w:shd w:val="clear" w:color="auto" w:fill="C6D9F1" w:themeFill="text2" w:themeFillTint="33"/>
            <w:noWrap/>
            <w:vAlign w:val="center"/>
          </w:tcPr>
          <w:p w14:paraId="7C1CC161"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6F9ACA8B" w14:textId="77777777">
        <w:trPr>
          <w:trHeight w:val="309"/>
          <w:tblHeader/>
        </w:trPr>
        <w:tc>
          <w:tcPr>
            <w:tcW w:w="709" w:type="dxa"/>
            <w:tcBorders>
              <w:top w:val="nil"/>
            </w:tcBorders>
            <w:shd w:val="clear" w:color="auto" w:fill="C6D9F1" w:themeFill="text2" w:themeFillTint="33"/>
            <w:noWrap/>
          </w:tcPr>
          <w:p w14:paraId="19219836"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96FEF7D"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7194DBDC" w14:textId="77777777" w:rsidR="000E48CE" w:rsidRDefault="000E48CE">
            <w:pPr>
              <w:spacing w:after="0" w:line="240" w:lineRule="auto"/>
              <w:jc w:val="center"/>
              <w:rPr>
                <w:rFonts w:ascii="Times New Roman" w:hAnsi="Times New Roman" w:cs="Times New Roman"/>
                <w:b/>
                <w:noProof/>
                <w:sz w:val="18"/>
              </w:rPr>
            </w:pPr>
          </w:p>
        </w:tc>
        <w:tc>
          <w:tcPr>
            <w:tcW w:w="2835" w:type="dxa"/>
            <w:tcBorders>
              <w:top w:val="nil"/>
            </w:tcBorders>
            <w:shd w:val="clear" w:color="auto" w:fill="C6D9F1" w:themeFill="text2" w:themeFillTint="33"/>
            <w:noWrap/>
          </w:tcPr>
          <w:p w14:paraId="769D0D3C" w14:textId="77777777" w:rsidR="000E48CE" w:rsidRDefault="000E48CE">
            <w:pPr>
              <w:spacing w:after="0" w:line="240" w:lineRule="auto"/>
              <w:rPr>
                <w:rFonts w:ascii="Times New Roman" w:hAnsi="Times New Roman" w:cs="Times New Roman"/>
                <w:b/>
                <w:noProof/>
                <w:sz w:val="18"/>
              </w:rPr>
            </w:pPr>
          </w:p>
        </w:tc>
        <w:tc>
          <w:tcPr>
            <w:tcW w:w="993" w:type="dxa"/>
            <w:tcBorders>
              <w:top w:val="nil"/>
            </w:tcBorders>
            <w:shd w:val="clear" w:color="auto" w:fill="C6D9F1" w:themeFill="text2" w:themeFillTint="33"/>
            <w:noWrap/>
          </w:tcPr>
          <w:p w14:paraId="54CD245A"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7B173101" w14:textId="77777777" w:rsidR="000E48CE" w:rsidRDefault="00FF4C4E">
            <w:pPr>
              <w:pStyle w:val="P68B1DB1-Normal12"/>
              <w:spacing w:after="0" w:line="240" w:lineRule="auto"/>
              <w:jc w:val="center"/>
              <w:rPr>
                <w:rFonts w:cs="Times New Roman"/>
                <w:noProof/>
              </w:rPr>
            </w:pPr>
            <w:r>
              <w:rPr>
                <w:noProof/>
              </w:rPr>
              <w:t>Yksikkö</w:t>
            </w:r>
          </w:p>
        </w:tc>
        <w:tc>
          <w:tcPr>
            <w:tcW w:w="425" w:type="dxa"/>
            <w:shd w:val="clear" w:color="auto" w:fill="C6D9F1" w:themeFill="text2" w:themeFillTint="33"/>
            <w:noWrap/>
            <w:vAlign w:val="center"/>
          </w:tcPr>
          <w:p w14:paraId="005A6B31" w14:textId="77777777" w:rsidR="000E48CE" w:rsidRDefault="00FF4C4E">
            <w:pPr>
              <w:pStyle w:val="P68B1DB1-Normal12"/>
              <w:spacing w:after="0" w:line="240" w:lineRule="auto"/>
              <w:jc w:val="center"/>
              <w:rPr>
                <w:rFonts w:cs="Times New Roman"/>
                <w:noProof/>
              </w:rPr>
            </w:pPr>
            <w:r>
              <w:rPr>
                <w:noProof/>
              </w:rPr>
              <w:t>Perusviiva</w:t>
            </w:r>
          </w:p>
        </w:tc>
        <w:tc>
          <w:tcPr>
            <w:tcW w:w="709" w:type="dxa"/>
            <w:shd w:val="clear" w:color="auto" w:fill="C6D9F1" w:themeFill="text2" w:themeFillTint="33"/>
            <w:noWrap/>
            <w:vAlign w:val="center"/>
          </w:tcPr>
          <w:p w14:paraId="04C27F3C"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6D5F76BE"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72C88E70" w14:textId="77777777" w:rsidR="000E48CE" w:rsidRDefault="00FF4C4E">
            <w:pPr>
              <w:pStyle w:val="P68B1DB1-Normal12"/>
              <w:spacing w:after="0" w:line="240" w:lineRule="auto"/>
              <w:jc w:val="center"/>
              <w:rPr>
                <w:rFonts w:cs="Times New Roman"/>
                <w:noProof/>
              </w:rPr>
            </w:pPr>
            <w:r>
              <w:rPr>
                <w:noProof/>
              </w:rPr>
              <w:t>Vuosi</w:t>
            </w:r>
          </w:p>
        </w:tc>
        <w:tc>
          <w:tcPr>
            <w:tcW w:w="6096" w:type="dxa"/>
            <w:tcBorders>
              <w:top w:val="nil"/>
            </w:tcBorders>
            <w:shd w:val="clear" w:color="auto" w:fill="C6D9F1" w:themeFill="text2" w:themeFillTint="33"/>
            <w:noWrap/>
          </w:tcPr>
          <w:p w14:paraId="1231BE67" w14:textId="77777777" w:rsidR="000E48CE" w:rsidRDefault="000E48CE">
            <w:pPr>
              <w:spacing w:after="0" w:line="240" w:lineRule="auto"/>
              <w:rPr>
                <w:rFonts w:ascii="Times New Roman" w:hAnsi="Times New Roman" w:cs="Times New Roman"/>
                <w:b/>
                <w:noProof/>
                <w:sz w:val="18"/>
              </w:rPr>
            </w:pPr>
          </w:p>
        </w:tc>
      </w:tr>
      <w:tr w:rsidR="000E48CE" w14:paraId="2F037FBF" w14:textId="77777777">
        <w:trPr>
          <w:trHeight w:val="309"/>
        </w:trPr>
        <w:tc>
          <w:tcPr>
            <w:tcW w:w="709" w:type="dxa"/>
            <w:shd w:val="clear" w:color="auto" w:fill="C6EFCE"/>
            <w:noWrap/>
          </w:tcPr>
          <w:p w14:paraId="72947656" w14:textId="77777777" w:rsidR="000E48CE" w:rsidRDefault="00FF4C4E">
            <w:pPr>
              <w:pStyle w:val="P68B1DB1-Normal13"/>
              <w:spacing w:after="0" w:line="240" w:lineRule="auto"/>
              <w:jc w:val="center"/>
              <w:rPr>
                <w:rFonts w:eastAsia="MS Mincho" w:cs="Times New Roman"/>
                <w:noProof/>
              </w:rPr>
            </w:pPr>
            <w:r>
              <w:rPr>
                <w:noProof/>
              </w:rPr>
              <w:t>74</w:t>
            </w:r>
          </w:p>
        </w:tc>
        <w:tc>
          <w:tcPr>
            <w:tcW w:w="851" w:type="dxa"/>
            <w:shd w:val="clear" w:color="auto" w:fill="C6EFCE"/>
            <w:noWrap/>
          </w:tcPr>
          <w:p w14:paraId="31550F39" w14:textId="77777777" w:rsidR="000E48CE" w:rsidRDefault="00FF4C4E">
            <w:pPr>
              <w:pStyle w:val="P68B1DB1-Normal13"/>
              <w:spacing w:after="0" w:line="240" w:lineRule="auto"/>
              <w:jc w:val="center"/>
              <w:rPr>
                <w:rFonts w:eastAsia="MS Mincho" w:cs="Times New Roman"/>
                <w:noProof/>
              </w:rPr>
            </w:pPr>
            <w:r>
              <w:rPr>
                <w:noProof/>
              </w:rPr>
              <w:t>C5.R1</w:t>
            </w:r>
          </w:p>
        </w:tc>
        <w:tc>
          <w:tcPr>
            <w:tcW w:w="850" w:type="dxa"/>
            <w:shd w:val="clear" w:color="auto" w:fill="C6EFCE"/>
            <w:noWrap/>
          </w:tcPr>
          <w:p w14:paraId="407CADBF" w14:textId="77777777" w:rsidR="000E48CE" w:rsidRDefault="00FF4C4E">
            <w:pPr>
              <w:pStyle w:val="P68B1DB1-Normal13"/>
              <w:spacing w:after="0" w:line="240" w:lineRule="auto"/>
              <w:jc w:val="center"/>
              <w:rPr>
                <w:rFonts w:eastAsia="MS Mincho" w:cs="Times New Roman"/>
                <w:noProof/>
              </w:rPr>
            </w:pPr>
            <w:r>
              <w:rPr>
                <w:noProof/>
              </w:rPr>
              <w:t>M</w:t>
            </w:r>
          </w:p>
        </w:tc>
        <w:tc>
          <w:tcPr>
            <w:tcW w:w="2835" w:type="dxa"/>
            <w:shd w:val="clear" w:color="auto" w:fill="C6EFCE"/>
            <w:noWrap/>
          </w:tcPr>
          <w:p w14:paraId="07FACBF3" w14:textId="77777777" w:rsidR="000E48CE" w:rsidRDefault="00FF4C4E">
            <w:pPr>
              <w:pStyle w:val="P68B1DB1-Normal13"/>
              <w:spacing w:after="0" w:line="240" w:lineRule="auto"/>
              <w:rPr>
                <w:rFonts w:eastAsia="MS Mincho" w:cs="Times New Roman"/>
                <w:noProof/>
              </w:rPr>
            </w:pPr>
            <w:r>
              <w:rPr>
                <w:noProof/>
              </w:rPr>
              <w:t xml:space="preserve">Hydrologisesta suunnittelusta annetun asetuksen muutosten voimaantulo </w:t>
            </w:r>
          </w:p>
        </w:tc>
        <w:tc>
          <w:tcPr>
            <w:tcW w:w="993" w:type="dxa"/>
            <w:shd w:val="clear" w:color="auto" w:fill="C6EFCE"/>
            <w:noWrap/>
          </w:tcPr>
          <w:p w14:paraId="7F6415FC" w14:textId="77777777" w:rsidR="000E48CE" w:rsidRDefault="00FF4C4E">
            <w:pPr>
              <w:pStyle w:val="P68B1DB1-Normal13"/>
              <w:spacing w:after="0" w:line="240" w:lineRule="auto"/>
              <w:jc w:val="center"/>
              <w:rPr>
                <w:rFonts w:eastAsia="MS Mincho" w:cs="Times New Roman"/>
                <w:noProof/>
              </w:rPr>
            </w:pPr>
            <w:r>
              <w:rPr>
                <w:noProof/>
              </w:rPr>
              <w:t>Voimaantuloa koskevan kuninkaan asetuksen säännös</w:t>
            </w:r>
          </w:p>
        </w:tc>
        <w:tc>
          <w:tcPr>
            <w:tcW w:w="850" w:type="dxa"/>
            <w:shd w:val="clear" w:color="auto" w:fill="C6EFCE"/>
            <w:noWrap/>
          </w:tcPr>
          <w:p w14:paraId="4A2859AB"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1ECA394A"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5F21F270"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51B8BD07"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55BFB259" w14:textId="77777777" w:rsidR="000E48CE" w:rsidRDefault="00FF4C4E">
            <w:pPr>
              <w:pStyle w:val="P68B1DB1-Normal13"/>
              <w:spacing w:after="0" w:line="240" w:lineRule="auto"/>
              <w:jc w:val="center"/>
              <w:rPr>
                <w:rFonts w:eastAsia="MS Mincho" w:cs="Times New Roman"/>
                <w:noProof/>
              </w:rPr>
            </w:pPr>
            <w:r>
              <w:rPr>
                <w:noProof/>
              </w:rPr>
              <w:t>2021</w:t>
            </w:r>
          </w:p>
        </w:tc>
        <w:tc>
          <w:tcPr>
            <w:tcW w:w="6096" w:type="dxa"/>
            <w:shd w:val="clear" w:color="auto" w:fill="C6EFCE"/>
            <w:noWrap/>
          </w:tcPr>
          <w:p w14:paraId="3A6C8438" w14:textId="77777777" w:rsidR="000E48CE" w:rsidRDefault="00FF4C4E">
            <w:pPr>
              <w:pStyle w:val="P68B1DB1-Normal13"/>
              <w:spacing w:after="0" w:line="240" w:lineRule="auto"/>
              <w:rPr>
                <w:rFonts w:eastAsia="MS Mincho" w:cs="Times New Roman"/>
                <w:noProof/>
              </w:rPr>
            </w:pPr>
            <w:r>
              <w:rPr>
                <w:noProof/>
              </w:rPr>
              <w:t>Kuninkaallinen asetus hydrologisesta suunnittelusta annetun asetuksen muuttamisesta (virallinen lehti). Muutokset koskeva</w:t>
            </w:r>
            <w:r>
              <w:rPr>
                <w:noProof/>
              </w:rPr>
              <w:t xml:space="preserve">t kuivuuteen ja veden niukkuuteen liittyviä näkökohtia, vesipolitiikan puitedirektiivin täytäntöönpanovaatimuksia ja vesidirektiivien yhteisen täytäntöönpanostrategian mukaisia asiaankuuluvia normeja. </w:t>
            </w:r>
          </w:p>
        </w:tc>
      </w:tr>
      <w:tr w:rsidR="000E48CE" w14:paraId="3692C050" w14:textId="77777777">
        <w:trPr>
          <w:trHeight w:val="309"/>
        </w:trPr>
        <w:tc>
          <w:tcPr>
            <w:tcW w:w="709" w:type="dxa"/>
            <w:shd w:val="clear" w:color="auto" w:fill="C6EFCE"/>
            <w:noWrap/>
          </w:tcPr>
          <w:p w14:paraId="58A771A2" w14:textId="77777777" w:rsidR="000E48CE" w:rsidRDefault="00FF4C4E">
            <w:pPr>
              <w:pStyle w:val="P68B1DB1-Normal13"/>
              <w:spacing w:after="0" w:line="240" w:lineRule="auto"/>
              <w:jc w:val="center"/>
              <w:rPr>
                <w:rFonts w:cs="Times New Roman"/>
                <w:noProof/>
              </w:rPr>
            </w:pPr>
            <w:r>
              <w:rPr>
                <w:noProof/>
              </w:rPr>
              <w:t>75</w:t>
            </w:r>
          </w:p>
        </w:tc>
        <w:tc>
          <w:tcPr>
            <w:tcW w:w="851" w:type="dxa"/>
            <w:shd w:val="clear" w:color="auto" w:fill="C6EFCE"/>
            <w:noWrap/>
          </w:tcPr>
          <w:p w14:paraId="657A3EC8" w14:textId="77777777" w:rsidR="000E48CE" w:rsidRDefault="00FF4C4E">
            <w:pPr>
              <w:pStyle w:val="P68B1DB1-Normal13"/>
              <w:spacing w:after="0" w:line="240" w:lineRule="auto"/>
              <w:jc w:val="center"/>
              <w:rPr>
                <w:rFonts w:cs="Times New Roman"/>
                <w:noProof/>
              </w:rPr>
            </w:pPr>
            <w:r>
              <w:rPr>
                <w:noProof/>
              </w:rPr>
              <w:t>C5.R1</w:t>
            </w:r>
          </w:p>
        </w:tc>
        <w:tc>
          <w:tcPr>
            <w:tcW w:w="850" w:type="dxa"/>
            <w:shd w:val="clear" w:color="auto" w:fill="C6EFCE"/>
            <w:noWrap/>
          </w:tcPr>
          <w:p w14:paraId="4C62E683" w14:textId="77777777" w:rsidR="000E48CE" w:rsidRDefault="00FF4C4E">
            <w:pPr>
              <w:pStyle w:val="P68B1DB1-Normal13"/>
              <w:spacing w:after="0" w:line="240" w:lineRule="auto"/>
              <w:jc w:val="center"/>
              <w:rPr>
                <w:rFonts w:cs="Times New Roman"/>
                <w:noProof/>
              </w:rPr>
            </w:pPr>
            <w:r>
              <w:rPr>
                <w:noProof/>
              </w:rPr>
              <w:t>M</w:t>
            </w:r>
          </w:p>
        </w:tc>
        <w:tc>
          <w:tcPr>
            <w:tcW w:w="2835" w:type="dxa"/>
            <w:shd w:val="clear" w:color="auto" w:fill="C6EFCE"/>
            <w:noWrap/>
          </w:tcPr>
          <w:p w14:paraId="7608EE0D" w14:textId="77777777" w:rsidR="000E48CE" w:rsidRDefault="00FF4C4E">
            <w:pPr>
              <w:pStyle w:val="P68B1DB1-Normal13"/>
              <w:spacing w:after="0" w:line="240" w:lineRule="auto"/>
              <w:rPr>
                <w:rFonts w:cs="Times New Roman"/>
                <w:noProof/>
              </w:rPr>
            </w:pPr>
            <w:r>
              <w:rPr>
                <w:noProof/>
              </w:rPr>
              <w:t xml:space="preserve">Vesilain muutoksen ja kuninkaan asetuksen </w:t>
            </w:r>
            <w:r>
              <w:rPr>
                <w:noProof/>
              </w:rPr>
              <w:t>1620/2007 korvaavan uuden asetuksen voimaantulo</w:t>
            </w:r>
          </w:p>
        </w:tc>
        <w:tc>
          <w:tcPr>
            <w:tcW w:w="993" w:type="dxa"/>
            <w:shd w:val="clear" w:color="auto" w:fill="C6EFCE"/>
            <w:noWrap/>
          </w:tcPr>
          <w:p w14:paraId="6AF562B1" w14:textId="77777777" w:rsidR="000E48CE" w:rsidRDefault="00FF4C4E">
            <w:pPr>
              <w:pStyle w:val="P68B1DB1-Normal13"/>
              <w:spacing w:after="0" w:line="240" w:lineRule="auto"/>
              <w:jc w:val="center"/>
              <w:rPr>
                <w:rFonts w:cs="Times New Roman"/>
                <w:noProof/>
              </w:rPr>
            </w:pPr>
            <w:r>
              <w:rPr>
                <w:noProof/>
              </w:rPr>
              <w:t xml:space="preserve">Vesilain voimaantulosäännös </w:t>
            </w:r>
          </w:p>
        </w:tc>
        <w:tc>
          <w:tcPr>
            <w:tcW w:w="850" w:type="dxa"/>
            <w:shd w:val="clear" w:color="auto" w:fill="C6EFCE"/>
            <w:noWrap/>
          </w:tcPr>
          <w:p w14:paraId="7146A6A2" w14:textId="77777777" w:rsidR="000E48CE" w:rsidRDefault="00FF4C4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3E226854" w14:textId="77777777" w:rsidR="000E48CE" w:rsidRDefault="00FF4C4E">
            <w:pPr>
              <w:pStyle w:val="P68B1DB1-Normal13"/>
              <w:spacing w:after="0" w:line="240" w:lineRule="auto"/>
              <w:jc w:val="right"/>
              <w:rPr>
                <w:rFonts w:cs="Times New Roman"/>
                <w:noProof/>
              </w:rPr>
            </w:pPr>
            <w:r>
              <w:rPr>
                <w:noProof/>
              </w:rPr>
              <w:t xml:space="preserve"> </w:t>
            </w:r>
          </w:p>
        </w:tc>
        <w:tc>
          <w:tcPr>
            <w:tcW w:w="709" w:type="dxa"/>
            <w:shd w:val="clear" w:color="auto" w:fill="C6EFCE"/>
            <w:noWrap/>
          </w:tcPr>
          <w:p w14:paraId="61965C7B" w14:textId="77777777" w:rsidR="000E48CE" w:rsidRDefault="00FF4C4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361C868B"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4E8F09C0" w14:textId="77777777" w:rsidR="000E48CE" w:rsidRDefault="00FF4C4E">
            <w:pPr>
              <w:pStyle w:val="P68B1DB1-Normal13"/>
              <w:spacing w:after="0" w:line="240" w:lineRule="auto"/>
              <w:jc w:val="center"/>
              <w:rPr>
                <w:rFonts w:cs="Times New Roman"/>
                <w:noProof/>
              </w:rPr>
            </w:pPr>
            <w:r>
              <w:rPr>
                <w:noProof/>
              </w:rPr>
              <w:t>2023</w:t>
            </w:r>
          </w:p>
        </w:tc>
        <w:tc>
          <w:tcPr>
            <w:tcW w:w="6096" w:type="dxa"/>
            <w:shd w:val="clear" w:color="auto" w:fill="C6EFCE"/>
            <w:noWrap/>
          </w:tcPr>
          <w:p w14:paraId="3B352102" w14:textId="77777777" w:rsidR="000E48CE" w:rsidRDefault="00FF4C4E">
            <w:pPr>
              <w:pStyle w:val="P68B1DB1-Normal13"/>
              <w:spacing w:after="0" w:line="240" w:lineRule="auto"/>
              <w:rPr>
                <w:rFonts w:cs="Times New Roman"/>
                <w:noProof/>
              </w:rPr>
            </w:pPr>
            <w:r>
              <w:rPr>
                <w:noProof/>
              </w:rPr>
              <w:t>Vesilain muuttaminen siten, että siihen sisällytetään jätevesipäästöjä koskevien verojen ja vesi-infrastruktuurikustannusten korvausjärjestelmän tarkistaminen saastu</w:t>
            </w:r>
            <w:r>
              <w:rPr>
                <w:noProof/>
              </w:rPr>
              <w:t xml:space="preserve">ttaja maksaa -periaatteen ja kustannusten kattamisen periaatteiden mukaisesti. Kuninkaan asetuksen 1620/2007 korvaavalla uudella asetuksella muutetaan jäteveden uudelleenkäytön sääntely- ja rahoituspuitteita saastuttaja maksaa -periaatteen ja kustannusten </w:t>
            </w:r>
            <w:r>
              <w:rPr>
                <w:noProof/>
              </w:rPr>
              <w:t xml:space="preserve">kattamisen periaatteiden mukaisesti, parannetaan vesimuodostumien, myös pohjaveden, seurantaa ja suojelua sekä puututaan kuivuuteen ja niukkuuteen liittyviin näkökohtiin. </w:t>
            </w:r>
          </w:p>
        </w:tc>
      </w:tr>
      <w:tr w:rsidR="000E48CE" w14:paraId="149D7459" w14:textId="77777777">
        <w:trPr>
          <w:trHeight w:val="309"/>
        </w:trPr>
        <w:tc>
          <w:tcPr>
            <w:tcW w:w="709" w:type="dxa"/>
            <w:shd w:val="clear" w:color="auto" w:fill="C6EFCE"/>
            <w:noWrap/>
          </w:tcPr>
          <w:p w14:paraId="13DC3A13" w14:textId="77777777" w:rsidR="000E48CE" w:rsidRDefault="00FF4C4E">
            <w:pPr>
              <w:pStyle w:val="P68B1DB1-Normal13"/>
              <w:spacing w:after="0" w:line="240" w:lineRule="auto"/>
              <w:jc w:val="center"/>
              <w:rPr>
                <w:rFonts w:cs="Times New Roman"/>
                <w:noProof/>
              </w:rPr>
            </w:pPr>
            <w:r>
              <w:rPr>
                <w:noProof/>
              </w:rPr>
              <w:t>76</w:t>
            </w:r>
          </w:p>
        </w:tc>
        <w:tc>
          <w:tcPr>
            <w:tcW w:w="851" w:type="dxa"/>
            <w:shd w:val="clear" w:color="auto" w:fill="C6EFCE"/>
            <w:noWrap/>
          </w:tcPr>
          <w:p w14:paraId="049534DE" w14:textId="77777777" w:rsidR="000E48CE" w:rsidRDefault="00FF4C4E">
            <w:pPr>
              <w:pStyle w:val="P68B1DB1-Normal13"/>
              <w:spacing w:after="0" w:line="240" w:lineRule="auto"/>
              <w:jc w:val="center"/>
              <w:rPr>
                <w:rFonts w:cs="Times New Roman"/>
                <w:noProof/>
              </w:rPr>
            </w:pPr>
            <w:r>
              <w:rPr>
                <w:noProof/>
              </w:rPr>
              <w:t>C5.I1</w:t>
            </w:r>
          </w:p>
        </w:tc>
        <w:tc>
          <w:tcPr>
            <w:tcW w:w="850" w:type="dxa"/>
            <w:shd w:val="clear" w:color="auto" w:fill="C6EFCE"/>
            <w:noWrap/>
          </w:tcPr>
          <w:p w14:paraId="4BD27F86" w14:textId="77777777" w:rsidR="000E48CE" w:rsidRDefault="00FF4C4E">
            <w:pPr>
              <w:pStyle w:val="P68B1DB1-Normal13"/>
              <w:spacing w:after="0" w:line="240" w:lineRule="auto"/>
              <w:jc w:val="center"/>
              <w:rPr>
                <w:rFonts w:cs="Times New Roman"/>
                <w:noProof/>
              </w:rPr>
            </w:pPr>
            <w:r>
              <w:rPr>
                <w:noProof/>
              </w:rPr>
              <w:t>T</w:t>
            </w:r>
          </w:p>
        </w:tc>
        <w:tc>
          <w:tcPr>
            <w:tcW w:w="2835" w:type="dxa"/>
            <w:shd w:val="clear" w:color="auto" w:fill="C6EFCE"/>
            <w:noWrap/>
          </w:tcPr>
          <w:p w14:paraId="1CA7A6EA" w14:textId="77777777" w:rsidR="000E48CE" w:rsidRDefault="00FF4C4E">
            <w:pPr>
              <w:pStyle w:val="P68B1DB1-Normal13"/>
              <w:spacing w:after="0" w:line="240" w:lineRule="auto"/>
              <w:rPr>
                <w:rFonts w:cs="Times New Roman"/>
                <w:noProof/>
              </w:rPr>
            </w:pPr>
            <w:r>
              <w:rPr>
                <w:noProof/>
              </w:rPr>
              <w:t xml:space="preserve">Vesi- ja jätevesihuollon infrastruktuurien parantaminen </w:t>
            </w:r>
          </w:p>
        </w:tc>
        <w:tc>
          <w:tcPr>
            <w:tcW w:w="993" w:type="dxa"/>
            <w:shd w:val="clear" w:color="auto" w:fill="C6EFCE"/>
            <w:noWrap/>
          </w:tcPr>
          <w:p w14:paraId="36FEB5B0"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1B2052BD" w14:textId="77777777" w:rsidR="000E48CE" w:rsidRDefault="00FF4C4E">
            <w:pPr>
              <w:pStyle w:val="P68B1DB1-Normal13"/>
              <w:spacing w:after="0" w:line="240" w:lineRule="auto"/>
              <w:jc w:val="right"/>
              <w:rPr>
                <w:rFonts w:cs="Times New Roman"/>
                <w:noProof/>
              </w:rPr>
            </w:pPr>
            <w:r>
              <w:rPr>
                <w:noProof/>
              </w:rPr>
              <w:t>Määrä</w:t>
            </w:r>
          </w:p>
          <w:p w14:paraId="4729B1D0" w14:textId="77777777" w:rsidR="000E48CE" w:rsidRDefault="00FF4C4E">
            <w:pPr>
              <w:pStyle w:val="P68B1DB1-Normal13"/>
              <w:spacing w:after="0" w:line="240" w:lineRule="auto"/>
              <w:jc w:val="right"/>
              <w:rPr>
                <w:rFonts w:cs="Times New Roman"/>
                <w:noProof/>
              </w:rPr>
            </w:pPr>
            <w:r>
              <w:rPr>
                <w:noProof/>
              </w:rPr>
              <w:t>(väestö)</w:t>
            </w:r>
          </w:p>
        </w:tc>
        <w:tc>
          <w:tcPr>
            <w:tcW w:w="425" w:type="dxa"/>
            <w:shd w:val="clear" w:color="auto" w:fill="C6EFCE"/>
            <w:noWrap/>
          </w:tcPr>
          <w:p w14:paraId="5F1B12B4" w14:textId="77777777"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1B50CB73" w14:textId="77777777" w:rsidR="000E48CE" w:rsidRDefault="00FF4C4E">
            <w:pPr>
              <w:pStyle w:val="P68B1DB1-Normal13"/>
              <w:spacing w:after="0" w:line="240" w:lineRule="auto"/>
              <w:jc w:val="right"/>
              <w:rPr>
                <w:rFonts w:cs="Times New Roman"/>
                <w:noProof/>
              </w:rPr>
            </w:pPr>
            <w:r>
              <w:rPr>
                <w:noProof/>
              </w:rPr>
              <w:t>175 000</w:t>
            </w:r>
          </w:p>
        </w:tc>
        <w:tc>
          <w:tcPr>
            <w:tcW w:w="425" w:type="dxa"/>
            <w:shd w:val="clear" w:color="auto" w:fill="C6EFCE"/>
            <w:noWrap/>
          </w:tcPr>
          <w:p w14:paraId="6E302E4F"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5DA843A6" w14:textId="0D5D49CC" w:rsidR="000E48CE" w:rsidRDefault="00FF4C4E">
            <w:pPr>
              <w:pStyle w:val="P68B1DB1-Normal13"/>
              <w:spacing w:after="0" w:line="240" w:lineRule="auto"/>
              <w:jc w:val="center"/>
              <w:rPr>
                <w:rFonts w:cs="Times New Roman"/>
                <w:noProof/>
              </w:rPr>
            </w:pPr>
            <w:r>
              <w:rPr>
                <w:noProof/>
              </w:rPr>
              <w:t>2023</w:t>
            </w:r>
          </w:p>
        </w:tc>
        <w:tc>
          <w:tcPr>
            <w:tcW w:w="6096" w:type="dxa"/>
            <w:shd w:val="clear" w:color="auto" w:fill="C6EFCE"/>
            <w:noWrap/>
          </w:tcPr>
          <w:p w14:paraId="402BDA6E" w14:textId="77777777" w:rsidR="000E48CE" w:rsidRDefault="00FF4C4E">
            <w:pPr>
              <w:pStyle w:val="P68B1DB1-Normal13"/>
              <w:spacing w:after="0" w:line="240" w:lineRule="auto"/>
              <w:rPr>
                <w:rFonts w:cs="Times New Roman"/>
                <w:noProof/>
              </w:rPr>
            </w:pPr>
            <w:r>
              <w:rPr>
                <w:noProof/>
              </w:rPr>
              <w:t>Sellaisten veden- ja jätevedenkäsittelyinfrastruktuurien käyttöönotto, jotka tarjoavat vähintään 175000 asukasvastinelukua ja joiden tarkoituksena on varmistaa direktiivin 91/271/ETY noudattaminen ja saavuttaa energiatehokkuuskriteerit t</w:t>
            </w:r>
            <w:r>
              <w:rPr>
                <w:noProof/>
              </w:rPr>
              <w:t>ai parantaa vedenjakelujärjestelmien tehokkuutta ja/tai vähentää vesihävikkiä.</w:t>
            </w:r>
          </w:p>
        </w:tc>
      </w:tr>
      <w:tr w:rsidR="000E48CE" w14:paraId="00E767E5" w14:textId="77777777">
        <w:trPr>
          <w:trHeight w:val="309"/>
        </w:trPr>
        <w:tc>
          <w:tcPr>
            <w:tcW w:w="709" w:type="dxa"/>
            <w:shd w:val="clear" w:color="auto" w:fill="C6EFCE"/>
            <w:noWrap/>
          </w:tcPr>
          <w:p w14:paraId="0280E385" w14:textId="1ED608DC" w:rsidR="000E48CE" w:rsidRDefault="00FF4C4E">
            <w:pPr>
              <w:pStyle w:val="P68B1DB1-Normal13"/>
              <w:spacing w:after="0" w:line="240" w:lineRule="auto"/>
              <w:jc w:val="center"/>
              <w:rPr>
                <w:rFonts w:cs="Times New Roman"/>
                <w:noProof/>
              </w:rPr>
            </w:pPr>
            <w:r>
              <w:rPr>
                <w:noProof/>
              </w:rPr>
              <w:t>427</w:t>
            </w:r>
          </w:p>
        </w:tc>
        <w:tc>
          <w:tcPr>
            <w:tcW w:w="851" w:type="dxa"/>
            <w:shd w:val="clear" w:color="auto" w:fill="C6EFCE"/>
            <w:noWrap/>
          </w:tcPr>
          <w:p w14:paraId="25A52349" w14:textId="141EA5E8" w:rsidR="000E48CE" w:rsidRDefault="00FF4C4E">
            <w:pPr>
              <w:pStyle w:val="P68B1DB1-Normal13"/>
              <w:spacing w:after="0" w:line="240" w:lineRule="auto"/>
              <w:jc w:val="center"/>
              <w:rPr>
                <w:rFonts w:cs="Times New Roman"/>
                <w:noProof/>
              </w:rPr>
            </w:pPr>
            <w:r>
              <w:rPr>
                <w:noProof/>
              </w:rPr>
              <w:t>C5.I1</w:t>
            </w:r>
          </w:p>
        </w:tc>
        <w:tc>
          <w:tcPr>
            <w:tcW w:w="850" w:type="dxa"/>
            <w:shd w:val="clear" w:color="auto" w:fill="C6EFCE"/>
            <w:noWrap/>
          </w:tcPr>
          <w:p w14:paraId="4B476350" w14:textId="76CF81C8" w:rsidR="000E48CE" w:rsidRDefault="00FF4C4E">
            <w:pPr>
              <w:pStyle w:val="P68B1DB1-Normal13"/>
              <w:spacing w:after="0" w:line="240" w:lineRule="auto"/>
              <w:jc w:val="center"/>
              <w:rPr>
                <w:rFonts w:cs="Times New Roman"/>
                <w:noProof/>
              </w:rPr>
            </w:pPr>
            <w:r>
              <w:rPr>
                <w:noProof/>
              </w:rPr>
              <w:t>T</w:t>
            </w:r>
          </w:p>
        </w:tc>
        <w:tc>
          <w:tcPr>
            <w:tcW w:w="2835" w:type="dxa"/>
            <w:shd w:val="clear" w:color="auto" w:fill="C6EFCE"/>
            <w:noWrap/>
          </w:tcPr>
          <w:p w14:paraId="0CB9E2F6" w14:textId="11B2C0F5" w:rsidR="000E48CE" w:rsidRDefault="00FF4C4E">
            <w:pPr>
              <w:pStyle w:val="P68B1DB1-Normal13"/>
              <w:spacing w:after="0" w:line="240" w:lineRule="auto"/>
              <w:rPr>
                <w:rFonts w:cs="Times New Roman"/>
                <w:noProof/>
              </w:rPr>
            </w:pPr>
            <w:r>
              <w:rPr>
                <w:noProof/>
              </w:rPr>
              <w:t>Vesi- ja jätevesihuollon infrastruktuurien parantaminen</w:t>
            </w:r>
          </w:p>
        </w:tc>
        <w:tc>
          <w:tcPr>
            <w:tcW w:w="993" w:type="dxa"/>
            <w:shd w:val="clear" w:color="auto" w:fill="C6EFCE"/>
            <w:noWrap/>
          </w:tcPr>
          <w:p w14:paraId="5244A440"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2E5DFD86" w14:textId="74FA8708" w:rsidR="000E48CE" w:rsidRDefault="00FF4C4E">
            <w:pPr>
              <w:pStyle w:val="P68B1DB1-Normal13"/>
              <w:spacing w:after="0" w:line="240" w:lineRule="auto"/>
              <w:jc w:val="right"/>
              <w:rPr>
                <w:rFonts w:cs="Times New Roman"/>
                <w:noProof/>
              </w:rPr>
            </w:pPr>
            <w:r>
              <w:rPr>
                <w:noProof/>
              </w:rPr>
              <w:t>Lukumäärä (populaatio)</w:t>
            </w:r>
          </w:p>
        </w:tc>
        <w:tc>
          <w:tcPr>
            <w:tcW w:w="425" w:type="dxa"/>
            <w:shd w:val="clear" w:color="auto" w:fill="C6EFCE"/>
            <w:noWrap/>
          </w:tcPr>
          <w:p w14:paraId="66D3C216" w14:textId="4A1B400E" w:rsidR="000E48CE" w:rsidRDefault="00FF4C4E">
            <w:pPr>
              <w:pStyle w:val="P68B1DB1-Normal13"/>
              <w:spacing w:after="0" w:line="240" w:lineRule="auto"/>
              <w:jc w:val="right"/>
              <w:rPr>
                <w:rFonts w:cs="Times New Roman"/>
                <w:noProof/>
              </w:rPr>
            </w:pPr>
            <w:r>
              <w:rPr>
                <w:noProof/>
              </w:rPr>
              <w:t>175 000</w:t>
            </w:r>
          </w:p>
        </w:tc>
        <w:tc>
          <w:tcPr>
            <w:tcW w:w="709" w:type="dxa"/>
            <w:shd w:val="clear" w:color="auto" w:fill="C6EFCE"/>
            <w:noWrap/>
          </w:tcPr>
          <w:p w14:paraId="1275468F" w14:textId="77777777" w:rsidR="000E48CE" w:rsidRDefault="00FF4C4E">
            <w:pPr>
              <w:pStyle w:val="P68B1DB1-Normal13"/>
              <w:spacing w:after="0" w:line="240" w:lineRule="auto"/>
              <w:jc w:val="right"/>
              <w:rPr>
                <w:rFonts w:cs="Times New Roman"/>
                <w:noProof/>
              </w:rPr>
            </w:pPr>
            <w:r>
              <w:rPr>
                <w:noProof/>
              </w:rPr>
              <w:t>425 000</w:t>
            </w:r>
          </w:p>
          <w:p w14:paraId="64C9BFF9"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2AD6A892" w14:textId="38209DE3"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080DBF36" w14:textId="5655E14F" w:rsidR="000E48CE" w:rsidRDefault="00FF4C4E">
            <w:pPr>
              <w:pStyle w:val="P68B1DB1-Normal13"/>
              <w:spacing w:after="0" w:line="240" w:lineRule="auto"/>
              <w:jc w:val="center"/>
              <w:rPr>
                <w:rFonts w:cs="Times New Roman"/>
                <w:noProof/>
              </w:rPr>
            </w:pPr>
            <w:r>
              <w:rPr>
                <w:noProof/>
              </w:rPr>
              <w:t>2026</w:t>
            </w:r>
          </w:p>
        </w:tc>
        <w:tc>
          <w:tcPr>
            <w:tcW w:w="6096" w:type="dxa"/>
            <w:shd w:val="clear" w:color="auto" w:fill="C6EFCE"/>
            <w:noWrap/>
          </w:tcPr>
          <w:p w14:paraId="126D29C0" w14:textId="37B1775B" w:rsidR="000E48CE" w:rsidRDefault="00FF4C4E">
            <w:pPr>
              <w:pStyle w:val="P68B1DB1-Normal13"/>
              <w:spacing w:after="0" w:line="240" w:lineRule="auto"/>
              <w:rPr>
                <w:rFonts w:cs="Times New Roman"/>
                <w:noProof/>
              </w:rPr>
            </w:pPr>
            <w:r>
              <w:rPr>
                <w:noProof/>
              </w:rPr>
              <w:t>Sellaisten veden- ja jätevedenkäsittelyinfrastruktuurien käyttöönotto, jotka tarjoavat vähintään 425000 asukasvastinelukua ja joiden tarkoituksena on varmistaa direktiivin 91/271/ETY noudattaminen ja saavuttaa energiatehokkuuskriteerit ja/tai parantaa vede</w:t>
            </w:r>
            <w:r>
              <w:rPr>
                <w:noProof/>
              </w:rPr>
              <w:t xml:space="preserve">njakelujärjestelmien tehokkuutta ja/tai vähentää vesihävikkiä. (Perustaso: Kesäkuuta 2023). </w:t>
            </w:r>
          </w:p>
        </w:tc>
      </w:tr>
      <w:tr w:rsidR="000E48CE" w14:paraId="78916C97" w14:textId="77777777">
        <w:trPr>
          <w:trHeight w:val="309"/>
        </w:trPr>
        <w:tc>
          <w:tcPr>
            <w:tcW w:w="709" w:type="dxa"/>
            <w:shd w:val="clear" w:color="auto" w:fill="C6EFCE"/>
            <w:noWrap/>
          </w:tcPr>
          <w:p w14:paraId="160393C8" w14:textId="42483417" w:rsidR="000E48CE" w:rsidRDefault="00FF4C4E">
            <w:pPr>
              <w:pStyle w:val="P68B1DB1-Normal13"/>
              <w:spacing w:after="0" w:line="240" w:lineRule="auto"/>
              <w:jc w:val="center"/>
              <w:rPr>
                <w:rFonts w:cs="Times New Roman"/>
                <w:noProof/>
              </w:rPr>
            </w:pPr>
            <w:r>
              <w:rPr>
                <w:noProof/>
              </w:rPr>
              <w:t>428</w:t>
            </w:r>
          </w:p>
        </w:tc>
        <w:tc>
          <w:tcPr>
            <w:tcW w:w="851" w:type="dxa"/>
            <w:shd w:val="clear" w:color="auto" w:fill="C6EFCE"/>
            <w:noWrap/>
          </w:tcPr>
          <w:p w14:paraId="22491947" w14:textId="67032E05" w:rsidR="000E48CE" w:rsidRDefault="00FF4C4E">
            <w:pPr>
              <w:pStyle w:val="P68B1DB1-Normal13"/>
              <w:spacing w:after="0" w:line="240" w:lineRule="auto"/>
              <w:jc w:val="center"/>
              <w:rPr>
                <w:rFonts w:cs="Times New Roman"/>
                <w:noProof/>
              </w:rPr>
            </w:pPr>
            <w:r>
              <w:rPr>
                <w:noProof/>
              </w:rPr>
              <w:t>C5.I1</w:t>
            </w:r>
          </w:p>
        </w:tc>
        <w:tc>
          <w:tcPr>
            <w:tcW w:w="850" w:type="dxa"/>
            <w:shd w:val="clear" w:color="auto" w:fill="C6EFCE"/>
            <w:noWrap/>
          </w:tcPr>
          <w:p w14:paraId="695B866B" w14:textId="00096397" w:rsidR="000E48CE" w:rsidRDefault="00FF4C4E">
            <w:pPr>
              <w:pStyle w:val="P68B1DB1-Normal13"/>
              <w:spacing w:after="0" w:line="240" w:lineRule="auto"/>
              <w:jc w:val="center"/>
              <w:rPr>
                <w:rFonts w:cs="Times New Roman"/>
                <w:noProof/>
              </w:rPr>
            </w:pPr>
            <w:r>
              <w:rPr>
                <w:noProof/>
              </w:rPr>
              <w:t>T</w:t>
            </w:r>
          </w:p>
        </w:tc>
        <w:tc>
          <w:tcPr>
            <w:tcW w:w="2835" w:type="dxa"/>
            <w:shd w:val="clear" w:color="auto" w:fill="C6EFCE"/>
            <w:noWrap/>
          </w:tcPr>
          <w:p w14:paraId="7740979A" w14:textId="033E4F4E" w:rsidR="000E48CE" w:rsidRDefault="00FF4C4E">
            <w:pPr>
              <w:pStyle w:val="P68B1DB1-Normal13"/>
              <w:spacing w:after="0" w:line="240" w:lineRule="auto"/>
              <w:rPr>
                <w:rFonts w:cs="Times New Roman"/>
                <w:noProof/>
              </w:rPr>
            </w:pPr>
            <w:r>
              <w:rPr>
                <w:noProof/>
              </w:rPr>
              <w:t xml:space="preserve">Vesi- ja jätevesihuollon infrastruktuurien parantaminen </w:t>
            </w:r>
          </w:p>
        </w:tc>
        <w:tc>
          <w:tcPr>
            <w:tcW w:w="993" w:type="dxa"/>
            <w:shd w:val="clear" w:color="auto" w:fill="C6EFCE"/>
            <w:noWrap/>
          </w:tcPr>
          <w:p w14:paraId="0404DBE5"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497497DD" w14:textId="66F6BA91" w:rsidR="000E48CE" w:rsidRDefault="00FF4C4E">
            <w:pPr>
              <w:pStyle w:val="P68B1DB1-Normal13"/>
              <w:spacing w:after="0" w:line="240" w:lineRule="auto"/>
              <w:jc w:val="right"/>
              <w:rPr>
                <w:rFonts w:cs="Times New Roman"/>
                <w:noProof/>
              </w:rPr>
            </w:pPr>
            <w:r>
              <w:rPr>
                <w:noProof/>
              </w:rPr>
              <w:t>Lukumäärä (hehtaareina)</w:t>
            </w:r>
          </w:p>
        </w:tc>
        <w:tc>
          <w:tcPr>
            <w:tcW w:w="425" w:type="dxa"/>
            <w:shd w:val="clear" w:color="auto" w:fill="C6EFCE"/>
            <w:noWrap/>
          </w:tcPr>
          <w:p w14:paraId="18F2D18E" w14:textId="22602C10"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365DE703" w14:textId="5E87350E" w:rsidR="000E48CE" w:rsidRDefault="00FF4C4E">
            <w:pPr>
              <w:pStyle w:val="P68B1DB1-Normal13"/>
              <w:spacing w:after="0" w:line="240" w:lineRule="auto"/>
              <w:jc w:val="right"/>
              <w:rPr>
                <w:rFonts w:cs="Times New Roman"/>
                <w:noProof/>
              </w:rPr>
            </w:pPr>
            <w:r>
              <w:rPr>
                <w:noProof/>
              </w:rPr>
              <w:t>18 500</w:t>
            </w:r>
          </w:p>
        </w:tc>
        <w:tc>
          <w:tcPr>
            <w:tcW w:w="425" w:type="dxa"/>
            <w:shd w:val="clear" w:color="auto" w:fill="C6EFCE"/>
            <w:noWrap/>
          </w:tcPr>
          <w:p w14:paraId="4B74414B" w14:textId="040B52B9"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45F9C6F8" w14:textId="4171479E" w:rsidR="000E48CE" w:rsidRDefault="00FF4C4E">
            <w:pPr>
              <w:pStyle w:val="P68B1DB1-Normal13"/>
              <w:spacing w:after="0" w:line="240" w:lineRule="auto"/>
              <w:jc w:val="center"/>
              <w:rPr>
                <w:rFonts w:cs="Times New Roman"/>
                <w:noProof/>
              </w:rPr>
            </w:pPr>
            <w:r>
              <w:rPr>
                <w:noProof/>
              </w:rPr>
              <w:t>2026</w:t>
            </w:r>
          </w:p>
        </w:tc>
        <w:tc>
          <w:tcPr>
            <w:tcW w:w="6096" w:type="dxa"/>
            <w:shd w:val="clear" w:color="auto" w:fill="C6EFCE"/>
            <w:noWrap/>
          </w:tcPr>
          <w:p w14:paraId="1A52E114" w14:textId="31D54C05" w:rsidR="000E48CE" w:rsidRDefault="00FF4C4E">
            <w:pPr>
              <w:pStyle w:val="P68B1DB1-Normal13"/>
              <w:spacing w:after="0" w:line="240" w:lineRule="auto"/>
              <w:rPr>
                <w:rFonts w:cs="Times New Roman"/>
                <w:noProof/>
              </w:rPr>
            </w:pPr>
            <w:r>
              <w:rPr>
                <w:noProof/>
              </w:rPr>
              <w:t>Jätevedenkäsittelyinfrastruktuureista peräisin olevan veden uudelleenkäytön käyttöönotto Alicantessa sijaitsevassa Rincón de Leónin puhdistamossa, kastelun vesihuollon parantaminen 18500 hehtaarissa, tavoitteena varmistaa direktiivin 91/271/ETY noudattamin</w:t>
            </w:r>
            <w:r>
              <w:rPr>
                <w:noProof/>
              </w:rPr>
              <w:t xml:space="preserve">en ja energiatehokkuuskriteerien saavuttaminen ja/tai vedenjakelujärjestelmien tehokkuuden parantaminen ja/tai vesihävikin vähentäminen. </w:t>
            </w:r>
          </w:p>
        </w:tc>
      </w:tr>
      <w:tr w:rsidR="000E48CE" w14:paraId="6A7BF543" w14:textId="77777777">
        <w:trPr>
          <w:trHeight w:val="309"/>
        </w:trPr>
        <w:tc>
          <w:tcPr>
            <w:tcW w:w="709" w:type="dxa"/>
            <w:shd w:val="clear" w:color="auto" w:fill="C6EFCE"/>
            <w:noWrap/>
          </w:tcPr>
          <w:p w14:paraId="23DB4977" w14:textId="77777777" w:rsidR="000E48CE" w:rsidRDefault="00FF4C4E">
            <w:pPr>
              <w:pStyle w:val="P68B1DB1-Normal13"/>
              <w:spacing w:after="0" w:line="240" w:lineRule="auto"/>
              <w:jc w:val="center"/>
              <w:rPr>
                <w:rFonts w:cs="Times New Roman"/>
                <w:noProof/>
              </w:rPr>
            </w:pPr>
            <w:r>
              <w:rPr>
                <w:noProof/>
              </w:rPr>
              <w:t>77</w:t>
            </w:r>
          </w:p>
        </w:tc>
        <w:tc>
          <w:tcPr>
            <w:tcW w:w="851" w:type="dxa"/>
            <w:shd w:val="clear" w:color="auto" w:fill="C6EFCE"/>
            <w:noWrap/>
          </w:tcPr>
          <w:p w14:paraId="6C1DF220" w14:textId="77777777" w:rsidR="000E48CE" w:rsidRDefault="00FF4C4E">
            <w:pPr>
              <w:pStyle w:val="P68B1DB1-Normal13"/>
              <w:spacing w:after="0" w:line="240" w:lineRule="auto"/>
              <w:jc w:val="center"/>
              <w:rPr>
                <w:rFonts w:cs="Times New Roman"/>
                <w:noProof/>
              </w:rPr>
            </w:pPr>
            <w:r>
              <w:rPr>
                <w:noProof/>
              </w:rPr>
              <w:t>C5.I2</w:t>
            </w:r>
          </w:p>
        </w:tc>
        <w:tc>
          <w:tcPr>
            <w:tcW w:w="850" w:type="dxa"/>
            <w:shd w:val="clear" w:color="auto" w:fill="C6EFCE"/>
            <w:noWrap/>
          </w:tcPr>
          <w:p w14:paraId="4BEBFB89" w14:textId="77777777" w:rsidR="000E48CE" w:rsidRDefault="00FF4C4E">
            <w:pPr>
              <w:pStyle w:val="P68B1DB1-Normal13"/>
              <w:spacing w:after="0" w:line="240" w:lineRule="auto"/>
              <w:jc w:val="center"/>
              <w:rPr>
                <w:rFonts w:cs="Times New Roman"/>
                <w:noProof/>
              </w:rPr>
            </w:pPr>
            <w:r>
              <w:rPr>
                <w:noProof/>
              </w:rPr>
              <w:t>M</w:t>
            </w:r>
          </w:p>
        </w:tc>
        <w:tc>
          <w:tcPr>
            <w:tcW w:w="2835" w:type="dxa"/>
            <w:shd w:val="clear" w:color="auto" w:fill="C6EFCE"/>
            <w:noWrap/>
          </w:tcPr>
          <w:p w14:paraId="21723D5B" w14:textId="77777777" w:rsidR="000E48CE" w:rsidRDefault="00FF4C4E">
            <w:pPr>
              <w:pStyle w:val="P68B1DB1-Normal13"/>
              <w:spacing w:after="0" w:line="240" w:lineRule="auto"/>
              <w:rPr>
                <w:rFonts w:cs="Times New Roman"/>
                <w:noProof/>
              </w:rPr>
            </w:pPr>
            <w:r>
              <w:rPr>
                <w:noProof/>
              </w:rPr>
              <w:t>Jokirantojen suojelu tulvariskeiltä</w:t>
            </w:r>
          </w:p>
        </w:tc>
        <w:tc>
          <w:tcPr>
            <w:tcW w:w="993" w:type="dxa"/>
            <w:shd w:val="clear" w:color="auto" w:fill="C6EFCE"/>
            <w:noWrap/>
          </w:tcPr>
          <w:p w14:paraId="5FD6348B" w14:textId="77777777" w:rsidR="000E48CE" w:rsidRDefault="00FF4C4E">
            <w:pPr>
              <w:pStyle w:val="P68B1DB1-Normal13"/>
              <w:spacing w:after="0" w:line="240" w:lineRule="auto"/>
              <w:jc w:val="center"/>
              <w:rPr>
                <w:rFonts w:cs="Times New Roman"/>
                <w:noProof/>
              </w:rPr>
            </w:pPr>
            <w:r>
              <w:rPr>
                <w:noProof/>
              </w:rPr>
              <w:t>MITERD:n allekirjoittamat todistukset</w:t>
            </w:r>
          </w:p>
        </w:tc>
        <w:tc>
          <w:tcPr>
            <w:tcW w:w="850" w:type="dxa"/>
            <w:shd w:val="clear" w:color="auto" w:fill="C6EFCE"/>
            <w:noWrap/>
          </w:tcPr>
          <w:p w14:paraId="3F8C8A50" w14:textId="77777777" w:rsidR="000E48CE" w:rsidRDefault="00FF4C4E">
            <w:pPr>
              <w:pStyle w:val="P68B1DB1-Normal13"/>
              <w:spacing w:after="0" w:line="240" w:lineRule="auto"/>
              <w:jc w:val="right"/>
              <w:rPr>
                <w:rFonts w:cs="Times New Roman"/>
                <w:noProof/>
              </w:rPr>
            </w:pPr>
            <w:r>
              <w:rPr>
                <w:noProof/>
              </w:rPr>
              <w:t> </w:t>
            </w:r>
          </w:p>
        </w:tc>
        <w:tc>
          <w:tcPr>
            <w:tcW w:w="425" w:type="dxa"/>
            <w:shd w:val="clear" w:color="auto" w:fill="C6EFCE"/>
            <w:noWrap/>
          </w:tcPr>
          <w:p w14:paraId="3CEEED34" w14:textId="77777777" w:rsidR="000E48CE" w:rsidRDefault="00FF4C4E">
            <w:pPr>
              <w:pStyle w:val="P68B1DB1-Normal13"/>
              <w:spacing w:after="0" w:line="240" w:lineRule="auto"/>
              <w:jc w:val="right"/>
              <w:rPr>
                <w:rFonts w:cs="Times New Roman"/>
                <w:noProof/>
              </w:rPr>
            </w:pPr>
            <w:r>
              <w:rPr>
                <w:noProof/>
              </w:rPr>
              <w:t> </w:t>
            </w:r>
          </w:p>
        </w:tc>
        <w:tc>
          <w:tcPr>
            <w:tcW w:w="709" w:type="dxa"/>
            <w:shd w:val="clear" w:color="auto" w:fill="C6EFCE"/>
            <w:noWrap/>
          </w:tcPr>
          <w:p w14:paraId="42F19EF9" w14:textId="77777777" w:rsidR="000E48CE" w:rsidRDefault="00FF4C4E">
            <w:pPr>
              <w:pStyle w:val="P68B1DB1-Normal13"/>
              <w:spacing w:after="0" w:line="240" w:lineRule="auto"/>
              <w:jc w:val="right"/>
              <w:rPr>
                <w:rFonts w:cs="Times New Roman"/>
                <w:noProof/>
              </w:rPr>
            </w:pPr>
            <w:r>
              <w:rPr>
                <w:noProof/>
              </w:rPr>
              <w:t> </w:t>
            </w:r>
          </w:p>
        </w:tc>
        <w:tc>
          <w:tcPr>
            <w:tcW w:w="425" w:type="dxa"/>
            <w:shd w:val="clear" w:color="auto" w:fill="C6EFCE"/>
            <w:noWrap/>
          </w:tcPr>
          <w:p w14:paraId="6136DAB4"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7269043E" w14:textId="77777777" w:rsidR="000E48CE" w:rsidRDefault="00FF4C4E">
            <w:pPr>
              <w:pStyle w:val="P68B1DB1-Normal13"/>
              <w:spacing w:after="0" w:line="240" w:lineRule="auto"/>
              <w:jc w:val="center"/>
              <w:rPr>
                <w:rFonts w:cs="Times New Roman"/>
                <w:noProof/>
              </w:rPr>
            </w:pPr>
            <w:r>
              <w:rPr>
                <w:noProof/>
              </w:rPr>
              <w:t>2022</w:t>
            </w:r>
          </w:p>
        </w:tc>
        <w:tc>
          <w:tcPr>
            <w:tcW w:w="6096" w:type="dxa"/>
            <w:shd w:val="clear" w:color="auto" w:fill="C6EFCE"/>
            <w:noWrap/>
          </w:tcPr>
          <w:p w14:paraId="02044E4F" w14:textId="77777777" w:rsidR="000E48CE" w:rsidRDefault="00FF4C4E">
            <w:pPr>
              <w:pStyle w:val="P68B1DB1-Normal13"/>
              <w:spacing w:after="0" w:line="240" w:lineRule="auto"/>
              <w:rPr>
                <w:rFonts w:cs="Times New Roman"/>
                <w:noProof/>
              </w:rPr>
            </w:pPr>
            <w:r>
              <w:rPr>
                <w:noProof/>
              </w:rPr>
              <w:t xml:space="preserve">Kunnostettu </w:t>
            </w:r>
            <w:r>
              <w:rPr>
                <w:noProof/>
              </w:rPr>
              <w:t>vähintään 200 kilometriä jokirantoja ja vähintään 40000 asukasta on suojattu tulvariskeiltä.</w:t>
            </w:r>
          </w:p>
        </w:tc>
      </w:tr>
      <w:tr w:rsidR="000E48CE" w14:paraId="0B55FCA1" w14:textId="77777777">
        <w:trPr>
          <w:trHeight w:val="309"/>
        </w:trPr>
        <w:tc>
          <w:tcPr>
            <w:tcW w:w="709" w:type="dxa"/>
            <w:shd w:val="clear" w:color="auto" w:fill="C6EFCE"/>
            <w:noWrap/>
          </w:tcPr>
          <w:p w14:paraId="299BFF4E" w14:textId="4E52D3FC" w:rsidR="000E48CE" w:rsidRDefault="00FF4C4E">
            <w:pPr>
              <w:pStyle w:val="P68B1DB1-Normal13"/>
              <w:spacing w:after="0" w:line="240" w:lineRule="auto"/>
              <w:jc w:val="center"/>
              <w:rPr>
                <w:rFonts w:cs="Times New Roman"/>
                <w:noProof/>
              </w:rPr>
            </w:pPr>
            <w:r>
              <w:rPr>
                <w:noProof/>
              </w:rPr>
              <w:t>78</w:t>
            </w:r>
          </w:p>
        </w:tc>
        <w:tc>
          <w:tcPr>
            <w:tcW w:w="851" w:type="dxa"/>
            <w:shd w:val="clear" w:color="auto" w:fill="C6EFCE"/>
            <w:noWrap/>
          </w:tcPr>
          <w:p w14:paraId="580E7276" w14:textId="77777777" w:rsidR="000E48CE" w:rsidRDefault="00FF4C4E">
            <w:pPr>
              <w:pStyle w:val="P68B1DB1-Normal13"/>
              <w:spacing w:after="0" w:line="240" w:lineRule="auto"/>
              <w:jc w:val="center"/>
              <w:rPr>
                <w:rFonts w:cs="Times New Roman"/>
                <w:noProof/>
              </w:rPr>
            </w:pPr>
            <w:r>
              <w:rPr>
                <w:noProof/>
              </w:rPr>
              <w:t>C5.I2</w:t>
            </w:r>
          </w:p>
        </w:tc>
        <w:tc>
          <w:tcPr>
            <w:tcW w:w="850" w:type="dxa"/>
            <w:shd w:val="clear" w:color="auto" w:fill="C6EFCE"/>
            <w:noWrap/>
          </w:tcPr>
          <w:p w14:paraId="4253F6F2" w14:textId="77777777" w:rsidR="000E48CE" w:rsidRDefault="00FF4C4E">
            <w:pPr>
              <w:pStyle w:val="P68B1DB1-Normal13"/>
              <w:spacing w:after="0" w:line="240" w:lineRule="auto"/>
              <w:jc w:val="center"/>
              <w:rPr>
                <w:rFonts w:cs="Times New Roman"/>
                <w:noProof/>
              </w:rPr>
            </w:pPr>
            <w:r>
              <w:rPr>
                <w:noProof/>
              </w:rPr>
              <w:t>T</w:t>
            </w:r>
          </w:p>
        </w:tc>
        <w:tc>
          <w:tcPr>
            <w:tcW w:w="2835" w:type="dxa"/>
            <w:shd w:val="clear" w:color="auto" w:fill="C6EFCE"/>
            <w:noWrap/>
          </w:tcPr>
          <w:p w14:paraId="3F112361" w14:textId="77777777" w:rsidR="000E48CE" w:rsidRDefault="00FF4C4E">
            <w:pPr>
              <w:pStyle w:val="P68B1DB1-Normal13"/>
              <w:spacing w:after="0" w:line="240" w:lineRule="auto"/>
              <w:rPr>
                <w:rFonts w:cs="Times New Roman"/>
                <w:noProof/>
              </w:rPr>
            </w:pPr>
            <w:r>
              <w:rPr>
                <w:noProof/>
              </w:rPr>
              <w:t xml:space="preserve">Pohjavettä johtavista kerroksista uutetun veden määrän väheneminen </w:t>
            </w:r>
          </w:p>
        </w:tc>
        <w:tc>
          <w:tcPr>
            <w:tcW w:w="993" w:type="dxa"/>
            <w:shd w:val="clear" w:color="auto" w:fill="C6EFCE"/>
            <w:noWrap/>
          </w:tcPr>
          <w:p w14:paraId="30D7AA69"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61AB7739" w14:textId="77777777" w:rsidR="000E48CE" w:rsidRDefault="00FF4C4E">
            <w:pPr>
              <w:pStyle w:val="P68B1DB1-Normal13"/>
              <w:spacing w:after="0" w:line="240" w:lineRule="auto"/>
              <w:jc w:val="right"/>
              <w:rPr>
                <w:rFonts w:cs="Times New Roman"/>
                <w:noProof/>
              </w:rPr>
            </w:pPr>
            <w:r>
              <w:rPr>
                <w:noProof/>
              </w:rPr>
              <w:t>Määrä</w:t>
            </w:r>
          </w:p>
          <w:p w14:paraId="6E27ADFB" w14:textId="77777777" w:rsidR="000E48CE" w:rsidRDefault="00FF4C4E">
            <w:pPr>
              <w:pStyle w:val="P68B1DB1-Normal13"/>
              <w:spacing w:after="0" w:line="240" w:lineRule="auto"/>
              <w:jc w:val="right"/>
              <w:rPr>
                <w:rFonts w:cs="Times New Roman"/>
                <w:noProof/>
              </w:rPr>
            </w:pPr>
            <w:r>
              <w:rPr>
                <w:noProof/>
              </w:rPr>
              <w:t>(</w:t>
            </w:r>
            <w:r>
              <w:rPr>
                <w:noProof/>
                <w:vertAlign w:val="superscript"/>
              </w:rPr>
              <w:t>HM</w:t>
            </w:r>
            <w:r>
              <w:rPr>
                <w:noProof/>
              </w:rPr>
              <w:t>3/vuosi)</w:t>
            </w:r>
          </w:p>
        </w:tc>
        <w:tc>
          <w:tcPr>
            <w:tcW w:w="425" w:type="dxa"/>
            <w:shd w:val="clear" w:color="auto" w:fill="C6EFCE"/>
            <w:noWrap/>
          </w:tcPr>
          <w:p w14:paraId="71AFE04B" w14:textId="77777777" w:rsidR="000E48CE" w:rsidRDefault="00FF4C4E">
            <w:pPr>
              <w:pStyle w:val="P68B1DB1-Normal13"/>
              <w:spacing w:after="0" w:line="240" w:lineRule="auto"/>
              <w:jc w:val="right"/>
              <w:rPr>
                <w:rFonts w:cs="Times New Roman"/>
                <w:noProof/>
              </w:rPr>
            </w:pPr>
            <w:r>
              <w:rPr>
                <w:noProof/>
              </w:rPr>
              <w:t>510</w:t>
            </w:r>
          </w:p>
        </w:tc>
        <w:tc>
          <w:tcPr>
            <w:tcW w:w="709" w:type="dxa"/>
            <w:shd w:val="clear" w:color="auto" w:fill="C6EFCE"/>
            <w:noWrap/>
          </w:tcPr>
          <w:p w14:paraId="611E64A3" w14:textId="6DEC8A1F" w:rsidR="000E48CE" w:rsidRDefault="00FF4C4E">
            <w:pPr>
              <w:pStyle w:val="P68B1DB1-Normal13"/>
              <w:spacing w:after="0" w:line="240" w:lineRule="auto"/>
              <w:jc w:val="right"/>
              <w:rPr>
                <w:rFonts w:cs="Times New Roman"/>
                <w:noProof/>
              </w:rPr>
            </w:pPr>
            <w:r>
              <w:rPr>
                <w:noProof/>
              </w:rPr>
              <w:t>470</w:t>
            </w:r>
          </w:p>
        </w:tc>
        <w:tc>
          <w:tcPr>
            <w:tcW w:w="425" w:type="dxa"/>
            <w:shd w:val="clear" w:color="auto" w:fill="C6EFCE"/>
            <w:noWrap/>
          </w:tcPr>
          <w:p w14:paraId="577E0A3D" w14:textId="38111F68"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5D71C2FD" w14:textId="03EEAC8E" w:rsidR="000E48CE" w:rsidRDefault="00FF4C4E">
            <w:pPr>
              <w:pStyle w:val="P68B1DB1-Normal13"/>
              <w:spacing w:after="0" w:line="240" w:lineRule="auto"/>
              <w:jc w:val="center"/>
              <w:rPr>
                <w:rFonts w:cs="Times New Roman"/>
                <w:noProof/>
              </w:rPr>
            </w:pPr>
            <w:r>
              <w:rPr>
                <w:noProof/>
              </w:rPr>
              <w:t>2025</w:t>
            </w:r>
          </w:p>
        </w:tc>
        <w:tc>
          <w:tcPr>
            <w:tcW w:w="6096" w:type="dxa"/>
            <w:shd w:val="clear" w:color="auto" w:fill="C6EFCE"/>
            <w:noWrap/>
          </w:tcPr>
          <w:p w14:paraId="3738FB87" w14:textId="212484EB" w:rsidR="000E48CE" w:rsidRDefault="00FF4C4E">
            <w:pPr>
              <w:pStyle w:val="P68B1DB1-Normal13"/>
              <w:spacing w:after="0" w:line="240" w:lineRule="auto"/>
              <w:rPr>
                <w:rFonts w:cs="Times New Roman"/>
                <w:noProof/>
              </w:rPr>
            </w:pPr>
            <w:r>
              <w:rPr>
                <w:noProof/>
              </w:rPr>
              <w:t xml:space="preserve">Doñanassa, Segura-Mar Menorissa, Mancha </w:t>
            </w:r>
            <w:r>
              <w:rPr>
                <w:noProof/>
              </w:rPr>
              <w:t>Orientalissa ja Rulesissa sijaitsevista akvifereistä peräisin olevan veden vuotuinen määrä vähenee 510 hm</w:t>
            </w:r>
            <w:r>
              <w:rPr>
                <w:noProof/>
                <w:vertAlign w:val="superscript"/>
              </w:rPr>
              <w:t>3:sta</w:t>
            </w:r>
            <w:r>
              <w:rPr>
                <w:noProof/>
              </w:rPr>
              <w:t>470 hm</w:t>
            </w:r>
            <w:r>
              <w:rPr>
                <w:noProof/>
                <w:vertAlign w:val="superscript"/>
              </w:rPr>
              <w:t>3:een</w:t>
            </w:r>
            <w:r>
              <w:rPr>
                <w:noProof/>
              </w:rPr>
              <w:t>vuodessa.</w:t>
            </w:r>
          </w:p>
        </w:tc>
      </w:tr>
      <w:tr w:rsidR="000E48CE" w14:paraId="7E0E198C" w14:textId="77777777">
        <w:trPr>
          <w:trHeight w:val="309"/>
        </w:trPr>
        <w:tc>
          <w:tcPr>
            <w:tcW w:w="709" w:type="dxa"/>
            <w:shd w:val="clear" w:color="auto" w:fill="C6EFCE"/>
            <w:noWrap/>
          </w:tcPr>
          <w:p w14:paraId="6A7DEE54" w14:textId="24F76C24" w:rsidR="000E48CE" w:rsidRDefault="00FF4C4E">
            <w:pPr>
              <w:pStyle w:val="P68B1DB1-Normal13"/>
              <w:spacing w:after="0" w:line="240" w:lineRule="auto"/>
              <w:jc w:val="center"/>
              <w:rPr>
                <w:rFonts w:cs="Times New Roman"/>
                <w:noProof/>
              </w:rPr>
            </w:pPr>
            <w:r>
              <w:rPr>
                <w:noProof/>
              </w:rPr>
              <w:t>429</w:t>
            </w:r>
          </w:p>
        </w:tc>
        <w:tc>
          <w:tcPr>
            <w:tcW w:w="851" w:type="dxa"/>
            <w:shd w:val="clear" w:color="auto" w:fill="C6EFCE"/>
            <w:noWrap/>
          </w:tcPr>
          <w:p w14:paraId="7C2CF9C2" w14:textId="42FC58C0" w:rsidR="000E48CE" w:rsidRDefault="00FF4C4E">
            <w:pPr>
              <w:pStyle w:val="P68B1DB1-Normal13"/>
              <w:spacing w:after="0" w:line="240" w:lineRule="auto"/>
              <w:jc w:val="center"/>
              <w:rPr>
                <w:rFonts w:cs="Times New Roman"/>
                <w:noProof/>
              </w:rPr>
            </w:pPr>
            <w:r>
              <w:rPr>
                <w:noProof/>
              </w:rPr>
              <w:t>C5.I2</w:t>
            </w:r>
          </w:p>
        </w:tc>
        <w:tc>
          <w:tcPr>
            <w:tcW w:w="850" w:type="dxa"/>
            <w:shd w:val="clear" w:color="auto" w:fill="C6EFCE"/>
            <w:noWrap/>
          </w:tcPr>
          <w:p w14:paraId="6476813C" w14:textId="65E59603" w:rsidR="000E48CE" w:rsidRDefault="00FF4C4E">
            <w:pPr>
              <w:pStyle w:val="P68B1DB1-Normal13"/>
              <w:spacing w:after="0" w:line="240" w:lineRule="auto"/>
              <w:jc w:val="center"/>
              <w:rPr>
                <w:rFonts w:cs="Times New Roman"/>
                <w:noProof/>
              </w:rPr>
            </w:pPr>
            <w:r>
              <w:rPr>
                <w:noProof/>
              </w:rPr>
              <w:t>M</w:t>
            </w:r>
          </w:p>
        </w:tc>
        <w:tc>
          <w:tcPr>
            <w:tcW w:w="2835" w:type="dxa"/>
            <w:shd w:val="clear" w:color="auto" w:fill="C6EFCE"/>
            <w:noWrap/>
          </w:tcPr>
          <w:p w14:paraId="3148BB15" w14:textId="33B8F03F" w:rsidR="000E48CE" w:rsidRDefault="00FF4C4E">
            <w:pPr>
              <w:pStyle w:val="P68B1DB1-Normal13"/>
              <w:spacing w:after="0" w:line="240" w:lineRule="auto"/>
              <w:rPr>
                <w:rFonts w:cs="Times New Roman"/>
                <w:noProof/>
              </w:rPr>
            </w:pPr>
            <w:r>
              <w:rPr>
                <w:noProof/>
              </w:rPr>
              <w:t>Aurinkosähkön toimittaminen suolanpoistolaitoksille ja sen jakelu</w:t>
            </w:r>
          </w:p>
        </w:tc>
        <w:tc>
          <w:tcPr>
            <w:tcW w:w="993" w:type="dxa"/>
            <w:shd w:val="clear" w:color="auto" w:fill="C6EFCE"/>
            <w:noWrap/>
          </w:tcPr>
          <w:p w14:paraId="4E3DD7C4" w14:textId="4D3FFD06" w:rsidR="000E48CE" w:rsidRDefault="00FF4C4E">
            <w:pPr>
              <w:pStyle w:val="P68B1DB1-Normal13"/>
              <w:spacing w:after="0" w:line="240" w:lineRule="auto"/>
              <w:jc w:val="center"/>
              <w:rPr>
                <w:rFonts w:cs="Times New Roman"/>
                <w:noProof/>
              </w:rPr>
            </w:pPr>
            <w:r>
              <w:rPr>
                <w:noProof/>
              </w:rPr>
              <w:t xml:space="preserve">Ulkopuolinen raportti, jossa todistetaan </w:t>
            </w:r>
            <w:r>
              <w:rPr>
                <w:noProof/>
              </w:rPr>
              <w:t>säästöt</w:t>
            </w:r>
          </w:p>
        </w:tc>
        <w:tc>
          <w:tcPr>
            <w:tcW w:w="850" w:type="dxa"/>
            <w:shd w:val="clear" w:color="auto" w:fill="C6EFCE"/>
            <w:noWrap/>
          </w:tcPr>
          <w:p w14:paraId="358B4A74"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3BB40C39"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0545B682"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5E775DDC" w14:textId="2ADAA3DA"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2458A973" w14:textId="20CC9F6A" w:rsidR="000E48CE" w:rsidRDefault="00FF4C4E">
            <w:pPr>
              <w:pStyle w:val="P68B1DB1-Normal13"/>
              <w:spacing w:after="0" w:line="240" w:lineRule="auto"/>
              <w:jc w:val="center"/>
              <w:rPr>
                <w:rFonts w:cs="Times New Roman"/>
                <w:noProof/>
              </w:rPr>
            </w:pPr>
            <w:r>
              <w:rPr>
                <w:noProof/>
              </w:rPr>
              <w:t>2026</w:t>
            </w:r>
          </w:p>
        </w:tc>
        <w:tc>
          <w:tcPr>
            <w:tcW w:w="6096" w:type="dxa"/>
            <w:shd w:val="clear" w:color="auto" w:fill="C6EFCE"/>
            <w:noWrap/>
          </w:tcPr>
          <w:p w14:paraId="78696329" w14:textId="650C6858" w:rsidR="000E48CE" w:rsidRDefault="00FF4C4E">
            <w:pPr>
              <w:pStyle w:val="P68B1DB1-Normal13"/>
              <w:spacing w:after="0" w:line="240" w:lineRule="auto"/>
              <w:rPr>
                <w:rFonts w:cs="Times New Roman"/>
                <w:noProof/>
              </w:rPr>
            </w:pPr>
            <w:r>
              <w:rPr>
                <w:noProof/>
              </w:rPr>
              <w:t>Korvataan 35 prosenttia suolanpoistolaitoksissa Murciassa ja Almeríassa (Torrevieja, Valdelentisco, Águilas Carboneras, Bajo Almanzora ja Campo de Dalias) käytetystä energiasta ja veden kuljettaminen itse tuotetun energian avulla Júcar-V</w:t>
            </w:r>
            <w:r>
              <w:rPr>
                <w:noProof/>
              </w:rPr>
              <w:t xml:space="preserve">inalopóssa.  </w:t>
            </w:r>
          </w:p>
        </w:tc>
      </w:tr>
      <w:tr w:rsidR="000E48CE" w14:paraId="4204513B" w14:textId="77777777">
        <w:trPr>
          <w:trHeight w:val="309"/>
        </w:trPr>
        <w:tc>
          <w:tcPr>
            <w:tcW w:w="709" w:type="dxa"/>
            <w:shd w:val="clear" w:color="auto" w:fill="C6EFCE"/>
            <w:noWrap/>
          </w:tcPr>
          <w:p w14:paraId="454C5040" w14:textId="7249954A" w:rsidR="000E48CE" w:rsidRDefault="00FF4C4E">
            <w:pPr>
              <w:pStyle w:val="P68B1DB1-Normal13"/>
              <w:spacing w:after="0" w:line="240" w:lineRule="auto"/>
              <w:jc w:val="center"/>
              <w:rPr>
                <w:rFonts w:cs="Times New Roman"/>
                <w:noProof/>
              </w:rPr>
            </w:pPr>
            <w:r>
              <w:rPr>
                <w:noProof/>
              </w:rPr>
              <w:t>430</w:t>
            </w:r>
          </w:p>
        </w:tc>
        <w:tc>
          <w:tcPr>
            <w:tcW w:w="851" w:type="dxa"/>
            <w:shd w:val="clear" w:color="auto" w:fill="C6EFCE"/>
            <w:noWrap/>
          </w:tcPr>
          <w:p w14:paraId="1BAF7D32" w14:textId="0BF1273B" w:rsidR="000E48CE" w:rsidRDefault="00FF4C4E">
            <w:pPr>
              <w:pStyle w:val="P68B1DB1-Normal13"/>
              <w:spacing w:after="0" w:line="240" w:lineRule="auto"/>
              <w:jc w:val="center"/>
              <w:rPr>
                <w:rFonts w:cs="Times New Roman"/>
                <w:noProof/>
              </w:rPr>
            </w:pPr>
            <w:r>
              <w:rPr>
                <w:noProof/>
              </w:rPr>
              <w:t>C5.I3</w:t>
            </w:r>
          </w:p>
        </w:tc>
        <w:tc>
          <w:tcPr>
            <w:tcW w:w="850" w:type="dxa"/>
            <w:shd w:val="clear" w:color="auto" w:fill="C6EFCE"/>
            <w:noWrap/>
          </w:tcPr>
          <w:p w14:paraId="3662A7C1" w14:textId="3D7AB2EA" w:rsidR="000E48CE" w:rsidRDefault="00FF4C4E">
            <w:pPr>
              <w:pStyle w:val="P68B1DB1-Normal13"/>
              <w:spacing w:after="0" w:line="240" w:lineRule="auto"/>
              <w:jc w:val="center"/>
              <w:rPr>
                <w:rFonts w:cs="Times New Roman"/>
                <w:noProof/>
              </w:rPr>
            </w:pPr>
            <w:r>
              <w:rPr>
                <w:noProof/>
              </w:rPr>
              <w:t>M</w:t>
            </w:r>
          </w:p>
        </w:tc>
        <w:tc>
          <w:tcPr>
            <w:tcW w:w="2835" w:type="dxa"/>
            <w:shd w:val="clear" w:color="auto" w:fill="C6EFCE"/>
            <w:noWrap/>
          </w:tcPr>
          <w:p w14:paraId="01CA609F" w14:textId="272E827E" w:rsidR="000E48CE" w:rsidRDefault="00FF4C4E">
            <w:pPr>
              <w:pStyle w:val="P68B1DB1-Normal13"/>
              <w:spacing w:after="0" w:line="240" w:lineRule="auto"/>
              <w:rPr>
                <w:rFonts w:cs="Times New Roman"/>
                <w:noProof/>
              </w:rPr>
            </w:pPr>
            <w:r>
              <w:rPr>
                <w:noProof/>
              </w:rPr>
              <w:t>Vedenkäyttäjien digitalisointia koskevat PERTE-toimet</w:t>
            </w:r>
          </w:p>
        </w:tc>
        <w:tc>
          <w:tcPr>
            <w:tcW w:w="993" w:type="dxa"/>
            <w:shd w:val="clear" w:color="auto" w:fill="C6EFCE"/>
            <w:noWrap/>
          </w:tcPr>
          <w:p w14:paraId="4BE96E81" w14:textId="689F4251" w:rsidR="000E48CE" w:rsidRDefault="00FF4C4E">
            <w:pPr>
              <w:pStyle w:val="P68B1DB1-Normal13"/>
              <w:spacing w:after="0" w:line="240" w:lineRule="auto"/>
              <w:jc w:val="center"/>
              <w:rPr>
                <w:rFonts w:cs="Times New Roman"/>
                <w:noProof/>
              </w:rPr>
            </w:pPr>
            <w:r>
              <w:rPr>
                <w:noProof/>
              </w:rPr>
              <w:t>Valmistuneita töitä koskeva virallinen ilmoitus</w:t>
            </w:r>
          </w:p>
        </w:tc>
        <w:tc>
          <w:tcPr>
            <w:tcW w:w="850" w:type="dxa"/>
            <w:shd w:val="clear" w:color="auto" w:fill="C6EFCE"/>
            <w:noWrap/>
          </w:tcPr>
          <w:p w14:paraId="5541344A"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417FDB2A"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6107C3C1"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01EDB9BB" w14:textId="40C0121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17FADCA7" w14:textId="2382CF14" w:rsidR="000E48CE" w:rsidRDefault="00FF4C4E">
            <w:pPr>
              <w:pStyle w:val="P68B1DB1-Normal13"/>
              <w:spacing w:after="0" w:line="240" w:lineRule="auto"/>
              <w:jc w:val="center"/>
              <w:rPr>
                <w:rFonts w:cs="Times New Roman"/>
                <w:noProof/>
              </w:rPr>
            </w:pPr>
            <w:r>
              <w:rPr>
                <w:noProof/>
              </w:rPr>
              <w:t>2026</w:t>
            </w:r>
          </w:p>
        </w:tc>
        <w:tc>
          <w:tcPr>
            <w:tcW w:w="6096" w:type="dxa"/>
            <w:shd w:val="clear" w:color="auto" w:fill="C6EFCE"/>
            <w:noWrap/>
          </w:tcPr>
          <w:p w14:paraId="0DEFC279" w14:textId="6C4EFA1F" w:rsidR="000E48CE" w:rsidRDefault="00FF4C4E">
            <w:pPr>
              <w:pStyle w:val="P68B1DB1-Normal13"/>
              <w:spacing w:after="0" w:line="240" w:lineRule="auto"/>
              <w:rPr>
                <w:rFonts w:cs="Times New Roman"/>
                <w:noProof/>
              </w:rPr>
            </w:pPr>
            <w:r>
              <w:rPr>
                <w:noProof/>
              </w:rPr>
              <w:t>Vähintään 5000000 asukasta hyötyy kaupunkien vesikierron digitalisointihankkeiden käyttöönotosta ja vähintään 200000</w:t>
            </w:r>
            <w:r>
              <w:rPr>
                <w:noProof/>
              </w:rPr>
              <w:t xml:space="preserve"> hehtaaria hyötyy digitaalisesta kastelupaketista osana vedenkäytön digitalisointia koskevaa PERTE-ohjelmaa.</w:t>
            </w:r>
          </w:p>
        </w:tc>
      </w:tr>
      <w:tr w:rsidR="000E48CE" w14:paraId="15BF41AD" w14:textId="77777777">
        <w:trPr>
          <w:trHeight w:val="309"/>
        </w:trPr>
        <w:tc>
          <w:tcPr>
            <w:tcW w:w="709" w:type="dxa"/>
            <w:shd w:val="clear" w:color="auto" w:fill="C6EFCE"/>
            <w:noWrap/>
          </w:tcPr>
          <w:p w14:paraId="43F02807" w14:textId="06550A44" w:rsidR="000E48CE" w:rsidRDefault="00FF4C4E">
            <w:pPr>
              <w:pStyle w:val="P68B1DB1-Normal13"/>
              <w:spacing w:after="0" w:line="240" w:lineRule="auto"/>
              <w:jc w:val="center"/>
              <w:rPr>
                <w:rFonts w:cs="Times New Roman"/>
                <w:noProof/>
              </w:rPr>
            </w:pPr>
            <w:r>
              <w:rPr>
                <w:noProof/>
              </w:rPr>
              <w:t xml:space="preserve">79 </w:t>
            </w:r>
          </w:p>
        </w:tc>
        <w:tc>
          <w:tcPr>
            <w:tcW w:w="851" w:type="dxa"/>
            <w:shd w:val="clear" w:color="auto" w:fill="C6EFCE"/>
            <w:noWrap/>
          </w:tcPr>
          <w:p w14:paraId="69C258CB" w14:textId="77777777" w:rsidR="000E48CE" w:rsidRDefault="00FF4C4E">
            <w:pPr>
              <w:pStyle w:val="P68B1DB1-Normal13"/>
              <w:spacing w:after="0" w:line="240" w:lineRule="auto"/>
              <w:jc w:val="center"/>
              <w:rPr>
                <w:rFonts w:cs="Times New Roman"/>
                <w:noProof/>
              </w:rPr>
            </w:pPr>
            <w:r>
              <w:rPr>
                <w:noProof/>
              </w:rPr>
              <w:t>C5.I3</w:t>
            </w:r>
          </w:p>
        </w:tc>
        <w:tc>
          <w:tcPr>
            <w:tcW w:w="850" w:type="dxa"/>
            <w:shd w:val="clear" w:color="auto" w:fill="C6EFCE"/>
            <w:noWrap/>
          </w:tcPr>
          <w:p w14:paraId="0B4835D4" w14:textId="77777777" w:rsidR="000E48CE" w:rsidRDefault="00FF4C4E">
            <w:pPr>
              <w:pStyle w:val="P68B1DB1-Normal13"/>
              <w:spacing w:after="0" w:line="240" w:lineRule="auto"/>
              <w:jc w:val="center"/>
              <w:rPr>
                <w:rFonts w:cs="Times New Roman"/>
                <w:noProof/>
              </w:rPr>
            </w:pPr>
            <w:r>
              <w:rPr>
                <w:noProof/>
              </w:rPr>
              <w:t>M</w:t>
            </w:r>
          </w:p>
        </w:tc>
        <w:tc>
          <w:tcPr>
            <w:tcW w:w="2835" w:type="dxa"/>
            <w:shd w:val="clear" w:color="auto" w:fill="C6EFCE"/>
            <w:noWrap/>
          </w:tcPr>
          <w:p w14:paraId="1B2C2561" w14:textId="765E79E8" w:rsidR="000E48CE" w:rsidRDefault="00FF4C4E">
            <w:pPr>
              <w:pStyle w:val="P68B1DB1-Normal13"/>
              <w:spacing w:after="0" w:line="240" w:lineRule="auto"/>
              <w:rPr>
                <w:rFonts w:cs="Times New Roman"/>
                <w:noProof/>
              </w:rPr>
            </w:pPr>
            <w:r>
              <w:rPr>
                <w:noProof/>
              </w:rPr>
              <w:t xml:space="preserve">Sopimusten tekeminen vesivaroja koskevan tietämyksen ja käytön parantamiseen tarkoitettujen välineiden käyttöönotosta sekä sademäärien ja muiden säätietojen seurannasta </w:t>
            </w:r>
          </w:p>
        </w:tc>
        <w:tc>
          <w:tcPr>
            <w:tcW w:w="993" w:type="dxa"/>
            <w:shd w:val="clear" w:color="auto" w:fill="C6EFCE"/>
            <w:noWrap/>
          </w:tcPr>
          <w:p w14:paraId="674C043C" w14:textId="2177AD92" w:rsidR="000E48CE" w:rsidRDefault="00FF4C4E">
            <w:pPr>
              <w:pStyle w:val="P68B1DB1-Normal13"/>
              <w:spacing w:after="0" w:line="240" w:lineRule="auto"/>
              <w:jc w:val="center"/>
              <w:rPr>
                <w:rFonts w:cs="Times New Roman"/>
                <w:noProof/>
              </w:rPr>
            </w:pPr>
            <w:r>
              <w:rPr>
                <w:noProof/>
              </w:rPr>
              <w:t>Hankintasopimukset</w:t>
            </w:r>
          </w:p>
        </w:tc>
        <w:tc>
          <w:tcPr>
            <w:tcW w:w="850" w:type="dxa"/>
            <w:shd w:val="clear" w:color="auto" w:fill="C6EFCE"/>
            <w:noWrap/>
          </w:tcPr>
          <w:p w14:paraId="4D855984" w14:textId="77777777" w:rsidR="000E48CE" w:rsidRDefault="00FF4C4E">
            <w:pPr>
              <w:pStyle w:val="P68B1DB1-Normal13"/>
              <w:spacing w:after="0" w:line="240" w:lineRule="auto"/>
              <w:jc w:val="right"/>
              <w:rPr>
                <w:rFonts w:cs="Times New Roman"/>
                <w:noProof/>
              </w:rPr>
            </w:pPr>
            <w:r>
              <w:rPr>
                <w:noProof/>
              </w:rPr>
              <w:t> </w:t>
            </w:r>
          </w:p>
        </w:tc>
        <w:tc>
          <w:tcPr>
            <w:tcW w:w="425" w:type="dxa"/>
            <w:shd w:val="clear" w:color="auto" w:fill="C6EFCE"/>
            <w:noWrap/>
          </w:tcPr>
          <w:p w14:paraId="6CE2FCB8" w14:textId="77777777" w:rsidR="000E48CE" w:rsidRDefault="00FF4C4E">
            <w:pPr>
              <w:pStyle w:val="P68B1DB1-Normal13"/>
              <w:spacing w:after="0" w:line="240" w:lineRule="auto"/>
              <w:jc w:val="right"/>
              <w:rPr>
                <w:rFonts w:cs="Times New Roman"/>
                <w:noProof/>
              </w:rPr>
            </w:pPr>
            <w:r>
              <w:rPr>
                <w:noProof/>
              </w:rPr>
              <w:t> </w:t>
            </w:r>
          </w:p>
        </w:tc>
        <w:tc>
          <w:tcPr>
            <w:tcW w:w="709" w:type="dxa"/>
            <w:shd w:val="clear" w:color="auto" w:fill="C6EFCE"/>
            <w:noWrap/>
          </w:tcPr>
          <w:p w14:paraId="6A84B78A" w14:textId="77777777" w:rsidR="000E48CE" w:rsidRDefault="00FF4C4E">
            <w:pPr>
              <w:pStyle w:val="P68B1DB1-Normal13"/>
              <w:spacing w:after="0" w:line="240" w:lineRule="auto"/>
              <w:jc w:val="right"/>
              <w:rPr>
                <w:rFonts w:cs="Times New Roman"/>
                <w:noProof/>
              </w:rPr>
            </w:pPr>
            <w:r>
              <w:rPr>
                <w:noProof/>
              </w:rPr>
              <w:t> </w:t>
            </w:r>
          </w:p>
        </w:tc>
        <w:tc>
          <w:tcPr>
            <w:tcW w:w="425" w:type="dxa"/>
            <w:shd w:val="clear" w:color="auto" w:fill="C6EFCE"/>
            <w:noWrap/>
          </w:tcPr>
          <w:p w14:paraId="233DE13E" w14:textId="09727D1B"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1C934F3F" w14:textId="2E968EB1" w:rsidR="000E48CE" w:rsidRDefault="00FF4C4E">
            <w:pPr>
              <w:pStyle w:val="P68B1DB1-Normal13"/>
              <w:spacing w:after="0" w:line="240" w:lineRule="auto"/>
              <w:jc w:val="center"/>
              <w:rPr>
                <w:rFonts w:cs="Times New Roman"/>
                <w:noProof/>
              </w:rPr>
            </w:pPr>
            <w:r>
              <w:rPr>
                <w:noProof/>
              </w:rPr>
              <w:t>2023</w:t>
            </w:r>
          </w:p>
        </w:tc>
        <w:tc>
          <w:tcPr>
            <w:tcW w:w="6096" w:type="dxa"/>
            <w:shd w:val="clear" w:color="auto" w:fill="C6EFCE"/>
            <w:noWrap/>
          </w:tcPr>
          <w:p w14:paraId="43D09E20" w14:textId="074A9049" w:rsidR="000E48CE" w:rsidRDefault="00FF4C4E">
            <w:pPr>
              <w:pStyle w:val="P68B1DB1-Normal13"/>
              <w:spacing w:after="0" w:line="240" w:lineRule="auto"/>
              <w:rPr>
                <w:rFonts w:cs="Times New Roman"/>
                <w:noProof/>
              </w:rPr>
            </w:pPr>
            <w:r>
              <w:rPr>
                <w:noProof/>
              </w:rPr>
              <w:t>Sopimusten tekeminen 26 välineen tai uudistetun infra</w:t>
            </w:r>
            <w:r>
              <w:rPr>
                <w:noProof/>
              </w:rPr>
              <w:t>struktuurin käyttöönotosta vesivaroja koskevan tietämyksen ja käytön parantamiseksi sekä sademäärien ja muiden säätietojen seuraamiseksi ilmastoriskien ehkäisemiseksi. Toimet liittyvät ensisijaisesti sähköisen vesirekisterin suunnitteluun ja toteuttamiseen</w:t>
            </w:r>
            <w:r>
              <w:rPr>
                <w:noProof/>
              </w:rPr>
              <w:t>, hydrologisten tietojen ja veden laadun hallintaan, tiedostojen käsittelyn digitalisointiin ja ilmailusäävalvontaverkoston nykyaikaistamiseen.</w:t>
            </w:r>
          </w:p>
        </w:tc>
      </w:tr>
      <w:tr w:rsidR="000E48CE" w14:paraId="45F41C16" w14:textId="77777777">
        <w:trPr>
          <w:trHeight w:val="309"/>
        </w:trPr>
        <w:tc>
          <w:tcPr>
            <w:tcW w:w="709" w:type="dxa"/>
            <w:shd w:val="clear" w:color="auto" w:fill="C6EFCE"/>
            <w:noWrap/>
          </w:tcPr>
          <w:p w14:paraId="38F3D7FE" w14:textId="16B5EE7E" w:rsidR="000E48CE" w:rsidRDefault="00FF4C4E">
            <w:pPr>
              <w:pStyle w:val="P68B1DB1-Normal13"/>
              <w:spacing w:after="0" w:line="240" w:lineRule="auto"/>
              <w:jc w:val="center"/>
              <w:rPr>
                <w:rFonts w:cs="Times New Roman"/>
                <w:noProof/>
              </w:rPr>
            </w:pPr>
            <w:r>
              <w:rPr>
                <w:noProof/>
              </w:rPr>
              <w:t>426</w:t>
            </w:r>
          </w:p>
        </w:tc>
        <w:tc>
          <w:tcPr>
            <w:tcW w:w="851" w:type="dxa"/>
            <w:shd w:val="clear" w:color="auto" w:fill="C6EFCE"/>
            <w:noWrap/>
          </w:tcPr>
          <w:p w14:paraId="7DB1F380" w14:textId="3104BA05" w:rsidR="000E48CE" w:rsidRDefault="00FF4C4E">
            <w:pPr>
              <w:pStyle w:val="P68B1DB1-Normal13"/>
              <w:spacing w:after="0" w:line="240" w:lineRule="auto"/>
              <w:jc w:val="center"/>
              <w:rPr>
                <w:rFonts w:cs="Times New Roman"/>
                <w:noProof/>
              </w:rPr>
            </w:pPr>
            <w:r>
              <w:rPr>
                <w:noProof/>
              </w:rPr>
              <w:t>C5.I3</w:t>
            </w:r>
          </w:p>
        </w:tc>
        <w:tc>
          <w:tcPr>
            <w:tcW w:w="850" w:type="dxa"/>
            <w:shd w:val="clear" w:color="auto" w:fill="C6EFCE"/>
            <w:noWrap/>
          </w:tcPr>
          <w:p w14:paraId="2ED7799A" w14:textId="51C29EC5" w:rsidR="000E48CE" w:rsidRDefault="00FF4C4E">
            <w:pPr>
              <w:pStyle w:val="P68B1DB1-Normal13"/>
              <w:spacing w:after="0" w:line="240" w:lineRule="auto"/>
              <w:jc w:val="center"/>
              <w:rPr>
                <w:rFonts w:cs="Times New Roman"/>
                <w:noProof/>
              </w:rPr>
            </w:pPr>
            <w:r>
              <w:rPr>
                <w:noProof/>
              </w:rPr>
              <w:t>M</w:t>
            </w:r>
          </w:p>
        </w:tc>
        <w:tc>
          <w:tcPr>
            <w:tcW w:w="2835" w:type="dxa"/>
            <w:shd w:val="clear" w:color="auto" w:fill="C6EFCE"/>
            <w:noWrap/>
          </w:tcPr>
          <w:p w14:paraId="1B60C56A" w14:textId="25B3D256" w:rsidR="000E48CE" w:rsidRDefault="00FF4C4E">
            <w:pPr>
              <w:pStyle w:val="P68B1DB1-Normal13"/>
              <w:spacing w:after="0" w:line="240" w:lineRule="auto"/>
              <w:rPr>
                <w:rFonts w:cs="Times New Roman"/>
                <w:noProof/>
              </w:rPr>
            </w:pPr>
            <w:r>
              <w:rPr>
                <w:noProof/>
              </w:rPr>
              <w:t xml:space="preserve">Sellaisten välineiden käyttöönotto, joilla parannetaan tietämystä vesivaroista ja niiden käyttöä </w:t>
            </w:r>
            <w:r>
              <w:rPr>
                <w:noProof/>
              </w:rPr>
              <w:t>sekä seurataan sademääriä ja muita säätietoja</w:t>
            </w:r>
          </w:p>
        </w:tc>
        <w:tc>
          <w:tcPr>
            <w:tcW w:w="993" w:type="dxa"/>
            <w:shd w:val="clear" w:color="auto" w:fill="C6EFCE"/>
            <w:noWrap/>
          </w:tcPr>
          <w:p w14:paraId="6A823D63" w14:textId="2BBD2D25" w:rsidR="000E48CE" w:rsidRDefault="00FF4C4E">
            <w:pPr>
              <w:pStyle w:val="P68B1DB1-Normal13"/>
              <w:spacing w:after="0" w:line="240" w:lineRule="auto"/>
              <w:jc w:val="center"/>
              <w:rPr>
                <w:rFonts w:cs="Times New Roman"/>
                <w:noProof/>
              </w:rPr>
            </w:pPr>
            <w:r>
              <w:rPr>
                <w:noProof/>
              </w:rPr>
              <w:t>MITERD:n allekirjoittamat todistukset</w:t>
            </w:r>
          </w:p>
        </w:tc>
        <w:tc>
          <w:tcPr>
            <w:tcW w:w="850" w:type="dxa"/>
            <w:shd w:val="clear" w:color="auto" w:fill="C6EFCE"/>
            <w:noWrap/>
          </w:tcPr>
          <w:p w14:paraId="2179DC8D"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5B0EE20A"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65028B26" w14:textId="77777777"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2DA111C3" w14:textId="5F52D8EE"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17334155" w14:textId="05F8D019" w:rsidR="000E48CE" w:rsidRDefault="00FF4C4E">
            <w:pPr>
              <w:pStyle w:val="P68B1DB1-Normal13"/>
              <w:spacing w:after="0" w:line="240" w:lineRule="auto"/>
              <w:jc w:val="center"/>
              <w:rPr>
                <w:rFonts w:cs="Times New Roman"/>
                <w:noProof/>
              </w:rPr>
            </w:pPr>
            <w:r>
              <w:rPr>
                <w:noProof/>
              </w:rPr>
              <w:t>2026</w:t>
            </w:r>
          </w:p>
        </w:tc>
        <w:tc>
          <w:tcPr>
            <w:tcW w:w="6096" w:type="dxa"/>
            <w:shd w:val="clear" w:color="auto" w:fill="C6EFCE"/>
            <w:noWrap/>
          </w:tcPr>
          <w:p w14:paraId="245E050A" w14:textId="7FE79BF6" w:rsidR="000E48CE" w:rsidRDefault="00FF4C4E">
            <w:pPr>
              <w:pStyle w:val="P68B1DB1-Normal13"/>
              <w:spacing w:after="0" w:line="240" w:lineRule="auto"/>
              <w:rPr>
                <w:rFonts w:cs="Times New Roman"/>
                <w:noProof/>
              </w:rPr>
            </w:pPr>
            <w:r>
              <w:rPr>
                <w:noProof/>
              </w:rPr>
              <w:t>26 välineen tai uudistetun infrastruktuurin käyttöönotto vesivaroja koskevan tietämyksen ja käytön parantamiseksi sekä sademäärien ja muiden säätietojen seuraami</w:t>
            </w:r>
            <w:r>
              <w:rPr>
                <w:noProof/>
              </w:rPr>
              <w:t>seksi ilmastoriskien ehkäisemiseksi. Toimet liittyvät ensisijaisesti sähköisen vesirekisterin suunnitteluun ja toteuttamiseen, hydrologisten tietojen ja veden laadun hallintaan, tiedostojen käsittelyn digitalisointiin ja ilmailusäävalvontaverkoston nykyaik</w:t>
            </w:r>
            <w:r>
              <w:rPr>
                <w:noProof/>
              </w:rPr>
              <w:t>aistamiseen.</w:t>
            </w:r>
          </w:p>
        </w:tc>
      </w:tr>
      <w:tr w:rsidR="000E48CE" w14:paraId="1BAC1ACB" w14:textId="77777777">
        <w:trPr>
          <w:trHeight w:val="309"/>
        </w:trPr>
        <w:tc>
          <w:tcPr>
            <w:tcW w:w="709" w:type="dxa"/>
            <w:shd w:val="clear" w:color="auto" w:fill="C6EFCE"/>
            <w:noWrap/>
          </w:tcPr>
          <w:p w14:paraId="0F8EA849" w14:textId="77777777" w:rsidR="000E48CE" w:rsidRDefault="00FF4C4E">
            <w:pPr>
              <w:pStyle w:val="P68B1DB1-Normal13"/>
              <w:spacing w:after="0" w:line="240" w:lineRule="auto"/>
              <w:jc w:val="center"/>
              <w:rPr>
                <w:rFonts w:cs="Times New Roman"/>
                <w:noProof/>
              </w:rPr>
            </w:pPr>
            <w:r>
              <w:rPr>
                <w:noProof/>
              </w:rPr>
              <w:t>80</w:t>
            </w:r>
          </w:p>
        </w:tc>
        <w:tc>
          <w:tcPr>
            <w:tcW w:w="851" w:type="dxa"/>
            <w:shd w:val="clear" w:color="auto" w:fill="C6EFCE"/>
            <w:noWrap/>
          </w:tcPr>
          <w:p w14:paraId="4032C757" w14:textId="77777777" w:rsidR="000E48CE" w:rsidRDefault="00FF4C4E">
            <w:pPr>
              <w:pStyle w:val="P68B1DB1-Normal13"/>
              <w:spacing w:after="0" w:line="240" w:lineRule="auto"/>
              <w:jc w:val="center"/>
              <w:rPr>
                <w:rFonts w:cs="Times New Roman"/>
                <w:noProof/>
              </w:rPr>
            </w:pPr>
            <w:r>
              <w:rPr>
                <w:noProof/>
              </w:rPr>
              <w:t>C5.I4</w:t>
            </w:r>
          </w:p>
        </w:tc>
        <w:tc>
          <w:tcPr>
            <w:tcW w:w="850" w:type="dxa"/>
            <w:shd w:val="clear" w:color="auto" w:fill="C6EFCE"/>
            <w:noWrap/>
          </w:tcPr>
          <w:p w14:paraId="01329650" w14:textId="77777777" w:rsidR="000E48CE" w:rsidRDefault="00FF4C4E">
            <w:pPr>
              <w:pStyle w:val="P68B1DB1-Normal13"/>
              <w:spacing w:after="0" w:line="240" w:lineRule="auto"/>
              <w:jc w:val="center"/>
              <w:rPr>
                <w:rFonts w:cs="Times New Roman"/>
                <w:noProof/>
              </w:rPr>
            </w:pPr>
            <w:r>
              <w:rPr>
                <w:noProof/>
              </w:rPr>
              <w:t>T</w:t>
            </w:r>
          </w:p>
        </w:tc>
        <w:tc>
          <w:tcPr>
            <w:tcW w:w="2835" w:type="dxa"/>
            <w:shd w:val="clear" w:color="auto" w:fill="C6EFCE"/>
            <w:noWrap/>
          </w:tcPr>
          <w:p w14:paraId="1178CAED" w14:textId="77777777" w:rsidR="000E48CE" w:rsidRDefault="00FF4C4E">
            <w:pPr>
              <w:pStyle w:val="P68B1DB1-Normal13"/>
              <w:spacing w:after="0" w:line="240" w:lineRule="auto"/>
              <w:rPr>
                <w:rFonts w:cs="Times New Roman"/>
                <w:noProof/>
              </w:rPr>
            </w:pPr>
            <w:r>
              <w:rPr>
                <w:noProof/>
              </w:rPr>
              <w:t xml:space="preserve">Huonontuneiden alueiden ja ekosysteemien ennallistaminen vähintään 50 kilometrin päähän rannikosta </w:t>
            </w:r>
          </w:p>
        </w:tc>
        <w:tc>
          <w:tcPr>
            <w:tcW w:w="993" w:type="dxa"/>
            <w:shd w:val="clear" w:color="auto" w:fill="C6EFCE"/>
            <w:noWrap/>
          </w:tcPr>
          <w:p w14:paraId="7196D064"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7D0D37D8" w14:textId="77777777" w:rsidR="000E48CE" w:rsidRDefault="00FF4C4E">
            <w:pPr>
              <w:pStyle w:val="P68B1DB1-Normal13"/>
              <w:spacing w:after="0" w:line="240" w:lineRule="auto"/>
              <w:jc w:val="right"/>
              <w:rPr>
                <w:rFonts w:cs="Times New Roman"/>
                <w:noProof/>
              </w:rPr>
            </w:pPr>
            <w:r>
              <w:rPr>
                <w:noProof/>
              </w:rPr>
              <w:t>Lukumäärä (kilometreinä)</w:t>
            </w:r>
          </w:p>
        </w:tc>
        <w:tc>
          <w:tcPr>
            <w:tcW w:w="425" w:type="dxa"/>
            <w:shd w:val="clear" w:color="auto" w:fill="C6EFCE"/>
            <w:noWrap/>
          </w:tcPr>
          <w:p w14:paraId="5EC6149D" w14:textId="77777777"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2EC8893D" w14:textId="77777777" w:rsidR="000E48CE" w:rsidRDefault="00FF4C4E">
            <w:pPr>
              <w:pStyle w:val="P68B1DB1-Normal13"/>
              <w:spacing w:after="0" w:line="240" w:lineRule="auto"/>
              <w:jc w:val="right"/>
              <w:rPr>
                <w:rFonts w:cs="Times New Roman"/>
                <w:noProof/>
              </w:rPr>
            </w:pPr>
            <w:r>
              <w:rPr>
                <w:noProof/>
              </w:rPr>
              <w:t>50</w:t>
            </w:r>
          </w:p>
        </w:tc>
        <w:tc>
          <w:tcPr>
            <w:tcW w:w="425" w:type="dxa"/>
            <w:shd w:val="clear" w:color="auto" w:fill="C6EFCE"/>
            <w:noWrap/>
          </w:tcPr>
          <w:p w14:paraId="76EBF224"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7506936E" w14:textId="77777777" w:rsidR="000E48CE" w:rsidRDefault="00FF4C4E">
            <w:pPr>
              <w:pStyle w:val="P68B1DB1-Normal13"/>
              <w:spacing w:after="0" w:line="240" w:lineRule="auto"/>
              <w:jc w:val="center"/>
              <w:rPr>
                <w:rFonts w:cs="Times New Roman"/>
                <w:noProof/>
              </w:rPr>
            </w:pPr>
            <w:r>
              <w:rPr>
                <w:noProof/>
              </w:rPr>
              <w:t>2022</w:t>
            </w:r>
          </w:p>
        </w:tc>
        <w:tc>
          <w:tcPr>
            <w:tcW w:w="6096" w:type="dxa"/>
            <w:shd w:val="clear" w:color="auto" w:fill="C6EFCE"/>
            <w:noWrap/>
          </w:tcPr>
          <w:p w14:paraId="19ECDCCC" w14:textId="528DF69E" w:rsidR="000E48CE" w:rsidRDefault="00FF4C4E">
            <w:pPr>
              <w:pStyle w:val="P68B1DB1-Normal8"/>
              <w:spacing w:after="0" w:line="240" w:lineRule="auto"/>
              <w:rPr>
                <w:rFonts w:cs="Times New Roman"/>
                <w:noProof/>
                <w:sz w:val="18"/>
              </w:rPr>
            </w:pPr>
            <w:r>
              <w:rPr>
                <w:noProof/>
              </w:rPr>
              <w:t>Vähintään 50 kilometrin rantaviivan</w:t>
            </w:r>
            <w:r>
              <w:rPr>
                <w:noProof/>
                <w:sz w:val="18"/>
              </w:rPr>
              <w:t xml:space="preserve">loppuun saattaminen rappeutuneiden alueiden ja </w:t>
            </w:r>
            <w:r>
              <w:rPr>
                <w:noProof/>
                <w:sz w:val="18"/>
              </w:rPr>
              <w:t>ekosysteemien ennallistamiseksi, rannikkoalueiden suojelu ja saavutettavuuden parantaminen, eroosion lieventäminen, parempi tietämys ja rannikkoalueiden sietokyvyn ja ilmastonmuutoksen vaikutuksiin sopeutumisen parantaminen, strategisen merisuunnittelupoli</w:t>
            </w:r>
            <w:r>
              <w:rPr>
                <w:noProof/>
                <w:sz w:val="18"/>
              </w:rPr>
              <w:t>tiikan etäseuranta ja täytäntöönpano. Toimissa on otettava huomioon jokin seuraavista:</w:t>
            </w:r>
            <w:r>
              <w:rPr>
                <w:noProof/>
              </w:rPr>
              <w:br/>
            </w:r>
            <w:r>
              <w:rPr>
                <w:noProof/>
                <w:sz w:val="18"/>
              </w:rPr>
              <w:t>parannetaan Espanjan rannikon kykyä sietää ilmastonmuutoksen haittavaikutuksia torjumalla eroosiota ja vahvistamalla rannikkoa. Tässä on tarkasteltava aallonmurtajan, ke</w:t>
            </w:r>
            <w:r>
              <w:rPr>
                <w:noProof/>
                <w:sz w:val="18"/>
              </w:rPr>
              <w:t>inotekoisten rantojen, kelluvien pintojen, sedimenttien hallinnan, luontoon perustuvien ratkaisujen, rantojen ja dyynijärjestelmien ennallistamisen, rannikoiden suojeluinfrastruktuurin, älykkäiden verkkojen käyttöönottoa rannikoiden eroosion seurantaa vart</w:t>
            </w:r>
            <w:r>
              <w:rPr>
                <w:noProof/>
                <w:sz w:val="18"/>
              </w:rPr>
              <w:t>en tai toimia, joilla on vastaavia vaikutuksia.</w:t>
            </w:r>
            <w:r>
              <w:rPr>
                <w:noProof/>
              </w:rPr>
              <w:br/>
            </w:r>
            <w:r>
              <w:rPr>
                <w:noProof/>
                <w:sz w:val="18"/>
              </w:rPr>
              <w:t>suojella ja ennallistaa rannikkoekosysteemejä tai huonontuneita alueita. Tämä tehdään a) siirtämällä taantuneiden laitosten siirrot; valtion omistaman maa-alueen rajaaminen; perusteettomasti tai epäasianmukai</w:t>
            </w:r>
            <w:r>
              <w:rPr>
                <w:noProof/>
                <w:sz w:val="18"/>
              </w:rPr>
              <w:t>sesti miehitetyn valtion omistaman merimaan takaisinperintä; riskinarviointi ja -hallinta tai vastaavat toimet; huonontuneiden rannikkoalueiden ja ekosysteemien ympäristön elvyttäminen; rantaviivan säilyttäminen ja hoito; ja/tai g) toimet, joilla on samanl</w:t>
            </w:r>
            <w:r>
              <w:rPr>
                <w:noProof/>
                <w:sz w:val="18"/>
              </w:rPr>
              <w:t>aiset vaikutukset.</w:t>
            </w:r>
            <w:r>
              <w:rPr>
                <w:noProof/>
              </w:rPr>
              <w:br/>
            </w:r>
            <w:r>
              <w:rPr>
                <w:noProof/>
                <w:sz w:val="18"/>
              </w:rPr>
              <w:t>parannetaan julkisen maalla sijaitsevan merialueen hallittua ja asianmukaista saavutettavuutta. Tämä on toteutettava ottamalla takaisin maa-alue julkisen käyttöoikeuden tarjoamiseksi, suunnittelemalla, hallinnoimalla ja ennallistamalla k</w:t>
            </w:r>
            <w:r>
              <w:rPr>
                <w:noProof/>
                <w:sz w:val="18"/>
              </w:rPr>
              <w:t>äyttöoikeutta tai toteuttamalla toimia, joilla on vastaavia vaikutuksia.</w:t>
            </w:r>
            <w:r>
              <w:rPr>
                <w:noProof/>
              </w:rPr>
              <w:br/>
            </w:r>
            <w:r>
              <w:rPr>
                <w:noProof/>
                <w:sz w:val="18"/>
              </w:rPr>
              <w:t>merien strategisen suunnittelupolitiikan täytäntöönpano. Tämä toteutetaan panemalla täytäntöön merten aluesuunnittelu, meristrategiat, valtameriä, ilmastoa ja rannikkoja koskeva tiete</w:t>
            </w:r>
            <w:r>
              <w:rPr>
                <w:noProof/>
                <w:sz w:val="18"/>
              </w:rPr>
              <w:t>ellinen neuvonta ja kehittämällä merten käyttäjille tarkoitettu georeferoitu verkkosovellus.</w:t>
            </w:r>
          </w:p>
        </w:tc>
      </w:tr>
      <w:tr w:rsidR="000E48CE" w14:paraId="52BFA199" w14:textId="77777777">
        <w:trPr>
          <w:trHeight w:val="309"/>
        </w:trPr>
        <w:tc>
          <w:tcPr>
            <w:tcW w:w="709" w:type="dxa"/>
            <w:shd w:val="clear" w:color="auto" w:fill="C6EFCE"/>
            <w:noWrap/>
          </w:tcPr>
          <w:p w14:paraId="1944BFB1" w14:textId="77777777" w:rsidR="000E48CE" w:rsidRDefault="00FF4C4E">
            <w:pPr>
              <w:pStyle w:val="P68B1DB1-Normal13"/>
              <w:spacing w:after="0" w:line="240" w:lineRule="auto"/>
              <w:jc w:val="center"/>
              <w:rPr>
                <w:rFonts w:cs="Times New Roman"/>
                <w:noProof/>
              </w:rPr>
            </w:pPr>
            <w:r>
              <w:rPr>
                <w:noProof/>
              </w:rPr>
              <w:t>81</w:t>
            </w:r>
          </w:p>
        </w:tc>
        <w:tc>
          <w:tcPr>
            <w:tcW w:w="851" w:type="dxa"/>
            <w:shd w:val="clear" w:color="auto" w:fill="C6EFCE"/>
            <w:noWrap/>
          </w:tcPr>
          <w:p w14:paraId="20E2CDE1" w14:textId="77777777" w:rsidR="000E48CE" w:rsidRDefault="00FF4C4E">
            <w:pPr>
              <w:pStyle w:val="P68B1DB1-Normal13"/>
              <w:spacing w:after="0" w:line="240" w:lineRule="auto"/>
              <w:jc w:val="center"/>
              <w:rPr>
                <w:rFonts w:cs="Times New Roman"/>
                <w:noProof/>
              </w:rPr>
            </w:pPr>
            <w:r>
              <w:rPr>
                <w:noProof/>
              </w:rPr>
              <w:t>C5.I4</w:t>
            </w:r>
          </w:p>
        </w:tc>
        <w:tc>
          <w:tcPr>
            <w:tcW w:w="850" w:type="dxa"/>
            <w:shd w:val="clear" w:color="auto" w:fill="C6EFCE"/>
            <w:noWrap/>
          </w:tcPr>
          <w:p w14:paraId="3678FA0E" w14:textId="77777777" w:rsidR="000E48CE" w:rsidRDefault="00FF4C4E">
            <w:pPr>
              <w:pStyle w:val="P68B1DB1-Normal13"/>
              <w:spacing w:after="0" w:line="240" w:lineRule="auto"/>
              <w:jc w:val="center"/>
              <w:rPr>
                <w:rFonts w:cs="Times New Roman"/>
                <w:noProof/>
              </w:rPr>
            </w:pPr>
            <w:r>
              <w:rPr>
                <w:noProof/>
              </w:rPr>
              <w:t>T</w:t>
            </w:r>
          </w:p>
        </w:tc>
        <w:tc>
          <w:tcPr>
            <w:tcW w:w="2835" w:type="dxa"/>
            <w:shd w:val="clear" w:color="auto" w:fill="C6EFCE"/>
            <w:noWrap/>
          </w:tcPr>
          <w:p w14:paraId="2FA11EB4" w14:textId="77777777" w:rsidR="000E48CE" w:rsidRDefault="00FF4C4E">
            <w:pPr>
              <w:pStyle w:val="P68B1DB1-Normal13"/>
              <w:spacing w:after="0" w:line="240" w:lineRule="auto"/>
              <w:rPr>
                <w:rFonts w:cs="Times New Roman"/>
                <w:noProof/>
              </w:rPr>
            </w:pPr>
            <w:r>
              <w:rPr>
                <w:noProof/>
              </w:rPr>
              <w:t>Huonontuneiden alueiden ja ekosysteemien ennallistaminen vähintään 100 kilometrin päähän rannikosta</w:t>
            </w:r>
          </w:p>
        </w:tc>
        <w:tc>
          <w:tcPr>
            <w:tcW w:w="993" w:type="dxa"/>
            <w:shd w:val="clear" w:color="auto" w:fill="C6EFCE"/>
            <w:noWrap/>
          </w:tcPr>
          <w:p w14:paraId="34FF1C98"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20A5B720" w14:textId="77777777" w:rsidR="000E48CE" w:rsidRDefault="00FF4C4E">
            <w:pPr>
              <w:pStyle w:val="P68B1DB1-Normal13"/>
              <w:spacing w:after="0" w:line="240" w:lineRule="auto"/>
              <w:jc w:val="right"/>
              <w:rPr>
                <w:rFonts w:cs="Times New Roman"/>
                <w:noProof/>
              </w:rPr>
            </w:pPr>
            <w:r>
              <w:rPr>
                <w:noProof/>
              </w:rPr>
              <w:t>Lukumäärä (kilometreinä)</w:t>
            </w:r>
          </w:p>
        </w:tc>
        <w:tc>
          <w:tcPr>
            <w:tcW w:w="425" w:type="dxa"/>
            <w:shd w:val="clear" w:color="auto" w:fill="C6EFCE"/>
            <w:noWrap/>
          </w:tcPr>
          <w:p w14:paraId="5AE91C80" w14:textId="77777777" w:rsidR="000E48CE" w:rsidRDefault="00FF4C4E">
            <w:pPr>
              <w:pStyle w:val="P68B1DB1-Normal13"/>
              <w:spacing w:after="0" w:line="240" w:lineRule="auto"/>
              <w:jc w:val="right"/>
              <w:rPr>
                <w:rFonts w:cs="Times New Roman"/>
                <w:noProof/>
              </w:rPr>
            </w:pPr>
            <w:r>
              <w:rPr>
                <w:noProof/>
              </w:rPr>
              <w:t>50</w:t>
            </w:r>
          </w:p>
        </w:tc>
        <w:tc>
          <w:tcPr>
            <w:tcW w:w="709" w:type="dxa"/>
            <w:shd w:val="clear" w:color="auto" w:fill="C6EFCE"/>
            <w:noWrap/>
          </w:tcPr>
          <w:p w14:paraId="02B72823" w14:textId="1F2B50A6" w:rsidR="000E48CE" w:rsidRDefault="00FF4C4E">
            <w:pPr>
              <w:pStyle w:val="P68B1DB1-Normal13"/>
              <w:spacing w:after="0" w:line="240" w:lineRule="auto"/>
              <w:jc w:val="right"/>
              <w:rPr>
                <w:rFonts w:cs="Times New Roman"/>
                <w:noProof/>
              </w:rPr>
            </w:pPr>
            <w:r>
              <w:rPr>
                <w:noProof/>
              </w:rPr>
              <w:t>100</w:t>
            </w:r>
          </w:p>
        </w:tc>
        <w:tc>
          <w:tcPr>
            <w:tcW w:w="425" w:type="dxa"/>
            <w:shd w:val="clear" w:color="auto" w:fill="C6EFCE"/>
            <w:noWrap/>
          </w:tcPr>
          <w:p w14:paraId="5E4CD473"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665C4E8C" w14:textId="776FA070" w:rsidR="000E48CE" w:rsidRDefault="00FF4C4E">
            <w:pPr>
              <w:pStyle w:val="P68B1DB1-Normal13"/>
              <w:spacing w:after="0" w:line="240" w:lineRule="auto"/>
              <w:jc w:val="center"/>
              <w:rPr>
                <w:rFonts w:cs="Times New Roman"/>
                <w:noProof/>
              </w:rPr>
            </w:pPr>
            <w:r>
              <w:rPr>
                <w:noProof/>
              </w:rPr>
              <w:t>2023</w:t>
            </w:r>
          </w:p>
        </w:tc>
        <w:tc>
          <w:tcPr>
            <w:tcW w:w="6096" w:type="dxa"/>
            <w:shd w:val="clear" w:color="auto" w:fill="C6EFCE"/>
            <w:noWrap/>
          </w:tcPr>
          <w:p w14:paraId="4956F0E0" w14:textId="58271923" w:rsidR="000E48CE" w:rsidRDefault="00FF4C4E">
            <w:pPr>
              <w:pStyle w:val="P68B1DB1-Normal8"/>
              <w:spacing w:after="0" w:line="240" w:lineRule="auto"/>
              <w:rPr>
                <w:rFonts w:cs="Times New Roman"/>
                <w:noProof/>
                <w:sz w:val="18"/>
              </w:rPr>
            </w:pPr>
            <w:r>
              <w:rPr>
                <w:noProof/>
              </w:rPr>
              <w:t xml:space="preserve">Vähintään </w:t>
            </w:r>
            <w:r>
              <w:rPr>
                <w:noProof/>
              </w:rPr>
              <w:t>100 kilometrin säteellä rantaviivasta tehtävien töiden</w:t>
            </w:r>
            <w:r>
              <w:rPr>
                <w:noProof/>
                <w:sz w:val="18"/>
              </w:rPr>
              <w:t>loppuun saattaminen rappeutuneiden alueiden ja ekosysteemien ennallistamiseksi, rannikkoalueiden suojelemiseksi ja niiden saavutettavuuden parantamiseksi, eroosion hillitsemiseksi, rannikkoalueiden selv</w:t>
            </w:r>
            <w:r>
              <w:rPr>
                <w:noProof/>
                <w:sz w:val="18"/>
              </w:rPr>
              <w:t>iytymiskyvyn ja ilmastonmuutoksen vaikutuksiin sopeutumisen parantamiseksi sekä strategisen merisuunnittelupolitiikan etäseuranta ja täytäntöönpano. Rakennusurakoihin on sisällyttävä jokin seuraavista:</w:t>
            </w:r>
            <w:r>
              <w:rPr>
                <w:noProof/>
              </w:rPr>
              <w:br/>
            </w:r>
            <w:r>
              <w:rPr>
                <w:noProof/>
                <w:sz w:val="18"/>
              </w:rPr>
              <w:t>parannetaan Espanjan rannikon kykyä sietää ilmastonmuu</w:t>
            </w:r>
            <w:r>
              <w:rPr>
                <w:noProof/>
                <w:sz w:val="18"/>
              </w:rPr>
              <w:t>toksen haittavaikutuksia torjumalla eroosiota ja vahvistamalla rannikkoa. Tässä on tarkasteltava aallonmurtajan, keinotekoisten rantojen, kelluvien pintojen, sedimenttien hallinnan, luontoon perustuvien ratkaisujen, rantojen ja dyynijärjestelmien ennallist</w:t>
            </w:r>
            <w:r>
              <w:rPr>
                <w:noProof/>
                <w:sz w:val="18"/>
              </w:rPr>
              <w:t>amisen, rannikoiden suojeluinfrastruktuurin, älykkäiden verkkojen käyttöönottoa rannikoiden eroosion seurantaa varten tai toimia, joilla on vastaavia vaikutuksia.</w:t>
            </w:r>
            <w:r>
              <w:rPr>
                <w:noProof/>
              </w:rPr>
              <w:br/>
            </w:r>
            <w:r>
              <w:rPr>
                <w:noProof/>
                <w:sz w:val="18"/>
              </w:rPr>
              <w:t>suojella ja ennallistaa rannikkoekosysteemejä tai huonontuneita alueita. Tämä tehdään a) siir</w:t>
            </w:r>
            <w:r>
              <w:rPr>
                <w:noProof/>
                <w:sz w:val="18"/>
              </w:rPr>
              <w:t>tämällä taantuneiden laitosten siirrot; valtion omistaman maa-alueen rajaaminen; perusteettomasti tai epäasianmukaisesti miehitetyn valtion omistaman merimaan takaisinperintä; riskinarviointi ja -hallinta tai vastaavat toimet; huonontuneiden rannikkoalueid</w:t>
            </w:r>
            <w:r>
              <w:rPr>
                <w:noProof/>
                <w:sz w:val="18"/>
              </w:rPr>
              <w:t>en ja ekosysteemien ympäristön elvyttäminen; rantaviivan säilyttäminen ja hoito; ja/tai g) toimet, joilla on samanlaiset vaikutukset.</w:t>
            </w:r>
            <w:r>
              <w:rPr>
                <w:noProof/>
              </w:rPr>
              <w:br/>
            </w:r>
            <w:r>
              <w:rPr>
                <w:noProof/>
                <w:sz w:val="18"/>
              </w:rPr>
              <w:t>parannetaan julkisen maalla sijaitsevan merialueen hallittua ja asianmukaista saavutettavuutta. Tämä on toteutettava ottam</w:t>
            </w:r>
            <w:r>
              <w:rPr>
                <w:noProof/>
                <w:sz w:val="18"/>
              </w:rPr>
              <w:t>alla takaisin maa-alue julkisen käyttöoikeuden tarjoamiseksi, suunnittelemalla, hallinnoimalla ja ennallistamalla käyttöoikeutta tai toteuttamalla toimenpiteitä, joilla on vastaava vaikutus.</w:t>
            </w:r>
            <w:r>
              <w:rPr>
                <w:noProof/>
              </w:rPr>
              <w:br/>
            </w:r>
            <w:r>
              <w:rPr>
                <w:noProof/>
                <w:sz w:val="18"/>
              </w:rPr>
              <w:t>merien strategisen suunnittelupolitiikan täytäntöönpano. Tämä tot</w:t>
            </w:r>
            <w:r>
              <w:rPr>
                <w:noProof/>
                <w:sz w:val="18"/>
              </w:rPr>
              <w:t>eutetaan panemalla täytäntöön merten aluesuunnittelu, meristrategiat, valtameriä, ilmastoa ja rannikkoja koskeva tieteellinen neuvonta ja kehittämällä merten käyttäjille tarkoitettu georeferoitu verkkosovellus. (Perustaso: Joulukuuta 2022)</w:t>
            </w:r>
          </w:p>
        </w:tc>
      </w:tr>
      <w:tr w:rsidR="000E48CE" w14:paraId="792C4F9E" w14:textId="77777777">
        <w:trPr>
          <w:trHeight w:val="309"/>
        </w:trPr>
        <w:tc>
          <w:tcPr>
            <w:tcW w:w="709" w:type="dxa"/>
            <w:shd w:val="clear" w:color="auto" w:fill="C6EFCE"/>
            <w:noWrap/>
          </w:tcPr>
          <w:p w14:paraId="6129792C" w14:textId="34D0A125" w:rsidR="000E48CE" w:rsidRDefault="00FF4C4E">
            <w:pPr>
              <w:pStyle w:val="P68B1DB1-Normal13"/>
              <w:spacing w:after="0" w:line="240" w:lineRule="auto"/>
              <w:jc w:val="center"/>
              <w:rPr>
                <w:rFonts w:cs="Times New Roman"/>
                <w:noProof/>
              </w:rPr>
            </w:pPr>
            <w:r>
              <w:rPr>
                <w:noProof/>
              </w:rPr>
              <w:t>81b</w:t>
            </w:r>
          </w:p>
        </w:tc>
        <w:tc>
          <w:tcPr>
            <w:tcW w:w="851" w:type="dxa"/>
            <w:shd w:val="clear" w:color="auto" w:fill="C6EFCE"/>
            <w:noWrap/>
          </w:tcPr>
          <w:p w14:paraId="0F1A69C0" w14:textId="0A5C6C45" w:rsidR="000E48CE" w:rsidRDefault="00FF4C4E">
            <w:pPr>
              <w:pStyle w:val="P68B1DB1-Normal13"/>
              <w:spacing w:after="0" w:line="240" w:lineRule="auto"/>
              <w:jc w:val="center"/>
              <w:rPr>
                <w:rFonts w:cs="Times New Roman"/>
                <w:noProof/>
              </w:rPr>
            </w:pPr>
            <w:r>
              <w:rPr>
                <w:noProof/>
              </w:rPr>
              <w:t>C5.I4</w:t>
            </w:r>
          </w:p>
        </w:tc>
        <w:tc>
          <w:tcPr>
            <w:tcW w:w="850" w:type="dxa"/>
            <w:shd w:val="clear" w:color="auto" w:fill="C6EFCE"/>
            <w:noWrap/>
          </w:tcPr>
          <w:p w14:paraId="03579949" w14:textId="49B4C112" w:rsidR="000E48CE" w:rsidRDefault="00FF4C4E">
            <w:pPr>
              <w:pStyle w:val="P68B1DB1-Normal13"/>
              <w:spacing w:after="0" w:line="240" w:lineRule="auto"/>
              <w:jc w:val="center"/>
              <w:rPr>
                <w:rFonts w:cs="Times New Roman"/>
                <w:noProof/>
              </w:rPr>
            </w:pPr>
            <w:r>
              <w:rPr>
                <w:noProof/>
              </w:rPr>
              <w:t>T</w:t>
            </w:r>
          </w:p>
        </w:tc>
        <w:tc>
          <w:tcPr>
            <w:tcW w:w="2835" w:type="dxa"/>
            <w:shd w:val="clear" w:color="auto" w:fill="C6EFCE"/>
            <w:noWrap/>
          </w:tcPr>
          <w:p w14:paraId="52A03147" w14:textId="28B998E9" w:rsidR="000E48CE" w:rsidRDefault="00FF4C4E">
            <w:pPr>
              <w:pStyle w:val="P68B1DB1-Normal13"/>
              <w:spacing w:after="0" w:line="240" w:lineRule="auto"/>
              <w:rPr>
                <w:rFonts w:cs="Times New Roman"/>
                <w:noProof/>
              </w:rPr>
            </w:pPr>
            <w:r>
              <w:rPr>
                <w:noProof/>
              </w:rPr>
              <w:t>Huonontuneiden alueiden ja ekosysteemien ennallistaminen vähintään 145 kilometrin päähän rannikosta</w:t>
            </w:r>
          </w:p>
        </w:tc>
        <w:tc>
          <w:tcPr>
            <w:tcW w:w="993" w:type="dxa"/>
            <w:shd w:val="clear" w:color="auto" w:fill="C6EFCE"/>
            <w:noWrap/>
          </w:tcPr>
          <w:p w14:paraId="668F4DA1"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22A1F55A" w14:textId="0F961F79" w:rsidR="000E48CE" w:rsidRDefault="00FF4C4E">
            <w:pPr>
              <w:pStyle w:val="P68B1DB1-Normal13"/>
              <w:spacing w:after="0" w:line="240" w:lineRule="auto"/>
              <w:jc w:val="right"/>
              <w:rPr>
                <w:rFonts w:cs="Times New Roman"/>
                <w:noProof/>
              </w:rPr>
            </w:pPr>
            <w:r>
              <w:rPr>
                <w:noProof/>
              </w:rPr>
              <w:t>Lukumäärä (kilometreinä)</w:t>
            </w:r>
          </w:p>
        </w:tc>
        <w:tc>
          <w:tcPr>
            <w:tcW w:w="425" w:type="dxa"/>
            <w:shd w:val="clear" w:color="auto" w:fill="C6EFCE"/>
            <w:noWrap/>
          </w:tcPr>
          <w:p w14:paraId="3A4E4BB2" w14:textId="71217CD5" w:rsidR="000E48CE" w:rsidRDefault="00FF4C4E">
            <w:pPr>
              <w:pStyle w:val="P68B1DB1-Normal13"/>
              <w:spacing w:after="0" w:line="240" w:lineRule="auto"/>
              <w:jc w:val="right"/>
              <w:rPr>
                <w:rFonts w:cs="Times New Roman"/>
                <w:noProof/>
              </w:rPr>
            </w:pPr>
            <w:r>
              <w:rPr>
                <w:noProof/>
              </w:rPr>
              <w:t>100</w:t>
            </w:r>
          </w:p>
        </w:tc>
        <w:tc>
          <w:tcPr>
            <w:tcW w:w="709" w:type="dxa"/>
            <w:shd w:val="clear" w:color="auto" w:fill="C6EFCE"/>
            <w:noWrap/>
          </w:tcPr>
          <w:p w14:paraId="68BAC8DF" w14:textId="582E983F" w:rsidR="000E48CE" w:rsidRDefault="00FF4C4E">
            <w:pPr>
              <w:pStyle w:val="P68B1DB1-Normal13"/>
              <w:spacing w:after="0" w:line="240" w:lineRule="auto"/>
              <w:jc w:val="right"/>
              <w:rPr>
                <w:rFonts w:cs="Times New Roman"/>
                <w:noProof/>
              </w:rPr>
            </w:pPr>
            <w:r>
              <w:rPr>
                <w:noProof/>
              </w:rPr>
              <w:t>145</w:t>
            </w:r>
          </w:p>
        </w:tc>
        <w:tc>
          <w:tcPr>
            <w:tcW w:w="425" w:type="dxa"/>
            <w:shd w:val="clear" w:color="auto" w:fill="C6EFCE"/>
            <w:noWrap/>
          </w:tcPr>
          <w:p w14:paraId="60B911B7" w14:textId="33DF8A76"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36E9793D" w14:textId="7E9AC3D5" w:rsidR="000E48CE" w:rsidRDefault="00FF4C4E">
            <w:pPr>
              <w:pStyle w:val="P68B1DB1-Normal13"/>
              <w:spacing w:after="0" w:line="240" w:lineRule="auto"/>
              <w:jc w:val="center"/>
              <w:rPr>
                <w:rFonts w:cs="Times New Roman"/>
                <w:noProof/>
              </w:rPr>
            </w:pPr>
            <w:r>
              <w:rPr>
                <w:noProof/>
              </w:rPr>
              <w:t>2025</w:t>
            </w:r>
          </w:p>
        </w:tc>
        <w:tc>
          <w:tcPr>
            <w:tcW w:w="6096" w:type="dxa"/>
            <w:shd w:val="clear" w:color="auto" w:fill="C6EFCE"/>
            <w:noWrap/>
          </w:tcPr>
          <w:p w14:paraId="35DCF83F" w14:textId="2A848F3B" w:rsidR="000E48CE" w:rsidRDefault="00FF4C4E">
            <w:pPr>
              <w:pStyle w:val="P68B1DB1-Normal8"/>
              <w:spacing w:after="0" w:line="240" w:lineRule="auto"/>
              <w:rPr>
                <w:rFonts w:cs="Times New Roman"/>
                <w:noProof/>
                <w:sz w:val="18"/>
              </w:rPr>
            </w:pPr>
            <w:r>
              <w:rPr>
                <w:noProof/>
              </w:rPr>
              <w:t>Vähintään 145 kilometrin pituisen rantaviivan rakennustöiden</w:t>
            </w:r>
            <w:r>
              <w:rPr>
                <w:noProof/>
                <w:sz w:val="18"/>
              </w:rPr>
              <w:t>loppuun saattaminen rappeutuneiden alueiden ja ekosyst</w:t>
            </w:r>
            <w:r>
              <w:rPr>
                <w:noProof/>
                <w:sz w:val="18"/>
              </w:rPr>
              <w:t>eemien ennallistamiseksi, rannikkoalueiden suojelemiseksi ja niiden saavutettavuuden parantamiseksi, eroosion hillitsemiseksi, rannikkoalueiden selviytymiskyvyn ja ilmastonmuutoksen vaikutuksiin sopeutumisen parantamiseksi sekä strategisen merisuunnittelup</w:t>
            </w:r>
            <w:r>
              <w:rPr>
                <w:noProof/>
                <w:sz w:val="18"/>
              </w:rPr>
              <w:t>olitiikan etäseuranta ja täytäntöönpano. Rakennusurakoihin on sisällyttävä jokin seuraavista:</w:t>
            </w:r>
            <w:r>
              <w:rPr>
                <w:noProof/>
              </w:rPr>
              <w:br/>
            </w:r>
            <w:r>
              <w:rPr>
                <w:noProof/>
                <w:sz w:val="18"/>
              </w:rPr>
              <w:t>parannetaan Espanjan rannikon kykyä sietää ilmastonmuutoksen haittavaikutuksia torjumalla eroosiota ja vahvistamalla rannikkoa. Tässä on tarkasteltava aallonmurta</w:t>
            </w:r>
            <w:r>
              <w:rPr>
                <w:noProof/>
                <w:sz w:val="18"/>
              </w:rPr>
              <w:t>jan, keinotekoisten rantojen, kelluvien pintojen, sedimenttien hallinnan, luontoon perustuvien ratkaisujen, rantojen ja dyynijärjestelmien ennallistamisen, rannikoiden suojeluinfrastruktuurin, älykkäiden verkkojen käyttöönottoa rannikoiden eroosion seurant</w:t>
            </w:r>
            <w:r>
              <w:rPr>
                <w:noProof/>
                <w:sz w:val="18"/>
              </w:rPr>
              <w:t>aa varten tai toimia, joilla on vastaavia vaikutuksia.</w:t>
            </w:r>
            <w:r>
              <w:rPr>
                <w:noProof/>
              </w:rPr>
              <w:br/>
            </w:r>
            <w:r>
              <w:rPr>
                <w:noProof/>
                <w:sz w:val="18"/>
              </w:rPr>
              <w:t>suojella ja ennallistaa rannikkoekosysteemejä tai huonontuneita alueita. Tämä tehdään a) siirtämällä taantuneiden laitosten siirrot; valtion omistaman maa-alueen rajaaminen; perusteettomasti tai epäasi</w:t>
            </w:r>
            <w:r>
              <w:rPr>
                <w:noProof/>
                <w:sz w:val="18"/>
              </w:rPr>
              <w:t>anmukaisesti miehitetyn valtion omistaman merimaan takaisinperintä; riskinarviointi ja -hallinta tai vastaavat toimet; huonontuneiden rannikkoalueiden ja ekosysteemien ympäristön elvyttäminen; rantaviivan säilyttäminen ja hoito; ja/tai g) toimet, joilla on</w:t>
            </w:r>
            <w:r>
              <w:rPr>
                <w:noProof/>
                <w:sz w:val="18"/>
              </w:rPr>
              <w:t xml:space="preserve"> samanlaiset vaikutukset.</w:t>
            </w:r>
            <w:r>
              <w:rPr>
                <w:noProof/>
              </w:rPr>
              <w:br/>
            </w:r>
            <w:r>
              <w:rPr>
                <w:noProof/>
                <w:sz w:val="18"/>
              </w:rPr>
              <w:t>parannetaan julkisen maalla sijaitsevan merialueen hallittua ja asianmukaista saavutettavuutta. Tämä on toteutettava ottamalla takaisin maa-alue julkisen käyttöoikeuden tarjoamiseksi, suunnittelemalla, hallinnoimalla ja ennallista</w:t>
            </w:r>
            <w:r>
              <w:rPr>
                <w:noProof/>
                <w:sz w:val="18"/>
              </w:rPr>
              <w:t>malla käyttöoikeutta tai toteuttamalla toimenpiteitä, joilla on vastaava vaikutus.</w:t>
            </w:r>
            <w:r>
              <w:rPr>
                <w:noProof/>
              </w:rPr>
              <w:br/>
            </w:r>
            <w:r>
              <w:rPr>
                <w:noProof/>
                <w:sz w:val="18"/>
              </w:rPr>
              <w:t>merien strategisen suunnittelupolitiikan täytäntöönpano. Tämä toteutetaan panemalla täytäntöön merten aluesuunnittelu, meristrategiat, valtameriä, ilmastoa ja rannikkoja kos</w:t>
            </w:r>
            <w:r>
              <w:rPr>
                <w:noProof/>
                <w:sz w:val="18"/>
              </w:rPr>
              <w:t>keva tieteellinen neuvonta ja kehittämällä merten käyttäjille tarkoitettu georeferoitu verkkosovellus. (Perustaso: Joulukuuta 2023)</w:t>
            </w:r>
          </w:p>
        </w:tc>
      </w:tr>
    </w:tbl>
    <w:p w14:paraId="48B77EB9" w14:textId="77777777" w:rsidR="000E48CE" w:rsidRDefault="000E48CE">
      <w:pPr>
        <w:keepNext/>
        <w:spacing w:before="120" w:after="120" w:line="240" w:lineRule="auto"/>
        <w:ind w:left="720"/>
        <w:jc w:val="both"/>
        <w:rPr>
          <w:rFonts w:ascii="Times New Roman" w:hAnsi="Times New Roman" w:cs="Times New Roman"/>
          <w:b/>
          <w:noProof/>
          <w:sz w:val="24"/>
          <w:u w:val="single"/>
        </w:rPr>
      </w:pPr>
    </w:p>
    <w:p w14:paraId="74AFE277" w14:textId="77777777" w:rsidR="000E48CE" w:rsidRDefault="000E48CE">
      <w:pPr>
        <w:keepNext/>
        <w:spacing w:before="120" w:after="120" w:line="240" w:lineRule="auto"/>
        <w:ind w:left="720"/>
        <w:jc w:val="both"/>
        <w:rPr>
          <w:rFonts w:ascii="Times New Roman" w:hAnsi="Times New Roman" w:cs="Times New Roman"/>
          <w:noProof/>
          <w:sz w:val="24"/>
          <w:u w:val="single"/>
        </w:rPr>
        <w:sectPr w:rsidR="000E48CE" w:rsidSect="0035659C">
          <w:headerReference w:type="even" r:id="rId132"/>
          <w:headerReference w:type="default" r:id="rId133"/>
          <w:footerReference w:type="even" r:id="rId134"/>
          <w:footerReference w:type="default" r:id="rId135"/>
          <w:headerReference w:type="first" r:id="rId136"/>
          <w:footerReference w:type="first" r:id="rId137"/>
          <w:pgSz w:w="16839" w:h="11907" w:orient="landscape"/>
          <w:pgMar w:top="1417" w:right="1134" w:bottom="1417" w:left="1134" w:header="709" w:footer="709" w:gutter="0"/>
          <w:cols w:space="720"/>
          <w:docGrid w:linePitch="360"/>
        </w:sectPr>
      </w:pPr>
    </w:p>
    <w:p w14:paraId="18EB0796" w14:textId="525474E5" w:rsidR="000E48CE" w:rsidRDefault="00FF4C4E">
      <w:pPr>
        <w:pStyle w:val="P68B1DB1-Normal5"/>
        <w:keepNext/>
        <w:spacing w:before="120" w:after="120" w:line="240" w:lineRule="auto"/>
        <w:ind w:left="720"/>
        <w:jc w:val="both"/>
        <w:rPr>
          <w:rFonts w:cs="Times New Roman"/>
          <w:noProof/>
        </w:rPr>
      </w:pPr>
      <w:r>
        <w:rPr>
          <w:noProof/>
        </w:rPr>
        <w:t xml:space="preserve">E.3. </w:t>
      </w:r>
      <w:r>
        <w:rPr>
          <w:noProof/>
        </w:rPr>
        <w:tab/>
        <w:t>Lainatukeen tarkoitettujen investointien kuvaus</w:t>
      </w:r>
    </w:p>
    <w:p w14:paraId="3D9C6AA9" w14:textId="2203FDE3" w:rsidR="000E48CE" w:rsidRDefault="00FF4C4E">
      <w:pPr>
        <w:pStyle w:val="P68B1DB1-Text120"/>
        <w:ind w:left="0"/>
        <w:rPr>
          <w:rFonts w:cs="Times New Roman"/>
          <w:noProof/>
        </w:rPr>
      </w:pPr>
      <w:r>
        <w:rPr>
          <w:noProof/>
        </w:rPr>
        <w:t>Investointi 5 (C5.I5) – Akviferin elpyminen vaihtoehtoisilla varoilla</w:t>
      </w:r>
    </w:p>
    <w:p w14:paraId="570A1B4B" w14:textId="618E6C0E" w:rsidR="000E48CE" w:rsidRDefault="00FF4C4E">
      <w:pPr>
        <w:pStyle w:val="P68B1DB1-Text119"/>
        <w:ind w:left="0"/>
        <w:rPr>
          <w:rFonts w:cs="Times New Roman"/>
          <w:noProof/>
        </w:rPr>
      </w:pPr>
      <w:r>
        <w:rPr>
          <w:noProof/>
        </w:rPr>
        <w:t xml:space="preserve">Investoinnin tavoitteena on vähentää pohjavedenottoa erityisesti Segura-joella, Välimeren ja Andalusian vesistöalueella sekä Katalonian sisäisillä vesistöalueilla. </w:t>
      </w:r>
    </w:p>
    <w:p w14:paraId="70874476" w14:textId="3D6EA4C5" w:rsidR="000E48CE" w:rsidRDefault="00FF4C4E">
      <w:pPr>
        <w:pStyle w:val="P68B1DB1-Text119"/>
        <w:ind w:left="0"/>
        <w:rPr>
          <w:rFonts w:cs="Times New Roman"/>
          <w:noProof/>
        </w:rPr>
      </w:pPr>
      <w:r>
        <w:rPr>
          <w:noProof/>
        </w:rPr>
        <w:t>Investoinnin tavoitte</w:t>
      </w:r>
      <w:r>
        <w:rPr>
          <w:noProof/>
        </w:rPr>
        <w:t>ena on i) luoda yhteenliitäntöjä Segura-joen vesistöalueen suolanpoistolaitosten välille, jotta voidaan varmistaa Tajo-Segura-Aqueductn veden käyttäjien vedensaanti, ii) tuoda järjestelmään vettä, joka on peräisin Alicantessa sijaitsevista erilaisista uude</w:t>
      </w:r>
      <w:r>
        <w:rPr>
          <w:noProof/>
        </w:rPr>
        <w:t xml:space="preserve">lleenkäyttölaitoksista, ja iii) toteuttaa suolanpoistotoimia Katalonian alueen (Tordera II – Foix) ja Välimeren – Andalusian (Costa del Sol ja Levante Almeriense) alueella. Näillä toimilla vähennetään liikaa hyödynnetyistä ja huonossa ekologisessa tilassa </w:t>
      </w:r>
      <w:r>
        <w:rPr>
          <w:noProof/>
        </w:rPr>
        <w:t xml:space="preserve">olevista akvifereista louhitun pohjaveden määrää samalla kun varmistetaan veden turvallisuus eri käyttäjille ja edistetään pohjavesien talteenottoa.  </w:t>
      </w:r>
    </w:p>
    <w:p w14:paraId="0930EAAC" w14:textId="21635E0D" w:rsidR="000E48CE" w:rsidRDefault="00FF4C4E">
      <w:pPr>
        <w:pStyle w:val="P68B1DB1-Text119"/>
        <w:ind w:left="0"/>
        <w:rPr>
          <w:rFonts w:cs="Times New Roman"/>
          <w:noProof/>
        </w:rPr>
      </w:pPr>
      <w:r>
        <w:rPr>
          <w:noProof/>
        </w:rPr>
        <w:t>Tämän toimenpiteen ei odoteta aiheuttavan merkittävää haittaa asetuksen (EU) 2020/852 17 artiklassa tarko</w:t>
      </w:r>
      <w:r>
        <w:rPr>
          <w:noProof/>
        </w:rPr>
        <w:t>itetuille ympäristötavoitteille, kun otetaan huomioon ”ei merkittävää haittaa” -periaatetta koskevien teknisten ohjeiden (2021/C58/01) mukainen elpymis- ja palautumissuunnitelmassa esitetty toimenpiteen kuvaus ja lieventävät toimenpiteet. Erityisesti suola</w:t>
      </w:r>
      <w:r>
        <w:rPr>
          <w:noProof/>
        </w:rPr>
        <w:t xml:space="preserve">npoistoveden tuotannossa on käytettävä parasta saatavilla olevaa teknologiaa, jonka ympäristövaikutukset alalla ovat vähäisimmät. Investointi ei myöskään saa johtaa kastellun alueen laajenemiseen eikä kastelun voimakkuuden lisääntymiseen.  </w:t>
      </w:r>
    </w:p>
    <w:p w14:paraId="192FF083" w14:textId="77777777" w:rsidR="000E48CE" w:rsidRDefault="00FF4C4E">
      <w:pPr>
        <w:pStyle w:val="P68B1DB1-Text119"/>
        <w:ind w:left="0"/>
        <w:rPr>
          <w:rFonts w:cs="Times New Roman"/>
          <w:noProof/>
        </w:rPr>
      </w:pPr>
      <w:r>
        <w:rPr>
          <w:noProof/>
        </w:rPr>
        <w:t>Tämä investoint</w:t>
      </w:r>
      <w:r>
        <w:rPr>
          <w:noProof/>
        </w:rPr>
        <w:t xml:space="preserve">i on saatettava päätökseen 30 päivään kesäkuuta 2026 mennessä. </w:t>
      </w:r>
    </w:p>
    <w:p w14:paraId="731ED120" w14:textId="20D7EEA9" w:rsidR="000E48CE" w:rsidRDefault="00FF4C4E">
      <w:pPr>
        <w:pStyle w:val="P68B1DB1-Text120"/>
        <w:ind w:left="0"/>
        <w:rPr>
          <w:rFonts w:cs="Times New Roman"/>
          <w:noProof/>
        </w:rPr>
      </w:pPr>
      <w:r>
        <w:rPr>
          <w:noProof/>
        </w:rPr>
        <w:t>Investointi 6 (C5.I6) – PERTE vedenkäytön digitalisointia varten</w:t>
      </w:r>
    </w:p>
    <w:p w14:paraId="35B74DE3" w14:textId="77C208DE" w:rsidR="000E48CE" w:rsidRDefault="00FF4C4E">
      <w:pPr>
        <w:pStyle w:val="P68B1DB1-Text119"/>
        <w:ind w:left="0"/>
        <w:rPr>
          <w:rFonts w:cs="Times New Roman"/>
          <w:noProof/>
        </w:rPr>
      </w:pPr>
      <w:r>
        <w:rPr>
          <w:noProof/>
        </w:rPr>
        <w:t>Tällä investoinnilla pyritään tukemaan hankkeita, joilla pannaan täytäntöön digitalisaatiota edistäviä teknologioita ja vahvist</w:t>
      </w:r>
      <w:r>
        <w:rPr>
          <w:noProof/>
        </w:rPr>
        <w:t xml:space="preserve">etaan vedenkäytön seuranta- ja valvontakehystä kaupunkien veden kiertokulussa keskittyen keskisuuriin ja suuriin kuntiin sekä teollisuuteen. </w:t>
      </w:r>
    </w:p>
    <w:p w14:paraId="4A0A5EDD" w14:textId="2045F899" w:rsidR="000E48CE" w:rsidRDefault="00FF4C4E">
      <w:pPr>
        <w:pStyle w:val="P68B1DB1-Text119"/>
        <w:ind w:left="0"/>
        <w:rPr>
          <w:rFonts w:cs="Times New Roman"/>
          <w:noProof/>
        </w:rPr>
      </w:pPr>
      <w:r>
        <w:rPr>
          <w:noProof/>
        </w:rPr>
        <w:t xml:space="preserve">Tämä investointi on saatettava päätökseen 30 päivään kesäkuuta 2026 mennessä. </w:t>
      </w:r>
    </w:p>
    <w:p w14:paraId="47321117" w14:textId="77777777" w:rsidR="000E48CE" w:rsidRDefault="000E48CE">
      <w:pPr>
        <w:pStyle w:val="Text1"/>
        <w:ind w:left="0"/>
        <w:rPr>
          <w:rFonts w:ascii="Times New Roman" w:eastAsia="MS Mincho" w:hAnsi="Times New Roman" w:cs="Times New Roman"/>
          <w:noProof/>
        </w:rPr>
      </w:pPr>
    </w:p>
    <w:p w14:paraId="3DBF2AF7" w14:textId="5D74396D" w:rsidR="000E48CE" w:rsidRDefault="00FF4C4E">
      <w:pPr>
        <w:pStyle w:val="P68B1DB1-Normal5"/>
        <w:spacing w:before="120" w:after="120" w:line="240" w:lineRule="auto"/>
        <w:ind w:left="709"/>
        <w:jc w:val="both"/>
        <w:rPr>
          <w:rFonts w:cs="Times New Roman"/>
          <w:noProof/>
        </w:rPr>
      </w:pPr>
      <w:r>
        <w:rPr>
          <w:noProof/>
        </w:rPr>
        <w:t xml:space="preserve">E.4 </w:t>
      </w:r>
      <w:r>
        <w:rPr>
          <w:noProof/>
        </w:rPr>
        <w:tab/>
        <w:t>Lainatuen seurannan ja täytän</w:t>
      </w:r>
      <w:r>
        <w:rPr>
          <w:noProof/>
        </w:rPr>
        <w:t>töönpanon välitavoitteet, tavoitteet, indikaattorit ja aikataulu</w:t>
      </w:r>
    </w:p>
    <w:p w14:paraId="69E02543" w14:textId="2D0A3480" w:rsidR="000E48CE" w:rsidRDefault="00FF4C4E">
      <w:pPr>
        <w:pStyle w:val="P68B1DB1-Normal4"/>
        <w:spacing w:before="120" w:after="120" w:line="240" w:lineRule="auto"/>
        <w:jc w:val="both"/>
        <w:rPr>
          <w:rFonts w:cs="Times New Roman"/>
          <w:i/>
          <w:noProof/>
        </w:rPr>
      </w:pPr>
      <w:r>
        <w:rPr>
          <w:i/>
          <w:noProof/>
        </w:rPr>
        <w:t>Ks. taulukko jäljempänä.</w:t>
      </w:r>
      <w:r>
        <w:rPr>
          <w:noProof/>
        </w:rPr>
        <w:t xml:space="preserve"> </w:t>
      </w:r>
      <w:r>
        <w:rPr>
          <w:i/>
          <w:noProof/>
        </w:rPr>
        <w:t>Kaikkien indikaattoreiden perustaso on 1. helmikuuta 2020, ellei toimen kuvauksessa toisin ilmoiteta. Taulukossa esitetyt määrät eivät sisällä arvonlisäveroa.</w:t>
      </w:r>
    </w:p>
    <w:p w14:paraId="77C6D6B5" w14:textId="77777777" w:rsidR="000E48CE" w:rsidRDefault="000E48CE">
      <w:pPr>
        <w:spacing w:before="120" w:after="120" w:line="240" w:lineRule="auto"/>
        <w:jc w:val="both"/>
        <w:rPr>
          <w:rFonts w:ascii="Times New Roman" w:hAnsi="Times New Roman" w:cs="Times New Roman"/>
          <w:noProof/>
        </w:rPr>
        <w:sectPr w:rsidR="000E48CE" w:rsidSect="0035659C">
          <w:headerReference w:type="even" r:id="rId138"/>
          <w:headerReference w:type="default" r:id="rId139"/>
          <w:footerReference w:type="even" r:id="rId140"/>
          <w:footerReference w:type="default" r:id="rId141"/>
          <w:headerReference w:type="first" r:id="rId142"/>
          <w:footerReference w:type="first" r:id="rId143"/>
          <w:pgSz w:w="11907" w:h="16839"/>
          <w:pgMar w:top="1134" w:right="1417" w:bottom="1134" w:left="1417" w:header="709" w:footer="709" w:gutter="0"/>
          <w:cols w:space="720"/>
          <w:docGrid w:linePitch="360"/>
        </w:sectPr>
      </w:pPr>
    </w:p>
    <w:p w14:paraId="1B72A816" w14:textId="77777777" w:rsidR="000E48CE" w:rsidRDefault="000E48CE">
      <w:pPr>
        <w:spacing w:before="120" w:after="120" w:line="240" w:lineRule="auto"/>
        <w:jc w:val="both"/>
        <w:rPr>
          <w:rFonts w:ascii="Times New Roman" w:hAnsi="Times New Roman" w:cs="Times New Roman"/>
          <w:noProof/>
        </w:rPr>
      </w:pPr>
    </w:p>
    <w:p w14:paraId="23906EED" w14:textId="77777777" w:rsidR="000E48CE" w:rsidRDefault="000E48CE">
      <w:pPr>
        <w:pStyle w:val="Text1"/>
        <w:ind w:left="0"/>
        <w:rPr>
          <w:rFonts w:ascii="Times New Roman" w:eastAsia="MS Mincho" w:hAnsi="Times New Roman" w:cs="Times New Roman"/>
          <w:noProof/>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0E48CE" w14:paraId="391966F2" w14:textId="77777777">
        <w:trPr>
          <w:trHeight w:val="309"/>
          <w:tblHeader/>
        </w:trPr>
        <w:tc>
          <w:tcPr>
            <w:tcW w:w="709" w:type="dxa"/>
            <w:tcBorders>
              <w:bottom w:val="nil"/>
            </w:tcBorders>
            <w:shd w:val="clear" w:color="auto" w:fill="C6D9F1" w:themeFill="text2" w:themeFillTint="33"/>
            <w:noWrap/>
            <w:vAlign w:val="center"/>
          </w:tcPr>
          <w:p w14:paraId="12BD0FD1" w14:textId="77777777" w:rsidR="000E48CE" w:rsidRDefault="00FF4C4E">
            <w:pPr>
              <w:pStyle w:val="P68B1DB1-Normal12"/>
              <w:spacing w:after="0" w:line="240" w:lineRule="auto"/>
              <w:jc w:val="center"/>
              <w:rPr>
                <w:rFonts w:cs="Times New Roman"/>
                <w:noProof/>
              </w:rPr>
            </w:pPr>
            <w:bookmarkStart w:id="14" w:name="_Hlk138346203"/>
            <w:r>
              <w:rPr>
                <w:noProof/>
              </w:rPr>
              <w:t>Määrä</w:t>
            </w:r>
          </w:p>
        </w:tc>
        <w:tc>
          <w:tcPr>
            <w:tcW w:w="851" w:type="dxa"/>
            <w:tcBorders>
              <w:bottom w:val="nil"/>
            </w:tcBorders>
            <w:shd w:val="clear" w:color="auto" w:fill="C6D9F1" w:themeFill="text2" w:themeFillTint="33"/>
            <w:noWrap/>
            <w:vAlign w:val="center"/>
          </w:tcPr>
          <w:p w14:paraId="7A1486DC"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0086A022"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835" w:type="dxa"/>
            <w:tcBorders>
              <w:bottom w:val="nil"/>
            </w:tcBorders>
            <w:shd w:val="clear" w:color="auto" w:fill="C6D9F1" w:themeFill="text2" w:themeFillTint="33"/>
            <w:noWrap/>
            <w:vAlign w:val="center"/>
          </w:tcPr>
          <w:p w14:paraId="47B9F5B8" w14:textId="77777777" w:rsidR="000E48CE" w:rsidRDefault="00FF4C4E">
            <w:pPr>
              <w:pStyle w:val="P68B1DB1-Normal12"/>
              <w:spacing w:after="0" w:line="240" w:lineRule="auto"/>
              <w:jc w:val="center"/>
              <w:rPr>
                <w:rFonts w:cs="Times New Roman"/>
                <w:noProof/>
              </w:rPr>
            </w:pPr>
            <w:r>
              <w:rPr>
                <w:noProof/>
              </w:rPr>
              <w:t>Nimi</w:t>
            </w:r>
          </w:p>
        </w:tc>
        <w:tc>
          <w:tcPr>
            <w:tcW w:w="993" w:type="dxa"/>
            <w:tcBorders>
              <w:bottom w:val="nil"/>
            </w:tcBorders>
            <w:shd w:val="clear" w:color="auto" w:fill="C6D9F1" w:themeFill="text2" w:themeFillTint="33"/>
            <w:noWrap/>
            <w:vAlign w:val="center"/>
          </w:tcPr>
          <w:p w14:paraId="4414649E"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4" w:type="dxa"/>
            <w:gridSpan w:val="3"/>
            <w:shd w:val="clear" w:color="auto" w:fill="C6D9F1" w:themeFill="text2" w:themeFillTint="33"/>
            <w:noWrap/>
            <w:vAlign w:val="center"/>
          </w:tcPr>
          <w:p w14:paraId="5D64DF5B"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01D99DB9" w14:textId="77777777" w:rsidR="000E48CE" w:rsidRDefault="00FF4C4E">
            <w:pPr>
              <w:pStyle w:val="P68B1DB1-Normal12"/>
              <w:spacing w:after="0" w:line="240" w:lineRule="auto"/>
              <w:jc w:val="center"/>
              <w:rPr>
                <w:rFonts w:cs="Times New Roman"/>
                <w:noProof/>
              </w:rPr>
            </w:pPr>
            <w:r>
              <w:rPr>
                <w:noProof/>
              </w:rPr>
              <w:t>Aika</w:t>
            </w:r>
          </w:p>
        </w:tc>
        <w:tc>
          <w:tcPr>
            <w:tcW w:w="6096" w:type="dxa"/>
            <w:tcBorders>
              <w:bottom w:val="nil"/>
            </w:tcBorders>
            <w:shd w:val="clear" w:color="auto" w:fill="C6D9F1" w:themeFill="text2" w:themeFillTint="33"/>
            <w:noWrap/>
            <w:vAlign w:val="center"/>
          </w:tcPr>
          <w:p w14:paraId="148478C2"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54EFC1AE" w14:textId="77777777">
        <w:trPr>
          <w:trHeight w:val="309"/>
          <w:tblHeader/>
        </w:trPr>
        <w:tc>
          <w:tcPr>
            <w:tcW w:w="709" w:type="dxa"/>
            <w:tcBorders>
              <w:top w:val="nil"/>
            </w:tcBorders>
            <w:shd w:val="clear" w:color="auto" w:fill="C6D9F1" w:themeFill="text2" w:themeFillTint="33"/>
            <w:noWrap/>
          </w:tcPr>
          <w:p w14:paraId="1E8F32CC"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69C90A0"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F654621" w14:textId="77777777" w:rsidR="000E48CE" w:rsidRDefault="000E48CE">
            <w:pPr>
              <w:spacing w:after="0" w:line="240" w:lineRule="auto"/>
              <w:jc w:val="center"/>
              <w:rPr>
                <w:rFonts w:ascii="Times New Roman" w:hAnsi="Times New Roman" w:cs="Times New Roman"/>
                <w:b/>
                <w:noProof/>
                <w:sz w:val="18"/>
              </w:rPr>
            </w:pPr>
          </w:p>
        </w:tc>
        <w:tc>
          <w:tcPr>
            <w:tcW w:w="2835" w:type="dxa"/>
            <w:tcBorders>
              <w:top w:val="nil"/>
            </w:tcBorders>
            <w:shd w:val="clear" w:color="auto" w:fill="C6D9F1" w:themeFill="text2" w:themeFillTint="33"/>
            <w:noWrap/>
          </w:tcPr>
          <w:p w14:paraId="1B405182" w14:textId="77777777" w:rsidR="000E48CE" w:rsidRDefault="000E48CE">
            <w:pPr>
              <w:spacing w:after="0" w:line="240" w:lineRule="auto"/>
              <w:rPr>
                <w:rFonts w:ascii="Times New Roman" w:hAnsi="Times New Roman" w:cs="Times New Roman"/>
                <w:b/>
                <w:noProof/>
                <w:sz w:val="18"/>
              </w:rPr>
            </w:pPr>
          </w:p>
        </w:tc>
        <w:tc>
          <w:tcPr>
            <w:tcW w:w="993" w:type="dxa"/>
            <w:tcBorders>
              <w:top w:val="nil"/>
            </w:tcBorders>
            <w:shd w:val="clear" w:color="auto" w:fill="C6D9F1" w:themeFill="text2" w:themeFillTint="33"/>
            <w:noWrap/>
          </w:tcPr>
          <w:p w14:paraId="0D83A2E6"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0E0D0DA7" w14:textId="77777777" w:rsidR="000E48CE" w:rsidRDefault="00FF4C4E">
            <w:pPr>
              <w:pStyle w:val="P68B1DB1-Normal12"/>
              <w:spacing w:after="0" w:line="240" w:lineRule="auto"/>
              <w:jc w:val="center"/>
              <w:rPr>
                <w:rFonts w:cs="Times New Roman"/>
                <w:noProof/>
              </w:rPr>
            </w:pPr>
            <w:r>
              <w:rPr>
                <w:noProof/>
              </w:rPr>
              <w:t>Yksikkö</w:t>
            </w:r>
          </w:p>
        </w:tc>
        <w:tc>
          <w:tcPr>
            <w:tcW w:w="425" w:type="dxa"/>
            <w:shd w:val="clear" w:color="auto" w:fill="C6D9F1" w:themeFill="text2" w:themeFillTint="33"/>
            <w:noWrap/>
            <w:vAlign w:val="center"/>
          </w:tcPr>
          <w:p w14:paraId="25D166B5" w14:textId="77777777" w:rsidR="000E48CE" w:rsidRDefault="00FF4C4E">
            <w:pPr>
              <w:pStyle w:val="P68B1DB1-Normal12"/>
              <w:spacing w:after="0" w:line="240" w:lineRule="auto"/>
              <w:jc w:val="center"/>
              <w:rPr>
                <w:rFonts w:cs="Times New Roman"/>
                <w:noProof/>
              </w:rPr>
            </w:pPr>
            <w:r>
              <w:rPr>
                <w:noProof/>
              </w:rPr>
              <w:t>Perusviiva</w:t>
            </w:r>
          </w:p>
        </w:tc>
        <w:tc>
          <w:tcPr>
            <w:tcW w:w="709" w:type="dxa"/>
            <w:shd w:val="clear" w:color="auto" w:fill="C6D9F1" w:themeFill="text2" w:themeFillTint="33"/>
            <w:noWrap/>
            <w:vAlign w:val="center"/>
          </w:tcPr>
          <w:p w14:paraId="6D5DF994"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493C9C13"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53C61BD" w14:textId="77777777" w:rsidR="000E48CE" w:rsidRDefault="00FF4C4E">
            <w:pPr>
              <w:pStyle w:val="P68B1DB1-Normal12"/>
              <w:spacing w:after="0" w:line="240" w:lineRule="auto"/>
              <w:jc w:val="center"/>
              <w:rPr>
                <w:rFonts w:cs="Times New Roman"/>
                <w:noProof/>
              </w:rPr>
            </w:pPr>
            <w:r>
              <w:rPr>
                <w:noProof/>
              </w:rPr>
              <w:t>Vuosi</w:t>
            </w:r>
          </w:p>
        </w:tc>
        <w:tc>
          <w:tcPr>
            <w:tcW w:w="6096" w:type="dxa"/>
            <w:tcBorders>
              <w:top w:val="nil"/>
            </w:tcBorders>
            <w:shd w:val="clear" w:color="auto" w:fill="C6D9F1" w:themeFill="text2" w:themeFillTint="33"/>
            <w:noWrap/>
          </w:tcPr>
          <w:p w14:paraId="687E6B85" w14:textId="77777777" w:rsidR="000E48CE" w:rsidRDefault="000E48CE">
            <w:pPr>
              <w:spacing w:after="0" w:line="240" w:lineRule="auto"/>
              <w:rPr>
                <w:rFonts w:ascii="Times New Roman" w:hAnsi="Times New Roman" w:cs="Times New Roman"/>
                <w:b/>
                <w:noProof/>
                <w:sz w:val="18"/>
              </w:rPr>
            </w:pPr>
          </w:p>
        </w:tc>
      </w:tr>
      <w:tr w:rsidR="000E48CE" w14:paraId="4DB045D4" w14:textId="77777777">
        <w:trPr>
          <w:trHeight w:val="309"/>
        </w:trPr>
        <w:tc>
          <w:tcPr>
            <w:tcW w:w="709" w:type="dxa"/>
            <w:shd w:val="clear" w:color="auto" w:fill="C6EFCE"/>
            <w:noWrap/>
          </w:tcPr>
          <w:p w14:paraId="0CE60D6D" w14:textId="569AC578" w:rsidR="000E48CE" w:rsidRDefault="00FF4C4E">
            <w:pPr>
              <w:pStyle w:val="P68B1DB1-Normal13"/>
              <w:spacing w:after="0" w:line="240" w:lineRule="auto"/>
              <w:jc w:val="center"/>
              <w:rPr>
                <w:rFonts w:eastAsia="MS Mincho" w:cs="Times New Roman"/>
                <w:noProof/>
              </w:rPr>
            </w:pPr>
            <w:r>
              <w:rPr>
                <w:noProof/>
              </w:rPr>
              <w:t>L13</w:t>
            </w:r>
          </w:p>
        </w:tc>
        <w:tc>
          <w:tcPr>
            <w:tcW w:w="851" w:type="dxa"/>
            <w:shd w:val="clear" w:color="auto" w:fill="C6EFCE"/>
            <w:noWrap/>
          </w:tcPr>
          <w:p w14:paraId="709DC092" w14:textId="721839BE" w:rsidR="000E48CE" w:rsidRDefault="00FF4C4E">
            <w:pPr>
              <w:pStyle w:val="P68B1DB1-Normal13"/>
              <w:spacing w:after="0" w:line="240" w:lineRule="auto"/>
              <w:jc w:val="center"/>
              <w:rPr>
                <w:rFonts w:eastAsia="MS Mincho" w:cs="Times New Roman"/>
                <w:noProof/>
              </w:rPr>
            </w:pPr>
            <w:r>
              <w:rPr>
                <w:noProof/>
              </w:rPr>
              <w:t>C5.I5</w:t>
            </w:r>
          </w:p>
        </w:tc>
        <w:tc>
          <w:tcPr>
            <w:tcW w:w="850" w:type="dxa"/>
            <w:shd w:val="clear" w:color="auto" w:fill="C6EFCE"/>
            <w:noWrap/>
          </w:tcPr>
          <w:p w14:paraId="6EF1A728" w14:textId="60702C07" w:rsidR="000E48CE" w:rsidRDefault="00FF4C4E">
            <w:pPr>
              <w:pStyle w:val="P68B1DB1-Normal13"/>
              <w:spacing w:after="0" w:line="240" w:lineRule="auto"/>
              <w:jc w:val="center"/>
              <w:rPr>
                <w:rFonts w:eastAsia="MS Mincho" w:cs="Times New Roman"/>
                <w:noProof/>
              </w:rPr>
            </w:pPr>
            <w:r>
              <w:rPr>
                <w:noProof/>
              </w:rPr>
              <w:t>T</w:t>
            </w:r>
          </w:p>
        </w:tc>
        <w:tc>
          <w:tcPr>
            <w:tcW w:w="2835" w:type="dxa"/>
            <w:shd w:val="clear" w:color="auto" w:fill="C6EFCE"/>
            <w:noWrap/>
          </w:tcPr>
          <w:p w14:paraId="47A6AF21" w14:textId="0491A6D9" w:rsidR="000E48CE" w:rsidRDefault="00FF4C4E">
            <w:pPr>
              <w:pStyle w:val="P68B1DB1-Normal13"/>
              <w:spacing w:after="0" w:line="240" w:lineRule="auto"/>
              <w:rPr>
                <w:rFonts w:eastAsia="MS Mincho" w:cs="Times New Roman"/>
                <w:noProof/>
              </w:rPr>
            </w:pPr>
            <w:r>
              <w:rPr>
                <w:noProof/>
              </w:rPr>
              <w:t>Pohjavedenoton vähentäminen</w:t>
            </w:r>
          </w:p>
        </w:tc>
        <w:tc>
          <w:tcPr>
            <w:tcW w:w="993" w:type="dxa"/>
            <w:shd w:val="clear" w:color="auto" w:fill="C6EFCE"/>
            <w:noWrap/>
          </w:tcPr>
          <w:p w14:paraId="609959BB" w14:textId="39228FF8"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7614457B" w14:textId="7744038C" w:rsidR="000E48CE" w:rsidRDefault="00FF4C4E">
            <w:pPr>
              <w:pStyle w:val="P68B1DB1-Normal13"/>
              <w:spacing w:after="0" w:line="240" w:lineRule="auto"/>
              <w:jc w:val="right"/>
              <w:rPr>
                <w:rFonts w:eastAsia="MS Mincho" w:cs="Times New Roman"/>
                <w:noProof/>
              </w:rPr>
            </w:pPr>
            <w:r>
              <w:rPr>
                <w:noProof/>
              </w:rPr>
              <w:t xml:space="preserve">Lukumäärä (hm3/vuosi)  </w:t>
            </w:r>
          </w:p>
        </w:tc>
        <w:tc>
          <w:tcPr>
            <w:tcW w:w="425" w:type="dxa"/>
            <w:shd w:val="clear" w:color="auto" w:fill="C6EFCE"/>
            <w:noWrap/>
          </w:tcPr>
          <w:p w14:paraId="02BA64C4" w14:textId="1E482E31" w:rsidR="000E48CE" w:rsidRDefault="00FF4C4E">
            <w:pPr>
              <w:pStyle w:val="P68B1DB1-Normal13"/>
              <w:spacing w:after="0" w:line="240" w:lineRule="auto"/>
              <w:jc w:val="right"/>
              <w:rPr>
                <w:rFonts w:eastAsia="MS Mincho" w:cs="Times New Roman"/>
                <w:noProof/>
              </w:rPr>
            </w:pPr>
            <w:r>
              <w:rPr>
                <w:noProof/>
              </w:rPr>
              <w:t xml:space="preserve">0 </w:t>
            </w:r>
          </w:p>
        </w:tc>
        <w:tc>
          <w:tcPr>
            <w:tcW w:w="709" w:type="dxa"/>
            <w:shd w:val="clear" w:color="auto" w:fill="C6EFCE"/>
            <w:noWrap/>
          </w:tcPr>
          <w:p w14:paraId="43B86807" w14:textId="69674AB9" w:rsidR="000E48CE" w:rsidRDefault="00FF4C4E">
            <w:pPr>
              <w:pStyle w:val="P68B1DB1-Normal13"/>
              <w:spacing w:after="0" w:line="240" w:lineRule="auto"/>
              <w:jc w:val="right"/>
              <w:rPr>
                <w:rFonts w:eastAsia="MS Mincho" w:cs="Times New Roman"/>
                <w:noProof/>
              </w:rPr>
            </w:pPr>
            <w:r>
              <w:rPr>
                <w:noProof/>
              </w:rPr>
              <w:t xml:space="preserve">60 </w:t>
            </w:r>
          </w:p>
        </w:tc>
        <w:tc>
          <w:tcPr>
            <w:tcW w:w="425" w:type="dxa"/>
            <w:shd w:val="clear" w:color="auto" w:fill="C6EFCE"/>
            <w:noWrap/>
          </w:tcPr>
          <w:p w14:paraId="147BB08F" w14:textId="15C6E9E9" w:rsidR="000E48CE" w:rsidRDefault="00FF4C4E">
            <w:pPr>
              <w:pStyle w:val="P68B1DB1-Normal13"/>
              <w:spacing w:after="0" w:line="240" w:lineRule="auto"/>
              <w:jc w:val="center"/>
              <w:rPr>
                <w:rFonts w:eastAsia="MS Mincho" w:cs="Times New Roman"/>
                <w:noProof/>
              </w:rPr>
            </w:pPr>
            <w:r>
              <w:rPr>
                <w:noProof/>
              </w:rPr>
              <w:t>Q2</w:t>
            </w:r>
          </w:p>
        </w:tc>
        <w:tc>
          <w:tcPr>
            <w:tcW w:w="567" w:type="dxa"/>
            <w:shd w:val="clear" w:color="auto" w:fill="C6EFCE"/>
            <w:noWrap/>
          </w:tcPr>
          <w:p w14:paraId="68312A86" w14:textId="2757FA3D" w:rsidR="000E48CE" w:rsidRDefault="00FF4C4E">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413948F2" w14:textId="26E4F286" w:rsidR="000E48CE" w:rsidRDefault="00FF4C4E">
            <w:pPr>
              <w:pStyle w:val="P68B1DB1-Normal13"/>
              <w:spacing w:after="0" w:line="240" w:lineRule="auto"/>
              <w:rPr>
                <w:rFonts w:eastAsia="MS Mincho" w:cs="Times New Roman"/>
                <w:noProof/>
              </w:rPr>
            </w:pPr>
            <w:r>
              <w:rPr>
                <w:noProof/>
              </w:rPr>
              <w:t xml:space="preserve">Vaihtoehtoisten luonnonvarojen hankinta suolanpoistolaitoksista samalla kun saavutetaan Katalonian ja Välimeren ja Andalusian sisäisillä vesistöalueilla sijaitsevista pohjavettä johtavista kerrostumista peräisin olevan pohjaveden vuotuisen määrän vastaava </w:t>
            </w:r>
            <w:r>
              <w:rPr>
                <w:noProof/>
              </w:rPr>
              <w:t xml:space="preserve">vähennys toimenpiteen kuvauksen mukaisesti. </w:t>
            </w:r>
          </w:p>
        </w:tc>
      </w:tr>
      <w:tr w:rsidR="000E48CE" w14:paraId="236752E1" w14:textId="77777777">
        <w:trPr>
          <w:trHeight w:val="309"/>
        </w:trPr>
        <w:tc>
          <w:tcPr>
            <w:tcW w:w="709" w:type="dxa"/>
            <w:shd w:val="clear" w:color="auto" w:fill="C6EFCE"/>
            <w:noWrap/>
          </w:tcPr>
          <w:p w14:paraId="7E73AEA7" w14:textId="42D94A6F" w:rsidR="000E48CE" w:rsidRDefault="00FF4C4E">
            <w:pPr>
              <w:pStyle w:val="P68B1DB1-Normal13"/>
              <w:spacing w:after="0" w:line="240" w:lineRule="auto"/>
              <w:jc w:val="center"/>
              <w:rPr>
                <w:rFonts w:cs="Times New Roman"/>
                <w:noProof/>
              </w:rPr>
            </w:pPr>
            <w:r>
              <w:rPr>
                <w:noProof/>
              </w:rPr>
              <w:t>L14</w:t>
            </w:r>
          </w:p>
        </w:tc>
        <w:tc>
          <w:tcPr>
            <w:tcW w:w="851" w:type="dxa"/>
            <w:shd w:val="clear" w:color="auto" w:fill="C6EFCE"/>
            <w:noWrap/>
          </w:tcPr>
          <w:p w14:paraId="3700384D" w14:textId="7473AFB4" w:rsidR="000E48CE" w:rsidRDefault="00FF4C4E">
            <w:pPr>
              <w:pStyle w:val="P68B1DB1-Normal13"/>
              <w:spacing w:after="0" w:line="240" w:lineRule="auto"/>
              <w:jc w:val="center"/>
              <w:rPr>
                <w:rFonts w:cs="Times New Roman"/>
                <w:noProof/>
              </w:rPr>
            </w:pPr>
            <w:r>
              <w:rPr>
                <w:noProof/>
              </w:rPr>
              <w:t>C5.I6</w:t>
            </w:r>
          </w:p>
        </w:tc>
        <w:tc>
          <w:tcPr>
            <w:tcW w:w="850" w:type="dxa"/>
            <w:shd w:val="clear" w:color="auto" w:fill="C6EFCE"/>
            <w:noWrap/>
          </w:tcPr>
          <w:p w14:paraId="1E7CB0BA" w14:textId="0C4B5D5E" w:rsidR="000E48CE" w:rsidRDefault="00FF4C4E">
            <w:pPr>
              <w:pStyle w:val="P68B1DB1-Normal13"/>
              <w:spacing w:after="0" w:line="240" w:lineRule="auto"/>
              <w:jc w:val="center"/>
              <w:rPr>
                <w:rFonts w:cs="Times New Roman"/>
                <w:noProof/>
              </w:rPr>
            </w:pPr>
            <w:r>
              <w:rPr>
                <w:noProof/>
              </w:rPr>
              <w:t>M</w:t>
            </w:r>
          </w:p>
        </w:tc>
        <w:tc>
          <w:tcPr>
            <w:tcW w:w="2835" w:type="dxa"/>
            <w:shd w:val="clear" w:color="auto" w:fill="C6EFCE"/>
            <w:noWrap/>
          </w:tcPr>
          <w:p w14:paraId="30947F60" w14:textId="006CF621" w:rsidR="000E48CE" w:rsidRDefault="00FF4C4E">
            <w:pPr>
              <w:pStyle w:val="P68B1DB1-Normal13"/>
              <w:spacing w:after="0" w:line="240" w:lineRule="auto"/>
              <w:rPr>
                <w:rFonts w:cs="Times New Roman"/>
                <w:noProof/>
              </w:rPr>
            </w:pPr>
            <w:r>
              <w:rPr>
                <w:noProof/>
              </w:rPr>
              <w:t>Toimet kaupunkien vesikierron ja teollisuuden digitalisoimiseksi</w:t>
            </w:r>
          </w:p>
        </w:tc>
        <w:tc>
          <w:tcPr>
            <w:tcW w:w="993" w:type="dxa"/>
            <w:shd w:val="clear" w:color="auto" w:fill="C6EFCE"/>
            <w:noWrap/>
          </w:tcPr>
          <w:p w14:paraId="4BE75B5E" w14:textId="31B0FCDD" w:rsidR="000E48CE" w:rsidRDefault="00FF4C4E">
            <w:pPr>
              <w:pStyle w:val="P68B1DB1-Normal13"/>
              <w:spacing w:after="0" w:line="240" w:lineRule="auto"/>
              <w:jc w:val="center"/>
              <w:rPr>
                <w:rFonts w:cs="Times New Roman"/>
                <w:noProof/>
              </w:rPr>
            </w:pPr>
            <w:r>
              <w:rPr>
                <w:noProof/>
              </w:rPr>
              <w:t xml:space="preserve"> Valmistuneita töitä koskeva virallinen ilmoitus</w:t>
            </w:r>
          </w:p>
        </w:tc>
        <w:tc>
          <w:tcPr>
            <w:tcW w:w="850" w:type="dxa"/>
            <w:shd w:val="clear" w:color="auto" w:fill="C6EFCE"/>
            <w:noWrap/>
          </w:tcPr>
          <w:p w14:paraId="05A908A8" w14:textId="70F58511" w:rsidR="000E48CE" w:rsidRDefault="00FF4C4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40BDD0E6" w14:textId="6FFB4C1C"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4D03E66A" w14:textId="48B971C1" w:rsidR="000E48CE" w:rsidRDefault="000E48CE">
            <w:pPr>
              <w:spacing w:after="0" w:line="240" w:lineRule="auto"/>
              <w:jc w:val="right"/>
              <w:rPr>
                <w:rFonts w:ascii="Times New Roman" w:hAnsi="Times New Roman" w:cs="Times New Roman"/>
                <w:noProof/>
                <w:sz w:val="18"/>
              </w:rPr>
            </w:pPr>
          </w:p>
        </w:tc>
        <w:tc>
          <w:tcPr>
            <w:tcW w:w="425" w:type="dxa"/>
            <w:shd w:val="clear" w:color="auto" w:fill="C6EFCE"/>
            <w:noWrap/>
          </w:tcPr>
          <w:p w14:paraId="29AB48B3" w14:textId="765DF2FB" w:rsidR="000E48CE" w:rsidRDefault="00FF4C4E">
            <w:pPr>
              <w:pStyle w:val="P68B1DB1-Normal13"/>
              <w:spacing w:after="0" w:line="240" w:lineRule="auto"/>
              <w:jc w:val="center"/>
              <w:rPr>
                <w:rFonts w:cs="Times New Roman"/>
                <w:noProof/>
              </w:rPr>
            </w:pPr>
            <w:r>
              <w:rPr>
                <w:noProof/>
              </w:rPr>
              <w:t xml:space="preserve">Q2 </w:t>
            </w:r>
          </w:p>
        </w:tc>
        <w:tc>
          <w:tcPr>
            <w:tcW w:w="567" w:type="dxa"/>
            <w:shd w:val="clear" w:color="auto" w:fill="C6EFCE"/>
            <w:noWrap/>
          </w:tcPr>
          <w:p w14:paraId="2B10CCDA" w14:textId="6F2A8907" w:rsidR="000E48CE" w:rsidRDefault="00FF4C4E">
            <w:pPr>
              <w:pStyle w:val="P68B1DB1-Normal13"/>
              <w:spacing w:after="0" w:line="240" w:lineRule="auto"/>
              <w:jc w:val="center"/>
              <w:rPr>
                <w:rFonts w:cs="Times New Roman"/>
                <w:noProof/>
              </w:rPr>
            </w:pPr>
            <w:r>
              <w:rPr>
                <w:noProof/>
              </w:rPr>
              <w:t>2026</w:t>
            </w:r>
          </w:p>
        </w:tc>
        <w:tc>
          <w:tcPr>
            <w:tcW w:w="6096" w:type="dxa"/>
            <w:shd w:val="clear" w:color="auto" w:fill="C6EFCE"/>
            <w:noWrap/>
          </w:tcPr>
          <w:p w14:paraId="3E8F8829" w14:textId="445A439E" w:rsidR="000E48CE" w:rsidRDefault="00FF4C4E">
            <w:pPr>
              <w:pStyle w:val="P68B1DB1-Normal13"/>
              <w:spacing w:after="0" w:line="240" w:lineRule="auto"/>
              <w:rPr>
                <w:rFonts w:cs="Times New Roman"/>
                <w:noProof/>
              </w:rPr>
            </w:pPr>
            <w:r>
              <w:rPr>
                <w:noProof/>
              </w:rPr>
              <w:t xml:space="preserve">10000000 asukasta hyötyi kaupunkien vesikierron digitalisointihankkeista ja vähintään 90:stä vesiasioista valmistuneesta teollisuushankkeesta. </w:t>
            </w:r>
          </w:p>
        </w:tc>
      </w:tr>
      <w:bookmarkEnd w:id="14"/>
    </w:tbl>
    <w:p w14:paraId="02DCC3DF" w14:textId="6426C795" w:rsidR="000E48CE" w:rsidRDefault="000E48CE">
      <w:pPr>
        <w:pStyle w:val="Text1"/>
        <w:ind w:left="0"/>
        <w:rPr>
          <w:rFonts w:ascii="Times New Roman" w:eastAsia="Calibri" w:hAnsi="Times New Roman" w:cs="Times New Roman"/>
          <w:noProof/>
        </w:rPr>
        <w:sectPr w:rsidR="000E48CE" w:rsidSect="0035659C">
          <w:headerReference w:type="even" r:id="rId144"/>
          <w:headerReference w:type="default" r:id="rId145"/>
          <w:footerReference w:type="even" r:id="rId146"/>
          <w:footerReference w:type="default" r:id="rId147"/>
          <w:headerReference w:type="first" r:id="rId148"/>
          <w:footerReference w:type="first" r:id="rId149"/>
          <w:pgSz w:w="16839" w:h="11907" w:orient="landscape"/>
          <w:pgMar w:top="1417" w:right="1134" w:bottom="1417" w:left="1134" w:header="709" w:footer="709" w:gutter="0"/>
          <w:cols w:space="720"/>
          <w:docGrid w:linePitch="360"/>
        </w:sectPr>
      </w:pPr>
    </w:p>
    <w:p w14:paraId="711F0FB5" w14:textId="6A0A0092" w:rsidR="000E48CE" w:rsidRDefault="00FF4C4E">
      <w:pPr>
        <w:pStyle w:val="P68B1DB1-Heading12"/>
        <w:rPr>
          <w:rFonts w:cs="Times New Roman"/>
          <w:noProof/>
        </w:rPr>
      </w:pPr>
      <w:r>
        <w:rPr>
          <w:noProof/>
        </w:rPr>
        <w:t>F. OSA 06: Kestävä liikkuvuus (kaukoliikenne)</w:t>
      </w:r>
    </w:p>
    <w:p w14:paraId="4BA2FD7C" w14:textId="77777777" w:rsidR="000E48CE" w:rsidRDefault="00FF4C4E">
      <w:pPr>
        <w:pStyle w:val="P68B1DB1-Normal4"/>
        <w:spacing w:line="240" w:lineRule="auto"/>
        <w:jc w:val="both"/>
        <w:rPr>
          <w:rFonts w:cs="Times New Roman"/>
          <w:noProof/>
        </w:rPr>
      </w:pPr>
      <w:r>
        <w:rPr>
          <w:noProof/>
        </w:rPr>
        <w:t>Tällä Espanjan elpymis- ja palautumissuunnitelman osa-alueella vastataan seuraaviin haasteisiin: Siirtyminen kestävämpiin liikennemuotoihin; 2) liikennealan päästöjen vähentäminen; 3) liikennealan turvallisuuden, saavutettavuuden, kestävyyden ja osallistav</w:t>
      </w:r>
      <w:r>
        <w:rPr>
          <w:noProof/>
        </w:rPr>
        <w:t>uuden parantaminen.</w:t>
      </w:r>
    </w:p>
    <w:p w14:paraId="719433C5" w14:textId="77777777" w:rsidR="000E48CE" w:rsidRDefault="00FF4C4E">
      <w:pPr>
        <w:pStyle w:val="P68B1DB1-Normal4"/>
        <w:spacing w:line="240" w:lineRule="auto"/>
        <w:jc w:val="both"/>
        <w:rPr>
          <w:rFonts w:cs="Times New Roman"/>
          <w:noProof/>
        </w:rPr>
      </w:pPr>
      <w:r>
        <w:rPr>
          <w:noProof/>
        </w:rPr>
        <w:t>Osa-alueen tavoitteet ovat seuraavat: Espanjan rautatieverkon kehittäminen (erityisesti TEN-T-ydinkäytävät ja ydinverkon ulkopuolinen TEN-T-verkko); luodaan yhteentoimivampi liikenneverkko (rautatiet, tiet, satamat), jonka tavoitteena o</w:t>
      </w:r>
      <w:r>
        <w:rPr>
          <w:noProof/>
        </w:rPr>
        <w:t xml:space="preserve">n pienentää sen hiilijalanjälkeä; rajatylittävien yhteyksien parantaminen Ranskan ja Portugalin kanssa; liikennealan nykyaikaistaminen ottamalla käyttöön kehittyneitä digitaaliteknologioita. </w:t>
      </w:r>
    </w:p>
    <w:p w14:paraId="3BF698B3" w14:textId="77777777" w:rsidR="000E48CE" w:rsidRDefault="00FF4C4E">
      <w:pPr>
        <w:pStyle w:val="P68B1DB1-Normal4"/>
        <w:spacing w:line="240" w:lineRule="auto"/>
        <w:jc w:val="both"/>
        <w:rPr>
          <w:rFonts w:cs="Times New Roman"/>
          <w:noProof/>
        </w:rPr>
      </w:pPr>
      <w:r>
        <w:rPr>
          <w:noProof/>
        </w:rPr>
        <w:t>Tämä osa-alue koskee maakohtaisia suosituksia energiatehokkuutee</w:t>
      </w:r>
      <w:r>
        <w:rPr>
          <w:noProof/>
        </w:rPr>
        <w:t>n ja resurssien käyttöön tehtävien investointien edistämisestä ja rautateiden tavaraliikenteen infrastruktuurin edistämisestä (maakohtainen suositus 3 2019) sekä vihreään ja digitaaliseen siirtymään ja kestävään liikenteeseen tehtävistä investoinneista (ma</w:t>
      </w:r>
      <w:r>
        <w:rPr>
          <w:noProof/>
        </w:rPr>
        <w:t>akohtainen suositus 3 2020).</w:t>
      </w:r>
    </w:p>
    <w:p w14:paraId="121535DA" w14:textId="77777777" w:rsidR="000E48CE" w:rsidRDefault="00FF4C4E">
      <w:pPr>
        <w:pStyle w:val="P68B1DB1-Normal4"/>
        <w:spacing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w:t>
      </w:r>
      <w:r>
        <w:rPr>
          <w:noProof/>
        </w:rPr>
        <w:t xml:space="preserve"> koskevien teknisten ohjeiden (2021/C58/01) mukaiset elpymis- ja palautumissuunnitelmassa esitettyjen toimenpiteiden kuvaus ja lieventävät toimet.</w:t>
      </w:r>
    </w:p>
    <w:p w14:paraId="1097947D" w14:textId="77777777" w:rsidR="000E48CE" w:rsidRDefault="00FF4C4E">
      <w:pPr>
        <w:pStyle w:val="P68B1DB1-Normal5"/>
        <w:spacing w:before="120" w:after="120" w:line="240" w:lineRule="auto"/>
        <w:ind w:left="709"/>
        <w:jc w:val="both"/>
        <w:rPr>
          <w:rFonts w:cs="Times New Roman"/>
          <w:i/>
          <w:noProof/>
        </w:rPr>
      </w:pPr>
      <w:r>
        <w:rPr>
          <w:noProof/>
        </w:rPr>
        <w:t xml:space="preserve">F.1. </w:t>
      </w:r>
      <w:r>
        <w:rPr>
          <w:noProof/>
        </w:rPr>
        <w:tab/>
        <w:t>Kuvaus uudistuksista ja investoinneista, joita rahoitetaan rahoitustuella, jota ei makseta takaisin</w:t>
      </w:r>
    </w:p>
    <w:p w14:paraId="7CF8E487" w14:textId="77777777" w:rsidR="000E48CE" w:rsidRDefault="00FF4C4E">
      <w:pPr>
        <w:pStyle w:val="P68B1DB1-Normal6"/>
        <w:spacing w:line="240" w:lineRule="auto"/>
        <w:jc w:val="both"/>
        <w:rPr>
          <w:rFonts w:cs="Times New Roman"/>
          <w:noProof/>
        </w:rPr>
      </w:pPr>
      <w:r>
        <w:rPr>
          <w:noProof/>
        </w:rPr>
        <w:t>Uud</w:t>
      </w:r>
      <w:r>
        <w:rPr>
          <w:noProof/>
        </w:rPr>
        <w:t>istus 1 (C6.R1) – Turvallisen, kestävän ja yhteenliitetyn liikkuvuuden strategia</w:t>
      </w:r>
    </w:p>
    <w:p w14:paraId="52F710EE" w14:textId="77777777" w:rsidR="000E48CE" w:rsidRDefault="00FF4C4E">
      <w:pPr>
        <w:pStyle w:val="P68B1DB1-Normal4"/>
        <w:spacing w:line="240" w:lineRule="auto"/>
        <w:jc w:val="both"/>
        <w:rPr>
          <w:rFonts w:cs="Times New Roman"/>
          <w:noProof/>
        </w:rPr>
      </w:pPr>
      <w:r>
        <w:rPr>
          <w:noProof/>
        </w:rPr>
        <w:t xml:space="preserve">Toimenpiteen tavoitteena on </w:t>
      </w:r>
    </w:p>
    <w:p w14:paraId="409A6AA4" w14:textId="77777777" w:rsidR="000E48CE" w:rsidRDefault="00FF4C4E">
      <w:pPr>
        <w:pStyle w:val="P68B1DB1-ListParagraph7"/>
        <w:numPr>
          <w:ilvl w:val="0"/>
          <w:numId w:val="171"/>
        </w:numPr>
        <w:spacing w:line="240" w:lineRule="auto"/>
        <w:jc w:val="both"/>
        <w:rPr>
          <w:rFonts w:cs="Times New Roman"/>
          <w:noProof/>
        </w:rPr>
      </w:pPr>
      <w:r>
        <w:rPr>
          <w:noProof/>
        </w:rPr>
        <w:t>Lisätään liikkuvuusverkoston turvallisuutta, millä varmistetaan ihmisten ja tavaroiden parempi suojelu, parannetaan normeja ja vähennetään onnetto</w:t>
      </w:r>
      <w:r>
        <w:rPr>
          <w:noProof/>
        </w:rPr>
        <w:t xml:space="preserve">muuksia. </w:t>
      </w:r>
    </w:p>
    <w:p w14:paraId="48EAEA90" w14:textId="77777777" w:rsidR="000E48CE" w:rsidRDefault="00FF4C4E">
      <w:pPr>
        <w:pStyle w:val="P68B1DB1-ListParagraph7"/>
        <w:numPr>
          <w:ilvl w:val="0"/>
          <w:numId w:val="171"/>
        </w:numPr>
        <w:spacing w:line="240" w:lineRule="auto"/>
        <w:jc w:val="both"/>
        <w:rPr>
          <w:rFonts w:cs="Times New Roman"/>
          <w:noProof/>
        </w:rPr>
      </w:pPr>
      <w:r>
        <w:rPr>
          <w:noProof/>
        </w:rPr>
        <w:t xml:space="preserve">Lisätään kestävyyttä asettamalla etusijalle päivittäinen liikkuvuus, taloudellinen ja sosiaalinen oikeudenmukaisuus, energiatehokkuus ja ilmastonmuutoksen torjunta. </w:t>
      </w:r>
    </w:p>
    <w:p w14:paraId="688326EE" w14:textId="77777777" w:rsidR="000E48CE" w:rsidRDefault="00FF4C4E">
      <w:pPr>
        <w:pStyle w:val="P68B1DB1-ListParagraph7"/>
        <w:numPr>
          <w:ilvl w:val="0"/>
          <w:numId w:val="171"/>
        </w:numPr>
        <w:spacing w:line="240" w:lineRule="auto"/>
        <w:jc w:val="both"/>
        <w:rPr>
          <w:rFonts w:cs="Times New Roman"/>
          <w:noProof/>
        </w:rPr>
      </w:pPr>
      <w:r>
        <w:rPr>
          <w:noProof/>
        </w:rPr>
        <w:t>Parannetaan yhteyksiä digitalisaatioon, teknologian kehitykseen ja multimodaalis</w:t>
      </w:r>
      <w:r>
        <w:rPr>
          <w:noProof/>
        </w:rPr>
        <w:t>iin yhteyksiin.</w:t>
      </w:r>
    </w:p>
    <w:p w14:paraId="3C003996" w14:textId="77777777" w:rsidR="000E48CE" w:rsidRDefault="00FF4C4E">
      <w:pPr>
        <w:pStyle w:val="P68B1DB1-Normal4"/>
        <w:spacing w:line="240" w:lineRule="auto"/>
        <w:jc w:val="both"/>
        <w:rPr>
          <w:rFonts w:cs="Times New Roman"/>
          <w:noProof/>
        </w:rPr>
      </w:pPr>
      <w:r>
        <w:rPr>
          <w:noProof/>
        </w:rPr>
        <w:t xml:space="preserve">Strategiassa käsitellään erityistoimia seuraavilla yhdeksällä alalla: </w:t>
      </w:r>
    </w:p>
    <w:p w14:paraId="2CF7308B" w14:textId="77777777" w:rsidR="000E48CE" w:rsidRDefault="00FF4C4E">
      <w:pPr>
        <w:pStyle w:val="P68B1DB1-ListParagraph7"/>
        <w:numPr>
          <w:ilvl w:val="0"/>
          <w:numId w:val="172"/>
        </w:numPr>
        <w:spacing w:line="240" w:lineRule="auto"/>
        <w:jc w:val="both"/>
        <w:rPr>
          <w:rFonts w:cs="Times New Roman"/>
          <w:noProof/>
        </w:rPr>
      </w:pPr>
      <w:r>
        <w:rPr>
          <w:noProof/>
        </w:rPr>
        <w:t xml:space="preserve">Liikkuvuus kaikille (yleisen saavutettavuuden varmistaminen kohtuullisin kustannuksin) </w:t>
      </w:r>
    </w:p>
    <w:p w14:paraId="7CFBDBEE" w14:textId="77777777" w:rsidR="000E48CE" w:rsidRDefault="00FF4C4E">
      <w:pPr>
        <w:pStyle w:val="P68B1DB1-ListParagraph7"/>
        <w:numPr>
          <w:ilvl w:val="0"/>
          <w:numId w:val="172"/>
        </w:numPr>
        <w:spacing w:line="240" w:lineRule="auto"/>
        <w:jc w:val="both"/>
        <w:rPr>
          <w:rFonts w:cs="Times New Roman"/>
          <w:noProof/>
        </w:rPr>
      </w:pPr>
      <w:r>
        <w:rPr>
          <w:noProof/>
        </w:rPr>
        <w:t>Uudet investointipolitiikat (liikenneinfrastruktuurien ja -palvelujen riittävän r</w:t>
      </w:r>
      <w:r>
        <w:rPr>
          <w:noProof/>
        </w:rPr>
        <w:t xml:space="preserve">ahoituksen varmistamiseksi) </w:t>
      </w:r>
    </w:p>
    <w:p w14:paraId="4DF51691" w14:textId="77777777" w:rsidR="000E48CE" w:rsidRDefault="00FF4C4E">
      <w:pPr>
        <w:pStyle w:val="P68B1DB1-ListParagraph7"/>
        <w:numPr>
          <w:ilvl w:val="0"/>
          <w:numId w:val="172"/>
        </w:numPr>
        <w:spacing w:line="240" w:lineRule="auto"/>
        <w:jc w:val="both"/>
        <w:rPr>
          <w:rFonts w:cs="Times New Roman"/>
          <w:noProof/>
        </w:rPr>
      </w:pPr>
      <w:r>
        <w:rPr>
          <w:noProof/>
        </w:rPr>
        <w:t xml:space="preserve">Turvallinen liikkuvuus (seurantaan, ylläpitoon ja kyberturvallisuuteen tehtävien investointien priorisointi) </w:t>
      </w:r>
    </w:p>
    <w:p w14:paraId="47C9B44E" w14:textId="77777777" w:rsidR="000E48CE" w:rsidRDefault="00FF4C4E">
      <w:pPr>
        <w:pStyle w:val="P68B1DB1-ListParagraph7"/>
        <w:numPr>
          <w:ilvl w:val="0"/>
          <w:numId w:val="172"/>
        </w:numPr>
        <w:spacing w:line="240" w:lineRule="auto"/>
        <w:jc w:val="both"/>
        <w:rPr>
          <w:rFonts w:cs="Times New Roman"/>
          <w:noProof/>
        </w:rPr>
      </w:pPr>
      <w:r>
        <w:rPr>
          <w:noProof/>
        </w:rPr>
        <w:t xml:space="preserve">Vähäpäästöinen liikkuvuus (tehokkuuden lisääminen, energiankulutuksen vähentäminen) </w:t>
      </w:r>
    </w:p>
    <w:p w14:paraId="65035110" w14:textId="77777777" w:rsidR="000E48CE" w:rsidRDefault="00FF4C4E">
      <w:pPr>
        <w:pStyle w:val="P68B1DB1-ListParagraph7"/>
        <w:numPr>
          <w:ilvl w:val="0"/>
          <w:numId w:val="172"/>
        </w:numPr>
        <w:spacing w:line="240" w:lineRule="auto"/>
        <w:jc w:val="both"/>
        <w:rPr>
          <w:rFonts w:cs="Times New Roman"/>
          <w:noProof/>
        </w:rPr>
      </w:pPr>
      <w:r>
        <w:rPr>
          <w:noProof/>
        </w:rPr>
        <w:t>Älykäs liikkuvuus (tehokkaasti T</w:t>
      </w:r>
      <w:r>
        <w:rPr>
          <w:noProof/>
        </w:rPr>
        <w:t xml:space="preserve"> &amp; K-toiminta ja liikkuvuusinnovointi, älykkään infrastruktuurin rakentaminen ja hallinnointi) </w:t>
      </w:r>
    </w:p>
    <w:p w14:paraId="0ED2C07F" w14:textId="77777777" w:rsidR="000E48CE" w:rsidRDefault="00FF4C4E">
      <w:pPr>
        <w:pStyle w:val="P68B1DB1-ListParagraph7"/>
        <w:numPr>
          <w:ilvl w:val="0"/>
          <w:numId w:val="172"/>
        </w:numPr>
        <w:spacing w:line="240" w:lineRule="auto"/>
        <w:jc w:val="both"/>
        <w:rPr>
          <w:rFonts w:cs="Times New Roman"/>
          <w:noProof/>
        </w:rPr>
      </w:pPr>
      <w:r>
        <w:rPr>
          <w:noProof/>
        </w:rPr>
        <w:t xml:space="preserve">Älykkäät intermodaaliset logistiikkaketjut (rautatieliikenteen priorisointi julkisissa ja yksityisissä ohjelmissa) </w:t>
      </w:r>
    </w:p>
    <w:p w14:paraId="33DEC856" w14:textId="77777777" w:rsidR="000E48CE" w:rsidRDefault="00FF4C4E">
      <w:pPr>
        <w:pStyle w:val="P68B1DB1-ListParagraph7"/>
        <w:numPr>
          <w:ilvl w:val="0"/>
          <w:numId w:val="172"/>
        </w:numPr>
        <w:spacing w:line="240" w:lineRule="auto"/>
        <w:jc w:val="both"/>
        <w:rPr>
          <w:rFonts w:cs="Times New Roman"/>
          <w:noProof/>
        </w:rPr>
      </w:pPr>
      <w:r>
        <w:rPr>
          <w:noProof/>
        </w:rPr>
        <w:t>Euroopan yhteenliittäminen ja yhteydet maail</w:t>
      </w:r>
      <w:r>
        <w:rPr>
          <w:noProof/>
        </w:rPr>
        <w:t xml:space="preserve">maan (satamien liittäminen intermodaalisiin logistiikkaterminaaleihin ja yhteistyön tehostaminen naapurimaiden kanssa rajat ylittävien infrastruktuurien rakentamisen ja/tai parantamisen koordinoimiseksi) </w:t>
      </w:r>
    </w:p>
    <w:p w14:paraId="29ECA6C5" w14:textId="77777777" w:rsidR="000E48CE" w:rsidRDefault="00FF4C4E">
      <w:pPr>
        <w:pStyle w:val="P68B1DB1-ListParagraph7"/>
        <w:numPr>
          <w:ilvl w:val="0"/>
          <w:numId w:val="172"/>
        </w:numPr>
        <w:spacing w:line="240" w:lineRule="auto"/>
        <w:jc w:val="both"/>
        <w:rPr>
          <w:rFonts w:cs="Times New Roman"/>
          <w:noProof/>
        </w:rPr>
      </w:pPr>
      <w:r>
        <w:rPr>
          <w:noProof/>
        </w:rPr>
        <w:t>Sosiaaliset ja työvoimaan liittyvät näkökohdat (suk</w:t>
      </w:r>
      <w:r>
        <w:rPr>
          <w:noProof/>
        </w:rPr>
        <w:t>upuolten välinen tasapaino sekä liikennealan työvoiman uudelleen- ja täydennyskoulutustoimet) ja</w:t>
      </w:r>
    </w:p>
    <w:p w14:paraId="3A87BF4B" w14:textId="77777777" w:rsidR="000E48CE" w:rsidRDefault="00FF4C4E">
      <w:pPr>
        <w:pStyle w:val="P68B1DB1-ListParagraph7"/>
        <w:numPr>
          <w:ilvl w:val="0"/>
          <w:numId w:val="172"/>
        </w:numPr>
        <w:spacing w:line="240" w:lineRule="auto"/>
        <w:jc w:val="both"/>
        <w:rPr>
          <w:rFonts w:cs="Times New Roman"/>
          <w:noProof/>
        </w:rPr>
      </w:pPr>
      <w:r>
        <w:rPr>
          <w:noProof/>
        </w:rPr>
        <w:t>Liikenne-, liikkuvuus- ja kaupunkiasioiden ministeriön digitalisointi digitaalisen siirtymän edistämiseksi sekä avoimemmaksi ja innovatiivisemmaksi.</w:t>
      </w:r>
    </w:p>
    <w:p w14:paraId="52B14BA0" w14:textId="77777777" w:rsidR="000E48CE" w:rsidRDefault="00FF4C4E">
      <w:pPr>
        <w:pStyle w:val="P68B1DB1-Normal4"/>
        <w:autoSpaceDE w:val="0"/>
        <w:autoSpaceDN w:val="0"/>
        <w:spacing w:before="40" w:after="40" w:line="240" w:lineRule="auto"/>
        <w:jc w:val="both"/>
        <w:rPr>
          <w:rFonts w:eastAsia="MS Mincho" w:cs="Times New Roman"/>
          <w:noProof/>
        </w:rPr>
      </w:pPr>
      <w:r>
        <w:rPr>
          <w:noProof/>
        </w:rPr>
        <w:t>Toimenpiteen täytäntöönpano on saatettava päätökseen viimeistään 31 päivänä joulukuuta 2021.</w:t>
      </w:r>
    </w:p>
    <w:p w14:paraId="5366D74F" w14:textId="77777777" w:rsidR="000E48CE" w:rsidRDefault="000E48CE">
      <w:pPr>
        <w:keepNext/>
        <w:spacing w:line="240" w:lineRule="auto"/>
        <w:jc w:val="both"/>
        <w:rPr>
          <w:rFonts w:ascii="Times New Roman" w:hAnsi="Times New Roman" w:cs="Times New Roman"/>
          <w:noProof/>
          <w:sz w:val="24"/>
          <w:u w:val="single"/>
        </w:rPr>
      </w:pPr>
    </w:p>
    <w:p w14:paraId="4703E1F8" w14:textId="4C3975BE" w:rsidR="000E48CE" w:rsidRDefault="00FF4C4E">
      <w:pPr>
        <w:pStyle w:val="P68B1DB1-Normal6"/>
        <w:keepNext/>
        <w:spacing w:line="240" w:lineRule="auto"/>
        <w:jc w:val="both"/>
        <w:rPr>
          <w:rFonts w:cs="Times New Roman"/>
          <w:noProof/>
        </w:rPr>
      </w:pPr>
      <w:r>
        <w:rPr>
          <w:noProof/>
        </w:rPr>
        <w:t>Uudistus 2 (C6.R2) – Ohjeellinen rautatiestrategia</w:t>
      </w:r>
    </w:p>
    <w:p w14:paraId="624738E4" w14:textId="77777777" w:rsidR="000E48CE" w:rsidRDefault="00FF4C4E">
      <w:pPr>
        <w:pStyle w:val="P68B1DB1-Normal4"/>
        <w:spacing w:line="240" w:lineRule="auto"/>
        <w:jc w:val="both"/>
        <w:rPr>
          <w:rFonts w:cs="Times New Roman"/>
          <w:noProof/>
        </w:rPr>
      </w:pPr>
      <w:r>
        <w:rPr>
          <w:noProof/>
        </w:rPr>
        <w:t>Uudistuksen tavoitteena on luoda välineitä, joilla varmistetaan, että rautatieverkko täyttää tulevaisuuden liik</w:t>
      </w:r>
      <w:r>
        <w:rPr>
          <w:noProof/>
        </w:rPr>
        <w:t>kuvuustarpeet johdonmukaisella ja tehokkaalla tavalla. Strategiassa on esitettävä selkeä aikataulu rautatieliikennemuodolle, ja sen avulla on voitava sovittaa investointiprioriteetit yhteen turvallista, kestävää ja yhteenliitettyä liikkuvuutta koskevan str</w:t>
      </w:r>
      <w:r>
        <w:rPr>
          <w:noProof/>
        </w:rPr>
        <w:t>ategian (R1) kanssa.</w:t>
      </w:r>
    </w:p>
    <w:p w14:paraId="7C129B8F" w14:textId="77777777" w:rsidR="000E48CE" w:rsidRDefault="00FF4C4E">
      <w:pPr>
        <w:pStyle w:val="P68B1DB1-Normal4"/>
        <w:spacing w:line="240" w:lineRule="auto"/>
        <w:jc w:val="both"/>
        <w:rPr>
          <w:rFonts w:cs="Times New Roman"/>
          <w:noProof/>
        </w:rPr>
      </w:pPr>
      <w:r>
        <w:rPr>
          <w:noProof/>
        </w:rPr>
        <w:t xml:space="preserve">Uudistus koostuu useista toimista, joita ovat muun muassa </w:t>
      </w:r>
    </w:p>
    <w:p w14:paraId="79891D7F" w14:textId="77777777" w:rsidR="000E48CE" w:rsidRDefault="00FF4C4E">
      <w:pPr>
        <w:pStyle w:val="P68B1DB1-ListParagraph7"/>
        <w:numPr>
          <w:ilvl w:val="0"/>
          <w:numId w:val="173"/>
        </w:numPr>
        <w:spacing w:line="240" w:lineRule="auto"/>
        <w:jc w:val="both"/>
        <w:rPr>
          <w:rFonts w:cs="Times New Roman"/>
          <w:noProof/>
        </w:rPr>
      </w:pPr>
      <w:r>
        <w:rPr>
          <w:noProof/>
        </w:rPr>
        <w:t xml:space="preserve">rautatiealan toimien selkeämmän suunnittelun laatiminen erityisesti jokapäiväisen liikkuvuuden edistämiseksi; </w:t>
      </w:r>
    </w:p>
    <w:p w14:paraId="44EEB80D" w14:textId="77777777" w:rsidR="000E48CE" w:rsidRDefault="00FF4C4E">
      <w:pPr>
        <w:pStyle w:val="P68B1DB1-ListParagraph7"/>
        <w:numPr>
          <w:ilvl w:val="0"/>
          <w:numId w:val="173"/>
        </w:numPr>
        <w:spacing w:line="240" w:lineRule="auto"/>
        <w:jc w:val="both"/>
        <w:rPr>
          <w:rFonts w:cs="Times New Roman"/>
          <w:noProof/>
        </w:rPr>
      </w:pPr>
      <w:r>
        <w:rPr>
          <w:noProof/>
        </w:rPr>
        <w:t xml:space="preserve">verkon ylläpidon parantaminen; </w:t>
      </w:r>
    </w:p>
    <w:p w14:paraId="1776C835" w14:textId="77777777" w:rsidR="000E48CE" w:rsidRDefault="00FF4C4E">
      <w:pPr>
        <w:pStyle w:val="P68B1DB1-ListParagraph7"/>
        <w:numPr>
          <w:ilvl w:val="0"/>
          <w:numId w:val="173"/>
        </w:numPr>
        <w:spacing w:line="240" w:lineRule="auto"/>
        <w:jc w:val="both"/>
        <w:rPr>
          <w:rFonts w:cs="Times New Roman"/>
          <w:noProof/>
        </w:rPr>
      </w:pPr>
      <w:r>
        <w:rPr>
          <w:noProof/>
        </w:rPr>
        <w:t>rautatieverkon taloudellisen kest</w:t>
      </w:r>
      <w:r>
        <w:rPr>
          <w:noProof/>
        </w:rPr>
        <w:t xml:space="preserve">ävyyden varmistaminen; </w:t>
      </w:r>
    </w:p>
    <w:p w14:paraId="40CC3A21" w14:textId="77777777" w:rsidR="000E48CE" w:rsidRDefault="00FF4C4E">
      <w:pPr>
        <w:pStyle w:val="P68B1DB1-ListParagraph7"/>
        <w:numPr>
          <w:ilvl w:val="0"/>
          <w:numId w:val="173"/>
        </w:numPr>
        <w:spacing w:line="240" w:lineRule="auto"/>
        <w:jc w:val="both"/>
        <w:rPr>
          <w:rFonts w:cs="Times New Roman"/>
          <w:noProof/>
        </w:rPr>
      </w:pPr>
      <w:r>
        <w:rPr>
          <w:noProof/>
        </w:rPr>
        <w:t xml:space="preserve">priorisoidaan resurssitehokkuus ja tehdään investointihankkeiden ennakko- ja jälkiarviointi; </w:t>
      </w:r>
    </w:p>
    <w:p w14:paraId="50F30C3F" w14:textId="77777777" w:rsidR="000E48CE" w:rsidRDefault="00FF4C4E">
      <w:pPr>
        <w:pStyle w:val="P68B1DB1-ListParagraph7"/>
        <w:numPr>
          <w:ilvl w:val="0"/>
          <w:numId w:val="173"/>
        </w:numPr>
        <w:spacing w:line="240" w:lineRule="auto"/>
        <w:jc w:val="both"/>
        <w:rPr>
          <w:rFonts w:cs="Times New Roman"/>
          <w:noProof/>
        </w:rPr>
      </w:pPr>
      <w:r>
        <w:rPr>
          <w:noProof/>
        </w:rPr>
        <w:t xml:space="preserve">verkon yhteentoimivuuden parantaminen erityisesti Euroopan laajuisten verkkokäytävien osalta ja verkon intermodaalisuuden parantaminen; </w:t>
      </w:r>
    </w:p>
    <w:p w14:paraId="00A3CD9D" w14:textId="77777777" w:rsidR="000E48CE" w:rsidRDefault="00FF4C4E">
      <w:pPr>
        <w:pStyle w:val="P68B1DB1-ListParagraph7"/>
        <w:numPr>
          <w:ilvl w:val="0"/>
          <w:numId w:val="173"/>
        </w:numPr>
        <w:spacing w:line="240" w:lineRule="auto"/>
        <w:jc w:val="both"/>
        <w:rPr>
          <w:rFonts w:cs="Times New Roman"/>
          <w:noProof/>
        </w:rPr>
      </w:pPr>
      <w:r>
        <w:rPr>
          <w:noProof/>
        </w:rPr>
        <w:t>r</w:t>
      </w:r>
      <w:r>
        <w:rPr>
          <w:noProof/>
        </w:rPr>
        <w:t xml:space="preserve">autateiden tavaraliikenteen edistäminen; </w:t>
      </w:r>
    </w:p>
    <w:p w14:paraId="190B71EE" w14:textId="77777777" w:rsidR="000E48CE" w:rsidRDefault="00FF4C4E">
      <w:pPr>
        <w:pStyle w:val="P68B1DB1-ListParagraph7"/>
        <w:numPr>
          <w:ilvl w:val="0"/>
          <w:numId w:val="173"/>
        </w:numPr>
        <w:spacing w:line="240" w:lineRule="auto"/>
        <w:jc w:val="both"/>
        <w:rPr>
          <w:rFonts w:cs="Times New Roman"/>
          <w:noProof/>
        </w:rPr>
      </w:pPr>
      <w:r>
        <w:rPr>
          <w:noProof/>
        </w:rPr>
        <w:t>rautatieliikenteen turvallisuuden parantaminen ja</w:t>
      </w:r>
    </w:p>
    <w:p w14:paraId="60599542" w14:textId="77777777" w:rsidR="000E48CE" w:rsidRDefault="00FF4C4E">
      <w:pPr>
        <w:pStyle w:val="P68B1DB1-ListParagraph7"/>
        <w:numPr>
          <w:ilvl w:val="0"/>
          <w:numId w:val="173"/>
        </w:numPr>
        <w:spacing w:line="240" w:lineRule="auto"/>
        <w:jc w:val="both"/>
        <w:rPr>
          <w:rFonts w:cs="Times New Roman"/>
          <w:noProof/>
        </w:rPr>
      </w:pPr>
      <w:r>
        <w:rPr>
          <w:noProof/>
        </w:rPr>
        <w:t>edistetään liikenteen digitalisaatiota ja innovointia verkotetun liikkuvuuden varmistamiseksi.</w:t>
      </w:r>
    </w:p>
    <w:p w14:paraId="29CB9B9C" w14:textId="77777777" w:rsidR="000E48CE" w:rsidRDefault="00FF4C4E">
      <w:pPr>
        <w:pStyle w:val="P68B1DB1-Normal4"/>
        <w:spacing w:line="240" w:lineRule="auto"/>
        <w:jc w:val="both"/>
        <w:rPr>
          <w:rFonts w:cs="Times New Roman"/>
          <w:noProof/>
        </w:rPr>
      </w:pPr>
      <w:r>
        <w:rPr>
          <w:noProof/>
        </w:rPr>
        <w:t xml:space="preserve">Toimenpiteen täytäntöönpano on saatettava päätökseen 31 päivään </w:t>
      </w:r>
      <w:r>
        <w:rPr>
          <w:noProof/>
        </w:rPr>
        <w:t>joulukuuta 2022 mennessä.</w:t>
      </w:r>
    </w:p>
    <w:p w14:paraId="63DE0F88" w14:textId="17705106" w:rsidR="000E48CE" w:rsidRDefault="00FF4C4E">
      <w:pPr>
        <w:pStyle w:val="P68B1DB1-Normal6"/>
        <w:spacing w:line="240" w:lineRule="auto"/>
        <w:jc w:val="both"/>
        <w:rPr>
          <w:rFonts w:cs="Times New Roman"/>
          <w:noProof/>
        </w:rPr>
      </w:pPr>
      <w:r>
        <w:rPr>
          <w:noProof/>
        </w:rPr>
        <w:t>Investointi 1 (C6.I1) – Kansallinen siirtoverkko: Euroopan liikennekäytävät</w:t>
      </w:r>
    </w:p>
    <w:p w14:paraId="36F21E81" w14:textId="77777777" w:rsidR="000E48CE" w:rsidRDefault="00FF4C4E">
      <w:pPr>
        <w:pStyle w:val="P68B1DB1-Normal4"/>
        <w:spacing w:line="240" w:lineRule="auto"/>
        <w:jc w:val="both"/>
        <w:rPr>
          <w:rFonts w:cs="Times New Roman"/>
          <w:noProof/>
        </w:rPr>
      </w:pPr>
      <w:r>
        <w:rPr>
          <w:noProof/>
        </w:rPr>
        <w:t>Toimenpiteen tavoitteena on rakentaa uutta rautatieinfrastruktuuria Euroopan laajuisen liikenneverkon ydinkäytäviin sekä nykyaikaistaa ja parantaa nykyisi</w:t>
      </w:r>
      <w:r>
        <w:rPr>
          <w:noProof/>
        </w:rPr>
        <w:t>ä.</w:t>
      </w:r>
    </w:p>
    <w:p w14:paraId="5E43C7F3" w14:textId="77777777" w:rsidR="000E48CE" w:rsidRDefault="00FF4C4E">
      <w:pPr>
        <w:pStyle w:val="P68B1DB1-Normal4"/>
        <w:spacing w:line="240" w:lineRule="auto"/>
        <w:jc w:val="both"/>
        <w:rPr>
          <w:rFonts w:cs="Times New Roman"/>
          <w:noProof/>
        </w:rPr>
      </w:pPr>
      <w:r>
        <w:rPr>
          <w:noProof/>
        </w:rPr>
        <w:t xml:space="preserve">Investointi koostuu seuraavista pääulottuvuuksista: </w:t>
      </w:r>
    </w:p>
    <w:p w14:paraId="1F40726A" w14:textId="77777777" w:rsidR="000E48CE" w:rsidRDefault="00FF4C4E">
      <w:pPr>
        <w:pStyle w:val="P68B1DB1-ListParagraph7"/>
        <w:numPr>
          <w:ilvl w:val="0"/>
          <w:numId w:val="174"/>
        </w:numPr>
        <w:spacing w:line="240" w:lineRule="auto"/>
        <w:jc w:val="both"/>
        <w:rPr>
          <w:rFonts w:cs="Times New Roman"/>
          <w:noProof/>
        </w:rPr>
      </w:pPr>
      <w:r>
        <w:rPr>
          <w:noProof/>
        </w:rPr>
        <w:t>Foorumi: Hankkeet, joiden avulla voidaan rakentaa raiteita tukeva infrastruktuuri, johon kuuluvat mm. penkereet, raivaus, kaapelikanavat, tunnelit jne.</w:t>
      </w:r>
    </w:p>
    <w:p w14:paraId="2A3A78ED" w14:textId="77777777" w:rsidR="000E48CE" w:rsidRDefault="00FF4C4E">
      <w:pPr>
        <w:pStyle w:val="P68B1DB1-ListParagraph7"/>
        <w:numPr>
          <w:ilvl w:val="0"/>
          <w:numId w:val="174"/>
        </w:numPr>
        <w:spacing w:line="240" w:lineRule="auto"/>
        <w:jc w:val="both"/>
        <w:rPr>
          <w:rFonts w:cs="Times New Roman"/>
          <w:noProof/>
        </w:rPr>
      </w:pPr>
      <w:r>
        <w:rPr>
          <w:noProof/>
        </w:rPr>
        <w:t>Palvelujen korvaaminen: Toimet, joilla palauteta</w:t>
      </w:r>
      <w:r>
        <w:rPr>
          <w:noProof/>
        </w:rPr>
        <w:t>an olemassa olevat palvelut (kevyt, kastelu, vesi jne.), joihin rautatietöiden toteuttaminen vaikuttaa;</w:t>
      </w:r>
    </w:p>
    <w:p w14:paraId="5DEB5229" w14:textId="77777777" w:rsidR="000E48CE" w:rsidRDefault="00FF4C4E">
      <w:pPr>
        <w:pStyle w:val="P68B1DB1-ListParagraph7"/>
        <w:numPr>
          <w:ilvl w:val="0"/>
          <w:numId w:val="174"/>
        </w:numPr>
        <w:spacing w:line="240" w:lineRule="auto"/>
        <w:jc w:val="both"/>
        <w:rPr>
          <w:rFonts w:cs="Times New Roman"/>
          <w:noProof/>
        </w:rPr>
      </w:pPr>
      <w:r>
        <w:rPr>
          <w:noProof/>
        </w:rPr>
        <w:t xml:space="preserve">Raiteet: Toimet, jotka koskevat raidemateriaalien (virranrajoittimet, ratapölkyt, kiskot, kytkimet ja laajennuslaitteet) asentamista ja toimittamista </w:t>
      </w:r>
      <w:r>
        <w:rPr>
          <w:noProof/>
        </w:rPr>
        <w:t>uusille rataosuuksille sekä olemassa olevien raiteiden uusimista;</w:t>
      </w:r>
    </w:p>
    <w:p w14:paraId="5D9AC05F" w14:textId="77777777" w:rsidR="000E48CE" w:rsidRDefault="00FF4C4E">
      <w:pPr>
        <w:pStyle w:val="P68B1DB1-ListParagraph7"/>
        <w:numPr>
          <w:ilvl w:val="0"/>
          <w:numId w:val="174"/>
        </w:numPr>
        <w:spacing w:line="240" w:lineRule="auto"/>
        <w:jc w:val="both"/>
        <w:rPr>
          <w:rFonts w:cs="Times New Roman"/>
          <w:noProof/>
        </w:rPr>
      </w:pPr>
      <w:r>
        <w:rPr>
          <w:noProof/>
        </w:rPr>
        <w:t>Sähkö: Ratojen sähköistämistä koskevat toimet, mukaan lukien seuraavat: ajojohto, vetoasemat, muuntokeskukset, tehokaukosäätö, suurjännitevoimajohdot;</w:t>
      </w:r>
    </w:p>
    <w:p w14:paraId="124CBBCC" w14:textId="77777777" w:rsidR="000E48CE" w:rsidRDefault="00FF4C4E">
      <w:pPr>
        <w:pStyle w:val="P68B1DB1-ListParagraph7"/>
        <w:numPr>
          <w:ilvl w:val="0"/>
          <w:numId w:val="174"/>
        </w:numPr>
        <w:spacing w:line="240" w:lineRule="auto"/>
        <w:jc w:val="both"/>
        <w:rPr>
          <w:rFonts w:cs="Times New Roman"/>
          <w:noProof/>
        </w:rPr>
      </w:pPr>
      <w:r>
        <w:rPr>
          <w:noProof/>
        </w:rPr>
        <w:t>Liikennemerkinanto ja -ohjaus: Hankkeet</w:t>
      </w:r>
      <w:r>
        <w:rPr>
          <w:noProof/>
        </w:rPr>
        <w:t>, jotka koskevat uusien merkinanto- ja liikenteenohjausjärjestelmien käyttöönottoa;</w:t>
      </w:r>
    </w:p>
    <w:p w14:paraId="5CD85DA3" w14:textId="77777777" w:rsidR="000E48CE" w:rsidRDefault="00FF4C4E">
      <w:pPr>
        <w:pStyle w:val="P68B1DB1-ListParagraph7"/>
        <w:numPr>
          <w:ilvl w:val="0"/>
          <w:numId w:val="174"/>
        </w:numPr>
        <w:spacing w:line="240" w:lineRule="auto"/>
        <w:jc w:val="both"/>
        <w:rPr>
          <w:rFonts w:cs="Times New Roman"/>
          <w:noProof/>
        </w:rPr>
      </w:pPr>
      <w:r>
        <w:rPr>
          <w:noProof/>
        </w:rPr>
        <w:t>Televiestintä: Hankkeet, jotka koskevat kiinteää ja matkaviestintäliikennettä rautateillä.</w:t>
      </w:r>
    </w:p>
    <w:p w14:paraId="661B790D" w14:textId="77777777" w:rsidR="000E48CE" w:rsidRDefault="00FF4C4E">
      <w:pPr>
        <w:pStyle w:val="P68B1DB1-ListParagraph7"/>
        <w:numPr>
          <w:ilvl w:val="0"/>
          <w:numId w:val="174"/>
        </w:numPr>
        <w:spacing w:line="240" w:lineRule="auto"/>
        <w:jc w:val="both"/>
        <w:rPr>
          <w:rFonts w:cs="Times New Roman"/>
          <w:noProof/>
        </w:rPr>
      </w:pPr>
      <w:r>
        <w:rPr>
          <w:noProof/>
        </w:rPr>
        <w:t>Asemat: Nykyisten asemien parantaminen ja kunnostaminen sekä uusien asemien raken</w:t>
      </w:r>
      <w:r>
        <w:rPr>
          <w:noProof/>
        </w:rPr>
        <w:t>taminen.</w:t>
      </w:r>
    </w:p>
    <w:p w14:paraId="5A851514" w14:textId="77777777" w:rsidR="000E48CE" w:rsidRDefault="00FF4C4E">
      <w:pPr>
        <w:pStyle w:val="P68B1DB1-Normal4"/>
        <w:spacing w:line="240" w:lineRule="auto"/>
        <w:jc w:val="both"/>
        <w:rPr>
          <w:rFonts w:cs="Times New Roman"/>
          <w:noProof/>
        </w:rPr>
      </w:pPr>
      <w:r>
        <w:rPr>
          <w:noProof/>
        </w:rPr>
        <w:t xml:space="preserve">Työt on saatettava päätökseen vähintään 1400 kilometrin kilometrillä Atlantin ja Välimeren käytäviin kuuluvaa verkkoa, mukaan lukien toimet olemassa olevien osuuksien parantamiseksi ja investoinnit uusien osuuksien rakentamisen edistämiseksi. </w:t>
      </w:r>
    </w:p>
    <w:p w14:paraId="1EFEFCA5" w14:textId="77777777" w:rsidR="000E48CE" w:rsidRDefault="00FF4C4E">
      <w:pPr>
        <w:pStyle w:val="P68B1DB1-Normal4"/>
        <w:spacing w:line="240" w:lineRule="auto"/>
        <w:jc w:val="both"/>
        <w:rPr>
          <w:rFonts w:cs="Times New Roman"/>
          <w:noProof/>
        </w:rPr>
      </w:pPr>
      <w:r>
        <w:rPr>
          <w:noProof/>
        </w:rPr>
        <w:t>Inv</w:t>
      </w:r>
      <w:r>
        <w:rPr>
          <w:noProof/>
        </w:rPr>
        <w:t>estoinnin toteutus saatetaan päätökseen viimeistään 30. kesäkuuta 2026.</w:t>
      </w:r>
    </w:p>
    <w:p w14:paraId="568CF66A" w14:textId="77777777" w:rsidR="000E48CE" w:rsidRDefault="00FF4C4E">
      <w:pPr>
        <w:pStyle w:val="P68B1DB1-Normal6"/>
        <w:spacing w:line="240" w:lineRule="auto"/>
        <w:jc w:val="both"/>
        <w:rPr>
          <w:rFonts w:cs="Times New Roman"/>
          <w:noProof/>
        </w:rPr>
      </w:pPr>
      <w:r>
        <w:rPr>
          <w:noProof/>
        </w:rPr>
        <w:t>Investointi 2 (C6.I2) – Euroopan laajuinen liikenneverkko, muut työt</w:t>
      </w:r>
    </w:p>
    <w:p w14:paraId="653154FC" w14:textId="77777777" w:rsidR="000E48CE" w:rsidRDefault="00FF4C4E">
      <w:pPr>
        <w:pStyle w:val="P68B1DB1-Normal4"/>
        <w:spacing w:before="60" w:afterLines="60" w:after="144" w:line="240" w:lineRule="auto"/>
        <w:jc w:val="both"/>
        <w:rPr>
          <w:rFonts w:cs="Times New Roman"/>
          <w:noProof/>
        </w:rPr>
      </w:pPr>
      <w:r>
        <w:rPr>
          <w:noProof/>
        </w:rPr>
        <w:t>Toimenpiteen tavoitteena on parantaa kansallista liikenneverkkoa, joka kattaa kaikki liikennemuodot (rautatie-, maa</w:t>
      </w:r>
      <w:r>
        <w:rPr>
          <w:noProof/>
        </w:rPr>
        <w:t xml:space="preserve">ntie- ja lentoliikenne), jotta siitä tulisi luotettavampi, kestävämpi, turvallisempi ja kestävämpi. </w:t>
      </w:r>
    </w:p>
    <w:p w14:paraId="5DA01CD6" w14:textId="77777777" w:rsidR="000E48CE" w:rsidRDefault="00FF4C4E">
      <w:pPr>
        <w:pStyle w:val="P68B1DB1-Normal4"/>
        <w:spacing w:before="60" w:afterLines="60" w:after="144" w:line="240" w:lineRule="auto"/>
        <w:jc w:val="both"/>
        <w:rPr>
          <w:rFonts w:cs="Times New Roman"/>
          <w:noProof/>
        </w:rPr>
      </w:pPr>
      <w:r>
        <w:rPr>
          <w:noProof/>
        </w:rPr>
        <w:t>Investointi koostuu seuraavista toimista:</w:t>
      </w:r>
    </w:p>
    <w:p w14:paraId="4DEB9CC4" w14:textId="77777777" w:rsidR="000E48CE" w:rsidRDefault="00FF4C4E">
      <w:pPr>
        <w:pStyle w:val="P68B1DB1-ListParagraph7"/>
        <w:numPr>
          <w:ilvl w:val="0"/>
          <w:numId w:val="177"/>
        </w:numPr>
        <w:spacing w:before="60" w:afterLines="60" w:after="144" w:line="240" w:lineRule="auto"/>
        <w:ind w:left="993" w:hanging="284"/>
        <w:jc w:val="both"/>
        <w:rPr>
          <w:rFonts w:cs="Times New Roman"/>
          <w:noProof/>
        </w:rPr>
      </w:pPr>
      <w:r>
        <w:rPr>
          <w:noProof/>
        </w:rPr>
        <w:t>Rautatieverkon parantaminen suhteessa ydinverkon ulkopuoliseen TEN-T-verkkoon siten, että rakennustyöt kestävät v</w:t>
      </w:r>
      <w:r>
        <w:rPr>
          <w:noProof/>
        </w:rPr>
        <w:t>ähintään 900 kilometriä;</w:t>
      </w:r>
    </w:p>
    <w:p w14:paraId="78BD8813" w14:textId="77777777" w:rsidR="000E48CE" w:rsidRDefault="00FF4C4E">
      <w:pPr>
        <w:pStyle w:val="P68B1DB1-ListParagraph7"/>
        <w:numPr>
          <w:ilvl w:val="0"/>
          <w:numId w:val="177"/>
        </w:numPr>
        <w:spacing w:before="60" w:afterLines="60" w:after="144" w:line="240" w:lineRule="auto"/>
        <w:ind w:left="993" w:hanging="284"/>
        <w:jc w:val="both"/>
        <w:rPr>
          <w:rFonts w:cs="Times New Roman"/>
          <w:noProof/>
        </w:rPr>
      </w:pPr>
      <w:r>
        <w:rPr>
          <w:noProof/>
        </w:rPr>
        <w:t>Tehdään tieverkosta turvallisempi kansallisten ja EU:n säännösten mukaisesti.</w:t>
      </w:r>
    </w:p>
    <w:p w14:paraId="20F4A635" w14:textId="77777777" w:rsidR="000E48CE" w:rsidRDefault="00FF4C4E">
      <w:pPr>
        <w:pStyle w:val="P68B1DB1-ListParagraph7"/>
        <w:numPr>
          <w:ilvl w:val="0"/>
          <w:numId w:val="177"/>
        </w:numPr>
        <w:spacing w:before="60" w:afterLines="60" w:after="144" w:line="240" w:lineRule="auto"/>
        <w:ind w:left="993" w:hanging="284"/>
        <w:jc w:val="both"/>
        <w:rPr>
          <w:rFonts w:cs="Times New Roman"/>
          <w:noProof/>
        </w:rPr>
      </w:pPr>
      <w:r>
        <w:rPr>
          <w:noProof/>
        </w:rPr>
        <w:t xml:space="preserve">Yhtenäisen eurooppalaisen ilmatilan kehittämisen edistäminen (20 hanketta) </w:t>
      </w:r>
    </w:p>
    <w:p w14:paraId="30B597CF" w14:textId="77777777" w:rsidR="000E48CE" w:rsidRDefault="00FF4C4E">
      <w:pPr>
        <w:pStyle w:val="P68B1DB1-ListParagraph7"/>
        <w:numPr>
          <w:ilvl w:val="0"/>
          <w:numId w:val="177"/>
        </w:numPr>
        <w:spacing w:before="60" w:afterLines="60" w:after="144" w:line="240" w:lineRule="auto"/>
        <w:ind w:left="993" w:hanging="284"/>
        <w:jc w:val="both"/>
        <w:rPr>
          <w:rFonts w:cs="Times New Roman"/>
          <w:noProof/>
        </w:rPr>
      </w:pPr>
      <w:r>
        <w:rPr>
          <w:noProof/>
        </w:rPr>
        <w:t xml:space="preserve">Tuetaan liikenne-, liikkuvuus- ja kaupunkiagendan digitalisaatiota. </w:t>
      </w:r>
    </w:p>
    <w:p w14:paraId="3D6D2685" w14:textId="217DA4E1" w:rsidR="000E48CE" w:rsidRDefault="00FF4C4E">
      <w:pPr>
        <w:pStyle w:val="P68B1DB1-Normal4"/>
        <w:spacing w:before="60" w:afterLines="60" w:after="144" w:line="240" w:lineRule="auto"/>
        <w:jc w:val="both"/>
        <w:rPr>
          <w:rFonts w:cs="Times New Roman"/>
          <w:noProof/>
        </w:rPr>
      </w:pPr>
      <w:r>
        <w:rPr>
          <w:noProof/>
        </w:rPr>
        <w:t>Valintap</w:t>
      </w:r>
      <w:r>
        <w:rPr>
          <w:noProof/>
        </w:rPr>
        <w:t>erusteilla on varmistettava, että vähintään 1010000000 eurolla edistetään ilmastonmuutostavoitteiden saavuttamista 100 prosentin ilmastokertoimella ja vähintään 301000000 eurolla vähintään 40 prosentin ilmastokertoimella elpymis- ja palautumistukivälinettä</w:t>
      </w:r>
      <w:r>
        <w:rPr>
          <w:noProof/>
        </w:rPr>
        <w:t xml:space="preserve"> koskevan asetuksen (EU) 2021/241 liitteen VI mukaisesti.</w:t>
      </w:r>
    </w:p>
    <w:p w14:paraId="4168DB18" w14:textId="77777777" w:rsidR="000E48CE" w:rsidRDefault="00FF4C4E">
      <w:pPr>
        <w:pStyle w:val="P68B1DB1-Normal4"/>
        <w:spacing w:before="60" w:afterLines="60" w:after="144" w:line="240" w:lineRule="auto"/>
        <w:jc w:val="both"/>
        <w:rPr>
          <w:rFonts w:cs="Times New Roman"/>
          <w:noProof/>
        </w:rPr>
      </w:pPr>
      <w:r>
        <w:rPr>
          <w:noProof/>
        </w:rPr>
        <w:t>Investoinnin toteutus saatetaan päätökseen viimeistään 30. kesäkuuta 2026.</w:t>
      </w:r>
    </w:p>
    <w:p w14:paraId="43EE3CA8" w14:textId="77777777" w:rsidR="000E48CE" w:rsidRDefault="00FF4C4E">
      <w:pPr>
        <w:pStyle w:val="P68B1DB1-Normal6"/>
        <w:spacing w:line="240" w:lineRule="auto"/>
        <w:jc w:val="both"/>
        <w:rPr>
          <w:rFonts w:cs="Times New Roman"/>
          <w:noProof/>
        </w:rPr>
      </w:pPr>
      <w:r>
        <w:rPr>
          <w:noProof/>
        </w:rPr>
        <w:t>Investointi 3 (C6.I3) – Intermodaalisuus ja logistiikka</w:t>
      </w:r>
    </w:p>
    <w:p w14:paraId="0960D80B" w14:textId="77777777" w:rsidR="000E48CE" w:rsidRDefault="00FF4C4E">
      <w:pPr>
        <w:pStyle w:val="P68B1DB1-Normal4"/>
        <w:spacing w:line="240" w:lineRule="auto"/>
        <w:jc w:val="both"/>
        <w:rPr>
          <w:rFonts w:cs="Times New Roman"/>
          <w:noProof/>
        </w:rPr>
      </w:pPr>
      <w:r>
        <w:rPr>
          <w:noProof/>
        </w:rPr>
        <w:t xml:space="preserve">Toimenpiteen tavoitteena on panna täytäntöön turvallisen, kestävän </w:t>
      </w:r>
      <w:r>
        <w:rPr>
          <w:noProof/>
        </w:rPr>
        <w:t>ja yhteenliitetyn liikkuvuuden strategian (R1) toimintalinja 6, joka koskee älykkäitä intermodaalisia logistiikkaketjuja.</w:t>
      </w:r>
    </w:p>
    <w:p w14:paraId="39D659E0" w14:textId="77777777" w:rsidR="000E48CE" w:rsidRDefault="00FF4C4E">
      <w:pPr>
        <w:pStyle w:val="P68B1DB1-Normal4"/>
        <w:spacing w:line="240" w:lineRule="auto"/>
        <w:jc w:val="both"/>
        <w:rPr>
          <w:rFonts w:cs="Times New Roman"/>
          <w:noProof/>
        </w:rPr>
      </w:pPr>
      <w:r>
        <w:rPr>
          <w:noProof/>
        </w:rPr>
        <w:t xml:space="preserve">Investointi koostuu kolmesta toimintalinjasta: </w:t>
      </w:r>
    </w:p>
    <w:p w14:paraId="10D30F47" w14:textId="77777777" w:rsidR="000E48CE" w:rsidRDefault="00FF4C4E">
      <w:pPr>
        <w:pStyle w:val="P68B1DB1-ListParagraph7"/>
        <w:numPr>
          <w:ilvl w:val="0"/>
          <w:numId w:val="176"/>
        </w:numPr>
        <w:spacing w:line="240" w:lineRule="auto"/>
        <w:ind w:left="993" w:hanging="284"/>
        <w:jc w:val="both"/>
        <w:rPr>
          <w:rFonts w:cs="Times New Roman"/>
          <w:noProof/>
        </w:rPr>
      </w:pPr>
      <w:r>
        <w:rPr>
          <w:noProof/>
        </w:rPr>
        <w:t>yhdeksän strategisen intermodaali- ja logistisen terminaalin kehittäminen tai parantaminen, jotta voidaan joissakin tapauksissa yhdistää intermodaaliterminaalit logistiikka-alueeseen ja kaikissa tapauksissa edistää tavaraliikenteen siirtymistä maanteiltä r</w:t>
      </w:r>
      <w:r>
        <w:rPr>
          <w:noProof/>
        </w:rPr>
        <w:t xml:space="preserve">autateille; </w:t>
      </w:r>
    </w:p>
    <w:p w14:paraId="5262CC62" w14:textId="77777777" w:rsidR="000E48CE" w:rsidRDefault="00FF4C4E">
      <w:pPr>
        <w:pStyle w:val="P68B1DB1-ListParagraph7"/>
        <w:numPr>
          <w:ilvl w:val="0"/>
          <w:numId w:val="176"/>
        </w:numPr>
        <w:spacing w:line="240" w:lineRule="auto"/>
        <w:ind w:left="993" w:hanging="284"/>
        <w:jc w:val="both"/>
        <w:rPr>
          <w:rFonts w:cs="Times New Roman"/>
          <w:noProof/>
        </w:rPr>
      </w:pPr>
      <w:r>
        <w:rPr>
          <w:noProof/>
        </w:rPr>
        <w:t xml:space="preserve">parannetaan rautatie- ja maantieyhteyksiä Espanjan satamiin rautateiden tavaraliikenteen edistämiseksi parantamalla satamien yhteyksiä rautateihin (2 satamaa) ja maantieverkkoon (yksi satama); </w:t>
      </w:r>
    </w:p>
    <w:p w14:paraId="183C0C7A" w14:textId="77777777" w:rsidR="000E48CE" w:rsidRDefault="00FF4C4E">
      <w:pPr>
        <w:pStyle w:val="P68B1DB1-ListParagraph7"/>
        <w:numPr>
          <w:ilvl w:val="0"/>
          <w:numId w:val="176"/>
        </w:numPr>
        <w:spacing w:line="240" w:lineRule="auto"/>
        <w:ind w:left="993" w:hanging="284"/>
        <w:jc w:val="both"/>
        <w:rPr>
          <w:rFonts w:cs="Times New Roman"/>
          <w:noProof/>
        </w:rPr>
      </w:pPr>
      <w:r>
        <w:rPr>
          <w:noProof/>
        </w:rPr>
        <w:t>saavutettavuuden parantaminen (19 hanketta) ja ke</w:t>
      </w:r>
      <w:r>
        <w:rPr>
          <w:noProof/>
        </w:rPr>
        <w:t>stävyyden parantaminen satamissa (25 satamaviranomaisen hankkeet).</w:t>
      </w:r>
    </w:p>
    <w:p w14:paraId="13AF8CCF" w14:textId="3CFB05EA" w:rsidR="000E48CE" w:rsidRDefault="00FF4C4E">
      <w:pPr>
        <w:pStyle w:val="P68B1DB1-Normal4"/>
        <w:spacing w:line="240" w:lineRule="auto"/>
        <w:jc w:val="both"/>
        <w:rPr>
          <w:rFonts w:cs="Times New Roman"/>
          <w:noProof/>
        </w:rPr>
      </w:pPr>
      <w:r>
        <w:rPr>
          <w:noProof/>
        </w:rPr>
        <w:t>Valintaperusteilla on varmistettava, että vähintään 584000000 eurolla edistetään ilmastonmuutostavoitteiden saavuttamista 100 prosentin ilmastokertoimella ja vähintään 217000000 eurolla väh</w:t>
      </w:r>
      <w:r>
        <w:rPr>
          <w:noProof/>
        </w:rPr>
        <w:t>intään 40 prosentin ilmastokertoimella elpymis- ja palautumistukivälinettä koskevan asetuksen (EU) 2021/241 liitteen VI mukaisesti.</w:t>
      </w:r>
    </w:p>
    <w:p w14:paraId="38AB270D" w14:textId="77777777" w:rsidR="000E48CE" w:rsidRDefault="00FF4C4E">
      <w:pPr>
        <w:pStyle w:val="P68B1DB1-Normal4"/>
        <w:spacing w:line="240" w:lineRule="auto"/>
        <w:jc w:val="both"/>
        <w:rPr>
          <w:rFonts w:cs="Times New Roman"/>
          <w:noProof/>
        </w:rPr>
      </w:pPr>
      <w:r>
        <w:rPr>
          <w:noProof/>
        </w:rPr>
        <w:t>Investoinnin toteutus saatetaan päätökseen viimeistään 30. kesäkuuta 2026.</w:t>
      </w:r>
    </w:p>
    <w:p w14:paraId="4FC3640E" w14:textId="77777777" w:rsidR="000E48CE" w:rsidRDefault="00FF4C4E">
      <w:pPr>
        <w:pStyle w:val="P68B1DB1-Normal6"/>
        <w:spacing w:line="240" w:lineRule="auto"/>
        <w:jc w:val="both"/>
        <w:rPr>
          <w:rFonts w:cs="Times New Roman"/>
          <w:noProof/>
        </w:rPr>
      </w:pPr>
      <w:r>
        <w:rPr>
          <w:noProof/>
        </w:rPr>
        <w:t xml:space="preserve">Investointi 4 (C6.I4) – Kestävän ja digitaalisen </w:t>
      </w:r>
      <w:r>
        <w:rPr>
          <w:noProof/>
        </w:rPr>
        <w:t>liikenteen tukiohjelma</w:t>
      </w:r>
    </w:p>
    <w:p w14:paraId="7847248B" w14:textId="77777777" w:rsidR="000E48CE" w:rsidRDefault="00FF4C4E">
      <w:pPr>
        <w:pStyle w:val="P68B1DB1-Normal4"/>
        <w:spacing w:line="240" w:lineRule="auto"/>
        <w:jc w:val="both"/>
        <w:rPr>
          <w:rFonts w:cs="Times New Roman"/>
          <w:noProof/>
        </w:rPr>
      </w:pPr>
      <w:r>
        <w:rPr>
          <w:noProof/>
        </w:rPr>
        <w:t>Toimenpiteen tavoitteena on parantaa liikennejärjestelmän tehokkuutta digitalisoimalla ja ottamalla käyttöön uutta teknologiaa alalla sekä tukemalla kestävimpiä liikennemuotoja, erityisesti rautateitä. Tämä investointi on linjassa Ve</w:t>
      </w:r>
      <w:r>
        <w:rPr>
          <w:noProof/>
        </w:rPr>
        <w:t>rkkojen Eurooppa -välineen työohjelman aloitteiden kanssa, ja siinä kehotetaan kehittämään Euroopan laajuista liikenneverkkoa.</w:t>
      </w:r>
    </w:p>
    <w:p w14:paraId="472FA319" w14:textId="77777777" w:rsidR="000E48CE" w:rsidRDefault="00FF4C4E">
      <w:pPr>
        <w:pStyle w:val="P68B1DB1-Normal4"/>
        <w:spacing w:line="240" w:lineRule="auto"/>
        <w:jc w:val="both"/>
        <w:rPr>
          <w:rFonts w:cs="Times New Roman"/>
          <w:noProof/>
        </w:rPr>
      </w:pPr>
      <w:r>
        <w:rPr>
          <w:noProof/>
        </w:rPr>
        <w:t>Investointi koostuu 15 toimesta, jotka toteutetaan seuraavilla aloilla:</w:t>
      </w:r>
    </w:p>
    <w:p w14:paraId="30FC8C22" w14:textId="77777777" w:rsidR="000E48CE" w:rsidRDefault="00FF4C4E">
      <w:pPr>
        <w:pStyle w:val="P68B1DB1-Normal18"/>
        <w:spacing w:line="240" w:lineRule="auto"/>
        <w:ind w:firstLine="709"/>
        <w:jc w:val="both"/>
        <w:rPr>
          <w:rFonts w:cs="Times New Roman"/>
          <w:noProof/>
        </w:rPr>
      </w:pPr>
      <w:r>
        <w:rPr>
          <w:noProof/>
        </w:rPr>
        <w:t>Toimintalinja 1. Rautateiden tavaraliikenteen yhteentoimi</w:t>
      </w:r>
      <w:r>
        <w:rPr>
          <w:noProof/>
        </w:rPr>
        <w:t xml:space="preserve">vuus </w:t>
      </w:r>
    </w:p>
    <w:p w14:paraId="26BB990F" w14:textId="77777777" w:rsidR="000E48CE" w:rsidRDefault="00FF4C4E">
      <w:pPr>
        <w:pStyle w:val="P68B1DB1-Normal4"/>
        <w:spacing w:line="240" w:lineRule="auto"/>
        <w:ind w:left="709"/>
        <w:jc w:val="both"/>
        <w:rPr>
          <w:rFonts w:cs="Times New Roman"/>
          <w:noProof/>
        </w:rPr>
      </w:pPr>
      <w:r>
        <w:rPr>
          <w:noProof/>
        </w:rPr>
        <w:t xml:space="preserve">1. Junaan asennettavat Euroopan rautatieliikenteen hallintajärjestelmät (ERTMS); </w:t>
      </w:r>
    </w:p>
    <w:p w14:paraId="3B85F9B0" w14:textId="77777777" w:rsidR="000E48CE" w:rsidRDefault="00FF4C4E">
      <w:pPr>
        <w:pStyle w:val="P68B1DB1-Normal4"/>
        <w:spacing w:line="240" w:lineRule="auto"/>
        <w:ind w:left="709"/>
        <w:jc w:val="both"/>
        <w:rPr>
          <w:rFonts w:cs="Times New Roman"/>
          <w:noProof/>
        </w:rPr>
      </w:pPr>
      <w:r>
        <w:rPr>
          <w:noProof/>
        </w:rPr>
        <w:t>2. Toimet rautateiden yhteentoimivuuden esteiden poistamiseksi;</w:t>
      </w:r>
    </w:p>
    <w:p w14:paraId="5DE276B0" w14:textId="77777777" w:rsidR="000E48CE" w:rsidRDefault="00FF4C4E">
      <w:pPr>
        <w:pStyle w:val="P68B1DB1-Normal4"/>
        <w:spacing w:line="240" w:lineRule="auto"/>
        <w:ind w:left="709"/>
        <w:jc w:val="both"/>
        <w:rPr>
          <w:rFonts w:cs="Times New Roman"/>
          <w:noProof/>
        </w:rPr>
      </w:pPr>
      <w:r>
        <w:rPr>
          <w:noProof/>
        </w:rPr>
        <w:t>3. Vetureiden vaihtuvan raideleveyden kehittäminen ja niiden kehittäminen;</w:t>
      </w:r>
    </w:p>
    <w:p w14:paraId="1FBCE622" w14:textId="77777777" w:rsidR="000E48CE" w:rsidRDefault="00FF4C4E">
      <w:pPr>
        <w:pStyle w:val="P68B1DB1-Normal18"/>
        <w:spacing w:line="240" w:lineRule="auto"/>
        <w:ind w:firstLine="709"/>
        <w:jc w:val="both"/>
        <w:rPr>
          <w:rFonts w:cs="Times New Roman"/>
          <w:noProof/>
        </w:rPr>
      </w:pPr>
      <w:r>
        <w:rPr>
          <w:noProof/>
        </w:rPr>
        <w:t>Toimintalinja 2. Intermodaali</w:t>
      </w:r>
      <w:r>
        <w:rPr>
          <w:noProof/>
        </w:rPr>
        <w:t xml:space="preserve">liikenteen edistäminen </w:t>
      </w:r>
    </w:p>
    <w:p w14:paraId="3C87EE9B" w14:textId="77777777" w:rsidR="000E48CE" w:rsidRDefault="00FF4C4E">
      <w:pPr>
        <w:pStyle w:val="P68B1DB1-Normal4"/>
        <w:spacing w:line="240" w:lineRule="auto"/>
        <w:ind w:left="709"/>
        <w:jc w:val="both"/>
        <w:rPr>
          <w:rFonts w:cs="Times New Roman"/>
          <w:noProof/>
        </w:rPr>
      </w:pPr>
      <w:r>
        <w:rPr>
          <w:noProof/>
        </w:rPr>
        <w:t>4. Rahdin ja intermodaalisten rautatie- ja maantieterminaalien ja niiden maayhteyksien rakentaminen, mukauttaminen tai parantaminen;</w:t>
      </w:r>
    </w:p>
    <w:p w14:paraId="272A7D53" w14:textId="77777777" w:rsidR="000E48CE" w:rsidRDefault="00FF4C4E">
      <w:pPr>
        <w:pStyle w:val="P68B1DB1-Normal4"/>
        <w:spacing w:line="240" w:lineRule="auto"/>
        <w:ind w:left="709"/>
        <w:jc w:val="both"/>
        <w:rPr>
          <w:rFonts w:cs="Times New Roman"/>
          <w:noProof/>
        </w:rPr>
      </w:pPr>
      <w:r>
        <w:rPr>
          <w:noProof/>
        </w:rPr>
        <w:t>5. Tukea kestävää tavaraliikennettä (rautatie- ja merikuljetusta), joka perustuu tarjontaan ja kysy</w:t>
      </w:r>
      <w:r>
        <w:rPr>
          <w:noProof/>
        </w:rPr>
        <w:t>ntään ECO-INCENTAA;</w:t>
      </w:r>
    </w:p>
    <w:p w14:paraId="643CEABC" w14:textId="77777777" w:rsidR="000E48CE" w:rsidRDefault="00FF4C4E">
      <w:pPr>
        <w:pStyle w:val="P68B1DB1-Normal18"/>
        <w:spacing w:line="240" w:lineRule="auto"/>
        <w:ind w:firstLine="709"/>
        <w:jc w:val="both"/>
        <w:rPr>
          <w:rFonts w:cs="Times New Roman"/>
          <w:noProof/>
        </w:rPr>
      </w:pPr>
      <w:r>
        <w:rPr>
          <w:noProof/>
        </w:rPr>
        <w:t>Toimintalinja 3. Rautateiden tavaraliikennekaluston nykyaikaistaminen</w:t>
      </w:r>
    </w:p>
    <w:p w14:paraId="170E29B3" w14:textId="77777777" w:rsidR="000E48CE" w:rsidRDefault="00FF4C4E">
      <w:pPr>
        <w:pStyle w:val="P68B1DB1-Normal4"/>
        <w:spacing w:line="240" w:lineRule="auto"/>
        <w:ind w:left="709"/>
        <w:jc w:val="both"/>
        <w:rPr>
          <w:rFonts w:cs="Times New Roman"/>
          <w:noProof/>
        </w:rPr>
      </w:pPr>
      <w:r>
        <w:rPr>
          <w:noProof/>
        </w:rPr>
        <w:t>6. Toimet, joilla tuetaan rautateiden tavaraliikenteen vaunujen kunnostamista tai parantamista, mukaan lukien rautateiden moottoritiepalvelujen perustaminen;</w:t>
      </w:r>
    </w:p>
    <w:p w14:paraId="38774CFD" w14:textId="77777777" w:rsidR="000E48CE" w:rsidRDefault="00FF4C4E">
      <w:pPr>
        <w:pStyle w:val="P68B1DB1-Normal4"/>
        <w:spacing w:line="240" w:lineRule="auto"/>
        <w:ind w:left="709"/>
        <w:jc w:val="both"/>
        <w:rPr>
          <w:rFonts w:cs="Times New Roman"/>
          <w:noProof/>
        </w:rPr>
      </w:pPr>
      <w:r>
        <w:rPr>
          <w:noProof/>
        </w:rPr>
        <w:t>7. Toime</w:t>
      </w:r>
      <w:r>
        <w:rPr>
          <w:noProof/>
        </w:rPr>
        <w:t>t, joilla tuetaan rautatiekaluston kunnostamista tai mukauttamista muilla materiaaleilla, joissa käytetään vaihtoehtoisia polttoaineita vetynä tai sähkönä;</w:t>
      </w:r>
    </w:p>
    <w:p w14:paraId="4B288179" w14:textId="77777777" w:rsidR="000E48CE" w:rsidRDefault="00FF4C4E">
      <w:pPr>
        <w:pStyle w:val="P68B1DB1-Normal18"/>
        <w:spacing w:line="240" w:lineRule="auto"/>
        <w:ind w:firstLine="709"/>
        <w:jc w:val="both"/>
        <w:rPr>
          <w:rFonts w:cs="Times New Roman"/>
          <w:noProof/>
        </w:rPr>
      </w:pPr>
      <w:r>
        <w:rPr>
          <w:noProof/>
        </w:rPr>
        <w:t>Toimintalinja 4. Turvallinen, kestävä ja verkotettu tieliikenne</w:t>
      </w:r>
    </w:p>
    <w:p w14:paraId="5BFDD935" w14:textId="77777777" w:rsidR="000E48CE" w:rsidRDefault="00FF4C4E">
      <w:pPr>
        <w:pStyle w:val="P68B1DB1-Normal4"/>
        <w:spacing w:line="240" w:lineRule="auto"/>
        <w:ind w:left="709"/>
        <w:jc w:val="both"/>
        <w:rPr>
          <w:rFonts w:cs="Times New Roman"/>
          <w:noProof/>
        </w:rPr>
      </w:pPr>
      <w:r>
        <w:rPr>
          <w:noProof/>
        </w:rPr>
        <w:t>8. Hyötyajoneuvojen turvallisten pys</w:t>
      </w:r>
      <w:r>
        <w:rPr>
          <w:noProof/>
        </w:rPr>
        <w:t>äköintialueiden rakentaminen ja parantaminen sekä tietopalvelujen tarjoaminen;</w:t>
      </w:r>
    </w:p>
    <w:p w14:paraId="1A688CE0" w14:textId="77777777" w:rsidR="000E48CE" w:rsidRDefault="00FF4C4E">
      <w:pPr>
        <w:pStyle w:val="P68B1DB1-Normal4"/>
        <w:spacing w:line="240" w:lineRule="auto"/>
        <w:ind w:left="709"/>
        <w:jc w:val="both"/>
        <w:rPr>
          <w:rFonts w:cs="Times New Roman"/>
          <w:noProof/>
        </w:rPr>
      </w:pPr>
      <w:r>
        <w:rPr>
          <w:noProof/>
        </w:rPr>
        <w:t>9. Tieliikenteen älykkäät liikennepalvelut maksullisten moottoriteiden toimiluvissa ja muissa liikenneturvallisuus- ja suojelupalveluissa;</w:t>
      </w:r>
    </w:p>
    <w:p w14:paraId="6153E05C" w14:textId="77777777" w:rsidR="000E48CE" w:rsidRDefault="00FF4C4E">
      <w:pPr>
        <w:pStyle w:val="P68B1DB1-Normal4"/>
        <w:spacing w:line="240" w:lineRule="auto"/>
        <w:ind w:left="709"/>
        <w:jc w:val="both"/>
        <w:rPr>
          <w:rFonts w:cs="Times New Roman"/>
          <w:noProof/>
        </w:rPr>
      </w:pPr>
      <w:r>
        <w:rPr>
          <w:noProof/>
        </w:rPr>
        <w:t>10. Toimet, joilla tuetaan raskaiden h</w:t>
      </w:r>
      <w:r>
        <w:rPr>
          <w:noProof/>
        </w:rPr>
        <w:t>yötyajoneuvojen vaihtoehtoisen tankkausinfrastruktuurin käyttöönottoa tieverkossa. Tämän toimenpiteen tukikelpoisuuskriteereillä on varmistettava, että noudatetaan teknisiä ohjeita ”ei merkittävää haittaa” (2021/C58/01) vahvistamalla ehto, jonka mukaan kaa</w:t>
      </w:r>
      <w:r>
        <w:rPr>
          <w:noProof/>
        </w:rPr>
        <w:t>sumaisten polttoaineiden siirtymä- ja jakeluinfrastruktuuri on rakennushetkellä mahdollista uusiutuvien ja vähähiilisten kaasujen kuljettamista varten;</w:t>
      </w:r>
    </w:p>
    <w:p w14:paraId="585B0BAC" w14:textId="77777777" w:rsidR="000E48CE" w:rsidRDefault="00FF4C4E">
      <w:pPr>
        <w:pStyle w:val="P68B1DB1-Normal4"/>
        <w:spacing w:line="240" w:lineRule="auto"/>
        <w:ind w:left="709"/>
        <w:jc w:val="both"/>
        <w:rPr>
          <w:rFonts w:cs="Times New Roman"/>
          <w:noProof/>
        </w:rPr>
      </w:pPr>
      <w:r>
        <w:rPr>
          <w:noProof/>
        </w:rPr>
        <w:t xml:space="preserve">11. Toimet, joilla tuetaan koneiden kunnostamista tai mukauttamista kestävää tienpäällystettä, </w:t>
      </w:r>
      <w:r>
        <w:rPr>
          <w:noProof/>
        </w:rPr>
        <w:t>hiilijalanjäljen pienentämistä ja melun vähentämistä varten;</w:t>
      </w:r>
    </w:p>
    <w:p w14:paraId="58F57D9D" w14:textId="77777777" w:rsidR="000E48CE" w:rsidRDefault="00FF4C4E">
      <w:pPr>
        <w:pStyle w:val="P68B1DB1-Normal18"/>
        <w:spacing w:line="240" w:lineRule="auto"/>
        <w:ind w:firstLine="709"/>
        <w:jc w:val="both"/>
        <w:rPr>
          <w:rFonts w:cs="Times New Roman"/>
          <w:noProof/>
        </w:rPr>
      </w:pPr>
      <w:r>
        <w:rPr>
          <w:noProof/>
        </w:rPr>
        <w:t>Toimintalinja 5. Meri- ja lentoliikenteen kestävyys</w:t>
      </w:r>
    </w:p>
    <w:p w14:paraId="5D543C70" w14:textId="77777777" w:rsidR="000E48CE" w:rsidRDefault="00FF4C4E">
      <w:pPr>
        <w:pStyle w:val="P68B1DB1-Normal4"/>
        <w:spacing w:line="240" w:lineRule="auto"/>
        <w:ind w:left="709"/>
        <w:jc w:val="both"/>
        <w:rPr>
          <w:rFonts w:cs="Times New Roman"/>
          <w:noProof/>
        </w:rPr>
      </w:pPr>
      <w:r>
        <w:rPr>
          <w:noProof/>
        </w:rPr>
        <w:t>12. Vaihtoehtoisten polttoaineiden käyttöönoton tukeminen satamissa ja lentoasemilla. Tämän toimenpiteen tukikelpoisuuskriteereillä on varmiste</w:t>
      </w:r>
      <w:r>
        <w:rPr>
          <w:noProof/>
        </w:rPr>
        <w:t>ttava, että noudatetaan teknisiä ohjeita ”ei merkittävää haittaa” (2021/C58/01) vahvistamalla ehto, jonka mukaan kaasumaisten polttoaineiden siirtymä- ja jakeluinfrastruktuuri on rakennushetkellä mahdollista uusiutuvien ja vähähiilisten kaasujen kuljettami</w:t>
      </w:r>
      <w:r>
        <w:rPr>
          <w:noProof/>
        </w:rPr>
        <w:t>sta varten;</w:t>
      </w:r>
    </w:p>
    <w:p w14:paraId="031CE937" w14:textId="77777777" w:rsidR="000E48CE" w:rsidRDefault="00FF4C4E">
      <w:pPr>
        <w:pStyle w:val="P68B1DB1-Normal4"/>
        <w:spacing w:line="240" w:lineRule="auto"/>
        <w:ind w:left="709"/>
        <w:jc w:val="both"/>
        <w:rPr>
          <w:rFonts w:cs="Times New Roman"/>
          <w:noProof/>
        </w:rPr>
      </w:pPr>
      <w:r>
        <w:rPr>
          <w:noProof/>
        </w:rPr>
        <w:t>13. Vaihtoehtoisten energiateknologioiden käyttöönoton tukeminen merenkulkualalla;</w:t>
      </w:r>
    </w:p>
    <w:p w14:paraId="164B7123" w14:textId="77777777" w:rsidR="000E48CE" w:rsidRDefault="00FF4C4E">
      <w:pPr>
        <w:pStyle w:val="P68B1DB1-Normal18"/>
        <w:spacing w:line="240" w:lineRule="auto"/>
        <w:ind w:firstLine="709"/>
        <w:jc w:val="both"/>
        <w:rPr>
          <w:rFonts w:cs="Times New Roman"/>
          <w:noProof/>
        </w:rPr>
      </w:pPr>
      <w:r>
        <w:rPr>
          <w:noProof/>
        </w:rPr>
        <w:t>Toimintalinja 6. Liikenteen digitointi</w:t>
      </w:r>
    </w:p>
    <w:p w14:paraId="144D893F" w14:textId="77777777" w:rsidR="000E48CE" w:rsidRDefault="00FF4C4E">
      <w:pPr>
        <w:pStyle w:val="P68B1DB1-Normal4"/>
        <w:spacing w:line="240" w:lineRule="auto"/>
        <w:ind w:left="709"/>
        <w:jc w:val="both"/>
        <w:rPr>
          <w:rFonts w:cs="Times New Roman"/>
          <w:noProof/>
        </w:rPr>
      </w:pPr>
      <w:r>
        <w:rPr>
          <w:noProof/>
        </w:rPr>
        <w:t>14. Henkilö- ja tavaraliikenteen digitalisointia koskevat hankkeet kansallisella tasolla;</w:t>
      </w:r>
    </w:p>
    <w:p w14:paraId="70A9FC9F" w14:textId="77777777" w:rsidR="000E48CE" w:rsidRDefault="00FF4C4E">
      <w:pPr>
        <w:pStyle w:val="P68B1DB1-Normal18"/>
        <w:spacing w:line="240" w:lineRule="auto"/>
        <w:ind w:firstLine="709"/>
        <w:jc w:val="both"/>
        <w:rPr>
          <w:rFonts w:cs="Times New Roman"/>
          <w:noProof/>
        </w:rPr>
      </w:pPr>
      <w:r>
        <w:rPr>
          <w:noProof/>
        </w:rPr>
        <w:t xml:space="preserve">Siirto itsehallintoalueille </w:t>
      </w:r>
    </w:p>
    <w:p w14:paraId="55F5DA0E" w14:textId="77777777" w:rsidR="000E48CE" w:rsidRDefault="00FF4C4E">
      <w:pPr>
        <w:pStyle w:val="P68B1DB1-Normal4"/>
        <w:spacing w:line="240" w:lineRule="auto"/>
        <w:ind w:left="709"/>
        <w:jc w:val="both"/>
        <w:rPr>
          <w:rFonts w:cs="Times New Roman"/>
          <w:noProof/>
        </w:rPr>
      </w:pPr>
      <w:r>
        <w:rPr>
          <w:noProof/>
        </w:rPr>
        <w:t>15.</w:t>
      </w:r>
      <w:r>
        <w:rPr>
          <w:noProof/>
        </w:rPr>
        <w:t xml:space="preserve"> Henkilö- ja tavaraliikenteen digitalisointihankkeet alue- ja paikallistasolla;</w:t>
      </w:r>
    </w:p>
    <w:p w14:paraId="1151D345" w14:textId="2113D5B2" w:rsidR="000E48CE" w:rsidRDefault="00FF4C4E">
      <w:pPr>
        <w:pStyle w:val="P68B1DB1-Normal4"/>
        <w:spacing w:line="240" w:lineRule="auto"/>
        <w:jc w:val="both"/>
        <w:rPr>
          <w:rFonts w:cs="Times New Roman"/>
          <w:noProof/>
        </w:rPr>
      </w:pPr>
      <w:r>
        <w:rPr>
          <w:noProof/>
        </w:rPr>
        <w:t>Valintaperusteilla on varmistettava, että vähintään 63500000 eurolla edistetään ilmastonmuutostavoitteiden saavuttamista 100 prosentin ilmastokertoimella ja vähintään 210000000</w:t>
      </w:r>
      <w:r>
        <w:rPr>
          <w:noProof/>
        </w:rPr>
        <w:t xml:space="preserve"> eurolla vähintään 40 prosentin ilmastokertoimella elpymis- ja palautumistukivälinettä koskevan asetuksen (EU) 2021/241 liitteen VI mukaisesti.</w:t>
      </w:r>
    </w:p>
    <w:p w14:paraId="6A97E3B3" w14:textId="77777777" w:rsidR="000E48CE" w:rsidRDefault="00FF4C4E">
      <w:pPr>
        <w:pStyle w:val="P68B1DB1-Normal4"/>
        <w:spacing w:line="240" w:lineRule="auto"/>
        <w:jc w:val="both"/>
        <w:rPr>
          <w:rFonts w:cs="Times New Roman"/>
          <w:b/>
          <w:noProof/>
          <w:u w:val="single"/>
        </w:rPr>
      </w:pPr>
      <w:r>
        <w:rPr>
          <w:noProof/>
        </w:rPr>
        <w:t>Investoinnin toteutus saatetaan päätökseen viimeistään 30. kesäkuuta 2026.</w:t>
      </w:r>
    </w:p>
    <w:p w14:paraId="58835673" w14:textId="77777777" w:rsidR="000E48CE" w:rsidRDefault="00FF4C4E">
      <w:pPr>
        <w:pStyle w:val="P68B1DB1-Normal5"/>
        <w:spacing w:before="120" w:after="120" w:line="240" w:lineRule="auto"/>
        <w:ind w:left="709"/>
        <w:jc w:val="both"/>
        <w:rPr>
          <w:rFonts w:cs="Times New Roman"/>
          <w:noProof/>
        </w:rPr>
      </w:pPr>
      <w:r>
        <w:rPr>
          <w:noProof/>
        </w:rPr>
        <w:t xml:space="preserve">F.2 </w:t>
      </w:r>
      <w:r>
        <w:rPr>
          <w:noProof/>
        </w:rPr>
        <w:tab/>
        <w:t>Seurantaa ja täytäntöönpanoa kos</w:t>
      </w:r>
      <w:r>
        <w:rPr>
          <w:noProof/>
        </w:rPr>
        <w:t>kevat välitavoitteet, tavoitteet, indikaattorit ja aikataulu – rahoitustuki, jota ei makseta takaisin</w:t>
      </w:r>
    </w:p>
    <w:p w14:paraId="19D0813A"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 xml:space="preserve">Kaikkien indikaattoreiden perustaso on 1. helmikuuta 2020, ellei toimen kuvauksessa toisin ilmoiteta. Taulukossa esitetyt määrät </w:t>
      </w:r>
      <w:r>
        <w:rPr>
          <w:i/>
          <w:noProof/>
        </w:rPr>
        <w:t>eivät sisällä arvonlisäveroa.</w:t>
      </w:r>
    </w:p>
    <w:p w14:paraId="48A21919" w14:textId="77777777" w:rsidR="000E48CE" w:rsidRDefault="000E48CE">
      <w:pPr>
        <w:spacing w:before="120" w:after="120" w:line="240" w:lineRule="auto"/>
        <w:jc w:val="both"/>
        <w:rPr>
          <w:rFonts w:ascii="Times New Roman" w:hAnsi="Times New Roman" w:cs="Times New Roman"/>
          <w:b/>
          <w:noProof/>
          <w:sz w:val="24"/>
          <w:u w:val="single"/>
        </w:rPr>
      </w:pPr>
    </w:p>
    <w:p w14:paraId="6BD18F9B" w14:textId="77777777" w:rsidR="000E48CE" w:rsidRDefault="000E48CE">
      <w:pPr>
        <w:spacing w:before="120" w:after="120" w:line="240" w:lineRule="auto"/>
        <w:ind w:left="709"/>
        <w:jc w:val="both"/>
        <w:rPr>
          <w:rFonts w:ascii="Times New Roman" w:hAnsi="Times New Roman" w:cs="Times New Roman"/>
          <w:noProof/>
          <w:sz w:val="24"/>
        </w:rPr>
      </w:pPr>
    </w:p>
    <w:p w14:paraId="238601FE" w14:textId="77777777" w:rsidR="000E48CE" w:rsidRDefault="000E48CE">
      <w:pPr>
        <w:spacing w:before="120" w:after="120" w:line="240" w:lineRule="auto"/>
        <w:ind w:left="709"/>
        <w:jc w:val="both"/>
        <w:rPr>
          <w:rFonts w:ascii="Times New Roman" w:hAnsi="Times New Roman" w:cs="Times New Roman"/>
          <w:noProof/>
          <w:sz w:val="24"/>
        </w:rPr>
        <w:sectPr w:rsidR="000E48CE" w:rsidSect="0035659C">
          <w:headerReference w:type="even" r:id="rId150"/>
          <w:headerReference w:type="default" r:id="rId151"/>
          <w:footerReference w:type="even" r:id="rId152"/>
          <w:footerReference w:type="default" r:id="rId153"/>
          <w:headerReference w:type="first" r:id="rId154"/>
          <w:footerReference w:type="first" r:id="rId155"/>
          <w:pgSz w:w="11907" w:h="16839"/>
          <w:pgMar w:top="1134" w:right="1417" w:bottom="1134" w:left="1417" w:header="709" w:footer="709" w:gutter="0"/>
          <w:cols w:space="720"/>
          <w:docGrid w:linePitch="360"/>
        </w:sectPr>
      </w:pPr>
    </w:p>
    <w:tbl>
      <w:tblPr>
        <w:tblW w:w="1414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134"/>
        <w:gridCol w:w="850"/>
        <w:gridCol w:w="567"/>
        <w:gridCol w:w="567"/>
        <w:gridCol w:w="425"/>
        <w:gridCol w:w="567"/>
        <w:gridCol w:w="6066"/>
      </w:tblGrid>
      <w:tr w:rsidR="000E48CE" w14:paraId="2264A0BA" w14:textId="77777777">
        <w:trPr>
          <w:trHeight w:val="309"/>
          <w:tblHeader/>
        </w:trPr>
        <w:tc>
          <w:tcPr>
            <w:tcW w:w="709" w:type="dxa"/>
            <w:tcBorders>
              <w:bottom w:val="nil"/>
            </w:tcBorders>
            <w:shd w:val="clear" w:color="auto" w:fill="C6D9F1" w:themeFill="text2" w:themeFillTint="33"/>
            <w:noWrap/>
            <w:vAlign w:val="center"/>
          </w:tcPr>
          <w:p w14:paraId="3E7FF3B6"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1BA64599"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7CC8C155"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1560" w:type="dxa"/>
            <w:tcBorders>
              <w:bottom w:val="nil"/>
            </w:tcBorders>
            <w:shd w:val="clear" w:color="auto" w:fill="C6D9F1" w:themeFill="text2" w:themeFillTint="33"/>
            <w:noWrap/>
            <w:vAlign w:val="center"/>
          </w:tcPr>
          <w:p w14:paraId="69C41B3B" w14:textId="77777777" w:rsidR="000E48CE" w:rsidRDefault="00FF4C4E">
            <w:pPr>
              <w:pStyle w:val="P68B1DB1-Normal12"/>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36402FE8"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4" w:type="dxa"/>
            <w:gridSpan w:val="3"/>
            <w:shd w:val="clear" w:color="auto" w:fill="C6D9F1" w:themeFill="text2" w:themeFillTint="33"/>
            <w:noWrap/>
            <w:vAlign w:val="center"/>
          </w:tcPr>
          <w:p w14:paraId="12A6E265"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728075A5" w14:textId="77777777" w:rsidR="000E48CE" w:rsidRDefault="00FF4C4E">
            <w:pPr>
              <w:pStyle w:val="P68B1DB1-Normal12"/>
              <w:spacing w:after="0" w:line="240" w:lineRule="auto"/>
              <w:jc w:val="center"/>
              <w:rPr>
                <w:rFonts w:cs="Times New Roman"/>
                <w:noProof/>
              </w:rPr>
            </w:pPr>
            <w:r>
              <w:rPr>
                <w:noProof/>
              </w:rPr>
              <w:t>Aika</w:t>
            </w:r>
          </w:p>
        </w:tc>
        <w:tc>
          <w:tcPr>
            <w:tcW w:w="6066" w:type="dxa"/>
            <w:tcBorders>
              <w:bottom w:val="nil"/>
            </w:tcBorders>
            <w:shd w:val="clear" w:color="auto" w:fill="C6D9F1" w:themeFill="text2" w:themeFillTint="33"/>
            <w:noWrap/>
            <w:vAlign w:val="center"/>
          </w:tcPr>
          <w:p w14:paraId="5AC1046A" w14:textId="77777777" w:rsidR="000E48CE" w:rsidRDefault="00FF4C4E">
            <w:pPr>
              <w:pStyle w:val="P68B1DB1-Normal12"/>
              <w:spacing w:after="0" w:line="240" w:lineRule="auto"/>
              <w:jc w:val="center"/>
              <w:rPr>
                <w:rFonts w:cs="Times New Roman"/>
                <w:noProof/>
              </w:rPr>
            </w:pPr>
            <w:r>
              <w:rPr>
                <w:noProof/>
              </w:rPr>
              <w:t xml:space="preserve">Kunkin välitavoitteen ja tavoitteen </w:t>
            </w:r>
            <w:r>
              <w:rPr>
                <w:noProof/>
              </w:rPr>
              <w:t>kuvaus</w:t>
            </w:r>
          </w:p>
        </w:tc>
      </w:tr>
      <w:tr w:rsidR="000E48CE" w14:paraId="6F717916" w14:textId="77777777">
        <w:trPr>
          <w:trHeight w:val="309"/>
          <w:tblHeader/>
        </w:trPr>
        <w:tc>
          <w:tcPr>
            <w:tcW w:w="709" w:type="dxa"/>
            <w:tcBorders>
              <w:top w:val="nil"/>
            </w:tcBorders>
            <w:shd w:val="clear" w:color="auto" w:fill="C6D9F1" w:themeFill="text2" w:themeFillTint="33"/>
            <w:noWrap/>
          </w:tcPr>
          <w:p w14:paraId="0F3CABC7"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B08B5D1"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6DEB4AB" w14:textId="77777777" w:rsidR="000E48CE" w:rsidRDefault="000E48CE">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0AD9C6F4" w14:textId="77777777" w:rsidR="000E48CE" w:rsidRDefault="000E48C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B1F511A"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444B5E16"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vAlign w:val="center"/>
          </w:tcPr>
          <w:p w14:paraId="4AA23600" w14:textId="77777777" w:rsidR="000E48CE" w:rsidRDefault="00FF4C4E">
            <w:pPr>
              <w:pStyle w:val="P68B1DB1-Normal12"/>
              <w:spacing w:after="0" w:line="240" w:lineRule="auto"/>
              <w:jc w:val="center"/>
              <w:rPr>
                <w:rFonts w:cs="Times New Roman"/>
                <w:noProof/>
              </w:rPr>
            </w:pPr>
            <w:r>
              <w:rPr>
                <w:noProof/>
              </w:rPr>
              <w:t>Perusviiva</w:t>
            </w:r>
          </w:p>
        </w:tc>
        <w:tc>
          <w:tcPr>
            <w:tcW w:w="567" w:type="dxa"/>
            <w:shd w:val="clear" w:color="auto" w:fill="C6D9F1" w:themeFill="text2" w:themeFillTint="33"/>
            <w:noWrap/>
            <w:vAlign w:val="center"/>
          </w:tcPr>
          <w:p w14:paraId="21A36EB4"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5A5446A4"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2F79DAA1" w14:textId="77777777" w:rsidR="000E48CE" w:rsidRDefault="00FF4C4E">
            <w:pPr>
              <w:pStyle w:val="P68B1DB1-Normal12"/>
              <w:spacing w:after="0" w:line="240" w:lineRule="auto"/>
              <w:jc w:val="center"/>
              <w:rPr>
                <w:rFonts w:cs="Times New Roman"/>
                <w:noProof/>
              </w:rPr>
            </w:pPr>
            <w:r>
              <w:rPr>
                <w:noProof/>
              </w:rPr>
              <w:t>Vuosi</w:t>
            </w:r>
          </w:p>
        </w:tc>
        <w:tc>
          <w:tcPr>
            <w:tcW w:w="6066" w:type="dxa"/>
            <w:tcBorders>
              <w:top w:val="nil"/>
            </w:tcBorders>
            <w:shd w:val="clear" w:color="auto" w:fill="C6D9F1" w:themeFill="text2" w:themeFillTint="33"/>
            <w:noWrap/>
          </w:tcPr>
          <w:p w14:paraId="65F9C3DC" w14:textId="77777777" w:rsidR="000E48CE" w:rsidRDefault="000E48CE">
            <w:pPr>
              <w:spacing w:after="0" w:line="240" w:lineRule="auto"/>
              <w:rPr>
                <w:rFonts w:ascii="Times New Roman" w:hAnsi="Times New Roman" w:cs="Times New Roman"/>
                <w:b/>
                <w:noProof/>
                <w:sz w:val="18"/>
              </w:rPr>
            </w:pPr>
          </w:p>
        </w:tc>
      </w:tr>
      <w:tr w:rsidR="000E48CE" w14:paraId="7093E2CB" w14:textId="77777777">
        <w:trPr>
          <w:trHeight w:val="309"/>
        </w:trPr>
        <w:tc>
          <w:tcPr>
            <w:tcW w:w="709" w:type="dxa"/>
            <w:shd w:val="clear" w:color="auto" w:fill="C6EFCE"/>
            <w:noWrap/>
          </w:tcPr>
          <w:p w14:paraId="49D83C2D" w14:textId="77777777" w:rsidR="000E48CE" w:rsidRDefault="00FF4C4E">
            <w:pPr>
              <w:pStyle w:val="P68B1DB1-Normal13"/>
              <w:spacing w:after="0" w:line="240" w:lineRule="auto"/>
              <w:jc w:val="center"/>
              <w:rPr>
                <w:rFonts w:eastAsia="MS Mincho" w:cs="Times New Roman"/>
                <w:noProof/>
              </w:rPr>
            </w:pPr>
            <w:r>
              <w:rPr>
                <w:noProof/>
              </w:rPr>
              <w:t>82</w:t>
            </w:r>
          </w:p>
        </w:tc>
        <w:tc>
          <w:tcPr>
            <w:tcW w:w="851" w:type="dxa"/>
            <w:shd w:val="clear" w:color="auto" w:fill="C6EFCE"/>
            <w:noWrap/>
          </w:tcPr>
          <w:p w14:paraId="2D6099C9" w14:textId="77777777" w:rsidR="000E48CE" w:rsidRDefault="00FF4C4E">
            <w:pPr>
              <w:pStyle w:val="P68B1DB1-Normal13"/>
              <w:spacing w:after="0" w:line="240" w:lineRule="auto"/>
              <w:jc w:val="center"/>
              <w:rPr>
                <w:rFonts w:eastAsia="MS Mincho" w:cs="Times New Roman"/>
                <w:noProof/>
              </w:rPr>
            </w:pPr>
            <w:r>
              <w:rPr>
                <w:noProof/>
              </w:rPr>
              <w:t>C6.R1</w:t>
            </w:r>
          </w:p>
        </w:tc>
        <w:tc>
          <w:tcPr>
            <w:tcW w:w="850" w:type="dxa"/>
            <w:shd w:val="clear" w:color="auto" w:fill="C6EFCE"/>
            <w:noWrap/>
          </w:tcPr>
          <w:p w14:paraId="7F5CD847" w14:textId="77777777" w:rsidR="000E48CE" w:rsidRDefault="00FF4C4E">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5B0922AD" w14:textId="77777777" w:rsidR="000E48CE" w:rsidRDefault="00FF4C4E">
            <w:pPr>
              <w:pStyle w:val="P68B1DB1-Normal13"/>
              <w:spacing w:after="0" w:line="240" w:lineRule="auto"/>
              <w:rPr>
                <w:rFonts w:eastAsia="MS Mincho" w:cs="Times New Roman"/>
                <w:noProof/>
              </w:rPr>
            </w:pPr>
            <w:r>
              <w:rPr>
                <w:noProof/>
              </w:rPr>
              <w:t>Kestävän, turvallisen ja verkotetun liikkuvuuden strategia (julkinen kuuleminen)</w:t>
            </w:r>
          </w:p>
        </w:tc>
        <w:tc>
          <w:tcPr>
            <w:tcW w:w="1134" w:type="dxa"/>
            <w:shd w:val="clear" w:color="auto" w:fill="C6EFCE"/>
            <w:noWrap/>
          </w:tcPr>
          <w:p w14:paraId="1FD62937" w14:textId="77777777" w:rsidR="000E48CE" w:rsidRDefault="00FF4C4E">
            <w:pPr>
              <w:pStyle w:val="P68B1DB1-Normal13"/>
              <w:spacing w:after="0" w:line="240" w:lineRule="auto"/>
              <w:jc w:val="center"/>
              <w:rPr>
                <w:rFonts w:eastAsia="MS Mincho" w:cs="Times New Roman"/>
                <w:noProof/>
              </w:rPr>
            </w:pPr>
            <w:r>
              <w:rPr>
                <w:noProof/>
              </w:rPr>
              <w:t>Ilmoitus kuulemisen päättymisestä</w:t>
            </w:r>
          </w:p>
        </w:tc>
        <w:tc>
          <w:tcPr>
            <w:tcW w:w="850" w:type="dxa"/>
            <w:shd w:val="clear" w:color="auto" w:fill="C6EFCE"/>
            <w:noWrap/>
          </w:tcPr>
          <w:p w14:paraId="4467701B"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62EAA38"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16E66445"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6E2525C" w14:textId="77777777" w:rsidR="000E48CE" w:rsidRDefault="00FF4C4E">
            <w:pPr>
              <w:pStyle w:val="P68B1DB1-Normal13"/>
              <w:spacing w:after="0" w:line="240" w:lineRule="auto"/>
              <w:jc w:val="center"/>
              <w:rPr>
                <w:rFonts w:eastAsia="MS Mincho" w:cs="Times New Roman"/>
                <w:noProof/>
              </w:rPr>
            </w:pPr>
            <w:r>
              <w:rPr>
                <w:noProof/>
              </w:rPr>
              <w:t>Q4</w:t>
            </w:r>
          </w:p>
        </w:tc>
        <w:tc>
          <w:tcPr>
            <w:tcW w:w="567" w:type="dxa"/>
            <w:shd w:val="clear" w:color="auto" w:fill="C6EFCE"/>
            <w:noWrap/>
          </w:tcPr>
          <w:p w14:paraId="6458ECF6" w14:textId="77777777" w:rsidR="000E48CE" w:rsidRDefault="00FF4C4E">
            <w:pPr>
              <w:pStyle w:val="P68B1DB1-Normal13"/>
              <w:spacing w:after="0" w:line="240" w:lineRule="auto"/>
              <w:jc w:val="center"/>
              <w:rPr>
                <w:rFonts w:eastAsia="MS Mincho" w:cs="Times New Roman"/>
                <w:noProof/>
              </w:rPr>
            </w:pPr>
            <w:r>
              <w:rPr>
                <w:noProof/>
              </w:rPr>
              <w:t>2020</w:t>
            </w:r>
          </w:p>
        </w:tc>
        <w:tc>
          <w:tcPr>
            <w:tcW w:w="6066" w:type="dxa"/>
            <w:shd w:val="clear" w:color="auto" w:fill="C6EFCE"/>
            <w:noWrap/>
          </w:tcPr>
          <w:p w14:paraId="082F3B67" w14:textId="77777777" w:rsidR="000E48CE" w:rsidRDefault="00FF4C4E">
            <w:pPr>
              <w:pStyle w:val="P68B1DB1-Normal13"/>
              <w:spacing w:after="0" w:line="240" w:lineRule="auto"/>
              <w:rPr>
                <w:rFonts w:eastAsia="MS Mincho" w:cs="Times New Roman"/>
                <w:noProof/>
              </w:rPr>
            </w:pPr>
            <w:r>
              <w:rPr>
                <w:noProof/>
              </w:rPr>
              <w:t xml:space="preserve">Strategiaa koskeva julkinen kuulemisprosessi päättyy seuraavilla </w:t>
            </w:r>
            <w:r>
              <w:rPr>
                <w:noProof/>
              </w:rPr>
              <w:t>yhdeksällä alalla:</w:t>
            </w:r>
            <w:r>
              <w:rPr>
                <w:noProof/>
              </w:rPr>
              <w:br/>
              <w:t>1) liikkuvuus kaikille (yleisen saavutettavuuden varmistaminen kohtuullisin kustannuksin)</w:t>
            </w:r>
            <w:r>
              <w:rPr>
                <w:noProof/>
              </w:rPr>
              <w:br/>
              <w:t>2) Uusi investointipolitiikka (liikenneinfrastruktuurien ja -palvelujen riittävän rahoituksen varmistamiseksi)</w:t>
            </w:r>
            <w:r>
              <w:rPr>
                <w:noProof/>
              </w:rPr>
              <w:br/>
              <w:t xml:space="preserve">Turvallinen liikkuvuus (seurantaan, </w:t>
            </w:r>
            <w:r>
              <w:rPr>
                <w:noProof/>
              </w:rPr>
              <w:t>ylläpitoon ja kyberturvallisuuteen tehtävien investointien priorisointi);</w:t>
            </w:r>
            <w:r>
              <w:rPr>
                <w:noProof/>
              </w:rPr>
              <w:br/>
              <w:t>Vähäpäästöinen liikkuvuus (tehokkuuden lisääminen, energiankulutuksen vähentäminen)</w:t>
            </w:r>
            <w:r>
              <w:rPr>
                <w:noProof/>
              </w:rPr>
              <w:br/>
              <w:t>5) Älykäs liikkuvuus (tehokkaasti T &amp; K-toiminta ja liikkuvuusinnovointi, älykkään infrastruktuuri</w:t>
            </w:r>
            <w:r>
              <w:rPr>
                <w:noProof/>
              </w:rPr>
              <w:t>n rakentaminen ja hallinnointi);</w:t>
            </w:r>
            <w:r>
              <w:rPr>
                <w:noProof/>
              </w:rPr>
              <w:br/>
              <w:t>Älykkäät intermodaaliset logistiikkaketjut (rautatiekuljetusten priorisointi)</w:t>
            </w:r>
            <w:r>
              <w:rPr>
                <w:noProof/>
              </w:rPr>
              <w:br/>
              <w:t>Euroopan yhteydet ja yhteydet maailmaan (satamien liittäminen intermodaalisiin logistiikkaterminaaleihin ja yhteistyön tehostaminen naapurimaiden</w:t>
            </w:r>
            <w:r>
              <w:rPr>
                <w:noProof/>
              </w:rPr>
              <w:t xml:space="preserve"> kanssa rajat ylittävien infrastruktuurien rakentamisen ja/tai parantamisen koordinoimiseksi);</w:t>
            </w:r>
            <w:r>
              <w:rPr>
                <w:noProof/>
              </w:rPr>
              <w:br/>
              <w:t>8) Sosiaaliset ja työvoimaan liittyvät näkökohdat (sukupuolten välinen tasapaino sekä liikennealan työvoiman uudelleen- ja täydennyskoulutustoimet);</w:t>
            </w:r>
            <w:r>
              <w:rPr>
                <w:noProof/>
              </w:rPr>
              <w:br/>
              <w:t>Liikennemini</w:t>
            </w:r>
            <w:r>
              <w:rPr>
                <w:noProof/>
              </w:rPr>
              <w:t>steriön digitalisointi (MITMA).</w:t>
            </w:r>
          </w:p>
        </w:tc>
      </w:tr>
      <w:tr w:rsidR="000E48CE" w14:paraId="25E71458" w14:textId="77777777">
        <w:trPr>
          <w:trHeight w:val="309"/>
        </w:trPr>
        <w:tc>
          <w:tcPr>
            <w:tcW w:w="709" w:type="dxa"/>
            <w:shd w:val="clear" w:color="auto" w:fill="C6EFCE"/>
            <w:noWrap/>
          </w:tcPr>
          <w:p w14:paraId="702436C1" w14:textId="77777777" w:rsidR="000E48CE" w:rsidRDefault="00FF4C4E">
            <w:pPr>
              <w:pStyle w:val="P68B1DB1-Normal13"/>
              <w:spacing w:after="0" w:line="240" w:lineRule="auto"/>
              <w:jc w:val="center"/>
              <w:rPr>
                <w:rFonts w:eastAsia="MS Mincho" w:cs="Times New Roman"/>
                <w:noProof/>
              </w:rPr>
            </w:pPr>
            <w:r>
              <w:rPr>
                <w:noProof/>
              </w:rPr>
              <w:t>83</w:t>
            </w:r>
          </w:p>
        </w:tc>
        <w:tc>
          <w:tcPr>
            <w:tcW w:w="851" w:type="dxa"/>
            <w:shd w:val="clear" w:color="auto" w:fill="C6EFCE"/>
            <w:noWrap/>
          </w:tcPr>
          <w:p w14:paraId="4325626B" w14:textId="77777777" w:rsidR="000E48CE" w:rsidRDefault="00FF4C4E">
            <w:pPr>
              <w:pStyle w:val="P68B1DB1-Normal13"/>
              <w:spacing w:after="0" w:line="240" w:lineRule="auto"/>
              <w:jc w:val="center"/>
              <w:rPr>
                <w:rFonts w:eastAsia="MS Mincho" w:cs="Times New Roman"/>
                <w:noProof/>
              </w:rPr>
            </w:pPr>
            <w:r>
              <w:rPr>
                <w:noProof/>
              </w:rPr>
              <w:t>C6.R1</w:t>
            </w:r>
          </w:p>
        </w:tc>
        <w:tc>
          <w:tcPr>
            <w:tcW w:w="850" w:type="dxa"/>
            <w:shd w:val="clear" w:color="auto" w:fill="C6EFCE"/>
            <w:noWrap/>
          </w:tcPr>
          <w:p w14:paraId="2C576514" w14:textId="77777777" w:rsidR="000E48CE" w:rsidRDefault="00FF4C4E">
            <w:pPr>
              <w:pStyle w:val="P68B1DB1-Normal13"/>
              <w:spacing w:after="0" w:line="240" w:lineRule="auto"/>
              <w:jc w:val="center"/>
              <w:rPr>
                <w:rFonts w:eastAsia="MS Mincho" w:cs="Times New Roman"/>
                <w:noProof/>
              </w:rPr>
            </w:pPr>
            <w:r>
              <w:rPr>
                <w:noProof/>
              </w:rPr>
              <w:t>M</w:t>
            </w:r>
          </w:p>
        </w:tc>
        <w:tc>
          <w:tcPr>
            <w:tcW w:w="1560" w:type="dxa"/>
            <w:shd w:val="clear" w:color="auto" w:fill="C6EFCE"/>
            <w:noWrap/>
          </w:tcPr>
          <w:p w14:paraId="4598375C" w14:textId="77777777" w:rsidR="000E48CE" w:rsidRDefault="00FF4C4E">
            <w:pPr>
              <w:pStyle w:val="P68B1DB1-Normal13"/>
              <w:spacing w:after="0" w:line="240" w:lineRule="auto"/>
              <w:rPr>
                <w:rFonts w:eastAsia="MS Mincho" w:cs="Times New Roman"/>
                <w:noProof/>
              </w:rPr>
            </w:pPr>
            <w:r>
              <w:rPr>
                <w:noProof/>
              </w:rPr>
              <w:t xml:space="preserve">Kestävän, turvallisen ja verkotetun liikkuvuuden strategia (hyväksyntä) </w:t>
            </w:r>
          </w:p>
        </w:tc>
        <w:tc>
          <w:tcPr>
            <w:tcW w:w="1134" w:type="dxa"/>
            <w:shd w:val="clear" w:color="auto" w:fill="C6EFCE"/>
            <w:noWrap/>
          </w:tcPr>
          <w:p w14:paraId="3A6DB7E6" w14:textId="77777777" w:rsidR="000E48CE" w:rsidRDefault="00FF4C4E">
            <w:pPr>
              <w:pStyle w:val="P68B1DB1-Normal13"/>
              <w:spacing w:after="0" w:line="240" w:lineRule="auto"/>
              <w:jc w:val="center"/>
              <w:rPr>
                <w:rFonts w:eastAsia="MS Mincho" w:cs="Times New Roman"/>
                <w:noProof/>
              </w:rPr>
            </w:pPr>
            <w:r>
              <w:rPr>
                <w:noProof/>
              </w:rPr>
              <w:t>Ministerineuvoston hyväksyntä:</w:t>
            </w:r>
          </w:p>
        </w:tc>
        <w:tc>
          <w:tcPr>
            <w:tcW w:w="850" w:type="dxa"/>
            <w:shd w:val="clear" w:color="auto" w:fill="C6EFCE"/>
            <w:noWrap/>
          </w:tcPr>
          <w:p w14:paraId="7DE13593"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6EBA70B7" w14:textId="77777777" w:rsidR="000E48CE" w:rsidRDefault="00FF4C4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3F2CD050"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1B8E0E01"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62DDAFF6" w14:textId="77777777" w:rsidR="000E48CE" w:rsidRDefault="00FF4C4E">
            <w:pPr>
              <w:pStyle w:val="P68B1DB1-Normal13"/>
              <w:spacing w:after="0" w:line="240" w:lineRule="auto"/>
              <w:jc w:val="center"/>
              <w:rPr>
                <w:rFonts w:eastAsia="Calibri" w:cs="Times New Roman"/>
                <w:noProof/>
              </w:rPr>
            </w:pPr>
            <w:r>
              <w:rPr>
                <w:noProof/>
              </w:rPr>
              <w:t>2021</w:t>
            </w:r>
          </w:p>
        </w:tc>
        <w:tc>
          <w:tcPr>
            <w:tcW w:w="6066" w:type="dxa"/>
            <w:shd w:val="clear" w:color="auto" w:fill="C6EFCE"/>
            <w:noWrap/>
          </w:tcPr>
          <w:p w14:paraId="65F89C6C" w14:textId="77777777" w:rsidR="000E48CE" w:rsidRDefault="00FF4C4E">
            <w:pPr>
              <w:pStyle w:val="P68B1DB1-Normal13"/>
              <w:spacing w:after="0" w:line="240" w:lineRule="auto"/>
              <w:rPr>
                <w:rFonts w:eastAsia="Calibri" w:cs="Times New Roman"/>
                <w:noProof/>
              </w:rPr>
            </w:pPr>
            <w:r>
              <w:rPr>
                <w:noProof/>
              </w:rPr>
              <w:t>Ministerineuvoston hyväksyntä strategialle, joka koskee toimia seuraavilla yhdeksällä alalla:</w:t>
            </w:r>
            <w:r>
              <w:rPr>
                <w:noProof/>
              </w:rPr>
              <w:br/>
            </w:r>
            <w:r>
              <w:rPr>
                <w:noProof/>
              </w:rPr>
              <w:t>1) liikkuvuus kaikille (tavoitteena varmistaa yleinen saavutettavuus kohtuullisin kustannuksin)</w:t>
            </w:r>
            <w:r>
              <w:rPr>
                <w:noProof/>
              </w:rPr>
              <w:br/>
              <w:t>2) Uusi investointipolitiikka (liikenneinfrastruktuurien ja -palvelujen riittävän rahoituksen varmistamiseksi)</w:t>
            </w:r>
            <w:r>
              <w:rPr>
                <w:noProof/>
              </w:rPr>
              <w:br/>
              <w:t>Turvallinen liikkuvuus (seurantaan, ylläpitoon ja</w:t>
            </w:r>
            <w:r>
              <w:rPr>
                <w:noProof/>
              </w:rPr>
              <w:t xml:space="preserve"> kyberturvallisuuteen tehtävien investointien priorisointi);</w:t>
            </w:r>
            <w:r>
              <w:rPr>
                <w:noProof/>
              </w:rPr>
              <w:br/>
              <w:t>Vähäpäästöinen liikkuvuus (tehokkuuden lisääminen, energiankulutuksen vähentäminen)</w:t>
            </w:r>
            <w:r>
              <w:rPr>
                <w:noProof/>
              </w:rPr>
              <w:br/>
              <w:t>5) Älykäs liikkuvuus (tehokkaasti T &amp; K-toiminta ja liikkuvuusinnovointi, älykkään infrastruktuurin rakentamine</w:t>
            </w:r>
            <w:r>
              <w:rPr>
                <w:noProof/>
              </w:rPr>
              <w:t>n ja hallinnointi);</w:t>
            </w:r>
            <w:r>
              <w:rPr>
                <w:noProof/>
              </w:rPr>
              <w:br/>
              <w:t>Älykkäät intermodaaliset logistiikkaketjut (rautatieliikenteen priorisointi julkisissa ja yksityisissä ohjelmissa);</w:t>
            </w:r>
            <w:r>
              <w:rPr>
                <w:noProof/>
              </w:rPr>
              <w:br/>
              <w:t>Euroopan yhteydet ja yhteydet maailmaan (satamien liittäminen intermodaalisiin logistiikkaterminaaleihin ja yhteistyön t</w:t>
            </w:r>
            <w:r>
              <w:rPr>
                <w:noProof/>
              </w:rPr>
              <w:t>ehostaminen naapurimaiden kanssa rajat ylittävien infrastruktuurien rakentamisen ja/tai parantamisen koordinoimiseksi);</w:t>
            </w:r>
            <w:r>
              <w:rPr>
                <w:noProof/>
              </w:rPr>
              <w:br/>
              <w:t>8) Sosiaaliset ja työvoimaan liittyvät näkökohdat (sukupuolten välinen tasapaino sekä liikennealan työvoiman uudelleen- ja täydennyskoul</w:t>
            </w:r>
            <w:r>
              <w:rPr>
                <w:noProof/>
              </w:rPr>
              <w:t>utustoimet);</w:t>
            </w:r>
            <w:r>
              <w:rPr>
                <w:noProof/>
              </w:rPr>
              <w:br/>
              <w:t>9) Liikenneministeriön digitalisointi MITMA:ssa.</w:t>
            </w:r>
          </w:p>
        </w:tc>
      </w:tr>
      <w:tr w:rsidR="000E48CE" w14:paraId="7D05ACBB" w14:textId="77777777">
        <w:trPr>
          <w:trHeight w:val="309"/>
        </w:trPr>
        <w:tc>
          <w:tcPr>
            <w:tcW w:w="709" w:type="dxa"/>
            <w:shd w:val="clear" w:color="auto" w:fill="C6EFCE"/>
            <w:noWrap/>
          </w:tcPr>
          <w:p w14:paraId="31B2963F" w14:textId="77777777" w:rsidR="000E48CE" w:rsidRDefault="00FF4C4E">
            <w:pPr>
              <w:pStyle w:val="P68B1DB1-Normal13"/>
              <w:spacing w:after="0" w:line="240" w:lineRule="auto"/>
              <w:jc w:val="center"/>
              <w:rPr>
                <w:rFonts w:eastAsia="Calibri" w:cs="Times New Roman"/>
                <w:noProof/>
              </w:rPr>
            </w:pPr>
            <w:r>
              <w:rPr>
                <w:noProof/>
              </w:rPr>
              <w:t>84</w:t>
            </w:r>
          </w:p>
        </w:tc>
        <w:tc>
          <w:tcPr>
            <w:tcW w:w="851" w:type="dxa"/>
            <w:shd w:val="clear" w:color="auto" w:fill="C6EFCE"/>
            <w:noWrap/>
          </w:tcPr>
          <w:p w14:paraId="7C599BFA" w14:textId="77777777" w:rsidR="000E48CE" w:rsidRDefault="00FF4C4E">
            <w:pPr>
              <w:pStyle w:val="P68B1DB1-Normal13"/>
              <w:spacing w:after="0" w:line="240" w:lineRule="auto"/>
              <w:jc w:val="center"/>
              <w:rPr>
                <w:rFonts w:eastAsia="Calibri" w:cs="Times New Roman"/>
                <w:noProof/>
              </w:rPr>
            </w:pPr>
            <w:r>
              <w:rPr>
                <w:noProof/>
              </w:rPr>
              <w:t>C6.R2</w:t>
            </w:r>
          </w:p>
        </w:tc>
        <w:tc>
          <w:tcPr>
            <w:tcW w:w="850" w:type="dxa"/>
            <w:shd w:val="clear" w:color="auto" w:fill="C6EFCE"/>
            <w:noWrap/>
          </w:tcPr>
          <w:p w14:paraId="696A3350"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038B2FB2" w14:textId="77777777" w:rsidR="000E48CE" w:rsidRDefault="00FF4C4E">
            <w:pPr>
              <w:pStyle w:val="P68B1DB1-Normal13"/>
              <w:spacing w:after="0" w:line="240" w:lineRule="auto"/>
              <w:rPr>
                <w:rFonts w:eastAsia="Calibri" w:cs="Times New Roman"/>
                <w:noProof/>
              </w:rPr>
            </w:pPr>
            <w:r>
              <w:rPr>
                <w:noProof/>
              </w:rPr>
              <w:t>Suuntaa-antava rautatiestrategia</w:t>
            </w:r>
          </w:p>
        </w:tc>
        <w:tc>
          <w:tcPr>
            <w:tcW w:w="1134" w:type="dxa"/>
            <w:shd w:val="clear" w:color="auto" w:fill="C6EFCE"/>
            <w:noWrap/>
          </w:tcPr>
          <w:p w14:paraId="3DA68056" w14:textId="77777777" w:rsidR="000E48CE" w:rsidRDefault="00FF4C4E">
            <w:pPr>
              <w:pStyle w:val="P68B1DB1-Normal13"/>
              <w:spacing w:after="0" w:line="240" w:lineRule="auto"/>
              <w:jc w:val="center"/>
              <w:rPr>
                <w:rFonts w:eastAsia="Calibri" w:cs="Times New Roman"/>
                <w:noProof/>
              </w:rPr>
            </w:pPr>
            <w:r>
              <w:rPr>
                <w:noProof/>
              </w:rPr>
              <w:t>Julkaiseminen virallisessa lehdessä</w:t>
            </w:r>
          </w:p>
        </w:tc>
        <w:tc>
          <w:tcPr>
            <w:tcW w:w="850" w:type="dxa"/>
            <w:shd w:val="clear" w:color="auto" w:fill="C6EFCE"/>
            <w:noWrap/>
          </w:tcPr>
          <w:p w14:paraId="72121151"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2D65AFA"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09845CEA"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47A1A93F"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10646892" w14:textId="77777777" w:rsidR="000E48CE" w:rsidRDefault="00FF4C4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755A0E16" w14:textId="77777777" w:rsidR="000E48CE" w:rsidRDefault="00FF4C4E">
            <w:pPr>
              <w:pStyle w:val="P68B1DB1-Normal13"/>
              <w:spacing w:after="0" w:line="240" w:lineRule="auto"/>
              <w:rPr>
                <w:rFonts w:eastAsia="Calibri" w:cs="Times New Roman"/>
                <w:noProof/>
              </w:rPr>
            </w:pPr>
            <w:r>
              <w:rPr>
                <w:noProof/>
              </w:rPr>
              <w:t xml:space="preserve">Suuntaa-antavan rautatiestrategian hyväksymispäätöslauselman julkaiseminen Euroopan unionin virallisessa lehdessä, joka sisältää toimia seuraavilla aloilla: </w:t>
            </w:r>
            <w:r>
              <w:rPr>
                <w:noProof/>
              </w:rPr>
              <w:br/>
              <w:t>laaditaan selkeämpi suunnitelma rautatiealan toimista, jotka on suunnattu erityisesti jokapäiväise</w:t>
            </w:r>
            <w:r>
              <w:rPr>
                <w:noProof/>
              </w:rPr>
              <w:t xml:space="preserve">en liikkuvuuteen; </w:t>
            </w:r>
            <w:r>
              <w:rPr>
                <w:noProof/>
              </w:rPr>
              <w:br/>
              <w:t xml:space="preserve">verkon ylläpidon parantaminen; </w:t>
            </w:r>
            <w:r>
              <w:rPr>
                <w:noProof/>
              </w:rPr>
              <w:br/>
              <w:t xml:space="preserve">varmistetaan rautatieverkon taloudellinen kestävyys; </w:t>
            </w:r>
            <w:r>
              <w:rPr>
                <w:noProof/>
              </w:rPr>
              <w:br/>
              <w:t xml:space="preserve">priorisoidaan resurssitehokkuus ja tehdään investointihankkeiden ennakko- ja jälkiarviointi; </w:t>
            </w:r>
            <w:r>
              <w:rPr>
                <w:noProof/>
              </w:rPr>
              <w:br/>
              <w:t>verkon yhteentoimivuuden parantaminen erityisesti Euroopa</w:t>
            </w:r>
            <w:r>
              <w:rPr>
                <w:noProof/>
              </w:rPr>
              <w:t xml:space="preserve">n laajuisten verkkokäytävien osalta ja verkon intermodaalisuuden parantaminen; </w:t>
            </w:r>
            <w:r>
              <w:rPr>
                <w:noProof/>
              </w:rPr>
              <w:br/>
              <w:t xml:space="preserve">rautateiden tavaraliikenteen edistäminen; </w:t>
            </w:r>
            <w:r>
              <w:rPr>
                <w:noProof/>
              </w:rPr>
              <w:br/>
              <w:t xml:space="preserve">rautatieliikenteen turvallisuuden parantaminen; </w:t>
            </w:r>
            <w:r>
              <w:rPr>
                <w:noProof/>
              </w:rPr>
              <w:br/>
              <w:t>edistetään liikenteen digitalisaatiota ja innovointia verkotetun liikkuvuuden varmis</w:t>
            </w:r>
            <w:r>
              <w:rPr>
                <w:noProof/>
              </w:rPr>
              <w:t>tamiseksi.</w:t>
            </w:r>
            <w:r>
              <w:rPr>
                <w:noProof/>
              </w:rPr>
              <w:br/>
              <w:t>Varmistettava kaikkien ”ohjeelliseen rautatiestrategiaan” sisältyvien toimien osalta, että ympäristövaikutusten arvioinnista annetun lain 21/2013 ja lain 21/2013 muuttamisesta 5 päivänä joulukuuta 2018 annetun lain 9/2018 säännökset täyttyvät, j</w:t>
            </w:r>
            <w:r>
              <w:rPr>
                <w:noProof/>
              </w:rPr>
              <w:t>a toteutettava tarvittavat ympäristövaikutusten arvioinnin mukaiset lieventämistoimet.</w:t>
            </w:r>
          </w:p>
        </w:tc>
      </w:tr>
      <w:tr w:rsidR="000E48CE" w14:paraId="0AFEE561" w14:textId="77777777">
        <w:trPr>
          <w:trHeight w:val="309"/>
        </w:trPr>
        <w:tc>
          <w:tcPr>
            <w:tcW w:w="709" w:type="dxa"/>
            <w:shd w:val="clear" w:color="auto" w:fill="C6EFCE"/>
            <w:noWrap/>
          </w:tcPr>
          <w:p w14:paraId="663C344E" w14:textId="0BCEE8DD" w:rsidR="000E48CE" w:rsidRDefault="00FF4C4E">
            <w:pPr>
              <w:pStyle w:val="P68B1DB1-Normal13"/>
              <w:spacing w:after="0" w:line="240" w:lineRule="auto"/>
              <w:jc w:val="center"/>
              <w:rPr>
                <w:rFonts w:eastAsia="Calibri" w:cs="Times New Roman"/>
                <w:noProof/>
              </w:rPr>
            </w:pPr>
            <w:r>
              <w:rPr>
                <w:noProof/>
              </w:rPr>
              <w:t>85</w:t>
            </w:r>
          </w:p>
        </w:tc>
        <w:tc>
          <w:tcPr>
            <w:tcW w:w="851" w:type="dxa"/>
            <w:shd w:val="clear" w:color="auto" w:fill="C6EFCE"/>
            <w:noWrap/>
          </w:tcPr>
          <w:p w14:paraId="0F519D59" w14:textId="77777777" w:rsidR="000E48CE" w:rsidRDefault="00FF4C4E">
            <w:pPr>
              <w:pStyle w:val="P68B1DB1-Normal13"/>
              <w:spacing w:after="0" w:line="240" w:lineRule="auto"/>
              <w:jc w:val="center"/>
              <w:rPr>
                <w:rFonts w:eastAsia="Calibri" w:cs="Times New Roman"/>
                <w:noProof/>
              </w:rPr>
            </w:pPr>
            <w:r>
              <w:rPr>
                <w:noProof/>
              </w:rPr>
              <w:t>C6.I1</w:t>
            </w:r>
          </w:p>
        </w:tc>
        <w:tc>
          <w:tcPr>
            <w:tcW w:w="850" w:type="dxa"/>
            <w:shd w:val="clear" w:color="auto" w:fill="C6EFCE"/>
            <w:noWrap/>
          </w:tcPr>
          <w:p w14:paraId="5BB7AFFC"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6FDBCDCA" w14:textId="77777777" w:rsidR="000E48CE" w:rsidRDefault="00FF4C4E">
            <w:pPr>
              <w:pStyle w:val="P68B1DB1-Normal13"/>
              <w:spacing w:after="0" w:line="240" w:lineRule="auto"/>
              <w:rPr>
                <w:rFonts w:eastAsia="Calibri" w:cs="Times New Roman"/>
                <w:noProof/>
              </w:rPr>
            </w:pPr>
            <w:r>
              <w:rPr>
                <w:noProof/>
              </w:rPr>
              <w:t>TEN-T-ydinverkko: hankkeiden myöntäminen</w:t>
            </w:r>
          </w:p>
        </w:tc>
        <w:tc>
          <w:tcPr>
            <w:tcW w:w="1134" w:type="dxa"/>
            <w:shd w:val="clear" w:color="auto" w:fill="C6EFCE"/>
            <w:noWrap/>
          </w:tcPr>
          <w:p w14:paraId="576BD3EB" w14:textId="77777777" w:rsidR="000E48CE" w:rsidRDefault="00FF4C4E">
            <w:pPr>
              <w:pStyle w:val="P68B1DB1-Normal13"/>
              <w:spacing w:after="0" w:line="240" w:lineRule="auto"/>
              <w:jc w:val="center"/>
              <w:rPr>
                <w:rFonts w:eastAsia="Calibri" w:cs="Times New Roman"/>
                <w:noProof/>
              </w:rPr>
            </w:pPr>
            <w:r>
              <w:rPr>
                <w:noProof/>
              </w:rPr>
              <w:t>Virallinen ilmoitus hankkeen myöntämisestä—</w:t>
            </w:r>
          </w:p>
        </w:tc>
        <w:tc>
          <w:tcPr>
            <w:tcW w:w="850" w:type="dxa"/>
            <w:shd w:val="clear" w:color="auto" w:fill="C6EFCE"/>
            <w:noWrap/>
          </w:tcPr>
          <w:p w14:paraId="3E40803B" w14:textId="77777777" w:rsidR="000E48CE" w:rsidRDefault="00FF4C4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3AA4ADE7"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ADD6AFE" w14:textId="77777777" w:rsidR="000E48CE" w:rsidRDefault="00FF4C4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0BD78B8F"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1C646597" w14:textId="77777777" w:rsidR="000E48CE" w:rsidRDefault="00FF4C4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72DDA19B" w14:textId="0E4DDD44" w:rsidR="000E48CE" w:rsidRDefault="00FF4C4E">
            <w:pPr>
              <w:pStyle w:val="P68B1DB1-Normal8"/>
              <w:spacing w:after="0" w:line="240" w:lineRule="auto"/>
              <w:rPr>
                <w:rFonts w:cs="Times New Roman"/>
                <w:noProof/>
                <w:sz w:val="18"/>
              </w:rPr>
            </w:pPr>
            <w:r>
              <w:rPr>
                <w:noProof/>
                <w:sz w:val="18"/>
              </w:rPr>
              <w:t xml:space="preserve">Vähintään 1400000000 euron talousarvio, joka myönnetään TEN-T-ydinverkolle yhdellä tai useammalla seuraavista liikennekäytävistä: </w:t>
            </w:r>
            <w:r>
              <w:rPr>
                <w:noProof/>
              </w:rPr>
              <w:br/>
            </w:r>
            <w:r>
              <w:rPr>
                <w:noProof/>
                <w:sz w:val="18"/>
              </w:rPr>
              <w:t>ATLANTIN KÄYTÄVÄ</w:t>
            </w:r>
            <w:r>
              <w:rPr>
                <w:noProof/>
              </w:rPr>
              <w:br/>
              <w:t xml:space="preserve"> </w:t>
            </w:r>
            <w:r>
              <w:rPr>
                <w:noProof/>
                <w:sz w:val="18"/>
              </w:rPr>
              <w:t>• Y Vasca: Vitoria-Bilbao-San Sebastian/Astigarraga-Irun</w:t>
            </w:r>
            <w:r>
              <w:rPr>
                <w:noProof/>
              </w:rPr>
              <w:br/>
              <w:t xml:space="preserve"> </w:t>
            </w:r>
            <w:r>
              <w:rPr>
                <w:noProof/>
                <w:sz w:val="18"/>
              </w:rPr>
              <w:t>• Valladolid-Palencia-León</w:t>
            </w:r>
            <w:r>
              <w:rPr>
                <w:noProof/>
              </w:rPr>
              <w:br/>
              <w:t xml:space="preserve"> </w:t>
            </w:r>
            <w:r>
              <w:rPr>
                <w:noProof/>
                <w:sz w:val="18"/>
              </w:rPr>
              <w:t xml:space="preserve">• León-La Robla-Pola </w:t>
            </w:r>
            <w:r>
              <w:rPr>
                <w:noProof/>
                <w:sz w:val="18"/>
              </w:rPr>
              <w:t>de Lena</w:t>
            </w:r>
            <w:r>
              <w:rPr>
                <w:noProof/>
              </w:rPr>
              <w:br/>
              <w:t xml:space="preserve"> </w:t>
            </w:r>
            <w:r>
              <w:rPr>
                <w:noProof/>
                <w:sz w:val="18"/>
              </w:rPr>
              <w:t>• Castejón-Pamplona-Logroño-Bilbao</w:t>
            </w:r>
          </w:p>
          <w:p w14:paraId="4F7E14A6" w14:textId="0C25F427" w:rsidR="000E48CE" w:rsidRPr="00996749" w:rsidRDefault="00FF4C4E">
            <w:pPr>
              <w:pStyle w:val="P68B1DB1-Normal8"/>
              <w:spacing w:after="0" w:line="240" w:lineRule="auto"/>
              <w:rPr>
                <w:rFonts w:cs="Times New Roman"/>
                <w:noProof/>
                <w:sz w:val="18"/>
                <w:lang w:val="fr-BE"/>
              </w:rPr>
            </w:pPr>
            <w:r w:rsidRPr="00996749">
              <w:rPr>
                <w:noProof/>
                <w:sz w:val="18"/>
                <w:lang w:val="fr-BE"/>
              </w:rPr>
              <w:t>• Coruña-Vigo-Ourense</w:t>
            </w:r>
            <w:r w:rsidRPr="00996749">
              <w:rPr>
                <w:noProof/>
                <w:lang w:val="fr-BE"/>
              </w:rPr>
              <w:br/>
            </w:r>
            <w:r w:rsidRPr="00996749">
              <w:rPr>
                <w:noProof/>
                <w:sz w:val="18"/>
                <w:lang w:val="fr-BE"/>
              </w:rPr>
              <w:t>• Ourense-Monforte</w:t>
            </w:r>
          </w:p>
          <w:p w14:paraId="25A8B19A" w14:textId="5983C8F2" w:rsidR="000E48CE" w:rsidRPr="00996749" w:rsidRDefault="00FF4C4E">
            <w:pPr>
              <w:pStyle w:val="P68B1DB1-Normal8"/>
              <w:spacing w:after="0"/>
              <w:rPr>
                <w:rFonts w:cs="Times New Roman"/>
                <w:noProof/>
                <w:sz w:val="18"/>
                <w:lang w:val="fr-BE"/>
              </w:rPr>
            </w:pPr>
            <w:r w:rsidRPr="00996749">
              <w:rPr>
                <w:noProof/>
                <w:sz w:val="18"/>
                <w:lang w:val="fr-BE"/>
              </w:rPr>
              <w:t>• Monforte-León</w:t>
            </w:r>
            <w:r w:rsidRPr="00996749">
              <w:rPr>
                <w:noProof/>
                <w:lang w:val="fr-BE"/>
              </w:rPr>
              <w:br/>
            </w:r>
            <w:r w:rsidRPr="00996749">
              <w:rPr>
                <w:noProof/>
                <w:sz w:val="18"/>
                <w:lang w:val="fr-BE"/>
              </w:rPr>
              <w:t>• Talayuela-Plasencia-Cáceres-Mérida-Badajoz</w:t>
            </w:r>
          </w:p>
          <w:p w14:paraId="1C814A71" w14:textId="3719664A" w:rsidR="000E48CE" w:rsidRDefault="00FF4C4E">
            <w:pPr>
              <w:pStyle w:val="P68B1DB1-Normal13"/>
              <w:spacing w:after="0"/>
              <w:jc w:val="both"/>
              <w:rPr>
                <w:rFonts w:cs="Times New Roman"/>
                <w:noProof/>
              </w:rPr>
            </w:pPr>
            <w:r>
              <w:rPr>
                <w:noProof/>
              </w:rPr>
              <w:t xml:space="preserve">• Talayuela-Madrid-Valladolid-Vitoria </w:t>
            </w:r>
          </w:p>
          <w:p w14:paraId="2711880D" w14:textId="45762D7F" w:rsidR="000E48CE" w:rsidRDefault="00FF4C4E">
            <w:pPr>
              <w:pStyle w:val="P68B1DB1-Normal13"/>
              <w:spacing w:after="0"/>
              <w:jc w:val="both"/>
              <w:rPr>
                <w:rFonts w:cs="Times New Roman"/>
                <w:noProof/>
              </w:rPr>
            </w:pPr>
            <w:r>
              <w:rPr>
                <w:noProof/>
              </w:rPr>
              <w:t>• Sevilla-Huelva</w:t>
            </w:r>
          </w:p>
          <w:p w14:paraId="7E352252" w14:textId="45762D7F" w:rsidR="000E48CE" w:rsidRDefault="00FF4C4E">
            <w:pPr>
              <w:pStyle w:val="P68B1DB1-Normal8"/>
              <w:spacing w:after="0" w:line="240" w:lineRule="auto"/>
              <w:rPr>
                <w:rFonts w:cs="Times New Roman"/>
                <w:noProof/>
                <w:sz w:val="18"/>
              </w:rPr>
            </w:pPr>
            <w:r>
              <w:rPr>
                <w:noProof/>
              </w:rPr>
              <w:br/>
            </w:r>
            <w:r>
              <w:rPr>
                <w:noProof/>
                <w:sz w:val="18"/>
              </w:rPr>
              <w:t>VÄLIMEREN KÄYTÄVÄ:</w:t>
            </w:r>
            <w:r>
              <w:rPr>
                <w:noProof/>
              </w:rPr>
              <w:br/>
            </w:r>
            <w:r>
              <w:rPr>
                <w:noProof/>
                <w:sz w:val="18"/>
              </w:rPr>
              <w:t>• Madrid-Zaragoza-Tarragona</w:t>
            </w:r>
          </w:p>
          <w:p w14:paraId="324E204A" w14:textId="45762D7F" w:rsidR="000E48CE" w:rsidRDefault="000E48CE">
            <w:pPr>
              <w:spacing w:after="0" w:line="240" w:lineRule="auto"/>
              <w:rPr>
                <w:rFonts w:ascii="Times New Roman" w:hAnsi="Times New Roman" w:cs="Times New Roman"/>
                <w:noProof/>
                <w:sz w:val="18"/>
              </w:rPr>
            </w:pPr>
          </w:p>
          <w:p w14:paraId="43858E69" w14:textId="45762D7F" w:rsidR="000E48CE" w:rsidRDefault="00FF4C4E">
            <w:pPr>
              <w:pStyle w:val="P68B1DB1-Normal13"/>
              <w:spacing w:after="0" w:line="240" w:lineRule="auto"/>
              <w:rPr>
                <w:rFonts w:cs="Times New Roman"/>
                <w:noProof/>
              </w:rPr>
            </w:pPr>
            <w:r>
              <w:rPr>
                <w:noProof/>
              </w:rPr>
              <w:t>• Fro</w:t>
            </w:r>
            <w:r>
              <w:rPr>
                <w:noProof/>
              </w:rPr>
              <w:t>ntera francesa-Barcelona/Tarragona-Vandellós</w:t>
            </w:r>
          </w:p>
          <w:p w14:paraId="4A5AD4EF" w14:textId="45762D7F" w:rsidR="000E48CE" w:rsidRDefault="00FF4C4E">
            <w:pPr>
              <w:pStyle w:val="P68B1DB1-Normal8"/>
              <w:spacing w:after="0" w:line="240" w:lineRule="auto"/>
              <w:rPr>
                <w:rFonts w:cs="Times New Roman"/>
                <w:noProof/>
                <w:sz w:val="18"/>
              </w:rPr>
            </w:pPr>
            <w:r>
              <w:rPr>
                <w:noProof/>
                <w:sz w:val="18"/>
              </w:rPr>
              <w:t>• Vandellós-Castellón</w:t>
            </w:r>
            <w:r>
              <w:rPr>
                <w:noProof/>
              </w:rPr>
              <w:br/>
            </w:r>
            <w:r>
              <w:rPr>
                <w:noProof/>
                <w:sz w:val="18"/>
              </w:rPr>
              <w:t>• Sagunto-Teruel – Zaragoza</w:t>
            </w:r>
            <w:r>
              <w:rPr>
                <w:noProof/>
              </w:rPr>
              <w:br/>
              <w:t xml:space="preserve"> </w:t>
            </w:r>
            <w:r>
              <w:rPr>
                <w:noProof/>
                <w:sz w:val="18"/>
              </w:rPr>
              <w:t>• Zaragoza-Tarragona</w:t>
            </w:r>
            <w:r>
              <w:rPr>
                <w:noProof/>
              </w:rPr>
              <w:br/>
              <w:t xml:space="preserve"> </w:t>
            </w:r>
            <w:r>
              <w:rPr>
                <w:noProof/>
                <w:sz w:val="18"/>
              </w:rPr>
              <w:t>• Castellón-Valencia-La Encina-Alicante</w:t>
            </w:r>
          </w:p>
          <w:p w14:paraId="7246D609" w14:textId="7888A4DB" w:rsidR="000E48CE" w:rsidRDefault="00FF4C4E">
            <w:pPr>
              <w:pStyle w:val="P68B1DB1-Normal8"/>
              <w:spacing w:after="0"/>
              <w:rPr>
                <w:rFonts w:cs="Times New Roman"/>
                <w:noProof/>
                <w:sz w:val="18"/>
              </w:rPr>
            </w:pPr>
            <w:r>
              <w:rPr>
                <w:noProof/>
                <w:sz w:val="18"/>
              </w:rPr>
              <w:t>• Alcázar de San Juan-La Encina</w:t>
            </w:r>
            <w:r>
              <w:rPr>
                <w:noProof/>
              </w:rPr>
              <w:br/>
            </w:r>
            <w:r>
              <w:rPr>
                <w:noProof/>
                <w:sz w:val="18"/>
              </w:rPr>
              <w:t>• Murcia-Cartagena</w:t>
            </w:r>
            <w:r>
              <w:rPr>
                <w:noProof/>
              </w:rPr>
              <w:br/>
              <w:t xml:space="preserve"> </w:t>
            </w:r>
            <w:r>
              <w:rPr>
                <w:noProof/>
                <w:sz w:val="18"/>
              </w:rPr>
              <w:t>• Murcia-Almería</w:t>
            </w:r>
          </w:p>
          <w:p w14:paraId="6D7E4E24" w14:textId="45762D7F" w:rsidR="000E48CE" w:rsidRPr="00996749" w:rsidRDefault="00FF4C4E">
            <w:pPr>
              <w:pStyle w:val="P68B1DB1-Normal13"/>
              <w:spacing w:after="0"/>
              <w:rPr>
                <w:rFonts w:cs="Times New Roman"/>
                <w:noProof/>
                <w:lang w:val="fr-BE"/>
              </w:rPr>
            </w:pPr>
            <w:r w:rsidRPr="00996749">
              <w:rPr>
                <w:noProof/>
                <w:lang w:val="fr-BE"/>
              </w:rPr>
              <w:t>• Utrera-Antequera Santa Ana</w:t>
            </w:r>
          </w:p>
          <w:p w14:paraId="2188A029" w14:textId="45762D7F" w:rsidR="000E48CE" w:rsidRPr="00996749" w:rsidRDefault="00FF4C4E">
            <w:pPr>
              <w:pStyle w:val="P68B1DB1-Normal13"/>
              <w:spacing w:after="0"/>
              <w:jc w:val="both"/>
              <w:rPr>
                <w:rFonts w:cs="Times New Roman"/>
                <w:noProof/>
                <w:lang w:val="fr-BE"/>
              </w:rPr>
            </w:pPr>
            <w:r w:rsidRPr="00996749">
              <w:rPr>
                <w:noProof/>
                <w:lang w:val="fr-BE"/>
              </w:rPr>
              <w:t>• Madrid-Valencia</w:t>
            </w:r>
          </w:p>
          <w:p w14:paraId="5EB1FC24" w14:textId="5C2E2EAD" w:rsidR="000E48CE" w:rsidRDefault="00FF4C4E">
            <w:pPr>
              <w:pStyle w:val="P68B1DB1-Normal8"/>
              <w:spacing w:after="0" w:line="240" w:lineRule="auto"/>
              <w:rPr>
                <w:rFonts w:cs="Times New Roman"/>
                <w:noProof/>
                <w:sz w:val="18"/>
              </w:rPr>
            </w:pPr>
            <w:r w:rsidRPr="00996749">
              <w:rPr>
                <w:noProof/>
                <w:lang w:val="fi-FI"/>
              </w:rPr>
              <w:br/>
            </w:r>
            <w:r>
              <w:rPr>
                <w:noProof/>
                <w:sz w:val="18"/>
              </w:rPr>
              <w:t>YHTEINEN MOLEMMILLE LIIKENNEKÄYTÄVILLE</w:t>
            </w:r>
            <w:r>
              <w:rPr>
                <w:noProof/>
              </w:rPr>
              <w:br/>
              <w:t xml:space="preserve"> </w:t>
            </w:r>
            <w:r>
              <w:rPr>
                <w:noProof/>
                <w:sz w:val="18"/>
              </w:rPr>
              <w:t>• HSL Barcelonan ja HSL Levanten välinen yhteys</w:t>
            </w:r>
            <w:r>
              <w:rPr>
                <w:noProof/>
              </w:rPr>
              <w:br/>
              <w:t xml:space="preserve"> </w:t>
            </w:r>
            <w:r>
              <w:rPr>
                <w:noProof/>
                <w:sz w:val="18"/>
              </w:rPr>
              <w:t>• Aranjuez-Alcázar de San Juan-Manzanares-Córdoba-Algeciras</w:t>
            </w:r>
            <w:r>
              <w:rPr>
                <w:noProof/>
              </w:rPr>
              <w:br/>
              <w:t xml:space="preserve"> </w:t>
            </w:r>
            <w:r>
              <w:rPr>
                <w:noProof/>
                <w:sz w:val="18"/>
              </w:rPr>
              <w:t>• Madrid-Sevilla</w:t>
            </w:r>
            <w:r>
              <w:rPr>
                <w:noProof/>
              </w:rPr>
              <w:br/>
              <w:t xml:space="preserve"> </w:t>
            </w:r>
            <w:r>
              <w:rPr>
                <w:noProof/>
                <w:sz w:val="18"/>
              </w:rPr>
              <w:t>Töiden on sisällettävä seuraavan tyyppisiä toimia:</w:t>
            </w:r>
            <w:r>
              <w:rPr>
                <w:noProof/>
              </w:rPr>
              <w:br/>
            </w:r>
            <w:r>
              <w:rPr>
                <w:noProof/>
                <w:sz w:val="18"/>
              </w:rPr>
              <w:t xml:space="preserve">• Foorumi. Siihen </w:t>
            </w:r>
            <w:r>
              <w:rPr>
                <w:noProof/>
                <w:sz w:val="18"/>
              </w:rPr>
              <w:t>sisältyy hankkeita, joiden avulla voidaan rakentaa raiteita tukeva infrastruktuuri, johon kuuluvat mm. penkereet, raivaus, kaapelikanavat, tunnelit. Näissä hankkeissa on pääasiassa kyse uuden infrastruktuurin rakentamisesta.</w:t>
            </w:r>
            <w:r>
              <w:rPr>
                <w:noProof/>
              </w:rPr>
              <w:br/>
            </w:r>
            <w:r>
              <w:rPr>
                <w:noProof/>
                <w:sz w:val="18"/>
              </w:rPr>
              <w:t>• Palvelujen korvaaminen. Siihe</w:t>
            </w:r>
            <w:r>
              <w:rPr>
                <w:noProof/>
                <w:sz w:val="18"/>
              </w:rPr>
              <w:t>n sisältyy toimia, joilla pyritään palauttamaan olemassa olevat palvelut (kevyt, kastelu, vesi jne.), joihin rautatietöiden toteuttaminen vaikuttaa.</w:t>
            </w:r>
            <w:r>
              <w:rPr>
                <w:noProof/>
              </w:rPr>
              <w:br/>
            </w:r>
            <w:r>
              <w:rPr>
                <w:noProof/>
                <w:sz w:val="18"/>
              </w:rPr>
              <w:t>• Raiteet. Siihen sisältyy toimia, jotka koskevat raidemateriaalien (virranrajoittimet, ratapölkyt, kiskot,</w:t>
            </w:r>
            <w:r>
              <w:rPr>
                <w:noProof/>
                <w:sz w:val="18"/>
              </w:rPr>
              <w:t xml:space="preserve"> kytkimet ja laajennuslaitteet) asentamista ja toimittamista uusille rataosuuksille sekä nykyisten raiteiden uusimista.</w:t>
            </w:r>
            <w:r>
              <w:rPr>
                <w:noProof/>
              </w:rPr>
              <w:br/>
            </w:r>
            <w:r>
              <w:rPr>
                <w:noProof/>
                <w:sz w:val="18"/>
              </w:rPr>
              <w:t>• Sähkö. Siihen sisältyy ratojen sähköistämiseen tähtääviä toimia, joita ovat muun muassa seuraavat: ajojohto, vetoasemat, muuntokeskuks</w:t>
            </w:r>
            <w:r>
              <w:rPr>
                <w:noProof/>
                <w:sz w:val="18"/>
              </w:rPr>
              <w:t>et, tehokaukosäätö, suurjännitejohdot jne.</w:t>
            </w:r>
            <w:r>
              <w:rPr>
                <w:noProof/>
              </w:rPr>
              <w:br/>
              <w:t xml:space="preserve"> </w:t>
            </w:r>
            <w:r>
              <w:rPr>
                <w:noProof/>
                <w:sz w:val="18"/>
              </w:rPr>
              <w:t>• Liikennemerkinanto ja -ohjaus. Siihen sisältyy hankkeita, joiden tarkoituksena on ottaa käyttöön uusia merkinanto- ja liikenteenohjausjärjestelmiä (ERTMS jne.).</w:t>
            </w:r>
            <w:r>
              <w:rPr>
                <w:noProof/>
              </w:rPr>
              <w:br/>
            </w:r>
            <w:r>
              <w:rPr>
                <w:noProof/>
                <w:sz w:val="18"/>
              </w:rPr>
              <w:t>• Televiestintä. Sisältää hankkeet, jotka liittyvät kiinteään ja matkaviestinverkkoon rautateillä (kuten kuituoptiikka, GSM-R).</w:t>
            </w:r>
            <w:r>
              <w:rPr>
                <w:noProof/>
              </w:rPr>
              <w:br/>
              <w:t xml:space="preserve"> </w:t>
            </w:r>
            <w:r>
              <w:rPr>
                <w:noProof/>
                <w:sz w:val="18"/>
              </w:rPr>
              <w:t>• Asemat. Siihen sisältyy olemassa olevien asemien parantaminen ja kunnostaminen sekä uusien asemien rakentaminen.</w:t>
            </w:r>
          </w:p>
        </w:tc>
      </w:tr>
      <w:tr w:rsidR="000E48CE" w14:paraId="79F038B6" w14:textId="77777777">
        <w:trPr>
          <w:trHeight w:val="309"/>
        </w:trPr>
        <w:tc>
          <w:tcPr>
            <w:tcW w:w="709" w:type="dxa"/>
            <w:shd w:val="clear" w:color="auto" w:fill="C6EFCE"/>
            <w:noWrap/>
          </w:tcPr>
          <w:p w14:paraId="4894D1EF" w14:textId="77777777" w:rsidR="000E48CE" w:rsidRDefault="00FF4C4E">
            <w:pPr>
              <w:pStyle w:val="P68B1DB1-Normal13"/>
              <w:spacing w:after="0" w:line="240" w:lineRule="auto"/>
              <w:jc w:val="center"/>
              <w:rPr>
                <w:rFonts w:cs="Times New Roman"/>
                <w:noProof/>
              </w:rPr>
            </w:pPr>
            <w:r>
              <w:rPr>
                <w:noProof/>
              </w:rPr>
              <w:t>86</w:t>
            </w:r>
          </w:p>
        </w:tc>
        <w:tc>
          <w:tcPr>
            <w:tcW w:w="851" w:type="dxa"/>
            <w:shd w:val="clear" w:color="auto" w:fill="C6EFCE"/>
            <w:noWrap/>
          </w:tcPr>
          <w:p w14:paraId="6E297F68" w14:textId="77777777" w:rsidR="000E48CE" w:rsidRDefault="00FF4C4E">
            <w:pPr>
              <w:pStyle w:val="P68B1DB1-Normal13"/>
              <w:spacing w:after="0" w:line="240" w:lineRule="auto"/>
              <w:jc w:val="center"/>
              <w:rPr>
                <w:rFonts w:cs="Times New Roman"/>
                <w:noProof/>
              </w:rPr>
            </w:pPr>
            <w:r>
              <w:rPr>
                <w:noProof/>
              </w:rPr>
              <w:t>C6.I1</w:t>
            </w:r>
          </w:p>
        </w:tc>
        <w:tc>
          <w:tcPr>
            <w:tcW w:w="850" w:type="dxa"/>
            <w:shd w:val="clear" w:color="auto" w:fill="C6EFCE"/>
            <w:noWrap/>
          </w:tcPr>
          <w:p w14:paraId="5CEACC07" w14:textId="77777777" w:rsidR="000E48CE" w:rsidRDefault="00FF4C4E">
            <w:pPr>
              <w:pStyle w:val="P68B1DB1-Normal13"/>
              <w:spacing w:after="0" w:line="240" w:lineRule="auto"/>
              <w:jc w:val="center"/>
              <w:rPr>
                <w:rFonts w:cs="Times New Roman"/>
                <w:noProof/>
              </w:rPr>
            </w:pPr>
            <w:r>
              <w:rPr>
                <w:noProof/>
              </w:rPr>
              <w:t>T</w:t>
            </w:r>
          </w:p>
        </w:tc>
        <w:tc>
          <w:tcPr>
            <w:tcW w:w="1560" w:type="dxa"/>
            <w:shd w:val="clear" w:color="auto" w:fill="C6EFCE"/>
            <w:noWrap/>
          </w:tcPr>
          <w:p w14:paraId="73D30899" w14:textId="77777777" w:rsidR="000E48CE" w:rsidRDefault="00FF4C4E">
            <w:pPr>
              <w:pStyle w:val="P68B1DB1-Normal13"/>
              <w:spacing w:after="0" w:line="240" w:lineRule="auto"/>
              <w:rPr>
                <w:rFonts w:cs="Times New Roman"/>
                <w:noProof/>
              </w:rPr>
            </w:pPr>
            <w:r>
              <w:rPr>
                <w:noProof/>
              </w:rPr>
              <w:t xml:space="preserve">TEN-T-ydinverkko: työskentelyn edistyminen </w:t>
            </w:r>
          </w:p>
        </w:tc>
        <w:tc>
          <w:tcPr>
            <w:tcW w:w="1134" w:type="dxa"/>
            <w:shd w:val="clear" w:color="auto" w:fill="C6EFCE"/>
            <w:noWrap/>
          </w:tcPr>
          <w:p w14:paraId="6A09E912"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3E935E90" w14:textId="77777777" w:rsidR="000E48CE" w:rsidRDefault="00FF4C4E">
            <w:pPr>
              <w:pStyle w:val="P68B1DB1-Normal13"/>
              <w:spacing w:after="0" w:line="240" w:lineRule="auto"/>
              <w:jc w:val="center"/>
              <w:rPr>
                <w:rFonts w:cs="Times New Roman"/>
                <w:noProof/>
              </w:rPr>
            </w:pPr>
            <w:r>
              <w:rPr>
                <w:noProof/>
              </w:rPr>
              <w:t>Lukumäärä (km)</w:t>
            </w:r>
          </w:p>
        </w:tc>
        <w:tc>
          <w:tcPr>
            <w:tcW w:w="567" w:type="dxa"/>
            <w:shd w:val="clear" w:color="auto" w:fill="C6EFCE"/>
            <w:noWrap/>
          </w:tcPr>
          <w:p w14:paraId="674C0320"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14BEB24D" w14:textId="77777777" w:rsidR="000E48CE" w:rsidRDefault="00FF4C4E">
            <w:pPr>
              <w:pStyle w:val="P68B1DB1-Normal13"/>
              <w:spacing w:after="0" w:line="240" w:lineRule="auto"/>
              <w:jc w:val="right"/>
              <w:rPr>
                <w:rFonts w:cs="Times New Roman"/>
                <w:noProof/>
              </w:rPr>
            </w:pPr>
            <w:r>
              <w:rPr>
                <w:noProof/>
              </w:rPr>
              <w:t>335</w:t>
            </w:r>
          </w:p>
        </w:tc>
        <w:tc>
          <w:tcPr>
            <w:tcW w:w="425" w:type="dxa"/>
            <w:shd w:val="clear" w:color="auto" w:fill="C6EFCE"/>
            <w:noWrap/>
          </w:tcPr>
          <w:p w14:paraId="0171B95B"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665BC6A2" w14:textId="77777777" w:rsidR="000E48CE" w:rsidRDefault="00FF4C4E">
            <w:pPr>
              <w:pStyle w:val="P68B1DB1-Normal13"/>
              <w:spacing w:after="0" w:line="240" w:lineRule="auto"/>
              <w:jc w:val="center"/>
              <w:rPr>
                <w:rFonts w:cs="Times New Roman"/>
                <w:noProof/>
              </w:rPr>
            </w:pPr>
            <w:r>
              <w:rPr>
                <w:noProof/>
              </w:rPr>
              <w:t>2024</w:t>
            </w:r>
          </w:p>
        </w:tc>
        <w:tc>
          <w:tcPr>
            <w:tcW w:w="6066" w:type="dxa"/>
            <w:shd w:val="clear" w:color="auto" w:fill="C6EFCE"/>
            <w:noWrap/>
          </w:tcPr>
          <w:p w14:paraId="3DD4BD97" w14:textId="77777777" w:rsidR="000E48CE" w:rsidRDefault="00FF4C4E">
            <w:pPr>
              <w:pStyle w:val="P68B1DB1-Normal13"/>
              <w:spacing w:after="0" w:line="240" w:lineRule="auto"/>
              <w:rPr>
                <w:rFonts w:cs="Times New Roman"/>
                <w:noProof/>
              </w:rPr>
            </w:pPr>
            <w:r>
              <w:rPr>
                <w:noProof/>
              </w:rPr>
              <w:t xml:space="preserve">Vähintään 335 kilometriä valmistuneista töistä TEN-T-ydinverkossa käytävillä ja vuoden 2022 viimeisen neljänneksen tavoitteessa nro #85 määritellyt ominaisuudet </w:t>
            </w:r>
          </w:p>
        </w:tc>
      </w:tr>
      <w:tr w:rsidR="000E48CE" w14:paraId="33F640E8" w14:textId="77777777">
        <w:trPr>
          <w:trHeight w:val="309"/>
        </w:trPr>
        <w:tc>
          <w:tcPr>
            <w:tcW w:w="709" w:type="dxa"/>
            <w:shd w:val="clear" w:color="auto" w:fill="C6EFCE"/>
            <w:noWrap/>
          </w:tcPr>
          <w:p w14:paraId="67DDB69B" w14:textId="77777777" w:rsidR="000E48CE" w:rsidRDefault="00FF4C4E">
            <w:pPr>
              <w:pStyle w:val="P68B1DB1-Normal13"/>
              <w:spacing w:after="0" w:line="240" w:lineRule="auto"/>
              <w:jc w:val="center"/>
              <w:rPr>
                <w:rFonts w:eastAsia="Calibri" w:cs="Times New Roman"/>
                <w:noProof/>
              </w:rPr>
            </w:pPr>
            <w:r>
              <w:rPr>
                <w:noProof/>
              </w:rPr>
              <w:t>87</w:t>
            </w:r>
          </w:p>
        </w:tc>
        <w:tc>
          <w:tcPr>
            <w:tcW w:w="851" w:type="dxa"/>
            <w:shd w:val="clear" w:color="auto" w:fill="C6EFCE"/>
            <w:noWrap/>
          </w:tcPr>
          <w:p w14:paraId="1322D1FC" w14:textId="77777777" w:rsidR="000E48CE" w:rsidRDefault="00FF4C4E">
            <w:pPr>
              <w:pStyle w:val="P68B1DB1-Normal13"/>
              <w:spacing w:after="0" w:line="240" w:lineRule="auto"/>
              <w:jc w:val="center"/>
              <w:rPr>
                <w:rFonts w:eastAsia="Calibri" w:cs="Times New Roman"/>
                <w:noProof/>
              </w:rPr>
            </w:pPr>
            <w:r>
              <w:rPr>
                <w:noProof/>
              </w:rPr>
              <w:t>C6.I1</w:t>
            </w:r>
          </w:p>
        </w:tc>
        <w:tc>
          <w:tcPr>
            <w:tcW w:w="850" w:type="dxa"/>
            <w:shd w:val="clear" w:color="auto" w:fill="C6EFCE"/>
            <w:noWrap/>
          </w:tcPr>
          <w:p w14:paraId="3C81BE46" w14:textId="77777777" w:rsidR="000E48CE" w:rsidRDefault="00FF4C4E">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70B957AF" w14:textId="77777777" w:rsidR="000E48CE" w:rsidRDefault="00FF4C4E">
            <w:pPr>
              <w:pStyle w:val="P68B1DB1-Normal13"/>
              <w:spacing w:after="0" w:line="240" w:lineRule="auto"/>
              <w:rPr>
                <w:rFonts w:eastAsia="Calibri" w:cs="Times New Roman"/>
                <w:noProof/>
              </w:rPr>
            </w:pPr>
            <w:r>
              <w:rPr>
                <w:noProof/>
              </w:rPr>
              <w:t xml:space="preserve">TEN-T-ydinverkko: töiden loppuun saattaminen </w:t>
            </w:r>
          </w:p>
        </w:tc>
        <w:tc>
          <w:tcPr>
            <w:tcW w:w="1134" w:type="dxa"/>
            <w:shd w:val="clear" w:color="auto" w:fill="C6EFCE"/>
            <w:noWrap/>
          </w:tcPr>
          <w:p w14:paraId="33E67AC6" w14:textId="77777777" w:rsidR="000E48CE" w:rsidRDefault="00FF4C4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1C84F6D9" w14:textId="77777777" w:rsidR="000E48CE" w:rsidRDefault="00FF4C4E">
            <w:pPr>
              <w:pStyle w:val="P68B1DB1-Normal13"/>
              <w:spacing w:after="0" w:line="240" w:lineRule="auto"/>
              <w:jc w:val="center"/>
              <w:rPr>
                <w:rFonts w:eastAsia="Calibri" w:cs="Times New Roman"/>
                <w:noProof/>
              </w:rPr>
            </w:pPr>
            <w:r>
              <w:rPr>
                <w:noProof/>
              </w:rPr>
              <w:t>Lukumäärä (km)</w:t>
            </w:r>
          </w:p>
        </w:tc>
        <w:tc>
          <w:tcPr>
            <w:tcW w:w="567" w:type="dxa"/>
            <w:shd w:val="clear" w:color="auto" w:fill="C6EFCE"/>
            <w:noWrap/>
          </w:tcPr>
          <w:p w14:paraId="2996073B" w14:textId="77777777" w:rsidR="000E48CE" w:rsidRDefault="00FF4C4E">
            <w:pPr>
              <w:pStyle w:val="P68B1DB1-Normal13"/>
              <w:spacing w:after="0" w:line="240" w:lineRule="auto"/>
              <w:jc w:val="right"/>
              <w:rPr>
                <w:rFonts w:eastAsia="Calibri" w:cs="Times New Roman"/>
                <w:noProof/>
              </w:rPr>
            </w:pPr>
            <w:r>
              <w:rPr>
                <w:noProof/>
              </w:rPr>
              <w:t>335</w:t>
            </w:r>
          </w:p>
        </w:tc>
        <w:tc>
          <w:tcPr>
            <w:tcW w:w="567" w:type="dxa"/>
            <w:shd w:val="clear" w:color="auto" w:fill="C6EFCE"/>
            <w:noWrap/>
          </w:tcPr>
          <w:p w14:paraId="6671B730" w14:textId="77777777" w:rsidR="000E48CE" w:rsidRDefault="00FF4C4E">
            <w:pPr>
              <w:pStyle w:val="P68B1DB1-Normal13"/>
              <w:spacing w:after="0" w:line="240" w:lineRule="auto"/>
              <w:jc w:val="right"/>
              <w:rPr>
                <w:rFonts w:eastAsia="Calibri" w:cs="Times New Roman"/>
                <w:noProof/>
              </w:rPr>
            </w:pPr>
            <w:r>
              <w:rPr>
                <w:noProof/>
              </w:rPr>
              <w:t>1 400</w:t>
            </w:r>
          </w:p>
        </w:tc>
        <w:tc>
          <w:tcPr>
            <w:tcW w:w="425" w:type="dxa"/>
            <w:shd w:val="clear" w:color="auto" w:fill="C6EFCE"/>
            <w:noWrap/>
          </w:tcPr>
          <w:p w14:paraId="39627014" w14:textId="77777777" w:rsidR="000E48CE" w:rsidRDefault="00FF4C4E">
            <w:pPr>
              <w:pStyle w:val="P68B1DB1-Normal13"/>
              <w:spacing w:after="0" w:line="240" w:lineRule="auto"/>
              <w:jc w:val="center"/>
              <w:rPr>
                <w:rFonts w:eastAsia="Calibri" w:cs="Times New Roman"/>
                <w:noProof/>
              </w:rPr>
            </w:pPr>
            <w:r>
              <w:rPr>
                <w:noProof/>
              </w:rPr>
              <w:t>Q2</w:t>
            </w:r>
          </w:p>
        </w:tc>
        <w:tc>
          <w:tcPr>
            <w:tcW w:w="567" w:type="dxa"/>
            <w:shd w:val="clear" w:color="auto" w:fill="C6EFCE"/>
            <w:noWrap/>
          </w:tcPr>
          <w:p w14:paraId="10641807" w14:textId="77777777" w:rsidR="000E48CE" w:rsidRDefault="00FF4C4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79709815" w14:textId="77777777" w:rsidR="000E48CE" w:rsidRDefault="00FF4C4E">
            <w:pPr>
              <w:pStyle w:val="P68B1DB1-Normal13"/>
              <w:spacing w:after="0" w:line="240" w:lineRule="auto"/>
              <w:rPr>
                <w:rFonts w:eastAsia="Calibri" w:cs="Times New Roman"/>
                <w:noProof/>
              </w:rPr>
            </w:pPr>
            <w:r>
              <w:rPr>
                <w:noProof/>
              </w:rPr>
              <w:t>Vähintään 1400 kilometriä päätökseen saatettuja töitä TEN-T-ydinverkossa käytävillä, joiden ominaisuudet on määritelty vuoden 2022 viimeisen neljänneksen #85 tavoitteessa. (pe</w:t>
            </w:r>
            <w:r>
              <w:rPr>
                <w:noProof/>
              </w:rPr>
              <w:t>rustaso: Joulukuuta 2024).</w:t>
            </w:r>
          </w:p>
        </w:tc>
      </w:tr>
      <w:tr w:rsidR="000E48CE" w14:paraId="476E2B6F" w14:textId="77777777">
        <w:trPr>
          <w:trHeight w:val="309"/>
        </w:trPr>
        <w:tc>
          <w:tcPr>
            <w:tcW w:w="709" w:type="dxa"/>
            <w:shd w:val="clear" w:color="auto" w:fill="C6EFCE"/>
            <w:noWrap/>
          </w:tcPr>
          <w:p w14:paraId="1DCB3458" w14:textId="77777777" w:rsidR="000E48CE" w:rsidRDefault="00FF4C4E">
            <w:pPr>
              <w:pStyle w:val="P68B1DB1-Normal13"/>
              <w:spacing w:after="0" w:line="240" w:lineRule="auto"/>
              <w:jc w:val="center"/>
              <w:rPr>
                <w:rFonts w:eastAsia="Calibri" w:cs="Times New Roman"/>
                <w:noProof/>
              </w:rPr>
            </w:pPr>
            <w:r>
              <w:rPr>
                <w:noProof/>
              </w:rPr>
              <w:t>88</w:t>
            </w:r>
          </w:p>
        </w:tc>
        <w:tc>
          <w:tcPr>
            <w:tcW w:w="851" w:type="dxa"/>
            <w:shd w:val="clear" w:color="auto" w:fill="C6EFCE"/>
            <w:noWrap/>
          </w:tcPr>
          <w:p w14:paraId="36E9323E" w14:textId="77777777" w:rsidR="000E48CE" w:rsidRDefault="00FF4C4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374870AA"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11FE6E32" w14:textId="77777777" w:rsidR="000E48CE" w:rsidRDefault="00FF4C4E">
            <w:pPr>
              <w:pStyle w:val="P68B1DB1-Normal13"/>
              <w:spacing w:after="0" w:line="240" w:lineRule="auto"/>
              <w:rPr>
                <w:rFonts w:eastAsia="Calibri" w:cs="Times New Roman"/>
                <w:noProof/>
              </w:rPr>
            </w:pPr>
            <w:r>
              <w:rPr>
                <w:noProof/>
              </w:rPr>
              <w:t>TEN-T-verkon eri liikennemuodot (rautatie- ja maantieliikenne): osittainen talousarvio</w:t>
            </w:r>
          </w:p>
        </w:tc>
        <w:tc>
          <w:tcPr>
            <w:tcW w:w="1134" w:type="dxa"/>
            <w:shd w:val="clear" w:color="auto" w:fill="C6EFCE"/>
            <w:noWrap/>
          </w:tcPr>
          <w:p w14:paraId="112BB7C3" w14:textId="77777777" w:rsidR="000E48CE" w:rsidRDefault="00FF4C4E">
            <w:pPr>
              <w:pStyle w:val="P68B1DB1-Normal13"/>
              <w:spacing w:after="0" w:line="240" w:lineRule="auto"/>
              <w:jc w:val="center"/>
              <w:rPr>
                <w:rFonts w:eastAsia="Calibri" w:cs="Times New Roman"/>
                <w:noProof/>
              </w:rPr>
            </w:pPr>
            <w:r>
              <w:rPr>
                <w:noProof/>
              </w:rPr>
              <w:t>Virallinen ilmoitus hankkeen myöntämisestä—</w:t>
            </w:r>
          </w:p>
        </w:tc>
        <w:tc>
          <w:tcPr>
            <w:tcW w:w="850" w:type="dxa"/>
            <w:shd w:val="clear" w:color="auto" w:fill="C6EFCE"/>
            <w:noWrap/>
          </w:tcPr>
          <w:p w14:paraId="3BAC30D4" w14:textId="77777777" w:rsidR="000E48CE" w:rsidRDefault="00FF4C4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77ABD302"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8605206" w14:textId="77777777" w:rsidR="000E48CE" w:rsidRDefault="00FF4C4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79A890B5"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069484E3" w14:textId="77777777" w:rsidR="000E48CE" w:rsidRDefault="00FF4C4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29B783A3" w14:textId="40AD83B7" w:rsidR="000E48CE" w:rsidRDefault="00FF4C4E">
            <w:pPr>
              <w:pStyle w:val="P68B1DB1-Normal13"/>
              <w:spacing w:after="0" w:line="240" w:lineRule="auto"/>
              <w:rPr>
                <w:rFonts w:eastAsia="Calibri" w:cs="Times New Roman"/>
                <w:noProof/>
              </w:rPr>
            </w:pPr>
            <w:r>
              <w:rPr>
                <w:noProof/>
              </w:rPr>
              <w:t xml:space="preserve">Vähintään 1000000000 euron kumulatiivinen talousarvio (kokonaisbudjetti </w:t>
            </w:r>
            <w:r>
              <w:rPr>
                <w:noProof/>
              </w:rPr>
              <w:t>1717000000 euroa) TEN-T-ydinverkon ulkopuoliseen TEN-T-verkkoon liittyviin tukitoimiin eri liikennemuodoissa (rautatiet ja tiet). Hankkeet valitaan seuraavien valintaperusteiden mukaisesti:</w:t>
            </w:r>
            <w:r>
              <w:rPr>
                <w:noProof/>
              </w:rPr>
              <w:br/>
              <w:t xml:space="preserve">tehdään rautatieverkosta yhteentoimivampi pääasiassa TEN-T-verkon </w:t>
            </w:r>
            <w:r>
              <w:rPr>
                <w:noProof/>
              </w:rPr>
              <w:t>osalta siten, että rakennustöiden pituus on vähintään 900 kilometriä (1010000000 euroa). Tähän sisältyvät seuraavat toimet:</w:t>
            </w:r>
            <w:r>
              <w:rPr>
                <w:noProof/>
              </w:rPr>
              <w:br/>
              <w:t xml:space="preserve">• Rautatieliikenteen hallinnan teknisen infrastruktuurin parantaminen </w:t>
            </w:r>
            <w:r>
              <w:rPr>
                <w:noProof/>
              </w:rPr>
              <w:br/>
              <w:t>• Turvallisuus (kuten kyberturvallisuus, törmäysilmaisimien a</w:t>
            </w:r>
            <w:r>
              <w:rPr>
                <w:noProof/>
              </w:rPr>
              <w:t xml:space="preserve">sentaminen) </w:t>
            </w:r>
            <w:r>
              <w:rPr>
                <w:noProof/>
              </w:rPr>
              <w:br/>
              <w:t xml:space="preserve">• Äänisuojaimet/melukartat </w:t>
            </w:r>
            <w:r>
              <w:rPr>
                <w:noProof/>
              </w:rPr>
              <w:br/>
              <w:t xml:space="preserve">• Raideliikenteen merkinantoon sovellettavan satelliittiteknologian kehittäminen </w:t>
            </w:r>
            <w:r>
              <w:rPr>
                <w:noProof/>
              </w:rPr>
              <w:br/>
              <w:t xml:space="preserve">• Osuuksien sähköistäminen (kuten Monforte-Lugo) </w:t>
            </w:r>
            <w:r>
              <w:rPr>
                <w:noProof/>
              </w:rPr>
              <w:br/>
              <w:t xml:space="preserve">• Radan uusiminen (kuten Soria-Torralba, Xátiva-Ontinyent ja Monforte-Lugo) </w:t>
            </w:r>
            <w:r>
              <w:rPr>
                <w:noProof/>
              </w:rPr>
              <w:br/>
              <w:t>• Ohja</w:t>
            </w:r>
            <w:r>
              <w:rPr>
                <w:noProof/>
              </w:rPr>
              <w:t xml:space="preserve">us-, hallinta- ja merkinanto-osajärjestelmän (kuten Soria-Torralba ja Ávila-Salamanca) parantaminen </w:t>
            </w:r>
            <w:r>
              <w:rPr>
                <w:noProof/>
              </w:rPr>
              <w:br/>
              <w:t xml:space="preserve">• Uusien osuuksien tai muunnosten luominen (kuten Palencia-Santander, Rincón de Soto -muunnos ja Ourensen Variant) </w:t>
            </w:r>
            <w:r>
              <w:rPr>
                <w:noProof/>
              </w:rPr>
              <w:br/>
              <w:t>tehdään tieverkosta turvallisempi kansa</w:t>
            </w:r>
            <w:r>
              <w:rPr>
                <w:noProof/>
              </w:rPr>
              <w:t>llisten ja EU:n säännösten mukaisesti (707000000 euroa).</w:t>
            </w:r>
            <w:r>
              <w:rPr>
                <w:noProof/>
              </w:rPr>
              <w:br/>
              <w:t xml:space="preserve">• Liikenneturvallisuuden parantaminen (mukaan lukien liikenneturvallisuus vähintään 80 tunnelissa) ja loukkaantumiselle alttiiden luonnonvaraisten eläinten ja käyttäjien suojelu (357000000 euroa) </w:t>
            </w:r>
            <w:r>
              <w:rPr>
                <w:noProof/>
              </w:rPr>
              <w:br/>
              <w:t xml:space="preserve">• </w:t>
            </w:r>
            <w:r>
              <w:rPr>
                <w:noProof/>
              </w:rPr>
              <w:t xml:space="preserve">Kestävyys, energiatehokkuus ja melun vähentäminen (302000000 euroa) </w:t>
            </w:r>
            <w:r>
              <w:rPr>
                <w:noProof/>
              </w:rPr>
              <w:br/>
              <w:t>• Digitalisaatio: Siltojen ja tunnelien seurantajärjestelmien käyttöönotto massadata-analyysia ja esineiden internetiä käyttäen; teiden digitalisointi seurantaa ja kunnossapitoa varten (3</w:t>
            </w:r>
            <w:r>
              <w:rPr>
                <w:noProof/>
              </w:rPr>
              <w:t xml:space="preserve">5000000 euroa). </w:t>
            </w:r>
            <w:r>
              <w:rPr>
                <w:noProof/>
              </w:rPr>
              <w:br/>
              <w:t xml:space="preserve">• Älykkäiden liikennejärjestelmien käyttöönotto bussi-VO-kaistoilla (13000000 euroa) </w:t>
            </w:r>
            <w:r>
              <w:rPr>
                <w:noProof/>
              </w:rPr>
              <w:br/>
              <w:t xml:space="preserve">• Gibraltarinsalmessa sijaitsevan kiinteän yhteyden ensisijaisen alustavan luonnoksen päivitys (2300000 euroa) </w:t>
            </w:r>
            <w:r>
              <w:rPr>
                <w:noProof/>
              </w:rPr>
              <w:br/>
              <w:t>Valintaperusteilla on varmistettava, että</w:t>
            </w:r>
            <w:r>
              <w:rPr>
                <w:noProof/>
              </w:rPr>
              <w:t xml:space="preserve"> vuoden 2026 toisella neljänneksellä vähintään 1010000000 euroa edistetään ilmastonmuutostavoitteiden saavuttamista 100 prosentin ilmastokertoimella ja vähintään 301000000 eurolla vähintään 40 prosentin ilmastokertoimella elpymis- ja palautumistukivälinett</w:t>
            </w:r>
            <w:r>
              <w:rPr>
                <w:noProof/>
              </w:rPr>
              <w:t>ä koskevan asetuksen (EU) 2021/241 liitteen VI mukaisesti.</w:t>
            </w:r>
          </w:p>
        </w:tc>
      </w:tr>
      <w:tr w:rsidR="000E48CE" w14:paraId="53B93168" w14:textId="77777777">
        <w:trPr>
          <w:trHeight w:val="309"/>
        </w:trPr>
        <w:tc>
          <w:tcPr>
            <w:tcW w:w="709" w:type="dxa"/>
            <w:shd w:val="clear" w:color="auto" w:fill="C6EFCE"/>
            <w:noWrap/>
          </w:tcPr>
          <w:p w14:paraId="4EF93A77" w14:textId="77777777" w:rsidR="000E48CE" w:rsidRDefault="00FF4C4E">
            <w:pPr>
              <w:pStyle w:val="P68B1DB1-Normal13"/>
              <w:spacing w:after="0" w:line="240" w:lineRule="auto"/>
              <w:jc w:val="center"/>
              <w:rPr>
                <w:rFonts w:eastAsia="Calibri" w:cs="Times New Roman"/>
                <w:noProof/>
              </w:rPr>
            </w:pPr>
            <w:r>
              <w:rPr>
                <w:noProof/>
              </w:rPr>
              <w:t>89</w:t>
            </w:r>
          </w:p>
        </w:tc>
        <w:tc>
          <w:tcPr>
            <w:tcW w:w="851" w:type="dxa"/>
            <w:shd w:val="clear" w:color="auto" w:fill="C6EFCE"/>
            <w:noWrap/>
          </w:tcPr>
          <w:p w14:paraId="63469D30" w14:textId="77777777" w:rsidR="000E48CE" w:rsidRDefault="00FF4C4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7010B219" w14:textId="77777777" w:rsidR="000E48CE" w:rsidRDefault="00FF4C4E">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76322FAB" w14:textId="77777777" w:rsidR="000E48CE" w:rsidRDefault="00FF4C4E">
            <w:pPr>
              <w:pStyle w:val="P68B1DB1-Normal13"/>
              <w:spacing w:after="0" w:line="240" w:lineRule="auto"/>
              <w:rPr>
                <w:rFonts w:eastAsia="Calibri" w:cs="Times New Roman"/>
                <w:noProof/>
              </w:rPr>
            </w:pPr>
            <w:r>
              <w:rPr>
                <w:noProof/>
              </w:rPr>
              <w:t>TEN-T-verkon ulkopuolinen verkko: rautatietöiden edistyminen</w:t>
            </w:r>
          </w:p>
        </w:tc>
        <w:tc>
          <w:tcPr>
            <w:tcW w:w="1134" w:type="dxa"/>
            <w:shd w:val="clear" w:color="auto" w:fill="C6EFCE"/>
            <w:noWrap/>
          </w:tcPr>
          <w:p w14:paraId="1BBD13F9" w14:textId="77777777" w:rsidR="000E48CE" w:rsidRDefault="00FF4C4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610FC190" w14:textId="77777777" w:rsidR="000E48CE" w:rsidRDefault="00FF4C4E">
            <w:pPr>
              <w:pStyle w:val="P68B1DB1-Normal13"/>
              <w:spacing w:after="0" w:line="240" w:lineRule="auto"/>
              <w:jc w:val="center"/>
              <w:rPr>
                <w:rFonts w:eastAsia="Calibri" w:cs="Times New Roman"/>
                <w:noProof/>
              </w:rPr>
            </w:pPr>
            <w:r>
              <w:rPr>
                <w:noProof/>
              </w:rPr>
              <w:t>Lukumäärä (km)</w:t>
            </w:r>
          </w:p>
        </w:tc>
        <w:tc>
          <w:tcPr>
            <w:tcW w:w="567" w:type="dxa"/>
            <w:shd w:val="clear" w:color="auto" w:fill="C6EFCE"/>
            <w:noWrap/>
          </w:tcPr>
          <w:p w14:paraId="222157C1" w14:textId="77777777" w:rsidR="000E48CE" w:rsidRDefault="00FF4C4E">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036AC05E" w14:textId="77777777" w:rsidR="000E48CE" w:rsidRDefault="00FF4C4E">
            <w:pPr>
              <w:pStyle w:val="P68B1DB1-Normal13"/>
              <w:spacing w:after="0" w:line="240" w:lineRule="auto"/>
              <w:jc w:val="right"/>
              <w:rPr>
                <w:rFonts w:eastAsia="Calibri" w:cs="Times New Roman"/>
                <w:noProof/>
              </w:rPr>
            </w:pPr>
            <w:r>
              <w:rPr>
                <w:noProof/>
              </w:rPr>
              <w:t>347</w:t>
            </w:r>
          </w:p>
        </w:tc>
        <w:tc>
          <w:tcPr>
            <w:tcW w:w="425" w:type="dxa"/>
            <w:shd w:val="clear" w:color="auto" w:fill="C6EFCE"/>
            <w:noWrap/>
          </w:tcPr>
          <w:p w14:paraId="12360FBC"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1B012AA2" w14:textId="77777777" w:rsidR="000E48CE" w:rsidRDefault="00FF4C4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47B3F21C" w14:textId="77777777" w:rsidR="000E48CE" w:rsidRDefault="00FF4C4E">
            <w:pPr>
              <w:pStyle w:val="P68B1DB1-Normal13"/>
              <w:spacing w:after="0" w:line="240" w:lineRule="auto"/>
              <w:rPr>
                <w:rFonts w:eastAsia="Calibri" w:cs="Times New Roman"/>
                <w:noProof/>
              </w:rPr>
            </w:pPr>
            <w:r>
              <w:rPr>
                <w:noProof/>
              </w:rPr>
              <w:t>Päätökseen saatettu vähintään 347 kilometriä töitä, joiden tarkoituksena on parantaa rautatieverkon yhteentoimivuutta pääasiassa suhteessa TEN-T-verkkoon, ja lopullisena tavoitteena on toteuttaa kokonaistöitä vähintään 900 kilometrin pituisella rataosuudel</w:t>
            </w:r>
            <w:r>
              <w:rPr>
                <w:noProof/>
              </w:rPr>
              <w:t xml:space="preserve">la. Työt koskevat vuoden 2022 neljännen neljänneksen a kohdan hankemyönnyksen yhteydessä määriteltyjä aloja (Milestone 88). </w:t>
            </w:r>
          </w:p>
        </w:tc>
      </w:tr>
      <w:tr w:rsidR="000E48CE" w14:paraId="69D24A91" w14:textId="77777777">
        <w:trPr>
          <w:trHeight w:val="309"/>
        </w:trPr>
        <w:tc>
          <w:tcPr>
            <w:tcW w:w="709" w:type="dxa"/>
            <w:shd w:val="clear" w:color="auto" w:fill="C6EFCE"/>
            <w:noWrap/>
          </w:tcPr>
          <w:p w14:paraId="5AA05B6E" w14:textId="77777777" w:rsidR="000E48CE" w:rsidRDefault="00FF4C4E">
            <w:pPr>
              <w:pStyle w:val="P68B1DB1-Normal13"/>
              <w:spacing w:after="0" w:line="240" w:lineRule="auto"/>
              <w:jc w:val="center"/>
              <w:rPr>
                <w:rFonts w:eastAsia="Calibri" w:cs="Times New Roman"/>
                <w:noProof/>
              </w:rPr>
            </w:pPr>
            <w:r>
              <w:rPr>
                <w:noProof/>
              </w:rPr>
              <w:t>90</w:t>
            </w:r>
          </w:p>
        </w:tc>
        <w:tc>
          <w:tcPr>
            <w:tcW w:w="851" w:type="dxa"/>
            <w:shd w:val="clear" w:color="auto" w:fill="C6EFCE"/>
            <w:noWrap/>
          </w:tcPr>
          <w:p w14:paraId="2994C83D" w14:textId="77777777" w:rsidR="000E48CE" w:rsidRDefault="00FF4C4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336A9382" w14:textId="77777777" w:rsidR="000E48CE" w:rsidRDefault="00FF4C4E">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4C190BEA" w14:textId="77777777" w:rsidR="000E48CE" w:rsidRDefault="00FF4C4E">
            <w:pPr>
              <w:pStyle w:val="P68B1DB1-Normal13"/>
              <w:spacing w:after="0" w:line="240" w:lineRule="auto"/>
              <w:rPr>
                <w:rFonts w:eastAsia="Calibri" w:cs="Times New Roman"/>
                <w:noProof/>
              </w:rPr>
            </w:pPr>
            <w:r>
              <w:rPr>
                <w:noProof/>
              </w:rPr>
              <w:t>Yhtenäinen eurooppalainen ilmatila: hanke, jolle on myönnetty lupa, ja edistyminen hankkeiden loppuun saattamisessa</w:t>
            </w:r>
          </w:p>
        </w:tc>
        <w:tc>
          <w:tcPr>
            <w:tcW w:w="1134" w:type="dxa"/>
            <w:shd w:val="clear" w:color="auto" w:fill="C6EFCE"/>
            <w:noWrap/>
          </w:tcPr>
          <w:p w14:paraId="0BE14808" w14:textId="77777777" w:rsidR="000E48CE" w:rsidRDefault="00FF4C4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114A3362" w14:textId="77777777" w:rsidR="000E48CE" w:rsidRDefault="00FF4C4E">
            <w:pPr>
              <w:pStyle w:val="P68B1DB1-Normal13"/>
              <w:spacing w:after="0" w:line="240" w:lineRule="auto"/>
              <w:jc w:val="center"/>
              <w:rPr>
                <w:rFonts w:eastAsia="Calibri" w:cs="Times New Roman"/>
                <w:noProof/>
              </w:rPr>
            </w:pPr>
            <w:r>
              <w:rPr>
                <w:noProof/>
              </w:rPr>
              <w:t xml:space="preserve">Määrä </w:t>
            </w:r>
          </w:p>
        </w:tc>
        <w:tc>
          <w:tcPr>
            <w:tcW w:w="567" w:type="dxa"/>
            <w:shd w:val="clear" w:color="auto" w:fill="C6EFCE"/>
            <w:noWrap/>
          </w:tcPr>
          <w:p w14:paraId="69777341" w14:textId="77777777" w:rsidR="000E48CE" w:rsidRDefault="00FF4C4E">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41150DF2" w14:textId="77777777" w:rsidR="000E48CE" w:rsidRDefault="00FF4C4E">
            <w:pPr>
              <w:pStyle w:val="P68B1DB1-Normal13"/>
              <w:spacing w:after="0" w:line="240" w:lineRule="auto"/>
              <w:jc w:val="right"/>
              <w:rPr>
                <w:rFonts w:eastAsia="Calibri" w:cs="Times New Roman"/>
                <w:noProof/>
              </w:rPr>
            </w:pPr>
            <w:r>
              <w:rPr>
                <w:noProof/>
              </w:rPr>
              <w:t>15</w:t>
            </w:r>
          </w:p>
        </w:tc>
        <w:tc>
          <w:tcPr>
            <w:tcW w:w="425" w:type="dxa"/>
            <w:shd w:val="clear" w:color="auto" w:fill="C6EFCE"/>
            <w:noWrap/>
          </w:tcPr>
          <w:p w14:paraId="41A11207"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3A98CC6F" w14:textId="77777777" w:rsidR="000E48CE" w:rsidRDefault="00FF4C4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7E26515C" w14:textId="77777777" w:rsidR="000E48CE" w:rsidRDefault="00FF4C4E">
            <w:pPr>
              <w:pStyle w:val="P68B1DB1-Normal13"/>
              <w:spacing w:after="0" w:line="240" w:lineRule="auto"/>
              <w:rPr>
                <w:rFonts w:eastAsia="Calibri" w:cs="Times New Roman"/>
                <w:noProof/>
              </w:rPr>
            </w:pPr>
            <w:r>
              <w:rPr>
                <w:noProof/>
              </w:rPr>
              <w:t>Yhteensä vähintään 15 päätökseen saatettua digitalisaatiota ja turvallisuutta koskevaa hanketta (lopullinen tavoite 20 hanketta) yhtenäisen eurooppalaisen ilmatilan kehittämiseksi seuraavan valintaperusteiden luettelon perusteella: Yhte</w:t>
            </w:r>
            <w:r>
              <w:rPr>
                <w:noProof/>
              </w:rPr>
              <w:t>ensä vähintään 15 päätökseen saatettua digitalisaatiota ja turvallisuutta koskevaa hanketta (lopullinen tavoite 20 hanketta) yhtenäisen eurooppalaisen ilmatilan kehittämiseksi seuraavan valintaperusteiden luettelon perusteella:</w:t>
            </w:r>
            <w:r>
              <w:rPr>
                <w:noProof/>
              </w:rPr>
              <w:br/>
              <w:t>• ENAIREn (Espanjan lennonva</w:t>
            </w:r>
            <w:r>
              <w:rPr>
                <w:noProof/>
              </w:rPr>
              <w:t>rmistuspäällikkö) kautta tehtävät suorat investoinnit yhtenäisen eurooppalaisen ilmatilan kehittämiseen, joka liittyy lennonjohto- ja valvontajärjestelmien nykyaikaistamiseen, tietojärjestelmien digitalisaatioon ja viestintäjärjestelmien kehittämiseen.</w:t>
            </w:r>
            <w:r>
              <w:rPr>
                <w:noProof/>
              </w:rPr>
              <w:br/>
              <w:t>• L</w:t>
            </w:r>
            <w:r>
              <w:rPr>
                <w:noProof/>
              </w:rPr>
              <w:t xml:space="preserve">entoja varten käyttäjien saatavilla olevien ilmailuasiakirjojen (datan ja kartoituksen) digitalisointi </w:t>
            </w:r>
            <w:r>
              <w:rPr>
                <w:noProof/>
              </w:rPr>
              <w:br/>
              <w:t xml:space="preserve">• Maan/ilman kattavuuden laajentaminen ja puheen digitointi pilottikontrolleriviestinnässä. Heikon kattavuuden parantaminen tietyillä ilmatila-alueilla </w:t>
            </w:r>
            <w:r>
              <w:rPr>
                <w:noProof/>
              </w:rPr>
              <w:t xml:space="preserve">uudistamalla maanpäällistä viestintäinfrastruktuuria </w:t>
            </w:r>
            <w:r>
              <w:rPr>
                <w:noProof/>
              </w:rPr>
              <w:br/>
              <w:t xml:space="preserve">• Ääniviestintäjärjestelmän kehitys lennonjohtokeskuksissa digitalisaation ja kehittyneen teknologian avulla, mikä parantaa laatua, turvallisuutta, tiedon saatavuutta ja lisää varautumiskapasiteettia </w:t>
            </w:r>
            <w:r>
              <w:rPr>
                <w:noProof/>
              </w:rPr>
              <w:br/>
              <w:t>•</w:t>
            </w:r>
            <w:r>
              <w:rPr>
                <w:noProof/>
              </w:rPr>
              <w:t xml:space="preserve"> Ensiötutkaverkon tekninen nykyaikaistaminen, suorituskyvyn parantaminen ja järjestelmien ohjaaminen ensiötutkaiden täydelliseen digitalisointiin käyttäen kaikkia käytettävissä olevia teknisiä edistysaskeleita toiminnan tehokkuuden lisäämiseksi </w:t>
            </w:r>
            <w:r>
              <w:rPr>
                <w:noProof/>
              </w:rPr>
              <w:br/>
              <w:t>• Modo S:n</w:t>
            </w:r>
            <w:r>
              <w:rPr>
                <w:noProof/>
              </w:rPr>
              <w:t xml:space="preserve"> toissijaisten tutkajärjestelmien kehitys lennonjohtojärjestelmään </w:t>
            </w:r>
            <w:r>
              <w:rPr>
                <w:noProof/>
              </w:rPr>
              <w:br/>
              <w:t xml:space="preserve">• Eri ENAIRE-järjestelmien laitteistolaitteistojen korvaaminen </w:t>
            </w:r>
            <w:r>
              <w:rPr>
                <w:noProof/>
              </w:rPr>
              <w:br/>
              <w:t xml:space="preserve">• Erilaisten hallinnointi- ja toimintasovellusten kehittäminen ENAIREn hallinnointia varten </w:t>
            </w:r>
            <w:r>
              <w:rPr>
                <w:noProof/>
              </w:rPr>
              <w:br/>
              <w:t>• Merenkulkujärjestelmien tekno</w:t>
            </w:r>
            <w:r>
              <w:rPr>
                <w:noProof/>
              </w:rPr>
              <w:t xml:space="preserve">loginen nykyaikaistaminen asettamalla etusijalle niiden täydellinen digitalisointi sekä järjestelmien seuranta- ja etävalvontaratkaisujen käyttöönotto </w:t>
            </w:r>
            <w:r>
              <w:rPr>
                <w:noProof/>
              </w:rPr>
              <w:br/>
              <w:t xml:space="preserve">• Infrastruktuurin luominen uusien lennonjohtojärjestelmien käyttöönottoa varten. On olennaisen tärkeää </w:t>
            </w:r>
            <w:r>
              <w:rPr>
                <w:noProof/>
              </w:rPr>
              <w:t>uusien toimintaratkaisujen täytäntöönpanon varmistamiseksi Espanjassa. Lisäksi siihen sisältyy laitosten nykyaikaistaminen häiriönsietokyvyn varmistamiseksi.</w:t>
            </w:r>
            <w:r>
              <w:rPr>
                <w:noProof/>
              </w:rPr>
              <w:br/>
              <w:t>• Teknisen toiminnan hallinnan digitalisointi ja automatisointi etäjärjestelmien seurantavälineide</w:t>
            </w:r>
            <w:r>
              <w:rPr>
                <w:noProof/>
              </w:rPr>
              <w:t xml:space="preserve">n parantamiseksi yhdennetyllä tavalla </w:t>
            </w:r>
            <w:r>
              <w:rPr>
                <w:noProof/>
              </w:rPr>
              <w:br/>
              <w:t xml:space="preserve">• Lennonjohtojärjestelmän nykyaikaistaminen niin, että se täyttää sääntelykriteerit ja että siihen sisällytetään kapasiteetin, turvallisuuden, kyberturvallisuuden ja digitalisaation parannukset, jotka kaikki johtuvat </w:t>
            </w:r>
            <w:r>
              <w:rPr>
                <w:noProof/>
              </w:rPr>
              <w:t>yhtenäisestä eurooppalaisesta ilmatilasta</w:t>
            </w:r>
          </w:p>
        </w:tc>
      </w:tr>
      <w:tr w:rsidR="000E48CE" w14:paraId="28651AEB" w14:textId="77777777">
        <w:trPr>
          <w:trHeight w:val="309"/>
        </w:trPr>
        <w:tc>
          <w:tcPr>
            <w:tcW w:w="709" w:type="dxa"/>
            <w:shd w:val="clear" w:color="auto" w:fill="C6EFCE"/>
            <w:noWrap/>
          </w:tcPr>
          <w:p w14:paraId="7E57E621" w14:textId="77777777" w:rsidR="000E48CE" w:rsidRDefault="00FF4C4E">
            <w:pPr>
              <w:pStyle w:val="P68B1DB1-Normal13"/>
              <w:spacing w:after="0" w:line="240" w:lineRule="auto"/>
              <w:jc w:val="center"/>
              <w:rPr>
                <w:rFonts w:eastAsia="Calibri" w:cs="Times New Roman"/>
                <w:noProof/>
              </w:rPr>
            </w:pPr>
            <w:r>
              <w:rPr>
                <w:noProof/>
              </w:rPr>
              <w:t>91</w:t>
            </w:r>
          </w:p>
        </w:tc>
        <w:tc>
          <w:tcPr>
            <w:tcW w:w="851" w:type="dxa"/>
            <w:shd w:val="clear" w:color="auto" w:fill="C6EFCE"/>
            <w:noWrap/>
          </w:tcPr>
          <w:p w14:paraId="31A8D38A" w14:textId="77777777" w:rsidR="000E48CE" w:rsidRDefault="00FF4C4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7FE72E92"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6DE5166A" w14:textId="77777777" w:rsidR="000E48CE" w:rsidRDefault="00FF4C4E">
            <w:pPr>
              <w:pStyle w:val="P68B1DB1-Normal13"/>
              <w:spacing w:after="0" w:line="240" w:lineRule="auto"/>
              <w:rPr>
                <w:rFonts w:eastAsia="Calibri" w:cs="Times New Roman"/>
                <w:noProof/>
              </w:rPr>
            </w:pPr>
            <w:r>
              <w:rPr>
                <w:noProof/>
              </w:rPr>
              <w:t>Liikenne-, liikkuvuus- ja kaupunkiagendan digitalisointi</w:t>
            </w:r>
          </w:p>
        </w:tc>
        <w:tc>
          <w:tcPr>
            <w:tcW w:w="1134" w:type="dxa"/>
            <w:shd w:val="clear" w:color="auto" w:fill="C6EFCE"/>
            <w:noWrap/>
          </w:tcPr>
          <w:p w14:paraId="7A8F370F" w14:textId="77777777" w:rsidR="000E48CE" w:rsidRDefault="00FF4C4E">
            <w:pPr>
              <w:pStyle w:val="P68B1DB1-Normal13"/>
              <w:spacing w:after="0" w:line="240" w:lineRule="auto"/>
              <w:jc w:val="center"/>
              <w:rPr>
                <w:rFonts w:eastAsia="Calibri" w:cs="Times New Roman"/>
                <w:noProof/>
              </w:rPr>
            </w:pPr>
            <w:r>
              <w:rPr>
                <w:noProof/>
              </w:rPr>
              <w:t>Virallinen ilmoitus työn päättymisestä</w:t>
            </w:r>
          </w:p>
        </w:tc>
        <w:tc>
          <w:tcPr>
            <w:tcW w:w="850" w:type="dxa"/>
            <w:shd w:val="clear" w:color="auto" w:fill="C6EFCE"/>
            <w:noWrap/>
          </w:tcPr>
          <w:p w14:paraId="26105B5D" w14:textId="77777777" w:rsidR="000E48CE" w:rsidRDefault="00FF4C4E">
            <w:pPr>
              <w:pStyle w:val="P68B1DB1-Normal13"/>
              <w:spacing w:after="0" w:line="240" w:lineRule="auto"/>
              <w:jc w:val="center"/>
              <w:rPr>
                <w:rFonts w:eastAsia="Calibri" w:cs="Times New Roman"/>
                <w:noProof/>
              </w:rPr>
            </w:pPr>
            <w:r>
              <w:rPr>
                <w:noProof/>
              </w:rPr>
              <w:t> </w:t>
            </w:r>
          </w:p>
        </w:tc>
        <w:tc>
          <w:tcPr>
            <w:tcW w:w="567" w:type="dxa"/>
            <w:shd w:val="clear" w:color="auto" w:fill="C6EFCE"/>
            <w:noWrap/>
          </w:tcPr>
          <w:p w14:paraId="15B3EB6E" w14:textId="77777777" w:rsidR="000E48CE" w:rsidRDefault="00FF4C4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42CAE146" w14:textId="77777777" w:rsidR="000E48CE" w:rsidRDefault="00FF4C4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6B987D97"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378F7546" w14:textId="77777777" w:rsidR="000E48CE" w:rsidRDefault="00FF4C4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13ACFA3D" w14:textId="77777777" w:rsidR="000E48CE" w:rsidRDefault="00FF4C4E">
            <w:pPr>
              <w:pStyle w:val="P68B1DB1-Normal13"/>
              <w:spacing w:after="0" w:line="240" w:lineRule="auto"/>
              <w:rPr>
                <w:rFonts w:eastAsia="Calibri" w:cs="Times New Roman"/>
                <w:noProof/>
              </w:rPr>
            </w:pPr>
            <w:r>
              <w:rPr>
                <w:noProof/>
              </w:rPr>
              <w:t>Seuraavien hankkeiden loppuun saattaminen:</w:t>
            </w:r>
            <w:r>
              <w:rPr>
                <w:noProof/>
              </w:rPr>
              <w:br/>
              <w:t xml:space="preserve">• Rakennustiedon mallintaminen (BIM) käynnistää </w:t>
            </w:r>
            <w:r>
              <w:rPr>
                <w:noProof/>
              </w:rPr>
              <w:t>yhteistyöalustan digitaalisten tietojen ja mallien hallinnointia varten.</w:t>
            </w:r>
            <w:r>
              <w:rPr>
                <w:noProof/>
              </w:rPr>
              <w:br/>
              <w:t>• Edistetään liikkuvuutta palveluna, tarjotaan avointa dataa ja käytetään uusia teknologioita liikkuvuuden analysointiin ja optimointiin.</w:t>
            </w:r>
            <w:r>
              <w:rPr>
                <w:noProof/>
              </w:rPr>
              <w:br/>
              <w:t>• Maaliikenteessä käytettävien uusien teknolo</w:t>
            </w:r>
            <w:r>
              <w:rPr>
                <w:noProof/>
              </w:rPr>
              <w:t xml:space="preserve">gioiden analysointi-, seuranta-, seuranta-, valvonta-, palvelu- ja käyttöönottojärjestelmän käyttöönotto ja soveltaminen. </w:t>
            </w:r>
            <w:r>
              <w:rPr>
                <w:noProof/>
              </w:rPr>
              <w:br/>
              <w:t>• Teiden pääosaston digitalisointisuunnitelma.</w:t>
            </w:r>
            <w:r>
              <w:rPr>
                <w:noProof/>
              </w:rPr>
              <w:br/>
              <w:t>• Uusien palvelujen kehittäminen ja hallinnon parantaminen muun muassa lento-, meri- j</w:t>
            </w:r>
            <w:r>
              <w:rPr>
                <w:noProof/>
              </w:rPr>
              <w:t>a paikkatietojen alalla.</w:t>
            </w:r>
          </w:p>
        </w:tc>
      </w:tr>
      <w:tr w:rsidR="000E48CE" w14:paraId="78FBFD04" w14:textId="77777777">
        <w:trPr>
          <w:trHeight w:val="309"/>
        </w:trPr>
        <w:tc>
          <w:tcPr>
            <w:tcW w:w="709" w:type="dxa"/>
            <w:shd w:val="clear" w:color="auto" w:fill="C6EFCE"/>
            <w:noWrap/>
          </w:tcPr>
          <w:p w14:paraId="54E323BA" w14:textId="77777777" w:rsidR="000E48CE" w:rsidRDefault="00FF4C4E">
            <w:pPr>
              <w:pStyle w:val="P68B1DB1-Normal13"/>
              <w:spacing w:after="0" w:line="240" w:lineRule="auto"/>
              <w:jc w:val="center"/>
              <w:rPr>
                <w:rFonts w:eastAsia="Calibri" w:cs="Times New Roman"/>
                <w:noProof/>
              </w:rPr>
            </w:pPr>
            <w:r>
              <w:rPr>
                <w:noProof/>
              </w:rPr>
              <w:t>92</w:t>
            </w:r>
          </w:p>
        </w:tc>
        <w:tc>
          <w:tcPr>
            <w:tcW w:w="851" w:type="dxa"/>
            <w:shd w:val="clear" w:color="auto" w:fill="C6EFCE"/>
            <w:noWrap/>
          </w:tcPr>
          <w:p w14:paraId="28DF5B12" w14:textId="77777777" w:rsidR="000E48CE" w:rsidRDefault="00FF4C4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1BE4F848" w14:textId="77777777" w:rsidR="000E48CE" w:rsidRDefault="00FF4C4E">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1AA5D08D" w14:textId="77777777" w:rsidR="000E48CE" w:rsidRDefault="00FF4C4E">
            <w:pPr>
              <w:pStyle w:val="P68B1DB1-Normal13"/>
              <w:spacing w:after="0" w:line="240" w:lineRule="auto"/>
              <w:rPr>
                <w:rFonts w:eastAsia="Calibri" w:cs="Times New Roman"/>
                <w:noProof/>
              </w:rPr>
            </w:pPr>
            <w:r>
              <w:rPr>
                <w:noProof/>
              </w:rPr>
              <w:t xml:space="preserve">Uusi tai parannettu TEN-T-verkko, muut työt </w:t>
            </w:r>
          </w:p>
        </w:tc>
        <w:tc>
          <w:tcPr>
            <w:tcW w:w="1134" w:type="dxa"/>
            <w:shd w:val="clear" w:color="auto" w:fill="C6EFCE"/>
            <w:noWrap/>
          </w:tcPr>
          <w:p w14:paraId="09FA2A7E" w14:textId="77777777" w:rsidR="000E48CE" w:rsidRDefault="00FF4C4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71E02098" w14:textId="77777777" w:rsidR="000E48CE" w:rsidRDefault="00FF4C4E">
            <w:pPr>
              <w:pStyle w:val="P68B1DB1-Normal13"/>
              <w:spacing w:after="0" w:line="240" w:lineRule="auto"/>
              <w:jc w:val="center"/>
              <w:rPr>
                <w:rFonts w:eastAsia="Calibri" w:cs="Times New Roman"/>
                <w:noProof/>
              </w:rPr>
            </w:pPr>
            <w:r>
              <w:rPr>
                <w:noProof/>
              </w:rPr>
              <w:t xml:space="preserve">Lukumäärä (km) </w:t>
            </w:r>
          </w:p>
        </w:tc>
        <w:tc>
          <w:tcPr>
            <w:tcW w:w="567" w:type="dxa"/>
            <w:shd w:val="clear" w:color="auto" w:fill="C6EFCE"/>
            <w:noWrap/>
          </w:tcPr>
          <w:p w14:paraId="083C8542" w14:textId="77777777" w:rsidR="000E48CE" w:rsidRDefault="00FF4C4E">
            <w:pPr>
              <w:pStyle w:val="P68B1DB1-Normal13"/>
              <w:spacing w:after="0" w:line="240" w:lineRule="auto"/>
              <w:jc w:val="right"/>
              <w:rPr>
                <w:rFonts w:eastAsia="Calibri" w:cs="Times New Roman"/>
                <w:noProof/>
              </w:rPr>
            </w:pPr>
            <w:r>
              <w:rPr>
                <w:noProof/>
              </w:rPr>
              <w:t>347</w:t>
            </w:r>
          </w:p>
        </w:tc>
        <w:tc>
          <w:tcPr>
            <w:tcW w:w="567" w:type="dxa"/>
            <w:shd w:val="clear" w:color="auto" w:fill="C6EFCE"/>
            <w:noWrap/>
          </w:tcPr>
          <w:p w14:paraId="686A1351" w14:textId="77777777" w:rsidR="000E48CE" w:rsidRDefault="00FF4C4E">
            <w:pPr>
              <w:pStyle w:val="P68B1DB1-Normal13"/>
              <w:spacing w:after="0" w:line="240" w:lineRule="auto"/>
              <w:jc w:val="right"/>
              <w:rPr>
                <w:rFonts w:eastAsia="Calibri" w:cs="Times New Roman"/>
                <w:noProof/>
              </w:rPr>
            </w:pPr>
            <w:r>
              <w:rPr>
                <w:noProof/>
              </w:rPr>
              <w:t>900</w:t>
            </w:r>
          </w:p>
        </w:tc>
        <w:tc>
          <w:tcPr>
            <w:tcW w:w="425" w:type="dxa"/>
            <w:shd w:val="clear" w:color="auto" w:fill="C6EFCE"/>
            <w:noWrap/>
          </w:tcPr>
          <w:p w14:paraId="5AF26E6F" w14:textId="77777777" w:rsidR="000E48CE" w:rsidRDefault="00FF4C4E">
            <w:pPr>
              <w:pStyle w:val="P68B1DB1-Normal13"/>
              <w:spacing w:after="0" w:line="240" w:lineRule="auto"/>
              <w:jc w:val="center"/>
              <w:rPr>
                <w:rFonts w:eastAsia="Calibri" w:cs="Times New Roman"/>
                <w:noProof/>
              </w:rPr>
            </w:pPr>
            <w:r>
              <w:rPr>
                <w:noProof/>
              </w:rPr>
              <w:t>Q2</w:t>
            </w:r>
          </w:p>
        </w:tc>
        <w:tc>
          <w:tcPr>
            <w:tcW w:w="567" w:type="dxa"/>
            <w:shd w:val="clear" w:color="auto" w:fill="C6EFCE"/>
            <w:noWrap/>
          </w:tcPr>
          <w:p w14:paraId="7B84253B" w14:textId="77777777" w:rsidR="000E48CE" w:rsidRDefault="00FF4C4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136DBF99" w14:textId="77777777" w:rsidR="000E48CE" w:rsidRDefault="00FF4C4E">
            <w:pPr>
              <w:pStyle w:val="P68B1DB1-Normal13"/>
              <w:spacing w:after="0" w:line="240" w:lineRule="auto"/>
              <w:rPr>
                <w:rFonts w:eastAsia="Calibri" w:cs="Times New Roman"/>
                <w:noProof/>
              </w:rPr>
            </w:pPr>
            <w:r>
              <w:rPr>
                <w:noProof/>
              </w:rPr>
              <w:t xml:space="preserve">Valmistuneet vähintään 900 kilometriä töitä, joiden tarkoituksena on parantaa rautatieverkon yhteentoimivuutta pääasiassa suhteessa </w:t>
            </w:r>
            <w:r>
              <w:rPr>
                <w:noProof/>
              </w:rPr>
              <w:t>TEN-T-verkkoon, jossa on töitä. Työt on tehty aloilla, jotka on määritelty vuoden 2022 neljännen neljänneksen a kohdan mukaisten hankkeiden valintaperusteissa (Milestone 88). (perustaso: Joulukuuta 2024).</w:t>
            </w:r>
          </w:p>
        </w:tc>
      </w:tr>
      <w:tr w:rsidR="000E48CE" w14:paraId="26C7BB39" w14:textId="77777777">
        <w:trPr>
          <w:trHeight w:val="309"/>
        </w:trPr>
        <w:tc>
          <w:tcPr>
            <w:tcW w:w="709" w:type="dxa"/>
            <w:shd w:val="clear" w:color="auto" w:fill="C6EFCE"/>
            <w:noWrap/>
          </w:tcPr>
          <w:p w14:paraId="52205903" w14:textId="77777777" w:rsidR="000E48CE" w:rsidRDefault="00FF4C4E">
            <w:pPr>
              <w:pStyle w:val="P68B1DB1-Normal13"/>
              <w:spacing w:after="0" w:line="240" w:lineRule="auto"/>
              <w:jc w:val="center"/>
              <w:rPr>
                <w:rFonts w:eastAsia="Calibri" w:cs="Times New Roman"/>
                <w:noProof/>
              </w:rPr>
            </w:pPr>
            <w:r>
              <w:rPr>
                <w:noProof/>
              </w:rPr>
              <w:t>93</w:t>
            </w:r>
          </w:p>
        </w:tc>
        <w:tc>
          <w:tcPr>
            <w:tcW w:w="851" w:type="dxa"/>
            <w:shd w:val="clear" w:color="auto" w:fill="C6EFCE"/>
            <w:noWrap/>
          </w:tcPr>
          <w:p w14:paraId="4307AF87" w14:textId="77777777" w:rsidR="000E48CE" w:rsidRDefault="00FF4C4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40406B83" w14:textId="77777777" w:rsidR="000E48CE" w:rsidRDefault="00FF4C4E">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45C2620C" w14:textId="77777777" w:rsidR="000E48CE" w:rsidRDefault="00FF4C4E">
            <w:pPr>
              <w:pStyle w:val="P68B1DB1-Normal13"/>
              <w:spacing w:after="0" w:line="240" w:lineRule="auto"/>
              <w:rPr>
                <w:rFonts w:eastAsia="Calibri" w:cs="Times New Roman"/>
                <w:noProof/>
              </w:rPr>
            </w:pPr>
            <w:r>
              <w:rPr>
                <w:noProof/>
              </w:rPr>
              <w:t xml:space="preserve">Yhtenäinen eurooppalainen ilmatila: </w:t>
            </w:r>
            <w:r>
              <w:rPr>
                <w:noProof/>
              </w:rPr>
              <w:t>hankkeen loppuun saattaminen</w:t>
            </w:r>
          </w:p>
        </w:tc>
        <w:tc>
          <w:tcPr>
            <w:tcW w:w="1134" w:type="dxa"/>
            <w:shd w:val="clear" w:color="auto" w:fill="C6EFCE"/>
            <w:noWrap/>
          </w:tcPr>
          <w:p w14:paraId="237AFA41" w14:textId="77777777" w:rsidR="000E48CE" w:rsidRDefault="00FF4C4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1CB940D8" w14:textId="77777777" w:rsidR="000E48CE" w:rsidRDefault="00FF4C4E">
            <w:pPr>
              <w:pStyle w:val="P68B1DB1-Normal13"/>
              <w:spacing w:after="0" w:line="240" w:lineRule="auto"/>
              <w:jc w:val="right"/>
              <w:rPr>
                <w:rFonts w:eastAsia="Calibri" w:cs="Times New Roman"/>
                <w:noProof/>
              </w:rPr>
            </w:pPr>
            <w:r>
              <w:rPr>
                <w:noProof/>
              </w:rPr>
              <w:t>Määrä</w:t>
            </w:r>
          </w:p>
        </w:tc>
        <w:tc>
          <w:tcPr>
            <w:tcW w:w="567" w:type="dxa"/>
            <w:shd w:val="clear" w:color="auto" w:fill="C6EFCE"/>
            <w:noWrap/>
          </w:tcPr>
          <w:p w14:paraId="46BB2669" w14:textId="77777777" w:rsidR="000E48CE" w:rsidRDefault="00FF4C4E">
            <w:pPr>
              <w:pStyle w:val="P68B1DB1-Normal13"/>
              <w:spacing w:after="0" w:line="240" w:lineRule="auto"/>
              <w:jc w:val="right"/>
              <w:rPr>
                <w:rFonts w:eastAsia="Calibri" w:cs="Times New Roman"/>
                <w:noProof/>
              </w:rPr>
            </w:pPr>
            <w:r>
              <w:rPr>
                <w:noProof/>
              </w:rPr>
              <w:t>15</w:t>
            </w:r>
          </w:p>
        </w:tc>
        <w:tc>
          <w:tcPr>
            <w:tcW w:w="567" w:type="dxa"/>
            <w:shd w:val="clear" w:color="auto" w:fill="C6EFCE"/>
            <w:noWrap/>
          </w:tcPr>
          <w:p w14:paraId="74BC2F5A" w14:textId="77777777" w:rsidR="000E48CE" w:rsidRDefault="00FF4C4E">
            <w:pPr>
              <w:pStyle w:val="P68B1DB1-Normal13"/>
              <w:spacing w:after="0" w:line="240" w:lineRule="auto"/>
              <w:jc w:val="right"/>
              <w:rPr>
                <w:rFonts w:eastAsia="Calibri" w:cs="Times New Roman"/>
                <w:noProof/>
              </w:rPr>
            </w:pPr>
            <w:r>
              <w:rPr>
                <w:noProof/>
              </w:rPr>
              <w:t>20</w:t>
            </w:r>
          </w:p>
        </w:tc>
        <w:tc>
          <w:tcPr>
            <w:tcW w:w="425" w:type="dxa"/>
            <w:shd w:val="clear" w:color="auto" w:fill="C6EFCE"/>
            <w:noWrap/>
          </w:tcPr>
          <w:p w14:paraId="1D92D728" w14:textId="77777777" w:rsidR="000E48CE" w:rsidRDefault="00FF4C4E">
            <w:pPr>
              <w:pStyle w:val="P68B1DB1-Normal13"/>
              <w:spacing w:after="0" w:line="240" w:lineRule="auto"/>
              <w:jc w:val="center"/>
              <w:rPr>
                <w:rFonts w:eastAsia="Calibri" w:cs="Times New Roman"/>
                <w:noProof/>
              </w:rPr>
            </w:pPr>
            <w:r>
              <w:rPr>
                <w:noProof/>
              </w:rPr>
              <w:t>Q2</w:t>
            </w:r>
          </w:p>
        </w:tc>
        <w:tc>
          <w:tcPr>
            <w:tcW w:w="567" w:type="dxa"/>
            <w:shd w:val="clear" w:color="auto" w:fill="C6EFCE"/>
            <w:noWrap/>
          </w:tcPr>
          <w:p w14:paraId="7E23C7FD" w14:textId="77777777" w:rsidR="000E48CE" w:rsidRDefault="00FF4C4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315DD83C" w14:textId="77777777" w:rsidR="000E48CE" w:rsidRDefault="00FF4C4E">
            <w:pPr>
              <w:pStyle w:val="P68B1DB1-Normal13"/>
              <w:spacing w:after="0" w:line="240" w:lineRule="auto"/>
              <w:rPr>
                <w:rFonts w:eastAsia="Calibri" w:cs="Times New Roman"/>
                <w:noProof/>
              </w:rPr>
            </w:pPr>
            <w:r>
              <w:rPr>
                <w:noProof/>
              </w:rPr>
              <w:t>Vähintään 20 digitalisaatiota ja turvallisuutta koskevaa hanketta on saatettu päätökseen yhtenäisen eurooppalaisen ilmatilan kehittämiseksi. Hankkeet on valittu hankkeiden myöntämisperusteiden mukaisesti (</w:t>
            </w:r>
            <w:r>
              <w:rPr>
                <w:noProof/>
              </w:rPr>
              <w:t>Milestone 90) (perustaso: Joulukuuta 2024).</w:t>
            </w:r>
          </w:p>
        </w:tc>
      </w:tr>
      <w:tr w:rsidR="000E48CE" w14:paraId="7AE80DCA" w14:textId="77777777">
        <w:trPr>
          <w:trHeight w:val="309"/>
        </w:trPr>
        <w:tc>
          <w:tcPr>
            <w:tcW w:w="709" w:type="dxa"/>
            <w:shd w:val="clear" w:color="auto" w:fill="C6EFCE"/>
            <w:noWrap/>
          </w:tcPr>
          <w:p w14:paraId="662CABB4" w14:textId="77777777" w:rsidR="000E48CE" w:rsidRDefault="00FF4C4E">
            <w:pPr>
              <w:pStyle w:val="P68B1DB1-Normal13"/>
              <w:spacing w:after="0" w:line="240" w:lineRule="auto"/>
              <w:jc w:val="center"/>
              <w:rPr>
                <w:rFonts w:eastAsia="Calibri" w:cs="Times New Roman"/>
                <w:noProof/>
              </w:rPr>
            </w:pPr>
            <w:r>
              <w:rPr>
                <w:noProof/>
              </w:rPr>
              <w:t>94</w:t>
            </w:r>
          </w:p>
        </w:tc>
        <w:tc>
          <w:tcPr>
            <w:tcW w:w="851" w:type="dxa"/>
            <w:shd w:val="clear" w:color="auto" w:fill="C6EFCE"/>
            <w:noWrap/>
          </w:tcPr>
          <w:p w14:paraId="606FE42A" w14:textId="77777777" w:rsidR="000E48CE" w:rsidRDefault="00FF4C4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1F965BD1"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76D8F0EF" w14:textId="77777777" w:rsidR="000E48CE" w:rsidRDefault="00FF4C4E">
            <w:pPr>
              <w:pStyle w:val="P68B1DB1-Normal13"/>
              <w:spacing w:after="0" w:line="240" w:lineRule="auto"/>
              <w:rPr>
                <w:rFonts w:eastAsia="Calibri" w:cs="Times New Roman"/>
                <w:noProof/>
              </w:rPr>
            </w:pPr>
            <w:r>
              <w:rPr>
                <w:noProof/>
              </w:rPr>
              <w:t xml:space="preserve">Voimassa olevan sääntelyn mukaisesti mukautettu valtiontieverkko </w:t>
            </w:r>
          </w:p>
        </w:tc>
        <w:tc>
          <w:tcPr>
            <w:tcW w:w="1134" w:type="dxa"/>
            <w:shd w:val="clear" w:color="auto" w:fill="C6EFCE"/>
            <w:noWrap/>
          </w:tcPr>
          <w:p w14:paraId="5ED31B6D" w14:textId="77777777" w:rsidR="000E48CE" w:rsidRDefault="00FF4C4E">
            <w:pPr>
              <w:pStyle w:val="P68B1DB1-Normal13"/>
              <w:spacing w:after="0" w:line="240" w:lineRule="auto"/>
              <w:jc w:val="center"/>
              <w:rPr>
                <w:rFonts w:eastAsia="Calibri" w:cs="Times New Roman"/>
                <w:noProof/>
              </w:rPr>
            </w:pPr>
            <w:r>
              <w:rPr>
                <w:noProof/>
              </w:rPr>
              <w:t>Hankkeen loppuun saattaminen</w:t>
            </w:r>
          </w:p>
        </w:tc>
        <w:tc>
          <w:tcPr>
            <w:tcW w:w="850" w:type="dxa"/>
            <w:shd w:val="clear" w:color="auto" w:fill="C6EFCE"/>
            <w:noWrap/>
          </w:tcPr>
          <w:p w14:paraId="1AF05E09" w14:textId="77777777" w:rsidR="000E48CE" w:rsidRDefault="00FF4C4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0C9381D1"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BF368CB" w14:textId="77777777" w:rsidR="000E48CE" w:rsidRDefault="00FF4C4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0BC2A4FB" w14:textId="77777777" w:rsidR="000E48CE" w:rsidRDefault="00FF4C4E">
            <w:pPr>
              <w:pStyle w:val="P68B1DB1-Normal13"/>
              <w:spacing w:after="0" w:line="240" w:lineRule="auto"/>
              <w:jc w:val="center"/>
              <w:rPr>
                <w:rFonts w:eastAsia="Calibri" w:cs="Times New Roman"/>
                <w:noProof/>
              </w:rPr>
            </w:pPr>
            <w:r>
              <w:rPr>
                <w:noProof/>
              </w:rPr>
              <w:t>Q2</w:t>
            </w:r>
          </w:p>
        </w:tc>
        <w:tc>
          <w:tcPr>
            <w:tcW w:w="567" w:type="dxa"/>
            <w:shd w:val="clear" w:color="auto" w:fill="C6EFCE"/>
            <w:noWrap/>
          </w:tcPr>
          <w:p w14:paraId="2C164734" w14:textId="77777777" w:rsidR="000E48CE" w:rsidRDefault="00FF4C4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55CF59BF" w14:textId="77777777" w:rsidR="000E48CE" w:rsidRDefault="00FF4C4E">
            <w:pPr>
              <w:pStyle w:val="P68B1DB1-Normal13"/>
              <w:spacing w:after="0" w:line="240" w:lineRule="auto"/>
              <w:rPr>
                <w:rFonts w:eastAsia="Calibri" w:cs="Times New Roman"/>
                <w:noProof/>
              </w:rPr>
            </w:pPr>
            <w:r>
              <w:rPr>
                <w:noProof/>
              </w:rPr>
              <w:t xml:space="preserve">Valtion tieverkon turvallisuuden parantamiseen tähtäävät työt kansallisten ja </w:t>
            </w:r>
            <w:r>
              <w:rPr>
                <w:noProof/>
              </w:rPr>
              <w:t>eurooppalaisten säännösten mukaisesti valmistuvat vuoden 2022 neljännen neljänneksen b kohdan valintakriteereissä määritellyillä aloilla (Milestone 88), ja niihin sisältyy töitä vähintään 80 tunnelissa, töitä, joilla pyritään vähentämään luonnonvaraisten e</w:t>
            </w:r>
            <w:r>
              <w:rPr>
                <w:noProof/>
              </w:rPr>
              <w:t>läinten ja kasvien iskeytymisen todennäköisyyttä, toteutetaan toimia haavoittuvimpien tienkäyttäjien, kuten jalankulkijoiden ja pyöräilijöiden, turvallisuusolosuhteiden parantamiseksi (kävelytiet, pyöräkaistat), melua vähentävät toimet, digitalisaatio (sil</w:t>
            </w:r>
            <w:r>
              <w:rPr>
                <w:noProof/>
              </w:rPr>
              <w:t>tojen, tunnelien, massadata-analytiikan ja esineiden internetin käyttö); teiden digitalisointi seurantaa ja kunnossapitoa varten, älykkäiden liikennejärjestelmien käyttöönotto linja-autoilla.</w:t>
            </w:r>
          </w:p>
        </w:tc>
      </w:tr>
      <w:tr w:rsidR="000E48CE" w14:paraId="72C896A4" w14:textId="77777777">
        <w:trPr>
          <w:trHeight w:val="309"/>
        </w:trPr>
        <w:tc>
          <w:tcPr>
            <w:tcW w:w="709" w:type="dxa"/>
            <w:shd w:val="clear" w:color="auto" w:fill="C6EFCE"/>
            <w:noWrap/>
          </w:tcPr>
          <w:p w14:paraId="3A9150B4" w14:textId="77777777" w:rsidR="000E48CE" w:rsidRDefault="00FF4C4E">
            <w:pPr>
              <w:pStyle w:val="P68B1DB1-Normal13"/>
              <w:spacing w:after="0" w:line="240" w:lineRule="auto"/>
              <w:jc w:val="center"/>
              <w:rPr>
                <w:rFonts w:eastAsia="Calibri" w:cs="Times New Roman"/>
                <w:noProof/>
              </w:rPr>
            </w:pPr>
            <w:r>
              <w:rPr>
                <w:noProof/>
              </w:rPr>
              <w:t>95</w:t>
            </w:r>
          </w:p>
        </w:tc>
        <w:tc>
          <w:tcPr>
            <w:tcW w:w="851" w:type="dxa"/>
            <w:shd w:val="clear" w:color="auto" w:fill="C6EFCE"/>
            <w:noWrap/>
          </w:tcPr>
          <w:p w14:paraId="5291B500" w14:textId="77777777" w:rsidR="000E48CE" w:rsidRDefault="00FF4C4E">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7731F430"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678348CE" w14:textId="77777777" w:rsidR="000E48CE" w:rsidRDefault="00FF4C4E">
            <w:pPr>
              <w:pStyle w:val="P68B1DB1-Normal13"/>
              <w:spacing w:after="0" w:line="240" w:lineRule="auto"/>
              <w:rPr>
                <w:rFonts w:eastAsia="Calibri" w:cs="Times New Roman"/>
                <w:noProof/>
              </w:rPr>
            </w:pPr>
            <w:r>
              <w:rPr>
                <w:noProof/>
              </w:rPr>
              <w:t xml:space="preserve">Intermodaaliset ja logistiset infrastruktuurit: osittainen talousarvio </w:t>
            </w:r>
          </w:p>
        </w:tc>
        <w:tc>
          <w:tcPr>
            <w:tcW w:w="1134" w:type="dxa"/>
            <w:shd w:val="clear" w:color="auto" w:fill="C6EFCE"/>
            <w:noWrap/>
          </w:tcPr>
          <w:p w14:paraId="2F4859FA" w14:textId="77777777" w:rsidR="000E48CE" w:rsidRDefault="00FF4C4E">
            <w:pPr>
              <w:pStyle w:val="P68B1DB1-Normal13"/>
              <w:spacing w:after="0" w:line="240" w:lineRule="auto"/>
              <w:jc w:val="center"/>
              <w:rPr>
                <w:rFonts w:eastAsia="Calibri" w:cs="Times New Roman"/>
                <w:noProof/>
              </w:rPr>
            </w:pPr>
            <w:r>
              <w:rPr>
                <w:noProof/>
              </w:rPr>
              <w:t>Virallinen ilmoitus hankkeen myöntämisestä—</w:t>
            </w:r>
          </w:p>
        </w:tc>
        <w:tc>
          <w:tcPr>
            <w:tcW w:w="850" w:type="dxa"/>
            <w:shd w:val="clear" w:color="auto" w:fill="C6EFCE"/>
            <w:noWrap/>
          </w:tcPr>
          <w:p w14:paraId="7EE978CC" w14:textId="77777777" w:rsidR="000E48CE" w:rsidRDefault="00FF4C4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5DD46645"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4B9B179D" w14:textId="77777777" w:rsidR="000E48CE" w:rsidRDefault="00FF4C4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03B6F028"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72CB7BC4" w14:textId="77777777" w:rsidR="000E48CE" w:rsidRDefault="00FF4C4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5E6C250E" w14:textId="04B9AD3A" w:rsidR="000E48CE" w:rsidRDefault="00FF4C4E">
            <w:pPr>
              <w:pStyle w:val="P68B1DB1-Normal13"/>
              <w:spacing w:after="0" w:line="240" w:lineRule="auto"/>
              <w:rPr>
                <w:rFonts w:eastAsia="Calibri" w:cs="Times New Roman"/>
                <w:noProof/>
              </w:rPr>
            </w:pPr>
            <w:r>
              <w:rPr>
                <w:noProof/>
              </w:rPr>
              <w:t>Vähintään 330 000 0000 euron kumulatiivinen talousarvio (kokonaistavoitebudjetti 974000000 euroa) intermodaalisten ja logistis</w:t>
            </w:r>
            <w:r>
              <w:rPr>
                <w:noProof/>
              </w:rPr>
              <w:t>ten infrastruktuurien parantamiseen tähtääviin toimiin</w:t>
            </w:r>
            <w:r>
              <w:rPr>
                <w:noProof/>
              </w:rPr>
              <w:br/>
              <w:t>Hankkeiden myöntämisessä noudatetaan seuraavia valintaperusteita:</w:t>
            </w:r>
            <w:r>
              <w:rPr>
                <w:noProof/>
              </w:rPr>
              <w:br/>
              <w:t>yhdeksän strategisen intermodaali- ja logistisen terminaalin (TILOS 217000000 euroa) kehittäminen ja parantaminen intermodaaliterminaal</w:t>
            </w:r>
            <w:r>
              <w:rPr>
                <w:noProof/>
              </w:rPr>
              <w:t xml:space="preserve">in yhdistämiseksi logistiikka-alueeseen joissakin tapauksissa ja tavaraliikenteen liikennemuotosiirtymän vauhdittamiseksi maanteiltä rautateille kaikissa tapauksissa. Näitä päätteitä ja logistisia välineitä ovat: </w:t>
            </w:r>
            <w:r>
              <w:rPr>
                <w:noProof/>
              </w:rPr>
              <w:br/>
              <w:t>• Vicálvaro Madridissa;</w:t>
            </w:r>
            <w:r>
              <w:rPr>
                <w:noProof/>
              </w:rPr>
              <w:br/>
              <w:t>• Llagosta Barcelo</w:t>
            </w:r>
            <w:r>
              <w:rPr>
                <w:noProof/>
              </w:rPr>
              <w:t xml:space="preserve">nassa </w:t>
            </w:r>
            <w:r>
              <w:rPr>
                <w:noProof/>
              </w:rPr>
              <w:br/>
              <w:t xml:space="preserve">• San Luis Valenciassa </w:t>
            </w:r>
            <w:r>
              <w:rPr>
                <w:noProof/>
              </w:rPr>
              <w:br/>
              <w:t>• Júndiz Álavassa.</w:t>
            </w:r>
            <w:r>
              <w:rPr>
                <w:noProof/>
              </w:rPr>
              <w:br/>
              <w:t xml:space="preserve">• Can Tunisin logistiikkalaitos (Barcelona) </w:t>
            </w:r>
            <w:r>
              <w:rPr>
                <w:noProof/>
              </w:rPr>
              <w:br/>
              <w:t xml:space="preserve">• Orduñan terminaali (Bizkaia) </w:t>
            </w:r>
            <w:r>
              <w:rPr>
                <w:noProof/>
              </w:rPr>
              <w:br/>
              <w:t xml:space="preserve">• Logistiikkakeskus Lezossa (Gipuzkoa) </w:t>
            </w:r>
            <w:r>
              <w:rPr>
                <w:noProof/>
              </w:rPr>
              <w:br/>
              <w:t xml:space="preserve">• Muriedas (Santander) </w:t>
            </w:r>
            <w:r>
              <w:rPr>
                <w:noProof/>
              </w:rPr>
              <w:br/>
              <w:t xml:space="preserve">• Escombrerasin terminaali (Murcia) </w:t>
            </w:r>
            <w:r>
              <w:rPr>
                <w:noProof/>
              </w:rPr>
              <w:br/>
              <w:t>rautatieyhteyksien parantami</w:t>
            </w:r>
            <w:r>
              <w:rPr>
                <w:noProof/>
              </w:rPr>
              <w:t xml:space="preserve">nen kahteen Espanjan satamaan (407700000 euroa) ja maantieyhteys yhteen satamaan (43000000 euroa), mukaan lukien seuraavat: </w:t>
            </w:r>
            <w:r>
              <w:rPr>
                <w:noProof/>
              </w:rPr>
              <w:br/>
              <w:t xml:space="preserve">• Rautatieyhteys A Coruñan satamaan </w:t>
            </w:r>
            <w:r>
              <w:rPr>
                <w:noProof/>
              </w:rPr>
              <w:br/>
              <w:t xml:space="preserve">• Rautatieyhteys Castellónin satamaan </w:t>
            </w:r>
            <w:r>
              <w:rPr>
                <w:noProof/>
              </w:rPr>
              <w:br/>
              <w:t xml:space="preserve">• Pääsy Algecirasin satamaan </w:t>
            </w:r>
            <w:r>
              <w:rPr>
                <w:noProof/>
              </w:rPr>
              <w:br/>
              <w:t>• 750 metrin sivuraiteide</w:t>
            </w:r>
            <w:r>
              <w:rPr>
                <w:noProof/>
              </w:rPr>
              <w:t xml:space="preserve">n rakentaminen. </w:t>
            </w:r>
            <w:r>
              <w:rPr>
                <w:noProof/>
              </w:rPr>
              <w:br/>
              <w:t>saavutettavuuden parantaminen (19 hanketta) ja kestävyys (25 hanketta) satamissa (306000000 euroa), mukaan lukien seuraavat:</w:t>
            </w:r>
            <w:r>
              <w:rPr>
                <w:noProof/>
              </w:rPr>
              <w:br/>
              <w:t>• Saavutettavuus (176000000 euroa) rautateiden liityntätyöt, mukaan lukien kunnostus- ja parannustyöt, sekä satami</w:t>
            </w:r>
            <w:r>
              <w:rPr>
                <w:noProof/>
              </w:rPr>
              <w:t>en sisäisen liikenteen uudet käyttöoikeudet ja parantaminen mukauttamalla infrastruktuuria, joka jatkaa ulkoista maayhteyttä.</w:t>
            </w:r>
            <w:r>
              <w:rPr>
                <w:noProof/>
              </w:rPr>
              <w:br/>
              <w:t>• Kestävyys: mukaan lukien vesihuolto- ja sanitaatiojärjestelmien riittävyys; ilmanlaadun parantamissuunnitelmat; tehokkaampien en</w:t>
            </w:r>
            <w:r>
              <w:rPr>
                <w:noProof/>
              </w:rPr>
              <w:t xml:space="preserve">ergiaverkkojen asentaminen; aurinkosähkölaitokset; valaistusverkkojen kunnostaminen ja LED-teknologian asentaminen; tehonkulutuksen säätöjärjestelmät; käsittelyjärjestelmien kunnostaminen </w:t>
            </w:r>
            <w:r>
              <w:rPr>
                <w:noProof/>
              </w:rPr>
              <w:br/>
              <w:t>Toimien tavoitteena on panna täytäntöön turvallisen, kestävän ja yh</w:t>
            </w:r>
            <w:r>
              <w:rPr>
                <w:noProof/>
              </w:rPr>
              <w:t>teenliitetyn liikkuvuuden strategian (R1) osa-alue 6, joka koskee älykkäitä intermodaalisia logistiikkaketjuja.</w:t>
            </w:r>
            <w:r>
              <w:rPr>
                <w:noProof/>
              </w:rPr>
              <w:br/>
              <w:t>Valintaperusteilla on varmistettava, että 974000000 euron kokonaistavoitebudjetista vähintään 584000000 euroa edistetään ilmastonmuutostavoittei</w:t>
            </w:r>
            <w:r>
              <w:rPr>
                <w:noProof/>
              </w:rPr>
              <w:t>den saavuttamista 100 prosentin ilmastokertoimella ja vähintään 217000000 eurolla vähintään 40 prosentin ilmastokertoimella elpymis- ja palautumistukivälinettä koskevan asetuksen (EU) 2021/241 liitteen VI mukaisesti.</w:t>
            </w:r>
          </w:p>
        </w:tc>
      </w:tr>
      <w:tr w:rsidR="000E48CE" w14:paraId="205345C6" w14:textId="77777777">
        <w:trPr>
          <w:trHeight w:val="309"/>
        </w:trPr>
        <w:tc>
          <w:tcPr>
            <w:tcW w:w="709" w:type="dxa"/>
            <w:shd w:val="clear" w:color="auto" w:fill="C6EFCE"/>
            <w:noWrap/>
          </w:tcPr>
          <w:p w14:paraId="5E240B06" w14:textId="77777777" w:rsidR="000E48CE" w:rsidRDefault="00FF4C4E">
            <w:pPr>
              <w:pStyle w:val="P68B1DB1-Normal13"/>
              <w:spacing w:after="0" w:line="240" w:lineRule="auto"/>
              <w:jc w:val="center"/>
              <w:rPr>
                <w:rFonts w:eastAsia="Calibri" w:cs="Times New Roman"/>
                <w:noProof/>
              </w:rPr>
            </w:pPr>
            <w:r>
              <w:rPr>
                <w:noProof/>
              </w:rPr>
              <w:t>96</w:t>
            </w:r>
          </w:p>
        </w:tc>
        <w:tc>
          <w:tcPr>
            <w:tcW w:w="851" w:type="dxa"/>
            <w:shd w:val="clear" w:color="auto" w:fill="C6EFCE"/>
            <w:noWrap/>
          </w:tcPr>
          <w:p w14:paraId="0423B15F" w14:textId="77777777" w:rsidR="000E48CE" w:rsidRDefault="00FF4C4E">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2A206639"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3BA36AFE" w14:textId="77777777" w:rsidR="000E48CE" w:rsidRDefault="00FF4C4E">
            <w:pPr>
              <w:pStyle w:val="P68B1DB1-Normal13"/>
              <w:spacing w:after="0" w:line="240" w:lineRule="auto"/>
              <w:rPr>
                <w:rFonts w:eastAsia="Calibri" w:cs="Times New Roman"/>
                <w:noProof/>
              </w:rPr>
            </w:pPr>
            <w:r>
              <w:rPr>
                <w:noProof/>
              </w:rPr>
              <w:t xml:space="preserve">Intermodaalisen ja logistisen infrastruktuurin talousarvion toteuttaminen </w:t>
            </w:r>
          </w:p>
        </w:tc>
        <w:tc>
          <w:tcPr>
            <w:tcW w:w="1134" w:type="dxa"/>
            <w:shd w:val="clear" w:color="auto" w:fill="C6EFCE"/>
            <w:noWrap/>
          </w:tcPr>
          <w:p w14:paraId="21530F9C" w14:textId="77777777" w:rsidR="000E48CE" w:rsidRDefault="00FF4C4E">
            <w:pPr>
              <w:pStyle w:val="P68B1DB1-Normal13"/>
              <w:spacing w:after="0" w:line="240" w:lineRule="auto"/>
              <w:jc w:val="center"/>
              <w:rPr>
                <w:rFonts w:eastAsia="Calibri" w:cs="Times New Roman"/>
                <w:noProof/>
              </w:rPr>
            </w:pPr>
            <w:r>
              <w:rPr>
                <w:noProof/>
              </w:rPr>
              <w:t xml:space="preserve">Virallinen ilmoitus talousarvion toteuttamisesta </w:t>
            </w:r>
          </w:p>
        </w:tc>
        <w:tc>
          <w:tcPr>
            <w:tcW w:w="850" w:type="dxa"/>
            <w:shd w:val="clear" w:color="auto" w:fill="C6EFCE"/>
            <w:noWrap/>
          </w:tcPr>
          <w:p w14:paraId="38BC71DC" w14:textId="77777777" w:rsidR="000E48CE" w:rsidRDefault="00FF4C4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66978A9C"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4CD2E59C" w14:textId="77777777" w:rsidR="000E48CE" w:rsidRDefault="00FF4C4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36174567"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05689B90" w14:textId="77777777" w:rsidR="000E48CE" w:rsidRDefault="00FF4C4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0816BCB3" w14:textId="77777777" w:rsidR="000E48CE" w:rsidRDefault="00FF4C4E">
            <w:pPr>
              <w:pStyle w:val="P68B1DB1-Normal13"/>
              <w:spacing w:after="0" w:line="240" w:lineRule="auto"/>
              <w:rPr>
                <w:rFonts w:eastAsia="Calibri" w:cs="Times New Roman"/>
                <w:noProof/>
              </w:rPr>
            </w:pPr>
            <w:r>
              <w:rPr>
                <w:noProof/>
              </w:rPr>
              <w:t>Intermodaalisia ja logistisia infrastruktuurirakenteita varten toteutettu kumulatiivinen talousarvio, jonka arvo on v</w:t>
            </w:r>
            <w:r>
              <w:rPr>
                <w:noProof/>
              </w:rPr>
              <w:t>ähintään 590000000 euroa, on tehty aloilla, jotka määritellään hankkeiden myöntämiskriteereissä vuoden 2022 viimeisellä neljänneksellä, a, b ja c (Milestone 95).</w:t>
            </w:r>
          </w:p>
        </w:tc>
      </w:tr>
      <w:tr w:rsidR="000E48CE" w14:paraId="48B359EC" w14:textId="77777777">
        <w:trPr>
          <w:trHeight w:val="309"/>
        </w:trPr>
        <w:tc>
          <w:tcPr>
            <w:tcW w:w="709" w:type="dxa"/>
            <w:shd w:val="clear" w:color="auto" w:fill="C6EFCE"/>
            <w:noWrap/>
          </w:tcPr>
          <w:p w14:paraId="5C30BB71" w14:textId="77777777" w:rsidR="000E48CE" w:rsidRDefault="00FF4C4E">
            <w:pPr>
              <w:pStyle w:val="P68B1DB1-Normal13"/>
              <w:spacing w:after="0" w:line="240" w:lineRule="auto"/>
              <w:jc w:val="center"/>
              <w:rPr>
                <w:rFonts w:eastAsia="Calibri" w:cs="Times New Roman"/>
                <w:noProof/>
              </w:rPr>
            </w:pPr>
            <w:r>
              <w:rPr>
                <w:noProof/>
              </w:rPr>
              <w:t>97</w:t>
            </w:r>
          </w:p>
        </w:tc>
        <w:tc>
          <w:tcPr>
            <w:tcW w:w="851" w:type="dxa"/>
            <w:shd w:val="clear" w:color="auto" w:fill="C6EFCE"/>
            <w:noWrap/>
          </w:tcPr>
          <w:p w14:paraId="7C3AC971" w14:textId="77777777" w:rsidR="000E48CE" w:rsidRDefault="00FF4C4E">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495C5B68" w14:textId="77777777" w:rsidR="000E48CE" w:rsidRDefault="00FF4C4E">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7FE03AC2" w14:textId="77777777" w:rsidR="000E48CE" w:rsidRDefault="00FF4C4E">
            <w:pPr>
              <w:pStyle w:val="P68B1DB1-Normal13"/>
              <w:spacing w:after="0" w:line="240" w:lineRule="auto"/>
              <w:rPr>
                <w:rFonts w:eastAsia="Calibri" w:cs="Times New Roman"/>
                <w:noProof/>
              </w:rPr>
            </w:pPr>
            <w:r>
              <w:rPr>
                <w:noProof/>
              </w:rPr>
              <w:t xml:space="preserve">Intermodaalinen ja logistinen infrastruktuuri  </w:t>
            </w:r>
          </w:p>
        </w:tc>
        <w:tc>
          <w:tcPr>
            <w:tcW w:w="1134" w:type="dxa"/>
            <w:shd w:val="clear" w:color="auto" w:fill="C6EFCE"/>
            <w:noWrap/>
          </w:tcPr>
          <w:p w14:paraId="3AD8BB85" w14:textId="77777777" w:rsidR="000E48CE" w:rsidRDefault="00FF4C4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3B29AAD3" w14:textId="77777777" w:rsidR="000E48CE" w:rsidRDefault="00FF4C4E">
            <w:pPr>
              <w:pStyle w:val="P68B1DB1-Normal13"/>
              <w:spacing w:after="0" w:line="240" w:lineRule="auto"/>
              <w:jc w:val="right"/>
              <w:rPr>
                <w:rFonts w:eastAsia="Calibri" w:cs="Times New Roman"/>
                <w:noProof/>
              </w:rPr>
            </w:pPr>
            <w:r>
              <w:rPr>
                <w:noProof/>
              </w:rPr>
              <w:t>Määrä</w:t>
            </w:r>
          </w:p>
        </w:tc>
        <w:tc>
          <w:tcPr>
            <w:tcW w:w="567" w:type="dxa"/>
            <w:shd w:val="clear" w:color="auto" w:fill="C6EFCE"/>
            <w:noWrap/>
          </w:tcPr>
          <w:p w14:paraId="290A9710" w14:textId="77777777" w:rsidR="000E48CE" w:rsidRDefault="00FF4C4E">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48DF98D7" w14:textId="77777777" w:rsidR="000E48CE" w:rsidRDefault="00FF4C4E">
            <w:pPr>
              <w:pStyle w:val="P68B1DB1-Normal13"/>
              <w:spacing w:after="0" w:line="240" w:lineRule="auto"/>
              <w:jc w:val="right"/>
              <w:rPr>
                <w:rFonts w:eastAsia="Calibri" w:cs="Times New Roman"/>
                <w:noProof/>
              </w:rPr>
            </w:pPr>
            <w:r>
              <w:rPr>
                <w:noProof/>
              </w:rPr>
              <w:t>12</w:t>
            </w:r>
          </w:p>
        </w:tc>
        <w:tc>
          <w:tcPr>
            <w:tcW w:w="425" w:type="dxa"/>
            <w:shd w:val="clear" w:color="auto" w:fill="C6EFCE"/>
            <w:noWrap/>
          </w:tcPr>
          <w:p w14:paraId="1081CEB9" w14:textId="77777777" w:rsidR="000E48CE" w:rsidRDefault="00FF4C4E">
            <w:pPr>
              <w:pStyle w:val="P68B1DB1-Normal13"/>
              <w:spacing w:after="0" w:line="240" w:lineRule="auto"/>
              <w:jc w:val="center"/>
              <w:rPr>
                <w:rFonts w:eastAsia="Calibri" w:cs="Times New Roman"/>
                <w:noProof/>
              </w:rPr>
            </w:pPr>
            <w:r>
              <w:rPr>
                <w:noProof/>
              </w:rPr>
              <w:t>Q2</w:t>
            </w:r>
          </w:p>
        </w:tc>
        <w:tc>
          <w:tcPr>
            <w:tcW w:w="567" w:type="dxa"/>
            <w:shd w:val="clear" w:color="auto" w:fill="C6EFCE"/>
            <w:noWrap/>
          </w:tcPr>
          <w:p w14:paraId="03D54D94" w14:textId="77777777" w:rsidR="000E48CE" w:rsidRDefault="00FF4C4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6DA6CB92" w14:textId="77777777" w:rsidR="000E48CE" w:rsidRDefault="00FF4C4E">
            <w:pPr>
              <w:pStyle w:val="P68B1DB1-Normal13"/>
              <w:spacing w:after="0" w:line="240" w:lineRule="auto"/>
              <w:rPr>
                <w:rFonts w:eastAsia="Calibri" w:cs="Times New Roman"/>
                <w:noProof/>
              </w:rPr>
            </w:pPr>
            <w:r>
              <w:rPr>
                <w:noProof/>
              </w:rPr>
              <w:t>Töiden loppuun saattaminen yhdeksässä strategisessa intermodaali- ja logistiikkaterminaalissa (Tilos) ja kolmessa uudessa tai parannetussa satamassa rautateiden tavaraliikenteen edistämiseksi. Työt on tehty aloilla, jotka on määritelty vuoden 2022 neljänne</w:t>
            </w:r>
            <w:r>
              <w:rPr>
                <w:noProof/>
              </w:rPr>
              <w:t xml:space="preserve">n vuosineljänneksen valintakriteereissä a ja b (Milestone 95). </w:t>
            </w:r>
          </w:p>
        </w:tc>
      </w:tr>
      <w:tr w:rsidR="000E48CE" w14:paraId="55E37360" w14:textId="77777777">
        <w:trPr>
          <w:trHeight w:val="309"/>
        </w:trPr>
        <w:tc>
          <w:tcPr>
            <w:tcW w:w="709" w:type="dxa"/>
            <w:shd w:val="clear" w:color="auto" w:fill="C6EFCE"/>
            <w:noWrap/>
          </w:tcPr>
          <w:p w14:paraId="1D3E6FDD" w14:textId="77777777" w:rsidR="000E48CE" w:rsidRDefault="00FF4C4E">
            <w:pPr>
              <w:pStyle w:val="P68B1DB1-Normal13"/>
              <w:spacing w:after="0" w:line="240" w:lineRule="auto"/>
              <w:jc w:val="center"/>
              <w:rPr>
                <w:rFonts w:eastAsia="Calibri" w:cs="Times New Roman"/>
                <w:noProof/>
              </w:rPr>
            </w:pPr>
            <w:r>
              <w:rPr>
                <w:noProof/>
              </w:rPr>
              <w:t>98</w:t>
            </w:r>
          </w:p>
        </w:tc>
        <w:tc>
          <w:tcPr>
            <w:tcW w:w="851" w:type="dxa"/>
            <w:shd w:val="clear" w:color="auto" w:fill="C6EFCE"/>
            <w:noWrap/>
          </w:tcPr>
          <w:p w14:paraId="62B12274" w14:textId="77777777" w:rsidR="000E48CE" w:rsidRDefault="00FF4C4E">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6B68F24E" w14:textId="77777777" w:rsidR="000E48CE" w:rsidRDefault="00FF4C4E">
            <w:pPr>
              <w:pStyle w:val="P68B1DB1-Normal13"/>
              <w:spacing w:after="0" w:line="240" w:lineRule="auto"/>
              <w:jc w:val="center"/>
              <w:rPr>
                <w:rFonts w:eastAsia="Calibri" w:cs="Times New Roman"/>
                <w:noProof/>
              </w:rPr>
            </w:pPr>
            <w:r>
              <w:rPr>
                <w:noProof/>
              </w:rPr>
              <w:t>T</w:t>
            </w:r>
          </w:p>
        </w:tc>
        <w:tc>
          <w:tcPr>
            <w:tcW w:w="1560" w:type="dxa"/>
            <w:shd w:val="clear" w:color="auto" w:fill="C6EFCE"/>
            <w:noWrap/>
          </w:tcPr>
          <w:p w14:paraId="2FEE4FFB" w14:textId="77777777" w:rsidR="000E48CE" w:rsidRDefault="00FF4C4E">
            <w:pPr>
              <w:pStyle w:val="P68B1DB1-Normal13"/>
              <w:spacing w:after="0" w:line="240" w:lineRule="auto"/>
              <w:rPr>
                <w:rFonts w:eastAsia="Calibri" w:cs="Times New Roman"/>
                <w:noProof/>
              </w:rPr>
            </w:pPr>
            <w:r>
              <w:rPr>
                <w:noProof/>
              </w:rPr>
              <w:t xml:space="preserve">Rautateiden esteettömyyttä ja satamien kestävyyttä koskevien hankkeiden loppuun saattaminen </w:t>
            </w:r>
          </w:p>
        </w:tc>
        <w:tc>
          <w:tcPr>
            <w:tcW w:w="1134" w:type="dxa"/>
            <w:shd w:val="clear" w:color="auto" w:fill="C6EFCE"/>
            <w:noWrap/>
          </w:tcPr>
          <w:p w14:paraId="3AC2E41B" w14:textId="77777777" w:rsidR="000E48CE" w:rsidRDefault="00FF4C4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5E79806A" w14:textId="77777777" w:rsidR="000E48CE" w:rsidRDefault="00FF4C4E">
            <w:pPr>
              <w:pStyle w:val="P68B1DB1-Normal13"/>
              <w:spacing w:after="0" w:line="240" w:lineRule="auto"/>
              <w:jc w:val="right"/>
              <w:rPr>
                <w:rFonts w:eastAsia="Calibri" w:cs="Times New Roman"/>
                <w:noProof/>
              </w:rPr>
            </w:pPr>
            <w:r>
              <w:rPr>
                <w:noProof/>
              </w:rPr>
              <w:t>Määrä</w:t>
            </w:r>
          </w:p>
        </w:tc>
        <w:tc>
          <w:tcPr>
            <w:tcW w:w="567" w:type="dxa"/>
            <w:shd w:val="clear" w:color="auto" w:fill="C6EFCE"/>
            <w:noWrap/>
          </w:tcPr>
          <w:p w14:paraId="40717F1A" w14:textId="77777777" w:rsidR="000E48CE" w:rsidRDefault="00FF4C4E">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270091A6" w14:textId="77777777" w:rsidR="000E48CE" w:rsidRDefault="00FF4C4E">
            <w:pPr>
              <w:pStyle w:val="P68B1DB1-Normal13"/>
              <w:spacing w:after="0" w:line="240" w:lineRule="auto"/>
              <w:jc w:val="right"/>
              <w:rPr>
                <w:rFonts w:eastAsia="Calibri" w:cs="Times New Roman"/>
                <w:noProof/>
              </w:rPr>
            </w:pPr>
            <w:r>
              <w:rPr>
                <w:noProof/>
              </w:rPr>
              <w:t>44</w:t>
            </w:r>
          </w:p>
        </w:tc>
        <w:tc>
          <w:tcPr>
            <w:tcW w:w="425" w:type="dxa"/>
            <w:shd w:val="clear" w:color="auto" w:fill="C6EFCE"/>
            <w:noWrap/>
          </w:tcPr>
          <w:p w14:paraId="17B62A45" w14:textId="77777777" w:rsidR="000E48CE" w:rsidRDefault="00FF4C4E">
            <w:pPr>
              <w:pStyle w:val="P68B1DB1-Normal13"/>
              <w:spacing w:after="0" w:line="240" w:lineRule="auto"/>
              <w:jc w:val="center"/>
              <w:rPr>
                <w:rFonts w:eastAsia="Calibri" w:cs="Times New Roman"/>
                <w:noProof/>
              </w:rPr>
            </w:pPr>
            <w:r>
              <w:rPr>
                <w:noProof/>
              </w:rPr>
              <w:t>Q2</w:t>
            </w:r>
          </w:p>
        </w:tc>
        <w:tc>
          <w:tcPr>
            <w:tcW w:w="567" w:type="dxa"/>
            <w:shd w:val="clear" w:color="auto" w:fill="C6EFCE"/>
            <w:noWrap/>
          </w:tcPr>
          <w:p w14:paraId="56E4FF22" w14:textId="77777777" w:rsidR="000E48CE" w:rsidRDefault="00FF4C4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6C922BF8" w14:textId="77777777" w:rsidR="000E48CE" w:rsidRDefault="00FF4C4E">
            <w:pPr>
              <w:pStyle w:val="P68B1DB1-Normal13"/>
              <w:spacing w:after="0" w:line="240" w:lineRule="auto"/>
              <w:rPr>
                <w:rFonts w:eastAsia="Calibri" w:cs="Times New Roman"/>
                <w:noProof/>
              </w:rPr>
            </w:pPr>
            <w:r>
              <w:rPr>
                <w:noProof/>
              </w:rPr>
              <w:t>44 toimen (19+ 25) loppuun saattaminen: vähintään 19 hanketta, jotka koskevat rautateiden saavutettavuutta ja kestävyyshankkeiden loppuun saattamista 25 satamaviranomaisessa. Työt on tehty aloilla, jotka on määritelty vuoden 2022 neljännen vuosineljännekse</w:t>
            </w:r>
            <w:r>
              <w:rPr>
                <w:noProof/>
              </w:rPr>
              <w:t xml:space="preserve">n valintakriteereissä c alakohdassa (Milestone 95). </w:t>
            </w:r>
          </w:p>
        </w:tc>
      </w:tr>
      <w:tr w:rsidR="000E48CE" w14:paraId="52A0EDE1" w14:textId="77777777">
        <w:trPr>
          <w:trHeight w:val="309"/>
        </w:trPr>
        <w:tc>
          <w:tcPr>
            <w:tcW w:w="709" w:type="dxa"/>
            <w:shd w:val="clear" w:color="auto" w:fill="C6EFCE"/>
            <w:noWrap/>
          </w:tcPr>
          <w:p w14:paraId="4C1829E2" w14:textId="1BC823A7" w:rsidR="000E48CE" w:rsidRDefault="00FF4C4E">
            <w:pPr>
              <w:pStyle w:val="P68B1DB1-Normal13"/>
              <w:spacing w:after="0" w:line="240" w:lineRule="auto"/>
              <w:jc w:val="center"/>
              <w:rPr>
                <w:rFonts w:eastAsia="Calibri" w:cs="Times New Roman"/>
                <w:noProof/>
              </w:rPr>
            </w:pPr>
            <w:r>
              <w:rPr>
                <w:noProof/>
              </w:rPr>
              <w:t>99</w:t>
            </w:r>
          </w:p>
        </w:tc>
        <w:tc>
          <w:tcPr>
            <w:tcW w:w="851" w:type="dxa"/>
            <w:shd w:val="clear" w:color="auto" w:fill="C6EFCE"/>
            <w:noWrap/>
          </w:tcPr>
          <w:p w14:paraId="3B30915B" w14:textId="77777777" w:rsidR="000E48CE" w:rsidRDefault="00FF4C4E">
            <w:pPr>
              <w:pStyle w:val="P68B1DB1-Normal13"/>
              <w:spacing w:after="0" w:line="240" w:lineRule="auto"/>
              <w:jc w:val="center"/>
              <w:rPr>
                <w:rFonts w:eastAsia="Calibri" w:cs="Times New Roman"/>
                <w:noProof/>
              </w:rPr>
            </w:pPr>
            <w:r>
              <w:rPr>
                <w:noProof/>
              </w:rPr>
              <w:t>C6.I4</w:t>
            </w:r>
          </w:p>
        </w:tc>
        <w:tc>
          <w:tcPr>
            <w:tcW w:w="850" w:type="dxa"/>
            <w:shd w:val="clear" w:color="auto" w:fill="C6EFCE"/>
            <w:noWrap/>
          </w:tcPr>
          <w:p w14:paraId="6D421D03"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7ACB2AAB" w14:textId="77777777" w:rsidR="000E48CE" w:rsidRDefault="00FF4C4E">
            <w:pPr>
              <w:pStyle w:val="P68B1DB1-Normal13"/>
              <w:spacing w:after="0" w:line="240" w:lineRule="auto"/>
              <w:rPr>
                <w:rFonts w:eastAsia="Calibri" w:cs="Times New Roman"/>
                <w:noProof/>
              </w:rPr>
            </w:pPr>
            <w:r>
              <w:rPr>
                <w:noProof/>
              </w:rPr>
              <w:t xml:space="preserve">Tuki kestävän ja digitaalisen liikenteen ohjelmalle. </w:t>
            </w:r>
          </w:p>
        </w:tc>
        <w:tc>
          <w:tcPr>
            <w:tcW w:w="1134" w:type="dxa"/>
            <w:shd w:val="clear" w:color="auto" w:fill="C6EFCE"/>
            <w:noWrap/>
          </w:tcPr>
          <w:p w14:paraId="0E045576" w14:textId="77777777" w:rsidR="000E48CE" w:rsidRDefault="00FF4C4E">
            <w:pPr>
              <w:pStyle w:val="P68B1DB1-Normal13"/>
              <w:spacing w:after="0" w:line="240" w:lineRule="auto"/>
              <w:jc w:val="center"/>
              <w:rPr>
                <w:rFonts w:eastAsia="Calibri" w:cs="Times New Roman"/>
                <w:noProof/>
              </w:rPr>
            </w:pPr>
            <w:r>
              <w:rPr>
                <w:noProof/>
              </w:rPr>
              <w:t>Euroopan unionin virallinen lehti</w:t>
            </w:r>
          </w:p>
        </w:tc>
        <w:tc>
          <w:tcPr>
            <w:tcW w:w="850" w:type="dxa"/>
            <w:shd w:val="clear" w:color="auto" w:fill="C6EFCE"/>
            <w:noWrap/>
          </w:tcPr>
          <w:p w14:paraId="6F8FFF11"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36B16C7"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597B45D8"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73216A16"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4E312855" w14:textId="77777777" w:rsidR="000E48CE" w:rsidRDefault="00FF4C4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769F7FD6" w14:textId="50F3241A" w:rsidR="000E48CE" w:rsidRDefault="00FF4C4E">
            <w:pPr>
              <w:pStyle w:val="P68B1DB1-Normal13"/>
              <w:spacing w:after="0" w:line="240" w:lineRule="auto"/>
              <w:rPr>
                <w:rFonts w:eastAsia="Calibri" w:cs="Times New Roman"/>
                <w:noProof/>
              </w:rPr>
            </w:pPr>
            <w:r>
              <w:rPr>
                <w:noProof/>
              </w:rPr>
              <w:t xml:space="preserve">Julkaistaan Euroopan unionin virallisessa lehdessä 800000000 euron myöntäminen kestävän ja digitaalisen liikenteen ohjelmasta. </w:t>
            </w:r>
            <w:r>
              <w:rPr>
                <w:noProof/>
              </w:rPr>
              <w:br/>
              <w:t>Hankkeet myönnetään seuraaville 15 toimelle.</w:t>
            </w:r>
            <w:r>
              <w:rPr>
                <w:noProof/>
              </w:rPr>
              <w:br/>
              <w:t xml:space="preserve">Toimintalinja 1. Rautateiden tavaraliikenteen yhteentoimivuus </w:t>
            </w:r>
            <w:r>
              <w:rPr>
                <w:noProof/>
              </w:rPr>
              <w:br/>
              <w:t>1. Junaan asennettav</w:t>
            </w:r>
            <w:r>
              <w:rPr>
                <w:noProof/>
              </w:rPr>
              <w:t xml:space="preserve">at Euroopan rautatieliikenteen hallintajärjestelmät (ERTMS) </w:t>
            </w:r>
            <w:r>
              <w:rPr>
                <w:noProof/>
              </w:rPr>
              <w:br/>
              <w:t>2. Toimet rautateiden yhteentoimivuuden esteiden poistamiseksi YTE:ien mukaisesti.</w:t>
            </w:r>
            <w:r>
              <w:rPr>
                <w:noProof/>
              </w:rPr>
              <w:br/>
              <w:t xml:space="preserve">Liikkuvan kaluston meluntorjuntajärjestelmät </w:t>
            </w:r>
            <w:r>
              <w:rPr>
                <w:noProof/>
              </w:rPr>
              <w:br/>
              <w:t xml:space="preserve">Vetureiden mukauttaminen erilaisiin käyttöjännitteisiin </w:t>
            </w:r>
            <w:r>
              <w:rPr>
                <w:noProof/>
              </w:rPr>
              <w:br/>
              <w:t>Vaihtuvan</w:t>
            </w:r>
            <w:r>
              <w:rPr>
                <w:noProof/>
              </w:rPr>
              <w:t xml:space="preserve"> raideleveyden akseleiden asentaminen tavaravaunuihin </w:t>
            </w:r>
            <w:r>
              <w:rPr>
                <w:noProof/>
              </w:rPr>
              <w:br/>
              <w:t>3. Vetureiden vaihtuvan raideleveyden kehittäminen ja niiden kehittäminen.</w:t>
            </w:r>
            <w:r>
              <w:rPr>
                <w:noProof/>
              </w:rPr>
              <w:br/>
              <w:t>Toimintalinja 2. Intermodaaliliikenteen edistäminen 4. Rahdin ja intermodaalisten rautatie-/maantieterminaalien ja niiden maay</w:t>
            </w:r>
            <w:r>
              <w:rPr>
                <w:noProof/>
              </w:rPr>
              <w:t xml:space="preserve">hteyksien rakentaminen, mukauttaminen tai parantaminen </w:t>
            </w:r>
            <w:r>
              <w:rPr>
                <w:noProof/>
              </w:rPr>
              <w:br/>
              <w:t xml:space="preserve">5. Kestävää tavaraliikennettä (rautatie- ja meriliikennettä) koskeva tuki, joka perustuu tarjontaan ja kysyntään </w:t>
            </w:r>
            <w:r>
              <w:rPr>
                <w:noProof/>
              </w:rPr>
              <w:br/>
              <w:t xml:space="preserve">Toimintalinja 3. Rautateiden tavaraliikennekaluston nykyaikaistaminen </w:t>
            </w:r>
            <w:r>
              <w:rPr>
                <w:noProof/>
              </w:rPr>
              <w:br/>
              <w:t>6. Toimet, joil</w:t>
            </w:r>
            <w:r>
              <w:rPr>
                <w:noProof/>
              </w:rPr>
              <w:t>la tuetaan rautateiden tavaraliikenteen vaunujen kunnostamista tai parantamista, mukaan lukien rautateiden moottoritiepalvelujen perustaminen.</w:t>
            </w:r>
            <w:r>
              <w:rPr>
                <w:noProof/>
              </w:rPr>
              <w:br/>
              <w:t>7. Toimet, joilla tuetaan rautatietraktoreiden varusteiden kunnostamista tai mukauttamista muilla materiaaleilla,</w:t>
            </w:r>
            <w:r>
              <w:rPr>
                <w:noProof/>
              </w:rPr>
              <w:t xml:space="preserve"> joissa käytetään vaihtoehtoisia polttoaineita (vetyä tai sähköä). </w:t>
            </w:r>
            <w:r>
              <w:rPr>
                <w:noProof/>
              </w:rPr>
              <w:br/>
              <w:t xml:space="preserve">Toimintalinja 4. Turvallinen, kestävä ja verkotettu tieliikenne </w:t>
            </w:r>
            <w:r>
              <w:rPr>
                <w:noProof/>
              </w:rPr>
              <w:br/>
              <w:t>8. Hyötyajoneuvojen turvallisten pysäköintialueiden rakentaminen ja parantaminen sekä tietopalvelujen tarjoaminen (delegoit</w:t>
            </w:r>
            <w:r>
              <w:rPr>
                <w:noProof/>
              </w:rPr>
              <w:t>u asetus (EU) N:o 885/2013).</w:t>
            </w:r>
            <w:r>
              <w:rPr>
                <w:noProof/>
              </w:rPr>
              <w:br/>
              <w:t>9. Tieliikenteen älykkäät liikennepalvelut maksullisten moottoriteiden toimiluvissa ja muissa liikenneturvallisuus- ja suojelupalveluissa.</w:t>
            </w:r>
            <w:r>
              <w:rPr>
                <w:noProof/>
              </w:rPr>
              <w:br/>
              <w:t>10. Toimet, joilla tuetaan raskaiden hyötyajoneuvojen vaihtoehtoisten polttoaineiden tan</w:t>
            </w:r>
            <w:r>
              <w:rPr>
                <w:noProof/>
              </w:rPr>
              <w:t xml:space="preserve">kkausinfrastruktuurin käyttöönottoa tieverkossa </w:t>
            </w:r>
            <w:r>
              <w:rPr>
                <w:noProof/>
              </w:rPr>
              <w:br/>
              <w:t xml:space="preserve">11. Toimet, joilla tuetaan välineiden ja koneiden kunnostamista tai mukauttamista kestävän pinnanmuodostuksen saavuttamiseksi: hiilijalanjäljen pienentäminen ja äänen pienentäminen </w:t>
            </w:r>
            <w:r>
              <w:rPr>
                <w:noProof/>
              </w:rPr>
              <w:br/>
              <w:t>Toimintalinja 5. Meri- ja</w:t>
            </w:r>
            <w:r>
              <w:rPr>
                <w:noProof/>
              </w:rPr>
              <w:t xml:space="preserve"> lentoliikenteen kestävyys </w:t>
            </w:r>
            <w:r>
              <w:rPr>
                <w:noProof/>
              </w:rPr>
              <w:br/>
              <w:t>12. Vaihtoehtoisten polttoaineiden käyttöönoton tukeminen satamissa ja lentoasemilla.</w:t>
            </w:r>
            <w:r>
              <w:rPr>
                <w:noProof/>
              </w:rPr>
              <w:br/>
              <w:t>13. Tuetaan vaihtoehtoisten propulsiivisten energiateknologioiden käyttöönottoa merenkulkualalla.</w:t>
            </w:r>
            <w:r>
              <w:rPr>
                <w:noProof/>
              </w:rPr>
              <w:br/>
              <w:t xml:space="preserve">Toimintalinja 6. Liikenteen digitointi </w:t>
            </w:r>
            <w:r>
              <w:rPr>
                <w:noProof/>
              </w:rPr>
              <w:br/>
              <w:t xml:space="preserve">14. </w:t>
            </w:r>
            <w:r>
              <w:rPr>
                <w:noProof/>
              </w:rPr>
              <w:t>Henkilö- ja tavaraliikenteen digitalisointihankkeet kansallisella tasolla.</w:t>
            </w:r>
            <w:r>
              <w:rPr>
                <w:noProof/>
              </w:rPr>
              <w:br/>
              <w:t xml:space="preserve">Siirto itsehallintoalueille </w:t>
            </w:r>
            <w:r>
              <w:rPr>
                <w:noProof/>
              </w:rPr>
              <w:br/>
              <w:t>15. Hankkeet henkilö- ja tavaraliikenteen digitalisoimiseksi alue- ja paikallistasolla.</w:t>
            </w:r>
            <w:r>
              <w:rPr>
                <w:noProof/>
              </w:rPr>
              <w:br/>
              <w:t>Toimien 10 ja 12 osalta valintaperusteiden on oltava ”ei merkitt</w:t>
            </w:r>
            <w:r>
              <w:rPr>
                <w:noProof/>
              </w:rPr>
              <w:t>ävää haittaa” -periaatteen mukaisia (2021/C58/01), joilla varmistetaan, että infrastruktuuri on rakennushetkellä mahdollinen uusiutuvien ja vähähiilisten kaasujen kuljettamista varten.</w:t>
            </w:r>
            <w:r>
              <w:rPr>
                <w:noProof/>
              </w:rPr>
              <w:br/>
              <w:t>Valintaperusteilla on varmistettava, että vähintään 63500000 eurolla ed</w:t>
            </w:r>
            <w:r>
              <w:rPr>
                <w:noProof/>
              </w:rPr>
              <w:t>istetään ilmastonmuutostavoitteiden saavuttamista 100 prosentin ilmastokertoimella ja vähintään 210000000 eurolla vähintään 40 prosentin ilmastokertoimella elpymis- ja palautumistukivälinettä koskevan asetuksen (EU) 2021/241 liitteen VI mukaisesti.</w:t>
            </w:r>
          </w:p>
        </w:tc>
      </w:tr>
      <w:tr w:rsidR="000E48CE" w14:paraId="19F42941" w14:textId="77777777">
        <w:trPr>
          <w:trHeight w:val="309"/>
        </w:trPr>
        <w:tc>
          <w:tcPr>
            <w:tcW w:w="709" w:type="dxa"/>
            <w:shd w:val="clear" w:color="auto" w:fill="C6EFCE"/>
            <w:noWrap/>
          </w:tcPr>
          <w:p w14:paraId="7863B65F" w14:textId="77777777" w:rsidR="000E48CE" w:rsidRDefault="00FF4C4E">
            <w:pPr>
              <w:pStyle w:val="P68B1DB1-Normal13"/>
              <w:spacing w:after="0" w:line="240" w:lineRule="auto"/>
              <w:jc w:val="center"/>
              <w:rPr>
                <w:rFonts w:eastAsia="Calibri" w:cs="Times New Roman"/>
                <w:noProof/>
              </w:rPr>
            </w:pPr>
            <w:r>
              <w:rPr>
                <w:noProof/>
              </w:rPr>
              <w:t>100</w:t>
            </w:r>
          </w:p>
        </w:tc>
        <w:tc>
          <w:tcPr>
            <w:tcW w:w="851" w:type="dxa"/>
            <w:shd w:val="clear" w:color="auto" w:fill="C6EFCE"/>
            <w:noWrap/>
          </w:tcPr>
          <w:p w14:paraId="17F5D837" w14:textId="77777777" w:rsidR="000E48CE" w:rsidRDefault="00FF4C4E">
            <w:pPr>
              <w:pStyle w:val="P68B1DB1-Normal13"/>
              <w:spacing w:after="0" w:line="240" w:lineRule="auto"/>
              <w:jc w:val="center"/>
              <w:rPr>
                <w:rFonts w:eastAsia="Calibri" w:cs="Times New Roman"/>
                <w:noProof/>
              </w:rPr>
            </w:pPr>
            <w:r>
              <w:rPr>
                <w:noProof/>
              </w:rPr>
              <w:t>C6.I4</w:t>
            </w:r>
          </w:p>
        </w:tc>
        <w:tc>
          <w:tcPr>
            <w:tcW w:w="850" w:type="dxa"/>
            <w:shd w:val="clear" w:color="auto" w:fill="C6EFCE"/>
            <w:noWrap/>
          </w:tcPr>
          <w:p w14:paraId="17EBD725"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6BF83F4C" w14:textId="77777777" w:rsidR="000E48CE" w:rsidRDefault="00FF4C4E">
            <w:pPr>
              <w:pStyle w:val="P68B1DB1-Normal13"/>
              <w:spacing w:after="0" w:line="240" w:lineRule="auto"/>
              <w:rPr>
                <w:rFonts w:eastAsia="Calibri" w:cs="Times New Roman"/>
                <w:noProof/>
              </w:rPr>
            </w:pPr>
            <w:r>
              <w:rPr>
                <w:noProof/>
              </w:rPr>
              <w:t>Kestävä ja digitaalinen liikenne: töiden aloittaminen</w:t>
            </w:r>
          </w:p>
        </w:tc>
        <w:tc>
          <w:tcPr>
            <w:tcW w:w="1134" w:type="dxa"/>
            <w:shd w:val="clear" w:color="auto" w:fill="C6EFCE"/>
            <w:noWrap/>
          </w:tcPr>
          <w:p w14:paraId="24CF6479" w14:textId="77777777" w:rsidR="000E48CE" w:rsidRDefault="00FF4C4E">
            <w:pPr>
              <w:pStyle w:val="P68B1DB1-Normal13"/>
              <w:spacing w:after="0" w:line="240" w:lineRule="auto"/>
              <w:jc w:val="center"/>
              <w:rPr>
                <w:rFonts w:eastAsia="Calibri" w:cs="Times New Roman"/>
                <w:noProof/>
              </w:rPr>
            </w:pPr>
            <w:r>
              <w:rPr>
                <w:noProof/>
              </w:rPr>
              <w:t xml:space="preserve">Virallinen ilmoitus töiden aloittamisesta </w:t>
            </w:r>
          </w:p>
        </w:tc>
        <w:tc>
          <w:tcPr>
            <w:tcW w:w="850" w:type="dxa"/>
            <w:shd w:val="clear" w:color="auto" w:fill="C6EFCE"/>
            <w:noWrap/>
          </w:tcPr>
          <w:p w14:paraId="582CCBB7"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7737F961"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39FCE4D"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65FAD227"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66D14CBD" w14:textId="77777777" w:rsidR="000E48CE" w:rsidRDefault="00FF4C4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05C5E7B3" w14:textId="77777777" w:rsidR="000E48CE" w:rsidRDefault="00FF4C4E">
            <w:pPr>
              <w:pStyle w:val="P68B1DB1-Normal13"/>
              <w:spacing w:after="0" w:line="240" w:lineRule="auto"/>
              <w:rPr>
                <w:rFonts w:eastAsia="Calibri" w:cs="Times New Roman"/>
                <w:noProof/>
              </w:rPr>
            </w:pPr>
            <w:r>
              <w:rPr>
                <w:noProof/>
              </w:rPr>
              <w:t>Töiden aloittaminen kaikissa hankkeissa, jotka myönnettiin vuoden 2022 viimeisellä neljänneksellä (Milestone 99) kestävän ja digitaalisen</w:t>
            </w:r>
            <w:r>
              <w:rPr>
                <w:noProof/>
              </w:rPr>
              <w:t xml:space="preserve"> liikenteen edistämiseksi. Työt on tehty aloilla, jotka on määritelty vuoden 2022 viimeisellä neljänneksellä myönnettyjen hankkeiden valintaperusteissa (Milestone 99).</w:t>
            </w:r>
          </w:p>
        </w:tc>
      </w:tr>
      <w:tr w:rsidR="000E48CE" w14:paraId="6668EE6D" w14:textId="77777777">
        <w:trPr>
          <w:trHeight w:val="309"/>
        </w:trPr>
        <w:tc>
          <w:tcPr>
            <w:tcW w:w="709" w:type="dxa"/>
            <w:shd w:val="clear" w:color="auto" w:fill="C6EFCE"/>
            <w:noWrap/>
          </w:tcPr>
          <w:p w14:paraId="6666C624" w14:textId="77777777" w:rsidR="000E48CE" w:rsidRDefault="00FF4C4E">
            <w:pPr>
              <w:pStyle w:val="P68B1DB1-Normal13"/>
              <w:spacing w:after="0" w:line="240" w:lineRule="auto"/>
              <w:jc w:val="center"/>
              <w:rPr>
                <w:rFonts w:eastAsia="Calibri" w:cs="Times New Roman"/>
                <w:noProof/>
              </w:rPr>
            </w:pPr>
            <w:r>
              <w:rPr>
                <w:noProof/>
              </w:rPr>
              <w:t>101</w:t>
            </w:r>
          </w:p>
        </w:tc>
        <w:tc>
          <w:tcPr>
            <w:tcW w:w="851" w:type="dxa"/>
            <w:shd w:val="clear" w:color="auto" w:fill="C6EFCE"/>
            <w:noWrap/>
          </w:tcPr>
          <w:p w14:paraId="57632699" w14:textId="77777777" w:rsidR="000E48CE" w:rsidRDefault="00FF4C4E">
            <w:pPr>
              <w:pStyle w:val="P68B1DB1-Normal13"/>
              <w:spacing w:after="0" w:line="240" w:lineRule="auto"/>
              <w:jc w:val="center"/>
              <w:rPr>
                <w:rFonts w:eastAsia="Calibri" w:cs="Times New Roman"/>
                <w:noProof/>
              </w:rPr>
            </w:pPr>
            <w:r>
              <w:rPr>
                <w:noProof/>
              </w:rPr>
              <w:t>C6.I4</w:t>
            </w:r>
          </w:p>
        </w:tc>
        <w:tc>
          <w:tcPr>
            <w:tcW w:w="850" w:type="dxa"/>
            <w:shd w:val="clear" w:color="auto" w:fill="C6EFCE"/>
            <w:noWrap/>
          </w:tcPr>
          <w:p w14:paraId="702ECB99" w14:textId="77777777" w:rsidR="000E48CE" w:rsidRDefault="00FF4C4E">
            <w:pPr>
              <w:pStyle w:val="P68B1DB1-Normal13"/>
              <w:spacing w:after="0" w:line="240" w:lineRule="auto"/>
              <w:jc w:val="center"/>
              <w:rPr>
                <w:rFonts w:eastAsia="Calibri" w:cs="Times New Roman"/>
                <w:noProof/>
              </w:rPr>
            </w:pPr>
            <w:r>
              <w:rPr>
                <w:noProof/>
              </w:rPr>
              <w:t>M</w:t>
            </w:r>
          </w:p>
        </w:tc>
        <w:tc>
          <w:tcPr>
            <w:tcW w:w="1560" w:type="dxa"/>
            <w:shd w:val="clear" w:color="auto" w:fill="C6EFCE"/>
            <w:noWrap/>
          </w:tcPr>
          <w:p w14:paraId="7422091B" w14:textId="77777777" w:rsidR="000E48CE" w:rsidRDefault="00FF4C4E">
            <w:pPr>
              <w:pStyle w:val="P68B1DB1-Normal13"/>
              <w:spacing w:after="0" w:line="240" w:lineRule="auto"/>
              <w:rPr>
                <w:rFonts w:eastAsia="Calibri" w:cs="Times New Roman"/>
                <w:noProof/>
              </w:rPr>
            </w:pPr>
            <w:r>
              <w:rPr>
                <w:noProof/>
              </w:rPr>
              <w:t>Kestävä ja digitaalinen liikenne: töiden loppuun saattaminen</w:t>
            </w:r>
          </w:p>
        </w:tc>
        <w:tc>
          <w:tcPr>
            <w:tcW w:w="1134" w:type="dxa"/>
            <w:shd w:val="clear" w:color="auto" w:fill="C6EFCE"/>
            <w:noWrap/>
          </w:tcPr>
          <w:p w14:paraId="60E5B26E" w14:textId="77777777" w:rsidR="000E48CE" w:rsidRDefault="00FF4C4E">
            <w:pPr>
              <w:pStyle w:val="P68B1DB1-Normal13"/>
              <w:spacing w:after="0" w:line="240" w:lineRule="auto"/>
              <w:jc w:val="center"/>
              <w:rPr>
                <w:rFonts w:eastAsia="Calibri" w:cs="Times New Roman"/>
                <w:noProof/>
              </w:rPr>
            </w:pPr>
            <w:r>
              <w:rPr>
                <w:noProof/>
              </w:rPr>
              <w:t xml:space="preserve">Virallinen </w:t>
            </w:r>
            <w:r>
              <w:rPr>
                <w:noProof/>
              </w:rPr>
              <w:t>ilmoitus työn päättymisestä</w:t>
            </w:r>
          </w:p>
        </w:tc>
        <w:tc>
          <w:tcPr>
            <w:tcW w:w="850" w:type="dxa"/>
            <w:shd w:val="clear" w:color="auto" w:fill="C6EFCE"/>
            <w:noWrap/>
          </w:tcPr>
          <w:p w14:paraId="5F11E8D2" w14:textId="77777777" w:rsidR="000E48CE" w:rsidRDefault="00FF4C4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56156A73"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93C4773" w14:textId="77777777" w:rsidR="000E48CE" w:rsidRDefault="00FF4C4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5A0931A9" w14:textId="77777777" w:rsidR="000E48CE" w:rsidRDefault="00FF4C4E">
            <w:pPr>
              <w:pStyle w:val="P68B1DB1-Normal13"/>
              <w:spacing w:after="0" w:line="240" w:lineRule="auto"/>
              <w:jc w:val="center"/>
              <w:rPr>
                <w:rFonts w:eastAsia="Calibri" w:cs="Times New Roman"/>
                <w:noProof/>
              </w:rPr>
            </w:pPr>
            <w:r>
              <w:rPr>
                <w:noProof/>
              </w:rPr>
              <w:t>Q2</w:t>
            </w:r>
          </w:p>
        </w:tc>
        <w:tc>
          <w:tcPr>
            <w:tcW w:w="567" w:type="dxa"/>
            <w:shd w:val="clear" w:color="auto" w:fill="C6EFCE"/>
            <w:noWrap/>
          </w:tcPr>
          <w:p w14:paraId="4C391F0A" w14:textId="77777777" w:rsidR="000E48CE" w:rsidRDefault="00FF4C4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421AB524" w14:textId="77777777" w:rsidR="000E48CE" w:rsidRDefault="00FF4C4E">
            <w:pPr>
              <w:pStyle w:val="P68B1DB1-Normal13"/>
              <w:spacing w:after="0" w:line="240" w:lineRule="auto"/>
              <w:rPr>
                <w:rFonts w:eastAsia="Calibri" w:cs="Times New Roman"/>
                <w:noProof/>
              </w:rPr>
            </w:pPr>
            <w:r>
              <w:rPr>
                <w:noProof/>
              </w:rPr>
              <w:t xml:space="preserve">Kaikkien vuoden 2022 viimeisellä neljänneksellä hyväksyttyjen hankkeiden (Milestone 99) loppuun saattaminen kestävän ja digitaalisen liikenteen edistämiseksi. Työt on tehty aloilla, jotka on määritelty vuoden 2022 </w:t>
            </w:r>
            <w:r>
              <w:rPr>
                <w:noProof/>
              </w:rPr>
              <w:t>viimeisellä neljänneksellä myönnettyjen hankkeiden valintaperusteissa.</w:t>
            </w:r>
            <w:r>
              <w:rPr>
                <w:noProof/>
              </w:rPr>
              <w:br/>
              <w:t>Toimenpiteiden 10 ja 12 osalta valintaperusteiden on oltava ”ei merkittävää haittaa” -ohjeiden (2021/C58/01) mukaisia, ja niillä on varmistettava, että infrastruktuuri on rakennushetkel</w:t>
            </w:r>
            <w:r>
              <w:rPr>
                <w:noProof/>
              </w:rPr>
              <w:t>lä mahdollinen uusiutuvien ja vähähiilisten kaasujen kuljettamista varten.</w:t>
            </w:r>
          </w:p>
        </w:tc>
      </w:tr>
    </w:tbl>
    <w:p w14:paraId="1F3B1409" w14:textId="77777777" w:rsidR="000E48CE" w:rsidRDefault="000E48CE">
      <w:pPr>
        <w:spacing w:before="120" w:after="120" w:line="240" w:lineRule="auto"/>
        <w:jc w:val="both"/>
        <w:rPr>
          <w:rFonts w:ascii="Times New Roman" w:hAnsi="Times New Roman" w:cs="Times New Roman"/>
          <w:noProof/>
          <w:sz w:val="24"/>
        </w:rPr>
        <w:sectPr w:rsidR="000E48CE" w:rsidSect="0035659C">
          <w:headerReference w:type="even" r:id="rId156"/>
          <w:headerReference w:type="default" r:id="rId157"/>
          <w:footerReference w:type="even" r:id="rId158"/>
          <w:footerReference w:type="default" r:id="rId159"/>
          <w:headerReference w:type="first" r:id="rId160"/>
          <w:footerReference w:type="first" r:id="rId161"/>
          <w:pgSz w:w="16839" w:h="11907" w:orient="landscape"/>
          <w:pgMar w:top="1417" w:right="1134" w:bottom="1417" w:left="1134" w:header="709" w:footer="709" w:gutter="0"/>
          <w:cols w:space="720"/>
          <w:docGrid w:linePitch="360"/>
        </w:sectPr>
      </w:pPr>
    </w:p>
    <w:p w14:paraId="480D5346" w14:textId="2A10D28A" w:rsidR="000E48CE" w:rsidRDefault="00FF4C4E">
      <w:pPr>
        <w:pStyle w:val="P68B1DB1-Normal5"/>
        <w:keepNext/>
        <w:spacing w:before="120" w:after="120" w:line="240" w:lineRule="auto"/>
        <w:ind w:left="720"/>
        <w:jc w:val="both"/>
        <w:rPr>
          <w:rFonts w:cs="Times New Roman"/>
          <w:noProof/>
        </w:rPr>
      </w:pPr>
      <w:r>
        <w:rPr>
          <w:noProof/>
        </w:rPr>
        <w:t xml:space="preserve">F.3. </w:t>
      </w:r>
      <w:r>
        <w:rPr>
          <w:noProof/>
        </w:rPr>
        <w:tab/>
        <w:t>Lainatukeen tarkoitettujen investointien kuvaus</w:t>
      </w:r>
    </w:p>
    <w:p w14:paraId="41E41CB2" w14:textId="28BB7C4E" w:rsidR="000E48CE" w:rsidRDefault="00FF4C4E">
      <w:pPr>
        <w:pStyle w:val="P68B1DB1-Normal6"/>
        <w:keepNext/>
        <w:spacing w:before="120" w:after="120" w:line="240" w:lineRule="auto"/>
        <w:jc w:val="both"/>
        <w:rPr>
          <w:rFonts w:cs="Times New Roman"/>
          <w:noProof/>
        </w:rPr>
      </w:pPr>
      <w:r>
        <w:rPr>
          <w:noProof/>
        </w:rPr>
        <w:t xml:space="preserve">Uudistus 3 (C6.R3) – Kansallisen moottoritieverkon </w:t>
      </w:r>
      <w:r>
        <w:rPr>
          <w:noProof/>
        </w:rPr>
        <w:t>energiatehokkuusstrategia</w:t>
      </w:r>
    </w:p>
    <w:p w14:paraId="672DC29C" w14:textId="53DA354B" w:rsidR="000E48CE" w:rsidRDefault="00FF4C4E">
      <w:pPr>
        <w:pStyle w:val="P68B1DB1-Normal4"/>
        <w:keepNext/>
        <w:spacing w:before="120" w:after="120" w:line="240" w:lineRule="auto"/>
        <w:jc w:val="both"/>
        <w:rPr>
          <w:rFonts w:cs="Times New Roman"/>
          <w:noProof/>
        </w:rPr>
      </w:pPr>
      <w:bookmarkStart w:id="15" w:name="_Hlk145340180"/>
      <w:r>
        <w:rPr>
          <w:noProof/>
        </w:rPr>
        <w:t xml:space="preserve">Uudistuksen tavoitteena on julkaista energiatehokkuusstrategia valtion tieverkossa ja ottaa käyttöön joukko toimenpiteitä, joilla pyritään parantamaan valtion tieverkon energiatehokkuutta. </w:t>
      </w:r>
    </w:p>
    <w:bookmarkEnd w:id="15"/>
    <w:p w14:paraId="618FD4BA" w14:textId="77777777" w:rsidR="000E48CE" w:rsidRDefault="00FF4C4E">
      <w:pPr>
        <w:pStyle w:val="P68B1DB1-Normal4"/>
        <w:keepNext/>
        <w:spacing w:before="120" w:after="120" w:line="240" w:lineRule="auto"/>
        <w:jc w:val="both"/>
        <w:rPr>
          <w:rFonts w:cs="Times New Roman"/>
          <w:noProof/>
        </w:rPr>
      </w:pPr>
      <w:r>
        <w:rPr>
          <w:noProof/>
        </w:rPr>
        <w:t>Strategian on katettava ainakin seuraava</w:t>
      </w:r>
      <w:r>
        <w:rPr>
          <w:noProof/>
        </w:rPr>
        <w:t>t osatekijät:</w:t>
      </w:r>
    </w:p>
    <w:p w14:paraId="65E0DFA6" w14:textId="03A60BEA" w:rsidR="000E48CE" w:rsidRDefault="00FF4C4E">
      <w:pPr>
        <w:pStyle w:val="P68B1DB1-ListParagraph7"/>
        <w:keepNext/>
        <w:numPr>
          <w:ilvl w:val="0"/>
          <w:numId w:val="299"/>
        </w:numPr>
        <w:spacing w:before="120" w:after="120" w:line="240" w:lineRule="auto"/>
        <w:ind w:left="426"/>
        <w:jc w:val="both"/>
        <w:rPr>
          <w:rFonts w:cs="Times New Roman"/>
          <w:noProof/>
        </w:rPr>
      </w:pPr>
      <w:r>
        <w:rPr>
          <w:noProof/>
        </w:rPr>
        <w:t>analyysi kansallisen tieverkon energiatoimituksista;</w:t>
      </w:r>
    </w:p>
    <w:p w14:paraId="7EF0DBB6" w14:textId="5AB7F952" w:rsidR="000E48CE" w:rsidRDefault="00FF4C4E">
      <w:pPr>
        <w:pStyle w:val="P68B1DB1-ListParagraph7"/>
        <w:keepNext/>
        <w:numPr>
          <w:ilvl w:val="0"/>
          <w:numId w:val="299"/>
        </w:numPr>
        <w:spacing w:before="120" w:after="120" w:line="240" w:lineRule="auto"/>
        <w:ind w:left="426"/>
        <w:jc w:val="both"/>
        <w:rPr>
          <w:rFonts w:cs="Times New Roman"/>
          <w:noProof/>
        </w:rPr>
      </w:pPr>
      <w:r>
        <w:rPr>
          <w:noProof/>
        </w:rPr>
        <w:t>analyysi kansallisen tieverkoston nykytilanteesta sen valaisemisesta ja mahdollisten ratkaisujen perusteluista;</w:t>
      </w:r>
    </w:p>
    <w:p w14:paraId="7929D158" w14:textId="02C1B6F2" w:rsidR="000E48CE" w:rsidRDefault="00FF4C4E">
      <w:pPr>
        <w:pStyle w:val="P68B1DB1-ListParagraph7"/>
        <w:keepNext/>
        <w:numPr>
          <w:ilvl w:val="0"/>
          <w:numId w:val="299"/>
        </w:numPr>
        <w:spacing w:before="120" w:after="120" w:line="240" w:lineRule="auto"/>
        <w:ind w:left="426"/>
        <w:jc w:val="both"/>
        <w:rPr>
          <w:rFonts w:cs="Times New Roman"/>
          <w:noProof/>
        </w:rPr>
      </w:pPr>
      <w:r>
        <w:rPr>
          <w:noProof/>
        </w:rPr>
        <w:t>luettelo toteutettavista toimenpiteistä ja niiden toteuttamisaikataulut;</w:t>
      </w:r>
    </w:p>
    <w:p w14:paraId="54512377" w14:textId="28C22302" w:rsidR="000E48CE" w:rsidRDefault="00FF4C4E">
      <w:pPr>
        <w:pStyle w:val="P68B1DB1-ListParagraph7"/>
        <w:keepNext/>
        <w:numPr>
          <w:ilvl w:val="0"/>
          <w:numId w:val="299"/>
        </w:numPr>
        <w:spacing w:before="120" w:after="120" w:line="240" w:lineRule="auto"/>
        <w:ind w:left="426"/>
        <w:jc w:val="both"/>
        <w:rPr>
          <w:rFonts w:cs="Times New Roman"/>
          <w:noProof/>
        </w:rPr>
      </w:pPr>
      <w:r>
        <w:rPr>
          <w:noProof/>
        </w:rPr>
        <w:t>luet</w:t>
      </w:r>
      <w:r>
        <w:rPr>
          <w:noProof/>
        </w:rPr>
        <w:t>telo toimista, jotka on toteutettava tieverkon valaistusjärjestelmässä; ja</w:t>
      </w:r>
    </w:p>
    <w:p w14:paraId="47CA67DE" w14:textId="18DC2347" w:rsidR="000E48CE" w:rsidRDefault="00FF4C4E">
      <w:pPr>
        <w:pStyle w:val="P68B1DB1-ListParagraph7"/>
        <w:keepNext/>
        <w:numPr>
          <w:ilvl w:val="0"/>
          <w:numId w:val="299"/>
        </w:numPr>
        <w:spacing w:before="120" w:after="120" w:line="240" w:lineRule="auto"/>
        <w:ind w:left="426"/>
        <w:jc w:val="both"/>
        <w:rPr>
          <w:rFonts w:cs="Times New Roman"/>
          <w:noProof/>
        </w:rPr>
      </w:pPr>
      <w:r>
        <w:rPr>
          <w:noProof/>
        </w:rPr>
        <w:t>investointi- ja rahoitussuunnitelma vaadittujen toimenpiteiden toteuttamiseksi aikataulussa.</w:t>
      </w:r>
    </w:p>
    <w:p w14:paraId="6260E200" w14:textId="264D0D4B" w:rsidR="000E48CE" w:rsidRDefault="00FF4C4E">
      <w:pPr>
        <w:pStyle w:val="P68B1DB1-Normal4"/>
        <w:keepNext/>
        <w:spacing w:before="120" w:after="120" w:line="240" w:lineRule="auto"/>
        <w:jc w:val="both"/>
        <w:rPr>
          <w:rFonts w:cs="Times New Roman"/>
          <w:noProof/>
        </w:rPr>
      </w:pPr>
      <w:r>
        <w:rPr>
          <w:noProof/>
        </w:rPr>
        <w:t xml:space="preserve">Strategia julkaistaan vuoden 2024 ensimmäisellä neljänneksellä. </w:t>
      </w:r>
    </w:p>
    <w:p w14:paraId="3AFF8F1C" w14:textId="367E3C2F" w:rsidR="000E48CE" w:rsidRDefault="00FF4C4E">
      <w:pPr>
        <w:pStyle w:val="P68B1DB1-Normal4"/>
        <w:keepNext/>
        <w:spacing w:before="120" w:after="120" w:line="240" w:lineRule="auto"/>
        <w:jc w:val="both"/>
        <w:rPr>
          <w:rFonts w:cs="Times New Roman"/>
          <w:noProof/>
        </w:rPr>
      </w:pPr>
      <w:r>
        <w:rPr>
          <w:noProof/>
        </w:rPr>
        <w:t>Osana kansallisen tieve</w:t>
      </w:r>
      <w:r>
        <w:rPr>
          <w:noProof/>
        </w:rPr>
        <w:t>rkon energiatehokkuusstrategian täytäntöönpanoa tiepääosasto tekee vuoden 2024 hiilijalanjäljen laskennan, jonka tulokset esitetään vuonna 2025.</w:t>
      </w:r>
    </w:p>
    <w:p w14:paraId="3C71D9C4" w14:textId="47F5B719" w:rsidR="000E48CE" w:rsidRDefault="00FF4C4E">
      <w:pPr>
        <w:pStyle w:val="P68B1DB1-Normal4"/>
        <w:keepNext/>
        <w:spacing w:before="120" w:after="120" w:line="240" w:lineRule="auto"/>
        <w:jc w:val="both"/>
        <w:rPr>
          <w:rFonts w:cs="Times New Roman"/>
          <w:noProof/>
        </w:rPr>
      </w:pPr>
      <w:r>
        <w:rPr>
          <w:noProof/>
        </w:rPr>
        <w:t>Toimenpiteen täytäntöönpano on määrä saattaa päätökseen 31. joulukuuta 2025 mennessä.</w:t>
      </w:r>
    </w:p>
    <w:p w14:paraId="6073A5AE" w14:textId="32A6F5A7" w:rsidR="000E48CE" w:rsidRDefault="00FF4C4E">
      <w:pPr>
        <w:pStyle w:val="P68B1DB1-Normal5"/>
        <w:keepNext/>
        <w:spacing w:before="120" w:after="120" w:line="240" w:lineRule="auto"/>
        <w:ind w:left="709"/>
        <w:jc w:val="both"/>
        <w:rPr>
          <w:rFonts w:cs="Times New Roman"/>
          <w:noProof/>
        </w:rPr>
      </w:pPr>
      <w:r>
        <w:rPr>
          <w:noProof/>
        </w:rPr>
        <w:t xml:space="preserve">F.4 </w:t>
      </w:r>
      <w:r>
        <w:rPr>
          <w:noProof/>
        </w:rPr>
        <w:tab/>
        <w:t xml:space="preserve">Lainatuen seurannan </w:t>
      </w:r>
      <w:r>
        <w:rPr>
          <w:noProof/>
        </w:rPr>
        <w:t>ja täytäntöönpanon välitavoitteet, tavoitteet, indikaattorit ja aikataulu</w:t>
      </w:r>
    </w:p>
    <w:p w14:paraId="1B69D7D8" w14:textId="77777777" w:rsidR="000E48CE" w:rsidRDefault="00FF4C4E">
      <w:pPr>
        <w:pStyle w:val="P68B1DB1-Normal18"/>
        <w:keepNext/>
        <w:spacing w:before="120" w:after="120" w:line="240" w:lineRule="auto"/>
        <w:jc w:val="both"/>
        <w:rPr>
          <w:rFonts w:cs="Times New Roman"/>
          <w:noProof/>
        </w:rPr>
        <w:sectPr w:rsidR="000E48CE" w:rsidSect="0035659C">
          <w:headerReference w:type="even" r:id="rId162"/>
          <w:headerReference w:type="default" r:id="rId163"/>
          <w:footerReference w:type="even" r:id="rId164"/>
          <w:footerReference w:type="default" r:id="rId165"/>
          <w:headerReference w:type="first" r:id="rId166"/>
          <w:footerReference w:type="first" r:id="rId167"/>
          <w:pgSz w:w="11907" w:h="16839"/>
          <w:pgMar w:top="1134" w:right="1417" w:bottom="1134" w:left="1417" w:header="709" w:footer="709" w:gutter="0"/>
          <w:cols w:space="720"/>
          <w:docGrid w:linePitch="360"/>
        </w:sectPr>
      </w:pPr>
      <w:r>
        <w:rPr>
          <w:noProof/>
        </w:rPr>
        <w:t xml:space="preserve">Ks. taulukko jäljempänä. Kaikkien indikaattoreiden perustaso on 1. helmikuuta, ellei toimen kuvauksessa toisin ilmoiteta. </w:t>
      </w:r>
      <w:r>
        <w:rPr>
          <w:noProof/>
        </w:rPr>
        <w:t>Taulukossa esitetyt määrät eivät sisällä arvonlisäveroa.</w:t>
      </w:r>
    </w:p>
    <w:tbl>
      <w:tblPr>
        <w:tblW w:w="1414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134"/>
        <w:gridCol w:w="850"/>
        <w:gridCol w:w="567"/>
        <w:gridCol w:w="567"/>
        <w:gridCol w:w="425"/>
        <w:gridCol w:w="567"/>
        <w:gridCol w:w="6066"/>
      </w:tblGrid>
      <w:tr w:rsidR="000E48CE" w14:paraId="6C70091A" w14:textId="77777777">
        <w:trPr>
          <w:trHeight w:val="309"/>
          <w:tblHeader/>
        </w:trPr>
        <w:tc>
          <w:tcPr>
            <w:tcW w:w="709" w:type="dxa"/>
            <w:tcBorders>
              <w:bottom w:val="nil"/>
            </w:tcBorders>
            <w:shd w:val="clear" w:color="auto" w:fill="C6D9F1" w:themeFill="text2" w:themeFillTint="33"/>
            <w:noWrap/>
            <w:vAlign w:val="center"/>
          </w:tcPr>
          <w:p w14:paraId="0F94297D"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42085BC1"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55B4CF8E"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1560" w:type="dxa"/>
            <w:tcBorders>
              <w:bottom w:val="nil"/>
            </w:tcBorders>
            <w:shd w:val="clear" w:color="auto" w:fill="C6D9F1" w:themeFill="text2" w:themeFillTint="33"/>
            <w:noWrap/>
            <w:vAlign w:val="center"/>
          </w:tcPr>
          <w:p w14:paraId="148B6FA0" w14:textId="77777777" w:rsidR="000E48CE" w:rsidRDefault="00FF4C4E">
            <w:pPr>
              <w:pStyle w:val="P68B1DB1-Normal12"/>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44461C53"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4" w:type="dxa"/>
            <w:gridSpan w:val="3"/>
            <w:shd w:val="clear" w:color="auto" w:fill="C6D9F1" w:themeFill="text2" w:themeFillTint="33"/>
            <w:noWrap/>
            <w:vAlign w:val="center"/>
          </w:tcPr>
          <w:p w14:paraId="50B975C4"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75E7C355" w14:textId="77777777" w:rsidR="000E48CE" w:rsidRDefault="00FF4C4E">
            <w:pPr>
              <w:pStyle w:val="P68B1DB1-Normal12"/>
              <w:spacing w:after="0" w:line="240" w:lineRule="auto"/>
              <w:jc w:val="center"/>
              <w:rPr>
                <w:rFonts w:cs="Times New Roman"/>
                <w:noProof/>
              </w:rPr>
            </w:pPr>
            <w:r>
              <w:rPr>
                <w:noProof/>
              </w:rPr>
              <w:t>Aika</w:t>
            </w:r>
          </w:p>
        </w:tc>
        <w:tc>
          <w:tcPr>
            <w:tcW w:w="6066" w:type="dxa"/>
            <w:tcBorders>
              <w:bottom w:val="nil"/>
            </w:tcBorders>
            <w:shd w:val="clear" w:color="auto" w:fill="C6D9F1" w:themeFill="text2" w:themeFillTint="33"/>
            <w:noWrap/>
            <w:vAlign w:val="center"/>
          </w:tcPr>
          <w:p w14:paraId="573D79A1"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127AB19D" w14:textId="77777777">
        <w:trPr>
          <w:trHeight w:val="309"/>
          <w:tblHeader/>
        </w:trPr>
        <w:tc>
          <w:tcPr>
            <w:tcW w:w="709" w:type="dxa"/>
            <w:tcBorders>
              <w:top w:val="nil"/>
            </w:tcBorders>
            <w:shd w:val="clear" w:color="auto" w:fill="C6D9F1" w:themeFill="text2" w:themeFillTint="33"/>
            <w:noWrap/>
          </w:tcPr>
          <w:p w14:paraId="211A0EB4"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FB2C45D"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8240DBD" w14:textId="77777777" w:rsidR="000E48CE" w:rsidRDefault="000E48CE">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6A2FB924" w14:textId="77777777" w:rsidR="000E48CE" w:rsidRDefault="000E48C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3DE7DBC"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498A5F1A"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vAlign w:val="center"/>
          </w:tcPr>
          <w:p w14:paraId="5C6F3F10" w14:textId="77777777" w:rsidR="000E48CE" w:rsidRDefault="00FF4C4E">
            <w:pPr>
              <w:pStyle w:val="P68B1DB1-Normal12"/>
              <w:spacing w:after="0" w:line="240" w:lineRule="auto"/>
              <w:jc w:val="center"/>
              <w:rPr>
                <w:rFonts w:cs="Times New Roman"/>
                <w:noProof/>
              </w:rPr>
            </w:pPr>
            <w:r>
              <w:rPr>
                <w:noProof/>
              </w:rPr>
              <w:t>Perusviiva</w:t>
            </w:r>
          </w:p>
        </w:tc>
        <w:tc>
          <w:tcPr>
            <w:tcW w:w="567" w:type="dxa"/>
            <w:shd w:val="clear" w:color="auto" w:fill="C6D9F1" w:themeFill="text2" w:themeFillTint="33"/>
            <w:noWrap/>
            <w:vAlign w:val="center"/>
          </w:tcPr>
          <w:p w14:paraId="32D321C1"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68C2B3E4"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07C164F" w14:textId="77777777" w:rsidR="000E48CE" w:rsidRDefault="00FF4C4E">
            <w:pPr>
              <w:pStyle w:val="P68B1DB1-Normal12"/>
              <w:spacing w:after="0" w:line="240" w:lineRule="auto"/>
              <w:jc w:val="center"/>
              <w:rPr>
                <w:rFonts w:cs="Times New Roman"/>
                <w:noProof/>
              </w:rPr>
            </w:pPr>
            <w:r>
              <w:rPr>
                <w:noProof/>
              </w:rPr>
              <w:t>Vuosi</w:t>
            </w:r>
          </w:p>
        </w:tc>
        <w:tc>
          <w:tcPr>
            <w:tcW w:w="6066" w:type="dxa"/>
            <w:tcBorders>
              <w:top w:val="nil"/>
            </w:tcBorders>
            <w:shd w:val="clear" w:color="auto" w:fill="C6D9F1" w:themeFill="text2" w:themeFillTint="33"/>
            <w:noWrap/>
          </w:tcPr>
          <w:p w14:paraId="03709E6F" w14:textId="77777777" w:rsidR="000E48CE" w:rsidRDefault="000E48CE">
            <w:pPr>
              <w:spacing w:after="0" w:line="240" w:lineRule="auto"/>
              <w:rPr>
                <w:rFonts w:ascii="Times New Roman" w:hAnsi="Times New Roman" w:cs="Times New Roman"/>
                <w:b/>
                <w:noProof/>
                <w:sz w:val="18"/>
              </w:rPr>
            </w:pPr>
          </w:p>
        </w:tc>
      </w:tr>
      <w:tr w:rsidR="000E48CE" w14:paraId="20DE5AEE" w14:textId="77777777">
        <w:trPr>
          <w:trHeight w:val="309"/>
        </w:trPr>
        <w:tc>
          <w:tcPr>
            <w:tcW w:w="709" w:type="dxa"/>
            <w:shd w:val="clear" w:color="auto" w:fill="C6EFCE"/>
            <w:noWrap/>
          </w:tcPr>
          <w:p w14:paraId="07FC8ABD" w14:textId="45474011" w:rsidR="000E48CE" w:rsidRDefault="00FF4C4E">
            <w:pPr>
              <w:pStyle w:val="P68B1DB1-Normal13"/>
              <w:spacing w:after="0" w:line="240" w:lineRule="auto"/>
              <w:jc w:val="center"/>
              <w:rPr>
                <w:rFonts w:eastAsia="Times New Roman" w:cs="Times New Roman"/>
                <w:noProof/>
              </w:rPr>
            </w:pPr>
            <w:r>
              <w:rPr>
                <w:noProof/>
              </w:rPr>
              <w:t>L15</w:t>
            </w:r>
          </w:p>
        </w:tc>
        <w:tc>
          <w:tcPr>
            <w:tcW w:w="851" w:type="dxa"/>
            <w:shd w:val="clear" w:color="auto" w:fill="C6EFCE"/>
            <w:noWrap/>
          </w:tcPr>
          <w:p w14:paraId="7E6318B2" w14:textId="77777777" w:rsidR="000E48CE" w:rsidRDefault="00FF4C4E">
            <w:pPr>
              <w:pStyle w:val="P68B1DB1-Normal13"/>
              <w:spacing w:after="0" w:line="240" w:lineRule="auto"/>
              <w:jc w:val="center"/>
              <w:rPr>
                <w:rFonts w:cs="Times New Roman"/>
                <w:noProof/>
              </w:rPr>
            </w:pPr>
            <w:r>
              <w:rPr>
                <w:noProof/>
              </w:rPr>
              <w:t>C6.R3</w:t>
            </w:r>
          </w:p>
        </w:tc>
        <w:tc>
          <w:tcPr>
            <w:tcW w:w="850" w:type="dxa"/>
            <w:shd w:val="clear" w:color="auto" w:fill="C6EFCE"/>
            <w:noWrap/>
          </w:tcPr>
          <w:p w14:paraId="3AB77307" w14:textId="77777777" w:rsidR="000E48CE" w:rsidRDefault="00FF4C4E">
            <w:pPr>
              <w:pStyle w:val="P68B1DB1-Normal13"/>
              <w:spacing w:after="0" w:line="240" w:lineRule="auto"/>
              <w:jc w:val="center"/>
              <w:rPr>
                <w:rFonts w:cs="Times New Roman"/>
                <w:noProof/>
              </w:rPr>
            </w:pPr>
            <w:r>
              <w:rPr>
                <w:noProof/>
              </w:rPr>
              <w:t>M</w:t>
            </w:r>
          </w:p>
        </w:tc>
        <w:tc>
          <w:tcPr>
            <w:tcW w:w="1560" w:type="dxa"/>
            <w:shd w:val="clear" w:color="auto" w:fill="C6EFCE"/>
            <w:noWrap/>
          </w:tcPr>
          <w:p w14:paraId="2AC4B1E1" w14:textId="77777777" w:rsidR="000E48CE" w:rsidRDefault="00FF4C4E">
            <w:pPr>
              <w:pStyle w:val="P68B1DB1-Normal13"/>
              <w:keepNext/>
              <w:spacing w:line="240" w:lineRule="auto"/>
              <w:jc w:val="both"/>
              <w:rPr>
                <w:rFonts w:cs="Times New Roman"/>
                <w:noProof/>
              </w:rPr>
            </w:pPr>
            <w:r>
              <w:rPr>
                <w:noProof/>
              </w:rPr>
              <w:t>Energiatehokkuusstrategia</w:t>
            </w:r>
          </w:p>
        </w:tc>
        <w:tc>
          <w:tcPr>
            <w:tcW w:w="1134" w:type="dxa"/>
            <w:shd w:val="clear" w:color="auto" w:fill="C6EFCE"/>
            <w:noWrap/>
          </w:tcPr>
          <w:p w14:paraId="56E8D283" w14:textId="77777777" w:rsidR="000E48CE" w:rsidRDefault="00FF4C4E">
            <w:pPr>
              <w:pStyle w:val="P68B1DB1-Normal13"/>
              <w:spacing w:after="0" w:line="240" w:lineRule="auto"/>
              <w:jc w:val="center"/>
              <w:rPr>
                <w:rFonts w:cs="Times New Roman"/>
                <w:noProof/>
              </w:rPr>
            </w:pPr>
            <w:r>
              <w:rPr>
                <w:noProof/>
              </w:rPr>
              <w:t>Julkaiseminen virallisessa lehdessä</w:t>
            </w:r>
          </w:p>
        </w:tc>
        <w:tc>
          <w:tcPr>
            <w:tcW w:w="850" w:type="dxa"/>
            <w:shd w:val="clear" w:color="auto" w:fill="C6EFCE"/>
            <w:noWrap/>
          </w:tcPr>
          <w:p w14:paraId="3CE0DA42" w14:textId="77777777" w:rsidR="000E48CE" w:rsidRDefault="000E48CE">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1921FAAF" w14:textId="77777777" w:rsidR="000E48CE" w:rsidRDefault="000E48CE">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479AC3D8" w14:textId="77777777" w:rsidR="000E48CE" w:rsidRDefault="000E48CE">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17581F1F" w14:textId="0875343C" w:rsidR="000E48CE" w:rsidRDefault="00FF4C4E">
            <w:pPr>
              <w:pStyle w:val="P68B1DB1-Normal13"/>
              <w:spacing w:after="0" w:line="240" w:lineRule="auto"/>
              <w:jc w:val="center"/>
              <w:rPr>
                <w:rFonts w:cs="Times New Roman"/>
                <w:noProof/>
              </w:rPr>
            </w:pPr>
            <w:r>
              <w:rPr>
                <w:noProof/>
              </w:rPr>
              <w:t>Q1</w:t>
            </w:r>
          </w:p>
        </w:tc>
        <w:tc>
          <w:tcPr>
            <w:tcW w:w="567" w:type="dxa"/>
            <w:shd w:val="clear" w:color="auto" w:fill="C6EFCE"/>
            <w:noWrap/>
          </w:tcPr>
          <w:p w14:paraId="2AAEA016" w14:textId="13619E7E" w:rsidR="000E48CE" w:rsidRDefault="00FF4C4E">
            <w:pPr>
              <w:pStyle w:val="P68B1DB1-Normal13"/>
              <w:spacing w:after="0" w:line="240" w:lineRule="auto"/>
              <w:jc w:val="center"/>
              <w:rPr>
                <w:rFonts w:cs="Times New Roman"/>
                <w:noProof/>
              </w:rPr>
            </w:pPr>
            <w:r>
              <w:rPr>
                <w:noProof/>
              </w:rPr>
              <w:t>2024</w:t>
            </w:r>
          </w:p>
        </w:tc>
        <w:tc>
          <w:tcPr>
            <w:tcW w:w="6066" w:type="dxa"/>
            <w:shd w:val="clear" w:color="auto" w:fill="C6EFCE"/>
            <w:noWrap/>
          </w:tcPr>
          <w:p w14:paraId="08402BD6" w14:textId="77777777" w:rsidR="000E48CE" w:rsidRDefault="00FF4C4E">
            <w:pPr>
              <w:pStyle w:val="P68B1DB1-Normal13"/>
              <w:spacing w:after="0" w:line="240" w:lineRule="auto"/>
              <w:rPr>
                <w:rFonts w:cs="Times New Roman"/>
                <w:noProof/>
              </w:rPr>
            </w:pPr>
            <w:r>
              <w:rPr>
                <w:noProof/>
              </w:rPr>
              <w:t xml:space="preserve">Kansallisen tieverkon energiatehokkuusstrategian hyväksyminen julkaistaan Euroopan unionin virallisessa lehdessä. Strategia kattaa toimenpiteen </w:t>
            </w:r>
            <w:r>
              <w:rPr>
                <w:noProof/>
              </w:rPr>
              <w:t>kuvauksen mukaiset elementit.</w:t>
            </w:r>
          </w:p>
        </w:tc>
      </w:tr>
      <w:tr w:rsidR="000E48CE" w14:paraId="136392DF" w14:textId="77777777">
        <w:trPr>
          <w:trHeight w:val="309"/>
        </w:trPr>
        <w:tc>
          <w:tcPr>
            <w:tcW w:w="709" w:type="dxa"/>
            <w:shd w:val="clear" w:color="auto" w:fill="C6EFCE"/>
            <w:noWrap/>
          </w:tcPr>
          <w:p w14:paraId="0D531A0E" w14:textId="26DB87DE" w:rsidR="000E48CE" w:rsidRDefault="00FF4C4E">
            <w:pPr>
              <w:pStyle w:val="P68B1DB1-Normal13"/>
              <w:spacing w:after="0" w:line="240" w:lineRule="auto"/>
              <w:jc w:val="center"/>
              <w:rPr>
                <w:rFonts w:cs="Times New Roman"/>
                <w:noProof/>
              </w:rPr>
            </w:pPr>
            <w:r>
              <w:rPr>
                <w:noProof/>
              </w:rPr>
              <w:t>L16</w:t>
            </w:r>
          </w:p>
        </w:tc>
        <w:tc>
          <w:tcPr>
            <w:tcW w:w="851" w:type="dxa"/>
            <w:shd w:val="clear" w:color="auto" w:fill="C6EFCE"/>
            <w:noWrap/>
          </w:tcPr>
          <w:p w14:paraId="481B4A66" w14:textId="77777777" w:rsidR="000E48CE" w:rsidRDefault="00FF4C4E">
            <w:pPr>
              <w:pStyle w:val="P68B1DB1-Normal13"/>
              <w:spacing w:after="0" w:line="240" w:lineRule="auto"/>
              <w:jc w:val="center"/>
              <w:rPr>
                <w:rFonts w:cs="Times New Roman"/>
                <w:noProof/>
              </w:rPr>
            </w:pPr>
            <w:r>
              <w:rPr>
                <w:noProof/>
              </w:rPr>
              <w:t>C6.R3</w:t>
            </w:r>
          </w:p>
        </w:tc>
        <w:tc>
          <w:tcPr>
            <w:tcW w:w="850" w:type="dxa"/>
            <w:shd w:val="clear" w:color="auto" w:fill="C6EFCE"/>
            <w:noWrap/>
          </w:tcPr>
          <w:p w14:paraId="5A02178D" w14:textId="77777777" w:rsidR="000E48CE" w:rsidRDefault="00FF4C4E">
            <w:pPr>
              <w:pStyle w:val="P68B1DB1-Normal13"/>
              <w:spacing w:after="0" w:line="240" w:lineRule="auto"/>
              <w:jc w:val="center"/>
              <w:rPr>
                <w:rFonts w:cs="Times New Roman"/>
                <w:noProof/>
              </w:rPr>
            </w:pPr>
            <w:r>
              <w:rPr>
                <w:noProof/>
              </w:rPr>
              <w:t>M</w:t>
            </w:r>
          </w:p>
        </w:tc>
        <w:tc>
          <w:tcPr>
            <w:tcW w:w="1560" w:type="dxa"/>
            <w:shd w:val="clear" w:color="auto" w:fill="C6EFCE"/>
            <w:noWrap/>
          </w:tcPr>
          <w:p w14:paraId="1D4E56AA" w14:textId="77777777" w:rsidR="000E48CE" w:rsidRDefault="00FF4C4E">
            <w:pPr>
              <w:pStyle w:val="P68B1DB1-Normal13"/>
              <w:keepNext/>
              <w:spacing w:line="240" w:lineRule="auto"/>
              <w:jc w:val="both"/>
              <w:rPr>
                <w:rFonts w:cs="Times New Roman"/>
                <w:noProof/>
              </w:rPr>
            </w:pPr>
            <w:r>
              <w:rPr>
                <w:noProof/>
              </w:rPr>
              <w:t>Tiepääosaston hiilijalanjäljen laskeminen</w:t>
            </w:r>
          </w:p>
        </w:tc>
        <w:tc>
          <w:tcPr>
            <w:tcW w:w="1134" w:type="dxa"/>
            <w:shd w:val="clear" w:color="auto" w:fill="C6EFCE"/>
            <w:noWrap/>
          </w:tcPr>
          <w:p w14:paraId="615F7473" w14:textId="77777777" w:rsidR="000E48CE" w:rsidRDefault="00FF4C4E">
            <w:pPr>
              <w:pStyle w:val="P68B1DB1-Normal13"/>
              <w:spacing w:after="0" w:line="240" w:lineRule="auto"/>
              <w:jc w:val="center"/>
              <w:rPr>
                <w:rFonts w:cs="Times New Roman"/>
                <w:noProof/>
              </w:rPr>
            </w:pPr>
            <w:r>
              <w:rPr>
                <w:noProof/>
              </w:rPr>
              <w:t>Tulosten julkaiseminen virallisella verkkoalustalla</w:t>
            </w:r>
          </w:p>
        </w:tc>
        <w:tc>
          <w:tcPr>
            <w:tcW w:w="850" w:type="dxa"/>
            <w:shd w:val="clear" w:color="auto" w:fill="C6EFCE"/>
            <w:noWrap/>
          </w:tcPr>
          <w:p w14:paraId="26033E90" w14:textId="77777777" w:rsidR="000E48CE" w:rsidRDefault="000E48CE">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6583EB88" w14:textId="77777777" w:rsidR="000E48CE" w:rsidRDefault="000E48CE">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10EFBCB7" w14:textId="77777777" w:rsidR="000E48CE" w:rsidRDefault="000E48CE">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58277911"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7D5C710A" w14:textId="77777777" w:rsidR="000E48CE" w:rsidRDefault="00FF4C4E">
            <w:pPr>
              <w:pStyle w:val="P68B1DB1-Normal13"/>
              <w:spacing w:after="0" w:line="240" w:lineRule="auto"/>
              <w:jc w:val="center"/>
              <w:rPr>
                <w:rFonts w:cs="Times New Roman"/>
                <w:noProof/>
              </w:rPr>
            </w:pPr>
            <w:r>
              <w:rPr>
                <w:noProof/>
              </w:rPr>
              <w:t>2025</w:t>
            </w:r>
          </w:p>
        </w:tc>
        <w:tc>
          <w:tcPr>
            <w:tcW w:w="6066" w:type="dxa"/>
            <w:shd w:val="clear" w:color="auto" w:fill="C6EFCE"/>
            <w:noWrap/>
          </w:tcPr>
          <w:p w14:paraId="5E69941A" w14:textId="750AAB04" w:rsidR="000E48CE" w:rsidRDefault="00FF4C4E">
            <w:pPr>
              <w:pStyle w:val="P68B1DB1-Normal13"/>
              <w:spacing w:after="0" w:line="240" w:lineRule="auto"/>
              <w:rPr>
                <w:rFonts w:cs="Times New Roman"/>
                <w:noProof/>
              </w:rPr>
            </w:pPr>
            <w:r>
              <w:rPr>
                <w:noProof/>
              </w:rPr>
              <w:t xml:space="preserve">Tiepääosaston laskelma vuoden 2024 hiilijalanjäljestä, jonka tulos esitetään vuonna 2025 osana energiatehokkuusstrategian täytäntöönpanoa. </w:t>
            </w:r>
          </w:p>
        </w:tc>
      </w:tr>
    </w:tbl>
    <w:p w14:paraId="387E03AA" w14:textId="5596F60B" w:rsidR="000E48CE" w:rsidRDefault="000E48CE">
      <w:pPr>
        <w:keepNext/>
        <w:spacing w:before="120" w:after="120" w:line="240" w:lineRule="auto"/>
        <w:jc w:val="both"/>
        <w:rPr>
          <w:rFonts w:ascii="Times New Roman" w:hAnsi="Times New Roman" w:cs="Times New Roman"/>
          <w:i/>
          <w:noProof/>
          <w:sz w:val="24"/>
        </w:rPr>
        <w:sectPr w:rsidR="000E48CE" w:rsidSect="0035659C">
          <w:headerReference w:type="even" r:id="rId168"/>
          <w:headerReference w:type="default" r:id="rId169"/>
          <w:footerReference w:type="even" r:id="rId170"/>
          <w:footerReference w:type="default" r:id="rId171"/>
          <w:headerReference w:type="first" r:id="rId172"/>
          <w:footerReference w:type="first" r:id="rId173"/>
          <w:pgSz w:w="16839" w:h="11907" w:orient="landscape"/>
          <w:pgMar w:top="1417" w:right="1134" w:bottom="1417" w:left="1134" w:header="709" w:footer="709" w:gutter="0"/>
          <w:cols w:space="720"/>
          <w:docGrid w:linePitch="360"/>
        </w:sectPr>
      </w:pPr>
    </w:p>
    <w:p w14:paraId="53C80719" w14:textId="7CE1C40B" w:rsidR="000E48CE" w:rsidRDefault="00FF4C4E">
      <w:pPr>
        <w:pStyle w:val="P68B1DB1-Heading12"/>
        <w:rPr>
          <w:rFonts w:cs="Times New Roman"/>
          <w:noProof/>
        </w:rPr>
      </w:pPr>
      <w:r>
        <w:rPr>
          <w:noProof/>
        </w:rPr>
        <w:t xml:space="preserve">G. OSA 07: Uusiutuvien energialähteiden käyttöönotto </w:t>
      </w:r>
      <w:r>
        <w:rPr>
          <w:noProof/>
        </w:rPr>
        <w:t>ja integrointi</w:t>
      </w:r>
    </w:p>
    <w:p w14:paraId="0BCA915E" w14:textId="77777777" w:rsidR="000E48CE" w:rsidRDefault="00FF4C4E">
      <w:pPr>
        <w:pStyle w:val="P68B1DB1-Normal4"/>
        <w:spacing w:before="120" w:after="120" w:line="240" w:lineRule="auto"/>
        <w:jc w:val="both"/>
        <w:rPr>
          <w:rFonts w:cs="Times New Roman"/>
          <w:noProof/>
        </w:rPr>
      </w:pPr>
      <w:r>
        <w:rPr>
          <w:noProof/>
        </w:rPr>
        <w:t>Espanjan kansallisessa energia- ja ilmastosuunnitelmassa vuosiksi 2021–2030 ennustetaan uusiutuvan energian käytön merkittävää kasvua Espanjassa siten, että se on 74 prosenttia sähköalalla ja 42 prosenttia loppukäytössä vuonna 2030. Tässä yh</w:t>
      </w:r>
      <w:r>
        <w:rPr>
          <w:noProof/>
        </w:rPr>
        <w:t xml:space="preserve">teydessä Espanjan elpymis- ja palautumissuunnitelman tämän osion tavoitteena on lisätä uusiutuvan energian käyttöä seuraavilla osatekijöillä: </w:t>
      </w:r>
    </w:p>
    <w:p w14:paraId="19807A53" w14:textId="77777777" w:rsidR="000E48CE" w:rsidRDefault="00FF4C4E">
      <w:pPr>
        <w:pStyle w:val="P68B1DB1-Normal4"/>
        <w:numPr>
          <w:ilvl w:val="0"/>
          <w:numId w:val="63"/>
        </w:numPr>
        <w:spacing w:before="120" w:after="120" w:line="240" w:lineRule="auto"/>
        <w:jc w:val="both"/>
        <w:rPr>
          <w:rFonts w:cs="Times New Roman"/>
          <w:noProof/>
        </w:rPr>
      </w:pPr>
      <w:r>
        <w:rPr>
          <w:noProof/>
        </w:rPr>
        <w:t>sellaisen selkeän ja ennakoitavan sääntelykehyksen kehittäminen, jolla edistetään investointeja uusiutuviin energ</w:t>
      </w:r>
      <w:r>
        <w:rPr>
          <w:noProof/>
        </w:rPr>
        <w:t xml:space="preserve">ialähteisiin; </w:t>
      </w:r>
    </w:p>
    <w:p w14:paraId="34DD1FF7" w14:textId="77777777" w:rsidR="000E48CE" w:rsidRDefault="00FF4C4E">
      <w:pPr>
        <w:pStyle w:val="P68B1DB1-Normal4"/>
        <w:numPr>
          <w:ilvl w:val="0"/>
          <w:numId w:val="63"/>
        </w:numPr>
        <w:spacing w:before="120" w:after="120" w:line="240" w:lineRule="auto"/>
        <w:jc w:val="both"/>
        <w:rPr>
          <w:rFonts w:cs="Times New Roman"/>
          <w:noProof/>
        </w:rPr>
      </w:pPr>
      <w:r>
        <w:rPr>
          <w:noProof/>
        </w:rPr>
        <w:t xml:space="preserve">teollisen arvoketjun perustaminen ja vakiinnuttaminen uusiutuvien energialähteiden alalla; </w:t>
      </w:r>
    </w:p>
    <w:p w14:paraId="2EB428BC" w14:textId="77777777" w:rsidR="000E48CE" w:rsidRDefault="00FF4C4E">
      <w:pPr>
        <w:pStyle w:val="P68B1DB1-Normal4"/>
        <w:numPr>
          <w:ilvl w:val="0"/>
          <w:numId w:val="63"/>
        </w:numPr>
        <w:spacing w:before="120" w:after="120" w:line="240" w:lineRule="auto"/>
        <w:jc w:val="both"/>
        <w:rPr>
          <w:rFonts w:cs="Times New Roman"/>
          <w:noProof/>
        </w:rPr>
      </w:pPr>
      <w:r>
        <w:rPr>
          <w:noProof/>
        </w:rPr>
        <w:t>uusiutuviin energialähteisiin perustuvien teknologioiden innovatiivisten lähteiden tukeminen, mukaan lukien niiden integrointi loppukäyttötarkoituksi</w:t>
      </w:r>
      <w:r>
        <w:rPr>
          <w:noProof/>
        </w:rPr>
        <w:t xml:space="preserve">in; ja </w:t>
      </w:r>
    </w:p>
    <w:p w14:paraId="08C3D8B9" w14:textId="77777777" w:rsidR="000E48CE" w:rsidRDefault="00FF4C4E">
      <w:pPr>
        <w:pStyle w:val="P68B1DB1-Normal4"/>
        <w:numPr>
          <w:ilvl w:val="0"/>
          <w:numId w:val="63"/>
        </w:numPr>
        <w:spacing w:before="120" w:after="120" w:line="240" w:lineRule="auto"/>
        <w:jc w:val="both"/>
        <w:rPr>
          <w:rFonts w:cs="Times New Roman"/>
          <w:noProof/>
        </w:rPr>
      </w:pPr>
      <w:r>
        <w:rPr>
          <w:noProof/>
        </w:rPr>
        <w:t xml:space="preserve">vihreiden taitojen kehittäminen. </w:t>
      </w:r>
    </w:p>
    <w:p w14:paraId="6DE6D20B" w14:textId="77777777" w:rsidR="000E48CE" w:rsidRDefault="00FF4C4E">
      <w:pPr>
        <w:pStyle w:val="P68B1DB1-Normal4"/>
        <w:spacing w:before="120" w:after="120" w:line="240" w:lineRule="auto"/>
        <w:jc w:val="both"/>
        <w:rPr>
          <w:rFonts w:cs="Times New Roman"/>
          <w:noProof/>
        </w:rPr>
      </w:pPr>
      <w:r>
        <w:rPr>
          <w:noProof/>
        </w:rPr>
        <w:t>Lisäksi osa-alueella pyritään erityisesti edistämään uusiutuvien energialähteiden käyttöönottoa Espanjan saarilla sekä kansalaisten osallistumista uusiutuvaa energiaa tuottavien yhteisöjen kautta.</w:t>
      </w:r>
    </w:p>
    <w:p w14:paraId="071ABE97" w14:textId="77777777" w:rsidR="000E48CE" w:rsidRDefault="00FF4C4E">
      <w:pPr>
        <w:pStyle w:val="P68B1DB1-Normal4"/>
        <w:spacing w:before="120" w:after="120" w:line="240" w:lineRule="auto"/>
        <w:jc w:val="both"/>
        <w:rPr>
          <w:rFonts w:cs="Times New Roman"/>
          <w:noProof/>
        </w:rPr>
      </w:pPr>
      <w:r>
        <w:rPr>
          <w:noProof/>
        </w:rPr>
        <w:t>Komponentti liitt</w:t>
      </w:r>
      <w:r>
        <w:rPr>
          <w:noProof/>
        </w:rPr>
        <w:t>yy innovointiin ja energiatehokkuuteen tehtävien investointien edistämiseen (maakohtainen suositus 3 2019). Sillä edistetään myös julkisia ja yksityisiä investointeja ja vihreää siirtymää (maakohtainen suositus 3 2020).</w:t>
      </w:r>
    </w:p>
    <w:p w14:paraId="1018E939" w14:textId="77777777" w:rsidR="000E48CE" w:rsidRDefault="00FF4C4E">
      <w:pPr>
        <w:pStyle w:val="P68B1DB1-Normal4"/>
        <w:spacing w:before="120" w:after="120" w:line="240" w:lineRule="auto"/>
        <w:jc w:val="both"/>
        <w:rPr>
          <w:rFonts w:cs="Times New Roman"/>
          <w:noProof/>
        </w:rPr>
      </w:pPr>
      <w:r>
        <w:rPr>
          <w:noProof/>
        </w:rPr>
        <w:t>Minkään tämän komponentin toimenpite</w:t>
      </w:r>
      <w:r>
        <w:rPr>
          <w:noProof/>
        </w:rPr>
        <w:t xml:space="preserve">en ei odoteta aiheuttavan asetuksen (EU) 2020/852 17 artiklassa tarkoitettua merkittävää haittaa ympäristötavoitteille, kun otetaan huomioon ”ei merkittävää haittaa” -periaatteen soveltamista koskevien teknisten ohjeiden (2021/C58/01) mukaiset elpymis- ja </w:t>
      </w:r>
      <w:r>
        <w:rPr>
          <w:noProof/>
        </w:rPr>
        <w:t xml:space="preserve">palautumissuunnitelmassa esitettyjen toimenpiteiden kuvaus ja lieventävät toimet.  </w:t>
      </w:r>
    </w:p>
    <w:p w14:paraId="2458F8B1" w14:textId="77777777" w:rsidR="000E48CE" w:rsidRDefault="00FF4C4E">
      <w:pPr>
        <w:pStyle w:val="P68B1DB1-Normal5"/>
        <w:spacing w:before="120" w:after="120" w:line="240" w:lineRule="auto"/>
        <w:ind w:left="709"/>
        <w:jc w:val="both"/>
        <w:rPr>
          <w:rFonts w:cs="Times New Roman"/>
          <w:i/>
          <w:noProof/>
        </w:rPr>
      </w:pPr>
      <w:r>
        <w:rPr>
          <w:noProof/>
        </w:rPr>
        <w:t xml:space="preserve">G.1. </w:t>
      </w:r>
      <w:r>
        <w:rPr>
          <w:noProof/>
        </w:rPr>
        <w:tab/>
        <w:t>Kuvaus uudistuksista ja investoinneista, joita rahoitetaan rahoitustuella, jota ei makseta takaisin</w:t>
      </w:r>
    </w:p>
    <w:p w14:paraId="1E488386" w14:textId="77777777" w:rsidR="000E48CE" w:rsidRDefault="00FF4C4E">
      <w:pPr>
        <w:pStyle w:val="P68B1DB1-Normal6"/>
        <w:spacing w:before="120" w:after="120" w:line="240" w:lineRule="auto"/>
        <w:jc w:val="both"/>
        <w:rPr>
          <w:rFonts w:cs="Times New Roman"/>
          <w:noProof/>
        </w:rPr>
      </w:pPr>
      <w:r>
        <w:rPr>
          <w:noProof/>
        </w:rPr>
        <w:t>Uudistus 1 (C7.R1) – Uusiutuvan energian tuotannon edistämistä kos</w:t>
      </w:r>
      <w:r>
        <w:rPr>
          <w:noProof/>
        </w:rPr>
        <w:t>keva sääntelykehys</w:t>
      </w:r>
    </w:p>
    <w:p w14:paraId="5340AD5C" w14:textId="77777777" w:rsidR="000E48CE" w:rsidRDefault="00FF4C4E">
      <w:pPr>
        <w:pStyle w:val="P68B1DB1-Normal4"/>
        <w:spacing w:before="120" w:after="120" w:line="240" w:lineRule="auto"/>
        <w:jc w:val="both"/>
        <w:rPr>
          <w:rFonts w:cs="Times New Roman"/>
          <w:noProof/>
        </w:rPr>
      </w:pPr>
      <w:r>
        <w:rPr>
          <w:noProof/>
        </w:rPr>
        <w:t>Tämän toimenpiteen tavoitteena on vahvistaa uusiutuvan energian tuotannon edistämistä koskevaa sääntelykehystä, jotta voidaan lisätä varmuutta ja kannustaa yksityisiä investointeja uusiutuvaan energiaan, poistaa uusiutuvien energialähtei</w:t>
      </w:r>
      <w:r>
        <w:rPr>
          <w:noProof/>
        </w:rPr>
        <w:t xml:space="preserve">den käyttöönoton esteet ja parantaa niiden integrointia ympäristöön, sähköjärjestelmään ja eri aloihin. </w:t>
      </w:r>
    </w:p>
    <w:p w14:paraId="1B4AD724" w14:textId="77777777" w:rsidR="000E48CE" w:rsidRDefault="00FF4C4E">
      <w:pPr>
        <w:pStyle w:val="P68B1DB1-Normal4"/>
        <w:spacing w:before="120" w:after="120" w:line="240" w:lineRule="auto"/>
        <w:jc w:val="both"/>
        <w:rPr>
          <w:rFonts w:cs="Times New Roman"/>
          <w:noProof/>
        </w:rPr>
      </w:pPr>
      <w:r>
        <w:rPr>
          <w:noProof/>
        </w:rPr>
        <w:t xml:space="preserve">Toimenpiteeseen on sisällyttävä useita lainsäädäntö- ja sääntelytoimia, joihin kuuluvat muun muassa seuraavat: </w:t>
      </w:r>
    </w:p>
    <w:p w14:paraId="5043E0B8" w14:textId="77777777" w:rsidR="000E48CE" w:rsidRDefault="00FF4C4E">
      <w:pPr>
        <w:pStyle w:val="P68B1DB1-ListParagraph7"/>
        <w:numPr>
          <w:ilvl w:val="0"/>
          <w:numId w:val="295"/>
        </w:numPr>
        <w:spacing w:before="120" w:after="120" w:line="240" w:lineRule="auto"/>
        <w:jc w:val="both"/>
        <w:rPr>
          <w:rFonts w:cs="Times New Roman"/>
          <w:noProof/>
        </w:rPr>
      </w:pPr>
      <w:r>
        <w:rPr>
          <w:noProof/>
        </w:rPr>
        <w:t xml:space="preserve">kesäkuussa 2020 hyväksyttiin kuninkaan </w:t>
      </w:r>
      <w:r>
        <w:rPr>
          <w:noProof/>
        </w:rPr>
        <w:t xml:space="preserve">asetus 23/2020, jolla perustetaan uusi huutokauppajärjestelmä uusiutuvan energian tuotantoa varten ja parannetaan mekanismia, joka mahdollistaa uusiutuvan energian tuotannon pääsyn sähköverkkoon; </w:t>
      </w:r>
    </w:p>
    <w:p w14:paraId="486E4DAB" w14:textId="77777777" w:rsidR="000E48CE" w:rsidRDefault="00FF4C4E">
      <w:pPr>
        <w:pStyle w:val="P68B1DB1-Normal4"/>
        <w:numPr>
          <w:ilvl w:val="0"/>
          <w:numId w:val="295"/>
        </w:numPr>
        <w:spacing w:before="120" w:after="120" w:line="240" w:lineRule="auto"/>
        <w:jc w:val="both"/>
        <w:rPr>
          <w:rFonts w:cs="Times New Roman"/>
          <w:noProof/>
        </w:rPr>
      </w:pPr>
      <w:r>
        <w:rPr>
          <w:noProof/>
        </w:rPr>
        <w:t>marraskuussa 2020 hyväksyttiin kuninkaan asetus 960/2020, j</w:t>
      </w:r>
      <w:r>
        <w:rPr>
          <w:noProof/>
        </w:rPr>
        <w:t xml:space="preserve">olla parannetaan uusiutuviin energialähteisiin perustuvasta tuotannosta saatavien tulojen ennustettavuutta uusissa huutokaupoissa; </w:t>
      </w:r>
    </w:p>
    <w:p w14:paraId="7C6CC9A8" w14:textId="77777777" w:rsidR="000E48CE" w:rsidRDefault="00FF4C4E">
      <w:pPr>
        <w:pStyle w:val="P68B1DB1-Normal4"/>
        <w:numPr>
          <w:ilvl w:val="0"/>
          <w:numId w:val="295"/>
        </w:numPr>
        <w:spacing w:before="120" w:after="120" w:line="240" w:lineRule="auto"/>
        <w:jc w:val="both"/>
        <w:rPr>
          <w:rFonts w:cs="Times New Roman"/>
          <w:noProof/>
        </w:rPr>
      </w:pPr>
      <w:r>
        <w:rPr>
          <w:noProof/>
        </w:rPr>
        <w:t xml:space="preserve">Joulukuussa 2020 annettu kuninkaallinen asetus 1183/2020, jolla säännellään uusiutuvan energian tuotantoon pääsyä ja </w:t>
      </w:r>
      <w:r>
        <w:rPr>
          <w:noProof/>
        </w:rPr>
        <w:t>verkkoon liittämistä koskevia ehtoja kuninkaan asetuksen 23/2020 säännösten mukaisesti; ja</w:t>
      </w:r>
    </w:p>
    <w:p w14:paraId="79636C6F" w14:textId="77777777" w:rsidR="000E48CE" w:rsidRDefault="00FF4C4E">
      <w:pPr>
        <w:pStyle w:val="P68B1DB1-Normal4"/>
        <w:numPr>
          <w:ilvl w:val="0"/>
          <w:numId w:val="295"/>
        </w:numPr>
        <w:spacing w:before="120" w:after="120" w:line="240" w:lineRule="auto"/>
        <w:jc w:val="both"/>
        <w:rPr>
          <w:rFonts w:cs="Times New Roman"/>
          <w:noProof/>
        </w:rPr>
      </w:pPr>
      <w:r>
        <w:rPr>
          <w:noProof/>
        </w:rPr>
        <w:t>Ilmastonmuutosta ja energiasiirtymää koskeva laki, joka on määrä hyväksyä vuoden 2021 alkupuoliskolla. Lailla vahvistetaan uusiutuvaa energiaa koskevat tavoitteet vu</w:t>
      </w:r>
      <w:r>
        <w:rPr>
          <w:noProof/>
        </w:rPr>
        <w:t>odelle 2030 ja ilmastoneutraaliustavoite vuoteen 2050 mennessä (mukaan lukien 100-prosenttinen uusiutuviin energialähteisiin perustuva sähköjärjestelmä). Laki sisältää myös tekijöitä, jotka ovat merkityksellisiä suunnitelman muiden osien kannalta (kuten ha</w:t>
      </w:r>
      <w:r>
        <w:rPr>
          <w:noProof/>
        </w:rPr>
        <w:t>llinnollisten esteiden vähentäminen ja julkisten latauspisteiden asentamista koskevat vaatimukset).</w:t>
      </w:r>
    </w:p>
    <w:p w14:paraId="3B7B3BD7" w14:textId="77777777" w:rsidR="000E48CE" w:rsidRDefault="00FF4C4E">
      <w:pPr>
        <w:pStyle w:val="P68B1DB1-Normal4"/>
        <w:spacing w:before="120" w:after="120" w:line="240" w:lineRule="auto"/>
        <w:jc w:val="both"/>
        <w:rPr>
          <w:rFonts w:cs="Times New Roman"/>
          <w:noProof/>
        </w:rPr>
      </w:pPr>
      <w:r>
        <w:rPr>
          <w:noProof/>
        </w:rPr>
        <w:t xml:space="preserve">Toimenpiteen täytäntöönpano on saatettava päätökseen viimeistään 31 päivänä joulukuuta 2023. </w:t>
      </w:r>
    </w:p>
    <w:p w14:paraId="248D7355" w14:textId="77777777" w:rsidR="000E48CE" w:rsidRDefault="00FF4C4E">
      <w:pPr>
        <w:pStyle w:val="P68B1DB1-Normal6"/>
        <w:spacing w:before="120" w:after="120" w:line="240" w:lineRule="auto"/>
        <w:jc w:val="both"/>
        <w:rPr>
          <w:rFonts w:cs="Times New Roman"/>
          <w:noProof/>
        </w:rPr>
      </w:pPr>
      <w:r>
        <w:rPr>
          <w:noProof/>
        </w:rPr>
        <w:t xml:space="preserve">Uudistus 2 (C7.R2) – Kansallinen itse tuotetun kulutuksen </w:t>
      </w:r>
      <w:r>
        <w:rPr>
          <w:noProof/>
        </w:rPr>
        <w:t>strategia</w:t>
      </w:r>
    </w:p>
    <w:p w14:paraId="563AF658" w14:textId="77777777" w:rsidR="000E48CE" w:rsidRDefault="00FF4C4E">
      <w:pPr>
        <w:pStyle w:val="P68B1DB1-Normal4"/>
        <w:spacing w:before="120" w:after="120" w:line="240" w:lineRule="auto"/>
        <w:jc w:val="both"/>
        <w:rPr>
          <w:rFonts w:cs="Times New Roman"/>
          <w:noProof/>
        </w:rPr>
      </w:pPr>
      <w:r>
        <w:rPr>
          <w:noProof/>
        </w:rPr>
        <w:t xml:space="preserve">Tämän toimenpiteen tavoitteena on lisätä omaa kulutusta vaihtoehtoisena uusiutuvan energian tuotantomuotona, asettaa tälle alalle tavoitteita vuosiksi 2021–2030 sekä määrittää ja kehittää toimenpiteitä, joilla lievennetään tärkeimpiä esteitä sen </w:t>
      </w:r>
      <w:r>
        <w:rPr>
          <w:noProof/>
        </w:rPr>
        <w:t xml:space="preserve">käyttöönotolle. Oma kulutus edistää uusiutuvan energian tuotannon integrointia rakennuksiin ja kaupunkiympäristöihin ja edistää paikallista työllisyyttä. </w:t>
      </w:r>
    </w:p>
    <w:p w14:paraId="72FA2ACE" w14:textId="77777777" w:rsidR="000E48CE" w:rsidRDefault="00FF4C4E">
      <w:pPr>
        <w:pStyle w:val="P68B1DB1-Normal4"/>
        <w:spacing w:before="120" w:after="120" w:line="240" w:lineRule="auto"/>
        <w:jc w:val="both"/>
        <w:rPr>
          <w:rFonts w:cs="Times New Roman"/>
          <w:noProof/>
        </w:rPr>
      </w:pPr>
      <w:r>
        <w:rPr>
          <w:noProof/>
        </w:rPr>
        <w:t>Toimenpiteeseen sisältyy se, että Espanjan hallitus hyväksyy vuoden 2021 jälkipuoliskolla oman kulutu</w:t>
      </w:r>
      <w:r>
        <w:rPr>
          <w:noProof/>
        </w:rPr>
        <w:t>ksen kansallisen strategian itse tuotetun kulutuksen hallinnollisten esteiden vähentämiseksi. Strategiassa on kartoitettava Espanjan nykyinen ja mahdollinen tilanne ja yksilöitävä toimenpiteet, joilla pyritään a) hallinnon välisen koordinoinnin parantamine</w:t>
      </w:r>
      <w:r>
        <w:rPr>
          <w:noProof/>
        </w:rPr>
        <w:t xml:space="preserve">n; b) tiedon levittäminen kuluttajille ja tietoisuuden lisääminen; (C) kartoittamalla olemassa olevia asiaankuuluvia taitoja sekä oman kulutuksen käyttöönottoon liittyviä jatkokoulutusmahdollisuuksia. </w:t>
      </w:r>
    </w:p>
    <w:p w14:paraId="48BFAA29" w14:textId="77777777" w:rsidR="000E48CE" w:rsidRDefault="00FF4C4E">
      <w:pPr>
        <w:pStyle w:val="P68B1DB1-Normal4"/>
        <w:spacing w:before="120" w:after="120" w:line="240" w:lineRule="auto"/>
        <w:jc w:val="both"/>
        <w:rPr>
          <w:rFonts w:cs="Times New Roman"/>
          <w:noProof/>
        </w:rPr>
      </w:pPr>
      <w:r>
        <w:rPr>
          <w:noProof/>
        </w:rPr>
        <w:t>Toimenpiteessä on käsiteltävä kansallisen itsekulutuss</w:t>
      </w:r>
      <w:r>
        <w:rPr>
          <w:noProof/>
        </w:rPr>
        <w:t xml:space="preserve">trategian keskeisten osien täytäntöönpanoa, mukaan lukien itse tuotetun kulutuksen edistämistä koskevien ohjeiden julkaiseminen ja tarvittavien taitojen parantamiseen tähtäävän koulutuksen suorittaminen. </w:t>
      </w:r>
    </w:p>
    <w:p w14:paraId="6AA14A28"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w:t>
      </w:r>
      <w:r>
        <w:rPr>
          <w:noProof/>
        </w:rPr>
        <w:t xml:space="preserve">n viimeistään 30 päivänä kesäkuuta 2023. </w:t>
      </w:r>
    </w:p>
    <w:p w14:paraId="59B44448" w14:textId="77777777" w:rsidR="000E48CE" w:rsidRDefault="00FF4C4E">
      <w:pPr>
        <w:pStyle w:val="P68B1DB1-Normal6"/>
        <w:spacing w:before="120" w:after="120" w:line="240" w:lineRule="auto"/>
        <w:jc w:val="both"/>
        <w:rPr>
          <w:rFonts w:cs="Times New Roman"/>
          <w:noProof/>
        </w:rPr>
      </w:pPr>
      <w:r>
        <w:rPr>
          <w:noProof/>
        </w:rPr>
        <w:t>Uudistus 3 (C7.R3) – Energiayhteisöjen kehittäminen</w:t>
      </w:r>
    </w:p>
    <w:p w14:paraId="25766895" w14:textId="1E565195" w:rsidR="000E48CE" w:rsidRDefault="00FF4C4E">
      <w:pPr>
        <w:pStyle w:val="P68B1DB1-Normal4"/>
        <w:spacing w:before="120" w:after="120" w:line="240" w:lineRule="auto"/>
        <w:jc w:val="both"/>
        <w:rPr>
          <w:rFonts w:cs="Times New Roman"/>
          <w:noProof/>
        </w:rPr>
      </w:pPr>
      <w:r>
        <w:rPr>
          <w:noProof/>
        </w:rPr>
        <w:t xml:space="preserve">Tämän toimenpiteen tavoitteena on kehittää energiayhteisöjä, jotta voidaan lisätä kansalaisten osallistumista energiasiirtymään uusiutuvan energian yhteisöjen ja </w:t>
      </w:r>
      <w:r>
        <w:rPr>
          <w:noProof/>
        </w:rPr>
        <w:t xml:space="preserve">kansalaisten energiayhteisöjen avulla. Toimenpiteellä tuetaan koulutusta, osallistavia ja yhteisöllisiä kehittämisprosesseja sekä tukea erityishankkeille. </w:t>
      </w:r>
    </w:p>
    <w:p w14:paraId="483AED78" w14:textId="5EE49F85" w:rsidR="000E48CE" w:rsidRDefault="00FF4C4E">
      <w:pPr>
        <w:pStyle w:val="P68B1DB1-Normal4"/>
        <w:spacing w:before="120" w:after="120" w:line="240" w:lineRule="auto"/>
        <w:jc w:val="both"/>
        <w:rPr>
          <w:rFonts w:cs="Times New Roman"/>
          <w:noProof/>
        </w:rPr>
      </w:pPr>
      <w:r>
        <w:rPr>
          <w:noProof/>
        </w:rPr>
        <w:t>Toimenpiteellä myönnetään ensimmäinen energiayhteisöjä koskeva pilottihanke tarjouskilpailun peruste</w:t>
      </w:r>
      <w:r>
        <w:rPr>
          <w:noProof/>
        </w:rPr>
        <w:t>ella tämän mallin elinkelpoisuuden osoittamiseksi. Se toteuttaa vuoden 2024 loppuun mennessä 37 pilottihanketta, joihin paikallisyhteisö osallistuu, sekä toteutettavia toimia koskeva etenemissuunnitelma ja asianmukaisten tulevien toimien määrittely. Näiden</w:t>
      </w:r>
      <w:r>
        <w:rPr>
          <w:noProof/>
        </w:rPr>
        <w:t xml:space="preserve"> hankkeiden on perustuttava uusiutuvaan energiaan. </w:t>
      </w:r>
    </w:p>
    <w:p w14:paraId="7D97F96C" w14:textId="03C89E44" w:rsidR="000E48CE" w:rsidRDefault="00FF4C4E">
      <w:pPr>
        <w:pStyle w:val="P68B1DB1-Normal4"/>
        <w:spacing w:before="120" w:after="120" w:line="240" w:lineRule="auto"/>
        <w:jc w:val="both"/>
        <w:rPr>
          <w:rFonts w:cs="Times New Roman"/>
          <w:noProof/>
        </w:rPr>
      </w:pPr>
      <w:r>
        <w:rPr>
          <w:noProof/>
        </w:rPr>
        <w:t xml:space="preserve">Toimenpiteen täytäntöönpano on saatettava päätökseen viimeistään 31 päivänä joulukuuta 2024. </w:t>
      </w:r>
    </w:p>
    <w:p w14:paraId="2BB0E1F3" w14:textId="77777777" w:rsidR="000E48CE" w:rsidRDefault="00FF4C4E">
      <w:pPr>
        <w:pStyle w:val="P68B1DB1-Normal6"/>
        <w:spacing w:before="120" w:after="120" w:line="240" w:lineRule="auto"/>
        <w:jc w:val="both"/>
        <w:rPr>
          <w:rFonts w:cs="Times New Roman"/>
          <w:noProof/>
        </w:rPr>
      </w:pPr>
      <w:r>
        <w:rPr>
          <w:noProof/>
        </w:rPr>
        <w:t>Uudistus 4 (C7.R4) – Uusiutuvaan energiaan liittyvän innovoinnin ja teknologisen kehittämisen puitteet</w:t>
      </w:r>
    </w:p>
    <w:p w14:paraId="58BF458E" w14:textId="77777777" w:rsidR="000E48CE" w:rsidRDefault="00FF4C4E">
      <w:pPr>
        <w:pStyle w:val="P68B1DB1-Normal4"/>
        <w:spacing w:before="120" w:after="120" w:line="240" w:lineRule="auto"/>
        <w:jc w:val="both"/>
        <w:rPr>
          <w:rFonts w:cs="Times New Roman"/>
          <w:noProof/>
        </w:rPr>
      </w:pPr>
      <w:r>
        <w:rPr>
          <w:noProof/>
        </w:rPr>
        <w:t>Tällä t</w:t>
      </w:r>
      <w:r>
        <w:rPr>
          <w:noProof/>
        </w:rPr>
        <w:t>oimenpiteellä vahvistetaan useiden uusiutuvien energialähteiden innovoinnin ja teknologisen kehittämisen puitteita ja edistetään tavoitetta, jonka mukaan uusiutuvien energialähteiden osuus energiankysynnästä on 100 prosenttia. Tämän toimenpiteen soveltamis</w:t>
      </w:r>
      <w:r>
        <w:rPr>
          <w:noProof/>
        </w:rPr>
        <w:t xml:space="preserve">alaan kuuluviin uusiutuviin energialähteisiin kuuluvat merituulivoima ja biokaasu. Toimenpiteellä helpotetaan myös uusiutuviin energialähteisiin liittyvien teknologioiden T &amp; K-toimintaa. </w:t>
      </w:r>
    </w:p>
    <w:p w14:paraId="7D861CFF" w14:textId="77777777" w:rsidR="000E48CE" w:rsidRDefault="00FF4C4E">
      <w:pPr>
        <w:pStyle w:val="P68B1DB1-Normal4"/>
        <w:spacing w:before="120" w:after="120" w:line="240" w:lineRule="auto"/>
        <w:jc w:val="both"/>
        <w:rPr>
          <w:rFonts w:cs="Times New Roman"/>
          <w:noProof/>
        </w:rPr>
      </w:pPr>
      <w:r>
        <w:rPr>
          <w:noProof/>
        </w:rPr>
        <w:t>Toimenpiteeseen sisältyy merituulivoimaa ja muuta merienergiaa kosk</w:t>
      </w:r>
      <w:r>
        <w:rPr>
          <w:noProof/>
        </w:rPr>
        <w:t>evan etenemissuunnitelman julkaiseminen. Etenemissuunnitelman tavoitteena on vähentää tämän uusiutuvan energian lähteen kehittämisen hallinnollisia esteitä. Etenemissuunnitelmassa on erityisesti pyrittävä edistää tutkimusta, kehittämistä ja innovointia jou</w:t>
      </w:r>
      <w:r>
        <w:rPr>
          <w:noProof/>
        </w:rPr>
        <w:t>stavamman sääntelykehyksen avulla ja vahvistamalla uusien prototyyppien teknologiakeskuksia ja testausalustoja; kartoitetaan mahdollisuuksia ja synergioita keskeisten teollisuudenalojen kanssa; kehitetään asianmukainen sääntelykehys Espanjassa tapahtuvaa k</w:t>
      </w:r>
      <w:r>
        <w:rPr>
          <w:noProof/>
        </w:rPr>
        <w:t>äyttöönottoa varten (erityisesti kelluva teknologia); ja d) yksilöidään toimenpiteet ympäristövaikutusten minimoimiseksi (vaikka samalla pyritään yksinkertaistamaan hallinnollisia menettelyjä). Toimenpiteellä on pantava täytäntöön etenemissuunnitelmassa yk</w:t>
      </w:r>
      <w:r>
        <w:rPr>
          <w:noProof/>
        </w:rPr>
        <w:t>silöidyt keskeiset sääntelytoimenpiteet, joilla edistetään merituulipuistoja, edistetään tutkimusta ja kehittämistä ja tuetaan kelluvien teknologioiden käyttöönottoa.</w:t>
      </w:r>
    </w:p>
    <w:p w14:paraId="4E54DCE7" w14:textId="77777777" w:rsidR="000E48CE" w:rsidRDefault="00FF4C4E">
      <w:pPr>
        <w:pStyle w:val="P68B1DB1-Normal4"/>
        <w:spacing w:before="120" w:after="120" w:line="240" w:lineRule="auto"/>
        <w:jc w:val="both"/>
        <w:rPr>
          <w:rFonts w:cs="Times New Roman"/>
          <w:noProof/>
        </w:rPr>
      </w:pPr>
      <w:r>
        <w:rPr>
          <w:noProof/>
        </w:rPr>
        <w:t>Tämän toimenpiteen toinen osa on biokaasua koskevan etenemissuunnitelman julkaiseminen. S</w:t>
      </w:r>
      <w:r>
        <w:rPr>
          <w:noProof/>
        </w:rPr>
        <w:t>iinä analysoidaan asianmukaisia sääntely- ja alakohtaisia välineitä biokaasun edistämiseksi keskittyen tämän energialähteen tehokkaaseen käyttöön (esimerkiksi maatalousteollisuuden sovelluksissa ja raskaissa hyötyajoneuvoissa, joissa sähköistäminen ei viel</w:t>
      </w:r>
      <w:r>
        <w:rPr>
          <w:noProof/>
        </w:rPr>
        <w:t>ä ole vaihtoehto). Uudistuksen tässä osassa käsitellään biokaasua koskevan etenemissuunnitelman keskeisten toimien täytäntöönpanoa, mukaan lukien seuraavat: perustetaan uusiutuvia kaasuja koskeva alkuperätakuujärjestelmä, jonka tarkoituksena on edistää inv</w:t>
      </w:r>
      <w:r>
        <w:rPr>
          <w:noProof/>
        </w:rPr>
        <w:t>estointeja biokaasuun ja hiilestä irtautumiseen teollisuuden ja liikenteen kaltaisilla aloilla; kehitetään väline, jolla lasketaan biokaasun vaikutus hiilestä irtautumiseen; ja c) toteutettavuustutkimukset biokaasun tuotantolaitosten käyttöönoton edistämis</w:t>
      </w:r>
      <w:r>
        <w:rPr>
          <w:noProof/>
        </w:rPr>
        <w:t xml:space="preserve">eksi. </w:t>
      </w:r>
    </w:p>
    <w:p w14:paraId="31D254F7"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päivänä joulukuuta 2023.</w:t>
      </w:r>
    </w:p>
    <w:p w14:paraId="6C72BB72" w14:textId="77777777" w:rsidR="000E48CE" w:rsidRDefault="00FF4C4E">
      <w:pPr>
        <w:pStyle w:val="P68B1DB1-Normal6"/>
        <w:spacing w:before="120" w:after="120" w:line="240" w:lineRule="auto"/>
        <w:jc w:val="both"/>
        <w:rPr>
          <w:rFonts w:cs="Times New Roman"/>
          <w:noProof/>
        </w:rPr>
      </w:pPr>
      <w:r>
        <w:rPr>
          <w:noProof/>
        </w:rPr>
        <w:t>Investointi 1 (C7.I1) – Rakennuksiin ja tuotantoprosesseihin integroitujen innovatiivisten uusiutuvien energialähteiden kehittäminen</w:t>
      </w:r>
    </w:p>
    <w:p w14:paraId="6D9582E1" w14:textId="77777777" w:rsidR="000E48CE" w:rsidRDefault="00FF4C4E">
      <w:pPr>
        <w:pStyle w:val="P68B1DB1-Normal4"/>
        <w:spacing w:before="120" w:after="120" w:line="240" w:lineRule="auto"/>
        <w:jc w:val="both"/>
        <w:rPr>
          <w:rFonts w:cs="Times New Roman"/>
          <w:noProof/>
        </w:rPr>
      </w:pPr>
      <w:r>
        <w:rPr>
          <w:noProof/>
        </w:rPr>
        <w:t>Tämän toimenpiteen tavo</w:t>
      </w:r>
      <w:r>
        <w:rPr>
          <w:noProof/>
        </w:rPr>
        <w:t>itteena on edistää innovatiivisten uusiutuvien energialähteiden sekä rakennuksiin ja tuotantoprosesseihin integroitavien energialähteiden kehittämistä. Sillä tuetaan itse tuotetun uusiutuvan energian kulutusta ja teknologioita, jotka eivät ole vielä täysin</w:t>
      </w:r>
      <w:r>
        <w:rPr>
          <w:noProof/>
        </w:rPr>
        <w:t xml:space="preserve"> kilpailukykyisiä, mukaan lukien uusiutuvat sähkö- ja lämpöenergialähteet maatalousalalla, uusiutuvat energialähteet, joilla pyritään kotitalous- ja palvelusektorin jäähdytys-/lämmitysvaatimuksiin, uusiutuvista lähteistä peräisin oleva lämpöenergia teollis</w:t>
      </w:r>
      <w:r>
        <w:rPr>
          <w:noProof/>
        </w:rPr>
        <w:t>ia prosesseja varten, bioenergia ja merten uusiutuvat energialähteet. Tuki myönnetään investointitukena, joka myönnetään kustannustehokkaan lopputuloksen varmistavien tarjouskilpailujen kautta, tai suorana pääomatukena uusiutuvia energialähteitä koskeville</w:t>
      </w:r>
      <w:r>
        <w:rPr>
          <w:noProof/>
        </w:rPr>
        <w:t xml:space="preserve"> hankkeille. Investoinnilla tuettaisiin myös uudelleen- ja täydennyskoulutusta uusiutuvan energian tuotannon alalla. </w:t>
      </w:r>
    </w:p>
    <w:p w14:paraId="73AEC436" w14:textId="77777777" w:rsidR="000E48CE" w:rsidRDefault="00FF4C4E">
      <w:pPr>
        <w:pStyle w:val="P68B1DB1-Normal4"/>
        <w:spacing w:before="120" w:after="120" w:line="240" w:lineRule="auto"/>
        <w:jc w:val="both"/>
        <w:rPr>
          <w:rFonts w:cs="Times New Roman"/>
          <w:noProof/>
        </w:rPr>
      </w:pPr>
      <w:r>
        <w:rPr>
          <w:noProof/>
        </w:rPr>
        <w:t>Tämän investoinnin puitteissa on asennettava vähintään 3 800 MW innovatiivista tai lisäarvoa tuottavaa uusiutuvan energian tuotantoa vuode</w:t>
      </w:r>
      <w:r>
        <w:rPr>
          <w:noProof/>
        </w:rPr>
        <w:t>n 2026 alkupuoliskoon mennessä.</w:t>
      </w:r>
    </w:p>
    <w:p w14:paraId="3D18D682" w14:textId="77777777" w:rsidR="000E48CE" w:rsidRDefault="00FF4C4E">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60E0F2E7" w14:textId="77777777" w:rsidR="000E48CE" w:rsidRDefault="00FF4C4E">
      <w:pPr>
        <w:pStyle w:val="P68B1DB1-Normal6"/>
        <w:spacing w:before="120" w:after="120" w:line="240" w:lineRule="auto"/>
        <w:jc w:val="both"/>
        <w:rPr>
          <w:rFonts w:cs="Times New Roman"/>
          <w:noProof/>
        </w:rPr>
      </w:pPr>
      <w:r>
        <w:rPr>
          <w:noProof/>
        </w:rPr>
        <w:t>Investointi 2 (C7.I2) – Kestävä energia saarilla</w:t>
      </w:r>
    </w:p>
    <w:p w14:paraId="2F377D1A" w14:textId="77777777" w:rsidR="000E48CE" w:rsidRDefault="00FF4C4E">
      <w:pPr>
        <w:pStyle w:val="P68B1DB1-Normal4"/>
        <w:spacing w:before="120" w:after="120" w:line="240" w:lineRule="auto"/>
        <w:jc w:val="both"/>
        <w:rPr>
          <w:rFonts w:cs="Times New Roman"/>
          <w:noProof/>
        </w:rPr>
      </w:pPr>
      <w:r>
        <w:rPr>
          <w:noProof/>
        </w:rPr>
        <w:t xml:space="preserve">Tällä investoinnilla tuetaan kestävää energiaa Espanjan saarilla (Kanariansaarilla ja Baleaarilla) </w:t>
      </w:r>
      <w:r>
        <w:rPr>
          <w:noProof/>
        </w:rPr>
        <w:t>osana laajempaa strategiaa, jolla tuetaan energiakäännettä saarilla, erityisesti tukemalla hankkeita, joilla edistetään uusiutuvan energian yleistymistä ja integrointia saarille ja muille kuin saarille. Tämä vastaa Espanjan kansallista energia- ja ilmastos</w:t>
      </w:r>
      <w:r>
        <w:rPr>
          <w:noProof/>
        </w:rPr>
        <w:t>uunnitelmaa, johon sisältyy toimia saarten hiilestä irtautumiseksi ja niiden öljyriippuvuuden vähentämiseksi.</w:t>
      </w:r>
    </w:p>
    <w:p w14:paraId="085FD631" w14:textId="77777777" w:rsidR="000E48CE" w:rsidRDefault="00FF4C4E">
      <w:pPr>
        <w:pStyle w:val="P68B1DB1-Normal4"/>
        <w:spacing w:before="120" w:after="120" w:line="240" w:lineRule="auto"/>
        <w:jc w:val="both"/>
        <w:rPr>
          <w:rFonts w:cs="Times New Roman"/>
          <w:noProof/>
        </w:rPr>
      </w:pPr>
      <w:r>
        <w:rPr>
          <w:noProof/>
        </w:rPr>
        <w:t>Tuettaviin erityisinvestointeihin kuuluvat uusiutuvat sähkölähteet, varastointiratkaisut ja älykkäät hankkeet (osana älykkäitä saaria koskevaa ohj</w:t>
      </w:r>
      <w:r>
        <w:rPr>
          <w:noProof/>
        </w:rPr>
        <w:t xml:space="preserve">elmaa). Osa tämän investoinnin toimista perustuu ”Puhdasta energiaa EU:n saarille” -ohjelman kautta hankittuun osaamiseen.  </w:t>
      </w:r>
    </w:p>
    <w:p w14:paraId="0F983BEF" w14:textId="08A34F2D" w:rsidR="000E48CE" w:rsidRDefault="00FF4C4E">
      <w:pPr>
        <w:pStyle w:val="P68B1DB1-Normal4"/>
        <w:spacing w:before="120" w:after="120" w:line="240" w:lineRule="auto"/>
        <w:jc w:val="both"/>
        <w:rPr>
          <w:rFonts w:cs="Times New Roman"/>
          <w:noProof/>
        </w:rPr>
      </w:pPr>
      <w:r>
        <w:rPr>
          <w:noProof/>
        </w:rPr>
        <w:t>Tämän investoinnin yhteydessä on asennettava vähintään 180 MW uusiutuvan energian tuotantoa sekä vähintään 600 tuettua tai toteutet</w:t>
      </w:r>
      <w:r>
        <w:rPr>
          <w:noProof/>
        </w:rPr>
        <w:t>tua toimea, hanketta tai ohjelmaa, mukaan lukien dynamisointiohjelmat tai -toimistot, saarten etenemissuunnitelmat, investointi- tai tukihankkeet, jotka liittyvät ”älykkäät saaret” tai ”Puhdasta energiaa EU:n saarille” -ohjelmiin, uusiutuvan energian kestä</w:t>
      </w:r>
      <w:r>
        <w:rPr>
          <w:noProof/>
        </w:rPr>
        <w:t>viin hankkeisiin tai varastointihankkeisiin.</w:t>
      </w:r>
    </w:p>
    <w:p w14:paraId="408422B9" w14:textId="77777777" w:rsidR="000E48CE" w:rsidRDefault="00FF4C4E">
      <w:pPr>
        <w:pStyle w:val="P68B1DB1-Normal4"/>
        <w:spacing w:before="120" w:after="120" w:line="240" w:lineRule="auto"/>
        <w:jc w:val="both"/>
        <w:rPr>
          <w:rFonts w:cs="Times New Roman"/>
          <w:noProof/>
        </w:rPr>
      </w:pPr>
      <w:r>
        <w:rPr>
          <w:noProof/>
        </w:rPr>
        <w:t xml:space="preserve">Uudistuksen toteutus on määrä saattaa päätökseen 30. kesäkuuta 2026 mennessä. </w:t>
      </w:r>
    </w:p>
    <w:p w14:paraId="7D397997" w14:textId="77777777" w:rsidR="000E48CE" w:rsidRDefault="00FF4C4E">
      <w:pPr>
        <w:pStyle w:val="P68B1DB1-Normal5"/>
        <w:keepNext/>
        <w:spacing w:before="120" w:after="120" w:line="240" w:lineRule="auto"/>
        <w:ind w:left="709"/>
        <w:jc w:val="both"/>
        <w:rPr>
          <w:rFonts w:cs="Times New Roman"/>
          <w:noProof/>
        </w:rPr>
      </w:pPr>
      <w:r>
        <w:rPr>
          <w:noProof/>
        </w:rPr>
        <w:t xml:space="preserve">G.2 </w:t>
      </w:r>
      <w:r>
        <w:rPr>
          <w:noProof/>
        </w:rPr>
        <w:tab/>
        <w:t xml:space="preserve">Seurantaa ja täytäntöönpanoa koskevat välitavoitteet, tavoitteet, indikaattorit ja aikataulu – rahoitustuki, jota ei makseta </w:t>
      </w:r>
      <w:r>
        <w:rPr>
          <w:noProof/>
        </w:rPr>
        <w:t>takaisin</w:t>
      </w:r>
    </w:p>
    <w:p w14:paraId="2B466D42" w14:textId="77777777" w:rsidR="000E48CE" w:rsidRDefault="00FF4C4E">
      <w:pPr>
        <w:pStyle w:val="P68B1DB1-Normal18"/>
        <w:keepNext/>
        <w:spacing w:before="120" w:after="120" w:line="240" w:lineRule="auto"/>
        <w:rPr>
          <w:rFonts w:cs="Times New Roman"/>
          <w:noProof/>
          <w:u w:val="single"/>
        </w:rPr>
        <w:sectPr w:rsidR="000E48CE" w:rsidSect="0035659C">
          <w:headerReference w:type="even" r:id="rId174"/>
          <w:headerReference w:type="default" r:id="rId175"/>
          <w:footerReference w:type="even" r:id="rId176"/>
          <w:footerReference w:type="default" r:id="rId177"/>
          <w:headerReference w:type="first" r:id="rId178"/>
          <w:footerReference w:type="first" r:id="rId179"/>
          <w:pgSz w:w="11907" w:h="16839"/>
          <w:pgMar w:top="1134" w:right="1417" w:bottom="1134" w:left="1417" w:header="709" w:footer="709" w:gutter="0"/>
          <w:cols w:space="720"/>
          <w:docGrid w:linePitch="360"/>
        </w:sectPr>
      </w:pPr>
      <w:r>
        <w:rPr>
          <w:noProof/>
        </w:rPr>
        <w:t>Ks. taulukko jäljempänä. Kaikkien indikaattoreiden perustaso on 1. helmikuuta 2020, ellei toimen kuvauksessa toisin ilmoiteta. Taulukossa esitetyt määrät eivät sisällä arvonlisäveroa.</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276"/>
        <w:gridCol w:w="850"/>
        <w:gridCol w:w="709"/>
        <w:gridCol w:w="737"/>
        <w:gridCol w:w="567"/>
        <w:gridCol w:w="567"/>
        <w:gridCol w:w="5217"/>
      </w:tblGrid>
      <w:tr w:rsidR="000E48CE" w14:paraId="43629D1D" w14:textId="77777777">
        <w:trPr>
          <w:trHeight w:val="309"/>
          <w:tblHeader/>
        </w:trPr>
        <w:tc>
          <w:tcPr>
            <w:tcW w:w="709" w:type="dxa"/>
            <w:tcBorders>
              <w:bottom w:val="nil"/>
            </w:tcBorders>
            <w:shd w:val="clear" w:color="auto" w:fill="C6D9F1" w:themeFill="text2" w:themeFillTint="33"/>
            <w:noWrap/>
            <w:vAlign w:val="center"/>
          </w:tcPr>
          <w:p w14:paraId="1137F6FE"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2D2030B1"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7A014B3E"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977" w:type="dxa"/>
            <w:tcBorders>
              <w:bottom w:val="nil"/>
            </w:tcBorders>
            <w:shd w:val="clear" w:color="auto" w:fill="C6D9F1" w:themeFill="text2" w:themeFillTint="33"/>
            <w:noWrap/>
            <w:vAlign w:val="center"/>
          </w:tcPr>
          <w:p w14:paraId="76B22AC8" w14:textId="77777777" w:rsidR="000E48CE" w:rsidRDefault="00FF4C4E">
            <w:pPr>
              <w:pStyle w:val="P68B1DB1-Normal12"/>
              <w:spacing w:after="0" w:line="240" w:lineRule="auto"/>
              <w:jc w:val="center"/>
              <w:rPr>
                <w:rFonts w:cs="Times New Roman"/>
                <w:noProof/>
              </w:rPr>
            </w:pPr>
            <w:r>
              <w:rPr>
                <w:noProof/>
              </w:rPr>
              <w:t>Nimi</w:t>
            </w:r>
          </w:p>
        </w:tc>
        <w:tc>
          <w:tcPr>
            <w:tcW w:w="1276" w:type="dxa"/>
            <w:tcBorders>
              <w:bottom w:val="nil"/>
            </w:tcBorders>
            <w:shd w:val="clear" w:color="auto" w:fill="C6D9F1" w:themeFill="text2" w:themeFillTint="33"/>
            <w:noWrap/>
            <w:vAlign w:val="center"/>
          </w:tcPr>
          <w:p w14:paraId="2DDB3F40"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296" w:type="dxa"/>
            <w:gridSpan w:val="3"/>
            <w:shd w:val="clear" w:color="auto" w:fill="C6D9F1" w:themeFill="text2" w:themeFillTint="33"/>
            <w:noWrap/>
            <w:vAlign w:val="center"/>
          </w:tcPr>
          <w:p w14:paraId="3218836D"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134" w:type="dxa"/>
            <w:gridSpan w:val="2"/>
            <w:shd w:val="clear" w:color="auto" w:fill="C6D9F1" w:themeFill="text2" w:themeFillTint="33"/>
            <w:noWrap/>
            <w:vAlign w:val="center"/>
          </w:tcPr>
          <w:p w14:paraId="1DEC776A" w14:textId="77777777" w:rsidR="000E48CE" w:rsidRDefault="00FF4C4E">
            <w:pPr>
              <w:pStyle w:val="P68B1DB1-Normal12"/>
              <w:spacing w:after="0" w:line="240" w:lineRule="auto"/>
              <w:jc w:val="center"/>
              <w:rPr>
                <w:rFonts w:cs="Times New Roman"/>
                <w:noProof/>
              </w:rPr>
            </w:pPr>
            <w:r>
              <w:rPr>
                <w:noProof/>
              </w:rPr>
              <w:t>Aika</w:t>
            </w:r>
          </w:p>
        </w:tc>
        <w:tc>
          <w:tcPr>
            <w:tcW w:w="5217" w:type="dxa"/>
            <w:tcBorders>
              <w:bottom w:val="nil"/>
            </w:tcBorders>
            <w:shd w:val="clear" w:color="auto" w:fill="C6D9F1" w:themeFill="text2" w:themeFillTint="33"/>
            <w:noWrap/>
            <w:vAlign w:val="center"/>
          </w:tcPr>
          <w:p w14:paraId="3B519A6D"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600D2986" w14:textId="77777777">
        <w:trPr>
          <w:trHeight w:val="309"/>
          <w:tblHeader/>
        </w:trPr>
        <w:tc>
          <w:tcPr>
            <w:tcW w:w="709" w:type="dxa"/>
            <w:tcBorders>
              <w:top w:val="nil"/>
            </w:tcBorders>
            <w:shd w:val="clear" w:color="auto" w:fill="C6D9F1" w:themeFill="text2" w:themeFillTint="33"/>
            <w:noWrap/>
          </w:tcPr>
          <w:p w14:paraId="562C75D1"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64355AD"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A965116" w14:textId="77777777" w:rsidR="000E48CE" w:rsidRDefault="000E48CE">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7DF4E37C" w14:textId="77777777" w:rsidR="000E48CE" w:rsidRDefault="000E48CE">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44FB30F8"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701EC728" w14:textId="77777777" w:rsidR="000E48CE" w:rsidRDefault="00FF4C4E">
            <w:pPr>
              <w:pStyle w:val="P68B1DB1-Normal12"/>
              <w:spacing w:after="0" w:line="240" w:lineRule="auto"/>
              <w:jc w:val="center"/>
              <w:rPr>
                <w:rFonts w:cs="Times New Roman"/>
                <w:noProof/>
              </w:rPr>
            </w:pPr>
            <w:r>
              <w:rPr>
                <w:noProof/>
              </w:rPr>
              <w:t>Yksikkö</w:t>
            </w:r>
          </w:p>
        </w:tc>
        <w:tc>
          <w:tcPr>
            <w:tcW w:w="709" w:type="dxa"/>
            <w:shd w:val="clear" w:color="auto" w:fill="C6D9F1" w:themeFill="text2" w:themeFillTint="33"/>
            <w:noWrap/>
          </w:tcPr>
          <w:p w14:paraId="7D9F17E7" w14:textId="77777777" w:rsidR="000E48CE" w:rsidRDefault="00FF4C4E">
            <w:pPr>
              <w:pStyle w:val="P68B1DB1-Normal12"/>
              <w:spacing w:after="0" w:line="240" w:lineRule="auto"/>
              <w:jc w:val="center"/>
              <w:rPr>
                <w:rFonts w:cs="Times New Roman"/>
                <w:noProof/>
              </w:rPr>
            </w:pPr>
            <w:r>
              <w:rPr>
                <w:noProof/>
              </w:rPr>
              <w:t>Perustaso</w:t>
            </w:r>
          </w:p>
        </w:tc>
        <w:tc>
          <w:tcPr>
            <w:tcW w:w="737" w:type="dxa"/>
            <w:shd w:val="clear" w:color="auto" w:fill="C6D9F1" w:themeFill="text2" w:themeFillTint="33"/>
            <w:noWrap/>
          </w:tcPr>
          <w:p w14:paraId="3D8A4BCD" w14:textId="77777777" w:rsidR="000E48CE" w:rsidRDefault="00FF4C4E">
            <w:pPr>
              <w:pStyle w:val="P68B1DB1-Normal12"/>
              <w:spacing w:after="0" w:line="240" w:lineRule="auto"/>
              <w:jc w:val="center"/>
              <w:rPr>
                <w:rFonts w:cs="Times New Roman"/>
                <w:noProof/>
              </w:rPr>
            </w:pPr>
            <w:r>
              <w:rPr>
                <w:noProof/>
              </w:rPr>
              <w:t>Päämäärä</w:t>
            </w:r>
          </w:p>
        </w:tc>
        <w:tc>
          <w:tcPr>
            <w:tcW w:w="567" w:type="dxa"/>
            <w:shd w:val="clear" w:color="auto" w:fill="C6D9F1" w:themeFill="text2" w:themeFillTint="33"/>
            <w:noWrap/>
          </w:tcPr>
          <w:p w14:paraId="0C327E37"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00A6A508" w14:textId="77777777" w:rsidR="000E48CE" w:rsidRDefault="00FF4C4E">
            <w:pPr>
              <w:pStyle w:val="P68B1DB1-Normal12"/>
              <w:spacing w:after="0" w:line="240" w:lineRule="auto"/>
              <w:jc w:val="center"/>
              <w:rPr>
                <w:rFonts w:cs="Times New Roman"/>
                <w:noProof/>
              </w:rPr>
            </w:pPr>
            <w:r>
              <w:rPr>
                <w:noProof/>
              </w:rPr>
              <w:t>Vuosi</w:t>
            </w:r>
          </w:p>
        </w:tc>
        <w:tc>
          <w:tcPr>
            <w:tcW w:w="5217" w:type="dxa"/>
            <w:tcBorders>
              <w:top w:val="nil"/>
            </w:tcBorders>
            <w:shd w:val="clear" w:color="auto" w:fill="C6D9F1" w:themeFill="text2" w:themeFillTint="33"/>
            <w:noWrap/>
          </w:tcPr>
          <w:p w14:paraId="1DA6542E" w14:textId="77777777" w:rsidR="000E48CE" w:rsidRDefault="000E48CE">
            <w:pPr>
              <w:spacing w:after="0" w:line="240" w:lineRule="auto"/>
              <w:rPr>
                <w:rFonts w:ascii="Times New Roman" w:hAnsi="Times New Roman" w:cs="Times New Roman"/>
                <w:b/>
                <w:noProof/>
                <w:sz w:val="18"/>
              </w:rPr>
            </w:pPr>
          </w:p>
        </w:tc>
      </w:tr>
      <w:tr w:rsidR="000E48CE" w14:paraId="26963381" w14:textId="77777777">
        <w:trPr>
          <w:trHeight w:val="309"/>
        </w:trPr>
        <w:tc>
          <w:tcPr>
            <w:tcW w:w="709" w:type="dxa"/>
            <w:shd w:val="clear" w:color="auto" w:fill="C6EFCE"/>
            <w:noWrap/>
          </w:tcPr>
          <w:p w14:paraId="69F24933" w14:textId="77777777" w:rsidR="000E48CE" w:rsidRDefault="00FF4C4E">
            <w:pPr>
              <w:pStyle w:val="P68B1DB1-Normal13"/>
              <w:spacing w:after="0" w:line="240" w:lineRule="auto"/>
              <w:jc w:val="center"/>
              <w:rPr>
                <w:rFonts w:eastAsia="Calibri" w:cs="Times New Roman"/>
                <w:noProof/>
              </w:rPr>
            </w:pPr>
            <w:r>
              <w:rPr>
                <w:noProof/>
              </w:rPr>
              <w:t>102</w:t>
            </w:r>
          </w:p>
        </w:tc>
        <w:tc>
          <w:tcPr>
            <w:tcW w:w="851" w:type="dxa"/>
            <w:shd w:val="clear" w:color="auto" w:fill="C6EFCE"/>
            <w:noWrap/>
          </w:tcPr>
          <w:p w14:paraId="7BFFF9DE" w14:textId="77777777" w:rsidR="000E48CE" w:rsidRDefault="00FF4C4E">
            <w:pPr>
              <w:pStyle w:val="P68B1DB1-Normal13"/>
              <w:spacing w:after="0" w:line="240" w:lineRule="auto"/>
              <w:jc w:val="center"/>
              <w:rPr>
                <w:rFonts w:eastAsia="Calibri" w:cs="Times New Roman"/>
                <w:noProof/>
              </w:rPr>
            </w:pPr>
            <w:r>
              <w:rPr>
                <w:noProof/>
              </w:rPr>
              <w:t>C7.R1</w:t>
            </w:r>
          </w:p>
        </w:tc>
        <w:tc>
          <w:tcPr>
            <w:tcW w:w="850" w:type="dxa"/>
            <w:shd w:val="clear" w:color="auto" w:fill="C6EFCE"/>
            <w:noWrap/>
          </w:tcPr>
          <w:p w14:paraId="5F9049A3" w14:textId="77777777" w:rsidR="000E48CE" w:rsidRDefault="00FF4C4E">
            <w:pPr>
              <w:pStyle w:val="P68B1DB1-Normal13"/>
              <w:spacing w:after="0" w:line="240" w:lineRule="auto"/>
              <w:jc w:val="center"/>
              <w:rPr>
                <w:rFonts w:eastAsia="Calibri" w:cs="Times New Roman"/>
                <w:noProof/>
              </w:rPr>
            </w:pPr>
            <w:r>
              <w:rPr>
                <w:noProof/>
              </w:rPr>
              <w:t>M</w:t>
            </w:r>
          </w:p>
        </w:tc>
        <w:tc>
          <w:tcPr>
            <w:tcW w:w="2977" w:type="dxa"/>
            <w:shd w:val="clear" w:color="auto" w:fill="C6EFCE"/>
            <w:noWrap/>
          </w:tcPr>
          <w:p w14:paraId="0918C12D" w14:textId="77777777" w:rsidR="000E48CE" w:rsidRDefault="00FF4C4E">
            <w:pPr>
              <w:pStyle w:val="P68B1DB1-Normal13"/>
              <w:spacing w:after="0" w:line="240" w:lineRule="auto"/>
              <w:rPr>
                <w:rFonts w:eastAsia="Calibri" w:cs="Times New Roman"/>
                <w:noProof/>
              </w:rPr>
            </w:pPr>
            <w:r>
              <w:rPr>
                <w:noProof/>
              </w:rPr>
              <w:t xml:space="preserve">Kuninkaan asetuksen 23/2020 </w:t>
            </w:r>
            <w:r>
              <w:rPr>
                <w:noProof/>
              </w:rPr>
              <w:t>voimaantulo (energiatoimenpiteet)</w:t>
            </w:r>
          </w:p>
        </w:tc>
        <w:tc>
          <w:tcPr>
            <w:tcW w:w="1276" w:type="dxa"/>
            <w:shd w:val="clear" w:color="auto" w:fill="C6EFCE"/>
            <w:noWrap/>
          </w:tcPr>
          <w:p w14:paraId="51A46B4C" w14:textId="77777777" w:rsidR="000E48CE" w:rsidRDefault="00FF4C4E">
            <w:pPr>
              <w:pStyle w:val="P68B1DB1-Normal13"/>
              <w:spacing w:after="0" w:line="240" w:lineRule="auto"/>
              <w:jc w:val="center"/>
              <w:rPr>
                <w:rFonts w:eastAsia="Calibri" w:cs="Times New Roman"/>
                <w:noProof/>
              </w:rPr>
            </w:pPr>
            <w:r>
              <w:rPr>
                <w:noProof/>
              </w:rPr>
              <w:t>Voimaantuloa koskevan kuninkaan asetuksen 23/2020 säännös</w:t>
            </w:r>
          </w:p>
        </w:tc>
        <w:tc>
          <w:tcPr>
            <w:tcW w:w="850" w:type="dxa"/>
            <w:shd w:val="clear" w:color="auto" w:fill="C6EFCE"/>
            <w:noWrap/>
          </w:tcPr>
          <w:p w14:paraId="714FDA4A"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709" w:type="dxa"/>
            <w:shd w:val="clear" w:color="auto" w:fill="C6EFCE"/>
            <w:noWrap/>
          </w:tcPr>
          <w:p w14:paraId="7B0679C1"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737" w:type="dxa"/>
            <w:shd w:val="clear" w:color="auto" w:fill="C6EFCE"/>
            <w:noWrap/>
          </w:tcPr>
          <w:p w14:paraId="637C29F4"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9FB017B"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12406FD9" w14:textId="77777777" w:rsidR="000E48CE" w:rsidRDefault="00FF4C4E">
            <w:pPr>
              <w:pStyle w:val="P68B1DB1-Normal13"/>
              <w:spacing w:after="0" w:line="240" w:lineRule="auto"/>
              <w:jc w:val="center"/>
              <w:rPr>
                <w:rFonts w:eastAsia="Calibri" w:cs="Times New Roman"/>
                <w:noProof/>
              </w:rPr>
            </w:pPr>
            <w:r>
              <w:rPr>
                <w:noProof/>
              </w:rPr>
              <w:t>2020</w:t>
            </w:r>
          </w:p>
        </w:tc>
        <w:tc>
          <w:tcPr>
            <w:tcW w:w="5217" w:type="dxa"/>
            <w:shd w:val="clear" w:color="auto" w:fill="C6EFCE"/>
            <w:noWrap/>
          </w:tcPr>
          <w:p w14:paraId="346A3E69" w14:textId="77777777" w:rsidR="000E48CE" w:rsidRDefault="00FF4C4E">
            <w:pPr>
              <w:pStyle w:val="P68B1DB1-Normal13"/>
              <w:spacing w:after="0" w:line="240" w:lineRule="auto"/>
              <w:rPr>
                <w:rFonts w:eastAsia="Calibri" w:cs="Times New Roman"/>
                <w:noProof/>
              </w:rPr>
            </w:pPr>
            <w:r>
              <w:rPr>
                <w:noProof/>
              </w:rPr>
              <w:t>Kuninkaan asetuksella 23/2020 hyväksytään energiatoimenpiteet, joiden tarkoituksena on luoda oikeusperusta uudelle huutokauppajärjestelmälle, määritel</w:t>
            </w:r>
            <w:r>
              <w:rPr>
                <w:noProof/>
              </w:rPr>
              <w:t>lä energia-alan uudet osallistujat, kuten riippumattomat yhteenliittymät ja uusiutuvan energian yhteisöt, sekä edistää verkkoon pääsyä ja liitäntää koskevien lupien järkeistämistä.</w:t>
            </w:r>
          </w:p>
        </w:tc>
      </w:tr>
      <w:tr w:rsidR="000E48CE" w14:paraId="63DBD210" w14:textId="77777777">
        <w:trPr>
          <w:trHeight w:val="309"/>
        </w:trPr>
        <w:tc>
          <w:tcPr>
            <w:tcW w:w="709" w:type="dxa"/>
            <w:shd w:val="clear" w:color="auto" w:fill="C6EFCE"/>
            <w:noWrap/>
          </w:tcPr>
          <w:p w14:paraId="49FB466E" w14:textId="77777777" w:rsidR="000E48CE" w:rsidRDefault="00FF4C4E">
            <w:pPr>
              <w:pStyle w:val="P68B1DB1-Normal13"/>
              <w:spacing w:after="0" w:line="240" w:lineRule="auto"/>
              <w:jc w:val="center"/>
              <w:rPr>
                <w:rFonts w:eastAsia="Calibri" w:cs="Times New Roman"/>
                <w:noProof/>
              </w:rPr>
            </w:pPr>
            <w:r>
              <w:rPr>
                <w:noProof/>
              </w:rPr>
              <w:t>103</w:t>
            </w:r>
          </w:p>
        </w:tc>
        <w:tc>
          <w:tcPr>
            <w:tcW w:w="851" w:type="dxa"/>
            <w:shd w:val="clear" w:color="auto" w:fill="C6EFCE"/>
            <w:noWrap/>
          </w:tcPr>
          <w:p w14:paraId="01286CF5" w14:textId="77777777" w:rsidR="000E48CE" w:rsidRDefault="00FF4C4E">
            <w:pPr>
              <w:pStyle w:val="P68B1DB1-Normal13"/>
              <w:spacing w:after="0" w:line="240" w:lineRule="auto"/>
              <w:jc w:val="center"/>
              <w:rPr>
                <w:rFonts w:eastAsia="Calibri" w:cs="Times New Roman"/>
                <w:noProof/>
              </w:rPr>
            </w:pPr>
            <w:r>
              <w:rPr>
                <w:noProof/>
              </w:rPr>
              <w:t>C7.R1</w:t>
            </w:r>
          </w:p>
        </w:tc>
        <w:tc>
          <w:tcPr>
            <w:tcW w:w="850" w:type="dxa"/>
            <w:shd w:val="clear" w:color="auto" w:fill="C6EFCE"/>
            <w:noWrap/>
          </w:tcPr>
          <w:p w14:paraId="765D4946" w14:textId="77777777" w:rsidR="000E48CE" w:rsidRDefault="00FF4C4E">
            <w:pPr>
              <w:pStyle w:val="P68B1DB1-Normal13"/>
              <w:spacing w:after="0" w:line="240" w:lineRule="auto"/>
              <w:jc w:val="center"/>
              <w:rPr>
                <w:rFonts w:eastAsia="Calibri" w:cs="Times New Roman"/>
                <w:noProof/>
              </w:rPr>
            </w:pPr>
            <w:r>
              <w:rPr>
                <w:noProof/>
              </w:rPr>
              <w:t>M</w:t>
            </w:r>
          </w:p>
        </w:tc>
        <w:tc>
          <w:tcPr>
            <w:tcW w:w="2977" w:type="dxa"/>
            <w:shd w:val="clear" w:color="auto" w:fill="C6EFCE"/>
            <w:noWrap/>
          </w:tcPr>
          <w:p w14:paraId="409437D4" w14:textId="77777777" w:rsidR="000E48CE" w:rsidRDefault="00FF4C4E">
            <w:pPr>
              <w:pStyle w:val="P68B1DB1-Normal13"/>
              <w:spacing w:after="0" w:line="240" w:lineRule="auto"/>
              <w:rPr>
                <w:rFonts w:eastAsia="Calibri" w:cs="Times New Roman"/>
                <w:noProof/>
              </w:rPr>
            </w:pPr>
            <w:r>
              <w:rPr>
                <w:noProof/>
              </w:rPr>
              <w:t xml:space="preserve">Kuninkaan asetuksen 960/2020 voimaantulo (uusiutuvan energian </w:t>
            </w:r>
            <w:r>
              <w:rPr>
                <w:noProof/>
              </w:rPr>
              <w:t>taloudellinen järjestelmä)</w:t>
            </w:r>
          </w:p>
        </w:tc>
        <w:tc>
          <w:tcPr>
            <w:tcW w:w="1276" w:type="dxa"/>
            <w:shd w:val="clear" w:color="auto" w:fill="C6EFCE"/>
            <w:noWrap/>
          </w:tcPr>
          <w:p w14:paraId="01B679B0" w14:textId="77777777" w:rsidR="000E48CE" w:rsidRDefault="00FF4C4E">
            <w:pPr>
              <w:pStyle w:val="P68B1DB1-Normal13"/>
              <w:spacing w:after="0" w:line="240" w:lineRule="auto"/>
              <w:jc w:val="center"/>
              <w:rPr>
                <w:rFonts w:eastAsia="Calibri" w:cs="Times New Roman"/>
                <w:noProof/>
              </w:rPr>
            </w:pPr>
            <w:r>
              <w:rPr>
                <w:noProof/>
              </w:rPr>
              <w:t xml:space="preserve">Voimaantuloa koskevan kuninkaan asetuksen 960/2020 säännös </w:t>
            </w:r>
          </w:p>
        </w:tc>
        <w:tc>
          <w:tcPr>
            <w:tcW w:w="850" w:type="dxa"/>
            <w:shd w:val="clear" w:color="auto" w:fill="C6EFCE"/>
            <w:noWrap/>
          </w:tcPr>
          <w:p w14:paraId="7913A28A"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709" w:type="dxa"/>
            <w:shd w:val="clear" w:color="auto" w:fill="C6EFCE"/>
            <w:noWrap/>
          </w:tcPr>
          <w:p w14:paraId="2F0EC2E1"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737" w:type="dxa"/>
            <w:shd w:val="clear" w:color="auto" w:fill="C6EFCE"/>
            <w:noWrap/>
          </w:tcPr>
          <w:p w14:paraId="1B642F88" w14:textId="77777777" w:rsidR="000E48CE" w:rsidRDefault="00FF4C4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791A9D45" w14:textId="77777777" w:rsidR="000E48CE" w:rsidRDefault="00FF4C4E">
            <w:pPr>
              <w:pStyle w:val="P68B1DB1-Normal13"/>
              <w:spacing w:after="0" w:line="240" w:lineRule="auto"/>
              <w:jc w:val="center"/>
              <w:rPr>
                <w:rFonts w:eastAsia="Calibri" w:cs="Times New Roman"/>
                <w:noProof/>
              </w:rPr>
            </w:pPr>
            <w:r>
              <w:rPr>
                <w:noProof/>
              </w:rPr>
              <w:t>Q4</w:t>
            </w:r>
          </w:p>
        </w:tc>
        <w:tc>
          <w:tcPr>
            <w:tcW w:w="567" w:type="dxa"/>
            <w:shd w:val="clear" w:color="auto" w:fill="C6EFCE"/>
            <w:noWrap/>
          </w:tcPr>
          <w:p w14:paraId="0D42C9D5" w14:textId="77777777" w:rsidR="000E48CE" w:rsidRDefault="00FF4C4E">
            <w:pPr>
              <w:pStyle w:val="P68B1DB1-Normal13"/>
              <w:spacing w:after="0" w:line="240" w:lineRule="auto"/>
              <w:jc w:val="center"/>
              <w:rPr>
                <w:rFonts w:eastAsia="Calibri" w:cs="Times New Roman"/>
                <w:noProof/>
              </w:rPr>
            </w:pPr>
            <w:r>
              <w:rPr>
                <w:noProof/>
              </w:rPr>
              <w:t>2020</w:t>
            </w:r>
          </w:p>
        </w:tc>
        <w:tc>
          <w:tcPr>
            <w:tcW w:w="5217" w:type="dxa"/>
            <w:shd w:val="clear" w:color="auto" w:fill="C6EFCE"/>
            <w:noWrap/>
          </w:tcPr>
          <w:p w14:paraId="0B5BED5E" w14:textId="77777777" w:rsidR="000E48CE" w:rsidRDefault="00FF4C4E">
            <w:pPr>
              <w:pStyle w:val="P68B1DB1-Normal13"/>
              <w:spacing w:after="0" w:line="240" w:lineRule="auto"/>
              <w:rPr>
                <w:rFonts w:eastAsia="Calibri" w:cs="Times New Roman"/>
                <w:noProof/>
              </w:rPr>
            </w:pPr>
            <w:r>
              <w:rPr>
                <w:noProof/>
              </w:rPr>
              <w:t>Kuninkaallisella asetuksella 960/2020 säännellään uusiutuvan energian talousjärjestelmää</w:t>
            </w:r>
          </w:p>
        </w:tc>
      </w:tr>
      <w:tr w:rsidR="000E48CE" w14:paraId="15FC492C" w14:textId="77777777">
        <w:trPr>
          <w:trHeight w:val="309"/>
        </w:trPr>
        <w:tc>
          <w:tcPr>
            <w:tcW w:w="709" w:type="dxa"/>
            <w:shd w:val="clear" w:color="auto" w:fill="C6EFCE"/>
            <w:noWrap/>
          </w:tcPr>
          <w:p w14:paraId="0F3167D2" w14:textId="77777777" w:rsidR="000E48CE" w:rsidRDefault="00FF4C4E">
            <w:pPr>
              <w:pStyle w:val="P68B1DB1-Normal13"/>
              <w:spacing w:after="0" w:line="240" w:lineRule="auto"/>
              <w:jc w:val="center"/>
              <w:rPr>
                <w:rFonts w:eastAsia="Calibri" w:cs="Times New Roman"/>
                <w:noProof/>
              </w:rPr>
            </w:pPr>
            <w:r>
              <w:rPr>
                <w:noProof/>
              </w:rPr>
              <w:t>104</w:t>
            </w:r>
          </w:p>
        </w:tc>
        <w:tc>
          <w:tcPr>
            <w:tcW w:w="851" w:type="dxa"/>
            <w:shd w:val="clear" w:color="auto" w:fill="C6EFCE"/>
            <w:noWrap/>
          </w:tcPr>
          <w:p w14:paraId="4A127E87" w14:textId="77777777" w:rsidR="000E48CE" w:rsidRDefault="00FF4C4E">
            <w:pPr>
              <w:pStyle w:val="P68B1DB1-Normal13"/>
              <w:spacing w:after="0" w:line="240" w:lineRule="auto"/>
              <w:jc w:val="center"/>
              <w:rPr>
                <w:rFonts w:eastAsia="Calibri" w:cs="Times New Roman"/>
                <w:noProof/>
              </w:rPr>
            </w:pPr>
            <w:r>
              <w:rPr>
                <w:noProof/>
              </w:rPr>
              <w:t>C7.R1</w:t>
            </w:r>
          </w:p>
        </w:tc>
        <w:tc>
          <w:tcPr>
            <w:tcW w:w="850" w:type="dxa"/>
            <w:shd w:val="clear" w:color="auto" w:fill="C6EFCE"/>
            <w:noWrap/>
          </w:tcPr>
          <w:p w14:paraId="05C89D75" w14:textId="77777777" w:rsidR="000E48CE" w:rsidRDefault="00FF4C4E">
            <w:pPr>
              <w:pStyle w:val="P68B1DB1-Normal13"/>
              <w:spacing w:after="0" w:line="240" w:lineRule="auto"/>
              <w:jc w:val="center"/>
              <w:rPr>
                <w:rFonts w:eastAsia="Calibri" w:cs="Times New Roman"/>
                <w:noProof/>
              </w:rPr>
            </w:pPr>
            <w:r>
              <w:rPr>
                <w:noProof/>
              </w:rPr>
              <w:t>M</w:t>
            </w:r>
          </w:p>
        </w:tc>
        <w:tc>
          <w:tcPr>
            <w:tcW w:w="2977" w:type="dxa"/>
            <w:shd w:val="clear" w:color="auto" w:fill="C6EFCE"/>
            <w:noWrap/>
          </w:tcPr>
          <w:p w14:paraId="69548247" w14:textId="77777777" w:rsidR="000E48CE" w:rsidRDefault="00FF4C4E">
            <w:pPr>
              <w:pStyle w:val="P68B1DB1-Normal13"/>
              <w:spacing w:after="0" w:line="240" w:lineRule="auto"/>
              <w:rPr>
                <w:rFonts w:eastAsia="Calibri" w:cs="Times New Roman"/>
                <w:noProof/>
              </w:rPr>
            </w:pPr>
            <w:r>
              <w:rPr>
                <w:noProof/>
              </w:rPr>
              <w:t xml:space="preserve">Kuninkaan asetuksen 1183/2020 voimaantulo </w:t>
            </w:r>
            <w:r>
              <w:rPr>
                <w:noProof/>
              </w:rPr>
              <w:t>(uusiutuvien energialähteiden liittäminen sähköverkkoon)</w:t>
            </w:r>
          </w:p>
        </w:tc>
        <w:tc>
          <w:tcPr>
            <w:tcW w:w="1276" w:type="dxa"/>
            <w:shd w:val="clear" w:color="auto" w:fill="C6EFCE"/>
            <w:noWrap/>
          </w:tcPr>
          <w:p w14:paraId="22819967" w14:textId="77777777" w:rsidR="000E48CE" w:rsidRDefault="00FF4C4E">
            <w:pPr>
              <w:pStyle w:val="P68B1DB1-Normal13"/>
              <w:spacing w:after="0" w:line="240" w:lineRule="auto"/>
              <w:jc w:val="center"/>
              <w:rPr>
                <w:rFonts w:eastAsia="Calibri" w:cs="Times New Roman"/>
                <w:noProof/>
              </w:rPr>
            </w:pPr>
            <w:r>
              <w:rPr>
                <w:noProof/>
              </w:rPr>
              <w:t>Voimaantuloa koskevan kuninkaan asetuksen 1183/2020 säännös</w:t>
            </w:r>
          </w:p>
        </w:tc>
        <w:tc>
          <w:tcPr>
            <w:tcW w:w="850" w:type="dxa"/>
            <w:shd w:val="clear" w:color="auto" w:fill="C6EFCE"/>
            <w:noWrap/>
          </w:tcPr>
          <w:p w14:paraId="35847AC3"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2F1B62F3"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737" w:type="dxa"/>
            <w:shd w:val="clear" w:color="auto" w:fill="C6EFCE"/>
            <w:noWrap/>
          </w:tcPr>
          <w:p w14:paraId="26E74E7B"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2A9AACBE"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3E9589A3" w14:textId="77777777" w:rsidR="000E48CE" w:rsidRDefault="00FF4C4E">
            <w:pPr>
              <w:pStyle w:val="P68B1DB1-Normal13"/>
              <w:spacing w:after="0" w:line="240" w:lineRule="auto"/>
              <w:jc w:val="center"/>
              <w:rPr>
                <w:rFonts w:eastAsia="Symbol" w:cs="Times New Roman"/>
                <w:noProof/>
              </w:rPr>
            </w:pPr>
            <w:r>
              <w:rPr>
                <w:noProof/>
              </w:rPr>
              <w:t>2020</w:t>
            </w:r>
          </w:p>
        </w:tc>
        <w:tc>
          <w:tcPr>
            <w:tcW w:w="5217" w:type="dxa"/>
            <w:shd w:val="clear" w:color="auto" w:fill="C6EFCE"/>
            <w:noWrap/>
          </w:tcPr>
          <w:p w14:paraId="470396B6" w14:textId="77777777" w:rsidR="000E48CE" w:rsidRDefault="00FF4C4E">
            <w:pPr>
              <w:pStyle w:val="P68B1DB1-Normal13"/>
              <w:spacing w:after="0" w:line="240" w:lineRule="auto"/>
              <w:rPr>
                <w:rFonts w:eastAsia="Symbol" w:cs="Times New Roman"/>
                <w:noProof/>
              </w:rPr>
            </w:pPr>
            <w:r>
              <w:rPr>
                <w:noProof/>
              </w:rPr>
              <w:t>Kuninkaallisella asetuksella 1183/2020 säännellään hybridisaatiota sekä uusiutuvien energialähteiden verkkoon pääsyä ja liitt</w:t>
            </w:r>
            <w:r>
              <w:rPr>
                <w:noProof/>
              </w:rPr>
              <w:t>ämistä sähköverkkoon.</w:t>
            </w:r>
          </w:p>
        </w:tc>
      </w:tr>
      <w:tr w:rsidR="000E48CE" w14:paraId="142D8E94" w14:textId="77777777">
        <w:trPr>
          <w:trHeight w:val="309"/>
        </w:trPr>
        <w:tc>
          <w:tcPr>
            <w:tcW w:w="709" w:type="dxa"/>
            <w:shd w:val="clear" w:color="auto" w:fill="C6EFCE"/>
            <w:noWrap/>
          </w:tcPr>
          <w:p w14:paraId="7A8958E4" w14:textId="77777777" w:rsidR="000E48CE" w:rsidRDefault="00FF4C4E">
            <w:pPr>
              <w:pStyle w:val="P68B1DB1-Normal13"/>
              <w:spacing w:after="0" w:line="240" w:lineRule="auto"/>
              <w:jc w:val="center"/>
              <w:rPr>
                <w:rFonts w:eastAsia="Symbol" w:cs="Times New Roman"/>
                <w:noProof/>
              </w:rPr>
            </w:pPr>
            <w:r>
              <w:rPr>
                <w:noProof/>
              </w:rPr>
              <w:t>105</w:t>
            </w:r>
          </w:p>
        </w:tc>
        <w:tc>
          <w:tcPr>
            <w:tcW w:w="851" w:type="dxa"/>
            <w:shd w:val="clear" w:color="auto" w:fill="C6EFCE"/>
            <w:noWrap/>
          </w:tcPr>
          <w:p w14:paraId="17E4B06D" w14:textId="77777777" w:rsidR="000E48CE" w:rsidRDefault="00FF4C4E">
            <w:pPr>
              <w:pStyle w:val="P68B1DB1-Normal13"/>
              <w:spacing w:after="0" w:line="240" w:lineRule="auto"/>
              <w:jc w:val="center"/>
              <w:rPr>
                <w:rFonts w:eastAsia="Symbol" w:cs="Times New Roman"/>
                <w:noProof/>
              </w:rPr>
            </w:pPr>
            <w:r>
              <w:rPr>
                <w:noProof/>
              </w:rPr>
              <w:t>C7.R1</w:t>
            </w:r>
          </w:p>
        </w:tc>
        <w:tc>
          <w:tcPr>
            <w:tcW w:w="850" w:type="dxa"/>
            <w:shd w:val="clear" w:color="auto" w:fill="C6EFCE"/>
            <w:noWrap/>
          </w:tcPr>
          <w:p w14:paraId="4381807A" w14:textId="77777777" w:rsidR="000E48CE" w:rsidRDefault="00FF4C4E">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65BB656F" w14:textId="77777777" w:rsidR="000E48CE" w:rsidRDefault="00FF4C4E">
            <w:pPr>
              <w:pStyle w:val="P68B1DB1-Normal13"/>
              <w:spacing w:after="0" w:line="240" w:lineRule="auto"/>
              <w:rPr>
                <w:rFonts w:eastAsia="Symbol" w:cs="Times New Roman"/>
                <w:noProof/>
              </w:rPr>
            </w:pPr>
            <w:r>
              <w:rPr>
                <w:noProof/>
              </w:rPr>
              <w:t xml:space="preserve">Ilmastonmuutosta ja energiasiirtymää koskevan lain voimaantulo </w:t>
            </w:r>
          </w:p>
        </w:tc>
        <w:tc>
          <w:tcPr>
            <w:tcW w:w="1276" w:type="dxa"/>
            <w:shd w:val="clear" w:color="auto" w:fill="C6EFCE"/>
            <w:noWrap/>
          </w:tcPr>
          <w:p w14:paraId="342B54EB" w14:textId="77777777" w:rsidR="000E48CE" w:rsidRDefault="00FF4C4E">
            <w:pPr>
              <w:pStyle w:val="P68B1DB1-Normal13"/>
              <w:spacing w:after="0" w:line="240" w:lineRule="auto"/>
              <w:jc w:val="center"/>
              <w:rPr>
                <w:rFonts w:eastAsia="Symbol" w:cs="Times New Roman"/>
                <w:noProof/>
              </w:rPr>
            </w:pPr>
            <w:r>
              <w:rPr>
                <w:noProof/>
              </w:rPr>
              <w:t xml:space="preserve">Ilmastonmuutosta ja energiasiirtymää koskevan lain säännökset voimaan tullessaan </w:t>
            </w:r>
          </w:p>
        </w:tc>
        <w:tc>
          <w:tcPr>
            <w:tcW w:w="850" w:type="dxa"/>
            <w:shd w:val="clear" w:color="auto" w:fill="C6EFCE"/>
            <w:noWrap/>
          </w:tcPr>
          <w:p w14:paraId="40612A33"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7E728875"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737" w:type="dxa"/>
            <w:shd w:val="clear" w:color="auto" w:fill="C6EFCE"/>
            <w:noWrap/>
          </w:tcPr>
          <w:p w14:paraId="57E04963"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19FB8615"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03E6644A" w14:textId="77777777" w:rsidR="000E48CE" w:rsidRDefault="00FF4C4E">
            <w:pPr>
              <w:pStyle w:val="P68B1DB1-Normal13"/>
              <w:spacing w:after="0" w:line="240" w:lineRule="auto"/>
              <w:jc w:val="center"/>
              <w:rPr>
                <w:rFonts w:eastAsia="Symbol" w:cs="Times New Roman"/>
                <w:noProof/>
              </w:rPr>
            </w:pPr>
            <w:r>
              <w:rPr>
                <w:noProof/>
              </w:rPr>
              <w:t>2021</w:t>
            </w:r>
          </w:p>
        </w:tc>
        <w:tc>
          <w:tcPr>
            <w:tcW w:w="5217" w:type="dxa"/>
            <w:shd w:val="clear" w:color="auto" w:fill="C6EFCE"/>
            <w:noWrap/>
          </w:tcPr>
          <w:p w14:paraId="36E39784" w14:textId="77777777" w:rsidR="000E48CE" w:rsidRDefault="00FF4C4E">
            <w:pPr>
              <w:pStyle w:val="P68B1DB1-Normal13"/>
              <w:spacing w:after="0" w:line="240" w:lineRule="auto"/>
              <w:rPr>
                <w:rFonts w:eastAsia="Symbol" w:cs="Times New Roman"/>
                <w:noProof/>
              </w:rPr>
            </w:pPr>
            <w:r>
              <w:rPr>
                <w:noProof/>
              </w:rPr>
              <w:t xml:space="preserve">Ilmastonmuutosta ja energiasiirtymää koskevalla lailla </w:t>
            </w:r>
            <w:r>
              <w:rPr>
                <w:noProof/>
              </w:rPr>
              <w:t>luodaan vaihtoehtoinen sääntelyvakaus uusiutuvien energialähteiden kehittämiselle, vähennetään hallinnollisia esteitä ja asetetaan vähimmäisvaatimukset julkisten latauspisteiden käyttöönotolle.</w:t>
            </w:r>
          </w:p>
        </w:tc>
      </w:tr>
      <w:tr w:rsidR="000E48CE" w14:paraId="7F384457" w14:textId="77777777">
        <w:trPr>
          <w:trHeight w:val="309"/>
        </w:trPr>
        <w:tc>
          <w:tcPr>
            <w:tcW w:w="709" w:type="dxa"/>
            <w:shd w:val="clear" w:color="auto" w:fill="C6EFCE"/>
            <w:noWrap/>
          </w:tcPr>
          <w:p w14:paraId="30CBA9E8" w14:textId="77777777" w:rsidR="000E48CE" w:rsidRDefault="00FF4C4E">
            <w:pPr>
              <w:pStyle w:val="P68B1DB1-Normal13"/>
              <w:spacing w:after="0" w:line="240" w:lineRule="auto"/>
              <w:jc w:val="center"/>
              <w:rPr>
                <w:rFonts w:eastAsia="Symbol" w:cs="Times New Roman"/>
                <w:noProof/>
              </w:rPr>
            </w:pPr>
            <w:r>
              <w:rPr>
                <w:noProof/>
              </w:rPr>
              <w:t>106</w:t>
            </w:r>
          </w:p>
        </w:tc>
        <w:tc>
          <w:tcPr>
            <w:tcW w:w="851" w:type="dxa"/>
            <w:shd w:val="clear" w:color="auto" w:fill="C6EFCE"/>
            <w:noWrap/>
          </w:tcPr>
          <w:p w14:paraId="4A649FD6" w14:textId="77777777" w:rsidR="000E48CE" w:rsidRDefault="00FF4C4E">
            <w:pPr>
              <w:pStyle w:val="P68B1DB1-Normal13"/>
              <w:spacing w:after="0" w:line="240" w:lineRule="auto"/>
              <w:jc w:val="center"/>
              <w:rPr>
                <w:rFonts w:eastAsia="Symbol" w:cs="Times New Roman"/>
                <w:noProof/>
              </w:rPr>
            </w:pPr>
            <w:r>
              <w:rPr>
                <w:noProof/>
              </w:rPr>
              <w:t>C7.R1</w:t>
            </w:r>
          </w:p>
        </w:tc>
        <w:tc>
          <w:tcPr>
            <w:tcW w:w="850" w:type="dxa"/>
            <w:shd w:val="clear" w:color="auto" w:fill="C6EFCE"/>
            <w:noWrap/>
          </w:tcPr>
          <w:p w14:paraId="62FA7435" w14:textId="77777777" w:rsidR="000E48CE" w:rsidRDefault="00FF4C4E">
            <w:pPr>
              <w:pStyle w:val="P68B1DB1-Normal13"/>
              <w:spacing w:after="0" w:line="240" w:lineRule="auto"/>
              <w:jc w:val="center"/>
              <w:rPr>
                <w:rFonts w:eastAsia="Symbol" w:cs="Times New Roman"/>
                <w:noProof/>
              </w:rPr>
            </w:pPr>
            <w:r>
              <w:rPr>
                <w:noProof/>
              </w:rPr>
              <w:t>T</w:t>
            </w:r>
          </w:p>
        </w:tc>
        <w:tc>
          <w:tcPr>
            <w:tcW w:w="2977" w:type="dxa"/>
            <w:shd w:val="clear" w:color="auto" w:fill="C6EFCE"/>
            <w:noWrap/>
          </w:tcPr>
          <w:p w14:paraId="102B9A1A" w14:textId="77777777" w:rsidR="000E48CE" w:rsidRDefault="00FF4C4E">
            <w:pPr>
              <w:pStyle w:val="P68B1DB1-Normal13"/>
              <w:spacing w:after="0" w:line="240" w:lineRule="auto"/>
              <w:rPr>
                <w:rFonts w:eastAsia="Symbol" w:cs="Times New Roman"/>
                <w:noProof/>
              </w:rPr>
            </w:pPr>
            <w:r>
              <w:rPr>
                <w:noProof/>
              </w:rPr>
              <w:t xml:space="preserve">Uusiutuvan energian lisätuotantokapasiteetti </w:t>
            </w:r>
          </w:p>
        </w:tc>
        <w:tc>
          <w:tcPr>
            <w:tcW w:w="1276" w:type="dxa"/>
            <w:shd w:val="clear" w:color="auto" w:fill="C6EFCE"/>
            <w:noWrap/>
          </w:tcPr>
          <w:p w14:paraId="09D9AC6E" w14:textId="77777777" w:rsidR="000E48CE" w:rsidRDefault="00FF4C4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3352E0E4" w14:textId="77777777" w:rsidR="000E48CE" w:rsidRDefault="00FF4C4E">
            <w:pPr>
              <w:pStyle w:val="P68B1DB1-Normal13"/>
              <w:spacing w:after="0" w:line="240" w:lineRule="auto"/>
              <w:jc w:val="center"/>
              <w:rPr>
                <w:rFonts w:eastAsia="Symbol" w:cs="Times New Roman"/>
                <w:noProof/>
              </w:rPr>
            </w:pPr>
            <w:r>
              <w:rPr>
                <w:noProof/>
              </w:rPr>
              <w:t>Lukumäärä (MW)</w:t>
            </w:r>
          </w:p>
        </w:tc>
        <w:tc>
          <w:tcPr>
            <w:tcW w:w="709" w:type="dxa"/>
            <w:shd w:val="clear" w:color="auto" w:fill="C6EFCE"/>
            <w:noWrap/>
          </w:tcPr>
          <w:p w14:paraId="486DD9CC" w14:textId="77777777" w:rsidR="000E48CE" w:rsidRDefault="00FF4C4E">
            <w:pPr>
              <w:pStyle w:val="P68B1DB1-Normal13"/>
              <w:spacing w:after="0" w:line="240" w:lineRule="auto"/>
              <w:jc w:val="center"/>
              <w:rPr>
                <w:rFonts w:eastAsia="Symbol" w:cs="Times New Roman"/>
                <w:noProof/>
              </w:rPr>
            </w:pPr>
            <w:r>
              <w:rPr>
                <w:noProof/>
              </w:rPr>
              <w:t>0</w:t>
            </w:r>
          </w:p>
        </w:tc>
        <w:tc>
          <w:tcPr>
            <w:tcW w:w="737" w:type="dxa"/>
            <w:shd w:val="clear" w:color="auto" w:fill="C6EFCE"/>
            <w:noWrap/>
          </w:tcPr>
          <w:p w14:paraId="7B685F59" w14:textId="77777777" w:rsidR="000E48CE" w:rsidRDefault="00FF4C4E">
            <w:pPr>
              <w:pStyle w:val="P68B1DB1-Normal13"/>
              <w:spacing w:after="0" w:line="240" w:lineRule="auto"/>
              <w:jc w:val="center"/>
              <w:rPr>
                <w:rFonts w:eastAsia="Symbol" w:cs="Times New Roman"/>
                <w:noProof/>
              </w:rPr>
            </w:pPr>
            <w:r>
              <w:rPr>
                <w:noProof/>
              </w:rPr>
              <w:t>8 500</w:t>
            </w:r>
          </w:p>
        </w:tc>
        <w:tc>
          <w:tcPr>
            <w:tcW w:w="567" w:type="dxa"/>
            <w:shd w:val="clear" w:color="auto" w:fill="C6EFCE"/>
            <w:noWrap/>
          </w:tcPr>
          <w:p w14:paraId="5F4F02C7"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6C9F1CE5" w14:textId="77777777" w:rsidR="000E48CE" w:rsidRDefault="00FF4C4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6524BBCC" w14:textId="77777777" w:rsidR="000E48CE" w:rsidRDefault="00FF4C4E">
            <w:pPr>
              <w:pStyle w:val="P68B1DB1-Normal13"/>
              <w:spacing w:after="0" w:line="240" w:lineRule="auto"/>
              <w:rPr>
                <w:rFonts w:eastAsia="Symbol" w:cs="Times New Roman"/>
                <w:noProof/>
              </w:rPr>
            </w:pPr>
            <w:r>
              <w:rPr>
                <w:noProof/>
              </w:rPr>
              <w:t>Uudistukseen C7.R1 sisältyvällä uudella mahdollistavalla lainsäädäntökehyksellä tuettu uusiutuvan energian kumulatiivinen lisätuotantokapasiteetti (mukaan lukien RD 960/2020:llä perustettu huutokauppamekanismi, uusi asetus ve</w:t>
            </w:r>
            <w:r>
              <w:rPr>
                <w:noProof/>
              </w:rPr>
              <w:t xml:space="preserve">rkkoon pääsystä ja liittymisluvista sekä hybridisaatiosta): myönnetty vähintään 8 500 MW </w:t>
            </w:r>
          </w:p>
        </w:tc>
      </w:tr>
      <w:tr w:rsidR="000E48CE" w14:paraId="36A95F07" w14:textId="77777777">
        <w:trPr>
          <w:trHeight w:val="309"/>
        </w:trPr>
        <w:tc>
          <w:tcPr>
            <w:tcW w:w="709" w:type="dxa"/>
            <w:shd w:val="clear" w:color="auto" w:fill="C6EFCE"/>
            <w:noWrap/>
          </w:tcPr>
          <w:p w14:paraId="4C3C3ED4" w14:textId="77777777" w:rsidR="000E48CE" w:rsidRDefault="00FF4C4E">
            <w:pPr>
              <w:pStyle w:val="P68B1DB1-Normal13"/>
              <w:spacing w:after="0" w:line="240" w:lineRule="auto"/>
              <w:jc w:val="center"/>
              <w:rPr>
                <w:rFonts w:eastAsia="Symbol" w:cs="Times New Roman"/>
                <w:noProof/>
              </w:rPr>
            </w:pPr>
            <w:r>
              <w:rPr>
                <w:noProof/>
              </w:rPr>
              <w:t>107</w:t>
            </w:r>
          </w:p>
        </w:tc>
        <w:tc>
          <w:tcPr>
            <w:tcW w:w="851" w:type="dxa"/>
            <w:shd w:val="clear" w:color="auto" w:fill="C6EFCE"/>
            <w:noWrap/>
          </w:tcPr>
          <w:p w14:paraId="78AAB5D7" w14:textId="77777777" w:rsidR="000E48CE" w:rsidRDefault="00FF4C4E">
            <w:pPr>
              <w:pStyle w:val="P68B1DB1-Normal13"/>
              <w:spacing w:after="0" w:line="240" w:lineRule="auto"/>
              <w:jc w:val="center"/>
              <w:rPr>
                <w:rFonts w:eastAsia="Symbol" w:cs="Times New Roman"/>
                <w:noProof/>
              </w:rPr>
            </w:pPr>
            <w:r>
              <w:rPr>
                <w:noProof/>
              </w:rPr>
              <w:t>C7.R1</w:t>
            </w:r>
          </w:p>
        </w:tc>
        <w:tc>
          <w:tcPr>
            <w:tcW w:w="850" w:type="dxa"/>
            <w:shd w:val="clear" w:color="auto" w:fill="C6EFCE"/>
            <w:noWrap/>
          </w:tcPr>
          <w:p w14:paraId="6FCEBF26" w14:textId="77777777" w:rsidR="000E48CE" w:rsidRDefault="00FF4C4E">
            <w:pPr>
              <w:pStyle w:val="P68B1DB1-Normal13"/>
              <w:spacing w:after="0" w:line="240" w:lineRule="auto"/>
              <w:jc w:val="center"/>
              <w:rPr>
                <w:rFonts w:eastAsia="Symbol" w:cs="Times New Roman"/>
                <w:noProof/>
              </w:rPr>
            </w:pPr>
            <w:r>
              <w:rPr>
                <w:noProof/>
              </w:rPr>
              <w:t>T</w:t>
            </w:r>
          </w:p>
        </w:tc>
        <w:tc>
          <w:tcPr>
            <w:tcW w:w="2977" w:type="dxa"/>
            <w:shd w:val="clear" w:color="auto" w:fill="C6EFCE"/>
            <w:noWrap/>
          </w:tcPr>
          <w:p w14:paraId="49689A7A" w14:textId="77777777" w:rsidR="000E48CE" w:rsidRDefault="00FF4C4E">
            <w:pPr>
              <w:pStyle w:val="P68B1DB1-Normal13"/>
              <w:spacing w:after="0" w:line="240" w:lineRule="auto"/>
              <w:rPr>
                <w:rFonts w:eastAsia="Symbol" w:cs="Times New Roman"/>
                <w:noProof/>
              </w:rPr>
            </w:pPr>
            <w:r>
              <w:rPr>
                <w:noProof/>
              </w:rPr>
              <w:t xml:space="preserve">Espanjassa asennettu kumulatiivinen uusiutuvan energian lisäkapasiteetti </w:t>
            </w:r>
          </w:p>
        </w:tc>
        <w:tc>
          <w:tcPr>
            <w:tcW w:w="1276" w:type="dxa"/>
            <w:shd w:val="clear" w:color="auto" w:fill="C6EFCE"/>
            <w:noWrap/>
          </w:tcPr>
          <w:p w14:paraId="2A9CB6E2" w14:textId="77777777" w:rsidR="000E48CE" w:rsidRDefault="00FF4C4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766B1FE6" w14:textId="77777777" w:rsidR="000E48CE" w:rsidRDefault="00FF4C4E">
            <w:pPr>
              <w:pStyle w:val="P68B1DB1-Normal13"/>
              <w:spacing w:after="0" w:line="240" w:lineRule="auto"/>
              <w:jc w:val="center"/>
              <w:rPr>
                <w:rFonts w:eastAsia="Symbol" w:cs="Times New Roman"/>
                <w:noProof/>
              </w:rPr>
            </w:pPr>
            <w:r>
              <w:rPr>
                <w:noProof/>
              </w:rPr>
              <w:t>Lukumäärä (MW)</w:t>
            </w:r>
          </w:p>
        </w:tc>
        <w:tc>
          <w:tcPr>
            <w:tcW w:w="709" w:type="dxa"/>
            <w:shd w:val="clear" w:color="auto" w:fill="C6EFCE"/>
            <w:noWrap/>
          </w:tcPr>
          <w:p w14:paraId="7DCFEC48" w14:textId="77777777" w:rsidR="000E48CE" w:rsidRDefault="00FF4C4E">
            <w:pPr>
              <w:pStyle w:val="P68B1DB1-Normal13"/>
              <w:spacing w:after="0" w:line="240" w:lineRule="auto"/>
              <w:jc w:val="center"/>
              <w:rPr>
                <w:rFonts w:eastAsia="Symbol" w:cs="Times New Roman"/>
                <w:noProof/>
              </w:rPr>
            </w:pPr>
            <w:r>
              <w:rPr>
                <w:noProof/>
              </w:rPr>
              <w:t>0</w:t>
            </w:r>
          </w:p>
        </w:tc>
        <w:tc>
          <w:tcPr>
            <w:tcW w:w="737" w:type="dxa"/>
            <w:shd w:val="clear" w:color="auto" w:fill="C6EFCE"/>
            <w:noWrap/>
          </w:tcPr>
          <w:p w14:paraId="60C44B81" w14:textId="77777777" w:rsidR="000E48CE" w:rsidRDefault="00FF4C4E">
            <w:pPr>
              <w:pStyle w:val="P68B1DB1-Normal13"/>
              <w:spacing w:after="0" w:line="240" w:lineRule="auto"/>
              <w:jc w:val="center"/>
              <w:rPr>
                <w:rFonts w:eastAsia="Symbol" w:cs="Times New Roman"/>
                <w:noProof/>
              </w:rPr>
            </w:pPr>
            <w:r>
              <w:rPr>
                <w:noProof/>
              </w:rPr>
              <w:t>1 500</w:t>
            </w:r>
          </w:p>
        </w:tc>
        <w:tc>
          <w:tcPr>
            <w:tcW w:w="567" w:type="dxa"/>
            <w:shd w:val="clear" w:color="auto" w:fill="C6EFCE"/>
            <w:noWrap/>
          </w:tcPr>
          <w:p w14:paraId="2871EA41"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6CB78806" w14:textId="77777777" w:rsidR="000E48CE" w:rsidRDefault="00FF4C4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4F128F40" w14:textId="77777777" w:rsidR="000E48CE" w:rsidRDefault="00FF4C4E">
            <w:pPr>
              <w:pStyle w:val="P68B1DB1-Normal13"/>
              <w:spacing w:after="0" w:line="240" w:lineRule="auto"/>
              <w:rPr>
                <w:rFonts w:eastAsia="Symbol" w:cs="Times New Roman"/>
                <w:noProof/>
              </w:rPr>
            </w:pPr>
            <w:r>
              <w:rPr>
                <w:noProof/>
              </w:rPr>
              <w:t xml:space="preserve">Uudistukseen C7.R1 sisältyvän uuden </w:t>
            </w:r>
            <w:r>
              <w:rPr>
                <w:noProof/>
              </w:rPr>
              <w:t>mahdollistavan lainsäädäntökehyksen (mukaan lukien RD 960/2020:llä perustettu huutokauppamekanismi, uusi asetus verkkoonpääsy- ja liityntäluvista sekä hybridisaatiosta) mukaisesti Espanjassa on asennettu uusiutuvan energian lisäkapasiteetti vuoden 2020 ens</w:t>
            </w:r>
            <w:r>
              <w:rPr>
                <w:noProof/>
              </w:rPr>
              <w:t>immäisellä neljänneksellä: vähintään 1 500 MW rakennettu</w:t>
            </w:r>
          </w:p>
        </w:tc>
      </w:tr>
      <w:tr w:rsidR="000E48CE" w14:paraId="64EFED29" w14:textId="77777777">
        <w:trPr>
          <w:trHeight w:val="309"/>
        </w:trPr>
        <w:tc>
          <w:tcPr>
            <w:tcW w:w="709" w:type="dxa"/>
            <w:shd w:val="clear" w:color="auto" w:fill="C6EFCE"/>
            <w:noWrap/>
          </w:tcPr>
          <w:p w14:paraId="352E6F29" w14:textId="77777777" w:rsidR="000E48CE" w:rsidRDefault="00FF4C4E">
            <w:pPr>
              <w:pStyle w:val="P68B1DB1-Normal13"/>
              <w:spacing w:after="0" w:line="240" w:lineRule="auto"/>
              <w:jc w:val="center"/>
              <w:rPr>
                <w:rFonts w:eastAsia="Symbol" w:cs="Times New Roman"/>
                <w:noProof/>
              </w:rPr>
            </w:pPr>
            <w:r>
              <w:rPr>
                <w:noProof/>
              </w:rPr>
              <w:t>108</w:t>
            </w:r>
          </w:p>
        </w:tc>
        <w:tc>
          <w:tcPr>
            <w:tcW w:w="851" w:type="dxa"/>
            <w:shd w:val="clear" w:color="auto" w:fill="C6EFCE"/>
            <w:noWrap/>
          </w:tcPr>
          <w:p w14:paraId="1C68794A" w14:textId="77777777" w:rsidR="000E48CE" w:rsidRDefault="00FF4C4E">
            <w:pPr>
              <w:pStyle w:val="P68B1DB1-Normal13"/>
              <w:spacing w:after="0" w:line="240" w:lineRule="auto"/>
              <w:jc w:val="center"/>
              <w:rPr>
                <w:rFonts w:eastAsia="Symbol" w:cs="Times New Roman"/>
                <w:noProof/>
              </w:rPr>
            </w:pPr>
            <w:r>
              <w:rPr>
                <w:noProof/>
              </w:rPr>
              <w:t>C7.R2</w:t>
            </w:r>
          </w:p>
        </w:tc>
        <w:tc>
          <w:tcPr>
            <w:tcW w:w="850" w:type="dxa"/>
            <w:shd w:val="clear" w:color="auto" w:fill="C6EFCE"/>
            <w:noWrap/>
          </w:tcPr>
          <w:p w14:paraId="15EB8CE3" w14:textId="77777777" w:rsidR="000E48CE" w:rsidRDefault="00FF4C4E">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27D78FE3" w14:textId="77777777" w:rsidR="000E48CE" w:rsidRDefault="00FF4C4E">
            <w:pPr>
              <w:pStyle w:val="P68B1DB1-Normal13"/>
              <w:spacing w:after="0" w:line="240" w:lineRule="auto"/>
              <w:rPr>
                <w:rFonts w:eastAsia="Symbol" w:cs="Times New Roman"/>
                <w:noProof/>
              </w:rPr>
            </w:pPr>
            <w:r>
              <w:rPr>
                <w:noProof/>
              </w:rPr>
              <w:t>Kansallinen oman kulutuksen strategia</w:t>
            </w:r>
          </w:p>
        </w:tc>
        <w:tc>
          <w:tcPr>
            <w:tcW w:w="1276" w:type="dxa"/>
            <w:shd w:val="clear" w:color="auto" w:fill="C6EFCE"/>
            <w:noWrap/>
          </w:tcPr>
          <w:p w14:paraId="1D51184E" w14:textId="77777777" w:rsidR="000E48CE" w:rsidRDefault="00FF4C4E">
            <w:pPr>
              <w:pStyle w:val="P68B1DB1-Normal13"/>
              <w:spacing w:after="0" w:line="240" w:lineRule="auto"/>
              <w:jc w:val="center"/>
              <w:rPr>
                <w:rFonts w:eastAsia="Symbol" w:cs="Times New Roman"/>
                <w:noProof/>
              </w:rPr>
            </w:pPr>
            <w:r>
              <w:rPr>
                <w:noProof/>
              </w:rPr>
              <w:t>Julkaiseminen verkkosivustolla</w:t>
            </w:r>
          </w:p>
        </w:tc>
        <w:tc>
          <w:tcPr>
            <w:tcW w:w="850" w:type="dxa"/>
            <w:shd w:val="clear" w:color="auto" w:fill="C6EFCE"/>
            <w:noWrap/>
          </w:tcPr>
          <w:p w14:paraId="2181972A" w14:textId="77777777" w:rsidR="000E48CE" w:rsidRDefault="00FF4C4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51756CA6" w14:textId="77777777" w:rsidR="000E48CE" w:rsidRDefault="00FF4C4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6AB54743" w14:textId="77777777" w:rsidR="000E48CE" w:rsidRDefault="00FF4C4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934BEC0"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79BB372B" w14:textId="77777777" w:rsidR="000E48CE" w:rsidRDefault="00FF4C4E">
            <w:pPr>
              <w:pStyle w:val="P68B1DB1-Normal13"/>
              <w:spacing w:after="0" w:line="240" w:lineRule="auto"/>
              <w:jc w:val="center"/>
              <w:rPr>
                <w:rFonts w:eastAsia="Symbol" w:cs="Times New Roman"/>
                <w:noProof/>
              </w:rPr>
            </w:pPr>
            <w:r>
              <w:rPr>
                <w:noProof/>
              </w:rPr>
              <w:t>2021</w:t>
            </w:r>
          </w:p>
        </w:tc>
        <w:tc>
          <w:tcPr>
            <w:tcW w:w="5217" w:type="dxa"/>
            <w:shd w:val="clear" w:color="auto" w:fill="C6EFCE"/>
            <w:noWrap/>
          </w:tcPr>
          <w:p w14:paraId="183C65A8" w14:textId="77777777" w:rsidR="000E48CE" w:rsidRDefault="00FF4C4E">
            <w:pPr>
              <w:pStyle w:val="P68B1DB1-Normal13"/>
              <w:spacing w:after="0" w:line="240" w:lineRule="auto"/>
              <w:rPr>
                <w:rFonts w:eastAsia="Symbol" w:cs="Times New Roman"/>
                <w:noProof/>
              </w:rPr>
            </w:pPr>
            <w:r>
              <w:rPr>
                <w:noProof/>
              </w:rPr>
              <w:t>Ministerineuvosto hyväksyy itse tuotetun kulutuksen kansallisen strategian ja julkaisee sen hallituksen</w:t>
            </w:r>
            <w:r>
              <w:rPr>
                <w:noProof/>
              </w:rPr>
              <w:t xml:space="preserve"> verkkosivustolla oman kulutuksen hallinnollisten esteiden vähentämiseksi.</w:t>
            </w:r>
          </w:p>
        </w:tc>
      </w:tr>
      <w:tr w:rsidR="000E48CE" w14:paraId="07695FFA" w14:textId="77777777">
        <w:trPr>
          <w:trHeight w:val="309"/>
        </w:trPr>
        <w:tc>
          <w:tcPr>
            <w:tcW w:w="709" w:type="dxa"/>
            <w:shd w:val="clear" w:color="auto" w:fill="C6EFCE"/>
            <w:noWrap/>
          </w:tcPr>
          <w:p w14:paraId="15A025E3" w14:textId="77777777" w:rsidR="000E48CE" w:rsidRDefault="00FF4C4E">
            <w:pPr>
              <w:pStyle w:val="P68B1DB1-Normal13"/>
              <w:spacing w:after="0" w:line="240" w:lineRule="auto"/>
              <w:jc w:val="center"/>
              <w:rPr>
                <w:rFonts w:eastAsia="Symbol" w:cs="Times New Roman"/>
                <w:noProof/>
              </w:rPr>
            </w:pPr>
            <w:r>
              <w:rPr>
                <w:noProof/>
              </w:rPr>
              <w:t>109</w:t>
            </w:r>
          </w:p>
        </w:tc>
        <w:tc>
          <w:tcPr>
            <w:tcW w:w="851" w:type="dxa"/>
            <w:shd w:val="clear" w:color="auto" w:fill="C6EFCE"/>
            <w:noWrap/>
          </w:tcPr>
          <w:p w14:paraId="3309A0AA" w14:textId="77777777" w:rsidR="000E48CE" w:rsidRDefault="00FF4C4E">
            <w:pPr>
              <w:pStyle w:val="P68B1DB1-Normal13"/>
              <w:spacing w:after="0" w:line="240" w:lineRule="auto"/>
              <w:jc w:val="center"/>
              <w:rPr>
                <w:rFonts w:eastAsia="Symbol" w:cs="Times New Roman"/>
                <w:noProof/>
              </w:rPr>
            </w:pPr>
            <w:r>
              <w:rPr>
                <w:noProof/>
              </w:rPr>
              <w:t>C7.R2</w:t>
            </w:r>
          </w:p>
        </w:tc>
        <w:tc>
          <w:tcPr>
            <w:tcW w:w="850" w:type="dxa"/>
            <w:shd w:val="clear" w:color="auto" w:fill="C6EFCE"/>
            <w:noWrap/>
          </w:tcPr>
          <w:p w14:paraId="72A29E6B" w14:textId="77777777" w:rsidR="000E48CE" w:rsidRDefault="00FF4C4E">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763347A0" w14:textId="77777777" w:rsidR="000E48CE" w:rsidRDefault="00FF4C4E">
            <w:pPr>
              <w:pStyle w:val="P68B1DB1-Normal13"/>
              <w:spacing w:after="0" w:line="240" w:lineRule="auto"/>
              <w:rPr>
                <w:rFonts w:eastAsia="Symbol" w:cs="Times New Roman"/>
                <w:noProof/>
              </w:rPr>
            </w:pPr>
            <w:r>
              <w:rPr>
                <w:noProof/>
              </w:rPr>
              <w:t>Oman kulutuksen kansallisen strategian mukaisten toimenpiteiden loppuun saattaminen</w:t>
            </w:r>
          </w:p>
        </w:tc>
        <w:tc>
          <w:tcPr>
            <w:tcW w:w="1276" w:type="dxa"/>
            <w:shd w:val="clear" w:color="auto" w:fill="C6EFCE"/>
            <w:noWrap/>
          </w:tcPr>
          <w:p w14:paraId="5816E567" w14:textId="77777777" w:rsidR="000E48CE" w:rsidRDefault="00FF4C4E">
            <w:pPr>
              <w:pStyle w:val="P68B1DB1-Normal13"/>
              <w:spacing w:after="0" w:line="240" w:lineRule="auto"/>
              <w:jc w:val="center"/>
              <w:rPr>
                <w:rFonts w:eastAsia="Symbol" w:cs="Times New Roman"/>
                <w:noProof/>
              </w:rPr>
            </w:pPr>
            <w:r>
              <w:rPr>
                <w:noProof/>
              </w:rPr>
              <w:t>Tulosten julkaiseminen verkkosivustolla</w:t>
            </w:r>
          </w:p>
        </w:tc>
        <w:tc>
          <w:tcPr>
            <w:tcW w:w="850" w:type="dxa"/>
            <w:shd w:val="clear" w:color="auto" w:fill="C6EFCE"/>
            <w:noWrap/>
          </w:tcPr>
          <w:p w14:paraId="3B89598A" w14:textId="77777777" w:rsidR="000E48CE" w:rsidRDefault="00FF4C4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1D9BD9BE" w14:textId="77777777" w:rsidR="000E48CE" w:rsidRDefault="00FF4C4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4B690AF8" w14:textId="77777777" w:rsidR="000E48CE" w:rsidRDefault="00FF4C4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DE06FBE"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0D860353" w14:textId="77777777" w:rsidR="000E48CE" w:rsidRDefault="00FF4C4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62B486A3" w14:textId="77777777" w:rsidR="000E48CE" w:rsidRDefault="00FF4C4E">
            <w:pPr>
              <w:pStyle w:val="P68B1DB1-Normal13"/>
              <w:spacing w:after="0" w:line="240" w:lineRule="auto"/>
              <w:rPr>
                <w:rFonts w:eastAsia="Symbol" w:cs="Times New Roman"/>
                <w:noProof/>
              </w:rPr>
            </w:pPr>
            <w:r>
              <w:rPr>
                <w:noProof/>
              </w:rPr>
              <w:t xml:space="preserve">Oman kulutuksen kansallisen </w:t>
            </w:r>
            <w:r>
              <w:rPr>
                <w:noProof/>
              </w:rPr>
              <w:t>strategian keskeisten toimenpiteiden loppuun saattaminen, mukaan lukien seuraavat: ekologisesta siirtymästä vastaavan ministeriön verkkosivustolla julkaistaan teknisiä ohjeita ja kunnille suunnattuja ohjeita siitä, miten itse tuotetun energian kulutusta vo</w:t>
            </w:r>
            <w:r>
              <w:rPr>
                <w:noProof/>
              </w:rPr>
              <w:t>idaan edistää, sekä koulutuksen suorittaminen uusiutuvien energialähteiden oman kulutuksen edellyttämien teknisten taitojen parantamiseksi vähintään 500 ammattilaiselle.</w:t>
            </w:r>
          </w:p>
        </w:tc>
      </w:tr>
      <w:tr w:rsidR="000E48CE" w14:paraId="0F86EE98" w14:textId="77777777">
        <w:trPr>
          <w:trHeight w:val="309"/>
        </w:trPr>
        <w:tc>
          <w:tcPr>
            <w:tcW w:w="709" w:type="dxa"/>
            <w:shd w:val="clear" w:color="auto" w:fill="C6EFCE"/>
            <w:noWrap/>
          </w:tcPr>
          <w:p w14:paraId="1C213BED" w14:textId="77777777" w:rsidR="000E48CE" w:rsidRDefault="00FF4C4E">
            <w:pPr>
              <w:pStyle w:val="P68B1DB1-Normal13"/>
              <w:spacing w:after="0" w:line="240" w:lineRule="auto"/>
              <w:jc w:val="center"/>
              <w:rPr>
                <w:rFonts w:eastAsia="Symbol" w:cs="Times New Roman"/>
                <w:noProof/>
              </w:rPr>
            </w:pPr>
            <w:r>
              <w:rPr>
                <w:noProof/>
              </w:rPr>
              <w:t>110</w:t>
            </w:r>
          </w:p>
        </w:tc>
        <w:tc>
          <w:tcPr>
            <w:tcW w:w="851" w:type="dxa"/>
            <w:shd w:val="clear" w:color="auto" w:fill="C6EFCE"/>
            <w:noWrap/>
          </w:tcPr>
          <w:p w14:paraId="637C99B4" w14:textId="77777777" w:rsidR="000E48CE" w:rsidRDefault="00FF4C4E">
            <w:pPr>
              <w:pStyle w:val="P68B1DB1-Normal13"/>
              <w:spacing w:after="0" w:line="240" w:lineRule="auto"/>
              <w:jc w:val="center"/>
              <w:rPr>
                <w:rFonts w:eastAsia="Symbol" w:cs="Times New Roman"/>
                <w:noProof/>
              </w:rPr>
            </w:pPr>
            <w:r>
              <w:rPr>
                <w:noProof/>
              </w:rPr>
              <w:t>C7.R3</w:t>
            </w:r>
          </w:p>
        </w:tc>
        <w:tc>
          <w:tcPr>
            <w:tcW w:w="850" w:type="dxa"/>
            <w:shd w:val="clear" w:color="auto" w:fill="C6EFCE"/>
            <w:noWrap/>
          </w:tcPr>
          <w:p w14:paraId="627E5AD6" w14:textId="77777777" w:rsidR="000E48CE" w:rsidRDefault="00FF4C4E">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28BAB183" w14:textId="77777777" w:rsidR="000E48CE" w:rsidRDefault="00FF4C4E">
            <w:pPr>
              <w:pStyle w:val="P68B1DB1-Normal13"/>
              <w:spacing w:after="0" w:line="240" w:lineRule="auto"/>
              <w:rPr>
                <w:rFonts w:eastAsia="Symbol" w:cs="Times New Roman"/>
                <w:noProof/>
              </w:rPr>
            </w:pPr>
            <w:r>
              <w:rPr>
                <w:noProof/>
              </w:rPr>
              <w:t xml:space="preserve">Energiayhteisöjä koskeva pilottihanke </w:t>
            </w:r>
          </w:p>
        </w:tc>
        <w:tc>
          <w:tcPr>
            <w:tcW w:w="1276" w:type="dxa"/>
            <w:shd w:val="clear" w:color="auto" w:fill="C6EFCE"/>
            <w:noWrap/>
          </w:tcPr>
          <w:p w14:paraId="4FB2D6F1" w14:textId="77777777" w:rsidR="000E48CE" w:rsidRDefault="00FF4C4E">
            <w:pPr>
              <w:pStyle w:val="P68B1DB1-Normal13"/>
              <w:spacing w:after="0" w:line="240" w:lineRule="auto"/>
              <w:jc w:val="center"/>
              <w:rPr>
                <w:rFonts w:eastAsia="Symbol" w:cs="Times New Roman"/>
                <w:noProof/>
              </w:rPr>
            </w:pPr>
            <w:r>
              <w:rPr>
                <w:noProof/>
              </w:rPr>
              <w:t>Julkaiseminen verkkosivustolla</w:t>
            </w:r>
          </w:p>
        </w:tc>
        <w:tc>
          <w:tcPr>
            <w:tcW w:w="850" w:type="dxa"/>
            <w:shd w:val="clear" w:color="auto" w:fill="C6EFCE"/>
            <w:noWrap/>
          </w:tcPr>
          <w:p w14:paraId="5D2FFEEA" w14:textId="77777777" w:rsidR="000E48CE" w:rsidRDefault="00FF4C4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142A0355" w14:textId="77777777" w:rsidR="000E48CE" w:rsidRDefault="00FF4C4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7069FD48" w14:textId="77777777" w:rsidR="000E48CE" w:rsidRDefault="00FF4C4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5D15D15B"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0BA06E4D" w14:textId="77777777" w:rsidR="000E48CE" w:rsidRDefault="00FF4C4E">
            <w:pPr>
              <w:pStyle w:val="P68B1DB1-Normal13"/>
              <w:spacing w:after="0" w:line="240" w:lineRule="auto"/>
              <w:jc w:val="center"/>
              <w:rPr>
                <w:rFonts w:eastAsia="Symbol" w:cs="Times New Roman"/>
                <w:noProof/>
              </w:rPr>
            </w:pPr>
            <w:r>
              <w:rPr>
                <w:noProof/>
              </w:rPr>
              <w:t>2022</w:t>
            </w:r>
          </w:p>
        </w:tc>
        <w:tc>
          <w:tcPr>
            <w:tcW w:w="5217" w:type="dxa"/>
            <w:shd w:val="clear" w:color="auto" w:fill="C6EFCE"/>
            <w:noWrap/>
          </w:tcPr>
          <w:p w14:paraId="70A37D06" w14:textId="77777777" w:rsidR="000E48CE" w:rsidRDefault="00FF4C4E">
            <w:pPr>
              <w:pStyle w:val="P68B1DB1-Normal13"/>
              <w:spacing w:after="0" w:line="240" w:lineRule="auto"/>
              <w:rPr>
                <w:rFonts w:eastAsia="Symbol" w:cs="Times New Roman"/>
                <w:noProof/>
              </w:rPr>
            </w:pPr>
            <w:r>
              <w:rPr>
                <w:noProof/>
              </w:rPr>
              <w:t xml:space="preserve">Ensimmäisen energiayhteisöjä koskevan pilottihankkeen myöntäminen tarjouskilpailujen perusteella tämän mallin elinkelpoisuuden osoittamiseksi. </w:t>
            </w:r>
          </w:p>
        </w:tc>
      </w:tr>
      <w:tr w:rsidR="000E48CE" w14:paraId="7DCEBF7A" w14:textId="77777777">
        <w:trPr>
          <w:trHeight w:val="309"/>
        </w:trPr>
        <w:tc>
          <w:tcPr>
            <w:tcW w:w="709" w:type="dxa"/>
            <w:shd w:val="clear" w:color="auto" w:fill="C6EFCE"/>
            <w:noWrap/>
          </w:tcPr>
          <w:p w14:paraId="4F5DFF28" w14:textId="77777777" w:rsidR="000E48CE" w:rsidRDefault="00FF4C4E">
            <w:pPr>
              <w:pStyle w:val="P68B1DB1-Normal13"/>
              <w:spacing w:after="0" w:line="240" w:lineRule="auto"/>
              <w:jc w:val="center"/>
              <w:rPr>
                <w:rFonts w:eastAsia="Symbol" w:cs="Times New Roman"/>
                <w:noProof/>
              </w:rPr>
            </w:pPr>
            <w:r>
              <w:rPr>
                <w:noProof/>
              </w:rPr>
              <w:t>111</w:t>
            </w:r>
          </w:p>
        </w:tc>
        <w:tc>
          <w:tcPr>
            <w:tcW w:w="851" w:type="dxa"/>
            <w:shd w:val="clear" w:color="auto" w:fill="C6EFCE"/>
            <w:noWrap/>
          </w:tcPr>
          <w:p w14:paraId="02552346" w14:textId="77777777" w:rsidR="000E48CE" w:rsidRDefault="00FF4C4E">
            <w:pPr>
              <w:pStyle w:val="P68B1DB1-Normal13"/>
              <w:spacing w:after="0" w:line="240" w:lineRule="auto"/>
              <w:jc w:val="center"/>
              <w:rPr>
                <w:rFonts w:eastAsia="Symbol" w:cs="Times New Roman"/>
                <w:noProof/>
              </w:rPr>
            </w:pPr>
            <w:r>
              <w:rPr>
                <w:noProof/>
              </w:rPr>
              <w:t>C7.R3</w:t>
            </w:r>
          </w:p>
        </w:tc>
        <w:tc>
          <w:tcPr>
            <w:tcW w:w="850" w:type="dxa"/>
            <w:shd w:val="clear" w:color="auto" w:fill="C6EFCE"/>
            <w:noWrap/>
          </w:tcPr>
          <w:p w14:paraId="2941F8A8" w14:textId="77777777" w:rsidR="000E48CE" w:rsidRDefault="00FF4C4E">
            <w:pPr>
              <w:pStyle w:val="P68B1DB1-Normal13"/>
              <w:spacing w:after="0" w:line="240" w:lineRule="auto"/>
              <w:jc w:val="center"/>
              <w:rPr>
                <w:rFonts w:eastAsia="Symbol" w:cs="Times New Roman"/>
                <w:noProof/>
              </w:rPr>
            </w:pPr>
            <w:r>
              <w:rPr>
                <w:noProof/>
              </w:rPr>
              <w:t>T</w:t>
            </w:r>
          </w:p>
        </w:tc>
        <w:tc>
          <w:tcPr>
            <w:tcW w:w="2977" w:type="dxa"/>
            <w:shd w:val="clear" w:color="auto" w:fill="C6EFCE"/>
            <w:noWrap/>
          </w:tcPr>
          <w:p w14:paraId="6B4E7492" w14:textId="77777777" w:rsidR="000E48CE" w:rsidRDefault="00FF4C4E">
            <w:pPr>
              <w:pStyle w:val="P68B1DB1-Normal13"/>
              <w:spacing w:after="0" w:line="240" w:lineRule="auto"/>
              <w:rPr>
                <w:rFonts w:eastAsia="Symbol" w:cs="Times New Roman"/>
                <w:noProof/>
              </w:rPr>
            </w:pPr>
            <w:r>
              <w:rPr>
                <w:noProof/>
              </w:rPr>
              <w:t>Energiaan liittyvien pilottihankkeiden loppuun saattaminen paikallisyhteisöissä</w:t>
            </w:r>
          </w:p>
        </w:tc>
        <w:tc>
          <w:tcPr>
            <w:tcW w:w="1276" w:type="dxa"/>
            <w:shd w:val="clear" w:color="auto" w:fill="C6EFCE"/>
            <w:noWrap/>
          </w:tcPr>
          <w:p w14:paraId="0A5B7069" w14:textId="77777777" w:rsidR="000E48CE" w:rsidRDefault="00FF4C4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4D4AEED7" w14:textId="77777777" w:rsidR="000E48CE" w:rsidRDefault="00FF4C4E">
            <w:pPr>
              <w:pStyle w:val="P68B1DB1-Normal13"/>
              <w:spacing w:after="0" w:line="240" w:lineRule="auto"/>
              <w:jc w:val="center"/>
              <w:rPr>
                <w:rFonts w:eastAsia="Symbol" w:cs="Times New Roman"/>
                <w:noProof/>
              </w:rPr>
            </w:pPr>
            <w:r>
              <w:rPr>
                <w:noProof/>
              </w:rPr>
              <w:t>Määrä</w:t>
            </w:r>
          </w:p>
        </w:tc>
        <w:tc>
          <w:tcPr>
            <w:tcW w:w="709" w:type="dxa"/>
            <w:shd w:val="clear" w:color="auto" w:fill="C6EFCE"/>
            <w:noWrap/>
          </w:tcPr>
          <w:p w14:paraId="1CAC2DF5" w14:textId="77777777" w:rsidR="000E48CE" w:rsidRDefault="00FF4C4E">
            <w:pPr>
              <w:pStyle w:val="P68B1DB1-Normal13"/>
              <w:spacing w:after="0" w:line="240" w:lineRule="auto"/>
              <w:jc w:val="center"/>
              <w:rPr>
                <w:rFonts w:eastAsia="Symbol" w:cs="Times New Roman"/>
                <w:noProof/>
              </w:rPr>
            </w:pPr>
            <w:r>
              <w:rPr>
                <w:noProof/>
              </w:rPr>
              <w:t> 0</w:t>
            </w:r>
          </w:p>
        </w:tc>
        <w:tc>
          <w:tcPr>
            <w:tcW w:w="737" w:type="dxa"/>
            <w:shd w:val="clear" w:color="auto" w:fill="C6EFCE"/>
            <w:noWrap/>
          </w:tcPr>
          <w:p w14:paraId="1F392030" w14:textId="77777777" w:rsidR="000E48CE" w:rsidRDefault="00FF4C4E">
            <w:pPr>
              <w:pStyle w:val="P68B1DB1-Normal13"/>
              <w:spacing w:after="0" w:line="240" w:lineRule="auto"/>
              <w:jc w:val="center"/>
              <w:rPr>
                <w:rFonts w:eastAsia="Symbol" w:cs="Times New Roman"/>
                <w:noProof/>
              </w:rPr>
            </w:pPr>
            <w:r>
              <w:rPr>
                <w:noProof/>
              </w:rPr>
              <w:t>37</w:t>
            </w:r>
          </w:p>
        </w:tc>
        <w:tc>
          <w:tcPr>
            <w:tcW w:w="567" w:type="dxa"/>
            <w:shd w:val="clear" w:color="auto" w:fill="C6EFCE"/>
            <w:noWrap/>
          </w:tcPr>
          <w:p w14:paraId="04C84B27"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475D344D" w14:textId="7C2136F4" w:rsidR="000E48CE" w:rsidRDefault="00FF4C4E">
            <w:pPr>
              <w:pStyle w:val="P68B1DB1-Normal13"/>
              <w:spacing w:after="0" w:line="240" w:lineRule="auto"/>
              <w:jc w:val="center"/>
              <w:rPr>
                <w:rFonts w:eastAsia="Symbol" w:cs="Times New Roman"/>
                <w:noProof/>
              </w:rPr>
            </w:pPr>
            <w:r>
              <w:rPr>
                <w:noProof/>
              </w:rPr>
              <w:t>2024</w:t>
            </w:r>
          </w:p>
        </w:tc>
        <w:tc>
          <w:tcPr>
            <w:tcW w:w="5217" w:type="dxa"/>
            <w:shd w:val="clear" w:color="auto" w:fill="C6EFCE"/>
            <w:noWrap/>
          </w:tcPr>
          <w:p w14:paraId="346E211B" w14:textId="77777777" w:rsidR="000E48CE" w:rsidRDefault="00FF4C4E">
            <w:pPr>
              <w:pStyle w:val="P68B1DB1-Normal13"/>
              <w:spacing w:after="0" w:line="240" w:lineRule="auto"/>
              <w:rPr>
                <w:rFonts w:eastAsia="Symbol" w:cs="Times New Roman"/>
                <w:noProof/>
              </w:rPr>
            </w:pPr>
            <w:r>
              <w:rPr>
                <w:noProof/>
              </w:rPr>
              <w:t>Saatetaan päätökseen vähintään 37 energiaan liittyvää pilottihanketta, joihin paikallisyhteisö osallistuu ja jotka perustuvat etenemissuunnitelmaan, jossa esitetään toteutetut toimet ja seuraavat jatkotoimet. Näihin pilottihankkeisiin voi sis</w:t>
            </w:r>
            <w:r>
              <w:rPr>
                <w:noProof/>
              </w:rPr>
              <w:t>ältyä osallistavia prosesseja, paikallisten energiayhteisöjen perustamisen tukemista tai itse uusiutuvaa energiaa koskevien hankkeiden käyttöönottoa.</w:t>
            </w:r>
          </w:p>
        </w:tc>
      </w:tr>
      <w:tr w:rsidR="000E48CE" w14:paraId="293E68CC" w14:textId="77777777">
        <w:trPr>
          <w:trHeight w:val="309"/>
        </w:trPr>
        <w:tc>
          <w:tcPr>
            <w:tcW w:w="709" w:type="dxa"/>
            <w:shd w:val="clear" w:color="auto" w:fill="C6EFCE"/>
            <w:noWrap/>
          </w:tcPr>
          <w:p w14:paraId="5F0CA593" w14:textId="77777777" w:rsidR="000E48CE" w:rsidRDefault="00FF4C4E">
            <w:pPr>
              <w:pStyle w:val="P68B1DB1-Normal13"/>
              <w:spacing w:after="0" w:line="240" w:lineRule="auto"/>
              <w:jc w:val="center"/>
              <w:rPr>
                <w:rFonts w:eastAsia="Symbol" w:cs="Times New Roman"/>
                <w:noProof/>
              </w:rPr>
            </w:pPr>
            <w:r>
              <w:rPr>
                <w:noProof/>
              </w:rPr>
              <w:t>112</w:t>
            </w:r>
          </w:p>
        </w:tc>
        <w:tc>
          <w:tcPr>
            <w:tcW w:w="851" w:type="dxa"/>
            <w:shd w:val="clear" w:color="auto" w:fill="C6EFCE"/>
            <w:noWrap/>
          </w:tcPr>
          <w:p w14:paraId="20AE2DF1" w14:textId="77777777" w:rsidR="000E48CE" w:rsidRDefault="00FF4C4E">
            <w:pPr>
              <w:pStyle w:val="P68B1DB1-Normal13"/>
              <w:spacing w:after="0" w:line="240" w:lineRule="auto"/>
              <w:jc w:val="center"/>
              <w:rPr>
                <w:rFonts w:eastAsia="Symbol" w:cs="Times New Roman"/>
                <w:noProof/>
              </w:rPr>
            </w:pPr>
            <w:r>
              <w:rPr>
                <w:noProof/>
              </w:rPr>
              <w:t>C7.R4</w:t>
            </w:r>
          </w:p>
        </w:tc>
        <w:tc>
          <w:tcPr>
            <w:tcW w:w="850" w:type="dxa"/>
            <w:shd w:val="clear" w:color="auto" w:fill="C6EFCE"/>
            <w:noWrap/>
          </w:tcPr>
          <w:p w14:paraId="61A57A1C" w14:textId="77777777" w:rsidR="000E48CE" w:rsidRDefault="00FF4C4E">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1A09D8EB" w14:textId="77777777" w:rsidR="000E48CE" w:rsidRDefault="00FF4C4E">
            <w:pPr>
              <w:pStyle w:val="P68B1DB1-Normal13"/>
              <w:spacing w:after="0" w:line="240" w:lineRule="auto"/>
              <w:rPr>
                <w:rFonts w:eastAsia="Symbol" w:cs="Times New Roman"/>
                <w:noProof/>
              </w:rPr>
            </w:pPr>
            <w:r>
              <w:rPr>
                <w:noProof/>
              </w:rPr>
              <w:t>Merituulivoimaa ja muuta merienergiaa koskeva etenemissuunnitelma</w:t>
            </w:r>
          </w:p>
        </w:tc>
        <w:tc>
          <w:tcPr>
            <w:tcW w:w="1276" w:type="dxa"/>
            <w:shd w:val="clear" w:color="auto" w:fill="C6EFCE"/>
            <w:noWrap/>
          </w:tcPr>
          <w:p w14:paraId="7149803A" w14:textId="77777777" w:rsidR="000E48CE" w:rsidRDefault="00FF4C4E">
            <w:pPr>
              <w:pStyle w:val="P68B1DB1-Normal13"/>
              <w:spacing w:after="0" w:line="240" w:lineRule="auto"/>
              <w:jc w:val="center"/>
              <w:rPr>
                <w:rFonts w:eastAsia="Symbol" w:cs="Times New Roman"/>
                <w:noProof/>
              </w:rPr>
            </w:pPr>
            <w:r>
              <w:rPr>
                <w:noProof/>
              </w:rPr>
              <w:t xml:space="preserve">Julkaiseminen </w:t>
            </w:r>
            <w:r>
              <w:rPr>
                <w:noProof/>
              </w:rPr>
              <w:t>verkkosivustolla</w:t>
            </w:r>
          </w:p>
        </w:tc>
        <w:tc>
          <w:tcPr>
            <w:tcW w:w="850" w:type="dxa"/>
            <w:shd w:val="clear" w:color="auto" w:fill="C6EFCE"/>
            <w:noWrap/>
          </w:tcPr>
          <w:p w14:paraId="4FA58E2B" w14:textId="77777777" w:rsidR="000E48CE" w:rsidRDefault="00FF4C4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705B4414" w14:textId="77777777" w:rsidR="000E48CE" w:rsidRDefault="00FF4C4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17B578C6" w14:textId="77777777" w:rsidR="000E48CE" w:rsidRDefault="00FF4C4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4DDB2106"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116D4EA9" w14:textId="77777777" w:rsidR="000E48CE" w:rsidRDefault="00FF4C4E">
            <w:pPr>
              <w:pStyle w:val="P68B1DB1-Normal13"/>
              <w:spacing w:after="0" w:line="240" w:lineRule="auto"/>
              <w:jc w:val="center"/>
              <w:rPr>
                <w:rFonts w:eastAsia="Symbol" w:cs="Times New Roman"/>
                <w:noProof/>
              </w:rPr>
            </w:pPr>
            <w:r>
              <w:rPr>
                <w:noProof/>
              </w:rPr>
              <w:t>2021</w:t>
            </w:r>
          </w:p>
        </w:tc>
        <w:tc>
          <w:tcPr>
            <w:tcW w:w="5217" w:type="dxa"/>
            <w:shd w:val="clear" w:color="auto" w:fill="C6EFCE"/>
            <w:noWrap/>
          </w:tcPr>
          <w:p w14:paraId="77EDC287" w14:textId="77777777" w:rsidR="000E48CE" w:rsidRDefault="00FF4C4E">
            <w:pPr>
              <w:pStyle w:val="P68B1DB1-Normal13"/>
              <w:spacing w:after="0" w:line="240" w:lineRule="auto"/>
              <w:rPr>
                <w:rFonts w:eastAsia="Symbol" w:cs="Times New Roman"/>
                <w:noProof/>
              </w:rPr>
            </w:pPr>
            <w:r>
              <w:rPr>
                <w:noProof/>
              </w:rPr>
              <w:t>Merituulivoimaa ja muuta merienergiaa koskevan etenemissuunnitelman julkaiseminen tämän uusiutuvan energian lähteen kehittämisen hallinnollisten esteiden vähentämiseksi</w:t>
            </w:r>
          </w:p>
        </w:tc>
      </w:tr>
      <w:tr w:rsidR="000E48CE" w14:paraId="78B4477D" w14:textId="77777777">
        <w:trPr>
          <w:trHeight w:val="309"/>
        </w:trPr>
        <w:tc>
          <w:tcPr>
            <w:tcW w:w="709" w:type="dxa"/>
            <w:shd w:val="clear" w:color="auto" w:fill="C6EFCE"/>
            <w:noWrap/>
          </w:tcPr>
          <w:p w14:paraId="63F14F84" w14:textId="77777777" w:rsidR="000E48CE" w:rsidRDefault="00FF4C4E">
            <w:pPr>
              <w:pStyle w:val="P68B1DB1-Normal13"/>
              <w:spacing w:after="0" w:line="240" w:lineRule="auto"/>
              <w:jc w:val="center"/>
              <w:rPr>
                <w:rFonts w:eastAsia="Symbol" w:cs="Times New Roman"/>
                <w:noProof/>
              </w:rPr>
            </w:pPr>
            <w:r>
              <w:rPr>
                <w:noProof/>
              </w:rPr>
              <w:t>113</w:t>
            </w:r>
          </w:p>
        </w:tc>
        <w:tc>
          <w:tcPr>
            <w:tcW w:w="851" w:type="dxa"/>
            <w:shd w:val="clear" w:color="auto" w:fill="C6EFCE"/>
            <w:noWrap/>
          </w:tcPr>
          <w:p w14:paraId="29C2D4C9" w14:textId="77777777" w:rsidR="000E48CE" w:rsidRDefault="00FF4C4E">
            <w:pPr>
              <w:pStyle w:val="P68B1DB1-Normal13"/>
              <w:spacing w:after="0" w:line="240" w:lineRule="auto"/>
              <w:jc w:val="center"/>
              <w:rPr>
                <w:rFonts w:eastAsia="Symbol" w:cs="Times New Roman"/>
                <w:noProof/>
              </w:rPr>
            </w:pPr>
            <w:r>
              <w:rPr>
                <w:noProof/>
              </w:rPr>
              <w:t>C7.R4</w:t>
            </w:r>
          </w:p>
        </w:tc>
        <w:tc>
          <w:tcPr>
            <w:tcW w:w="850" w:type="dxa"/>
            <w:shd w:val="clear" w:color="auto" w:fill="C6EFCE"/>
            <w:noWrap/>
          </w:tcPr>
          <w:p w14:paraId="524630E2" w14:textId="77777777" w:rsidR="000E48CE" w:rsidRDefault="00FF4C4E">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03200769" w14:textId="77777777" w:rsidR="000E48CE" w:rsidRDefault="00FF4C4E">
            <w:pPr>
              <w:pStyle w:val="P68B1DB1-Normal13"/>
              <w:spacing w:after="0" w:line="240" w:lineRule="auto"/>
              <w:rPr>
                <w:rFonts w:eastAsia="Symbol" w:cs="Times New Roman"/>
                <w:noProof/>
              </w:rPr>
            </w:pPr>
            <w:r>
              <w:rPr>
                <w:noProof/>
              </w:rPr>
              <w:t xml:space="preserve">Merituulivoimaa ja muuta merienergiaa </w:t>
            </w:r>
            <w:r>
              <w:rPr>
                <w:noProof/>
              </w:rPr>
              <w:t>koskevassa kartassa yksilöityjen sääntelytoimenpiteiden voimaantulo</w:t>
            </w:r>
          </w:p>
        </w:tc>
        <w:tc>
          <w:tcPr>
            <w:tcW w:w="1276" w:type="dxa"/>
            <w:shd w:val="clear" w:color="auto" w:fill="C6EFCE"/>
            <w:noWrap/>
          </w:tcPr>
          <w:p w14:paraId="517C0551" w14:textId="77777777" w:rsidR="000E48CE" w:rsidRDefault="00FF4C4E">
            <w:pPr>
              <w:pStyle w:val="P68B1DB1-Normal13"/>
              <w:spacing w:after="0" w:line="240" w:lineRule="auto"/>
              <w:jc w:val="center"/>
              <w:rPr>
                <w:rFonts w:eastAsia="Symbol" w:cs="Times New Roman"/>
                <w:noProof/>
              </w:rPr>
            </w:pPr>
            <w:r>
              <w:rPr>
                <w:noProof/>
              </w:rPr>
              <w:t>Voimaantuloon liittyvien sääntelytoimenpiteiden säännökset</w:t>
            </w:r>
          </w:p>
        </w:tc>
        <w:tc>
          <w:tcPr>
            <w:tcW w:w="850" w:type="dxa"/>
            <w:shd w:val="clear" w:color="auto" w:fill="C6EFCE"/>
            <w:noWrap/>
          </w:tcPr>
          <w:p w14:paraId="1FA429CE" w14:textId="77777777" w:rsidR="000E48CE" w:rsidRDefault="00FF4C4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4E64FEAB" w14:textId="77777777" w:rsidR="000E48CE" w:rsidRDefault="00FF4C4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0F5B8C8A" w14:textId="77777777" w:rsidR="000E48CE" w:rsidRDefault="00FF4C4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1D8520B8"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3E931638" w14:textId="77777777" w:rsidR="000E48CE" w:rsidRDefault="00FF4C4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76BAAB49" w14:textId="77777777" w:rsidR="000E48CE" w:rsidRDefault="00FF4C4E">
            <w:pPr>
              <w:pStyle w:val="P68B1DB1-Normal13"/>
              <w:spacing w:after="0" w:line="240" w:lineRule="auto"/>
              <w:rPr>
                <w:rFonts w:eastAsia="Symbol" w:cs="Times New Roman"/>
                <w:noProof/>
              </w:rPr>
            </w:pPr>
            <w:r>
              <w:rPr>
                <w:noProof/>
              </w:rPr>
              <w:t xml:space="preserve">Merituulivoimaa ja muuta merienergiaa koskevassa kartassa yksilöityjen keskeisten sääntelytoimenpiteiden </w:t>
            </w:r>
            <w:r>
              <w:rPr>
                <w:noProof/>
              </w:rPr>
              <w:t>voimaantulo tutkimuksen ja innovoinnin edistämiseksi ja kelluvien teknologioiden käyttöönoton tukemiseksi. Näihin keskeisiin toimenpiteisiin kuuluvat seuraavat: merten aluesuunnittelusuunnitelmien lopullinen hyväksyminen, verkon suunnittelun ja offshore-st</w:t>
            </w:r>
            <w:r>
              <w:rPr>
                <w:noProof/>
              </w:rPr>
              <w:t>rategian koordinoinnin parantaminen sekä sääntelykehyksen päivittäminen.</w:t>
            </w:r>
          </w:p>
        </w:tc>
      </w:tr>
      <w:tr w:rsidR="000E48CE" w14:paraId="4EE8FC0F" w14:textId="77777777">
        <w:trPr>
          <w:trHeight w:val="309"/>
        </w:trPr>
        <w:tc>
          <w:tcPr>
            <w:tcW w:w="709" w:type="dxa"/>
            <w:shd w:val="clear" w:color="auto" w:fill="C6EFCE"/>
            <w:noWrap/>
          </w:tcPr>
          <w:p w14:paraId="31A92431" w14:textId="77777777" w:rsidR="000E48CE" w:rsidRDefault="00FF4C4E">
            <w:pPr>
              <w:pStyle w:val="P68B1DB1-Normal13"/>
              <w:spacing w:after="0" w:line="240" w:lineRule="auto"/>
              <w:jc w:val="center"/>
              <w:rPr>
                <w:rFonts w:eastAsia="Symbol" w:cs="Times New Roman"/>
                <w:noProof/>
              </w:rPr>
            </w:pPr>
            <w:r>
              <w:rPr>
                <w:noProof/>
              </w:rPr>
              <w:t>114</w:t>
            </w:r>
          </w:p>
        </w:tc>
        <w:tc>
          <w:tcPr>
            <w:tcW w:w="851" w:type="dxa"/>
            <w:shd w:val="clear" w:color="auto" w:fill="C6EFCE"/>
            <w:noWrap/>
          </w:tcPr>
          <w:p w14:paraId="78568058" w14:textId="77777777" w:rsidR="000E48CE" w:rsidRDefault="00FF4C4E">
            <w:pPr>
              <w:pStyle w:val="P68B1DB1-Normal13"/>
              <w:spacing w:after="0" w:line="240" w:lineRule="auto"/>
              <w:jc w:val="center"/>
              <w:rPr>
                <w:rFonts w:eastAsia="Symbol" w:cs="Times New Roman"/>
                <w:noProof/>
              </w:rPr>
            </w:pPr>
            <w:r>
              <w:rPr>
                <w:noProof/>
              </w:rPr>
              <w:t>C7.R4</w:t>
            </w:r>
          </w:p>
        </w:tc>
        <w:tc>
          <w:tcPr>
            <w:tcW w:w="850" w:type="dxa"/>
            <w:shd w:val="clear" w:color="auto" w:fill="C6EFCE"/>
            <w:noWrap/>
          </w:tcPr>
          <w:p w14:paraId="36E3BA94" w14:textId="77777777" w:rsidR="000E48CE" w:rsidRDefault="00FF4C4E">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66D801F0" w14:textId="77777777" w:rsidR="000E48CE" w:rsidRDefault="00FF4C4E">
            <w:pPr>
              <w:pStyle w:val="P68B1DB1-Normal13"/>
              <w:spacing w:after="0" w:line="240" w:lineRule="auto"/>
              <w:rPr>
                <w:rFonts w:eastAsia="Symbol" w:cs="Times New Roman"/>
                <w:noProof/>
              </w:rPr>
            </w:pPr>
            <w:r>
              <w:rPr>
                <w:noProof/>
              </w:rPr>
              <w:t>Biokaasua koskevassa etenemissuunnitelmassa yksilöityjen toimenpiteiden loppuun saattaminen</w:t>
            </w:r>
          </w:p>
        </w:tc>
        <w:tc>
          <w:tcPr>
            <w:tcW w:w="1276" w:type="dxa"/>
            <w:shd w:val="clear" w:color="auto" w:fill="C6EFCE"/>
            <w:noWrap/>
          </w:tcPr>
          <w:p w14:paraId="526D0C03" w14:textId="77777777" w:rsidR="000E48CE" w:rsidRDefault="00FF4C4E">
            <w:pPr>
              <w:pStyle w:val="P68B1DB1-Normal13"/>
              <w:spacing w:after="0" w:line="240" w:lineRule="auto"/>
              <w:jc w:val="center"/>
              <w:rPr>
                <w:rFonts w:eastAsia="Symbol" w:cs="Times New Roman"/>
                <w:noProof/>
              </w:rPr>
            </w:pPr>
            <w:r>
              <w:rPr>
                <w:noProof/>
              </w:rPr>
              <w:t>Julkaiseminen verkkosivustolla</w:t>
            </w:r>
          </w:p>
        </w:tc>
        <w:tc>
          <w:tcPr>
            <w:tcW w:w="850" w:type="dxa"/>
            <w:shd w:val="clear" w:color="auto" w:fill="C6EFCE"/>
            <w:noWrap/>
          </w:tcPr>
          <w:p w14:paraId="248DBDE2" w14:textId="77777777" w:rsidR="000E48CE" w:rsidRDefault="00FF4C4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452D7DC3" w14:textId="77777777" w:rsidR="000E48CE" w:rsidRDefault="00FF4C4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3E835728" w14:textId="77777777" w:rsidR="000E48CE" w:rsidRDefault="00FF4C4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2D4F3C3B"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78EF15BC" w14:textId="77777777" w:rsidR="000E48CE" w:rsidRDefault="00FF4C4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15988DBC" w14:textId="77777777" w:rsidR="000E48CE" w:rsidRDefault="00FF4C4E">
            <w:pPr>
              <w:pStyle w:val="P68B1DB1-Normal13"/>
              <w:spacing w:after="0" w:line="240" w:lineRule="auto"/>
              <w:rPr>
                <w:rFonts w:eastAsia="Symbol" w:cs="Times New Roman"/>
                <w:noProof/>
              </w:rPr>
            </w:pPr>
            <w:r>
              <w:rPr>
                <w:noProof/>
              </w:rPr>
              <w:t xml:space="preserve">Biokaasua koskevassa </w:t>
            </w:r>
            <w:r>
              <w:rPr>
                <w:noProof/>
              </w:rPr>
              <w:t>etenemissuunnitelmassa yksilöityjen keskeisten toimenpiteiden loppuun saattaminen, mukaan lukien uusiutuvia kaasuja koskevan alkuperätakuujärjestelmän perustaminen, biokaasun kilpailukyvyn parantamiseksi ja biokaasun tuotantoon tehtävien investointien edis</w:t>
            </w:r>
            <w:r>
              <w:rPr>
                <w:noProof/>
              </w:rPr>
              <w:t>tämiseksi, millä varmistetaan nopeampi hiilestä irtautuminen teollisuuden ja liikenteen kaltaisilla aloilla.</w:t>
            </w:r>
          </w:p>
        </w:tc>
      </w:tr>
      <w:tr w:rsidR="000E48CE" w14:paraId="63C384DE" w14:textId="77777777">
        <w:trPr>
          <w:trHeight w:val="309"/>
        </w:trPr>
        <w:tc>
          <w:tcPr>
            <w:tcW w:w="709" w:type="dxa"/>
            <w:shd w:val="clear" w:color="auto" w:fill="C6EFCE"/>
            <w:noWrap/>
          </w:tcPr>
          <w:p w14:paraId="7FBB681B" w14:textId="77777777" w:rsidR="000E48CE" w:rsidRDefault="00FF4C4E">
            <w:pPr>
              <w:pStyle w:val="P68B1DB1-Normal13"/>
              <w:spacing w:after="0" w:line="240" w:lineRule="auto"/>
              <w:jc w:val="center"/>
              <w:rPr>
                <w:rFonts w:eastAsia="Symbol" w:cs="Times New Roman"/>
                <w:noProof/>
              </w:rPr>
            </w:pPr>
            <w:r>
              <w:rPr>
                <w:noProof/>
              </w:rPr>
              <w:t>115</w:t>
            </w:r>
          </w:p>
        </w:tc>
        <w:tc>
          <w:tcPr>
            <w:tcW w:w="851" w:type="dxa"/>
            <w:shd w:val="clear" w:color="auto" w:fill="C6EFCE"/>
            <w:noWrap/>
          </w:tcPr>
          <w:p w14:paraId="362CDE17" w14:textId="77777777" w:rsidR="000E48CE" w:rsidRDefault="00FF4C4E">
            <w:pPr>
              <w:pStyle w:val="P68B1DB1-Normal13"/>
              <w:spacing w:after="0" w:line="240" w:lineRule="auto"/>
              <w:jc w:val="center"/>
              <w:rPr>
                <w:rFonts w:eastAsia="Symbol" w:cs="Times New Roman"/>
                <w:noProof/>
              </w:rPr>
            </w:pPr>
            <w:r>
              <w:rPr>
                <w:noProof/>
              </w:rPr>
              <w:t>C7.I1</w:t>
            </w:r>
          </w:p>
        </w:tc>
        <w:tc>
          <w:tcPr>
            <w:tcW w:w="850" w:type="dxa"/>
            <w:shd w:val="clear" w:color="auto" w:fill="C6EFCE"/>
            <w:noWrap/>
          </w:tcPr>
          <w:p w14:paraId="700066EE" w14:textId="77777777" w:rsidR="000E48CE" w:rsidRDefault="00FF4C4E">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229661EF" w14:textId="77777777" w:rsidR="000E48CE" w:rsidRDefault="00FF4C4E">
            <w:pPr>
              <w:pStyle w:val="P68B1DB1-Normal13"/>
              <w:spacing w:after="0" w:line="240" w:lineRule="auto"/>
              <w:rPr>
                <w:rFonts w:eastAsia="Symbol" w:cs="Times New Roman"/>
                <w:noProof/>
              </w:rPr>
            </w:pPr>
            <w:r>
              <w:rPr>
                <w:noProof/>
              </w:rPr>
              <w:t>Tarjouskilpailu, joka koskee investointitukea innovatiiviseen tai uusiutuvan energian lisäarvoon perustuvaan kapasiteettiin</w:t>
            </w:r>
          </w:p>
        </w:tc>
        <w:tc>
          <w:tcPr>
            <w:tcW w:w="1276" w:type="dxa"/>
            <w:shd w:val="clear" w:color="auto" w:fill="C6EFCE"/>
            <w:noWrap/>
          </w:tcPr>
          <w:p w14:paraId="40DBECFF" w14:textId="77777777" w:rsidR="000E48CE" w:rsidRDefault="00FF4C4E">
            <w:pPr>
              <w:pStyle w:val="P68B1DB1-Normal13"/>
              <w:spacing w:after="0" w:line="240" w:lineRule="auto"/>
              <w:jc w:val="center"/>
              <w:rPr>
                <w:rFonts w:eastAsia="Symbol" w:cs="Times New Roman"/>
                <w:noProof/>
              </w:rPr>
            </w:pPr>
            <w:r>
              <w:rPr>
                <w:noProof/>
              </w:rPr>
              <w:t>Julkaiseminen EUVL:ssä</w:t>
            </w:r>
          </w:p>
        </w:tc>
        <w:tc>
          <w:tcPr>
            <w:tcW w:w="850" w:type="dxa"/>
            <w:shd w:val="clear" w:color="auto" w:fill="C6EFCE"/>
            <w:noWrap/>
          </w:tcPr>
          <w:p w14:paraId="46FD6BF3" w14:textId="77777777" w:rsidR="000E48CE" w:rsidRDefault="00FF4C4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0EEEC1AA" w14:textId="77777777" w:rsidR="000E48CE" w:rsidRDefault="00FF4C4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19C7E312" w14:textId="77777777" w:rsidR="000E48CE" w:rsidRDefault="00FF4C4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2BCC829"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4B1264B9" w14:textId="77777777" w:rsidR="000E48CE" w:rsidRDefault="00FF4C4E">
            <w:pPr>
              <w:pStyle w:val="P68B1DB1-Normal13"/>
              <w:spacing w:after="0" w:line="240" w:lineRule="auto"/>
              <w:jc w:val="center"/>
              <w:rPr>
                <w:rFonts w:eastAsia="Symbol" w:cs="Times New Roman"/>
                <w:noProof/>
              </w:rPr>
            </w:pPr>
            <w:r>
              <w:rPr>
                <w:noProof/>
              </w:rPr>
              <w:t>2022</w:t>
            </w:r>
          </w:p>
        </w:tc>
        <w:tc>
          <w:tcPr>
            <w:tcW w:w="5217" w:type="dxa"/>
            <w:shd w:val="clear" w:color="auto" w:fill="C6EFCE"/>
            <w:noWrap/>
          </w:tcPr>
          <w:p w14:paraId="558321B8" w14:textId="77777777" w:rsidR="000E48CE" w:rsidRDefault="00FF4C4E">
            <w:pPr>
              <w:pStyle w:val="P68B1DB1-Normal13"/>
              <w:spacing w:after="0" w:line="240" w:lineRule="auto"/>
              <w:rPr>
                <w:rFonts w:eastAsia="Symbol" w:cs="Times New Roman"/>
                <w:noProof/>
              </w:rPr>
            </w:pPr>
            <w:r>
              <w:rPr>
                <w:noProof/>
              </w:rPr>
              <w:t xml:space="preserve">Euroopan unionin virallisessa lehdessä julkaistaan ensimmäinen tarjous, joka koskee investointitukea innovatiiviseen tai uusiutuvan energian lisäarvoon </w:t>
            </w:r>
          </w:p>
        </w:tc>
      </w:tr>
      <w:tr w:rsidR="000E48CE" w14:paraId="525CA3D7" w14:textId="77777777">
        <w:trPr>
          <w:trHeight w:val="309"/>
        </w:trPr>
        <w:tc>
          <w:tcPr>
            <w:tcW w:w="709" w:type="dxa"/>
            <w:shd w:val="clear" w:color="auto" w:fill="C6EFCE"/>
            <w:noWrap/>
          </w:tcPr>
          <w:p w14:paraId="0ED21733" w14:textId="77777777" w:rsidR="000E48CE" w:rsidRDefault="00FF4C4E">
            <w:pPr>
              <w:pStyle w:val="P68B1DB1-Normal13"/>
              <w:spacing w:after="0" w:line="240" w:lineRule="auto"/>
              <w:jc w:val="center"/>
              <w:rPr>
                <w:rFonts w:eastAsia="Symbol" w:cs="Times New Roman"/>
                <w:noProof/>
              </w:rPr>
            </w:pPr>
            <w:r>
              <w:rPr>
                <w:noProof/>
              </w:rPr>
              <w:t>116</w:t>
            </w:r>
          </w:p>
        </w:tc>
        <w:tc>
          <w:tcPr>
            <w:tcW w:w="851" w:type="dxa"/>
            <w:shd w:val="clear" w:color="auto" w:fill="C6EFCE"/>
            <w:noWrap/>
          </w:tcPr>
          <w:p w14:paraId="30D6F564" w14:textId="77777777" w:rsidR="000E48CE" w:rsidRDefault="00FF4C4E">
            <w:pPr>
              <w:pStyle w:val="P68B1DB1-Normal13"/>
              <w:spacing w:after="0" w:line="240" w:lineRule="auto"/>
              <w:jc w:val="center"/>
              <w:rPr>
                <w:rFonts w:eastAsia="Symbol" w:cs="Times New Roman"/>
                <w:noProof/>
              </w:rPr>
            </w:pPr>
            <w:r>
              <w:rPr>
                <w:noProof/>
              </w:rPr>
              <w:t>C7.I1</w:t>
            </w:r>
          </w:p>
        </w:tc>
        <w:tc>
          <w:tcPr>
            <w:tcW w:w="850" w:type="dxa"/>
            <w:shd w:val="clear" w:color="auto" w:fill="C6EFCE"/>
            <w:noWrap/>
          </w:tcPr>
          <w:p w14:paraId="36F1F5A9" w14:textId="77777777" w:rsidR="000E48CE" w:rsidRDefault="00FF4C4E">
            <w:pPr>
              <w:pStyle w:val="P68B1DB1-Normal13"/>
              <w:spacing w:after="0" w:line="240" w:lineRule="auto"/>
              <w:jc w:val="center"/>
              <w:rPr>
                <w:rFonts w:eastAsia="Symbol" w:cs="Times New Roman"/>
                <w:noProof/>
              </w:rPr>
            </w:pPr>
            <w:r>
              <w:rPr>
                <w:noProof/>
              </w:rPr>
              <w:t>M</w:t>
            </w:r>
          </w:p>
        </w:tc>
        <w:tc>
          <w:tcPr>
            <w:tcW w:w="2977" w:type="dxa"/>
            <w:shd w:val="clear" w:color="auto" w:fill="C6EFCE"/>
            <w:noWrap/>
          </w:tcPr>
          <w:p w14:paraId="55EFD344" w14:textId="77777777" w:rsidR="000E48CE" w:rsidRDefault="00FF4C4E">
            <w:pPr>
              <w:pStyle w:val="P68B1DB1-Normal13"/>
              <w:spacing w:after="0" w:line="240" w:lineRule="auto"/>
              <w:rPr>
                <w:rFonts w:eastAsia="Symbol" w:cs="Times New Roman"/>
                <w:noProof/>
              </w:rPr>
            </w:pPr>
            <w:r>
              <w:rPr>
                <w:noProof/>
              </w:rPr>
              <w:t xml:space="preserve">Merten uusiutuvan energian infrastruktuurin uudet </w:t>
            </w:r>
            <w:r>
              <w:rPr>
                <w:noProof/>
              </w:rPr>
              <w:t>hankkeet, teknologiat tai laitteistot</w:t>
            </w:r>
          </w:p>
        </w:tc>
        <w:tc>
          <w:tcPr>
            <w:tcW w:w="1276" w:type="dxa"/>
            <w:shd w:val="clear" w:color="auto" w:fill="C6EFCE"/>
            <w:noWrap/>
          </w:tcPr>
          <w:p w14:paraId="5F5B292E" w14:textId="77777777" w:rsidR="000E48CE" w:rsidRDefault="00FF4C4E">
            <w:pPr>
              <w:pStyle w:val="P68B1DB1-Normal13"/>
              <w:spacing w:after="0" w:line="240" w:lineRule="auto"/>
              <w:jc w:val="center"/>
              <w:rPr>
                <w:rFonts w:eastAsia="Symbol" w:cs="Times New Roman"/>
                <w:noProof/>
              </w:rPr>
            </w:pPr>
            <w:r>
              <w:rPr>
                <w:noProof/>
              </w:rPr>
              <w:t>Myöntämispäätös/investointiviranomaisen päätös</w:t>
            </w:r>
          </w:p>
        </w:tc>
        <w:tc>
          <w:tcPr>
            <w:tcW w:w="850" w:type="dxa"/>
            <w:shd w:val="clear" w:color="auto" w:fill="C6EFCE"/>
            <w:noWrap/>
          </w:tcPr>
          <w:p w14:paraId="3E85448D" w14:textId="77777777" w:rsidR="000E48CE" w:rsidRDefault="00FF4C4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70342F75" w14:textId="77777777" w:rsidR="000E48CE" w:rsidRDefault="00FF4C4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0E6A004A" w14:textId="77777777" w:rsidR="000E48CE" w:rsidRDefault="00FF4C4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2FEC388" w14:textId="77777777" w:rsidR="000E48CE" w:rsidRDefault="00FF4C4E">
            <w:pPr>
              <w:pStyle w:val="P68B1DB1-Normal13"/>
              <w:spacing w:after="0" w:line="240" w:lineRule="auto"/>
              <w:jc w:val="center"/>
              <w:rPr>
                <w:rFonts w:eastAsia="Symbol" w:cs="Times New Roman"/>
                <w:noProof/>
              </w:rPr>
            </w:pPr>
            <w:r>
              <w:rPr>
                <w:noProof/>
              </w:rPr>
              <w:t>KOLMAS VUOSINELJÄNNES</w:t>
            </w:r>
          </w:p>
        </w:tc>
        <w:tc>
          <w:tcPr>
            <w:tcW w:w="567" w:type="dxa"/>
            <w:shd w:val="clear" w:color="auto" w:fill="C6EFCE"/>
            <w:noWrap/>
          </w:tcPr>
          <w:p w14:paraId="44F941C4" w14:textId="77777777" w:rsidR="000E48CE" w:rsidRDefault="00FF4C4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4DF240FF" w14:textId="77777777" w:rsidR="000E48CE" w:rsidRDefault="00FF4C4E">
            <w:pPr>
              <w:pStyle w:val="P68B1DB1-Normal13"/>
              <w:spacing w:after="0" w:line="240" w:lineRule="auto"/>
              <w:rPr>
                <w:rFonts w:eastAsia="Symbol" w:cs="Times New Roman"/>
                <w:noProof/>
              </w:rPr>
            </w:pPr>
            <w:r>
              <w:rPr>
                <w:noProof/>
              </w:rPr>
              <w:t>Vähintään kuusi hanketta, joilla edistetään uusia hankkeita, teknologioita tai laitteistoja, jotka liittyvät merten uusiutuvan energian in</w:t>
            </w:r>
            <w:r>
              <w:rPr>
                <w:noProof/>
              </w:rPr>
              <w:t>frastruktuuriin. Näillä kuudella kehitystyöllä on tarkoitus edistää merten uusiutuvaa energiaa koskevien hankkeiden toteuttamista Espanjassa. Tällaisia toimia voivat olla esimerkiksi merten uusiutuvaan energiaan liittyvää toimintaa harjoittavat pk-yritykse</w:t>
            </w:r>
            <w:r>
              <w:rPr>
                <w:noProof/>
              </w:rPr>
              <w:t>t, jotka saavat avustuksia, lainoja tai pääomasijoituksia, osallistuvat esikaupallisiin julkisiin hankintoihin, sekä avustukset, joita myönnetään suoraan uusiutuvaa energiaa koskeville merihankkeille tai merten uusiutuvan energian uuden teknologian valmist</w:t>
            </w:r>
            <w:r>
              <w:rPr>
                <w:noProof/>
              </w:rPr>
              <w:t xml:space="preserve">us- tai käyttöönottoprototyypille. </w:t>
            </w:r>
          </w:p>
        </w:tc>
      </w:tr>
      <w:tr w:rsidR="000E48CE" w14:paraId="3343B885" w14:textId="77777777">
        <w:trPr>
          <w:trHeight w:val="309"/>
        </w:trPr>
        <w:tc>
          <w:tcPr>
            <w:tcW w:w="709" w:type="dxa"/>
            <w:shd w:val="clear" w:color="auto" w:fill="C6EFCE"/>
            <w:noWrap/>
          </w:tcPr>
          <w:p w14:paraId="759D24EC" w14:textId="77777777" w:rsidR="000E48CE" w:rsidRDefault="00FF4C4E">
            <w:pPr>
              <w:pStyle w:val="P68B1DB1-Normal13"/>
              <w:spacing w:after="0" w:line="240" w:lineRule="auto"/>
              <w:jc w:val="center"/>
              <w:rPr>
                <w:rFonts w:eastAsia="Symbol" w:cs="Times New Roman"/>
                <w:noProof/>
              </w:rPr>
            </w:pPr>
            <w:r>
              <w:rPr>
                <w:noProof/>
              </w:rPr>
              <w:t>117</w:t>
            </w:r>
          </w:p>
        </w:tc>
        <w:tc>
          <w:tcPr>
            <w:tcW w:w="851" w:type="dxa"/>
            <w:shd w:val="clear" w:color="auto" w:fill="C6EFCE"/>
            <w:noWrap/>
          </w:tcPr>
          <w:p w14:paraId="1FCB6415" w14:textId="77777777" w:rsidR="000E48CE" w:rsidRDefault="00FF4C4E">
            <w:pPr>
              <w:pStyle w:val="P68B1DB1-Normal13"/>
              <w:spacing w:after="0" w:line="240" w:lineRule="auto"/>
              <w:jc w:val="center"/>
              <w:rPr>
                <w:rFonts w:eastAsia="Symbol" w:cs="Times New Roman"/>
                <w:noProof/>
              </w:rPr>
            </w:pPr>
            <w:r>
              <w:rPr>
                <w:noProof/>
              </w:rPr>
              <w:t>C7.I1</w:t>
            </w:r>
          </w:p>
        </w:tc>
        <w:tc>
          <w:tcPr>
            <w:tcW w:w="850" w:type="dxa"/>
            <w:shd w:val="clear" w:color="auto" w:fill="C6EFCE"/>
            <w:noWrap/>
          </w:tcPr>
          <w:p w14:paraId="6B6D6E84" w14:textId="77777777" w:rsidR="000E48CE" w:rsidRDefault="00FF4C4E">
            <w:pPr>
              <w:pStyle w:val="P68B1DB1-Normal13"/>
              <w:spacing w:after="0" w:line="240" w:lineRule="auto"/>
              <w:jc w:val="center"/>
              <w:rPr>
                <w:rFonts w:eastAsia="Symbol" w:cs="Times New Roman"/>
                <w:noProof/>
              </w:rPr>
            </w:pPr>
            <w:r>
              <w:rPr>
                <w:noProof/>
              </w:rPr>
              <w:t>T</w:t>
            </w:r>
          </w:p>
        </w:tc>
        <w:tc>
          <w:tcPr>
            <w:tcW w:w="2977" w:type="dxa"/>
            <w:shd w:val="clear" w:color="auto" w:fill="C6EFCE"/>
            <w:noWrap/>
          </w:tcPr>
          <w:p w14:paraId="296A9DA6" w14:textId="77777777" w:rsidR="000E48CE" w:rsidRDefault="00FF4C4E">
            <w:pPr>
              <w:pStyle w:val="P68B1DB1-Normal13"/>
              <w:spacing w:after="0" w:line="240" w:lineRule="auto"/>
              <w:rPr>
                <w:rFonts w:eastAsia="Symbol" w:cs="Times New Roman"/>
                <w:noProof/>
              </w:rPr>
            </w:pPr>
            <w:r>
              <w:rPr>
                <w:noProof/>
              </w:rPr>
              <w:t>Innovatiivisen tai lisäarvoa tuottavan uusiutuvan energian tuotantokapasiteetin lisääminen</w:t>
            </w:r>
          </w:p>
        </w:tc>
        <w:tc>
          <w:tcPr>
            <w:tcW w:w="1276" w:type="dxa"/>
            <w:shd w:val="clear" w:color="auto" w:fill="C6EFCE"/>
            <w:noWrap/>
          </w:tcPr>
          <w:p w14:paraId="6DF7B9A8" w14:textId="77777777" w:rsidR="000E48CE" w:rsidRDefault="00FF4C4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0ED551FE" w14:textId="77777777" w:rsidR="000E48CE" w:rsidRDefault="00FF4C4E">
            <w:pPr>
              <w:pStyle w:val="P68B1DB1-Normal13"/>
              <w:spacing w:after="0" w:line="240" w:lineRule="auto"/>
              <w:jc w:val="center"/>
              <w:rPr>
                <w:rFonts w:eastAsia="Symbol" w:cs="Times New Roman"/>
                <w:noProof/>
              </w:rPr>
            </w:pPr>
            <w:r>
              <w:rPr>
                <w:noProof/>
              </w:rPr>
              <w:t>Lukumäärä (MW)</w:t>
            </w:r>
          </w:p>
        </w:tc>
        <w:tc>
          <w:tcPr>
            <w:tcW w:w="709" w:type="dxa"/>
            <w:shd w:val="clear" w:color="auto" w:fill="C6EFCE"/>
            <w:noWrap/>
          </w:tcPr>
          <w:p w14:paraId="750AB381" w14:textId="77777777" w:rsidR="000E48CE" w:rsidRDefault="00FF4C4E">
            <w:pPr>
              <w:pStyle w:val="P68B1DB1-Normal13"/>
              <w:spacing w:after="0" w:line="240" w:lineRule="auto"/>
              <w:jc w:val="center"/>
              <w:rPr>
                <w:rFonts w:eastAsia="Symbol" w:cs="Times New Roman"/>
                <w:noProof/>
              </w:rPr>
            </w:pPr>
            <w:r>
              <w:rPr>
                <w:noProof/>
              </w:rPr>
              <w:t>0</w:t>
            </w:r>
          </w:p>
        </w:tc>
        <w:tc>
          <w:tcPr>
            <w:tcW w:w="737" w:type="dxa"/>
            <w:shd w:val="clear" w:color="auto" w:fill="C6EFCE"/>
            <w:noWrap/>
          </w:tcPr>
          <w:p w14:paraId="65516202" w14:textId="77777777" w:rsidR="000E48CE" w:rsidRDefault="00FF4C4E">
            <w:pPr>
              <w:pStyle w:val="P68B1DB1-Normal13"/>
              <w:spacing w:after="0" w:line="240" w:lineRule="auto"/>
              <w:jc w:val="center"/>
              <w:rPr>
                <w:rFonts w:eastAsia="Symbol" w:cs="Times New Roman"/>
                <w:noProof/>
              </w:rPr>
            </w:pPr>
            <w:r>
              <w:rPr>
                <w:noProof/>
              </w:rPr>
              <w:t>3 800</w:t>
            </w:r>
          </w:p>
        </w:tc>
        <w:tc>
          <w:tcPr>
            <w:tcW w:w="567" w:type="dxa"/>
            <w:shd w:val="clear" w:color="auto" w:fill="C6EFCE"/>
            <w:noWrap/>
          </w:tcPr>
          <w:p w14:paraId="72E55E20"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1A3FCE25" w14:textId="77777777" w:rsidR="000E48CE" w:rsidRDefault="00FF4C4E">
            <w:pPr>
              <w:pStyle w:val="P68B1DB1-Normal13"/>
              <w:spacing w:after="0" w:line="240" w:lineRule="auto"/>
              <w:jc w:val="center"/>
              <w:rPr>
                <w:rFonts w:eastAsia="Symbol" w:cs="Times New Roman"/>
                <w:noProof/>
              </w:rPr>
            </w:pPr>
            <w:r>
              <w:rPr>
                <w:noProof/>
              </w:rPr>
              <w:t>2026</w:t>
            </w:r>
          </w:p>
        </w:tc>
        <w:tc>
          <w:tcPr>
            <w:tcW w:w="5217" w:type="dxa"/>
            <w:shd w:val="clear" w:color="auto" w:fill="C6EFCE"/>
            <w:noWrap/>
          </w:tcPr>
          <w:p w14:paraId="7A94C722" w14:textId="21462508" w:rsidR="000E48CE" w:rsidRDefault="00FF4C4E">
            <w:pPr>
              <w:pStyle w:val="P68B1DB1-Normal13"/>
              <w:spacing w:after="0" w:line="240" w:lineRule="auto"/>
              <w:rPr>
                <w:rFonts w:eastAsia="Symbol" w:cs="Times New Roman"/>
                <w:noProof/>
              </w:rPr>
            </w:pPr>
            <w:r>
              <w:rPr>
                <w:noProof/>
              </w:rPr>
              <w:t xml:space="preserve">Uusiutuvan energian kumulatiivinen lisätuotantokapasiteetti innovatiivista tai </w:t>
            </w:r>
            <w:r>
              <w:rPr>
                <w:noProof/>
              </w:rPr>
              <w:t>lisäarvoa tuottavaa uusiutuvaa energiaa varten (asennettu vähintään 3 800 MW)</w:t>
            </w:r>
          </w:p>
        </w:tc>
      </w:tr>
      <w:tr w:rsidR="000E48CE" w14:paraId="6D310B05" w14:textId="77777777">
        <w:trPr>
          <w:trHeight w:val="309"/>
        </w:trPr>
        <w:tc>
          <w:tcPr>
            <w:tcW w:w="709" w:type="dxa"/>
            <w:shd w:val="clear" w:color="auto" w:fill="C6EFCE"/>
            <w:noWrap/>
          </w:tcPr>
          <w:p w14:paraId="3D8C1C99" w14:textId="77777777" w:rsidR="000E48CE" w:rsidRDefault="00FF4C4E">
            <w:pPr>
              <w:pStyle w:val="P68B1DB1-Normal13"/>
              <w:spacing w:after="0" w:line="240" w:lineRule="auto"/>
              <w:jc w:val="center"/>
              <w:rPr>
                <w:rFonts w:cs="Times New Roman"/>
                <w:noProof/>
              </w:rPr>
            </w:pPr>
            <w:r>
              <w:rPr>
                <w:noProof/>
              </w:rPr>
              <w:t>118</w:t>
            </w:r>
          </w:p>
        </w:tc>
        <w:tc>
          <w:tcPr>
            <w:tcW w:w="851" w:type="dxa"/>
            <w:shd w:val="clear" w:color="auto" w:fill="C6EFCE"/>
            <w:noWrap/>
          </w:tcPr>
          <w:p w14:paraId="682041F3" w14:textId="77777777" w:rsidR="000E48CE" w:rsidRDefault="00FF4C4E">
            <w:pPr>
              <w:pStyle w:val="P68B1DB1-Normal13"/>
              <w:spacing w:after="0" w:line="240" w:lineRule="auto"/>
              <w:jc w:val="center"/>
              <w:rPr>
                <w:rFonts w:cs="Times New Roman"/>
                <w:noProof/>
              </w:rPr>
            </w:pPr>
            <w:r>
              <w:rPr>
                <w:noProof/>
              </w:rPr>
              <w:t>C7.I2</w:t>
            </w:r>
          </w:p>
        </w:tc>
        <w:tc>
          <w:tcPr>
            <w:tcW w:w="850" w:type="dxa"/>
            <w:shd w:val="clear" w:color="auto" w:fill="C6EFCE"/>
            <w:noWrap/>
          </w:tcPr>
          <w:p w14:paraId="52C87E1D" w14:textId="77777777" w:rsidR="000E48CE" w:rsidRDefault="00FF4C4E">
            <w:pPr>
              <w:pStyle w:val="P68B1DB1-Normal13"/>
              <w:spacing w:after="0" w:line="240" w:lineRule="auto"/>
              <w:jc w:val="center"/>
              <w:rPr>
                <w:rFonts w:cs="Times New Roman"/>
                <w:noProof/>
              </w:rPr>
            </w:pPr>
            <w:r>
              <w:rPr>
                <w:noProof/>
              </w:rPr>
              <w:t>M</w:t>
            </w:r>
          </w:p>
        </w:tc>
        <w:tc>
          <w:tcPr>
            <w:tcW w:w="2977" w:type="dxa"/>
            <w:shd w:val="clear" w:color="auto" w:fill="C6EFCE"/>
            <w:noWrap/>
          </w:tcPr>
          <w:p w14:paraId="02CC24B3" w14:textId="77777777" w:rsidR="000E48CE" w:rsidRDefault="00FF4C4E">
            <w:pPr>
              <w:pStyle w:val="P68B1DB1-Normal13"/>
              <w:spacing w:after="0" w:line="240" w:lineRule="auto"/>
              <w:rPr>
                <w:rFonts w:cs="Times New Roman"/>
                <w:noProof/>
              </w:rPr>
            </w:pPr>
            <w:r>
              <w:rPr>
                <w:noProof/>
              </w:rPr>
              <w:t xml:space="preserve">Puhdasta energiaa ja älykkäitä hankkeita saarille käsittelevä toimisto </w:t>
            </w:r>
          </w:p>
        </w:tc>
        <w:tc>
          <w:tcPr>
            <w:tcW w:w="1276" w:type="dxa"/>
            <w:shd w:val="clear" w:color="auto" w:fill="C6EFCE"/>
            <w:noWrap/>
          </w:tcPr>
          <w:p w14:paraId="34C0E3E8" w14:textId="77777777" w:rsidR="000E48CE" w:rsidRDefault="00FF4C4E">
            <w:pPr>
              <w:pStyle w:val="P68B1DB1-Normal13"/>
              <w:spacing w:after="0" w:line="240" w:lineRule="auto"/>
              <w:jc w:val="center"/>
              <w:rPr>
                <w:rFonts w:cs="Times New Roman"/>
                <w:noProof/>
              </w:rPr>
            </w:pPr>
            <w:r>
              <w:rPr>
                <w:noProof/>
              </w:rPr>
              <w:t>Julkaiseminen verkkosivustolla</w:t>
            </w:r>
          </w:p>
        </w:tc>
        <w:tc>
          <w:tcPr>
            <w:tcW w:w="850" w:type="dxa"/>
            <w:shd w:val="clear" w:color="auto" w:fill="C6EFCE"/>
            <w:noWrap/>
          </w:tcPr>
          <w:p w14:paraId="47F07C36" w14:textId="77777777" w:rsidR="000E48CE" w:rsidRDefault="00FF4C4E">
            <w:pPr>
              <w:pStyle w:val="P68B1DB1-Normal13"/>
              <w:spacing w:after="0" w:line="240" w:lineRule="auto"/>
              <w:jc w:val="center"/>
              <w:rPr>
                <w:rFonts w:cs="Times New Roman"/>
                <w:noProof/>
              </w:rPr>
            </w:pPr>
            <w:r>
              <w:rPr>
                <w:noProof/>
              </w:rPr>
              <w:t> </w:t>
            </w:r>
          </w:p>
        </w:tc>
        <w:tc>
          <w:tcPr>
            <w:tcW w:w="709" w:type="dxa"/>
            <w:shd w:val="clear" w:color="auto" w:fill="C6EFCE"/>
            <w:noWrap/>
          </w:tcPr>
          <w:p w14:paraId="0F6115FE" w14:textId="77777777" w:rsidR="000E48CE" w:rsidRDefault="00FF4C4E">
            <w:pPr>
              <w:pStyle w:val="P68B1DB1-Normal13"/>
              <w:spacing w:after="0" w:line="240" w:lineRule="auto"/>
              <w:jc w:val="center"/>
              <w:rPr>
                <w:rFonts w:cs="Times New Roman"/>
                <w:noProof/>
              </w:rPr>
            </w:pPr>
            <w:r>
              <w:rPr>
                <w:noProof/>
              </w:rPr>
              <w:t> </w:t>
            </w:r>
          </w:p>
        </w:tc>
        <w:tc>
          <w:tcPr>
            <w:tcW w:w="737" w:type="dxa"/>
            <w:shd w:val="clear" w:color="auto" w:fill="C6EFCE"/>
            <w:noWrap/>
          </w:tcPr>
          <w:p w14:paraId="4F32E632" w14:textId="77777777" w:rsidR="000E48CE" w:rsidRDefault="00FF4C4E">
            <w:pPr>
              <w:pStyle w:val="P68B1DB1-Normal13"/>
              <w:spacing w:after="0" w:line="240" w:lineRule="auto"/>
              <w:jc w:val="center"/>
              <w:rPr>
                <w:rFonts w:cs="Times New Roman"/>
                <w:noProof/>
              </w:rPr>
            </w:pPr>
            <w:r>
              <w:rPr>
                <w:noProof/>
              </w:rPr>
              <w:t> </w:t>
            </w:r>
          </w:p>
        </w:tc>
        <w:tc>
          <w:tcPr>
            <w:tcW w:w="567" w:type="dxa"/>
            <w:shd w:val="clear" w:color="auto" w:fill="C6EFCE"/>
            <w:noWrap/>
          </w:tcPr>
          <w:p w14:paraId="51C7C0D8" w14:textId="77777777"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noWrap/>
          </w:tcPr>
          <w:p w14:paraId="731A8916" w14:textId="77777777" w:rsidR="000E48CE" w:rsidRDefault="00FF4C4E">
            <w:pPr>
              <w:pStyle w:val="P68B1DB1-Normal13"/>
              <w:spacing w:after="0" w:line="240" w:lineRule="auto"/>
              <w:jc w:val="center"/>
              <w:rPr>
                <w:rFonts w:cs="Times New Roman"/>
                <w:noProof/>
              </w:rPr>
            </w:pPr>
            <w:r>
              <w:rPr>
                <w:noProof/>
              </w:rPr>
              <w:t>2023</w:t>
            </w:r>
          </w:p>
        </w:tc>
        <w:tc>
          <w:tcPr>
            <w:tcW w:w="5217" w:type="dxa"/>
            <w:shd w:val="clear" w:color="auto" w:fill="C6EFCE"/>
            <w:noWrap/>
          </w:tcPr>
          <w:p w14:paraId="68C8E727" w14:textId="1B075716" w:rsidR="000E48CE" w:rsidRDefault="00FF4C4E">
            <w:pPr>
              <w:pStyle w:val="P68B1DB1-Normal13"/>
              <w:spacing w:after="0" w:line="240" w:lineRule="auto"/>
              <w:rPr>
                <w:rFonts w:cs="Times New Roman"/>
                <w:noProof/>
              </w:rPr>
            </w:pPr>
            <w:r>
              <w:rPr>
                <w:noProof/>
              </w:rPr>
              <w:t>Perustetaan puhdasta energiaa</w:t>
            </w:r>
            <w:r>
              <w:rPr>
                <w:noProof/>
              </w:rPr>
              <w:t xml:space="preserve"> ja älykkäitä hankkeita saarille käsittelevä toimisto, jonka tavoitteena on hallinnoida elpymis- ja palautumistukivälineen tukiohjelmia. Virasto koordinoi energiasiirtymän dynaamista ja kehittämistä saarilla.</w:t>
            </w:r>
          </w:p>
        </w:tc>
      </w:tr>
      <w:tr w:rsidR="000E48CE" w14:paraId="25A1F8FC" w14:textId="77777777">
        <w:trPr>
          <w:trHeight w:val="309"/>
        </w:trPr>
        <w:tc>
          <w:tcPr>
            <w:tcW w:w="709" w:type="dxa"/>
            <w:shd w:val="clear" w:color="auto" w:fill="C6EFCE"/>
            <w:noWrap/>
          </w:tcPr>
          <w:p w14:paraId="2714F9DC" w14:textId="77777777" w:rsidR="000E48CE" w:rsidRDefault="00FF4C4E">
            <w:pPr>
              <w:pStyle w:val="P68B1DB1-Normal13"/>
              <w:spacing w:after="0" w:line="240" w:lineRule="auto"/>
              <w:jc w:val="center"/>
              <w:rPr>
                <w:rFonts w:cs="Times New Roman"/>
                <w:noProof/>
              </w:rPr>
            </w:pPr>
            <w:r>
              <w:rPr>
                <w:noProof/>
              </w:rPr>
              <w:t>119</w:t>
            </w:r>
          </w:p>
        </w:tc>
        <w:tc>
          <w:tcPr>
            <w:tcW w:w="851" w:type="dxa"/>
            <w:shd w:val="clear" w:color="auto" w:fill="C6EFCE"/>
            <w:noWrap/>
          </w:tcPr>
          <w:p w14:paraId="5014F004" w14:textId="77777777" w:rsidR="000E48CE" w:rsidRDefault="00FF4C4E">
            <w:pPr>
              <w:pStyle w:val="P68B1DB1-Normal13"/>
              <w:spacing w:after="0" w:line="240" w:lineRule="auto"/>
              <w:jc w:val="center"/>
              <w:rPr>
                <w:rFonts w:cs="Times New Roman"/>
                <w:noProof/>
              </w:rPr>
            </w:pPr>
            <w:r>
              <w:rPr>
                <w:noProof/>
              </w:rPr>
              <w:t>C7.I2</w:t>
            </w:r>
          </w:p>
        </w:tc>
        <w:tc>
          <w:tcPr>
            <w:tcW w:w="850" w:type="dxa"/>
            <w:shd w:val="clear" w:color="auto" w:fill="C6EFCE"/>
            <w:noWrap/>
          </w:tcPr>
          <w:p w14:paraId="1AB0E554"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679AE7D0" w14:textId="77777777" w:rsidR="000E48CE" w:rsidRDefault="00FF4C4E">
            <w:pPr>
              <w:pStyle w:val="P68B1DB1-Normal13"/>
              <w:spacing w:after="0" w:line="240" w:lineRule="auto"/>
              <w:rPr>
                <w:rFonts w:cs="Times New Roman"/>
                <w:noProof/>
              </w:rPr>
            </w:pPr>
            <w:r>
              <w:rPr>
                <w:noProof/>
              </w:rPr>
              <w:t xml:space="preserve">Saarten energiasiirtymää tukevien </w:t>
            </w:r>
            <w:r>
              <w:rPr>
                <w:noProof/>
              </w:rPr>
              <w:t>hankkeiden loppuun saattaminen</w:t>
            </w:r>
          </w:p>
        </w:tc>
        <w:tc>
          <w:tcPr>
            <w:tcW w:w="1276" w:type="dxa"/>
            <w:shd w:val="clear" w:color="auto" w:fill="C6EFCE"/>
            <w:noWrap/>
          </w:tcPr>
          <w:p w14:paraId="0E19070B"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4B1E7BCA" w14:textId="77777777" w:rsidR="000E48CE" w:rsidRDefault="00FF4C4E">
            <w:pPr>
              <w:pStyle w:val="P68B1DB1-Normal13"/>
              <w:spacing w:after="0" w:line="240" w:lineRule="auto"/>
              <w:jc w:val="center"/>
              <w:rPr>
                <w:rFonts w:cs="Times New Roman"/>
                <w:noProof/>
              </w:rPr>
            </w:pPr>
            <w:r>
              <w:rPr>
                <w:noProof/>
              </w:rPr>
              <w:t>Määrä</w:t>
            </w:r>
          </w:p>
        </w:tc>
        <w:tc>
          <w:tcPr>
            <w:tcW w:w="709" w:type="dxa"/>
            <w:shd w:val="clear" w:color="auto" w:fill="C6EFCE"/>
            <w:noWrap/>
          </w:tcPr>
          <w:p w14:paraId="481DA1EE" w14:textId="77777777" w:rsidR="000E48CE" w:rsidRDefault="00FF4C4E">
            <w:pPr>
              <w:pStyle w:val="P68B1DB1-Normal13"/>
              <w:spacing w:after="0" w:line="240" w:lineRule="auto"/>
              <w:jc w:val="center"/>
              <w:rPr>
                <w:rFonts w:cs="Times New Roman"/>
                <w:noProof/>
              </w:rPr>
            </w:pPr>
            <w:r>
              <w:rPr>
                <w:noProof/>
              </w:rPr>
              <w:t>0</w:t>
            </w:r>
          </w:p>
        </w:tc>
        <w:tc>
          <w:tcPr>
            <w:tcW w:w="737" w:type="dxa"/>
            <w:shd w:val="clear" w:color="auto" w:fill="C6EFCE"/>
            <w:noWrap/>
          </w:tcPr>
          <w:p w14:paraId="5B060510" w14:textId="03A49CCB" w:rsidR="000E48CE" w:rsidRDefault="00FF4C4E">
            <w:pPr>
              <w:pStyle w:val="P68B1DB1-Normal13"/>
              <w:spacing w:after="0" w:line="240" w:lineRule="auto"/>
              <w:jc w:val="center"/>
              <w:rPr>
                <w:rFonts w:cs="Times New Roman"/>
                <w:noProof/>
              </w:rPr>
            </w:pPr>
            <w:r>
              <w:rPr>
                <w:noProof/>
              </w:rPr>
              <w:t>600</w:t>
            </w:r>
          </w:p>
        </w:tc>
        <w:tc>
          <w:tcPr>
            <w:tcW w:w="567" w:type="dxa"/>
            <w:shd w:val="clear" w:color="auto" w:fill="C6EFCE"/>
            <w:noWrap/>
          </w:tcPr>
          <w:p w14:paraId="2A729CC7" w14:textId="77777777"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noWrap/>
          </w:tcPr>
          <w:p w14:paraId="154BFC85" w14:textId="5D1FDB41" w:rsidR="000E48CE" w:rsidRDefault="00FF4C4E">
            <w:pPr>
              <w:pStyle w:val="P68B1DB1-Normal13"/>
              <w:spacing w:after="0" w:line="240" w:lineRule="auto"/>
              <w:jc w:val="center"/>
              <w:rPr>
                <w:rFonts w:cs="Times New Roman"/>
                <w:noProof/>
              </w:rPr>
            </w:pPr>
            <w:r>
              <w:rPr>
                <w:noProof/>
              </w:rPr>
              <w:t>2025</w:t>
            </w:r>
          </w:p>
        </w:tc>
        <w:tc>
          <w:tcPr>
            <w:tcW w:w="5217" w:type="dxa"/>
            <w:shd w:val="clear" w:color="auto" w:fill="C6EFCE"/>
            <w:noWrap/>
          </w:tcPr>
          <w:p w14:paraId="183909CE" w14:textId="2A2B3FB4" w:rsidR="000E48CE" w:rsidRDefault="00FF4C4E">
            <w:pPr>
              <w:pStyle w:val="P68B1DB1-Normal13"/>
              <w:spacing w:after="0" w:line="240" w:lineRule="auto"/>
              <w:rPr>
                <w:rFonts w:cs="Times New Roman"/>
                <w:noProof/>
              </w:rPr>
            </w:pPr>
            <w:r>
              <w:rPr>
                <w:noProof/>
              </w:rPr>
              <w:t>Vähintään 600 tuettua tai toteutettua toimea, hanketta tai ohjelmaa, mukaan lukien dynamisointiohjelmat tai -toimistot, saaria koskevat etenemissuunnitelmat, investointi- tai tukihank</w:t>
            </w:r>
            <w:r>
              <w:rPr>
                <w:noProof/>
              </w:rPr>
              <w:t xml:space="preserve">keet, jotka liittyvät EU:n saarille tarkoitettuun puhtaaseen energiaan tai älykkäitä saaria koskeviin ohjelmiin, uusiutuvaan energiaan tai kestävään varastointiin liittyviin hankkeisiin. </w:t>
            </w:r>
          </w:p>
        </w:tc>
      </w:tr>
      <w:tr w:rsidR="000E48CE" w14:paraId="5F6957CB" w14:textId="77777777">
        <w:trPr>
          <w:trHeight w:val="309"/>
        </w:trPr>
        <w:tc>
          <w:tcPr>
            <w:tcW w:w="709" w:type="dxa"/>
            <w:shd w:val="clear" w:color="auto" w:fill="C6EFCE"/>
            <w:noWrap/>
          </w:tcPr>
          <w:p w14:paraId="6CC8039C" w14:textId="77777777" w:rsidR="000E48CE" w:rsidRDefault="00FF4C4E">
            <w:pPr>
              <w:pStyle w:val="P68B1DB1-Normal13"/>
              <w:spacing w:after="0" w:line="240" w:lineRule="auto"/>
              <w:jc w:val="center"/>
              <w:rPr>
                <w:rFonts w:cs="Times New Roman"/>
                <w:noProof/>
              </w:rPr>
            </w:pPr>
            <w:r>
              <w:rPr>
                <w:noProof/>
              </w:rPr>
              <w:t>120</w:t>
            </w:r>
          </w:p>
        </w:tc>
        <w:tc>
          <w:tcPr>
            <w:tcW w:w="851" w:type="dxa"/>
            <w:shd w:val="clear" w:color="auto" w:fill="C6EFCE"/>
            <w:noWrap/>
          </w:tcPr>
          <w:p w14:paraId="223C782C" w14:textId="77777777" w:rsidR="000E48CE" w:rsidRDefault="00FF4C4E">
            <w:pPr>
              <w:pStyle w:val="P68B1DB1-Normal13"/>
              <w:spacing w:after="0" w:line="240" w:lineRule="auto"/>
              <w:jc w:val="center"/>
              <w:rPr>
                <w:rFonts w:cs="Times New Roman"/>
                <w:noProof/>
              </w:rPr>
            </w:pPr>
            <w:r>
              <w:rPr>
                <w:noProof/>
              </w:rPr>
              <w:t>C7.I2</w:t>
            </w:r>
          </w:p>
        </w:tc>
        <w:tc>
          <w:tcPr>
            <w:tcW w:w="850" w:type="dxa"/>
            <w:shd w:val="clear" w:color="auto" w:fill="C6EFCE"/>
            <w:noWrap/>
          </w:tcPr>
          <w:p w14:paraId="0C7EEB46" w14:textId="77777777" w:rsidR="000E48CE" w:rsidRDefault="00FF4C4E">
            <w:pPr>
              <w:pStyle w:val="P68B1DB1-Normal13"/>
              <w:spacing w:after="0" w:line="240" w:lineRule="auto"/>
              <w:jc w:val="center"/>
              <w:rPr>
                <w:rFonts w:cs="Times New Roman"/>
                <w:noProof/>
              </w:rPr>
            </w:pPr>
            <w:r>
              <w:rPr>
                <w:noProof/>
              </w:rPr>
              <w:t>T</w:t>
            </w:r>
          </w:p>
        </w:tc>
        <w:tc>
          <w:tcPr>
            <w:tcW w:w="2977" w:type="dxa"/>
            <w:shd w:val="clear" w:color="auto" w:fill="C6EFCE"/>
            <w:noWrap/>
          </w:tcPr>
          <w:p w14:paraId="3952DC11" w14:textId="77777777" w:rsidR="000E48CE" w:rsidRDefault="00FF4C4E">
            <w:pPr>
              <w:pStyle w:val="P68B1DB1-Normal13"/>
              <w:spacing w:after="0" w:line="240" w:lineRule="auto"/>
              <w:rPr>
                <w:rFonts w:cs="Times New Roman"/>
                <w:noProof/>
              </w:rPr>
            </w:pPr>
            <w:r>
              <w:rPr>
                <w:noProof/>
              </w:rPr>
              <w:t xml:space="preserve">Uusiutuvan energian tuotantokapasiteetin lisääminen </w:t>
            </w:r>
            <w:r>
              <w:rPr>
                <w:noProof/>
              </w:rPr>
              <w:t>saarilla</w:t>
            </w:r>
          </w:p>
        </w:tc>
        <w:tc>
          <w:tcPr>
            <w:tcW w:w="1276" w:type="dxa"/>
            <w:shd w:val="clear" w:color="auto" w:fill="C6EFCE"/>
            <w:noWrap/>
          </w:tcPr>
          <w:p w14:paraId="41ED30F3"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5B82470B" w14:textId="77777777" w:rsidR="000E48CE" w:rsidRDefault="00FF4C4E">
            <w:pPr>
              <w:pStyle w:val="P68B1DB1-Normal13"/>
              <w:spacing w:after="0" w:line="240" w:lineRule="auto"/>
              <w:jc w:val="center"/>
              <w:rPr>
                <w:rFonts w:cs="Times New Roman"/>
                <w:noProof/>
              </w:rPr>
            </w:pPr>
            <w:r>
              <w:rPr>
                <w:noProof/>
              </w:rPr>
              <w:t>Lukumäärä (MW)</w:t>
            </w:r>
          </w:p>
        </w:tc>
        <w:tc>
          <w:tcPr>
            <w:tcW w:w="709" w:type="dxa"/>
            <w:shd w:val="clear" w:color="auto" w:fill="C6EFCE"/>
            <w:noWrap/>
          </w:tcPr>
          <w:p w14:paraId="34349761" w14:textId="77777777" w:rsidR="000E48CE" w:rsidRDefault="00FF4C4E">
            <w:pPr>
              <w:pStyle w:val="P68B1DB1-Normal13"/>
              <w:spacing w:after="0" w:line="240" w:lineRule="auto"/>
              <w:jc w:val="center"/>
              <w:rPr>
                <w:rFonts w:cs="Times New Roman"/>
                <w:noProof/>
              </w:rPr>
            </w:pPr>
            <w:r>
              <w:rPr>
                <w:noProof/>
              </w:rPr>
              <w:t>0</w:t>
            </w:r>
          </w:p>
        </w:tc>
        <w:tc>
          <w:tcPr>
            <w:tcW w:w="737" w:type="dxa"/>
            <w:shd w:val="clear" w:color="auto" w:fill="C6EFCE"/>
            <w:noWrap/>
          </w:tcPr>
          <w:p w14:paraId="6F789D83" w14:textId="77777777" w:rsidR="000E48CE" w:rsidRDefault="00FF4C4E">
            <w:pPr>
              <w:pStyle w:val="P68B1DB1-Normal13"/>
              <w:spacing w:after="0" w:line="240" w:lineRule="auto"/>
              <w:jc w:val="center"/>
              <w:rPr>
                <w:rFonts w:cs="Times New Roman"/>
                <w:noProof/>
              </w:rPr>
            </w:pPr>
            <w:r>
              <w:rPr>
                <w:noProof/>
              </w:rPr>
              <w:t>180</w:t>
            </w:r>
          </w:p>
        </w:tc>
        <w:tc>
          <w:tcPr>
            <w:tcW w:w="567" w:type="dxa"/>
            <w:shd w:val="clear" w:color="auto" w:fill="C6EFCE"/>
            <w:noWrap/>
          </w:tcPr>
          <w:p w14:paraId="3D331C6C"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18AFB481" w14:textId="77777777" w:rsidR="000E48CE" w:rsidRDefault="00FF4C4E">
            <w:pPr>
              <w:pStyle w:val="P68B1DB1-Normal13"/>
              <w:spacing w:after="0" w:line="240" w:lineRule="auto"/>
              <w:jc w:val="center"/>
              <w:rPr>
                <w:rFonts w:cs="Times New Roman"/>
                <w:noProof/>
              </w:rPr>
            </w:pPr>
            <w:r>
              <w:rPr>
                <w:noProof/>
              </w:rPr>
              <w:t>2026</w:t>
            </w:r>
          </w:p>
        </w:tc>
        <w:tc>
          <w:tcPr>
            <w:tcW w:w="5217" w:type="dxa"/>
            <w:shd w:val="clear" w:color="auto" w:fill="C6EFCE"/>
            <w:noWrap/>
          </w:tcPr>
          <w:p w14:paraId="52E5D44E" w14:textId="77777777" w:rsidR="000E48CE" w:rsidRDefault="00FF4C4E">
            <w:pPr>
              <w:pStyle w:val="P68B1DB1-Normal13"/>
              <w:spacing w:after="0" w:line="240" w:lineRule="auto"/>
              <w:rPr>
                <w:rFonts w:cs="Times New Roman"/>
                <w:noProof/>
              </w:rPr>
            </w:pPr>
            <w:r>
              <w:rPr>
                <w:noProof/>
              </w:rPr>
              <w:t>Uusiutuvan energian kumulatiivinen lisätuotantokapasiteetti, joka hankitaan uusiutuvan energian kapasiteettia koskevilla tarjouskilpailuilla saarilla (asennettu vähintään 180 MW).</w:t>
            </w:r>
          </w:p>
        </w:tc>
      </w:tr>
    </w:tbl>
    <w:p w14:paraId="3041E394" w14:textId="77777777" w:rsidR="000E48CE" w:rsidRDefault="000E48CE">
      <w:pPr>
        <w:spacing w:before="120" w:after="120" w:line="240" w:lineRule="auto"/>
        <w:ind w:left="709"/>
        <w:jc w:val="both"/>
        <w:rPr>
          <w:rFonts w:ascii="Times New Roman" w:hAnsi="Times New Roman" w:cs="Times New Roman"/>
          <w:noProof/>
          <w:sz w:val="24"/>
        </w:rPr>
      </w:pPr>
    </w:p>
    <w:p w14:paraId="722B00AE" w14:textId="77777777" w:rsidR="000E48CE" w:rsidRDefault="000E48CE">
      <w:pPr>
        <w:spacing w:before="120" w:after="120" w:line="240" w:lineRule="auto"/>
        <w:jc w:val="both"/>
        <w:rPr>
          <w:rFonts w:ascii="Times New Roman" w:hAnsi="Times New Roman" w:cs="Times New Roman"/>
          <w:noProof/>
          <w:sz w:val="24"/>
        </w:rPr>
        <w:sectPr w:rsidR="000E48CE" w:rsidSect="00EB7CC8">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417" w:right="1134" w:bottom="1417" w:left="1134" w:header="709" w:footer="709" w:gutter="0"/>
          <w:cols w:space="720"/>
          <w:docGrid w:linePitch="360"/>
        </w:sectPr>
      </w:pPr>
    </w:p>
    <w:p w14:paraId="64C6AC05" w14:textId="3D0D717F" w:rsidR="000E48CE" w:rsidRDefault="00FF4C4E">
      <w:pPr>
        <w:pStyle w:val="P68B1DB1-Heading12"/>
        <w:rPr>
          <w:rFonts w:cs="Times New Roman"/>
          <w:noProof/>
        </w:rPr>
      </w:pPr>
      <w:r>
        <w:rPr>
          <w:noProof/>
        </w:rPr>
        <w:t xml:space="preserve">H. OSA 8: </w:t>
      </w:r>
      <w:bookmarkStart w:id="16" w:name="_Hlk145336475"/>
      <w:r>
        <w:rPr>
          <w:noProof/>
        </w:rPr>
        <w:t>Sähköinfrastruktuuri, älykkäät verkot sekä jouston ja varastoinnin käyttöönotto</w:t>
      </w:r>
      <w:bookmarkEnd w:id="16"/>
    </w:p>
    <w:p w14:paraId="4E865145" w14:textId="77777777" w:rsidR="000E48CE" w:rsidRDefault="00FF4C4E">
      <w:pPr>
        <w:pStyle w:val="P68B1DB1-Normal4"/>
        <w:keepNext/>
        <w:spacing w:before="120" w:after="120" w:line="240" w:lineRule="auto"/>
        <w:jc w:val="both"/>
        <w:rPr>
          <w:rFonts w:cs="Times New Roman"/>
          <w:noProof/>
        </w:rPr>
      </w:pPr>
      <w:r>
        <w:rPr>
          <w:noProof/>
        </w:rPr>
        <w:t>Espanjan kansallisen energia- ja ilmastosuunnitelman tavoitteena on, että uusiutuvan energian osuus energian loppukulutuksesta on 42 prosent</w:t>
      </w:r>
      <w:r>
        <w:rPr>
          <w:noProof/>
        </w:rPr>
        <w:t>tia vuoteen 2030 mennessä. Kasvava määrä uusiutuviin energialähteisiin perustuvaa sähköntuotantoa (jonka ennustetaan kasvavan 74 prosenttiin kysynnästä vuonna 2030 ja 100 prosenttiin vuoteen 2050 mennessä) edellyttää useita täydentäviä investointeja verkon</w:t>
      </w:r>
      <w:r>
        <w:rPr>
          <w:noProof/>
        </w:rPr>
        <w:t xml:space="preserve"> digitalisointiin, varastointiin ja kysynnän hallintaan. Erityisesti uusiutuviin energialähteisiin perustuvien teknologioiden ajoittaisuus ja osittainen ennustettavuus merkitsevät sitä, että energian varastoinnilla on tärkeä rooli järjestelmän joustavuuden</w:t>
      </w:r>
      <w:r>
        <w:rPr>
          <w:noProof/>
        </w:rPr>
        <w:t xml:space="preserve"> lisäämisessä ja verkon vakauden varmistamisessa.</w:t>
      </w:r>
    </w:p>
    <w:p w14:paraId="653B21B3" w14:textId="77777777" w:rsidR="000E48CE" w:rsidRDefault="00FF4C4E">
      <w:pPr>
        <w:pStyle w:val="P68B1DB1-Normal4"/>
        <w:keepNext/>
        <w:spacing w:before="120" w:after="120" w:line="240" w:lineRule="auto"/>
        <w:jc w:val="both"/>
        <w:rPr>
          <w:rFonts w:cs="Times New Roman"/>
          <w:noProof/>
        </w:rPr>
      </w:pPr>
      <w:r>
        <w:rPr>
          <w:noProof/>
        </w:rPr>
        <w:t xml:space="preserve">Tässä yhteydessä Espanjan elpymis- ja palautumissuunnitelman tällä osa-alueella on seuraavat tavoitteet: </w:t>
      </w:r>
    </w:p>
    <w:p w14:paraId="10E22E4B" w14:textId="77777777" w:rsidR="000E48CE" w:rsidRDefault="00FF4C4E">
      <w:pPr>
        <w:pStyle w:val="P68B1DB1-Normal4"/>
        <w:keepNext/>
        <w:numPr>
          <w:ilvl w:val="0"/>
          <w:numId w:val="100"/>
        </w:numPr>
        <w:spacing w:before="120" w:after="120" w:line="240" w:lineRule="auto"/>
        <w:jc w:val="both"/>
        <w:rPr>
          <w:rFonts w:cs="Times New Roman"/>
          <w:noProof/>
        </w:rPr>
      </w:pPr>
      <w:r>
        <w:rPr>
          <w:noProof/>
        </w:rPr>
        <w:t>Sellaisen joustavamman, hajautetumman ja dynaamisemman energiajärjestelmän kehittäminen, joka pystyy</w:t>
      </w:r>
      <w:r>
        <w:rPr>
          <w:noProof/>
        </w:rPr>
        <w:t xml:space="preserve"> tehokkaasti ja turvallisesti ottamaan vastaan enemmän uusiutuvan energian tuotantoa;</w:t>
      </w:r>
    </w:p>
    <w:p w14:paraId="26A47C0B" w14:textId="77777777" w:rsidR="000E48CE" w:rsidRDefault="00FF4C4E">
      <w:pPr>
        <w:pStyle w:val="P68B1DB1-Normal4"/>
        <w:keepNext/>
        <w:numPr>
          <w:ilvl w:val="0"/>
          <w:numId w:val="100"/>
        </w:numPr>
        <w:spacing w:before="120" w:after="120" w:line="240" w:lineRule="auto"/>
        <w:jc w:val="both"/>
        <w:rPr>
          <w:rFonts w:cs="Times New Roman"/>
          <w:noProof/>
        </w:rPr>
      </w:pPr>
      <w:r>
        <w:rPr>
          <w:noProof/>
        </w:rPr>
        <w:t xml:space="preserve">Uusien innovatiivisten liiketoimintamallien kehittäminen; ja </w:t>
      </w:r>
    </w:p>
    <w:p w14:paraId="7F015B40" w14:textId="77777777" w:rsidR="000E48CE" w:rsidRDefault="00FF4C4E">
      <w:pPr>
        <w:pStyle w:val="P68B1DB1-Normal4"/>
        <w:keepNext/>
        <w:numPr>
          <w:ilvl w:val="0"/>
          <w:numId w:val="100"/>
        </w:numPr>
        <w:spacing w:before="120" w:after="120" w:line="240" w:lineRule="auto"/>
        <w:jc w:val="both"/>
        <w:rPr>
          <w:rFonts w:cs="Times New Roman"/>
          <w:noProof/>
        </w:rPr>
      </w:pPr>
      <w:r>
        <w:rPr>
          <w:noProof/>
        </w:rPr>
        <w:t>Sähköjärjestelmään osallistuvat uudet toimijat (tuottajat, toimittajat ja kuluttajat varastointilaitteistoje</w:t>
      </w:r>
      <w:r>
        <w:rPr>
          <w:noProof/>
        </w:rPr>
        <w:t>n haltijoiden ja yhteenliittymien lisäksi) ja joustavampi sääntelykehys, joka pystyy mukautumaan uusiin tarpeisiin sääntelyn testiympäristöjen avulla.</w:t>
      </w:r>
    </w:p>
    <w:p w14:paraId="7293DEB4" w14:textId="77777777" w:rsidR="000E48CE" w:rsidRDefault="00FF4C4E">
      <w:pPr>
        <w:pStyle w:val="P68B1DB1-Normal4"/>
        <w:spacing w:before="120" w:after="120" w:line="240" w:lineRule="auto"/>
        <w:jc w:val="both"/>
        <w:rPr>
          <w:rFonts w:cs="Times New Roman"/>
          <w:noProof/>
        </w:rPr>
      </w:pPr>
      <w:r>
        <w:rPr>
          <w:noProof/>
        </w:rPr>
        <w:t>Komponentilla edistetään investointeja innovointiin ja energiatehokkuuteen ja kannustetaan ottamaan käytt</w:t>
      </w:r>
      <w:r>
        <w:rPr>
          <w:noProof/>
        </w:rPr>
        <w:t>öön tehokkaita politiikkoja innovoinnin edistämiseksi (maakohtainen suositus 3 2019). Sillä edistetään myös julkisia ja yksityisiä investointeja ja vihreää siirtymää (maakohtainen suositus 3 2020).</w:t>
      </w:r>
    </w:p>
    <w:p w14:paraId="721469DA" w14:textId="77777777" w:rsidR="000E48CE" w:rsidRDefault="00FF4C4E">
      <w:pPr>
        <w:pStyle w:val="P68B1DB1-Normal4"/>
        <w:spacing w:before="120" w:after="120" w:line="240" w:lineRule="auto"/>
        <w:jc w:val="both"/>
        <w:rPr>
          <w:rFonts w:cs="Times New Roman"/>
          <w:i/>
          <w:noProof/>
        </w:rPr>
      </w:pPr>
      <w:r>
        <w:rPr>
          <w:noProof/>
        </w:rPr>
        <w:t>Minkään tämän komponentin toimenpiteen ei odoteta aiheutta</w:t>
      </w:r>
      <w:r>
        <w:rPr>
          <w:noProof/>
        </w:rPr>
        <w:t>van asetuksen (EU) 2020/852 17 artiklassa tarkoitettua merkittävää haittaa ympäristötavoitteille, kun otetaan huomioon ”ei merkittävää haittaa” -periaatteen soveltamista koskevien teknisten ohjeiden (2021/C58/01) mukaiset elpymis- ja palautumissuunnitelmas</w:t>
      </w:r>
      <w:r>
        <w:rPr>
          <w:noProof/>
        </w:rPr>
        <w:t xml:space="preserve">sa esitettyjen toimenpiteiden kuvaus ja lieventävät toimet. </w:t>
      </w:r>
    </w:p>
    <w:p w14:paraId="2EAC6488" w14:textId="77777777" w:rsidR="000E48CE" w:rsidRDefault="00FF4C4E">
      <w:pPr>
        <w:pStyle w:val="P68B1DB1-Normal5"/>
        <w:spacing w:before="120" w:after="120" w:line="240" w:lineRule="auto"/>
        <w:ind w:left="709"/>
        <w:jc w:val="both"/>
        <w:rPr>
          <w:rFonts w:cs="Times New Roman"/>
          <w:i/>
          <w:noProof/>
        </w:rPr>
      </w:pPr>
      <w:r>
        <w:rPr>
          <w:noProof/>
        </w:rPr>
        <w:t xml:space="preserve">H.1. </w:t>
      </w:r>
      <w:r>
        <w:rPr>
          <w:noProof/>
        </w:rPr>
        <w:tab/>
        <w:t>Kuvaus uudistuksista ja investoinneista, joita rahoitetaan rahoitustuella, jota ei makseta takaisin</w:t>
      </w:r>
    </w:p>
    <w:p w14:paraId="39594D0D" w14:textId="77777777" w:rsidR="000E48CE" w:rsidRDefault="00FF4C4E">
      <w:pPr>
        <w:pStyle w:val="P68B1DB1-Normal6"/>
        <w:spacing w:before="120" w:after="120" w:line="240" w:lineRule="auto"/>
        <w:jc w:val="both"/>
        <w:rPr>
          <w:rFonts w:cs="Times New Roman"/>
          <w:noProof/>
        </w:rPr>
      </w:pPr>
      <w:r>
        <w:rPr>
          <w:noProof/>
        </w:rPr>
        <w:t xml:space="preserve">Uudistus 1 (C8.R1) – Mahdolliset puitteet uusiutuvien energialähteiden sisällyttämiselle </w:t>
      </w:r>
      <w:r>
        <w:rPr>
          <w:noProof/>
        </w:rPr>
        <w:t>energiajärjestelmään: verkot, varastointi ja infrastruktuuri</w:t>
      </w:r>
    </w:p>
    <w:p w14:paraId="104493A7" w14:textId="77777777" w:rsidR="000E48CE" w:rsidRDefault="00FF4C4E">
      <w:pPr>
        <w:pStyle w:val="P68B1DB1-Normal4"/>
        <w:spacing w:before="120" w:after="120" w:line="240" w:lineRule="auto"/>
        <w:jc w:val="both"/>
        <w:rPr>
          <w:rFonts w:cs="Times New Roman"/>
          <w:noProof/>
        </w:rPr>
      </w:pPr>
      <w:r>
        <w:rPr>
          <w:noProof/>
        </w:rPr>
        <w:t>Tämän toimenpiteen tavoitteena on luoda avoin ja vakaa sääntelykehys, joka luo varmuutta ja mahdollistaa uusiutuvien energialähteiden laajemman integroinnin energiajärjestelmään verkkoihin, varas</w:t>
      </w:r>
      <w:r>
        <w:rPr>
          <w:noProof/>
        </w:rPr>
        <w:t xml:space="preserve">tointiin ja infrastruktuuriin tehtävien investointien avulla. </w:t>
      </w:r>
    </w:p>
    <w:p w14:paraId="428D3EE8" w14:textId="77777777" w:rsidR="000E48CE" w:rsidRDefault="00FF4C4E">
      <w:pPr>
        <w:pStyle w:val="P68B1DB1-Normal4"/>
        <w:spacing w:before="120" w:after="120" w:line="240" w:lineRule="auto"/>
        <w:jc w:val="both"/>
        <w:rPr>
          <w:rFonts w:cs="Times New Roman"/>
          <w:noProof/>
        </w:rPr>
      </w:pPr>
      <w:r>
        <w:rPr>
          <w:noProof/>
        </w:rPr>
        <w:t>Uudistukseen on sisällyttävä vuoteen 2050 ulottuva hiilestä irtautumista koskeva pitkän aikavälin strategia, jäljempänä ’ELP 2050’. Strategian tavoitteena on luoda perusta strategiselle ja sään</w:t>
      </w:r>
      <w:r>
        <w:rPr>
          <w:noProof/>
        </w:rPr>
        <w:t>telykehykselle uusiutuvien energialähteiden tehokkaaksi integroimiseksi joustavaan ja älykkääseen energiajärjestelmään. ELP 2050 -aloitteen tavoitteita ovat muun muassa seuraavat: kasvihuonekaasupäästöjen vähentäminen 90 prosentilla vuoden 1990 tasosta (il</w:t>
      </w:r>
      <w:r>
        <w:rPr>
          <w:noProof/>
        </w:rPr>
        <w:t xml:space="preserve">mastoneutraalius); uusiutuvien energialähteiden osuus energian loppukulutuksesta on 97 prosenttia; ja c) 100-prosenttisesti uusiutuvista energialähteistä tuotettu sähköjärjestelmä. </w:t>
      </w:r>
    </w:p>
    <w:p w14:paraId="13ACBC4F"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w:t>
      </w:r>
      <w:r>
        <w:rPr>
          <w:noProof/>
        </w:rPr>
        <w:t xml:space="preserve">ä maaliskuuta 2021. </w:t>
      </w:r>
    </w:p>
    <w:p w14:paraId="5028F761" w14:textId="77777777" w:rsidR="000E48CE" w:rsidRDefault="00FF4C4E">
      <w:pPr>
        <w:pStyle w:val="P68B1DB1-Normal6"/>
        <w:spacing w:before="120" w:after="120" w:line="240" w:lineRule="auto"/>
        <w:jc w:val="both"/>
        <w:rPr>
          <w:rFonts w:cs="Times New Roman"/>
          <w:noProof/>
        </w:rPr>
      </w:pPr>
      <w:r>
        <w:rPr>
          <w:noProof/>
        </w:rPr>
        <w:t>Uudistus 2 (C8.R2) – Energian varastointistrategia ja energiavarastojen käyttöönottoa koskevan sääntelykehyksen mukauttaminen</w:t>
      </w:r>
    </w:p>
    <w:p w14:paraId="67A4C692" w14:textId="77777777" w:rsidR="000E48CE" w:rsidRDefault="00FF4C4E">
      <w:pPr>
        <w:pStyle w:val="P68B1DB1-Normal4"/>
        <w:spacing w:before="120" w:after="120" w:line="240" w:lineRule="auto"/>
        <w:jc w:val="both"/>
        <w:rPr>
          <w:rFonts w:cs="Times New Roman"/>
          <w:noProof/>
        </w:rPr>
      </w:pPr>
      <w:r>
        <w:rPr>
          <w:noProof/>
        </w:rPr>
        <w:t>Toimenpiteen tarkoituksena on kehittää, hyväksyä ja ottaa käyttöön sääntely- ja strategiakehys energian varastoinnin edistämiseksi. Uudistuksella luodaan tarvittavat puitteet C8.I1 ja C8.I3 kohdassa suunnitelluille investoinneille, jotka liittyvät energian</w:t>
      </w:r>
      <w:r>
        <w:rPr>
          <w:noProof/>
        </w:rPr>
        <w:t xml:space="preserve"> varastoinnin käyttöönottoon ja uusiin liiketoimintamalleihin energiasiirtymässä. </w:t>
      </w:r>
    </w:p>
    <w:p w14:paraId="7FBE421A" w14:textId="77777777" w:rsidR="000E48CE" w:rsidRDefault="00FF4C4E">
      <w:pPr>
        <w:pStyle w:val="P68B1DB1-Normal4"/>
        <w:spacing w:before="120" w:after="120" w:line="240" w:lineRule="auto"/>
        <w:jc w:val="both"/>
        <w:rPr>
          <w:rFonts w:cs="Times New Roman"/>
          <w:noProof/>
        </w:rPr>
      </w:pPr>
      <w:r>
        <w:rPr>
          <w:noProof/>
        </w:rPr>
        <w:t xml:space="preserve">Uudistukseen sisältyy Espanjan hallituksen hyväksyntä energian varastointistrategialle. Strategian tavoitteena on, että vuoteen 2030 mennessä on käytettävissä 20 gigawattia </w:t>
      </w:r>
      <w:r>
        <w:rPr>
          <w:noProof/>
        </w:rPr>
        <w:t xml:space="preserve">energian varastointia ja 30 gigawattia vuoteen 2050 mennessä. </w:t>
      </w:r>
    </w:p>
    <w:p w14:paraId="2D43E383" w14:textId="77777777" w:rsidR="000E48CE" w:rsidRDefault="00FF4C4E">
      <w:pPr>
        <w:pStyle w:val="P68B1DB1-Normal4"/>
        <w:spacing w:before="120" w:after="120" w:line="240" w:lineRule="auto"/>
        <w:jc w:val="both"/>
        <w:rPr>
          <w:rFonts w:cs="Times New Roman"/>
          <w:noProof/>
        </w:rPr>
      </w:pPr>
      <w:r>
        <w:rPr>
          <w:noProof/>
        </w:rPr>
        <w:t xml:space="preserve">Uudistukseen sisältyy kolme säädöstä ja asetusta: kuninkaallinen asetus 1183/2020 varastojen verkkoon pääsyn sääntelemisestä; </w:t>
      </w:r>
      <w:r>
        <w:rPr>
          <w:i/>
          <w:noProof/>
        </w:rPr>
        <w:t>Comisión Nacional de los Mercados y la Competencia</w:t>
      </w:r>
      <w:r>
        <w:rPr>
          <w:noProof/>
        </w:rPr>
        <w:t>, yleiskirje 1/20</w:t>
      </w:r>
      <w:r>
        <w:rPr>
          <w:noProof/>
        </w:rPr>
        <w:t xml:space="preserve">21, jossa vahvistetaan sähköntuotantolaitosten siirto- ja jakeluverkkoihin pääsyä ja niihin liittämistä koskevat menetelmät ja edellytykset; </w:t>
      </w:r>
      <w:r>
        <w:rPr>
          <w:i/>
          <w:noProof/>
        </w:rPr>
        <w:t>Comisión Nacional de los Mercados y la Competencia</w:t>
      </w:r>
      <w:r>
        <w:rPr>
          <w:noProof/>
        </w:rPr>
        <w:t>, 10. joulukuuta 2020 annettu päätöslauselma, jossa säännellään e</w:t>
      </w:r>
      <w:r>
        <w:rPr>
          <w:noProof/>
        </w:rPr>
        <w:t xml:space="preserve">nergiavarastojen osallistumista lisäpalvelujen tarjoamiseen. </w:t>
      </w:r>
    </w:p>
    <w:p w14:paraId="76A0F24E"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30 päivänä kesäkuuta 2022.</w:t>
      </w:r>
    </w:p>
    <w:p w14:paraId="53FF3DAC" w14:textId="77777777" w:rsidR="000E48CE" w:rsidRDefault="00FF4C4E">
      <w:pPr>
        <w:pStyle w:val="P68B1DB1-Normal6"/>
        <w:spacing w:before="120" w:after="120" w:line="240" w:lineRule="auto"/>
        <w:jc w:val="both"/>
        <w:rPr>
          <w:rFonts w:cs="Times New Roman"/>
          <w:noProof/>
        </w:rPr>
      </w:pPr>
      <w:r>
        <w:rPr>
          <w:noProof/>
        </w:rPr>
        <w:t>Uudistus 3 (C8.R3) – Yhdistämis-, kysynnänhallinta- ja joustopalveluja koskevan sääntelykehyksen kehit</w:t>
      </w:r>
      <w:r>
        <w:rPr>
          <w:noProof/>
        </w:rPr>
        <w:t>täminen</w:t>
      </w:r>
    </w:p>
    <w:p w14:paraId="45CDEA6D" w14:textId="77777777" w:rsidR="000E48CE" w:rsidRDefault="00FF4C4E">
      <w:pPr>
        <w:pStyle w:val="P68B1DB1-Normal4"/>
        <w:spacing w:before="120" w:after="120" w:line="240" w:lineRule="auto"/>
        <w:jc w:val="both"/>
        <w:rPr>
          <w:rFonts w:cs="Times New Roman"/>
          <w:noProof/>
        </w:rPr>
      </w:pPr>
      <w:r>
        <w:rPr>
          <w:noProof/>
        </w:rPr>
        <w:t>Tämän toimenpiteen tavoitteena on kehittää sääntelykehys, jota tarvitaan älykkään ja dynaamisen energiajärjestelmän kehittämiseksi, mukaan lukien seuraavat: kysynnänhallinta- ja joustopalvelujen sääntely kansallisessa sääntelykehyksessä, ii) säänte</w:t>
      </w:r>
      <w:r>
        <w:rPr>
          <w:noProof/>
        </w:rPr>
        <w:t>lykehyksen kehittäminen erilaisten joustopalvelujen ottamiseksi huomioon ja iii) sellaisen kehyksen kehittäminen, jolla varmistetaan kuluttajien mahdollisuus saada energiankulutustietojaan.</w:t>
      </w:r>
    </w:p>
    <w:p w14:paraId="1353EC9D" w14:textId="77777777" w:rsidR="000E48CE" w:rsidRDefault="00FF4C4E">
      <w:pPr>
        <w:pStyle w:val="P68B1DB1-Normal4"/>
        <w:spacing w:before="120" w:after="120" w:line="240" w:lineRule="auto"/>
        <w:jc w:val="both"/>
        <w:rPr>
          <w:rFonts w:cs="Times New Roman"/>
          <w:noProof/>
        </w:rPr>
      </w:pPr>
      <w:r>
        <w:rPr>
          <w:noProof/>
        </w:rPr>
        <w:t>Uudistuksen on oltava linjassa kansallisen energia-alan ilmastosuu</w:t>
      </w:r>
      <w:r>
        <w:rPr>
          <w:noProof/>
        </w:rPr>
        <w:t>nnitelman kanssa, jossa nimenomaisesti tunnustetaan tarve määrittää uusiutuvista lähteistä peräisin olevaa energiaa tarjoavien toimijoiden, energiavarastojen haltijoiden ja kysyntäjoustopalveluja tarjoavien toimijoiden osallistumista koskevat tekniset vaat</w:t>
      </w:r>
      <w:r>
        <w:rPr>
          <w:noProof/>
        </w:rPr>
        <w:t xml:space="preserve">imukset nykyisille ja kehittyville markkinoille. </w:t>
      </w:r>
    </w:p>
    <w:p w14:paraId="5BF89605" w14:textId="77777777" w:rsidR="000E48CE" w:rsidRDefault="00FF4C4E">
      <w:pPr>
        <w:pStyle w:val="P68B1DB1-Normal4"/>
        <w:spacing w:before="120" w:after="120" w:line="240" w:lineRule="auto"/>
        <w:jc w:val="both"/>
        <w:rPr>
          <w:rFonts w:cs="Times New Roman"/>
          <w:noProof/>
        </w:rPr>
      </w:pPr>
      <w:r>
        <w:rPr>
          <w:noProof/>
        </w:rPr>
        <w:t>Kansallisessa ilmastosuunnitelmassa korostetaan myös tarvetta kehittää yhteenliittymien ja erityisesti riippumattomien aggregaattien asemaa, jotta helpotetaan niiden osallistumista markkinoille. Tätä varten</w:t>
      </w:r>
      <w:r>
        <w:rPr>
          <w:noProof/>
        </w:rPr>
        <w:t xml:space="preserve"> uudistuksessa on kaavailtava riippumattoman kysynnän aggregaattorin aseman luomista kuninkaan asetuksella 23/2020, jotta mahdollistetaan uusien toimijoiden tulo vähittäismarkkinoille. </w:t>
      </w:r>
    </w:p>
    <w:p w14:paraId="01ECDE59" w14:textId="77777777" w:rsidR="000E48CE" w:rsidRDefault="00FF4C4E">
      <w:pPr>
        <w:pStyle w:val="P68B1DB1-Normal4"/>
        <w:spacing w:before="120" w:after="120" w:line="240" w:lineRule="auto"/>
        <w:jc w:val="both"/>
        <w:rPr>
          <w:rFonts w:cs="Times New Roman"/>
          <w:noProof/>
        </w:rPr>
      </w:pPr>
      <w:r>
        <w:rPr>
          <w:noProof/>
        </w:rPr>
        <w:t>Sen lisäksi, että uudistuksella tuetaan kansallista energia-alan ilmas</w:t>
      </w:r>
      <w:r>
        <w:rPr>
          <w:noProof/>
        </w:rPr>
        <w:t>tosuunnitelmaa, sillä saatetaan osaksi kansallista lainsäädäntöä sähkön sisämarkkinoita koskevista yhteisistä säännöistä 5 päivänä kesäkuuta 2019 annettu Euroopan parlamentin ja neuvoston direktiivi (EU) 2019/944, jossa säädetään velvollisuudesta varmistaa</w:t>
      </w:r>
      <w:r>
        <w:rPr>
          <w:noProof/>
        </w:rPr>
        <w:t xml:space="preserve"> kuluttajien osallistuminen markkinoille muun muassa kysyntäjouston avulla, edistää kuluttajien osallistumista yksilöllisesti tai aggregoidusti tai riippumattomien yhteenliittymien kautta ja sallia joustavuuden käyttö jakeluverkoissa.</w:t>
      </w:r>
    </w:p>
    <w:p w14:paraId="353C40D9" w14:textId="77777777" w:rsidR="000E48CE" w:rsidRDefault="00FF4C4E">
      <w:pPr>
        <w:pStyle w:val="P68B1DB1-Normal4"/>
        <w:spacing w:before="120" w:after="120" w:line="240" w:lineRule="auto"/>
        <w:jc w:val="both"/>
        <w:rPr>
          <w:rFonts w:cs="Times New Roman"/>
          <w:noProof/>
        </w:rPr>
      </w:pPr>
      <w:r>
        <w:rPr>
          <w:noProof/>
        </w:rPr>
        <w:t>Toimenpiteen täytäntö</w:t>
      </w:r>
      <w:r>
        <w:rPr>
          <w:noProof/>
        </w:rPr>
        <w:t xml:space="preserve">önpano on saatettava päätökseen viimeistään 31 päivänä joulukuuta 2023. </w:t>
      </w:r>
    </w:p>
    <w:p w14:paraId="650094B5" w14:textId="77777777" w:rsidR="000E48CE" w:rsidRDefault="00FF4C4E">
      <w:pPr>
        <w:pStyle w:val="P68B1DB1-Normal4"/>
        <w:spacing w:before="120" w:after="120" w:line="240" w:lineRule="auto"/>
        <w:jc w:val="both"/>
        <w:rPr>
          <w:rFonts w:eastAsia="Symbol" w:cs="Times New Roman"/>
          <w:noProof/>
          <w:u w:val="single"/>
        </w:rPr>
      </w:pPr>
      <w:r>
        <w:rPr>
          <w:noProof/>
          <w:u w:val="single"/>
        </w:rPr>
        <w:t>Uudistus 4 (C8.R4) – Sääntelyn testiympäristöt tai testausalustat</w:t>
      </w:r>
      <w:r>
        <w:rPr>
          <w:noProof/>
        </w:rPr>
        <w:t> </w:t>
      </w:r>
    </w:p>
    <w:p w14:paraId="712416A3" w14:textId="77777777" w:rsidR="000E48CE" w:rsidRDefault="00FF4C4E">
      <w:pPr>
        <w:pStyle w:val="P68B1DB1-Normal4"/>
        <w:spacing w:before="120" w:after="120" w:line="240" w:lineRule="auto"/>
        <w:jc w:val="both"/>
        <w:rPr>
          <w:rFonts w:cs="Times New Roman"/>
          <w:noProof/>
        </w:rPr>
      </w:pPr>
      <w:r>
        <w:rPr>
          <w:noProof/>
        </w:rPr>
        <w:t>Tämän toimenpiteen tarkoituksena on kehittää kansalliseen sääntelykehykseen sääntelyllisiä testausympäristöjä (testi</w:t>
      </w:r>
      <w:r>
        <w:rPr>
          <w:noProof/>
        </w:rPr>
        <w:t>laatikoita), jotka mahdollistavat uusien tuotteiden tai teknologisten ratkaisujen, poikkeusten tai sääntelytakeiden käyttöönoton energia-alan tutkimuksen ja innovoinnin helpottamiseksi. Uudistus liittyy suoraan C8.R3-uudistukseen ja investointiin C8.I3.</w:t>
      </w:r>
    </w:p>
    <w:p w14:paraId="06ED5FA6" w14:textId="77777777" w:rsidR="000E48CE" w:rsidRDefault="00FF4C4E">
      <w:pPr>
        <w:pStyle w:val="P68B1DB1-Normal4"/>
        <w:spacing w:before="120" w:after="120" w:line="240" w:lineRule="auto"/>
        <w:jc w:val="both"/>
        <w:rPr>
          <w:rFonts w:cs="Times New Roman"/>
          <w:noProof/>
        </w:rPr>
      </w:pPr>
      <w:r>
        <w:rPr>
          <w:noProof/>
        </w:rPr>
        <w:t>Sä</w:t>
      </w:r>
      <w:r>
        <w:rPr>
          <w:noProof/>
        </w:rPr>
        <w:t>äntelyn testiympäristöjen on mahdollistettava se, että teollisuus voi testata joustoon, kysyntäjoustoon ja energian varastointiin liittyviä uusia teknologioita, järjestelmiä ja palveluja turvallisessa ympäristössä, jossa asianomaiset osapuolet voivat kokea</w:t>
      </w:r>
      <w:r>
        <w:rPr>
          <w:noProof/>
        </w:rPr>
        <w:t xml:space="preserve"> innovatiivisia ratkaisuja ilman, että niihin sovelletaan sääntelyvaatimuksia. Lisäksi testiympäristöjen on mahdollistettava hallinnon ja sääntelyviranomaisen välinen kaksisuuntainen sääntelyvuoropuhelu, jolla nopeutetaan ja helpotetaan voimassa olevien sä</w:t>
      </w:r>
      <w:r>
        <w:rPr>
          <w:noProof/>
        </w:rPr>
        <w:t>ännösten tarkistamista ja mukautetaan niitä uusien toimijoiden markkinoille tuloon. Tämän odotetaan helpottavan teknologia-alan startup-yritysten perustamista antamalla niille mahdollisuuden testata liiketoimintamallejaan.</w:t>
      </w:r>
    </w:p>
    <w:p w14:paraId="0526FDD2" w14:textId="77777777" w:rsidR="000E48CE" w:rsidRDefault="00FF4C4E">
      <w:pPr>
        <w:pStyle w:val="P68B1DB1-Normal4"/>
        <w:spacing w:before="120" w:after="120" w:line="240" w:lineRule="auto"/>
        <w:jc w:val="both"/>
        <w:rPr>
          <w:rFonts w:cs="Times New Roman"/>
          <w:noProof/>
        </w:rPr>
      </w:pPr>
      <w:r>
        <w:rPr>
          <w:noProof/>
        </w:rPr>
        <w:t>Uudistukseen sisältyy sääntelyn t</w:t>
      </w:r>
      <w:r>
        <w:rPr>
          <w:noProof/>
        </w:rPr>
        <w:t>estiympäristöjen kehittämistä koskevan kuninkaallisen asetuksen antaminen uusien pilottihankkeiden kehittämiseksi sähköalan tutkimuksen ja innovoinnin edistämiseksi.</w:t>
      </w:r>
    </w:p>
    <w:p w14:paraId="16B67689"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30 päivänä kesäkuuta 2023</w:t>
      </w:r>
      <w:r>
        <w:rPr>
          <w:noProof/>
        </w:rPr>
        <w:t xml:space="preserve">. </w:t>
      </w:r>
    </w:p>
    <w:p w14:paraId="39E4FD33" w14:textId="77777777" w:rsidR="000E48CE" w:rsidRDefault="00FF4C4E">
      <w:pPr>
        <w:pStyle w:val="P68B1DB1-Normal6"/>
        <w:spacing w:before="120" w:after="120" w:line="240" w:lineRule="auto"/>
        <w:jc w:val="both"/>
        <w:rPr>
          <w:rFonts w:eastAsia="Symbol" w:cs="Times New Roman"/>
          <w:noProof/>
        </w:rPr>
      </w:pPr>
      <w:r>
        <w:rPr>
          <w:noProof/>
        </w:rPr>
        <w:t xml:space="preserve">Investointi 1 (C8.I1) – Energian varastoinnin </w:t>
      </w:r>
      <w:bookmarkStart w:id="17" w:name="_Hlk145336439"/>
      <w:r>
        <w:rPr>
          <w:noProof/>
        </w:rPr>
        <w:t>käyttöönotto</w:t>
      </w:r>
      <w:bookmarkEnd w:id="17"/>
    </w:p>
    <w:p w14:paraId="1A040E87" w14:textId="230A0032" w:rsidR="000E48CE" w:rsidRDefault="00FF4C4E">
      <w:pPr>
        <w:pStyle w:val="P68B1DB1-Normal4"/>
        <w:spacing w:before="120" w:after="120" w:line="240" w:lineRule="auto"/>
        <w:jc w:val="both"/>
        <w:rPr>
          <w:rFonts w:eastAsia="Symbol" w:cs="Times New Roman"/>
          <w:noProof/>
        </w:rPr>
      </w:pPr>
      <w:r>
        <w:rPr>
          <w:noProof/>
        </w:rPr>
        <w:t>Tämän toimenpiteen tavoitteena on ottaa käyttöön energian varastointi käynnistämällä tuki- ja investointialoitteita kahdella keskeisellä alalla:</w:t>
      </w:r>
    </w:p>
    <w:p w14:paraId="3E2CB41E" w14:textId="092067C9" w:rsidR="000E48CE" w:rsidRDefault="00FF4C4E">
      <w:pPr>
        <w:pStyle w:val="P68B1DB1-Normal4"/>
        <w:numPr>
          <w:ilvl w:val="0"/>
          <w:numId w:val="102"/>
        </w:numPr>
        <w:spacing w:before="120" w:after="160" w:line="259" w:lineRule="auto"/>
        <w:ind w:left="426" w:hanging="426"/>
        <w:contextualSpacing/>
        <w:jc w:val="both"/>
        <w:rPr>
          <w:rFonts w:eastAsia="Symbol" w:cs="Times New Roman"/>
          <w:noProof/>
        </w:rPr>
      </w:pPr>
      <w:r>
        <w:rPr>
          <w:noProof/>
        </w:rPr>
        <w:t>Laajamittaisen varastoinnin kehittäminen. Laajami</w:t>
      </w:r>
      <w:r>
        <w:rPr>
          <w:noProof/>
        </w:rPr>
        <w:t>ttainen varastointi on tarpeen uusiutuvan energian tuotannon lisäämiseksi ja palvelujen tarjoamiseksi järjestelmälle taajuuden sääntelystä, asematasotuesta (joustavuus) tai pimeästä käynnistymisestä. ja</w:t>
      </w:r>
    </w:p>
    <w:p w14:paraId="633A868D" w14:textId="51B64F63" w:rsidR="000E48CE" w:rsidRDefault="00FF4C4E">
      <w:pPr>
        <w:pStyle w:val="P68B1DB1-Normal4"/>
        <w:numPr>
          <w:ilvl w:val="0"/>
          <w:numId w:val="102"/>
        </w:numPr>
        <w:spacing w:before="120" w:after="160" w:line="259" w:lineRule="auto"/>
        <w:ind w:left="426" w:hanging="426"/>
        <w:contextualSpacing/>
        <w:jc w:val="both"/>
        <w:rPr>
          <w:rFonts w:eastAsia="Symbol" w:cs="Times New Roman"/>
          <w:noProof/>
        </w:rPr>
      </w:pPr>
      <w:r>
        <w:rPr>
          <w:noProof/>
        </w:rPr>
        <w:t>Edistetään varastointia mittarin takana ja integroitu</w:t>
      </w:r>
      <w:r>
        <w:rPr>
          <w:noProof/>
        </w:rPr>
        <w:t xml:space="preserve"> alakohtaisesti. Mittarin taustalla olevia teknologioita voivat olla omat kulutuslaitokset, litiumakut ja lämmönvarastointijärjestelmät. </w:t>
      </w:r>
    </w:p>
    <w:p w14:paraId="26F518F8" w14:textId="77777777" w:rsidR="000E48CE" w:rsidRDefault="00FF4C4E">
      <w:pPr>
        <w:pStyle w:val="P68B1DB1-Normal4"/>
        <w:spacing w:before="120" w:after="120" w:line="240" w:lineRule="auto"/>
        <w:jc w:val="both"/>
        <w:rPr>
          <w:rFonts w:eastAsia="Symbol" w:cs="Times New Roman"/>
          <w:noProof/>
        </w:rPr>
      </w:pPr>
      <w:r>
        <w:rPr>
          <w:noProof/>
        </w:rPr>
        <w:t xml:space="preserve">Ehdotettuja investointeja tuetaan tämän osa-alueen uudistuksissa määritellyissä puitteissa, erityisesti uudistuksissa </w:t>
      </w:r>
      <w:r>
        <w:rPr>
          <w:noProof/>
        </w:rPr>
        <w:t>C8.R1 ja C8.R2, jotka muodostavat oikeudellisen ja strategisen perustan energian varastoinnin tehokkaalle käyttöönotolle.</w:t>
      </w:r>
    </w:p>
    <w:p w14:paraId="36426B1B" w14:textId="58213032" w:rsidR="000E48CE" w:rsidRDefault="00FF4C4E">
      <w:pPr>
        <w:pStyle w:val="P68B1DB1-Normal4"/>
        <w:spacing w:before="120" w:after="120" w:line="240" w:lineRule="auto"/>
        <w:jc w:val="both"/>
        <w:rPr>
          <w:rFonts w:eastAsia="Symbol" w:cs="Times New Roman"/>
          <w:noProof/>
        </w:rPr>
      </w:pPr>
      <w:r>
        <w:rPr>
          <w:noProof/>
        </w:rPr>
        <w:t>Toimenpide on toteutettava innovatiivisilla varastointihankkeilla, jotka edistävät energiakäännettä, erityisesti uuden joustavuuden ta</w:t>
      </w:r>
      <w:r>
        <w:rPr>
          <w:noProof/>
        </w:rPr>
        <w:t>rjoamiseksi energia-alalle, mukaan lukien uusiutuvien energialähteiden integrointi. Toiminnassa on oltava vähintään viisi innovatiivista varastointihanketta tai on asennettava vähintään 660 MW:n kokonaiskapasiteetti (tai vastaava kokonaisenergiahuolto (MWh</w:t>
      </w:r>
      <w:r>
        <w:rPr>
          <w:noProof/>
        </w:rPr>
        <w:t>).</w:t>
      </w:r>
    </w:p>
    <w:p w14:paraId="65A5BF43" w14:textId="77777777" w:rsidR="000E48CE" w:rsidRDefault="00FF4C4E">
      <w:pPr>
        <w:pStyle w:val="P68B1DB1-Normal4"/>
        <w:spacing w:before="120" w:after="120" w:line="240" w:lineRule="auto"/>
        <w:jc w:val="both"/>
        <w:rPr>
          <w:rFonts w:eastAsia="Symbol" w:cs="Times New Roman"/>
          <w:noProof/>
        </w:rPr>
      </w:pPr>
      <w:r>
        <w:rPr>
          <w:noProof/>
        </w:rPr>
        <w:t xml:space="preserve">Investoinnin toteutus saatetaan päätökseen viimeistään 30. kesäkuuta 2026.   </w:t>
      </w:r>
    </w:p>
    <w:p w14:paraId="16F7D81D" w14:textId="77777777" w:rsidR="000E48CE" w:rsidRDefault="00FF4C4E">
      <w:pPr>
        <w:pStyle w:val="P68B1DB1-Normal6"/>
        <w:spacing w:before="120" w:after="120" w:line="240" w:lineRule="auto"/>
        <w:jc w:val="both"/>
        <w:rPr>
          <w:rFonts w:eastAsia="Symbol" w:cs="Times New Roman"/>
          <w:noProof/>
        </w:rPr>
      </w:pPr>
      <w:r>
        <w:rPr>
          <w:noProof/>
        </w:rPr>
        <w:t>Investointi 2 (C8.I2) – Verkkojen digitalisointi</w:t>
      </w:r>
    </w:p>
    <w:p w14:paraId="49080D56" w14:textId="77777777" w:rsidR="000E48CE" w:rsidRDefault="00FF4C4E">
      <w:pPr>
        <w:pStyle w:val="P68B1DB1-Normal4"/>
        <w:spacing w:before="120" w:after="120" w:line="240" w:lineRule="auto"/>
        <w:jc w:val="both"/>
        <w:rPr>
          <w:rFonts w:eastAsiaTheme="minorEastAsia" w:cs="Times New Roman"/>
          <w:noProof/>
        </w:rPr>
      </w:pPr>
      <w:r>
        <w:rPr>
          <w:noProof/>
        </w:rPr>
        <w:t xml:space="preserve">Tällä toimenpiteellä tuetaan investointeja, jotka liittyvät jakeluverkkojen digitalisointiin ja joiden tavoitteena on saattaa </w:t>
      </w:r>
      <w:r>
        <w:rPr>
          <w:noProof/>
        </w:rPr>
        <w:t>ne energiasiirtymän toteuttamisen edellyttämien vaatimusten mukaisiksi. Sähköverkkojen digitalisoinnin tarve on osa sähkön sisämarkkinoita koskevista yhteisistä säännöistä 5 päivänä kesäkuuta 2019 annettua Euroopan parlamentin ja neuvoston direktiiviä (EU)</w:t>
      </w:r>
      <w:r>
        <w:rPr>
          <w:noProof/>
        </w:rPr>
        <w:t xml:space="preserve"> 2019/944, jossa todetaan, että jäsenvaltioiden olisi kannustettava verkkojen nykyaikaistamiseen esimerkiksi ottamalla käyttöön älykkäitä verkkoja. Verkkojen digitalisointi on tarpeen, jotta voidaan edistää energiajärjestelmän muutosta, jossa on enemmän uu</w:t>
      </w:r>
      <w:r>
        <w:rPr>
          <w:noProof/>
        </w:rPr>
        <w:t xml:space="preserve">siutuvia energialähteitä, jotta voidaan luoda varma ja häiriönsietokykyinen sähköjärjestelmä. Se on erityisen tärkeää muilla kuin saarialueilla, joille on ominaista suurempi haavoittuvuus ja energiariippuvuus. </w:t>
      </w:r>
    </w:p>
    <w:p w14:paraId="72358A2A" w14:textId="77777777" w:rsidR="000E48CE" w:rsidRDefault="00FF4C4E">
      <w:pPr>
        <w:pStyle w:val="P68B1DB1-Normal4"/>
        <w:spacing w:before="120" w:after="120" w:line="240" w:lineRule="auto"/>
        <w:jc w:val="both"/>
        <w:rPr>
          <w:rFonts w:eastAsiaTheme="minorEastAsia" w:cs="Times New Roman"/>
          <w:noProof/>
        </w:rPr>
      </w:pPr>
      <w:r>
        <w:rPr>
          <w:noProof/>
        </w:rPr>
        <w:t>Toimenpiteen yleisenä tavoitteena on parantaa</w:t>
      </w:r>
      <w:r>
        <w:rPr>
          <w:noProof/>
        </w:rPr>
        <w:t xml:space="preserve"> sähkön kilpailukykyä ja nopeuttaa talouden sähköistämistä. Tätä varten toimenpiteessä on säädettävä alustavasta tukimekanismista, jolla maksimoidaan verkkojen digitalisoinnin tarjoamat mahdollisuudet seuraavin keinoin: vähennetään uusiutuvista energialäht</w:t>
      </w:r>
      <w:r>
        <w:rPr>
          <w:noProof/>
        </w:rPr>
        <w:t>eistä tuotetun energian hävikkiä ja vuotoja, ii) edistetään kysynnän osallistumista sähköjärjestelmän hallintaan ja iii) optimoidaan verkkokonfiguraatio.</w:t>
      </w:r>
    </w:p>
    <w:p w14:paraId="2CC15D25" w14:textId="77777777" w:rsidR="000E48CE" w:rsidRDefault="00FF4C4E">
      <w:pPr>
        <w:pStyle w:val="P68B1DB1-Normal4"/>
        <w:spacing w:before="120" w:after="120" w:line="240" w:lineRule="auto"/>
        <w:jc w:val="both"/>
        <w:rPr>
          <w:rFonts w:eastAsiaTheme="minorEastAsia" w:cs="Times New Roman"/>
          <w:noProof/>
        </w:rPr>
      </w:pPr>
      <w:r>
        <w:rPr>
          <w:noProof/>
        </w:rPr>
        <w:t>Toimenpiteeseen on sisällyttävä vähintään 35 innovatiivista digitointihanketta (älykäs sähkönjakelu) j</w:t>
      </w:r>
      <w:r>
        <w:rPr>
          <w:noProof/>
        </w:rPr>
        <w:t>akeluyrityksille.</w:t>
      </w:r>
    </w:p>
    <w:p w14:paraId="6BC816DA" w14:textId="77777777" w:rsidR="000E48CE" w:rsidRDefault="00FF4C4E">
      <w:pPr>
        <w:pStyle w:val="P68B1DB1-Normal4"/>
        <w:spacing w:before="120" w:after="120" w:line="240" w:lineRule="auto"/>
        <w:jc w:val="both"/>
        <w:rPr>
          <w:rFonts w:eastAsiaTheme="minorEastAsia" w:cs="Times New Roman"/>
          <w:noProof/>
        </w:rPr>
      </w:pPr>
      <w:r>
        <w:rPr>
          <w:noProof/>
        </w:rPr>
        <w:t xml:space="preserve">Investoinnin toteuttaminen on saatettava päätökseen 31 päivään joulukuuta 2023 mennessä.  </w:t>
      </w:r>
    </w:p>
    <w:p w14:paraId="2ACDB3D4" w14:textId="77777777" w:rsidR="000E48CE" w:rsidRDefault="00FF4C4E">
      <w:pPr>
        <w:pStyle w:val="P68B1DB1-Normal6"/>
        <w:keepNext/>
        <w:spacing w:before="120" w:after="120" w:line="240" w:lineRule="auto"/>
        <w:jc w:val="both"/>
        <w:rPr>
          <w:rFonts w:eastAsia="Symbol" w:cs="Times New Roman"/>
          <w:noProof/>
        </w:rPr>
      </w:pPr>
      <w:r>
        <w:rPr>
          <w:noProof/>
        </w:rPr>
        <w:t>Investointi 3 (C8.I3) – Energiasiirtymän uudet liiketoimintamallit</w:t>
      </w:r>
    </w:p>
    <w:p w14:paraId="6D6F38D9" w14:textId="77777777" w:rsidR="000E48CE" w:rsidRDefault="00FF4C4E">
      <w:pPr>
        <w:pStyle w:val="P68B1DB1-Normal4"/>
        <w:keepNext/>
        <w:spacing w:before="120" w:after="120" w:line="240" w:lineRule="auto"/>
        <w:jc w:val="both"/>
        <w:rPr>
          <w:rFonts w:eastAsia="Symbol" w:cs="Times New Roman"/>
          <w:noProof/>
        </w:rPr>
      </w:pPr>
      <w:r>
        <w:rPr>
          <w:noProof/>
        </w:rPr>
        <w:t>Tämän toimenpiteen on sisällettävä investointeja ja tukimekanismeja, joilla pyritään edistämään uusia liiketoimintamalleja energian varastoinnin käyttöönottoon sekä sen uusiokäytön hallintaan ja kierrätykseen, kysynnänhallintaan, aggregaattoreihin, joustop</w:t>
      </w:r>
      <w:r>
        <w:rPr>
          <w:noProof/>
        </w:rPr>
        <w:t xml:space="preserve">alveluihin, tietoihin pääsyyn ja testiympäristöihin. Toimenpiteen on sisällettävä erityisesti seuraavat: </w:t>
      </w:r>
    </w:p>
    <w:p w14:paraId="5C89B677" w14:textId="77777777" w:rsidR="000E48CE" w:rsidRDefault="00FF4C4E">
      <w:pPr>
        <w:pStyle w:val="P68B1DB1-Normal4"/>
        <w:numPr>
          <w:ilvl w:val="0"/>
          <w:numId w:val="101"/>
        </w:numPr>
        <w:spacing w:before="120" w:after="160" w:line="259" w:lineRule="auto"/>
        <w:ind w:left="426" w:hanging="426"/>
        <w:contextualSpacing/>
        <w:jc w:val="both"/>
        <w:rPr>
          <w:rFonts w:eastAsia="Symbol" w:cs="Times New Roman"/>
          <w:noProof/>
        </w:rPr>
      </w:pPr>
      <w:r>
        <w:rPr>
          <w:noProof/>
        </w:rPr>
        <w:t>Tuki aggregaattorien käyttöönotolle kansallisilla sähkömarkkinoilla keskittyen erityisesti riippumattomiin aggregaattoreihin asentamalla reaaliaikaisi</w:t>
      </w:r>
      <w:r>
        <w:rPr>
          <w:noProof/>
        </w:rPr>
        <w:t>a mittauslaitteita (käyttäjäkohtainen mittaaminen) ja ohjaus- ja viestintäkeskuksia sekä edistämällä yhdistämisalustoja;</w:t>
      </w:r>
    </w:p>
    <w:p w14:paraId="73FE182B" w14:textId="77777777" w:rsidR="000E48CE" w:rsidRDefault="00FF4C4E">
      <w:pPr>
        <w:pStyle w:val="P68B1DB1-Normal4"/>
        <w:numPr>
          <w:ilvl w:val="0"/>
          <w:numId w:val="101"/>
        </w:numPr>
        <w:spacing w:before="120" w:after="160" w:line="259" w:lineRule="auto"/>
        <w:ind w:left="426" w:hanging="426"/>
        <w:contextualSpacing/>
        <w:jc w:val="both"/>
        <w:rPr>
          <w:rFonts w:eastAsia="Symbol" w:cs="Times New Roman"/>
          <w:noProof/>
        </w:rPr>
      </w:pPr>
      <w:r>
        <w:rPr>
          <w:noProof/>
        </w:rPr>
        <w:t>Varastoinnin käyttöönotto koko arvoketjussa;</w:t>
      </w:r>
    </w:p>
    <w:p w14:paraId="7A574EA9" w14:textId="77777777" w:rsidR="000E48CE" w:rsidRDefault="00FF4C4E">
      <w:pPr>
        <w:pStyle w:val="P68B1DB1-Normal4"/>
        <w:numPr>
          <w:ilvl w:val="0"/>
          <w:numId w:val="101"/>
        </w:numPr>
        <w:spacing w:before="120" w:after="160" w:line="259" w:lineRule="auto"/>
        <w:ind w:left="426" w:hanging="426"/>
        <w:contextualSpacing/>
        <w:jc w:val="both"/>
        <w:rPr>
          <w:rFonts w:eastAsia="Symbol" w:cs="Times New Roman"/>
          <w:noProof/>
        </w:rPr>
      </w:pPr>
      <w:r>
        <w:rPr>
          <w:noProof/>
        </w:rPr>
        <w:t>Tuki kysynnänhallintahankkeille eri kuluttajaprofiileissa (suurteollisuus, pk-yritykset, u</w:t>
      </w:r>
      <w:r>
        <w:rPr>
          <w:noProof/>
        </w:rPr>
        <w:t>usiutuvan energian yhteisöt/kansalaiset energiayhteisöt, yhteenliittymät jne.)</w:t>
      </w:r>
    </w:p>
    <w:p w14:paraId="0616224B" w14:textId="77777777" w:rsidR="000E48CE" w:rsidRDefault="00FF4C4E">
      <w:pPr>
        <w:pStyle w:val="P68B1DB1-Normal4"/>
        <w:numPr>
          <w:ilvl w:val="0"/>
          <w:numId w:val="101"/>
        </w:numPr>
        <w:spacing w:before="120" w:after="160" w:line="259" w:lineRule="auto"/>
        <w:ind w:left="426" w:hanging="426"/>
        <w:contextualSpacing/>
        <w:jc w:val="both"/>
        <w:rPr>
          <w:rFonts w:eastAsia="Symbol" w:cs="Times New Roman"/>
          <w:noProof/>
        </w:rPr>
      </w:pPr>
      <w:r>
        <w:rPr>
          <w:noProof/>
        </w:rPr>
        <w:t>Kehottaa tekemään hakemuksia sääntömääräisten testausjärjestelmien toteuttamiseksi suoran tuen, kilpailutuen tai yhteistyösopimusten muodossa; ja</w:t>
      </w:r>
    </w:p>
    <w:p w14:paraId="07056859" w14:textId="77777777" w:rsidR="000E48CE" w:rsidRDefault="00FF4C4E">
      <w:pPr>
        <w:pStyle w:val="P68B1DB1-Normal4"/>
        <w:numPr>
          <w:ilvl w:val="0"/>
          <w:numId w:val="101"/>
        </w:numPr>
        <w:spacing w:before="120" w:after="120" w:line="259" w:lineRule="auto"/>
        <w:ind w:left="425" w:hanging="425"/>
        <w:jc w:val="both"/>
        <w:rPr>
          <w:rFonts w:eastAsia="Symbol" w:cs="Times New Roman"/>
          <w:noProof/>
        </w:rPr>
      </w:pPr>
      <w:r>
        <w:rPr>
          <w:noProof/>
        </w:rPr>
        <w:t>Tuki energia-alan startup-yrity</w:t>
      </w:r>
      <w:r>
        <w:rPr>
          <w:noProof/>
        </w:rPr>
        <w:t>ksille tai innovatiivisille aloitteille.</w:t>
      </w:r>
    </w:p>
    <w:p w14:paraId="01C11A95" w14:textId="77777777" w:rsidR="000E48CE" w:rsidRDefault="00FF4C4E">
      <w:pPr>
        <w:pStyle w:val="P68B1DB1-Normal4"/>
        <w:spacing w:before="120" w:after="120" w:line="240" w:lineRule="auto"/>
        <w:jc w:val="both"/>
        <w:rPr>
          <w:rFonts w:eastAsia="Symbol" w:cs="Times New Roman"/>
          <w:noProof/>
        </w:rPr>
      </w:pPr>
      <w:r>
        <w:rPr>
          <w:noProof/>
        </w:rPr>
        <w:t xml:space="preserve">Investointi liittyy läheisesti C8.R4-uudistukseen, jolla pyritään kehittämään sääntelyn testiympäristöjä innovatiivisille hankkeille. Se perustuu myös strategisiin ja sääntelypuitteisiin, jotka on määritelty muissa </w:t>
      </w:r>
      <w:r>
        <w:rPr>
          <w:noProof/>
        </w:rPr>
        <w:t>uudistuksissa, erityisesti uudistuksessa C8.R3.</w:t>
      </w:r>
    </w:p>
    <w:p w14:paraId="7C132290" w14:textId="702B13DB" w:rsidR="000E48CE" w:rsidRDefault="00FF4C4E">
      <w:pPr>
        <w:pStyle w:val="P68B1DB1-Normal4"/>
        <w:spacing w:before="120" w:after="120" w:line="240" w:lineRule="auto"/>
        <w:jc w:val="both"/>
        <w:rPr>
          <w:rFonts w:eastAsia="Symbol" w:cs="Times New Roman"/>
          <w:noProof/>
        </w:rPr>
      </w:pPr>
      <w:r>
        <w:rPr>
          <w:noProof/>
        </w:rPr>
        <w:t>On odotettavissa, että vähintään 18 hanketta myönnetään energiasiirtymän uusien liiketoimintamallien edistämiseen, mukaan lukien älykäs mittaus, varastointi, kysyntäjousto, joustopalvelut ja data.</w:t>
      </w:r>
    </w:p>
    <w:p w14:paraId="7AFBC81D" w14:textId="77777777" w:rsidR="000E48CE" w:rsidRDefault="00FF4C4E">
      <w:pPr>
        <w:pStyle w:val="P68B1DB1-Normal4"/>
        <w:spacing w:before="120" w:after="120" w:line="240" w:lineRule="auto"/>
        <w:jc w:val="both"/>
        <w:rPr>
          <w:rFonts w:eastAsia="Symbol" w:cs="Times New Roman"/>
          <w:noProof/>
        </w:rPr>
      </w:pPr>
      <w:r>
        <w:rPr>
          <w:noProof/>
        </w:rPr>
        <w:t>Investoinni</w:t>
      </w:r>
      <w:r>
        <w:rPr>
          <w:noProof/>
        </w:rPr>
        <w:t>n toteuttaminen on saatettava päätökseen 31 päivään joulukuuta 2023 mennessä.</w:t>
      </w:r>
    </w:p>
    <w:p w14:paraId="0C18562F" w14:textId="77777777" w:rsidR="000E48CE" w:rsidRDefault="00FF4C4E">
      <w:pPr>
        <w:pStyle w:val="P68B1DB1-Normal5"/>
        <w:spacing w:before="120" w:after="120" w:line="240" w:lineRule="auto"/>
        <w:ind w:left="709"/>
        <w:jc w:val="both"/>
        <w:rPr>
          <w:rFonts w:cs="Times New Roman"/>
          <w:noProof/>
        </w:rPr>
      </w:pPr>
      <w:r>
        <w:rPr>
          <w:noProof/>
        </w:rPr>
        <w:t xml:space="preserve">H.2 </w:t>
      </w:r>
      <w:r>
        <w:rPr>
          <w:noProof/>
        </w:rPr>
        <w:tab/>
        <w:t>Seurantaa ja täytäntöönpanoa koskevat välitavoitteet, tavoitteet, indikaattorit ja aikataulu – rahoitustuki, jota ei makseta takaisin</w:t>
      </w:r>
    </w:p>
    <w:p w14:paraId="19C00E4A" w14:textId="77777777" w:rsidR="000E48CE" w:rsidRDefault="00FF4C4E">
      <w:pPr>
        <w:pStyle w:val="P68B1DB1-Normal4"/>
        <w:spacing w:before="120" w:after="120" w:line="240" w:lineRule="auto"/>
        <w:jc w:val="both"/>
        <w:rPr>
          <w:rFonts w:cs="Times New Roman"/>
          <w:b/>
          <w:noProof/>
          <w:u w:val="single"/>
        </w:rPr>
      </w:pPr>
      <w:r>
        <w:rPr>
          <w:i/>
          <w:noProof/>
        </w:rPr>
        <w:t>Ks. taulukko jäljempänä.</w:t>
      </w:r>
      <w:r>
        <w:rPr>
          <w:noProof/>
        </w:rPr>
        <w:t xml:space="preserve"> </w:t>
      </w:r>
      <w:r>
        <w:rPr>
          <w:i/>
          <w:noProof/>
        </w:rPr>
        <w:t>Kaikkien indik</w:t>
      </w:r>
      <w:r>
        <w:rPr>
          <w:i/>
          <w:noProof/>
        </w:rPr>
        <w:t>aattoreiden perustaso on 1. helmikuuta 2020, ellei toimen kuvauksessa toisin ilmoiteta. Taulukossa esitetyt määrät eivät sisällä arvonlisäveroa.</w:t>
      </w:r>
    </w:p>
    <w:p w14:paraId="42C6D796" w14:textId="77777777" w:rsidR="000E48CE" w:rsidRDefault="000E48CE">
      <w:pPr>
        <w:spacing w:before="120" w:after="120" w:line="240" w:lineRule="auto"/>
        <w:jc w:val="both"/>
        <w:rPr>
          <w:rFonts w:ascii="Times New Roman" w:hAnsi="Times New Roman" w:cs="Times New Roman"/>
          <w:i/>
          <w:noProof/>
          <w:sz w:val="24"/>
        </w:rPr>
      </w:pPr>
    </w:p>
    <w:p w14:paraId="6E1831B3"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186"/>
          <w:headerReference w:type="default" r:id="rId187"/>
          <w:footerReference w:type="even" r:id="rId188"/>
          <w:footerReference w:type="default" r:id="rId189"/>
          <w:headerReference w:type="first" r:id="rId190"/>
          <w:footerReference w:type="first" r:id="rId19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410"/>
        <w:gridCol w:w="1134"/>
        <w:gridCol w:w="851"/>
        <w:gridCol w:w="567"/>
        <w:gridCol w:w="567"/>
        <w:gridCol w:w="567"/>
        <w:gridCol w:w="567"/>
        <w:gridCol w:w="6237"/>
      </w:tblGrid>
      <w:tr w:rsidR="000E48CE" w14:paraId="06A4CBE2" w14:textId="77777777">
        <w:trPr>
          <w:trHeight w:val="309"/>
          <w:tblHeader/>
        </w:trPr>
        <w:tc>
          <w:tcPr>
            <w:tcW w:w="709" w:type="dxa"/>
            <w:tcBorders>
              <w:bottom w:val="nil"/>
            </w:tcBorders>
            <w:shd w:val="clear" w:color="auto" w:fill="C6D9F1" w:themeFill="text2" w:themeFillTint="33"/>
            <w:noWrap/>
            <w:vAlign w:val="center"/>
          </w:tcPr>
          <w:p w14:paraId="27A0EC95"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683D1FD8"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00006DBC"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410" w:type="dxa"/>
            <w:tcBorders>
              <w:bottom w:val="nil"/>
            </w:tcBorders>
            <w:shd w:val="clear" w:color="auto" w:fill="C6D9F1" w:themeFill="text2" w:themeFillTint="33"/>
            <w:noWrap/>
            <w:vAlign w:val="center"/>
          </w:tcPr>
          <w:p w14:paraId="0399D578" w14:textId="77777777" w:rsidR="000E48CE" w:rsidRDefault="00FF4C4E">
            <w:pPr>
              <w:pStyle w:val="P68B1DB1-Normal12"/>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6956393C"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5" w:type="dxa"/>
            <w:gridSpan w:val="3"/>
            <w:shd w:val="clear" w:color="auto" w:fill="C6D9F1" w:themeFill="text2" w:themeFillTint="33"/>
            <w:noWrap/>
            <w:vAlign w:val="center"/>
          </w:tcPr>
          <w:p w14:paraId="2AF17811"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134" w:type="dxa"/>
            <w:gridSpan w:val="2"/>
            <w:shd w:val="clear" w:color="auto" w:fill="C6D9F1" w:themeFill="text2" w:themeFillTint="33"/>
            <w:noWrap/>
            <w:vAlign w:val="center"/>
          </w:tcPr>
          <w:p w14:paraId="581508C5" w14:textId="77777777" w:rsidR="000E48CE" w:rsidRDefault="00FF4C4E">
            <w:pPr>
              <w:pStyle w:val="P68B1DB1-Normal12"/>
              <w:spacing w:after="0" w:line="240" w:lineRule="auto"/>
              <w:jc w:val="center"/>
              <w:rPr>
                <w:rFonts w:cs="Times New Roman"/>
                <w:noProof/>
              </w:rPr>
            </w:pPr>
            <w:r>
              <w:rPr>
                <w:noProof/>
              </w:rPr>
              <w:t>Aika</w:t>
            </w:r>
          </w:p>
        </w:tc>
        <w:tc>
          <w:tcPr>
            <w:tcW w:w="6237" w:type="dxa"/>
            <w:tcBorders>
              <w:bottom w:val="nil"/>
            </w:tcBorders>
            <w:shd w:val="clear" w:color="auto" w:fill="C6D9F1" w:themeFill="text2" w:themeFillTint="33"/>
            <w:noWrap/>
            <w:vAlign w:val="center"/>
          </w:tcPr>
          <w:p w14:paraId="16810C53"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0E43F52B" w14:textId="77777777">
        <w:trPr>
          <w:trHeight w:val="309"/>
          <w:tblHeader/>
        </w:trPr>
        <w:tc>
          <w:tcPr>
            <w:tcW w:w="709" w:type="dxa"/>
            <w:tcBorders>
              <w:top w:val="nil"/>
            </w:tcBorders>
            <w:shd w:val="clear" w:color="auto" w:fill="C6D9F1" w:themeFill="text2" w:themeFillTint="33"/>
            <w:noWrap/>
          </w:tcPr>
          <w:p w14:paraId="54E11D2A"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1126E5D"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DE403A5" w14:textId="77777777" w:rsidR="000E48CE" w:rsidRDefault="000E48CE">
            <w:pPr>
              <w:spacing w:after="0" w:line="240" w:lineRule="auto"/>
              <w:jc w:val="center"/>
              <w:rPr>
                <w:rFonts w:ascii="Times New Roman" w:hAnsi="Times New Roman" w:cs="Times New Roman"/>
                <w:b/>
                <w:noProof/>
                <w:sz w:val="18"/>
              </w:rPr>
            </w:pPr>
          </w:p>
        </w:tc>
        <w:tc>
          <w:tcPr>
            <w:tcW w:w="2410" w:type="dxa"/>
            <w:tcBorders>
              <w:top w:val="nil"/>
            </w:tcBorders>
            <w:shd w:val="clear" w:color="auto" w:fill="C6D9F1" w:themeFill="text2" w:themeFillTint="33"/>
            <w:noWrap/>
          </w:tcPr>
          <w:p w14:paraId="62431CDC" w14:textId="77777777" w:rsidR="000E48CE" w:rsidRDefault="000E48C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9E398E2" w14:textId="77777777" w:rsidR="000E48CE" w:rsidRDefault="000E48CE">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vAlign w:val="center"/>
          </w:tcPr>
          <w:p w14:paraId="4ABBA8A3"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vAlign w:val="center"/>
          </w:tcPr>
          <w:p w14:paraId="394E72C3" w14:textId="77777777" w:rsidR="000E48CE" w:rsidRDefault="00FF4C4E">
            <w:pPr>
              <w:pStyle w:val="P68B1DB1-Normal12"/>
              <w:spacing w:after="0" w:line="240" w:lineRule="auto"/>
              <w:jc w:val="center"/>
              <w:rPr>
                <w:rFonts w:cs="Times New Roman"/>
                <w:noProof/>
              </w:rPr>
            </w:pPr>
            <w:r>
              <w:rPr>
                <w:noProof/>
              </w:rPr>
              <w:t>Perusviiva</w:t>
            </w:r>
          </w:p>
        </w:tc>
        <w:tc>
          <w:tcPr>
            <w:tcW w:w="567" w:type="dxa"/>
            <w:shd w:val="clear" w:color="auto" w:fill="C6D9F1" w:themeFill="text2" w:themeFillTint="33"/>
            <w:noWrap/>
            <w:vAlign w:val="center"/>
          </w:tcPr>
          <w:p w14:paraId="2E8B2227" w14:textId="77777777" w:rsidR="000E48CE" w:rsidRDefault="00FF4C4E">
            <w:pPr>
              <w:pStyle w:val="P68B1DB1-Normal12"/>
              <w:spacing w:after="0" w:line="240" w:lineRule="auto"/>
              <w:jc w:val="center"/>
              <w:rPr>
                <w:rFonts w:cs="Times New Roman"/>
                <w:noProof/>
              </w:rPr>
            </w:pPr>
            <w:r>
              <w:rPr>
                <w:noProof/>
              </w:rPr>
              <w:t>Päämäärä</w:t>
            </w:r>
          </w:p>
        </w:tc>
        <w:tc>
          <w:tcPr>
            <w:tcW w:w="567" w:type="dxa"/>
            <w:shd w:val="clear" w:color="auto" w:fill="C6D9F1" w:themeFill="text2" w:themeFillTint="33"/>
            <w:noWrap/>
            <w:vAlign w:val="center"/>
          </w:tcPr>
          <w:p w14:paraId="1B0FDDEC"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34F5C5B" w14:textId="77777777" w:rsidR="000E48CE" w:rsidRDefault="00FF4C4E">
            <w:pPr>
              <w:pStyle w:val="P68B1DB1-Normal12"/>
              <w:spacing w:after="0" w:line="240" w:lineRule="auto"/>
              <w:jc w:val="center"/>
              <w:rPr>
                <w:rFonts w:cs="Times New Roman"/>
                <w:noProof/>
              </w:rPr>
            </w:pPr>
            <w:r>
              <w:rPr>
                <w:noProof/>
              </w:rPr>
              <w:t>Vuosi</w:t>
            </w:r>
          </w:p>
        </w:tc>
        <w:tc>
          <w:tcPr>
            <w:tcW w:w="6237" w:type="dxa"/>
            <w:tcBorders>
              <w:top w:val="nil"/>
            </w:tcBorders>
            <w:shd w:val="clear" w:color="auto" w:fill="C6D9F1" w:themeFill="text2" w:themeFillTint="33"/>
            <w:noWrap/>
          </w:tcPr>
          <w:p w14:paraId="16287F21" w14:textId="77777777" w:rsidR="000E48CE" w:rsidRDefault="000E48CE">
            <w:pPr>
              <w:spacing w:after="0" w:line="240" w:lineRule="auto"/>
              <w:rPr>
                <w:rFonts w:ascii="Times New Roman" w:hAnsi="Times New Roman" w:cs="Times New Roman"/>
                <w:b/>
                <w:noProof/>
                <w:sz w:val="18"/>
              </w:rPr>
            </w:pPr>
          </w:p>
        </w:tc>
      </w:tr>
      <w:tr w:rsidR="000E48CE" w14:paraId="1D80BCA7" w14:textId="77777777">
        <w:trPr>
          <w:trHeight w:val="309"/>
        </w:trPr>
        <w:tc>
          <w:tcPr>
            <w:tcW w:w="709" w:type="dxa"/>
            <w:shd w:val="clear" w:color="auto" w:fill="C6EFCE"/>
            <w:noWrap/>
          </w:tcPr>
          <w:p w14:paraId="52DEB7E5" w14:textId="77777777" w:rsidR="000E48CE" w:rsidRDefault="00FF4C4E">
            <w:pPr>
              <w:pStyle w:val="P68B1DB1-Normal13"/>
              <w:spacing w:after="0" w:line="240" w:lineRule="auto"/>
              <w:jc w:val="center"/>
              <w:rPr>
                <w:rFonts w:eastAsia="Symbol" w:cs="Times New Roman"/>
                <w:noProof/>
              </w:rPr>
            </w:pPr>
            <w:r>
              <w:rPr>
                <w:noProof/>
              </w:rPr>
              <w:t>121</w:t>
            </w:r>
          </w:p>
        </w:tc>
        <w:tc>
          <w:tcPr>
            <w:tcW w:w="851" w:type="dxa"/>
            <w:shd w:val="clear" w:color="auto" w:fill="C6EFCE"/>
            <w:noWrap/>
          </w:tcPr>
          <w:p w14:paraId="33FAD8A2" w14:textId="77777777" w:rsidR="000E48CE" w:rsidRDefault="00FF4C4E">
            <w:pPr>
              <w:pStyle w:val="P68B1DB1-Normal13"/>
              <w:spacing w:after="0" w:line="240" w:lineRule="auto"/>
              <w:jc w:val="center"/>
              <w:rPr>
                <w:rFonts w:eastAsia="Symbol" w:cs="Times New Roman"/>
                <w:noProof/>
              </w:rPr>
            </w:pPr>
            <w:r>
              <w:rPr>
                <w:noProof/>
              </w:rPr>
              <w:t>C8.R1</w:t>
            </w:r>
          </w:p>
        </w:tc>
        <w:tc>
          <w:tcPr>
            <w:tcW w:w="850" w:type="dxa"/>
            <w:shd w:val="clear" w:color="auto" w:fill="C6EFCE"/>
            <w:noWrap/>
          </w:tcPr>
          <w:p w14:paraId="06BB0C0F" w14:textId="77777777" w:rsidR="000E48CE" w:rsidRDefault="00FF4C4E">
            <w:pPr>
              <w:pStyle w:val="P68B1DB1-Normal13"/>
              <w:spacing w:after="0" w:line="240" w:lineRule="auto"/>
              <w:jc w:val="center"/>
              <w:rPr>
                <w:rFonts w:eastAsia="Symbol" w:cs="Times New Roman"/>
                <w:noProof/>
              </w:rPr>
            </w:pPr>
            <w:r>
              <w:rPr>
                <w:noProof/>
              </w:rPr>
              <w:t>M</w:t>
            </w:r>
          </w:p>
        </w:tc>
        <w:tc>
          <w:tcPr>
            <w:tcW w:w="2410" w:type="dxa"/>
            <w:shd w:val="clear" w:color="auto" w:fill="C6EFCE"/>
            <w:noWrap/>
          </w:tcPr>
          <w:p w14:paraId="5562B7B2" w14:textId="77777777" w:rsidR="000E48CE" w:rsidRDefault="00FF4C4E">
            <w:pPr>
              <w:pStyle w:val="P68B1DB1-Normal13"/>
              <w:spacing w:after="0" w:line="240" w:lineRule="auto"/>
              <w:rPr>
                <w:rFonts w:eastAsia="Symbol" w:cs="Times New Roman"/>
                <w:noProof/>
              </w:rPr>
            </w:pPr>
            <w:r>
              <w:rPr>
                <w:noProof/>
              </w:rPr>
              <w:t xml:space="preserve">Hiilestä irtautumista koskevan pitkän aikavälin strategian (ELP2050) </w:t>
            </w:r>
            <w:r>
              <w:rPr>
                <w:noProof/>
              </w:rPr>
              <w:t>hyväksyminen.</w:t>
            </w:r>
          </w:p>
        </w:tc>
        <w:tc>
          <w:tcPr>
            <w:tcW w:w="1134" w:type="dxa"/>
            <w:shd w:val="clear" w:color="auto" w:fill="C6EFCE"/>
            <w:noWrap/>
          </w:tcPr>
          <w:p w14:paraId="082FD219" w14:textId="77777777" w:rsidR="000E48CE" w:rsidRDefault="00FF4C4E">
            <w:pPr>
              <w:pStyle w:val="P68B1DB1-Normal13"/>
              <w:spacing w:after="0" w:line="240" w:lineRule="auto"/>
              <w:jc w:val="center"/>
              <w:rPr>
                <w:rFonts w:eastAsia="Symbol" w:cs="Times New Roman"/>
                <w:noProof/>
              </w:rPr>
            </w:pPr>
            <w:r>
              <w:rPr>
                <w:noProof/>
              </w:rPr>
              <w:t>Ministerineuvoston hyväksyntä:</w:t>
            </w:r>
          </w:p>
        </w:tc>
        <w:tc>
          <w:tcPr>
            <w:tcW w:w="851" w:type="dxa"/>
            <w:shd w:val="clear" w:color="auto" w:fill="C6EFCE"/>
            <w:noWrap/>
          </w:tcPr>
          <w:p w14:paraId="4D23D007"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7256260"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29B840A6"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2F103B77" w14:textId="77777777" w:rsidR="000E48CE" w:rsidRDefault="00FF4C4E">
            <w:pPr>
              <w:pStyle w:val="P68B1DB1-Normal13"/>
              <w:spacing w:after="0" w:line="240" w:lineRule="auto"/>
              <w:jc w:val="center"/>
              <w:rPr>
                <w:rFonts w:eastAsia="Symbol" w:cs="Times New Roman"/>
                <w:noProof/>
              </w:rPr>
            </w:pPr>
            <w:r>
              <w:rPr>
                <w:noProof/>
              </w:rPr>
              <w:t>Q1</w:t>
            </w:r>
          </w:p>
        </w:tc>
        <w:tc>
          <w:tcPr>
            <w:tcW w:w="567" w:type="dxa"/>
            <w:shd w:val="clear" w:color="auto" w:fill="C6EFCE"/>
            <w:noWrap/>
          </w:tcPr>
          <w:p w14:paraId="7351E708" w14:textId="77777777" w:rsidR="000E48CE" w:rsidRDefault="00FF4C4E">
            <w:pPr>
              <w:pStyle w:val="P68B1DB1-Normal13"/>
              <w:spacing w:after="0" w:line="240" w:lineRule="auto"/>
              <w:jc w:val="center"/>
              <w:rPr>
                <w:rFonts w:eastAsia="Symbol" w:cs="Times New Roman"/>
                <w:noProof/>
              </w:rPr>
            </w:pPr>
            <w:r>
              <w:rPr>
                <w:noProof/>
              </w:rPr>
              <w:t>2021</w:t>
            </w:r>
          </w:p>
        </w:tc>
        <w:tc>
          <w:tcPr>
            <w:tcW w:w="6237" w:type="dxa"/>
            <w:shd w:val="clear" w:color="auto" w:fill="C6EFCE"/>
            <w:noWrap/>
          </w:tcPr>
          <w:p w14:paraId="21034D0B" w14:textId="77777777" w:rsidR="000E48CE" w:rsidRDefault="00FF4C4E">
            <w:pPr>
              <w:pStyle w:val="P68B1DB1-Normal13"/>
              <w:spacing w:after="0" w:line="240" w:lineRule="auto"/>
              <w:rPr>
                <w:rFonts w:eastAsia="Symbol" w:cs="Times New Roman"/>
                <w:noProof/>
              </w:rPr>
            </w:pPr>
            <w:r>
              <w:rPr>
                <w:noProof/>
              </w:rPr>
              <w:t>Hiilestä irtautumista koskevan pitkän aikavälin strategian (ELP2050) hyväksyminen. ELP50-ohjelmassa luodaan perusta uusiutuvien energialähteiden tehokasta integrointia joustavaan ja älykkääseen ene</w:t>
            </w:r>
            <w:r>
              <w:rPr>
                <w:noProof/>
              </w:rPr>
              <w:t>rgiajärjestelmään koskevan strategisen ja sääntelykehyksen määrittelylle, jota on tarkasteltava kansallisessa energia- ja ilmastosuunnitelmassa esitetyn laajemman lähestymistavan yhteydessä.</w:t>
            </w:r>
          </w:p>
        </w:tc>
      </w:tr>
      <w:tr w:rsidR="000E48CE" w14:paraId="76CF18B4" w14:textId="77777777">
        <w:trPr>
          <w:trHeight w:val="309"/>
        </w:trPr>
        <w:tc>
          <w:tcPr>
            <w:tcW w:w="709" w:type="dxa"/>
            <w:shd w:val="clear" w:color="auto" w:fill="C6EFCE"/>
            <w:noWrap/>
          </w:tcPr>
          <w:p w14:paraId="18EE793C" w14:textId="77777777" w:rsidR="000E48CE" w:rsidRDefault="00FF4C4E">
            <w:pPr>
              <w:pStyle w:val="P68B1DB1-Normal13"/>
              <w:spacing w:after="0" w:line="240" w:lineRule="auto"/>
              <w:jc w:val="center"/>
              <w:rPr>
                <w:rFonts w:eastAsia="Symbol" w:cs="Times New Roman"/>
                <w:noProof/>
              </w:rPr>
            </w:pPr>
            <w:r>
              <w:rPr>
                <w:noProof/>
              </w:rPr>
              <w:t>122</w:t>
            </w:r>
          </w:p>
        </w:tc>
        <w:tc>
          <w:tcPr>
            <w:tcW w:w="851" w:type="dxa"/>
            <w:shd w:val="clear" w:color="auto" w:fill="C6EFCE"/>
            <w:noWrap/>
          </w:tcPr>
          <w:p w14:paraId="5D63AFB9" w14:textId="77777777" w:rsidR="000E48CE" w:rsidRDefault="00FF4C4E">
            <w:pPr>
              <w:pStyle w:val="P68B1DB1-Normal13"/>
              <w:spacing w:after="0" w:line="240" w:lineRule="auto"/>
              <w:jc w:val="center"/>
              <w:rPr>
                <w:rFonts w:eastAsia="Symbol" w:cs="Times New Roman"/>
                <w:noProof/>
              </w:rPr>
            </w:pPr>
            <w:r>
              <w:rPr>
                <w:noProof/>
              </w:rPr>
              <w:t>C8.R2</w:t>
            </w:r>
          </w:p>
        </w:tc>
        <w:tc>
          <w:tcPr>
            <w:tcW w:w="850" w:type="dxa"/>
            <w:shd w:val="clear" w:color="auto" w:fill="C6EFCE"/>
            <w:noWrap/>
          </w:tcPr>
          <w:p w14:paraId="28C76C2F" w14:textId="77777777" w:rsidR="000E48CE" w:rsidRDefault="00FF4C4E">
            <w:pPr>
              <w:pStyle w:val="P68B1DB1-Normal13"/>
              <w:spacing w:after="0" w:line="240" w:lineRule="auto"/>
              <w:jc w:val="center"/>
              <w:rPr>
                <w:rFonts w:eastAsia="Symbol" w:cs="Times New Roman"/>
                <w:noProof/>
              </w:rPr>
            </w:pPr>
            <w:r>
              <w:rPr>
                <w:noProof/>
              </w:rPr>
              <w:t>M</w:t>
            </w:r>
          </w:p>
        </w:tc>
        <w:tc>
          <w:tcPr>
            <w:tcW w:w="2410" w:type="dxa"/>
            <w:shd w:val="clear" w:color="auto" w:fill="C6EFCE"/>
            <w:noWrap/>
          </w:tcPr>
          <w:p w14:paraId="5DC07101" w14:textId="77777777" w:rsidR="000E48CE" w:rsidRDefault="00FF4C4E">
            <w:pPr>
              <w:pStyle w:val="P68B1DB1-Normal13"/>
              <w:spacing w:after="0" w:line="240" w:lineRule="auto"/>
              <w:rPr>
                <w:rFonts w:eastAsia="Symbol" w:cs="Times New Roman"/>
                <w:noProof/>
              </w:rPr>
            </w:pPr>
            <w:r>
              <w:rPr>
                <w:noProof/>
              </w:rPr>
              <w:t xml:space="preserve">Energian varastointiratkaisun kehittämistä </w:t>
            </w:r>
            <w:r>
              <w:rPr>
                <w:noProof/>
              </w:rPr>
              <w:t>edistävien suunnittelu-, lainsäädäntö- ja sääntelyuudistusten voimaantulo.</w:t>
            </w:r>
          </w:p>
        </w:tc>
        <w:tc>
          <w:tcPr>
            <w:tcW w:w="1134" w:type="dxa"/>
            <w:shd w:val="clear" w:color="auto" w:fill="C6EFCE"/>
            <w:noWrap/>
          </w:tcPr>
          <w:p w14:paraId="5DE3B16A" w14:textId="77777777" w:rsidR="000E48CE" w:rsidRDefault="00FF4C4E">
            <w:pPr>
              <w:pStyle w:val="P68B1DB1-Normal13"/>
              <w:spacing w:after="0" w:line="240" w:lineRule="auto"/>
              <w:jc w:val="center"/>
              <w:rPr>
                <w:rFonts w:eastAsia="Symbol" w:cs="Times New Roman"/>
                <w:noProof/>
              </w:rPr>
            </w:pPr>
            <w:r>
              <w:rPr>
                <w:noProof/>
              </w:rPr>
              <w:t xml:space="preserve">Voimaantuloon liittyvien lakien ja asetusten säännökset </w:t>
            </w:r>
          </w:p>
        </w:tc>
        <w:tc>
          <w:tcPr>
            <w:tcW w:w="851" w:type="dxa"/>
            <w:shd w:val="clear" w:color="auto" w:fill="C6EFCE"/>
            <w:noWrap/>
          </w:tcPr>
          <w:p w14:paraId="0DD171FB"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1CFE44F5"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19ADC6D0"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6A517C7D"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0054E802" w14:textId="77777777" w:rsidR="000E48CE" w:rsidRDefault="00FF4C4E">
            <w:pPr>
              <w:pStyle w:val="P68B1DB1-Normal13"/>
              <w:spacing w:after="0" w:line="240" w:lineRule="auto"/>
              <w:jc w:val="center"/>
              <w:rPr>
                <w:rFonts w:eastAsia="Symbol" w:cs="Times New Roman"/>
                <w:noProof/>
              </w:rPr>
            </w:pPr>
            <w:r>
              <w:rPr>
                <w:noProof/>
              </w:rPr>
              <w:t>2021</w:t>
            </w:r>
          </w:p>
        </w:tc>
        <w:tc>
          <w:tcPr>
            <w:tcW w:w="6237" w:type="dxa"/>
            <w:shd w:val="clear" w:color="auto" w:fill="C6EFCE"/>
            <w:noWrap/>
          </w:tcPr>
          <w:p w14:paraId="5D8ADA9C" w14:textId="77777777" w:rsidR="000E48CE" w:rsidRDefault="00FF4C4E">
            <w:pPr>
              <w:pStyle w:val="P68B1DB1-Normal13"/>
              <w:spacing w:after="0" w:line="240" w:lineRule="auto"/>
              <w:rPr>
                <w:rFonts w:eastAsia="Symbol" w:cs="Times New Roman"/>
                <w:noProof/>
              </w:rPr>
            </w:pPr>
            <w:r>
              <w:rPr>
                <w:noProof/>
              </w:rPr>
              <w:t xml:space="preserve">Seuraavien suunnittelu-, lainsäädäntö- ja sääntelyuudistusten hyväksyminen ja voimaantulo energian </w:t>
            </w:r>
            <w:r>
              <w:rPr>
                <w:noProof/>
              </w:rPr>
              <w:t>varastointiratkaisujen kehittämisen edistämiseksi:</w:t>
            </w:r>
            <w:r>
              <w:rPr>
                <w:noProof/>
              </w:rPr>
              <w:br/>
              <w:t>hyväksytään energian varastointia koskeva ministerineuvosto, jonka tavoitteena on edistää energian varastoinnin käyttöönottoa 66 erityistoimenpiteellä, jotka on ryhmitelty strategiaan sisältyviin kymmeneen</w:t>
            </w:r>
            <w:r>
              <w:rPr>
                <w:noProof/>
              </w:rPr>
              <w:t xml:space="preserve"> toimintalinjaan. Tavoitteena on, että vuoteen 2030 mennessä on käytettävissä 20 gigawattia energian varastointia ja 30 gigawattia vuoteen 2050 mennessä. </w:t>
            </w:r>
            <w:r>
              <w:rPr>
                <w:noProof/>
              </w:rPr>
              <w:br/>
              <w:t>kuninkaallisen asetuksen 1183/2020 julkaiseminen EUVL:ssä varastojen verkkoon pääsyn sääntelemiseksi.</w:t>
            </w:r>
            <w:r>
              <w:rPr>
                <w:noProof/>
              </w:rPr>
              <w:t xml:space="preserve"> </w:t>
            </w:r>
            <w:r>
              <w:rPr>
                <w:noProof/>
              </w:rPr>
              <w:br/>
            </w:r>
            <w:r>
              <w:rPr>
                <w:i/>
                <w:noProof/>
              </w:rPr>
              <w:t>Comisión Nacional de los Mercados y la Competencian</w:t>
            </w:r>
            <w:r>
              <w:rPr>
                <w:noProof/>
              </w:rPr>
              <w:t xml:space="preserve"> julkaisema kiertokirje 1/2021, jossa vahvistetaan sähköntuotantolaitosten siirto- ja jakeluverkkoihin pääsyä ja niihin liittämistä koskevat menetelmät ja edellytykset. </w:t>
            </w:r>
            <w:r>
              <w:rPr>
                <w:noProof/>
              </w:rPr>
              <w:br/>
              <w:t>energiavarastojen osallistumisest</w:t>
            </w:r>
            <w:r>
              <w:rPr>
                <w:noProof/>
              </w:rPr>
              <w:t>a lisäpalvelujen tarjoamiseen 10. joulukuuta 2020 annetun päätöslauselman julkaiseminen EUVL:ssä</w:t>
            </w:r>
          </w:p>
        </w:tc>
      </w:tr>
      <w:tr w:rsidR="000E48CE" w14:paraId="758CECA4" w14:textId="77777777">
        <w:trPr>
          <w:trHeight w:val="309"/>
        </w:trPr>
        <w:tc>
          <w:tcPr>
            <w:tcW w:w="709" w:type="dxa"/>
            <w:shd w:val="clear" w:color="auto" w:fill="C6EFCE"/>
            <w:noWrap/>
          </w:tcPr>
          <w:p w14:paraId="19FCCF4E" w14:textId="77777777" w:rsidR="000E48CE" w:rsidRDefault="00FF4C4E">
            <w:pPr>
              <w:pStyle w:val="P68B1DB1-Normal13"/>
              <w:spacing w:after="0" w:line="240" w:lineRule="auto"/>
              <w:jc w:val="center"/>
              <w:rPr>
                <w:rFonts w:eastAsia="Symbol" w:cs="Times New Roman"/>
                <w:noProof/>
              </w:rPr>
            </w:pPr>
            <w:r>
              <w:rPr>
                <w:noProof/>
              </w:rPr>
              <w:t>123</w:t>
            </w:r>
          </w:p>
        </w:tc>
        <w:tc>
          <w:tcPr>
            <w:tcW w:w="851" w:type="dxa"/>
            <w:shd w:val="clear" w:color="auto" w:fill="C6EFCE"/>
            <w:noWrap/>
          </w:tcPr>
          <w:p w14:paraId="2142BC9D" w14:textId="77777777" w:rsidR="000E48CE" w:rsidRDefault="00FF4C4E">
            <w:pPr>
              <w:pStyle w:val="P68B1DB1-Normal13"/>
              <w:spacing w:after="0" w:line="240" w:lineRule="auto"/>
              <w:jc w:val="center"/>
              <w:rPr>
                <w:rFonts w:eastAsia="Symbol" w:cs="Times New Roman"/>
                <w:noProof/>
              </w:rPr>
            </w:pPr>
            <w:r>
              <w:rPr>
                <w:noProof/>
              </w:rPr>
              <w:t>C8.R3</w:t>
            </w:r>
          </w:p>
        </w:tc>
        <w:tc>
          <w:tcPr>
            <w:tcW w:w="850" w:type="dxa"/>
            <w:shd w:val="clear" w:color="auto" w:fill="C6EFCE"/>
            <w:noWrap/>
          </w:tcPr>
          <w:p w14:paraId="25E36A0E" w14:textId="77777777" w:rsidR="000E48CE" w:rsidRDefault="00FF4C4E">
            <w:pPr>
              <w:pStyle w:val="P68B1DB1-Normal13"/>
              <w:spacing w:after="0" w:line="240" w:lineRule="auto"/>
              <w:jc w:val="center"/>
              <w:rPr>
                <w:rFonts w:eastAsia="Symbol" w:cs="Times New Roman"/>
                <w:noProof/>
              </w:rPr>
            </w:pPr>
            <w:r>
              <w:rPr>
                <w:noProof/>
              </w:rPr>
              <w:t>M</w:t>
            </w:r>
          </w:p>
        </w:tc>
        <w:tc>
          <w:tcPr>
            <w:tcW w:w="2410" w:type="dxa"/>
            <w:shd w:val="clear" w:color="auto" w:fill="C6EFCE"/>
            <w:noWrap/>
          </w:tcPr>
          <w:p w14:paraId="6E675971" w14:textId="77777777" w:rsidR="000E48CE" w:rsidRDefault="00FF4C4E">
            <w:pPr>
              <w:pStyle w:val="P68B1DB1-Normal13"/>
              <w:spacing w:after="0" w:line="240" w:lineRule="auto"/>
              <w:rPr>
                <w:rFonts w:eastAsia="Symbol" w:cs="Times New Roman"/>
                <w:noProof/>
              </w:rPr>
            </w:pPr>
            <w:r>
              <w:rPr>
                <w:noProof/>
              </w:rPr>
              <w:t>Jouston ja kysyntäjouston integrointia koskevien sääntelytoimenpiteiden voimaantulo.</w:t>
            </w:r>
          </w:p>
        </w:tc>
        <w:tc>
          <w:tcPr>
            <w:tcW w:w="1134" w:type="dxa"/>
            <w:shd w:val="clear" w:color="auto" w:fill="C6EFCE"/>
            <w:noWrap/>
          </w:tcPr>
          <w:p w14:paraId="0020148A" w14:textId="77777777" w:rsidR="000E48CE" w:rsidRDefault="00FF4C4E">
            <w:pPr>
              <w:pStyle w:val="P68B1DB1-Normal13"/>
              <w:spacing w:after="0" w:line="240" w:lineRule="auto"/>
              <w:jc w:val="center"/>
              <w:rPr>
                <w:rFonts w:eastAsia="Symbol" w:cs="Times New Roman"/>
                <w:noProof/>
              </w:rPr>
            </w:pPr>
            <w:r>
              <w:rPr>
                <w:noProof/>
              </w:rPr>
              <w:t>Voimaantuloon liittyvien lakien ja asetusten säännökset</w:t>
            </w:r>
          </w:p>
        </w:tc>
        <w:tc>
          <w:tcPr>
            <w:tcW w:w="851" w:type="dxa"/>
            <w:shd w:val="clear" w:color="auto" w:fill="C6EFCE"/>
            <w:noWrap/>
          </w:tcPr>
          <w:p w14:paraId="74B8AB3B"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75DBCBFA"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E165042"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9C43906"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4A7F294E" w14:textId="77777777" w:rsidR="000E48CE" w:rsidRDefault="00FF4C4E">
            <w:pPr>
              <w:pStyle w:val="P68B1DB1-Normal13"/>
              <w:spacing w:after="0" w:line="240" w:lineRule="auto"/>
              <w:jc w:val="center"/>
              <w:rPr>
                <w:rFonts w:eastAsia="Symbol" w:cs="Times New Roman"/>
                <w:noProof/>
              </w:rPr>
            </w:pPr>
            <w:r>
              <w:rPr>
                <w:noProof/>
              </w:rPr>
              <w:t>2023</w:t>
            </w:r>
          </w:p>
        </w:tc>
        <w:tc>
          <w:tcPr>
            <w:tcW w:w="6237" w:type="dxa"/>
            <w:shd w:val="clear" w:color="auto" w:fill="C6EFCE"/>
            <w:noWrap/>
          </w:tcPr>
          <w:p w14:paraId="54B6299E" w14:textId="77777777" w:rsidR="000E48CE" w:rsidRDefault="00FF4C4E">
            <w:pPr>
              <w:pStyle w:val="P68B1DB1-Normal13"/>
              <w:spacing w:after="0" w:line="240" w:lineRule="auto"/>
              <w:rPr>
                <w:rFonts w:eastAsia="Symbol" w:cs="Times New Roman"/>
                <w:noProof/>
              </w:rPr>
            </w:pPr>
            <w:r>
              <w:rPr>
                <w:noProof/>
              </w:rPr>
              <w:t>Sääntelykehyksen kehittäminen joustavuuden ja kysynnänohjauksen integroimiseksi seuraavien toimien avulla:</w:t>
            </w:r>
            <w:r>
              <w:rPr>
                <w:noProof/>
              </w:rPr>
              <w:br/>
            </w:r>
            <w:r>
              <w:rPr>
                <w:i/>
                <w:noProof/>
              </w:rPr>
              <w:t>Comisión Nacional de los Mercados y la Competencian</w:t>
            </w:r>
            <w:r>
              <w:rPr>
                <w:noProof/>
              </w:rPr>
              <w:t xml:space="preserve"> 10. joulukuuta 2020 antama päätöslauselma tiettyjen tasepalveluihin osallistumista koske</w:t>
            </w:r>
            <w:r>
              <w:rPr>
                <w:noProof/>
              </w:rPr>
              <w:t xml:space="preserve">vien toimintamenettelyjen mukauttamisesta. </w:t>
            </w:r>
            <w:r>
              <w:rPr>
                <w:noProof/>
              </w:rPr>
              <w:br/>
              <w:t xml:space="preserve">b) Lainsäädäntö, jolla direktiivi 2019/944 saatetaan täysimääräisesti osaksi kansallista lainsäädäntöä </w:t>
            </w:r>
            <w:r>
              <w:rPr>
                <w:noProof/>
              </w:rPr>
              <w:br/>
              <w:t>RDL23/2020:n hyväksyminen riippumattoman yhteenliittymän aseman luomiseksi</w:t>
            </w:r>
          </w:p>
        </w:tc>
      </w:tr>
      <w:tr w:rsidR="000E48CE" w14:paraId="7A1B5EE6" w14:textId="77777777">
        <w:trPr>
          <w:trHeight w:val="309"/>
        </w:trPr>
        <w:tc>
          <w:tcPr>
            <w:tcW w:w="709" w:type="dxa"/>
            <w:shd w:val="clear" w:color="auto" w:fill="C6EFCE"/>
            <w:noWrap/>
          </w:tcPr>
          <w:p w14:paraId="307C2F63" w14:textId="77777777" w:rsidR="000E48CE" w:rsidRDefault="00FF4C4E">
            <w:pPr>
              <w:pStyle w:val="P68B1DB1-Normal13"/>
              <w:spacing w:after="0" w:line="240" w:lineRule="auto"/>
              <w:jc w:val="center"/>
              <w:rPr>
                <w:rFonts w:eastAsia="Symbol" w:cs="Times New Roman"/>
                <w:noProof/>
              </w:rPr>
            </w:pPr>
            <w:r>
              <w:rPr>
                <w:noProof/>
              </w:rPr>
              <w:t>124</w:t>
            </w:r>
          </w:p>
        </w:tc>
        <w:tc>
          <w:tcPr>
            <w:tcW w:w="851" w:type="dxa"/>
            <w:shd w:val="clear" w:color="auto" w:fill="C6EFCE"/>
            <w:noWrap/>
          </w:tcPr>
          <w:p w14:paraId="529615EE" w14:textId="77777777" w:rsidR="000E48CE" w:rsidRDefault="00FF4C4E">
            <w:pPr>
              <w:pStyle w:val="P68B1DB1-Normal13"/>
              <w:spacing w:after="0" w:line="240" w:lineRule="auto"/>
              <w:jc w:val="center"/>
              <w:rPr>
                <w:rFonts w:eastAsia="Symbol" w:cs="Times New Roman"/>
                <w:noProof/>
              </w:rPr>
            </w:pPr>
            <w:r>
              <w:rPr>
                <w:noProof/>
              </w:rPr>
              <w:t>C8.R4</w:t>
            </w:r>
          </w:p>
        </w:tc>
        <w:tc>
          <w:tcPr>
            <w:tcW w:w="850" w:type="dxa"/>
            <w:shd w:val="clear" w:color="auto" w:fill="C6EFCE"/>
            <w:noWrap/>
          </w:tcPr>
          <w:p w14:paraId="668F19A2" w14:textId="77777777" w:rsidR="000E48CE" w:rsidRDefault="00FF4C4E">
            <w:pPr>
              <w:pStyle w:val="P68B1DB1-Normal13"/>
              <w:spacing w:after="0" w:line="240" w:lineRule="auto"/>
              <w:jc w:val="center"/>
              <w:rPr>
                <w:rFonts w:eastAsia="Symbol" w:cs="Times New Roman"/>
                <w:noProof/>
              </w:rPr>
            </w:pPr>
            <w:r>
              <w:rPr>
                <w:noProof/>
              </w:rPr>
              <w:t>M</w:t>
            </w:r>
          </w:p>
        </w:tc>
        <w:tc>
          <w:tcPr>
            <w:tcW w:w="2410" w:type="dxa"/>
            <w:shd w:val="clear" w:color="auto" w:fill="C6EFCE"/>
            <w:noWrap/>
          </w:tcPr>
          <w:p w14:paraId="4F417C56" w14:textId="77777777" w:rsidR="000E48CE" w:rsidRDefault="00FF4C4E">
            <w:pPr>
              <w:pStyle w:val="P68B1DB1-Normal13"/>
              <w:spacing w:after="0" w:line="240" w:lineRule="auto"/>
              <w:rPr>
                <w:rFonts w:eastAsia="Symbol" w:cs="Times New Roman"/>
                <w:noProof/>
              </w:rPr>
            </w:pPr>
            <w:r>
              <w:rPr>
                <w:noProof/>
              </w:rPr>
              <w:t xml:space="preserve">Sääntelyn </w:t>
            </w:r>
            <w:r>
              <w:rPr>
                <w:noProof/>
              </w:rPr>
              <w:t>testiympäristöjä edistävien toimenpiteiden voimaantulo sähköalan tutkimuksen ja innovoinnin edistämiseksi.</w:t>
            </w:r>
          </w:p>
        </w:tc>
        <w:tc>
          <w:tcPr>
            <w:tcW w:w="1134" w:type="dxa"/>
            <w:shd w:val="clear" w:color="auto" w:fill="C6EFCE"/>
            <w:noWrap/>
          </w:tcPr>
          <w:p w14:paraId="1B051689" w14:textId="77777777" w:rsidR="000E48CE" w:rsidRDefault="00FF4C4E">
            <w:pPr>
              <w:pStyle w:val="P68B1DB1-Normal13"/>
              <w:spacing w:after="0" w:line="240" w:lineRule="auto"/>
              <w:jc w:val="center"/>
              <w:rPr>
                <w:rFonts w:eastAsia="Symbol" w:cs="Times New Roman"/>
                <w:noProof/>
              </w:rPr>
            </w:pPr>
            <w:r>
              <w:rPr>
                <w:noProof/>
              </w:rPr>
              <w:t>Asetuksen voimaantulosta annetun kuninkaan asetuksen säännökset</w:t>
            </w:r>
          </w:p>
        </w:tc>
        <w:tc>
          <w:tcPr>
            <w:tcW w:w="851" w:type="dxa"/>
            <w:shd w:val="clear" w:color="auto" w:fill="C6EFCE"/>
            <w:noWrap/>
          </w:tcPr>
          <w:p w14:paraId="4FC280CF"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4F22BBF"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523978C1"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A241AD9"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28553E30" w14:textId="77777777" w:rsidR="000E48CE" w:rsidRDefault="00FF4C4E">
            <w:pPr>
              <w:pStyle w:val="P68B1DB1-Normal13"/>
              <w:spacing w:after="0" w:line="240" w:lineRule="auto"/>
              <w:jc w:val="center"/>
              <w:rPr>
                <w:rFonts w:eastAsia="Symbol" w:cs="Times New Roman"/>
                <w:noProof/>
              </w:rPr>
            </w:pPr>
            <w:r>
              <w:rPr>
                <w:noProof/>
              </w:rPr>
              <w:t>2022</w:t>
            </w:r>
          </w:p>
        </w:tc>
        <w:tc>
          <w:tcPr>
            <w:tcW w:w="6237" w:type="dxa"/>
            <w:shd w:val="clear" w:color="auto" w:fill="C6EFCE"/>
            <w:noWrap/>
          </w:tcPr>
          <w:p w14:paraId="27BED47E" w14:textId="77777777" w:rsidR="000E48CE" w:rsidRDefault="00FF4C4E">
            <w:pPr>
              <w:pStyle w:val="P68B1DB1-Normal13"/>
              <w:spacing w:after="0" w:line="240" w:lineRule="auto"/>
              <w:rPr>
                <w:rFonts w:eastAsia="Symbol" w:cs="Times New Roman"/>
                <w:noProof/>
              </w:rPr>
            </w:pPr>
            <w:r>
              <w:rPr>
                <w:noProof/>
              </w:rPr>
              <w:t xml:space="preserve">Sääntelyn testiympäristöjen kehittämisestä annetun kuninkaallisen </w:t>
            </w:r>
            <w:r>
              <w:rPr>
                <w:noProof/>
              </w:rPr>
              <w:t>asetuksen julkaiseminen ja voimaantulo, jotta voidaan kehittää uusia pilottihankkeita sähköalan tutkimuksen ja innovoinnin edistämiseksi.</w:t>
            </w:r>
            <w:r>
              <w:rPr>
                <w:noProof/>
              </w:rPr>
              <w:br/>
              <w:t>Lainsäädännön on mahdollistettava se, että teollisuus voi testata joustavuutta, kysyntäjoustoa ja energian varastointi</w:t>
            </w:r>
            <w:r>
              <w:rPr>
                <w:noProof/>
              </w:rPr>
              <w:t>a koskevia uusia teknologioita, järjestelmiä ja palveluja turvallisessa ja suotuisassa tilassa, jossa asianomaiset osapuolet voivat kokea innovatiivisista ratkaisuista ilman, että niihin sovelletaan voimassa olevia sääntelyvaatimuksia. Lisäksi tämä tarjoaa</w:t>
            </w:r>
            <w:r>
              <w:rPr>
                <w:noProof/>
              </w:rPr>
              <w:t xml:space="preserve"> hallinnon ja sääntelyviranomaisen välille kaksisuuntaisen sääntelyvuoropuhelun, jolla nopeutetaan ja helpotetaan voimassa olevien säännösten uudelleentarkastelua ja varmistetaan, että ne riittävät uusien toimijoiden tuloon markkinoille, ja edistetään tekn</w:t>
            </w:r>
            <w:r>
              <w:rPr>
                <w:noProof/>
              </w:rPr>
              <w:t>ologia-alan startup-yritysten perustamista antamalla niille mahdollisuus testata liiketoimintamallejaan.</w:t>
            </w:r>
          </w:p>
        </w:tc>
      </w:tr>
      <w:tr w:rsidR="000E48CE" w14:paraId="04519AEA" w14:textId="77777777">
        <w:trPr>
          <w:trHeight w:val="309"/>
        </w:trPr>
        <w:tc>
          <w:tcPr>
            <w:tcW w:w="709" w:type="dxa"/>
            <w:shd w:val="clear" w:color="auto" w:fill="C6EFCE"/>
            <w:noWrap/>
          </w:tcPr>
          <w:p w14:paraId="6F5FA94C" w14:textId="77777777" w:rsidR="000E48CE" w:rsidRDefault="00FF4C4E">
            <w:pPr>
              <w:pStyle w:val="P68B1DB1-Normal13"/>
              <w:spacing w:after="0" w:line="240" w:lineRule="auto"/>
              <w:jc w:val="center"/>
              <w:rPr>
                <w:rFonts w:eastAsia="Symbol" w:cs="Times New Roman"/>
                <w:noProof/>
              </w:rPr>
            </w:pPr>
            <w:r>
              <w:rPr>
                <w:noProof/>
              </w:rPr>
              <w:t>125</w:t>
            </w:r>
          </w:p>
        </w:tc>
        <w:tc>
          <w:tcPr>
            <w:tcW w:w="851" w:type="dxa"/>
            <w:shd w:val="clear" w:color="auto" w:fill="C6EFCE"/>
            <w:noWrap/>
          </w:tcPr>
          <w:p w14:paraId="06D58454" w14:textId="77777777" w:rsidR="000E48CE" w:rsidRDefault="00FF4C4E">
            <w:pPr>
              <w:pStyle w:val="P68B1DB1-Normal13"/>
              <w:spacing w:after="0" w:line="240" w:lineRule="auto"/>
              <w:jc w:val="center"/>
              <w:rPr>
                <w:rFonts w:eastAsia="Symbol" w:cs="Times New Roman"/>
                <w:noProof/>
              </w:rPr>
            </w:pPr>
            <w:r>
              <w:rPr>
                <w:noProof/>
              </w:rPr>
              <w:t>C8.I1</w:t>
            </w:r>
          </w:p>
        </w:tc>
        <w:tc>
          <w:tcPr>
            <w:tcW w:w="850" w:type="dxa"/>
            <w:shd w:val="clear" w:color="auto" w:fill="C6EFCE"/>
            <w:noWrap/>
          </w:tcPr>
          <w:p w14:paraId="5AB88429" w14:textId="77777777" w:rsidR="000E48CE" w:rsidRDefault="00FF4C4E">
            <w:pPr>
              <w:pStyle w:val="P68B1DB1-Normal13"/>
              <w:spacing w:after="0" w:line="240" w:lineRule="auto"/>
              <w:jc w:val="center"/>
              <w:rPr>
                <w:rFonts w:eastAsia="Symbol" w:cs="Times New Roman"/>
                <w:noProof/>
              </w:rPr>
            </w:pPr>
            <w:r>
              <w:rPr>
                <w:noProof/>
              </w:rPr>
              <w:t>T</w:t>
            </w:r>
          </w:p>
        </w:tc>
        <w:tc>
          <w:tcPr>
            <w:tcW w:w="2410" w:type="dxa"/>
            <w:shd w:val="clear" w:color="auto" w:fill="C6EFCE"/>
            <w:noWrap/>
          </w:tcPr>
          <w:p w14:paraId="5F91E240" w14:textId="77777777" w:rsidR="000E48CE" w:rsidRDefault="00FF4C4E">
            <w:pPr>
              <w:pStyle w:val="P68B1DB1-Normal13"/>
              <w:spacing w:after="0" w:line="240" w:lineRule="auto"/>
              <w:rPr>
                <w:rFonts w:eastAsia="Symbol" w:cs="Times New Roman"/>
                <w:noProof/>
              </w:rPr>
            </w:pPr>
            <w:r>
              <w:rPr>
                <w:noProof/>
              </w:rPr>
              <w:t>Innovatiiviset varastointihankkeet</w:t>
            </w:r>
          </w:p>
        </w:tc>
        <w:tc>
          <w:tcPr>
            <w:tcW w:w="1134" w:type="dxa"/>
            <w:shd w:val="clear" w:color="auto" w:fill="C6EFCE"/>
            <w:noWrap/>
          </w:tcPr>
          <w:p w14:paraId="798B00B3" w14:textId="77777777" w:rsidR="000E48CE" w:rsidRDefault="00FF4C4E">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17063D6C" w14:textId="77777777" w:rsidR="000E48CE" w:rsidRDefault="00FF4C4E">
            <w:pPr>
              <w:pStyle w:val="P68B1DB1-Normal13"/>
              <w:spacing w:after="0" w:line="240" w:lineRule="auto"/>
              <w:rPr>
                <w:rFonts w:eastAsia="Symbol" w:cs="Times New Roman"/>
                <w:noProof/>
              </w:rPr>
            </w:pPr>
            <w:r>
              <w:rPr>
                <w:noProof/>
              </w:rPr>
              <w:t>Määrä</w:t>
            </w:r>
          </w:p>
        </w:tc>
        <w:tc>
          <w:tcPr>
            <w:tcW w:w="567" w:type="dxa"/>
            <w:shd w:val="clear" w:color="auto" w:fill="C6EFCE"/>
            <w:noWrap/>
          </w:tcPr>
          <w:p w14:paraId="69740B58" w14:textId="77777777" w:rsidR="000E48CE" w:rsidRDefault="00FF4C4E">
            <w:pPr>
              <w:pStyle w:val="P68B1DB1-Normal13"/>
              <w:spacing w:after="0" w:line="240" w:lineRule="auto"/>
              <w:rPr>
                <w:rFonts w:eastAsia="Symbol" w:cs="Times New Roman"/>
                <w:noProof/>
              </w:rPr>
            </w:pPr>
            <w:r>
              <w:rPr>
                <w:noProof/>
              </w:rPr>
              <w:t>0</w:t>
            </w:r>
          </w:p>
        </w:tc>
        <w:tc>
          <w:tcPr>
            <w:tcW w:w="567" w:type="dxa"/>
            <w:shd w:val="clear" w:color="auto" w:fill="C6EFCE"/>
            <w:noWrap/>
          </w:tcPr>
          <w:p w14:paraId="76DB90EB" w14:textId="77777777" w:rsidR="000E48CE" w:rsidRDefault="00FF4C4E">
            <w:pPr>
              <w:pStyle w:val="P68B1DB1-Normal13"/>
              <w:spacing w:after="0" w:line="240" w:lineRule="auto"/>
              <w:rPr>
                <w:rFonts w:eastAsia="Symbol" w:cs="Times New Roman"/>
                <w:noProof/>
              </w:rPr>
            </w:pPr>
            <w:r>
              <w:rPr>
                <w:noProof/>
              </w:rPr>
              <w:t>5</w:t>
            </w:r>
          </w:p>
        </w:tc>
        <w:tc>
          <w:tcPr>
            <w:tcW w:w="567" w:type="dxa"/>
            <w:shd w:val="clear" w:color="auto" w:fill="C6EFCE"/>
            <w:noWrap/>
          </w:tcPr>
          <w:p w14:paraId="7F6BA4A9" w14:textId="77777777" w:rsidR="000E48CE" w:rsidRDefault="00FF4C4E">
            <w:pPr>
              <w:pStyle w:val="P68B1DB1-Normal13"/>
              <w:spacing w:after="0" w:line="240" w:lineRule="auto"/>
              <w:rPr>
                <w:rFonts w:eastAsia="Symbol" w:cs="Times New Roman"/>
                <w:noProof/>
              </w:rPr>
            </w:pPr>
            <w:r>
              <w:rPr>
                <w:noProof/>
              </w:rPr>
              <w:t>Q4</w:t>
            </w:r>
          </w:p>
        </w:tc>
        <w:tc>
          <w:tcPr>
            <w:tcW w:w="567" w:type="dxa"/>
            <w:shd w:val="clear" w:color="auto" w:fill="C6EFCE"/>
            <w:noWrap/>
          </w:tcPr>
          <w:p w14:paraId="49683A13" w14:textId="77777777" w:rsidR="000E48CE" w:rsidRDefault="00FF4C4E">
            <w:pPr>
              <w:pStyle w:val="P68B1DB1-Normal13"/>
              <w:spacing w:after="0" w:line="240" w:lineRule="auto"/>
              <w:rPr>
                <w:rFonts w:eastAsia="Symbol" w:cs="Times New Roman"/>
                <w:noProof/>
              </w:rPr>
            </w:pPr>
            <w:r>
              <w:rPr>
                <w:noProof/>
              </w:rPr>
              <w:t>2023</w:t>
            </w:r>
          </w:p>
        </w:tc>
        <w:tc>
          <w:tcPr>
            <w:tcW w:w="6237" w:type="dxa"/>
            <w:shd w:val="clear" w:color="auto" w:fill="C6EFCE"/>
            <w:noWrap/>
          </w:tcPr>
          <w:p w14:paraId="1AEA4272" w14:textId="0C42E2D5" w:rsidR="000E48CE" w:rsidRDefault="00FF4C4E">
            <w:pPr>
              <w:pStyle w:val="P68B1DB1-Normal13"/>
              <w:spacing w:after="0" w:line="240" w:lineRule="auto"/>
              <w:rPr>
                <w:rFonts w:eastAsia="Symbol" w:cs="Times New Roman"/>
                <w:noProof/>
              </w:rPr>
            </w:pPr>
            <w:r>
              <w:rPr>
                <w:noProof/>
              </w:rPr>
              <w:t xml:space="preserve">Vähintään viisi innovatiivista varastointihanketta, jotka vastaavat vähintään </w:t>
            </w:r>
            <w:r>
              <w:rPr>
                <w:noProof/>
              </w:rPr>
              <w:t>660 MW:n asennettua kokonaiskapasiteettia tai vastaavaa energian kokonaistoimitusta (MWh).</w:t>
            </w:r>
          </w:p>
        </w:tc>
      </w:tr>
      <w:tr w:rsidR="000E48CE" w14:paraId="45A4480E" w14:textId="77777777">
        <w:trPr>
          <w:trHeight w:val="309"/>
        </w:trPr>
        <w:tc>
          <w:tcPr>
            <w:tcW w:w="709" w:type="dxa"/>
            <w:shd w:val="clear" w:color="auto" w:fill="C6EFCE"/>
            <w:noWrap/>
          </w:tcPr>
          <w:p w14:paraId="29CB5CC8" w14:textId="77777777" w:rsidR="000E48CE" w:rsidRDefault="00FF4C4E">
            <w:pPr>
              <w:pStyle w:val="P68B1DB1-Normal13"/>
              <w:spacing w:after="0" w:line="240" w:lineRule="auto"/>
              <w:jc w:val="center"/>
              <w:rPr>
                <w:rFonts w:eastAsia="Symbol" w:cs="Times New Roman"/>
                <w:noProof/>
              </w:rPr>
            </w:pPr>
            <w:r>
              <w:rPr>
                <w:noProof/>
              </w:rPr>
              <w:t>126</w:t>
            </w:r>
          </w:p>
        </w:tc>
        <w:tc>
          <w:tcPr>
            <w:tcW w:w="851" w:type="dxa"/>
            <w:shd w:val="clear" w:color="auto" w:fill="C6EFCE"/>
            <w:noWrap/>
          </w:tcPr>
          <w:p w14:paraId="3FC33339" w14:textId="77777777" w:rsidR="000E48CE" w:rsidRDefault="00FF4C4E">
            <w:pPr>
              <w:pStyle w:val="P68B1DB1-Normal13"/>
              <w:spacing w:after="0" w:line="240" w:lineRule="auto"/>
              <w:jc w:val="center"/>
              <w:rPr>
                <w:rFonts w:eastAsia="Symbol" w:cs="Times New Roman"/>
                <w:noProof/>
              </w:rPr>
            </w:pPr>
            <w:r>
              <w:rPr>
                <w:noProof/>
              </w:rPr>
              <w:t>C8.I1</w:t>
            </w:r>
          </w:p>
        </w:tc>
        <w:tc>
          <w:tcPr>
            <w:tcW w:w="850" w:type="dxa"/>
            <w:shd w:val="clear" w:color="auto" w:fill="C6EFCE"/>
            <w:noWrap/>
          </w:tcPr>
          <w:p w14:paraId="18E03913" w14:textId="77777777" w:rsidR="000E48CE" w:rsidRDefault="00FF4C4E">
            <w:pPr>
              <w:pStyle w:val="P68B1DB1-Normal13"/>
              <w:spacing w:after="0" w:line="240" w:lineRule="auto"/>
              <w:jc w:val="center"/>
              <w:rPr>
                <w:rFonts w:eastAsia="Symbol" w:cs="Times New Roman"/>
                <w:noProof/>
              </w:rPr>
            </w:pPr>
            <w:r>
              <w:rPr>
                <w:noProof/>
              </w:rPr>
              <w:t>T</w:t>
            </w:r>
          </w:p>
        </w:tc>
        <w:tc>
          <w:tcPr>
            <w:tcW w:w="2410" w:type="dxa"/>
            <w:shd w:val="clear" w:color="auto" w:fill="C6EFCE"/>
            <w:noWrap/>
          </w:tcPr>
          <w:p w14:paraId="27F78DE3" w14:textId="77777777" w:rsidR="000E48CE" w:rsidRDefault="00FF4C4E">
            <w:pPr>
              <w:pStyle w:val="P68B1DB1-Normal13"/>
              <w:spacing w:after="0" w:line="240" w:lineRule="auto"/>
              <w:rPr>
                <w:rFonts w:eastAsia="Symbol" w:cs="Times New Roman"/>
                <w:noProof/>
              </w:rPr>
            </w:pPr>
            <w:r>
              <w:rPr>
                <w:noProof/>
              </w:rPr>
              <w:t xml:space="preserve">Innovatiiviset varastointihankkeet toiminnassa </w:t>
            </w:r>
          </w:p>
        </w:tc>
        <w:tc>
          <w:tcPr>
            <w:tcW w:w="1134" w:type="dxa"/>
            <w:shd w:val="clear" w:color="auto" w:fill="C6EFCE"/>
            <w:noWrap/>
          </w:tcPr>
          <w:p w14:paraId="781E6FF2" w14:textId="77777777" w:rsidR="000E48CE" w:rsidRDefault="00FF4C4E">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5FDC705A" w14:textId="77777777" w:rsidR="000E48CE" w:rsidRDefault="00FF4C4E">
            <w:pPr>
              <w:pStyle w:val="P68B1DB1-Normal13"/>
              <w:spacing w:after="0" w:line="240" w:lineRule="auto"/>
              <w:rPr>
                <w:rFonts w:eastAsia="Symbol" w:cs="Times New Roman"/>
                <w:noProof/>
              </w:rPr>
            </w:pPr>
            <w:r>
              <w:rPr>
                <w:noProof/>
              </w:rPr>
              <w:t>Määrä</w:t>
            </w:r>
          </w:p>
        </w:tc>
        <w:tc>
          <w:tcPr>
            <w:tcW w:w="567" w:type="dxa"/>
            <w:shd w:val="clear" w:color="auto" w:fill="C6EFCE"/>
            <w:noWrap/>
          </w:tcPr>
          <w:p w14:paraId="22BA10F0" w14:textId="77777777" w:rsidR="000E48CE" w:rsidRDefault="00FF4C4E">
            <w:pPr>
              <w:pStyle w:val="P68B1DB1-Normal13"/>
              <w:spacing w:after="0" w:line="240" w:lineRule="auto"/>
              <w:rPr>
                <w:rFonts w:eastAsia="Symbol" w:cs="Times New Roman"/>
                <w:noProof/>
              </w:rPr>
            </w:pPr>
            <w:r>
              <w:rPr>
                <w:noProof/>
              </w:rPr>
              <w:t>0</w:t>
            </w:r>
          </w:p>
        </w:tc>
        <w:tc>
          <w:tcPr>
            <w:tcW w:w="567" w:type="dxa"/>
            <w:shd w:val="clear" w:color="auto" w:fill="C6EFCE"/>
            <w:noWrap/>
          </w:tcPr>
          <w:p w14:paraId="729DE7E4" w14:textId="77777777" w:rsidR="000E48CE" w:rsidRDefault="00FF4C4E">
            <w:pPr>
              <w:pStyle w:val="P68B1DB1-Normal13"/>
              <w:spacing w:after="0" w:line="240" w:lineRule="auto"/>
              <w:rPr>
                <w:rFonts w:eastAsia="Symbol" w:cs="Times New Roman"/>
                <w:noProof/>
              </w:rPr>
            </w:pPr>
            <w:r>
              <w:rPr>
                <w:noProof/>
              </w:rPr>
              <w:t>5</w:t>
            </w:r>
          </w:p>
        </w:tc>
        <w:tc>
          <w:tcPr>
            <w:tcW w:w="567" w:type="dxa"/>
            <w:shd w:val="clear" w:color="auto" w:fill="C6EFCE"/>
            <w:noWrap/>
          </w:tcPr>
          <w:p w14:paraId="7E7AE58A" w14:textId="77777777" w:rsidR="000E48CE" w:rsidRDefault="00FF4C4E">
            <w:pPr>
              <w:pStyle w:val="P68B1DB1-Normal13"/>
              <w:spacing w:after="0" w:line="240" w:lineRule="auto"/>
              <w:rPr>
                <w:rFonts w:eastAsia="Symbol" w:cs="Times New Roman"/>
                <w:noProof/>
              </w:rPr>
            </w:pPr>
            <w:r>
              <w:rPr>
                <w:noProof/>
              </w:rPr>
              <w:t>Q2</w:t>
            </w:r>
          </w:p>
        </w:tc>
        <w:tc>
          <w:tcPr>
            <w:tcW w:w="567" w:type="dxa"/>
            <w:shd w:val="clear" w:color="auto" w:fill="C6EFCE"/>
            <w:noWrap/>
          </w:tcPr>
          <w:p w14:paraId="591965C3" w14:textId="77777777" w:rsidR="000E48CE" w:rsidRDefault="00FF4C4E">
            <w:pPr>
              <w:pStyle w:val="P68B1DB1-Normal13"/>
              <w:spacing w:after="0" w:line="240" w:lineRule="auto"/>
              <w:rPr>
                <w:rFonts w:eastAsia="Symbol" w:cs="Times New Roman"/>
                <w:noProof/>
              </w:rPr>
            </w:pPr>
            <w:r>
              <w:rPr>
                <w:noProof/>
              </w:rPr>
              <w:t>2026</w:t>
            </w:r>
          </w:p>
        </w:tc>
        <w:tc>
          <w:tcPr>
            <w:tcW w:w="6237" w:type="dxa"/>
            <w:shd w:val="clear" w:color="auto" w:fill="C6EFCE"/>
            <w:noWrap/>
          </w:tcPr>
          <w:p w14:paraId="1A697520" w14:textId="7D04B1BC" w:rsidR="000E48CE" w:rsidRDefault="00FF4C4E">
            <w:pPr>
              <w:pStyle w:val="P68B1DB1-Normal13"/>
              <w:spacing w:after="0" w:line="240" w:lineRule="auto"/>
              <w:rPr>
                <w:rFonts w:eastAsia="Symbol" w:cs="Times New Roman"/>
                <w:noProof/>
              </w:rPr>
            </w:pPr>
            <w:r>
              <w:rPr>
                <w:noProof/>
              </w:rPr>
              <w:t xml:space="preserve">Toiminnassa on vähintään viisi innovatiivista varastointihanketta, jotka vastaavat </w:t>
            </w:r>
            <w:r>
              <w:rPr>
                <w:noProof/>
              </w:rPr>
              <w:t>vähintään 660 MW:n asennettua kokonaiskapasiteettia tai vastaavaa energian kokonaistoimitusta (MWh).</w:t>
            </w:r>
          </w:p>
        </w:tc>
      </w:tr>
      <w:tr w:rsidR="000E48CE" w14:paraId="5B483695" w14:textId="77777777">
        <w:trPr>
          <w:trHeight w:val="309"/>
        </w:trPr>
        <w:tc>
          <w:tcPr>
            <w:tcW w:w="709" w:type="dxa"/>
            <w:shd w:val="clear" w:color="auto" w:fill="C6EFCE"/>
            <w:noWrap/>
          </w:tcPr>
          <w:p w14:paraId="1D66412A" w14:textId="77777777" w:rsidR="000E48CE" w:rsidRDefault="00FF4C4E">
            <w:pPr>
              <w:pStyle w:val="P68B1DB1-Normal13"/>
              <w:spacing w:after="0" w:line="240" w:lineRule="auto"/>
              <w:jc w:val="center"/>
              <w:rPr>
                <w:rFonts w:eastAsia="Symbol" w:cs="Times New Roman"/>
                <w:noProof/>
              </w:rPr>
            </w:pPr>
            <w:r>
              <w:rPr>
                <w:noProof/>
              </w:rPr>
              <w:t>127</w:t>
            </w:r>
          </w:p>
        </w:tc>
        <w:tc>
          <w:tcPr>
            <w:tcW w:w="851" w:type="dxa"/>
            <w:shd w:val="clear" w:color="auto" w:fill="C6EFCE"/>
            <w:noWrap/>
          </w:tcPr>
          <w:p w14:paraId="7CB14AB8" w14:textId="77777777" w:rsidR="000E48CE" w:rsidRDefault="00FF4C4E">
            <w:pPr>
              <w:pStyle w:val="P68B1DB1-Normal13"/>
              <w:spacing w:after="0" w:line="240" w:lineRule="auto"/>
              <w:jc w:val="center"/>
              <w:rPr>
                <w:rFonts w:eastAsia="Symbol" w:cs="Times New Roman"/>
                <w:noProof/>
              </w:rPr>
            </w:pPr>
            <w:r>
              <w:rPr>
                <w:noProof/>
              </w:rPr>
              <w:t>C8.I2</w:t>
            </w:r>
          </w:p>
        </w:tc>
        <w:tc>
          <w:tcPr>
            <w:tcW w:w="850" w:type="dxa"/>
            <w:shd w:val="clear" w:color="auto" w:fill="C6EFCE"/>
            <w:noWrap/>
          </w:tcPr>
          <w:p w14:paraId="39FE3A95" w14:textId="77777777" w:rsidR="000E48CE" w:rsidRDefault="00FF4C4E">
            <w:pPr>
              <w:pStyle w:val="P68B1DB1-Normal13"/>
              <w:spacing w:after="0" w:line="240" w:lineRule="auto"/>
              <w:jc w:val="center"/>
              <w:rPr>
                <w:rFonts w:eastAsia="Symbol" w:cs="Times New Roman"/>
                <w:noProof/>
              </w:rPr>
            </w:pPr>
            <w:r>
              <w:rPr>
                <w:noProof/>
              </w:rPr>
              <w:t>T</w:t>
            </w:r>
          </w:p>
        </w:tc>
        <w:tc>
          <w:tcPr>
            <w:tcW w:w="2410" w:type="dxa"/>
            <w:shd w:val="clear" w:color="auto" w:fill="C6EFCE"/>
            <w:noWrap/>
          </w:tcPr>
          <w:p w14:paraId="131AF0C6" w14:textId="77777777" w:rsidR="000E48CE" w:rsidRDefault="00FF4C4E">
            <w:pPr>
              <w:pStyle w:val="P68B1DB1-Normal13"/>
              <w:spacing w:after="0" w:line="240" w:lineRule="auto"/>
              <w:rPr>
                <w:rFonts w:eastAsia="Symbol" w:cs="Times New Roman"/>
                <w:noProof/>
              </w:rPr>
            </w:pPr>
            <w:r>
              <w:rPr>
                <w:noProof/>
              </w:rPr>
              <w:t>Innovatiiviset digitalisointihankkeet sähkönjakelussa</w:t>
            </w:r>
          </w:p>
        </w:tc>
        <w:tc>
          <w:tcPr>
            <w:tcW w:w="1134" w:type="dxa"/>
            <w:shd w:val="clear" w:color="auto" w:fill="C6EFCE"/>
            <w:noWrap/>
          </w:tcPr>
          <w:p w14:paraId="6A595F49" w14:textId="77777777" w:rsidR="000E48CE" w:rsidRDefault="00FF4C4E">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5BE55C08" w14:textId="77777777" w:rsidR="000E48CE" w:rsidRDefault="00FF4C4E">
            <w:pPr>
              <w:pStyle w:val="P68B1DB1-Normal13"/>
              <w:spacing w:after="0" w:line="240" w:lineRule="auto"/>
              <w:rPr>
                <w:rFonts w:eastAsia="Symbol" w:cs="Times New Roman"/>
                <w:noProof/>
              </w:rPr>
            </w:pPr>
            <w:r>
              <w:rPr>
                <w:noProof/>
              </w:rPr>
              <w:t>Määrä</w:t>
            </w:r>
          </w:p>
        </w:tc>
        <w:tc>
          <w:tcPr>
            <w:tcW w:w="567" w:type="dxa"/>
            <w:shd w:val="clear" w:color="auto" w:fill="C6EFCE"/>
            <w:noWrap/>
          </w:tcPr>
          <w:p w14:paraId="55C3BA76" w14:textId="77777777" w:rsidR="000E48CE" w:rsidRDefault="00FF4C4E">
            <w:pPr>
              <w:pStyle w:val="P68B1DB1-Normal13"/>
              <w:spacing w:after="0" w:line="240" w:lineRule="auto"/>
              <w:rPr>
                <w:rFonts w:eastAsia="Symbol" w:cs="Times New Roman"/>
                <w:noProof/>
              </w:rPr>
            </w:pPr>
            <w:r>
              <w:rPr>
                <w:noProof/>
              </w:rPr>
              <w:t>0</w:t>
            </w:r>
          </w:p>
        </w:tc>
        <w:tc>
          <w:tcPr>
            <w:tcW w:w="567" w:type="dxa"/>
            <w:shd w:val="clear" w:color="auto" w:fill="C6EFCE"/>
            <w:noWrap/>
          </w:tcPr>
          <w:p w14:paraId="491C6846" w14:textId="77777777" w:rsidR="000E48CE" w:rsidRDefault="00FF4C4E">
            <w:pPr>
              <w:pStyle w:val="P68B1DB1-Normal13"/>
              <w:spacing w:after="0" w:line="240" w:lineRule="auto"/>
              <w:rPr>
                <w:rFonts w:eastAsia="Symbol" w:cs="Times New Roman"/>
                <w:noProof/>
              </w:rPr>
            </w:pPr>
            <w:r>
              <w:rPr>
                <w:noProof/>
              </w:rPr>
              <w:t>35</w:t>
            </w:r>
          </w:p>
        </w:tc>
        <w:tc>
          <w:tcPr>
            <w:tcW w:w="567" w:type="dxa"/>
            <w:shd w:val="clear" w:color="auto" w:fill="C6EFCE"/>
            <w:noWrap/>
          </w:tcPr>
          <w:p w14:paraId="238BEE81" w14:textId="77777777" w:rsidR="000E48CE" w:rsidRDefault="00FF4C4E">
            <w:pPr>
              <w:pStyle w:val="P68B1DB1-Normal13"/>
              <w:spacing w:after="0" w:line="240" w:lineRule="auto"/>
              <w:rPr>
                <w:rFonts w:eastAsia="Symbol" w:cs="Times New Roman"/>
                <w:noProof/>
              </w:rPr>
            </w:pPr>
            <w:r>
              <w:rPr>
                <w:noProof/>
              </w:rPr>
              <w:t>Q4</w:t>
            </w:r>
          </w:p>
        </w:tc>
        <w:tc>
          <w:tcPr>
            <w:tcW w:w="567" w:type="dxa"/>
            <w:shd w:val="clear" w:color="auto" w:fill="C6EFCE"/>
            <w:noWrap/>
          </w:tcPr>
          <w:p w14:paraId="14D07E19" w14:textId="77777777" w:rsidR="000E48CE" w:rsidRDefault="00FF4C4E">
            <w:pPr>
              <w:pStyle w:val="P68B1DB1-Normal13"/>
              <w:spacing w:after="0" w:line="240" w:lineRule="auto"/>
              <w:rPr>
                <w:rFonts w:eastAsia="Symbol" w:cs="Times New Roman"/>
                <w:noProof/>
              </w:rPr>
            </w:pPr>
            <w:r>
              <w:rPr>
                <w:noProof/>
              </w:rPr>
              <w:t>2023</w:t>
            </w:r>
          </w:p>
        </w:tc>
        <w:tc>
          <w:tcPr>
            <w:tcW w:w="6237" w:type="dxa"/>
            <w:shd w:val="clear" w:color="auto" w:fill="C6EFCE"/>
            <w:noWrap/>
          </w:tcPr>
          <w:p w14:paraId="553A4548" w14:textId="77777777" w:rsidR="000E48CE" w:rsidRDefault="00FF4C4E">
            <w:pPr>
              <w:pStyle w:val="P68B1DB1-Normal13"/>
              <w:spacing w:after="0" w:line="240" w:lineRule="auto"/>
              <w:rPr>
                <w:rFonts w:eastAsia="Symbol" w:cs="Times New Roman"/>
                <w:noProof/>
              </w:rPr>
            </w:pPr>
            <w:r>
              <w:rPr>
                <w:noProof/>
              </w:rPr>
              <w:t xml:space="preserve">Vähintään 35 innovatiivista digitalisointihanketta (mukaan lukien verkon automatisointi), jotka myönnetään jakeluyrityksille </w:t>
            </w:r>
            <w:r>
              <w:rPr>
                <w:i/>
                <w:noProof/>
              </w:rPr>
              <w:t xml:space="preserve">Comisión Nacional de los Mercados y la Competencian yleiskirjeessä 6/2019 esitettyjen ominaisuuksien ja määritelmien mukaisesti. </w:t>
            </w:r>
          </w:p>
        </w:tc>
      </w:tr>
      <w:tr w:rsidR="000E48CE" w14:paraId="059216D8" w14:textId="77777777">
        <w:trPr>
          <w:trHeight w:val="309"/>
        </w:trPr>
        <w:tc>
          <w:tcPr>
            <w:tcW w:w="709" w:type="dxa"/>
            <w:shd w:val="clear" w:color="auto" w:fill="C6EFCE"/>
            <w:noWrap/>
          </w:tcPr>
          <w:p w14:paraId="2D965B08" w14:textId="77777777" w:rsidR="000E48CE" w:rsidRDefault="00FF4C4E">
            <w:pPr>
              <w:pStyle w:val="P68B1DB1-Normal13"/>
              <w:spacing w:after="0" w:line="240" w:lineRule="auto"/>
              <w:jc w:val="center"/>
              <w:rPr>
                <w:rFonts w:eastAsia="Symbol" w:cs="Times New Roman"/>
                <w:noProof/>
              </w:rPr>
            </w:pPr>
            <w:r>
              <w:rPr>
                <w:noProof/>
              </w:rPr>
              <w:t>128</w:t>
            </w:r>
          </w:p>
        </w:tc>
        <w:tc>
          <w:tcPr>
            <w:tcW w:w="851" w:type="dxa"/>
            <w:shd w:val="clear" w:color="auto" w:fill="C6EFCE"/>
            <w:noWrap/>
          </w:tcPr>
          <w:p w14:paraId="028AA18D" w14:textId="77777777" w:rsidR="000E48CE" w:rsidRDefault="00FF4C4E">
            <w:pPr>
              <w:pStyle w:val="P68B1DB1-Normal13"/>
              <w:spacing w:after="0" w:line="240" w:lineRule="auto"/>
              <w:jc w:val="center"/>
              <w:rPr>
                <w:rFonts w:eastAsia="Symbol" w:cs="Times New Roman"/>
                <w:noProof/>
              </w:rPr>
            </w:pPr>
            <w:r>
              <w:rPr>
                <w:noProof/>
              </w:rPr>
              <w:t>C8.I3</w:t>
            </w:r>
          </w:p>
        </w:tc>
        <w:tc>
          <w:tcPr>
            <w:tcW w:w="850" w:type="dxa"/>
            <w:shd w:val="clear" w:color="auto" w:fill="C6EFCE"/>
            <w:noWrap/>
          </w:tcPr>
          <w:p w14:paraId="2691E9AB" w14:textId="77777777" w:rsidR="000E48CE" w:rsidRDefault="00FF4C4E">
            <w:pPr>
              <w:pStyle w:val="P68B1DB1-Normal13"/>
              <w:spacing w:after="0" w:line="240" w:lineRule="auto"/>
              <w:jc w:val="center"/>
              <w:rPr>
                <w:rFonts w:eastAsia="Symbol" w:cs="Times New Roman"/>
                <w:noProof/>
              </w:rPr>
            </w:pPr>
            <w:r>
              <w:rPr>
                <w:noProof/>
              </w:rPr>
              <w:t>T</w:t>
            </w:r>
          </w:p>
        </w:tc>
        <w:tc>
          <w:tcPr>
            <w:tcW w:w="2410" w:type="dxa"/>
            <w:shd w:val="clear" w:color="auto" w:fill="C6EFCE"/>
            <w:noWrap/>
          </w:tcPr>
          <w:p w14:paraId="35733FA2" w14:textId="77777777" w:rsidR="000E48CE" w:rsidRDefault="00FF4C4E">
            <w:pPr>
              <w:pStyle w:val="P68B1DB1-Normal13"/>
              <w:spacing w:after="0" w:line="240" w:lineRule="auto"/>
              <w:rPr>
                <w:rFonts w:eastAsia="Symbol" w:cs="Times New Roman"/>
                <w:noProof/>
              </w:rPr>
            </w:pPr>
            <w:r>
              <w:rPr>
                <w:noProof/>
              </w:rPr>
              <w:t>Energiakäänteen uusia liiketoimintamalleja edistävät hankkeet</w:t>
            </w:r>
          </w:p>
        </w:tc>
        <w:tc>
          <w:tcPr>
            <w:tcW w:w="1134" w:type="dxa"/>
            <w:shd w:val="clear" w:color="auto" w:fill="C6EFCE"/>
            <w:noWrap/>
          </w:tcPr>
          <w:p w14:paraId="541EC805" w14:textId="77777777" w:rsidR="000E48CE" w:rsidRDefault="00FF4C4E">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06746E3A" w14:textId="77777777" w:rsidR="000E48CE" w:rsidRDefault="00FF4C4E">
            <w:pPr>
              <w:pStyle w:val="P68B1DB1-Normal13"/>
              <w:spacing w:after="0" w:line="240" w:lineRule="auto"/>
              <w:rPr>
                <w:rFonts w:eastAsia="Symbol" w:cs="Times New Roman"/>
                <w:noProof/>
              </w:rPr>
            </w:pPr>
            <w:r>
              <w:rPr>
                <w:noProof/>
              </w:rPr>
              <w:t>Määrä</w:t>
            </w:r>
          </w:p>
        </w:tc>
        <w:tc>
          <w:tcPr>
            <w:tcW w:w="567" w:type="dxa"/>
            <w:shd w:val="clear" w:color="auto" w:fill="C6EFCE"/>
            <w:noWrap/>
          </w:tcPr>
          <w:p w14:paraId="50BD7287" w14:textId="77777777" w:rsidR="000E48CE" w:rsidRDefault="00FF4C4E">
            <w:pPr>
              <w:pStyle w:val="P68B1DB1-Normal13"/>
              <w:spacing w:after="0" w:line="240" w:lineRule="auto"/>
              <w:rPr>
                <w:rFonts w:eastAsia="Symbol" w:cs="Times New Roman"/>
                <w:noProof/>
              </w:rPr>
            </w:pPr>
            <w:r>
              <w:rPr>
                <w:noProof/>
              </w:rPr>
              <w:t>0</w:t>
            </w:r>
          </w:p>
        </w:tc>
        <w:tc>
          <w:tcPr>
            <w:tcW w:w="567" w:type="dxa"/>
            <w:shd w:val="clear" w:color="auto" w:fill="C6EFCE"/>
            <w:noWrap/>
          </w:tcPr>
          <w:p w14:paraId="4818E51F" w14:textId="77777777" w:rsidR="000E48CE" w:rsidRDefault="00FF4C4E">
            <w:pPr>
              <w:pStyle w:val="P68B1DB1-Normal13"/>
              <w:spacing w:after="0" w:line="240" w:lineRule="auto"/>
              <w:rPr>
                <w:rFonts w:eastAsia="Symbol" w:cs="Times New Roman"/>
                <w:noProof/>
              </w:rPr>
            </w:pPr>
            <w:r>
              <w:rPr>
                <w:noProof/>
              </w:rPr>
              <w:t>18</w:t>
            </w:r>
          </w:p>
        </w:tc>
        <w:tc>
          <w:tcPr>
            <w:tcW w:w="567" w:type="dxa"/>
            <w:shd w:val="clear" w:color="auto" w:fill="C6EFCE"/>
            <w:noWrap/>
          </w:tcPr>
          <w:p w14:paraId="486814C6" w14:textId="77777777" w:rsidR="000E48CE" w:rsidRDefault="00FF4C4E">
            <w:pPr>
              <w:pStyle w:val="P68B1DB1-Normal13"/>
              <w:spacing w:after="0" w:line="240" w:lineRule="auto"/>
              <w:rPr>
                <w:rFonts w:eastAsia="Symbol" w:cs="Times New Roman"/>
                <w:noProof/>
              </w:rPr>
            </w:pPr>
            <w:r>
              <w:rPr>
                <w:noProof/>
              </w:rPr>
              <w:t>Q4</w:t>
            </w:r>
          </w:p>
        </w:tc>
        <w:tc>
          <w:tcPr>
            <w:tcW w:w="567" w:type="dxa"/>
            <w:shd w:val="clear" w:color="auto" w:fill="C6EFCE"/>
            <w:noWrap/>
          </w:tcPr>
          <w:p w14:paraId="45709DDA" w14:textId="77777777" w:rsidR="000E48CE" w:rsidRDefault="00FF4C4E">
            <w:pPr>
              <w:pStyle w:val="P68B1DB1-Normal13"/>
              <w:spacing w:after="0" w:line="240" w:lineRule="auto"/>
              <w:rPr>
                <w:rFonts w:eastAsia="Symbol" w:cs="Times New Roman"/>
                <w:noProof/>
              </w:rPr>
            </w:pPr>
            <w:r>
              <w:rPr>
                <w:noProof/>
              </w:rPr>
              <w:t>2023</w:t>
            </w:r>
          </w:p>
        </w:tc>
        <w:tc>
          <w:tcPr>
            <w:tcW w:w="6237" w:type="dxa"/>
            <w:shd w:val="clear" w:color="auto" w:fill="C6EFCE"/>
            <w:noWrap/>
          </w:tcPr>
          <w:p w14:paraId="53F8B662" w14:textId="77777777" w:rsidR="000E48CE" w:rsidRDefault="00FF4C4E">
            <w:pPr>
              <w:pStyle w:val="P68B1DB1-Normal13"/>
              <w:spacing w:after="0" w:line="240" w:lineRule="auto"/>
              <w:rPr>
                <w:rFonts w:eastAsia="Symbol" w:cs="Times New Roman"/>
                <w:noProof/>
              </w:rPr>
            </w:pPr>
            <w:r>
              <w:rPr>
                <w:noProof/>
              </w:rPr>
              <w:t xml:space="preserve">Tukea myönnetään vähintään 18 hankkeelle, joilla edistetään energiakäänteen uusia liiketoimintamalleja, kuten älykästä mittausta, varastointia, kysyntäjoustoa, </w:t>
            </w:r>
            <w:r>
              <w:rPr>
                <w:noProof/>
              </w:rPr>
              <w:t>joustopalveluja ja dataa.</w:t>
            </w:r>
          </w:p>
        </w:tc>
      </w:tr>
    </w:tbl>
    <w:p w14:paraId="5BE93A62" w14:textId="77777777" w:rsidR="000E48CE" w:rsidRDefault="000E48CE">
      <w:pPr>
        <w:spacing w:before="120" w:after="120" w:line="240" w:lineRule="auto"/>
        <w:ind w:left="709"/>
        <w:jc w:val="both"/>
        <w:rPr>
          <w:rFonts w:ascii="Times New Roman" w:hAnsi="Times New Roman" w:cs="Times New Roman"/>
          <w:noProof/>
          <w:sz w:val="24"/>
        </w:rPr>
        <w:sectPr w:rsidR="000E48CE" w:rsidSect="00B90E2C">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417" w:right="1134" w:bottom="1417" w:left="1134" w:header="709" w:footer="709" w:gutter="0"/>
          <w:cols w:space="720"/>
          <w:docGrid w:linePitch="360"/>
        </w:sectPr>
      </w:pPr>
    </w:p>
    <w:p w14:paraId="26735E13" w14:textId="61E0CF78" w:rsidR="000E48CE" w:rsidRDefault="00FF4C4E">
      <w:pPr>
        <w:pStyle w:val="P68B1DB1-Heading12"/>
        <w:rPr>
          <w:rFonts w:cs="Times New Roman"/>
          <w:noProof/>
        </w:rPr>
      </w:pPr>
      <w:r>
        <w:rPr>
          <w:noProof/>
        </w:rPr>
        <w:t>I. OSA 9: Uusiutuva vety</w:t>
      </w:r>
    </w:p>
    <w:p w14:paraId="288656AE" w14:textId="77777777" w:rsidR="000E48CE" w:rsidRDefault="00FF4C4E">
      <w:pPr>
        <w:pStyle w:val="P68B1DB1-Normal4"/>
        <w:spacing w:before="100" w:beforeAutospacing="1" w:after="120" w:line="240" w:lineRule="auto"/>
        <w:jc w:val="both"/>
        <w:rPr>
          <w:rFonts w:eastAsia="Symbol" w:cs="Times New Roman"/>
          <w:noProof/>
        </w:rPr>
      </w:pPr>
      <w:r>
        <w:rPr>
          <w:noProof/>
        </w:rPr>
        <w:t xml:space="preserve">Espanjan kansallisessa energia- ja ilmastosuunnitelmassa vuosiksi 2021–2030 pyritään vähentämään kasvihuonekaasupäästöjä 23 prosenttia vuoden </w:t>
      </w:r>
      <w:r>
        <w:rPr>
          <w:noProof/>
        </w:rPr>
        <w:t>1990 tasosta. Espanjan elpymis- ja palautumissuunnitelman komponentin 9 päätavoitteena on kehittää uusiutuvaan energiaan liittyviä vetyteknologioita:</w:t>
      </w:r>
    </w:p>
    <w:p w14:paraId="0D1E20E6" w14:textId="77777777" w:rsidR="000E48CE" w:rsidRDefault="00FF4C4E">
      <w:pPr>
        <w:pStyle w:val="P68B1DB1-Normal4"/>
        <w:numPr>
          <w:ilvl w:val="0"/>
          <w:numId w:val="103"/>
        </w:numPr>
        <w:spacing w:before="120" w:after="100" w:afterAutospacing="1" w:line="240" w:lineRule="auto"/>
        <w:ind w:left="714" w:hanging="357"/>
        <w:jc w:val="both"/>
        <w:rPr>
          <w:rFonts w:eastAsia="Symbol" w:cs="Times New Roman"/>
          <w:noProof/>
        </w:rPr>
      </w:pPr>
      <w:r>
        <w:rPr>
          <w:noProof/>
        </w:rPr>
        <w:t>Energian varastointikeinona sähkön tarjonnan ja kysynnän välisten erojen hallitsemiseksi ja sähköjärjestel</w:t>
      </w:r>
      <w:r>
        <w:rPr>
          <w:noProof/>
        </w:rPr>
        <w:t>män joustavuuden lisäämiseksi.</w:t>
      </w:r>
    </w:p>
    <w:p w14:paraId="3D47ADF2" w14:textId="77777777" w:rsidR="000E48CE" w:rsidRDefault="00FF4C4E">
      <w:pPr>
        <w:pStyle w:val="P68B1DB1-Normal4"/>
        <w:numPr>
          <w:ilvl w:val="0"/>
          <w:numId w:val="103"/>
        </w:numPr>
        <w:spacing w:before="100" w:beforeAutospacing="1" w:after="100" w:afterAutospacing="1" w:line="240" w:lineRule="auto"/>
        <w:jc w:val="both"/>
        <w:rPr>
          <w:rFonts w:eastAsia="Symbol" w:cs="Times New Roman"/>
          <w:noProof/>
        </w:rPr>
      </w:pPr>
      <w:r>
        <w:rPr>
          <w:noProof/>
        </w:rPr>
        <w:t>Edistämällä niiden kehittämistä ja vakiinnuttamista koko teollisuuden arvoketjussa, koska nämä teknologiat eivät ole tällä hetkellä valmiita toimimaan markkinaehdoin;</w:t>
      </w:r>
    </w:p>
    <w:p w14:paraId="42B5638D" w14:textId="77777777" w:rsidR="000E48CE" w:rsidRDefault="00FF4C4E">
      <w:pPr>
        <w:pStyle w:val="P68B1DB1-Normal4"/>
        <w:numPr>
          <w:ilvl w:val="0"/>
          <w:numId w:val="103"/>
        </w:numPr>
        <w:spacing w:before="100" w:beforeAutospacing="1" w:after="100" w:afterAutospacing="1" w:line="240" w:lineRule="auto"/>
        <w:jc w:val="both"/>
        <w:rPr>
          <w:rFonts w:eastAsia="Symbol" w:cs="Times New Roman"/>
          <w:noProof/>
        </w:rPr>
      </w:pPr>
      <w:r>
        <w:rPr>
          <w:noProof/>
        </w:rPr>
        <w:t>Tukemalla niiden integrointia loppukäyttötarkoituksiin, mu</w:t>
      </w:r>
      <w:r>
        <w:rPr>
          <w:noProof/>
        </w:rPr>
        <w:t>kaan lukien fossiilipohjaisen vedyn korvaaminen teollisuudessa; ja</w:t>
      </w:r>
    </w:p>
    <w:p w14:paraId="7330754E" w14:textId="77777777" w:rsidR="000E48CE" w:rsidRDefault="00FF4C4E">
      <w:pPr>
        <w:pStyle w:val="P68B1DB1-Normal4"/>
        <w:numPr>
          <w:ilvl w:val="0"/>
          <w:numId w:val="103"/>
        </w:numPr>
        <w:spacing w:before="100" w:beforeAutospacing="1" w:after="100" w:afterAutospacing="1" w:line="240" w:lineRule="auto"/>
        <w:jc w:val="both"/>
        <w:rPr>
          <w:rFonts w:eastAsia="Symbol" w:cs="Times New Roman"/>
          <w:noProof/>
        </w:rPr>
      </w:pPr>
      <w:r>
        <w:rPr>
          <w:noProof/>
        </w:rPr>
        <w:t>Kehittämällä vihreitä taitoja.</w:t>
      </w:r>
    </w:p>
    <w:p w14:paraId="4BF6AF04" w14:textId="77777777" w:rsidR="000E48CE" w:rsidRDefault="00FF4C4E">
      <w:pPr>
        <w:pStyle w:val="P68B1DB1-Normal4"/>
        <w:spacing w:before="120" w:after="120" w:line="240" w:lineRule="auto"/>
        <w:jc w:val="both"/>
        <w:rPr>
          <w:rFonts w:eastAsia="Symbol" w:cs="Times New Roman"/>
          <w:noProof/>
        </w:rPr>
      </w:pPr>
      <w:r>
        <w:rPr>
          <w:noProof/>
        </w:rPr>
        <w:t>Tämä Espanjan elpymis- ja palautumissuunnitelman osa kattaa maakohtaiset suositukset, joilla edistetään investointeja innovointiin ja energiatehokkuuteen (maa</w:t>
      </w:r>
      <w:r>
        <w:rPr>
          <w:noProof/>
        </w:rPr>
        <w:t>kohtainen suositus 3 2019) ja edistetään vihreää siirtymää (maakohtainen suositus 3 2020).</w:t>
      </w:r>
    </w:p>
    <w:p w14:paraId="2842BC08" w14:textId="77777777" w:rsidR="000E48CE" w:rsidRDefault="00FF4C4E">
      <w:pPr>
        <w:pStyle w:val="P68B1DB1-Normal4"/>
        <w:spacing w:before="120" w:after="120" w:line="240" w:lineRule="auto"/>
        <w:jc w:val="both"/>
        <w:rPr>
          <w:rFonts w:eastAsia="Symbol" w:cs="Times New Roman"/>
          <w:noProof/>
        </w:rPr>
      </w:pPr>
      <w:r>
        <w:rPr>
          <w:noProof/>
        </w:rPr>
        <w:t>Komponentti on osa uusiutuvaa energiaa koskevaa strategiaa, joka tukee Espanjan elpymis- ja palautumissuunnitelman komponentteja 1 ja 6 (vedyn käyttö liikennetarkoit</w:t>
      </w:r>
      <w:r>
        <w:rPr>
          <w:noProof/>
        </w:rPr>
        <w:t>uksiin), komponenttia 7 (uusiutuvan energian tuotanto) ja komponenttia 8 (varastointi ja älykkäät verkot).</w:t>
      </w:r>
    </w:p>
    <w:p w14:paraId="78BACA75" w14:textId="77777777" w:rsidR="000E48CE" w:rsidRDefault="00FF4C4E">
      <w:pPr>
        <w:pStyle w:val="P68B1DB1-Normal4"/>
        <w:spacing w:before="120" w:after="120" w:line="240" w:lineRule="auto"/>
        <w:jc w:val="both"/>
        <w:rPr>
          <w:rFonts w:eastAsia="Symbol" w:cs="Times New Roman"/>
          <w:noProof/>
        </w:rPr>
      </w:pPr>
      <w:r>
        <w:rPr>
          <w:noProof/>
        </w:rPr>
        <w:t>Minkään tämän komponentin toimenpiteen ei odoteta aiheuttavan asetuksen (EU) 2020/852 17 artiklassa tarkoitettua merkittävää haittaa ympäristötavoitt</w:t>
      </w:r>
      <w:r>
        <w:rPr>
          <w:noProof/>
        </w:rPr>
        <w:t>eille, kun otetaan huomioon ”ei merkittävää haittaa” -periaatteen soveltamista koskevien teknisten ohjeiden (2021/C58/01) mukaiset elpymis- ja palautumissuunnitelmassa esitettyjen toimenpiteiden kuvaus ja lieventävät toimet.</w:t>
      </w:r>
    </w:p>
    <w:p w14:paraId="4FF66529" w14:textId="77777777" w:rsidR="000E48CE" w:rsidRDefault="00FF4C4E">
      <w:pPr>
        <w:pStyle w:val="P68B1DB1-Normal5"/>
        <w:spacing w:before="120" w:after="120" w:line="240" w:lineRule="auto"/>
        <w:ind w:left="709"/>
        <w:jc w:val="both"/>
        <w:rPr>
          <w:rFonts w:cs="Times New Roman"/>
          <w:i/>
          <w:noProof/>
        </w:rPr>
      </w:pPr>
      <w:r>
        <w:rPr>
          <w:noProof/>
        </w:rPr>
        <w:t xml:space="preserve">I.1. </w:t>
      </w:r>
      <w:r>
        <w:rPr>
          <w:noProof/>
        </w:rPr>
        <w:tab/>
        <w:t>Kuvaus uudistuksista ja i</w:t>
      </w:r>
      <w:r>
        <w:rPr>
          <w:noProof/>
        </w:rPr>
        <w:t>nvestoinneista, joita rahoitetaan rahoitustuella, jota ei makseta takaisin</w:t>
      </w:r>
    </w:p>
    <w:p w14:paraId="17D959E5" w14:textId="77777777" w:rsidR="000E48CE" w:rsidRDefault="00FF4C4E">
      <w:pPr>
        <w:pStyle w:val="P68B1DB1-Normal6"/>
        <w:spacing w:before="120" w:after="120" w:line="240" w:lineRule="auto"/>
        <w:jc w:val="both"/>
        <w:rPr>
          <w:rFonts w:cs="Times New Roman"/>
          <w:noProof/>
        </w:rPr>
      </w:pPr>
      <w:r>
        <w:rPr>
          <w:noProof/>
        </w:rPr>
        <w:t>Uudistus 1 (C9.R1) – Vetyalan etenemissuunnitelma</w:t>
      </w:r>
    </w:p>
    <w:p w14:paraId="5C4CCA21" w14:textId="77777777" w:rsidR="000E48CE" w:rsidRDefault="00FF4C4E">
      <w:pPr>
        <w:pStyle w:val="P68B1DB1-Normal4"/>
        <w:spacing w:before="120" w:after="120" w:line="240" w:lineRule="auto"/>
        <w:jc w:val="both"/>
        <w:rPr>
          <w:rFonts w:cs="Times New Roman"/>
          <w:noProof/>
        </w:rPr>
      </w:pPr>
      <w:r>
        <w:rPr>
          <w:noProof/>
        </w:rPr>
        <w:t>Tällä toimenpiteellä luodaan puitteet uusiutuvan vedyn kehittämiselle Espanjassa, jäljempänä ’vetyä koskeva etenemissuunnitelma’. T</w:t>
      </w:r>
      <w:r>
        <w:rPr>
          <w:noProof/>
        </w:rPr>
        <w:t>ätä varten siinä määritellään tavoitteet, jotka on saavutettava vuoteen 2030 mennessä asennetun kapasiteetin osalta aloittain (teollisuus ja liikenne). Ministerineuvosto hyväksyi vetyä koskevan etenemissuunnitelman lokakuussa 2020. Toimenpiteellä luodaan m</w:t>
      </w:r>
      <w:r>
        <w:rPr>
          <w:noProof/>
        </w:rPr>
        <w:t>yös konkreettinen keino tukea etenemissuunnitelman täytäntöönpanoa varmistamalla, että vetyelektrolyysilaitteistoille toimitetaan uusiutuvaa energiaa. Asiaan liittyviin sääntelytoimiin on kuuluttava i) sellaisen sääntelyvälineen perustaminen, johon sisälty</w:t>
      </w:r>
      <w:r>
        <w:rPr>
          <w:noProof/>
        </w:rPr>
        <w:t>y uusiutuvien kaasujen, myös uusiutuvan vedyn, alkuperätakuita myöntävien kansallisten elinten nimittäminen ja hallinnointi; ja ii) sääntelymekanismi, jossa vahvistetaan, miten vedyn uusiutuva alkuperä todennetaan.</w:t>
      </w:r>
    </w:p>
    <w:p w14:paraId="25D44E01" w14:textId="77777777" w:rsidR="000E48CE" w:rsidRDefault="00FF4C4E">
      <w:pPr>
        <w:pStyle w:val="P68B1DB1-Normal4"/>
        <w:spacing w:before="120" w:after="120" w:line="240" w:lineRule="auto"/>
        <w:jc w:val="both"/>
        <w:rPr>
          <w:rFonts w:cs="Times New Roman"/>
          <w:noProof/>
        </w:rPr>
      </w:pPr>
      <w:r>
        <w:rPr>
          <w:noProof/>
        </w:rPr>
        <w:t>Uudistus on saatettava päätökseen 30 päiv</w:t>
      </w:r>
      <w:r>
        <w:rPr>
          <w:noProof/>
        </w:rPr>
        <w:t>ään kesäkuuta 2022 mennessä.</w:t>
      </w:r>
    </w:p>
    <w:p w14:paraId="39B5F0A4" w14:textId="77777777" w:rsidR="000E48CE" w:rsidRDefault="00FF4C4E">
      <w:pPr>
        <w:pStyle w:val="P68B1DB1-Normal6"/>
        <w:spacing w:before="120" w:after="120" w:line="240" w:lineRule="auto"/>
        <w:jc w:val="both"/>
        <w:rPr>
          <w:rFonts w:cs="Times New Roman"/>
          <w:noProof/>
        </w:rPr>
      </w:pPr>
      <w:r>
        <w:rPr>
          <w:noProof/>
        </w:rPr>
        <w:t>Investointi 1 (C9.I1) – Uusiutuva vety, maahanke</w:t>
      </w:r>
    </w:p>
    <w:p w14:paraId="3F4F92E4" w14:textId="77777777" w:rsidR="000E48CE" w:rsidRDefault="00FF4C4E">
      <w:pPr>
        <w:pStyle w:val="P68B1DB1-Normal4"/>
        <w:spacing w:before="120" w:after="120" w:line="240" w:lineRule="auto"/>
        <w:jc w:val="both"/>
        <w:rPr>
          <w:rFonts w:cs="Times New Roman"/>
          <w:noProof/>
        </w:rPr>
      </w:pPr>
      <w:r>
        <w:rPr>
          <w:noProof/>
        </w:rPr>
        <w:t xml:space="preserve">Tämän toimenpiteen tarkoituksena on edistää vetyä koskevan etenemissuunnitelman täytäntöönpanoa neljän toimintalinjan mukaisesti. </w:t>
      </w:r>
    </w:p>
    <w:p w14:paraId="1FFCBA85" w14:textId="77777777" w:rsidR="000E48CE" w:rsidRDefault="00FF4C4E">
      <w:pPr>
        <w:pStyle w:val="P68B1DB1-Normal4"/>
        <w:spacing w:before="120" w:after="120" w:line="240" w:lineRule="auto"/>
        <w:jc w:val="both"/>
        <w:rPr>
          <w:rFonts w:cs="Times New Roman"/>
          <w:noProof/>
        </w:rPr>
      </w:pPr>
      <w:r>
        <w:rPr>
          <w:noProof/>
        </w:rPr>
        <w:t>Ensimmäisenä tavoitteena on lisätä Espanjan tietämystä ja innovatiivista arvoketjua erityisesti pk-yritysten osalta. Tämän teknologian varhaisen teknologisen valmiuden tason vuoksi toimenpiteen tarkoituksena on tukea vähintään kymmentä pk-yritystä Espanjan</w:t>
      </w:r>
      <w:r>
        <w:rPr>
          <w:noProof/>
        </w:rPr>
        <w:t xml:space="preserve"> nykyisen arvoketjun vahvistamiseksi ja vahvistamiseksi tehostamalla yhtä tai useampaa seuraavista toimista: tuotantokyky, osaaminen, kilpailukyky, tietämyksen ja teknologian siirto ja/tai kansainvälinen ulottuvuus. Toimenpide kohdistuu myös viiteen teknol</w:t>
      </w:r>
      <w:r>
        <w:rPr>
          <w:noProof/>
        </w:rPr>
        <w:t>ogiseen kehitykseen tai prototyyppiin (kuten elektrolyysilaitteet, kompressorit, varastosäiliöt, polttokennot ja H2-pohjaiset liikennejärjestelmät), mukaan lukien ”ensimmäiset” vedyn tuotantoon, jakelulogistiikkaan tai kulutukseen liittyvien uusien laajenn</w:t>
      </w:r>
      <w:r>
        <w:rPr>
          <w:noProof/>
        </w:rPr>
        <w:t>ettujen mallien tai prototyyppien validoinnin tukemiseksi. Lisäksi toimenpiteeseen on sisällyttävä vähintään kymmenen toimenpidettä, joilla pyritään parantamaan testauslaitoksia tai ottamaan käyttöön vedyn toimitusketjuun kuuluvien keskeisten mahdollistavi</w:t>
      </w:r>
      <w:r>
        <w:rPr>
          <w:noProof/>
        </w:rPr>
        <w:t>en teknologioiden tai järjestelmien, kuten elektrolyysilaitteiden tai polttokennojen, uusia tuotantolinjoja. Niiden on joko parantaa T &amp; K &amp; I-testauslaitoksia tai laboratorioita ja/tai niihin liittyviä laitteita; tai ii) parantaa tiloja ja/tai uusien lait</w:t>
      </w:r>
      <w:r>
        <w:rPr>
          <w:noProof/>
        </w:rPr>
        <w:t>teiden (kuten työstökoneiden) hankintaa vetyyn ja polttokennoihin liittyvien järjestelmien, laitteiden tai komponenttien valmistamiseksi.</w:t>
      </w:r>
    </w:p>
    <w:p w14:paraId="43DBC220" w14:textId="1F89262B" w:rsidR="000E48CE" w:rsidRDefault="00FF4C4E">
      <w:pPr>
        <w:pStyle w:val="P68B1DB1-Normal4"/>
        <w:spacing w:before="120" w:after="120" w:line="240" w:lineRule="auto"/>
        <w:jc w:val="both"/>
        <w:rPr>
          <w:rFonts w:cs="Times New Roman"/>
          <w:noProof/>
        </w:rPr>
      </w:pPr>
      <w:r>
        <w:rPr>
          <w:noProof/>
        </w:rPr>
        <w:t>Toisen toimintalinjan tavoitteena on perustaa kaksi uusiutuvan vedyn klustereita, jotka yhdistävät laajamittaisen tuot</w:t>
      </w:r>
      <w:r>
        <w:rPr>
          <w:noProof/>
        </w:rPr>
        <w:t>annon, jalostuksen ja kulutuksen. Vähintään yhden klusterin tavoitteena on integroida suurikapasiteettinen uusiutuvan vedyn elektrolyysilaite, joka toimittaa vetyä suoraan paikallisille teollisuuskuluttajille. Elektrolyysilaite on hankittava uusiutuvista e</w:t>
      </w:r>
      <w:r>
        <w:rPr>
          <w:noProof/>
        </w:rPr>
        <w:t>nergialähteistä tuotetulla sähköllä. Tuloksena tuotettu vety on integroitava yritysten teollisiin prosesseihin ja toimitusketjuihin (mukaan lukien liiketoimintamallien mukauttaminen ja siirtäminen pois fossiilipohjaisesta vedyn kulutuksesta), jotta voidaan</w:t>
      </w:r>
      <w:r>
        <w:rPr>
          <w:noProof/>
        </w:rPr>
        <w:t xml:space="preserve"> korvata vähintään 5 prosenttia niiden vuotuisesta fossiilipohjaisesta vedyn kulutuksesta. </w:t>
      </w:r>
    </w:p>
    <w:p w14:paraId="444CDF05" w14:textId="77777777" w:rsidR="000E48CE" w:rsidRDefault="00FF4C4E">
      <w:pPr>
        <w:pStyle w:val="P68B1DB1-Normal4"/>
        <w:spacing w:before="120" w:after="120" w:line="240" w:lineRule="auto"/>
        <w:jc w:val="both"/>
        <w:rPr>
          <w:rFonts w:cs="Times New Roman"/>
          <w:noProof/>
        </w:rPr>
      </w:pPr>
      <w:r>
        <w:rPr>
          <w:noProof/>
        </w:rPr>
        <w:t>Kolmannessa toimintalinjassa on tarkoitus tukea vedyn käyttöönottoa useissa muissa (vähintään kymmenessä) uraauurtavassa hankkeessa, joiden koko on pienempi kuin kl</w:t>
      </w:r>
      <w:r>
        <w:rPr>
          <w:noProof/>
        </w:rPr>
        <w:t>usteri. Niissä otetaan käyttöön uusiutuvaa vetyä yhden teollisen solmukohdan ulkopuolella erillisiin energiajärjestelmiin, jotka mahdollistavat uusiutuvan vedyn integroinnin liikenteen kaltaisille aloille. Näiden toimien odotetaan kattavan uusiutuvan vedyn</w:t>
      </w:r>
      <w:r>
        <w:rPr>
          <w:noProof/>
        </w:rPr>
        <w:t xml:space="preserve"> tuotannon, jakelun ja kulutuksen, mikä lisää kattavuutta eri aloilla ja osissa Espanjan aluetta.</w:t>
      </w:r>
    </w:p>
    <w:p w14:paraId="19FE883E" w14:textId="2AA8A10B" w:rsidR="000E48CE" w:rsidRDefault="00FF4C4E">
      <w:pPr>
        <w:pStyle w:val="P68B1DB1-Normal4"/>
        <w:spacing w:before="120" w:after="120" w:line="240" w:lineRule="auto"/>
        <w:jc w:val="both"/>
        <w:rPr>
          <w:rFonts w:cs="Times New Roman"/>
          <w:noProof/>
        </w:rPr>
      </w:pPr>
      <w:r>
        <w:rPr>
          <w:noProof/>
        </w:rPr>
        <w:t>Lisäksi toimenpiteellä pyritään edistämään vetyä osana laajempaa EU:n strategiaa unionin arvoketjun kehittämiseksi. Tämän seurauksena joistakin toimenpiteestä</w:t>
      </w:r>
      <w:r>
        <w:rPr>
          <w:noProof/>
        </w:rPr>
        <w:t xml:space="preserve"> tuetuista yrityksistä voi tulla osa suunniteltua vetyä koskevaa IPCEI-hanketta yhdessä muiden jäsenvaltioiden yritysten kanssa, jotka tukeutuvat asianmukaisiin puitteisiin tehdäkseen yhteistyötä unionissa kansallisten arvoketjujen integroimiseksi kilpailu</w:t>
      </w:r>
      <w:r>
        <w:rPr>
          <w:noProof/>
        </w:rPr>
        <w:t xml:space="preserve">kyvyn parantamiseksi. </w:t>
      </w:r>
    </w:p>
    <w:p w14:paraId="2236E336" w14:textId="47E24862" w:rsidR="000E48CE" w:rsidRDefault="00FF4C4E">
      <w:pPr>
        <w:pStyle w:val="P68B1DB1-Normal4"/>
        <w:spacing w:before="120" w:after="120" w:line="240" w:lineRule="auto"/>
        <w:jc w:val="both"/>
        <w:rPr>
          <w:rFonts w:cs="Times New Roman"/>
          <w:noProof/>
        </w:rPr>
      </w:pPr>
      <w:r>
        <w:rPr>
          <w:noProof/>
        </w:rPr>
        <w:t>Kaikkien elektrolyysilaitteiden sallittu kokonaistuotantokapasiteetti kaikkien neljän C9.I1 kohdassa tarkoitetun toimintalinjan yhdistämisen tuloksena on vähintään 700 MW.</w:t>
      </w:r>
    </w:p>
    <w:p w14:paraId="54D9525F" w14:textId="77777777" w:rsidR="000E48CE" w:rsidRDefault="00FF4C4E">
      <w:pPr>
        <w:pStyle w:val="P68B1DB1-Normal4"/>
        <w:spacing w:before="120" w:after="120" w:line="240" w:lineRule="auto"/>
        <w:jc w:val="both"/>
        <w:rPr>
          <w:rFonts w:cs="Times New Roman"/>
          <w:noProof/>
        </w:rPr>
      </w:pPr>
      <w:r>
        <w:rPr>
          <w:noProof/>
        </w:rPr>
        <w:t>Tämän toimenpiteen ei odoteta aiheuttavan merkittävää haittaa</w:t>
      </w:r>
      <w:r>
        <w:rPr>
          <w:noProof/>
        </w:rPr>
        <w:t xml:space="preserve"> asetuksen (EU) 2020/852 17 artiklassa tarkoitetuille ympäristötavoitteille, kun otetaan huomioon ”ei merkittävää haittaa” -periaatetta koskevien teknisten ohjeiden (2021/C58/01) mukainen elpymis- ja palautumissuunnitelmassa esitetty toimenpiteen kuvaus ja</w:t>
      </w:r>
      <w:r>
        <w:rPr>
          <w:noProof/>
        </w:rPr>
        <w:t xml:space="preserve"> lieventävät toimenpiteet. Uusiutuvan vedyn integroinnilla edistetään erityisesti teollisten prosessien sähköistämistä.</w:t>
      </w:r>
    </w:p>
    <w:p w14:paraId="7DA19D38" w14:textId="77777777" w:rsidR="000E48CE" w:rsidRDefault="00FF4C4E">
      <w:pPr>
        <w:pStyle w:val="P68B1DB1-Normal4"/>
        <w:spacing w:before="120" w:after="120" w:line="240" w:lineRule="auto"/>
        <w:jc w:val="both"/>
        <w:rPr>
          <w:rFonts w:cs="Times New Roman"/>
          <w:noProof/>
        </w:rPr>
      </w:pPr>
      <w:r>
        <w:rPr>
          <w:noProof/>
        </w:rPr>
        <w:t>Tämän investoinnin mukaiset toimet on saatettava päätökseen viimeistään 30 päivänä kesäkuuta 2026.</w:t>
      </w:r>
    </w:p>
    <w:p w14:paraId="43708E19" w14:textId="77777777" w:rsidR="000E48CE" w:rsidRDefault="00FF4C4E">
      <w:pPr>
        <w:pStyle w:val="P68B1DB1-Normal5"/>
        <w:spacing w:before="120" w:after="120" w:line="240" w:lineRule="auto"/>
        <w:ind w:left="709"/>
        <w:jc w:val="both"/>
        <w:rPr>
          <w:rFonts w:cs="Times New Roman"/>
          <w:noProof/>
        </w:rPr>
      </w:pPr>
      <w:r>
        <w:rPr>
          <w:noProof/>
        </w:rPr>
        <w:t xml:space="preserve">I.2 </w:t>
      </w:r>
      <w:r>
        <w:rPr>
          <w:noProof/>
        </w:rPr>
        <w:tab/>
        <w:t>Seurantaa ja täytäntöönpanoa kos</w:t>
      </w:r>
      <w:r>
        <w:rPr>
          <w:noProof/>
        </w:rPr>
        <w:t>kevat välitavoitteet, tavoitteet, indikaattorit ja aikataulu – rahoitustuki, jota ei makseta takaisin</w:t>
      </w:r>
    </w:p>
    <w:p w14:paraId="411B07C8"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 xml:space="preserve">Kaikkien indikaattoreiden perustaso on 1. helmikuuta 2020, ellei toimen kuvauksessa toisin ilmoiteta. Taulukossa esitetyt määrät </w:t>
      </w:r>
      <w:r>
        <w:rPr>
          <w:i/>
          <w:noProof/>
        </w:rPr>
        <w:t>eivät sisällä arvonlisäveroa.</w:t>
      </w:r>
    </w:p>
    <w:p w14:paraId="384BA73E"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198"/>
          <w:headerReference w:type="default" r:id="rId199"/>
          <w:footerReference w:type="even" r:id="rId200"/>
          <w:footerReference w:type="default" r:id="rId201"/>
          <w:headerReference w:type="first" r:id="rId202"/>
          <w:footerReference w:type="first" r:id="rId203"/>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275"/>
        <w:gridCol w:w="851"/>
        <w:gridCol w:w="567"/>
        <w:gridCol w:w="567"/>
        <w:gridCol w:w="425"/>
        <w:gridCol w:w="567"/>
        <w:gridCol w:w="7088"/>
      </w:tblGrid>
      <w:tr w:rsidR="000E48CE" w14:paraId="70B5729A" w14:textId="77777777">
        <w:trPr>
          <w:trHeight w:val="309"/>
          <w:tblHeader/>
        </w:trPr>
        <w:tc>
          <w:tcPr>
            <w:tcW w:w="709" w:type="dxa"/>
            <w:tcBorders>
              <w:bottom w:val="nil"/>
            </w:tcBorders>
            <w:shd w:val="clear" w:color="auto" w:fill="C6D9F1" w:themeFill="text2" w:themeFillTint="33"/>
            <w:noWrap/>
            <w:vAlign w:val="center"/>
          </w:tcPr>
          <w:p w14:paraId="7A0548FF"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4C4718D6"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395E9546"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1560" w:type="dxa"/>
            <w:tcBorders>
              <w:bottom w:val="nil"/>
            </w:tcBorders>
            <w:shd w:val="clear" w:color="auto" w:fill="C6D9F1" w:themeFill="text2" w:themeFillTint="33"/>
            <w:noWrap/>
            <w:vAlign w:val="center"/>
          </w:tcPr>
          <w:p w14:paraId="03B9116E" w14:textId="77777777" w:rsidR="000E48CE" w:rsidRDefault="00FF4C4E">
            <w:pPr>
              <w:pStyle w:val="P68B1DB1-Normal12"/>
              <w:spacing w:after="0" w:line="240" w:lineRule="auto"/>
              <w:jc w:val="center"/>
              <w:rPr>
                <w:rFonts w:cs="Times New Roman"/>
                <w:noProof/>
              </w:rPr>
            </w:pPr>
            <w:r>
              <w:rPr>
                <w:noProof/>
              </w:rPr>
              <w:t>Nimi</w:t>
            </w:r>
          </w:p>
        </w:tc>
        <w:tc>
          <w:tcPr>
            <w:tcW w:w="1275" w:type="dxa"/>
            <w:tcBorders>
              <w:bottom w:val="nil"/>
            </w:tcBorders>
            <w:shd w:val="clear" w:color="auto" w:fill="C6D9F1" w:themeFill="text2" w:themeFillTint="33"/>
            <w:noWrap/>
            <w:vAlign w:val="center"/>
          </w:tcPr>
          <w:p w14:paraId="7AB38A7F"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5" w:type="dxa"/>
            <w:gridSpan w:val="3"/>
            <w:shd w:val="clear" w:color="auto" w:fill="C6D9F1" w:themeFill="text2" w:themeFillTint="33"/>
            <w:noWrap/>
            <w:vAlign w:val="center"/>
          </w:tcPr>
          <w:p w14:paraId="714AE6A0"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56FD496D" w14:textId="77777777" w:rsidR="000E48CE" w:rsidRDefault="00FF4C4E">
            <w:pPr>
              <w:pStyle w:val="P68B1DB1-Normal12"/>
              <w:spacing w:after="0" w:line="240" w:lineRule="auto"/>
              <w:jc w:val="center"/>
              <w:rPr>
                <w:rFonts w:cs="Times New Roman"/>
                <w:noProof/>
              </w:rPr>
            </w:pPr>
            <w:r>
              <w:rPr>
                <w:noProof/>
              </w:rPr>
              <w:t>Aika</w:t>
            </w:r>
          </w:p>
        </w:tc>
        <w:tc>
          <w:tcPr>
            <w:tcW w:w="7088" w:type="dxa"/>
            <w:tcBorders>
              <w:bottom w:val="nil"/>
            </w:tcBorders>
            <w:shd w:val="clear" w:color="auto" w:fill="C6D9F1" w:themeFill="text2" w:themeFillTint="33"/>
            <w:noWrap/>
            <w:vAlign w:val="center"/>
          </w:tcPr>
          <w:p w14:paraId="45F81A50" w14:textId="77777777" w:rsidR="000E48CE" w:rsidRDefault="00FF4C4E">
            <w:pPr>
              <w:pStyle w:val="P68B1DB1-Normal12"/>
              <w:spacing w:after="0" w:line="240" w:lineRule="auto"/>
              <w:jc w:val="center"/>
              <w:rPr>
                <w:rFonts w:cs="Times New Roman"/>
                <w:noProof/>
              </w:rPr>
            </w:pPr>
            <w:r>
              <w:rPr>
                <w:noProof/>
              </w:rPr>
              <w:t xml:space="preserve">Kunkin välitavoitteen ja tavoitteen </w:t>
            </w:r>
            <w:r>
              <w:rPr>
                <w:noProof/>
              </w:rPr>
              <w:t>kuvaus</w:t>
            </w:r>
          </w:p>
        </w:tc>
      </w:tr>
      <w:tr w:rsidR="000E48CE" w14:paraId="7B560C90" w14:textId="77777777">
        <w:trPr>
          <w:trHeight w:val="309"/>
          <w:tblHeader/>
        </w:trPr>
        <w:tc>
          <w:tcPr>
            <w:tcW w:w="709" w:type="dxa"/>
            <w:tcBorders>
              <w:top w:val="nil"/>
            </w:tcBorders>
            <w:shd w:val="clear" w:color="auto" w:fill="C6D9F1" w:themeFill="text2" w:themeFillTint="33"/>
            <w:noWrap/>
          </w:tcPr>
          <w:p w14:paraId="34B3F2EB"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D34F5C7"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B4020A7" w14:textId="77777777" w:rsidR="000E48CE" w:rsidRDefault="000E48CE">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1D7B270A" w14:textId="77777777" w:rsidR="000E48CE" w:rsidRDefault="000E48CE">
            <w:pPr>
              <w:spacing w:after="0" w:line="240" w:lineRule="auto"/>
              <w:rPr>
                <w:rFonts w:ascii="Times New Roman" w:hAnsi="Times New Roman" w:cs="Times New Roman"/>
                <w:b/>
                <w:noProof/>
                <w:sz w:val="18"/>
              </w:rPr>
            </w:pPr>
          </w:p>
        </w:tc>
        <w:tc>
          <w:tcPr>
            <w:tcW w:w="1275" w:type="dxa"/>
            <w:tcBorders>
              <w:top w:val="nil"/>
            </w:tcBorders>
            <w:shd w:val="clear" w:color="auto" w:fill="C6D9F1" w:themeFill="text2" w:themeFillTint="33"/>
            <w:noWrap/>
          </w:tcPr>
          <w:p w14:paraId="4F904CB7" w14:textId="77777777" w:rsidR="000E48CE" w:rsidRDefault="000E48CE">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vAlign w:val="center"/>
          </w:tcPr>
          <w:p w14:paraId="295A2B3D"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vAlign w:val="center"/>
          </w:tcPr>
          <w:p w14:paraId="64354F4C" w14:textId="77777777" w:rsidR="000E48CE" w:rsidRDefault="00FF4C4E">
            <w:pPr>
              <w:pStyle w:val="P68B1DB1-Normal12"/>
              <w:spacing w:after="0" w:line="240" w:lineRule="auto"/>
              <w:jc w:val="center"/>
              <w:rPr>
                <w:rFonts w:cs="Times New Roman"/>
                <w:noProof/>
              </w:rPr>
            </w:pPr>
            <w:r>
              <w:rPr>
                <w:noProof/>
              </w:rPr>
              <w:t>Perusviiva</w:t>
            </w:r>
          </w:p>
        </w:tc>
        <w:tc>
          <w:tcPr>
            <w:tcW w:w="567" w:type="dxa"/>
            <w:shd w:val="clear" w:color="auto" w:fill="C6D9F1" w:themeFill="text2" w:themeFillTint="33"/>
            <w:noWrap/>
            <w:vAlign w:val="center"/>
          </w:tcPr>
          <w:p w14:paraId="0CB8A499"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vAlign w:val="center"/>
          </w:tcPr>
          <w:p w14:paraId="11B3A307"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6831318" w14:textId="77777777" w:rsidR="000E48CE" w:rsidRDefault="00FF4C4E">
            <w:pPr>
              <w:pStyle w:val="P68B1DB1-Normal12"/>
              <w:spacing w:after="0" w:line="240" w:lineRule="auto"/>
              <w:jc w:val="center"/>
              <w:rPr>
                <w:rFonts w:cs="Times New Roman"/>
                <w:noProof/>
              </w:rPr>
            </w:pPr>
            <w:r>
              <w:rPr>
                <w:noProof/>
              </w:rPr>
              <w:t>Vuosi</w:t>
            </w:r>
          </w:p>
        </w:tc>
        <w:tc>
          <w:tcPr>
            <w:tcW w:w="7088" w:type="dxa"/>
            <w:tcBorders>
              <w:top w:val="nil"/>
            </w:tcBorders>
            <w:shd w:val="clear" w:color="auto" w:fill="C6D9F1" w:themeFill="text2" w:themeFillTint="33"/>
            <w:noWrap/>
          </w:tcPr>
          <w:p w14:paraId="06971CD3" w14:textId="77777777" w:rsidR="000E48CE" w:rsidRDefault="000E48CE">
            <w:pPr>
              <w:spacing w:after="0" w:line="240" w:lineRule="auto"/>
              <w:rPr>
                <w:rFonts w:ascii="Times New Roman" w:hAnsi="Times New Roman" w:cs="Times New Roman"/>
                <w:b/>
                <w:noProof/>
                <w:sz w:val="18"/>
              </w:rPr>
            </w:pPr>
          </w:p>
        </w:tc>
      </w:tr>
      <w:tr w:rsidR="000E48CE" w14:paraId="48827676" w14:textId="77777777">
        <w:trPr>
          <w:trHeight w:val="309"/>
        </w:trPr>
        <w:tc>
          <w:tcPr>
            <w:tcW w:w="709" w:type="dxa"/>
            <w:shd w:val="clear" w:color="auto" w:fill="C6EFCE"/>
            <w:noWrap/>
          </w:tcPr>
          <w:p w14:paraId="6D3A19EC" w14:textId="77777777" w:rsidR="000E48CE" w:rsidRDefault="00FF4C4E">
            <w:pPr>
              <w:pStyle w:val="P68B1DB1-Normal13"/>
              <w:spacing w:after="0" w:line="240" w:lineRule="auto"/>
              <w:jc w:val="center"/>
              <w:rPr>
                <w:rFonts w:eastAsia="Symbol" w:cs="Times New Roman"/>
                <w:noProof/>
              </w:rPr>
            </w:pPr>
            <w:r>
              <w:rPr>
                <w:noProof/>
              </w:rPr>
              <w:t>129</w:t>
            </w:r>
          </w:p>
        </w:tc>
        <w:tc>
          <w:tcPr>
            <w:tcW w:w="851" w:type="dxa"/>
            <w:shd w:val="clear" w:color="auto" w:fill="C6EFCE"/>
            <w:noWrap/>
          </w:tcPr>
          <w:p w14:paraId="1E1A9AF7" w14:textId="77777777" w:rsidR="000E48CE" w:rsidRDefault="00FF4C4E">
            <w:pPr>
              <w:pStyle w:val="P68B1DB1-Normal13"/>
              <w:spacing w:after="0" w:line="240" w:lineRule="auto"/>
              <w:jc w:val="center"/>
              <w:rPr>
                <w:rFonts w:eastAsia="Symbol" w:cs="Times New Roman"/>
                <w:noProof/>
              </w:rPr>
            </w:pPr>
            <w:r>
              <w:rPr>
                <w:noProof/>
              </w:rPr>
              <w:t>C9.R1</w:t>
            </w:r>
          </w:p>
        </w:tc>
        <w:tc>
          <w:tcPr>
            <w:tcW w:w="850" w:type="dxa"/>
            <w:shd w:val="clear" w:color="auto" w:fill="C6EFCE"/>
            <w:noWrap/>
          </w:tcPr>
          <w:p w14:paraId="027A594E" w14:textId="77777777" w:rsidR="000E48CE" w:rsidRDefault="00FF4C4E">
            <w:pPr>
              <w:pStyle w:val="P68B1DB1-Normal13"/>
              <w:spacing w:after="0" w:line="240" w:lineRule="auto"/>
              <w:jc w:val="center"/>
              <w:rPr>
                <w:rFonts w:eastAsia="Symbol" w:cs="Times New Roman"/>
                <w:noProof/>
              </w:rPr>
            </w:pPr>
            <w:r>
              <w:rPr>
                <w:noProof/>
              </w:rPr>
              <w:t>M</w:t>
            </w:r>
          </w:p>
        </w:tc>
        <w:tc>
          <w:tcPr>
            <w:tcW w:w="1560" w:type="dxa"/>
            <w:shd w:val="clear" w:color="auto" w:fill="C6EFCE"/>
            <w:noWrap/>
          </w:tcPr>
          <w:p w14:paraId="69497764" w14:textId="77777777" w:rsidR="000E48CE" w:rsidRDefault="00FF4C4E">
            <w:pPr>
              <w:pStyle w:val="P68B1DB1-Normal13"/>
              <w:spacing w:after="0" w:line="240" w:lineRule="auto"/>
              <w:rPr>
                <w:rFonts w:eastAsia="Symbol" w:cs="Times New Roman"/>
                <w:noProof/>
              </w:rPr>
            </w:pPr>
            <w:r>
              <w:rPr>
                <w:noProof/>
              </w:rPr>
              <w:t xml:space="preserve">Vetyä koskeva etenemissuunnitelma </w:t>
            </w:r>
          </w:p>
        </w:tc>
        <w:tc>
          <w:tcPr>
            <w:tcW w:w="1275" w:type="dxa"/>
            <w:shd w:val="clear" w:color="auto" w:fill="C6EFCE"/>
            <w:noWrap/>
          </w:tcPr>
          <w:p w14:paraId="59EECAAA" w14:textId="77777777" w:rsidR="000E48CE" w:rsidRDefault="00FF4C4E">
            <w:pPr>
              <w:pStyle w:val="P68B1DB1-Normal13"/>
              <w:spacing w:after="0" w:line="240" w:lineRule="auto"/>
              <w:jc w:val="center"/>
              <w:rPr>
                <w:rFonts w:eastAsia="Symbol" w:cs="Times New Roman"/>
                <w:noProof/>
              </w:rPr>
            </w:pPr>
            <w:r>
              <w:rPr>
                <w:noProof/>
              </w:rPr>
              <w:t>Ministerineuvoston hyväksyntä:</w:t>
            </w:r>
          </w:p>
        </w:tc>
        <w:tc>
          <w:tcPr>
            <w:tcW w:w="851" w:type="dxa"/>
            <w:shd w:val="clear" w:color="auto" w:fill="C6EFCE"/>
            <w:noWrap/>
          </w:tcPr>
          <w:p w14:paraId="7BF3D9A5"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A711F4A"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BFE8F37"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1F72B8DF"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74519F6D" w14:textId="77777777" w:rsidR="000E48CE" w:rsidRDefault="00FF4C4E">
            <w:pPr>
              <w:pStyle w:val="P68B1DB1-Normal13"/>
              <w:spacing w:after="0" w:line="240" w:lineRule="auto"/>
              <w:jc w:val="center"/>
              <w:rPr>
                <w:rFonts w:eastAsia="Symbol" w:cs="Times New Roman"/>
                <w:noProof/>
              </w:rPr>
            </w:pPr>
            <w:r>
              <w:rPr>
                <w:noProof/>
              </w:rPr>
              <w:t>2020</w:t>
            </w:r>
          </w:p>
        </w:tc>
        <w:tc>
          <w:tcPr>
            <w:tcW w:w="7088" w:type="dxa"/>
            <w:shd w:val="clear" w:color="auto" w:fill="C6EFCE"/>
            <w:noWrap/>
          </w:tcPr>
          <w:p w14:paraId="48591468" w14:textId="77777777" w:rsidR="000E48CE" w:rsidRDefault="00FF4C4E">
            <w:pPr>
              <w:pStyle w:val="P68B1DB1-Normal13"/>
              <w:spacing w:after="0" w:line="240" w:lineRule="auto"/>
              <w:jc w:val="both"/>
              <w:rPr>
                <w:rFonts w:eastAsia="Symbol" w:cs="Times New Roman"/>
                <w:noProof/>
              </w:rPr>
            </w:pPr>
            <w:r>
              <w:rPr>
                <w:noProof/>
              </w:rPr>
              <w:t xml:space="preserve">Ministerineuvoston hyväksyntä vetyä koskevalle etenemissuunnitelmalle. Vetyä koskevassa etenemissuunnitelmassa </w:t>
            </w:r>
            <w:r>
              <w:rPr>
                <w:noProof/>
              </w:rPr>
              <w:t>vahvistetaan suuntaviivat, jotka Espanja on määritellyt uusiutuvan vedyn alan kehittämiseksi. Tätä varten siinä määritellään tavoitteet, jotka on saavutettava asennetun kapasiteetin, teollisuuden ja liikkuvuuden osalta vuoteen 2030 mennessä.</w:t>
            </w:r>
          </w:p>
        </w:tc>
      </w:tr>
      <w:tr w:rsidR="000E48CE" w14:paraId="643D8A21" w14:textId="77777777">
        <w:trPr>
          <w:trHeight w:val="309"/>
        </w:trPr>
        <w:tc>
          <w:tcPr>
            <w:tcW w:w="709" w:type="dxa"/>
            <w:shd w:val="clear" w:color="auto" w:fill="C6EFCE"/>
            <w:noWrap/>
          </w:tcPr>
          <w:p w14:paraId="72CF255B" w14:textId="77777777" w:rsidR="000E48CE" w:rsidRDefault="00FF4C4E">
            <w:pPr>
              <w:pStyle w:val="P68B1DB1-Normal13"/>
              <w:spacing w:after="0" w:line="240" w:lineRule="auto"/>
              <w:jc w:val="center"/>
              <w:rPr>
                <w:rFonts w:eastAsia="Symbol" w:cs="Times New Roman"/>
                <w:noProof/>
              </w:rPr>
            </w:pPr>
            <w:r>
              <w:rPr>
                <w:noProof/>
              </w:rPr>
              <w:t>130</w:t>
            </w:r>
          </w:p>
        </w:tc>
        <w:tc>
          <w:tcPr>
            <w:tcW w:w="851" w:type="dxa"/>
            <w:shd w:val="clear" w:color="auto" w:fill="C6EFCE"/>
            <w:noWrap/>
          </w:tcPr>
          <w:p w14:paraId="1086F5AC" w14:textId="77777777" w:rsidR="000E48CE" w:rsidRDefault="00FF4C4E">
            <w:pPr>
              <w:pStyle w:val="P68B1DB1-Normal13"/>
              <w:spacing w:after="0" w:line="240" w:lineRule="auto"/>
              <w:jc w:val="center"/>
              <w:rPr>
                <w:rFonts w:eastAsia="Symbol" w:cs="Times New Roman"/>
                <w:noProof/>
              </w:rPr>
            </w:pPr>
            <w:r>
              <w:rPr>
                <w:noProof/>
              </w:rPr>
              <w:t>C9.R1</w:t>
            </w:r>
          </w:p>
        </w:tc>
        <w:tc>
          <w:tcPr>
            <w:tcW w:w="850" w:type="dxa"/>
            <w:shd w:val="clear" w:color="auto" w:fill="C6EFCE"/>
            <w:noWrap/>
          </w:tcPr>
          <w:p w14:paraId="5AB23280" w14:textId="77777777" w:rsidR="000E48CE" w:rsidRDefault="00FF4C4E">
            <w:pPr>
              <w:pStyle w:val="P68B1DB1-Normal13"/>
              <w:spacing w:after="0" w:line="240" w:lineRule="auto"/>
              <w:jc w:val="center"/>
              <w:rPr>
                <w:rFonts w:eastAsia="Symbol" w:cs="Times New Roman"/>
                <w:noProof/>
              </w:rPr>
            </w:pPr>
            <w:r>
              <w:rPr>
                <w:noProof/>
              </w:rPr>
              <w:t>M</w:t>
            </w:r>
          </w:p>
        </w:tc>
        <w:tc>
          <w:tcPr>
            <w:tcW w:w="1560" w:type="dxa"/>
            <w:shd w:val="clear" w:color="auto" w:fill="C6EFCE"/>
            <w:noWrap/>
          </w:tcPr>
          <w:p w14:paraId="0E77B031" w14:textId="77777777" w:rsidR="000E48CE" w:rsidRDefault="00FF4C4E">
            <w:pPr>
              <w:pStyle w:val="P68B1DB1-Normal13"/>
              <w:spacing w:after="0" w:line="240" w:lineRule="auto"/>
              <w:rPr>
                <w:rFonts w:eastAsia="Symbol" w:cs="Times New Roman"/>
                <w:noProof/>
              </w:rPr>
            </w:pPr>
            <w:r>
              <w:rPr>
                <w:noProof/>
              </w:rPr>
              <w:t>Uusiutuvien kaasujen alkuperätakuista annetun asetuksen voimaantulo</w:t>
            </w:r>
          </w:p>
        </w:tc>
        <w:tc>
          <w:tcPr>
            <w:tcW w:w="1275" w:type="dxa"/>
            <w:shd w:val="clear" w:color="auto" w:fill="C6EFCE"/>
            <w:noWrap/>
          </w:tcPr>
          <w:p w14:paraId="42C94EF3" w14:textId="77777777" w:rsidR="000E48CE" w:rsidRDefault="00FF4C4E">
            <w:pPr>
              <w:pStyle w:val="P68B1DB1-Normal13"/>
              <w:spacing w:after="0" w:line="240" w:lineRule="auto"/>
              <w:jc w:val="center"/>
              <w:rPr>
                <w:rFonts w:eastAsia="Symbol" w:cs="Times New Roman"/>
                <w:noProof/>
              </w:rPr>
            </w:pPr>
            <w:r>
              <w:rPr>
                <w:noProof/>
              </w:rPr>
              <w:t>Asetuksen voimaantulopäivän osoittava säännös</w:t>
            </w:r>
          </w:p>
        </w:tc>
        <w:tc>
          <w:tcPr>
            <w:tcW w:w="851" w:type="dxa"/>
            <w:shd w:val="clear" w:color="auto" w:fill="C6EFCE"/>
            <w:noWrap/>
          </w:tcPr>
          <w:p w14:paraId="7AA3CD39"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63ABC34F"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78492FB3"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7C1816B5"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444B82BA" w14:textId="77777777" w:rsidR="000E48CE" w:rsidRDefault="00FF4C4E">
            <w:pPr>
              <w:pStyle w:val="P68B1DB1-Normal13"/>
              <w:spacing w:after="0" w:line="240" w:lineRule="auto"/>
              <w:jc w:val="center"/>
              <w:rPr>
                <w:rFonts w:eastAsia="Symbol" w:cs="Times New Roman"/>
                <w:noProof/>
              </w:rPr>
            </w:pPr>
            <w:r>
              <w:rPr>
                <w:noProof/>
              </w:rPr>
              <w:t>2022</w:t>
            </w:r>
          </w:p>
        </w:tc>
        <w:tc>
          <w:tcPr>
            <w:tcW w:w="7088" w:type="dxa"/>
            <w:shd w:val="clear" w:color="auto" w:fill="C6EFCE"/>
            <w:noWrap/>
          </w:tcPr>
          <w:p w14:paraId="0A48B93F" w14:textId="77777777" w:rsidR="000E48CE" w:rsidRDefault="00FF4C4E">
            <w:pPr>
              <w:pStyle w:val="P68B1DB1-Normal13"/>
              <w:spacing w:after="0" w:line="240" w:lineRule="auto"/>
              <w:jc w:val="both"/>
              <w:rPr>
                <w:rFonts w:eastAsia="Symbol" w:cs="Times New Roman"/>
                <w:noProof/>
              </w:rPr>
            </w:pPr>
            <w:r>
              <w:rPr>
                <w:noProof/>
              </w:rPr>
              <w:t>Uusiutuvia kaasuja, myös uusiutuvaa vetyä, koskevan kansallisen alkuperätakuujärjestelmän perustamisesta annettu asetus tulee vo</w:t>
            </w:r>
            <w:r>
              <w:rPr>
                <w:noProof/>
              </w:rPr>
              <w:t>imaan ja sillä varmistetaan, että uusiutuva energia on 100 prosenttia. Sääntelyvälineellä perustettavaan järjestelmään kuuluu kansallisten myöntävien elinten nimittäminen ja niiden hallinnon hyväksyminen; ja sääntelymekanismi, jossa vahvistetaan, miten ved</w:t>
            </w:r>
            <w:r>
              <w:rPr>
                <w:noProof/>
              </w:rPr>
              <w:t>yn uusiutuva alkuperä todennetaan.</w:t>
            </w:r>
          </w:p>
        </w:tc>
      </w:tr>
      <w:tr w:rsidR="000E48CE" w14:paraId="1F499200" w14:textId="77777777">
        <w:trPr>
          <w:trHeight w:val="309"/>
        </w:trPr>
        <w:tc>
          <w:tcPr>
            <w:tcW w:w="709" w:type="dxa"/>
            <w:shd w:val="clear" w:color="auto" w:fill="C6EFCE"/>
            <w:noWrap/>
          </w:tcPr>
          <w:p w14:paraId="0F7B3593" w14:textId="77777777" w:rsidR="000E48CE" w:rsidRDefault="00FF4C4E">
            <w:pPr>
              <w:pStyle w:val="P68B1DB1-Normal13"/>
              <w:spacing w:after="0" w:line="240" w:lineRule="auto"/>
              <w:jc w:val="center"/>
              <w:rPr>
                <w:rFonts w:eastAsia="Symbol" w:cs="Times New Roman"/>
                <w:noProof/>
              </w:rPr>
            </w:pPr>
            <w:r>
              <w:rPr>
                <w:noProof/>
              </w:rPr>
              <w:t>131</w:t>
            </w:r>
          </w:p>
        </w:tc>
        <w:tc>
          <w:tcPr>
            <w:tcW w:w="851" w:type="dxa"/>
            <w:shd w:val="clear" w:color="auto" w:fill="C6EFCE"/>
            <w:noWrap/>
          </w:tcPr>
          <w:p w14:paraId="5A32E065" w14:textId="77777777" w:rsidR="000E48CE" w:rsidRDefault="00FF4C4E">
            <w:pPr>
              <w:pStyle w:val="P68B1DB1-Normal13"/>
              <w:spacing w:after="0" w:line="240" w:lineRule="auto"/>
              <w:jc w:val="center"/>
              <w:rPr>
                <w:rFonts w:eastAsia="Symbol" w:cs="Times New Roman"/>
                <w:noProof/>
              </w:rPr>
            </w:pPr>
            <w:r>
              <w:rPr>
                <w:noProof/>
              </w:rPr>
              <w:t>C9.I1</w:t>
            </w:r>
          </w:p>
        </w:tc>
        <w:tc>
          <w:tcPr>
            <w:tcW w:w="850" w:type="dxa"/>
            <w:shd w:val="clear" w:color="auto" w:fill="C6EFCE"/>
            <w:noWrap/>
          </w:tcPr>
          <w:p w14:paraId="13D228FA" w14:textId="77777777" w:rsidR="000E48CE" w:rsidRDefault="00FF4C4E">
            <w:pPr>
              <w:pStyle w:val="P68B1DB1-Normal13"/>
              <w:spacing w:after="0" w:line="240" w:lineRule="auto"/>
              <w:jc w:val="center"/>
              <w:rPr>
                <w:rFonts w:eastAsia="Symbol" w:cs="Times New Roman"/>
                <w:noProof/>
              </w:rPr>
            </w:pPr>
            <w:r>
              <w:rPr>
                <w:noProof/>
              </w:rPr>
              <w:t>T</w:t>
            </w:r>
          </w:p>
        </w:tc>
        <w:tc>
          <w:tcPr>
            <w:tcW w:w="1560" w:type="dxa"/>
            <w:shd w:val="clear" w:color="auto" w:fill="C6EFCE"/>
            <w:noWrap/>
          </w:tcPr>
          <w:p w14:paraId="40537FCA" w14:textId="77777777" w:rsidR="000E48CE" w:rsidRDefault="00FF4C4E">
            <w:pPr>
              <w:pStyle w:val="P68B1DB1-Normal13"/>
              <w:spacing w:after="0" w:line="240" w:lineRule="auto"/>
              <w:rPr>
                <w:rFonts w:eastAsia="Symbol" w:cs="Times New Roman"/>
                <w:noProof/>
              </w:rPr>
            </w:pPr>
            <w:r>
              <w:rPr>
                <w:noProof/>
              </w:rPr>
              <w:t>Pk-yritysten rahoitus vedyn arvoketjun vahvistamiseksi</w:t>
            </w:r>
          </w:p>
        </w:tc>
        <w:tc>
          <w:tcPr>
            <w:tcW w:w="1275" w:type="dxa"/>
            <w:shd w:val="clear" w:color="auto" w:fill="C6EFCE"/>
            <w:noWrap/>
          </w:tcPr>
          <w:p w14:paraId="2A1F701D" w14:textId="77777777" w:rsidR="000E48CE" w:rsidRDefault="000E48CE">
            <w:pPr>
              <w:spacing w:after="0" w:line="240" w:lineRule="auto"/>
              <w:jc w:val="center"/>
              <w:rPr>
                <w:rFonts w:ascii="Times New Roman" w:eastAsia="Symbol" w:hAnsi="Times New Roman" w:cs="Times New Roman"/>
                <w:noProof/>
                <w:sz w:val="18"/>
              </w:rPr>
            </w:pPr>
          </w:p>
        </w:tc>
        <w:tc>
          <w:tcPr>
            <w:tcW w:w="851" w:type="dxa"/>
            <w:shd w:val="clear" w:color="auto" w:fill="C6EFCE"/>
            <w:noWrap/>
          </w:tcPr>
          <w:p w14:paraId="092A1C54" w14:textId="77777777" w:rsidR="000E48CE" w:rsidRDefault="00FF4C4E">
            <w:pPr>
              <w:pStyle w:val="P68B1DB1-Normal13"/>
              <w:spacing w:after="0" w:line="240" w:lineRule="auto"/>
              <w:jc w:val="center"/>
              <w:rPr>
                <w:rFonts w:eastAsia="Symbol" w:cs="Times New Roman"/>
                <w:noProof/>
              </w:rPr>
            </w:pPr>
            <w:r>
              <w:rPr>
                <w:noProof/>
              </w:rPr>
              <w:t>Määrä</w:t>
            </w:r>
          </w:p>
        </w:tc>
        <w:tc>
          <w:tcPr>
            <w:tcW w:w="567" w:type="dxa"/>
            <w:shd w:val="clear" w:color="auto" w:fill="C6EFCE"/>
            <w:noWrap/>
          </w:tcPr>
          <w:p w14:paraId="52ECD0D9" w14:textId="77777777" w:rsidR="000E48CE" w:rsidRDefault="00FF4C4E">
            <w:pPr>
              <w:pStyle w:val="P68B1DB1-Normal13"/>
              <w:spacing w:after="0" w:line="240" w:lineRule="auto"/>
              <w:jc w:val="center"/>
              <w:rPr>
                <w:rFonts w:eastAsia="Symbol" w:cs="Times New Roman"/>
                <w:noProof/>
              </w:rPr>
            </w:pPr>
            <w:r>
              <w:rPr>
                <w:noProof/>
              </w:rPr>
              <w:t>0</w:t>
            </w:r>
          </w:p>
        </w:tc>
        <w:tc>
          <w:tcPr>
            <w:tcW w:w="567" w:type="dxa"/>
            <w:shd w:val="clear" w:color="auto" w:fill="C6EFCE"/>
            <w:noWrap/>
          </w:tcPr>
          <w:p w14:paraId="446DE71A" w14:textId="77777777" w:rsidR="000E48CE" w:rsidRDefault="00FF4C4E">
            <w:pPr>
              <w:pStyle w:val="P68B1DB1-Normal13"/>
              <w:spacing w:after="0" w:line="240" w:lineRule="auto"/>
              <w:jc w:val="center"/>
              <w:rPr>
                <w:rFonts w:eastAsia="Symbol" w:cs="Times New Roman"/>
                <w:noProof/>
              </w:rPr>
            </w:pPr>
            <w:r>
              <w:rPr>
                <w:noProof/>
              </w:rPr>
              <w:t>10</w:t>
            </w:r>
          </w:p>
        </w:tc>
        <w:tc>
          <w:tcPr>
            <w:tcW w:w="425" w:type="dxa"/>
            <w:shd w:val="clear" w:color="auto" w:fill="C6EFCE"/>
            <w:noWrap/>
          </w:tcPr>
          <w:p w14:paraId="3AC58826"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064CBC82" w14:textId="77777777" w:rsidR="000E48CE" w:rsidRDefault="00FF4C4E">
            <w:pPr>
              <w:pStyle w:val="P68B1DB1-Normal13"/>
              <w:spacing w:after="0" w:line="240" w:lineRule="auto"/>
              <w:jc w:val="center"/>
              <w:rPr>
                <w:rFonts w:eastAsia="Symbol" w:cs="Times New Roman"/>
                <w:noProof/>
              </w:rPr>
            </w:pPr>
            <w:r>
              <w:rPr>
                <w:noProof/>
              </w:rPr>
              <w:t>2023</w:t>
            </w:r>
          </w:p>
        </w:tc>
        <w:tc>
          <w:tcPr>
            <w:tcW w:w="7088" w:type="dxa"/>
            <w:shd w:val="clear" w:color="auto" w:fill="C6EFCE"/>
            <w:noWrap/>
          </w:tcPr>
          <w:p w14:paraId="56B43BD0" w14:textId="77777777" w:rsidR="000E48CE" w:rsidRDefault="00FF4C4E">
            <w:pPr>
              <w:pStyle w:val="P68B1DB1-Normal13"/>
              <w:spacing w:after="0" w:line="240" w:lineRule="auto"/>
              <w:jc w:val="both"/>
              <w:rPr>
                <w:rFonts w:eastAsia="Symbol" w:cs="Times New Roman"/>
                <w:noProof/>
              </w:rPr>
            </w:pPr>
            <w:r>
              <w:rPr>
                <w:noProof/>
              </w:rPr>
              <w:t xml:space="preserve">Vähintään kymmenen pk-yritystä, jotka rahoittavat Espanjan nykyisen vetyalan arvoketjun vahvistamista ja vahvistamista parantamalla </w:t>
            </w:r>
            <w:r>
              <w:rPr>
                <w:noProof/>
              </w:rPr>
              <w:t>yhtä tai useampaa seuraavista ominaisuuksista: tuotantovalmiudet, osaaminen, kilpailukyky, tietämyksen ja teknologian siirto, kansainvälinen ulottuvuus.</w:t>
            </w:r>
          </w:p>
        </w:tc>
      </w:tr>
      <w:tr w:rsidR="000E48CE" w14:paraId="1C5EFDF2" w14:textId="77777777">
        <w:trPr>
          <w:trHeight w:val="309"/>
        </w:trPr>
        <w:tc>
          <w:tcPr>
            <w:tcW w:w="709" w:type="dxa"/>
            <w:shd w:val="clear" w:color="auto" w:fill="C6EFCE"/>
            <w:noWrap/>
          </w:tcPr>
          <w:p w14:paraId="4B9E354E" w14:textId="77777777" w:rsidR="000E48CE" w:rsidRDefault="00FF4C4E">
            <w:pPr>
              <w:pStyle w:val="P68B1DB1-Normal13"/>
              <w:spacing w:after="0" w:line="240" w:lineRule="auto"/>
              <w:jc w:val="center"/>
              <w:rPr>
                <w:rFonts w:eastAsia="Symbol" w:cs="Times New Roman"/>
                <w:noProof/>
              </w:rPr>
            </w:pPr>
            <w:r>
              <w:rPr>
                <w:noProof/>
              </w:rPr>
              <w:t>132</w:t>
            </w:r>
          </w:p>
        </w:tc>
        <w:tc>
          <w:tcPr>
            <w:tcW w:w="851" w:type="dxa"/>
            <w:shd w:val="clear" w:color="auto" w:fill="C6EFCE"/>
            <w:noWrap/>
          </w:tcPr>
          <w:p w14:paraId="2535655F" w14:textId="77777777" w:rsidR="000E48CE" w:rsidRDefault="00FF4C4E">
            <w:pPr>
              <w:pStyle w:val="P68B1DB1-Normal13"/>
              <w:spacing w:after="0" w:line="240" w:lineRule="auto"/>
              <w:jc w:val="center"/>
              <w:rPr>
                <w:rFonts w:eastAsia="Symbol" w:cs="Times New Roman"/>
                <w:noProof/>
              </w:rPr>
            </w:pPr>
            <w:r>
              <w:rPr>
                <w:noProof/>
              </w:rPr>
              <w:t>C9.I1</w:t>
            </w:r>
          </w:p>
        </w:tc>
        <w:tc>
          <w:tcPr>
            <w:tcW w:w="850" w:type="dxa"/>
            <w:shd w:val="clear" w:color="auto" w:fill="C6EFCE"/>
            <w:noWrap/>
          </w:tcPr>
          <w:p w14:paraId="5E71A530" w14:textId="77777777" w:rsidR="000E48CE" w:rsidRDefault="00FF4C4E">
            <w:pPr>
              <w:pStyle w:val="P68B1DB1-Normal13"/>
              <w:spacing w:after="0" w:line="240" w:lineRule="auto"/>
              <w:jc w:val="center"/>
              <w:rPr>
                <w:rFonts w:eastAsia="Symbol" w:cs="Times New Roman"/>
                <w:noProof/>
              </w:rPr>
            </w:pPr>
            <w:r>
              <w:rPr>
                <w:noProof/>
              </w:rPr>
              <w:t>T</w:t>
            </w:r>
          </w:p>
        </w:tc>
        <w:tc>
          <w:tcPr>
            <w:tcW w:w="1560" w:type="dxa"/>
            <w:shd w:val="clear" w:color="auto" w:fill="C6EFCE"/>
            <w:noWrap/>
          </w:tcPr>
          <w:p w14:paraId="281138A0" w14:textId="77777777" w:rsidR="000E48CE" w:rsidRDefault="00FF4C4E">
            <w:pPr>
              <w:pStyle w:val="P68B1DB1-Normal13"/>
              <w:spacing w:after="0" w:line="240" w:lineRule="auto"/>
              <w:rPr>
                <w:rFonts w:eastAsia="Symbol" w:cs="Times New Roman"/>
                <w:noProof/>
              </w:rPr>
            </w:pPr>
            <w:r>
              <w:rPr>
                <w:noProof/>
              </w:rPr>
              <w:t xml:space="preserve">Teknologinen kehitys uusiutuvan vedyn arvoketjussa </w:t>
            </w:r>
          </w:p>
        </w:tc>
        <w:tc>
          <w:tcPr>
            <w:tcW w:w="1275" w:type="dxa"/>
            <w:shd w:val="clear" w:color="auto" w:fill="C6EFCE"/>
            <w:noWrap/>
          </w:tcPr>
          <w:p w14:paraId="03EFCA41" w14:textId="77777777" w:rsidR="000E48CE" w:rsidRDefault="000E48CE">
            <w:pPr>
              <w:spacing w:after="0" w:line="240" w:lineRule="auto"/>
              <w:jc w:val="center"/>
              <w:rPr>
                <w:rFonts w:ascii="Times New Roman" w:eastAsia="Symbol" w:hAnsi="Times New Roman" w:cs="Times New Roman"/>
                <w:noProof/>
                <w:sz w:val="18"/>
              </w:rPr>
            </w:pPr>
          </w:p>
        </w:tc>
        <w:tc>
          <w:tcPr>
            <w:tcW w:w="851" w:type="dxa"/>
            <w:shd w:val="clear" w:color="auto" w:fill="C6EFCE"/>
            <w:noWrap/>
          </w:tcPr>
          <w:p w14:paraId="4FA49C9E" w14:textId="77777777" w:rsidR="000E48CE" w:rsidRDefault="00FF4C4E">
            <w:pPr>
              <w:pStyle w:val="P68B1DB1-Normal13"/>
              <w:spacing w:after="0" w:line="240" w:lineRule="auto"/>
              <w:jc w:val="center"/>
              <w:rPr>
                <w:rFonts w:eastAsia="Symbol" w:cs="Times New Roman"/>
                <w:noProof/>
              </w:rPr>
            </w:pPr>
            <w:r>
              <w:rPr>
                <w:noProof/>
              </w:rPr>
              <w:t>Määrä</w:t>
            </w:r>
          </w:p>
        </w:tc>
        <w:tc>
          <w:tcPr>
            <w:tcW w:w="567" w:type="dxa"/>
            <w:shd w:val="clear" w:color="auto" w:fill="C6EFCE"/>
            <w:noWrap/>
          </w:tcPr>
          <w:p w14:paraId="1FAB9ECC" w14:textId="77777777" w:rsidR="000E48CE" w:rsidRDefault="00FF4C4E">
            <w:pPr>
              <w:pStyle w:val="P68B1DB1-Normal13"/>
              <w:spacing w:after="0" w:line="240" w:lineRule="auto"/>
              <w:jc w:val="center"/>
              <w:rPr>
                <w:rFonts w:eastAsia="Symbol" w:cs="Times New Roman"/>
                <w:noProof/>
              </w:rPr>
            </w:pPr>
            <w:r>
              <w:rPr>
                <w:noProof/>
              </w:rPr>
              <w:t>0</w:t>
            </w:r>
          </w:p>
        </w:tc>
        <w:tc>
          <w:tcPr>
            <w:tcW w:w="567" w:type="dxa"/>
            <w:shd w:val="clear" w:color="auto" w:fill="C6EFCE"/>
            <w:noWrap/>
          </w:tcPr>
          <w:p w14:paraId="1D0ADF7A" w14:textId="77777777" w:rsidR="000E48CE" w:rsidRDefault="00FF4C4E">
            <w:pPr>
              <w:pStyle w:val="P68B1DB1-Normal13"/>
              <w:spacing w:after="0" w:line="240" w:lineRule="auto"/>
              <w:jc w:val="center"/>
              <w:rPr>
                <w:rFonts w:eastAsia="Symbol" w:cs="Times New Roman"/>
                <w:noProof/>
              </w:rPr>
            </w:pPr>
            <w:r>
              <w:rPr>
                <w:noProof/>
              </w:rPr>
              <w:t>5</w:t>
            </w:r>
          </w:p>
        </w:tc>
        <w:tc>
          <w:tcPr>
            <w:tcW w:w="425" w:type="dxa"/>
            <w:shd w:val="clear" w:color="auto" w:fill="C6EFCE"/>
            <w:noWrap/>
          </w:tcPr>
          <w:p w14:paraId="12684B35"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0E6A961E" w14:textId="77777777" w:rsidR="000E48CE" w:rsidRDefault="00FF4C4E">
            <w:pPr>
              <w:pStyle w:val="P68B1DB1-Normal13"/>
              <w:spacing w:after="0" w:line="240" w:lineRule="auto"/>
              <w:jc w:val="center"/>
              <w:rPr>
                <w:rFonts w:eastAsia="Symbol" w:cs="Times New Roman"/>
                <w:noProof/>
              </w:rPr>
            </w:pPr>
            <w:r>
              <w:rPr>
                <w:noProof/>
              </w:rPr>
              <w:t>2023</w:t>
            </w:r>
          </w:p>
        </w:tc>
        <w:tc>
          <w:tcPr>
            <w:tcW w:w="7088" w:type="dxa"/>
            <w:shd w:val="clear" w:color="auto" w:fill="C6EFCE"/>
            <w:noWrap/>
          </w:tcPr>
          <w:p w14:paraId="58CA16E2" w14:textId="77777777" w:rsidR="000E48CE" w:rsidRDefault="00FF4C4E">
            <w:pPr>
              <w:pStyle w:val="P68B1DB1-Normal13"/>
              <w:spacing w:after="0" w:line="240" w:lineRule="auto"/>
              <w:jc w:val="both"/>
              <w:rPr>
                <w:rFonts w:eastAsia="Symbol" w:cs="Times New Roman"/>
                <w:noProof/>
              </w:rPr>
            </w:pPr>
            <w:r>
              <w:rPr>
                <w:noProof/>
              </w:rPr>
              <w:t xml:space="preserve">Vähintään viisi </w:t>
            </w:r>
            <w:r>
              <w:rPr>
                <w:noProof/>
              </w:rPr>
              <w:t>teknologian kehitystä tai prototyyppiä rahoitetun uusiutuvan vedyn arvoketjussa. Näihin (kuten elektrolyysilaitteisiin, kompressoreihin, varastosäiliöihin, polttokennoihin ja vetyyn perustuviin liikennejärjestelmiin) voi sisältyä ”ensimmäistä” kehitystä, j</w:t>
            </w:r>
            <w:r>
              <w:rPr>
                <w:noProof/>
              </w:rPr>
              <w:t>otta tuotantoon, logistiikkaan ja vedyn kulutukseen liittyvä uusi laajennettu suunnittelu tai prototyyppi voidaan validoida.</w:t>
            </w:r>
          </w:p>
        </w:tc>
      </w:tr>
      <w:tr w:rsidR="000E48CE" w14:paraId="13C14E05" w14:textId="77777777">
        <w:trPr>
          <w:trHeight w:val="309"/>
        </w:trPr>
        <w:tc>
          <w:tcPr>
            <w:tcW w:w="709" w:type="dxa"/>
            <w:shd w:val="clear" w:color="auto" w:fill="C6EFCE"/>
            <w:noWrap/>
          </w:tcPr>
          <w:p w14:paraId="4F1384E9" w14:textId="77777777" w:rsidR="000E48CE" w:rsidRDefault="00FF4C4E">
            <w:pPr>
              <w:pStyle w:val="P68B1DB1-Normal13"/>
              <w:spacing w:after="0" w:line="240" w:lineRule="auto"/>
              <w:jc w:val="center"/>
              <w:rPr>
                <w:rFonts w:cs="Times New Roman"/>
                <w:noProof/>
              </w:rPr>
            </w:pPr>
            <w:r>
              <w:rPr>
                <w:noProof/>
              </w:rPr>
              <w:t>133</w:t>
            </w:r>
          </w:p>
        </w:tc>
        <w:tc>
          <w:tcPr>
            <w:tcW w:w="851" w:type="dxa"/>
            <w:shd w:val="clear" w:color="auto" w:fill="C6EFCE"/>
            <w:noWrap/>
          </w:tcPr>
          <w:p w14:paraId="3A6C49DB" w14:textId="77777777" w:rsidR="000E48CE" w:rsidRDefault="00FF4C4E">
            <w:pPr>
              <w:pStyle w:val="P68B1DB1-Normal13"/>
              <w:spacing w:after="0" w:line="240" w:lineRule="auto"/>
              <w:jc w:val="center"/>
              <w:rPr>
                <w:rFonts w:cs="Times New Roman"/>
                <w:noProof/>
              </w:rPr>
            </w:pPr>
            <w:r>
              <w:rPr>
                <w:noProof/>
              </w:rPr>
              <w:t>C9.I1</w:t>
            </w:r>
          </w:p>
        </w:tc>
        <w:tc>
          <w:tcPr>
            <w:tcW w:w="850" w:type="dxa"/>
            <w:shd w:val="clear" w:color="auto" w:fill="C6EFCE"/>
            <w:noWrap/>
          </w:tcPr>
          <w:p w14:paraId="1F655EAE" w14:textId="77777777" w:rsidR="000E48CE" w:rsidRDefault="00FF4C4E">
            <w:pPr>
              <w:pStyle w:val="P68B1DB1-Normal13"/>
              <w:spacing w:after="0" w:line="240" w:lineRule="auto"/>
              <w:jc w:val="center"/>
              <w:rPr>
                <w:rFonts w:cs="Times New Roman"/>
                <w:noProof/>
              </w:rPr>
            </w:pPr>
            <w:r>
              <w:rPr>
                <w:noProof/>
              </w:rPr>
              <w:t>T</w:t>
            </w:r>
          </w:p>
        </w:tc>
        <w:tc>
          <w:tcPr>
            <w:tcW w:w="1560" w:type="dxa"/>
            <w:shd w:val="clear" w:color="auto" w:fill="C6EFCE"/>
            <w:noWrap/>
          </w:tcPr>
          <w:p w14:paraId="6C0D95C0" w14:textId="77777777" w:rsidR="000E48CE" w:rsidRDefault="00FF4C4E">
            <w:pPr>
              <w:pStyle w:val="P68B1DB1-Normal13"/>
              <w:spacing w:after="0" w:line="240" w:lineRule="auto"/>
              <w:rPr>
                <w:rFonts w:cs="Times New Roman"/>
                <w:noProof/>
              </w:rPr>
            </w:pPr>
            <w:r>
              <w:rPr>
                <w:noProof/>
              </w:rPr>
              <w:t xml:space="preserve">Uusiutuvan vedyn klusterit (tai laaksot)  </w:t>
            </w:r>
          </w:p>
        </w:tc>
        <w:tc>
          <w:tcPr>
            <w:tcW w:w="1275" w:type="dxa"/>
            <w:shd w:val="clear" w:color="auto" w:fill="C6EFCE"/>
            <w:noWrap/>
          </w:tcPr>
          <w:p w14:paraId="5F96A722" w14:textId="77777777" w:rsidR="000E48CE" w:rsidRDefault="000E48CE">
            <w:pPr>
              <w:spacing w:after="0" w:line="240" w:lineRule="auto"/>
              <w:jc w:val="center"/>
              <w:rPr>
                <w:rFonts w:ascii="Times New Roman" w:hAnsi="Times New Roman" w:cs="Times New Roman"/>
                <w:noProof/>
                <w:sz w:val="18"/>
              </w:rPr>
            </w:pPr>
          </w:p>
        </w:tc>
        <w:tc>
          <w:tcPr>
            <w:tcW w:w="851" w:type="dxa"/>
            <w:shd w:val="clear" w:color="auto" w:fill="C6EFCE"/>
            <w:noWrap/>
          </w:tcPr>
          <w:p w14:paraId="0EE310A7" w14:textId="77777777" w:rsidR="000E48CE" w:rsidRDefault="00FF4C4E">
            <w:pPr>
              <w:pStyle w:val="P68B1DB1-Normal13"/>
              <w:spacing w:after="0" w:line="240" w:lineRule="auto"/>
              <w:jc w:val="center"/>
              <w:rPr>
                <w:rFonts w:cs="Times New Roman"/>
                <w:noProof/>
              </w:rPr>
            </w:pPr>
            <w:r>
              <w:rPr>
                <w:noProof/>
              </w:rPr>
              <w:t>Määrä</w:t>
            </w:r>
          </w:p>
        </w:tc>
        <w:tc>
          <w:tcPr>
            <w:tcW w:w="567" w:type="dxa"/>
            <w:shd w:val="clear" w:color="auto" w:fill="C6EFCE"/>
            <w:noWrap/>
          </w:tcPr>
          <w:p w14:paraId="35306EB0" w14:textId="77777777" w:rsidR="000E48CE" w:rsidRDefault="00FF4C4E">
            <w:pPr>
              <w:pStyle w:val="P68B1DB1-Normal13"/>
              <w:spacing w:after="0" w:line="240" w:lineRule="auto"/>
              <w:jc w:val="center"/>
              <w:rPr>
                <w:rFonts w:cs="Times New Roman"/>
                <w:noProof/>
              </w:rPr>
            </w:pPr>
            <w:r>
              <w:rPr>
                <w:noProof/>
              </w:rPr>
              <w:t>0</w:t>
            </w:r>
          </w:p>
        </w:tc>
        <w:tc>
          <w:tcPr>
            <w:tcW w:w="567" w:type="dxa"/>
            <w:shd w:val="clear" w:color="auto" w:fill="C6EFCE"/>
            <w:noWrap/>
          </w:tcPr>
          <w:p w14:paraId="78E884CA" w14:textId="77777777" w:rsidR="000E48CE" w:rsidRDefault="00FF4C4E">
            <w:pPr>
              <w:pStyle w:val="P68B1DB1-Normal13"/>
              <w:spacing w:after="0" w:line="240" w:lineRule="auto"/>
              <w:jc w:val="center"/>
              <w:rPr>
                <w:rFonts w:cs="Times New Roman"/>
                <w:noProof/>
              </w:rPr>
            </w:pPr>
            <w:r>
              <w:rPr>
                <w:noProof/>
              </w:rPr>
              <w:t>2</w:t>
            </w:r>
          </w:p>
        </w:tc>
        <w:tc>
          <w:tcPr>
            <w:tcW w:w="425" w:type="dxa"/>
            <w:shd w:val="clear" w:color="auto" w:fill="C6EFCE"/>
            <w:noWrap/>
          </w:tcPr>
          <w:p w14:paraId="755C47E4"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57AA7494" w14:textId="77777777" w:rsidR="000E48CE" w:rsidRDefault="00FF4C4E">
            <w:pPr>
              <w:pStyle w:val="P68B1DB1-Normal13"/>
              <w:spacing w:after="0" w:line="240" w:lineRule="auto"/>
              <w:jc w:val="center"/>
              <w:rPr>
                <w:rFonts w:cs="Times New Roman"/>
                <w:noProof/>
              </w:rPr>
            </w:pPr>
            <w:r>
              <w:rPr>
                <w:noProof/>
              </w:rPr>
              <w:t>2023</w:t>
            </w:r>
          </w:p>
        </w:tc>
        <w:tc>
          <w:tcPr>
            <w:tcW w:w="7088" w:type="dxa"/>
            <w:shd w:val="clear" w:color="auto" w:fill="C6EFCE"/>
            <w:noWrap/>
          </w:tcPr>
          <w:p w14:paraId="4ECB08D3" w14:textId="77777777" w:rsidR="000E48CE" w:rsidRDefault="00FF4C4E">
            <w:pPr>
              <w:pStyle w:val="P68B1DB1-Normal13"/>
              <w:spacing w:after="0" w:line="240" w:lineRule="auto"/>
              <w:jc w:val="both"/>
              <w:rPr>
                <w:rFonts w:cs="Times New Roman"/>
                <w:noProof/>
              </w:rPr>
            </w:pPr>
            <w:r>
              <w:rPr>
                <w:noProof/>
              </w:rPr>
              <w:t>Vähintään kaksi uusiutuvan vedyn klusteriä (tai laaksoa)</w:t>
            </w:r>
            <w:r>
              <w:rPr>
                <w:noProof/>
              </w:rPr>
              <w:t xml:space="preserve"> rahoitettavaa alakohtaista integrointia varten. Klustereissa tai suurissa vetylaaksoissa keskitytään ja integroidaan paikallisesti uusiutuvan vedyn tarjontaa, jakelua (logistiikkaa) ja kysyntää tietyissä paikoissa harmaan vedyn ja fossiilisten polttoainei</w:t>
            </w:r>
            <w:r>
              <w:rPr>
                <w:noProof/>
              </w:rPr>
              <w:t>den syrjäyttämiseksi.</w:t>
            </w:r>
          </w:p>
        </w:tc>
      </w:tr>
      <w:tr w:rsidR="000E48CE" w14:paraId="694ABF21" w14:textId="77777777">
        <w:trPr>
          <w:trHeight w:val="309"/>
        </w:trPr>
        <w:tc>
          <w:tcPr>
            <w:tcW w:w="709" w:type="dxa"/>
            <w:shd w:val="clear" w:color="auto" w:fill="C6EFCE"/>
            <w:noWrap/>
          </w:tcPr>
          <w:p w14:paraId="5E7BE1F9" w14:textId="77777777" w:rsidR="000E48CE" w:rsidRDefault="00FF4C4E">
            <w:pPr>
              <w:pStyle w:val="P68B1DB1-Normal13"/>
              <w:spacing w:after="0" w:line="240" w:lineRule="auto"/>
              <w:jc w:val="center"/>
              <w:rPr>
                <w:rFonts w:cs="Times New Roman"/>
                <w:noProof/>
              </w:rPr>
            </w:pPr>
            <w:r>
              <w:rPr>
                <w:noProof/>
              </w:rPr>
              <w:t>134</w:t>
            </w:r>
          </w:p>
        </w:tc>
        <w:tc>
          <w:tcPr>
            <w:tcW w:w="851" w:type="dxa"/>
            <w:shd w:val="clear" w:color="auto" w:fill="C6EFCE"/>
            <w:noWrap/>
          </w:tcPr>
          <w:p w14:paraId="6E05B520" w14:textId="77777777" w:rsidR="000E48CE" w:rsidRDefault="00FF4C4E">
            <w:pPr>
              <w:pStyle w:val="P68B1DB1-Normal13"/>
              <w:spacing w:after="0" w:line="240" w:lineRule="auto"/>
              <w:jc w:val="center"/>
              <w:rPr>
                <w:rFonts w:cs="Times New Roman"/>
                <w:noProof/>
              </w:rPr>
            </w:pPr>
            <w:r>
              <w:rPr>
                <w:noProof/>
              </w:rPr>
              <w:t>C9.I1</w:t>
            </w:r>
          </w:p>
        </w:tc>
        <w:tc>
          <w:tcPr>
            <w:tcW w:w="850" w:type="dxa"/>
            <w:shd w:val="clear" w:color="auto" w:fill="C6EFCE"/>
            <w:noWrap/>
          </w:tcPr>
          <w:p w14:paraId="3557F291" w14:textId="77777777" w:rsidR="000E48CE" w:rsidRDefault="00FF4C4E">
            <w:pPr>
              <w:pStyle w:val="P68B1DB1-Normal13"/>
              <w:spacing w:after="0" w:line="240" w:lineRule="auto"/>
              <w:jc w:val="center"/>
              <w:rPr>
                <w:rFonts w:cs="Times New Roman"/>
                <w:noProof/>
              </w:rPr>
            </w:pPr>
            <w:r>
              <w:rPr>
                <w:noProof/>
              </w:rPr>
              <w:t>T</w:t>
            </w:r>
          </w:p>
        </w:tc>
        <w:tc>
          <w:tcPr>
            <w:tcW w:w="1560" w:type="dxa"/>
            <w:shd w:val="clear" w:color="auto" w:fill="C6EFCE"/>
            <w:noWrap/>
          </w:tcPr>
          <w:p w14:paraId="5ED82443" w14:textId="77777777" w:rsidR="000E48CE" w:rsidRDefault="00FF4C4E">
            <w:pPr>
              <w:pStyle w:val="P68B1DB1-Normal13"/>
              <w:spacing w:after="0" w:line="240" w:lineRule="auto"/>
              <w:jc w:val="both"/>
              <w:rPr>
                <w:rFonts w:cs="Times New Roman"/>
                <w:noProof/>
              </w:rPr>
            </w:pPr>
            <w:r>
              <w:rPr>
                <w:noProof/>
              </w:rPr>
              <w:t xml:space="preserve">Vetyalan edelläkävijähankkeet  </w:t>
            </w:r>
          </w:p>
        </w:tc>
        <w:tc>
          <w:tcPr>
            <w:tcW w:w="1275" w:type="dxa"/>
            <w:shd w:val="clear" w:color="auto" w:fill="C6EFCE"/>
            <w:noWrap/>
          </w:tcPr>
          <w:p w14:paraId="5B95CD12" w14:textId="77777777" w:rsidR="000E48CE" w:rsidRDefault="000E48CE">
            <w:pPr>
              <w:spacing w:after="0" w:line="240" w:lineRule="auto"/>
              <w:jc w:val="center"/>
              <w:rPr>
                <w:rFonts w:ascii="Times New Roman" w:hAnsi="Times New Roman" w:cs="Times New Roman"/>
                <w:noProof/>
                <w:sz w:val="18"/>
              </w:rPr>
            </w:pPr>
          </w:p>
        </w:tc>
        <w:tc>
          <w:tcPr>
            <w:tcW w:w="851" w:type="dxa"/>
            <w:shd w:val="clear" w:color="auto" w:fill="C6EFCE"/>
            <w:noWrap/>
          </w:tcPr>
          <w:p w14:paraId="3BC66541" w14:textId="77777777" w:rsidR="000E48CE" w:rsidRDefault="00FF4C4E">
            <w:pPr>
              <w:pStyle w:val="P68B1DB1-Normal13"/>
              <w:spacing w:after="0" w:line="240" w:lineRule="auto"/>
              <w:jc w:val="center"/>
              <w:rPr>
                <w:rFonts w:cs="Times New Roman"/>
                <w:noProof/>
              </w:rPr>
            </w:pPr>
            <w:r>
              <w:rPr>
                <w:noProof/>
              </w:rPr>
              <w:t>Määrä</w:t>
            </w:r>
          </w:p>
        </w:tc>
        <w:tc>
          <w:tcPr>
            <w:tcW w:w="567" w:type="dxa"/>
            <w:shd w:val="clear" w:color="auto" w:fill="C6EFCE"/>
            <w:noWrap/>
          </w:tcPr>
          <w:p w14:paraId="2EAC5A90" w14:textId="77777777" w:rsidR="000E48CE" w:rsidRDefault="00FF4C4E">
            <w:pPr>
              <w:pStyle w:val="P68B1DB1-Normal13"/>
              <w:spacing w:after="0" w:line="240" w:lineRule="auto"/>
              <w:jc w:val="center"/>
              <w:rPr>
                <w:rFonts w:cs="Times New Roman"/>
                <w:noProof/>
              </w:rPr>
            </w:pPr>
            <w:r>
              <w:rPr>
                <w:noProof/>
              </w:rPr>
              <w:t>0</w:t>
            </w:r>
          </w:p>
        </w:tc>
        <w:tc>
          <w:tcPr>
            <w:tcW w:w="567" w:type="dxa"/>
            <w:shd w:val="clear" w:color="auto" w:fill="C6EFCE"/>
            <w:noWrap/>
          </w:tcPr>
          <w:p w14:paraId="3E1FE5D4" w14:textId="77777777" w:rsidR="000E48CE" w:rsidRDefault="00FF4C4E">
            <w:pPr>
              <w:pStyle w:val="P68B1DB1-Normal13"/>
              <w:spacing w:after="0" w:line="240" w:lineRule="auto"/>
              <w:jc w:val="center"/>
              <w:rPr>
                <w:rFonts w:cs="Times New Roman"/>
                <w:noProof/>
              </w:rPr>
            </w:pPr>
            <w:r>
              <w:rPr>
                <w:noProof/>
              </w:rPr>
              <w:t>10</w:t>
            </w:r>
          </w:p>
        </w:tc>
        <w:tc>
          <w:tcPr>
            <w:tcW w:w="425" w:type="dxa"/>
            <w:shd w:val="clear" w:color="auto" w:fill="C6EFCE"/>
            <w:noWrap/>
          </w:tcPr>
          <w:p w14:paraId="1B37B511"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5D5D93FA" w14:textId="77777777" w:rsidR="000E48CE" w:rsidRDefault="00FF4C4E">
            <w:pPr>
              <w:pStyle w:val="P68B1DB1-Normal13"/>
              <w:spacing w:after="0" w:line="240" w:lineRule="auto"/>
              <w:jc w:val="center"/>
              <w:rPr>
                <w:rFonts w:cs="Times New Roman"/>
                <w:noProof/>
              </w:rPr>
            </w:pPr>
            <w:r>
              <w:rPr>
                <w:noProof/>
              </w:rPr>
              <w:t>2023</w:t>
            </w:r>
          </w:p>
        </w:tc>
        <w:tc>
          <w:tcPr>
            <w:tcW w:w="7088" w:type="dxa"/>
            <w:shd w:val="clear" w:color="auto" w:fill="C6EFCE"/>
            <w:noWrap/>
          </w:tcPr>
          <w:p w14:paraId="15C23AD9" w14:textId="77777777" w:rsidR="000E48CE" w:rsidRDefault="00FF4C4E">
            <w:pPr>
              <w:pStyle w:val="P68B1DB1-Normal13"/>
              <w:spacing w:after="0" w:line="240" w:lineRule="auto"/>
              <w:jc w:val="both"/>
              <w:rPr>
                <w:rFonts w:cs="Times New Roman"/>
                <w:noProof/>
              </w:rPr>
            </w:pPr>
            <w:r>
              <w:rPr>
                <w:noProof/>
              </w:rPr>
              <w:t xml:space="preserve">Rahoitusta on myönnetty vähintään kymmenelle yksittäiselle uraauurtavalle hankkeelle. Näihin kuuluvat integroidut hankkeet, jotka kattavat uusiutuvan vedyn tuotannon, </w:t>
            </w:r>
            <w:r>
              <w:rPr>
                <w:noProof/>
              </w:rPr>
              <w:t>jakelun ja kulutuksen eri paikoissa kuin klusterit. Hankkeisiin voi sisältyä muiden tarvittavien toimien, kuten tietopohjaisen tutkimuksen ja kapasitoinnin, integrointi.</w:t>
            </w:r>
          </w:p>
        </w:tc>
      </w:tr>
      <w:tr w:rsidR="000E48CE" w14:paraId="1FCD4E4E" w14:textId="77777777">
        <w:trPr>
          <w:trHeight w:val="309"/>
        </w:trPr>
        <w:tc>
          <w:tcPr>
            <w:tcW w:w="709" w:type="dxa"/>
            <w:shd w:val="clear" w:color="auto" w:fill="C6EFCE"/>
            <w:noWrap/>
          </w:tcPr>
          <w:p w14:paraId="5B7F6EDA" w14:textId="77777777" w:rsidR="000E48CE" w:rsidRDefault="00FF4C4E">
            <w:pPr>
              <w:pStyle w:val="P68B1DB1-Normal13"/>
              <w:spacing w:after="0" w:line="240" w:lineRule="auto"/>
              <w:jc w:val="center"/>
              <w:rPr>
                <w:rFonts w:cs="Times New Roman"/>
                <w:noProof/>
              </w:rPr>
            </w:pPr>
            <w:r>
              <w:rPr>
                <w:noProof/>
              </w:rPr>
              <w:t>135</w:t>
            </w:r>
          </w:p>
        </w:tc>
        <w:tc>
          <w:tcPr>
            <w:tcW w:w="851" w:type="dxa"/>
            <w:shd w:val="clear" w:color="auto" w:fill="C6EFCE"/>
            <w:noWrap/>
          </w:tcPr>
          <w:p w14:paraId="662347B1" w14:textId="77777777" w:rsidR="000E48CE" w:rsidRDefault="00FF4C4E">
            <w:pPr>
              <w:pStyle w:val="P68B1DB1-Normal13"/>
              <w:spacing w:after="0" w:line="240" w:lineRule="auto"/>
              <w:jc w:val="center"/>
              <w:rPr>
                <w:rFonts w:cs="Times New Roman"/>
                <w:noProof/>
              </w:rPr>
            </w:pPr>
            <w:r>
              <w:rPr>
                <w:noProof/>
              </w:rPr>
              <w:t>C9.I1</w:t>
            </w:r>
          </w:p>
        </w:tc>
        <w:tc>
          <w:tcPr>
            <w:tcW w:w="850" w:type="dxa"/>
            <w:shd w:val="clear" w:color="auto" w:fill="C6EFCE"/>
            <w:noWrap/>
          </w:tcPr>
          <w:p w14:paraId="3330C96E" w14:textId="77777777" w:rsidR="000E48CE" w:rsidRDefault="00FF4C4E">
            <w:pPr>
              <w:pStyle w:val="P68B1DB1-Normal13"/>
              <w:spacing w:after="0" w:line="240" w:lineRule="auto"/>
              <w:jc w:val="center"/>
              <w:rPr>
                <w:rFonts w:cs="Times New Roman"/>
                <w:noProof/>
              </w:rPr>
            </w:pPr>
            <w:r>
              <w:rPr>
                <w:noProof/>
              </w:rPr>
              <w:t>T</w:t>
            </w:r>
          </w:p>
        </w:tc>
        <w:tc>
          <w:tcPr>
            <w:tcW w:w="1560" w:type="dxa"/>
            <w:shd w:val="clear" w:color="auto" w:fill="C6EFCE"/>
            <w:noWrap/>
          </w:tcPr>
          <w:p w14:paraId="447F5240" w14:textId="77777777" w:rsidR="000E48CE" w:rsidRDefault="00FF4C4E">
            <w:pPr>
              <w:pStyle w:val="P68B1DB1-Normal13"/>
              <w:spacing w:after="0" w:line="240" w:lineRule="auto"/>
              <w:jc w:val="both"/>
              <w:rPr>
                <w:rFonts w:cs="Times New Roman"/>
                <w:noProof/>
              </w:rPr>
            </w:pPr>
            <w:r>
              <w:rPr>
                <w:noProof/>
              </w:rPr>
              <w:t>Testauslaitokset tai uudet tuotantolinjat.</w:t>
            </w:r>
          </w:p>
        </w:tc>
        <w:tc>
          <w:tcPr>
            <w:tcW w:w="1275" w:type="dxa"/>
            <w:shd w:val="clear" w:color="auto" w:fill="C6EFCE"/>
            <w:noWrap/>
          </w:tcPr>
          <w:p w14:paraId="5220BBB2" w14:textId="77777777" w:rsidR="000E48CE" w:rsidRDefault="000E48CE">
            <w:pPr>
              <w:spacing w:after="0" w:line="240" w:lineRule="auto"/>
              <w:jc w:val="center"/>
              <w:rPr>
                <w:rFonts w:ascii="Times New Roman" w:hAnsi="Times New Roman" w:cs="Times New Roman"/>
                <w:noProof/>
                <w:sz w:val="18"/>
              </w:rPr>
            </w:pPr>
          </w:p>
        </w:tc>
        <w:tc>
          <w:tcPr>
            <w:tcW w:w="851" w:type="dxa"/>
            <w:shd w:val="clear" w:color="auto" w:fill="C6EFCE"/>
            <w:noWrap/>
          </w:tcPr>
          <w:p w14:paraId="0AFFA88C" w14:textId="77777777" w:rsidR="000E48CE" w:rsidRDefault="00FF4C4E">
            <w:pPr>
              <w:pStyle w:val="P68B1DB1-Normal13"/>
              <w:spacing w:after="0" w:line="240" w:lineRule="auto"/>
              <w:jc w:val="center"/>
              <w:rPr>
                <w:rFonts w:cs="Times New Roman"/>
                <w:noProof/>
              </w:rPr>
            </w:pPr>
            <w:r>
              <w:rPr>
                <w:noProof/>
              </w:rPr>
              <w:t>Määrä</w:t>
            </w:r>
          </w:p>
        </w:tc>
        <w:tc>
          <w:tcPr>
            <w:tcW w:w="567" w:type="dxa"/>
            <w:shd w:val="clear" w:color="auto" w:fill="C6EFCE"/>
            <w:noWrap/>
          </w:tcPr>
          <w:p w14:paraId="26EE7DBF" w14:textId="77777777" w:rsidR="000E48CE" w:rsidRDefault="00FF4C4E">
            <w:pPr>
              <w:pStyle w:val="P68B1DB1-Normal13"/>
              <w:spacing w:after="0" w:line="240" w:lineRule="auto"/>
              <w:jc w:val="center"/>
              <w:rPr>
                <w:rFonts w:cs="Times New Roman"/>
                <w:noProof/>
              </w:rPr>
            </w:pPr>
            <w:r>
              <w:rPr>
                <w:noProof/>
              </w:rPr>
              <w:t>0</w:t>
            </w:r>
          </w:p>
        </w:tc>
        <w:tc>
          <w:tcPr>
            <w:tcW w:w="567" w:type="dxa"/>
            <w:shd w:val="clear" w:color="auto" w:fill="C6EFCE"/>
            <w:noWrap/>
          </w:tcPr>
          <w:p w14:paraId="31830EAB" w14:textId="77777777" w:rsidR="000E48CE" w:rsidRDefault="00FF4C4E">
            <w:pPr>
              <w:pStyle w:val="P68B1DB1-Normal13"/>
              <w:spacing w:after="0" w:line="240" w:lineRule="auto"/>
              <w:jc w:val="center"/>
              <w:rPr>
                <w:rFonts w:cs="Times New Roman"/>
                <w:noProof/>
              </w:rPr>
            </w:pPr>
            <w:r>
              <w:rPr>
                <w:noProof/>
              </w:rPr>
              <w:t>10</w:t>
            </w:r>
          </w:p>
        </w:tc>
        <w:tc>
          <w:tcPr>
            <w:tcW w:w="425" w:type="dxa"/>
            <w:shd w:val="clear" w:color="auto" w:fill="C6EFCE"/>
            <w:noWrap/>
          </w:tcPr>
          <w:p w14:paraId="2B258E0F"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53ECD6F9" w14:textId="77777777" w:rsidR="000E48CE" w:rsidRDefault="00FF4C4E">
            <w:pPr>
              <w:pStyle w:val="P68B1DB1-Normal13"/>
              <w:spacing w:after="0" w:line="240" w:lineRule="auto"/>
              <w:jc w:val="center"/>
              <w:rPr>
                <w:rFonts w:cs="Times New Roman"/>
                <w:noProof/>
              </w:rPr>
            </w:pPr>
            <w:r>
              <w:rPr>
                <w:noProof/>
              </w:rPr>
              <w:t>2023</w:t>
            </w:r>
          </w:p>
        </w:tc>
        <w:tc>
          <w:tcPr>
            <w:tcW w:w="7088" w:type="dxa"/>
            <w:shd w:val="clear" w:color="auto" w:fill="C6EFCE"/>
            <w:noWrap/>
          </w:tcPr>
          <w:p w14:paraId="56CF1166" w14:textId="77777777" w:rsidR="000E48CE" w:rsidRDefault="00FF4C4E">
            <w:pPr>
              <w:pStyle w:val="P68B1DB1-Normal13"/>
              <w:spacing w:after="0" w:line="240" w:lineRule="auto"/>
              <w:jc w:val="both"/>
              <w:rPr>
                <w:rFonts w:cs="Times New Roman"/>
                <w:noProof/>
              </w:rPr>
            </w:pPr>
            <w:r>
              <w:rPr>
                <w:noProof/>
              </w:rPr>
              <w:t xml:space="preserve">Vähintään </w:t>
            </w:r>
            <w:r>
              <w:rPr>
                <w:noProof/>
              </w:rPr>
              <w:t>kymmenen rahoitettua toimenpidettä, joiden tavoitteena on testauslaitosten parantaminen tai uusien tuotantolinjojen käyttöönotto. Interventioissa on joko  1) parantaa T &amp; K &amp; I-toimintaan liittyviä testauslaitoksia tai laboratorioita ja/tai niihin liittyvi</w:t>
            </w:r>
            <w:r>
              <w:rPr>
                <w:noProof/>
              </w:rPr>
              <w:t>ä laitteita; tai 2) parantaa tiloja ja/tai uusien laitteiden (kuten työstökoneiden) hankintaa tai vetyyn ja polttokennoihin liittyvien järjestelmien, laitteiden tai komponenttien valmistustekniikoita.</w:t>
            </w:r>
          </w:p>
        </w:tc>
      </w:tr>
      <w:tr w:rsidR="000E48CE" w14:paraId="6FC9F33E" w14:textId="77777777">
        <w:trPr>
          <w:trHeight w:val="309"/>
        </w:trPr>
        <w:tc>
          <w:tcPr>
            <w:tcW w:w="709" w:type="dxa"/>
            <w:shd w:val="clear" w:color="auto" w:fill="C6EFCE"/>
            <w:noWrap/>
          </w:tcPr>
          <w:p w14:paraId="01BB90B5" w14:textId="77777777" w:rsidR="000E48CE" w:rsidRDefault="00FF4C4E">
            <w:pPr>
              <w:pStyle w:val="P68B1DB1-Normal13"/>
              <w:spacing w:after="0" w:line="240" w:lineRule="auto"/>
              <w:jc w:val="center"/>
              <w:rPr>
                <w:rFonts w:cs="Times New Roman"/>
                <w:noProof/>
              </w:rPr>
            </w:pPr>
            <w:r>
              <w:rPr>
                <w:noProof/>
              </w:rPr>
              <w:t>136</w:t>
            </w:r>
          </w:p>
        </w:tc>
        <w:tc>
          <w:tcPr>
            <w:tcW w:w="851" w:type="dxa"/>
            <w:shd w:val="clear" w:color="auto" w:fill="C6EFCE"/>
            <w:noWrap/>
          </w:tcPr>
          <w:p w14:paraId="69297731" w14:textId="77777777" w:rsidR="000E48CE" w:rsidRDefault="00FF4C4E">
            <w:pPr>
              <w:pStyle w:val="P68B1DB1-Normal13"/>
              <w:spacing w:after="0" w:line="240" w:lineRule="auto"/>
              <w:jc w:val="center"/>
              <w:rPr>
                <w:rFonts w:cs="Times New Roman"/>
                <w:noProof/>
              </w:rPr>
            </w:pPr>
            <w:r>
              <w:rPr>
                <w:noProof/>
              </w:rPr>
              <w:t>C9.I1</w:t>
            </w:r>
          </w:p>
        </w:tc>
        <w:tc>
          <w:tcPr>
            <w:tcW w:w="850" w:type="dxa"/>
            <w:shd w:val="clear" w:color="auto" w:fill="C6EFCE"/>
            <w:noWrap/>
          </w:tcPr>
          <w:p w14:paraId="49FACFB9" w14:textId="77777777" w:rsidR="000E48CE" w:rsidRDefault="00FF4C4E">
            <w:pPr>
              <w:pStyle w:val="P68B1DB1-Normal13"/>
              <w:spacing w:after="0" w:line="240" w:lineRule="auto"/>
              <w:jc w:val="center"/>
              <w:rPr>
                <w:rFonts w:cs="Times New Roman"/>
                <w:noProof/>
              </w:rPr>
            </w:pPr>
            <w:r>
              <w:rPr>
                <w:noProof/>
              </w:rPr>
              <w:t>T</w:t>
            </w:r>
          </w:p>
        </w:tc>
        <w:tc>
          <w:tcPr>
            <w:tcW w:w="1560" w:type="dxa"/>
            <w:shd w:val="clear" w:color="auto" w:fill="C6EFCE"/>
            <w:noWrap/>
          </w:tcPr>
          <w:p w14:paraId="3E33FC8F" w14:textId="77777777" w:rsidR="000E48CE" w:rsidRDefault="00FF4C4E">
            <w:pPr>
              <w:pStyle w:val="P68B1DB1-Normal13"/>
              <w:spacing w:after="0" w:line="240" w:lineRule="auto"/>
              <w:jc w:val="both"/>
              <w:rPr>
                <w:rFonts w:cs="Times New Roman"/>
                <w:noProof/>
              </w:rPr>
            </w:pPr>
            <w:r>
              <w:rPr>
                <w:noProof/>
              </w:rPr>
              <w:t xml:space="preserve">Hyväksytyn elektrolyysilaitteen </w:t>
            </w:r>
            <w:r>
              <w:rPr>
                <w:noProof/>
              </w:rPr>
              <w:t>kapasiteetti</w:t>
            </w:r>
          </w:p>
        </w:tc>
        <w:tc>
          <w:tcPr>
            <w:tcW w:w="1275" w:type="dxa"/>
            <w:shd w:val="clear" w:color="auto" w:fill="C6EFCE"/>
            <w:noWrap/>
          </w:tcPr>
          <w:p w14:paraId="13CB595B" w14:textId="77777777" w:rsidR="000E48CE" w:rsidRDefault="000E48CE">
            <w:pPr>
              <w:spacing w:after="0" w:line="240" w:lineRule="auto"/>
              <w:jc w:val="center"/>
              <w:rPr>
                <w:rFonts w:ascii="Times New Roman" w:hAnsi="Times New Roman" w:cs="Times New Roman"/>
                <w:noProof/>
                <w:sz w:val="18"/>
              </w:rPr>
            </w:pPr>
          </w:p>
        </w:tc>
        <w:tc>
          <w:tcPr>
            <w:tcW w:w="851" w:type="dxa"/>
            <w:shd w:val="clear" w:color="auto" w:fill="C6EFCE"/>
            <w:noWrap/>
          </w:tcPr>
          <w:p w14:paraId="541F1B07" w14:textId="77777777" w:rsidR="000E48CE" w:rsidRDefault="00FF4C4E">
            <w:pPr>
              <w:pStyle w:val="P68B1DB1-Normal13"/>
              <w:spacing w:after="0" w:line="240" w:lineRule="auto"/>
              <w:jc w:val="center"/>
              <w:rPr>
                <w:rFonts w:cs="Times New Roman"/>
                <w:noProof/>
              </w:rPr>
            </w:pPr>
            <w:r>
              <w:rPr>
                <w:noProof/>
              </w:rPr>
              <w:t>Määrä</w:t>
            </w:r>
          </w:p>
          <w:p w14:paraId="5F8575A9" w14:textId="77777777" w:rsidR="000E48CE" w:rsidRDefault="00FF4C4E">
            <w:pPr>
              <w:pStyle w:val="P68B1DB1-Normal13"/>
              <w:spacing w:after="0" w:line="240" w:lineRule="auto"/>
              <w:jc w:val="center"/>
              <w:rPr>
                <w:rFonts w:cs="Times New Roman"/>
                <w:noProof/>
              </w:rPr>
            </w:pPr>
            <w:r>
              <w:rPr>
                <w:noProof/>
              </w:rPr>
              <w:t>(MW)</w:t>
            </w:r>
          </w:p>
        </w:tc>
        <w:tc>
          <w:tcPr>
            <w:tcW w:w="567" w:type="dxa"/>
            <w:shd w:val="clear" w:color="auto" w:fill="C6EFCE"/>
            <w:noWrap/>
          </w:tcPr>
          <w:p w14:paraId="5C0A68D0" w14:textId="77777777" w:rsidR="000E48CE" w:rsidRDefault="00FF4C4E">
            <w:pPr>
              <w:pStyle w:val="P68B1DB1-Normal13"/>
              <w:spacing w:after="0" w:line="240" w:lineRule="auto"/>
              <w:jc w:val="center"/>
              <w:rPr>
                <w:rFonts w:cs="Times New Roman"/>
                <w:noProof/>
              </w:rPr>
            </w:pPr>
            <w:r>
              <w:rPr>
                <w:noProof/>
              </w:rPr>
              <w:t>0</w:t>
            </w:r>
          </w:p>
        </w:tc>
        <w:tc>
          <w:tcPr>
            <w:tcW w:w="567" w:type="dxa"/>
            <w:shd w:val="clear" w:color="auto" w:fill="C6EFCE"/>
            <w:noWrap/>
          </w:tcPr>
          <w:p w14:paraId="11BB722B" w14:textId="41471449" w:rsidR="000E48CE" w:rsidRDefault="00FF4C4E">
            <w:pPr>
              <w:pStyle w:val="P68B1DB1-Normal13"/>
              <w:spacing w:after="0" w:line="240" w:lineRule="auto"/>
              <w:jc w:val="center"/>
              <w:rPr>
                <w:rFonts w:cs="Times New Roman"/>
                <w:noProof/>
              </w:rPr>
            </w:pPr>
            <w:r>
              <w:rPr>
                <w:noProof/>
              </w:rPr>
              <w:t>700</w:t>
            </w:r>
          </w:p>
        </w:tc>
        <w:tc>
          <w:tcPr>
            <w:tcW w:w="425" w:type="dxa"/>
            <w:shd w:val="clear" w:color="auto" w:fill="C6EFCE"/>
            <w:noWrap/>
          </w:tcPr>
          <w:p w14:paraId="7EBA18D0"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2EF6E9DD" w14:textId="77777777" w:rsidR="000E48CE" w:rsidRDefault="00FF4C4E">
            <w:pPr>
              <w:pStyle w:val="P68B1DB1-Normal13"/>
              <w:spacing w:after="0" w:line="240" w:lineRule="auto"/>
              <w:jc w:val="center"/>
              <w:rPr>
                <w:rFonts w:cs="Times New Roman"/>
                <w:noProof/>
              </w:rPr>
            </w:pPr>
            <w:r>
              <w:rPr>
                <w:noProof/>
              </w:rPr>
              <w:t>2026</w:t>
            </w:r>
          </w:p>
        </w:tc>
        <w:tc>
          <w:tcPr>
            <w:tcW w:w="7088" w:type="dxa"/>
            <w:shd w:val="clear" w:color="auto" w:fill="C6EFCE"/>
            <w:noWrap/>
          </w:tcPr>
          <w:p w14:paraId="1AE03AEF" w14:textId="5EE20C7C" w:rsidR="000E48CE" w:rsidRDefault="00FF4C4E">
            <w:pPr>
              <w:pStyle w:val="P68B1DB1-Normal13"/>
              <w:spacing w:after="0" w:line="240" w:lineRule="auto"/>
              <w:jc w:val="both"/>
              <w:rPr>
                <w:rFonts w:cs="Times New Roman"/>
                <w:noProof/>
              </w:rPr>
            </w:pPr>
            <w:r>
              <w:rPr>
                <w:noProof/>
              </w:rPr>
              <w:t>Vähintään 700 MW hyväksytyn elektrolyysilaitteiston kokonaiskapasiteetista, mukaan lukien täydentävä infrastruktuuri. Akkreditoinnilla on jokin seuraavista kolmesta: lisätään rekisteriin uusiutuvien kaasujen alkuperät</w:t>
            </w:r>
            <w:r>
              <w:rPr>
                <w:noProof/>
              </w:rPr>
              <w:t>akuita koskeva kansallinen järjestelmä, toimivaltaisen elimen antama hallinnollinen lupa tai tuensaajan antama lopullinen investointipäätös.</w:t>
            </w:r>
          </w:p>
        </w:tc>
      </w:tr>
    </w:tbl>
    <w:p w14:paraId="6D9C8D39" w14:textId="77777777" w:rsidR="000E48CE" w:rsidRDefault="000E48CE">
      <w:pPr>
        <w:spacing w:before="120" w:after="120" w:line="240" w:lineRule="auto"/>
        <w:ind w:left="709"/>
        <w:jc w:val="both"/>
        <w:rPr>
          <w:rFonts w:ascii="Times New Roman" w:hAnsi="Times New Roman" w:cs="Times New Roman"/>
          <w:noProof/>
          <w:sz w:val="24"/>
        </w:rPr>
      </w:pPr>
    </w:p>
    <w:p w14:paraId="675E05EE"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417" w:right="1134" w:bottom="1417" w:left="1134" w:header="709" w:footer="709" w:gutter="0"/>
          <w:cols w:space="720"/>
          <w:docGrid w:linePitch="360"/>
        </w:sectPr>
      </w:pPr>
    </w:p>
    <w:p w14:paraId="5B1C3E22" w14:textId="5F2EDB9B" w:rsidR="000E48CE" w:rsidRDefault="00FF4C4E">
      <w:pPr>
        <w:pStyle w:val="P68B1DB1-Heading12"/>
        <w:rPr>
          <w:rFonts w:cs="Times New Roman"/>
          <w:noProof/>
        </w:rPr>
      </w:pPr>
      <w:r>
        <w:rPr>
          <w:noProof/>
        </w:rPr>
        <w:t>J. OSA 10: Oikeudenmukainen siirtymä</w:t>
      </w:r>
    </w:p>
    <w:p w14:paraId="5BB6F28A" w14:textId="77777777" w:rsidR="000E48CE" w:rsidRDefault="00FF4C4E">
      <w:pPr>
        <w:pStyle w:val="P68B1DB1-Normal22"/>
        <w:spacing w:before="120" w:after="120" w:line="240" w:lineRule="auto"/>
        <w:jc w:val="both"/>
        <w:rPr>
          <w:rFonts w:cs="Times New Roman"/>
          <w:noProof/>
        </w:rPr>
      </w:pPr>
      <w:r>
        <w:rPr>
          <w:noProof/>
        </w:rPr>
        <w:t xml:space="preserve">Tässä Espanjan </w:t>
      </w:r>
      <w:r>
        <w:rPr>
          <w:noProof/>
        </w:rPr>
        <w:t>elpymis- ja palautumissuunnitelman osassa käsitellään taloudellisia ja sosiaalisia vaikutuksia maantieteellisillä alueilla, joihin hiilikaivosten ja hiili-/ydinvoimaloiden sulkeminen vaikuttaa. Niitä ovat pahentaneet entisestään covid-pandemian vaikutukset</w:t>
      </w:r>
      <w:r>
        <w:rPr>
          <w:noProof/>
        </w:rPr>
        <w:t xml:space="preserve"> ja lämpövoimaloiden sulkeminen. Lisätavoitteena on muuttaa tuotantomallia ja edistää muutosta, jolla tuetaan alueiden kestävämpää taloudellista ja sosiaalista mallia tulevaisuutta varten. Strategia on laadittu rinnakkain oikeudenmukaisen siirtymän rahasto</w:t>
      </w:r>
      <w:r>
        <w:rPr>
          <w:noProof/>
        </w:rPr>
        <w:t>n (JTF) Espanjan alueellisen suunnitelman kanssa. JTF-rahastolla on tarkoitus olla laajempi soveltamisala, pidempi kesto ja strategisempi keskittyminen liiketoiminnan kehittämiseen ja tukemiseen.</w:t>
      </w:r>
    </w:p>
    <w:p w14:paraId="6C066958" w14:textId="77777777" w:rsidR="000E48CE" w:rsidRDefault="00FF4C4E">
      <w:pPr>
        <w:pStyle w:val="P68B1DB1-Normal4"/>
        <w:spacing w:before="120" w:after="120" w:line="240" w:lineRule="auto"/>
        <w:jc w:val="both"/>
        <w:rPr>
          <w:rFonts w:cs="Times New Roman"/>
          <w:noProof/>
        </w:rPr>
      </w:pPr>
      <w:r>
        <w:rPr>
          <w:noProof/>
        </w:rPr>
        <w:t xml:space="preserve">Komponentilla edistetään työllisyyden tukemiseen liittyvien </w:t>
      </w:r>
      <w:r>
        <w:rPr>
          <w:noProof/>
        </w:rPr>
        <w:t>maakohtaisten suositusten noudattamista työpaikkojen säilyttämiseen tähtäävien toimenpiteiden, tehokkaiden työhönottokannustimien ja osaamisen kehittämisen avulla (maakohtainen suositus 2 2020). edistetään julkisia ja yksityisiä investointeja vihreän siirt</w:t>
      </w:r>
      <w:r>
        <w:rPr>
          <w:noProof/>
        </w:rPr>
        <w:t>ymän edistämiseksi (maakohtainen suositus 3 2020); ja vahvistaa eri hallintotasojen välistä yhteistyötä (maakohtainen suositus 4 2019).</w:t>
      </w:r>
    </w:p>
    <w:p w14:paraId="4A870DE6" w14:textId="77777777" w:rsidR="000E48CE" w:rsidRDefault="00FF4C4E">
      <w:pPr>
        <w:pStyle w:val="P68B1DB1-Normal4"/>
        <w:spacing w:before="120" w:after="120" w:line="240" w:lineRule="auto"/>
        <w:jc w:val="both"/>
        <w:rPr>
          <w:rFonts w:cs="Times New Roman"/>
          <w:noProof/>
          <w:shd w:val="clear" w:color="auto" w:fill="FFFFFF"/>
        </w:rPr>
      </w:pPr>
      <w:r>
        <w:rPr>
          <w:noProof/>
        </w:rPr>
        <w:t>Minkään tämän komponentin toimenpiteen ei odoteta aiheuttavan asetuksen (EU) 2020/852 17 artiklassa tarkoitettua merkitt</w:t>
      </w:r>
      <w:r>
        <w:rPr>
          <w:noProof/>
        </w:rPr>
        <w:t>ävää haittaa ympäristötavoitteille, kun otetaan huomioon ”ei merkittävää haittaa” -periaatteen soveltamista koskevien teknisten ohjeiden (2021/C58/01) mukaiset elpymis- ja palautumissuunnitelmassa esitettyjen toimenpiteiden kuvaus ja lieventävät toimet.</w:t>
      </w:r>
    </w:p>
    <w:p w14:paraId="42759D05" w14:textId="77777777" w:rsidR="000E48CE" w:rsidRDefault="00FF4C4E">
      <w:pPr>
        <w:pStyle w:val="P68B1DB1-Normal5"/>
        <w:spacing w:before="120" w:after="120" w:line="240" w:lineRule="auto"/>
        <w:ind w:left="709"/>
        <w:jc w:val="both"/>
        <w:rPr>
          <w:rFonts w:cs="Times New Roman"/>
          <w:i/>
          <w:noProof/>
        </w:rPr>
      </w:pPr>
      <w:r>
        <w:rPr>
          <w:noProof/>
        </w:rPr>
        <w:t>J.</w:t>
      </w:r>
      <w:r>
        <w:rPr>
          <w:noProof/>
        </w:rPr>
        <w:t xml:space="preserve">1. </w:t>
      </w:r>
      <w:r>
        <w:rPr>
          <w:noProof/>
        </w:rPr>
        <w:tab/>
        <w:t>Kuvaus uudistuksista ja investoinneista, joita rahoitetaan rahoitustuella, jota ei makseta takaisin</w:t>
      </w:r>
    </w:p>
    <w:p w14:paraId="7BF9F8E3" w14:textId="77777777" w:rsidR="000E48CE" w:rsidRDefault="00FF4C4E">
      <w:pPr>
        <w:pStyle w:val="P68B1DB1-Normal23"/>
        <w:spacing w:before="120" w:after="120" w:line="240" w:lineRule="auto"/>
        <w:jc w:val="both"/>
        <w:rPr>
          <w:rFonts w:cs="Times New Roman"/>
          <w:noProof/>
        </w:rPr>
      </w:pPr>
      <w:r>
        <w:rPr>
          <w:noProof/>
        </w:rPr>
        <w:t>Uudistus 1 (C10.R1) – Oikeudenmukaisen siirtymän pöytäkirjat</w:t>
      </w:r>
    </w:p>
    <w:p w14:paraId="71CB9634" w14:textId="77777777" w:rsidR="000E48CE" w:rsidRDefault="00FF4C4E">
      <w:pPr>
        <w:pStyle w:val="P68B1DB1-Normal22"/>
        <w:spacing w:before="120" w:after="120" w:line="240" w:lineRule="auto"/>
        <w:jc w:val="both"/>
        <w:rPr>
          <w:rFonts w:cs="Times New Roman"/>
          <w:noProof/>
        </w:rPr>
      </w:pPr>
      <w:r>
        <w:rPr>
          <w:noProof/>
        </w:rPr>
        <w:t>Hallitus hyväksyi helmikuussa 2020 oikeudenmukaisen siirtymän strategian kansallisen energi</w:t>
      </w:r>
      <w:r>
        <w:rPr>
          <w:noProof/>
        </w:rPr>
        <w:t>a- ja ilmastosuunnitelman mukaisesti. Tämän strategian ja Espanjan elpymis- ja palautumissuunnitelman puitteissa tässä uudistuksessa vahvistetaan 12 oikeudenmukaisen siirtymän pöytäkirjaa, jotka kattavat kaikki hiilikaivosten ja hiilivoimalaitosten sulkemi</w:t>
      </w:r>
      <w:r>
        <w:rPr>
          <w:noProof/>
        </w:rPr>
        <w:t>sen vaikutukset. Kunkin oikeudenmukaisen siirtymän rahaston pöytäkirjan on katettava vähintään alue, johon hiilivoimalaitoksen sulkeminen vaikuttaa. Pöytäkirjoissa vahvistetaan kattavat ja yksityiskohtaiset alueelliset toimintasuunnitelmat asianomaisten al</w:t>
      </w:r>
      <w:r>
        <w:rPr>
          <w:noProof/>
        </w:rPr>
        <w:t xml:space="preserve">ueiden ekologisen, taloudellisen ja sosiaalisen kestävyyden välineinä. Painopisteenä on </w:t>
      </w:r>
      <w:r>
        <w:rPr>
          <w:i/>
          <w:noProof/>
        </w:rPr>
        <w:t>muun muassa</w:t>
      </w:r>
      <w:r>
        <w:rPr>
          <w:noProof/>
        </w:rPr>
        <w:t xml:space="preserve"> työpaikkojen säilyttäminen ja luominen, monipuolistamisen ja erikoistumisen edistäminen, alueiden houkuttelevuuden lisääminen väestökadon torjumiseksi sekä </w:t>
      </w:r>
      <w:r>
        <w:rPr>
          <w:noProof/>
        </w:rPr>
        <w:t xml:space="preserve">maan ympäristön ennallistaminen. Näihin pöytäkirjoihin on sisällyttävä asiaankuuluvien paikallisten toimijoiden (julkisten ja yksityisten toimijoiden, mukaan lukien yritykset, työmarkkinaosapuolet, koulutusala, kansalaisjärjestöt jne.) yhteistyö. </w:t>
      </w:r>
    </w:p>
    <w:p w14:paraId="4B3369C9" w14:textId="77777777" w:rsidR="000E48CE" w:rsidRDefault="00FF4C4E">
      <w:pPr>
        <w:pStyle w:val="P68B1DB1-Normal22"/>
        <w:spacing w:before="120" w:after="120" w:line="240" w:lineRule="auto"/>
        <w:jc w:val="both"/>
        <w:rPr>
          <w:rFonts w:cs="Times New Roman"/>
          <w:noProof/>
        </w:rPr>
      </w:pPr>
      <w:r>
        <w:rPr>
          <w:noProof/>
        </w:rPr>
        <w:t>Uudistuk</w:t>
      </w:r>
      <w:r>
        <w:rPr>
          <w:noProof/>
        </w:rPr>
        <w:t>seen sisältyy myös oikeudenmukaisen siirtymän instituutin perustaminen. Instituutin tavoitteena on yksilöidä ja hyväksyä toimia, joilla taataan niiden työntekijöiden ja alueiden tasapuolinen kohtelu, joihin siirtyminen vähähiiliseen talouteen vaikuttaa, mi</w:t>
      </w:r>
      <w:r>
        <w:rPr>
          <w:noProof/>
        </w:rPr>
        <w:t>nimoida näiden alueiden työllisyyteen ja väestöön kohdistuvat kielteiset vaikutukset ja optimoida muutosprosessin tarjoamat mahdollisuudet. Instituutin päätehtävänä on edistää teollisuuspolitiikan suunnittelua, tutkimusta ja kehittämistä, taloudellisen toi</w:t>
      </w:r>
      <w:r>
        <w:rPr>
          <w:noProof/>
        </w:rPr>
        <w:t xml:space="preserve">minnan edistämistä, työllisyyttä ja ammatillista koulutusta. </w:t>
      </w:r>
    </w:p>
    <w:p w14:paraId="12C249A7" w14:textId="77777777" w:rsidR="000E48CE" w:rsidRDefault="00FF4C4E">
      <w:pPr>
        <w:pStyle w:val="P68B1DB1-Normal22"/>
        <w:spacing w:before="120" w:after="120" w:line="240" w:lineRule="auto"/>
        <w:jc w:val="both"/>
        <w:rPr>
          <w:rFonts w:cs="Times New Roman"/>
          <w:noProof/>
        </w:rPr>
      </w:pPr>
      <w:r>
        <w:rPr>
          <w:noProof/>
        </w:rPr>
        <w:t>Toimenpiteeseen kuuluu myös sellaisen neuvoa-antavan toimikunnan perustaminen, joka koostuu ministeriöiden ja paikallis- ja alueviranomaisten edustajista ja joka antaa neuvoja ja arvioi oikeuden</w:t>
      </w:r>
      <w:r>
        <w:rPr>
          <w:noProof/>
        </w:rPr>
        <w:t xml:space="preserve">mukaista siirtymää koskevien politiikkojen vaikutuksia. </w:t>
      </w:r>
    </w:p>
    <w:p w14:paraId="36F54EEC"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30 päivänä kesäkuuta 2023.</w:t>
      </w:r>
    </w:p>
    <w:p w14:paraId="209E9848" w14:textId="77777777" w:rsidR="000E48CE" w:rsidRDefault="00FF4C4E">
      <w:pPr>
        <w:pStyle w:val="P68B1DB1-Normal23"/>
        <w:spacing w:before="120" w:after="120" w:line="240" w:lineRule="auto"/>
        <w:jc w:val="both"/>
        <w:rPr>
          <w:rFonts w:cs="Times New Roman"/>
          <w:noProof/>
        </w:rPr>
      </w:pPr>
      <w:r>
        <w:rPr>
          <w:noProof/>
        </w:rPr>
        <w:t>Investointi 1 (C10.I1) – Investoinnit oikeudenmukaiseen siirtymään</w:t>
      </w:r>
    </w:p>
    <w:p w14:paraId="121B1291" w14:textId="77777777" w:rsidR="000E48CE" w:rsidRDefault="00FF4C4E">
      <w:pPr>
        <w:pStyle w:val="P68B1DB1-Normal22"/>
        <w:spacing w:before="120" w:after="120" w:line="240" w:lineRule="auto"/>
        <w:jc w:val="both"/>
        <w:rPr>
          <w:rFonts w:cs="Times New Roman"/>
          <w:noProof/>
        </w:rPr>
      </w:pPr>
      <w:r>
        <w:rPr>
          <w:noProof/>
        </w:rPr>
        <w:t xml:space="preserve">Oikeudenmukaisen siirtymän pöytäkirjoihin on liitettävä investointeja alueilla, jotta voidaan </w:t>
      </w:r>
    </w:p>
    <w:p w14:paraId="3F06503D" w14:textId="77777777" w:rsidR="000E48CE" w:rsidRDefault="00FF4C4E">
      <w:pPr>
        <w:pStyle w:val="P68B1DB1-Normal22"/>
        <w:numPr>
          <w:ilvl w:val="0"/>
          <w:numId w:val="105"/>
        </w:numPr>
        <w:spacing w:before="120" w:after="120" w:line="240" w:lineRule="auto"/>
        <w:jc w:val="both"/>
        <w:rPr>
          <w:rFonts w:cs="Times New Roman"/>
          <w:noProof/>
        </w:rPr>
      </w:pPr>
      <w:r>
        <w:rPr>
          <w:noProof/>
        </w:rPr>
        <w:t xml:space="preserve">työpaikkojen luominen ja lyhytaikaisen toiminnan tukeminen; </w:t>
      </w:r>
    </w:p>
    <w:p w14:paraId="3E748B07" w14:textId="77777777" w:rsidR="000E48CE" w:rsidRDefault="00FF4C4E">
      <w:pPr>
        <w:pStyle w:val="P68B1DB1-Normal22"/>
        <w:numPr>
          <w:ilvl w:val="0"/>
          <w:numId w:val="105"/>
        </w:numPr>
        <w:spacing w:before="120" w:after="120" w:line="240" w:lineRule="auto"/>
        <w:jc w:val="both"/>
        <w:rPr>
          <w:rFonts w:cs="Times New Roman"/>
          <w:noProof/>
        </w:rPr>
      </w:pPr>
      <w:r>
        <w:rPr>
          <w:noProof/>
        </w:rPr>
        <w:t>nopeutettava muutosta keskittymällä pienemmän mittakaavan pilottihankkeisiin, joita – jos ne katsota</w:t>
      </w:r>
      <w:r>
        <w:rPr>
          <w:noProof/>
        </w:rPr>
        <w:t>an menestyksekkäiksi – laajennettaisiin JTF-rahaston yhteydessä; ja</w:t>
      </w:r>
    </w:p>
    <w:p w14:paraId="15A0C0C7" w14:textId="77777777" w:rsidR="000E48CE" w:rsidRDefault="00FF4C4E">
      <w:pPr>
        <w:pStyle w:val="P68B1DB1-Normal22"/>
        <w:numPr>
          <w:ilvl w:val="0"/>
          <w:numId w:val="105"/>
        </w:numPr>
        <w:spacing w:before="120" w:after="120" w:line="240" w:lineRule="auto"/>
        <w:jc w:val="both"/>
        <w:rPr>
          <w:rFonts w:cs="Times New Roman"/>
          <w:noProof/>
        </w:rPr>
      </w:pPr>
      <w:r>
        <w:rPr>
          <w:noProof/>
        </w:rPr>
        <w:t xml:space="preserve">edistää taloudellista kehitystä ja edistää sosiaalista ja alueellista yhteenkuuluvuutta. </w:t>
      </w:r>
    </w:p>
    <w:p w14:paraId="0C490A71" w14:textId="77777777" w:rsidR="000E48CE" w:rsidRDefault="00FF4C4E">
      <w:pPr>
        <w:pStyle w:val="P68B1DB1-Normal22"/>
        <w:spacing w:before="120" w:after="120" w:line="240" w:lineRule="auto"/>
        <w:jc w:val="both"/>
        <w:rPr>
          <w:rFonts w:cs="Times New Roman"/>
          <w:noProof/>
        </w:rPr>
      </w:pPr>
      <w:r>
        <w:rPr>
          <w:noProof/>
        </w:rPr>
        <w:t xml:space="preserve">Hankkeet on kohdennettava neljään erityisalaan: </w:t>
      </w:r>
    </w:p>
    <w:p w14:paraId="0952D290" w14:textId="77777777" w:rsidR="000E48CE" w:rsidRDefault="00FF4C4E">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 xml:space="preserve">Suljettujen tai hylättyjen kaivosalueiden ja </w:t>
      </w:r>
      <w:r>
        <w:rPr>
          <w:noProof/>
          <w:shd w:val="clear" w:color="auto" w:fill="FFFFFF"/>
        </w:rPr>
        <w:t>lämpö- tai ydinvoimalaitosten vieressä olevan huonontuneen maanympäristön ennallistamissuunnitelmat (esim. uudelleenmetsittäminen tai kasvillisuuden palauttaminen), jotka kattavat vähintään 2000 hehtaaria kunnostettua maata.</w:t>
      </w:r>
      <w:r>
        <w:rPr>
          <w:noProof/>
        </w:rPr>
        <w:t xml:space="preserve"> </w:t>
      </w:r>
      <w:r>
        <w:rPr>
          <w:noProof/>
          <w:shd w:val="clear" w:color="auto" w:fill="FFFFFF"/>
        </w:rPr>
        <w:t xml:space="preserve"> Osana näitä suunnitelmia laito</w:t>
      </w:r>
      <w:r>
        <w:rPr>
          <w:noProof/>
          <w:shd w:val="clear" w:color="auto" w:fill="FFFFFF"/>
        </w:rPr>
        <w:t>kset ja kaivoslaitokset on purettava, maaperä on kunnostettava ja siihen on sovellettava uudelleenmetsittämis- tai kasvillisuusprosesseja, uusiutuvaa energiaa tuottavia laitoksia tai ekovaihtoehtoista talouskehitystä;</w:t>
      </w:r>
    </w:p>
    <w:p w14:paraId="700ACC35" w14:textId="77AF67D7" w:rsidR="000E48CE" w:rsidRDefault="00FF4C4E">
      <w:pPr>
        <w:pStyle w:val="P68B1DB1-Normal4"/>
        <w:numPr>
          <w:ilvl w:val="0"/>
          <w:numId w:val="104"/>
        </w:numPr>
        <w:spacing w:before="120" w:after="120" w:line="240" w:lineRule="auto"/>
        <w:jc w:val="both"/>
        <w:rPr>
          <w:rFonts w:cs="Times New Roman"/>
          <w:noProof/>
        </w:rPr>
      </w:pPr>
      <w:r>
        <w:rPr>
          <w:noProof/>
          <w:shd w:val="clear" w:color="auto" w:fill="FFFFFF"/>
        </w:rPr>
        <w:t xml:space="preserve">Vähintään </w:t>
      </w:r>
      <w:r>
        <w:rPr>
          <w:noProof/>
        </w:rPr>
        <w:t>130</w:t>
      </w:r>
      <w:r>
        <w:rPr>
          <w:noProof/>
          <w:shd w:val="clear" w:color="auto" w:fill="FFFFFF"/>
        </w:rPr>
        <w:t xml:space="preserve"> ympäristö-, digitaali- j</w:t>
      </w:r>
      <w:r>
        <w:rPr>
          <w:noProof/>
          <w:shd w:val="clear" w:color="auto" w:fill="FFFFFF"/>
        </w:rPr>
        <w:t>a sosiaalista infrastruktuurihanketta vähähiiliseen talouteen siirtymässä olevissa kunnissa ja alueilla siten, että rahoitusinvestointien kokonaismäärä on vähintään 102000000 euroa. Hankkeiden on katettava useita aloja, joita ovat muun muassa seuraavat: in</w:t>
      </w:r>
      <w:r>
        <w:rPr>
          <w:noProof/>
          <w:shd w:val="clear" w:color="auto" w:fill="FFFFFF"/>
        </w:rPr>
        <w:t>frastruktuurin ja julkisten rakennusten</w:t>
      </w:r>
      <w:r>
        <w:rPr>
          <w:noProof/>
        </w:rPr>
        <w:t>kunnostaminen; innovatiiviset hankkeet kuntien tai eristyneiden alueiden välisessä viestinnässä, joka perustuu kestäviin liikkuvuusratkaisuihin sekä olemassa olevan liikenneinfrastruktuurin elvyttämiseen ja vaihtoehto</w:t>
      </w:r>
      <w:r>
        <w:rPr>
          <w:noProof/>
        </w:rPr>
        <w:t>iseen käyttöön; kiertotaloutta tukevan julkisen infrastruktuurin kunnostaminen, mukaan lukien yhteisöjen kompostointilaitokset ja jätehuoltokeskukset; ympäristöhankkeet julkisessa omistuksessa olevien alueiden (kuten reservien, kulkuväylien, laiturien ja l</w:t>
      </w:r>
      <w:r>
        <w:rPr>
          <w:noProof/>
        </w:rPr>
        <w:t>uonnontulkkausalueiden) kunnostamiseksi ja parantamiseksi; digitaalinen infrastruktuuri ja palvelut ekologisten tuotteiden osuuskuntien tai yhteisosto- ja myyntijärjestelmien kehittämiseksi internetissä.</w:t>
      </w:r>
    </w:p>
    <w:p w14:paraId="68A2ED79" w14:textId="5A105EE8" w:rsidR="000E48CE" w:rsidRDefault="00FF4C4E">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Tuki kahdelle TKI-hankkeelle energian varastoinnin j</w:t>
      </w:r>
      <w:r>
        <w:rPr>
          <w:noProof/>
          <w:shd w:val="clear" w:color="auto" w:fill="FFFFFF"/>
        </w:rPr>
        <w:t>a vihreän vedyn alalla</w:t>
      </w:r>
      <w:r>
        <w:rPr>
          <w:noProof/>
        </w:rPr>
        <w:t>. Hankkeissa mukautetaan Ciudad de la Energían (</w:t>
      </w:r>
      <w:r>
        <w:rPr>
          <w:i/>
          <w:noProof/>
        </w:rPr>
        <w:t xml:space="preserve">Ciudad de la Energía) </w:t>
      </w:r>
      <w:r>
        <w:rPr>
          <w:noProof/>
        </w:rPr>
        <w:t>laitoksia ja laboratorioita. Kyseessä on Bierzoon (Leon), joka toimii oikeudenmukaisen siirtymän instituutin alaisuudessa ja joka on riippuvainen ekologisesta siirt</w:t>
      </w:r>
      <w:r>
        <w:rPr>
          <w:noProof/>
        </w:rPr>
        <w:t>ymästä ja väestöhaasteesta vastaavasta ministeriöstä, kahteen vihreän vedyn tuotantoa ja energian varastointia koskevaan tutkimus-, kehitys- ja innovointihankkeeseen. ja</w:t>
      </w:r>
    </w:p>
    <w:p w14:paraId="30266114" w14:textId="43BD2763" w:rsidR="000E48CE" w:rsidRDefault="00FF4C4E">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Tuki työntekijöiden ja vähähiiliseen talouteen siirtymisestä kärsivien henkilöiden uud</w:t>
      </w:r>
      <w:r>
        <w:rPr>
          <w:noProof/>
          <w:shd w:val="clear" w:color="auto" w:fill="FFFFFF"/>
        </w:rPr>
        <w:t xml:space="preserve">elleenkouluttamiselle ja työllistettävyyden parantamiselle siten, että vähintään </w:t>
      </w:r>
      <w:r>
        <w:rPr>
          <w:noProof/>
        </w:rPr>
        <w:t>840</w:t>
      </w:r>
      <w:r>
        <w:rPr>
          <w:noProof/>
          <w:shd w:val="clear" w:color="auto" w:fill="FFFFFF"/>
        </w:rPr>
        <w:t xml:space="preserve"> henkilöä saa yksilöllistä työnhakuneuvontaa ja</w:t>
      </w:r>
      <w:r>
        <w:rPr>
          <w:noProof/>
        </w:rPr>
        <w:t>/tai</w:t>
      </w:r>
      <w:r>
        <w:rPr>
          <w:noProof/>
          <w:shd w:val="clear" w:color="auto" w:fill="FFFFFF"/>
        </w:rPr>
        <w:t xml:space="preserve"> uudelleenkoulutusväyliä. Uudelleenkoulutustuen olisi katettava ainakin seuraavat alat: uusiutuvan energian (tuuli ja aur</w:t>
      </w:r>
      <w:r>
        <w:rPr>
          <w:noProof/>
          <w:shd w:val="clear" w:color="auto" w:fill="FFFFFF"/>
        </w:rPr>
        <w:t xml:space="preserve">inkosähkö) asentaminen ja ylläpito, ennallistaminen ja ympäristöasioiden hallinta ja/tai asuntojen integroitu ja energiakunnostaminen. </w:t>
      </w:r>
    </w:p>
    <w:p w14:paraId="0E19EE43" w14:textId="77777777" w:rsidR="000E48CE" w:rsidRDefault="00FF4C4E">
      <w:pPr>
        <w:pStyle w:val="P68B1DB1-Normal4"/>
        <w:spacing w:before="120" w:after="120" w:line="240" w:lineRule="auto"/>
        <w:jc w:val="both"/>
        <w:rPr>
          <w:rFonts w:cs="Times New Roman"/>
          <w:b/>
          <w:noProof/>
          <w:u w:val="single"/>
        </w:rPr>
      </w:pPr>
      <w:r>
        <w:rPr>
          <w:noProof/>
        </w:rPr>
        <w:t>Investoinnin toteutus saatetaan päätökseen viimeistään 30. kesäkuuta 2026.</w:t>
      </w:r>
    </w:p>
    <w:p w14:paraId="12C670DD" w14:textId="77777777" w:rsidR="000E48CE" w:rsidRDefault="00FF4C4E">
      <w:pPr>
        <w:pStyle w:val="P68B1DB1-Normal5"/>
        <w:spacing w:before="120" w:after="120" w:line="240" w:lineRule="auto"/>
        <w:ind w:left="709"/>
        <w:jc w:val="both"/>
        <w:rPr>
          <w:rFonts w:cs="Times New Roman"/>
          <w:noProof/>
        </w:rPr>
      </w:pPr>
      <w:r>
        <w:rPr>
          <w:noProof/>
        </w:rPr>
        <w:t xml:space="preserve">J.2 </w:t>
      </w:r>
      <w:r>
        <w:rPr>
          <w:noProof/>
        </w:rPr>
        <w:tab/>
        <w:t>Seurantaa ja täytäntöönpanoa koskevat vä</w:t>
      </w:r>
      <w:r>
        <w:rPr>
          <w:noProof/>
        </w:rPr>
        <w:t>litavoitteet, tavoitteet, indikaattorit ja aikataulu – rahoitustuki, jota ei makseta takaisin</w:t>
      </w:r>
    </w:p>
    <w:p w14:paraId="20264558" w14:textId="77777777" w:rsidR="000E48CE" w:rsidRDefault="00FF4C4E">
      <w:pPr>
        <w:pStyle w:val="P68B1DB1-Normal4"/>
        <w:spacing w:before="120" w:after="120" w:line="240" w:lineRule="auto"/>
        <w:rPr>
          <w:rFonts w:cs="Times New Roman"/>
          <w:noProof/>
        </w:rPr>
        <w:sectPr w:rsidR="000E48CE" w:rsidSect="00EB7CC8">
          <w:headerReference w:type="even" r:id="rId210"/>
          <w:headerReference w:type="default" r:id="rId211"/>
          <w:footerReference w:type="even" r:id="rId212"/>
          <w:footerReference w:type="default" r:id="rId213"/>
          <w:headerReference w:type="first" r:id="rId214"/>
          <w:footerReference w:type="first" r:id="rId215"/>
          <w:pgSz w:w="11907" w:h="16839"/>
          <w:pgMar w:top="1134" w:right="1417" w:bottom="1134" w:left="1417" w:header="709" w:footer="709" w:gutter="0"/>
          <w:cols w:space="720"/>
          <w:docGrid w:linePitch="360"/>
        </w:sectPr>
      </w:pPr>
      <w:r>
        <w:rPr>
          <w:i/>
          <w:noProof/>
        </w:rPr>
        <w:t>Ks. taulukko jäljempänä.</w:t>
      </w:r>
      <w:r>
        <w:rPr>
          <w:noProof/>
        </w:rPr>
        <w:t xml:space="preserve"> </w:t>
      </w:r>
      <w:r>
        <w:rPr>
          <w:i/>
          <w:noProof/>
        </w:rPr>
        <w:t>Kaikkien indikaattoreiden perustaso on 1. helmikuuta 2020, ellei toimen kuvauk</w:t>
      </w:r>
      <w:r>
        <w:rPr>
          <w:i/>
          <w:noProof/>
        </w:rPr>
        <w:t>sessa toisin ilmoiteta. Taulukossa esitetyt määrät eivät sisällä arvonlisäveroa.</w:t>
      </w: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3261"/>
        <w:gridCol w:w="992"/>
        <w:gridCol w:w="850"/>
        <w:gridCol w:w="567"/>
        <w:gridCol w:w="709"/>
        <w:gridCol w:w="425"/>
        <w:gridCol w:w="567"/>
        <w:gridCol w:w="5529"/>
      </w:tblGrid>
      <w:tr w:rsidR="000E48CE" w14:paraId="7C0B19A3" w14:textId="77777777">
        <w:trPr>
          <w:trHeight w:val="309"/>
          <w:tblHeader/>
        </w:trPr>
        <w:tc>
          <w:tcPr>
            <w:tcW w:w="709" w:type="dxa"/>
            <w:tcBorders>
              <w:bottom w:val="nil"/>
            </w:tcBorders>
            <w:shd w:val="clear" w:color="auto" w:fill="C6D9F1" w:themeFill="text2" w:themeFillTint="33"/>
            <w:noWrap/>
            <w:vAlign w:val="center"/>
          </w:tcPr>
          <w:p w14:paraId="47810258"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7A8A3BC4"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0E73BAB9"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3261" w:type="dxa"/>
            <w:tcBorders>
              <w:bottom w:val="nil"/>
            </w:tcBorders>
            <w:shd w:val="clear" w:color="auto" w:fill="C6D9F1" w:themeFill="text2" w:themeFillTint="33"/>
            <w:noWrap/>
            <w:vAlign w:val="center"/>
          </w:tcPr>
          <w:p w14:paraId="0100A987" w14:textId="77777777" w:rsidR="000E48CE" w:rsidRDefault="00FF4C4E">
            <w:pPr>
              <w:pStyle w:val="P68B1DB1-Normal12"/>
              <w:spacing w:after="0" w:line="240" w:lineRule="auto"/>
              <w:jc w:val="center"/>
              <w:rPr>
                <w:rFonts w:cs="Times New Roman"/>
                <w:noProof/>
              </w:rPr>
            </w:pPr>
            <w:r>
              <w:rPr>
                <w:noProof/>
              </w:rPr>
              <w:t>Nimi</w:t>
            </w:r>
          </w:p>
        </w:tc>
        <w:tc>
          <w:tcPr>
            <w:tcW w:w="992" w:type="dxa"/>
            <w:tcBorders>
              <w:bottom w:val="nil"/>
            </w:tcBorders>
            <w:shd w:val="clear" w:color="auto" w:fill="C6D9F1" w:themeFill="text2" w:themeFillTint="33"/>
            <w:noWrap/>
            <w:vAlign w:val="center"/>
          </w:tcPr>
          <w:p w14:paraId="32563B3D"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126" w:type="dxa"/>
            <w:gridSpan w:val="3"/>
            <w:shd w:val="clear" w:color="auto" w:fill="C6D9F1" w:themeFill="text2" w:themeFillTint="33"/>
            <w:noWrap/>
            <w:vAlign w:val="center"/>
          </w:tcPr>
          <w:p w14:paraId="0DB55535"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4793D532" w14:textId="77777777" w:rsidR="000E48CE" w:rsidRDefault="00FF4C4E">
            <w:pPr>
              <w:pStyle w:val="P68B1DB1-Normal12"/>
              <w:spacing w:after="0" w:line="240" w:lineRule="auto"/>
              <w:jc w:val="center"/>
              <w:rPr>
                <w:rFonts w:cs="Times New Roman"/>
                <w:noProof/>
              </w:rPr>
            </w:pPr>
            <w:r>
              <w:rPr>
                <w:noProof/>
              </w:rPr>
              <w:t>Aika</w:t>
            </w:r>
          </w:p>
        </w:tc>
        <w:tc>
          <w:tcPr>
            <w:tcW w:w="5529" w:type="dxa"/>
            <w:tcBorders>
              <w:bottom w:val="nil"/>
            </w:tcBorders>
            <w:shd w:val="clear" w:color="auto" w:fill="C6D9F1" w:themeFill="text2" w:themeFillTint="33"/>
            <w:noWrap/>
            <w:vAlign w:val="center"/>
          </w:tcPr>
          <w:p w14:paraId="1FA168C9"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7A0970B9" w14:textId="77777777">
        <w:trPr>
          <w:trHeight w:val="309"/>
          <w:tblHeader/>
        </w:trPr>
        <w:tc>
          <w:tcPr>
            <w:tcW w:w="709" w:type="dxa"/>
            <w:tcBorders>
              <w:top w:val="nil"/>
            </w:tcBorders>
            <w:shd w:val="clear" w:color="auto" w:fill="C6D9F1" w:themeFill="text2" w:themeFillTint="33"/>
            <w:noWrap/>
          </w:tcPr>
          <w:p w14:paraId="2FC17F8B"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0A4F7224"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5AE48A43" w14:textId="77777777" w:rsidR="000E48CE" w:rsidRDefault="000E48CE">
            <w:pPr>
              <w:spacing w:after="0" w:line="240" w:lineRule="auto"/>
              <w:jc w:val="center"/>
              <w:rPr>
                <w:rFonts w:ascii="Times New Roman" w:hAnsi="Times New Roman" w:cs="Times New Roman"/>
                <w:b/>
                <w:noProof/>
                <w:sz w:val="18"/>
              </w:rPr>
            </w:pPr>
          </w:p>
        </w:tc>
        <w:tc>
          <w:tcPr>
            <w:tcW w:w="3261" w:type="dxa"/>
            <w:tcBorders>
              <w:top w:val="nil"/>
            </w:tcBorders>
            <w:shd w:val="clear" w:color="auto" w:fill="C6D9F1" w:themeFill="text2" w:themeFillTint="33"/>
            <w:noWrap/>
          </w:tcPr>
          <w:p w14:paraId="50F40DEB" w14:textId="77777777" w:rsidR="000E48CE" w:rsidRDefault="000E48CE">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77A52294"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524FBEBB"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tcPr>
          <w:p w14:paraId="774C8C57" w14:textId="77777777" w:rsidR="000E48CE" w:rsidRDefault="00FF4C4E">
            <w:pPr>
              <w:pStyle w:val="P68B1DB1-Normal12"/>
              <w:spacing w:after="0" w:line="240" w:lineRule="auto"/>
              <w:jc w:val="center"/>
              <w:rPr>
                <w:rFonts w:cs="Times New Roman"/>
                <w:noProof/>
              </w:rPr>
            </w:pPr>
            <w:r>
              <w:rPr>
                <w:noProof/>
              </w:rPr>
              <w:t>Perusviiva</w:t>
            </w:r>
          </w:p>
        </w:tc>
        <w:tc>
          <w:tcPr>
            <w:tcW w:w="709" w:type="dxa"/>
            <w:shd w:val="clear" w:color="auto" w:fill="C6D9F1" w:themeFill="text2" w:themeFillTint="33"/>
            <w:noWrap/>
          </w:tcPr>
          <w:p w14:paraId="498E2A4F"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tcPr>
          <w:p w14:paraId="394D9DAB"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6A32D50D" w14:textId="77777777" w:rsidR="000E48CE" w:rsidRDefault="00FF4C4E">
            <w:pPr>
              <w:pStyle w:val="P68B1DB1-Normal12"/>
              <w:spacing w:after="0" w:line="240" w:lineRule="auto"/>
              <w:jc w:val="center"/>
              <w:rPr>
                <w:rFonts w:cs="Times New Roman"/>
                <w:noProof/>
              </w:rPr>
            </w:pPr>
            <w:r>
              <w:rPr>
                <w:noProof/>
              </w:rPr>
              <w:t>Vuosi</w:t>
            </w:r>
          </w:p>
        </w:tc>
        <w:tc>
          <w:tcPr>
            <w:tcW w:w="5529" w:type="dxa"/>
            <w:tcBorders>
              <w:top w:val="nil"/>
            </w:tcBorders>
            <w:shd w:val="clear" w:color="auto" w:fill="C6D9F1" w:themeFill="text2" w:themeFillTint="33"/>
            <w:noWrap/>
          </w:tcPr>
          <w:p w14:paraId="007DCDA8" w14:textId="77777777" w:rsidR="000E48CE" w:rsidRDefault="000E48CE">
            <w:pPr>
              <w:spacing w:after="0" w:line="240" w:lineRule="auto"/>
              <w:rPr>
                <w:rFonts w:ascii="Times New Roman" w:hAnsi="Times New Roman" w:cs="Times New Roman"/>
                <w:b/>
                <w:noProof/>
                <w:sz w:val="18"/>
              </w:rPr>
            </w:pPr>
          </w:p>
        </w:tc>
      </w:tr>
      <w:tr w:rsidR="000E48CE" w14:paraId="6BC71F45" w14:textId="77777777">
        <w:trPr>
          <w:trHeight w:val="309"/>
        </w:trPr>
        <w:tc>
          <w:tcPr>
            <w:tcW w:w="709" w:type="dxa"/>
            <w:shd w:val="clear" w:color="auto" w:fill="C6EFCE"/>
            <w:noWrap/>
          </w:tcPr>
          <w:p w14:paraId="41E5CE6F" w14:textId="77777777" w:rsidR="000E48CE" w:rsidRDefault="00FF4C4E">
            <w:pPr>
              <w:pStyle w:val="P68B1DB1-Normal13"/>
              <w:spacing w:after="0" w:line="240" w:lineRule="auto"/>
              <w:jc w:val="center"/>
              <w:rPr>
                <w:rFonts w:eastAsia="Symbol" w:cs="Times New Roman"/>
                <w:noProof/>
              </w:rPr>
            </w:pPr>
            <w:r>
              <w:rPr>
                <w:noProof/>
              </w:rPr>
              <w:t>137</w:t>
            </w:r>
          </w:p>
        </w:tc>
        <w:tc>
          <w:tcPr>
            <w:tcW w:w="851" w:type="dxa"/>
            <w:shd w:val="clear" w:color="auto" w:fill="C6EFCE"/>
            <w:noWrap/>
          </w:tcPr>
          <w:p w14:paraId="79F6A2C5" w14:textId="77777777" w:rsidR="000E48CE" w:rsidRDefault="00FF4C4E">
            <w:pPr>
              <w:pStyle w:val="P68B1DB1-Normal13"/>
              <w:spacing w:after="0" w:line="240" w:lineRule="auto"/>
              <w:jc w:val="center"/>
              <w:rPr>
                <w:rFonts w:eastAsia="Symbol" w:cs="Times New Roman"/>
                <w:noProof/>
              </w:rPr>
            </w:pPr>
            <w:r>
              <w:rPr>
                <w:noProof/>
              </w:rPr>
              <w:t>C10.R1</w:t>
            </w:r>
          </w:p>
        </w:tc>
        <w:tc>
          <w:tcPr>
            <w:tcW w:w="850" w:type="dxa"/>
            <w:shd w:val="clear" w:color="auto" w:fill="C6EFCE"/>
            <w:noWrap/>
          </w:tcPr>
          <w:p w14:paraId="720AF5AC" w14:textId="77777777" w:rsidR="000E48CE" w:rsidRDefault="00FF4C4E">
            <w:pPr>
              <w:pStyle w:val="P68B1DB1-Normal13"/>
              <w:spacing w:after="0" w:line="240" w:lineRule="auto"/>
              <w:jc w:val="center"/>
              <w:rPr>
                <w:rFonts w:eastAsia="Symbol" w:cs="Times New Roman"/>
                <w:noProof/>
              </w:rPr>
            </w:pPr>
            <w:r>
              <w:rPr>
                <w:noProof/>
              </w:rPr>
              <w:t>M</w:t>
            </w:r>
          </w:p>
        </w:tc>
        <w:tc>
          <w:tcPr>
            <w:tcW w:w="3261" w:type="dxa"/>
            <w:shd w:val="clear" w:color="auto" w:fill="C6EFCE"/>
            <w:noWrap/>
          </w:tcPr>
          <w:p w14:paraId="7932CEC1" w14:textId="77777777" w:rsidR="000E48CE" w:rsidRDefault="00FF4C4E">
            <w:pPr>
              <w:pStyle w:val="P68B1DB1-Normal13"/>
              <w:spacing w:after="0" w:line="240" w:lineRule="auto"/>
              <w:rPr>
                <w:rFonts w:eastAsia="Symbol" w:cs="Times New Roman"/>
                <w:noProof/>
              </w:rPr>
            </w:pPr>
            <w:r>
              <w:rPr>
                <w:noProof/>
              </w:rPr>
              <w:t xml:space="preserve">Oikeudenmukaisen siirtymän rahaston instituutin perustaminen </w:t>
            </w:r>
          </w:p>
        </w:tc>
        <w:tc>
          <w:tcPr>
            <w:tcW w:w="992" w:type="dxa"/>
            <w:shd w:val="clear" w:color="auto" w:fill="C6EFCE"/>
            <w:noWrap/>
          </w:tcPr>
          <w:p w14:paraId="713B5DF0" w14:textId="77777777" w:rsidR="000E48CE" w:rsidRDefault="00FF4C4E">
            <w:pPr>
              <w:pStyle w:val="P68B1DB1-Normal13"/>
              <w:spacing w:after="0" w:line="240" w:lineRule="auto"/>
              <w:jc w:val="center"/>
              <w:rPr>
                <w:rFonts w:eastAsia="Symbol" w:cs="Times New Roman"/>
                <w:noProof/>
              </w:rPr>
            </w:pPr>
            <w:r>
              <w:rPr>
                <w:noProof/>
              </w:rPr>
              <w:t>Julkaiseminen EUVL:ssä</w:t>
            </w:r>
          </w:p>
        </w:tc>
        <w:tc>
          <w:tcPr>
            <w:tcW w:w="850" w:type="dxa"/>
            <w:shd w:val="clear" w:color="auto" w:fill="C6EFCE"/>
            <w:noWrap/>
          </w:tcPr>
          <w:p w14:paraId="606C22D1"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079E7C0"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7C9FA973"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013C9489" w14:textId="77777777" w:rsidR="000E48CE" w:rsidRDefault="00FF4C4E">
            <w:pPr>
              <w:pStyle w:val="P68B1DB1-Normal13"/>
              <w:spacing w:after="0" w:line="240" w:lineRule="auto"/>
              <w:jc w:val="center"/>
              <w:rPr>
                <w:rFonts w:eastAsia="Symbol" w:cs="Times New Roman"/>
                <w:noProof/>
              </w:rPr>
            </w:pPr>
            <w:r>
              <w:rPr>
                <w:noProof/>
              </w:rPr>
              <w:t>Q1</w:t>
            </w:r>
          </w:p>
        </w:tc>
        <w:tc>
          <w:tcPr>
            <w:tcW w:w="567" w:type="dxa"/>
            <w:shd w:val="clear" w:color="auto" w:fill="C6EFCE"/>
            <w:noWrap/>
          </w:tcPr>
          <w:p w14:paraId="69044F9D" w14:textId="77777777" w:rsidR="000E48CE" w:rsidRDefault="00FF4C4E">
            <w:pPr>
              <w:pStyle w:val="P68B1DB1-Normal13"/>
              <w:spacing w:after="0" w:line="240" w:lineRule="auto"/>
              <w:jc w:val="center"/>
              <w:rPr>
                <w:rFonts w:eastAsia="Symbol" w:cs="Times New Roman"/>
                <w:noProof/>
              </w:rPr>
            </w:pPr>
            <w:r>
              <w:rPr>
                <w:noProof/>
              </w:rPr>
              <w:t>2020</w:t>
            </w:r>
          </w:p>
        </w:tc>
        <w:tc>
          <w:tcPr>
            <w:tcW w:w="5529" w:type="dxa"/>
            <w:shd w:val="clear" w:color="auto" w:fill="C6EFCE"/>
            <w:noWrap/>
          </w:tcPr>
          <w:p w14:paraId="6A19AC23" w14:textId="77777777" w:rsidR="000E48CE" w:rsidRDefault="00FF4C4E">
            <w:pPr>
              <w:pStyle w:val="P68B1DB1-Normal13"/>
              <w:spacing w:after="0" w:line="240" w:lineRule="auto"/>
              <w:rPr>
                <w:rFonts w:eastAsia="Symbol" w:cs="Times New Roman"/>
                <w:noProof/>
              </w:rPr>
            </w:pPr>
            <w:r>
              <w:rPr>
                <w:noProof/>
              </w:rPr>
              <w:t xml:space="preserve">Kuninkaallisella asetuksella 500/2020 instituutin perustamisesta oikeudenmukaisen siirtymän rahastoa </w:t>
            </w:r>
            <w:r>
              <w:rPr>
                <w:noProof/>
              </w:rPr>
              <w:t>varten. Instituutin tavoitteena on määrittää ja hyväksyä solidaarisuuteen perustuvia toimenpiteitä, joilla taataan niiden työntekijöiden ja alueiden tasapuolinen kohtelu, joihin siirtyminen vähähiiliseen talouteen vaikuttaa, minimoida kielteiset vaikutukse</w:t>
            </w:r>
            <w:r>
              <w:rPr>
                <w:noProof/>
              </w:rPr>
              <w:t>t näiden alueiden työllisyyteen ja väestöön sekä optimoida muutosprosessin tarjoamat mahdollisuudet.</w:t>
            </w:r>
          </w:p>
        </w:tc>
      </w:tr>
      <w:tr w:rsidR="000E48CE" w14:paraId="114CF053" w14:textId="77777777">
        <w:trPr>
          <w:trHeight w:val="309"/>
        </w:trPr>
        <w:tc>
          <w:tcPr>
            <w:tcW w:w="709" w:type="dxa"/>
            <w:shd w:val="clear" w:color="auto" w:fill="C6EFCE"/>
            <w:noWrap/>
          </w:tcPr>
          <w:p w14:paraId="651B9F2F" w14:textId="77777777" w:rsidR="000E48CE" w:rsidRDefault="00FF4C4E">
            <w:pPr>
              <w:pStyle w:val="P68B1DB1-Normal13"/>
              <w:spacing w:after="0" w:line="240" w:lineRule="auto"/>
              <w:jc w:val="center"/>
              <w:rPr>
                <w:rFonts w:eastAsia="Symbol" w:cs="Times New Roman"/>
                <w:noProof/>
              </w:rPr>
            </w:pPr>
            <w:r>
              <w:rPr>
                <w:noProof/>
              </w:rPr>
              <w:t>138</w:t>
            </w:r>
          </w:p>
        </w:tc>
        <w:tc>
          <w:tcPr>
            <w:tcW w:w="851" w:type="dxa"/>
            <w:shd w:val="clear" w:color="auto" w:fill="C6EFCE"/>
            <w:noWrap/>
          </w:tcPr>
          <w:p w14:paraId="0D72D8D7" w14:textId="77777777" w:rsidR="000E48CE" w:rsidRDefault="00FF4C4E">
            <w:pPr>
              <w:pStyle w:val="P68B1DB1-Normal13"/>
              <w:spacing w:after="0" w:line="240" w:lineRule="auto"/>
              <w:jc w:val="center"/>
              <w:rPr>
                <w:rFonts w:eastAsia="Symbol" w:cs="Times New Roman"/>
                <w:noProof/>
              </w:rPr>
            </w:pPr>
            <w:r>
              <w:rPr>
                <w:noProof/>
              </w:rPr>
              <w:t>C10.R1</w:t>
            </w:r>
          </w:p>
        </w:tc>
        <w:tc>
          <w:tcPr>
            <w:tcW w:w="850" w:type="dxa"/>
            <w:shd w:val="clear" w:color="auto" w:fill="C6EFCE"/>
            <w:noWrap/>
          </w:tcPr>
          <w:p w14:paraId="673FD059" w14:textId="77777777" w:rsidR="000E48CE" w:rsidRDefault="00FF4C4E">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38CB7F22" w14:textId="62151F91" w:rsidR="000E48CE" w:rsidRDefault="00FF4C4E">
            <w:pPr>
              <w:pStyle w:val="P68B1DB1-Normal13"/>
              <w:spacing w:after="0" w:line="240" w:lineRule="auto"/>
              <w:rPr>
                <w:rFonts w:eastAsia="Symbol" w:cs="Times New Roman"/>
                <w:noProof/>
              </w:rPr>
            </w:pPr>
            <w:r>
              <w:rPr>
                <w:noProof/>
              </w:rPr>
              <w:t xml:space="preserve">Oikeudenmukaisen siirtymän pöytäkirjat ja neuvoa-antava toimikunta </w:t>
            </w:r>
          </w:p>
        </w:tc>
        <w:tc>
          <w:tcPr>
            <w:tcW w:w="992" w:type="dxa"/>
            <w:shd w:val="clear" w:color="auto" w:fill="C6EFCE"/>
            <w:noWrap/>
          </w:tcPr>
          <w:p w14:paraId="1E3FF041" w14:textId="77777777" w:rsidR="000E48CE" w:rsidRDefault="00FF4C4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44D3D206" w14:textId="77777777" w:rsidR="000E48CE" w:rsidRDefault="00FF4C4E">
            <w:pPr>
              <w:pStyle w:val="P68B1DB1-Normal13"/>
              <w:spacing w:after="0" w:line="240" w:lineRule="auto"/>
              <w:jc w:val="right"/>
              <w:rPr>
                <w:rFonts w:eastAsia="Symbol" w:cs="Times New Roman"/>
                <w:noProof/>
              </w:rPr>
            </w:pPr>
            <w:r>
              <w:rPr>
                <w:noProof/>
              </w:rPr>
              <w:t>Määrä</w:t>
            </w:r>
          </w:p>
        </w:tc>
        <w:tc>
          <w:tcPr>
            <w:tcW w:w="567" w:type="dxa"/>
            <w:shd w:val="clear" w:color="auto" w:fill="C6EFCE"/>
            <w:noWrap/>
          </w:tcPr>
          <w:p w14:paraId="139BF1F3" w14:textId="77777777" w:rsidR="000E48CE" w:rsidRDefault="00FF4C4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394C502F" w14:textId="77777777" w:rsidR="000E48CE" w:rsidRDefault="00FF4C4E">
            <w:pPr>
              <w:pStyle w:val="P68B1DB1-Normal13"/>
              <w:spacing w:after="0" w:line="240" w:lineRule="auto"/>
              <w:jc w:val="right"/>
              <w:rPr>
                <w:rFonts w:eastAsia="Symbol" w:cs="Times New Roman"/>
                <w:noProof/>
              </w:rPr>
            </w:pPr>
            <w:r>
              <w:rPr>
                <w:noProof/>
              </w:rPr>
              <w:t>12</w:t>
            </w:r>
          </w:p>
        </w:tc>
        <w:tc>
          <w:tcPr>
            <w:tcW w:w="425" w:type="dxa"/>
            <w:shd w:val="clear" w:color="auto" w:fill="C6EFCE"/>
            <w:noWrap/>
          </w:tcPr>
          <w:p w14:paraId="5B76DFD6"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761C5FC8" w14:textId="77777777" w:rsidR="000E48CE" w:rsidRDefault="00FF4C4E">
            <w:pPr>
              <w:pStyle w:val="P68B1DB1-Normal13"/>
              <w:spacing w:after="0" w:line="240" w:lineRule="auto"/>
              <w:jc w:val="center"/>
              <w:rPr>
                <w:rFonts w:eastAsia="Symbol" w:cs="Times New Roman"/>
                <w:noProof/>
              </w:rPr>
            </w:pPr>
            <w:r>
              <w:rPr>
                <w:noProof/>
              </w:rPr>
              <w:t>2023</w:t>
            </w:r>
          </w:p>
        </w:tc>
        <w:tc>
          <w:tcPr>
            <w:tcW w:w="5529" w:type="dxa"/>
            <w:shd w:val="clear" w:color="auto" w:fill="C6EFCE"/>
            <w:noWrap/>
          </w:tcPr>
          <w:p w14:paraId="0D390D59" w14:textId="77777777" w:rsidR="000E48CE" w:rsidRDefault="00FF4C4E">
            <w:pPr>
              <w:pStyle w:val="P68B1DB1-Normal13"/>
              <w:spacing w:after="0" w:line="240" w:lineRule="auto"/>
              <w:rPr>
                <w:rFonts w:cs="Times New Roman"/>
                <w:noProof/>
              </w:rPr>
            </w:pPr>
            <w:r>
              <w:rPr>
                <w:noProof/>
              </w:rPr>
              <w:t xml:space="preserve">Osallistavan prosessin jälkeen julkaistaan </w:t>
            </w:r>
            <w:r>
              <w:rPr>
                <w:noProof/>
              </w:rPr>
              <w:t>oikeudenmukaisen siirtymän verkkosivustolla 12 oikeudenmukaisen siirtymän pöytäkirjaa, jotka sisältävät sitoumuksia, jotka koskevat työllisyyttä, ympäristön ennallistamista sekä taloudellista ja sosiaalista kehitystä 12 alueella, joihin vaikutukset kohdist</w:t>
            </w:r>
            <w:r>
              <w:rPr>
                <w:noProof/>
              </w:rPr>
              <w:t>uvat. Kunkin oikeudenmukaisen siirtymän rahaston pöytäkirjan on katettava vähintään alue, johon hiilivoimalaitoksen sulkeminen vaikuttaa.</w:t>
            </w:r>
          </w:p>
          <w:p w14:paraId="196B4BAC" w14:textId="6A30B9A8" w:rsidR="000E48CE" w:rsidRDefault="00FF4C4E">
            <w:pPr>
              <w:pStyle w:val="P68B1DB1-Normal13"/>
              <w:spacing w:after="0" w:line="240" w:lineRule="auto"/>
              <w:rPr>
                <w:rFonts w:cs="Times New Roman"/>
                <w:noProof/>
              </w:rPr>
            </w:pPr>
            <w:r>
              <w:rPr>
                <w:noProof/>
              </w:rPr>
              <w:t>Perustetaan neuvoa-antava toimikunta, joka koostuu ministeriöiden edustajista sekä paikallis- ja alueviranomaisten edu</w:t>
            </w:r>
            <w:r>
              <w:rPr>
                <w:noProof/>
              </w:rPr>
              <w:t>stajista ja joka antaa neuvoja ja arvioi oikeudenmukaista siirtymää koskevien politiikkojen vaikutuksia</w:t>
            </w:r>
          </w:p>
        </w:tc>
      </w:tr>
      <w:tr w:rsidR="000E48CE" w14:paraId="63438F36" w14:textId="77777777">
        <w:trPr>
          <w:trHeight w:val="309"/>
        </w:trPr>
        <w:tc>
          <w:tcPr>
            <w:tcW w:w="709" w:type="dxa"/>
            <w:shd w:val="clear" w:color="auto" w:fill="C6EFCE"/>
            <w:noWrap/>
          </w:tcPr>
          <w:p w14:paraId="09E31CEC" w14:textId="77777777" w:rsidR="000E48CE" w:rsidRDefault="00FF4C4E">
            <w:pPr>
              <w:pStyle w:val="P68B1DB1-Normal13"/>
              <w:spacing w:after="0" w:line="240" w:lineRule="auto"/>
              <w:jc w:val="center"/>
              <w:rPr>
                <w:rFonts w:eastAsia="Symbol" w:cs="Times New Roman"/>
                <w:noProof/>
              </w:rPr>
            </w:pPr>
            <w:r>
              <w:rPr>
                <w:noProof/>
              </w:rPr>
              <w:t>139</w:t>
            </w:r>
          </w:p>
        </w:tc>
        <w:tc>
          <w:tcPr>
            <w:tcW w:w="851" w:type="dxa"/>
            <w:shd w:val="clear" w:color="auto" w:fill="C6EFCE"/>
            <w:noWrap/>
          </w:tcPr>
          <w:p w14:paraId="1AAD5B4E" w14:textId="77777777" w:rsidR="000E48CE" w:rsidRDefault="00FF4C4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059DBB28" w14:textId="77777777" w:rsidR="000E48CE" w:rsidRDefault="00FF4C4E">
            <w:pPr>
              <w:pStyle w:val="P68B1DB1-Normal13"/>
              <w:spacing w:after="0" w:line="240" w:lineRule="auto"/>
              <w:jc w:val="center"/>
              <w:rPr>
                <w:rFonts w:eastAsia="Symbol" w:cs="Times New Roman"/>
                <w:noProof/>
              </w:rPr>
            </w:pPr>
            <w:r>
              <w:rPr>
                <w:noProof/>
              </w:rPr>
              <w:t>M</w:t>
            </w:r>
          </w:p>
        </w:tc>
        <w:tc>
          <w:tcPr>
            <w:tcW w:w="3261" w:type="dxa"/>
            <w:shd w:val="clear" w:color="auto" w:fill="C6EFCE"/>
            <w:noWrap/>
          </w:tcPr>
          <w:p w14:paraId="5AA61149" w14:textId="77777777" w:rsidR="000E48CE" w:rsidRDefault="00FF4C4E">
            <w:pPr>
              <w:pStyle w:val="P68B1DB1-Normal13"/>
              <w:spacing w:after="0" w:line="240" w:lineRule="auto"/>
              <w:rPr>
                <w:rFonts w:eastAsia="Symbol" w:cs="Times New Roman"/>
                <w:noProof/>
              </w:rPr>
            </w:pPr>
            <w:r>
              <w:rPr>
                <w:noProof/>
              </w:rPr>
              <w:t>Oikeudenmukaisen siirtymän koulutusohjelma ja tuen myöntäminen oikeudenmukaisen siirtymän alueiden taloudelliseen kehitykseen</w:t>
            </w:r>
          </w:p>
        </w:tc>
        <w:tc>
          <w:tcPr>
            <w:tcW w:w="992" w:type="dxa"/>
            <w:shd w:val="clear" w:color="auto" w:fill="C6EFCE"/>
            <w:noWrap/>
          </w:tcPr>
          <w:p w14:paraId="27F4B882" w14:textId="77777777" w:rsidR="000E48CE" w:rsidRDefault="00FF4C4E">
            <w:pPr>
              <w:pStyle w:val="P68B1DB1-Normal13"/>
              <w:spacing w:after="0" w:line="240" w:lineRule="auto"/>
              <w:jc w:val="center"/>
              <w:rPr>
                <w:rFonts w:eastAsia="Symbol" w:cs="Times New Roman"/>
                <w:noProof/>
              </w:rPr>
            </w:pPr>
            <w:r>
              <w:rPr>
                <w:noProof/>
              </w:rPr>
              <w:t>Julkaiseminen EUVL:ssä</w:t>
            </w:r>
          </w:p>
        </w:tc>
        <w:tc>
          <w:tcPr>
            <w:tcW w:w="850" w:type="dxa"/>
            <w:shd w:val="clear" w:color="auto" w:fill="C6EFCE"/>
            <w:noWrap/>
          </w:tcPr>
          <w:p w14:paraId="672EDC33"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685F511E"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030C1E12" w14:textId="77777777" w:rsidR="000E48CE" w:rsidRDefault="00FF4C4E">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32FC2616"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025EA925" w14:textId="77777777" w:rsidR="000E48CE" w:rsidRDefault="00FF4C4E">
            <w:pPr>
              <w:pStyle w:val="P68B1DB1-Normal13"/>
              <w:spacing w:after="0" w:line="240" w:lineRule="auto"/>
              <w:jc w:val="center"/>
              <w:rPr>
                <w:rFonts w:eastAsia="Symbol" w:cs="Times New Roman"/>
                <w:noProof/>
              </w:rPr>
            </w:pPr>
            <w:r>
              <w:rPr>
                <w:noProof/>
              </w:rPr>
              <w:t>2021</w:t>
            </w:r>
          </w:p>
        </w:tc>
        <w:tc>
          <w:tcPr>
            <w:tcW w:w="5529" w:type="dxa"/>
            <w:shd w:val="clear" w:color="auto" w:fill="C6EFCE"/>
            <w:noWrap/>
          </w:tcPr>
          <w:p w14:paraId="7024E496" w14:textId="77777777" w:rsidR="000E48CE" w:rsidRDefault="00FF4C4E">
            <w:pPr>
              <w:pStyle w:val="P68B1DB1-Normal13"/>
              <w:spacing w:after="0" w:line="240" w:lineRule="auto"/>
              <w:rPr>
                <w:rFonts w:eastAsia="Symbol" w:cs="Times New Roman"/>
                <w:noProof/>
              </w:rPr>
            </w:pPr>
            <w:r>
              <w:rPr>
                <w:noProof/>
              </w:rPr>
              <w:t>Julkaistu Euroopan unionin virallisessa lehdessä: määräys oikeudenmukaisen siirtymän koulutusohjelman sääntelykehyksen hyväksymisestä, jossa täsmennetään tukisuunnitelma niiden työntekijöiden ja henkilöiden, joihin siir</w:t>
            </w:r>
            <w:r>
              <w:rPr>
                <w:noProof/>
              </w:rPr>
              <w:t>tyminen vähähiiliseen talouteen vaikuttaa, ammatillista pätevyyttä ja työmarkkinoille integroitumista varten; ja b) määräys, jossa vahvistetaan oikeusperusta tuen myöntämiselle oikeudenmukaisen siirtymän alueiden taloudelliseen kehitykseen kehittämällä ymp</w:t>
            </w:r>
            <w:r>
              <w:rPr>
                <w:noProof/>
              </w:rPr>
              <w:t>äristöön liittyvää, digitaalista ja sosiaalista infrastruktuuria vähähiiliseen talouteen siirtymässä olevissa kunnissa ja alueilla.</w:t>
            </w:r>
          </w:p>
        </w:tc>
      </w:tr>
      <w:tr w:rsidR="000E48CE" w14:paraId="738A00D3" w14:textId="77777777">
        <w:trPr>
          <w:trHeight w:val="309"/>
        </w:trPr>
        <w:tc>
          <w:tcPr>
            <w:tcW w:w="709" w:type="dxa"/>
            <w:shd w:val="clear" w:color="auto" w:fill="C6EFCE"/>
            <w:noWrap/>
          </w:tcPr>
          <w:p w14:paraId="7705F89A" w14:textId="502F7CF1" w:rsidR="000E48CE" w:rsidRDefault="00FF4C4E">
            <w:pPr>
              <w:pStyle w:val="P68B1DB1-Normal13"/>
              <w:spacing w:after="0" w:line="240" w:lineRule="auto"/>
              <w:jc w:val="center"/>
              <w:rPr>
                <w:rFonts w:eastAsia="Symbol" w:cs="Times New Roman"/>
                <w:noProof/>
              </w:rPr>
            </w:pPr>
            <w:r>
              <w:rPr>
                <w:noProof/>
              </w:rPr>
              <w:t>140</w:t>
            </w:r>
          </w:p>
        </w:tc>
        <w:tc>
          <w:tcPr>
            <w:tcW w:w="851" w:type="dxa"/>
            <w:shd w:val="clear" w:color="auto" w:fill="C6EFCE"/>
            <w:noWrap/>
          </w:tcPr>
          <w:p w14:paraId="1BB5EA0F" w14:textId="77777777" w:rsidR="000E48CE" w:rsidRDefault="00FF4C4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1D3A1DC5" w14:textId="77777777" w:rsidR="000E48CE" w:rsidRDefault="00FF4C4E">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68494D80" w14:textId="77777777" w:rsidR="000E48CE" w:rsidRDefault="00FF4C4E">
            <w:pPr>
              <w:pStyle w:val="P68B1DB1-Normal13"/>
              <w:spacing w:after="0" w:line="240" w:lineRule="auto"/>
              <w:rPr>
                <w:rFonts w:eastAsia="Symbol" w:cs="Times New Roman"/>
                <w:noProof/>
              </w:rPr>
            </w:pPr>
            <w:r>
              <w:rPr>
                <w:noProof/>
              </w:rPr>
              <w:t>Tuki ympäristöalan, digitaalisen ja sosiaalisen infrastruktuurin hankkeille.</w:t>
            </w:r>
          </w:p>
        </w:tc>
        <w:tc>
          <w:tcPr>
            <w:tcW w:w="992" w:type="dxa"/>
            <w:shd w:val="clear" w:color="auto" w:fill="C6EFCE"/>
            <w:noWrap/>
          </w:tcPr>
          <w:p w14:paraId="1096122A" w14:textId="77777777" w:rsidR="000E48CE" w:rsidRDefault="00FF4C4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633A5A00" w14:textId="77777777" w:rsidR="000E48CE" w:rsidRDefault="00FF4C4E">
            <w:pPr>
              <w:pStyle w:val="P68B1DB1-Normal13"/>
              <w:spacing w:after="0" w:line="240" w:lineRule="auto"/>
              <w:jc w:val="right"/>
              <w:rPr>
                <w:rFonts w:eastAsia="Symbol" w:cs="Times New Roman"/>
                <w:noProof/>
              </w:rPr>
            </w:pPr>
            <w:r>
              <w:rPr>
                <w:noProof/>
              </w:rPr>
              <w:t>Määrä</w:t>
            </w:r>
          </w:p>
        </w:tc>
        <w:tc>
          <w:tcPr>
            <w:tcW w:w="567" w:type="dxa"/>
            <w:shd w:val="clear" w:color="auto" w:fill="C6EFCE"/>
            <w:noWrap/>
          </w:tcPr>
          <w:p w14:paraId="03E3A27B" w14:textId="77777777" w:rsidR="000E48CE" w:rsidRDefault="00FF4C4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60525613" w14:textId="4A86C0D9" w:rsidR="000E48CE" w:rsidRDefault="00FF4C4E">
            <w:pPr>
              <w:pStyle w:val="P68B1DB1-Normal13"/>
              <w:spacing w:after="0" w:line="240" w:lineRule="auto"/>
              <w:jc w:val="right"/>
              <w:rPr>
                <w:rFonts w:eastAsia="Symbol" w:cs="Times New Roman"/>
                <w:noProof/>
              </w:rPr>
            </w:pPr>
            <w:r>
              <w:rPr>
                <w:noProof/>
              </w:rPr>
              <w:t>100</w:t>
            </w:r>
          </w:p>
        </w:tc>
        <w:tc>
          <w:tcPr>
            <w:tcW w:w="425" w:type="dxa"/>
            <w:shd w:val="clear" w:color="auto" w:fill="C6EFCE"/>
            <w:noWrap/>
          </w:tcPr>
          <w:p w14:paraId="3702CC88"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51542F09" w14:textId="79C847BA" w:rsidR="000E48CE" w:rsidRDefault="00FF4C4E">
            <w:pPr>
              <w:pStyle w:val="P68B1DB1-Normal13"/>
              <w:spacing w:after="0" w:line="240" w:lineRule="auto"/>
              <w:jc w:val="center"/>
              <w:rPr>
                <w:rFonts w:eastAsia="Symbol" w:cs="Times New Roman"/>
                <w:noProof/>
              </w:rPr>
            </w:pPr>
            <w:r>
              <w:rPr>
                <w:noProof/>
              </w:rPr>
              <w:t>2022</w:t>
            </w:r>
          </w:p>
        </w:tc>
        <w:tc>
          <w:tcPr>
            <w:tcW w:w="5529" w:type="dxa"/>
            <w:shd w:val="clear" w:color="auto" w:fill="C6EFCE"/>
            <w:noWrap/>
          </w:tcPr>
          <w:p w14:paraId="66A409B3" w14:textId="65F7362F" w:rsidR="000E48CE" w:rsidRDefault="00FF4C4E">
            <w:pPr>
              <w:pStyle w:val="P68B1DB1-Normal13"/>
              <w:spacing w:after="0" w:line="240" w:lineRule="auto"/>
              <w:rPr>
                <w:rFonts w:eastAsia="Symbol" w:cs="Times New Roman"/>
                <w:noProof/>
              </w:rPr>
            </w:pPr>
            <w:r>
              <w:rPr>
                <w:noProof/>
              </w:rPr>
              <w:t>Julkaistaan Euroopan unionin virallisessa lehdessä vähintään 91000000 euron palkinto vähintään 100:lle ympäristöalan, digitaalisen ja sosiaalisen infrastruktuurin hankkeelle vähähiiliseen talouteen siirtymässä olevissa kunnissa ja alueilla. 100 ympäristöin</w:t>
            </w:r>
            <w:r>
              <w:rPr>
                <w:noProof/>
              </w:rPr>
              <w:t xml:space="preserve">frastruktuuria, digitaalista ja sosiaalista infrastruktuuria koskevaa hanketta on toteutettava oikeudenmukaisen siirtymän alueilla sijaitsevissa kunnissa ja alueilla. </w:t>
            </w:r>
          </w:p>
        </w:tc>
      </w:tr>
      <w:tr w:rsidR="000E48CE" w14:paraId="27329DFB" w14:textId="77777777">
        <w:trPr>
          <w:trHeight w:val="309"/>
        </w:trPr>
        <w:tc>
          <w:tcPr>
            <w:tcW w:w="709" w:type="dxa"/>
            <w:shd w:val="clear" w:color="auto" w:fill="C6EFCE"/>
            <w:noWrap/>
          </w:tcPr>
          <w:p w14:paraId="16263622" w14:textId="2C3ED561" w:rsidR="000E48CE" w:rsidRDefault="00FF4C4E">
            <w:pPr>
              <w:pStyle w:val="P68B1DB1-Normal13"/>
              <w:spacing w:after="0" w:line="240" w:lineRule="auto"/>
              <w:jc w:val="center"/>
              <w:rPr>
                <w:rFonts w:cs="Times New Roman"/>
                <w:noProof/>
              </w:rPr>
            </w:pPr>
            <w:r>
              <w:rPr>
                <w:noProof/>
              </w:rPr>
              <w:t>431</w:t>
            </w:r>
          </w:p>
        </w:tc>
        <w:tc>
          <w:tcPr>
            <w:tcW w:w="851" w:type="dxa"/>
            <w:shd w:val="clear" w:color="auto" w:fill="C6EFCE"/>
            <w:noWrap/>
          </w:tcPr>
          <w:p w14:paraId="52F76B2D" w14:textId="4B3610F0" w:rsidR="000E48CE" w:rsidRDefault="00FF4C4E">
            <w:pPr>
              <w:pStyle w:val="P68B1DB1-Normal13"/>
              <w:spacing w:after="0" w:line="240" w:lineRule="auto"/>
              <w:jc w:val="center"/>
              <w:rPr>
                <w:rFonts w:cs="Times New Roman"/>
                <w:noProof/>
              </w:rPr>
            </w:pPr>
            <w:r>
              <w:rPr>
                <w:noProof/>
              </w:rPr>
              <w:t>C10.I1</w:t>
            </w:r>
          </w:p>
        </w:tc>
        <w:tc>
          <w:tcPr>
            <w:tcW w:w="850" w:type="dxa"/>
            <w:shd w:val="clear" w:color="auto" w:fill="C6EFCE"/>
            <w:noWrap/>
          </w:tcPr>
          <w:p w14:paraId="78D7795B" w14:textId="0620911D" w:rsidR="000E48CE" w:rsidRDefault="00FF4C4E">
            <w:pPr>
              <w:pStyle w:val="P68B1DB1-Normal13"/>
              <w:spacing w:after="0" w:line="240" w:lineRule="auto"/>
              <w:jc w:val="center"/>
              <w:rPr>
                <w:rFonts w:cs="Times New Roman"/>
                <w:noProof/>
              </w:rPr>
            </w:pPr>
            <w:r>
              <w:rPr>
                <w:noProof/>
              </w:rPr>
              <w:t>T</w:t>
            </w:r>
          </w:p>
        </w:tc>
        <w:tc>
          <w:tcPr>
            <w:tcW w:w="3261" w:type="dxa"/>
            <w:shd w:val="clear" w:color="auto" w:fill="C6EFCE"/>
            <w:noWrap/>
          </w:tcPr>
          <w:p w14:paraId="7D579A5B" w14:textId="0881060C" w:rsidR="000E48CE" w:rsidRDefault="00FF4C4E">
            <w:pPr>
              <w:pStyle w:val="P68B1DB1-Normal13"/>
              <w:spacing w:after="0" w:line="240" w:lineRule="auto"/>
              <w:rPr>
                <w:rFonts w:cs="Times New Roman"/>
                <w:noProof/>
              </w:rPr>
            </w:pPr>
            <w:r>
              <w:rPr>
                <w:noProof/>
              </w:rPr>
              <w:t xml:space="preserve">Tuki ympäristöalan, digitaalisen ja sosiaalisen infrastruktuurin </w:t>
            </w:r>
            <w:r>
              <w:rPr>
                <w:noProof/>
              </w:rPr>
              <w:t>hankkeille</w:t>
            </w:r>
          </w:p>
        </w:tc>
        <w:tc>
          <w:tcPr>
            <w:tcW w:w="992" w:type="dxa"/>
            <w:shd w:val="clear" w:color="auto" w:fill="C6EFCE"/>
            <w:noWrap/>
          </w:tcPr>
          <w:p w14:paraId="24C99078"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63B8055D" w14:textId="4A10BF69" w:rsidR="000E48CE" w:rsidRDefault="00FF4C4E">
            <w:pPr>
              <w:pStyle w:val="P68B1DB1-Normal13"/>
              <w:spacing w:after="0" w:line="240" w:lineRule="auto"/>
              <w:jc w:val="right"/>
              <w:rPr>
                <w:rFonts w:cs="Times New Roman"/>
                <w:noProof/>
              </w:rPr>
            </w:pPr>
            <w:r>
              <w:rPr>
                <w:noProof/>
              </w:rPr>
              <w:t>Määrä</w:t>
            </w:r>
          </w:p>
        </w:tc>
        <w:tc>
          <w:tcPr>
            <w:tcW w:w="567" w:type="dxa"/>
            <w:shd w:val="clear" w:color="auto" w:fill="C6EFCE"/>
            <w:noWrap/>
          </w:tcPr>
          <w:p w14:paraId="25B29C59" w14:textId="31F604E7" w:rsidR="000E48CE" w:rsidRDefault="00FF4C4E">
            <w:pPr>
              <w:pStyle w:val="P68B1DB1-Normal13"/>
              <w:spacing w:after="0" w:line="240" w:lineRule="auto"/>
              <w:jc w:val="right"/>
              <w:rPr>
                <w:rFonts w:cs="Times New Roman"/>
                <w:noProof/>
              </w:rPr>
            </w:pPr>
            <w:r>
              <w:rPr>
                <w:noProof/>
              </w:rPr>
              <w:t>100</w:t>
            </w:r>
          </w:p>
        </w:tc>
        <w:tc>
          <w:tcPr>
            <w:tcW w:w="709" w:type="dxa"/>
            <w:shd w:val="clear" w:color="auto" w:fill="C6EFCE"/>
            <w:noWrap/>
          </w:tcPr>
          <w:p w14:paraId="5024DAD2" w14:textId="34A1F977" w:rsidR="000E48CE" w:rsidRDefault="00FF4C4E">
            <w:pPr>
              <w:pStyle w:val="P68B1DB1-Normal13"/>
              <w:spacing w:after="0" w:line="240" w:lineRule="auto"/>
              <w:jc w:val="right"/>
              <w:rPr>
                <w:rFonts w:cs="Times New Roman"/>
                <w:noProof/>
              </w:rPr>
            </w:pPr>
            <w:r>
              <w:rPr>
                <w:noProof/>
              </w:rPr>
              <w:t>130</w:t>
            </w:r>
          </w:p>
        </w:tc>
        <w:tc>
          <w:tcPr>
            <w:tcW w:w="425" w:type="dxa"/>
            <w:shd w:val="clear" w:color="auto" w:fill="C6EFCE"/>
            <w:noWrap/>
          </w:tcPr>
          <w:p w14:paraId="30EB97FC" w14:textId="06725543"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59327563" w14:textId="4F4EECBF" w:rsidR="000E48CE" w:rsidRDefault="00FF4C4E">
            <w:pPr>
              <w:pStyle w:val="P68B1DB1-Normal13"/>
              <w:spacing w:after="0" w:line="240" w:lineRule="auto"/>
              <w:jc w:val="center"/>
              <w:rPr>
                <w:rFonts w:cs="Times New Roman"/>
                <w:noProof/>
              </w:rPr>
            </w:pPr>
            <w:r>
              <w:rPr>
                <w:noProof/>
              </w:rPr>
              <w:t>2024</w:t>
            </w:r>
          </w:p>
        </w:tc>
        <w:tc>
          <w:tcPr>
            <w:tcW w:w="5529" w:type="dxa"/>
            <w:shd w:val="clear" w:color="auto" w:fill="C6EFCE"/>
            <w:noWrap/>
          </w:tcPr>
          <w:p w14:paraId="7FCE44CE" w14:textId="6132AFDA" w:rsidR="000E48CE" w:rsidRDefault="00FF4C4E">
            <w:pPr>
              <w:pStyle w:val="P68B1DB1-Normal13"/>
              <w:spacing w:after="0" w:line="240" w:lineRule="auto"/>
              <w:rPr>
                <w:rFonts w:cs="Times New Roman"/>
                <w:noProof/>
              </w:rPr>
            </w:pPr>
            <w:r>
              <w:rPr>
                <w:noProof/>
              </w:rPr>
              <w:t>Julkaistaan Euroopan unionin virallisessa lehdessä vähintään 11000000 euroa vähintään 30:lle ympäristöalan, digitaalisen ja sosiaalisen infrastruktuurin hankkeelle vähähiiliseen talouteen siirtymässä olevissa kunnissa ja a</w:t>
            </w:r>
            <w:r>
              <w:rPr>
                <w:noProof/>
              </w:rPr>
              <w:t>lueilla. Ympäristöön, digitaaliseen ja sosiaaliseen infrastruktuuriin liittyvien hankkeiden on sijaittava oikeudenmukaisen siirtymän alueilla sijaitsevissa kunnissa ja alueilla. (Perustaso: Joulukuuta 2022)</w:t>
            </w:r>
          </w:p>
        </w:tc>
      </w:tr>
      <w:tr w:rsidR="000E48CE" w14:paraId="160D48AB" w14:textId="77777777">
        <w:trPr>
          <w:trHeight w:val="309"/>
        </w:trPr>
        <w:tc>
          <w:tcPr>
            <w:tcW w:w="709" w:type="dxa"/>
            <w:shd w:val="clear" w:color="auto" w:fill="C6EFCE"/>
            <w:noWrap/>
          </w:tcPr>
          <w:p w14:paraId="6F5909ED" w14:textId="48D8F886" w:rsidR="000E48CE" w:rsidRDefault="00FF4C4E">
            <w:pPr>
              <w:pStyle w:val="P68B1DB1-Normal13"/>
              <w:spacing w:after="0" w:line="240" w:lineRule="auto"/>
              <w:jc w:val="center"/>
              <w:rPr>
                <w:rFonts w:eastAsia="Symbol" w:cs="Times New Roman"/>
                <w:noProof/>
              </w:rPr>
            </w:pPr>
            <w:r>
              <w:rPr>
                <w:noProof/>
              </w:rPr>
              <w:t>141</w:t>
            </w:r>
          </w:p>
        </w:tc>
        <w:tc>
          <w:tcPr>
            <w:tcW w:w="851" w:type="dxa"/>
            <w:shd w:val="clear" w:color="auto" w:fill="C6EFCE"/>
            <w:noWrap/>
          </w:tcPr>
          <w:p w14:paraId="60E11A76" w14:textId="77777777" w:rsidR="000E48CE" w:rsidRDefault="00FF4C4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481B80B2" w14:textId="77777777" w:rsidR="000E48CE" w:rsidRDefault="00FF4C4E">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1F395B26" w14:textId="77777777" w:rsidR="000E48CE" w:rsidRDefault="00FF4C4E">
            <w:pPr>
              <w:pStyle w:val="P68B1DB1-Normal13"/>
              <w:spacing w:after="0" w:line="240" w:lineRule="auto"/>
              <w:rPr>
                <w:rFonts w:eastAsia="Symbol" w:cs="Times New Roman"/>
                <w:noProof/>
              </w:rPr>
            </w:pPr>
            <w:r>
              <w:rPr>
                <w:noProof/>
              </w:rPr>
              <w:t xml:space="preserve">Työttömien työnhakuneuvonta ja uudelleenkoulutus </w:t>
            </w:r>
          </w:p>
        </w:tc>
        <w:tc>
          <w:tcPr>
            <w:tcW w:w="992" w:type="dxa"/>
            <w:shd w:val="clear" w:color="auto" w:fill="C6EFCE"/>
            <w:noWrap/>
          </w:tcPr>
          <w:p w14:paraId="48F00459" w14:textId="77777777" w:rsidR="000E48CE" w:rsidRDefault="00FF4C4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196FD2E5" w14:textId="77777777" w:rsidR="000E48CE" w:rsidRDefault="00FF4C4E">
            <w:pPr>
              <w:pStyle w:val="P68B1DB1-Normal13"/>
              <w:spacing w:after="0" w:line="240" w:lineRule="auto"/>
              <w:jc w:val="right"/>
              <w:rPr>
                <w:rFonts w:eastAsia="Symbol" w:cs="Times New Roman"/>
                <w:noProof/>
              </w:rPr>
            </w:pPr>
            <w:r>
              <w:rPr>
                <w:noProof/>
              </w:rPr>
              <w:t>Määrä</w:t>
            </w:r>
          </w:p>
        </w:tc>
        <w:tc>
          <w:tcPr>
            <w:tcW w:w="567" w:type="dxa"/>
            <w:shd w:val="clear" w:color="auto" w:fill="C6EFCE"/>
            <w:noWrap/>
          </w:tcPr>
          <w:p w14:paraId="769908A7" w14:textId="77777777" w:rsidR="000E48CE" w:rsidRDefault="00FF4C4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2F9D5B7A" w14:textId="4A9CD569" w:rsidR="000E48CE" w:rsidRDefault="00FF4C4E">
            <w:pPr>
              <w:pStyle w:val="P68B1DB1-Normal13"/>
              <w:spacing w:after="0" w:line="240" w:lineRule="auto"/>
              <w:jc w:val="right"/>
              <w:rPr>
                <w:rFonts w:eastAsia="Symbol" w:cs="Times New Roman"/>
                <w:noProof/>
              </w:rPr>
            </w:pPr>
            <w:r>
              <w:rPr>
                <w:noProof/>
              </w:rPr>
              <w:t xml:space="preserve">840 </w:t>
            </w:r>
          </w:p>
        </w:tc>
        <w:tc>
          <w:tcPr>
            <w:tcW w:w="425" w:type="dxa"/>
            <w:shd w:val="clear" w:color="auto" w:fill="C6EFCE"/>
            <w:noWrap/>
          </w:tcPr>
          <w:p w14:paraId="409A1D4A" w14:textId="7DB3EBD1"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32553CA6" w14:textId="7A6AA67C" w:rsidR="000E48CE" w:rsidRDefault="00FF4C4E">
            <w:pPr>
              <w:pStyle w:val="P68B1DB1-Normal13"/>
              <w:spacing w:after="0" w:line="240" w:lineRule="auto"/>
              <w:jc w:val="center"/>
              <w:rPr>
                <w:rFonts w:eastAsia="Symbol" w:cs="Times New Roman"/>
                <w:noProof/>
              </w:rPr>
            </w:pPr>
            <w:r>
              <w:rPr>
                <w:noProof/>
              </w:rPr>
              <w:t>2025</w:t>
            </w:r>
          </w:p>
        </w:tc>
        <w:tc>
          <w:tcPr>
            <w:tcW w:w="5529" w:type="dxa"/>
            <w:shd w:val="clear" w:color="auto" w:fill="C6EFCE"/>
            <w:noWrap/>
          </w:tcPr>
          <w:p w14:paraId="5260A411" w14:textId="38CC4637" w:rsidR="000E48CE" w:rsidRDefault="00FF4C4E">
            <w:pPr>
              <w:pStyle w:val="P68B1DB1-Normal13"/>
              <w:spacing w:after="0" w:line="240" w:lineRule="auto"/>
              <w:rPr>
                <w:rFonts w:eastAsia="Symbol" w:cs="Times New Roman"/>
                <w:noProof/>
              </w:rPr>
            </w:pPr>
            <w:r>
              <w:rPr>
                <w:noProof/>
              </w:rPr>
              <w:t>Vähintään 840 henkilöä, jotka ovat hyötyneet henkilökohtaisesta työnhakuavusta ja/tai yksilöllisistä uudelleenkoulutusväylistä työttömille oikeudenmukaisen siirtymän alueilla. Uudelle</w:t>
            </w:r>
            <w:r>
              <w:rPr>
                <w:noProof/>
              </w:rPr>
              <w:t>enkoulutusväylien on katettava ainakin seuraavat alat: uusiutuvan energian (tuuli ja aurinkosähkö) asentaminen ja ylläpito, ennallistaminen ja ympäristöasioiden hallinta ja/tai asuntojen integroitu ja energiakunnostaminen.</w:t>
            </w:r>
          </w:p>
        </w:tc>
      </w:tr>
      <w:tr w:rsidR="000E48CE" w14:paraId="31D214C2" w14:textId="77777777">
        <w:trPr>
          <w:trHeight w:val="309"/>
        </w:trPr>
        <w:tc>
          <w:tcPr>
            <w:tcW w:w="709" w:type="dxa"/>
            <w:shd w:val="clear" w:color="auto" w:fill="C6EFCE"/>
            <w:noWrap/>
          </w:tcPr>
          <w:p w14:paraId="0AD4F915" w14:textId="77777777" w:rsidR="000E48CE" w:rsidRDefault="00FF4C4E">
            <w:pPr>
              <w:pStyle w:val="P68B1DB1-Normal13"/>
              <w:spacing w:after="0" w:line="240" w:lineRule="auto"/>
              <w:jc w:val="center"/>
              <w:rPr>
                <w:rFonts w:eastAsia="Symbol" w:cs="Times New Roman"/>
                <w:noProof/>
              </w:rPr>
            </w:pPr>
            <w:r>
              <w:rPr>
                <w:noProof/>
              </w:rPr>
              <w:t>142</w:t>
            </w:r>
          </w:p>
        </w:tc>
        <w:tc>
          <w:tcPr>
            <w:tcW w:w="851" w:type="dxa"/>
            <w:shd w:val="clear" w:color="auto" w:fill="C6EFCE"/>
            <w:noWrap/>
          </w:tcPr>
          <w:p w14:paraId="4B81512C" w14:textId="77777777" w:rsidR="000E48CE" w:rsidRDefault="00FF4C4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49C56718" w14:textId="77777777" w:rsidR="000E48CE" w:rsidRDefault="00FF4C4E">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1EC9E7CC" w14:textId="77777777" w:rsidR="000E48CE" w:rsidRDefault="00FF4C4E">
            <w:pPr>
              <w:pStyle w:val="P68B1DB1-Normal13"/>
              <w:spacing w:after="0" w:line="240" w:lineRule="auto"/>
              <w:rPr>
                <w:rFonts w:eastAsia="Symbol" w:cs="Times New Roman"/>
                <w:noProof/>
              </w:rPr>
            </w:pPr>
            <w:r>
              <w:rPr>
                <w:noProof/>
              </w:rPr>
              <w:t>Investointihankkeet, joilla mukautetaan teollisuuslaitoksia vihreää vetyä ja energian varastointia varten.</w:t>
            </w:r>
          </w:p>
        </w:tc>
        <w:tc>
          <w:tcPr>
            <w:tcW w:w="992" w:type="dxa"/>
            <w:shd w:val="clear" w:color="auto" w:fill="C6EFCE"/>
            <w:noWrap/>
          </w:tcPr>
          <w:p w14:paraId="60D9EF91" w14:textId="77777777" w:rsidR="000E48CE" w:rsidRDefault="00FF4C4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34AF7EF2" w14:textId="77777777" w:rsidR="000E48CE" w:rsidRDefault="00FF4C4E">
            <w:pPr>
              <w:pStyle w:val="P68B1DB1-Normal13"/>
              <w:spacing w:after="0" w:line="240" w:lineRule="auto"/>
              <w:jc w:val="right"/>
              <w:rPr>
                <w:rFonts w:eastAsia="Symbol" w:cs="Times New Roman"/>
                <w:noProof/>
              </w:rPr>
            </w:pPr>
            <w:r>
              <w:rPr>
                <w:noProof/>
              </w:rPr>
              <w:t>Määrä</w:t>
            </w:r>
          </w:p>
        </w:tc>
        <w:tc>
          <w:tcPr>
            <w:tcW w:w="567" w:type="dxa"/>
            <w:shd w:val="clear" w:color="auto" w:fill="C6EFCE"/>
            <w:noWrap/>
          </w:tcPr>
          <w:p w14:paraId="7E83114B" w14:textId="77777777" w:rsidR="000E48CE" w:rsidRDefault="00FF4C4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7842F596" w14:textId="77777777" w:rsidR="000E48CE" w:rsidRDefault="00FF4C4E">
            <w:pPr>
              <w:pStyle w:val="P68B1DB1-Normal13"/>
              <w:spacing w:after="0" w:line="240" w:lineRule="auto"/>
              <w:jc w:val="right"/>
              <w:rPr>
                <w:rFonts w:eastAsia="Symbol" w:cs="Times New Roman"/>
                <w:noProof/>
              </w:rPr>
            </w:pPr>
            <w:r>
              <w:rPr>
                <w:noProof/>
              </w:rPr>
              <w:t>2</w:t>
            </w:r>
          </w:p>
        </w:tc>
        <w:tc>
          <w:tcPr>
            <w:tcW w:w="425" w:type="dxa"/>
            <w:shd w:val="clear" w:color="auto" w:fill="C6EFCE"/>
            <w:noWrap/>
          </w:tcPr>
          <w:p w14:paraId="3BF43DB5" w14:textId="77777777" w:rsidR="000E48CE" w:rsidRDefault="00FF4C4E">
            <w:pPr>
              <w:pStyle w:val="P68B1DB1-Normal13"/>
              <w:spacing w:after="0" w:line="240" w:lineRule="auto"/>
              <w:jc w:val="center"/>
              <w:rPr>
                <w:rFonts w:eastAsia="Symbol" w:cs="Times New Roman"/>
                <w:noProof/>
              </w:rPr>
            </w:pPr>
            <w:r>
              <w:rPr>
                <w:noProof/>
              </w:rPr>
              <w:t>Q4</w:t>
            </w:r>
          </w:p>
        </w:tc>
        <w:tc>
          <w:tcPr>
            <w:tcW w:w="567" w:type="dxa"/>
            <w:shd w:val="clear" w:color="auto" w:fill="C6EFCE"/>
            <w:noWrap/>
          </w:tcPr>
          <w:p w14:paraId="1636D221" w14:textId="0FAE7557" w:rsidR="000E48CE" w:rsidRDefault="00FF4C4E">
            <w:pPr>
              <w:pStyle w:val="P68B1DB1-Normal13"/>
              <w:spacing w:after="0" w:line="240" w:lineRule="auto"/>
              <w:jc w:val="center"/>
              <w:rPr>
                <w:rFonts w:eastAsia="Symbol" w:cs="Times New Roman"/>
                <w:noProof/>
              </w:rPr>
            </w:pPr>
            <w:r>
              <w:rPr>
                <w:noProof/>
              </w:rPr>
              <w:t>2025</w:t>
            </w:r>
          </w:p>
        </w:tc>
        <w:tc>
          <w:tcPr>
            <w:tcW w:w="5529" w:type="dxa"/>
            <w:shd w:val="clear" w:color="auto" w:fill="C6EFCE"/>
            <w:noWrap/>
          </w:tcPr>
          <w:p w14:paraId="60DC99EA" w14:textId="77777777" w:rsidR="000E48CE" w:rsidRDefault="00FF4C4E">
            <w:pPr>
              <w:pStyle w:val="P68B1DB1-Normal13"/>
              <w:spacing w:after="0" w:line="240" w:lineRule="auto"/>
              <w:rPr>
                <w:rFonts w:eastAsia="Symbol" w:cs="Times New Roman"/>
                <w:noProof/>
              </w:rPr>
            </w:pPr>
            <w:r>
              <w:rPr>
                <w:noProof/>
              </w:rPr>
              <w:t xml:space="preserve">Saatetaan päätökseen kaksi investointihanketta teollisuuslaitosten mukauttamiseksi tulevaisuuden </w:t>
            </w:r>
            <w:r>
              <w:rPr>
                <w:i/>
                <w:noProof/>
              </w:rPr>
              <w:t>Infraestructura Científica y Téc</w:t>
            </w:r>
            <w:r>
              <w:rPr>
                <w:i/>
                <w:noProof/>
              </w:rPr>
              <w:t>nica Singular</w:t>
            </w:r>
            <w:r>
              <w:rPr>
                <w:noProof/>
              </w:rPr>
              <w:t xml:space="preserve"> (ICTP) vihreän vedyn tuotannon ja energian varastoinnin validointiin. Hankkeissa mukautetaan Ciudad de la Energían (CIUDEN) laitoksia ja laboratorioita kahta vihreän vedyn tuotantoa ja energian varastointia koskevaa tutkimus-, kehitys- ja inn</w:t>
            </w:r>
            <w:r>
              <w:rPr>
                <w:noProof/>
              </w:rPr>
              <w:t>ovointihanketta varten.</w:t>
            </w:r>
          </w:p>
        </w:tc>
      </w:tr>
      <w:tr w:rsidR="000E48CE" w14:paraId="26CCBD48" w14:textId="77777777">
        <w:trPr>
          <w:trHeight w:val="309"/>
        </w:trPr>
        <w:tc>
          <w:tcPr>
            <w:tcW w:w="709" w:type="dxa"/>
            <w:shd w:val="clear" w:color="auto" w:fill="C6EFCE"/>
            <w:noWrap/>
          </w:tcPr>
          <w:p w14:paraId="642DAC0B" w14:textId="77777777" w:rsidR="000E48CE" w:rsidRDefault="00FF4C4E">
            <w:pPr>
              <w:pStyle w:val="P68B1DB1-Normal13"/>
              <w:spacing w:after="0" w:line="240" w:lineRule="auto"/>
              <w:jc w:val="center"/>
              <w:rPr>
                <w:rFonts w:eastAsia="Symbol" w:cs="Times New Roman"/>
                <w:noProof/>
              </w:rPr>
            </w:pPr>
            <w:r>
              <w:rPr>
                <w:noProof/>
              </w:rPr>
              <w:t>143</w:t>
            </w:r>
          </w:p>
        </w:tc>
        <w:tc>
          <w:tcPr>
            <w:tcW w:w="851" w:type="dxa"/>
            <w:shd w:val="clear" w:color="auto" w:fill="C6EFCE"/>
            <w:noWrap/>
          </w:tcPr>
          <w:p w14:paraId="30B38E23" w14:textId="77777777" w:rsidR="000E48CE" w:rsidRDefault="00FF4C4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1BBCB446" w14:textId="77777777" w:rsidR="000E48CE" w:rsidRDefault="00FF4C4E">
            <w:pPr>
              <w:pStyle w:val="P68B1DB1-Normal13"/>
              <w:spacing w:after="0" w:line="240" w:lineRule="auto"/>
              <w:jc w:val="center"/>
              <w:rPr>
                <w:rFonts w:eastAsia="Symbol" w:cs="Times New Roman"/>
                <w:noProof/>
              </w:rPr>
            </w:pPr>
            <w:r>
              <w:rPr>
                <w:noProof/>
              </w:rPr>
              <w:t>T</w:t>
            </w:r>
          </w:p>
        </w:tc>
        <w:tc>
          <w:tcPr>
            <w:tcW w:w="3261" w:type="dxa"/>
            <w:shd w:val="clear" w:color="auto" w:fill="C6EFCE"/>
            <w:noWrap/>
          </w:tcPr>
          <w:p w14:paraId="7A067092" w14:textId="77777777" w:rsidR="000E48CE" w:rsidRDefault="00FF4C4E">
            <w:pPr>
              <w:pStyle w:val="P68B1DB1-Normal13"/>
              <w:spacing w:after="0" w:line="240" w:lineRule="auto"/>
              <w:rPr>
                <w:rFonts w:eastAsia="Symbol" w:cs="Times New Roman"/>
                <w:noProof/>
              </w:rPr>
            </w:pPr>
            <w:r>
              <w:rPr>
                <w:noProof/>
              </w:rPr>
              <w:t>Kunnostettu maa suljetuissa hiilikaivoksissa tai voimalaitosten viereisillä alueilla.</w:t>
            </w:r>
          </w:p>
        </w:tc>
        <w:tc>
          <w:tcPr>
            <w:tcW w:w="992" w:type="dxa"/>
            <w:shd w:val="clear" w:color="auto" w:fill="C6EFCE"/>
            <w:noWrap/>
          </w:tcPr>
          <w:p w14:paraId="0812ED9E" w14:textId="77777777" w:rsidR="000E48CE" w:rsidRDefault="00FF4C4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06982734" w14:textId="77777777" w:rsidR="000E48CE" w:rsidRDefault="00FF4C4E">
            <w:pPr>
              <w:pStyle w:val="P68B1DB1-Normal13"/>
              <w:spacing w:after="0" w:line="240" w:lineRule="auto"/>
              <w:jc w:val="right"/>
              <w:rPr>
                <w:rFonts w:eastAsia="Symbol" w:cs="Times New Roman"/>
                <w:noProof/>
              </w:rPr>
            </w:pPr>
            <w:r>
              <w:rPr>
                <w:noProof/>
              </w:rPr>
              <w:t>Lukumäärä (hehtaareina)</w:t>
            </w:r>
          </w:p>
        </w:tc>
        <w:tc>
          <w:tcPr>
            <w:tcW w:w="567" w:type="dxa"/>
            <w:shd w:val="clear" w:color="auto" w:fill="C6EFCE"/>
            <w:noWrap/>
          </w:tcPr>
          <w:p w14:paraId="28EA6124" w14:textId="77777777" w:rsidR="000E48CE" w:rsidRDefault="00FF4C4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1DCF5F40" w14:textId="77777777" w:rsidR="000E48CE" w:rsidRDefault="00FF4C4E">
            <w:pPr>
              <w:pStyle w:val="P68B1DB1-Normal13"/>
              <w:spacing w:after="0" w:line="240" w:lineRule="auto"/>
              <w:jc w:val="right"/>
              <w:rPr>
                <w:rFonts w:eastAsia="Symbol" w:cs="Times New Roman"/>
                <w:noProof/>
              </w:rPr>
            </w:pPr>
            <w:r>
              <w:rPr>
                <w:noProof/>
              </w:rPr>
              <w:t>2 000</w:t>
            </w:r>
          </w:p>
        </w:tc>
        <w:tc>
          <w:tcPr>
            <w:tcW w:w="425" w:type="dxa"/>
            <w:shd w:val="clear" w:color="auto" w:fill="C6EFCE"/>
            <w:noWrap/>
          </w:tcPr>
          <w:p w14:paraId="684BA9D8" w14:textId="77777777" w:rsidR="000E48CE" w:rsidRDefault="00FF4C4E">
            <w:pPr>
              <w:pStyle w:val="P68B1DB1-Normal13"/>
              <w:spacing w:after="0" w:line="240" w:lineRule="auto"/>
              <w:jc w:val="center"/>
              <w:rPr>
                <w:rFonts w:eastAsia="Symbol" w:cs="Times New Roman"/>
                <w:noProof/>
              </w:rPr>
            </w:pPr>
            <w:r>
              <w:rPr>
                <w:noProof/>
              </w:rPr>
              <w:t>Q2</w:t>
            </w:r>
          </w:p>
        </w:tc>
        <w:tc>
          <w:tcPr>
            <w:tcW w:w="567" w:type="dxa"/>
            <w:shd w:val="clear" w:color="auto" w:fill="C6EFCE"/>
            <w:noWrap/>
          </w:tcPr>
          <w:p w14:paraId="5B397BA1" w14:textId="77777777" w:rsidR="000E48CE" w:rsidRDefault="00FF4C4E">
            <w:pPr>
              <w:pStyle w:val="P68B1DB1-Normal13"/>
              <w:spacing w:after="0" w:line="240" w:lineRule="auto"/>
              <w:jc w:val="center"/>
              <w:rPr>
                <w:rFonts w:eastAsia="Symbol" w:cs="Times New Roman"/>
                <w:noProof/>
              </w:rPr>
            </w:pPr>
            <w:r>
              <w:rPr>
                <w:noProof/>
              </w:rPr>
              <w:t>2026</w:t>
            </w:r>
          </w:p>
        </w:tc>
        <w:tc>
          <w:tcPr>
            <w:tcW w:w="5529" w:type="dxa"/>
            <w:shd w:val="clear" w:color="auto" w:fill="C6EFCE"/>
            <w:noWrap/>
          </w:tcPr>
          <w:p w14:paraId="5AEEA7F3" w14:textId="77777777" w:rsidR="000E48CE" w:rsidRDefault="00FF4C4E">
            <w:pPr>
              <w:pStyle w:val="P68B1DB1-Normal13"/>
              <w:spacing w:after="0" w:line="240" w:lineRule="auto"/>
              <w:rPr>
                <w:rFonts w:eastAsia="Symbol" w:cs="Times New Roman"/>
                <w:noProof/>
              </w:rPr>
            </w:pPr>
            <w:r>
              <w:rPr>
                <w:noProof/>
              </w:rPr>
              <w:t>Vähintään 2000 hehtaaria kunnostettua maata suljetuilla hiilikaivosalueilla tai lämpö- tai</w:t>
            </w:r>
            <w:r>
              <w:rPr>
                <w:noProof/>
              </w:rPr>
              <w:t xml:space="preserve"> ydinvoimalaitosten viereisillä alueilla. Kunnostetun maan pinta-ala saastuneilla alueilla, erityisesti kivihiilen louhinta-alueilla tai lämpö- tai ydinvoimalaitosten läheisyydessä sijaitsevalla maalla, jolla laitokset ja kaivoslaitokset puretaan, ja maape</w:t>
            </w:r>
            <w:r>
              <w:rPr>
                <w:noProof/>
              </w:rPr>
              <w:t>rä on kunnostettu ja siihen sovelletaan uudelleenmetsittämis- tai kasvillisuudenpalautusprosesseja, uusiutuvan energian tuotantolaitoksia tai ekovaihtoehtoista talouskehitystä.</w:t>
            </w:r>
          </w:p>
        </w:tc>
      </w:tr>
    </w:tbl>
    <w:p w14:paraId="386B8F08" w14:textId="32D8376A" w:rsidR="000E48CE" w:rsidRDefault="000E48CE">
      <w:pPr>
        <w:tabs>
          <w:tab w:val="left" w:pos="2370"/>
        </w:tabs>
        <w:rPr>
          <w:rFonts w:ascii="Times New Roman" w:hAnsi="Times New Roman" w:cs="Times New Roman"/>
          <w:noProof/>
          <w:sz w:val="24"/>
        </w:rPr>
        <w:sectPr w:rsidR="000E48CE" w:rsidSect="00EB7CC8">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1417" w:right="1134" w:bottom="1417" w:left="1134" w:header="709" w:footer="709" w:gutter="0"/>
          <w:cols w:space="720"/>
          <w:docGrid w:linePitch="360"/>
        </w:sectPr>
      </w:pPr>
    </w:p>
    <w:p w14:paraId="6A7F6ABC" w14:textId="77777777" w:rsidR="000E48CE" w:rsidRDefault="00FF4C4E">
      <w:pPr>
        <w:pStyle w:val="P68B1DB1-Heading12"/>
        <w:rPr>
          <w:rFonts w:cs="Times New Roman"/>
          <w:noProof/>
        </w:rPr>
      </w:pPr>
      <w:r>
        <w:rPr>
          <w:noProof/>
        </w:rPr>
        <w:t xml:space="preserve">K. KOMPONENTTI </w:t>
      </w:r>
      <w:r>
        <w:rPr>
          <w:noProof/>
        </w:rPr>
        <w:t>11: Julkishallinnon nykyaikaistaminen</w:t>
      </w:r>
    </w:p>
    <w:p w14:paraId="352E93FA" w14:textId="77777777" w:rsidR="000E48CE" w:rsidRDefault="00FF4C4E">
      <w:pPr>
        <w:pStyle w:val="P68B1DB1-Normal4"/>
        <w:spacing w:before="120" w:after="120" w:line="240" w:lineRule="auto"/>
        <w:jc w:val="both"/>
        <w:rPr>
          <w:rFonts w:cs="Times New Roman"/>
          <w:noProof/>
        </w:rPr>
      </w:pPr>
      <w:r>
        <w:rPr>
          <w:noProof/>
        </w:rPr>
        <w:t xml:space="preserve">Tässä Espanjan elpymis- ja palautumissuunnitelman osassa käsitellään julkishallintoon liittyviä haasteita, mukaan lukien oikeusjärjestelmän tehokkuus, hallinnolliset valmiudet ja eri hallintotasojen välinen yhteistyö. </w:t>
      </w:r>
      <w:r>
        <w:rPr>
          <w:noProof/>
        </w:rPr>
        <w:t>Sen tavoitteena on nykyaikaistaa Espanjan julkishallintoja uudistamalla hallintoprosesseja, julkisia hankintoja, oikeuslaitosta, julkista työllisyyttä, henkilöstöpolitiikkaa mukaan lukien. parantaa julkisten palvelujen saatavuutta ja tehokkuutta digitaliso</w:t>
      </w:r>
      <w:r>
        <w:rPr>
          <w:noProof/>
        </w:rPr>
        <w:t>imalla niitä edelleen; edistetään energiansäästöä, uusiutuvan energian käyttöä julkisissa rakennuksissa ja infrastruktuurissa sekä edistetään virkamiesten kestävää liikkuvuutta; sekä julkishallinnon hallinnollisten valmiuksien vahvistaminen julkisen politi</w:t>
      </w:r>
      <w:r>
        <w:rPr>
          <w:noProof/>
        </w:rPr>
        <w:t>ikan seurannassa, valvonnassa ja täytäntöönpanossa. Keskeiset toimenpiteet näiden tavoitteiden saavuttamiseksi ovat seuraavat:</w:t>
      </w:r>
    </w:p>
    <w:p w14:paraId="56EFA3F4" w14:textId="77777777" w:rsidR="000E48CE" w:rsidRDefault="00FF4C4E">
      <w:pPr>
        <w:pStyle w:val="P68B1DB1-Normal4"/>
        <w:numPr>
          <w:ilvl w:val="0"/>
          <w:numId w:val="106"/>
        </w:numPr>
        <w:spacing w:before="120" w:after="120" w:line="240" w:lineRule="auto"/>
        <w:ind w:left="714" w:hanging="357"/>
        <w:contextualSpacing/>
        <w:jc w:val="both"/>
        <w:rPr>
          <w:rFonts w:cs="Times New Roman"/>
          <w:noProof/>
        </w:rPr>
      </w:pPr>
      <w:r>
        <w:rPr>
          <w:noProof/>
        </w:rPr>
        <w:t>Uudistaa keskus-, alue- ja paikallishallintoa parantamalla niiden välistä yhteistyötä, vahvistamalla julkisten hankintojen kehyst</w:t>
      </w:r>
      <w:r>
        <w:rPr>
          <w:noProof/>
        </w:rPr>
        <w:t>ä, arvioimalla julkista politiikkaa ja edistämällä siirtymistä toistaiseksi voimassa oleviin työsopimuksiin;</w:t>
      </w:r>
    </w:p>
    <w:p w14:paraId="4271A214" w14:textId="77777777" w:rsidR="000E48CE" w:rsidRDefault="00FF4C4E">
      <w:pPr>
        <w:pStyle w:val="P68B1DB1-Normal4"/>
        <w:numPr>
          <w:ilvl w:val="0"/>
          <w:numId w:val="106"/>
        </w:numPr>
        <w:spacing w:before="120" w:after="120" w:line="240" w:lineRule="auto"/>
        <w:ind w:left="714" w:hanging="357"/>
        <w:contextualSpacing/>
        <w:jc w:val="both"/>
        <w:rPr>
          <w:rFonts w:cs="Times New Roman"/>
          <w:noProof/>
        </w:rPr>
      </w:pPr>
      <w:r>
        <w:rPr>
          <w:noProof/>
        </w:rPr>
        <w:t>Hallintojen ja prosessien digitalisointi viidellä strategisella alalla toteutettavalla ensisijaisella hankkeella: oikeusasiat, julkiset työvoimapal</w:t>
      </w:r>
      <w:r>
        <w:rPr>
          <w:noProof/>
        </w:rPr>
        <w:t>velut, kansanterveystiedot, konsulaattien hallinnointi ja aluehallinto;</w:t>
      </w:r>
    </w:p>
    <w:p w14:paraId="1C63BC53" w14:textId="77777777" w:rsidR="000E48CE" w:rsidRDefault="00FF4C4E">
      <w:pPr>
        <w:pStyle w:val="P68B1DB1-Normal4"/>
        <w:numPr>
          <w:ilvl w:val="0"/>
          <w:numId w:val="106"/>
        </w:numPr>
        <w:spacing w:before="120" w:after="120" w:line="240" w:lineRule="auto"/>
        <w:ind w:left="714" w:hanging="357"/>
        <w:contextualSpacing/>
        <w:jc w:val="both"/>
        <w:rPr>
          <w:rFonts w:cs="Times New Roman"/>
          <w:noProof/>
        </w:rPr>
      </w:pPr>
      <w:r>
        <w:rPr>
          <w:noProof/>
        </w:rPr>
        <w:t>Keskushallinnon energiasiirtymäsuunnitelma;</w:t>
      </w:r>
    </w:p>
    <w:p w14:paraId="393C7493" w14:textId="77777777" w:rsidR="000E48CE" w:rsidRDefault="00FF4C4E">
      <w:pPr>
        <w:pStyle w:val="P68B1DB1-Normal4"/>
        <w:numPr>
          <w:ilvl w:val="0"/>
          <w:numId w:val="106"/>
        </w:numPr>
        <w:spacing w:before="120" w:after="120" w:line="240" w:lineRule="auto"/>
        <w:ind w:left="714" w:hanging="357"/>
        <w:contextualSpacing/>
        <w:jc w:val="both"/>
        <w:rPr>
          <w:rFonts w:cs="Times New Roman"/>
          <w:noProof/>
        </w:rPr>
      </w:pPr>
      <w:r>
        <w:rPr>
          <w:noProof/>
        </w:rPr>
        <w:t>Hallinnollisten valmiuksien vahvistaminen.</w:t>
      </w:r>
    </w:p>
    <w:p w14:paraId="5F50FC9F" w14:textId="4115D13C" w:rsidR="000E48CE" w:rsidRDefault="00FF4C4E">
      <w:pPr>
        <w:pStyle w:val="P68B1DB1-Normal4"/>
        <w:spacing w:before="120" w:after="120" w:line="240" w:lineRule="auto"/>
        <w:jc w:val="both"/>
        <w:rPr>
          <w:rFonts w:cs="Times New Roman"/>
          <w:noProof/>
        </w:rPr>
      </w:pPr>
      <w:r>
        <w:rPr>
          <w:noProof/>
        </w:rPr>
        <w:t>Tämä Espanjan elpymis- ja palautumissuunnitelman osa kattaa maakohtaiset suositukset, jotka koske</w:t>
      </w:r>
      <w:r>
        <w:rPr>
          <w:noProof/>
        </w:rPr>
        <w:t>vat julkisten hankintojen kehyksen vahvistamista (maakohtaiset suositukset 1 2019 ja 4–2020), siirtymisen edistämistä toistaiseksi voimassa oleviin sopimuksiin (maakohtainen suositus 2 2019), julkisten investointihankkeiden aikaistamista ja investointien k</w:t>
      </w:r>
      <w:r>
        <w:rPr>
          <w:noProof/>
        </w:rPr>
        <w:t>eskittämistä vihreään ja digitaaliseen siirtymään (maakohtaiset suositukset 3 2019, 3 2020, 1 2022 ja 1 2023) ja hallinnon välisen yhteistyön parantamisesta (maakohtaiset suositukset 4 2019 ja 2020).</w:t>
      </w:r>
    </w:p>
    <w:p w14:paraId="40F85C11" w14:textId="77777777" w:rsidR="000E48CE" w:rsidRDefault="00FF4C4E">
      <w:pPr>
        <w:pStyle w:val="P68B1DB1-Normal4"/>
        <w:spacing w:before="120" w:after="120" w:line="240" w:lineRule="auto"/>
        <w:jc w:val="both"/>
        <w:rPr>
          <w:rFonts w:cs="Times New Roman"/>
          <w:noProof/>
        </w:rPr>
      </w:pPr>
      <w:r>
        <w:rPr>
          <w:noProof/>
        </w:rPr>
        <w:t>Minkään tämän komponentin toimenpiteen ei odoteta aiheut</w:t>
      </w:r>
      <w:r>
        <w:rPr>
          <w:noProof/>
        </w:rPr>
        <w:t>tavan asetuksen (EU) 2020/852 17 artiklassa tarkoitettua merkittävää haittaa ympäristötavoitteille, kun otetaan huomioon ”ei merkittävää haittaa” -periaatteen soveltamista koskevien teknisten ohjeiden (2021/C58/01) mukaiset elpymis- ja palautumissuunnitelm</w:t>
      </w:r>
      <w:r>
        <w:rPr>
          <w:noProof/>
        </w:rPr>
        <w:t>assa esitettyjen toimenpiteiden kuvaus ja lieventävät toimet.</w:t>
      </w:r>
    </w:p>
    <w:p w14:paraId="12F0DF21" w14:textId="77777777" w:rsidR="000E48CE" w:rsidRDefault="00FF4C4E">
      <w:pPr>
        <w:pStyle w:val="P68B1DB1-Normal5"/>
        <w:spacing w:before="120" w:after="120" w:line="240" w:lineRule="auto"/>
        <w:jc w:val="both"/>
        <w:rPr>
          <w:rFonts w:cs="Times New Roman"/>
          <w:i/>
          <w:noProof/>
        </w:rPr>
      </w:pPr>
      <w:r>
        <w:rPr>
          <w:noProof/>
        </w:rPr>
        <w:t xml:space="preserve">K.1 </w:t>
      </w:r>
      <w:r>
        <w:rPr>
          <w:noProof/>
        </w:rPr>
        <w:tab/>
        <w:t>Kuvaus uudistuksista ja investoinneista, joita rahoitetaan rahoitustuella, jota ei makseta takaisin</w:t>
      </w:r>
    </w:p>
    <w:p w14:paraId="3DACBE7E" w14:textId="77777777" w:rsidR="000E48CE" w:rsidRDefault="00FF4C4E">
      <w:pPr>
        <w:pStyle w:val="P68B1DB1-Normal6"/>
        <w:spacing w:before="120" w:after="120" w:line="240" w:lineRule="auto"/>
        <w:jc w:val="both"/>
        <w:rPr>
          <w:rFonts w:cs="Times New Roman"/>
          <w:noProof/>
        </w:rPr>
      </w:pPr>
      <w:r>
        <w:rPr>
          <w:noProof/>
        </w:rPr>
        <w:t xml:space="preserve">Uudistus 1 (C11.R1) – Hallinnon nykyaikaistamista ja digitalisointia koskeva uudistus </w:t>
      </w:r>
    </w:p>
    <w:p w14:paraId="2714C8E2" w14:textId="77777777" w:rsidR="000E48CE" w:rsidRDefault="00FF4C4E">
      <w:pPr>
        <w:pStyle w:val="P68B1DB1-Normal4"/>
        <w:spacing w:before="120" w:after="120" w:line="240" w:lineRule="auto"/>
        <w:jc w:val="both"/>
        <w:rPr>
          <w:rFonts w:cs="Times New Roman"/>
          <w:noProof/>
        </w:rPr>
      </w:pPr>
      <w:r>
        <w:rPr>
          <w:noProof/>
        </w:rPr>
        <w:t>Tä</w:t>
      </w:r>
      <w:r>
        <w:rPr>
          <w:noProof/>
        </w:rPr>
        <w:t>mä toimenpide on nivottava useisiin toimintalinjoihin, joilla puututaan julkishallinnon työllisyyspolitiikan heikkouksiin, vahvistetaan eri hallintotasojen välistä yhteistyötä ja koordinointia ja parannetaan valtionhallinnon tapaa toteuttaa julkista politi</w:t>
      </w:r>
      <w:r>
        <w:rPr>
          <w:noProof/>
        </w:rPr>
        <w:t>ikkaa. Työllisyyspolitiikan osalta tavoitteena on vähentää määräaikaisten työntekijöiden määrää julkishallinnossa ja vahvistaa julkisia työllistämisvalmiuksia siirtymällä osaamiseen perustuvaan henkilöstömalliin, myös työhönottoa varten. Toisena toimintali</w:t>
      </w:r>
      <w:r>
        <w:rPr>
          <w:noProof/>
        </w:rPr>
        <w:t>njana on kehittää edelleen politiikan ennakkoarviointia ja lisätä avoimuutta ja kansalaisten osallistumista julkiseen päätöksentekoon, mukaan lukien uusi laki eturyhmien toiminnan avoimuudesta ja rehellisyydestä.</w:t>
      </w:r>
      <w:r>
        <w:rPr>
          <w:noProof/>
          <w:shd w:val="clear" w:color="auto" w:fill="FFFFFF" w:themeFill="background1"/>
        </w:rPr>
        <w:t xml:space="preserve"> Uudistuksella</w:t>
      </w:r>
      <w:r>
        <w:rPr>
          <w:noProof/>
        </w:rPr>
        <w:t xml:space="preserve"> vahvistetaan Espanjan eri hal</w:t>
      </w:r>
      <w:r>
        <w:rPr>
          <w:noProof/>
        </w:rPr>
        <w:t>lintotasojen välisen yhteistyön välineitä. Näin vahvistetaan alakohtaisten konferenssien eli olemassa olevien alueiden kanssa tehtävää yhteistyötä tekevien elinten roolia selventämällä, milloin ne voivat sopia määräysten noudattamisesta. Uudistuksella vahv</w:t>
      </w:r>
      <w:r>
        <w:rPr>
          <w:noProof/>
        </w:rPr>
        <w:t>istetaan myös puheenjohtajakokousta (jossa pääministeri ja itsehallintoalueiden presidentit kokoontuvat korkeimmalla tasolla). Uudistus koskee myös välineitä, joiden avulla julkishallintojen välinen yhteistyö on mahdollista, ja sillä luodaan keskus- ja alu</w:t>
      </w:r>
      <w:r>
        <w:rPr>
          <w:noProof/>
        </w:rPr>
        <w:t xml:space="preserve">ehallinnon </w:t>
      </w:r>
      <w:r>
        <w:rPr>
          <w:noProof/>
          <w:shd w:val="clear" w:color="auto" w:fill="FFFFFF" w:themeFill="background1"/>
        </w:rPr>
        <w:t xml:space="preserve">tietojärjestelmien välinen digitaalinen yhteenliitettävyys ja yhteentoimivuus. </w:t>
      </w:r>
      <w:r>
        <w:rPr>
          <w:noProof/>
        </w:rPr>
        <w:t>Uudistuksella saatetaan myös ajan tasalle kansallinen turvallisuuskehys.</w:t>
      </w:r>
    </w:p>
    <w:p w14:paraId="636B4929" w14:textId="77777777" w:rsidR="000E48CE" w:rsidRDefault="00FF4C4E">
      <w:pPr>
        <w:pStyle w:val="P68B1DB1-Normal4"/>
        <w:spacing w:before="120" w:after="120" w:line="240" w:lineRule="auto"/>
        <w:jc w:val="both"/>
        <w:rPr>
          <w:rFonts w:cs="Times New Roman"/>
          <w:noProof/>
        </w:rPr>
      </w:pPr>
      <w:r>
        <w:rPr>
          <w:noProof/>
        </w:rPr>
        <w:t xml:space="preserve">Tämän toimenpiteen täytäntöönpano on saatettava päätökseen viimeistään 31 päivänä joulukuuta </w:t>
      </w:r>
      <w:r>
        <w:rPr>
          <w:noProof/>
        </w:rPr>
        <w:t>2024.</w:t>
      </w:r>
    </w:p>
    <w:p w14:paraId="25E2998A" w14:textId="77777777" w:rsidR="000E48CE" w:rsidRDefault="00FF4C4E">
      <w:pPr>
        <w:pStyle w:val="P68B1DB1-Normal6"/>
        <w:keepNext/>
        <w:spacing w:before="120" w:after="120" w:line="240" w:lineRule="auto"/>
        <w:jc w:val="both"/>
        <w:rPr>
          <w:rFonts w:cs="Times New Roman"/>
          <w:noProof/>
        </w:rPr>
      </w:pPr>
      <w:r>
        <w:rPr>
          <w:noProof/>
        </w:rPr>
        <w:t>Uudistus 2 (C11.R2) – Uudistukset oikeusvaltioperiaatteen ja oikeusjärjestelmän tehokkuuden edistämiseksi</w:t>
      </w:r>
    </w:p>
    <w:p w14:paraId="01290F57" w14:textId="77777777" w:rsidR="000E48CE" w:rsidRDefault="00FF4C4E">
      <w:pPr>
        <w:pStyle w:val="P68B1DB1-Normal4"/>
        <w:keepNext/>
        <w:spacing w:before="120" w:after="120" w:line="240" w:lineRule="auto"/>
        <w:jc w:val="both"/>
        <w:rPr>
          <w:rFonts w:cs="Times New Roman"/>
          <w:noProof/>
        </w:rPr>
      </w:pPr>
      <w:r>
        <w:rPr>
          <w:noProof/>
        </w:rPr>
        <w:t>Syyskuun 18. päivänä annetussa laissa 3/2020 ja oikeusalan 2030 ohjelmassa esitetään etenemissuunnitelma oikeudenkäytön uudistamiseksi Espanjass</w:t>
      </w:r>
      <w:r>
        <w:rPr>
          <w:noProof/>
        </w:rPr>
        <w:t>a. Tässä yhteydessä tällä toimenpiteellä nykyaikaistetaan oikeusjärjestelmää sen voimaantuloon mennessä (ottaen huomioon kussakin laissa säädetty ”</w:t>
      </w:r>
      <w:r>
        <w:rPr>
          <w:i/>
          <w:noProof/>
        </w:rPr>
        <w:t>vacatio legis</w:t>
      </w:r>
      <w:r>
        <w:rPr>
          <w:noProof/>
        </w:rPr>
        <w:t xml:space="preserve">”),  </w:t>
      </w:r>
    </w:p>
    <w:p w14:paraId="1F3E25AB" w14:textId="77777777" w:rsidR="000E48CE" w:rsidRDefault="00FF4C4E">
      <w:pPr>
        <w:pStyle w:val="P68B1DB1-Normal4"/>
        <w:spacing w:before="120" w:after="120" w:line="240" w:lineRule="auto"/>
        <w:jc w:val="both"/>
        <w:rPr>
          <w:rFonts w:cs="Times New Roman"/>
          <w:noProof/>
        </w:rPr>
      </w:pPr>
      <w:r>
        <w:rPr>
          <w:noProof/>
        </w:rPr>
        <w:t>viimeistään 31 päivänä joulukuuta 2022</w:t>
      </w:r>
    </w:p>
    <w:p w14:paraId="2E37D948" w14:textId="6B89FDCF" w:rsidR="000E48CE" w:rsidRDefault="00FF4C4E">
      <w:pPr>
        <w:pStyle w:val="P68B1DB1-Normal4"/>
        <w:numPr>
          <w:ilvl w:val="0"/>
          <w:numId w:val="109"/>
        </w:numPr>
        <w:spacing w:before="120" w:after="120" w:line="240" w:lineRule="auto"/>
        <w:jc w:val="both"/>
        <w:rPr>
          <w:rFonts w:cs="Times New Roman"/>
          <w:noProof/>
        </w:rPr>
      </w:pPr>
      <w:r>
        <w:rPr>
          <w:noProof/>
        </w:rPr>
        <w:t xml:space="preserve">Menettelyjen tehokkuutta koskeva kuninkaallinen </w:t>
      </w:r>
      <w:r>
        <w:rPr>
          <w:noProof/>
        </w:rPr>
        <w:t>asetus, jolla lyhennetään menettelyjen kestoa kaikilla lainkäyttöalueilla säilyttäen samalla kansalaisten prosessuaaliset takeet;</w:t>
      </w:r>
    </w:p>
    <w:p w14:paraId="2F975B10" w14:textId="27DAE543" w:rsidR="000E48CE" w:rsidRDefault="00FF4C4E">
      <w:pPr>
        <w:pStyle w:val="P68B1DB1-Normal4"/>
        <w:numPr>
          <w:ilvl w:val="0"/>
          <w:numId w:val="109"/>
        </w:numPr>
        <w:spacing w:before="120" w:after="120" w:line="240" w:lineRule="auto"/>
        <w:jc w:val="both"/>
        <w:rPr>
          <w:rFonts w:cs="Times New Roman"/>
          <w:noProof/>
        </w:rPr>
      </w:pPr>
      <w:r>
        <w:rPr>
          <w:noProof/>
        </w:rPr>
        <w:t>Digitaalista tehokkuutta koskeva kuninkaallinen asetus, jolla edistetään datavetoista arkkitehtuuria tiedonhallintaa varten.</w:t>
      </w:r>
    </w:p>
    <w:p w14:paraId="5C8D43F9" w14:textId="18DD97C7" w:rsidR="000E48CE" w:rsidRDefault="00FF4C4E">
      <w:pPr>
        <w:pStyle w:val="P68B1DB1-Normal4"/>
        <w:spacing w:before="120" w:after="120" w:line="240" w:lineRule="auto"/>
        <w:jc w:val="both"/>
        <w:rPr>
          <w:rFonts w:cs="Times New Roman"/>
          <w:noProof/>
        </w:rPr>
      </w:pPr>
      <w:r>
        <w:rPr>
          <w:noProof/>
        </w:rPr>
        <w:t>3</w:t>
      </w:r>
      <w:r>
        <w:rPr>
          <w:noProof/>
        </w:rPr>
        <w:t>1 päivään joulukuuta 2024 mennessä:</w:t>
      </w:r>
    </w:p>
    <w:p w14:paraId="633FA789" w14:textId="417AC4CB" w:rsidR="000E48CE" w:rsidRDefault="00FF4C4E">
      <w:pPr>
        <w:pStyle w:val="P68B1DB1-Normal4"/>
        <w:numPr>
          <w:ilvl w:val="0"/>
          <w:numId w:val="109"/>
        </w:numPr>
        <w:spacing w:before="120" w:after="120" w:line="240" w:lineRule="auto"/>
        <w:jc w:val="both"/>
        <w:rPr>
          <w:rFonts w:cs="Times New Roman"/>
          <w:noProof/>
        </w:rPr>
      </w:pPr>
      <w:r>
        <w:rPr>
          <w:noProof/>
        </w:rPr>
        <w:t>Oikeusjärjestelmän organisatorisesta ja prosessuaalisesta tehokkuudesta annettu laki, jolla muutetaan tuomioistuinjärjestelmän organisointia ja otetaan käyttöön vaihtoehtoiset riitojenratkaisukeinot. Tällä lailla korvata</w:t>
      </w:r>
      <w:r>
        <w:rPr>
          <w:noProof/>
        </w:rPr>
        <w:t>an ensimmäisen oikeusasteen tuomioistuinten suuri määrä 431:llä kollegiaalisella elimellä (</w:t>
      </w:r>
      <w:r>
        <w:rPr>
          <w:i/>
          <w:noProof/>
        </w:rPr>
        <w:t>Tribunal de Instancia</w:t>
      </w:r>
      <w:r>
        <w:rPr>
          <w:noProof/>
        </w:rPr>
        <w:t>) ja pannaan täytäntöön oikeusvirasto.</w:t>
      </w:r>
    </w:p>
    <w:p w14:paraId="1C0B2809" w14:textId="778A1BB0" w:rsidR="000E48CE" w:rsidRDefault="00FF4C4E">
      <w:pPr>
        <w:pStyle w:val="P68B1DB1-Normal4"/>
        <w:numPr>
          <w:ilvl w:val="0"/>
          <w:numId w:val="109"/>
        </w:numPr>
        <w:spacing w:before="120" w:after="120" w:line="240" w:lineRule="auto"/>
        <w:jc w:val="both"/>
        <w:rPr>
          <w:rFonts w:cs="Times New Roman"/>
          <w:noProof/>
        </w:rPr>
      </w:pPr>
      <w:r>
        <w:rPr>
          <w:noProof/>
        </w:rPr>
        <w:t>Oikeutta puolustukseen koskeva laki, jolla kehitetään ja vahvistetaan perusoikeutta oikeudenmukaiseen oik</w:t>
      </w:r>
      <w:r>
        <w:rPr>
          <w:noProof/>
        </w:rPr>
        <w:t>eudenkäyntiin ja viime kädessä edistetään oikeusvaltioperiaatteen toteutumista.</w:t>
      </w:r>
    </w:p>
    <w:p w14:paraId="730B9F02" w14:textId="0FE2A1FA" w:rsidR="000E48CE" w:rsidRDefault="00FF4C4E">
      <w:pPr>
        <w:pStyle w:val="P68B1DB1-Normal4"/>
        <w:spacing w:before="120" w:after="120" w:line="240" w:lineRule="auto"/>
        <w:jc w:val="both"/>
        <w:rPr>
          <w:rFonts w:cs="Times New Roman"/>
          <w:noProof/>
          <w:u w:val="single"/>
        </w:rPr>
      </w:pPr>
      <w:r>
        <w:rPr>
          <w:noProof/>
        </w:rPr>
        <w:t>Toimenpiteen täytäntöönpano on saatettava päätökseen viimeistään 31 päivänä joulukuuta 2024.</w:t>
      </w:r>
    </w:p>
    <w:p w14:paraId="1FE00358" w14:textId="77777777" w:rsidR="000E48CE" w:rsidRDefault="00FF4C4E">
      <w:pPr>
        <w:pStyle w:val="P68B1DB1-Normal6"/>
        <w:spacing w:before="120" w:after="120" w:line="240" w:lineRule="auto"/>
        <w:jc w:val="both"/>
        <w:rPr>
          <w:rFonts w:cs="Times New Roman"/>
          <w:noProof/>
        </w:rPr>
      </w:pPr>
      <w:r>
        <w:rPr>
          <w:noProof/>
        </w:rPr>
        <w:t>Uudistus 3 (C11.R3) – Uudistukset talouden ohjausjärjestelmän institutionaalisen ra</w:t>
      </w:r>
      <w:r>
        <w:rPr>
          <w:noProof/>
        </w:rPr>
        <w:t>kenteen nykyaikaistamiseksi</w:t>
      </w:r>
    </w:p>
    <w:p w14:paraId="6FED04EF" w14:textId="77777777" w:rsidR="000E48CE" w:rsidRDefault="00FF4C4E">
      <w:pPr>
        <w:pStyle w:val="P68B1DB1-Normal4"/>
        <w:shd w:val="clear" w:color="auto" w:fill="FFFFFF" w:themeFill="background1"/>
        <w:spacing w:before="120" w:after="120" w:line="240" w:lineRule="auto"/>
        <w:jc w:val="both"/>
        <w:rPr>
          <w:rFonts w:cs="Times New Roman"/>
          <w:noProof/>
        </w:rPr>
      </w:pPr>
      <w:r>
        <w:rPr>
          <w:noProof/>
        </w:rPr>
        <w:t xml:space="preserve">Tällä toimenpiteellä uudistetaan talouden institutionaalisen ohjausjärjestelmän näkökohtia muun muassa nopeuttamalla ja edistämällä prosessien digitalisointia. Tietoihin on sisällyttävä yleisen talletussuojarahaston ( </w:t>
      </w:r>
      <w:r>
        <w:rPr>
          <w:i/>
          <w:noProof/>
        </w:rPr>
        <w:t xml:space="preserve">Caja </w:t>
      </w:r>
      <w:r>
        <w:rPr>
          <w:i/>
          <w:noProof/>
        </w:rPr>
        <w:t>General de Depósitos</w:t>
      </w:r>
      <w:r>
        <w:rPr>
          <w:noProof/>
        </w:rPr>
        <w:t>) toimintatavan uudistaminen, jotta ne voidaan tehdä sähköisiksi; perustetaan finanssiasiakkaiden suojelusta vastaava viranomainen, jonka tarkoituksena on taata rahoitusalan asiakkaiden oikeudet; parannetaan institutionaalista kehystä r</w:t>
      </w:r>
      <w:r>
        <w:rPr>
          <w:noProof/>
        </w:rPr>
        <w:t>ahoituslaitosten kriisinratkaisua varten antamalla laki, jolla muutetaan nykyistä institutionaalista kriisinratkaisukehystä; ja d) nykyaikaistetaan varainhoidon ja tilintarkastuksen valvontaa uudistamalla yleistä kirjanpitosuunnitelmaa ja tilintarkastusase</w:t>
      </w:r>
      <w:r>
        <w:rPr>
          <w:noProof/>
        </w:rPr>
        <w:t>tusta.</w:t>
      </w:r>
    </w:p>
    <w:p w14:paraId="72E326FA" w14:textId="77777777" w:rsidR="000E48CE" w:rsidRDefault="00FF4C4E">
      <w:pPr>
        <w:pStyle w:val="P68B1DB1-Normal4"/>
        <w:shd w:val="clear" w:color="auto" w:fill="FFFFFF" w:themeFill="background1"/>
        <w:spacing w:before="120" w:after="120" w:line="240" w:lineRule="auto"/>
        <w:jc w:val="both"/>
        <w:rPr>
          <w:rFonts w:cs="Times New Roman"/>
          <w:noProof/>
        </w:rPr>
      </w:pPr>
      <w:r>
        <w:rPr>
          <w:noProof/>
        </w:rPr>
        <w:t>Uudistukseen on sisällyttävä myös a) asiakaspalveluja (rahoituspalvelut mukaan luettuina) koskeva laki, jossa vahvistetaan laatustandardit ja tarjotaan tehokkaampia palveluja asiakkaille; ja b) vihreän kirjan julkaiseminen kestävän talouden edistämi</w:t>
      </w:r>
      <w:r>
        <w:rPr>
          <w:noProof/>
        </w:rPr>
        <w:t>seksi Espanjassa.</w:t>
      </w:r>
    </w:p>
    <w:p w14:paraId="0F5B433A" w14:textId="77777777" w:rsidR="000E48CE" w:rsidRDefault="00FF4C4E">
      <w:pPr>
        <w:pStyle w:val="P68B1DB1-Normal4"/>
        <w:shd w:val="clear" w:color="auto" w:fill="FFFFFF" w:themeFill="background1"/>
        <w:spacing w:before="120" w:after="120" w:line="240" w:lineRule="auto"/>
        <w:jc w:val="both"/>
        <w:rPr>
          <w:rFonts w:cs="Times New Roman"/>
          <w:noProof/>
        </w:rPr>
      </w:pPr>
      <w:r>
        <w:rPr>
          <w:noProof/>
        </w:rPr>
        <w:t>Toimenpiteen täytäntöönpano on saatettava päätökseen viimeistään 31 päivänä joulukuuta 2024.</w:t>
      </w:r>
    </w:p>
    <w:p w14:paraId="3B2ECC08" w14:textId="77777777" w:rsidR="000E48CE" w:rsidRDefault="00FF4C4E">
      <w:pPr>
        <w:pStyle w:val="P68B1DB1-Normal6"/>
        <w:spacing w:before="120" w:after="120" w:line="240" w:lineRule="auto"/>
        <w:jc w:val="both"/>
        <w:rPr>
          <w:rFonts w:cs="Times New Roman"/>
          <w:noProof/>
        </w:rPr>
      </w:pPr>
      <w:r>
        <w:rPr>
          <w:noProof/>
        </w:rPr>
        <w:t xml:space="preserve">Uudistus 4 (C11.R4) – Kansallinen julkisten hankintojen strategia </w:t>
      </w:r>
    </w:p>
    <w:p w14:paraId="0D561F15" w14:textId="77777777" w:rsidR="000E48CE" w:rsidRDefault="00FF4C4E">
      <w:pPr>
        <w:pStyle w:val="P68B1DB1-Normal4"/>
        <w:spacing w:before="120" w:after="120" w:line="240" w:lineRule="auto"/>
        <w:jc w:val="both"/>
        <w:rPr>
          <w:rFonts w:cs="Times New Roman"/>
          <w:noProof/>
        </w:rPr>
      </w:pPr>
      <w:r>
        <w:rPr>
          <w:noProof/>
        </w:rPr>
        <w:t>Uudistuksella saatetaan päätökseen julkisia hankintoja koskevan uudistuksen tä</w:t>
      </w:r>
      <w:r>
        <w:rPr>
          <w:noProof/>
        </w:rPr>
        <w:t>ytäntöönpano, josta säädetään julkisia hankintoja koskevassa laissa 9/2017 (joka on julkisista hankinnoista ja direktiivin 2004/18/EY kumoamisesta 26 päivänä helmikuuta 2014 annetun Euroopan parlamentin ja neuvoston direktiivin 2014/24/EU tärkein täytäntöö</w:t>
      </w:r>
      <w:r>
        <w:rPr>
          <w:noProof/>
        </w:rPr>
        <w:t>npanosäädös). Näin luodaan hallintorakenne, jolla vastataan tarpeeseen luoda johdonmukainen julkisia hankintoja koskeva kehys, jolla varmistetaan avoimuus, tehokkaat valvontamekanismit, julkisten hankintojen tietokantojen yhteenliittäminen hallinnon kaikki</w:t>
      </w:r>
      <w:r>
        <w:rPr>
          <w:noProof/>
        </w:rPr>
        <w:t xml:space="preserve">en tasojen välillä ja eri hallintotasojen välinen koordinointi, jotta voidaan I) saatetaan kansallinen arviointivirasto täysin toimintakykyiseksi ja ii) hyväksytään kansallinen julkisia hankintoja koskeva strategia. </w:t>
      </w:r>
    </w:p>
    <w:p w14:paraId="3BF329BE" w14:textId="77777777" w:rsidR="000E48CE" w:rsidRDefault="00FF4C4E">
      <w:pPr>
        <w:pStyle w:val="P68B1DB1-Normal4"/>
        <w:spacing w:before="120" w:after="120" w:line="240" w:lineRule="auto"/>
        <w:jc w:val="both"/>
        <w:rPr>
          <w:rFonts w:cs="Times New Roman"/>
          <w:noProof/>
        </w:rPr>
      </w:pPr>
      <w:r>
        <w:rPr>
          <w:noProof/>
        </w:rPr>
        <w:t>Espanja on jo perustanut riippumattoman</w:t>
      </w:r>
      <w:r>
        <w:rPr>
          <w:noProof/>
        </w:rPr>
        <w:t xml:space="preserve"> julkisten hankintojen sääntely- ja valvontaviraston ja kansallisen arviointiviraston. Uudistuksessa käsitellään myös ongelmia, jotka liittyvät julkisia hankintoja koskevien tietojen ja tietokantojen rajalliseen tarjontaan, sekä heikkouksiin julkisia hanki</w:t>
      </w:r>
      <w:r>
        <w:rPr>
          <w:noProof/>
        </w:rPr>
        <w:t>ntoja koskevien sopimusten rakenteessa. Tätä varten uudistuksella parannetaan julkisten hankintojen (prosessit, tulokset, data ja tieto) tehokkuutta; edistää toimijoiden ammatillistamista (lokakuussa 2017 annetun komission suosituksen mukaisesti) paranneta</w:t>
      </w:r>
      <w:r>
        <w:rPr>
          <w:noProof/>
        </w:rPr>
        <w:t>an pk-yritysten osallistumismahdollisuuksia; ja d) vahvistetaan digitaalisten julkisten hankintojen oikeudellista kehystä.</w:t>
      </w:r>
    </w:p>
    <w:p w14:paraId="7A9531F1"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31 päivään joulukuuta 2022 mennessä.</w:t>
      </w:r>
    </w:p>
    <w:p w14:paraId="48A9D52C" w14:textId="77777777" w:rsidR="000E48CE" w:rsidRDefault="00FF4C4E">
      <w:pPr>
        <w:pStyle w:val="P68B1DB1-Normal6"/>
        <w:keepNext/>
        <w:spacing w:before="120" w:after="120" w:line="240" w:lineRule="auto"/>
        <w:jc w:val="both"/>
        <w:rPr>
          <w:rFonts w:cs="Times New Roman"/>
          <w:noProof/>
        </w:rPr>
      </w:pPr>
      <w:r>
        <w:rPr>
          <w:noProof/>
        </w:rPr>
        <w:t>Uudistus 5 (C11.R5) – Hallinnolliset valmiu</w:t>
      </w:r>
      <w:r>
        <w:rPr>
          <w:noProof/>
        </w:rPr>
        <w:t xml:space="preserve">det </w:t>
      </w:r>
    </w:p>
    <w:p w14:paraId="3663E51B" w14:textId="77777777" w:rsidR="000E48CE" w:rsidRDefault="00FF4C4E">
      <w:pPr>
        <w:pStyle w:val="P68B1DB1-Normal4"/>
        <w:spacing w:before="120" w:after="120" w:line="240" w:lineRule="auto"/>
        <w:jc w:val="both"/>
        <w:rPr>
          <w:rFonts w:cs="Times New Roman"/>
          <w:noProof/>
        </w:rPr>
      </w:pPr>
      <w:r>
        <w:rPr>
          <w:noProof/>
        </w:rPr>
        <w:t>Uudistuksella nykyaikaistetaan julkishallintojen sisäistä toimintaa Espanjan elpymis- ja palautumissuunnitelman täytäntöönpanon parantamiseksi, jotta sillä olisi pitkäkestoinen vaikutus Espanjan julkishallinnon tulevien uudistusten ja investointien tä</w:t>
      </w:r>
      <w:r>
        <w:rPr>
          <w:noProof/>
        </w:rPr>
        <w:t>ytäntöönpanoon. Se uudistaa yhdessä investoinnin 5 kanssa julkishallinnon valmiuksia varmistaa elpymis- ja palautumissuunnitelman asianmukainen täytäntöönpano. Tämä edellyttää yhdennetyn tieto- ja hallintajärjestelmän luomista. kehittää koulutustoimia elpy</w:t>
      </w:r>
      <w:r>
        <w:rPr>
          <w:noProof/>
        </w:rPr>
        <w:t>mis- ja palautumissuunnitelmaan osallistuville; ja toteutetaan viestintätoimia elpymis- ja palautumissuunnitelman mahdollisiin osallistujiin ja edunsaajiin sekä yleensä yrityksiin ja kotitalouksiin, jotta ne saisivat tietoa elpymis- ja palautumissuunnitelm</w:t>
      </w:r>
      <w:r>
        <w:rPr>
          <w:noProof/>
        </w:rPr>
        <w:t xml:space="preserve">an tarjoamista mahdollisuuksista. </w:t>
      </w:r>
    </w:p>
    <w:p w14:paraId="31591AC5" w14:textId="77777777" w:rsidR="000E48CE" w:rsidRDefault="00FF4C4E">
      <w:pPr>
        <w:pStyle w:val="P68B1DB1-Normal4"/>
        <w:spacing w:before="120" w:after="120" w:line="240" w:lineRule="auto"/>
        <w:jc w:val="both"/>
        <w:rPr>
          <w:rFonts w:cs="Times New Roman"/>
          <w:noProof/>
        </w:rPr>
      </w:pPr>
      <w:r>
        <w:rPr>
          <w:noProof/>
        </w:rPr>
        <w:t>Elpymis- ja palautumissuunnitelmaan sisältyvien toimien hallinnointi, raportointi ja seuranta on otettava käyttöön uuden hallinto- ja varainhoitomallin avulla sen varmistamiseksi, että elpymis- ja palautumissuunnitelmassa</w:t>
      </w:r>
      <w:r>
        <w:rPr>
          <w:noProof/>
        </w:rPr>
        <w:t xml:space="preserve"> esitetyt toimet toteutetaan asianmukaisesti. Tämä yhtenäinen malli on tarkoitus keskittää EU:n rahastojen pääsihteeristöön, ja sitä käytetään raportoiville ministeriöille, niiden vastaaville tieto- ja viestintäteknisille yksiköille ja mahdollisesti alueid</w:t>
      </w:r>
      <w:r>
        <w:rPr>
          <w:noProof/>
        </w:rPr>
        <w:t>en vertaishallinnoille (itsehallintoalueet). Tätä varten keskushallinto hyväksyi kuninkaan asetuksen 36/2020.</w:t>
      </w:r>
    </w:p>
    <w:p w14:paraId="4264C8DD"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30 päivänä syyskuuta 2021.</w:t>
      </w:r>
    </w:p>
    <w:p w14:paraId="2F7AA333" w14:textId="77777777" w:rsidR="000E48CE" w:rsidRDefault="00FF4C4E">
      <w:pPr>
        <w:pStyle w:val="P68B1DB1-Normal6"/>
        <w:spacing w:before="120" w:after="120" w:line="240" w:lineRule="auto"/>
        <w:jc w:val="both"/>
        <w:rPr>
          <w:rFonts w:cs="Times New Roman"/>
          <w:noProof/>
        </w:rPr>
      </w:pPr>
      <w:r>
        <w:rPr>
          <w:noProof/>
        </w:rPr>
        <w:t>Investointi 1 (C11.I1) – Valtionhallinnon nykyaikaista</w:t>
      </w:r>
      <w:r>
        <w:rPr>
          <w:noProof/>
        </w:rPr>
        <w:t>minen</w:t>
      </w:r>
    </w:p>
    <w:p w14:paraId="0ED397FF" w14:textId="77777777" w:rsidR="000E48CE" w:rsidRDefault="00FF4C4E">
      <w:pPr>
        <w:pStyle w:val="P68B1DB1-Normal4"/>
        <w:spacing w:before="120" w:after="120" w:line="240" w:lineRule="auto"/>
        <w:jc w:val="both"/>
        <w:rPr>
          <w:rFonts w:cs="Times New Roman"/>
          <w:noProof/>
        </w:rPr>
      </w:pPr>
      <w:r>
        <w:rPr>
          <w:noProof/>
        </w:rPr>
        <w:t>C11.I1- ja C11.I3-investointeihin liittyvät toimet on kehitetty samojen periaatteiden mukaisesti siten, että I1 kohdistuu keskushallintoon ja I3 alue- ja paikallisviranomaisiin. Kaikkien näiden yhteisöjen osalta on toteutettava seuraavat toimet:</w:t>
      </w:r>
    </w:p>
    <w:p w14:paraId="667ADB84" w14:textId="77777777" w:rsidR="000E48CE" w:rsidRDefault="00FF4C4E">
      <w:pPr>
        <w:pStyle w:val="P68B1DB1-Normal4"/>
        <w:numPr>
          <w:ilvl w:val="0"/>
          <w:numId w:val="107"/>
        </w:numPr>
        <w:spacing w:before="120" w:after="120" w:line="240" w:lineRule="auto"/>
        <w:jc w:val="both"/>
        <w:rPr>
          <w:rFonts w:cs="Times New Roman"/>
          <w:noProof/>
        </w:rPr>
      </w:pPr>
      <w:r>
        <w:rPr>
          <w:noProof/>
        </w:rPr>
        <w:t>Kansalaislähtöinen hallinto, kansalaisille ja yrityksille tarjottavien digitaalisten julkisten palvelujen parantaminen ja toimenpiteiden toteuttaminen Espanjan digitaalistrategian 2025 mukaisesti;</w:t>
      </w:r>
    </w:p>
    <w:p w14:paraId="1244348B" w14:textId="77777777" w:rsidR="000E48CE" w:rsidRDefault="00FF4C4E">
      <w:pPr>
        <w:pStyle w:val="P68B1DB1-Normal4"/>
        <w:numPr>
          <w:ilvl w:val="0"/>
          <w:numId w:val="107"/>
        </w:numPr>
        <w:spacing w:before="120" w:after="120" w:line="240" w:lineRule="auto"/>
        <w:jc w:val="both"/>
        <w:rPr>
          <w:rFonts w:cs="Times New Roman"/>
          <w:noProof/>
        </w:rPr>
      </w:pPr>
      <w:r>
        <w:rPr>
          <w:noProof/>
        </w:rPr>
        <w:t>Älykkäät toiminnot ja datahallinto, joka parantaa julkishal</w:t>
      </w:r>
      <w:r>
        <w:rPr>
          <w:noProof/>
        </w:rPr>
        <w:t>linnon palvelujen (eli julkisten hankintojen) hallinnoinnin laatua ja tehokkuutta, mukaan lukien datavirta, älykkäiden automaatioteknologioiden ja digitaalisten infrastruktuurien käytön avulla;</w:t>
      </w:r>
    </w:p>
    <w:p w14:paraId="5DA066F3" w14:textId="77777777" w:rsidR="000E48CE" w:rsidRDefault="00FF4C4E">
      <w:pPr>
        <w:pStyle w:val="P68B1DB1-Normal4"/>
        <w:numPr>
          <w:ilvl w:val="0"/>
          <w:numId w:val="107"/>
        </w:numPr>
        <w:spacing w:before="120" w:after="120" w:line="240" w:lineRule="auto"/>
        <w:jc w:val="both"/>
        <w:rPr>
          <w:rFonts w:cs="Times New Roman"/>
          <w:noProof/>
        </w:rPr>
      </w:pPr>
      <w:r>
        <w:rPr>
          <w:noProof/>
        </w:rPr>
        <w:t>Digitaaliset infrastruktuurit ja kyberturvallisuus, joiden tav</w:t>
      </w:r>
      <w:r>
        <w:rPr>
          <w:noProof/>
        </w:rPr>
        <w:t>oitteena on tarjota Espanjan julkishallinnon teknologinen infrastruktuuri, jota tarvitaan niiden nykyaikaistamiseen</w:t>
      </w:r>
      <w:r>
        <w:rPr>
          <w:b/>
          <w:noProof/>
        </w:rPr>
        <w:t>. Kyberturvallisuuden</w:t>
      </w:r>
      <w:r>
        <w:rPr>
          <w:noProof/>
        </w:rPr>
        <w:t>osalta tällä toimenpiteellä perustetaan koko valtionhallintoa ja sen virastoja varten kyberturvallisuuden operaatiokesku</w:t>
      </w:r>
      <w:r>
        <w:rPr>
          <w:noProof/>
        </w:rPr>
        <w:t>s, jonka tehtävänä on suojautua kyberturvallisuusuhkilta;</w:t>
      </w:r>
    </w:p>
    <w:p w14:paraId="57D971B4" w14:textId="046CA3A1" w:rsidR="000E48CE" w:rsidRDefault="00FF4C4E">
      <w:pPr>
        <w:pStyle w:val="P68B1DB1-Normal4"/>
        <w:spacing w:before="120" w:after="120" w:line="240" w:lineRule="auto"/>
        <w:jc w:val="both"/>
        <w:rPr>
          <w:rFonts w:cs="Times New Roman"/>
          <w:noProof/>
        </w:rPr>
      </w:pPr>
      <w:r>
        <w:rPr>
          <w:noProof/>
        </w:rPr>
        <w:t xml:space="preserve">Investoinnin toteutus saatetaan päätökseen viimeistään 31. joulukuuta 2025. </w:t>
      </w:r>
    </w:p>
    <w:p w14:paraId="4BEBE207" w14:textId="77777777" w:rsidR="000E48CE" w:rsidRDefault="00FF4C4E">
      <w:pPr>
        <w:pStyle w:val="P68B1DB1-Normal6"/>
        <w:spacing w:before="120" w:after="120" w:line="240" w:lineRule="auto"/>
        <w:jc w:val="both"/>
        <w:rPr>
          <w:rFonts w:cs="Times New Roman"/>
          <w:noProof/>
        </w:rPr>
      </w:pPr>
      <w:r>
        <w:rPr>
          <w:noProof/>
        </w:rPr>
        <w:t>Investointi 2 (C11.I2) – Erityishankkeet keskushallinnon digitalisoimiseksi</w:t>
      </w:r>
    </w:p>
    <w:p w14:paraId="334B0601" w14:textId="77777777" w:rsidR="000E48CE" w:rsidRDefault="00FF4C4E">
      <w:pPr>
        <w:pStyle w:val="P68B1DB1-Normal4"/>
        <w:spacing w:after="0" w:line="240" w:lineRule="auto"/>
        <w:jc w:val="both"/>
        <w:rPr>
          <w:rFonts w:cs="Times New Roman"/>
          <w:noProof/>
        </w:rPr>
      </w:pPr>
      <w:r>
        <w:rPr>
          <w:noProof/>
        </w:rPr>
        <w:t>Näiden investointien on johdettava digitalisa</w:t>
      </w:r>
      <w:r>
        <w:rPr>
          <w:noProof/>
        </w:rPr>
        <w:t>ation yleistymiseen ja digitaalisten palvelujen kehittämiseen koko julkishallinnossa. Digitalisaation toteuttamiseen tähtäävät politiikanalat ovat seuraavat:</w:t>
      </w:r>
    </w:p>
    <w:p w14:paraId="60321793" w14:textId="77777777" w:rsidR="000E48CE" w:rsidRDefault="00FF4C4E">
      <w:pPr>
        <w:pStyle w:val="P68B1DB1-Normal4"/>
        <w:numPr>
          <w:ilvl w:val="0"/>
          <w:numId w:val="108"/>
        </w:numPr>
        <w:spacing w:before="120" w:after="0" w:line="240" w:lineRule="auto"/>
        <w:contextualSpacing/>
        <w:jc w:val="both"/>
        <w:rPr>
          <w:rFonts w:cs="Times New Roman"/>
          <w:noProof/>
        </w:rPr>
      </w:pPr>
      <w:r>
        <w:rPr>
          <w:noProof/>
        </w:rPr>
        <w:t>Terveydenhuoltojärjestelmä. Investoinnilla on parannettava keskushallinnon ja itsehallintoalueiden</w:t>
      </w:r>
      <w:r>
        <w:rPr>
          <w:noProof/>
        </w:rPr>
        <w:t xml:space="preserve"> välistä yhteentoimivuutta sekä edistettävä data-analytiikkaa.</w:t>
      </w:r>
    </w:p>
    <w:p w14:paraId="7CBF399E" w14:textId="77777777" w:rsidR="000E48CE" w:rsidRDefault="00FF4C4E">
      <w:pPr>
        <w:pStyle w:val="P68B1DB1-Normal4"/>
        <w:numPr>
          <w:ilvl w:val="0"/>
          <w:numId w:val="108"/>
        </w:numPr>
        <w:spacing w:before="120" w:after="0" w:line="240" w:lineRule="auto"/>
        <w:contextualSpacing/>
        <w:jc w:val="both"/>
        <w:rPr>
          <w:rFonts w:cs="Times New Roman"/>
          <w:noProof/>
        </w:rPr>
      </w:pPr>
      <w:r>
        <w:rPr>
          <w:noProof/>
        </w:rPr>
        <w:t>Oikeuslaitos. Investoinnilla on tarjottava kansalaisille ja oikeudellisille toimijoille digitaalisia välineitä, joiden avulla ne voivat paremmin hallita suhdettaan oikeudenkäyttöön;</w:t>
      </w:r>
    </w:p>
    <w:p w14:paraId="4F124CB9" w14:textId="77777777" w:rsidR="000E48CE" w:rsidRDefault="00FF4C4E">
      <w:pPr>
        <w:pStyle w:val="P68B1DB1-Normal4"/>
        <w:numPr>
          <w:ilvl w:val="0"/>
          <w:numId w:val="108"/>
        </w:numPr>
        <w:spacing w:before="120" w:after="0" w:line="240" w:lineRule="auto"/>
        <w:contextualSpacing/>
        <w:jc w:val="both"/>
        <w:rPr>
          <w:rFonts w:cs="Times New Roman"/>
          <w:noProof/>
        </w:rPr>
      </w:pPr>
      <w:r>
        <w:rPr>
          <w:noProof/>
        </w:rPr>
        <w:t>Julkiset ty</w:t>
      </w:r>
      <w:r>
        <w:rPr>
          <w:noProof/>
        </w:rPr>
        <w:t>övoimapalvelut. Investoinnilla on saatettava ajan tasalle aktiivisen työmarkkinapolitiikan hallinnoinnin perustana olevat tietotekniset järjestelmät;</w:t>
      </w:r>
    </w:p>
    <w:p w14:paraId="0C162575" w14:textId="77777777" w:rsidR="000E48CE" w:rsidRDefault="00FF4C4E">
      <w:pPr>
        <w:pStyle w:val="P68B1DB1-Normal4"/>
        <w:numPr>
          <w:ilvl w:val="0"/>
          <w:numId w:val="108"/>
        </w:numPr>
        <w:spacing w:before="120" w:after="0" w:line="240" w:lineRule="auto"/>
        <w:contextualSpacing/>
        <w:jc w:val="both"/>
        <w:rPr>
          <w:rFonts w:cs="Times New Roman"/>
          <w:noProof/>
        </w:rPr>
      </w:pPr>
      <w:r>
        <w:rPr>
          <w:noProof/>
        </w:rPr>
        <w:t>Osallisuus, sosiaaliturva ja muuttoliike. Investoinnilla on annettava toimivaltaiselle ministeriölle digit</w:t>
      </w:r>
      <w:r>
        <w:rPr>
          <w:noProof/>
        </w:rPr>
        <w:t>aaliset välineet, joilla helpotetaan asiaan liittyvien politiikkojen täytäntöönpanoa heikoimmassa asemassa olevien ryhmien osalta, sekä tietojen käyttöä korjaavien tai lieventävien lisätoimenpiteiden kehittämiseksi;</w:t>
      </w:r>
    </w:p>
    <w:p w14:paraId="48A7C196" w14:textId="77777777" w:rsidR="000E48CE" w:rsidRDefault="00FF4C4E">
      <w:pPr>
        <w:pStyle w:val="P68B1DB1-Normal4"/>
        <w:numPr>
          <w:ilvl w:val="0"/>
          <w:numId w:val="108"/>
        </w:numPr>
        <w:spacing w:before="120" w:after="0" w:line="240" w:lineRule="auto"/>
        <w:contextualSpacing/>
        <w:jc w:val="both"/>
        <w:rPr>
          <w:rFonts w:cs="Times New Roman"/>
          <w:noProof/>
        </w:rPr>
      </w:pPr>
      <w:r>
        <w:rPr>
          <w:noProof/>
        </w:rPr>
        <w:t>Konsulipalvelut. Investoinnilla parannet</w:t>
      </w:r>
      <w:r>
        <w:rPr>
          <w:noProof/>
        </w:rPr>
        <w:t>aan Espanjan julkishallinnon digitaalisten palvelujen saatavuutta sekä ulkomailla asuvien espanjalaisten että Espanjassa asuvien ulkomaalaisten osalta;</w:t>
      </w:r>
    </w:p>
    <w:p w14:paraId="66BA674A" w14:textId="77777777" w:rsidR="000E48CE" w:rsidRDefault="00FF4C4E">
      <w:pPr>
        <w:pStyle w:val="P68B1DB1-Normal4"/>
        <w:numPr>
          <w:ilvl w:val="0"/>
          <w:numId w:val="108"/>
        </w:numPr>
        <w:spacing w:before="120" w:after="0" w:line="240" w:lineRule="auto"/>
        <w:contextualSpacing/>
        <w:jc w:val="both"/>
        <w:rPr>
          <w:rFonts w:cs="Times New Roman"/>
          <w:noProof/>
        </w:rPr>
      </w:pPr>
      <w:r>
        <w:rPr>
          <w:noProof/>
        </w:rPr>
        <w:t>Turvallisuutta ja maataloutta koskevat pilottihankkeet.</w:t>
      </w:r>
    </w:p>
    <w:p w14:paraId="18196CE2" w14:textId="77777777" w:rsidR="000E48CE" w:rsidRDefault="00FF4C4E">
      <w:pPr>
        <w:pStyle w:val="P68B1DB1-Normal4"/>
        <w:spacing w:before="120" w:after="120" w:line="240" w:lineRule="auto"/>
        <w:jc w:val="both"/>
        <w:rPr>
          <w:rFonts w:cs="Times New Roman"/>
          <w:noProof/>
          <w:u w:val="single"/>
        </w:rPr>
      </w:pPr>
      <w:r>
        <w:rPr>
          <w:noProof/>
        </w:rPr>
        <w:t>Investoinnin toteutus saatetaan päätökseen viime</w:t>
      </w:r>
      <w:r>
        <w:rPr>
          <w:noProof/>
        </w:rPr>
        <w:t xml:space="preserve">istään 31. joulukuuta 2025. </w:t>
      </w:r>
    </w:p>
    <w:p w14:paraId="2272DC44" w14:textId="56CE069E" w:rsidR="000E48CE" w:rsidRDefault="00FF4C4E">
      <w:pPr>
        <w:pStyle w:val="P68B1DB1-Normal6"/>
        <w:spacing w:before="120" w:after="120" w:line="240" w:lineRule="auto"/>
        <w:jc w:val="both"/>
        <w:rPr>
          <w:rFonts w:cs="Times New Roman"/>
          <w:noProof/>
        </w:rPr>
      </w:pPr>
      <w:r>
        <w:rPr>
          <w:noProof/>
        </w:rPr>
        <w:t>Investointi 3 (C11.I3) – Aluepolitiikasta ja siviiliasioista vastaavan ministeriön</w:t>
      </w:r>
      <w:r>
        <w:rPr>
          <w:noProof/>
          <w:shd w:val="clear" w:color="auto" w:fill="FFFFFF" w:themeFill="background1"/>
        </w:rPr>
        <w:t>,</w:t>
      </w:r>
      <w:r>
        <w:rPr>
          <w:noProof/>
        </w:rPr>
        <w:t xml:space="preserve"> kansallisen terveydenhuoltojärjestelmän sekä itsehallintoalueiden ja paikallisviranomaisten hallinnon digitalisaatio ja nykyaikaistaminen </w:t>
      </w:r>
    </w:p>
    <w:p w14:paraId="2B78DF17" w14:textId="77777777" w:rsidR="000E48CE" w:rsidRDefault="00FF4C4E">
      <w:pPr>
        <w:pStyle w:val="P68B1DB1-Normal4"/>
        <w:spacing w:before="120" w:after="120" w:line="240" w:lineRule="auto"/>
        <w:jc w:val="both"/>
        <w:rPr>
          <w:rFonts w:cs="Times New Roman"/>
          <w:noProof/>
        </w:rPr>
      </w:pPr>
      <w:r>
        <w:rPr>
          <w:noProof/>
        </w:rPr>
        <w:t>Tämä</w:t>
      </w:r>
      <w:r>
        <w:rPr>
          <w:noProof/>
        </w:rPr>
        <w:t xml:space="preserve">n investoinnin puitteissa toteutettavissa toimissa noudatetaan samoja periaatteita, jotka on kuvattu C11.I1 kohdassa ja jotka on suunnattu alue- ja paikallishallinnolle. </w:t>
      </w:r>
    </w:p>
    <w:p w14:paraId="57134CA5"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2026.</w:t>
      </w:r>
    </w:p>
    <w:p w14:paraId="1A70473C" w14:textId="77777777" w:rsidR="000E48CE" w:rsidRDefault="00FF4C4E">
      <w:pPr>
        <w:pStyle w:val="P68B1DB1-Normal6"/>
        <w:spacing w:before="120" w:after="120" w:line="240" w:lineRule="auto"/>
        <w:jc w:val="both"/>
        <w:rPr>
          <w:rFonts w:cs="Times New Roman"/>
          <w:noProof/>
        </w:rPr>
      </w:pPr>
      <w:r>
        <w:rPr>
          <w:noProof/>
        </w:rPr>
        <w:t>Investoint</w:t>
      </w:r>
      <w:r>
        <w:rPr>
          <w:noProof/>
        </w:rPr>
        <w:t>i 4 (C11.I4) – Energiasiirtymäsuunnitelma valtionhallinnossa</w:t>
      </w:r>
    </w:p>
    <w:p w14:paraId="606994D9" w14:textId="77777777" w:rsidR="000E48CE" w:rsidRDefault="00FF4C4E">
      <w:pPr>
        <w:pStyle w:val="P68B1DB1-Normal4"/>
        <w:spacing w:before="120" w:after="120" w:line="240" w:lineRule="auto"/>
        <w:jc w:val="both"/>
        <w:rPr>
          <w:rFonts w:cs="Times New Roman"/>
          <w:noProof/>
        </w:rPr>
      </w:pPr>
      <w:r>
        <w:rPr>
          <w:noProof/>
        </w:rPr>
        <w:t>Toimenpiteellä edistetään energiansäästöä ja energiatehokkuutta keskushallinnon rakennuksissa ja infrastruktuurissa. Toimenpiteellä on saavutettava keskimäärin vähintään 30 prosentin primääriener</w:t>
      </w:r>
      <w:r>
        <w:rPr>
          <w:noProof/>
        </w:rPr>
        <w:t>gian kysynnän vähennys, joka on todennettu energiatehokkuustodistuksilla. Investoinnilla on edistettävä rakennusten lattiapinta-alan kunnostamista, jotta voidaan lisätä sellaisten laitosten määrää, joiden energialuokitus on korkea, ja erityisesti lähes nol</w:t>
      </w:r>
      <w:r>
        <w:rPr>
          <w:noProof/>
        </w:rPr>
        <w:t>laenergiarakennuksia. Investoinnilla on myös edistettävä aurinkosähköjärjestelmien tai muiden uusiutuvien energialähteiden käyttöönottoa keskushallinnon laitoksissa. Toimenpiteellä on myös kannustettava julkisten ajoneuvojen ajoneuvokannan muuttamista pääs</w:t>
      </w:r>
      <w:r>
        <w:rPr>
          <w:noProof/>
        </w:rPr>
        <w:t>töttömiksi tai vähäpäästöisiksi ajoneuvoiksi</w:t>
      </w:r>
      <w:r>
        <w:rPr>
          <w:noProof/>
        </w:rPr>
        <w:footnoteReference w:id="19"/>
      </w:r>
      <w:r>
        <w:rPr>
          <w:noProof/>
        </w:rPr>
        <w:t xml:space="preserve">. </w:t>
      </w:r>
    </w:p>
    <w:p w14:paraId="4D8030AF" w14:textId="77777777" w:rsidR="000E48CE" w:rsidRDefault="00FF4C4E">
      <w:pPr>
        <w:pStyle w:val="P68B1DB1-Normal4"/>
        <w:spacing w:before="120" w:after="120" w:line="240" w:lineRule="auto"/>
        <w:jc w:val="both"/>
        <w:rPr>
          <w:rFonts w:cs="Times New Roman"/>
          <w:noProof/>
        </w:rPr>
      </w:pPr>
      <w:r>
        <w:rPr>
          <w:noProof/>
        </w:rPr>
        <w:t>Tämän toimenpiteen ei odoteta aiheuttavan merkittävää haittaa asetuksen (EU) 2020/852 17 artiklassa tarkoitetuille ympäristötavoitteille, kun otetaan huomioon ”ei merkittävää haittaa” -periaatetta koskevien t</w:t>
      </w:r>
      <w:r>
        <w:rPr>
          <w:noProof/>
        </w:rPr>
        <w:t>eknisten ohjeiden (2021/C58/01) mukainen elpymis- ja palautumissuunnitelmassa esitetty toimenpiteen kuvaus ja lieventävät toimenpiteet. Erityisesti julkisten ajoneuvojen ajoneuvokannan muuntamisella tuetaan ainoastaan päästöttömiä tai vähäpäästöisiä</w:t>
      </w:r>
      <w:r>
        <w:rPr>
          <w:noProof/>
        </w:rPr>
        <w:footnoteReference w:id="20"/>
      </w:r>
      <w:r>
        <w:rPr>
          <w:noProof/>
        </w:rPr>
        <w:t xml:space="preserve"> ajone</w:t>
      </w:r>
      <w:r>
        <w:rPr>
          <w:noProof/>
        </w:rPr>
        <w:t>uvoja.</w:t>
      </w:r>
    </w:p>
    <w:p w14:paraId="49D879F9" w14:textId="77777777" w:rsidR="000E48CE" w:rsidRDefault="00FF4C4E">
      <w:pPr>
        <w:pStyle w:val="P68B1DB1-Normal4"/>
        <w:spacing w:before="120" w:after="120" w:line="240" w:lineRule="auto"/>
        <w:jc w:val="both"/>
        <w:rPr>
          <w:rFonts w:cs="Times New Roman"/>
          <w:noProof/>
        </w:rPr>
      </w:pPr>
      <w:r>
        <w:rPr>
          <w:noProof/>
        </w:rPr>
        <w:t>Investointi sisältää sekä investoinnit kiinteään pääomaan (infrastruktuuri ja julkiset rakennukset) että luonnonpääomaan (kaikilla toimilla edistetään kasvihuonekaasupäästöjen vähentämistä).</w:t>
      </w:r>
    </w:p>
    <w:p w14:paraId="10CC1B7A"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w:t>
      </w:r>
      <w:r>
        <w:rPr>
          <w:noProof/>
        </w:rPr>
        <w:t xml:space="preserve"> kesäkuuta 2026.</w:t>
      </w:r>
    </w:p>
    <w:p w14:paraId="0146DEE2" w14:textId="77777777" w:rsidR="000E48CE" w:rsidRDefault="00FF4C4E">
      <w:pPr>
        <w:pStyle w:val="P68B1DB1-Normal6"/>
        <w:spacing w:before="120" w:after="120" w:line="240" w:lineRule="auto"/>
        <w:jc w:val="both"/>
        <w:rPr>
          <w:rFonts w:cs="Times New Roman"/>
          <w:noProof/>
        </w:rPr>
      </w:pPr>
      <w:r>
        <w:rPr>
          <w:noProof/>
        </w:rPr>
        <w:t>Investointi 5 (C11.I5) – Hallinnon muutos Espanjan elpymis- ja palautumissuunnitelman täytäntöönpanoa varten</w:t>
      </w:r>
    </w:p>
    <w:p w14:paraId="16E12320" w14:textId="77777777" w:rsidR="000E48CE" w:rsidRDefault="00FF4C4E">
      <w:pPr>
        <w:pStyle w:val="P68B1DB1-Normal4"/>
        <w:spacing w:before="120" w:after="120" w:line="240" w:lineRule="auto"/>
        <w:jc w:val="both"/>
        <w:rPr>
          <w:rFonts w:cs="Times New Roman"/>
          <w:noProof/>
        </w:rPr>
      </w:pPr>
      <w:r>
        <w:rPr>
          <w:noProof/>
        </w:rPr>
        <w:t xml:space="preserve">Tämä investointi liittyy tämän osa-alueen uudistukseen R5. Se mukauttaa julkishallinnon toimintaa elpymis- ja </w:t>
      </w:r>
      <w:r>
        <w:rPr>
          <w:noProof/>
        </w:rPr>
        <w:t>palautumissuunnitelman täytäntöönpanon ja seurannan asettamiin haasteisiin vastaamiseksi. Toimenpiteellä nykyaikaistetaan tietojärjestelmää ja viestintäkanavia tietojen jakamiseksi hallinnon eri tasoilla sekä kansalaisten, yritysten ja mahdollisten tuensaa</w:t>
      </w:r>
      <w:r>
        <w:rPr>
          <w:noProof/>
        </w:rPr>
        <w:t>jien kanssa. Toimenpiteeseen on sisällyttävä myös kohdennettua koulutusta julkishallinnon henkilöstölle, jonka arvioidaan saavuttavan vähintään 3150 henkilöä elpymis- ja palautumissuunnitelman täytäntöönpanon aikana.</w:t>
      </w:r>
    </w:p>
    <w:p w14:paraId="560D3DBE" w14:textId="77777777" w:rsidR="000E48CE" w:rsidRDefault="00FF4C4E">
      <w:pPr>
        <w:pStyle w:val="P68B1DB1-Normal4"/>
        <w:spacing w:before="120" w:after="120" w:line="240" w:lineRule="auto"/>
        <w:jc w:val="both"/>
        <w:rPr>
          <w:rFonts w:cs="Times New Roman"/>
          <w:b/>
          <w:noProof/>
          <w:u w:val="single"/>
        </w:rPr>
      </w:pPr>
      <w:r>
        <w:rPr>
          <w:noProof/>
        </w:rPr>
        <w:t>Investoinnin toteuttaminen on saatettav</w:t>
      </w:r>
      <w:r>
        <w:rPr>
          <w:noProof/>
        </w:rPr>
        <w:t xml:space="preserve">a päätökseen viimeistään 31 päivänä elokuuta 2026. </w:t>
      </w:r>
    </w:p>
    <w:p w14:paraId="5506936D" w14:textId="77777777" w:rsidR="000E48CE" w:rsidRDefault="00FF4C4E">
      <w:pPr>
        <w:pStyle w:val="P68B1DB1-Normal5"/>
        <w:keepNext/>
        <w:spacing w:before="120" w:after="120" w:line="240" w:lineRule="auto"/>
        <w:jc w:val="both"/>
        <w:rPr>
          <w:rFonts w:cs="Times New Roman"/>
          <w:noProof/>
        </w:rPr>
      </w:pPr>
      <w:r>
        <w:rPr>
          <w:noProof/>
        </w:rPr>
        <w:t xml:space="preserve">K.2 </w:t>
      </w:r>
      <w:r>
        <w:rPr>
          <w:noProof/>
        </w:rPr>
        <w:tab/>
        <w:t>Seurantaa ja täytäntöönpanoa koskevat välitavoitteet, tavoitteet, indikaattorit ja aikataulu – rahoitustuki, jota ei makseta takaisin</w:t>
      </w:r>
    </w:p>
    <w:p w14:paraId="7852A63E" w14:textId="77777777" w:rsidR="000E48CE" w:rsidRDefault="00FF4C4E">
      <w:pPr>
        <w:pStyle w:val="P68B1DB1-Normal4"/>
        <w:keepNext/>
        <w:spacing w:before="120" w:after="120" w:line="240" w:lineRule="auto"/>
        <w:rPr>
          <w:rFonts w:cs="Times New Roman"/>
          <w:i/>
          <w:noProof/>
        </w:rPr>
        <w:sectPr w:rsidR="000E48CE" w:rsidSect="00B90E2C">
          <w:headerReference w:type="even" r:id="rId222"/>
          <w:headerReference w:type="default" r:id="rId223"/>
          <w:footerReference w:type="even" r:id="rId224"/>
          <w:footerReference w:type="default" r:id="rId225"/>
          <w:headerReference w:type="first" r:id="rId226"/>
          <w:footerReference w:type="first" r:id="rId227"/>
          <w:pgSz w:w="11907" w:h="16839"/>
          <w:pgMar w:top="1134" w:right="1417" w:bottom="1134" w:left="1417" w:header="709" w:footer="709" w:gutter="0"/>
          <w:cols w:space="720"/>
          <w:docGrid w:linePitch="360"/>
        </w:sectPr>
      </w:pPr>
      <w:r>
        <w:rPr>
          <w:i/>
          <w:noProof/>
        </w:rPr>
        <w:t xml:space="preserve">Ks. </w:t>
      </w:r>
      <w:r>
        <w:rPr>
          <w:i/>
          <w:noProof/>
        </w:rPr>
        <w:t>taulukko jäljempänä.</w:t>
      </w:r>
      <w:r>
        <w:rPr>
          <w:noProof/>
        </w:rPr>
        <w:t xml:space="preserve"> </w:t>
      </w:r>
      <w:r>
        <w:rPr>
          <w:i/>
          <w:noProof/>
        </w:rPr>
        <w:t>Kaikkien indikaattoreiden perustaso on 1. helmikuuta 2020, ellei toimen kuvauksessa toisin ilmoiteta. Taulukossa esitetyt määrät eivät sisällä arvonlisäveroa.</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1448"/>
        <w:gridCol w:w="966"/>
        <w:gridCol w:w="1631"/>
        <w:gridCol w:w="1442"/>
        <w:gridCol w:w="1082"/>
        <w:gridCol w:w="708"/>
        <w:gridCol w:w="709"/>
        <w:gridCol w:w="567"/>
        <w:gridCol w:w="822"/>
        <w:gridCol w:w="3998"/>
      </w:tblGrid>
      <w:tr w:rsidR="000E48CE" w14:paraId="73E2C7DE" w14:textId="77777777">
        <w:trPr>
          <w:trHeight w:val="978"/>
          <w:tblHeader/>
        </w:trPr>
        <w:tc>
          <w:tcPr>
            <w:tcW w:w="1223" w:type="dxa"/>
            <w:vMerge w:val="restart"/>
            <w:shd w:val="clear" w:color="auto" w:fill="C6D9F1" w:themeFill="text2" w:themeFillTint="33"/>
            <w:vAlign w:val="center"/>
          </w:tcPr>
          <w:p w14:paraId="15C09D13" w14:textId="77777777" w:rsidR="000E48CE" w:rsidRDefault="00FF4C4E">
            <w:pPr>
              <w:pStyle w:val="P68B1DB1-Normal12"/>
              <w:jc w:val="center"/>
              <w:rPr>
                <w:rFonts w:cs="Times New Roman"/>
                <w:noProof/>
              </w:rPr>
            </w:pPr>
            <w:r>
              <w:rPr>
                <w:noProof/>
              </w:rPr>
              <w:t>Määrä</w:t>
            </w:r>
          </w:p>
        </w:tc>
        <w:tc>
          <w:tcPr>
            <w:tcW w:w="1448" w:type="dxa"/>
            <w:vMerge w:val="restart"/>
            <w:shd w:val="clear" w:color="auto" w:fill="C6D9F1" w:themeFill="text2" w:themeFillTint="33"/>
            <w:vAlign w:val="center"/>
          </w:tcPr>
          <w:p w14:paraId="1956A1D2" w14:textId="77777777" w:rsidR="000E48CE" w:rsidRDefault="00FF4C4E">
            <w:pPr>
              <w:pStyle w:val="P68B1DB1-Normal12"/>
              <w:jc w:val="center"/>
              <w:rPr>
                <w:rFonts w:cs="Times New Roman"/>
                <w:noProof/>
              </w:rPr>
            </w:pPr>
            <w:r>
              <w:rPr>
                <w:noProof/>
              </w:rPr>
              <w:t>Toimenpide</w:t>
            </w:r>
          </w:p>
        </w:tc>
        <w:tc>
          <w:tcPr>
            <w:tcW w:w="966" w:type="dxa"/>
            <w:vMerge w:val="restart"/>
            <w:shd w:val="clear" w:color="auto" w:fill="C6D9F1" w:themeFill="text2" w:themeFillTint="33"/>
            <w:vAlign w:val="center"/>
          </w:tcPr>
          <w:p w14:paraId="2B8AA672" w14:textId="77777777" w:rsidR="000E48CE" w:rsidRDefault="00FF4C4E">
            <w:pPr>
              <w:pStyle w:val="P68B1DB1-Normal12"/>
              <w:jc w:val="center"/>
              <w:rPr>
                <w:rFonts w:cs="Times New Roman"/>
                <w:noProof/>
              </w:rPr>
            </w:pPr>
            <w:r>
              <w:rPr>
                <w:noProof/>
              </w:rPr>
              <w:t>Välitavoite</w:t>
            </w:r>
            <w:r>
              <w:rPr>
                <w:noProof/>
              </w:rPr>
              <w:br/>
              <w:t xml:space="preserve"> /Kohde</w:t>
            </w:r>
          </w:p>
        </w:tc>
        <w:tc>
          <w:tcPr>
            <w:tcW w:w="1631" w:type="dxa"/>
            <w:tcBorders>
              <w:bottom w:val="nil"/>
            </w:tcBorders>
            <w:shd w:val="clear" w:color="auto" w:fill="C6D9F1" w:themeFill="text2" w:themeFillTint="33"/>
            <w:vAlign w:val="center"/>
          </w:tcPr>
          <w:p w14:paraId="01201CE3" w14:textId="77777777" w:rsidR="000E48CE" w:rsidRDefault="00FF4C4E">
            <w:pPr>
              <w:pStyle w:val="P68B1DB1-Normal12"/>
              <w:jc w:val="center"/>
              <w:rPr>
                <w:rFonts w:cs="Times New Roman"/>
                <w:noProof/>
              </w:rPr>
            </w:pPr>
            <w:r>
              <w:rPr>
                <w:noProof/>
              </w:rPr>
              <w:t>Nimi</w:t>
            </w:r>
          </w:p>
        </w:tc>
        <w:tc>
          <w:tcPr>
            <w:tcW w:w="1442" w:type="dxa"/>
            <w:vMerge w:val="restart"/>
            <w:shd w:val="clear" w:color="auto" w:fill="C6D9F1" w:themeFill="text2" w:themeFillTint="33"/>
            <w:vAlign w:val="center"/>
          </w:tcPr>
          <w:p w14:paraId="4800F027" w14:textId="77777777" w:rsidR="000E48CE" w:rsidRDefault="00FF4C4E">
            <w:pPr>
              <w:pStyle w:val="P68B1DB1-Normal12"/>
              <w:jc w:val="center"/>
              <w:rPr>
                <w:rFonts w:cs="Times New Roman"/>
                <w:noProof/>
              </w:rPr>
            </w:pPr>
            <w:r>
              <w:rPr>
                <w:noProof/>
              </w:rPr>
              <w:t>Välitavoitteiden laadullinen indik</w:t>
            </w:r>
            <w:r>
              <w:rPr>
                <w:noProof/>
              </w:rPr>
              <w:t>aattori</w:t>
            </w:r>
          </w:p>
        </w:tc>
        <w:tc>
          <w:tcPr>
            <w:tcW w:w="2499" w:type="dxa"/>
            <w:gridSpan w:val="3"/>
            <w:shd w:val="clear" w:color="auto" w:fill="C6D9F1" w:themeFill="text2" w:themeFillTint="33"/>
            <w:vAlign w:val="center"/>
          </w:tcPr>
          <w:p w14:paraId="6709F124" w14:textId="77777777" w:rsidR="000E48CE" w:rsidRDefault="00FF4C4E">
            <w:pPr>
              <w:pStyle w:val="P68B1DB1-Normal12"/>
              <w:jc w:val="center"/>
              <w:rPr>
                <w:rFonts w:cs="Times New Roman"/>
                <w:noProof/>
              </w:rPr>
            </w:pPr>
            <w:r>
              <w:rPr>
                <w:noProof/>
              </w:rPr>
              <w:t>Määrällinen indikaattori tavoitteelle</w:t>
            </w:r>
          </w:p>
        </w:tc>
        <w:tc>
          <w:tcPr>
            <w:tcW w:w="1389" w:type="dxa"/>
            <w:gridSpan w:val="2"/>
            <w:shd w:val="clear" w:color="auto" w:fill="C6D9F1" w:themeFill="text2" w:themeFillTint="33"/>
            <w:vAlign w:val="center"/>
          </w:tcPr>
          <w:p w14:paraId="0374E9BE" w14:textId="7AD23C41" w:rsidR="000E48CE" w:rsidRDefault="00FF4C4E">
            <w:pPr>
              <w:pStyle w:val="P68B1DB1-Normal12"/>
              <w:jc w:val="center"/>
              <w:rPr>
                <w:rFonts w:cs="Times New Roman"/>
                <w:noProof/>
              </w:rPr>
            </w:pPr>
            <w:r>
              <w:rPr>
                <w:noProof/>
              </w:rPr>
              <w:t>Aika</w:t>
            </w:r>
          </w:p>
        </w:tc>
        <w:tc>
          <w:tcPr>
            <w:tcW w:w="3998" w:type="dxa"/>
            <w:tcBorders>
              <w:bottom w:val="nil"/>
            </w:tcBorders>
            <w:shd w:val="clear" w:color="auto" w:fill="C6D9F1" w:themeFill="text2" w:themeFillTint="33"/>
            <w:vAlign w:val="center"/>
          </w:tcPr>
          <w:p w14:paraId="3737D492" w14:textId="77777777" w:rsidR="000E48CE" w:rsidRDefault="00FF4C4E">
            <w:pPr>
              <w:pStyle w:val="P68B1DB1-Normal12"/>
              <w:jc w:val="center"/>
              <w:rPr>
                <w:rFonts w:cs="Times New Roman"/>
                <w:noProof/>
              </w:rPr>
            </w:pPr>
            <w:r>
              <w:rPr>
                <w:noProof/>
              </w:rPr>
              <w:t>Kunkin välitavoitteen ja tavoitteen kuvaus</w:t>
            </w:r>
          </w:p>
        </w:tc>
      </w:tr>
      <w:tr w:rsidR="000E48CE" w14:paraId="23A90F92" w14:textId="77777777">
        <w:trPr>
          <w:trHeight w:val="411"/>
          <w:tblHeader/>
        </w:trPr>
        <w:tc>
          <w:tcPr>
            <w:tcW w:w="1223" w:type="dxa"/>
            <w:vMerge/>
            <w:shd w:val="clear" w:color="auto" w:fill="C6D9F1" w:themeFill="text2" w:themeFillTint="33"/>
            <w:vAlign w:val="center"/>
          </w:tcPr>
          <w:p w14:paraId="5E1A7FE4" w14:textId="77777777" w:rsidR="000E48CE" w:rsidRDefault="000E48CE">
            <w:pPr>
              <w:jc w:val="center"/>
              <w:rPr>
                <w:rFonts w:ascii="Times New Roman" w:hAnsi="Times New Roman" w:cs="Times New Roman"/>
                <w:b/>
                <w:noProof/>
                <w:sz w:val="18"/>
              </w:rPr>
            </w:pPr>
          </w:p>
        </w:tc>
        <w:tc>
          <w:tcPr>
            <w:tcW w:w="1448" w:type="dxa"/>
            <w:vMerge/>
            <w:shd w:val="clear" w:color="auto" w:fill="C6D9F1" w:themeFill="text2" w:themeFillTint="33"/>
            <w:vAlign w:val="center"/>
          </w:tcPr>
          <w:p w14:paraId="39A92B90" w14:textId="77777777" w:rsidR="000E48CE" w:rsidRDefault="000E48CE">
            <w:pPr>
              <w:jc w:val="center"/>
              <w:rPr>
                <w:rFonts w:ascii="Times New Roman" w:hAnsi="Times New Roman" w:cs="Times New Roman"/>
                <w:b/>
                <w:noProof/>
                <w:sz w:val="18"/>
              </w:rPr>
            </w:pPr>
          </w:p>
        </w:tc>
        <w:tc>
          <w:tcPr>
            <w:tcW w:w="966" w:type="dxa"/>
            <w:vMerge/>
            <w:shd w:val="clear" w:color="auto" w:fill="C6D9F1" w:themeFill="text2" w:themeFillTint="33"/>
            <w:vAlign w:val="center"/>
          </w:tcPr>
          <w:p w14:paraId="29F91612" w14:textId="77777777" w:rsidR="000E48CE" w:rsidRDefault="000E48CE">
            <w:pPr>
              <w:jc w:val="center"/>
              <w:rPr>
                <w:rFonts w:ascii="Times New Roman" w:hAnsi="Times New Roman" w:cs="Times New Roman"/>
                <w:b/>
                <w:noProof/>
                <w:sz w:val="18"/>
              </w:rPr>
            </w:pPr>
          </w:p>
        </w:tc>
        <w:tc>
          <w:tcPr>
            <w:tcW w:w="1631" w:type="dxa"/>
            <w:tcBorders>
              <w:top w:val="nil"/>
            </w:tcBorders>
            <w:shd w:val="clear" w:color="auto" w:fill="C6D9F1" w:themeFill="text2" w:themeFillTint="33"/>
            <w:vAlign w:val="center"/>
          </w:tcPr>
          <w:p w14:paraId="53D07373" w14:textId="77777777" w:rsidR="000E48CE" w:rsidRDefault="000E48CE">
            <w:pPr>
              <w:rPr>
                <w:rFonts w:ascii="Times New Roman" w:hAnsi="Times New Roman" w:cs="Times New Roman"/>
                <w:b/>
                <w:noProof/>
                <w:sz w:val="18"/>
              </w:rPr>
            </w:pPr>
          </w:p>
        </w:tc>
        <w:tc>
          <w:tcPr>
            <w:tcW w:w="1442" w:type="dxa"/>
            <w:vMerge/>
            <w:shd w:val="clear" w:color="auto" w:fill="C6D9F1" w:themeFill="text2" w:themeFillTint="33"/>
            <w:vAlign w:val="center"/>
          </w:tcPr>
          <w:p w14:paraId="7EE9E47B" w14:textId="77777777" w:rsidR="000E48CE" w:rsidRDefault="000E48CE">
            <w:pPr>
              <w:jc w:val="center"/>
              <w:rPr>
                <w:rFonts w:ascii="Times New Roman" w:hAnsi="Times New Roman" w:cs="Times New Roman"/>
                <w:b/>
                <w:noProof/>
                <w:sz w:val="18"/>
              </w:rPr>
            </w:pPr>
          </w:p>
        </w:tc>
        <w:tc>
          <w:tcPr>
            <w:tcW w:w="1082" w:type="dxa"/>
            <w:shd w:val="clear" w:color="auto" w:fill="C6D9F1" w:themeFill="text2" w:themeFillTint="33"/>
            <w:vAlign w:val="center"/>
          </w:tcPr>
          <w:p w14:paraId="6DEF3D7D" w14:textId="77777777" w:rsidR="000E48CE" w:rsidRDefault="00FF4C4E">
            <w:pPr>
              <w:pStyle w:val="P68B1DB1-Normal12"/>
              <w:jc w:val="center"/>
              <w:rPr>
                <w:rFonts w:cs="Times New Roman"/>
                <w:noProof/>
              </w:rPr>
            </w:pPr>
            <w:r>
              <w:rPr>
                <w:noProof/>
              </w:rPr>
              <w:t>Yksikkö</w:t>
            </w:r>
          </w:p>
        </w:tc>
        <w:tc>
          <w:tcPr>
            <w:tcW w:w="708" w:type="dxa"/>
            <w:shd w:val="clear" w:color="auto" w:fill="C6D9F1" w:themeFill="text2" w:themeFillTint="33"/>
            <w:vAlign w:val="center"/>
          </w:tcPr>
          <w:p w14:paraId="0E16D987" w14:textId="77777777" w:rsidR="000E48CE" w:rsidRDefault="00FF4C4E">
            <w:pPr>
              <w:pStyle w:val="P68B1DB1-Normal12"/>
              <w:jc w:val="center"/>
              <w:rPr>
                <w:rFonts w:cs="Times New Roman"/>
                <w:noProof/>
              </w:rPr>
            </w:pPr>
            <w:r>
              <w:rPr>
                <w:noProof/>
              </w:rPr>
              <w:t>Perusviiva</w:t>
            </w:r>
          </w:p>
        </w:tc>
        <w:tc>
          <w:tcPr>
            <w:tcW w:w="709" w:type="dxa"/>
            <w:shd w:val="clear" w:color="auto" w:fill="C6D9F1" w:themeFill="text2" w:themeFillTint="33"/>
            <w:vAlign w:val="center"/>
          </w:tcPr>
          <w:p w14:paraId="1DA3BFED" w14:textId="77777777" w:rsidR="000E48CE" w:rsidRDefault="00FF4C4E">
            <w:pPr>
              <w:pStyle w:val="P68B1DB1-Normal12"/>
              <w:jc w:val="center"/>
              <w:rPr>
                <w:rFonts w:cs="Times New Roman"/>
                <w:noProof/>
              </w:rPr>
            </w:pPr>
            <w:r>
              <w:rPr>
                <w:noProof/>
              </w:rPr>
              <w:t>Päämäärä</w:t>
            </w:r>
          </w:p>
        </w:tc>
        <w:tc>
          <w:tcPr>
            <w:tcW w:w="567" w:type="dxa"/>
            <w:shd w:val="clear" w:color="auto" w:fill="C6D9F1" w:themeFill="text2" w:themeFillTint="33"/>
            <w:vAlign w:val="center"/>
          </w:tcPr>
          <w:p w14:paraId="2E069D33" w14:textId="77777777" w:rsidR="000E48CE" w:rsidRDefault="00FF4C4E">
            <w:pPr>
              <w:pStyle w:val="P68B1DB1-Normal12"/>
              <w:jc w:val="center"/>
              <w:rPr>
                <w:rFonts w:cs="Times New Roman"/>
                <w:noProof/>
              </w:rPr>
            </w:pPr>
            <w:r>
              <w:rPr>
                <w:noProof/>
              </w:rPr>
              <w:t>Q</w:t>
            </w:r>
          </w:p>
        </w:tc>
        <w:tc>
          <w:tcPr>
            <w:tcW w:w="822" w:type="dxa"/>
            <w:shd w:val="clear" w:color="auto" w:fill="C6D9F1" w:themeFill="text2" w:themeFillTint="33"/>
            <w:vAlign w:val="center"/>
          </w:tcPr>
          <w:p w14:paraId="4EC9668C" w14:textId="77777777" w:rsidR="000E48CE" w:rsidRDefault="00FF4C4E">
            <w:pPr>
              <w:pStyle w:val="P68B1DB1-Normal12"/>
              <w:jc w:val="center"/>
              <w:rPr>
                <w:rFonts w:cs="Times New Roman"/>
                <w:noProof/>
              </w:rPr>
            </w:pPr>
            <w:r>
              <w:rPr>
                <w:noProof/>
              </w:rPr>
              <w:t>Vuosi</w:t>
            </w:r>
          </w:p>
        </w:tc>
        <w:tc>
          <w:tcPr>
            <w:tcW w:w="3998" w:type="dxa"/>
            <w:tcBorders>
              <w:top w:val="nil"/>
            </w:tcBorders>
            <w:shd w:val="clear" w:color="auto" w:fill="C6D9F1" w:themeFill="text2" w:themeFillTint="33"/>
            <w:vAlign w:val="center"/>
          </w:tcPr>
          <w:p w14:paraId="1F6FEB78" w14:textId="77777777" w:rsidR="000E48CE" w:rsidRDefault="000E48CE">
            <w:pPr>
              <w:jc w:val="center"/>
              <w:rPr>
                <w:rFonts w:ascii="Times New Roman" w:hAnsi="Times New Roman" w:cs="Times New Roman"/>
                <w:b/>
                <w:noProof/>
                <w:sz w:val="18"/>
              </w:rPr>
            </w:pPr>
          </w:p>
        </w:tc>
      </w:tr>
      <w:tr w:rsidR="000E48CE" w14:paraId="40C2344B" w14:textId="77777777">
        <w:trPr>
          <w:trHeight w:val="309"/>
        </w:trPr>
        <w:tc>
          <w:tcPr>
            <w:tcW w:w="1223" w:type="dxa"/>
            <w:shd w:val="clear" w:color="auto" w:fill="C6EFCE"/>
          </w:tcPr>
          <w:p w14:paraId="27C717A0" w14:textId="77777777" w:rsidR="000E48CE" w:rsidRDefault="00FF4C4E">
            <w:pPr>
              <w:pStyle w:val="P68B1DB1-Normal13"/>
              <w:jc w:val="center"/>
              <w:rPr>
                <w:rFonts w:eastAsia="Times New Roman" w:cs="Times New Roman"/>
                <w:noProof/>
              </w:rPr>
            </w:pPr>
            <w:r>
              <w:rPr>
                <w:noProof/>
              </w:rPr>
              <w:t>144</w:t>
            </w:r>
          </w:p>
        </w:tc>
        <w:tc>
          <w:tcPr>
            <w:tcW w:w="1448" w:type="dxa"/>
            <w:shd w:val="clear" w:color="auto" w:fill="C6EFCE"/>
          </w:tcPr>
          <w:p w14:paraId="1BE228D3" w14:textId="77777777" w:rsidR="000E48CE" w:rsidRDefault="00FF4C4E">
            <w:pPr>
              <w:pStyle w:val="P68B1DB1-Normal13"/>
              <w:jc w:val="center"/>
              <w:rPr>
                <w:rFonts w:eastAsia="Times New Roman" w:cs="Times New Roman"/>
                <w:noProof/>
              </w:rPr>
            </w:pPr>
            <w:r>
              <w:rPr>
                <w:noProof/>
              </w:rPr>
              <w:t>C11.R1</w:t>
            </w:r>
          </w:p>
        </w:tc>
        <w:tc>
          <w:tcPr>
            <w:tcW w:w="966" w:type="dxa"/>
            <w:shd w:val="clear" w:color="auto" w:fill="C6EFCE"/>
          </w:tcPr>
          <w:p w14:paraId="4E44D602" w14:textId="77777777" w:rsidR="000E48CE" w:rsidRDefault="00FF4C4E">
            <w:pPr>
              <w:pStyle w:val="P68B1DB1-Normal13"/>
              <w:jc w:val="center"/>
              <w:rPr>
                <w:rFonts w:eastAsia="Times New Roman" w:cs="Times New Roman"/>
                <w:noProof/>
              </w:rPr>
            </w:pPr>
            <w:r>
              <w:rPr>
                <w:noProof/>
              </w:rPr>
              <w:t>M</w:t>
            </w:r>
          </w:p>
        </w:tc>
        <w:tc>
          <w:tcPr>
            <w:tcW w:w="1631" w:type="dxa"/>
            <w:shd w:val="clear" w:color="auto" w:fill="C6EFCE"/>
          </w:tcPr>
          <w:p w14:paraId="41D2DCC6" w14:textId="77777777" w:rsidR="000E48CE" w:rsidRDefault="00FF4C4E">
            <w:pPr>
              <w:pStyle w:val="P68B1DB1-Normal13"/>
              <w:rPr>
                <w:rFonts w:eastAsia="Times New Roman" w:cs="Times New Roman"/>
                <w:noProof/>
              </w:rPr>
            </w:pPr>
            <w:r>
              <w:rPr>
                <w:noProof/>
              </w:rPr>
              <w:t>Julkishallinnon tilapäisten työsuhteiden vähentämistä koskevan säädöksen voimaantulo</w:t>
            </w:r>
          </w:p>
        </w:tc>
        <w:tc>
          <w:tcPr>
            <w:tcW w:w="1442" w:type="dxa"/>
            <w:shd w:val="clear" w:color="auto" w:fill="C6EFCE"/>
          </w:tcPr>
          <w:p w14:paraId="516C6DCC" w14:textId="77777777" w:rsidR="000E48CE" w:rsidRDefault="00FF4C4E">
            <w:pPr>
              <w:pStyle w:val="P68B1DB1-Normal13"/>
              <w:jc w:val="center"/>
              <w:rPr>
                <w:rFonts w:eastAsia="Times New Roman" w:cs="Times New Roman"/>
                <w:noProof/>
              </w:rPr>
            </w:pPr>
            <w:r>
              <w:rPr>
                <w:noProof/>
              </w:rPr>
              <w:t xml:space="preserve">Säädöksen </w:t>
            </w:r>
            <w:r>
              <w:rPr>
                <w:noProof/>
              </w:rPr>
              <w:t>voimaantulopäivän osoittava säännös</w:t>
            </w:r>
          </w:p>
        </w:tc>
        <w:tc>
          <w:tcPr>
            <w:tcW w:w="1082" w:type="dxa"/>
            <w:shd w:val="clear" w:color="auto" w:fill="C6EFCE"/>
          </w:tcPr>
          <w:p w14:paraId="47BD0B18" w14:textId="77777777" w:rsidR="000E48CE" w:rsidRDefault="00FF4C4E">
            <w:pPr>
              <w:pStyle w:val="P68B1DB1-Normal13"/>
              <w:jc w:val="right"/>
              <w:rPr>
                <w:rFonts w:eastAsia="Times New Roman" w:cs="Times New Roman"/>
                <w:noProof/>
              </w:rPr>
            </w:pPr>
            <w:r>
              <w:rPr>
                <w:noProof/>
              </w:rPr>
              <w:t xml:space="preserve"> </w:t>
            </w:r>
          </w:p>
        </w:tc>
        <w:tc>
          <w:tcPr>
            <w:tcW w:w="708" w:type="dxa"/>
            <w:shd w:val="clear" w:color="auto" w:fill="C6EFCE"/>
          </w:tcPr>
          <w:p w14:paraId="3A5F6558" w14:textId="77777777" w:rsidR="000E48CE" w:rsidRDefault="00FF4C4E">
            <w:pPr>
              <w:pStyle w:val="P68B1DB1-Normal13"/>
              <w:jc w:val="right"/>
              <w:rPr>
                <w:rFonts w:eastAsia="Times New Roman" w:cs="Times New Roman"/>
                <w:noProof/>
              </w:rPr>
            </w:pPr>
            <w:r>
              <w:rPr>
                <w:noProof/>
              </w:rPr>
              <w:t xml:space="preserve"> </w:t>
            </w:r>
          </w:p>
        </w:tc>
        <w:tc>
          <w:tcPr>
            <w:tcW w:w="709" w:type="dxa"/>
            <w:shd w:val="clear" w:color="auto" w:fill="C6EFCE"/>
          </w:tcPr>
          <w:p w14:paraId="78BFC1B3" w14:textId="77777777" w:rsidR="000E48CE" w:rsidRDefault="00FF4C4E">
            <w:pPr>
              <w:pStyle w:val="P68B1DB1-Normal13"/>
              <w:jc w:val="right"/>
              <w:rPr>
                <w:rFonts w:eastAsia="Times New Roman" w:cs="Times New Roman"/>
                <w:noProof/>
              </w:rPr>
            </w:pPr>
            <w:r>
              <w:rPr>
                <w:noProof/>
              </w:rPr>
              <w:t xml:space="preserve"> </w:t>
            </w:r>
          </w:p>
        </w:tc>
        <w:tc>
          <w:tcPr>
            <w:tcW w:w="567" w:type="dxa"/>
            <w:shd w:val="clear" w:color="auto" w:fill="C6EFCE"/>
          </w:tcPr>
          <w:p w14:paraId="6F76DCF8" w14:textId="77777777" w:rsidR="000E48CE" w:rsidRDefault="00FF4C4E">
            <w:pPr>
              <w:pStyle w:val="P68B1DB1-Normal13"/>
              <w:jc w:val="center"/>
              <w:rPr>
                <w:rFonts w:eastAsia="Times New Roman" w:cs="Times New Roman"/>
                <w:noProof/>
              </w:rPr>
            </w:pPr>
            <w:r>
              <w:rPr>
                <w:noProof/>
              </w:rPr>
              <w:t>Q2</w:t>
            </w:r>
          </w:p>
        </w:tc>
        <w:tc>
          <w:tcPr>
            <w:tcW w:w="822" w:type="dxa"/>
            <w:shd w:val="clear" w:color="auto" w:fill="C6EFCE"/>
          </w:tcPr>
          <w:p w14:paraId="3E081A7E" w14:textId="77777777" w:rsidR="000E48CE" w:rsidRDefault="00FF4C4E">
            <w:pPr>
              <w:pStyle w:val="P68B1DB1-Normal13"/>
              <w:jc w:val="center"/>
              <w:rPr>
                <w:rFonts w:eastAsia="Times New Roman" w:cs="Times New Roman"/>
                <w:noProof/>
              </w:rPr>
            </w:pPr>
            <w:r>
              <w:rPr>
                <w:noProof/>
              </w:rPr>
              <w:t>2021</w:t>
            </w:r>
          </w:p>
        </w:tc>
        <w:tc>
          <w:tcPr>
            <w:tcW w:w="3998" w:type="dxa"/>
            <w:shd w:val="clear" w:color="auto" w:fill="C6EFCE"/>
          </w:tcPr>
          <w:p w14:paraId="57ED2C1D" w14:textId="77777777" w:rsidR="000E48CE" w:rsidRDefault="00FF4C4E">
            <w:pPr>
              <w:pStyle w:val="P68B1DB1-Normal13"/>
              <w:rPr>
                <w:rFonts w:eastAsia="Times New Roman" w:cs="Times New Roman"/>
                <w:noProof/>
              </w:rPr>
            </w:pPr>
            <w:r>
              <w:rPr>
                <w:noProof/>
              </w:rPr>
              <w:t>Laki, jossa säädetään toimenpiteistä tilapäisten työsuhteiden vähentämiseksi julkisissa palvelussuhteissa ja tehokkaista säännöksistä väärinkäytösten ehkäisemiseksi ja niistä rankaisemiseksi, tulee voimaan,</w:t>
            </w:r>
            <w:r>
              <w:rPr>
                <w:noProof/>
              </w:rPr>
              <w:t xml:space="preserve"> mukaan lukien velvollisuus julkaista kaikki väliaikaisten toimihenkilöiden vakinaistamismenettelyjä koskevat pyynnöt 31. joulukuuta 2022 mennessä. Tätä säädöstä sovelletaan valtionhallintoon sekä alue- ja paikallishallintoon.</w:t>
            </w:r>
          </w:p>
        </w:tc>
      </w:tr>
      <w:tr w:rsidR="000E48CE" w14:paraId="4ABE1BBE" w14:textId="77777777">
        <w:trPr>
          <w:trHeight w:val="309"/>
        </w:trPr>
        <w:tc>
          <w:tcPr>
            <w:tcW w:w="1223" w:type="dxa"/>
            <w:shd w:val="clear" w:color="auto" w:fill="C6EFCE"/>
          </w:tcPr>
          <w:p w14:paraId="755D0054" w14:textId="77777777" w:rsidR="000E48CE" w:rsidRDefault="00FF4C4E">
            <w:pPr>
              <w:pStyle w:val="P68B1DB1-Normal13"/>
              <w:jc w:val="center"/>
              <w:rPr>
                <w:rFonts w:cs="Times New Roman"/>
                <w:noProof/>
              </w:rPr>
            </w:pPr>
            <w:r>
              <w:rPr>
                <w:noProof/>
              </w:rPr>
              <w:t>145</w:t>
            </w:r>
          </w:p>
        </w:tc>
        <w:tc>
          <w:tcPr>
            <w:tcW w:w="1448" w:type="dxa"/>
            <w:shd w:val="clear" w:color="auto" w:fill="C6EFCE"/>
          </w:tcPr>
          <w:p w14:paraId="0BE2839D" w14:textId="77777777" w:rsidR="000E48CE" w:rsidRDefault="00FF4C4E">
            <w:pPr>
              <w:pStyle w:val="P68B1DB1-Normal13"/>
              <w:jc w:val="center"/>
              <w:rPr>
                <w:rFonts w:cs="Times New Roman"/>
                <w:noProof/>
              </w:rPr>
            </w:pPr>
            <w:r>
              <w:rPr>
                <w:noProof/>
              </w:rPr>
              <w:t>C11.R1</w:t>
            </w:r>
          </w:p>
        </w:tc>
        <w:tc>
          <w:tcPr>
            <w:tcW w:w="966" w:type="dxa"/>
            <w:shd w:val="clear" w:color="auto" w:fill="C6EFCE"/>
          </w:tcPr>
          <w:p w14:paraId="0BDFE37F"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2727413A" w14:textId="38E0BEE7" w:rsidR="000E48CE" w:rsidRDefault="00FF4C4E">
            <w:pPr>
              <w:pStyle w:val="P68B1DB1-Normal13"/>
              <w:rPr>
                <w:rFonts w:cs="Times New Roman"/>
                <w:noProof/>
              </w:rPr>
            </w:pPr>
            <w:r>
              <w:rPr>
                <w:noProof/>
              </w:rPr>
              <w:t xml:space="preserve">Lakiin 40/2015 </w:t>
            </w:r>
            <w:r>
              <w:rPr>
                <w:noProof/>
              </w:rPr>
              <w:t>tehdyn muutoksen ja alue- ja paikallisyhteisöjen välisen yhteistyön vahvistamisesta annettujen ministerien päätösten voimaantulo</w:t>
            </w:r>
          </w:p>
        </w:tc>
        <w:tc>
          <w:tcPr>
            <w:tcW w:w="1442" w:type="dxa"/>
            <w:shd w:val="clear" w:color="auto" w:fill="C6EFCE"/>
          </w:tcPr>
          <w:p w14:paraId="27FE097E" w14:textId="5FB0B6D2" w:rsidR="000E48CE" w:rsidRDefault="00FF4C4E">
            <w:pPr>
              <w:pStyle w:val="P68B1DB1-Normal13"/>
              <w:jc w:val="center"/>
              <w:rPr>
                <w:rFonts w:cs="Times New Roman"/>
                <w:noProof/>
              </w:rPr>
            </w:pPr>
            <w:r>
              <w:rPr>
                <w:noProof/>
              </w:rPr>
              <w:t xml:space="preserve">Säädöksen ja ministeriön päätösten säännökset, joista käy ilmi niiden voimaantulo </w:t>
            </w:r>
          </w:p>
        </w:tc>
        <w:tc>
          <w:tcPr>
            <w:tcW w:w="1082" w:type="dxa"/>
            <w:shd w:val="clear" w:color="auto" w:fill="C6EFCE"/>
          </w:tcPr>
          <w:p w14:paraId="57BEDBD2"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5003F835"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4355D8D4"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4F6C131C"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0025E7B3" w14:textId="77777777" w:rsidR="000E48CE" w:rsidRDefault="00FF4C4E">
            <w:pPr>
              <w:pStyle w:val="P68B1DB1-Normal13"/>
              <w:jc w:val="center"/>
              <w:rPr>
                <w:rFonts w:cs="Times New Roman"/>
                <w:noProof/>
              </w:rPr>
            </w:pPr>
            <w:r>
              <w:rPr>
                <w:noProof/>
              </w:rPr>
              <w:t>2022</w:t>
            </w:r>
          </w:p>
        </w:tc>
        <w:tc>
          <w:tcPr>
            <w:tcW w:w="3998" w:type="dxa"/>
            <w:shd w:val="clear" w:color="auto" w:fill="C6EFCE"/>
          </w:tcPr>
          <w:p w14:paraId="49367F4A" w14:textId="5C92B568" w:rsidR="000E48CE" w:rsidRDefault="00FF4C4E">
            <w:pPr>
              <w:pStyle w:val="P68B1DB1-Normal13"/>
              <w:rPr>
                <w:rFonts w:cs="Times New Roman"/>
                <w:noProof/>
              </w:rPr>
            </w:pPr>
            <w:r>
              <w:rPr>
                <w:noProof/>
              </w:rPr>
              <w:t>Lakiin 40/2015 tehdyn muutoksen voimaantulo ja alue- ja paikallisyhteisöjen välisen yhteistyön vahvistamista koskevat ministeriön määräykset, jotka kattavat seuraavat seikat: mahdollistetaan monialaisten konferenssien perustaminen, ii) täsmennetään päätöks</w:t>
            </w:r>
            <w:r>
              <w:rPr>
                <w:noProof/>
              </w:rPr>
              <w:t>entekomenettelyt alakohtaisissa konferensseissa, myös silloin, kun ne luovat sopimuksia vaatimusten noudattamisesta; puheenjohtajakokouksen vahvistaminen perustamalla pysyvä sihteeristö; säätämällä monivuotisten poliittisten tavoitteiden ja tulosindikaatto</w:t>
            </w:r>
            <w:r>
              <w:rPr>
                <w:noProof/>
              </w:rPr>
              <w:t>reiden pakollisesta valmistelusta, hyväksymisestä ja julkaisemisesta sekä avoimista seuranta- ja arviointimekanismeista; ja v) keskus- ja aluehallinnon tietoteknisten alustojen välisen digitaalisen yhteenliitettävyyden ja yhteentoimivuuden luominen. Tavoit</w:t>
            </w:r>
            <w:r>
              <w:rPr>
                <w:noProof/>
              </w:rPr>
              <w:t xml:space="preserve">teiden i, ii ja iv osalta ministeriön päätöksistä kuullaan itsehallintoalueita osallistavassa, osallistavassa ja avoimessa prosessissa. </w:t>
            </w:r>
          </w:p>
        </w:tc>
      </w:tr>
      <w:tr w:rsidR="000E48CE" w14:paraId="3ACB5FEF" w14:textId="77777777">
        <w:trPr>
          <w:trHeight w:val="309"/>
        </w:trPr>
        <w:tc>
          <w:tcPr>
            <w:tcW w:w="1223" w:type="dxa"/>
            <w:shd w:val="clear" w:color="auto" w:fill="C6EFCE"/>
          </w:tcPr>
          <w:p w14:paraId="7A3B126D" w14:textId="77777777" w:rsidR="000E48CE" w:rsidRDefault="00FF4C4E">
            <w:pPr>
              <w:pStyle w:val="P68B1DB1-Normal13"/>
              <w:jc w:val="center"/>
              <w:rPr>
                <w:rFonts w:cs="Times New Roman"/>
                <w:noProof/>
              </w:rPr>
            </w:pPr>
            <w:r>
              <w:rPr>
                <w:noProof/>
              </w:rPr>
              <w:t>146</w:t>
            </w:r>
          </w:p>
        </w:tc>
        <w:tc>
          <w:tcPr>
            <w:tcW w:w="1448" w:type="dxa"/>
            <w:shd w:val="clear" w:color="auto" w:fill="C6EFCE"/>
          </w:tcPr>
          <w:p w14:paraId="473EC799" w14:textId="77777777" w:rsidR="000E48CE" w:rsidRDefault="00FF4C4E">
            <w:pPr>
              <w:pStyle w:val="P68B1DB1-Normal13"/>
              <w:jc w:val="center"/>
              <w:rPr>
                <w:rFonts w:cs="Times New Roman"/>
                <w:noProof/>
              </w:rPr>
            </w:pPr>
            <w:r>
              <w:rPr>
                <w:noProof/>
              </w:rPr>
              <w:t>C11.R1</w:t>
            </w:r>
          </w:p>
        </w:tc>
        <w:tc>
          <w:tcPr>
            <w:tcW w:w="966" w:type="dxa"/>
            <w:shd w:val="clear" w:color="auto" w:fill="C6EFCE"/>
          </w:tcPr>
          <w:p w14:paraId="4E7C16EB"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09880326" w14:textId="77777777" w:rsidR="000E48CE" w:rsidRDefault="00FF4C4E">
            <w:pPr>
              <w:pStyle w:val="P68B1DB1-Normal13"/>
              <w:rPr>
                <w:rFonts w:cs="Times New Roman"/>
                <w:noProof/>
              </w:rPr>
            </w:pPr>
            <w:r>
              <w:rPr>
                <w:noProof/>
              </w:rPr>
              <w:t>Julkisen politiikan arviointia vahvistavan lain voimaantulo</w:t>
            </w:r>
          </w:p>
        </w:tc>
        <w:tc>
          <w:tcPr>
            <w:tcW w:w="1442" w:type="dxa"/>
            <w:shd w:val="clear" w:color="auto" w:fill="C6EFCE"/>
          </w:tcPr>
          <w:p w14:paraId="41ED911C" w14:textId="77777777" w:rsidR="000E48CE" w:rsidRDefault="00FF4C4E">
            <w:pPr>
              <w:pStyle w:val="P68B1DB1-Normal13"/>
              <w:jc w:val="center"/>
              <w:rPr>
                <w:rFonts w:cs="Times New Roman"/>
                <w:noProof/>
              </w:rPr>
            </w:pPr>
            <w:r>
              <w:rPr>
                <w:noProof/>
              </w:rPr>
              <w:t>Lain voimaantulon osoittava lain säännös</w:t>
            </w:r>
          </w:p>
        </w:tc>
        <w:tc>
          <w:tcPr>
            <w:tcW w:w="1082" w:type="dxa"/>
            <w:shd w:val="clear" w:color="auto" w:fill="C6EFCE"/>
          </w:tcPr>
          <w:p w14:paraId="51E4C3E0"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503B4702"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0D200161"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1FE19E10"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2D798BA7" w14:textId="77777777" w:rsidR="000E48CE" w:rsidRDefault="00FF4C4E">
            <w:pPr>
              <w:pStyle w:val="P68B1DB1-Normal13"/>
              <w:jc w:val="center"/>
              <w:rPr>
                <w:rFonts w:cs="Times New Roman"/>
                <w:noProof/>
              </w:rPr>
            </w:pPr>
            <w:r>
              <w:rPr>
                <w:noProof/>
              </w:rPr>
              <w:t>2022</w:t>
            </w:r>
          </w:p>
        </w:tc>
        <w:tc>
          <w:tcPr>
            <w:tcW w:w="3998" w:type="dxa"/>
            <w:shd w:val="clear" w:color="auto" w:fill="C6EFCE"/>
          </w:tcPr>
          <w:p w14:paraId="2AEF5638" w14:textId="77777777" w:rsidR="000E48CE" w:rsidRDefault="00FF4C4E">
            <w:pPr>
              <w:pStyle w:val="P68B1DB1-Normal13"/>
              <w:rPr>
                <w:rFonts w:cs="Times New Roman"/>
                <w:noProof/>
              </w:rPr>
            </w:pPr>
            <w:r>
              <w:rPr>
                <w:noProof/>
              </w:rPr>
              <w:t>Arviointilaki tulee voimaan ja siihen sisältyy joukko toimia, joilla vahvistetaan ennakkoarviointiin perustuvaa julkista politiikkaa. Tavoitteita ovat: vahvistetaan nykyisen kansallisen arviointiinstituutin (Instituto de Evaluación de Políticas P</w:t>
            </w:r>
            <w:r>
              <w:rPr>
                <w:noProof/>
              </w:rPr>
              <w:t>úblicas) järjestelmää organisatorisen ja toiminnallisen riippumattomuuden varmistamiseksi; antaa instituutille valmiudet ja keinot sen tehtävien hoitamiseen; mukaan lukien politiikan järjestelmällisen ennakkoarvioinnin periaate; ja iv) muiden elinten ja vi</w:t>
            </w:r>
            <w:r>
              <w:rPr>
                <w:noProof/>
              </w:rPr>
              <w:t>rastojen, kuten AIReF:n, toimeksiannon säilyttäminen.</w:t>
            </w:r>
          </w:p>
        </w:tc>
      </w:tr>
      <w:tr w:rsidR="000E48CE" w14:paraId="00FAF26C" w14:textId="77777777">
        <w:trPr>
          <w:trHeight w:val="309"/>
        </w:trPr>
        <w:tc>
          <w:tcPr>
            <w:tcW w:w="1223" w:type="dxa"/>
            <w:shd w:val="clear" w:color="auto" w:fill="C6EFCE"/>
          </w:tcPr>
          <w:p w14:paraId="272C3981" w14:textId="77777777" w:rsidR="000E48CE" w:rsidRDefault="00FF4C4E">
            <w:pPr>
              <w:pStyle w:val="P68B1DB1-Normal13"/>
              <w:jc w:val="center"/>
              <w:rPr>
                <w:rFonts w:cs="Times New Roman"/>
                <w:noProof/>
              </w:rPr>
            </w:pPr>
            <w:r>
              <w:rPr>
                <w:noProof/>
              </w:rPr>
              <w:t>147</w:t>
            </w:r>
          </w:p>
        </w:tc>
        <w:tc>
          <w:tcPr>
            <w:tcW w:w="1448" w:type="dxa"/>
            <w:shd w:val="clear" w:color="auto" w:fill="C6EFCE"/>
          </w:tcPr>
          <w:p w14:paraId="66A6CFFE" w14:textId="77777777" w:rsidR="000E48CE" w:rsidRDefault="00FF4C4E">
            <w:pPr>
              <w:pStyle w:val="P68B1DB1-Normal13"/>
              <w:jc w:val="center"/>
              <w:rPr>
                <w:rFonts w:cs="Times New Roman"/>
                <w:noProof/>
              </w:rPr>
            </w:pPr>
            <w:r>
              <w:rPr>
                <w:noProof/>
              </w:rPr>
              <w:t>C11.R1</w:t>
            </w:r>
          </w:p>
        </w:tc>
        <w:tc>
          <w:tcPr>
            <w:tcW w:w="966" w:type="dxa"/>
            <w:shd w:val="clear" w:color="auto" w:fill="C6EFCE"/>
          </w:tcPr>
          <w:p w14:paraId="28864414"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41EE6FF5" w14:textId="21720083" w:rsidR="000E48CE" w:rsidRDefault="00FF4C4E">
            <w:pPr>
              <w:pStyle w:val="P68B1DB1-Normal13"/>
              <w:rPr>
                <w:rFonts w:cs="Times New Roman"/>
                <w:noProof/>
              </w:rPr>
            </w:pPr>
            <w:r>
              <w:rPr>
                <w:noProof/>
              </w:rPr>
              <w:t>Paikallishallinnosta annetun lain 7/1985 uudistuksen voimaantulo ja 11 päivänä heinäkuuta 1986 annetun kuninkaallisen asetuksen 1690/1986 muutos, jolla hyväksyttiin asetus asukasluvusta ja</w:t>
            </w:r>
            <w:r>
              <w:rPr>
                <w:noProof/>
              </w:rPr>
              <w:t xml:space="preserve"> paikallisyhteisöjen alueellisesta rajaamisesta</w:t>
            </w:r>
          </w:p>
        </w:tc>
        <w:tc>
          <w:tcPr>
            <w:tcW w:w="1442" w:type="dxa"/>
            <w:shd w:val="clear" w:color="auto" w:fill="C6EFCE"/>
          </w:tcPr>
          <w:p w14:paraId="7349E8C9" w14:textId="2D8A6973" w:rsidR="000E48CE" w:rsidRDefault="00FF4C4E">
            <w:pPr>
              <w:pStyle w:val="P68B1DB1-Normal13"/>
              <w:jc w:val="center"/>
              <w:rPr>
                <w:rFonts w:cs="Times New Roman"/>
                <w:noProof/>
              </w:rPr>
            </w:pPr>
            <w:r>
              <w:rPr>
                <w:noProof/>
              </w:rPr>
              <w:t xml:space="preserve">Lain ja kuninkaallisen asetuksen säännökset, joilla uudistukset pannaan täytäntöön, ja joista käy ilmi niiden voimaantulo </w:t>
            </w:r>
          </w:p>
        </w:tc>
        <w:tc>
          <w:tcPr>
            <w:tcW w:w="1082" w:type="dxa"/>
            <w:shd w:val="clear" w:color="auto" w:fill="C6EFCE"/>
          </w:tcPr>
          <w:p w14:paraId="75745E9A"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0C5E3641"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15541C48"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56CDA044"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298A2DB1" w14:textId="77777777" w:rsidR="000E48CE" w:rsidRDefault="00FF4C4E">
            <w:pPr>
              <w:pStyle w:val="P68B1DB1-Normal13"/>
              <w:jc w:val="center"/>
              <w:rPr>
                <w:rFonts w:cs="Times New Roman"/>
                <w:noProof/>
              </w:rPr>
            </w:pPr>
            <w:r>
              <w:rPr>
                <w:noProof/>
              </w:rPr>
              <w:t>2022</w:t>
            </w:r>
          </w:p>
        </w:tc>
        <w:tc>
          <w:tcPr>
            <w:tcW w:w="3998" w:type="dxa"/>
            <w:shd w:val="clear" w:color="auto" w:fill="C6EFCE"/>
          </w:tcPr>
          <w:p w14:paraId="3507A2BD" w14:textId="366E6416" w:rsidR="000E48CE" w:rsidRDefault="00FF4C4E">
            <w:pPr>
              <w:pStyle w:val="P68B1DB1-Normal13"/>
              <w:rPr>
                <w:rFonts w:cs="Times New Roman"/>
                <w:noProof/>
              </w:rPr>
            </w:pPr>
            <w:r>
              <w:rPr>
                <w:noProof/>
              </w:rPr>
              <w:t>Paikallisten hallintojärjestelmien sääntelystä annetun lain 7/1985 muutoksen ja 11 päivänä heinäkuuta 1986 annetun kuninkaallisen asetuksen 1690/1986 muutoksen voimaantulo. Paikallisten hallintojärjestelmien sääntelystä annetun lain 7/1985 muutoksella edis</w:t>
            </w:r>
            <w:r>
              <w:rPr>
                <w:noProof/>
              </w:rPr>
              <w:t>tetään I) paikallisten julkisten palvelujen käyttöönoton nopeuttaminen ja laajentaminen, myös digitaalisten välineiden, kuten sovellusten, avulla ja ii) pienten kaupunkien tukeminen julkisten palvelujen tarjoamisessa. Kuninkaalliseen asetukseen 1690/1986 t</w:t>
            </w:r>
            <w:r>
              <w:rPr>
                <w:noProof/>
              </w:rPr>
              <w:t>ehdyllä muutoksella, jolla hyväksyttiin asetus väestöstä ja paikallisyhteisöjen alueellisesta rajaamisesta, on päivitettävä ja parannettava kuntien hallinnoimaa kunnallista väestölaskentaa. Uudistuksiin on liitettävä vaikutustenarviointi, mukaan lukien jul</w:t>
            </w:r>
            <w:r>
              <w:rPr>
                <w:noProof/>
              </w:rPr>
              <w:t>kisen talouden kestävyyteen liittyvät näkökohdat.</w:t>
            </w:r>
          </w:p>
        </w:tc>
      </w:tr>
      <w:tr w:rsidR="000E48CE" w14:paraId="29BBF8D8" w14:textId="77777777">
        <w:trPr>
          <w:trHeight w:val="309"/>
        </w:trPr>
        <w:tc>
          <w:tcPr>
            <w:tcW w:w="1223" w:type="dxa"/>
            <w:shd w:val="clear" w:color="auto" w:fill="C6EFCE"/>
          </w:tcPr>
          <w:p w14:paraId="3632D0D5" w14:textId="77777777" w:rsidR="000E48CE" w:rsidRDefault="00FF4C4E">
            <w:pPr>
              <w:pStyle w:val="P68B1DB1-Normal13"/>
              <w:jc w:val="center"/>
              <w:rPr>
                <w:rFonts w:cs="Times New Roman"/>
                <w:noProof/>
              </w:rPr>
            </w:pPr>
            <w:r>
              <w:rPr>
                <w:noProof/>
              </w:rPr>
              <w:t>148</w:t>
            </w:r>
          </w:p>
        </w:tc>
        <w:tc>
          <w:tcPr>
            <w:tcW w:w="1448" w:type="dxa"/>
            <w:shd w:val="clear" w:color="auto" w:fill="C6EFCE"/>
          </w:tcPr>
          <w:p w14:paraId="56824CAD" w14:textId="77777777" w:rsidR="000E48CE" w:rsidRDefault="00FF4C4E">
            <w:pPr>
              <w:pStyle w:val="P68B1DB1-Normal13"/>
              <w:jc w:val="center"/>
              <w:rPr>
                <w:rFonts w:cs="Times New Roman"/>
                <w:noProof/>
              </w:rPr>
            </w:pPr>
            <w:r>
              <w:rPr>
                <w:noProof/>
              </w:rPr>
              <w:t>C11.R1</w:t>
            </w:r>
          </w:p>
        </w:tc>
        <w:tc>
          <w:tcPr>
            <w:tcW w:w="966" w:type="dxa"/>
            <w:shd w:val="clear" w:color="auto" w:fill="C6EFCE"/>
          </w:tcPr>
          <w:p w14:paraId="5FC47139"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0E387286" w14:textId="3D9414CA" w:rsidR="000E48CE" w:rsidRDefault="00FF4C4E">
            <w:pPr>
              <w:pStyle w:val="P68B1DB1-Normal13"/>
              <w:rPr>
                <w:rFonts w:cs="Times New Roman"/>
                <w:noProof/>
              </w:rPr>
            </w:pPr>
            <w:r>
              <w:rPr>
                <w:noProof/>
              </w:rPr>
              <w:t>Valtionhallinnon virkamieskuntaa koskevien sääntelytoimenpiteiden voimaantulo</w:t>
            </w:r>
          </w:p>
        </w:tc>
        <w:tc>
          <w:tcPr>
            <w:tcW w:w="1442" w:type="dxa"/>
            <w:shd w:val="clear" w:color="auto" w:fill="C6EFCE"/>
          </w:tcPr>
          <w:p w14:paraId="268E37DA" w14:textId="44026CF2" w:rsidR="000E48CE" w:rsidRDefault="00FF4C4E">
            <w:pPr>
              <w:pStyle w:val="P68B1DB1-Normal13"/>
              <w:jc w:val="center"/>
              <w:rPr>
                <w:rFonts w:cs="Times New Roman"/>
                <w:noProof/>
              </w:rPr>
            </w:pPr>
            <w:r>
              <w:rPr>
                <w:noProof/>
              </w:rPr>
              <w:t xml:space="preserve">Kuninkaan asetuksen (-asetusten) ja ministeriön asetusten säännökset, joilla pannaan täytäntöön uudistuksen osat ja joista käy ilmi niiden voimaantulo </w:t>
            </w:r>
          </w:p>
        </w:tc>
        <w:tc>
          <w:tcPr>
            <w:tcW w:w="1082" w:type="dxa"/>
            <w:shd w:val="clear" w:color="auto" w:fill="C6EFCE"/>
          </w:tcPr>
          <w:p w14:paraId="39017060"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0740E5F9"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5FC345CA"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61594965"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3961A0ED" w14:textId="77777777" w:rsidR="000E48CE" w:rsidRDefault="00FF4C4E">
            <w:pPr>
              <w:pStyle w:val="P68B1DB1-Normal13"/>
              <w:jc w:val="center"/>
              <w:rPr>
                <w:rFonts w:cs="Times New Roman"/>
                <w:noProof/>
              </w:rPr>
            </w:pPr>
            <w:r>
              <w:rPr>
                <w:noProof/>
              </w:rPr>
              <w:t>2022</w:t>
            </w:r>
          </w:p>
        </w:tc>
        <w:tc>
          <w:tcPr>
            <w:tcW w:w="3998" w:type="dxa"/>
            <w:shd w:val="clear" w:color="auto" w:fill="C6EFCE"/>
          </w:tcPr>
          <w:p w14:paraId="716779E3" w14:textId="1B02DE47" w:rsidR="000E48CE" w:rsidRDefault="00FF4C4E">
            <w:pPr>
              <w:pStyle w:val="P68B1DB1-Normal13"/>
              <w:rPr>
                <w:rFonts w:cs="Times New Roman"/>
                <w:noProof/>
              </w:rPr>
            </w:pPr>
            <w:r>
              <w:rPr>
                <w:noProof/>
              </w:rPr>
              <w:t>Valtionhallinnon virkamieskuntaa koskevien sääntelytoimenpiteiden voimaantulo. Toimenpitei</w:t>
            </w:r>
            <w:r>
              <w:rPr>
                <w:noProof/>
              </w:rPr>
              <w:t>llä vahvistetaan hallinnon kykyä houkutella ja pitää palveluksessaan kykyjä, joita se tarvitsee nykyisten tehtäviensä hoitamiseen, myös tieto- ja televiestintäalalla. Toimenpiteisiin on sisällyttävä seuraavat osatekijät: inhimillisten voimavarojen suunnitt</w:t>
            </w:r>
            <w:r>
              <w:rPr>
                <w:noProof/>
              </w:rPr>
              <w:t>elua, organisointia ja hallintaa koskevien välineiden elvyttäminen; taata tasa-arvon, ansioiden ja kapasiteetin periaatteiden tehokkuus sekä valintamenettelyjen avoimuus ja ketteryys; arvioinnin ja suorituskyvyn sääntely osaamiseen perustuvan kehyksen muka</w:t>
            </w:r>
            <w:r>
              <w:rPr>
                <w:noProof/>
              </w:rPr>
              <w:t xml:space="preserve">isesti, myös uutta rekrytointia varten; ja iv) pääsy korkeisiin virkamiesten virkoihin (yleisiin </w:t>
            </w:r>
            <w:r>
              <w:rPr>
                <w:i/>
                <w:noProof/>
              </w:rPr>
              <w:t>ja</w:t>
            </w:r>
            <w:r>
              <w:rPr>
                <w:noProof/>
              </w:rPr>
              <w:t xml:space="preserve"> vastaaviin tehtäviin) ansioiden ja kilpailun perusteella. Sääntelytoimenpiteet toteutetaan ii) ja iii) osa-alueita koskevan kuninkaan asetuksen muodossa; ja</w:t>
            </w:r>
            <w:r>
              <w:rPr>
                <w:noProof/>
              </w:rPr>
              <w:t xml:space="preserve"> ministeriön asetus (asetukset) kohtien i ja iv osalta).</w:t>
            </w:r>
          </w:p>
        </w:tc>
      </w:tr>
      <w:tr w:rsidR="000E48CE" w14:paraId="370A0D81" w14:textId="77777777">
        <w:trPr>
          <w:trHeight w:val="309"/>
        </w:trPr>
        <w:tc>
          <w:tcPr>
            <w:tcW w:w="1223" w:type="dxa"/>
            <w:shd w:val="clear" w:color="auto" w:fill="C6EFCE"/>
          </w:tcPr>
          <w:p w14:paraId="2B464838" w14:textId="77777777" w:rsidR="000E48CE" w:rsidRDefault="00FF4C4E">
            <w:pPr>
              <w:pStyle w:val="P68B1DB1-Normal13"/>
              <w:jc w:val="center"/>
              <w:rPr>
                <w:rFonts w:cs="Times New Roman"/>
                <w:noProof/>
              </w:rPr>
            </w:pPr>
            <w:r>
              <w:rPr>
                <w:noProof/>
              </w:rPr>
              <w:t>149</w:t>
            </w:r>
          </w:p>
        </w:tc>
        <w:tc>
          <w:tcPr>
            <w:tcW w:w="1448" w:type="dxa"/>
            <w:shd w:val="clear" w:color="auto" w:fill="C6EFCE"/>
          </w:tcPr>
          <w:p w14:paraId="424D4657" w14:textId="77777777" w:rsidR="000E48CE" w:rsidRDefault="00FF4C4E">
            <w:pPr>
              <w:pStyle w:val="P68B1DB1-Normal13"/>
              <w:jc w:val="center"/>
              <w:rPr>
                <w:rFonts w:cs="Times New Roman"/>
                <w:noProof/>
              </w:rPr>
            </w:pPr>
            <w:r>
              <w:rPr>
                <w:noProof/>
              </w:rPr>
              <w:t>C11.R1</w:t>
            </w:r>
          </w:p>
        </w:tc>
        <w:tc>
          <w:tcPr>
            <w:tcW w:w="966" w:type="dxa"/>
            <w:shd w:val="clear" w:color="auto" w:fill="C6EFCE"/>
          </w:tcPr>
          <w:p w14:paraId="299041B6"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1E35AF3F" w14:textId="77777777" w:rsidR="000E48CE" w:rsidRDefault="00FF4C4E">
            <w:pPr>
              <w:pStyle w:val="P68B1DB1-Normal13"/>
              <w:rPr>
                <w:rFonts w:cs="Times New Roman"/>
                <w:noProof/>
              </w:rPr>
            </w:pPr>
            <w:r>
              <w:rPr>
                <w:noProof/>
              </w:rPr>
              <w:t>Uuden julkisen arviointielimen perussääntö</w:t>
            </w:r>
          </w:p>
        </w:tc>
        <w:tc>
          <w:tcPr>
            <w:tcW w:w="1442" w:type="dxa"/>
            <w:shd w:val="clear" w:color="auto" w:fill="C6EFCE"/>
          </w:tcPr>
          <w:p w14:paraId="0C90CC59" w14:textId="77777777" w:rsidR="000E48CE" w:rsidRDefault="00FF4C4E">
            <w:pPr>
              <w:pStyle w:val="P68B1DB1-Normal13"/>
              <w:jc w:val="center"/>
              <w:rPr>
                <w:rFonts w:cs="Times New Roman"/>
                <w:noProof/>
              </w:rPr>
            </w:pPr>
            <w:r>
              <w:rPr>
                <w:noProof/>
              </w:rPr>
              <w:t xml:space="preserve">Kuninkaan asetuksen säännös, josta käy ilmi kuninkaan asetuksen voimaantulo </w:t>
            </w:r>
          </w:p>
        </w:tc>
        <w:tc>
          <w:tcPr>
            <w:tcW w:w="1082" w:type="dxa"/>
            <w:shd w:val="clear" w:color="auto" w:fill="C6EFCE"/>
          </w:tcPr>
          <w:p w14:paraId="29FC183F"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473AFF47"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3D603131"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2E4BFBF2" w14:textId="77777777" w:rsidR="000E48CE" w:rsidRDefault="00FF4C4E">
            <w:pPr>
              <w:pStyle w:val="P68B1DB1-Normal13"/>
              <w:jc w:val="center"/>
              <w:rPr>
                <w:rFonts w:cs="Times New Roman"/>
                <w:noProof/>
              </w:rPr>
            </w:pPr>
            <w:r>
              <w:rPr>
                <w:noProof/>
              </w:rPr>
              <w:t>KOLMAS VUOSINELJÄNNES</w:t>
            </w:r>
          </w:p>
        </w:tc>
        <w:tc>
          <w:tcPr>
            <w:tcW w:w="822" w:type="dxa"/>
            <w:shd w:val="clear" w:color="auto" w:fill="C6EFCE"/>
          </w:tcPr>
          <w:p w14:paraId="340D2FE8" w14:textId="77777777" w:rsidR="000E48CE" w:rsidRDefault="00FF4C4E">
            <w:pPr>
              <w:pStyle w:val="P68B1DB1-Normal13"/>
              <w:jc w:val="center"/>
              <w:rPr>
                <w:rFonts w:cs="Times New Roman"/>
                <w:noProof/>
              </w:rPr>
            </w:pPr>
            <w:r>
              <w:rPr>
                <w:noProof/>
              </w:rPr>
              <w:t>2023</w:t>
            </w:r>
          </w:p>
        </w:tc>
        <w:tc>
          <w:tcPr>
            <w:tcW w:w="3998" w:type="dxa"/>
            <w:shd w:val="clear" w:color="auto" w:fill="C6EFCE"/>
          </w:tcPr>
          <w:p w14:paraId="78F3AB93" w14:textId="77777777" w:rsidR="000E48CE" w:rsidRDefault="00FF4C4E">
            <w:pPr>
              <w:pStyle w:val="P68B1DB1-Normal13"/>
              <w:rPr>
                <w:rFonts w:cs="Times New Roman"/>
                <w:noProof/>
              </w:rPr>
            </w:pPr>
            <w:r>
              <w:rPr>
                <w:noProof/>
              </w:rPr>
              <w:t xml:space="preserve">Uuden kansallisen </w:t>
            </w:r>
            <w:r>
              <w:rPr>
                <w:noProof/>
              </w:rPr>
              <w:t>arviointilaitoksen perussäännöstä annetun kuninkaan asetuksen voimaantulo. Tämän kuninkaan asetuksen tavoitteena on: antaa kansalliselle arvioinnista vastaavalle julkiselle elimelle valmiudet ja keinot hoitaa julkisen politiikan ennakkoarvioinnin metodolog</w:t>
            </w:r>
            <w:r>
              <w:rPr>
                <w:noProof/>
              </w:rPr>
              <w:t>iseen standardointiin liittyvät tehtävänsä; julkisen politiikan arviointien tekeminen; ja iii) mukaan lukien järjestelmällisen politiikan ennakkoarvioinnin periaate laissa säädetyin poikkeuksin.</w:t>
            </w:r>
          </w:p>
        </w:tc>
      </w:tr>
      <w:tr w:rsidR="000E48CE" w14:paraId="594099FE" w14:textId="77777777">
        <w:trPr>
          <w:trHeight w:val="309"/>
        </w:trPr>
        <w:tc>
          <w:tcPr>
            <w:tcW w:w="1223" w:type="dxa"/>
            <w:shd w:val="clear" w:color="auto" w:fill="C6EFCE"/>
          </w:tcPr>
          <w:p w14:paraId="3F22E7E6" w14:textId="7B8D20F9" w:rsidR="000E48CE" w:rsidRDefault="00FF4C4E">
            <w:pPr>
              <w:pStyle w:val="P68B1DB1-Normal13"/>
              <w:jc w:val="center"/>
              <w:rPr>
                <w:rFonts w:cs="Times New Roman"/>
                <w:noProof/>
              </w:rPr>
            </w:pPr>
            <w:r>
              <w:rPr>
                <w:noProof/>
              </w:rPr>
              <w:t>150</w:t>
            </w:r>
          </w:p>
        </w:tc>
        <w:tc>
          <w:tcPr>
            <w:tcW w:w="1448" w:type="dxa"/>
            <w:shd w:val="clear" w:color="auto" w:fill="C6EFCE"/>
          </w:tcPr>
          <w:p w14:paraId="39274323" w14:textId="1F729C9E" w:rsidR="000E48CE" w:rsidRDefault="00FF4C4E">
            <w:pPr>
              <w:pStyle w:val="P68B1DB1-Normal13"/>
              <w:jc w:val="center"/>
              <w:rPr>
                <w:rFonts w:cs="Times New Roman"/>
                <w:noProof/>
              </w:rPr>
            </w:pPr>
            <w:r>
              <w:rPr>
                <w:noProof/>
              </w:rPr>
              <w:t>C11.R1</w:t>
            </w:r>
          </w:p>
        </w:tc>
        <w:tc>
          <w:tcPr>
            <w:tcW w:w="966" w:type="dxa"/>
            <w:shd w:val="clear" w:color="auto" w:fill="C6EFCE"/>
          </w:tcPr>
          <w:p w14:paraId="324774BA" w14:textId="0AEF0C26" w:rsidR="000E48CE" w:rsidRDefault="00FF4C4E">
            <w:pPr>
              <w:pStyle w:val="P68B1DB1-Normal13"/>
              <w:jc w:val="center"/>
              <w:rPr>
                <w:rFonts w:cs="Times New Roman"/>
                <w:noProof/>
              </w:rPr>
            </w:pPr>
            <w:r>
              <w:rPr>
                <w:noProof/>
              </w:rPr>
              <w:t>T</w:t>
            </w:r>
          </w:p>
        </w:tc>
        <w:tc>
          <w:tcPr>
            <w:tcW w:w="1631" w:type="dxa"/>
            <w:shd w:val="clear" w:color="auto" w:fill="C6EFCE"/>
          </w:tcPr>
          <w:p w14:paraId="7A55C355" w14:textId="367C5167" w:rsidR="000E48CE" w:rsidRDefault="00FF4C4E">
            <w:pPr>
              <w:pStyle w:val="P68B1DB1-Normal13"/>
              <w:rPr>
                <w:rFonts w:cs="Times New Roman"/>
                <w:noProof/>
              </w:rPr>
            </w:pPr>
            <w:r>
              <w:rPr>
                <w:noProof/>
              </w:rPr>
              <w:t>Julkisten työpaikkojen vakauttaminen</w:t>
            </w:r>
          </w:p>
        </w:tc>
        <w:tc>
          <w:tcPr>
            <w:tcW w:w="1442" w:type="dxa"/>
            <w:shd w:val="clear" w:color="auto" w:fill="C6EFCE"/>
          </w:tcPr>
          <w:p w14:paraId="473383D2" w14:textId="77777777" w:rsidR="000E48CE" w:rsidRDefault="000E48CE">
            <w:pPr>
              <w:jc w:val="center"/>
              <w:rPr>
                <w:rFonts w:ascii="Times New Roman" w:hAnsi="Times New Roman" w:cs="Times New Roman"/>
                <w:noProof/>
                <w:sz w:val="18"/>
              </w:rPr>
            </w:pPr>
          </w:p>
        </w:tc>
        <w:tc>
          <w:tcPr>
            <w:tcW w:w="1082" w:type="dxa"/>
            <w:shd w:val="clear" w:color="auto" w:fill="C6EFCE"/>
          </w:tcPr>
          <w:p w14:paraId="1E54F784" w14:textId="7E9293D1" w:rsidR="000E48CE" w:rsidRDefault="00FF4C4E">
            <w:pPr>
              <w:pStyle w:val="P68B1DB1-Normal13"/>
              <w:jc w:val="right"/>
              <w:rPr>
                <w:rFonts w:cs="Times New Roman"/>
                <w:noProof/>
              </w:rPr>
            </w:pPr>
            <w:r>
              <w:rPr>
                <w:noProof/>
              </w:rPr>
              <w:t>Määrä</w:t>
            </w:r>
          </w:p>
        </w:tc>
        <w:tc>
          <w:tcPr>
            <w:tcW w:w="708" w:type="dxa"/>
            <w:shd w:val="clear" w:color="auto" w:fill="C6EFCE"/>
          </w:tcPr>
          <w:p w14:paraId="3CA84FD5" w14:textId="583DB036" w:rsidR="000E48CE" w:rsidRDefault="00FF4C4E">
            <w:pPr>
              <w:pStyle w:val="P68B1DB1-Normal13"/>
              <w:jc w:val="right"/>
              <w:rPr>
                <w:rFonts w:cs="Times New Roman"/>
                <w:noProof/>
              </w:rPr>
            </w:pPr>
            <w:r>
              <w:rPr>
                <w:noProof/>
              </w:rPr>
              <w:t>0</w:t>
            </w:r>
          </w:p>
        </w:tc>
        <w:tc>
          <w:tcPr>
            <w:tcW w:w="709" w:type="dxa"/>
            <w:shd w:val="clear" w:color="auto" w:fill="C6EFCE"/>
          </w:tcPr>
          <w:p w14:paraId="200B5FCB" w14:textId="18582A6B" w:rsidR="000E48CE" w:rsidRDefault="00FF4C4E">
            <w:pPr>
              <w:pStyle w:val="P68B1DB1-Normal13"/>
              <w:jc w:val="right"/>
              <w:rPr>
                <w:rFonts w:cs="Times New Roman"/>
                <w:noProof/>
              </w:rPr>
            </w:pPr>
            <w:r>
              <w:rPr>
                <w:noProof/>
              </w:rPr>
              <w:t>300 000</w:t>
            </w:r>
          </w:p>
        </w:tc>
        <w:tc>
          <w:tcPr>
            <w:tcW w:w="567" w:type="dxa"/>
            <w:shd w:val="clear" w:color="auto" w:fill="C6EFCE"/>
          </w:tcPr>
          <w:p w14:paraId="6F66B82C" w14:textId="77D85D2A" w:rsidR="000E48CE" w:rsidRDefault="00FF4C4E">
            <w:pPr>
              <w:pStyle w:val="P68B1DB1-Normal13"/>
              <w:jc w:val="center"/>
              <w:rPr>
                <w:rFonts w:cs="Times New Roman"/>
                <w:noProof/>
              </w:rPr>
            </w:pPr>
            <w:r>
              <w:rPr>
                <w:noProof/>
              </w:rPr>
              <w:t>Q4</w:t>
            </w:r>
          </w:p>
        </w:tc>
        <w:tc>
          <w:tcPr>
            <w:tcW w:w="822" w:type="dxa"/>
            <w:shd w:val="clear" w:color="auto" w:fill="C6EFCE"/>
          </w:tcPr>
          <w:p w14:paraId="52B4707C" w14:textId="090EEAC4" w:rsidR="000E48CE" w:rsidRDefault="00FF4C4E">
            <w:pPr>
              <w:pStyle w:val="P68B1DB1-Normal13"/>
              <w:jc w:val="center"/>
              <w:rPr>
                <w:rFonts w:cs="Times New Roman"/>
                <w:noProof/>
              </w:rPr>
            </w:pPr>
            <w:r>
              <w:rPr>
                <w:noProof/>
              </w:rPr>
              <w:t>2024</w:t>
            </w:r>
          </w:p>
        </w:tc>
        <w:tc>
          <w:tcPr>
            <w:tcW w:w="3998" w:type="dxa"/>
            <w:shd w:val="clear" w:color="auto" w:fill="C6EFCE"/>
          </w:tcPr>
          <w:p w14:paraId="6F4C32AA" w14:textId="7503A672" w:rsidR="000E48CE" w:rsidRDefault="00FF4C4E">
            <w:pPr>
              <w:pStyle w:val="P68B1DB1-Normal13"/>
              <w:rPr>
                <w:rFonts w:cs="Times New Roman"/>
                <w:noProof/>
              </w:rPr>
            </w:pPr>
            <w:r>
              <w:rPr>
                <w:noProof/>
              </w:rPr>
              <w:t>Työpaikkojen vakauttamiseen tähtäävien palvelukseenottomenettelyjen loppuun saattaminen (avoimella työsopimuksella tai henkilöstösääntöjen alaisella henkilöstöllä), joihin sisältyy vähintään 300000 tointa (mukaan lukien vakinaistamismenette</w:t>
            </w:r>
            <w:r>
              <w:rPr>
                <w:noProof/>
              </w:rPr>
              <w:t>lyistä vuonna 2017 ja 2918 vakinaistamismenettelystä johtuvat toimet)</w:t>
            </w:r>
          </w:p>
        </w:tc>
      </w:tr>
      <w:tr w:rsidR="000E48CE" w14:paraId="000DB73A" w14:textId="77777777">
        <w:trPr>
          <w:trHeight w:val="309"/>
        </w:trPr>
        <w:tc>
          <w:tcPr>
            <w:tcW w:w="1223" w:type="dxa"/>
            <w:shd w:val="clear" w:color="auto" w:fill="C6EFCE"/>
          </w:tcPr>
          <w:p w14:paraId="3B58C1C2" w14:textId="7C903BFA" w:rsidR="000E48CE" w:rsidRDefault="00FF4C4E">
            <w:pPr>
              <w:pStyle w:val="P68B1DB1-Normal13"/>
              <w:jc w:val="center"/>
              <w:rPr>
                <w:rFonts w:cs="Times New Roman"/>
                <w:noProof/>
              </w:rPr>
            </w:pPr>
            <w:r>
              <w:rPr>
                <w:noProof/>
              </w:rPr>
              <w:t>432</w:t>
            </w:r>
          </w:p>
        </w:tc>
        <w:tc>
          <w:tcPr>
            <w:tcW w:w="1448" w:type="dxa"/>
            <w:shd w:val="clear" w:color="auto" w:fill="C6EFCE"/>
          </w:tcPr>
          <w:p w14:paraId="570DFF20" w14:textId="4459DE15" w:rsidR="000E48CE" w:rsidRDefault="00FF4C4E">
            <w:pPr>
              <w:pStyle w:val="P68B1DB1-Normal13"/>
              <w:jc w:val="center"/>
              <w:rPr>
                <w:rFonts w:cs="Times New Roman"/>
                <w:noProof/>
              </w:rPr>
            </w:pPr>
            <w:r>
              <w:rPr>
                <w:noProof/>
              </w:rPr>
              <w:t>C11.R1</w:t>
            </w:r>
          </w:p>
        </w:tc>
        <w:tc>
          <w:tcPr>
            <w:tcW w:w="966" w:type="dxa"/>
            <w:shd w:val="clear" w:color="auto" w:fill="C6EFCE"/>
          </w:tcPr>
          <w:p w14:paraId="4F014BAF" w14:textId="46A993A3" w:rsidR="000E48CE" w:rsidRDefault="00FF4C4E">
            <w:pPr>
              <w:pStyle w:val="P68B1DB1-Normal13"/>
              <w:jc w:val="center"/>
              <w:rPr>
                <w:rFonts w:cs="Times New Roman"/>
                <w:noProof/>
              </w:rPr>
            </w:pPr>
            <w:r>
              <w:rPr>
                <w:noProof/>
              </w:rPr>
              <w:t>M</w:t>
            </w:r>
          </w:p>
        </w:tc>
        <w:tc>
          <w:tcPr>
            <w:tcW w:w="1631" w:type="dxa"/>
            <w:shd w:val="clear" w:color="auto" w:fill="C6EFCE"/>
          </w:tcPr>
          <w:p w14:paraId="7FC16956" w14:textId="72919D0B" w:rsidR="000E48CE" w:rsidRDefault="00FF4C4E">
            <w:pPr>
              <w:pStyle w:val="P68B1DB1-Normal13"/>
              <w:rPr>
                <w:rFonts w:cs="Times New Roman"/>
                <w:noProof/>
              </w:rPr>
            </w:pPr>
            <w:r>
              <w:rPr>
                <w:noProof/>
              </w:rPr>
              <w:t xml:space="preserve">Laki eturyhmien toiminnan avoimuudesta ja rehellisyydestä </w:t>
            </w:r>
          </w:p>
        </w:tc>
        <w:tc>
          <w:tcPr>
            <w:tcW w:w="1442" w:type="dxa"/>
            <w:shd w:val="clear" w:color="auto" w:fill="C6EFCE"/>
          </w:tcPr>
          <w:p w14:paraId="39F3169B" w14:textId="57429E1D" w:rsidR="000E48CE" w:rsidRDefault="00FF4C4E">
            <w:pPr>
              <w:pStyle w:val="P68B1DB1-Normal13"/>
              <w:jc w:val="center"/>
              <w:rPr>
                <w:rFonts w:cs="Times New Roman"/>
                <w:noProof/>
              </w:rPr>
            </w:pPr>
            <w:r>
              <w:rPr>
                <w:noProof/>
              </w:rPr>
              <w:t xml:space="preserve">Lain voimaantulopäivän osoittava säännös ja tietotekninen tarkastus, jolla varmistetaan rekisterin </w:t>
            </w:r>
            <w:r>
              <w:rPr>
                <w:noProof/>
              </w:rPr>
              <w:t xml:space="preserve">toimintakuntoisuus  </w:t>
            </w:r>
          </w:p>
        </w:tc>
        <w:tc>
          <w:tcPr>
            <w:tcW w:w="1082" w:type="dxa"/>
            <w:shd w:val="clear" w:color="auto" w:fill="C6EFCE"/>
          </w:tcPr>
          <w:p w14:paraId="3DB716A5" w14:textId="77777777" w:rsidR="000E48CE" w:rsidRDefault="000E48CE">
            <w:pPr>
              <w:jc w:val="right"/>
              <w:rPr>
                <w:rFonts w:ascii="Times New Roman" w:hAnsi="Times New Roman" w:cs="Times New Roman"/>
                <w:noProof/>
                <w:sz w:val="18"/>
              </w:rPr>
            </w:pPr>
          </w:p>
        </w:tc>
        <w:tc>
          <w:tcPr>
            <w:tcW w:w="708" w:type="dxa"/>
            <w:shd w:val="clear" w:color="auto" w:fill="C6EFCE"/>
          </w:tcPr>
          <w:p w14:paraId="33EC85B8" w14:textId="77777777" w:rsidR="000E48CE" w:rsidRDefault="000E48CE">
            <w:pPr>
              <w:jc w:val="right"/>
              <w:rPr>
                <w:rFonts w:ascii="Times New Roman" w:hAnsi="Times New Roman" w:cs="Times New Roman"/>
                <w:noProof/>
                <w:sz w:val="18"/>
              </w:rPr>
            </w:pPr>
          </w:p>
        </w:tc>
        <w:tc>
          <w:tcPr>
            <w:tcW w:w="709" w:type="dxa"/>
            <w:shd w:val="clear" w:color="auto" w:fill="C6EFCE"/>
          </w:tcPr>
          <w:p w14:paraId="13D2AC27" w14:textId="77777777" w:rsidR="000E48CE" w:rsidRDefault="000E48CE">
            <w:pPr>
              <w:jc w:val="right"/>
              <w:rPr>
                <w:rFonts w:ascii="Times New Roman" w:hAnsi="Times New Roman" w:cs="Times New Roman"/>
                <w:noProof/>
                <w:sz w:val="18"/>
              </w:rPr>
            </w:pPr>
          </w:p>
        </w:tc>
        <w:tc>
          <w:tcPr>
            <w:tcW w:w="567" w:type="dxa"/>
            <w:shd w:val="clear" w:color="auto" w:fill="C6EFCE"/>
          </w:tcPr>
          <w:p w14:paraId="14231283" w14:textId="31B8A6C3" w:rsidR="000E48CE" w:rsidRDefault="00FF4C4E">
            <w:pPr>
              <w:pStyle w:val="P68B1DB1-Normal13"/>
              <w:jc w:val="center"/>
              <w:rPr>
                <w:rFonts w:cs="Times New Roman"/>
                <w:noProof/>
              </w:rPr>
            </w:pPr>
            <w:r>
              <w:rPr>
                <w:noProof/>
              </w:rPr>
              <w:t>Q4</w:t>
            </w:r>
          </w:p>
        </w:tc>
        <w:tc>
          <w:tcPr>
            <w:tcW w:w="822" w:type="dxa"/>
            <w:shd w:val="clear" w:color="auto" w:fill="C6EFCE"/>
          </w:tcPr>
          <w:p w14:paraId="2089E3DD" w14:textId="13E253B8" w:rsidR="000E48CE" w:rsidRDefault="00FF4C4E">
            <w:pPr>
              <w:pStyle w:val="P68B1DB1-Normal13"/>
              <w:jc w:val="center"/>
              <w:rPr>
                <w:rFonts w:cs="Times New Roman"/>
                <w:noProof/>
              </w:rPr>
            </w:pPr>
            <w:r>
              <w:rPr>
                <w:noProof/>
              </w:rPr>
              <w:t>2024</w:t>
            </w:r>
          </w:p>
        </w:tc>
        <w:tc>
          <w:tcPr>
            <w:tcW w:w="3998" w:type="dxa"/>
            <w:shd w:val="clear" w:color="auto" w:fill="C6EFCE"/>
          </w:tcPr>
          <w:p w14:paraId="64F75892" w14:textId="6CB27B41" w:rsidR="000E48CE" w:rsidRDefault="00FF4C4E">
            <w:pPr>
              <w:pStyle w:val="P68B1DB1-Normal13"/>
              <w:rPr>
                <w:rFonts w:cs="Times New Roman"/>
                <w:noProof/>
              </w:rPr>
            </w:pPr>
            <w:r>
              <w:rPr>
                <w:noProof/>
              </w:rPr>
              <w:t>On tullut voimaan laki, jolla säännellään edunvalvojien (mukaan lukien kansalaisjärjestöt, ajatushautomot, toimialajärjestöt, voittoa tavoittelevat ja voittoa tavoittelemattomat yhdistykset, ammattiliitot, liike-elämän järje</w:t>
            </w:r>
            <w:r>
              <w:rPr>
                <w:noProof/>
              </w:rPr>
              <w:t>stöt ja lakimiehet, kun niiden tarkoituksena on vaikuttaa politiikkaan eikä niinkään antaa oikeusapua) ja julkisen sektorin välisiä suhteita. Lailla perustetaan julkinen ja pakollinen eturyhmien rekisteri, jota valvoo riippumaton elin, jolla on valmiudet j</w:t>
            </w:r>
            <w:r>
              <w:rPr>
                <w:noProof/>
              </w:rPr>
              <w:t>a keinot (henkilöresurssit, taloudelliset ja tekniset resurssit) sekä valvonta- ja seuraamusvaltuudet. Laissa säädetään myös uuden rekisterin liittämisestä olemassa oleviin alueellisiin eturyhmien rekistereihin. Rekisterin on oltava toiminnassa, myös edell</w:t>
            </w:r>
            <w:r>
              <w:rPr>
                <w:noProof/>
              </w:rPr>
              <w:t>ä mainitun yhteenliitettävyyden osalta. Toiminnallisuuden todentamiseksi on tehtävä tietotekniikkatarkastus.</w:t>
            </w:r>
          </w:p>
        </w:tc>
      </w:tr>
      <w:tr w:rsidR="000E48CE" w14:paraId="3113AC41" w14:textId="77777777">
        <w:trPr>
          <w:trHeight w:val="309"/>
        </w:trPr>
        <w:tc>
          <w:tcPr>
            <w:tcW w:w="1223" w:type="dxa"/>
            <w:shd w:val="clear" w:color="auto" w:fill="C6EFCE"/>
          </w:tcPr>
          <w:p w14:paraId="17B4E54F" w14:textId="31F8DBEC" w:rsidR="000E48CE" w:rsidRDefault="00FF4C4E">
            <w:pPr>
              <w:pStyle w:val="P68B1DB1-Normal13"/>
              <w:jc w:val="center"/>
              <w:rPr>
                <w:rFonts w:cs="Times New Roman"/>
                <w:noProof/>
              </w:rPr>
            </w:pPr>
            <w:r>
              <w:rPr>
                <w:noProof/>
              </w:rPr>
              <w:t>433</w:t>
            </w:r>
          </w:p>
        </w:tc>
        <w:tc>
          <w:tcPr>
            <w:tcW w:w="1448" w:type="dxa"/>
            <w:shd w:val="clear" w:color="auto" w:fill="C6EFCE"/>
          </w:tcPr>
          <w:p w14:paraId="11CDBA34" w14:textId="77777777" w:rsidR="000E48CE" w:rsidRDefault="00FF4C4E">
            <w:pPr>
              <w:pStyle w:val="P68B1DB1-Normal13"/>
              <w:jc w:val="center"/>
              <w:rPr>
                <w:rFonts w:cs="Times New Roman"/>
                <w:noProof/>
              </w:rPr>
            </w:pPr>
            <w:r>
              <w:rPr>
                <w:noProof/>
              </w:rPr>
              <w:t>C11.R1</w:t>
            </w:r>
          </w:p>
        </w:tc>
        <w:tc>
          <w:tcPr>
            <w:tcW w:w="966" w:type="dxa"/>
            <w:shd w:val="clear" w:color="auto" w:fill="C6EFCE"/>
          </w:tcPr>
          <w:p w14:paraId="1C6D20B4" w14:textId="52BFF1FB" w:rsidR="000E48CE" w:rsidRDefault="00FF4C4E">
            <w:pPr>
              <w:pStyle w:val="P68B1DB1-Normal13"/>
              <w:jc w:val="center"/>
              <w:rPr>
                <w:rFonts w:cs="Times New Roman"/>
                <w:noProof/>
              </w:rPr>
            </w:pPr>
            <w:r>
              <w:rPr>
                <w:noProof/>
              </w:rPr>
              <w:t>M</w:t>
            </w:r>
          </w:p>
        </w:tc>
        <w:tc>
          <w:tcPr>
            <w:tcW w:w="1631" w:type="dxa"/>
            <w:shd w:val="clear" w:color="auto" w:fill="C6EFCE"/>
          </w:tcPr>
          <w:p w14:paraId="218C5BA1" w14:textId="797FAB63" w:rsidR="000E48CE" w:rsidRDefault="00FF4C4E">
            <w:pPr>
              <w:pStyle w:val="P68B1DB1-Normal13"/>
              <w:rPr>
                <w:rFonts w:cs="Times New Roman"/>
                <w:noProof/>
              </w:rPr>
            </w:pPr>
            <w:r>
              <w:rPr>
                <w:noProof/>
              </w:rPr>
              <w:t>Kansallisen turvallisuuskehyksen päivittäminen</w:t>
            </w:r>
          </w:p>
        </w:tc>
        <w:tc>
          <w:tcPr>
            <w:tcW w:w="1442" w:type="dxa"/>
            <w:shd w:val="clear" w:color="auto" w:fill="C6EFCE"/>
          </w:tcPr>
          <w:p w14:paraId="20A3F8D8" w14:textId="5195A29C" w:rsidR="000E48CE" w:rsidRDefault="00FF4C4E">
            <w:pPr>
              <w:pStyle w:val="P68B1DB1-Normal13"/>
              <w:jc w:val="center"/>
              <w:rPr>
                <w:rFonts w:cs="Times New Roman"/>
                <w:noProof/>
              </w:rPr>
            </w:pPr>
            <w:r>
              <w:rPr>
                <w:noProof/>
              </w:rPr>
              <w:t>Kuninkaan asetuksen säännös, josta käy ilmi sen voimaantulo</w:t>
            </w:r>
          </w:p>
        </w:tc>
        <w:tc>
          <w:tcPr>
            <w:tcW w:w="1082" w:type="dxa"/>
            <w:shd w:val="clear" w:color="auto" w:fill="C6EFCE"/>
          </w:tcPr>
          <w:p w14:paraId="4D8E49A3" w14:textId="748C2B36" w:rsidR="000E48CE" w:rsidRDefault="000E48CE">
            <w:pPr>
              <w:jc w:val="right"/>
              <w:rPr>
                <w:rFonts w:ascii="Times New Roman" w:hAnsi="Times New Roman" w:cs="Times New Roman"/>
                <w:noProof/>
                <w:sz w:val="18"/>
              </w:rPr>
            </w:pPr>
          </w:p>
        </w:tc>
        <w:tc>
          <w:tcPr>
            <w:tcW w:w="708" w:type="dxa"/>
            <w:shd w:val="clear" w:color="auto" w:fill="C6EFCE"/>
          </w:tcPr>
          <w:p w14:paraId="66ABE3E1" w14:textId="4062B014" w:rsidR="000E48CE" w:rsidRDefault="000E48CE">
            <w:pPr>
              <w:jc w:val="right"/>
              <w:rPr>
                <w:rFonts w:ascii="Times New Roman" w:hAnsi="Times New Roman" w:cs="Times New Roman"/>
                <w:noProof/>
                <w:sz w:val="18"/>
              </w:rPr>
            </w:pPr>
          </w:p>
        </w:tc>
        <w:tc>
          <w:tcPr>
            <w:tcW w:w="709" w:type="dxa"/>
            <w:shd w:val="clear" w:color="auto" w:fill="C6EFCE"/>
          </w:tcPr>
          <w:p w14:paraId="6B521DA1" w14:textId="2509B3AD" w:rsidR="000E48CE" w:rsidRDefault="000E48CE">
            <w:pPr>
              <w:jc w:val="right"/>
              <w:rPr>
                <w:rFonts w:ascii="Times New Roman" w:hAnsi="Times New Roman" w:cs="Times New Roman"/>
                <w:noProof/>
                <w:sz w:val="18"/>
              </w:rPr>
            </w:pPr>
          </w:p>
        </w:tc>
        <w:tc>
          <w:tcPr>
            <w:tcW w:w="567" w:type="dxa"/>
            <w:shd w:val="clear" w:color="auto" w:fill="C6EFCE"/>
          </w:tcPr>
          <w:p w14:paraId="4847A319" w14:textId="5815FB05" w:rsidR="000E48CE" w:rsidRDefault="00FF4C4E">
            <w:pPr>
              <w:pStyle w:val="P68B1DB1-Normal13"/>
              <w:jc w:val="center"/>
              <w:rPr>
                <w:rFonts w:cs="Times New Roman"/>
                <w:noProof/>
              </w:rPr>
            </w:pPr>
            <w:r>
              <w:rPr>
                <w:noProof/>
              </w:rPr>
              <w:t>Q2</w:t>
            </w:r>
          </w:p>
        </w:tc>
        <w:tc>
          <w:tcPr>
            <w:tcW w:w="822" w:type="dxa"/>
            <w:shd w:val="clear" w:color="auto" w:fill="C6EFCE"/>
          </w:tcPr>
          <w:p w14:paraId="7F48C86D" w14:textId="5E4BD59E" w:rsidR="000E48CE" w:rsidRDefault="00FF4C4E">
            <w:pPr>
              <w:pStyle w:val="P68B1DB1-Normal13"/>
              <w:jc w:val="center"/>
              <w:rPr>
                <w:rFonts w:cs="Times New Roman"/>
                <w:noProof/>
              </w:rPr>
            </w:pPr>
            <w:r>
              <w:rPr>
                <w:noProof/>
              </w:rPr>
              <w:t>2023</w:t>
            </w:r>
          </w:p>
        </w:tc>
        <w:tc>
          <w:tcPr>
            <w:tcW w:w="3998" w:type="dxa"/>
            <w:shd w:val="clear" w:color="auto" w:fill="C6EFCE"/>
          </w:tcPr>
          <w:p w14:paraId="263DEF57" w14:textId="5B27F8DE" w:rsidR="000E48CE" w:rsidRDefault="00FF4C4E">
            <w:pPr>
              <w:pStyle w:val="P68B1DB1-Normal13"/>
              <w:rPr>
                <w:rFonts w:cs="Times New Roman"/>
                <w:noProof/>
              </w:rPr>
            </w:pPr>
            <w:r>
              <w:rPr>
                <w:noProof/>
              </w:rPr>
              <w:t xml:space="preserve">Kansallisen turvallisuuskehyksen ajan tasalle saattamisesta annetun kuninkaallisen asetuksen voimaantulo. Kuninkaan asetuksessa I) mukautetaan kansallisen turvallisuuskehyksen vaatimuksia tiettyjen järjestelmäryhmien tai -tyyppien todellisuuteen ottamalla </w:t>
            </w:r>
            <w:r>
              <w:rPr>
                <w:noProof/>
              </w:rPr>
              <w:t>käyttöön ”erityisen vaatimustenmukaisuusprofiilin” käsite; mukautettava kansallinen turvallisuuskehys sääntelykehykseen ja strategiseen kontekstiin digitaalisen julkishallinnon turvallisuuden takaamiseksi vuoden 2019 kansallisen kyberturvallisuusstrategian</w:t>
            </w:r>
            <w:r>
              <w:rPr>
                <w:noProof/>
              </w:rPr>
              <w:t xml:space="preserve"> ja kansallisen kyberturvallisuussuunnitelman mukaisesti; ja iii) helpottaa parempaa reagointia kyberturvallisuuden suuntauksiin, vähentää haavoittuvuuksia ja edistää jatkuvaa valppautta tarkistamalla perusperiaatteita, vähimmäisvaatimuksia ja turvatoimenp</w:t>
            </w:r>
            <w:r>
              <w:rPr>
                <w:noProof/>
              </w:rPr>
              <w:t xml:space="preserve">iteitä. </w:t>
            </w:r>
          </w:p>
        </w:tc>
      </w:tr>
      <w:tr w:rsidR="000E48CE" w14:paraId="41EB67C2" w14:textId="77777777">
        <w:trPr>
          <w:trHeight w:val="309"/>
        </w:trPr>
        <w:tc>
          <w:tcPr>
            <w:tcW w:w="1223" w:type="dxa"/>
            <w:shd w:val="clear" w:color="auto" w:fill="C6EFCE"/>
          </w:tcPr>
          <w:p w14:paraId="5AC416AC" w14:textId="77777777" w:rsidR="000E48CE" w:rsidRDefault="00FF4C4E">
            <w:pPr>
              <w:pStyle w:val="P68B1DB1-Normal13"/>
              <w:jc w:val="center"/>
              <w:rPr>
                <w:rFonts w:cs="Times New Roman"/>
                <w:noProof/>
              </w:rPr>
            </w:pPr>
            <w:r>
              <w:rPr>
                <w:noProof/>
              </w:rPr>
              <w:t>151</w:t>
            </w:r>
          </w:p>
        </w:tc>
        <w:tc>
          <w:tcPr>
            <w:tcW w:w="1448" w:type="dxa"/>
            <w:shd w:val="clear" w:color="auto" w:fill="C6EFCE"/>
          </w:tcPr>
          <w:p w14:paraId="2FA6B541" w14:textId="77777777" w:rsidR="000E48CE" w:rsidRDefault="00FF4C4E">
            <w:pPr>
              <w:pStyle w:val="P68B1DB1-Normal13"/>
              <w:jc w:val="center"/>
              <w:rPr>
                <w:rFonts w:cs="Times New Roman"/>
                <w:noProof/>
              </w:rPr>
            </w:pPr>
            <w:r>
              <w:rPr>
                <w:noProof/>
              </w:rPr>
              <w:t>C11.R2</w:t>
            </w:r>
          </w:p>
        </w:tc>
        <w:tc>
          <w:tcPr>
            <w:tcW w:w="966" w:type="dxa"/>
            <w:shd w:val="clear" w:color="auto" w:fill="C6EFCE"/>
          </w:tcPr>
          <w:p w14:paraId="29844041"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51A1B595" w14:textId="77777777" w:rsidR="000E48CE" w:rsidRDefault="00FF4C4E">
            <w:pPr>
              <w:pStyle w:val="P68B1DB1-Normal13"/>
              <w:rPr>
                <w:rFonts w:cs="Times New Roman"/>
                <w:noProof/>
              </w:rPr>
            </w:pPr>
            <w:r>
              <w:rPr>
                <w:noProof/>
              </w:rPr>
              <w:t>Menettelyllisistä ja organisatorisista toimenpiteistä oikeusalalla annetun lain 3/2020 voimaantulo</w:t>
            </w:r>
          </w:p>
        </w:tc>
        <w:tc>
          <w:tcPr>
            <w:tcW w:w="1442" w:type="dxa"/>
            <w:shd w:val="clear" w:color="auto" w:fill="C6EFCE"/>
          </w:tcPr>
          <w:p w14:paraId="43C00945" w14:textId="77777777" w:rsidR="000E48CE" w:rsidRDefault="00FF4C4E">
            <w:pPr>
              <w:pStyle w:val="P68B1DB1-Normal13"/>
              <w:jc w:val="center"/>
              <w:rPr>
                <w:rFonts w:cs="Times New Roman"/>
                <w:noProof/>
              </w:rPr>
            </w:pPr>
            <w:r>
              <w:rPr>
                <w:noProof/>
              </w:rPr>
              <w:t>Lain voimaantulon osoittava lain säännös</w:t>
            </w:r>
          </w:p>
        </w:tc>
        <w:tc>
          <w:tcPr>
            <w:tcW w:w="1082" w:type="dxa"/>
            <w:shd w:val="clear" w:color="auto" w:fill="C6EFCE"/>
          </w:tcPr>
          <w:p w14:paraId="3930645F"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10877538"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37A89D9E"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5AB379AF" w14:textId="77777777" w:rsidR="000E48CE" w:rsidRDefault="00FF4C4E">
            <w:pPr>
              <w:pStyle w:val="P68B1DB1-Normal13"/>
              <w:jc w:val="center"/>
              <w:rPr>
                <w:rFonts w:cs="Times New Roman"/>
                <w:noProof/>
              </w:rPr>
            </w:pPr>
            <w:r>
              <w:rPr>
                <w:noProof/>
              </w:rPr>
              <w:t>KOLMAS VUOSINELJÄNNES</w:t>
            </w:r>
          </w:p>
        </w:tc>
        <w:tc>
          <w:tcPr>
            <w:tcW w:w="822" w:type="dxa"/>
            <w:shd w:val="clear" w:color="auto" w:fill="C6EFCE"/>
          </w:tcPr>
          <w:p w14:paraId="32500CC3" w14:textId="77777777" w:rsidR="000E48CE" w:rsidRDefault="00FF4C4E">
            <w:pPr>
              <w:pStyle w:val="P68B1DB1-Normal13"/>
              <w:jc w:val="center"/>
              <w:rPr>
                <w:rFonts w:cs="Times New Roman"/>
                <w:noProof/>
              </w:rPr>
            </w:pPr>
            <w:r>
              <w:rPr>
                <w:noProof/>
              </w:rPr>
              <w:t>2020</w:t>
            </w:r>
          </w:p>
        </w:tc>
        <w:tc>
          <w:tcPr>
            <w:tcW w:w="3998" w:type="dxa"/>
            <w:shd w:val="clear" w:color="auto" w:fill="C6EFCE"/>
          </w:tcPr>
          <w:p w14:paraId="440654AE" w14:textId="77777777" w:rsidR="000E48CE" w:rsidRDefault="00FF4C4E">
            <w:pPr>
              <w:pStyle w:val="P68B1DB1-Normal13"/>
              <w:rPr>
                <w:rFonts w:cs="Times New Roman"/>
                <w:noProof/>
              </w:rPr>
            </w:pPr>
            <w:r>
              <w:rPr>
                <w:noProof/>
              </w:rPr>
              <w:t xml:space="preserve">Menettelyllisistä ja organisatorisista toimenpiteistä covid-19-pandemian torjumiseksi oikeushallinnon alalla 18.9.2020 annetun lain 3/2020 voimaantulo. </w:t>
            </w:r>
          </w:p>
        </w:tc>
      </w:tr>
      <w:tr w:rsidR="000E48CE" w14:paraId="5B6AD35D" w14:textId="77777777">
        <w:trPr>
          <w:trHeight w:val="309"/>
        </w:trPr>
        <w:tc>
          <w:tcPr>
            <w:tcW w:w="1223" w:type="dxa"/>
            <w:shd w:val="clear" w:color="auto" w:fill="C6EFCE"/>
          </w:tcPr>
          <w:p w14:paraId="7EF8616D" w14:textId="77777777" w:rsidR="000E48CE" w:rsidRDefault="00FF4C4E">
            <w:pPr>
              <w:pStyle w:val="P68B1DB1-Normal13"/>
              <w:jc w:val="center"/>
              <w:rPr>
                <w:rFonts w:cs="Times New Roman"/>
                <w:noProof/>
              </w:rPr>
            </w:pPr>
            <w:r>
              <w:rPr>
                <w:noProof/>
              </w:rPr>
              <w:t>152</w:t>
            </w:r>
          </w:p>
        </w:tc>
        <w:tc>
          <w:tcPr>
            <w:tcW w:w="1448" w:type="dxa"/>
            <w:shd w:val="clear" w:color="auto" w:fill="C6EFCE"/>
          </w:tcPr>
          <w:p w14:paraId="19BE9EA4" w14:textId="77777777" w:rsidR="000E48CE" w:rsidRDefault="00FF4C4E">
            <w:pPr>
              <w:pStyle w:val="P68B1DB1-Normal13"/>
              <w:jc w:val="center"/>
              <w:rPr>
                <w:rFonts w:cs="Times New Roman"/>
                <w:noProof/>
              </w:rPr>
            </w:pPr>
            <w:r>
              <w:rPr>
                <w:noProof/>
              </w:rPr>
              <w:t>C11.R2</w:t>
            </w:r>
          </w:p>
        </w:tc>
        <w:tc>
          <w:tcPr>
            <w:tcW w:w="966" w:type="dxa"/>
            <w:shd w:val="clear" w:color="auto" w:fill="C6EFCE"/>
          </w:tcPr>
          <w:p w14:paraId="40D8BFC9"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5642636D" w14:textId="334504AA" w:rsidR="000E48CE" w:rsidRDefault="00FF4C4E">
            <w:pPr>
              <w:pStyle w:val="P68B1DB1-Normal13"/>
              <w:rPr>
                <w:rFonts w:cs="Times New Roman"/>
                <w:noProof/>
              </w:rPr>
            </w:pPr>
            <w:r>
              <w:rPr>
                <w:noProof/>
              </w:rPr>
              <w:t xml:space="preserve">Oikeudenkäyntimenettelyjen tehokkuuden parantamisesta annetun kuninkaan asetuksen ja </w:t>
            </w:r>
            <w:r>
              <w:rPr>
                <w:noProof/>
              </w:rPr>
              <w:t>digitaalista tehokkuutta koskevan kuninkaan asetuksen voimaantulo</w:t>
            </w:r>
          </w:p>
        </w:tc>
        <w:tc>
          <w:tcPr>
            <w:tcW w:w="1442" w:type="dxa"/>
            <w:shd w:val="clear" w:color="auto" w:fill="C6EFCE"/>
          </w:tcPr>
          <w:p w14:paraId="4BED2B88" w14:textId="79D0C2CC" w:rsidR="000E48CE" w:rsidRDefault="00FF4C4E">
            <w:pPr>
              <w:pStyle w:val="P68B1DB1-Normal13"/>
              <w:jc w:val="center"/>
              <w:rPr>
                <w:rFonts w:cs="Times New Roman"/>
                <w:noProof/>
              </w:rPr>
            </w:pPr>
            <w:r>
              <w:rPr>
                <w:noProof/>
              </w:rPr>
              <w:t xml:space="preserve">Lain (lakien) säännökset, joista käy ilmi niiden voimaantulo </w:t>
            </w:r>
          </w:p>
        </w:tc>
        <w:tc>
          <w:tcPr>
            <w:tcW w:w="1082" w:type="dxa"/>
            <w:shd w:val="clear" w:color="auto" w:fill="C6EFCE"/>
          </w:tcPr>
          <w:p w14:paraId="64ABDF90"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30AC8B61"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666BC993"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5020F53A"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1B6C9055" w14:textId="77777777" w:rsidR="000E48CE" w:rsidRDefault="00FF4C4E">
            <w:pPr>
              <w:pStyle w:val="P68B1DB1-Normal13"/>
              <w:jc w:val="center"/>
              <w:rPr>
                <w:rFonts w:cs="Times New Roman"/>
                <w:noProof/>
              </w:rPr>
            </w:pPr>
            <w:r>
              <w:rPr>
                <w:noProof/>
              </w:rPr>
              <w:t>2022</w:t>
            </w:r>
          </w:p>
        </w:tc>
        <w:tc>
          <w:tcPr>
            <w:tcW w:w="3998" w:type="dxa"/>
            <w:shd w:val="clear" w:color="auto" w:fill="C6EFCE"/>
          </w:tcPr>
          <w:p w14:paraId="2EE9D3B0" w14:textId="5E44A524" w:rsidR="000E48CE" w:rsidRDefault="00FF4C4E">
            <w:pPr>
              <w:pStyle w:val="P68B1DB1-Normal13"/>
              <w:rPr>
                <w:rFonts w:cs="Times New Roman"/>
                <w:noProof/>
              </w:rPr>
            </w:pPr>
            <w:r>
              <w:rPr>
                <w:noProof/>
              </w:rPr>
              <w:t xml:space="preserve">Kansallisen oikeusjärjestelmän menettelyjen tehostamisesta annetun kuninkaallisen asetuksen ja digitaalista </w:t>
            </w:r>
            <w:r>
              <w:rPr>
                <w:noProof/>
              </w:rPr>
              <w:t>tehokkuutta koskevan kuninkaan asetuksen voimaantulo:  tehostetaan teknologian käyttöä tehokkaan ja laadukkaan julkisen palvelun tarjoamiseksi; uudistaa menettelylainsäädäntöä hallinnollisten ja yhteiskunnallisten lainkäyttöalueiden menettelyjen nopeuttami</w:t>
            </w:r>
            <w:r>
              <w:rPr>
                <w:noProof/>
              </w:rPr>
              <w:t>seksi; ja iiii) muuttaa muutoksenhakumenettelyjä (</w:t>
            </w:r>
            <w:r>
              <w:rPr>
                <w:i/>
                <w:noProof/>
              </w:rPr>
              <w:t>procesos de casación)</w:t>
            </w:r>
            <w:r>
              <w:rPr>
                <w:noProof/>
              </w:rPr>
              <w:t xml:space="preserve">tarpeettomien viivästysten välttämiseksi. </w:t>
            </w:r>
          </w:p>
        </w:tc>
      </w:tr>
      <w:tr w:rsidR="000E48CE" w14:paraId="1844C472" w14:textId="77777777">
        <w:trPr>
          <w:trHeight w:val="309"/>
        </w:trPr>
        <w:tc>
          <w:tcPr>
            <w:tcW w:w="1223" w:type="dxa"/>
            <w:shd w:val="clear" w:color="auto" w:fill="C6EFCE"/>
          </w:tcPr>
          <w:p w14:paraId="163845D3" w14:textId="201CF894" w:rsidR="000E48CE" w:rsidRDefault="00FF4C4E">
            <w:pPr>
              <w:pStyle w:val="P68B1DB1-Normal13"/>
              <w:jc w:val="center"/>
              <w:rPr>
                <w:rFonts w:cs="Times New Roman"/>
                <w:noProof/>
              </w:rPr>
            </w:pPr>
            <w:r>
              <w:rPr>
                <w:noProof/>
              </w:rPr>
              <w:t>434</w:t>
            </w:r>
          </w:p>
        </w:tc>
        <w:tc>
          <w:tcPr>
            <w:tcW w:w="1448" w:type="dxa"/>
            <w:shd w:val="clear" w:color="auto" w:fill="C6EFCE"/>
          </w:tcPr>
          <w:p w14:paraId="07DB7A96" w14:textId="12791677" w:rsidR="000E48CE" w:rsidRDefault="00FF4C4E">
            <w:pPr>
              <w:pStyle w:val="P68B1DB1-Normal13"/>
              <w:jc w:val="center"/>
              <w:rPr>
                <w:rFonts w:cs="Times New Roman"/>
                <w:noProof/>
              </w:rPr>
            </w:pPr>
            <w:r>
              <w:rPr>
                <w:noProof/>
              </w:rPr>
              <w:t>C11.R2</w:t>
            </w:r>
          </w:p>
        </w:tc>
        <w:tc>
          <w:tcPr>
            <w:tcW w:w="966" w:type="dxa"/>
            <w:shd w:val="clear" w:color="auto" w:fill="C6EFCE"/>
          </w:tcPr>
          <w:p w14:paraId="09FA722F" w14:textId="4A5F9EC2" w:rsidR="000E48CE" w:rsidRDefault="00FF4C4E">
            <w:pPr>
              <w:pStyle w:val="P68B1DB1-Normal13"/>
              <w:jc w:val="center"/>
              <w:rPr>
                <w:rFonts w:cs="Times New Roman"/>
                <w:noProof/>
              </w:rPr>
            </w:pPr>
            <w:r>
              <w:rPr>
                <w:noProof/>
              </w:rPr>
              <w:t>M</w:t>
            </w:r>
          </w:p>
        </w:tc>
        <w:tc>
          <w:tcPr>
            <w:tcW w:w="1631" w:type="dxa"/>
            <w:shd w:val="clear" w:color="auto" w:fill="C6EFCE"/>
          </w:tcPr>
          <w:p w14:paraId="67FB368F" w14:textId="515A55E9" w:rsidR="000E48CE" w:rsidRDefault="00FF4C4E">
            <w:pPr>
              <w:pStyle w:val="P68B1DB1-Normal13"/>
              <w:rPr>
                <w:rFonts w:cs="Times New Roman"/>
                <w:noProof/>
              </w:rPr>
            </w:pPr>
            <w:r>
              <w:rPr>
                <w:noProof/>
              </w:rPr>
              <w:t>Organisatorisesta ja menettelyllisestä tehokkuudesta annetun lain voimaantulo</w:t>
            </w:r>
          </w:p>
        </w:tc>
        <w:tc>
          <w:tcPr>
            <w:tcW w:w="1442" w:type="dxa"/>
            <w:shd w:val="clear" w:color="auto" w:fill="C6EFCE"/>
          </w:tcPr>
          <w:p w14:paraId="2B6902B6" w14:textId="119EB8E5" w:rsidR="000E48CE" w:rsidRDefault="00FF4C4E">
            <w:pPr>
              <w:pStyle w:val="P68B1DB1-Normal13"/>
              <w:jc w:val="center"/>
              <w:rPr>
                <w:rFonts w:cs="Times New Roman"/>
                <w:noProof/>
              </w:rPr>
            </w:pPr>
            <w:r>
              <w:rPr>
                <w:noProof/>
              </w:rPr>
              <w:t>Lain säännös, josta käy ilmi sen voimaantulo</w:t>
            </w:r>
          </w:p>
        </w:tc>
        <w:tc>
          <w:tcPr>
            <w:tcW w:w="1082" w:type="dxa"/>
            <w:shd w:val="clear" w:color="auto" w:fill="C6EFCE"/>
          </w:tcPr>
          <w:p w14:paraId="7699D622" w14:textId="77777777" w:rsidR="000E48CE" w:rsidRDefault="000E48CE">
            <w:pPr>
              <w:jc w:val="right"/>
              <w:rPr>
                <w:rFonts w:ascii="Times New Roman" w:hAnsi="Times New Roman" w:cs="Times New Roman"/>
                <w:noProof/>
                <w:sz w:val="18"/>
              </w:rPr>
            </w:pPr>
          </w:p>
        </w:tc>
        <w:tc>
          <w:tcPr>
            <w:tcW w:w="708" w:type="dxa"/>
            <w:shd w:val="clear" w:color="auto" w:fill="C6EFCE"/>
          </w:tcPr>
          <w:p w14:paraId="06B8C446" w14:textId="77777777" w:rsidR="000E48CE" w:rsidRDefault="000E48CE">
            <w:pPr>
              <w:jc w:val="right"/>
              <w:rPr>
                <w:rFonts w:ascii="Times New Roman" w:hAnsi="Times New Roman" w:cs="Times New Roman"/>
                <w:noProof/>
                <w:sz w:val="18"/>
              </w:rPr>
            </w:pPr>
          </w:p>
        </w:tc>
        <w:tc>
          <w:tcPr>
            <w:tcW w:w="709" w:type="dxa"/>
            <w:shd w:val="clear" w:color="auto" w:fill="C6EFCE"/>
          </w:tcPr>
          <w:p w14:paraId="794E76E3" w14:textId="77777777" w:rsidR="000E48CE" w:rsidRDefault="000E48CE">
            <w:pPr>
              <w:jc w:val="right"/>
              <w:rPr>
                <w:rFonts w:ascii="Times New Roman" w:hAnsi="Times New Roman" w:cs="Times New Roman"/>
                <w:noProof/>
                <w:sz w:val="18"/>
              </w:rPr>
            </w:pPr>
          </w:p>
        </w:tc>
        <w:tc>
          <w:tcPr>
            <w:tcW w:w="567" w:type="dxa"/>
            <w:shd w:val="clear" w:color="auto" w:fill="C6EFCE"/>
          </w:tcPr>
          <w:p w14:paraId="5233CAEA" w14:textId="1127D63A" w:rsidR="000E48CE" w:rsidRDefault="00FF4C4E">
            <w:pPr>
              <w:pStyle w:val="P68B1DB1-Normal13"/>
              <w:jc w:val="center"/>
              <w:rPr>
                <w:rFonts w:cs="Times New Roman"/>
                <w:noProof/>
              </w:rPr>
            </w:pPr>
            <w:r>
              <w:rPr>
                <w:noProof/>
              </w:rPr>
              <w:t>Q4</w:t>
            </w:r>
          </w:p>
        </w:tc>
        <w:tc>
          <w:tcPr>
            <w:tcW w:w="822" w:type="dxa"/>
            <w:shd w:val="clear" w:color="auto" w:fill="C6EFCE"/>
          </w:tcPr>
          <w:p w14:paraId="27FC54F1" w14:textId="405228EA" w:rsidR="000E48CE" w:rsidRDefault="00FF4C4E">
            <w:pPr>
              <w:pStyle w:val="P68B1DB1-Normal13"/>
              <w:jc w:val="center"/>
              <w:rPr>
                <w:rFonts w:cs="Times New Roman"/>
                <w:noProof/>
              </w:rPr>
            </w:pPr>
            <w:r>
              <w:rPr>
                <w:noProof/>
              </w:rPr>
              <w:t>2024</w:t>
            </w:r>
          </w:p>
        </w:tc>
        <w:tc>
          <w:tcPr>
            <w:tcW w:w="3998" w:type="dxa"/>
            <w:shd w:val="clear" w:color="auto" w:fill="C6EFCE"/>
          </w:tcPr>
          <w:p w14:paraId="1653648A" w14:textId="2AF87B8A" w:rsidR="000E48CE" w:rsidRDefault="00FF4C4E">
            <w:pPr>
              <w:pStyle w:val="P68B1DB1-Normal13"/>
              <w:rPr>
                <w:rFonts w:cs="Times New Roman"/>
                <w:noProof/>
              </w:rPr>
            </w:pPr>
            <w:r>
              <w:rPr>
                <w:noProof/>
              </w:rPr>
              <w:t xml:space="preserve">Organisatorisesta ja prosessuaalisesta tehokkuudesta annetun lain voimaantulo, jotta voidaan muuttaa tuomioistuinkartan organisointia toimenpiteen kuvauksen mukaisesti ja parantaa edelleen oikeuslaitoksen menettelyjen tehokkuutta I) prosessioikeutta </w:t>
            </w:r>
            <w:r>
              <w:rPr>
                <w:noProof/>
              </w:rPr>
              <w:t>koskevien uudistusten toteuttaminen menettelyjen nopeuttamiseksi niillä lainkäyttöalueilla, jotka eivät kuulu välitavoite 152:n soveltamisalaan, ii) vaihtoehtoisten riidanratkaisukeinojen käyttöönotto; III) sellaisten prosessilakien uudistaminen, joiden av</w:t>
            </w:r>
            <w:r>
              <w:rPr>
                <w:noProof/>
              </w:rPr>
              <w:t>ulla riidat ratkaistaan ennen kuin ne saatetaan tuomioistuimen käsiteltäväksi; hallinnon tehostaminen ja nopeampi vastaus kansalaisten ja yritysten vaatimuksiin; ja v) yleisesti ottaen joustavamman, tehokkaamman, kansalaisystävällisemmän, kestävämmän ja av</w:t>
            </w:r>
            <w:r>
              <w:rPr>
                <w:noProof/>
              </w:rPr>
              <w:t>oimemman oikeushallinnon aikaansaaminen.</w:t>
            </w:r>
          </w:p>
        </w:tc>
      </w:tr>
      <w:tr w:rsidR="000E48CE" w14:paraId="0991F572" w14:textId="77777777">
        <w:trPr>
          <w:trHeight w:val="309"/>
        </w:trPr>
        <w:tc>
          <w:tcPr>
            <w:tcW w:w="1223" w:type="dxa"/>
            <w:shd w:val="clear" w:color="auto" w:fill="C6EFCE"/>
          </w:tcPr>
          <w:p w14:paraId="6AC988E3" w14:textId="19A83181" w:rsidR="000E48CE" w:rsidRDefault="00FF4C4E">
            <w:pPr>
              <w:pStyle w:val="P68B1DB1-Normal13"/>
              <w:jc w:val="center"/>
              <w:rPr>
                <w:rFonts w:cs="Times New Roman"/>
                <w:noProof/>
              </w:rPr>
            </w:pPr>
            <w:r>
              <w:rPr>
                <w:noProof/>
              </w:rPr>
              <w:t>435</w:t>
            </w:r>
          </w:p>
        </w:tc>
        <w:tc>
          <w:tcPr>
            <w:tcW w:w="1448" w:type="dxa"/>
            <w:shd w:val="clear" w:color="auto" w:fill="C6EFCE"/>
          </w:tcPr>
          <w:p w14:paraId="50956061" w14:textId="647FE991" w:rsidR="000E48CE" w:rsidRDefault="00FF4C4E">
            <w:pPr>
              <w:pStyle w:val="P68B1DB1-Normal13"/>
              <w:jc w:val="center"/>
              <w:rPr>
                <w:rFonts w:cs="Times New Roman"/>
                <w:noProof/>
              </w:rPr>
            </w:pPr>
            <w:r>
              <w:rPr>
                <w:noProof/>
              </w:rPr>
              <w:t>C11.R2</w:t>
            </w:r>
          </w:p>
        </w:tc>
        <w:tc>
          <w:tcPr>
            <w:tcW w:w="966" w:type="dxa"/>
            <w:shd w:val="clear" w:color="auto" w:fill="C6EFCE"/>
          </w:tcPr>
          <w:p w14:paraId="0D9F4315" w14:textId="1A30595D" w:rsidR="000E48CE" w:rsidRDefault="00FF4C4E">
            <w:pPr>
              <w:pStyle w:val="P68B1DB1-Normal13"/>
              <w:jc w:val="center"/>
              <w:rPr>
                <w:rFonts w:cs="Times New Roman"/>
                <w:noProof/>
              </w:rPr>
            </w:pPr>
            <w:r>
              <w:rPr>
                <w:noProof/>
              </w:rPr>
              <w:t>M</w:t>
            </w:r>
          </w:p>
        </w:tc>
        <w:tc>
          <w:tcPr>
            <w:tcW w:w="1631" w:type="dxa"/>
            <w:shd w:val="clear" w:color="auto" w:fill="C6EFCE"/>
          </w:tcPr>
          <w:p w14:paraId="31DD27F0" w14:textId="4BE0F7A9" w:rsidR="000E48CE" w:rsidRDefault="00FF4C4E">
            <w:pPr>
              <w:pStyle w:val="P68B1DB1-Normal13"/>
              <w:rPr>
                <w:rFonts w:cs="Times New Roman"/>
                <w:noProof/>
              </w:rPr>
            </w:pPr>
            <w:r>
              <w:rPr>
                <w:noProof/>
              </w:rPr>
              <w:t>Puolustusoikeutta koskevan lain voimaantulo</w:t>
            </w:r>
          </w:p>
        </w:tc>
        <w:tc>
          <w:tcPr>
            <w:tcW w:w="1442" w:type="dxa"/>
            <w:shd w:val="clear" w:color="auto" w:fill="C6EFCE"/>
          </w:tcPr>
          <w:p w14:paraId="0C51FB95" w14:textId="1089F50D" w:rsidR="000E48CE" w:rsidRDefault="00FF4C4E">
            <w:pPr>
              <w:pStyle w:val="P68B1DB1-Normal13"/>
              <w:jc w:val="center"/>
              <w:rPr>
                <w:rFonts w:cs="Times New Roman"/>
                <w:noProof/>
              </w:rPr>
            </w:pPr>
            <w:r>
              <w:rPr>
                <w:noProof/>
              </w:rPr>
              <w:t>Lain säännös, josta käy ilmi sen voimaantulo</w:t>
            </w:r>
          </w:p>
        </w:tc>
        <w:tc>
          <w:tcPr>
            <w:tcW w:w="1082" w:type="dxa"/>
            <w:shd w:val="clear" w:color="auto" w:fill="C6EFCE"/>
          </w:tcPr>
          <w:p w14:paraId="402D2AFE" w14:textId="77777777" w:rsidR="000E48CE" w:rsidRDefault="000E48CE">
            <w:pPr>
              <w:jc w:val="right"/>
              <w:rPr>
                <w:rFonts w:ascii="Times New Roman" w:hAnsi="Times New Roman" w:cs="Times New Roman"/>
                <w:noProof/>
                <w:sz w:val="18"/>
              </w:rPr>
            </w:pPr>
          </w:p>
        </w:tc>
        <w:tc>
          <w:tcPr>
            <w:tcW w:w="708" w:type="dxa"/>
            <w:shd w:val="clear" w:color="auto" w:fill="C6EFCE"/>
          </w:tcPr>
          <w:p w14:paraId="1FD71E07" w14:textId="77777777" w:rsidR="000E48CE" w:rsidRDefault="000E48CE">
            <w:pPr>
              <w:jc w:val="right"/>
              <w:rPr>
                <w:rFonts w:ascii="Times New Roman" w:hAnsi="Times New Roman" w:cs="Times New Roman"/>
                <w:noProof/>
                <w:sz w:val="18"/>
              </w:rPr>
            </w:pPr>
          </w:p>
        </w:tc>
        <w:tc>
          <w:tcPr>
            <w:tcW w:w="709" w:type="dxa"/>
            <w:shd w:val="clear" w:color="auto" w:fill="C6EFCE"/>
          </w:tcPr>
          <w:p w14:paraId="1AA7BE86" w14:textId="77777777" w:rsidR="000E48CE" w:rsidRDefault="000E48CE">
            <w:pPr>
              <w:jc w:val="right"/>
              <w:rPr>
                <w:rFonts w:ascii="Times New Roman" w:hAnsi="Times New Roman" w:cs="Times New Roman"/>
                <w:noProof/>
                <w:sz w:val="18"/>
              </w:rPr>
            </w:pPr>
          </w:p>
        </w:tc>
        <w:tc>
          <w:tcPr>
            <w:tcW w:w="567" w:type="dxa"/>
            <w:shd w:val="clear" w:color="auto" w:fill="C6EFCE"/>
          </w:tcPr>
          <w:p w14:paraId="3044D533" w14:textId="178AA15B" w:rsidR="000E48CE" w:rsidRDefault="00FF4C4E">
            <w:pPr>
              <w:pStyle w:val="P68B1DB1-Normal13"/>
              <w:jc w:val="center"/>
              <w:rPr>
                <w:rFonts w:cs="Times New Roman"/>
                <w:noProof/>
              </w:rPr>
            </w:pPr>
            <w:r>
              <w:rPr>
                <w:noProof/>
              </w:rPr>
              <w:t>Q4</w:t>
            </w:r>
          </w:p>
        </w:tc>
        <w:tc>
          <w:tcPr>
            <w:tcW w:w="822" w:type="dxa"/>
            <w:shd w:val="clear" w:color="auto" w:fill="C6EFCE"/>
          </w:tcPr>
          <w:p w14:paraId="5BB3DA0C" w14:textId="3C5CEB4A" w:rsidR="000E48CE" w:rsidRDefault="00FF4C4E">
            <w:pPr>
              <w:pStyle w:val="P68B1DB1-Normal13"/>
              <w:jc w:val="center"/>
              <w:rPr>
                <w:rFonts w:cs="Times New Roman"/>
                <w:noProof/>
              </w:rPr>
            </w:pPr>
            <w:r>
              <w:rPr>
                <w:noProof/>
              </w:rPr>
              <w:t>2024</w:t>
            </w:r>
          </w:p>
        </w:tc>
        <w:tc>
          <w:tcPr>
            <w:tcW w:w="3998" w:type="dxa"/>
            <w:shd w:val="clear" w:color="auto" w:fill="C6EFCE"/>
          </w:tcPr>
          <w:p w14:paraId="1DC0D401" w14:textId="53BB3772" w:rsidR="000E48CE" w:rsidRDefault="00FF4C4E">
            <w:pPr>
              <w:pStyle w:val="P68B1DB1-Normal13"/>
              <w:rPr>
                <w:rFonts w:cs="Times New Roman"/>
                <w:noProof/>
              </w:rPr>
            </w:pPr>
            <w:r>
              <w:rPr>
                <w:noProof/>
              </w:rPr>
              <w:t xml:space="preserve">Oikeudesta puolustukseen annetun lain voimaantulo, jotta voidaan kehittää ja tehostaa </w:t>
            </w:r>
            <w:r>
              <w:rPr>
                <w:noProof/>
              </w:rPr>
              <w:t>oikeudenmukaista oikeudenkäyntiä koskevaa perusoikeutta.</w:t>
            </w:r>
          </w:p>
        </w:tc>
      </w:tr>
      <w:tr w:rsidR="000E48CE" w14:paraId="4B2DCC21" w14:textId="77777777">
        <w:trPr>
          <w:trHeight w:val="309"/>
        </w:trPr>
        <w:tc>
          <w:tcPr>
            <w:tcW w:w="1223" w:type="dxa"/>
            <w:shd w:val="clear" w:color="auto" w:fill="C6EFCE"/>
          </w:tcPr>
          <w:p w14:paraId="2C3B7B1E" w14:textId="77777777" w:rsidR="000E48CE" w:rsidRDefault="00FF4C4E">
            <w:pPr>
              <w:pStyle w:val="P68B1DB1-Normal13"/>
              <w:jc w:val="center"/>
              <w:rPr>
                <w:rFonts w:cs="Times New Roman"/>
                <w:noProof/>
              </w:rPr>
            </w:pPr>
            <w:r>
              <w:rPr>
                <w:noProof/>
              </w:rPr>
              <w:t>153</w:t>
            </w:r>
          </w:p>
        </w:tc>
        <w:tc>
          <w:tcPr>
            <w:tcW w:w="1448" w:type="dxa"/>
            <w:shd w:val="clear" w:color="auto" w:fill="C6EFCE"/>
          </w:tcPr>
          <w:p w14:paraId="00EEE9B2" w14:textId="77777777" w:rsidR="000E48CE" w:rsidRDefault="00FF4C4E">
            <w:pPr>
              <w:pStyle w:val="P68B1DB1-Normal13"/>
              <w:jc w:val="center"/>
              <w:rPr>
                <w:rFonts w:cs="Times New Roman"/>
                <w:noProof/>
              </w:rPr>
            </w:pPr>
            <w:r>
              <w:rPr>
                <w:noProof/>
              </w:rPr>
              <w:t>C11.R3</w:t>
            </w:r>
          </w:p>
        </w:tc>
        <w:tc>
          <w:tcPr>
            <w:tcW w:w="966" w:type="dxa"/>
            <w:shd w:val="clear" w:color="auto" w:fill="C6EFCE"/>
          </w:tcPr>
          <w:p w14:paraId="68880331"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44EF4B1D" w14:textId="77777777" w:rsidR="000E48CE" w:rsidRDefault="00FF4C4E">
            <w:pPr>
              <w:pStyle w:val="P68B1DB1-Normal13"/>
              <w:rPr>
                <w:rFonts w:cs="Times New Roman"/>
                <w:noProof/>
              </w:rPr>
            </w:pPr>
            <w:r>
              <w:rPr>
                <w:noProof/>
              </w:rPr>
              <w:t>Caja General de Depósitosin sääntelystä annetun kuninkaan asetuksen 937/2020 voimaantulo</w:t>
            </w:r>
          </w:p>
        </w:tc>
        <w:tc>
          <w:tcPr>
            <w:tcW w:w="1442" w:type="dxa"/>
            <w:shd w:val="clear" w:color="auto" w:fill="C6EFCE"/>
          </w:tcPr>
          <w:p w14:paraId="2B217473" w14:textId="77777777" w:rsidR="000E48CE" w:rsidRDefault="00FF4C4E">
            <w:pPr>
              <w:pStyle w:val="P68B1DB1-Normal13"/>
              <w:jc w:val="center"/>
              <w:rPr>
                <w:rFonts w:cs="Times New Roman"/>
                <w:noProof/>
              </w:rPr>
            </w:pPr>
            <w:r>
              <w:rPr>
                <w:noProof/>
              </w:rPr>
              <w:t>Asetuksen voimaantulopäivän osoittava säännös</w:t>
            </w:r>
          </w:p>
        </w:tc>
        <w:tc>
          <w:tcPr>
            <w:tcW w:w="1082" w:type="dxa"/>
            <w:shd w:val="clear" w:color="auto" w:fill="C6EFCE"/>
          </w:tcPr>
          <w:p w14:paraId="3D7D1C3F"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03B166C5"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47C04ACA"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3701FC34"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6235220B" w14:textId="77777777" w:rsidR="000E48CE" w:rsidRDefault="00FF4C4E">
            <w:pPr>
              <w:pStyle w:val="P68B1DB1-Normal13"/>
              <w:jc w:val="center"/>
              <w:rPr>
                <w:rFonts w:cs="Times New Roman"/>
                <w:noProof/>
              </w:rPr>
            </w:pPr>
            <w:r>
              <w:rPr>
                <w:noProof/>
              </w:rPr>
              <w:t>2020</w:t>
            </w:r>
          </w:p>
        </w:tc>
        <w:tc>
          <w:tcPr>
            <w:tcW w:w="3998" w:type="dxa"/>
            <w:shd w:val="clear" w:color="auto" w:fill="C6EFCE"/>
          </w:tcPr>
          <w:p w14:paraId="2B67E0F4" w14:textId="77777777" w:rsidR="000E48CE" w:rsidRDefault="00FF4C4E">
            <w:pPr>
              <w:pStyle w:val="P68B1DB1-Normal13"/>
              <w:rPr>
                <w:rFonts w:cs="Times New Roman"/>
                <w:noProof/>
              </w:rPr>
            </w:pPr>
            <w:r>
              <w:rPr>
                <w:noProof/>
              </w:rPr>
              <w:t xml:space="preserve">Tuli voimaan 27. lokakuuta annettu kuninkaallinen asetus 937/2020, jolla hyväksyttiin Caja General de Depósitosin asetus, jolla pannaan täytäntöön Cajalle asetettujen vakuuksien ja talletusten digitaalinen hallinta ja jolla poistetaan fyysiset asiakirjat. </w:t>
            </w:r>
            <w:r>
              <w:rPr>
                <w:noProof/>
              </w:rPr>
              <w:t>Kuninkaallisella asetuksella saatetaan ajan tasalle Cajaan talletettujen vakuuksien ja käteiserien asettamista, peruuttamista ja täytäntöönpanoa koskeva menettely. Se edistää myös sähköisten menettelyjen käyttöönottoa Cajassa määrittelemällä sähköisten asi</w:t>
            </w:r>
            <w:r>
              <w:rPr>
                <w:noProof/>
              </w:rPr>
              <w:t>akirjojen toimittamista koskevat säännöt ja kanavat ja tarjoaa tarvittavan oikeudellisen kehyksen menettelyn digitalisointia varten.</w:t>
            </w:r>
          </w:p>
        </w:tc>
      </w:tr>
      <w:tr w:rsidR="000E48CE" w14:paraId="5134B0F4" w14:textId="77777777">
        <w:trPr>
          <w:trHeight w:val="309"/>
        </w:trPr>
        <w:tc>
          <w:tcPr>
            <w:tcW w:w="1223" w:type="dxa"/>
            <w:shd w:val="clear" w:color="auto" w:fill="C6EFCE"/>
          </w:tcPr>
          <w:p w14:paraId="36FCDF83" w14:textId="77777777" w:rsidR="000E48CE" w:rsidRDefault="00FF4C4E">
            <w:pPr>
              <w:pStyle w:val="P68B1DB1-Normal13"/>
              <w:jc w:val="center"/>
              <w:rPr>
                <w:rFonts w:cs="Times New Roman"/>
                <w:noProof/>
              </w:rPr>
            </w:pPr>
            <w:r>
              <w:rPr>
                <w:noProof/>
              </w:rPr>
              <w:t>154</w:t>
            </w:r>
          </w:p>
        </w:tc>
        <w:tc>
          <w:tcPr>
            <w:tcW w:w="1448" w:type="dxa"/>
            <w:shd w:val="clear" w:color="auto" w:fill="C6EFCE"/>
          </w:tcPr>
          <w:p w14:paraId="1E17700C" w14:textId="77777777" w:rsidR="000E48CE" w:rsidRDefault="00FF4C4E">
            <w:pPr>
              <w:pStyle w:val="P68B1DB1-Normal13"/>
              <w:jc w:val="center"/>
              <w:rPr>
                <w:rFonts w:cs="Times New Roman"/>
                <w:noProof/>
              </w:rPr>
            </w:pPr>
            <w:r>
              <w:rPr>
                <w:noProof/>
              </w:rPr>
              <w:t>C11.R3</w:t>
            </w:r>
          </w:p>
        </w:tc>
        <w:tc>
          <w:tcPr>
            <w:tcW w:w="966" w:type="dxa"/>
            <w:shd w:val="clear" w:color="auto" w:fill="C6EFCE"/>
          </w:tcPr>
          <w:p w14:paraId="04322C78"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13E09C3D" w14:textId="77777777" w:rsidR="000E48CE" w:rsidRDefault="00FF4C4E">
            <w:pPr>
              <w:pStyle w:val="P68B1DB1-Normal13"/>
              <w:rPr>
                <w:rFonts w:cs="Times New Roman"/>
                <w:noProof/>
              </w:rPr>
            </w:pPr>
            <w:r>
              <w:rPr>
                <w:noProof/>
              </w:rPr>
              <w:t xml:space="preserve">Kuninkaan asetus tilintarkastuksesta 20 päivänä heinäkuuta 2015 annetun lain 22/2015 täytäntöönpanoasetuksen </w:t>
            </w:r>
            <w:r>
              <w:rPr>
                <w:noProof/>
              </w:rPr>
              <w:t>hyväksymisestä tulee voimaan</w:t>
            </w:r>
          </w:p>
        </w:tc>
        <w:tc>
          <w:tcPr>
            <w:tcW w:w="1442" w:type="dxa"/>
            <w:shd w:val="clear" w:color="auto" w:fill="C6EFCE"/>
          </w:tcPr>
          <w:p w14:paraId="2AD67CD2" w14:textId="77777777" w:rsidR="000E48CE" w:rsidRDefault="00FF4C4E">
            <w:pPr>
              <w:pStyle w:val="P68B1DB1-Normal13"/>
              <w:jc w:val="center"/>
              <w:rPr>
                <w:rFonts w:cs="Times New Roman"/>
                <w:noProof/>
              </w:rPr>
            </w:pPr>
            <w:r>
              <w:rPr>
                <w:noProof/>
              </w:rPr>
              <w:t>Kuninkaan asetuksen säännös, josta käy ilmi kuninkaan asetuksen voimaantulo</w:t>
            </w:r>
          </w:p>
        </w:tc>
        <w:tc>
          <w:tcPr>
            <w:tcW w:w="1082" w:type="dxa"/>
            <w:shd w:val="clear" w:color="auto" w:fill="C6EFCE"/>
          </w:tcPr>
          <w:p w14:paraId="017F41A9"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0A069ACF"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3A6DA355"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1B1FD8B3" w14:textId="77777777" w:rsidR="000E48CE" w:rsidRDefault="00FF4C4E">
            <w:pPr>
              <w:pStyle w:val="P68B1DB1-Normal13"/>
              <w:jc w:val="center"/>
              <w:rPr>
                <w:rFonts w:cs="Times New Roman"/>
                <w:noProof/>
              </w:rPr>
            </w:pPr>
            <w:r>
              <w:rPr>
                <w:noProof/>
              </w:rPr>
              <w:t>Q1</w:t>
            </w:r>
          </w:p>
        </w:tc>
        <w:tc>
          <w:tcPr>
            <w:tcW w:w="822" w:type="dxa"/>
            <w:shd w:val="clear" w:color="auto" w:fill="C6EFCE"/>
          </w:tcPr>
          <w:p w14:paraId="2FC8FA88" w14:textId="77777777" w:rsidR="000E48CE" w:rsidRDefault="00FF4C4E">
            <w:pPr>
              <w:pStyle w:val="P68B1DB1-Normal13"/>
              <w:jc w:val="center"/>
              <w:rPr>
                <w:rFonts w:cs="Times New Roman"/>
                <w:noProof/>
              </w:rPr>
            </w:pPr>
            <w:r>
              <w:rPr>
                <w:noProof/>
              </w:rPr>
              <w:t>2021</w:t>
            </w:r>
          </w:p>
        </w:tc>
        <w:tc>
          <w:tcPr>
            <w:tcW w:w="3998" w:type="dxa"/>
            <w:shd w:val="clear" w:color="auto" w:fill="C6EFCE"/>
          </w:tcPr>
          <w:p w14:paraId="4C401364" w14:textId="77777777" w:rsidR="000E48CE" w:rsidRDefault="00FF4C4E">
            <w:pPr>
              <w:pStyle w:val="P68B1DB1-Normal13"/>
              <w:rPr>
                <w:rFonts w:cs="Times New Roman"/>
                <w:noProof/>
              </w:rPr>
            </w:pPr>
            <w:r>
              <w:rPr>
                <w:noProof/>
              </w:rPr>
              <w:t xml:space="preserve">Kuninkaan asetus tilintarkastuksesta 20. heinäkuuta 2015 annetun lain 22/2015 täytäntöönpanoasetuksen hyväksymisestä tulee voimaan. </w:t>
            </w:r>
            <w:r>
              <w:rPr>
                <w:noProof/>
              </w:rPr>
              <w:t>Uudistuksen tavoitteena on tarjota tilintarkastustoiminnalle parempi oikeusvarmuus, jotta tarkastustoiminnan laatu voidaan saavuttaa riittävällä tavalla. Tilintarkastajille, tilintarkastusyhteisöille ja kaikille tämän asetuksen soveltamisalaan kuuluville t</w:t>
            </w:r>
            <w:r>
              <w:rPr>
                <w:noProof/>
              </w:rPr>
              <w:t>ahoille annetaan näin ollen paremmat takeet ja turvallisuus tilintarkastuslain säännösten tulkinnassa ja soveltamisessa, mikä johtaa samalla tarkastusten parempaan suorittamiseen ja lainsäädäntöön sisältyvien velvoitteiden täyttämiseen.</w:t>
            </w:r>
          </w:p>
        </w:tc>
      </w:tr>
      <w:tr w:rsidR="000E48CE" w14:paraId="130E21AF" w14:textId="77777777">
        <w:trPr>
          <w:trHeight w:val="309"/>
        </w:trPr>
        <w:tc>
          <w:tcPr>
            <w:tcW w:w="1223" w:type="dxa"/>
            <w:shd w:val="clear" w:color="auto" w:fill="C6EFCE"/>
          </w:tcPr>
          <w:p w14:paraId="36E3C197" w14:textId="0105E20B" w:rsidR="000E48CE" w:rsidRDefault="00FF4C4E">
            <w:pPr>
              <w:pStyle w:val="P68B1DB1-Normal13"/>
              <w:jc w:val="center"/>
              <w:rPr>
                <w:rFonts w:cs="Times New Roman"/>
                <w:noProof/>
              </w:rPr>
            </w:pPr>
            <w:r>
              <w:rPr>
                <w:noProof/>
              </w:rPr>
              <w:t>437</w:t>
            </w:r>
          </w:p>
        </w:tc>
        <w:tc>
          <w:tcPr>
            <w:tcW w:w="1448" w:type="dxa"/>
            <w:shd w:val="clear" w:color="auto" w:fill="C6EFCE"/>
          </w:tcPr>
          <w:p w14:paraId="5A867F31" w14:textId="59BD8082" w:rsidR="000E48CE" w:rsidRDefault="00FF4C4E">
            <w:pPr>
              <w:pStyle w:val="P68B1DB1-Normal13"/>
              <w:jc w:val="center"/>
              <w:rPr>
                <w:rFonts w:cs="Times New Roman"/>
                <w:noProof/>
              </w:rPr>
            </w:pPr>
            <w:r>
              <w:rPr>
                <w:noProof/>
              </w:rPr>
              <w:t>C11.R3</w:t>
            </w:r>
          </w:p>
        </w:tc>
        <w:tc>
          <w:tcPr>
            <w:tcW w:w="966" w:type="dxa"/>
            <w:shd w:val="clear" w:color="auto" w:fill="C6EFCE"/>
          </w:tcPr>
          <w:p w14:paraId="74CA639F" w14:textId="55F7E420" w:rsidR="000E48CE" w:rsidRDefault="00FF4C4E">
            <w:pPr>
              <w:pStyle w:val="P68B1DB1-Normal13"/>
              <w:jc w:val="center"/>
              <w:rPr>
                <w:rFonts w:cs="Times New Roman"/>
                <w:noProof/>
              </w:rPr>
            </w:pPr>
            <w:r>
              <w:rPr>
                <w:noProof/>
              </w:rPr>
              <w:t>M</w:t>
            </w:r>
          </w:p>
        </w:tc>
        <w:tc>
          <w:tcPr>
            <w:tcW w:w="1631" w:type="dxa"/>
            <w:shd w:val="clear" w:color="auto" w:fill="C6EFCE"/>
          </w:tcPr>
          <w:p w14:paraId="135CCF63" w14:textId="21F79052" w:rsidR="000E48CE" w:rsidRDefault="00FF4C4E">
            <w:pPr>
              <w:pStyle w:val="P68B1DB1-Normal13"/>
              <w:rPr>
                <w:rFonts w:cs="Times New Roman"/>
                <w:noProof/>
              </w:rPr>
            </w:pPr>
            <w:r>
              <w:rPr>
                <w:noProof/>
              </w:rPr>
              <w:t>Kaksivuotisen ilmastonmuutosriskiraportin julkaiseminen rahoitusjärjestelmää varten ja kestävän rahoituksen neuvoston perustaminen</w:t>
            </w:r>
          </w:p>
        </w:tc>
        <w:tc>
          <w:tcPr>
            <w:tcW w:w="1442" w:type="dxa"/>
            <w:shd w:val="clear" w:color="auto" w:fill="C6EFCE"/>
          </w:tcPr>
          <w:p w14:paraId="6A8CCFEB" w14:textId="31685476" w:rsidR="000E48CE" w:rsidRDefault="00FF4C4E">
            <w:pPr>
              <w:pStyle w:val="P68B1DB1-Normal13"/>
              <w:jc w:val="center"/>
              <w:rPr>
                <w:rFonts w:cs="Times New Roman"/>
                <w:noProof/>
              </w:rPr>
            </w:pPr>
            <w:r>
              <w:rPr>
                <w:noProof/>
              </w:rPr>
              <w:t>Kertomuksen ja neuvoston toimintasuunnitelman julkaiseminen</w:t>
            </w:r>
          </w:p>
        </w:tc>
        <w:tc>
          <w:tcPr>
            <w:tcW w:w="1082" w:type="dxa"/>
            <w:shd w:val="clear" w:color="auto" w:fill="C6EFCE"/>
          </w:tcPr>
          <w:p w14:paraId="37116B19" w14:textId="77777777" w:rsidR="000E48CE" w:rsidRDefault="000E48CE">
            <w:pPr>
              <w:jc w:val="right"/>
              <w:rPr>
                <w:rFonts w:ascii="Times New Roman" w:hAnsi="Times New Roman" w:cs="Times New Roman"/>
                <w:noProof/>
                <w:sz w:val="18"/>
              </w:rPr>
            </w:pPr>
          </w:p>
        </w:tc>
        <w:tc>
          <w:tcPr>
            <w:tcW w:w="708" w:type="dxa"/>
            <w:shd w:val="clear" w:color="auto" w:fill="C6EFCE"/>
          </w:tcPr>
          <w:p w14:paraId="32467A2C" w14:textId="77777777" w:rsidR="000E48CE" w:rsidRDefault="000E48CE">
            <w:pPr>
              <w:jc w:val="right"/>
              <w:rPr>
                <w:rFonts w:ascii="Times New Roman" w:hAnsi="Times New Roman" w:cs="Times New Roman"/>
                <w:noProof/>
                <w:sz w:val="18"/>
              </w:rPr>
            </w:pPr>
          </w:p>
        </w:tc>
        <w:tc>
          <w:tcPr>
            <w:tcW w:w="709" w:type="dxa"/>
            <w:shd w:val="clear" w:color="auto" w:fill="C6EFCE"/>
          </w:tcPr>
          <w:p w14:paraId="54C9A687" w14:textId="77777777" w:rsidR="000E48CE" w:rsidRDefault="000E48CE">
            <w:pPr>
              <w:jc w:val="right"/>
              <w:rPr>
                <w:rFonts w:ascii="Times New Roman" w:hAnsi="Times New Roman" w:cs="Times New Roman"/>
                <w:noProof/>
                <w:sz w:val="18"/>
              </w:rPr>
            </w:pPr>
          </w:p>
        </w:tc>
        <w:tc>
          <w:tcPr>
            <w:tcW w:w="567" w:type="dxa"/>
            <w:shd w:val="clear" w:color="auto" w:fill="C6EFCE"/>
          </w:tcPr>
          <w:p w14:paraId="570659E4" w14:textId="0A7CEEF7" w:rsidR="000E48CE" w:rsidRDefault="00FF4C4E">
            <w:pPr>
              <w:pStyle w:val="P68B1DB1-Normal13"/>
              <w:jc w:val="center"/>
              <w:rPr>
                <w:rFonts w:cs="Times New Roman"/>
                <w:noProof/>
              </w:rPr>
            </w:pPr>
            <w:r>
              <w:rPr>
                <w:noProof/>
              </w:rPr>
              <w:t>Q4</w:t>
            </w:r>
          </w:p>
        </w:tc>
        <w:tc>
          <w:tcPr>
            <w:tcW w:w="822" w:type="dxa"/>
            <w:shd w:val="clear" w:color="auto" w:fill="C6EFCE"/>
          </w:tcPr>
          <w:p w14:paraId="29B3594B" w14:textId="75E820C4" w:rsidR="000E48CE" w:rsidRDefault="00FF4C4E">
            <w:pPr>
              <w:pStyle w:val="P68B1DB1-Normal13"/>
              <w:jc w:val="center"/>
              <w:rPr>
                <w:rFonts w:cs="Times New Roman"/>
                <w:noProof/>
              </w:rPr>
            </w:pPr>
            <w:r>
              <w:rPr>
                <w:noProof/>
              </w:rPr>
              <w:t>2023</w:t>
            </w:r>
          </w:p>
        </w:tc>
        <w:tc>
          <w:tcPr>
            <w:tcW w:w="3998" w:type="dxa"/>
            <w:shd w:val="clear" w:color="auto" w:fill="C6EFCE"/>
          </w:tcPr>
          <w:p w14:paraId="60756770" w14:textId="653DF164" w:rsidR="000E48CE" w:rsidRDefault="00FF4C4E">
            <w:pPr>
              <w:pStyle w:val="P68B1DB1-Normal13"/>
              <w:rPr>
                <w:rFonts w:cs="Times New Roman"/>
                <w:noProof/>
              </w:rPr>
            </w:pPr>
            <w:r>
              <w:rPr>
                <w:noProof/>
              </w:rPr>
              <w:t>Viranomaisten on julkaistava vihreän kirjan kestävän rahoituksen edistämisestä. Lisäksi on toteutettava seuraavat kaksi toimenpidettä: makrovakausviranomaisen finanssimarkkinoiden vakauden valvontaryhmän (AMCESFI) verkkosivustolla julkaistaan ensimmäinen k</w:t>
            </w:r>
            <w:r>
              <w:rPr>
                <w:noProof/>
              </w:rPr>
              <w:t>aksivuotisraportti rahoitusjärjestelmän ilmastonmuutosriskeistä ja energiakäänteestä 20 päivänä toukokuuta 2021 annetun lain 7/2021 33 §:n mukaisesti; ja ii) perustetaan kestävän rahoituksen neuvosto (mukaan lukien julkishallinnon, finanssivalvojien ja yks</w:t>
            </w:r>
            <w:r>
              <w:rPr>
                <w:noProof/>
              </w:rPr>
              <w:t>ityisen sektorin edustajat) foorumiksi, jolla edistetään julkisen ja yksityisen sektorin yhteistyötä kestävän rahoituksen alalla. Neuvosto hyväksyy ensimmäisessä istunnossaan toimintasuunnitelman, jossa esitetään aikataulu ja tavoitteet.</w:t>
            </w:r>
          </w:p>
        </w:tc>
      </w:tr>
      <w:tr w:rsidR="000E48CE" w14:paraId="57839DEC" w14:textId="77777777">
        <w:trPr>
          <w:trHeight w:val="309"/>
        </w:trPr>
        <w:tc>
          <w:tcPr>
            <w:tcW w:w="1223" w:type="dxa"/>
            <w:shd w:val="clear" w:color="auto" w:fill="C6EFCE"/>
          </w:tcPr>
          <w:p w14:paraId="21434385" w14:textId="65ADA631" w:rsidR="000E48CE" w:rsidRDefault="00FF4C4E">
            <w:pPr>
              <w:pStyle w:val="P68B1DB1-Normal13"/>
              <w:jc w:val="center"/>
              <w:rPr>
                <w:rFonts w:cs="Times New Roman"/>
                <w:noProof/>
              </w:rPr>
            </w:pPr>
            <w:r>
              <w:rPr>
                <w:noProof/>
              </w:rPr>
              <w:t>436</w:t>
            </w:r>
          </w:p>
        </w:tc>
        <w:tc>
          <w:tcPr>
            <w:tcW w:w="1448" w:type="dxa"/>
            <w:shd w:val="clear" w:color="auto" w:fill="C6EFCE"/>
          </w:tcPr>
          <w:p w14:paraId="2C8202D6" w14:textId="51CD83AF" w:rsidR="000E48CE" w:rsidRDefault="00FF4C4E">
            <w:pPr>
              <w:pStyle w:val="P68B1DB1-Normal13"/>
              <w:jc w:val="center"/>
              <w:rPr>
                <w:rFonts w:cs="Times New Roman"/>
                <w:noProof/>
              </w:rPr>
            </w:pPr>
            <w:r>
              <w:rPr>
                <w:noProof/>
              </w:rPr>
              <w:t>C11.R3</w:t>
            </w:r>
          </w:p>
        </w:tc>
        <w:tc>
          <w:tcPr>
            <w:tcW w:w="966" w:type="dxa"/>
            <w:shd w:val="clear" w:color="auto" w:fill="C6EFCE"/>
          </w:tcPr>
          <w:p w14:paraId="12B38417" w14:textId="5441C144" w:rsidR="000E48CE" w:rsidRDefault="00FF4C4E">
            <w:pPr>
              <w:pStyle w:val="P68B1DB1-Normal13"/>
              <w:jc w:val="center"/>
              <w:rPr>
                <w:rFonts w:cs="Times New Roman"/>
                <w:noProof/>
              </w:rPr>
            </w:pPr>
            <w:r>
              <w:rPr>
                <w:noProof/>
              </w:rPr>
              <w:t>M</w:t>
            </w:r>
          </w:p>
        </w:tc>
        <w:tc>
          <w:tcPr>
            <w:tcW w:w="1631" w:type="dxa"/>
            <w:shd w:val="clear" w:color="auto" w:fill="C6EFCE"/>
          </w:tcPr>
          <w:p w14:paraId="0BDF309D" w14:textId="79A02EBB" w:rsidR="000E48CE" w:rsidRDefault="00FF4C4E">
            <w:pPr>
              <w:pStyle w:val="P68B1DB1-Normal13"/>
              <w:rPr>
                <w:rFonts w:cs="Times New Roman"/>
                <w:noProof/>
              </w:rPr>
            </w:pPr>
            <w:r>
              <w:rPr>
                <w:noProof/>
              </w:rPr>
              <w:t>Asiakaspalvelulain ja rahoitusasiakkaiden suojelusta vastaavan viranomaisen perustamisesta annetun lain voimaantulo</w:t>
            </w:r>
          </w:p>
        </w:tc>
        <w:tc>
          <w:tcPr>
            <w:tcW w:w="1442" w:type="dxa"/>
            <w:shd w:val="clear" w:color="auto" w:fill="C6EFCE"/>
          </w:tcPr>
          <w:p w14:paraId="0C58AABD" w14:textId="112DC4C1" w:rsidR="000E48CE" w:rsidRDefault="00FF4C4E">
            <w:pPr>
              <w:pStyle w:val="P68B1DB1-Normal13"/>
              <w:jc w:val="center"/>
              <w:rPr>
                <w:rFonts w:cs="Times New Roman"/>
                <w:noProof/>
              </w:rPr>
            </w:pPr>
            <w:r>
              <w:rPr>
                <w:noProof/>
              </w:rPr>
              <w:t>Lain (lakien) säännös, josta käy ilmi lain (lakien) voimaantulo</w:t>
            </w:r>
          </w:p>
        </w:tc>
        <w:tc>
          <w:tcPr>
            <w:tcW w:w="1082" w:type="dxa"/>
            <w:shd w:val="clear" w:color="auto" w:fill="C6EFCE"/>
          </w:tcPr>
          <w:p w14:paraId="409AD4E0" w14:textId="77777777" w:rsidR="000E48CE" w:rsidRDefault="000E48CE">
            <w:pPr>
              <w:jc w:val="right"/>
              <w:rPr>
                <w:rFonts w:ascii="Times New Roman" w:hAnsi="Times New Roman" w:cs="Times New Roman"/>
                <w:noProof/>
                <w:sz w:val="18"/>
              </w:rPr>
            </w:pPr>
          </w:p>
        </w:tc>
        <w:tc>
          <w:tcPr>
            <w:tcW w:w="708" w:type="dxa"/>
            <w:shd w:val="clear" w:color="auto" w:fill="C6EFCE"/>
          </w:tcPr>
          <w:p w14:paraId="0EE56268" w14:textId="77777777" w:rsidR="000E48CE" w:rsidRDefault="000E48CE">
            <w:pPr>
              <w:jc w:val="right"/>
              <w:rPr>
                <w:rFonts w:ascii="Times New Roman" w:hAnsi="Times New Roman" w:cs="Times New Roman"/>
                <w:noProof/>
                <w:sz w:val="18"/>
              </w:rPr>
            </w:pPr>
          </w:p>
        </w:tc>
        <w:tc>
          <w:tcPr>
            <w:tcW w:w="709" w:type="dxa"/>
            <w:shd w:val="clear" w:color="auto" w:fill="C6EFCE"/>
          </w:tcPr>
          <w:p w14:paraId="10FCD8C5" w14:textId="77777777" w:rsidR="000E48CE" w:rsidRDefault="000E48CE">
            <w:pPr>
              <w:jc w:val="right"/>
              <w:rPr>
                <w:rFonts w:ascii="Times New Roman" w:hAnsi="Times New Roman" w:cs="Times New Roman"/>
                <w:noProof/>
                <w:sz w:val="18"/>
              </w:rPr>
            </w:pPr>
          </w:p>
        </w:tc>
        <w:tc>
          <w:tcPr>
            <w:tcW w:w="567" w:type="dxa"/>
            <w:shd w:val="clear" w:color="auto" w:fill="C6EFCE"/>
          </w:tcPr>
          <w:p w14:paraId="4F14BEC1" w14:textId="23E1EDAB" w:rsidR="000E48CE" w:rsidRDefault="00FF4C4E">
            <w:pPr>
              <w:pStyle w:val="P68B1DB1-Normal13"/>
              <w:jc w:val="center"/>
              <w:rPr>
                <w:rFonts w:cs="Times New Roman"/>
                <w:noProof/>
              </w:rPr>
            </w:pPr>
            <w:r>
              <w:rPr>
                <w:noProof/>
              </w:rPr>
              <w:t>Q4</w:t>
            </w:r>
          </w:p>
        </w:tc>
        <w:tc>
          <w:tcPr>
            <w:tcW w:w="822" w:type="dxa"/>
            <w:shd w:val="clear" w:color="auto" w:fill="C6EFCE"/>
          </w:tcPr>
          <w:p w14:paraId="69E6CD00" w14:textId="2D676C86" w:rsidR="000E48CE" w:rsidRDefault="00FF4C4E">
            <w:pPr>
              <w:pStyle w:val="P68B1DB1-Normal13"/>
              <w:jc w:val="center"/>
              <w:rPr>
                <w:rFonts w:cs="Times New Roman"/>
                <w:noProof/>
              </w:rPr>
            </w:pPr>
            <w:r>
              <w:rPr>
                <w:noProof/>
              </w:rPr>
              <w:t>2024</w:t>
            </w:r>
          </w:p>
        </w:tc>
        <w:tc>
          <w:tcPr>
            <w:tcW w:w="3998" w:type="dxa"/>
            <w:shd w:val="clear" w:color="auto" w:fill="C6EFCE"/>
          </w:tcPr>
          <w:p w14:paraId="56535F80" w14:textId="73BB1B61" w:rsidR="000E48CE" w:rsidRDefault="00FF4C4E">
            <w:pPr>
              <w:pStyle w:val="P68B1DB1-Normal13"/>
              <w:rPr>
                <w:rFonts w:cs="Times New Roman"/>
                <w:noProof/>
              </w:rPr>
            </w:pPr>
            <w:r>
              <w:rPr>
                <w:noProof/>
              </w:rPr>
              <w:t xml:space="preserve">Tuli voimaan i) laki asiakaspalveluista ja b) laki </w:t>
            </w:r>
            <w:r>
              <w:rPr>
                <w:noProof/>
              </w:rPr>
              <w:t>rahoitusasiakkaiden suojelusta vastaavan viranomaisen perustamisesta. Uudessa asiakaspalvelulaissa määritellään toimet, joilla taataan, että kuluttajat voivat käyttää oikeuksiaan allekirjoitettujen sopimusten osalta, ja vahvistetaan laatuvaatimukset ja val</w:t>
            </w:r>
            <w:r>
              <w:rPr>
                <w:noProof/>
              </w:rPr>
              <w:t>vonta- tai tarkastusvaatimukset edellä mainittujen toimien täytäntöönpanon todentamiseksi.</w:t>
            </w:r>
          </w:p>
        </w:tc>
      </w:tr>
      <w:tr w:rsidR="000E48CE" w14:paraId="5A7D8430" w14:textId="77777777">
        <w:trPr>
          <w:trHeight w:val="309"/>
        </w:trPr>
        <w:tc>
          <w:tcPr>
            <w:tcW w:w="1223" w:type="dxa"/>
            <w:shd w:val="clear" w:color="auto" w:fill="C6EFCE"/>
          </w:tcPr>
          <w:p w14:paraId="6D75615F" w14:textId="77777777" w:rsidR="000E48CE" w:rsidRDefault="00FF4C4E">
            <w:pPr>
              <w:pStyle w:val="P68B1DB1-Normal13"/>
              <w:jc w:val="center"/>
              <w:rPr>
                <w:rFonts w:cs="Times New Roman"/>
                <w:noProof/>
              </w:rPr>
            </w:pPr>
            <w:r>
              <w:rPr>
                <w:noProof/>
              </w:rPr>
              <w:t>155</w:t>
            </w:r>
          </w:p>
        </w:tc>
        <w:tc>
          <w:tcPr>
            <w:tcW w:w="1448" w:type="dxa"/>
            <w:shd w:val="clear" w:color="auto" w:fill="C6EFCE"/>
          </w:tcPr>
          <w:p w14:paraId="4B256675" w14:textId="77777777" w:rsidR="000E48CE" w:rsidRDefault="00FF4C4E">
            <w:pPr>
              <w:pStyle w:val="P68B1DB1-Normal13"/>
              <w:jc w:val="center"/>
              <w:rPr>
                <w:rFonts w:cs="Times New Roman"/>
                <w:noProof/>
              </w:rPr>
            </w:pPr>
            <w:r>
              <w:rPr>
                <w:noProof/>
              </w:rPr>
              <w:t>C11.R4</w:t>
            </w:r>
          </w:p>
        </w:tc>
        <w:tc>
          <w:tcPr>
            <w:tcW w:w="966" w:type="dxa"/>
            <w:shd w:val="clear" w:color="auto" w:fill="C6EFCE"/>
          </w:tcPr>
          <w:p w14:paraId="74D87489"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2EFBAA66" w14:textId="77777777" w:rsidR="000E48CE" w:rsidRDefault="00FF4C4E">
            <w:pPr>
              <w:pStyle w:val="P68B1DB1-Normal13"/>
              <w:rPr>
                <w:rFonts w:cs="Times New Roman"/>
                <w:noProof/>
              </w:rPr>
            </w:pPr>
            <w:r>
              <w:rPr>
                <w:noProof/>
              </w:rPr>
              <w:t xml:space="preserve">Kansallisen arviointiviraston perustamisesta annetun ministeriön päätöksen voimaantulo </w:t>
            </w:r>
          </w:p>
        </w:tc>
        <w:tc>
          <w:tcPr>
            <w:tcW w:w="1442" w:type="dxa"/>
            <w:shd w:val="clear" w:color="auto" w:fill="C6EFCE"/>
          </w:tcPr>
          <w:p w14:paraId="07C4E400" w14:textId="77777777" w:rsidR="000E48CE" w:rsidRDefault="00FF4C4E">
            <w:pPr>
              <w:pStyle w:val="P68B1DB1-Normal13"/>
              <w:jc w:val="center"/>
              <w:rPr>
                <w:rFonts w:cs="Times New Roman"/>
                <w:noProof/>
              </w:rPr>
            </w:pPr>
            <w:r>
              <w:rPr>
                <w:noProof/>
              </w:rPr>
              <w:t xml:space="preserve">Ministeriön päätöksen voimaantulopäivän osoittava säännös </w:t>
            </w:r>
          </w:p>
        </w:tc>
        <w:tc>
          <w:tcPr>
            <w:tcW w:w="1082" w:type="dxa"/>
            <w:shd w:val="clear" w:color="auto" w:fill="C6EFCE"/>
          </w:tcPr>
          <w:p w14:paraId="276B786B"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60F75EFC"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0D03D9A5"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67C1383A"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7A96E621" w14:textId="77777777" w:rsidR="000E48CE" w:rsidRDefault="00FF4C4E">
            <w:pPr>
              <w:pStyle w:val="P68B1DB1-Normal13"/>
              <w:jc w:val="center"/>
              <w:rPr>
                <w:rFonts w:cs="Times New Roman"/>
                <w:noProof/>
              </w:rPr>
            </w:pPr>
            <w:r>
              <w:rPr>
                <w:noProof/>
              </w:rPr>
              <w:t>2021</w:t>
            </w:r>
          </w:p>
        </w:tc>
        <w:tc>
          <w:tcPr>
            <w:tcW w:w="3998" w:type="dxa"/>
            <w:shd w:val="clear" w:color="auto" w:fill="C6EFCE"/>
          </w:tcPr>
          <w:p w14:paraId="0A0770C2" w14:textId="77777777" w:rsidR="000E48CE" w:rsidRDefault="00FF4C4E">
            <w:pPr>
              <w:pStyle w:val="P68B1DB1-Normal13"/>
              <w:rPr>
                <w:rFonts w:cs="Times New Roman"/>
                <w:noProof/>
              </w:rPr>
            </w:pPr>
            <w:r>
              <w:rPr>
                <w:noProof/>
              </w:rPr>
              <w:t>Ministeriön päätös kansallisen arviointiviraston (</w:t>
            </w:r>
            <w:r>
              <w:rPr>
                <w:i/>
                <w:noProof/>
              </w:rPr>
              <w:t>Oficina Nacional de Evaluación</w:t>
            </w:r>
            <w:r>
              <w:rPr>
                <w:noProof/>
              </w:rPr>
              <w:t>) perustamisesta julkisten hankintojen sääntely- ja valvontavirastoon (OIReScon) tulee voimaan. Julkisista hankinnoista annetun lain 9/2017 333 §:n mukaan virasto arv</w:t>
            </w:r>
            <w:r>
              <w:rPr>
                <w:noProof/>
              </w:rPr>
              <w:t>ioi käyttöoikeussopimusten taloudellista kestävyyttä, sellaisena kuin se on määritelty julkisista hankinnoista annetun lain 9/2017 14 ja 15 §:ssä. Ministeriön asetuksella annetaan virastolle valtuudet ja keinot hoitaa tehtäviään.</w:t>
            </w:r>
          </w:p>
        </w:tc>
      </w:tr>
      <w:tr w:rsidR="000E48CE" w14:paraId="22BF9568" w14:textId="77777777">
        <w:trPr>
          <w:trHeight w:val="309"/>
        </w:trPr>
        <w:tc>
          <w:tcPr>
            <w:tcW w:w="1223" w:type="dxa"/>
            <w:shd w:val="clear" w:color="auto" w:fill="C6EFCE"/>
          </w:tcPr>
          <w:p w14:paraId="1C450ABE" w14:textId="77777777" w:rsidR="000E48CE" w:rsidRDefault="00FF4C4E">
            <w:pPr>
              <w:pStyle w:val="P68B1DB1-Normal13"/>
              <w:jc w:val="center"/>
              <w:rPr>
                <w:rFonts w:cs="Times New Roman"/>
                <w:noProof/>
              </w:rPr>
            </w:pPr>
            <w:r>
              <w:rPr>
                <w:noProof/>
              </w:rPr>
              <w:t>156</w:t>
            </w:r>
          </w:p>
        </w:tc>
        <w:tc>
          <w:tcPr>
            <w:tcW w:w="1448" w:type="dxa"/>
            <w:shd w:val="clear" w:color="auto" w:fill="C6EFCE"/>
          </w:tcPr>
          <w:p w14:paraId="1FB9E4AE" w14:textId="77777777" w:rsidR="000E48CE" w:rsidRDefault="00FF4C4E">
            <w:pPr>
              <w:pStyle w:val="P68B1DB1-Normal13"/>
              <w:jc w:val="center"/>
              <w:rPr>
                <w:rFonts w:cs="Times New Roman"/>
                <w:noProof/>
              </w:rPr>
            </w:pPr>
            <w:r>
              <w:rPr>
                <w:noProof/>
              </w:rPr>
              <w:t>C11.R4</w:t>
            </w:r>
          </w:p>
        </w:tc>
        <w:tc>
          <w:tcPr>
            <w:tcW w:w="966" w:type="dxa"/>
            <w:shd w:val="clear" w:color="auto" w:fill="C6EFCE"/>
          </w:tcPr>
          <w:p w14:paraId="3986AFE4"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7F169F02" w14:textId="77777777" w:rsidR="000E48CE" w:rsidRDefault="00FF4C4E">
            <w:pPr>
              <w:pStyle w:val="P68B1DB1-Normal13"/>
              <w:rPr>
                <w:rFonts w:cs="Times New Roman"/>
                <w:noProof/>
              </w:rPr>
            </w:pPr>
            <w:r>
              <w:rPr>
                <w:noProof/>
              </w:rPr>
              <w:t xml:space="preserve">Kansallinen </w:t>
            </w:r>
            <w:r>
              <w:rPr>
                <w:noProof/>
              </w:rPr>
              <w:t>hankintastrategia</w:t>
            </w:r>
          </w:p>
        </w:tc>
        <w:tc>
          <w:tcPr>
            <w:tcW w:w="1442" w:type="dxa"/>
            <w:shd w:val="clear" w:color="auto" w:fill="C6EFCE"/>
          </w:tcPr>
          <w:p w14:paraId="21DF001F" w14:textId="77777777" w:rsidR="000E48CE" w:rsidRDefault="00FF4C4E">
            <w:pPr>
              <w:pStyle w:val="P68B1DB1-Normal13"/>
              <w:jc w:val="center"/>
              <w:rPr>
                <w:rFonts w:cs="Times New Roman"/>
                <w:noProof/>
              </w:rPr>
            </w:pPr>
            <w:r>
              <w:rPr>
                <w:noProof/>
              </w:rPr>
              <w:t>Riippumaton julkisten hankintojen sääntely- ja valvontavirasto hyväksyy kansallisen hankintastrategian</w:t>
            </w:r>
          </w:p>
        </w:tc>
        <w:tc>
          <w:tcPr>
            <w:tcW w:w="1082" w:type="dxa"/>
            <w:shd w:val="clear" w:color="auto" w:fill="C6EFCE"/>
          </w:tcPr>
          <w:p w14:paraId="03146A6D"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41437DD0"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553E6077"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5507A625"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217DCF61" w14:textId="77777777" w:rsidR="000E48CE" w:rsidRDefault="00FF4C4E">
            <w:pPr>
              <w:pStyle w:val="P68B1DB1-Normal13"/>
              <w:jc w:val="center"/>
              <w:rPr>
                <w:rFonts w:cs="Times New Roman"/>
                <w:noProof/>
              </w:rPr>
            </w:pPr>
            <w:r>
              <w:rPr>
                <w:noProof/>
              </w:rPr>
              <w:t>2022</w:t>
            </w:r>
          </w:p>
        </w:tc>
        <w:tc>
          <w:tcPr>
            <w:tcW w:w="3998" w:type="dxa"/>
            <w:shd w:val="clear" w:color="auto" w:fill="C6EFCE"/>
          </w:tcPr>
          <w:p w14:paraId="72899254" w14:textId="77777777" w:rsidR="000E48CE" w:rsidRDefault="00FF4C4E">
            <w:pPr>
              <w:pStyle w:val="P68B1DB1-Normal13"/>
              <w:rPr>
                <w:rFonts w:cs="Times New Roman"/>
                <w:noProof/>
              </w:rPr>
            </w:pPr>
            <w:r>
              <w:rPr>
                <w:noProof/>
              </w:rPr>
              <w:t>Lain 9/2017 334 artiklan vaatimusten mukaisesti kansallisen hankintastrategian tavoitteena on julkisten hankintojen tehokkuuden ja kestävyyden parantaminen. Strategiaan on sisällyttävä seuraavat osatekijät: strategisten julkisten hankintojen edistäminen; a</w:t>
            </w:r>
            <w:r>
              <w:rPr>
                <w:noProof/>
              </w:rPr>
              <w:t>mmattimaistaminen; helpottaa pk-yritysten pääsyä julkisiin hankintoihin; saatavilla olevien tietojen parantaminen; v) julkisten hankintojen tehokkuuden edistäminen; julkisten hankintojen täydellinen digitaalinen muutos; VII) oikeusvarmuuden parantaminen; V</w:t>
            </w:r>
            <w:r>
              <w:rPr>
                <w:noProof/>
              </w:rPr>
              <w:t xml:space="preserve">III) julkisten hankintojen valvonnan parantaminen, mukaan lukien korruption ehkäiseminen tunnistettujen riskien kartan perusteella. </w:t>
            </w:r>
          </w:p>
        </w:tc>
      </w:tr>
      <w:tr w:rsidR="000E48CE" w14:paraId="176C6745" w14:textId="77777777">
        <w:trPr>
          <w:trHeight w:val="309"/>
        </w:trPr>
        <w:tc>
          <w:tcPr>
            <w:tcW w:w="1223" w:type="dxa"/>
            <w:shd w:val="clear" w:color="auto" w:fill="C6EFCE"/>
          </w:tcPr>
          <w:p w14:paraId="2AD3780C" w14:textId="77777777" w:rsidR="000E48CE" w:rsidRDefault="00FF4C4E">
            <w:pPr>
              <w:pStyle w:val="P68B1DB1-Normal13"/>
              <w:jc w:val="center"/>
              <w:rPr>
                <w:rFonts w:cs="Times New Roman"/>
                <w:noProof/>
              </w:rPr>
            </w:pPr>
            <w:r>
              <w:rPr>
                <w:noProof/>
              </w:rPr>
              <w:t>157</w:t>
            </w:r>
          </w:p>
        </w:tc>
        <w:tc>
          <w:tcPr>
            <w:tcW w:w="1448" w:type="dxa"/>
            <w:shd w:val="clear" w:color="auto" w:fill="C6EFCE"/>
          </w:tcPr>
          <w:p w14:paraId="0DB11FDB" w14:textId="77777777" w:rsidR="000E48CE" w:rsidRDefault="00FF4C4E">
            <w:pPr>
              <w:pStyle w:val="P68B1DB1-Normal13"/>
              <w:jc w:val="center"/>
              <w:rPr>
                <w:rFonts w:cs="Times New Roman"/>
                <w:noProof/>
              </w:rPr>
            </w:pPr>
            <w:r>
              <w:rPr>
                <w:noProof/>
              </w:rPr>
              <w:t>C11.R5</w:t>
            </w:r>
          </w:p>
        </w:tc>
        <w:tc>
          <w:tcPr>
            <w:tcW w:w="966" w:type="dxa"/>
            <w:shd w:val="clear" w:color="auto" w:fill="C6EFCE"/>
          </w:tcPr>
          <w:p w14:paraId="5F1FD093"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62918432" w14:textId="77777777" w:rsidR="000E48CE" w:rsidRDefault="00FF4C4E">
            <w:pPr>
              <w:pStyle w:val="P68B1DB1-Normal13"/>
              <w:rPr>
                <w:rFonts w:cs="Times New Roman"/>
                <w:noProof/>
              </w:rPr>
            </w:pPr>
            <w:r>
              <w:rPr>
                <w:noProof/>
              </w:rPr>
              <w:t>Elpymis-, muutos- ja palautumissuunnitelman täytäntöönpanosta annetun kuninkaan asetuksen 36/2020 voimaantulo</w:t>
            </w:r>
          </w:p>
        </w:tc>
        <w:tc>
          <w:tcPr>
            <w:tcW w:w="1442" w:type="dxa"/>
            <w:shd w:val="clear" w:color="auto" w:fill="C6EFCE"/>
          </w:tcPr>
          <w:p w14:paraId="0389687B" w14:textId="77777777" w:rsidR="000E48CE" w:rsidRDefault="00FF4C4E">
            <w:pPr>
              <w:pStyle w:val="P68B1DB1-Normal13"/>
              <w:jc w:val="center"/>
              <w:rPr>
                <w:rFonts w:cs="Times New Roman"/>
                <w:noProof/>
              </w:rPr>
            </w:pPr>
            <w:r>
              <w:rPr>
                <w:noProof/>
              </w:rPr>
              <w:t>Kuninkaan asetuksen säännös, josta käy ilmi kuninkaan asetuksen voimaantulo</w:t>
            </w:r>
          </w:p>
        </w:tc>
        <w:tc>
          <w:tcPr>
            <w:tcW w:w="1082" w:type="dxa"/>
            <w:shd w:val="clear" w:color="auto" w:fill="C6EFCE"/>
          </w:tcPr>
          <w:p w14:paraId="4979E2E4"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6402251C"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41568CAC"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305F72BC" w14:textId="77777777" w:rsidR="000E48CE" w:rsidRDefault="00FF4C4E">
            <w:pPr>
              <w:pStyle w:val="P68B1DB1-Normal13"/>
              <w:jc w:val="center"/>
              <w:rPr>
                <w:rFonts w:cs="Times New Roman"/>
                <w:noProof/>
              </w:rPr>
            </w:pPr>
            <w:r>
              <w:rPr>
                <w:noProof/>
              </w:rPr>
              <w:t>Q1</w:t>
            </w:r>
          </w:p>
        </w:tc>
        <w:tc>
          <w:tcPr>
            <w:tcW w:w="822" w:type="dxa"/>
            <w:shd w:val="clear" w:color="auto" w:fill="C6EFCE"/>
          </w:tcPr>
          <w:p w14:paraId="58C15E60" w14:textId="77777777" w:rsidR="000E48CE" w:rsidRDefault="00FF4C4E">
            <w:pPr>
              <w:pStyle w:val="P68B1DB1-Normal13"/>
              <w:jc w:val="center"/>
              <w:rPr>
                <w:rFonts w:cs="Times New Roman"/>
                <w:noProof/>
              </w:rPr>
            </w:pPr>
            <w:r>
              <w:rPr>
                <w:noProof/>
              </w:rPr>
              <w:t>2021</w:t>
            </w:r>
          </w:p>
        </w:tc>
        <w:tc>
          <w:tcPr>
            <w:tcW w:w="3998" w:type="dxa"/>
            <w:shd w:val="clear" w:color="auto" w:fill="C6EFCE"/>
          </w:tcPr>
          <w:p w14:paraId="0D4E7F0A" w14:textId="77777777" w:rsidR="000E48CE" w:rsidRDefault="00FF4C4E">
            <w:pPr>
              <w:pStyle w:val="P68B1DB1-Normal13"/>
              <w:rPr>
                <w:rFonts w:cs="Times New Roman"/>
                <w:noProof/>
              </w:rPr>
            </w:pPr>
            <w:r>
              <w:rPr>
                <w:noProof/>
              </w:rPr>
              <w:t>Julkishallinnon nykyaikaistamista ja Espanjan elpymis- ja palautumissuunnitelman täytäntöönpanoa koskevien kiireellisten toimenpiteiden hyväksymisestä 30 päivänä joulukuuta annetun kuninkaallisen asetuksen 36/2020 voimaantulo, jolla annetaan Espanjan julki</w:t>
            </w:r>
            <w:r>
              <w:rPr>
                <w:noProof/>
              </w:rPr>
              <w:t>shallinnoille keinot, myös oikeudelliset välineet, panna elpymis- ja palautumissuunnitelma täytäntöön oikea-aikaisesti ja EU:n lainsäädännön, myös elpymis- ja palautumistukivälinettä koskevan asetuksen, mukaisesti. Kuninkaan asetuksella otetaan käyttöön sä</w:t>
            </w:r>
            <w:r>
              <w:rPr>
                <w:noProof/>
              </w:rPr>
              <w:t>äntelyuudistuksia, joilla nopeutetaan hankkeiden toteuttamista ja tehostetaan julkisia menoja säilyttäen aina EU:n sääntelykehyksen edellyttämät takeet ja valvonta.</w:t>
            </w:r>
          </w:p>
        </w:tc>
      </w:tr>
      <w:tr w:rsidR="000E48CE" w14:paraId="1021F9E9" w14:textId="77777777">
        <w:trPr>
          <w:trHeight w:val="309"/>
        </w:trPr>
        <w:tc>
          <w:tcPr>
            <w:tcW w:w="1223" w:type="dxa"/>
            <w:shd w:val="clear" w:color="auto" w:fill="C6EFCE"/>
          </w:tcPr>
          <w:p w14:paraId="34C2843B" w14:textId="77777777" w:rsidR="000E48CE" w:rsidRDefault="00FF4C4E">
            <w:pPr>
              <w:pStyle w:val="P68B1DB1-Normal13"/>
              <w:jc w:val="center"/>
              <w:rPr>
                <w:rFonts w:cs="Times New Roman"/>
                <w:noProof/>
              </w:rPr>
            </w:pPr>
            <w:r>
              <w:rPr>
                <w:noProof/>
              </w:rPr>
              <w:t>158</w:t>
            </w:r>
          </w:p>
        </w:tc>
        <w:tc>
          <w:tcPr>
            <w:tcW w:w="1448" w:type="dxa"/>
            <w:shd w:val="clear" w:color="auto" w:fill="C6EFCE"/>
          </w:tcPr>
          <w:p w14:paraId="25578DD2" w14:textId="77777777" w:rsidR="000E48CE" w:rsidRDefault="00FF4C4E">
            <w:pPr>
              <w:pStyle w:val="P68B1DB1-Normal13"/>
              <w:jc w:val="center"/>
              <w:rPr>
                <w:rFonts w:cs="Times New Roman"/>
                <w:noProof/>
              </w:rPr>
            </w:pPr>
            <w:r>
              <w:rPr>
                <w:noProof/>
              </w:rPr>
              <w:t>C11.R5</w:t>
            </w:r>
          </w:p>
        </w:tc>
        <w:tc>
          <w:tcPr>
            <w:tcW w:w="966" w:type="dxa"/>
            <w:shd w:val="clear" w:color="auto" w:fill="C6EFCE"/>
          </w:tcPr>
          <w:p w14:paraId="2AE88895"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35CC870F" w14:textId="77777777" w:rsidR="000E48CE" w:rsidRDefault="00FF4C4E">
            <w:pPr>
              <w:pStyle w:val="P68B1DB1-Normal13"/>
              <w:rPr>
                <w:rFonts w:cs="Times New Roman"/>
                <w:noProof/>
              </w:rPr>
            </w:pPr>
            <w:r>
              <w:rPr>
                <w:noProof/>
              </w:rPr>
              <w:t xml:space="preserve">Uusien elinten perustaminen keskushallintoon suunnitelman täytäntöönpanon, </w:t>
            </w:r>
            <w:r>
              <w:rPr>
                <w:noProof/>
              </w:rPr>
              <w:t>valvonnan ja tarkastuksen seurantaa varten.</w:t>
            </w:r>
          </w:p>
        </w:tc>
        <w:tc>
          <w:tcPr>
            <w:tcW w:w="1442" w:type="dxa"/>
            <w:shd w:val="clear" w:color="auto" w:fill="C6EFCE"/>
          </w:tcPr>
          <w:p w14:paraId="02661681" w14:textId="77777777" w:rsidR="000E48CE" w:rsidRDefault="00FF4C4E">
            <w:pPr>
              <w:pStyle w:val="P68B1DB1-Normal13"/>
              <w:jc w:val="center"/>
              <w:rPr>
                <w:rFonts w:cs="Times New Roman"/>
                <w:noProof/>
              </w:rPr>
            </w:pPr>
            <w:r>
              <w:rPr>
                <w:noProof/>
              </w:rPr>
              <w:t>Julkaiseminen EUVL:ssä</w:t>
            </w:r>
          </w:p>
        </w:tc>
        <w:tc>
          <w:tcPr>
            <w:tcW w:w="1082" w:type="dxa"/>
            <w:shd w:val="clear" w:color="auto" w:fill="C6EFCE"/>
          </w:tcPr>
          <w:p w14:paraId="217A145A" w14:textId="77777777" w:rsidR="000E48CE" w:rsidRDefault="00FF4C4E">
            <w:pPr>
              <w:pStyle w:val="P68B1DB1-Normal13"/>
              <w:jc w:val="right"/>
              <w:rPr>
                <w:rFonts w:cs="Times New Roman"/>
                <w:noProof/>
              </w:rPr>
            </w:pPr>
            <w:r>
              <w:rPr>
                <w:noProof/>
              </w:rPr>
              <w:t> </w:t>
            </w:r>
          </w:p>
        </w:tc>
        <w:tc>
          <w:tcPr>
            <w:tcW w:w="708" w:type="dxa"/>
            <w:shd w:val="clear" w:color="auto" w:fill="C6EFCE"/>
          </w:tcPr>
          <w:p w14:paraId="636B9118" w14:textId="77777777" w:rsidR="000E48CE" w:rsidRDefault="00FF4C4E">
            <w:pPr>
              <w:pStyle w:val="P68B1DB1-Normal13"/>
              <w:jc w:val="right"/>
              <w:rPr>
                <w:rFonts w:cs="Times New Roman"/>
                <w:noProof/>
              </w:rPr>
            </w:pPr>
            <w:r>
              <w:rPr>
                <w:noProof/>
              </w:rPr>
              <w:t> </w:t>
            </w:r>
          </w:p>
        </w:tc>
        <w:tc>
          <w:tcPr>
            <w:tcW w:w="709" w:type="dxa"/>
            <w:shd w:val="clear" w:color="auto" w:fill="C6EFCE"/>
          </w:tcPr>
          <w:p w14:paraId="30AA32BE" w14:textId="77777777" w:rsidR="000E48CE" w:rsidRDefault="00FF4C4E">
            <w:pPr>
              <w:pStyle w:val="P68B1DB1-Normal13"/>
              <w:jc w:val="right"/>
              <w:rPr>
                <w:rFonts w:cs="Times New Roman"/>
                <w:noProof/>
              </w:rPr>
            </w:pPr>
            <w:r>
              <w:rPr>
                <w:noProof/>
              </w:rPr>
              <w:t> </w:t>
            </w:r>
          </w:p>
        </w:tc>
        <w:tc>
          <w:tcPr>
            <w:tcW w:w="567" w:type="dxa"/>
            <w:shd w:val="clear" w:color="auto" w:fill="C6EFCE"/>
          </w:tcPr>
          <w:p w14:paraId="0C696184" w14:textId="77777777" w:rsidR="000E48CE" w:rsidRDefault="00FF4C4E">
            <w:pPr>
              <w:pStyle w:val="P68B1DB1-Normal13"/>
              <w:jc w:val="center"/>
              <w:rPr>
                <w:rFonts w:cs="Times New Roman"/>
                <w:noProof/>
              </w:rPr>
            </w:pPr>
            <w:r>
              <w:rPr>
                <w:noProof/>
              </w:rPr>
              <w:t>Q2</w:t>
            </w:r>
          </w:p>
        </w:tc>
        <w:tc>
          <w:tcPr>
            <w:tcW w:w="822" w:type="dxa"/>
            <w:shd w:val="clear" w:color="auto" w:fill="C6EFCE"/>
          </w:tcPr>
          <w:p w14:paraId="41CECB29" w14:textId="77777777" w:rsidR="000E48CE" w:rsidRDefault="00FF4C4E">
            <w:pPr>
              <w:pStyle w:val="P68B1DB1-Normal13"/>
              <w:jc w:val="center"/>
              <w:rPr>
                <w:rFonts w:cs="Times New Roman"/>
                <w:noProof/>
              </w:rPr>
            </w:pPr>
            <w:r>
              <w:rPr>
                <w:noProof/>
              </w:rPr>
              <w:t>2021</w:t>
            </w:r>
          </w:p>
        </w:tc>
        <w:tc>
          <w:tcPr>
            <w:tcW w:w="3998" w:type="dxa"/>
            <w:shd w:val="clear" w:color="auto" w:fill="C6EFCE"/>
          </w:tcPr>
          <w:p w14:paraId="3554C54D" w14:textId="77777777" w:rsidR="000E48CE" w:rsidRDefault="00FF4C4E">
            <w:pPr>
              <w:pStyle w:val="P68B1DB1-Normal13"/>
              <w:rPr>
                <w:rFonts w:cs="Times New Roman"/>
                <w:noProof/>
              </w:rPr>
            </w:pPr>
            <w:r>
              <w:rPr>
                <w:noProof/>
              </w:rPr>
              <w:t xml:space="preserve">Perustetaan EU-rahastojen pääsihteeri (Secretaría General de Fondos Europeos) ja uusia osastoja budjettiinformatiikkatoimistoon (Oficina de Informática Presupuestaria) ja </w:t>
            </w:r>
            <w:r>
              <w:rPr>
                <w:noProof/>
              </w:rPr>
              <w:t>valtiontalouden tarkastusvirastoon (Intervención General de la Administración del Estado) ja valtiontalouden tarkastusvirastoon (Intervención General de la Administración del Estado) pitkän aikavälin tulosperusteisen suunnittelu- ja valvontakulttuurin edis</w:t>
            </w:r>
            <w:r>
              <w:rPr>
                <w:noProof/>
              </w:rPr>
              <w:t>tämiseksi suunnitelman hallinnoinnista ja valvonnasta saadun kokemuksen avulla ja kuninkaan asetuksen 1182/2020 säännösten mukaisesti.</w:t>
            </w:r>
          </w:p>
        </w:tc>
      </w:tr>
      <w:tr w:rsidR="000E48CE" w14:paraId="5F77562F" w14:textId="77777777">
        <w:trPr>
          <w:trHeight w:val="309"/>
        </w:trPr>
        <w:tc>
          <w:tcPr>
            <w:tcW w:w="1223" w:type="dxa"/>
            <w:shd w:val="clear" w:color="auto" w:fill="C6EFCE"/>
          </w:tcPr>
          <w:p w14:paraId="027D1872" w14:textId="77777777" w:rsidR="000E48CE" w:rsidRDefault="00FF4C4E">
            <w:pPr>
              <w:pStyle w:val="P68B1DB1-Normal13"/>
              <w:jc w:val="center"/>
              <w:rPr>
                <w:rFonts w:cs="Times New Roman"/>
                <w:noProof/>
              </w:rPr>
            </w:pPr>
            <w:r>
              <w:rPr>
                <w:noProof/>
              </w:rPr>
              <w:t>159</w:t>
            </w:r>
          </w:p>
        </w:tc>
        <w:tc>
          <w:tcPr>
            <w:tcW w:w="1448" w:type="dxa"/>
            <w:shd w:val="clear" w:color="auto" w:fill="C6EFCE"/>
          </w:tcPr>
          <w:p w14:paraId="141F74C1" w14:textId="77777777" w:rsidR="000E48CE" w:rsidRDefault="00FF4C4E">
            <w:pPr>
              <w:pStyle w:val="P68B1DB1-Normal13"/>
              <w:jc w:val="center"/>
              <w:rPr>
                <w:rFonts w:cs="Times New Roman"/>
                <w:noProof/>
              </w:rPr>
            </w:pPr>
            <w:r>
              <w:rPr>
                <w:noProof/>
              </w:rPr>
              <w:t>C11.R5</w:t>
            </w:r>
          </w:p>
        </w:tc>
        <w:tc>
          <w:tcPr>
            <w:tcW w:w="966" w:type="dxa"/>
            <w:shd w:val="clear" w:color="auto" w:fill="C6EFCE"/>
          </w:tcPr>
          <w:p w14:paraId="15CED175"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3A46289B" w14:textId="77777777" w:rsidR="000E48CE" w:rsidRDefault="00FF4C4E">
            <w:pPr>
              <w:pStyle w:val="P68B1DB1-Normal13"/>
              <w:rPr>
                <w:rFonts w:cs="Times New Roman"/>
                <w:noProof/>
              </w:rPr>
            </w:pPr>
            <w:r>
              <w:rPr>
                <w:noProof/>
              </w:rPr>
              <w:t xml:space="preserve">Määräys elpymis- ja palautumissuunnitelman seurantaa ja menojen kirjanpidollista toteuttamista varten </w:t>
            </w:r>
            <w:r>
              <w:rPr>
                <w:noProof/>
              </w:rPr>
              <w:t>jaettavien tietojen muodon määrittelemisestä</w:t>
            </w:r>
          </w:p>
        </w:tc>
        <w:tc>
          <w:tcPr>
            <w:tcW w:w="1442" w:type="dxa"/>
            <w:shd w:val="clear" w:color="auto" w:fill="C6EFCE"/>
          </w:tcPr>
          <w:p w14:paraId="30909781" w14:textId="77777777" w:rsidR="000E48CE" w:rsidRDefault="00FF4C4E">
            <w:pPr>
              <w:pStyle w:val="P68B1DB1-Normal13"/>
              <w:jc w:val="center"/>
              <w:rPr>
                <w:rFonts w:cs="Times New Roman"/>
                <w:noProof/>
              </w:rPr>
            </w:pPr>
            <w:r>
              <w:rPr>
                <w:noProof/>
              </w:rPr>
              <w:t>Määräyksen voimaantulon osoittava määräys</w:t>
            </w:r>
          </w:p>
        </w:tc>
        <w:tc>
          <w:tcPr>
            <w:tcW w:w="1082" w:type="dxa"/>
            <w:shd w:val="clear" w:color="auto" w:fill="C6EFCE"/>
          </w:tcPr>
          <w:p w14:paraId="3610F77F" w14:textId="77777777" w:rsidR="000E48CE" w:rsidRDefault="00FF4C4E">
            <w:pPr>
              <w:pStyle w:val="P68B1DB1-Normal13"/>
              <w:jc w:val="right"/>
              <w:rPr>
                <w:rFonts w:cs="Times New Roman"/>
                <w:noProof/>
              </w:rPr>
            </w:pPr>
            <w:r>
              <w:rPr>
                <w:noProof/>
              </w:rPr>
              <w:t> </w:t>
            </w:r>
          </w:p>
        </w:tc>
        <w:tc>
          <w:tcPr>
            <w:tcW w:w="708" w:type="dxa"/>
            <w:shd w:val="clear" w:color="auto" w:fill="C6EFCE"/>
          </w:tcPr>
          <w:p w14:paraId="43F38F7D" w14:textId="77777777" w:rsidR="000E48CE" w:rsidRDefault="00FF4C4E">
            <w:pPr>
              <w:pStyle w:val="P68B1DB1-Normal13"/>
              <w:jc w:val="right"/>
              <w:rPr>
                <w:rFonts w:cs="Times New Roman"/>
                <w:noProof/>
              </w:rPr>
            </w:pPr>
            <w:r>
              <w:rPr>
                <w:noProof/>
              </w:rPr>
              <w:t> </w:t>
            </w:r>
          </w:p>
        </w:tc>
        <w:tc>
          <w:tcPr>
            <w:tcW w:w="709" w:type="dxa"/>
            <w:shd w:val="clear" w:color="auto" w:fill="C6EFCE"/>
          </w:tcPr>
          <w:p w14:paraId="71D48BC5" w14:textId="77777777" w:rsidR="000E48CE" w:rsidRDefault="00FF4C4E">
            <w:pPr>
              <w:pStyle w:val="P68B1DB1-Normal13"/>
              <w:jc w:val="right"/>
              <w:rPr>
                <w:rFonts w:cs="Times New Roman"/>
                <w:noProof/>
              </w:rPr>
            </w:pPr>
            <w:r>
              <w:rPr>
                <w:noProof/>
              </w:rPr>
              <w:t> </w:t>
            </w:r>
          </w:p>
        </w:tc>
        <w:tc>
          <w:tcPr>
            <w:tcW w:w="567" w:type="dxa"/>
            <w:shd w:val="clear" w:color="auto" w:fill="C6EFCE"/>
          </w:tcPr>
          <w:p w14:paraId="0202EAD9" w14:textId="77777777" w:rsidR="000E48CE" w:rsidRDefault="00FF4C4E">
            <w:pPr>
              <w:pStyle w:val="P68B1DB1-Normal13"/>
              <w:jc w:val="center"/>
              <w:rPr>
                <w:rFonts w:cs="Times New Roman"/>
                <w:noProof/>
              </w:rPr>
            </w:pPr>
            <w:r>
              <w:rPr>
                <w:noProof/>
              </w:rPr>
              <w:t>KOLMAS VUOSINELJÄNNES</w:t>
            </w:r>
          </w:p>
        </w:tc>
        <w:tc>
          <w:tcPr>
            <w:tcW w:w="822" w:type="dxa"/>
            <w:shd w:val="clear" w:color="auto" w:fill="C6EFCE"/>
          </w:tcPr>
          <w:p w14:paraId="44F8380F" w14:textId="77777777" w:rsidR="000E48CE" w:rsidRDefault="00FF4C4E">
            <w:pPr>
              <w:pStyle w:val="P68B1DB1-Normal13"/>
              <w:jc w:val="center"/>
              <w:rPr>
                <w:rFonts w:cs="Times New Roman"/>
                <w:noProof/>
              </w:rPr>
            </w:pPr>
            <w:r>
              <w:rPr>
                <w:noProof/>
              </w:rPr>
              <w:t>2021</w:t>
            </w:r>
          </w:p>
        </w:tc>
        <w:tc>
          <w:tcPr>
            <w:tcW w:w="3998" w:type="dxa"/>
            <w:shd w:val="clear" w:color="auto" w:fill="C6EFCE"/>
          </w:tcPr>
          <w:p w14:paraId="018B7E42" w14:textId="77777777" w:rsidR="000E48CE" w:rsidRDefault="00FF4C4E">
            <w:pPr>
              <w:pStyle w:val="P68B1DB1-Normal13"/>
              <w:rPr>
                <w:rFonts w:cs="Times New Roman"/>
                <w:noProof/>
              </w:rPr>
            </w:pPr>
            <w:r>
              <w:rPr>
                <w:noProof/>
              </w:rPr>
              <w:t xml:space="preserve">Elpymis- ja palautumissuunnitelman seurantaa ja menojen kirjanpitoa varten jaettavien tietojen muodon määrittelevän määräyksen </w:t>
            </w:r>
            <w:r>
              <w:rPr>
                <w:noProof/>
              </w:rPr>
              <w:t>voimaantulo</w:t>
            </w:r>
          </w:p>
        </w:tc>
      </w:tr>
      <w:tr w:rsidR="000E48CE" w14:paraId="54A913DA" w14:textId="77777777">
        <w:trPr>
          <w:trHeight w:val="309"/>
        </w:trPr>
        <w:tc>
          <w:tcPr>
            <w:tcW w:w="1223" w:type="dxa"/>
            <w:shd w:val="clear" w:color="auto" w:fill="C6EFCE"/>
          </w:tcPr>
          <w:p w14:paraId="0032295D" w14:textId="77777777" w:rsidR="000E48CE" w:rsidRDefault="00FF4C4E">
            <w:pPr>
              <w:pStyle w:val="P68B1DB1-Normal13"/>
              <w:jc w:val="center"/>
              <w:rPr>
                <w:rFonts w:cs="Times New Roman"/>
                <w:noProof/>
              </w:rPr>
            </w:pPr>
            <w:r>
              <w:rPr>
                <w:noProof/>
              </w:rPr>
              <w:t>160</w:t>
            </w:r>
          </w:p>
        </w:tc>
        <w:tc>
          <w:tcPr>
            <w:tcW w:w="1448" w:type="dxa"/>
            <w:shd w:val="clear" w:color="auto" w:fill="C6EFCE"/>
          </w:tcPr>
          <w:p w14:paraId="1F697D06" w14:textId="77777777" w:rsidR="000E48CE" w:rsidRDefault="00FF4C4E">
            <w:pPr>
              <w:pStyle w:val="P68B1DB1-Normal13"/>
              <w:jc w:val="center"/>
              <w:rPr>
                <w:rFonts w:cs="Times New Roman"/>
                <w:noProof/>
              </w:rPr>
            </w:pPr>
            <w:r>
              <w:rPr>
                <w:noProof/>
              </w:rPr>
              <w:t>C11.I1</w:t>
            </w:r>
          </w:p>
        </w:tc>
        <w:tc>
          <w:tcPr>
            <w:tcW w:w="966" w:type="dxa"/>
            <w:shd w:val="clear" w:color="auto" w:fill="C6EFCE"/>
          </w:tcPr>
          <w:p w14:paraId="2CEE176A"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45050344" w14:textId="77777777" w:rsidR="000E48CE" w:rsidRDefault="00FF4C4E">
            <w:pPr>
              <w:pStyle w:val="P68B1DB1-Normal13"/>
              <w:rPr>
                <w:rFonts w:cs="Times New Roman"/>
                <w:noProof/>
              </w:rPr>
            </w:pPr>
            <w:r>
              <w:rPr>
                <w:noProof/>
              </w:rPr>
              <w:t>Kansallisten julkisten hankintojen alustojen yhteenliittäminen</w:t>
            </w:r>
          </w:p>
        </w:tc>
        <w:tc>
          <w:tcPr>
            <w:tcW w:w="1442" w:type="dxa"/>
            <w:shd w:val="clear" w:color="auto" w:fill="C6EFCE"/>
          </w:tcPr>
          <w:p w14:paraId="6C5B25A9" w14:textId="77777777" w:rsidR="000E48CE" w:rsidRDefault="00FF4C4E">
            <w:pPr>
              <w:pStyle w:val="P68B1DB1-Normal13"/>
              <w:jc w:val="center"/>
              <w:rPr>
                <w:rFonts w:cs="Times New Roman"/>
                <w:noProof/>
              </w:rPr>
            </w:pPr>
            <w:r>
              <w:rPr>
                <w:noProof/>
              </w:rPr>
              <w:t xml:space="preserve">Keskus- ja aluetason julkishallinnot toimittavat allekirjoitetut varmenteet, joilla vahvistetaan alustan toiminnot </w:t>
            </w:r>
          </w:p>
        </w:tc>
        <w:tc>
          <w:tcPr>
            <w:tcW w:w="1082" w:type="dxa"/>
            <w:shd w:val="clear" w:color="auto" w:fill="C6EFCE"/>
          </w:tcPr>
          <w:p w14:paraId="7FC0BC0D"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1FFB4213" w14:textId="77777777" w:rsidR="000E48CE" w:rsidRDefault="00FF4C4E">
            <w:pPr>
              <w:pStyle w:val="P68B1DB1-Normal13"/>
              <w:jc w:val="right"/>
              <w:rPr>
                <w:rFonts w:cs="Times New Roman"/>
                <w:noProof/>
              </w:rPr>
            </w:pPr>
            <w:r>
              <w:rPr>
                <w:noProof/>
              </w:rPr>
              <w:t> </w:t>
            </w:r>
          </w:p>
        </w:tc>
        <w:tc>
          <w:tcPr>
            <w:tcW w:w="709" w:type="dxa"/>
            <w:shd w:val="clear" w:color="auto" w:fill="C6EFCE"/>
          </w:tcPr>
          <w:p w14:paraId="0522966B" w14:textId="77777777" w:rsidR="000E48CE" w:rsidRDefault="00FF4C4E">
            <w:pPr>
              <w:pStyle w:val="P68B1DB1-Normal13"/>
              <w:jc w:val="right"/>
              <w:rPr>
                <w:rFonts w:cs="Times New Roman"/>
                <w:noProof/>
              </w:rPr>
            </w:pPr>
            <w:r>
              <w:rPr>
                <w:noProof/>
              </w:rPr>
              <w:t> </w:t>
            </w:r>
          </w:p>
        </w:tc>
        <w:tc>
          <w:tcPr>
            <w:tcW w:w="567" w:type="dxa"/>
            <w:shd w:val="clear" w:color="auto" w:fill="C6EFCE"/>
          </w:tcPr>
          <w:p w14:paraId="1AF12D3D"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316130A3" w14:textId="77777777" w:rsidR="000E48CE" w:rsidRDefault="00FF4C4E">
            <w:pPr>
              <w:pStyle w:val="P68B1DB1-Normal13"/>
              <w:jc w:val="center"/>
              <w:rPr>
                <w:rFonts w:cs="Times New Roman"/>
                <w:noProof/>
              </w:rPr>
            </w:pPr>
            <w:r>
              <w:rPr>
                <w:noProof/>
              </w:rPr>
              <w:t>2023</w:t>
            </w:r>
          </w:p>
        </w:tc>
        <w:tc>
          <w:tcPr>
            <w:tcW w:w="3998" w:type="dxa"/>
            <w:shd w:val="clear" w:color="auto" w:fill="C6EFCE"/>
          </w:tcPr>
          <w:p w14:paraId="7893AEE2" w14:textId="77777777" w:rsidR="000E48CE" w:rsidRDefault="00FF4C4E">
            <w:pPr>
              <w:pStyle w:val="P68B1DB1-Normal13"/>
              <w:rPr>
                <w:rFonts w:cs="Times New Roman"/>
                <w:noProof/>
              </w:rPr>
            </w:pPr>
            <w:r>
              <w:rPr>
                <w:noProof/>
              </w:rPr>
              <w:t xml:space="preserve">Kaikkien olemassa olevien julkisten hankintojen alustojen (keskus- ja aluehallinto) välisten yhteyksien lisääminen (tietojen vaihto): vähintään 142 avoimen datan kenttää ja 52 yhdistettyä dataa keskushallinnon alustalla. </w:t>
            </w:r>
            <w:r>
              <w:rPr>
                <w:noProof/>
              </w:rPr>
              <w:br/>
              <w:t>Keskushallinnon alustan avoimen da</w:t>
            </w:r>
            <w:r>
              <w:rPr>
                <w:noProof/>
              </w:rPr>
              <w:t>tan kenttien määrä tammikuussa 2021: 119</w:t>
            </w:r>
            <w:r>
              <w:rPr>
                <w:noProof/>
              </w:rPr>
              <w:br/>
              <w:t>Aggregoitujen tietojen määrä keskushallinnon alustalla tammikuussa 2021: 43</w:t>
            </w:r>
          </w:p>
        </w:tc>
      </w:tr>
      <w:tr w:rsidR="000E48CE" w14:paraId="53019A9A" w14:textId="77777777">
        <w:trPr>
          <w:trHeight w:val="309"/>
        </w:trPr>
        <w:tc>
          <w:tcPr>
            <w:tcW w:w="1223" w:type="dxa"/>
            <w:shd w:val="clear" w:color="auto" w:fill="C6EFCE"/>
          </w:tcPr>
          <w:p w14:paraId="756B86DB" w14:textId="77777777" w:rsidR="000E48CE" w:rsidRDefault="00FF4C4E">
            <w:pPr>
              <w:pStyle w:val="P68B1DB1-Normal13"/>
              <w:jc w:val="center"/>
              <w:rPr>
                <w:rFonts w:cs="Times New Roman"/>
                <w:noProof/>
              </w:rPr>
            </w:pPr>
            <w:r>
              <w:rPr>
                <w:noProof/>
              </w:rPr>
              <w:t>161</w:t>
            </w:r>
          </w:p>
        </w:tc>
        <w:tc>
          <w:tcPr>
            <w:tcW w:w="1448" w:type="dxa"/>
            <w:shd w:val="clear" w:color="auto" w:fill="C6EFCE"/>
          </w:tcPr>
          <w:p w14:paraId="392178A5" w14:textId="77777777" w:rsidR="000E48CE" w:rsidRDefault="00FF4C4E">
            <w:pPr>
              <w:pStyle w:val="P68B1DB1-Normal13"/>
              <w:jc w:val="center"/>
              <w:rPr>
                <w:rFonts w:cs="Times New Roman"/>
                <w:noProof/>
              </w:rPr>
            </w:pPr>
            <w:r>
              <w:rPr>
                <w:noProof/>
              </w:rPr>
              <w:t>C11.I1</w:t>
            </w:r>
          </w:p>
        </w:tc>
        <w:tc>
          <w:tcPr>
            <w:tcW w:w="966" w:type="dxa"/>
            <w:shd w:val="clear" w:color="auto" w:fill="C6EFCE"/>
          </w:tcPr>
          <w:p w14:paraId="541E19CC" w14:textId="77777777" w:rsidR="000E48CE" w:rsidRDefault="00FF4C4E">
            <w:pPr>
              <w:pStyle w:val="P68B1DB1-Normal13"/>
              <w:jc w:val="center"/>
              <w:rPr>
                <w:rFonts w:cs="Times New Roman"/>
                <w:noProof/>
              </w:rPr>
            </w:pPr>
            <w:r>
              <w:rPr>
                <w:noProof/>
              </w:rPr>
              <w:t>T</w:t>
            </w:r>
          </w:p>
        </w:tc>
        <w:tc>
          <w:tcPr>
            <w:tcW w:w="1631" w:type="dxa"/>
            <w:shd w:val="clear" w:color="auto" w:fill="C6EFCE"/>
          </w:tcPr>
          <w:p w14:paraId="21D0885E" w14:textId="77777777" w:rsidR="000E48CE" w:rsidRDefault="00FF4C4E">
            <w:pPr>
              <w:pStyle w:val="P68B1DB1-Normal13"/>
              <w:rPr>
                <w:rFonts w:cs="Times New Roman"/>
                <w:noProof/>
              </w:rPr>
            </w:pPr>
            <w:r>
              <w:rPr>
                <w:noProof/>
              </w:rPr>
              <w:t>Keskushallinnon digitalisaatiota tukevien hankkeiden myöntäminen</w:t>
            </w:r>
          </w:p>
        </w:tc>
        <w:tc>
          <w:tcPr>
            <w:tcW w:w="1442" w:type="dxa"/>
            <w:shd w:val="clear" w:color="auto" w:fill="C6EFCE"/>
          </w:tcPr>
          <w:p w14:paraId="580C4F25" w14:textId="77777777" w:rsidR="000E48CE" w:rsidRDefault="00FF4C4E">
            <w:pPr>
              <w:pStyle w:val="P68B1DB1-Normal13"/>
              <w:jc w:val="center"/>
              <w:rPr>
                <w:rFonts w:cs="Times New Roman"/>
                <w:noProof/>
              </w:rPr>
            </w:pPr>
            <w:r>
              <w:rPr>
                <w:noProof/>
              </w:rPr>
              <w:t> </w:t>
            </w:r>
          </w:p>
        </w:tc>
        <w:tc>
          <w:tcPr>
            <w:tcW w:w="1082" w:type="dxa"/>
            <w:shd w:val="clear" w:color="auto" w:fill="C6EFCE"/>
          </w:tcPr>
          <w:p w14:paraId="6B4525D7" w14:textId="77777777" w:rsidR="000E48CE" w:rsidRDefault="00FF4C4E">
            <w:pPr>
              <w:pStyle w:val="P68B1DB1-Normal13"/>
              <w:jc w:val="right"/>
              <w:rPr>
                <w:rFonts w:cs="Times New Roman"/>
                <w:noProof/>
              </w:rPr>
            </w:pPr>
            <w:r>
              <w:rPr>
                <w:noProof/>
              </w:rPr>
              <w:t>Miljoonaa euroa</w:t>
            </w:r>
          </w:p>
        </w:tc>
        <w:tc>
          <w:tcPr>
            <w:tcW w:w="708" w:type="dxa"/>
            <w:shd w:val="clear" w:color="auto" w:fill="C6EFCE"/>
          </w:tcPr>
          <w:p w14:paraId="56C99C6B" w14:textId="77777777" w:rsidR="000E48CE" w:rsidRDefault="00FF4C4E">
            <w:pPr>
              <w:pStyle w:val="P68B1DB1-Normal13"/>
              <w:jc w:val="right"/>
              <w:rPr>
                <w:rFonts w:cs="Times New Roman"/>
                <w:noProof/>
              </w:rPr>
            </w:pPr>
            <w:r>
              <w:rPr>
                <w:noProof/>
              </w:rPr>
              <w:t>0</w:t>
            </w:r>
          </w:p>
        </w:tc>
        <w:tc>
          <w:tcPr>
            <w:tcW w:w="709" w:type="dxa"/>
            <w:shd w:val="clear" w:color="auto" w:fill="C6EFCE"/>
          </w:tcPr>
          <w:p w14:paraId="0F82A3B1" w14:textId="77777777" w:rsidR="000E48CE" w:rsidRDefault="00FF4C4E">
            <w:pPr>
              <w:pStyle w:val="P68B1DB1-Normal13"/>
              <w:jc w:val="right"/>
              <w:rPr>
                <w:rFonts w:cs="Times New Roman"/>
                <w:noProof/>
              </w:rPr>
            </w:pPr>
            <w:r>
              <w:rPr>
                <w:noProof/>
              </w:rPr>
              <w:t>960</w:t>
            </w:r>
          </w:p>
        </w:tc>
        <w:tc>
          <w:tcPr>
            <w:tcW w:w="567" w:type="dxa"/>
            <w:shd w:val="clear" w:color="auto" w:fill="C6EFCE"/>
          </w:tcPr>
          <w:p w14:paraId="21CE8994"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0B80C929" w14:textId="77777777" w:rsidR="000E48CE" w:rsidRDefault="00FF4C4E">
            <w:pPr>
              <w:pStyle w:val="P68B1DB1-Normal13"/>
              <w:jc w:val="center"/>
              <w:rPr>
                <w:rFonts w:cs="Times New Roman"/>
                <w:noProof/>
              </w:rPr>
            </w:pPr>
            <w:r>
              <w:rPr>
                <w:noProof/>
              </w:rPr>
              <w:t>2023</w:t>
            </w:r>
          </w:p>
        </w:tc>
        <w:tc>
          <w:tcPr>
            <w:tcW w:w="3998" w:type="dxa"/>
            <w:shd w:val="clear" w:color="auto" w:fill="C6EFCE"/>
          </w:tcPr>
          <w:p w14:paraId="66B1EDED" w14:textId="77777777" w:rsidR="000E48CE" w:rsidRDefault="00FF4C4E">
            <w:pPr>
              <w:pStyle w:val="P68B1DB1-Normal13"/>
              <w:rPr>
                <w:rFonts w:cs="Times New Roman"/>
                <w:noProof/>
              </w:rPr>
            </w:pPr>
            <w:r>
              <w:rPr>
                <w:noProof/>
              </w:rPr>
              <w:t xml:space="preserve">Vähintään 960000000 euron hankintasopimuksen julkaiseminen Euroopan unionin virallisessa lehdessä tai julkisten hankintojen foorumilla hankkeissa, jotka kattavat seuraavat alat: </w:t>
            </w:r>
            <w:r>
              <w:rPr>
                <w:noProof/>
              </w:rPr>
              <w:br/>
              <w:t>Digitaalinen muutos proaktiivisuuden, liikkuvuuden ja käyttäjäkokemuksen osal</w:t>
            </w:r>
            <w:r>
              <w:rPr>
                <w:noProof/>
              </w:rPr>
              <w:t>ta;</w:t>
            </w:r>
            <w:r>
              <w:rPr>
                <w:noProof/>
              </w:rPr>
              <w:br/>
              <w:t>— Digitalisaatio automaatiossa ja datakeskeisessä julkishallinnossa;</w:t>
            </w:r>
            <w:r>
              <w:rPr>
                <w:noProof/>
              </w:rPr>
              <w:br/>
              <w:t>— Digitaalinen muutos fyysisten, loogisten infrastruktuurien ja ohjelmistojen osalta;</w:t>
            </w:r>
            <w:r>
              <w:rPr>
                <w:noProof/>
              </w:rPr>
              <w:br/>
              <w:t>— Digitaalinen muutos kyberturvallisuuden alalla.</w:t>
            </w:r>
          </w:p>
        </w:tc>
      </w:tr>
      <w:tr w:rsidR="000E48CE" w14:paraId="142D29EA" w14:textId="77777777">
        <w:trPr>
          <w:trHeight w:val="309"/>
        </w:trPr>
        <w:tc>
          <w:tcPr>
            <w:tcW w:w="1223" w:type="dxa"/>
            <w:shd w:val="clear" w:color="auto" w:fill="C6EFCE"/>
          </w:tcPr>
          <w:p w14:paraId="7F94E94C" w14:textId="77777777" w:rsidR="000E48CE" w:rsidRDefault="00FF4C4E">
            <w:pPr>
              <w:pStyle w:val="P68B1DB1-Normal13"/>
              <w:jc w:val="center"/>
              <w:rPr>
                <w:rFonts w:cs="Times New Roman"/>
                <w:noProof/>
              </w:rPr>
            </w:pPr>
            <w:r>
              <w:rPr>
                <w:noProof/>
              </w:rPr>
              <w:t>162</w:t>
            </w:r>
          </w:p>
        </w:tc>
        <w:tc>
          <w:tcPr>
            <w:tcW w:w="1448" w:type="dxa"/>
            <w:shd w:val="clear" w:color="auto" w:fill="C6EFCE"/>
          </w:tcPr>
          <w:p w14:paraId="0EC70345" w14:textId="77777777" w:rsidR="000E48CE" w:rsidRDefault="00FF4C4E">
            <w:pPr>
              <w:pStyle w:val="P68B1DB1-Normal13"/>
              <w:jc w:val="center"/>
              <w:rPr>
                <w:rFonts w:cs="Times New Roman"/>
                <w:noProof/>
              </w:rPr>
            </w:pPr>
            <w:r>
              <w:rPr>
                <w:noProof/>
              </w:rPr>
              <w:t>C11.I1</w:t>
            </w:r>
          </w:p>
        </w:tc>
        <w:tc>
          <w:tcPr>
            <w:tcW w:w="966" w:type="dxa"/>
            <w:shd w:val="clear" w:color="auto" w:fill="C6EFCE"/>
          </w:tcPr>
          <w:p w14:paraId="03D52EE2"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24744C26" w14:textId="77777777" w:rsidR="000E48CE" w:rsidRDefault="00FF4C4E">
            <w:pPr>
              <w:pStyle w:val="P68B1DB1-Normal13"/>
              <w:rPr>
                <w:rFonts w:cs="Times New Roman"/>
                <w:noProof/>
              </w:rPr>
            </w:pPr>
            <w:r>
              <w:rPr>
                <w:noProof/>
              </w:rPr>
              <w:t>Keskushallinnon digitalisaatiota tukevien hankkeiden loppuun saattaminen</w:t>
            </w:r>
          </w:p>
        </w:tc>
        <w:tc>
          <w:tcPr>
            <w:tcW w:w="1442" w:type="dxa"/>
            <w:shd w:val="clear" w:color="auto" w:fill="C6EFCE"/>
          </w:tcPr>
          <w:p w14:paraId="1C9A228D" w14:textId="77777777" w:rsidR="000E48CE" w:rsidRDefault="00FF4C4E">
            <w:pPr>
              <w:pStyle w:val="P68B1DB1-Normal13"/>
              <w:jc w:val="center"/>
              <w:rPr>
                <w:rFonts w:cs="Times New Roman"/>
                <w:noProof/>
              </w:rPr>
            </w:pPr>
            <w:r>
              <w:rPr>
                <w:noProof/>
              </w:rPr>
              <w:t>Toimivaltaisen viranomaisen allekirjoittamat todistukset siitä, että hankkeet on saatettu päätökseen ja että ne ovat toiminnassa</w:t>
            </w:r>
          </w:p>
        </w:tc>
        <w:tc>
          <w:tcPr>
            <w:tcW w:w="1082" w:type="dxa"/>
            <w:shd w:val="clear" w:color="auto" w:fill="C6EFCE"/>
          </w:tcPr>
          <w:p w14:paraId="602C3F68" w14:textId="77777777" w:rsidR="000E48CE" w:rsidRDefault="00FF4C4E">
            <w:pPr>
              <w:pStyle w:val="P68B1DB1-Normal13"/>
              <w:jc w:val="right"/>
              <w:rPr>
                <w:rFonts w:cs="Times New Roman"/>
                <w:noProof/>
              </w:rPr>
            </w:pPr>
            <w:r>
              <w:rPr>
                <w:noProof/>
              </w:rPr>
              <w:t> </w:t>
            </w:r>
          </w:p>
        </w:tc>
        <w:tc>
          <w:tcPr>
            <w:tcW w:w="708" w:type="dxa"/>
            <w:shd w:val="clear" w:color="auto" w:fill="C6EFCE"/>
          </w:tcPr>
          <w:p w14:paraId="1C895DDD" w14:textId="77777777" w:rsidR="000E48CE" w:rsidRDefault="00FF4C4E">
            <w:pPr>
              <w:pStyle w:val="P68B1DB1-Normal13"/>
              <w:jc w:val="right"/>
              <w:rPr>
                <w:rFonts w:cs="Times New Roman"/>
                <w:noProof/>
              </w:rPr>
            </w:pPr>
            <w:r>
              <w:rPr>
                <w:noProof/>
              </w:rPr>
              <w:t> </w:t>
            </w:r>
          </w:p>
        </w:tc>
        <w:tc>
          <w:tcPr>
            <w:tcW w:w="709" w:type="dxa"/>
            <w:shd w:val="clear" w:color="auto" w:fill="C6EFCE"/>
          </w:tcPr>
          <w:p w14:paraId="5CE29C09" w14:textId="77777777" w:rsidR="000E48CE" w:rsidRDefault="00FF4C4E">
            <w:pPr>
              <w:pStyle w:val="P68B1DB1-Normal13"/>
              <w:jc w:val="right"/>
              <w:rPr>
                <w:rFonts w:cs="Times New Roman"/>
                <w:noProof/>
              </w:rPr>
            </w:pPr>
            <w:r>
              <w:rPr>
                <w:noProof/>
              </w:rPr>
              <w:t> </w:t>
            </w:r>
          </w:p>
        </w:tc>
        <w:tc>
          <w:tcPr>
            <w:tcW w:w="567" w:type="dxa"/>
            <w:shd w:val="clear" w:color="auto" w:fill="C6EFCE"/>
          </w:tcPr>
          <w:p w14:paraId="7C88DA4F"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292C0F1F" w14:textId="77777777" w:rsidR="000E48CE" w:rsidRDefault="00FF4C4E">
            <w:pPr>
              <w:pStyle w:val="P68B1DB1-Normal13"/>
              <w:jc w:val="center"/>
              <w:rPr>
                <w:rFonts w:cs="Times New Roman"/>
                <w:noProof/>
              </w:rPr>
            </w:pPr>
            <w:r>
              <w:rPr>
                <w:noProof/>
              </w:rPr>
              <w:t>2025</w:t>
            </w:r>
          </w:p>
        </w:tc>
        <w:tc>
          <w:tcPr>
            <w:tcW w:w="3998" w:type="dxa"/>
            <w:shd w:val="clear" w:color="auto" w:fill="C6EFCE"/>
          </w:tcPr>
          <w:p w14:paraId="1A4CED02" w14:textId="77777777" w:rsidR="000E48CE" w:rsidRDefault="00FF4C4E">
            <w:pPr>
              <w:pStyle w:val="P68B1DB1-Normal13"/>
              <w:rPr>
                <w:rFonts w:cs="Times New Roman"/>
                <w:noProof/>
              </w:rPr>
            </w:pPr>
            <w:r>
              <w:rPr>
                <w:noProof/>
              </w:rPr>
              <w:t xml:space="preserve">Tavoitteen nro #161 mukaisesti </w:t>
            </w:r>
            <w:r>
              <w:rPr>
                <w:noProof/>
              </w:rPr>
              <w:t>myönnettyjen hankkeiden loppuun saattaminen</w:t>
            </w:r>
          </w:p>
        </w:tc>
      </w:tr>
      <w:tr w:rsidR="000E48CE" w14:paraId="48E255C1" w14:textId="77777777">
        <w:trPr>
          <w:trHeight w:val="309"/>
        </w:trPr>
        <w:tc>
          <w:tcPr>
            <w:tcW w:w="1223" w:type="dxa"/>
            <w:shd w:val="clear" w:color="auto" w:fill="C6EFCE"/>
          </w:tcPr>
          <w:p w14:paraId="23ADB4BA" w14:textId="77777777" w:rsidR="000E48CE" w:rsidRDefault="00FF4C4E">
            <w:pPr>
              <w:pStyle w:val="P68B1DB1-Normal13"/>
              <w:jc w:val="center"/>
              <w:rPr>
                <w:rFonts w:cs="Times New Roman"/>
                <w:noProof/>
              </w:rPr>
            </w:pPr>
            <w:r>
              <w:rPr>
                <w:noProof/>
              </w:rPr>
              <w:t>163</w:t>
            </w:r>
          </w:p>
        </w:tc>
        <w:tc>
          <w:tcPr>
            <w:tcW w:w="1448" w:type="dxa"/>
            <w:shd w:val="clear" w:color="auto" w:fill="C6EFCE"/>
          </w:tcPr>
          <w:p w14:paraId="59FAF852" w14:textId="77777777" w:rsidR="000E48CE" w:rsidRDefault="00FF4C4E">
            <w:pPr>
              <w:pStyle w:val="P68B1DB1-Normal13"/>
              <w:jc w:val="center"/>
              <w:rPr>
                <w:rFonts w:cs="Times New Roman"/>
                <w:noProof/>
              </w:rPr>
            </w:pPr>
            <w:r>
              <w:rPr>
                <w:noProof/>
              </w:rPr>
              <w:t>C11.I2</w:t>
            </w:r>
          </w:p>
        </w:tc>
        <w:tc>
          <w:tcPr>
            <w:tcW w:w="966" w:type="dxa"/>
            <w:shd w:val="clear" w:color="auto" w:fill="C6EFCE"/>
          </w:tcPr>
          <w:p w14:paraId="0C1536D6"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24E56970" w14:textId="77777777" w:rsidR="000E48CE" w:rsidRDefault="00FF4C4E">
            <w:pPr>
              <w:pStyle w:val="P68B1DB1-Normal13"/>
              <w:rPr>
                <w:rFonts w:cs="Times New Roman"/>
                <w:noProof/>
              </w:rPr>
            </w:pPr>
            <w:r>
              <w:rPr>
                <w:noProof/>
              </w:rPr>
              <w:t>Yhteentoimivat alustat sosiaaliturva- ja terveystietojen vaihtamiseksi</w:t>
            </w:r>
          </w:p>
        </w:tc>
        <w:tc>
          <w:tcPr>
            <w:tcW w:w="1442" w:type="dxa"/>
            <w:shd w:val="clear" w:color="auto" w:fill="C6EFCE"/>
          </w:tcPr>
          <w:p w14:paraId="100AC249" w14:textId="77777777" w:rsidR="000E48CE" w:rsidRDefault="00FF4C4E">
            <w:pPr>
              <w:pStyle w:val="P68B1DB1-Normal13"/>
              <w:jc w:val="center"/>
              <w:rPr>
                <w:rFonts w:cs="Times New Roman"/>
                <w:noProof/>
              </w:rPr>
            </w:pPr>
            <w:r>
              <w:rPr>
                <w:noProof/>
              </w:rPr>
              <w:t>Keskus- ja aluetason sosiaaliturvaviranomaiset toimittavat allekirjoitetut todistukset, joissa vahvistetaan alustan toiminnot</w:t>
            </w:r>
          </w:p>
        </w:tc>
        <w:tc>
          <w:tcPr>
            <w:tcW w:w="1082" w:type="dxa"/>
            <w:shd w:val="clear" w:color="auto" w:fill="C6EFCE"/>
          </w:tcPr>
          <w:p w14:paraId="07CC20C5"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3D11EC86" w14:textId="77777777" w:rsidR="000E48CE" w:rsidRDefault="00FF4C4E">
            <w:pPr>
              <w:pStyle w:val="P68B1DB1-Normal13"/>
              <w:jc w:val="right"/>
              <w:rPr>
                <w:rFonts w:cs="Times New Roman"/>
                <w:noProof/>
              </w:rPr>
            </w:pPr>
            <w:r>
              <w:rPr>
                <w:noProof/>
              </w:rPr>
              <w:t> </w:t>
            </w:r>
          </w:p>
        </w:tc>
        <w:tc>
          <w:tcPr>
            <w:tcW w:w="709" w:type="dxa"/>
            <w:shd w:val="clear" w:color="auto" w:fill="C6EFCE"/>
          </w:tcPr>
          <w:p w14:paraId="73ABAB0A" w14:textId="77777777" w:rsidR="000E48CE" w:rsidRDefault="00FF4C4E">
            <w:pPr>
              <w:pStyle w:val="P68B1DB1-Normal13"/>
              <w:jc w:val="right"/>
              <w:rPr>
                <w:rFonts w:cs="Times New Roman"/>
                <w:noProof/>
              </w:rPr>
            </w:pPr>
            <w:r>
              <w:rPr>
                <w:noProof/>
              </w:rPr>
              <w:t> </w:t>
            </w:r>
          </w:p>
        </w:tc>
        <w:tc>
          <w:tcPr>
            <w:tcW w:w="567" w:type="dxa"/>
            <w:shd w:val="clear" w:color="auto" w:fill="C6EFCE"/>
          </w:tcPr>
          <w:p w14:paraId="1BCDA116" w14:textId="77777777" w:rsidR="000E48CE" w:rsidRDefault="00FF4C4E">
            <w:pPr>
              <w:pStyle w:val="P68B1DB1-Normal13"/>
              <w:jc w:val="center"/>
              <w:rPr>
                <w:rFonts w:cs="Times New Roman"/>
                <w:noProof/>
              </w:rPr>
            </w:pPr>
            <w:r>
              <w:rPr>
                <w:noProof/>
              </w:rPr>
              <w:t>KOLMAS VUOSINELJÄNNES</w:t>
            </w:r>
          </w:p>
        </w:tc>
        <w:tc>
          <w:tcPr>
            <w:tcW w:w="822" w:type="dxa"/>
            <w:shd w:val="clear" w:color="auto" w:fill="C6EFCE"/>
          </w:tcPr>
          <w:p w14:paraId="3AA9859C" w14:textId="77777777" w:rsidR="000E48CE" w:rsidRDefault="00FF4C4E">
            <w:pPr>
              <w:pStyle w:val="P68B1DB1-Normal13"/>
              <w:jc w:val="center"/>
              <w:rPr>
                <w:rFonts w:cs="Times New Roman"/>
                <w:noProof/>
              </w:rPr>
            </w:pPr>
            <w:r>
              <w:rPr>
                <w:noProof/>
              </w:rPr>
              <w:t>2023</w:t>
            </w:r>
          </w:p>
        </w:tc>
        <w:tc>
          <w:tcPr>
            <w:tcW w:w="3998" w:type="dxa"/>
            <w:shd w:val="clear" w:color="auto" w:fill="C6EFCE"/>
          </w:tcPr>
          <w:p w14:paraId="1477897E" w14:textId="77777777" w:rsidR="000E48CE" w:rsidRDefault="00FF4C4E">
            <w:pPr>
              <w:pStyle w:val="P68B1DB1-Normal13"/>
              <w:rPr>
                <w:rFonts w:cs="Times New Roman"/>
                <w:noProof/>
              </w:rPr>
            </w:pPr>
            <w:r>
              <w:rPr>
                <w:noProof/>
              </w:rPr>
              <w:t>Keskushallinnolla ja alueilla on oltava täysin yhteentoimivat alustat, jotka mahdollistavat sosiaaliturvatietojen vaihdon seuraavilla aloilla: perusterveydenhuolto, ii) sairaalahoito, iii) terveydenhuollon ammattihenkilöt, l</w:t>
            </w:r>
            <w:r>
              <w:rPr>
                <w:noProof/>
              </w:rPr>
              <w:t>ääkkeiden määrääminen/jakelu</w:t>
            </w:r>
          </w:p>
        </w:tc>
      </w:tr>
      <w:tr w:rsidR="000E48CE" w14:paraId="4B26C5BC" w14:textId="77777777">
        <w:trPr>
          <w:trHeight w:val="309"/>
        </w:trPr>
        <w:tc>
          <w:tcPr>
            <w:tcW w:w="1223" w:type="dxa"/>
            <w:shd w:val="clear" w:color="auto" w:fill="C6EFCE"/>
          </w:tcPr>
          <w:p w14:paraId="2E00A2AF" w14:textId="77777777" w:rsidR="000E48CE" w:rsidRDefault="00FF4C4E">
            <w:pPr>
              <w:pStyle w:val="P68B1DB1-Normal13"/>
              <w:jc w:val="center"/>
              <w:rPr>
                <w:rFonts w:cs="Times New Roman"/>
                <w:noProof/>
              </w:rPr>
            </w:pPr>
            <w:r>
              <w:rPr>
                <w:noProof/>
              </w:rPr>
              <w:t>164</w:t>
            </w:r>
          </w:p>
        </w:tc>
        <w:tc>
          <w:tcPr>
            <w:tcW w:w="1448" w:type="dxa"/>
            <w:shd w:val="clear" w:color="auto" w:fill="C6EFCE"/>
          </w:tcPr>
          <w:p w14:paraId="696DD7AF" w14:textId="77777777" w:rsidR="000E48CE" w:rsidRDefault="00FF4C4E">
            <w:pPr>
              <w:pStyle w:val="P68B1DB1-Normal13"/>
              <w:jc w:val="center"/>
              <w:rPr>
                <w:rFonts w:cs="Times New Roman"/>
                <w:noProof/>
              </w:rPr>
            </w:pPr>
            <w:r>
              <w:rPr>
                <w:noProof/>
              </w:rPr>
              <w:t>C11.I2</w:t>
            </w:r>
          </w:p>
        </w:tc>
        <w:tc>
          <w:tcPr>
            <w:tcW w:w="966" w:type="dxa"/>
            <w:shd w:val="clear" w:color="auto" w:fill="C6EFCE"/>
          </w:tcPr>
          <w:p w14:paraId="35F832AF" w14:textId="77777777" w:rsidR="000E48CE" w:rsidRDefault="00FF4C4E">
            <w:pPr>
              <w:pStyle w:val="P68B1DB1-Normal13"/>
              <w:jc w:val="center"/>
              <w:rPr>
                <w:rFonts w:cs="Times New Roman"/>
                <w:noProof/>
              </w:rPr>
            </w:pPr>
            <w:r>
              <w:rPr>
                <w:noProof/>
              </w:rPr>
              <w:t>T</w:t>
            </w:r>
          </w:p>
        </w:tc>
        <w:tc>
          <w:tcPr>
            <w:tcW w:w="1631" w:type="dxa"/>
            <w:shd w:val="clear" w:color="auto" w:fill="C6EFCE"/>
          </w:tcPr>
          <w:p w14:paraId="0DBD42D0" w14:textId="77777777" w:rsidR="000E48CE" w:rsidRDefault="00FF4C4E">
            <w:pPr>
              <w:pStyle w:val="P68B1DB1-Normal13"/>
              <w:rPr>
                <w:rFonts w:cs="Times New Roman"/>
                <w:noProof/>
              </w:rPr>
            </w:pPr>
            <w:r>
              <w:rPr>
                <w:noProof/>
              </w:rPr>
              <w:t>Sähköisesti suoritettavat oikeudenkäyntimenettelyt</w:t>
            </w:r>
          </w:p>
        </w:tc>
        <w:tc>
          <w:tcPr>
            <w:tcW w:w="1442" w:type="dxa"/>
            <w:shd w:val="clear" w:color="auto" w:fill="C6EFCE"/>
          </w:tcPr>
          <w:p w14:paraId="30B8D3DF" w14:textId="77777777" w:rsidR="000E48CE" w:rsidRDefault="00FF4C4E">
            <w:pPr>
              <w:pStyle w:val="P68B1DB1-Normal13"/>
              <w:jc w:val="center"/>
              <w:rPr>
                <w:rFonts w:cs="Times New Roman"/>
                <w:noProof/>
              </w:rPr>
            </w:pPr>
            <w:r>
              <w:rPr>
                <w:noProof/>
              </w:rPr>
              <w:t> </w:t>
            </w:r>
          </w:p>
        </w:tc>
        <w:tc>
          <w:tcPr>
            <w:tcW w:w="1082" w:type="dxa"/>
            <w:shd w:val="clear" w:color="auto" w:fill="C6EFCE"/>
          </w:tcPr>
          <w:p w14:paraId="3DA4CF3B"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76AECD44" w14:textId="77777777" w:rsidR="000E48CE" w:rsidRDefault="00FF4C4E">
            <w:pPr>
              <w:pStyle w:val="P68B1DB1-Normal13"/>
              <w:jc w:val="right"/>
              <w:rPr>
                <w:rFonts w:cs="Times New Roman"/>
                <w:noProof/>
              </w:rPr>
            </w:pPr>
            <w:r>
              <w:rPr>
                <w:noProof/>
              </w:rPr>
              <w:t>0</w:t>
            </w:r>
          </w:p>
        </w:tc>
        <w:tc>
          <w:tcPr>
            <w:tcW w:w="709" w:type="dxa"/>
            <w:shd w:val="clear" w:color="auto" w:fill="C6EFCE"/>
          </w:tcPr>
          <w:p w14:paraId="2B05AACE" w14:textId="77777777" w:rsidR="000E48CE" w:rsidRDefault="00FF4C4E">
            <w:pPr>
              <w:pStyle w:val="P68B1DB1-Normal13"/>
              <w:jc w:val="right"/>
              <w:rPr>
                <w:rFonts w:cs="Times New Roman"/>
                <w:noProof/>
              </w:rPr>
            </w:pPr>
            <w:r>
              <w:rPr>
                <w:noProof/>
              </w:rPr>
              <w:t>70</w:t>
            </w:r>
          </w:p>
        </w:tc>
        <w:tc>
          <w:tcPr>
            <w:tcW w:w="567" w:type="dxa"/>
            <w:shd w:val="clear" w:color="auto" w:fill="C6EFCE"/>
          </w:tcPr>
          <w:p w14:paraId="1376797B"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431F1297" w14:textId="3CA06F1A" w:rsidR="000E48CE" w:rsidRDefault="00FF4C4E">
            <w:pPr>
              <w:pStyle w:val="P68B1DB1-Normal13"/>
              <w:jc w:val="center"/>
              <w:rPr>
                <w:rFonts w:cs="Times New Roman"/>
                <w:noProof/>
              </w:rPr>
            </w:pPr>
            <w:r>
              <w:rPr>
                <w:noProof/>
              </w:rPr>
              <w:t>2022</w:t>
            </w:r>
          </w:p>
        </w:tc>
        <w:tc>
          <w:tcPr>
            <w:tcW w:w="3998" w:type="dxa"/>
            <w:shd w:val="clear" w:color="auto" w:fill="C6EFCE"/>
          </w:tcPr>
          <w:p w14:paraId="1A18F975" w14:textId="77777777" w:rsidR="000E48CE" w:rsidRDefault="00FF4C4E">
            <w:pPr>
              <w:pStyle w:val="P68B1DB1-Normal13"/>
              <w:rPr>
                <w:rFonts w:cs="Times New Roman"/>
                <w:noProof/>
              </w:rPr>
            </w:pPr>
            <w:r>
              <w:rPr>
                <w:noProof/>
              </w:rPr>
              <w:t>Vähintään 70 prosentilla 4056 olemassa olevasta lainkäyttöelimestä on oltava tarvittava infrastruktuuri, jotta vähintään 30 prosenttia menettelyistä voidaan hoitaa sähköisesti. Tämä edellyttää telemaattisten oikeustoimien toteuttamista eri lainkäyttöelimis</w:t>
            </w:r>
            <w:r>
              <w:rPr>
                <w:noProof/>
              </w:rPr>
              <w:t>sä täydellä oikeusvarmuudella. Tämän tavoitteen saavuttamiseksi kaikilla osallistujilla on oltava pääsy oikeussaleihin videoneuvottelun välityksellä. Lisäksi sen avulla voidaan perustaa täysin virtuaalisia oikeussaleja, joihin kaikilla osallistujilla on pä</w:t>
            </w:r>
            <w:r>
              <w:rPr>
                <w:noProof/>
              </w:rPr>
              <w:t>äsy videoneuvottelun välityksellä. Luodaan välitön alusta, jolla luodaan uusia malleja ei-henkilökohtaisille yhteyksille ja käsittelylle. Tämä parantaa kansalaisten mahdollisuuksia käyttää julkishallinnon tarjoamia palveluja etäyhteydellä.</w:t>
            </w:r>
          </w:p>
        </w:tc>
      </w:tr>
      <w:tr w:rsidR="000E48CE" w14:paraId="599998E8" w14:textId="77777777">
        <w:trPr>
          <w:trHeight w:val="343"/>
        </w:trPr>
        <w:tc>
          <w:tcPr>
            <w:tcW w:w="1223" w:type="dxa"/>
            <w:tcBorders>
              <w:top w:val="single" w:sz="4" w:space="0" w:color="auto"/>
              <w:left w:val="single" w:sz="4" w:space="0" w:color="auto"/>
              <w:bottom w:val="single" w:sz="4" w:space="0" w:color="auto"/>
              <w:right w:val="single" w:sz="4" w:space="0" w:color="auto"/>
            </w:tcBorders>
            <w:shd w:val="clear" w:color="auto" w:fill="C6EFCE"/>
          </w:tcPr>
          <w:p w14:paraId="297C9B09" w14:textId="77777777" w:rsidR="000E48CE" w:rsidRDefault="00FF4C4E">
            <w:pPr>
              <w:pStyle w:val="P68B1DB1-Normal13"/>
              <w:jc w:val="center"/>
              <w:rPr>
                <w:rFonts w:cs="Times New Roman"/>
                <w:noProof/>
              </w:rPr>
            </w:pPr>
            <w:r>
              <w:rPr>
                <w:noProof/>
              </w:rPr>
              <w:t>165</w:t>
            </w:r>
          </w:p>
        </w:tc>
        <w:tc>
          <w:tcPr>
            <w:tcW w:w="1448" w:type="dxa"/>
            <w:tcBorders>
              <w:top w:val="single" w:sz="4" w:space="0" w:color="auto"/>
              <w:left w:val="single" w:sz="4" w:space="0" w:color="auto"/>
              <w:bottom w:val="single" w:sz="4" w:space="0" w:color="auto"/>
              <w:right w:val="single" w:sz="4" w:space="0" w:color="auto"/>
            </w:tcBorders>
            <w:shd w:val="clear" w:color="auto" w:fill="C6EFCE"/>
          </w:tcPr>
          <w:p w14:paraId="2C5464AA" w14:textId="77777777" w:rsidR="000E48CE" w:rsidRDefault="00FF4C4E">
            <w:pPr>
              <w:pStyle w:val="P68B1DB1-Normal13"/>
              <w:jc w:val="center"/>
              <w:rPr>
                <w:rFonts w:cs="Times New Roman"/>
                <w:noProof/>
              </w:rPr>
            </w:pPr>
            <w:r>
              <w:rPr>
                <w:noProof/>
              </w:rPr>
              <w:t>C11.I2</w:t>
            </w:r>
          </w:p>
        </w:tc>
        <w:tc>
          <w:tcPr>
            <w:tcW w:w="966" w:type="dxa"/>
            <w:tcBorders>
              <w:top w:val="single" w:sz="4" w:space="0" w:color="auto"/>
              <w:left w:val="single" w:sz="4" w:space="0" w:color="auto"/>
              <w:bottom w:val="single" w:sz="4" w:space="0" w:color="auto"/>
              <w:right w:val="single" w:sz="4" w:space="0" w:color="auto"/>
            </w:tcBorders>
            <w:shd w:val="clear" w:color="auto" w:fill="C6EFCE"/>
          </w:tcPr>
          <w:p w14:paraId="3CA690AB" w14:textId="77777777" w:rsidR="000E48CE" w:rsidRDefault="00FF4C4E">
            <w:pPr>
              <w:pStyle w:val="P68B1DB1-Normal13"/>
              <w:jc w:val="center"/>
              <w:rPr>
                <w:rFonts w:cs="Times New Roman"/>
                <w:noProof/>
              </w:rPr>
            </w:pPr>
            <w:r>
              <w:rPr>
                <w:noProof/>
              </w:rPr>
              <w:t>T</w:t>
            </w:r>
          </w:p>
        </w:tc>
        <w:tc>
          <w:tcPr>
            <w:tcW w:w="1631" w:type="dxa"/>
            <w:tcBorders>
              <w:top w:val="single" w:sz="4" w:space="0" w:color="auto"/>
              <w:left w:val="single" w:sz="4" w:space="0" w:color="auto"/>
              <w:bottom w:val="single" w:sz="4" w:space="0" w:color="auto"/>
              <w:right w:val="single" w:sz="4" w:space="0" w:color="auto"/>
            </w:tcBorders>
            <w:shd w:val="clear" w:color="auto" w:fill="C6EFCE"/>
          </w:tcPr>
          <w:p w14:paraId="5D08D1D3" w14:textId="77777777" w:rsidR="000E48CE" w:rsidRDefault="00FF4C4E">
            <w:pPr>
              <w:pStyle w:val="P68B1DB1-Normal13"/>
              <w:rPr>
                <w:rFonts w:cs="Times New Roman"/>
                <w:noProof/>
              </w:rPr>
            </w:pPr>
            <w:r>
              <w:rPr>
                <w:noProof/>
              </w:rPr>
              <w:t>Sellaisten hankkeiden myöntäminen, joilla tuetaan keskushallinnon digitalisaation edistäjiä koskevia hankkeita</w:t>
            </w:r>
          </w:p>
        </w:tc>
        <w:tc>
          <w:tcPr>
            <w:tcW w:w="1442" w:type="dxa"/>
            <w:tcBorders>
              <w:top w:val="single" w:sz="4" w:space="0" w:color="auto"/>
              <w:left w:val="single" w:sz="4" w:space="0" w:color="auto"/>
              <w:bottom w:val="single" w:sz="4" w:space="0" w:color="auto"/>
              <w:right w:val="single" w:sz="4" w:space="0" w:color="auto"/>
            </w:tcBorders>
            <w:shd w:val="clear" w:color="auto" w:fill="C6EFCE"/>
          </w:tcPr>
          <w:p w14:paraId="36668676" w14:textId="77777777" w:rsidR="000E48CE" w:rsidRDefault="00FF4C4E">
            <w:pPr>
              <w:pStyle w:val="P68B1DB1-Normal13"/>
              <w:jc w:val="center"/>
              <w:rPr>
                <w:rFonts w:cs="Times New Roman"/>
                <w:noProof/>
              </w:rPr>
            </w:pPr>
            <w:r>
              <w:rPr>
                <w:noProof/>
              </w:rPr>
              <w:t> </w:t>
            </w:r>
          </w:p>
        </w:tc>
        <w:tc>
          <w:tcPr>
            <w:tcW w:w="1082" w:type="dxa"/>
            <w:tcBorders>
              <w:top w:val="single" w:sz="4" w:space="0" w:color="auto"/>
              <w:left w:val="single" w:sz="4" w:space="0" w:color="auto"/>
              <w:bottom w:val="single" w:sz="4" w:space="0" w:color="auto"/>
              <w:right w:val="single" w:sz="4" w:space="0" w:color="auto"/>
            </w:tcBorders>
            <w:shd w:val="clear" w:color="auto" w:fill="C6EFCE"/>
          </w:tcPr>
          <w:p w14:paraId="16412B8B" w14:textId="77777777" w:rsidR="000E48CE" w:rsidRDefault="00FF4C4E">
            <w:pPr>
              <w:pStyle w:val="P68B1DB1-Normal13"/>
              <w:jc w:val="right"/>
              <w:rPr>
                <w:rFonts w:cs="Times New Roman"/>
                <w:noProof/>
              </w:rPr>
            </w:pPr>
            <w:r>
              <w:rPr>
                <w:noProof/>
              </w:rPr>
              <w:t>Miljoonaa euroa</w:t>
            </w:r>
          </w:p>
        </w:tc>
        <w:tc>
          <w:tcPr>
            <w:tcW w:w="708" w:type="dxa"/>
            <w:tcBorders>
              <w:top w:val="single" w:sz="4" w:space="0" w:color="auto"/>
              <w:left w:val="single" w:sz="4" w:space="0" w:color="auto"/>
              <w:bottom w:val="single" w:sz="4" w:space="0" w:color="auto"/>
              <w:right w:val="single" w:sz="4" w:space="0" w:color="auto"/>
            </w:tcBorders>
            <w:shd w:val="clear" w:color="auto" w:fill="C6EFCE"/>
          </w:tcPr>
          <w:p w14:paraId="5D3042B2" w14:textId="77777777" w:rsidR="000E48CE" w:rsidRDefault="00FF4C4E">
            <w:pPr>
              <w:pStyle w:val="P68B1DB1-Normal13"/>
              <w:jc w:val="right"/>
              <w:rPr>
                <w:rFonts w:cs="Times New Roman"/>
                <w:noProof/>
              </w:rPr>
            </w:pPr>
            <w:r>
              <w:rPr>
                <w:noProof/>
              </w:rPr>
              <w:t>0</w:t>
            </w:r>
          </w:p>
        </w:tc>
        <w:tc>
          <w:tcPr>
            <w:tcW w:w="709" w:type="dxa"/>
            <w:tcBorders>
              <w:top w:val="single" w:sz="4" w:space="0" w:color="auto"/>
              <w:left w:val="single" w:sz="4" w:space="0" w:color="auto"/>
              <w:bottom w:val="single" w:sz="4" w:space="0" w:color="auto"/>
              <w:right w:val="single" w:sz="4" w:space="0" w:color="auto"/>
            </w:tcBorders>
            <w:shd w:val="clear" w:color="auto" w:fill="C6EFCE"/>
          </w:tcPr>
          <w:p w14:paraId="1F7B8048" w14:textId="77777777" w:rsidR="000E48CE" w:rsidRDefault="00FF4C4E">
            <w:pPr>
              <w:pStyle w:val="P68B1DB1-Normal13"/>
              <w:jc w:val="right"/>
              <w:rPr>
                <w:rFonts w:cs="Times New Roman"/>
                <w:noProof/>
              </w:rPr>
            </w:pPr>
            <w:r>
              <w:rPr>
                <w:noProof/>
              </w:rPr>
              <w:t>1 205</w:t>
            </w:r>
          </w:p>
        </w:tc>
        <w:tc>
          <w:tcPr>
            <w:tcW w:w="567" w:type="dxa"/>
            <w:tcBorders>
              <w:top w:val="single" w:sz="4" w:space="0" w:color="auto"/>
              <w:left w:val="single" w:sz="4" w:space="0" w:color="auto"/>
              <w:bottom w:val="single" w:sz="4" w:space="0" w:color="auto"/>
              <w:right w:val="single" w:sz="4" w:space="0" w:color="auto"/>
            </w:tcBorders>
            <w:shd w:val="clear" w:color="auto" w:fill="C6EFCE"/>
          </w:tcPr>
          <w:p w14:paraId="5FF506EC" w14:textId="77777777" w:rsidR="000E48CE" w:rsidRDefault="00FF4C4E">
            <w:pPr>
              <w:pStyle w:val="P68B1DB1-Normal13"/>
              <w:jc w:val="center"/>
              <w:rPr>
                <w:rFonts w:cs="Times New Roman"/>
                <w:noProof/>
              </w:rPr>
            </w:pPr>
            <w:r>
              <w:rPr>
                <w:noProof/>
              </w:rPr>
              <w:t>Q4</w:t>
            </w:r>
          </w:p>
        </w:tc>
        <w:tc>
          <w:tcPr>
            <w:tcW w:w="822" w:type="dxa"/>
            <w:tcBorders>
              <w:top w:val="single" w:sz="4" w:space="0" w:color="auto"/>
              <w:left w:val="single" w:sz="4" w:space="0" w:color="auto"/>
              <w:bottom w:val="single" w:sz="4" w:space="0" w:color="auto"/>
              <w:right w:val="single" w:sz="4" w:space="0" w:color="auto"/>
            </w:tcBorders>
            <w:shd w:val="clear" w:color="auto" w:fill="C6EFCE"/>
          </w:tcPr>
          <w:p w14:paraId="5617717C" w14:textId="77777777" w:rsidR="000E48CE" w:rsidRDefault="00FF4C4E">
            <w:pPr>
              <w:pStyle w:val="P68B1DB1-Normal13"/>
              <w:jc w:val="center"/>
              <w:rPr>
                <w:rFonts w:cs="Times New Roman"/>
                <w:noProof/>
              </w:rPr>
            </w:pPr>
            <w:r>
              <w:rPr>
                <w:noProof/>
              </w:rPr>
              <w:t>2023</w:t>
            </w:r>
          </w:p>
        </w:tc>
        <w:tc>
          <w:tcPr>
            <w:tcW w:w="3998" w:type="dxa"/>
            <w:tcBorders>
              <w:top w:val="single" w:sz="4" w:space="0" w:color="auto"/>
              <w:left w:val="single" w:sz="4" w:space="0" w:color="auto"/>
              <w:bottom w:val="single" w:sz="4" w:space="0" w:color="auto"/>
              <w:right w:val="single" w:sz="4" w:space="0" w:color="auto"/>
            </w:tcBorders>
            <w:shd w:val="clear" w:color="auto" w:fill="C6EFCE"/>
          </w:tcPr>
          <w:p w14:paraId="5C699583" w14:textId="77777777" w:rsidR="000E48CE" w:rsidRDefault="00FF4C4E">
            <w:pPr>
              <w:pStyle w:val="P68B1DB1-Normal13"/>
              <w:rPr>
                <w:rFonts w:cs="Times New Roman"/>
                <w:noProof/>
              </w:rPr>
            </w:pPr>
            <w:r>
              <w:rPr>
                <w:noProof/>
              </w:rPr>
              <w:t xml:space="preserve">Julkaistaan Euroopan unionin virallisessa lehdessä tai julkisten hankintojen foorumissa hankkeita, jotka </w:t>
            </w:r>
            <w:r>
              <w:rPr>
                <w:noProof/>
              </w:rPr>
              <w:t>kattavat seuraavat alat:</w:t>
            </w:r>
            <w:r>
              <w:rPr>
                <w:noProof/>
              </w:rPr>
              <w:br/>
              <w:t>— Terveydenhuoltoalan digitalisaatio;</w:t>
            </w:r>
            <w:r>
              <w:rPr>
                <w:noProof/>
              </w:rPr>
              <w:br/>
              <w:t>—Oikeudenkäytön digitalisaatio;</w:t>
            </w:r>
            <w:r>
              <w:rPr>
                <w:noProof/>
              </w:rPr>
              <w:br/>
              <w:t>— Digitalisaatio työllisyyden kannalta;</w:t>
            </w:r>
            <w:r>
              <w:rPr>
                <w:noProof/>
              </w:rPr>
              <w:br/>
              <w:t>Digitaalinen muutos osallisuuden, sosiaaliturvan ja muuttoliikkeen osalta;</w:t>
            </w:r>
            <w:r>
              <w:rPr>
                <w:noProof/>
              </w:rPr>
              <w:br/>
              <w:t>—Konsulaattien digitalisointisuunnitelma;</w:t>
            </w:r>
            <w:r>
              <w:rPr>
                <w:noProof/>
              </w:rPr>
              <w:br/>
              <w:t>— Di</w:t>
            </w:r>
            <w:r>
              <w:rPr>
                <w:noProof/>
              </w:rPr>
              <w:t>gitalisaatio muilla valtionhallinnon aloilla.</w:t>
            </w:r>
          </w:p>
        </w:tc>
      </w:tr>
      <w:tr w:rsidR="000E48CE" w14:paraId="30C22732" w14:textId="77777777">
        <w:trPr>
          <w:trHeight w:val="309"/>
        </w:trPr>
        <w:tc>
          <w:tcPr>
            <w:tcW w:w="1223" w:type="dxa"/>
            <w:shd w:val="clear" w:color="auto" w:fill="C6EFCE"/>
          </w:tcPr>
          <w:p w14:paraId="748BDFB5" w14:textId="77777777" w:rsidR="000E48CE" w:rsidRDefault="00FF4C4E">
            <w:pPr>
              <w:pStyle w:val="P68B1DB1-Normal13"/>
              <w:jc w:val="center"/>
              <w:rPr>
                <w:rFonts w:cs="Times New Roman"/>
                <w:noProof/>
              </w:rPr>
            </w:pPr>
            <w:r>
              <w:rPr>
                <w:noProof/>
              </w:rPr>
              <w:t>166</w:t>
            </w:r>
          </w:p>
        </w:tc>
        <w:tc>
          <w:tcPr>
            <w:tcW w:w="1448" w:type="dxa"/>
            <w:shd w:val="clear" w:color="auto" w:fill="C6EFCE"/>
          </w:tcPr>
          <w:p w14:paraId="35122461" w14:textId="77777777" w:rsidR="000E48CE" w:rsidRDefault="00FF4C4E">
            <w:pPr>
              <w:pStyle w:val="P68B1DB1-Normal13"/>
              <w:jc w:val="center"/>
              <w:rPr>
                <w:rFonts w:cs="Times New Roman"/>
                <w:noProof/>
              </w:rPr>
            </w:pPr>
            <w:r>
              <w:rPr>
                <w:noProof/>
              </w:rPr>
              <w:t>C11.I2</w:t>
            </w:r>
          </w:p>
        </w:tc>
        <w:tc>
          <w:tcPr>
            <w:tcW w:w="966" w:type="dxa"/>
            <w:shd w:val="clear" w:color="auto" w:fill="C6EFCE"/>
          </w:tcPr>
          <w:p w14:paraId="140A805F"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71EB7BE6" w14:textId="77777777" w:rsidR="000E48CE" w:rsidRDefault="00FF4C4E">
            <w:pPr>
              <w:pStyle w:val="P68B1DB1-Normal13"/>
              <w:rPr>
                <w:rFonts w:cs="Times New Roman"/>
                <w:noProof/>
              </w:rPr>
            </w:pPr>
            <w:r>
              <w:rPr>
                <w:noProof/>
              </w:rPr>
              <w:t>Julkishallinnon digitalisaatiota edistäviä hankkeita tukevien hankkeiden loppuun saattaminen</w:t>
            </w:r>
          </w:p>
        </w:tc>
        <w:tc>
          <w:tcPr>
            <w:tcW w:w="1442" w:type="dxa"/>
            <w:shd w:val="clear" w:color="auto" w:fill="C6EFCE"/>
          </w:tcPr>
          <w:p w14:paraId="71FD1A04" w14:textId="77777777" w:rsidR="000E48CE" w:rsidRDefault="00FF4C4E">
            <w:pPr>
              <w:pStyle w:val="P68B1DB1-Normal13"/>
              <w:jc w:val="center"/>
              <w:rPr>
                <w:rFonts w:cs="Times New Roman"/>
                <w:noProof/>
              </w:rPr>
            </w:pPr>
            <w:r>
              <w:rPr>
                <w:noProof/>
              </w:rPr>
              <w:t>Toimivaltaisen viranomaisen allekirjoittamat todistukset siitä, että hankkeet on saatettu päätökseen ja</w:t>
            </w:r>
            <w:r>
              <w:rPr>
                <w:noProof/>
              </w:rPr>
              <w:t xml:space="preserve"> että ne ovat toiminnassa</w:t>
            </w:r>
          </w:p>
        </w:tc>
        <w:tc>
          <w:tcPr>
            <w:tcW w:w="1082" w:type="dxa"/>
            <w:shd w:val="clear" w:color="auto" w:fill="C6EFCE"/>
          </w:tcPr>
          <w:p w14:paraId="15DC0836" w14:textId="77777777" w:rsidR="000E48CE" w:rsidRDefault="00FF4C4E">
            <w:pPr>
              <w:pStyle w:val="P68B1DB1-Normal13"/>
              <w:jc w:val="right"/>
              <w:rPr>
                <w:rFonts w:cs="Times New Roman"/>
                <w:noProof/>
              </w:rPr>
            </w:pPr>
            <w:r>
              <w:rPr>
                <w:noProof/>
              </w:rPr>
              <w:t> </w:t>
            </w:r>
          </w:p>
        </w:tc>
        <w:tc>
          <w:tcPr>
            <w:tcW w:w="708" w:type="dxa"/>
            <w:shd w:val="clear" w:color="auto" w:fill="C6EFCE"/>
          </w:tcPr>
          <w:p w14:paraId="3533C3BA" w14:textId="77777777" w:rsidR="000E48CE" w:rsidRDefault="00FF4C4E">
            <w:pPr>
              <w:pStyle w:val="P68B1DB1-Normal13"/>
              <w:jc w:val="right"/>
              <w:rPr>
                <w:rFonts w:cs="Times New Roman"/>
                <w:noProof/>
              </w:rPr>
            </w:pPr>
            <w:r>
              <w:rPr>
                <w:noProof/>
              </w:rPr>
              <w:t> </w:t>
            </w:r>
          </w:p>
        </w:tc>
        <w:tc>
          <w:tcPr>
            <w:tcW w:w="709" w:type="dxa"/>
            <w:shd w:val="clear" w:color="auto" w:fill="C6EFCE"/>
          </w:tcPr>
          <w:p w14:paraId="1DE894AF" w14:textId="77777777" w:rsidR="000E48CE" w:rsidRDefault="00FF4C4E">
            <w:pPr>
              <w:pStyle w:val="P68B1DB1-Normal13"/>
              <w:jc w:val="right"/>
              <w:rPr>
                <w:rFonts w:cs="Times New Roman"/>
                <w:noProof/>
              </w:rPr>
            </w:pPr>
            <w:r>
              <w:rPr>
                <w:noProof/>
              </w:rPr>
              <w:t> </w:t>
            </w:r>
          </w:p>
        </w:tc>
        <w:tc>
          <w:tcPr>
            <w:tcW w:w="567" w:type="dxa"/>
            <w:shd w:val="clear" w:color="auto" w:fill="C6EFCE"/>
          </w:tcPr>
          <w:p w14:paraId="7E9CB671"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5D100815" w14:textId="77777777" w:rsidR="000E48CE" w:rsidRDefault="00FF4C4E">
            <w:pPr>
              <w:pStyle w:val="P68B1DB1-Normal13"/>
              <w:jc w:val="center"/>
              <w:rPr>
                <w:rFonts w:cs="Times New Roman"/>
                <w:noProof/>
              </w:rPr>
            </w:pPr>
            <w:r>
              <w:rPr>
                <w:noProof/>
              </w:rPr>
              <w:t>2025</w:t>
            </w:r>
          </w:p>
        </w:tc>
        <w:tc>
          <w:tcPr>
            <w:tcW w:w="3998" w:type="dxa"/>
            <w:shd w:val="clear" w:color="auto" w:fill="C6EFCE"/>
          </w:tcPr>
          <w:p w14:paraId="4B12F15C" w14:textId="77777777" w:rsidR="000E48CE" w:rsidRDefault="00FF4C4E">
            <w:pPr>
              <w:pStyle w:val="P68B1DB1-Normal13"/>
              <w:rPr>
                <w:rFonts w:cs="Times New Roman"/>
                <w:noProof/>
              </w:rPr>
            </w:pPr>
            <w:r>
              <w:rPr>
                <w:noProof/>
              </w:rPr>
              <w:t>Tavoitteen nro #165 mukaisesti myönnettyjen hankkeiden loppuun saattaminen</w:t>
            </w:r>
          </w:p>
        </w:tc>
      </w:tr>
      <w:tr w:rsidR="000E48CE" w14:paraId="1F8EC9B7" w14:textId="77777777">
        <w:trPr>
          <w:trHeight w:val="309"/>
        </w:trPr>
        <w:tc>
          <w:tcPr>
            <w:tcW w:w="1223" w:type="dxa"/>
            <w:shd w:val="clear" w:color="auto" w:fill="C6EFCE"/>
          </w:tcPr>
          <w:p w14:paraId="23667BAA" w14:textId="77777777" w:rsidR="000E48CE" w:rsidRDefault="00FF4C4E">
            <w:pPr>
              <w:pStyle w:val="P68B1DB1-Normal13"/>
              <w:jc w:val="center"/>
              <w:rPr>
                <w:rFonts w:cs="Times New Roman"/>
                <w:noProof/>
              </w:rPr>
            </w:pPr>
            <w:r>
              <w:rPr>
                <w:noProof/>
              </w:rPr>
              <w:t>167</w:t>
            </w:r>
          </w:p>
        </w:tc>
        <w:tc>
          <w:tcPr>
            <w:tcW w:w="1448" w:type="dxa"/>
            <w:shd w:val="clear" w:color="auto" w:fill="C6EFCE"/>
          </w:tcPr>
          <w:p w14:paraId="2DA2DBB6" w14:textId="77777777" w:rsidR="000E48CE" w:rsidRDefault="00FF4C4E">
            <w:pPr>
              <w:pStyle w:val="P68B1DB1-Normal13"/>
              <w:jc w:val="center"/>
              <w:rPr>
                <w:rFonts w:cs="Times New Roman"/>
                <w:noProof/>
              </w:rPr>
            </w:pPr>
            <w:r>
              <w:rPr>
                <w:noProof/>
              </w:rPr>
              <w:t>C11.I3</w:t>
            </w:r>
          </w:p>
        </w:tc>
        <w:tc>
          <w:tcPr>
            <w:tcW w:w="966" w:type="dxa"/>
            <w:shd w:val="clear" w:color="auto" w:fill="C6EFCE"/>
          </w:tcPr>
          <w:p w14:paraId="5BD39C5F"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6022DEBF" w14:textId="77777777" w:rsidR="000E48CE" w:rsidRDefault="00FF4C4E">
            <w:pPr>
              <w:pStyle w:val="P68B1DB1-Normal13"/>
              <w:rPr>
                <w:rFonts w:cs="Times New Roman"/>
                <w:noProof/>
              </w:rPr>
            </w:pPr>
            <w:r>
              <w:rPr>
                <w:noProof/>
              </w:rPr>
              <w:t>Alueellisten ja paikallisten yksiköiden digitalisointi</w:t>
            </w:r>
          </w:p>
        </w:tc>
        <w:tc>
          <w:tcPr>
            <w:tcW w:w="1442" w:type="dxa"/>
            <w:shd w:val="clear" w:color="auto" w:fill="C6EFCE"/>
          </w:tcPr>
          <w:p w14:paraId="34C8375B" w14:textId="77777777" w:rsidR="000E48CE" w:rsidRDefault="00FF4C4E">
            <w:pPr>
              <w:pStyle w:val="P68B1DB1-Normal13"/>
              <w:jc w:val="center"/>
              <w:rPr>
                <w:rFonts w:cs="Times New Roman"/>
                <w:noProof/>
              </w:rPr>
            </w:pPr>
            <w:r>
              <w:rPr>
                <w:noProof/>
              </w:rPr>
              <w:t xml:space="preserve">Aluepolitiikasta ja julkishallinnosta vastaava ministeriö antaa </w:t>
            </w:r>
            <w:r>
              <w:rPr>
                <w:noProof/>
              </w:rPr>
              <w:t>allekirjoitetun todistuksen siitä, että tavoite on saavutettu</w:t>
            </w:r>
          </w:p>
        </w:tc>
        <w:tc>
          <w:tcPr>
            <w:tcW w:w="1082" w:type="dxa"/>
            <w:shd w:val="clear" w:color="auto" w:fill="C6EFCE"/>
          </w:tcPr>
          <w:p w14:paraId="00005C1A" w14:textId="77777777" w:rsidR="000E48CE" w:rsidRDefault="00FF4C4E">
            <w:pPr>
              <w:pStyle w:val="P68B1DB1-Normal13"/>
              <w:jc w:val="right"/>
              <w:rPr>
                <w:rFonts w:cs="Times New Roman"/>
                <w:noProof/>
              </w:rPr>
            </w:pPr>
            <w:r>
              <w:rPr>
                <w:noProof/>
              </w:rPr>
              <w:t> </w:t>
            </w:r>
          </w:p>
        </w:tc>
        <w:tc>
          <w:tcPr>
            <w:tcW w:w="708" w:type="dxa"/>
            <w:shd w:val="clear" w:color="auto" w:fill="C6EFCE"/>
          </w:tcPr>
          <w:p w14:paraId="28DA1435" w14:textId="77777777" w:rsidR="000E48CE" w:rsidRDefault="00FF4C4E">
            <w:pPr>
              <w:pStyle w:val="P68B1DB1-Normal13"/>
              <w:jc w:val="right"/>
              <w:rPr>
                <w:rFonts w:cs="Times New Roman"/>
                <w:noProof/>
              </w:rPr>
            </w:pPr>
            <w:r>
              <w:rPr>
                <w:noProof/>
              </w:rPr>
              <w:t> </w:t>
            </w:r>
          </w:p>
        </w:tc>
        <w:tc>
          <w:tcPr>
            <w:tcW w:w="709" w:type="dxa"/>
            <w:shd w:val="clear" w:color="auto" w:fill="C6EFCE"/>
          </w:tcPr>
          <w:p w14:paraId="51460906" w14:textId="77777777" w:rsidR="000E48CE" w:rsidRDefault="00FF4C4E">
            <w:pPr>
              <w:pStyle w:val="P68B1DB1-Normal13"/>
              <w:jc w:val="right"/>
              <w:rPr>
                <w:rFonts w:cs="Times New Roman"/>
                <w:noProof/>
              </w:rPr>
            </w:pPr>
            <w:r>
              <w:rPr>
                <w:noProof/>
              </w:rPr>
              <w:t> </w:t>
            </w:r>
          </w:p>
        </w:tc>
        <w:tc>
          <w:tcPr>
            <w:tcW w:w="567" w:type="dxa"/>
            <w:shd w:val="clear" w:color="auto" w:fill="C6EFCE"/>
          </w:tcPr>
          <w:p w14:paraId="06D515A8"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37AC85C7" w14:textId="77777777" w:rsidR="000E48CE" w:rsidRDefault="00FF4C4E">
            <w:pPr>
              <w:pStyle w:val="P68B1DB1-Normal13"/>
              <w:jc w:val="center"/>
              <w:rPr>
                <w:rFonts w:cs="Times New Roman"/>
                <w:noProof/>
              </w:rPr>
            </w:pPr>
            <w:r>
              <w:rPr>
                <w:noProof/>
              </w:rPr>
              <w:t>2023</w:t>
            </w:r>
          </w:p>
        </w:tc>
        <w:tc>
          <w:tcPr>
            <w:tcW w:w="3998" w:type="dxa"/>
            <w:shd w:val="clear" w:color="auto" w:fill="C6EFCE"/>
          </w:tcPr>
          <w:p w14:paraId="70950286" w14:textId="77777777" w:rsidR="000E48CE" w:rsidRDefault="00FF4C4E">
            <w:pPr>
              <w:pStyle w:val="P68B1DB1-Normal13"/>
              <w:rPr>
                <w:rFonts w:cs="Times New Roman"/>
                <w:noProof/>
              </w:rPr>
            </w:pPr>
            <w:r>
              <w:rPr>
                <w:noProof/>
              </w:rPr>
              <w:t>Autonomiset yhteisöt ja paikallishallinnot ovat saaneet päätökseen hankkeita, jotka liittyvät digitaalistrategian 2025 strategisiin linjauksiin, julkishallintojen digitalisointisuu</w:t>
            </w:r>
            <w:r>
              <w:rPr>
                <w:noProof/>
              </w:rPr>
              <w:t>nnitelmaan ja muihin julkisen sektorin nykyaikaistamistoimiin. Erityisesti: kukin itsehallintoalue on saattanut päätökseen vähintään yhden hankkeen viidestä strategisesta toimintalinjasta (1. Kansalaisille suunnattu hallinto, 2. Älykkäät toiminnot, 3. A Da</w:t>
            </w:r>
            <w:r>
              <w:rPr>
                <w:noProof/>
              </w:rPr>
              <w:t>tahallitus, 4. Digitaaliset infrastruktuurit ja/tai 5. Kyberturvallisuus); 60 prosenttia aluehallintojen (</w:t>
            </w:r>
            <w:r>
              <w:rPr>
                <w:i/>
                <w:noProof/>
              </w:rPr>
              <w:t>Comunidades Autónomas</w:t>
            </w:r>
            <w:r>
              <w:rPr>
                <w:noProof/>
              </w:rPr>
              <w:t xml:space="preserve">) digitaalisista menettelyistä mahdollistaa niiden käytön mobiilina (nykyisin: 48 PROSENTTIA. </w:t>
            </w:r>
          </w:p>
        </w:tc>
      </w:tr>
      <w:tr w:rsidR="000E48CE" w14:paraId="29457D88" w14:textId="77777777">
        <w:trPr>
          <w:trHeight w:val="309"/>
        </w:trPr>
        <w:tc>
          <w:tcPr>
            <w:tcW w:w="1223" w:type="dxa"/>
            <w:shd w:val="clear" w:color="auto" w:fill="C6EFCE"/>
          </w:tcPr>
          <w:p w14:paraId="43DD2ED9" w14:textId="77777777" w:rsidR="000E48CE" w:rsidRDefault="00FF4C4E">
            <w:pPr>
              <w:pStyle w:val="P68B1DB1-Normal13"/>
              <w:jc w:val="center"/>
              <w:rPr>
                <w:rFonts w:cs="Times New Roman"/>
                <w:noProof/>
              </w:rPr>
            </w:pPr>
            <w:r>
              <w:rPr>
                <w:noProof/>
              </w:rPr>
              <w:t>168</w:t>
            </w:r>
          </w:p>
        </w:tc>
        <w:tc>
          <w:tcPr>
            <w:tcW w:w="1448" w:type="dxa"/>
            <w:shd w:val="clear" w:color="auto" w:fill="C6EFCE"/>
          </w:tcPr>
          <w:p w14:paraId="175B0B9C" w14:textId="77777777" w:rsidR="000E48CE" w:rsidRDefault="00FF4C4E">
            <w:pPr>
              <w:pStyle w:val="P68B1DB1-Normal13"/>
              <w:jc w:val="center"/>
              <w:rPr>
                <w:rFonts w:cs="Times New Roman"/>
                <w:noProof/>
              </w:rPr>
            </w:pPr>
            <w:r>
              <w:rPr>
                <w:noProof/>
              </w:rPr>
              <w:t>C11.I3</w:t>
            </w:r>
          </w:p>
        </w:tc>
        <w:tc>
          <w:tcPr>
            <w:tcW w:w="966" w:type="dxa"/>
            <w:shd w:val="clear" w:color="auto" w:fill="C6EFCE"/>
          </w:tcPr>
          <w:p w14:paraId="1AD90BCF" w14:textId="77777777" w:rsidR="000E48CE" w:rsidRDefault="00FF4C4E">
            <w:pPr>
              <w:pStyle w:val="P68B1DB1-Normal13"/>
              <w:jc w:val="center"/>
              <w:rPr>
                <w:rFonts w:cs="Times New Roman"/>
                <w:noProof/>
              </w:rPr>
            </w:pPr>
            <w:r>
              <w:rPr>
                <w:noProof/>
              </w:rPr>
              <w:t>T</w:t>
            </w:r>
          </w:p>
        </w:tc>
        <w:tc>
          <w:tcPr>
            <w:tcW w:w="1631" w:type="dxa"/>
            <w:shd w:val="clear" w:color="auto" w:fill="C6EFCE"/>
          </w:tcPr>
          <w:p w14:paraId="13A6B727" w14:textId="77777777" w:rsidR="000E48CE" w:rsidRDefault="00FF4C4E">
            <w:pPr>
              <w:pStyle w:val="P68B1DB1-Normal13"/>
              <w:rPr>
                <w:rFonts w:cs="Times New Roman"/>
                <w:noProof/>
              </w:rPr>
            </w:pPr>
            <w:r>
              <w:rPr>
                <w:noProof/>
              </w:rPr>
              <w:t xml:space="preserve">Alue- ja </w:t>
            </w:r>
            <w:r>
              <w:rPr>
                <w:noProof/>
              </w:rPr>
              <w:t>paikallishallinnon sekä aluepolitiikasta ja julkishallinnosta vastaavan ministeriön digitalisaatiota tukevien hankkeiden myöntäminen</w:t>
            </w:r>
          </w:p>
        </w:tc>
        <w:tc>
          <w:tcPr>
            <w:tcW w:w="1442" w:type="dxa"/>
            <w:shd w:val="clear" w:color="auto" w:fill="C6EFCE"/>
          </w:tcPr>
          <w:p w14:paraId="7DCD1A6C" w14:textId="77777777" w:rsidR="000E48CE" w:rsidRDefault="00FF4C4E">
            <w:pPr>
              <w:pStyle w:val="P68B1DB1-Normal13"/>
              <w:jc w:val="center"/>
              <w:rPr>
                <w:rFonts w:cs="Times New Roman"/>
                <w:noProof/>
              </w:rPr>
            </w:pPr>
            <w:r>
              <w:rPr>
                <w:noProof/>
              </w:rPr>
              <w:t> </w:t>
            </w:r>
          </w:p>
        </w:tc>
        <w:tc>
          <w:tcPr>
            <w:tcW w:w="1082" w:type="dxa"/>
            <w:shd w:val="clear" w:color="auto" w:fill="C6EFCE"/>
          </w:tcPr>
          <w:p w14:paraId="407B9779" w14:textId="77777777" w:rsidR="000E48CE" w:rsidRDefault="00FF4C4E">
            <w:pPr>
              <w:pStyle w:val="P68B1DB1-Normal13"/>
              <w:jc w:val="right"/>
              <w:rPr>
                <w:rFonts w:cs="Times New Roman"/>
                <w:noProof/>
              </w:rPr>
            </w:pPr>
            <w:r>
              <w:rPr>
                <w:noProof/>
              </w:rPr>
              <w:t>Miljoonaa euroa</w:t>
            </w:r>
          </w:p>
        </w:tc>
        <w:tc>
          <w:tcPr>
            <w:tcW w:w="708" w:type="dxa"/>
            <w:shd w:val="clear" w:color="auto" w:fill="C6EFCE"/>
          </w:tcPr>
          <w:p w14:paraId="606EC8B5" w14:textId="77777777" w:rsidR="000E48CE" w:rsidRDefault="00FF4C4E">
            <w:pPr>
              <w:pStyle w:val="P68B1DB1-Normal13"/>
              <w:jc w:val="right"/>
              <w:rPr>
                <w:rFonts w:cs="Times New Roman"/>
                <w:noProof/>
              </w:rPr>
            </w:pPr>
            <w:r>
              <w:rPr>
                <w:noProof/>
              </w:rPr>
              <w:t>0</w:t>
            </w:r>
          </w:p>
        </w:tc>
        <w:tc>
          <w:tcPr>
            <w:tcW w:w="709" w:type="dxa"/>
            <w:shd w:val="clear" w:color="auto" w:fill="C6EFCE"/>
          </w:tcPr>
          <w:p w14:paraId="1516BA19" w14:textId="77777777" w:rsidR="000E48CE" w:rsidRDefault="00FF4C4E">
            <w:pPr>
              <w:pStyle w:val="P68B1DB1-Normal13"/>
              <w:jc w:val="right"/>
              <w:rPr>
                <w:rFonts w:cs="Times New Roman"/>
                <w:noProof/>
              </w:rPr>
            </w:pPr>
            <w:r>
              <w:rPr>
                <w:noProof/>
              </w:rPr>
              <w:t>1 000</w:t>
            </w:r>
          </w:p>
        </w:tc>
        <w:tc>
          <w:tcPr>
            <w:tcW w:w="567" w:type="dxa"/>
            <w:shd w:val="clear" w:color="auto" w:fill="C6EFCE"/>
          </w:tcPr>
          <w:p w14:paraId="23EE0B9A" w14:textId="77777777" w:rsidR="000E48CE" w:rsidRDefault="00FF4C4E">
            <w:pPr>
              <w:pStyle w:val="P68B1DB1-Normal13"/>
              <w:jc w:val="center"/>
              <w:rPr>
                <w:rFonts w:cs="Times New Roman"/>
                <w:noProof/>
              </w:rPr>
            </w:pPr>
            <w:r>
              <w:rPr>
                <w:noProof/>
              </w:rPr>
              <w:t>Q2</w:t>
            </w:r>
          </w:p>
        </w:tc>
        <w:tc>
          <w:tcPr>
            <w:tcW w:w="822" w:type="dxa"/>
            <w:shd w:val="clear" w:color="auto" w:fill="C6EFCE"/>
          </w:tcPr>
          <w:p w14:paraId="7E3FE776" w14:textId="77777777" w:rsidR="000E48CE" w:rsidRDefault="00FF4C4E">
            <w:pPr>
              <w:pStyle w:val="P68B1DB1-Normal13"/>
              <w:jc w:val="center"/>
              <w:rPr>
                <w:rFonts w:cs="Times New Roman"/>
                <w:noProof/>
              </w:rPr>
            </w:pPr>
            <w:r>
              <w:rPr>
                <w:noProof/>
              </w:rPr>
              <w:t>2025</w:t>
            </w:r>
          </w:p>
        </w:tc>
        <w:tc>
          <w:tcPr>
            <w:tcW w:w="3998" w:type="dxa"/>
            <w:shd w:val="clear" w:color="auto" w:fill="C6EFCE"/>
          </w:tcPr>
          <w:p w14:paraId="749F95DF" w14:textId="77777777" w:rsidR="000E48CE" w:rsidRDefault="00FF4C4E">
            <w:pPr>
              <w:pStyle w:val="P68B1DB1-Normal13"/>
              <w:rPr>
                <w:rFonts w:cs="Times New Roman"/>
                <w:noProof/>
              </w:rPr>
            </w:pPr>
            <w:r>
              <w:rPr>
                <w:noProof/>
              </w:rPr>
              <w:t xml:space="preserve">Julkaistaan Euroopan unionin virallisessa lehdessä tai julkisten hankintojen foorumissa hankkeita, jotka kattavat seuraavat alat: </w:t>
            </w:r>
            <w:r>
              <w:rPr>
                <w:noProof/>
              </w:rPr>
              <w:br/>
              <w:t>Digitaalinen muutos proaktiivisuuden, liikkuvuuden ja käyttäjäkokemuksen osalta;</w:t>
            </w:r>
            <w:r>
              <w:rPr>
                <w:noProof/>
              </w:rPr>
              <w:br/>
              <w:t>— Digitalisaatio automaatiossa ja datakeskei</w:t>
            </w:r>
            <w:r>
              <w:rPr>
                <w:noProof/>
              </w:rPr>
              <w:t>sessä julkishallinnossa;</w:t>
            </w:r>
            <w:r>
              <w:rPr>
                <w:noProof/>
              </w:rPr>
              <w:br/>
              <w:t>— Digitaalinen muutos fyysisten, loogisten infrastruktuurien ja ohjelmistojen osalta;</w:t>
            </w:r>
            <w:r>
              <w:rPr>
                <w:noProof/>
              </w:rPr>
              <w:br/>
              <w:t>— Digitaalinen muutos kyberturvallisuuden alalla.</w:t>
            </w:r>
          </w:p>
        </w:tc>
      </w:tr>
      <w:tr w:rsidR="000E48CE" w14:paraId="70646FC0" w14:textId="77777777">
        <w:trPr>
          <w:trHeight w:val="309"/>
        </w:trPr>
        <w:tc>
          <w:tcPr>
            <w:tcW w:w="1223" w:type="dxa"/>
            <w:shd w:val="clear" w:color="auto" w:fill="C6EFCE"/>
          </w:tcPr>
          <w:p w14:paraId="69ED8513" w14:textId="77777777" w:rsidR="000E48CE" w:rsidRDefault="00FF4C4E">
            <w:pPr>
              <w:pStyle w:val="P68B1DB1-Normal13"/>
              <w:jc w:val="center"/>
              <w:rPr>
                <w:rFonts w:cs="Times New Roman"/>
                <w:noProof/>
              </w:rPr>
            </w:pPr>
            <w:r>
              <w:rPr>
                <w:noProof/>
              </w:rPr>
              <w:t>169</w:t>
            </w:r>
          </w:p>
        </w:tc>
        <w:tc>
          <w:tcPr>
            <w:tcW w:w="1448" w:type="dxa"/>
            <w:shd w:val="clear" w:color="auto" w:fill="C6EFCE"/>
          </w:tcPr>
          <w:p w14:paraId="58170C5B" w14:textId="77777777" w:rsidR="000E48CE" w:rsidRDefault="00FF4C4E">
            <w:pPr>
              <w:pStyle w:val="P68B1DB1-Normal13"/>
              <w:jc w:val="center"/>
              <w:rPr>
                <w:rFonts w:cs="Times New Roman"/>
                <w:noProof/>
              </w:rPr>
            </w:pPr>
            <w:r>
              <w:rPr>
                <w:noProof/>
              </w:rPr>
              <w:t>C11.I3</w:t>
            </w:r>
          </w:p>
        </w:tc>
        <w:tc>
          <w:tcPr>
            <w:tcW w:w="966" w:type="dxa"/>
            <w:shd w:val="clear" w:color="auto" w:fill="C6EFCE"/>
          </w:tcPr>
          <w:p w14:paraId="0741F2D4"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080D547C" w14:textId="77777777" w:rsidR="000E48CE" w:rsidRDefault="00FF4C4E">
            <w:pPr>
              <w:pStyle w:val="P68B1DB1-Normal13"/>
              <w:rPr>
                <w:rFonts w:cs="Times New Roman"/>
                <w:noProof/>
              </w:rPr>
            </w:pPr>
            <w:r>
              <w:rPr>
                <w:noProof/>
              </w:rPr>
              <w:t xml:space="preserve">Kaikkien alue- ja paikallishallinnon sekä aluepolitiikasta ja julkishallinnosta </w:t>
            </w:r>
            <w:r>
              <w:rPr>
                <w:noProof/>
              </w:rPr>
              <w:t>vastaavan ministeriön digitalisaatiota tukevien hankkeiden loppuun saattaminen</w:t>
            </w:r>
          </w:p>
        </w:tc>
        <w:tc>
          <w:tcPr>
            <w:tcW w:w="1442" w:type="dxa"/>
            <w:shd w:val="clear" w:color="auto" w:fill="C6EFCE"/>
          </w:tcPr>
          <w:p w14:paraId="026EC5A2" w14:textId="77777777" w:rsidR="000E48CE" w:rsidRDefault="00FF4C4E">
            <w:pPr>
              <w:pStyle w:val="P68B1DB1-Normal13"/>
              <w:jc w:val="center"/>
              <w:rPr>
                <w:rFonts w:cs="Times New Roman"/>
                <w:noProof/>
              </w:rPr>
            </w:pPr>
            <w:r>
              <w:rPr>
                <w:noProof/>
              </w:rPr>
              <w:t>Toimivaltaisen viranomaisen allekirjoittamat todistukset siitä, että hankkeet on saatettu päätökseen ja että ne ovat toiminnassa</w:t>
            </w:r>
          </w:p>
        </w:tc>
        <w:tc>
          <w:tcPr>
            <w:tcW w:w="1082" w:type="dxa"/>
            <w:shd w:val="clear" w:color="auto" w:fill="C6EFCE"/>
          </w:tcPr>
          <w:p w14:paraId="6EA08E3F" w14:textId="77777777" w:rsidR="000E48CE" w:rsidRDefault="00FF4C4E">
            <w:pPr>
              <w:pStyle w:val="P68B1DB1-Normal13"/>
              <w:jc w:val="right"/>
              <w:rPr>
                <w:rFonts w:cs="Times New Roman"/>
                <w:noProof/>
              </w:rPr>
            </w:pPr>
            <w:r>
              <w:rPr>
                <w:noProof/>
              </w:rPr>
              <w:t> </w:t>
            </w:r>
          </w:p>
        </w:tc>
        <w:tc>
          <w:tcPr>
            <w:tcW w:w="708" w:type="dxa"/>
            <w:shd w:val="clear" w:color="auto" w:fill="C6EFCE"/>
          </w:tcPr>
          <w:p w14:paraId="207E0226" w14:textId="77777777" w:rsidR="000E48CE" w:rsidRDefault="00FF4C4E">
            <w:pPr>
              <w:pStyle w:val="P68B1DB1-Normal13"/>
              <w:jc w:val="right"/>
              <w:rPr>
                <w:rFonts w:cs="Times New Roman"/>
                <w:noProof/>
              </w:rPr>
            </w:pPr>
            <w:r>
              <w:rPr>
                <w:noProof/>
              </w:rPr>
              <w:t> </w:t>
            </w:r>
          </w:p>
        </w:tc>
        <w:tc>
          <w:tcPr>
            <w:tcW w:w="709" w:type="dxa"/>
            <w:shd w:val="clear" w:color="auto" w:fill="C6EFCE"/>
          </w:tcPr>
          <w:p w14:paraId="1D252E91" w14:textId="77777777" w:rsidR="000E48CE" w:rsidRDefault="00FF4C4E">
            <w:pPr>
              <w:pStyle w:val="P68B1DB1-Normal13"/>
              <w:jc w:val="right"/>
              <w:rPr>
                <w:rFonts w:cs="Times New Roman"/>
                <w:noProof/>
              </w:rPr>
            </w:pPr>
            <w:r>
              <w:rPr>
                <w:noProof/>
              </w:rPr>
              <w:t> </w:t>
            </w:r>
          </w:p>
        </w:tc>
        <w:tc>
          <w:tcPr>
            <w:tcW w:w="567" w:type="dxa"/>
            <w:shd w:val="clear" w:color="auto" w:fill="C6EFCE"/>
          </w:tcPr>
          <w:p w14:paraId="36784472" w14:textId="77777777" w:rsidR="000E48CE" w:rsidRDefault="00FF4C4E">
            <w:pPr>
              <w:pStyle w:val="P68B1DB1-Normal13"/>
              <w:jc w:val="center"/>
              <w:rPr>
                <w:rFonts w:cs="Times New Roman"/>
                <w:noProof/>
              </w:rPr>
            </w:pPr>
            <w:r>
              <w:rPr>
                <w:noProof/>
              </w:rPr>
              <w:t>Q2</w:t>
            </w:r>
          </w:p>
        </w:tc>
        <w:tc>
          <w:tcPr>
            <w:tcW w:w="822" w:type="dxa"/>
            <w:shd w:val="clear" w:color="auto" w:fill="C6EFCE"/>
          </w:tcPr>
          <w:p w14:paraId="3EE6A61A" w14:textId="77777777" w:rsidR="000E48CE" w:rsidRDefault="00FF4C4E">
            <w:pPr>
              <w:pStyle w:val="P68B1DB1-Normal13"/>
              <w:jc w:val="center"/>
              <w:rPr>
                <w:rFonts w:cs="Times New Roman"/>
                <w:noProof/>
              </w:rPr>
            </w:pPr>
            <w:r>
              <w:rPr>
                <w:noProof/>
              </w:rPr>
              <w:t>2026</w:t>
            </w:r>
          </w:p>
        </w:tc>
        <w:tc>
          <w:tcPr>
            <w:tcW w:w="3998" w:type="dxa"/>
            <w:shd w:val="clear" w:color="auto" w:fill="C6EFCE"/>
          </w:tcPr>
          <w:p w14:paraId="317F015F" w14:textId="77777777" w:rsidR="000E48CE" w:rsidRDefault="00FF4C4E">
            <w:pPr>
              <w:pStyle w:val="P68B1DB1-Normal13"/>
              <w:rPr>
                <w:rFonts w:cs="Times New Roman"/>
                <w:noProof/>
              </w:rPr>
            </w:pPr>
            <w:r>
              <w:rPr>
                <w:noProof/>
              </w:rPr>
              <w:t xml:space="preserve">Kaikki seuraavat alat kattavien </w:t>
            </w:r>
            <w:r>
              <w:rPr>
                <w:noProof/>
              </w:rPr>
              <w:t>hankkeiden loppuun saattaminen (tavoitteen nro #168 mukaisesti)</w:t>
            </w:r>
            <w:r>
              <w:rPr>
                <w:noProof/>
              </w:rPr>
              <w:br/>
              <w:t xml:space="preserve">Digitalisaatio proaktiivisuuden, liikkuvuuden ja käyttäjäkokemuksen osalta </w:t>
            </w:r>
            <w:r>
              <w:rPr>
                <w:noProof/>
              </w:rPr>
              <w:br/>
              <w:t xml:space="preserve">Digitalisaatio automaatiossa ja datakeskeisessä julkishallinnossa </w:t>
            </w:r>
            <w:r>
              <w:rPr>
                <w:noProof/>
              </w:rPr>
              <w:br/>
              <w:t>— Digitaalinen muutos fyysisten, loogisten infras</w:t>
            </w:r>
            <w:r>
              <w:rPr>
                <w:noProof/>
              </w:rPr>
              <w:t>truktuurien ja ohjelmistojen osalta.</w:t>
            </w:r>
            <w:r>
              <w:rPr>
                <w:noProof/>
              </w:rPr>
              <w:br/>
              <w:t>— Digitaalinen muutos kyberturvallisuuden alalla.</w:t>
            </w:r>
          </w:p>
        </w:tc>
      </w:tr>
      <w:tr w:rsidR="000E48CE" w14:paraId="6A151996" w14:textId="77777777">
        <w:trPr>
          <w:trHeight w:val="309"/>
        </w:trPr>
        <w:tc>
          <w:tcPr>
            <w:tcW w:w="1223" w:type="dxa"/>
            <w:shd w:val="clear" w:color="auto" w:fill="C6EFCE"/>
          </w:tcPr>
          <w:p w14:paraId="211C1731" w14:textId="70CDA916" w:rsidR="000E48CE" w:rsidRDefault="00FF4C4E">
            <w:pPr>
              <w:pStyle w:val="P68B1DB1-Normal13"/>
              <w:jc w:val="center"/>
              <w:rPr>
                <w:rFonts w:cs="Times New Roman"/>
                <w:noProof/>
              </w:rPr>
            </w:pPr>
            <w:r>
              <w:rPr>
                <w:noProof/>
              </w:rPr>
              <w:t>438</w:t>
            </w:r>
          </w:p>
        </w:tc>
        <w:tc>
          <w:tcPr>
            <w:tcW w:w="1448" w:type="dxa"/>
            <w:shd w:val="clear" w:color="auto" w:fill="C6EFCE"/>
          </w:tcPr>
          <w:p w14:paraId="4DB2848C" w14:textId="1CDC9673" w:rsidR="000E48CE" w:rsidRDefault="00FF4C4E">
            <w:pPr>
              <w:pStyle w:val="P68B1DB1-Normal13"/>
              <w:jc w:val="center"/>
              <w:rPr>
                <w:rFonts w:cs="Times New Roman"/>
                <w:noProof/>
              </w:rPr>
            </w:pPr>
            <w:r>
              <w:rPr>
                <w:noProof/>
              </w:rPr>
              <w:t>C11.I3</w:t>
            </w:r>
          </w:p>
        </w:tc>
        <w:tc>
          <w:tcPr>
            <w:tcW w:w="966" w:type="dxa"/>
            <w:shd w:val="clear" w:color="auto" w:fill="C6EFCE"/>
          </w:tcPr>
          <w:p w14:paraId="5493CF37" w14:textId="55846B27" w:rsidR="000E48CE" w:rsidRDefault="00FF4C4E">
            <w:pPr>
              <w:pStyle w:val="P68B1DB1-Normal13"/>
              <w:jc w:val="center"/>
              <w:rPr>
                <w:rFonts w:cs="Times New Roman"/>
                <w:noProof/>
              </w:rPr>
            </w:pPr>
            <w:r>
              <w:rPr>
                <w:noProof/>
              </w:rPr>
              <w:t>T</w:t>
            </w:r>
          </w:p>
        </w:tc>
        <w:tc>
          <w:tcPr>
            <w:tcW w:w="1631" w:type="dxa"/>
            <w:shd w:val="clear" w:color="auto" w:fill="C6EFCE"/>
          </w:tcPr>
          <w:p w14:paraId="45816173" w14:textId="540FABE8" w:rsidR="000E48CE" w:rsidRDefault="00FF4C4E">
            <w:pPr>
              <w:pStyle w:val="P68B1DB1-Normal13"/>
              <w:rPr>
                <w:rFonts w:cs="Times New Roman"/>
                <w:noProof/>
              </w:rPr>
            </w:pPr>
            <w:r>
              <w:rPr>
                <w:noProof/>
              </w:rPr>
              <w:t>Henkilökohtaista digitaalista hoitoa koskeva suunnitelma pantu täytäntöön</w:t>
            </w:r>
          </w:p>
        </w:tc>
        <w:tc>
          <w:tcPr>
            <w:tcW w:w="1442" w:type="dxa"/>
            <w:shd w:val="clear" w:color="auto" w:fill="C6EFCE"/>
          </w:tcPr>
          <w:p w14:paraId="0F8444E8" w14:textId="7842BCF8" w:rsidR="000E48CE" w:rsidRDefault="00FF4C4E">
            <w:pPr>
              <w:pStyle w:val="P68B1DB1-Normal13"/>
              <w:jc w:val="center"/>
              <w:rPr>
                <w:rFonts w:cs="Times New Roman"/>
                <w:noProof/>
              </w:rPr>
            </w:pPr>
            <w:r>
              <w:rPr>
                <w:noProof/>
              </w:rPr>
              <w:t xml:space="preserve"> </w:t>
            </w:r>
          </w:p>
        </w:tc>
        <w:tc>
          <w:tcPr>
            <w:tcW w:w="1082" w:type="dxa"/>
            <w:shd w:val="clear" w:color="auto" w:fill="C6EFCE"/>
          </w:tcPr>
          <w:p w14:paraId="605440BC" w14:textId="33586031" w:rsidR="000E48CE" w:rsidRDefault="00FF4C4E">
            <w:pPr>
              <w:pStyle w:val="P68B1DB1-Normal13"/>
              <w:jc w:val="right"/>
              <w:rPr>
                <w:rFonts w:cs="Times New Roman"/>
                <w:noProof/>
              </w:rPr>
            </w:pPr>
            <w:r>
              <w:rPr>
                <w:noProof/>
              </w:rPr>
              <w:t>Määrä</w:t>
            </w:r>
          </w:p>
        </w:tc>
        <w:tc>
          <w:tcPr>
            <w:tcW w:w="708" w:type="dxa"/>
            <w:shd w:val="clear" w:color="auto" w:fill="C6EFCE"/>
          </w:tcPr>
          <w:p w14:paraId="1B445EF1" w14:textId="606F196E" w:rsidR="000E48CE" w:rsidRDefault="00FF4C4E">
            <w:pPr>
              <w:pStyle w:val="P68B1DB1-Normal13"/>
              <w:jc w:val="right"/>
              <w:rPr>
                <w:rFonts w:cs="Times New Roman"/>
                <w:noProof/>
              </w:rPr>
            </w:pPr>
            <w:r>
              <w:rPr>
                <w:noProof/>
              </w:rPr>
              <w:t>0</w:t>
            </w:r>
          </w:p>
        </w:tc>
        <w:tc>
          <w:tcPr>
            <w:tcW w:w="709" w:type="dxa"/>
            <w:shd w:val="clear" w:color="auto" w:fill="C6EFCE"/>
          </w:tcPr>
          <w:p w14:paraId="28FAF395" w14:textId="212F84CD" w:rsidR="000E48CE" w:rsidRDefault="00FF4C4E">
            <w:pPr>
              <w:pStyle w:val="P68B1DB1-Normal13"/>
              <w:jc w:val="right"/>
              <w:rPr>
                <w:rFonts w:cs="Times New Roman"/>
                <w:noProof/>
              </w:rPr>
            </w:pPr>
            <w:r>
              <w:rPr>
                <w:noProof/>
              </w:rPr>
              <w:t>17</w:t>
            </w:r>
          </w:p>
        </w:tc>
        <w:tc>
          <w:tcPr>
            <w:tcW w:w="567" w:type="dxa"/>
            <w:shd w:val="clear" w:color="auto" w:fill="C6EFCE"/>
          </w:tcPr>
          <w:p w14:paraId="3E5F5F2A" w14:textId="37067F45" w:rsidR="000E48CE" w:rsidRDefault="00FF4C4E">
            <w:pPr>
              <w:pStyle w:val="P68B1DB1-Normal13"/>
              <w:jc w:val="center"/>
              <w:rPr>
                <w:rFonts w:cs="Times New Roman"/>
                <w:noProof/>
              </w:rPr>
            </w:pPr>
            <w:r>
              <w:rPr>
                <w:noProof/>
              </w:rPr>
              <w:t>Q2</w:t>
            </w:r>
          </w:p>
        </w:tc>
        <w:tc>
          <w:tcPr>
            <w:tcW w:w="822" w:type="dxa"/>
            <w:shd w:val="clear" w:color="auto" w:fill="C6EFCE"/>
          </w:tcPr>
          <w:p w14:paraId="6BD2A566" w14:textId="0F4D48E5" w:rsidR="000E48CE" w:rsidRDefault="00FF4C4E">
            <w:pPr>
              <w:pStyle w:val="P68B1DB1-Normal13"/>
              <w:jc w:val="center"/>
              <w:rPr>
                <w:rFonts w:cs="Times New Roman"/>
                <w:noProof/>
              </w:rPr>
            </w:pPr>
            <w:r>
              <w:rPr>
                <w:noProof/>
              </w:rPr>
              <w:t>2026</w:t>
            </w:r>
          </w:p>
        </w:tc>
        <w:tc>
          <w:tcPr>
            <w:tcW w:w="3998" w:type="dxa"/>
            <w:shd w:val="clear" w:color="auto" w:fill="C6EFCE"/>
          </w:tcPr>
          <w:p w14:paraId="22F22FF7" w14:textId="77777777" w:rsidR="000E48CE" w:rsidRDefault="00FF4C4E">
            <w:pPr>
              <w:pStyle w:val="P68B1DB1-Normal13"/>
              <w:rPr>
                <w:rFonts w:cs="Times New Roman"/>
                <w:noProof/>
              </w:rPr>
            </w:pPr>
            <w:r>
              <w:rPr>
                <w:noProof/>
              </w:rPr>
              <w:t xml:space="preserve">Saatetaan päätökseen vähintään 17 pilottihanketta osana </w:t>
            </w:r>
            <w:r>
              <w:rPr>
                <w:noProof/>
              </w:rPr>
              <w:t>henkilökohtaista digitaalista hoitoa koskevaa suunnitelmaa, joilla edistetään Espanjan digitaalistrategian 2025 tavoitetta, joka koskee yksilöllisen hoidon edistämistä kansalaisten tarpeiden tyydyttämiseksi. Hankkeissa on käsiteltävä vähintään yhtä seuraav</w:t>
            </w:r>
            <w:r>
              <w:rPr>
                <w:noProof/>
              </w:rPr>
              <w:t>ista aloista digitalisaation avulla:</w:t>
            </w:r>
          </w:p>
          <w:p w14:paraId="4026E81A" w14:textId="77777777" w:rsidR="000E48CE" w:rsidRDefault="00FF4C4E">
            <w:pPr>
              <w:pStyle w:val="P68B1DB1-Normal13"/>
              <w:rPr>
                <w:rFonts w:cs="Times New Roman"/>
                <w:noProof/>
              </w:rPr>
            </w:pPr>
            <w:r>
              <w:rPr>
                <w:noProof/>
              </w:rPr>
              <w:t>Tietojen kerääminen: tietotekniikkaratkaisujen testaaminen potilastietojen keräämiseksi, tallentamiseksi ja tulkitsemiseksi</w:t>
            </w:r>
          </w:p>
          <w:p w14:paraId="2FA31153" w14:textId="77777777" w:rsidR="000E48CE" w:rsidRDefault="00FF4C4E">
            <w:pPr>
              <w:pStyle w:val="P68B1DB1-Normal13"/>
              <w:rPr>
                <w:rFonts w:cs="Times New Roman"/>
                <w:noProof/>
              </w:rPr>
            </w:pPr>
            <w:r>
              <w:rPr>
                <w:noProof/>
              </w:rPr>
              <w:t>Yksilöllinen digitaalinen hoito: yksilöllisen digitaalisen hoidon tarjoamiseen tarkoitettujen v</w:t>
            </w:r>
            <w:r>
              <w:rPr>
                <w:noProof/>
              </w:rPr>
              <w:t>älineiden ja/tai yleishyödyllisten palvelujen testaus</w:t>
            </w:r>
          </w:p>
          <w:p w14:paraId="1DDC7BDD" w14:textId="77777777" w:rsidR="000E48CE" w:rsidRDefault="00FF4C4E">
            <w:pPr>
              <w:pStyle w:val="P68B1DB1-Normal13"/>
              <w:rPr>
                <w:rFonts w:cs="Times New Roman"/>
                <w:noProof/>
              </w:rPr>
            </w:pPr>
            <w:r>
              <w:rPr>
                <w:noProof/>
              </w:rPr>
              <w:t>Tiedon tuottaminen sellaisten välineiden ja/tai yleishyödyllisten palvelujen testaaminen, jotka perustuvat saatuihin potilastietoihin ja auttavat ammattilaisia potilaiden diagnosoinnissa tai seurannassa</w:t>
            </w:r>
            <w:r>
              <w:rPr>
                <w:noProof/>
              </w:rPr>
              <w:t>.</w:t>
            </w:r>
          </w:p>
          <w:p w14:paraId="0B201D6A" w14:textId="2E88978A" w:rsidR="000E48CE" w:rsidRDefault="00FF4C4E">
            <w:pPr>
              <w:pStyle w:val="P68B1DB1-Normal13"/>
              <w:rPr>
                <w:rFonts w:cs="Times New Roman"/>
                <w:noProof/>
              </w:rPr>
            </w:pPr>
            <w:r>
              <w:rPr>
                <w:noProof/>
              </w:rPr>
              <w:t>Pilottihankkeiden päätyttyä on julkaistava alustava arviointi, jossa arvioidaan pilottihankkeiden tehokkuutta ja niiden vaikutusta terveyspalvelujen parantamiseen, mukaan lukien erityiset suositukset, jos puutteita tai heikkouksia havaitaan.</w:t>
            </w:r>
          </w:p>
        </w:tc>
      </w:tr>
      <w:tr w:rsidR="000E48CE" w14:paraId="2EC2DAE2" w14:textId="77777777">
        <w:trPr>
          <w:trHeight w:val="309"/>
        </w:trPr>
        <w:tc>
          <w:tcPr>
            <w:tcW w:w="1223" w:type="dxa"/>
            <w:shd w:val="clear" w:color="auto" w:fill="C6EFCE"/>
          </w:tcPr>
          <w:p w14:paraId="58201B93" w14:textId="77777777" w:rsidR="000E48CE" w:rsidRDefault="00FF4C4E">
            <w:pPr>
              <w:pStyle w:val="P68B1DB1-Normal13"/>
              <w:jc w:val="center"/>
              <w:rPr>
                <w:rFonts w:cs="Times New Roman"/>
                <w:noProof/>
              </w:rPr>
            </w:pPr>
            <w:r>
              <w:rPr>
                <w:noProof/>
              </w:rPr>
              <w:t>170</w:t>
            </w:r>
          </w:p>
        </w:tc>
        <w:tc>
          <w:tcPr>
            <w:tcW w:w="1448" w:type="dxa"/>
            <w:shd w:val="clear" w:color="auto" w:fill="C6EFCE"/>
          </w:tcPr>
          <w:p w14:paraId="62CEB5EF" w14:textId="77777777" w:rsidR="000E48CE" w:rsidRDefault="00FF4C4E">
            <w:pPr>
              <w:pStyle w:val="P68B1DB1-Normal13"/>
              <w:jc w:val="center"/>
              <w:rPr>
                <w:rFonts w:cs="Times New Roman"/>
                <w:noProof/>
              </w:rPr>
            </w:pPr>
            <w:r>
              <w:rPr>
                <w:noProof/>
              </w:rPr>
              <w:t>C11.I4</w:t>
            </w:r>
          </w:p>
        </w:tc>
        <w:tc>
          <w:tcPr>
            <w:tcW w:w="966" w:type="dxa"/>
            <w:shd w:val="clear" w:color="auto" w:fill="C6EFCE"/>
          </w:tcPr>
          <w:p w14:paraId="2F26825E" w14:textId="77777777" w:rsidR="000E48CE" w:rsidRDefault="00FF4C4E">
            <w:pPr>
              <w:pStyle w:val="P68B1DB1-Normal13"/>
              <w:jc w:val="center"/>
              <w:rPr>
                <w:rFonts w:cs="Times New Roman"/>
                <w:noProof/>
              </w:rPr>
            </w:pPr>
            <w:r>
              <w:rPr>
                <w:noProof/>
              </w:rPr>
              <w:t>T</w:t>
            </w:r>
          </w:p>
        </w:tc>
        <w:tc>
          <w:tcPr>
            <w:tcW w:w="1631" w:type="dxa"/>
            <w:shd w:val="clear" w:color="auto" w:fill="C6EFCE"/>
          </w:tcPr>
          <w:p w14:paraId="7364233E" w14:textId="77777777" w:rsidR="000E48CE" w:rsidRDefault="00FF4C4E">
            <w:pPr>
              <w:pStyle w:val="P68B1DB1-Normal13"/>
              <w:rPr>
                <w:rFonts w:cs="Times New Roman"/>
                <w:noProof/>
              </w:rPr>
            </w:pPr>
            <w:r>
              <w:rPr>
                <w:noProof/>
              </w:rPr>
              <w:t>Ajoneuvojen kunnostaminen julkishallinnossa</w:t>
            </w:r>
          </w:p>
        </w:tc>
        <w:tc>
          <w:tcPr>
            <w:tcW w:w="1442" w:type="dxa"/>
            <w:shd w:val="clear" w:color="auto" w:fill="C6EFCE"/>
          </w:tcPr>
          <w:p w14:paraId="63A8EC38" w14:textId="77777777" w:rsidR="000E48CE" w:rsidRDefault="00FF4C4E">
            <w:pPr>
              <w:pStyle w:val="P68B1DB1-Normal13"/>
              <w:jc w:val="center"/>
              <w:rPr>
                <w:rFonts w:cs="Times New Roman"/>
                <w:noProof/>
              </w:rPr>
            </w:pPr>
            <w:r>
              <w:rPr>
                <w:noProof/>
              </w:rPr>
              <w:t> </w:t>
            </w:r>
          </w:p>
        </w:tc>
        <w:tc>
          <w:tcPr>
            <w:tcW w:w="1082" w:type="dxa"/>
            <w:shd w:val="clear" w:color="auto" w:fill="C6EFCE"/>
          </w:tcPr>
          <w:p w14:paraId="627B135B" w14:textId="77777777" w:rsidR="000E48CE" w:rsidRDefault="00FF4C4E">
            <w:pPr>
              <w:pStyle w:val="P68B1DB1-Normal13"/>
              <w:jc w:val="right"/>
              <w:rPr>
                <w:rFonts w:cs="Times New Roman"/>
                <w:noProof/>
              </w:rPr>
            </w:pPr>
            <w:r>
              <w:rPr>
                <w:noProof/>
              </w:rPr>
              <w:t>Määrä</w:t>
            </w:r>
          </w:p>
        </w:tc>
        <w:tc>
          <w:tcPr>
            <w:tcW w:w="708" w:type="dxa"/>
            <w:shd w:val="clear" w:color="auto" w:fill="C6EFCE"/>
          </w:tcPr>
          <w:p w14:paraId="26A2834B" w14:textId="77777777" w:rsidR="000E48CE" w:rsidRDefault="00FF4C4E">
            <w:pPr>
              <w:pStyle w:val="P68B1DB1-Normal13"/>
              <w:jc w:val="right"/>
              <w:rPr>
                <w:rFonts w:cs="Times New Roman"/>
                <w:noProof/>
              </w:rPr>
            </w:pPr>
            <w:r>
              <w:rPr>
                <w:noProof/>
              </w:rPr>
              <w:t>0</w:t>
            </w:r>
          </w:p>
        </w:tc>
        <w:tc>
          <w:tcPr>
            <w:tcW w:w="709" w:type="dxa"/>
            <w:shd w:val="clear" w:color="auto" w:fill="C6EFCE"/>
          </w:tcPr>
          <w:p w14:paraId="4393AA0A" w14:textId="49FE25DB" w:rsidR="000E48CE" w:rsidRDefault="00FF4C4E">
            <w:pPr>
              <w:pStyle w:val="P68B1DB1-Normal13"/>
              <w:jc w:val="right"/>
              <w:rPr>
                <w:rFonts w:cs="Times New Roman"/>
                <w:noProof/>
              </w:rPr>
            </w:pPr>
            <w:r>
              <w:rPr>
                <w:noProof/>
              </w:rPr>
              <w:t>5 500</w:t>
            </w:r>
          </w:p>
        </w:tc>
        <w:tc>
          <w:tcPr>
            <w:tcW w:w="567" w:type="dxa"/>
            <w:shd w:val="clear" w:color="auto" w:fill="C6EFCE"/>
          </w:tcPr>
          <w:p w14:paraId="12EF1AA7" w14:textId="35FF11E9" w:rsidR="000E48CE" w:rsidRDefault="00FF4C4E">
            <w:pPr>
              <w:pStyle w:val="P68B1DB1-Normal13"/>
              <w:jc w:val="center"/>
              <w:rPr>
                <w:rFonts w:cs="Times New Roman"/>
                <w:noProof/>
              </w:rPr>
            </w:pPr>
            <w:r>
              <w:rPr>
                <w:noProof/>
              </w:rPr>
              <w:t>Q4</w:t>
            </w:r>
          </w:p>
        </w:tc>
        <w:tc>
          <w:tcPr>
            <w:tcW w:w="822" w:type="dxa"/>
            <w:shd w:val="clear" w:color="auto" w:fill="C6EFCE"/>
          </w:tcPr>
          <w:p w14:paraId="79DE240C" w14:textId="77777777" w:rsidR="000E48CE" w:rsidRDefault="00FF4C4E">
            <w:pPr>
              <w:pStyle w:val="P68B1DB1-Normal13"/>
              <w:jc w:val="center"/>
              <w:rPr>
                <w:rFonts w:cs="Times New Roman"/>
                <w:noProof/>
              </w:rPr>
            </w:pPr>
            <w:r>
              <w:rPr>
                <w:noProof/>
              </w:rPr>
              <w:t>2024</w:t>
            </w:r>
          </w:p>
        </w:tc>
        <w:tc>
          <w:tcPr>
            <w:tcW w:w="3998" w:type="dxa"/>
            <w:shd w:val="clear" w:color="auto" w:fill="C6EFCE"/>
          </w:tcPr>
          <w:p w14:paraId="5A19E714" w14:textId="72B13E44" w:rsidR="000E48CE" w:rsidRDefault="00FF4C4E">
            <w:pPr>
              <w:pStyle w:val="P68B1DB1-Normal13"/>
              <w:rPr>
                <w:rFonts w:cs="Times New Roman"/>
                <w:noProof/>
              </w:rPr>
            </w:pPr>
            <w:r>
              <w:rPr>
                <w:noProof/>
              </w:rPr>
              <w:t xml:space="preserve">Vähintään 5500 hiilidioksidipäästötöntä tai vähäpäästöistä ajoneuvoa (BEV-, REEV-, PHEV- ja FCEV-ajoneuvot), joilla korvataan julkishallinnossa käytettäviin fossiilisiin polttoaineisiin perustuvat ajoneuvot. </w:t>
            </w:r>
          </w:p>
        </w:tc>
      </w:tr>
      <w:tr w:rsidR="000E48CE" w14:paraId="61842A22" w14:textId="77777777">
        <w:trPr>
          <w:trHeight w:val="309"/>
        </w:trPr>
        <w:tc>
          <w:tcPr>
            <w:tcW w:w="1223" w:type="dxa"/>
            <w:shd w:val="clear" w:color="auto" w:fill="C6EFCE"/>
          </w:tcPr>
          <w:p w14:paraId="0453EA2B" w14:textId="77777777" w:rsidR="000E48CE" w:rsidRDefault="00FF4C4E">
            <w:pPr>
              <w:pStyle w:val="P68B1DB1-Normal13"/>
              <w:jc w:val="center"/>
              <w:rPr>
                <w:rFonts w:cs="Times New Roman"/>
                <w:noProof/>
              </w:rPr>
            </w:pPr>
            <w:r>
              <w:rPr>
                <w:noProof/>
              </w:rPr>
              <w:t>171</w:t>
            </w:r>
          </w:p>
        </w:tc>
        <w:tc>
          <w:tcPr>
            <w:tcW w:w="1448" w:type="dxa"/>
            <w:shd w:val="clear" w:color="auto" w:fill="C6EFCE"/>
          </w:tcPr>
          <w:p w14:paraId="224B33D6" w14:textId="77777777" w:rsidR="000E48CE" w:rsidRDefault="00FF4C4E">
            <w:pPr>
              <w:pStyle w:val="P68B1DB1-Normal13"/>
              <w:jc w:val="center"/>
              <w:rPr>
                <w:rFonts w:cs="Times New Roman"/>
                <w:noProof/>
              </w:rPr>
            </w:pPr>
            <w:r>
              <w:rPr>
                <w:noProof/>
              </w:rPr>
              <w:t>C11.I4</w:t>
            </w:r>
          </w:p>
        </w:tc>
        <w:tc>
          <w:tcPr>
            <w:tcW w:w="966" w:type="dxa"/>
            <w:shd w:val="clear" w:color="auto" w:fill="C6EFCE"/>
          </w:tcPr>
          <w:p w14:paraId="3A1065C5" w14:textId="77777777" w:rsidR="000E48CE" w:rsidRDefault="00FF4C4E">
            <w:pPr>
              <w:pStyle w:val="P68B1DB1-Normal13"/>
              <w:jc w:val="center"/>
              <w:rPr>
                <w:rFonts w:cs="Times New Roman"/>
                <w:noProof/>
              </w:rPr>
            </w:pPr>
            <w:r>
              <w:rPr>
                <w:noProof/>
              </w:rPr>
              <w:t>T</w:t>
            </w:r>
          </w:p>
        </w:tc>
        <w:tc>
          <w:tcPr>
            <w:tcW w:w="1631" w:type="dxa"/>
            <w:shd w:val="clear" w:color="auto" w:fill="C6EFCE"/>
          </w:tcPr>
          <w:p w14:paraId="221D05EB" w14:textId="77777777" w:rsidR="000E48CE" w:rsidRDefault="00FF4C4E">
            <w:pPr>
              <w:pStyle w:val="P68B1DB1-Normal13"/>
              <w:rPr>
                <w:rFonts w:cs="Times New Roman"/>
                <w:noProof/>
              </w:rPr>
            </w:pPr>
            <w:r>
              <w:rPr>
                <w:noProof/>
              </w:rPr>
              <w:t xml:space="preserve">Julkisten rakennusten </w:t>
            </w:r>
            <w:r>
              <w:rPr>
                <w:noProof/>
              </w:rPr>
              <w:t>energiaperuskorjaus (140 000 m 2</w:t>
            </w:r>
            <w:r>
              <w:rPr>
                <w:noProof/>
                <w:vertAlign w:val="superscript"/>
              </w:rPr>
              <w:t>)</w:t>
            </w:r>
          </w:p>
        </w:tc>
        <w:tc>
          <w:tcPr>
            <w:tcW w:w="1442" w:type="dxa"/>
            <w:shd w:val="clear" w:color="auto" w:fill="C6EFCE"/>
          </w:tcPr>
          <w:p w14:paraId="4E78C98F" w14:textId="77777777" w:rsidR="000E48CE" w:rsidRDefault="00FF4C4E">
            <w:pPr>
              <w:pStyle w:val="P68B1DB1-Normal13"/>
              <w:jc w:val="center"/>
              <w:rPr>
                <w:rFonts w:cs="Times New Roman"/>
                <w:noProof/>
              </w:rPr>
            </w:pPr>
            <w:r>
              <w:rPr>
                <w:noProof/>
              </w:rPr>
              <w:t> </w:t>
            </w:r>
          </w:p>
        </w:tc>
        <w:tc>
          <w:tcPr>
            <w:tcW w:w="1082" w:type="dxa"/>
            <w:shd w:val="clear" w:color="auto" w:fill="C6EFCE"/>
          </w:tcPr>
          <w:p w14:paraId="0AD94DD7" w14:textId="77777777" w:rsidR="000E48CE" w:rsidRDefault="00FF4C4E">
            <w:pPr>
              <w:pStyle w:val="P68B1DB1-Normal13"/>
              <w:jc w:val="right"/>
              <w:rPr>
                <w:rFonts w:cs="Times New Roman"/>
                <w:noProof/>
              </w:rPr>
            </w:pPr>
            <w:r>
              <w:rPr>
                <w:noProof/>
              </w:rPr>
              <w:t>Lukumäärä (m</w:t>
            </w:r>
            <w:r>
              <w:rPr>
                <w:noProof/>
                <w:vertAlign w:val="superscript"/>
              </w:rPr>
              <w:t>2</w:t>
            </w:r>
            <w:r>
              <w:rPr>
                <w:noProof/>
              </w:rPr>
              <w:t>)</w:t>
            </w:r>
          </w:p>
        </w:tc>
        <w:tc>
          <w:tcPr>
            <w:tcW w:w="708" w:type="dxa"/>
            <w:shd w:val="clear" w:color="auto" w:fill="C6EFCE"/>
          </w:tcPr>
          <w:p w14:paraId="4D8BF13E" w14:textId="77777777" w:rsidR="000E48CE" w:rsidRDefault="00FF4C4E">
            <w:pPr>
              <w:pStyle w:val="P68B1DB1-Normal13"/>
              <w:jc w:val="right"/>
              <w:rPr>
                <w:rFonts w:cs="Times New Roman"/>
                <w:noProof/>
              </w:rPr>
            </w:pPr>
            <w:r>
              <w:rPr>
                <w:noProof/>
              </w:rPr>
              <w:t>0</w:t>
            </w:r>
          </w:p>
        </w:tc>
        <w:tc>
          <w:tcPr>
            <w:tcW w:w="709" w:type="dxa"/>
            <w:shd w:val="clear" w:color="auto" w:fill="C6EFCE"/>
          </w:tcPr>
          <w:p w14:paraId="0CB2C3F3" w14:textId="77777777" w:rsidR="000E48CE" w:rsidRDefault="00FF4C4E">
            <w:pPr>
              <w:pStyle w:val="P68B1DB1-Normal13"/>
              <w:jc w:val="right"/>
              <w:rPr>
                <w:rFonts w:cs="Times New Roman"/>
                <w:noProof/>
              </w:rPr>
            </w:pPr>
            <w:r>
              <w:rPr>
                <w:noProof/>
              </w:rPr>
              <w:t>140 000</w:t>
            </w:r>
          </w:p>
        </w:tc>
        <w:tc>
          <w:tcPr>
            <w:tcW w:w="567" w:type="dxa"/>
            <w:shd w:val="clear" w:color="auto" w:fill="C6EFCE"/>
          </w:tcPr>
          <w:p w14:paraId="4113EE62"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34AD0CC7" w14:textId="77777777" w:rsidR="000E48CE" w:rsidRDefault="00FF4C4E">
            <w:pPr>
              <w:pStyle w:val="P68B1DB1-Normal13"/>
              <w:jc w:val="center"/>
              <w:rPr>
                <w:rFonts w:cs="Times New Roman"/>
                <w:noProof/>
              </w:rPr>
            </w:pPr>
            <w:r>
              <w:rPr>
                <w:noProof/>
              </w:rPr>
              <w:t>2024</w:t>
            </w:r>
          </w:p>
        </w:tc>
        <w:tc>
          <w:tcPr>
            <w:tcW w:w="3998" w:type="dxa"/>
            <w:shd w:val="clear" w:color="auto" w:fill="C6EFCE"/>
          </w:tcPr>
          <w:p w14:paraId="6DD00CB3" w14:textId="77777777" w:rsidR="000E48CE" w:rsidRDefault="00FF4C4E">
            <w:pPr>
              <w:pStyle w:val="P68B1DB1-Normal13"/>
              <w:rPr>
                <w:rFonts w:cs="Times New Roman"/>
                <w:noProof/>
              </w:rPr>
            </w:pPr>
            <w:r>
              <w:rPr>
                <w:noProof/>
              </w:rPr>
              <w:t>Vähintään 140 000 m² julkisissa rakennuksissa päätökseen saatettuja</w:t>
            </w:r>
            <w:r>
              <w:rPr>
                <w:noProof/>
                <w:vertAlign w:val="superscript"/>
              </w:rPr>
              <w:t>energiaperuskorjauksia</w:t>
            </w:r>
            <w:r>
              <w:rPr>
                <w:noProof/>
              </w:rPr>
              <w:t xml:space="preserve">, joiden avulla primäärienergian kysyntä vähenee keskimäärin vähintään 30 prosenttia. </w:t>
            </w:r>
          </w:p>
        </w:tc>
      </w:tr>
      <w:tr w:rsidR="000E48CE" w14:paraId="0ECAD83F" w14:textId="77777777">
        <w:trPr>
          <w:trHeight w:val="309"/>
        </w:trPr>
        <w:tc>
          <w:tcPr>
            <w:tcW w:w="1223" w:type="dxa"/>
            <w:shd w:val="clear" w:color="auto" w:fill="C6EFCE"/>
          </w:tcPr>
          <w:p w14:paraId="265144FA" w14:textId="77777777" w:rsidR="000E48CE" w:rsidRDefault="00FF4C4E">
            <w:pPr>
              <w:pStyle w:val="P68B1DB1-Normal13"/>
              <w:jc w:val="center"/>
              <w:rPr>
                <w:rFonts w:cs="Times New Roman"/>
                <w:noProof/>
              </w:rPr>
            </w:pPr>
            <w:r>
              <w:rPr>
                <w:noProof/>
              </w:rPr>
              <w:t>172</w:t>
            </w:r>
          </w:p>
        </w:tc>
        <w:tc>
          <w:tcPr>
            <w:tcW w:w="1448" w:type="dxa"/>
            <w:shd w:val="clear" w:color="auto" w:fill="C6EFCE"/>
          </w:tcPr>
          <w:p w14:paraId="16CFF082" w14:textId="77777777" w:rsidR="000E48CE" w:rsidRDefault="00FF4C4E">
            <w:pPr>
              <w:pStyle w:val="P68B1DB1-Normal13"/>
              <w:jc w:val="center"/>
              <w:rPr>
                <w:rFonts w:cs="Times New Roman"/>
                <w:noProof/>
              </w:rPr>
            </w:pPr>
            <w:r>
              <w:rPr>
                <w:noProof/>
              </w:rPr>
              <w:t>C11.I4</w:t>
            </w:r>
          </w:p>
        </w:tc>
        <w:tc>
          <w:tcPr>
            <w:tcW w:w="966" w:type="dxa"/>
            <w:shd w:val="clear" w:color="auto" w:fill="C6EFCE"/>
          </w:tcPr>
          <w:p w14:paraId="424A5BDB" w14:textId="77777777" w:rsidR="000E48CE" w:rsidRDefault="00FF4C4E">
            <w:pPr>
              <w:pStyle w:val="P68B1DB1-Normal13"/>
              <w:jc w:val="center"/>
              <w:rPr>
                <w:rFonts w:cs="Times New Roman"/>
                <w:noProof/>
              </w:rPr>
            </w:pPr>
            <w:r>
              <w:rPr>
                <w:noProof/>
              </w:rPr>
              <w:t>T</w:t>
            </w:r>
          </w:p>
        </w:tc>
        <w:tc>
          <w:tcPr>
            <w:tcW w:w="1631" w:type="dxa"/>
            <w:shd w:val="clear" w:color="auto" w:fill="C6EFCE"/>
          </w:tcPr>
          <w:p w14:paraId="39B2B5FA" w14:textId="14AE9D35" w:rsidR="000E48CE" w:rsidRDefault="00FF4C4E">
            <w:pPr>
              <w:pStyle w:val="P68B1DB1-Normal13"/>
              <w:rPr>
                <w:rFonts w:cs="Times New Roman"/>
                <w:noProof/>
              </w:rPr>
            </w:pPr>
            <w:r>
              <w:rPr>
                <w:noProof/>
              </w:rPr>
              <w:t>Julkisten rakennusten energiaperuskorjaukset (1 050 000 m 2)</w:t>
            </w:r>
          </w:p>
        </w:tc>
        <w:tc>
          <w:tcPr>
            <w:tcW w:w="1442" w:type="dxa"/>
            <w:shd w:val="clear" w:color="auto" w:fill="C6EFCE"/>
          </w:tcPr>
          <w:p w14:paraId="17FC145C" w14:textId="77777777" w:rsidR="000E48CE" w:rsidRDefault="00FF4C4E">
            <w:pPr>
              <w:pStyle w:val="P68B1DB1-Normal13"/>
              <w:jc w:val="center"/>
              <w:rPr>
                <w:rFonts w:cs="Times New Roman"/>
                <w:noProof/>
              </w:rPr>
            </w:pPr>
            <w:r>
              <w:rPr>
                <w:noProof/>
              </w:rPr>
              <w:t> </w:t>
            </w:r>
          </w:p>
        </w:tc>
        <w:tc>
          <w:tcPr>
            <w:tcW w:w="1082" w:type="dxa"/>
            <w:shd w:val="clear" w:color="auto" w:fill="C6EFCE"/>
          </w:tcPr>
          <w:p w14:paraId="3CA5CD69" w14:textId="77777777" w:rsidR="000E48CE" w:rsidRDefault="00FF4C4E">
            <w:pPr>
              <w:pStyle w:val="P68B1DB1-Normal13"/>
              <w:jc w:val="right"/>
              <w:rPr>
                <w:rFonts w:cs="Times New Roman"/>
                <w:noProof/>
              </w:rPr>
            </w:pPr>
            <w:r>
              <w:rPr>
                <w:noProof/>
              </w:rPr>
              <w:t>Lukumäärä (m</w:t>
            </w:r>
            <w:r>
              <w:rPr>
                <w:noProof/>
                <w:vertAlign w:val="superscript"/>
              </w:rPr>
              <w:t>2</w:t>
            </w:r>
            <w:r>
              <w:rPr>
                <w:noProof/>
              </w:rPr>
              <w:t>)</w:t>
            </w:r>
          </w:p>
        </w:tc>
        <w:tc>
          <w:tcPr>
            <w:tcW w:w="708" w:type="dxa"/>
            <w:shd w:val="clear" w:color="auto" w:fill="C6EFCE"/>
          </w:tcPr>
          <w:p w14:paraId="3FC613A1" w14:textId="77777777" w:rsidR="000E48CE" w:rsidRDefault="00FF4C4E">
            <w:pPr>
              <w:pStyle w:val="P68B1DB1-Normal13"/>
              <w:jc w:val="right"/>
              <w:rPr>
                <w:rFonts w:cs="Times New Roman"/>
                <w:noProof/>
              </w:rPr>
            </w:pPr>
            <w:r>
              <w:rPr>
                <w:noProof/>
              </w:rPr>
              <w:t>140 000</w:t>
            </w:r>
          </w:p>
        </w:tc>
        <w:tc>
          <w:tcPr>
            <w:tcW w:w="709" w:type="dxa"/>
            <w:shd w:val="clear" w:color="auto" w:fill="C6EFCE"/>
          </w:tcPr>
          <w:p w14:paraId="2CEBE334" w14:textId="09D1C051" w:rsidR="000E48CE" w:rsidRDefault="00FF4C4E">
            <w:pPr>
              <w:pStyle w:val="P68B1DB1-Normal13"/>
              <w:jc w:val="right"/>
              <w:rPr>
                <w:rFonts w:cs="Times New Roman"/>
                <w:noProof/>
              </w:rPr>
            </w:pPr>
            <w:r>
              <w:rPr>
                <w:noProof/>
              </w:rPr>
              <w:t>1 050 000</w:t>
            </w:r>
          </w:p>
        </w:tc>
        <w:tc>
          <w:tcPr>
            <w:tcW w:w="567" w:type="dxa"/>
            <w:shd w:val="clear" w:color="auto" w:fill="C6EFCE"/>
          </w:tcPr>
          <w:p w14:paraId="707801F4" w14:textId="77777777" w:rsidR="000E48CE" w:rsidRDefault="00FF4C4E">
            <w:pPr>
              <w:pStyle w:val="P68B1DB1-Normal13"/>
              <w:jc w:val="center"/>
              <w:rPr>
                <w:rFonts w:cs="Times New Roman"/>
                <w:noProof/>
              </w:rPr>
            </w:pPr>
            <w:r>
              <w:rPr>
                <w:noProof/>
              </w:rPr>
              <w:t>Q2</w:t>
            </w:r>
          </w:p>
        </w:tc>
        <w:tc>
          <w:tcPr>
            <w:tcW w:w="822" w:type="dxa"/>
            <w:shd w:val="clear" w:color="auto" w:fill="C6EFCE"/>
          </w:tcPr>
          <w:p w14:paraId="46EFD318" w14:textId="77777777" w:rsidR="000E48CE" w:rsidRDefault="00FF4C4E">
            <w:pPr>
              <w:pStyle w:val="P68B1DB1-Normal13"/>
              <w:jc w:val="center"/>
              <w:rPr>
                <w:rFonts w:cs="Times New Roman"/>
                <w:noProof/>
              </w:rPr>
            </w:pPr>
            <w:r>
              <w:rPr>
                <w:noProof/>
              </w:rPr>
              <w:t>2026</w:t>
            </w:r>
          </w:p>
        </w:tc>
        <w:tc>
          <w:tcPr>
            <w:tcW w:w="3998" w:type="dxa"/>
            <w:shd w:val="clear" w:color="auto" w:fill="C6EFCE"/>
          </w:tcPr>
          <w:p w14:paraId="79821775" w14:textId="4ECB9088" w:rsidR="000E48CE" w:rsidRDefault="00FF4C4E">
            <w:pPr>
              <w:pStyle w:val="P68B1DB1-Normal13"/>
              <w:rPr>
                <w:rFonts w:cs="Times New Roman"/>
                <w:noProof/>
              </w:rPr>
            </w:pPr>
            <w:r>
              <w:rPr>
                <w:noProof/>
              </w:rPr>
              <w:t>Vähintään 1 050 000 m² julkisissa rakennuksissa päätökseen saatettuja</w:t>
            </w:r>
            <w:r>
              <w:rPr>
                <w:noProof/>
                <w:vertAlign w:val="superscript"/>
              </w:rPr>
              <w:t>energiaperuskorjauksia</w:t>
            </w:r>
            <w:r>
              <w:rPr>
                <w:noProof/>
              </w:rPr>
              <w:t xml:space="preserve">, joiden avulla primäärienergian kysyntä vähenee </w:t>
            </w:r>
            <w:r>
              <w:rPr>
                <w:noProof/>
              </w:rPr>
              <w:t>keskimäärin vähintään 30 prosenttia. (perustaso: Joulukuuta 2024)</w:t>
            </w:r>
          </w:p>
        </w:tc>
      </w:tr>
      <w:tr w:rsidR="000E48CE" w14:paraId="1A19CA85" w14:textId="77777777">
        <w:trPr>
          <w:trHeight w:val="309"/>
        </w:trPr>
        <w:tc>
          <w:tcPr>
            <w:tcW w:w="1223" w:type="dxa"/>
            <w:shd w:val="clear" w:color="auto" w:fill="C6EFCE"/>
          </w:tcPr>
          <w:p w14:paraId="266C876D" w14:textId="1CED3F3D" w:rsidR="000E48CE" w:rsidRDefault="00FF4C4E">
            <w:pPr>
              <w:pStyle w:val="P68B1DB1-Normal13"/>
              <w:jc w:val="center"/>
              <w:rPr>
                <w:rFonts w:cs="Times New Roman"/>
                <w:noProof/>
              </w:rPr>
            </w:pPr>
            <w:r>
              <w:rPr>
                <w:noProof/>
              </w:rPr>
              <w:t>439</w:t>
            </w:r>
          </w:p>
        </w:tc>
        <w:tc>
          <w:tcPr>
            <w:tcW w:w="1448" w:type="dxa"/>
            <w:shd w:val="clear" w:color="auto" w:fill="C6EFCE"/>
          </w:tcPr>
          <w:p w14:paraId="2C941AE5" w14:textId="549FD562" w:rsidR="000E48CE" w:rsidRDefault="00FF4C4E">
            <w:pPr>
              <w:pStyle w:val="P68B1DB1-Normal13"/>
              <w:jc w:val="center"/>
              <w:rPr>
                <w:rFonts w:cs="Times New Roman"/>
                <w:noProof/>
              </w:rPr>
            </w:pPr>
            <w:r>
              <w:rPr>
                <w:noProof/>
              </w:rPr>
              <w:t>C11.I4</w:t>
            </w:r>
          </w:p>
        </w:tc>
        <w:tc>
          <w:tcPr>
            <w:tcW w:w="966" w:type="dxa"/>
            <w:shd w:val="clear" w:color="auto" w:fill="C6EFCE"/>
          </w:tcPr>
          <w:p w14:paraId="48D882CE" w14:textId="12CA02B8" w:rsidR="000E48CE" w:rsidRDefault="00FF4C4E">
            <w:pPr>
              <w:pStyle w:val="P68B1DB1-Normal13"/>
              <w:jc w:val="center"/>
              <w:rPr>
                <w:rFonts w:cs="Times New Roman"/>
                <w:noProof/>
              </w:rPr>
            </w:pPr>
            <w:r>
              <w:rPr>
                <w:noProof/>
              </w:rPr>
              <w:t>T</w:t>
            </w:r>
          </w:p>
        </w:tc>
        <w:tc>
          <w:tcPr>
            <w:tcW w:w="1631" w:type="dxa"/>
            <w:shd w:val="clear" w:color="auto" w:fill="C6EFCE"/>
          </w:tcPr>
          <w:p w14:paraId="351EFAD8" w14:textId="6AD718D2" w:rsidR="000E48CE" w:rsidRDefault="00FF4C4E">
            <w:pPr>
              <w:pStyle w:val="P68B1DB1-Normal13"/>
              <w:rPr>
                <w:rFonts w:cs="Times New Roman"/>
                <w:noProof/>
              </w:rPr>
            </w:pPr>
            <w:r>
              <w:rPr>
                <w:noProof/>
              </w:rPr>
              <w:t>Aurinkosähköjärjestelmien tai muiden uusiutuvien energialähteiden käyttöönotto keskushallinnon laitoksissa</w:t>
            </w:r>
          </w:p>
        </w:tc>
        <w:tc>
          <w:tcPr>
            <w:tcW w:w="1442" w:type="dxa"/>
            <w:shd w:val="clear" w:color="auto" w:fill="C6EFCE"/>
          </w:tcPr>
          <w:p w14:paraId="0089FA6D" w14:textId="77777777" w:rsidR="000E48CE" w:rsidRDefault="000E48CE">
            <w:pPr>
              <w:jc w:val="center"/>
              <w:rPr>
                <w:rFonts w:ascii="Times New Roman" w:hAnsi="Times New Roman" w:cs="Times New Roman"/>
                <w:noProof/>
                <w:sz w:val="18"/>
              </w:rPr>
            </w:pPr>
          </w:p>
        </w:tc>
        <w:tc>
          <w:tcPr>
            <w:tcW w:w="1082" w:type="dxa"/>
            <w:shd w:val="clear" w:color="auto" w:fill="C6EFCE"/>
          </w:tcPr>
          <w:p w14:paraId="4858E5CA" w14:textId="58E0112C" w:rsidR="000E48CE" w:rsidRDefault="00FF4C4E">
            <w:pPr>
              <w:pStyle w:val="P68B1DB1-Normal13"/>
              <w:jc w:val="right"/>
              <w:rPr>
                <w:rFonts w:cs="Times New Roman"/>
                <w:noProof/>
              </w:rPr>
            </w:pPr>
            <w:r>
              <w:rPr>
                <w:noProof/>
              </w:rPr>
              <w:t xml:space="preserve"> Miljoonaa euroa</w:t>
            </w:r>
          </w:p>
        </w:tc>
        <w:tc>
          <w:tcPr>
            <w:tcW w:w="708" w:type="dxa"/>
            <w:shd w:val="clear" w:color="auto" w:fill="C6EFCE"/>
          </w:tcPr>
          <w:p w14:paraId="15744716" w14:textId="26FF9995" w:rsidR="000E48CE" w:rsidRDefault="00FF4C4E">
            <w:pPr>
              <w:pStyle w:val="P68B1DB1-Normal13"/>
              <w:jc w:val="right"/>
              <w:rPr>
                <w:rFonts w:cs="Times New Roman"/>
                <w:noProof/>
              </w:rPr>
            </w:pPr>
            <w:r>
              <w:rPr>
                <w:noProof/>
              </w:rPr>
              <w:t>0</w:t>
            </w:r>
          </w:p>
        </w:tc>
        <w:tc>
          <w:tcPr>
            <w:tcW w:w="709" w:type="dxa"/>
            <w:shd w:val="clear" w:color="auto" w:fill="C6EFCE"/>
          </w:tcPr>
          <w:p w14:paraId="28D7C79F" w14:textId="36B39F61" w:rsidR="000E48CE" w:rsidRDefault="00FF4C4E">
            <w:pPr>
              <w:pStyle w:val="P68B1DB1-Normal13"/>
              <w:jc w:val="right"/>
              <w:rPr>
                <w:rFonts w:cs="Times New Roman"/>
                <w:noProof/>
              </w:rPr>
            </w:pPr>
            <w:r>
              <w:rPr>
                <w:noProof/>
              </w:rPr>
              <w:t>80</w:t>
            </w:r>
          </w:p>
        </w:tc>
        <w:tc>
          <w:tcPr>
            <w:tcW w:w="567" w:type="dxa"/>
            <w:shd w:val="clear" w:color="auto" w:fill="C6EFCE"/>
          </w:tcPr>
          <w:p w14:paraId="7911F42D" w14:textId="23F61333" w:rsidR="000E48CE" w:rsidRDefault="00FF4C4E">
            <w:pPr>
              <w:pStyle w:val="P68B1DB1-Normal13"/>
              <w:jc w:val="center"/>
              <w:rPr>
                <w:rFonts w:cs="Times New Roman"/>
                <w:noProof/>
              </w:rPr>
            </w:pPr>
            <w:r>
              <w:rPr>
                <w:noProof/>
              </w:rPr>
              <w:t>Q2</w:t>
            </w:r>
          </w:p>
        </w:tc>
        <w:tc>
          <w:tcPr>
            <w:tcW w:w="822" w:type="dxa"/>
            <w:shd w:val="clear" w:color="auto" w:fill="C6EFCE"/>
          </w:tcPr>
          <w:p w14:paraId="40D1653F" w14:textId="324B3F87" w:rsidR="000E48CE" w:rsidRDefault="00FF4C4E">
            <w:pPr>
              <w:pStyle w:val="P68B1DB1-Normal13"/>
              <w:jc w:val="center"/>
              <w:rPr>
                <w:rFonts w:cs="Times New Roman"/>
                <w:noProof/>
              </w:rPr>
            </w:pPr>
            <w:r>
              <w:rPr>
                <w:noProof/>
              </w:rPr>
              <w:t>2026</w:t>
            </w:r>
          </w:p>
        </w:tc>
        <w:tc>
          <w:tcPr>
            <w:tcW w:w="3998" w:type="dxa"/>
            <w:shd w:val="clear" w:color="auto" w:fill="C6EFCE"/>
          </w:tcPr>
          <w:p w14:paraId="3C260850" w14:textId="0BD0FA22" w:rsidR="000E48CE" w:rsidRDefault="00FF4C4E">
            <w:pPr>
              <w:pStyle w:val="P68B1DB1-Normal13"/>
              <w:rPr>
                <w:rFonts w:cs="Times New Roman"/>
                <w:noProof/>
              </w:rPr>
            </w:pPr>
            <w:r>
              <w:rPr>
                <w:noProof/>
              </w:rPr>
              <w:t xml:space="preserve">Aurinkosähköjärjestelmien tai muiden </w:t>
            </w:r>
            <w:r>
              <w:rPr>
                <w:noProof/>
              </w:rPr>
              <w:t>uusiutuvien energialähteiden käyttöönottoa keskushallinnon laitoksissa koskevien hankkeiden loppuun saattaminen vähintään 80000000 eurolla.</w:t>
            </w:r>
          </w:p>
        </w:tc>
      </w:tr>
      <w:tr w:rsidR="000E48CE" w14:paraId="51420AED" w14:textId="77777777">
        <w:trPr>
          <w:trHeight w:val="309"/>
        </w:trPr>
        <w:tc>
          <w:tcPr>
            <w:tcW w:w="1223" w:type="dxa"/>
            <w:shd w:val="clear" w:color="auto" w:fill="C6EFCE"/>
          </w:tcPr>
          <w:p w14:paraId="16D69C5E" w14:textId="77777777" w:rsidR="000E48CE" w:rsidRDefault="00FF4C4E">
            <w:pPr>
              <w:pStyle w:val="P68B1DB1-Normal13"/>
              <w:jc w:val="center"/>
              <w:rPr>
                <w:rFonts w:cs="Times New Roman"/>
                <w:noProof/>
              </w:rPr>
            </w:pPr>
            <w:r>
              <w:rPr>
                <w:noProof/>
              </w:rPr>
              <w:t>173</w:t>
            </w:r>
          </w:p>
        </w:tc>
        <w:tc>
          <w:tcPr>
            <w:tcW w:w="1448" w:type="dxa"/>
            <w:shd w:val="clear" w:color="auto" w:fill="C6EFCE"/>
          </w:tcPr>
          <w:p w14:paraId="42396D75" w14:textId="77777777" w:rsidR="000E48CE" w:rsidRDefault="00FF4C4E">
            <w:pPr>
              <w:pStyle w:val="P68B1DB1-Normal13"/>
              <w:jc w:val="center"/>
              <w:rPr>
                <w:rFonts w:cs="Times New Roman"/>
                <w:noProof/>
              </w:rPr>
            </w:pPr>
            <w:r>
              <w:rPr>
                <w:noProof/>
              </w:rPr>
              <w:t>C11.I5</w:t>
            </w:r>
          </w:p>
        </w:tc>
        <w:tc>
          <w:tcPr>
            <w:tcW w:w="966" w:type="dxa"/>
            <w:shd w:val="clear" w:color="auto" w:fill="C6EFCE"/>
          </w:tcPr>
          <w:p w14:paraId="3028FAE5" w14:textId="77777777" w:rsidR="000E48CE" w:rsidRDefault="00FF4C4E">
            <w:pPr>
              <w:pStyle w:val="P68B1DB1-Normal13"/>
              <w:jc w:val="center"/>
              <w:rPr>
                <w:rFonts w:cs="Times New Roman"/>
                <w:noProof/>
              </w:rPr>
            </w:pPr>
            <w:r>
              <w:rPr>
                <w:noProof/>
              </w:rPr>
              <w:t>M</w:t>
            </w:r>
          </w:p>
        </w:tc>
        <w:tc>
          <w:tcPr>
            <w:tcW w:w="1631" w:type="dxa"/>
            <w:shd w:val="clear" w:color="auto" w:fill="C6EFCE"/>
          </w:tcPr>
          <w:p w14:paraId="2F2DF16B" w14:textId="77777777" w:rsidR="000E48CE" w:rsidRDefault="00FF4C4E">
            <w:pPr>
              <w:pStyle w:val="P68B1DB1-Normal13"/>
              <w:rPr>
                <w:rFonts w:cs="Times New Roman"/>
                <w:noProof/>
              </w:rPr>
            </w:pPr>
            <w:r>
              <w:rPr>
                <w:noProof/>
              </w:rPr>
              <w:t>Elpymis- ja palautumistukivälineen yhdennetty tietojärjestelmä</w:t>
            </w:r>
          </w:p>
        </w:tc>
        <w:tc>
          <w:tcPr>
            <w:tcW w:w="1442" w:type="dxa"/>
            <w:shd w:val="clear" w:color="auto" w:fill="C6EFCE"/>
          </w:tcPr>
          <w:p w14:paraId="109361A0" w14:textId="77777777" w:rsidR="000E48CE" w:rsidRDefault="00FF4C4E">
            <w:pPr>
              <w:pStyle w:val="P68B1DB1-Normal13"/>
              <w:jc w:val="center"/>
              <w:rPr>
                <w:rFonts w:cs="Times New Roman"/>
                <w:noProof/>
              </w:rPr>
            </w:pPr>
            <w:r>
              <w:rPr>
                <w:noProof/>
              </w:rPr>
              <w:t>Tarkastusraportti</w:t>
            </w:r>
          </w:p>
        </w:tc>
        <w:tc>
          <w:tcPr>
            <w:tcW w:w="1082" w:type="dxa"/>
            <w:shd w:val="clear" w:color="auto" w:fill="C6EFCE"/>
          </w:tcPr>
          <w:p w14:paraId="0115031B" w14:textId="77777777" w:rsidR="000E48CE" w:rsidRDefault="00FF4C4E">
            <w:pPr>
              <w:pStyle w:val="P68B1DB1-Normal13"/>
              <w:jc w:val="right"/>
              <w:rPr>
                <w:rFonts w:cs="Times New Roman"/>
                <w:noProof/>
              </w:rPr>
            </w:pPr>
            <w:r>
              <w:rPr>
                <w:noProof/>
              </w:rPr>
              <w:t xml:space="preserve"> </w:t>
            </w:r>
          </w:p>
        </w:tc>
        <w:tc>
          <w:tcPr>
            <w:tcW w:w="708" w:type="dxa"/>
            <w:shd w:val="clear" w:color="auto" w:fill="C6EFCE"/>
          </w:tcPr>
          <w:p w14:paraId="1E24DD54" w14:textId="77777777" w:rsidR="000E48CE" w:rsidRDefault="00FF4C4E">
            <w:pPr>
              <w:pStyle w:val="P68B1DB1-Normal13"/>
              <w:jc w:val="right"/>
              <w:rPr>
                <w:rFonts w:cs="Times New Roman"/>
                <w:noProof/>
              </w:rPr>
            </w:pPr>
            <w:r>
              <w:rPr>
                <w:noProof/>
              </w:rPr>
              <w:t xml:space="preserve"> </w:t>
            </w:r>
          </w:p>
        </w:tc>
        <w:tc>
          <w:tcPr>
            <w:tcW w:w="709" w:type="dxa"/>
            <w:shd w:val="clear" w:color="auto" w:fill="C6EFCE"/>
          </w:tcPr>
          <w:p w14:paraId="074BB40A" w14:textId="77777777" w:rsidR="000E48CE" w:rsidRDefault="00FF4C4E">
            <w:pPr>
              <w:pStyle w:val="P68B1DB1-Normal13"/>
              <w:jc w:val="right"/>
              <w:rPr>
                <w:rFonts w:cs="Times New Roman"/>
                <w:noProof/>
              </w:rPr>
            </w:pPr>
            <w:r>
              <w:rPr>
                <w:noProof/>
              </w:rPr>
              <w:t xml:space="preserve"> </w:t>
            </w:r>
          </w:p>
        </w:tc>
        <w:tc>
          <w:tcPr>
            <w:tcW w:w="567" w:type="dxa"/>
            <w:shd w:val="clear" w:color="auto" w:fill="C6EFCE"/>
          </w:tcPr>
          <w:p w14:paraId="7E469E69" w14:textId="77777777" w:rsidR="000E48CE" w:rsidRDefault="00FF4C4E">
            <w:pPr>
              <w:pStyle w:val="P68B1DB1-Normal13"/>
              <w:jc w:val="center"/>
              <w:rPr>
                <w:rFonts w:cs="Times New Roman"/>
                <w:noProof/>
              </w:rPr>
            </w:pPr>
            <w:r>
              <w:rPr>
                <w:noProof/>
              </w:rPr>
              <w:t xml:space="preserve">KOLMAS </w:t>
            </w:r>
            <w:r>
              <w:rPr>
                <w:noProof/>
              </w:rPr>
              <w:t>VUOSINELJÄNNES</w:t>
            </w:r>
          </w:p>
        </w:tc>
        <w:tc>
          <w:tcPr>
            <w:tcW w:w="822" w:type="dxa"/>
            <w:shd w:val="clear" w:color="auto" w:fill="C6EFCE"/>
          </w:tcPr>
          <w:p w14:paraId="7638223B" w14:textId="77777777" w:rsidR="000E48CE" w:rsidRDefault="00FF4C4E">
            <w:pPr>
              <w:pStyle w:val="P68B1DB1-Normal13"/>
              <w:jc w:val="center"/>
              <w:rPr>
                <w:rFonts w:cs="Times New Roman"/>
                <w:noProof/>
              </w:rPr>
            </w:pPr>
            <w:r>
              <w:rPr>
                <w:noProof/>
              </w:rPr>
              <w:t>2021</w:t>
            </w:r>
          </w:p>
        </w:tc>
        <w:tc>
          <w:tcPr>
            <w:tcW w:w="3998" w:type="dxa"/>
            <w:shd w:val="clear" w:color="auto" w:fill="C6EFCE"/>
          </w:tcPr>
          <w:p w14:paraId="6286323C" w14:textId="77777777" w:rsidR="000E48CE" w:rsidRDefault="00FF4C4E">
            <w:pPr>
              <w:pStyle w:val="P68B1DB1-Normal13"/>
              <w:rPr>
                <w:rFonts w:cs="Times New Roman"/>
                <w:noProof/>
              </w:rPr>
            </w:pPr>
            <w:r>
              <w:rPr>
                <w:noProof/>
              </w:rPr>
              <w:t>Sellaisen järjestelmän täytäntöönpano, joka mahdollistaa a) elpymis- ja palautumissuunnitelman lataamisen sekä välitavoitteiden ja tavoitteiden saavuttamisen täytäntöönpanoa ja seurantaa koskevat tiedot; (b) johdon vahvistuslausumien ja</w:t>
            </w:r>
            <w:r>
              <w:rPr>
                <w:noProof/>
              </w:rPr>
              <w:t xml:space="preserve"> tarkastustiivistelmän sekä maksupyyntöjen laatimista varten ja c) keräämään ja tallentamaan tietoja tuensaajista, toimeksisaajista, alihankkijoista ja tosiasiallisista omistajista ja edunsaajista elpymis- ja palautumistukivälinettä koskevan asetuksen 22 a</w:t>
            </w:r>
            <w:r>
              <w:rPr>
                <w:noProof/>
              </w:rPr>
              <w:t>rtiklan mukaisesti. Käytetystä järjestelmästä on laadittava erityinen tarkastuskertomus. Jos kertomuksessa havaitaan puutteita, siinä on suositeltava korjaavia toimia.</w:t>
            </w:r>
          </w:p>
        </w:tc>
      </w:tr>
      <w:tr w:rsidR="000E48CE" w14:paraId="3D6B6EB3" w14:textId="77777777">
        <w:trPr>
          <w:trHeight w:val="309"/>
        </w:trPr>
        <w:tc>
          <w:tcPr>
            <w:tcW w:w="1223" w:type="dxa"/>
            <w:shd w:val="clear" w:color="auto" w:fill="C6EFCE"/>
          </w:tcPr>
          <w:p w14:paraId="6DAA0BD9" w14:textId="77777777" w:rsidR="000E48CE" w:rsidRDefault="00FF4C4E">
            <w:pPr>
              <w:pStyle w:val="P68B1DB1-Normal13"/>
              <w:jc w:val="center"/>
              <w:rPr>
                <w:rFonts w:cs="Times New Roman"/>
                <w:noProof/>
              </w:rPr>
            </w:pPr>
            <w:r>
              <w:rPr>
                <w:noProof/>
              </w:rPr>
              <w:t>174</w:t>
            </w:r>
          </w:p>
        </w:tc>
        <w:tc>
          <w:tcPr>
            <w:tcW w:w="1448" w:type="dxa"/>
            <w:shd w:val="clear" w:color="auto" w:fill="C6EFCE"/>
          </w:tcPr>
          <w:p w14:paraId="2F95774C" w14:textId="77777777" w:rsidR="000E48CE" w:rsidRDefault="00FF4C4E">
            <w:pPr>
              <w:pStyle w:val="P68B1DB1-Normal13"/>
              <w:jc w:val="center"/>
              <w:rPr>
                <w:rFonts w:cs="Times New Roman"/>
                <w:noProof/>
              </w:rPr>
            </w:pPr>
            <w:r>
              <w:rPr>
                <w:noProof/>
              </w:rPr>
              <w:t>C11.I5</w:t>
            </w:r>
          </w:p>
        </w:tc>
        <w:tc>
          <w:tcPr>
            <w:tcW w:w="966" w:type="dxa"/>
            <w:shd w:val="clear" w:color="auto" w:fill="C6EFCE"/>
          </w:tcPr>
          <w:p w14:paraId="140E7501" w14:textId="77777777" w:rsidR="000E48CE" w:rsidRDefault="00FF4C4E">
            <w:pPr>
              <w:pStyle w:val="P68B1DB1-Normal13"/>
              <w:jc w:val="center"/>
              <w:rPr>
                <w:rFonts w:cs="Times New Roman"/>
                <w:noProof/>
              </w:rPr>
            </w:pPr>
            <w:r>
              <w:rPr>
                <w:noProof/>
              </w:rPr>
              <w:t>T</w:t>
            </w:r>
          </w:p>
        </w:tc>
        <w:tc>
          <w:tcPr>
            <w:tcW w:w="1631" w:type="dxa"/>
            <w:shd w:val="clear" w:color="auto" w:fill="C6EFCE"/>
          </w:tcPr>
          <w:p w14:paraId="09AB6B67" w14:textId="77777777" w:rsidR="000E48CE" w:rsidRDefault="00FF4C4E">
            <w:pPr>
              <w:pStyle w:val="P68B1DB1-Normal13"/>
              <w:rPr>
                <w:rFonts w:cs="Times New Roman"/>
                <w:noProof/>
              </w:rPr>
            </w:pPr>
            <w:r>
              <w:rPr>
                <w:noProof/>
              </w:rPr>
              <w:t>Uudet viestintävälineet ja -toimet</w:t>
            </w:r>
          </w:p>
        </w:tc>
        <w:tc>
          <w:tcPr>
            <w:tcW w:w="1442" w:type="dxa"/>
            <w:shd w:val="clear" w:color="auto" w:fill="C6EFCE"/>
          </w:tcPr>
          <w:p w14:paraId="1043FF33" w14:textId="77777777" w:rsidR="000E48CE" w:rsidRDefault="00FF4C4E">
            <w:pPr>
              <w:pStyle w:val="P68B1DB1-Normal13"/>
              <w:jc w:val="center"/>
              <w:rPr>
                <w:rFonts w:cs="Times New Roman"/>
                <w:noProof/>
              </w:rPr>
            </w:pPr>
            <w:r>
              <w:rPr>
                <w:noProof/>
              </w:rPr>
              <w:t> </w:t>
            </w:r>
          </w:p>
        </w:tc>
        <w:tc>
          <w:tcPr>
            <w:tcW w:w="1082" w:type="dxa"/>
            <w:shd w:val="clear" w:color="auto" w:fill="C6EFCE"/>
          </w:tcPr>
          <w:p w14:paraId="1BA20486" w14:textId="77777777" w:rsidR="000E48CE" w:rsidRDefault="00FF4C4E">
            <w:pPr>
              <w:pStyle w:val="P68B1DB1-Normal13"/>
              <w:jc w:val="right"/>
              <w:rPr>
                <w:rFonts w:cs="Times New Roman"/>
                <w:noProof/>
              </w:rPr>
            </w:pPr>
            <w:r>
              <w:rPr>
                <w:noProof/>
              </w:rPr>
              <w:t>Määrä</w:t>
            </w:r>
          </w:p>
        </w:tc>
        <w:tc>
          <w:tcPr>
            <w:tcW w:w="708" w:type="dxa"/>
            <w:shd w:val="clear" w:color="auto" w:fill="C6EFCE"/>
          </w:tcPr>
          <w:p w14:paraId="3194369D" w14:textId="77777777" w:rsidR="000E48CE" w:rsidRDefault="00FF4C4E">
            <w:pPr>
              <w:pStyle w:val="P68B1DB1-Normal13"/>
              <w:jc w:val="right"/>
              <w:rPr>
                <w:rFonts w:cs="Times New Roman"/>
                <w:noProof/>
              </w:rPr>
            </w:pPr>
            <w:r>
              <w:rPr>
                <w:noProof/>
              </w:rPr>
              <w:t>0</w:t>
            </w:r>
          </w:p>
        </w:tc>
        <w:tc>
          <w:tcPr>
            <w:tcW w:w="709" w:type="dxa"/>
            <w:shd w:val="clear" w:color="auto" w:fill="C6EFCE"/>
          </w:tcPr>
          <w:p w14:paraId="1DFFE5C7" w14:textId="77777777" w:rsidR="000E48CE" w:rsidRDefault="00FF4C4E">
            <w:pPr>
              <w:pStyle w:val="P68B1DB1-Normal13"/>
              <w:jc w:val="right"/>
              <w:rPr>
                <w:rFonts w:cs="Times New Roman"/>
                <w:noProof/>
              </w:rPr>
            </w:pPr>
            <w:r>
              <w:rPr>
                <w:noProof/>
              </w:rPr>
              <w:t>4</w:t>
            </w:r>
          </w:p>
        </w:tc>
        <w:tc>
          <w:tcPr>
            <w:tcW w:w="567" w:type="dxa"/>
            <w:shd w:val="clear" w:color="auto" w:fill="C6EFCE"/>
          </w:tcPr>
          <w:p w14:paraId="7D1EB45E" w14:textId="77777777" w:rsidR="000E48CE" w:rsidRDefault="00FF4C4E">
            <w:pPr>
              <w:pStyle w:val="P68B1DB1-Normal13"/>
              <w:jc w:val="center"/>
              <w:rPr>
                <w:rFonts w:cs="Times New Roman"/>
                <w:noProof/>
              </w:rPr>
            </w:pPr>
            <w:r>
              <w:rPr>
                <w:noProof/>
              </w:rPr>
              <w:t>Q4</w:t>
            </w:r>
          </w:p>
        </w:tc>
        <w:tc>
          <w:tcPr>
            <w:tcW w:w="822" w:type="dxa"/>
            <w:shd w:val="clear" w:color="auto" w:fill="C6EFCE"/>
          </w:tcPr>
          <w:p w14:paraId="1DFA7961" w14:textId="77777777" w:rsidR="000E48CE" w:rsidRDefault="00FF4C4E">
            <w:pPr>
              <w:pStyle w:val="P68B1DB1-Normal13"/>
              <w:jc w:val="center"/>
              <w:rPr>
                <w:rFonts w:cs="Times New Roman"/>
                <w:noProof/>
              </w:rPr>
            </w:pPr>
            <w:r>
              <w:rPr>
                <w:noProof/>
              </w:rPr>
              <w:t>2022</w:t>
            </w:r>
          </w:p>
        </w:tc>
        <w:tc>
          <w:tcPr>
            <w:tcW w:w="3998" w:type="dxa"/>
            <w:shd w:val="clear" w:color="auto" w:fill="C6EFCE"/>
          </w:tcPr>
          <w:p w14:paraId="2D0F4233" w14:textId="77777777" w:rsidR="000E48CE" w:rsidRDefault="00FF4C4E">
            <w:pPr>
              <w:pStyle w:val="P68B1DB1-Normal13"/>
              <w:rPr>
                <w:rFonts w:cs="Times New Roman"/>
                <w:noProof/>
              </w:rPr>
            </w:pPr>
            <w:r>
              <w:rPr>
                <w:noProof/>
              </w:rPr>
              <w:t>Vähintään kaksi yhteisön johtajaa palkattiin lisäämään läsnäoloa sosiaalisessa mediassa ja lisäämään suunnitelman mahdollisten osallistujien ja edunsaajien määrää, jotta he saisivat tietoa suunnitelman tarjoamista mahdollisuuksista; ja kaksi www-sivustoa o</w:t>
            </w:r>
            <w:r>
              <w:rPr>
                <w:noProof/>
              </w:rPr>
              <w:t>n toiminnassa resurssien hyödyntämisen maksimoimiseksi.</w:t>
            </w:r>
          </w:p>
        </w:tc>
      </w:tr>
      <w:tr w:rsidR="000E48CE" w14:paraId="2692D9E7" w14:textId="77777777">
        <w:trPr>
          <w:trHeight w:val="309"/>
        </w:trPr>
        <w:tc>
          <w:tcPr>
            <w:tcW w:w="1223" w:type="dxa"/>
            <w:shd w:val="clear" w:color="auto" w:fill="C6EFCE"/>
          </w:tcPr>
          <w:p w14:paraId="5D82B080" w14:textId="77777777" w:rsidR="000E48CE" w:rsidRDefault="00FF4C4E">
            <w:pPr>
              <w:pStyle w:val="P68B1DB1-Normal13"/>
              <w:jc w:val="center"/>
              <w:rPr>
                <w:rFonts w:cs="Times New Roman"/>
                <w:noProof/>
              </w:rPr>
            </w:pPr>
            <w:r>
              <w:rPr>
                <w:noProof/>
              </w:rPr>
              <w:t>175</w:t>
            </w:r>
          </w:p>
        </w:tc>
        <w:tc>
          <w:tcPr>
            <w:tcW w:w="1448" w:type="dxa"/>
            <w:shd w:val="clear" w:color="auto" w:fill="C6EFCE"/>
          </w:tcPr>
          <w:p w14:paraId="79BA18C8" w14:textId="77777777" w:rsidR="000E48CE" w:rsidRDefault="00FF4C4E">
            <w:pPr>
              <w:pStyle w:val="P68B1DB1-Normal13"/>
              <w:jc w:val="center"/>
              <w:rPr>
                <w:rFonts w:cs="Times New Roman"/>
                <w:noProof/>
              </w:rPr>
            </w:pPr>
            <w:r>
              <w:rPr>
                <w:noProof/>
              </w:rPr>
              <w:t>C11.I5</w:t>
            </w:r>
          </w:p>
        </w:tc>
        <w:tc>
          <w:tcPr>
            <w:tcW w:w="966" w:type="dxa"/>
            <w:shd w:val="clear" w:color="auto" w:fill="C6EFCE"/>
          </w:tcPr>
          <w:p w14:paraId="73559B47" w14:textId="77777777" w:rsidR="000E48CE" w:rsidRDefault="00FF4C4E">
            <w:pPr>
              <w:pStyle w:val="P68B1DB1-Normal13"/>
              <w:jc w:val="center"/>
              <w:rPr>
                <w:rFonts w:cs="Times New Roman"/>
                <w:noProof/>
              </w:rPr>
            </w:pPr>
            <w:r>
              <w:rPr>
                <w:noProof/>
              </w:rPr>
              <w:t>T</w:t>
            </w:r>
          </w:p>
        </w:tc>
        <w:tc>
          <w:tcPr>
            <w:tcW w:w="1631" w:type="dxa"/>
            <w:shd w:val="clear" w:color="auto" w:fill="C6EFCE"/>
          </w:tcPr>
          <w:p w14:paraId="3632DEEA" w14:textId="77777777" w:rsidR="000E48CE" w:rsidRDefault="00FF4C4E">
            <w:pPr>
              <w:pStyle w:val="P68B1DB1-Normal13"/>
              <w:rPr>
                <w:rFonts w:cs="Times New Roman"/>
                <w:noProof/>
              </w:rPr>
            </w:pPr>
            <w:r>
              <w:rPr>
                <w:noProof/>
              </w:rPr>
              <w:t xml:space="preserve">Koulutettu julkishallinnon henkilöstö </w:t>
            </w:r>
          </w:p>
        </w:tc>
        <w:tc>
          <w:tcPr>
            <w:tcW w:w="1442" w:type="dxa"/>
            <w:shd w:val="clear" w:color="auto" w:fill="C6EFCE"/>
          </w:tcPr>
          <w:p w14:paraId="589E950B" w14:textId="77777777" w:rsidR="000E48CE" w:rsidRDefault="00FF4C4E">
            <w:pPr>
              <w:pStyle w:val="P68B1DB1-Normal13"/>
              <w:jc w:val="center"/>
              <w:rPr>
                <w:rFonts w:cs="Times New Roman"/>
                <w:noProof/>
              </w:rPr>
            </w:pPr>
            <w:r>
              <w:rPr>
                <w:noProof/>
              </w:rPr>
              <w:t> </w:t>
            </w:r>
          </w:p>
        </w:tc>
        <w:tc>
          <w:tcPr>
            <w:tcW w:w="1082" w:type="dxa"/>
            <w:shd w:val="clear" w:color="auto" w:fill="C6EFCE"/>
          </w:tcPr>
          <w:p w14:paraId="56C89F43" w14:textId="77777777" w:rsidR="000E48CE" w:rsidRDefault="00FF4C4E">
            <w:pPr>
              <w:pStyle w:val="P68B1DB1-Normal13"/>
              <w:jc w:val="right"/>
              <w:rPr>
                <w:rFonts w:cs="Times New Roman"/>
                <w:noProof/>
              </w:rPr>
            </w:pPr>
            <w:r>
              <w:rPr>
                <w:noProof/>
              </w:rPr>
              <w:t>Määrä</w:t>
            </w:r>
          </w:p>
        </w:tc>
        <w:tc>
          <w:tcPr>
            <w:tcW w:w="708" w:type="dxa"/>
            <w:shd w:val="clear" w:color="auto" w:fill="C6EFCE"/>
          </w:tcPr>
          <w:p w14:paraId="6992A621" w14:textId="77777777" w:rsidR="000E48CE" w:rsidRDefault="00FF4C4E">
            <w:pPr>
              <w:pStyle w:val="P68B1DB1-Normal13"/>
              <w:jc w:val="right"/>
              <w:rPr>
                <w:rFonts w:cs="Times New Roman"/>
                <w:noProof/>
              </w:rPr>
            </w:pPr>
            <w:r>
              <w:rPr>
                <w:noProof/>
              </w:rPr>
              <w:t>0</w:t>
            </w:r>
          </w:p>
        </w:tc>
        <w:tc>
          <w:tcPr>
            <w:tcW w:w="709" w:type="dxa"/>
            <w:shd w:val="clear" w:color="auto" w:fill="C6EFCE"/>
          </w:tcPr>
          <w:p w14:paraId="39FC2332" w14:textId="77777777" w:rsidR="000E48CE" w:rsidRDefault="00FF4C4E">
            <w:pPr>
              <w:pStyle w:val="P68B1DB1-Normal13"/>
              <w:jc w:val="right"/>
              <w:rPr>
                <w:rFonts w:cs="Times New Roman"/>
                <w:noProof/>
              </w:rPr>
            </w:pPr>
            <w:r>
              <w:rPr>
                <w:noProof/>
              </w:rPr>
              <w:t>3 150</w:t>
            </w:r>
          </w:p>
        </w:tc>
        <w:tc>
          <w:tcPr>
            <w:tcW w:w="567" w:type="dxa"/>
            <w:shd w:val="clear" w:color="auto" w:fill="C6EFCE"/>
          </w:tcPr>
          <w:p w14:paraId="18DEFB86" w14:textId="77777777" w:rsidR="000E48CE" w:rsidRDefault="00FF4C4E">
            <w:pPr>
              <w:pStyle w:val="P68B1DB1-Normal13"/>
              <w:jc w:val="center"/>
              <w:rPr>
                <w:rFonts w:cs="Times New Roman"/>
                <w:noProof/>
              </w:rPr>
            </w:pPr>
            <w:r>
              <w:rPr>
                <w:noProof/>
              </w:rPr>
              <w:t>KOLMAS VUOSINELJÄNNES</w:t>
            </w:r>
          </w:p>
        </w:tc>
        <w:tc>
          <w:tcPr>
            <w:tcW w:w="822" w:type="dxa"/>
            <w:shd w:val="clear" w:color="auto" w:fill="C6EFCE"/>
          </w:tcPr>
          <w:p w14:paraId="3D640CA9" w14:textId="77777777" w:rsidR="000E48CE" w:rsidRDefault="00FF4C4E">
            <w:pPr>
              <w:pStyle w:val="P68B1DB1-Normal13"/>
              <w:jc w:val="center"/>
              <w:rPr>
                <w:rFonts w:cs="Times New Roman"/>
                <w:noProof/>
              </w:rPr>
            </w:pPr>
            <w:r>
              <w:rPr>
                <w:noProof/>
              </w:rPr>
              <w:t>2026</w:t>
            </w:r>
          </w:p>
        </w:tc>
        <w:tc>
          <w:tcPr>
            <w:tcW w:w="3998" w:type="dxa"/>
            <w:shd w:val="clear" w:color="auto" w:fill="C6EFCE"/>
          </w:tcPr>
          <w:p w14:paraId="42468616" w14:textId="77777777" w:rsidR="000E48CE" w:rsidRDefault="00FF4C4E">
            <w:pPr>
              <w:pStyle w:val="P68B1DB1-Normal13"/>
              <w:rPr>
                <w:rFonts w:cs="Times New Roman"/>
                <w:noProof/>
              </w:rPr>
            </w:pPr>
            <w:r>
              <w:rPr>
                <w:noProof/>
              </w:rPr>
              <w:t xml:space="preserve">Vähintään 3150 julkishallinnon työntekijää on saanut koulutusta elpymis- ja palautumissuunnitelman täytäntöönpanoon, valvontaan ja tarkastukseen liittyvistä osa-alueista. </w:t>
            </w:r>
          </w:p>
        </w:tc>
      </w:tr>
    </w:tbl>
    <w:p w14:paraId="000C812F"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417" w:right="1134" w:bottom="1417" w:left="1134" w:header="709" w:footer="709" w:gutter="0"/>
          <w:cols w:space="720"/>
          <w:docGrid w:linePitch="360"/>
        </w:sectPr>
      </w:pPr>
    </w:p>
    <w:p w14:paraId="7AC49A7F" w14:textId="77777777" w:rsidR="000E48CE" w:rsidRDefault="00FF4C4E">
      <w:pPr>
        <w:spacing w:before="120" w:after="120" w:line="240" w:lineRule="auto"/>
        <w:jc w:val="both"/>
        <w:rPr>
          <w:rStyle w:val="eop"/>
          <w:rFonts w:ascii="Times New Roman" w:hAnsi="Times New Roman" w:cs="Times New Roman"/>
          <w:noProof/>
          <w:sz w:val="24"/>
          <w:shd w:val="clear" w:color="auto" w:fill="FFFFFF"/>
        </w:rPr>
      </w:pPr>
      <w:r>
        <w:rPr>
          <w:rStyle w:val="normaltextrun"/>
          <w:rFonts w:ascii="Times New Roman" w:hAnsi="Times New Roman"/>
          <w:b/>
          <w:noProof/>
          <w:sz w:val="24"/>
          <w:u w:val="single"/>
        </w:rPr>
        <w:t>K</w:t>
      </w:r>
      <w:r>
        <w:rPr>
          <w:rStyle w:val="normaltextrun"/>
          <w:rFonts w:ascii="Times New Roman" w:hAnsi="Times New Roman"/>
          <w:b/>
          <w:noProof/>
          <w:sz w:val="24"/>
          <w:u w:val="single"/>
          <w:shd w:val="clear" w:color="auto" w:fill="FFFFFF"/>
        </w:rPr>
        <w:t xml:space="preserve">.3. Kuvaus </w:t>
      </w:r>
      <w:r>
        <w:rPr>
          <w:rStyle w:val="normaltextrun"/>
          <w:rFonts w:ascii="Times New Roman" w:hAnsi="Times New Roman"/>
          <w:b/>
          <w:noProof/>
          <w:sz w:val="24"/>
          <w:u w:val="single"/>
          <w:shd w:val="clear" w:color="auto" w:fill="FFFFFF"/>
        </w:rPr>
        <w:t>lainatukeen liittyvistä uudistuksista ja investoinneista</w:t>
      </w:r>
    </w:p>
    <w:p w14:paraId="28630AE6" w14:textId="77777777" w:rsidR="000E48CE" w:rsidRDefault="00FF4C4E">
      <w:pPr>
        <w:pStyle w:val="P68B1DB1-Normal6"/>
        <w:spacing w:before="120" w:after="120" w:line="240" w:lineRule="auto"/>
        <w:jc w:val="both"/>
        <w:rPr>
          <w:rFonts w:cs="Times New Roman"/>
          <w:noProof/>
        </w:rPr>
      </w:pPr>
      <w:r>
        <w:rPr>
          <w:noProof/>
        </w:rPr>
        <w:t>Investointi 6 (C11.I6) – Kyberturvallisuutta, häiriönsietokykyä ja turvallisuutta koskevat välineet</w:t>
      </w:r>
    </w:p>
    <w:p w14:paraId="7AA5F2B7" w14:textId="77777777" w:rsidR="000E48CE" w:rsidRDefault="00FF4C4E">
      <w:pPr>
        <w:pStyle w:val="P68B1DB1-Normal4"/>
        <w:spacing w:before="120" w:after="120" w:line="240" w:lineRule="auto"/>
        <w:jc w:val="both"/>
        <w:rPr>
          <w:rFonts w:eastAsia="Times New Roman" w:cs="Times New Roman"/>
          <w:noProof/>
        </w:rPr>
      </w:pPr>
      <w:r>
        <w:rPr>
          <w:noProof/>
        </w:rPr>
        <w:t>Tähän toimenpiteeseen sisältyy kaksi tärkeintä investointia: kyberturvallisuusohjelma, jolla vahvis</w:t>
      </w:r>
      <w:r>
        <w:rPr>
          <w:noProof/>
        </w:rPr>
        <w:t>tetaan julkishallinnon kyberturvallisuusvalmiuksia kyberuhkien ehkäisemisen, suojaamisen, havaitsemisen ja niihin reagoimisen aloilla; ja ii) ”Resilienssi- ja turvallisuusrahasto”, jolla edistetään tuottavia investointeja ja tuotantokapasiteetin lisäämistä</w:t>
      </w:r>
      <w:r>
        <w:rPr>
          <w:noProof/>
        </w:rPr>
        <w:t xml:space="preserve"> Espanjan alueella turvallisuus-, puolustus-, ilmailu- ja avaruusaloilla.</w:t>
      </w:r>
    </w:p>
    <w:p w14:paraId="4B5D5C87" w14:textId="77777777" w:rsidR="000E48CE" w:rsidRDefault="00FF4C4E">
      <w:pPr>
        <w:pStyle w:val="P68B1DB1-Normal18"/>
        <w:rPr>
          <w:rFonts w:cs="Times New Roman"/>
          <w:noProof/>
        </w:rPr>
      </w:pPr>
      <w:r>
        <w:rPr>
          <w:noProof/>
        </w:rPr>
        <w:t>Kyberturvallisuusohjelma</w:t>
      </w:r>
    </w:p>
    <w:p w14:paraId="57B37F3C" w14:textId="64869168" w:rsidR="000E48CE" w:rsidRDefault="00FF4C4E">
      <w:pPr>
        <w:pStyle w:val="P68B1DB1-Normal4"/>
        <w:spacing w:before="120" w:after="120" w:line="240" w:lineRule="auto"/>
        <w:jc w:val="both"/>
        <w:rPr>
          <w:rFonts w:eastAsia="Times New Roman" w:cs="Times New Roman"/>
          <w:noProof/>
        </w:rPr>
      </w:pPr>
      <w:r>
        <w:rPr>
          <w:noProof/>
        </w:rPr>
        <w:t>Toimenpiteen tämä osa koostuu kyberturvallisuusohjelman mukaisten hankkeiden täytäntöönpanosta, jolla edistetään kehitetään valmiuksia vastata kyberuhkiin; s</w:t>
      </w:r>
      <w:r>
        <w:rPr>
          <w:noProof/>
        </w:rPr>
        <w:t>trategisten voimavarojen turvallisuuden ja häiriönsietokyvyn varmistaminen; vahvistaa kyberrikollisuuden tutkinta- ja syytevalmiuksia; kansalaisten ja yritysten kyberturvallisuuden parantaminen; kyberturvallisuusalan tukeminen; ja vi) kyberturvallisuuskult</w:t>
      </w:r>
      <w:r>
        <w:rPr>
          <w:noProof/>
        </w:rPr>
        <w:t>tuurin kehittäminen.</w:t>
      </w:r>
    </w:p>
    <w:p w14:paraId="5532C259" w14:textId="6F6CC342" w:rsidR="000E48CE" w:rsidRDefault="00FF4C4E">
      <w:pPr>
        <w:pStyle w:val="P68B1DB1-Normal4"/>
        <w:spacing w:before="120" w:after="120" w:line="240" w:lineRule="auto"/>
        <w:jc w:val="both"/>
        <w:rPr>
          <w:rFonts w:eastAsia="Times New Roman" w:cs="Times New Roman"/>
          <w:noProof/>
        </w:rPr>
      </w:pPr>
      <w:r>
        <w:rPr>
          <w:noProof/>
        </w:rPr>
        <w:t>Kyberturvallisuusohjelman täytäntöönpano on saatettava päätökseen viimeistään 30 päivänä kesäkuuta 2026.</w:t>
      </w:r>
    </w:p>
    <w:p w14:paraId="1C24F29F" w14:textId="77777777" w:rsidR="000E48CE" w:rsidRDefault="00FF4C4E">
      <w:pPr>
        <w:pStyle w:val="P68B1DB1-Normal18"/>
        <w:rPr>
          <w:rFonts w:eastAsia="Times New Roman" w:cs="Times New Roman"/>
          <w:noProof/>
        </w:rPr>
      </w:pPr>
      <w:r>
        <w:rPr>
          <w:noProof/>
        </w:rPr>
        <w:t>Turvallisuus- ja palautumisrahasto</w:t>
      </w:r>
    </w:p>
    <w:p w14:paraId="507C7EB9" w14:textId="7B87C380" w:rsidR="000E48CE" w:rsidRDefault="00FF4C4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Toimenpiteen tämä osa koostuu julkisesta investoinnista tukivälineeseen, turvallisuus- ja palautumistukivälineeseen, jotta voidaan </w:t>
      </w:r>
      <w:bookmarkStart w:id="18" w:name="_Hlk145601028"/>
      <w:r>
        <w:rPr>
          <w:rStyle w:val="normaltextrun"/>
          <w:rFonts w:ascii="Times New Roman" w:hAnsi="Times New Roman"/>
          <w:noProof/>
          <w:sz w:val="24"/>
          <w:shd w:val="clear" w:color="auto" w:fill="FFFFFF"/>
        </w:rPr>
        <w:t xml:space="preserve">kannustaa yksityisiä investointeja ja parantaa rahoituksen saantia </w:t>
      </w:r>
      <w:bookmarkEnd w:id="18"/>
      <w:r>
        <w:rPr>
          <w:rStyle w:val="normaltextrun"/>
          <w:rFonts w:ascii="Times New Roman" w:hAnsi="Times New Roman"/>
          <w:noProof/>
          <w:sz w:val="24"/>
          <w:shd w:val="clear" w:color="auto" w:fill="FFFFFF"/>
        </w:rPr>
        <w:t>Espanjan turvallisuus-, puolustus-</w:t>
      </w:r>
      <w:r>
        <w:rPr>
          <w:rFonts w:ascii="Times New Roman" w:hAnsi="Times New Roman"/>
          <w:noProof/>
          <w:sz w:val="24"/>
        </w:rPr>
        <w:t xml:space="preserve">, ilmailu- </w:t>
      </w:r>
      <w:r>
        <w:rPr>
          <w:rStyle w:val="normaltextrun"/>
          <w:rFonts w:ascii="Times New Roman" w:hAnsi="Times New Roman"/>
          <w:noProof/>
          <w:sz w:val="24"/>
          <w:shd w:val="clear" w:color="auto" w:fill="FFFFFF"/>
        </w:rPr>
        <w:t>ja avaruusalo</w:t>
      </w:r>
      <w:r>
        <w:rPr>
          <w:rStyle w:val="normaltextrun"/>
          <w:rFonts w:ascii="Times New Roman" w:hAnsi="Times New Roman"/>
          <w:noProof/>
          <w:sz w:val="24"/>
          <w:shd w:val="clear" w:color="auto" w:fill="FFFFFF"/>
        </w:rPr>
        <w:t>illa sekä kehittää pääomamarkkinoita näillä aloilla. Investointikehys toimii tarjoamalla lainoja, oman pääoman ehtoisia ja oman pääoman luonteisia sijoituksia suoraan tai välittäjien kautta yksityiselle sektorille sekä vastaavaa toimintaa harjoittaville ju</w:t>
      </w:r>
      <w:r>
        <w:rPr>
          <w:rStyle w:val="normaltextrun"/>
          <w:rFonts w:ascii="Times New Roman" w:hAnsi="Times New Roman"/>
          <w:noProof/>
          <w:sz w:val="24"/>
          <w:shd w:val="clear" w:color="auto" w:fill="FFFFFF"/>
        </w:rPr>
        <w:t>lkisyhteisöille ja julkisoikeudellisille laitoksille.  Elpymis- ja palautumistukivälineen investointien perusteella tukivälineestä on alun perin tarkoitus myöntää rahoitusta vähintään 1000000000 euroa.</w:t>
      </w:r>
    </w:p>
    <w:p w14:paraId="53166B8D" w14:textId="4ED87A3F" w:rsidR="000E48CE" w:rsidRDefault="00FF4C4E">
      <w:pPr>
        <w:spacing w:line="240" w:lineRule="auto"/>
        <w:jc w:val="both"/>
        <w:rPr>
          <w:rStyle w:val="normaltextrun"/>
          <w:rFonts w:ascii="Times New Roman" w:eastAsia="Times New Roman" w:hAnsi="Times New Roman" w:cs="Times New Roman"/>
          <w:noProof/>
          <w:sz w:val="24"/>
          <w:shd w:val="clear" w:color="auto" w:fill="FFFFFF"/>
        </w:rPr>
      </w:pPr>
      <w:r w:rsidRPr="00996749">
        <w:rPr>
          <w:rStyle w:val="normaltextrun"/>
          <w:rFonts w:ascii="Times New Roman" w:hAnsi="Times New Roman"/>
          <w:noProof/>
          <w:sz w:val="24"/>
          <w:shd w:val="clear" w:color="auto" w:fill="FFFFFF"/>
          <w:lang w:val="fr-BE"/>
        </w:rPr>
        <w:t xml:space="preserve">Toteutuskumppanina toimii Sociedad </w:t>
      </w:r>
      <w:r w:rsidRPr="00996749">
        <w:rPr>
          <w:rFonts w:ascii="Times New Roman" w:hAnsi="Times New Roman"/>
          <w:noProof/>
          <w:sz w:val="24"/>
          <w:lang w:val="fr-BE"/>
        </w:rPr>
        <w:t>Estatal de Particip</w:t>
      </w:r>
      <w:r w:rsidRPr="00996749">
        <w:rPr>
          <w:rFonts w:ascii="Times New Roman" w:hAnsi="Times New Roman"/>
          <w:noProof/>
          <w:sz w:val="24"/>
          <w:lang w:val="fr-BE"/>
        </w:rPr>
        <w:t xml:space="preserve">aciones Industriales Desarrollo Empresarial ( </w:t>
      </w:r>
      <w:r w:rsidRPr="00996749">
        <w:rPr>
          <w:rStyle w:val="normaltextrun"/>
          <w:rFonts w:ascii="Times New Roman" w:hAnsi="Times New Roman"/>
          <w:noProof/>
          <w:sz w:val="24"/>
          <w:shd w:val="clear" w:color="auto" w:fill="FFFFFF"/>
          <w:lang w:val="fr-BE"/>
        </w:rPr>
        <w:t xml:space="preserve">SEPIDES). </w:t>
      </w:r>
      <w:r>
        <w:rPr>
          <w:rStyle w:val="normaltextrun"/>
          <w:rFonts w:ascii="Times New Roman" w:hAnsi="Times New Roman"/>
          <w:noProof/>
          <w:sz w:val="24"/>
          <w:shd w:val="clear" w:color="auto" w:fill="FFFFFF"/>
        </w:rPr>
        <w:t xml:space="preserve">Lainajärjestely sisältää seuraavat kaksi tuotelinjaa: </w:t>
      </w:r>
    </w:p>
    <w:p w14:paraId="1E28F317" w14:textId="23405C19" w:rsidR="000E48CE" w:rsidRDefault="00FF4C4E">
      <w:pPr>
        <w:pStyle w:val="P68B1DB1-ListParagraph7"/>
        <w:numPr>
          <w:ilvl w:val="0"/>
          <w:numId w:val="447"/>
        </w:numPr>
        <w:spacing w:before="120" w:after="120" w:line="240" w:lineRule="auto"/>
        <w:jc w:val="both"/>
        <w:rPr>
          <w:rStyle w:val="normaltextrun"/>
          <w:rFonts w:eastAsia="Times New Roman" w:cs="Times New Roman"/>
          <w:noProof/>
        </w:rPr>
      </w:pPr>
      <w:r>
        <w:rPr>
          <w:noProof/>
        </w:rPr>
        <w:t>Ohivalinta: Tukivälineestä investoidaan suoraan yrityksiin, jotka ovat sitoutuneet toteuttamaan uusia hankkeita kohdealoilla, mukaan lukien käynn</w:t>
      </w:r>
      <w:r>
        <w:rPr>
          <w:noProof/>
        </w:rPr>
        <w:t>issä oleviin kehitysohjelmiin sisältyvät uudet hankkeet.  Investointikehyksen on pystyttävä sijoittamaan laina-, oman pääoman ehtoisiin ja oman pääoman luonteisiin instrumentteihin. Rahaston pääomasijoitukset eivät saa johtaa siihen, että julkisessa omistu</w:t>
      </w:r>
      <w:r>
        <w:rPr>
          <w:noProof/>
        </w:rPr>
        <w:t>ksessa olevan oman pääoman osuus lopullisesta tuensaajasta ylittää 49:ää prosenttia kokonaispääomasta.</w:t>
      </w:r>
    </w:p>
    <w:p w14:paraId="24F7DD89" w14:textId="03462FBA" w:rsidR="000E48CE" w:rsidRDefault="00FF4C4E">
      <w:pPr>
        <w:pStyle w:val="ListParagraph"/>
        <w:numPr>
          <w:ilvl w:val="0"/>
          <w:numId w:val="614"/>
        </w:numPr>
        <w:rPr>
          <w:rFonts w:ascii="Times New Roman" w:hAnsi="Times New Roman" w:cs="Times New Roman"/>
          <w:noProof/>
          <w:sz w:val="24"/>
        </w:rPr>
      </w:pPr>
      <w:r>
        <w:rPr>
          <w:rFonts w:ascii="Times New Roman" w:hAnsi="Times New Roman"/>
          <w:noProof/>
          <w:sz w:val="24"/>
        </w:rPr>
        <w:t>Epäsuora rivi: Tukivälineestä investoidaan olemassa oleviin rahastoihin, jotka investoivat tukivälineen kohteena oleviin aloihin. Investointikehyksen eni</w:t>
      </w:r>
      <w:r>
        <w:rPr>
          <w:rFonts w:ascii="Times New Roman" w:hAnsi="Times New Roman"/>
          <w:noProof/>
          <w:sz w:val="24"/>
        </w:rPr>
        <w:t>mmäisosuus ei saa ylittää 49:ää prosenttia mistään rahastosta tai muusta sijoitusvälineestä.</w:t>
      </w:r>
      <w:r>
        <w:rPr>
          <w:noProof/>
        </w:rPr>
        <w:t xml:space="preserve"> </w:t>
      </w:r>
      <w:r>
        <w:rPr>
          <w:rFonts w:ascii="Times New Roman" w:hAnsi="Times New Roman"/>
          <w:noProof/>
          <w:sz w:val="24"/>
        </w:rPr>
        <w:t>Rahastojen osakesijoitukset eivät saa johtaa siihen, että julkisessa omistuksessa olevan oman pääoman osuus rahastossa tai sijoitusvälineessä ylittää 49:ää prosent</w:t>
      </w:r>
      <w:r>
        <w:rPr>
          <w:rFonts w:ascii="Times New Roman" w:hAnsi="Times New Roman"/>
          <w:noProof/>
          <w:sz w:val="24"/>
        </w:rPr>
        <w:t>tia koko omasta pääomasta.</w:t>
      </w:r>
    </w:p>
    <w:p w14:paraId="0EB3BAEC" w14:textId="531C94A7" w:rsidR="000E48CE" w:rsidRDefault="00FF4C4E">
      <w:pPr>
        <w:pStyle w:val="P68B1DB1-Normal4"/>
        <w:spacing w:before="120" w:after="120" w:line="240" w:lineRule="auto"/>
        <w:jc w:val="both"/>
        <w:rPr>
          <w:rFonts w:eastAsia="Times New Roman" w:cs="Times New Roman"/>
          <w:noProof/>
        </w:rPr>
      </w:pPr>
      <w:r>
        <w:rPr>
          <w:noProof/>
        </w:rPr>
        <w:t xml:space="preserve">Investointijärjestelyyn tehtävien investointien toteuttamiseksi Espanjan on hyväksyttävä tukivälineen perustamista ja hallinnointia koskeva asetus ja siihen liittyvät asiakirjat, joiden sisältö on seuraava:  </w:t>
      </w:r>
    </w:p>
    <w:p w14:paraId="6E600765" w14:textId="38BE4A50" w:rsidR="000E48CE" w:rsidRDefault="00FF4C4E">
      <w:pPr>
        <w:pStyle w:val="P68B1DB1-ListParagraph7"/>
        <w:numPr>
          <w:ilvl w:val="0"/>
          <w:numId w:val="734"/>
        </w:numPr>
        <w:spacing w:line="240" w:lineRule="auto"/>
        <w:contextualSpacing w:val="0"/>
        <w:jc w:val="both"/>
        <w:rPr>
          <w:rFonts w:eastAsia="Times New Roman" w:cs="Times New Roman"/>
          <w:noProof/>
        </w:rPr>
      </w:pPr>
      <w:r>
        <w:rPr>
          <w:noProof/>
        </w:rPr>
        <w:t xml:space="preserve">Kuvaus tukivälineen </w:t>
      </w:r>
      <w:r>
        <w:rPr>
          <w:noProof/>
        </w:rPr>
        <w:t>päätöksentekoprosessista:  Investointirahaston alkuinvestointipäätöksen tekee investointikomitea tai muu vastaava hallintoelin, ja se hyväksytään äänten enemmistöllä Espanjan hallituksesta riippumattomilta jäseniltä. Investointikehyksen lopullinen investoi</w:t>
      </w:r>
      <w:r>
        <w:rPr>
          <w:noProof/>
        </w:rPr>
        <w:t>ntipäätös rajoitetaan investointikomitean tai vastaavan hallintoelimen ehdottaman investointipäätöksen hyväksymiseen (muutoksitta) tai veto-oikeuden käyttämiseen. Välitettyjen sijoitusten osalta lopullisen sijoituspäätöksen tekevät välittäjät. Välittäjän e</w:t>
      </w:r>
      <w:r>
        <w:rPr>
          <w:noProof/>
        </w:rPr>
        <w:t>hdottamaa sijoituspäätöstä koskevaa veto-oikeutta voidaan käyttää kansalliseen turvallisuuteen liittyvistä syistä.</w:t>
      </w:r>
    </w:p>
    <w:p w14:paraId="49221D99" w14:textId="16873181" w:rsidR="000E48CE" w:rsidRDefault="00FF4C4E">
      <w:pPr>
        <w:pStyle w:val="P68B1DB1-ListParagraph7"/>
        <w:numPr>
          <w:ilvl w:val="0"/>
          <w:numId w:val="734"/>
        </w:numPr>
        <w:spacing w:line="240" w:lineRule="auto"/>
        <w:jc w:val="both"/>
        <w:rPr>
          <w:rFonts w:eastAsia="Times New Roman" w:cs="Times New Roman"/>
          <w:noProof/>
        </w:rPr>
      </w:pPr>
      <w:r>
        <w:rPr>
          <w:noProof/>
        </w:rPr>
        <w:t>Asiaan liittyvän sijoituspolitiikan keskeiset vaatimukset, joita ovat muun muassa seuraavat:</w:t>
      </w:r>
    </w:p>
    <w:p w14:paraId="205E8354" w14:textId="36A196FD" w:rsidR="000E48CE" w:rsidRDefault="00FF4C4E">
      <w:pPr>
        <w:pStyle w:val="ListParagraph"/>
        <w:numPr>
          <w:ilvl w:val="1"/>
          <w:numId w:val="734"/>
        </w:numPr>
        <w:spacing w:line="240" w:lineRule="auto"/>
        <w:jc w:val="both"/>
        <w:rPr>
          <w:rFonts w:ascii="Times New Roman" w:eastAsia="Times New Roman" w:hAnsi="Times New Roman" w:cs="Times New Roman"/>
          <w:noProof/>
          <w:sz w:val="24"/>
        </w:rPr>
      </w:pPr>
      <w:r>
        <w:rPr>
          <w:rFonts w:ascii="Times New Roman" w:hAnsi="Times New Roman"/>
          <w:noProof/>
          <w:sz w:val="24"/>
        </w:rPr>
        <w:t>Rahoitustuotteiden ja tukikelpoisten lopullisten</w:t>
      </w:r>
      <w:r>
        <w:rPr>
          <w:rFonts w:ascii="Times New Roman" w:hAnsi="Times New Roman"/>
          <w:noProof/>
          <w:sz w:val="24"/>
        </w:rPr>
        <w:t xml:space="preserve"> tuensaajien kuvaus toimenpiteen kuvauksen mukaisesti.  Strategisiin investointeihin eli Euroopan puolustusrahaston vuotuisessa työohjelmassa yksilöityihin puolustusteknologioihin ja -tuotteisiin; avaruusinvestoinnit atomikelloihin ja strategisiin kantorak</w:t>
      </w:r>
      <w:r>
        <w:rPr>
          <w:rFonts w:ascii="Times New Roman" w:hAnsi="Times New Roman"/>
          <w:noProof/>
          <w:sz w:val="24"/>
        </w:rPr>
        <w:t>etteihin; ja avaruustuotteet;  ja investoinnit, joissa keskitytään yksinomaan kyberturvallisuusvälineiden ja -ratkaisujen kehittämiseen ja käyttöönottoon, myös silloin, kun ne ovat osa digitaalisten verkkojen ja datainfrastruktuurin käyttöönottoa tai paran</w:t>
      </w:r>
      <w:r>
        <w:rPr>
          <w:rFonts w:ascii="Times New Roman" w:hAnsi="Times New Roman"/>
          <w:noProof/>
          <w:sz w:val="24"/>
        </w:rPr>
        <w:t xml:space="preserve">tamista; lopulliset tuensaajat eivät saa olla kolmannen maan tai kolmansien maiden yhteisöjen määräysvallassa, ja niiden johto on unionissa, lukuun ottamatta alle 10000000 euron investointeja. Jos lopullinen tuensaaja osallistuu strategiseen investointiin </w:t>
      </w:r>
      <w:r>
        <w:rPr>
          <w:rFonts w:ascii="Times New Roman" w:hAnsi="Times New Roman"/>
          <w:noProof/>
          <w:sz w:val="24"/>
        </w:rPr>
        <w:t>5G-yhteyksien alalla, 5G-kyberturvallisuusvälineistön mukaisia toimenpiteitä ja riskinhallintasuunnitelmia</w:t>
      </w:r>
      <w:r>
        <w:rPr>
          <w:rStyle w:val="FootnoteReference"/>
          <w:rFonts w:ascii="Times New Roman" w:eastAsia="Times New Roman" w:hAnsi="Times New Roman" w:cs="Times New Roman"/>
          <w:noProof/>
          <w:sz w:val="24"/>
        </w:rPr>
        <w:footnoteReference w:id="21"/>
      </w:r>
      <w:r>
        <w:rPr>
          <w:rFonts w:ascii="Times New Roman" w:hAnsi="Times New Roman"/>
          <w:noProof/>
          <w:sz w:val="24"/>
        </w:rPr>
        <w:t xml:space="preserve"> sovelletaan myös sen toimittajiin. Tällaisia toimittajia ovat erityisesti televiestintälaitteiden myyjät ja valmistajat sekä muut ulkopuoliset toimi</w:t>
      </w:r>
      <w:r>
        <w:rPr>
          <w:rFonts w:ascii="Times New Roman" w:hAnsi="Times New Roman"/>
          <w:noProof/>
          <w:sz w:val="24"/>
        </w:rPr>
        <w:t>ttajat, kuten pilvi-infrastruktuurin tarjoajat, hallintapalvelujen tarjoajat, järjestelmäintegroijat, turvallisuudesta ja ylläpidosta vastaavat toimeksisaajat sekä siirtojärjestelmien valmistajat. Jos lopullinen tuensaaja osallistuu puolustusalan strategis</w:t>
      </w:r>
      <w:r>
        <w:rPr>
          <w:rFonts w:ascii="Times New Roman" w:hAnsi="Times New Roman"/>
          <w:noProof/>
          <w:sz w:val="24"/>
        </w:rPr>
        <w:t>een investointiin, tätä rajoitusta sovelletaan myös sen toimittajiin ja alihankkijoihin. Edellä olevissa kolmessa kappaleessa esitettyjä rajoituksia, jotka koskevat kolmannen maan tai kolmannen maan yhteisön määräysvallan puuttumista, ei sovelleta tiettyyn</w:t>
      </w:r>
      <w:r>
        <w:rPr>
          <w:rFonts w:ascii="Times New Roman" w:hAnsi="Times New Roman"/>
          <w:noProof/>
          <w:sz w:val="24"/>
        </w:rPr>
        <w:t xml:space="preserve"> rahoitus- ja investointitoimeen, jos lopullinen tuensaaja voi osoittaa olevansa oikeushenkilö, jolle se jäsenvaltio, johon se on sijoittautunut, on hyväksynyt takauksen Euroopan puolustusrahastosta (EKR) annetun asetuksen asianomaisissa säännöksissä vahvi</w:t>
      </w:r>
      <w:r>
        <w:rPr>
          <w:rFonts w:ascii="Times New Roman" w:hAnsi="Times New Roman"/>
          <w:noProof/>
          <w:sz w:val="24"/>
        </w:rPr>
        <w:t>stettujen tukikelpoisia yhteisöjä koskevien periaatteiden</w:t>
      </w:r>
      <w:r>
        <w:rPr>
          <w:rStyle w:val="FootnoteReference"/>
          <w:rFonts w:ascii="Times New Roman" w:eastAsia="Times New Roman" w:hAnsi="Times New Roman" w:cs="Times New Roman"/>
          <w:noProof/>
          <w:sz w:val="24"/>
        </w:rPr>
        <w:footnoteReference w:id="22"/>
      </w:r>
      <w:r>
        <w:rPr>
          <w:rFonts w:ascii="Times New Roman" w:hAnsi="Times New Roman"/>
          <w:noProof/>
          <w:sz w:val="24"/>
        </w:rPr>
        <w:t xml:space="preserve"> tai avaruusasetuksen asianomaisissa säännöksissä vahvistettujen tukikelpoisia yhteisöjä koskevien periaatteiden mukaisesti</w:t>
      </w:r>
      <w:r>
        <w:rPr>
          <w:rStyle w:val="FootnoteReference"/>
          <w:rFonts w:ascii="Times New Roman" w:eastAsia="Times New Roman" w:hAnsi="Times New Roman" w:cs="Times New Roman"/>
          <w:noProof/>
          <w:sz w:val="24"/>
        </w:rPr>
        <w:footnoteReference w:id="23"/>
      </w:r>
      <w:r>
        <w:rPr>
          <w:rFonts w:ascii="Times New Roman" w:hAnsi="Times New Roman"/>
          <w:noProof/>
          <w:sz w:val="24"/>
        </w:rPr>
        <w:t>. Toteutuskumppanin on ilmoitettava hallitukselle kaikista rajoituksista p</w:t>
      </w:r>
      <w:r>
        <w:rPr>
          <w:rFonts w:ascii="Times New Roman" w:hAnsi="Times New Roman"/>
          <w:noProof/>
          <w:sz w:val="24"/>
        </w:rPr>
        <w:t xml:space="preserve">oikkeamisesta.   </w:t>
      </w:r>
    </w:p>
    <w:p w14:paraId="2EFD2C81" w14:textId="51BC5F71" w:rsidR="000E48CE" w:rsidRDefault="00FF4C4E">
      <w:pPr>
        <w:pStyle w:val="P68B1DB1-ListParagraph7"/>
        <w:numPr>
          <w:ilvl w:val="1"/>
          <w:numId w:val="734"/>
        </w:numPr>
        <w:spacing w:line="240" w:lineRule="auto"/>
        <w:jc w:val="both"/>
        <w:rPr>
          <w:rFonts w:eastAsia="Times New Roman" w:cs="Times New Roman"/>
          <w:noProof/>
        </w:rPr>
      </w:pPr>
      <w:r>
        <w:rPr>
          <w:noProof/>
        </w:rPr>
        <w:t>Kaikkien tuettujen investointien on oltava taloudellisesti kannattavia.</w:t>
      </w:r>
    </w:p>
    <w:p w14:paraId="563AF7F0" w14:textId="0EB49510" w:rsidR="000E48CE" w:rsidRDefault="00FF4C4E">
      <w:pPr>
        <w:pStyle w:val="P68B1DB1-ListParagraph7"/>
        <w:numPr>
          <w:ilvl w:val="1"/>
          <w:numId w:val="734"/>
        </w:numPr>
        <w:spacing w:line="240" w:lineRule="auto"/>
        <w:jc w:val="both"/>
        <w:rPr>
          <w:rFonts w:eastAsia="Times New Roman" w:cs="Times New Roman"/>
          <w:noProof/>
        </w:rPr>
      </w:pPr>
      <w:r>
        <w:rPr>
          <w:noProof/>
        </w:rPr>
        <w:t xml:space="preserve">Kielto jälleenrahoittaa jäljellä olevia lainoja.  </w:t>
      </w:r>
    </w:p>
    <w:p w14:paraId="0A322070" w14:textId="022667E5" w:rsidR="000E48CE" w:rsidRDefault="00FF4C4E">
      <w:pPr>
        <w:pStyle w:val="P68B1DB1-ListParagraph7"/>
        <w:numPr>
          <w:ilvl w:val="1"/>
          <w:numId w:val="734"/>
        </w:numPr>
        <w:spacing w:line="240" w:lineRule="auto"/>
        <w:jc w:val="both"/>
        <w:rPr>
          <w:rFonts w:eastAsia="Times New Roman" w:cs="Times New Roman"/>
          <w:noProof/>
        </w:rPr>
      </w:pPr>
      <w:r>
        <w:rPr>
          <w:noProof/>
        </w:rPr>
        <w:t>Vaatimus noudattaa ”ei merkittävää haittaa” -periaatetta sellaisena kuin se on vahvistettu ”ei merkittävää haittaa”</w:t>
      </w:r>
      <w:r>
        <w:rPr>
          <w:noProof/>
        </w:rPr>
        <w:t xml:space="preserve"> -periaatetta koskevissa teknisissä ohjeissa (2021/C58/01), erityisesti: </w:t>
      </w:r>
      <w:bookmarkStart w:id="19" w:name="_Hlk145599269"/>
    </w:p>
    <w:p w14:paraId="257C51EC" w14:textId="41476553" w:rsidR="000E48CE" w:rsidRDefault="00FF4C4E">
      <w:pPr>
        <w:pStyle w:val="ListParagraph"/>
        <w:numPr>
          <w:ilvl w:val="2"/>
          <w:numId w:val="734"/>
        </w:numPr>
        <w:jc w:val="both"/>
        <w:rPr>
          <w:rFonts w:ascii="Times New Roman" w:eastAsia="Times New Roman" w:hAnsi="Times New Roman" w:cs="Times New Roman"/>
          <w:noProof/>
          <w:sz w:val="24"/>
        </w:rPr>
      </w:pPr>
      <w:r>
        <w:rPr>
          <w:rFonts w:ascii="Times New Roman" w:hAnsi="Times New Roman"/>
          <w:noProof/>
          <w:sz w:val="24"/>
        </w:rPr>
        <w:t>Lainojen, hankejoukkolainojen tai vastaavien välineiden osalta: investointipolitiikassa on jätettävä tukikelpoisuuden ulkopuolelle seuraava luettelo toiminnoista ja omaisuuseristä: (</w:t>
      </w:r>
      <w:r>
        <w:rPr>
          <w:rFonts w:ascii="Times New Roman" w:hAnsi="Times New Roman"/>
          <w:noProof/>
          <w:sz w:val="24"/>
        </w:rPr>
        <w:t>I) fossiilisiin polttoaineisiin liittyvät toiminnot ja omaisuuserät, mukaan lukien jatkokäyttö</w:t>
      </w:r>
      <w:r>
        <w:rPr>
          <w:rStyle w:val="FootnoteReference"/>
          <w:rFonts w:ascii="Times New Roman" w:eastAsia="Times New Roman" w:hAnsi="Times New Roman" w:cs="Times New Roman"/>
          <w:noProof/>
          <w:sz w:val="24"/>
        </w:rPr>
        <w:footnoteReference w:id="24"/>
      </w:r>
      <w:r>
        <w:rPr>
          <w:rFonts w:ascii="Times New Roman" w:hAnsi="Times New Roman"/>
          <w:noProof/>
          <w:sz w:val="24"/>
        </w:rPr>
        <w:t>, ii) EU:n päästökauppajärjestelmään kuuluvat toiminnot ja omaisuuserät, joilla saavutetaan ennustetut kasvihuonekaasupäästöt, jotka eivät alita asiaankuuluvia v</w:t>
      </w:r>
      <w:r>
        <w:rPr>
          <w:rFonts w:ascii="Times New Roman" w:hAnsi="Times New Roman"/>
          <w:noProof/>
          <w:sz w:val="24"/>
        </w:rPr>
        <w:t>ertailuarvoja</w:t>
      </w:r>
      <w:r>
        <w:rPr>
          <w:rStyle w:val="FootnoteReference"/>
          <w:rFonts w:ascii="Times New Roman" w:eastAsia="Times New Roman" w:hAnsi="Times New Roman" w:cs="Times New Roman"/>
          <w:noProof/>
          <w:sz w:val="24"/>
        </w:rPr>
        <w:footnoteReference w:id="25"/>
      </w:r>
      <w:r>
        <w:rPr>
          <w:rFonts w:ascii="Times New Roman" w:hAnsi="Times New Roman"/>
          <w:noProof/>
          <w:sz w:val="24"/>
        </w:rPr>
        <w:t xml:space="preserve">, </w:t>
      </w:r>
      <w:bookmarkStart w:id="20" w:name="_Hlk145696282"/>
      <w:r>
        <w:rPr>
          <w:rFonts w:ascii="Times New Roman" w:hAnsi="Times New Roman"/>
          <w:noProof/>
          <w:sz w:val="24"/>
        </w:rPr>
        <w:t xml:space="preserve">iii) kaatopaikkoihin, polttolaitoksiin ja mekaanisiin biologisiin </w:t>
      </w:r>
      <w:r>
        <w:rPr>
          <w:rFonts w:ascii="Times New Roman" w:hAnsi="Times New Roman"/>
          <w:noProof/>
        </w:rPr>
        <w:t>käsittelylaitoksiin liittyvät toiminnot</w:t>
      </w:r>
      <w:r>
        <w:rPr>
          <w:rStyle w:val="FootnoteReference"/>
          <w:rFonts w:ascii="Times New Roman" w:eastAsia="Times New Roman" w:hAnsi="Times New Roman" w:cs="Times New Roman"/>
          <w:noProof/>
          <w:sz w:val="24"/>
        </w:rPr>
        <w:footnoteReference w:id="26"/>
      </w:r>
      <w:r>
        <w:rPr>
          <w:rFonts w:ascii="Times New Roman" w:hAnsi="Times New Roman"/>
          <w:noProof/>
        </w:rPr>
        <w:t xml:space="preserve"> ja omaisuus</w:t>
      </w:r>
      <w:r>
        <w:rPr>
          <w:rStyle w:val="FootnoteReference"/>
          <w:rFonts w:ascii="Times New Roman" w:hAnsi="Times New Roman" w:cs="Times New Roman"/>
          <w:noProof/>
        </w:rPr>
        <w:footnoteReference w:id="27"/>
      </w:r>
      <w:r>
        <w:rPr>
          <w:rFonts w:ascii="Times New Roman" w:hAnsi="Times New Roman"/>
          <w:noProof/>
        </w:rPr>
        <w:t xml:space="preserve">. </w:t>
      </w:r>
      <w:bookmarkEnd w:id="20"/>
    </w:p>
    <w:p w14:paraId="62379C76" w14:textId="3AE7FE1B" w:rsidR="000E48CE" w:rsidRDefault="00FF4C4E">
      <w:pPr>
        <w:pStyle w:val="ListParagraph"/>
        <w:numPr>
          <w:ilvl w:val="2"/>
          <w:numId w:val="734"/>
        </w:numPr>
        <w:jc w:val="both"/>
        <w:rPr>
          <w:rFonts w:ascii="Times New Roman" w:eastAsia="Times New Roman" w:hAnsi="Times New Roman" w:cs="Times New Roman"/>
          <w:noProof/>
          <w:sz w:val="24"/>
        </w:rPr>
      </w:pPr>
      <w:bookmarkStart w:id="21" w:name="_Hlk145612965"/>
      <w:r>
        <w:rPr>
          <w:rFonts w:ascii="Times New Roman" w:hAnsi="Times New Roman"/>
          <w:noProof/>
          <w:sz w:val="24"/>
        </w:rPr>
        <w:t xml:space="preserve">Oman pääoman ehtoisten, oman pääoman luonteisten instrumenttien, yritysjoukkolainojen tai vastaavien instrumenttien </w:t>
      </w:r>
      <w:r>
        <w:rPr>
          <w:rFonts w:ascii="Times New Roman" w:hAnsi="Times New Roman"/>
          <w:noProof/>
          <w:sz w:val="24"/>
        </w:rPr>
        <w:t>osalta: sijoituspolitiikassa on edellytettävä, että yritykset hyväksyvät vihreää siirtymää koskevat suunnitelmat direktiivin 2013/34/EU 19 a artiklan 2 kohdan a alakohdan iii alakohdan määritelmän mukaisesti,</w:t>
      </w:r>
      <w:r>
        <w:rPr>
          <w:rStyle w:val="FootnoteReference"/>
          <w:rFonts w:ascii="Times New Roman" w:eastAsia="Times New Roman" w:hAnsi="Times New Roman" w:cs="Times New Roman"/>
          <w:noProof/>
          <w:sz w:val="24"/>
        </w:rPr>
        <w:footnoteReference w:id="28"/>
      </w:r>
      <w:r>
        <w:rPr>
          <w:rFonts w:ascii="Times New Roman" w:hAnsi="Times New Roman"/>
          <w:noProof/>
          <w:sz w:val="24"/>
        </w:rPr>
        <w:t xml:space="preserve"> jos yli 50 prosenttia niiden edellisen tilikau</w:t>
      </w:r>
      <w:r>
        <w:rPr>
          <w:rFonts w:ascii="Times New Roman" w:hAnsi="Times New Roman"/>
          <w:noProof/>
          <w:sz w:val="24"/>
        </w:rPr>
        <w:t>den suorista tuloista on peräisin seuraavasta toimintojen ja varojen luettelosta: (I) fossiilisiin polttoaineisiin liittyvät toiminnot ja omaisuuserät, mukaan lukien jatkokäyttö</w:t>
      </w:r>
      <w:r>
        <w:rPr>
          <w:rStyle w:val="FootnoteReference"/>
          <w:rFonts w:ascii="Times New Roman" w:eastAsia="Times New Roman" w:hAnsi="Times New Roman" w:cs="Times New Roman"/>
          <w:noProof/>
          <w:sz w:val="24"/>
        </w:rPr>
        <w:footnoteReference w:id="29"/>
      </w:r>
      <w:r>
        <w:rPr>
          <w:rFonts w:ascii="Times New Roman" w:hAnsi="Times New Roman"/>
          <w:noProof/>
          <w:sz w:val="24"/>
        </w:rPr>
        <w:t>, ii) EU:n päästökauppajärjestelmään kuuluvat toiminnot ja omaisuuserät, joill</w:t>
      </w:r>
      <w:r>
        <w:rPr>
          <w:rFonts w:ascii="Times New Roman" w:hAnsi="Times New Roman"/>
          <w:noProof/>
          <w:sz w:val="24"/>
        </w:rPr>
        <w:t>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30"/>
      </w:r>
      <w:r>
        <w:rPr>
          <w:rFonts w:ascii="Times New Roman" w:hAnsi="Times New Roman"/>
          <w:noProof/>
          <w:sz w:val="24"/>
        </w:rPr>
        <w:t>, iii) kaatopaikkoihin, polttolaitoksiin ja mekaanisiin biologisiin käsittelylaitoksiin liittyvät toiminnot</w:t>
      </w:r>
      <w:r>
        <w:rPr>
          <w:rStyle w:val="FootnoteReference"/>
          <w:rFonts w:ascii="Times New Roman" w:eastAsia="Times New Roman" w:hAnsi="Times New Roman" w:cs="Times New Roman"/>
          <w:noProof/>
          <w:sz w:val="24"/>
        </w:rPr>
        <w:footnoteReference w:id="31"/>
      </w:r>
      <w:r>
        <w:rPr>
          <w:rFonts w:ascii="Times New Roman" w:hAnsi="Times New Roman"/>
          <w:noProof/>
          <w:sz w:val="24"/>
        </w:rPr>
        <w:t xml:space="preserve"> ja omaisuus</w:t>
      </w:r>
      <w:r>
        <w:rPr>
          <w:rStyle w:val="FootnoteReference"/>
          <w:rFonts w:ascii="Times New Roman" w:eastAsia="Times New Roman" w:hAnsi="Times New Roman" w:cs="Times New Roman"/>
          <w:noProof/>
          <w:sz w:val="24"/>
        </w:rPr>
        <w:footnoteReference w:id="32"/>
      </w:r>
      <w:r>
        <w:rPr>
          <w:rFonts w:ascii="Times New Roman" w:hAnsi="Times New Roman"/>
          <w:noProof/>
          <w:sz w:val="24"/>
        </w:rPr>
        <w:t xml:space="preserve">. </w:t>
      </w:r>
    </w:p>
    <w:bookmarkEnd w:id="21"/>
    <w:p w14:paraId="77963A6E" w14:textId="2BC8F4B7" w:rsidR="000E48CE" w:rsidRDefault="00FF4C4E">
      <w:pPr>
        <w:pStyle w:val="P68B1DB1-ListParagraph7"/>
        <w:numPr>
          <w:ilvl w:val="2"/>
          <w:numId w:val="734"/>
        </w:numPr>
        <w:rPr>
          <w:rFonts w:eastAsia="Times New Roman" w:cs="Times New Roman"/>
          <w:noProof/>
        </w:rPr>
      </w:pPr>
      <w:r>
        <w:rPr>
          <w:noProof/>
        </w:rPr>
        <w:t xml:space="preserve">Lisäksi investointipolitiikassa on </w:t>
      </w:r>
      <w:r>
        <w:rPr>
          <w:noProof/>
        </w:rPr>
        <w:t>edellytettävä tukivälineen lopullisten edunsaajien asiaankuuluvan EU:n ja kansallisen ympäristölainsäädännön noudattamista.</w:t>
      </w:r>
    </w:p>
    <w:p w14:paraId="5AFDB985" w14:textId="2BC8F4B7" w:rsidR="000E48CE" w:rsidRDefault="00FF4C4E">
      <w:pPr>
        <w:pStyle w:val="P68B1DB1-ListParagraph7"/>
        <w:numPr>
          <w:ilvl w:val="1"/>
          <w:numId w:val="734"/>
        </w:numPr>
        <w:rPr>
          <w:rFonts w:eastAsia="Times New Roman" w:cs="Times New Roman"/>
          <w:noProof/>
        </w:rPr>
      </w:pPr>
      <w:r>
        <w:rPr>
          <w:noProof/>
        </w:rPr>
        <w:t>Vaatimus, jonka mukaan lainajärjestelyn lopulliset edunsaajat eivät saa tukea muista unionin välineistä samojen kustannusten kattami</w:t>
      </w:r>
      <w:r>
        <w:rPr>
          <w:noProof/>
        </w:rPr>
        <w:t>seksi.</w:t>
      </w:r>
    </w:p>
    <w:p w14:paraId="412A05D5" w14:textId="50E0CC3A" w:rsidR="000E48CE" w:rsidRDefault="00FF4C4E">
      <w:pPr>
        <w:pStyle w:val="P68B1DB1-ListParagraph7"/>
        <w:numPr>
          <w:ilvl w:val="0"/>
          <w:numId w:val="734"/>
        </w:numPr>
        <w:rPr>
          <w:rFonts w:eastAsia="Times New Roman" w:cs="Times New Roman"/>
          <w:noProof/>
        </w:rPr>
      </w:pPr>
      <w:r>
        <w:rPr>
          <w:noProof/>
        </w:rPr>
        <w:t>Asetuksen ja siihen liittyvien tukivälineen perustamista koskevien asiakirjojen kattama määrä, toteutuskumppanin maksurakenne ja vaatimus sijoittaa takaisin saadut varat tukivälineen investointipolitiikan mukaisesti, paitsi jos niitä käytetään elpym</w:t>
      </w:r>
      <w:r>
        <w:rPr>
          <w:noProof/>
        </w:rPr>
        <w:t>is- ja palautumistukivälineen lainojen takaisinmaksujen hoitamiseen.</w:t>
      </w:r>
    </w:p>
    <w:p w14:paraId="042E9FE3" w14:textId="2BC8F4B7" w:rsidR="000E48CE" w:rsidRDefault="00FF4C4E">
      <w:pPr>
        <w:pStyle w:val="P68B1DB1-ListParagraph7"/>
        <w:numPr>
          <w:ilvl w:val="0"/>
          <w:numId w:val="734"/>
        </w:numPr>
        <w:rPr>
          <w:rFonts w:eastAsia="Times New Roman" w:cs="Times New Roman"/>
          <w:noProof/>
        </w:rPr>
      </w:pPr>
      <w:r>
        <w:rPr>
          <w:noProof/>
        </w:rPr>
        <w:t>Seuranta-, auditointi- ja valvontavaatimukset, mukaan lukien</w:t>
      </w:r>
    </w:p>
    <w:p w14:paraId="0BB88356" w14:textId="2BC8F4B7" w:rsidR="000E48CE" w:rsidRDefault="00FF4C4E">
      <w:pPr>
        <w:pStyle w:val="P68B1DB1-ListParagraph7"/>
        <w:numPr>
          <w:ilvl w:val="1"/>
          <w:numId w:val="734"/>
        </w:numPr>
        <w:rPr>
          <w:rFonts w:eastAsia="Times New Roman" w:cs="Times New Roman"/>
          <w:noProof/>
        </w:rPr>
      </w:pPr>
      <w:r>
        <w:rPr>
          <w:noProof/>
        </w:rPr>
        <w:t>Kuvaus toteutuskumppanin seurantajärjestelmästä, jolla raportoidaan liikkeelle saaduista investoinneista.</w:t>
      </w:r>
    </w:p>
    <w:p w14:paraId="409332BD" w14:textId="1D181889" w:rsidR="000E48CE" w:rsidRDefault="00FF4C4E">
      <w:pPr>
        <w:pStyle w:val="P68B1DB1-ListParagraph7"/>
        <w:numPr>
          <w:ilvl w:val="1"/>
          <w:numId w:val="734"/>
        </w:numPr>
        <w:rPr>
          <w:rFonts w:eastAsia="Times New Roman" w:cs="Times New Roman"/>
          <w:noProof/>
        </w:rPr>
      </w:pPr>
      <w:r>
        <w:rPr>
          <w:noProof/>
        </w:rPr>
        <w:t>Kuvaus toteutuskumpp</w:t>
      </w:r>
      <w:r>
        <w:rPr>
          <w:noProof/>
        </w:rPr>
        <w:t xml:space="preserve">anin menettelyistä, joilla varmistetaan petosten, lahjonnan ja eturistiriitojen ehkäiseminen, havaitseminen ja korjaaminen. </w:t>
      </w:r>
    </w:p>
    <w:p w14:paraId="6A0E54D9" w14:textId="2BC8F4B7" w:rsidR="000E48CE" w:rsidRDefault="00FF4C4E">
      <w:pPr>
        <w:pStyle w:val="P68B1DB1-ListParagraph7"/>
        <w:numPr>
          <w:ilvl w:val="1"/>
          <w:numId w:val="734"/>
        </w:numPr>
        <w:rPr>
          <w:rFonts w:eastAsia="Times New Roman" w:cs="Times New Roman"/>
          <w:noProof/>
        </w:rPr>
      </w:pPr>
      <w:r>
        <w:rPr>
          <w:noProof/>
        </w:rPr>
        <w:t>Velvoite tarkistaa jokaisen toimen tukikelpoisuus täytäntöönpanosopimuksessa vahvistettujen vaatimusten mukaisesti ennen kuin se si</w:t>
      </w:r>
      <w:r>
        <w:rPr>
          <w:noProof/>
        </w:rPr>
        <w:t>toutuu rahoittamaan toimea.</w:t>
      </w:r>
    </w:p>
    <w:p w14:paraId="42DA0104" w14:textId="56D387C0" w:rsidR="000E48CE" w:rsidRDefault="00FF4C4E">
      <w:pPr>
        <w:pStyle w:val="P68B1DB1-ListParagraph7"/>
        <w:numPr>
          <w:ilvl w:val="1"/>
          <w:numId w:val="734"/>
        </w:numPr>
        <w:rPr>
          <w:rFonts w:eastAsia="Times New Roman" w:cs="Times New Roman"/>
          <w:noProof/>
        </w:rPr>
      </w:pPr>
      <w:r>
        <w:rPr>
          <w:noProof/>
        </w:rPr>
        <w:t>Velvollisuus suorittaa riskiperusteisia jälkitarkastuksia SEPIDESin tarkastussuunnitelman mukaisesti. Näillä tarkastuksilla on varmistettava i) valvontajärjestelmien tehokkuus, mukaan lukien petosten, lahjonnan ja eturistiriitoj</w:t>
      </w:r>
      <w:r>
        <w:rPr>
          <w:noProof/>
        </w:rPr>
        <w:t>en havaitseminen; ”ei merkittävää haittaa” -periaatteen, valtiontukisääntöjen sekä ilmastotavoitteita ja digitaalisia tavoitteita koskevien vaatimusten noudattaminen; ja iii) että noudatetaan vaatimusta, jonka mukaan välittäjän on todennettava, että lopull</w:t>
      </w:r>
      <w:r>
        <w:rPr>
          <w:noProof/>
        </w:rPr>
        <w:t>inen tuensaaja esittää vastuullisen ilmoituksen sen valvomiseksi, katetaanko samat kustannukset toisesta unionin välineestä.   Tarkastuksissa on myös varmistettava tapahtumien laillisuus ja se, että tukivälinettä ja rahoitussopimuksia koskevan asetuksen ja</w:t>
      </w:r>
      <w:r>
        <w:rPr>
          <w:noProof/>
        </w:rPr>
        <w:t xml:space="preserve"> siihen liittyvien asiakirjojen ehtoja noudatetaan. </w:t>
      </w:r>
    </w:p>
    <w:p w14:paraId="76700374" w14:textId="3A118CB2" w:rsidR="000E48CE" w:rsidRDefault="00FF4C4E">
      <w:pPr>
        <w:pStyle w:val="P68B1DB1-ListParagraph7"/>
        <w:numPr>
          <w:ilvl w:val="0"/>
          <w:numId w:val="734"/>
        </w:numPr>
        <w:rPr>
          <w:rFonts w:eastAsia="Times New Roman" w:cs="Times New Roman"/>
          <w:noProof/>
        </w:rPr>
      </w:pPr>
      <w:r>
        <w:rPr>
          <w:noProof/>
        </w:rPr>
        <w:t>Rahoituksen välittäjien valintaa koskevat vaatimukset: SEPIDES valitsee rahoituksen välittäjät avoimella, läpinäkyvällä ja syrjimättömällä tavalla. Rahoituksenvälittäjien eturistiriitojen puuttumista kos</w:t>
      </w:r>
      <w:r>
        <w:rPr>
          <w:noProof/>
        </w:rPr>
        <w:t xml:space="preserve">kevat tarkastukset on suoritettava etukäteen kaikkien rahoitusalan toimijoiden osalta Minervan kaltaisen tietoteknisen järjestelmän kautta.  </w:t>
      </w:r>
    </w:p>
    <w:p w14:paraId="64409DA5" w14:textId="4096CEFE" w:rsidR="000E48CE" w:rsidRDefault="00FF4C4E">
      <w:pPr>
        <w:pStyle w:val="P68B1DB1-ListParagraph7"/>
        <w:numPr>
          <w:ilvl w:val="0"/>
          <w:numId w:val="734"/>
        </w:numPr>
        <w:rPr>
          <w:rFonts w:eastAsia="Times New Roman" w:cs="Times New Roman"/>
          <w:noProof/>
        </w:rPr>
      </w:pPr>
      <w:r>
        <w:rPr>
          <w:noProof/>
        </w:rPr>
        <w:t xml:space="preserve">Rahoitussopimusten allekirjoittaminen: </w:t>
      </w:r>
      <w:bookmarkStart w:id="22" w:name="_Hlk145660075"/>
      <w:r>
        <w:rPr>
          <w:noProof/>
        </w:rPr>
        <w:t>SEPIDES allekirjoittaa rahoituksen välittäjien kanssa rahoitussopimukset ni</w:t>
      </w:r>
      <w:r>
        <w:rPr>
          <w:noProof/>
        </w:rPr>
        <w:t>iden keskeisten vaatimusten mukaisesti, jotka esitetään osana lainajärjestelyn perustamisasiakirjoja.</w:t>
      </w:r>
      <w:bookmarkEnd w:id="22"/>
      <w:r>
        <w:rPr>
          <w:noProof/>
        </w:rPr>
        <w:t xml:space="preserve"> Rahoitussopimuksen keskeisiin vaatimuksiin on sisällyttävä kaikki vaatimukset, joiden mukaisesti lainajärjestely toimii, mukaan lukien seuraavat:  </w:t>
      </w:r>
    </w:p>
    <w:p w14:paraId="1989935B" w14:textId="2BC8F4B7" w:rsidR="000E48CE" w:rsidRDefault="00FF4C4E">
      <w:pPr>
        <w:pStyle w:val="P68B1DB1-ListParagraph7"/>
        <w:numPr>
          <w:ilvl w:val="1"/>
          <w:numId w:val="734"/>
        </w:numPr>
        <w:rPr>
          <w:rFonts w:eastAsia="Times New Roman" w:cs="Times New Roman"/>
          <w:noProof/>
        </w:rPr>
      </w:pPr>
      <w:r>
        <w:rPr>
          <w:noProof/>
        </w:rPr>
        <w:t>Rahoit</w:t>
      </w:r>
      <w:r>
        <w:rPr>
          <w:noProof/>
        </w:rPr>
        <w:t xml:space="preserve">uksen välittäjän velvollisuus tehdä päätöksensä noudattaen </w:t>
      </w:r>
      <w:r>
        <w:rPr>
          <w:i/>
          <w:noProof/>
        </w:rPr>
        <w:t>soveltuvin osin</w:t>
      </w:r>
      <w:r>
        <w:rPr>
          <w:noProof/>
        </w:rPr>
        <w:t xml:space="preserve"> edellä täsmennettyjä päätöksentekoa ja sijoituspolitiikkaa koskevia vaatimuksia, mukaan lukien ”ei merkittävää haittaa” -periaatteen noudattaminen. </w:t>
      </w:r>
    </w:p>
    <w:p w14:paraId="6539DE4B" w14:textId="2BC8F4B7" w:rsidR="000E48CE" w:rsidRDefault="00FF4C4E">
      <w:pPr>
        <w:pStyle w:val="P68B1DB1-ListParagraph7"/>
        <w:numPr>
          <w:ilvl w:val="1"/>
          <w:numId w:val="734"/>
        </w:numPr>
        <w:rPr>
          <w:rFonts w:eastAsia="Times New Roman" w:cs="Times New Roman"/>
          <w:noProof/>
        </w:rPr>
      </w:pPr>
      <w:r>
        <w:rPr>
          <w:noProof/>
        </w:rPr>
        <w:t xml:space="preserve">Kuvaus seuranta-, tarkastus- ja </w:t>
      </w:r>
      <w:r>
        <w:rPr>
          <w:noProof/>
        </w:rPr>
        <w:t xml:space="preserve">valvontakehyksestä, joka rahoituksen välittäjän on otettava käyttöön ja johon </w:t>
      </w:r>
      <w:r>
        <w:rPr>
          <w:i/>
          <w:noProof/>
        </w:rPr>
        <w:t>sovelletaan soveltuvin osin</w:t>
      </w:r>
      <w:r>
        <w:rPr>
          <w:noProof/>
        </w:rPr>
        <w:t xml:space="preserve"> kaikkia edellä määriteltyjä seuranta-, tarkastus- ja valvontavaatimuksia.  </w:t>
      </w:r>
    </w:p>
    <w:p w14:paraId="41DA3C74" w14:textId="544F9D56" w:rsidR="000E48CE" w:rsidRDefault="00FF4C4E">
      <w:pPr>
        <w:pStyle w:val="P68B1DB1-ListParagraph7"/>
        <w:ind w:left="0"/>
        <w:rPr>
          <w:rFonts w:eastAsia="Times New Roman" w:cs="Times New Roman"/>
          <w:noProof/>
        </w:rPr>
      </w:pPr>
      <w:r>
        <w:rPr>
          <w:noProof/>
        </w:rPr>
        <w:t>Toimenpiteen täytäntöönpano on saatettava päätökseen viimeistään 31 päivän</w:t>
      </w:r>
      <w:r>
        <w:rPr>
          <w:noProof/>
        </w:rPr>
        <w:t>ä elokuuta 2026.</w:t>
      </w:r>
    </w:p>
    <w:bookmarkEnd w:id="19"/>
    <w:p w14:paraId="524E8F38" w14:textId="77777777" w:rsidR="000E48CE" w:rsidRDefault="00FF4C4E">
      <w:pPr>
        <w:pStyle w:val="P68B1DB1-Normal5"/>
        <w:spacing w:line="240" w:lineRule="auto"/>
        <w:ind w:left="720"/>
        <w:rPr>
          <w:rFonts w:cs="Times New Roman"/>
          <w:noProof/>
        </w:rPr>
      </w:pPr>
      <w:r>
        <w:rPr>
          <w:noProof/>
        </w:rPr>
        <w:t xml:space="preserve">K.4 </w:t>
      </w:r>
      <w:r>
        <w:rPr>
          <w:noProof/>
        </w:rPr>
        <w:tab/>
        <w:t>Lainatuen seurannan ja täytäntöönpanon välitavoitteet, tavoitteet, indikaattorit ja aikataulu</w:t>
      </w:r>
    </w:p>
    <w:p w14:paraId="2AD937C7" w14:textId="418509D2" w:rsidR="000E48CE" w:rsidRDefault="00FF4C4E">
      <w:pPr>
        <w:pStyle w:val="P68B1DB1-Normal18"/>
        <w:spacing w:line="240" w:lineRule="auto"/>
        <w:rPr>
          <w:rFonts w:cs="Times New Roman"/>
          <w:noProof/>
        </w:rPr>
      </w:pPr>
      <w:r>
        <w:rPr>
          <w:noProof/>
        </w:rPr>
        <w:t xml:space="preserve">Ks. taulukko jäljempänä. Kaikkien indikaattoreiden peruspäivä on 1. helmikuuta 2020, ellei toimen kuvauksessa toisin mainita. Alaluokkaa L17 koskevassa taulukossa olevat määrät eivät sisällä arvonlisäveroa. </w:t>
      </w:r>
    </w:p>
    <w:p w14:paraId="6A3D9E5D" w14:textId="77777777" w:rsidR="000E48CE" w:rsidRDefault="000E48CE">
      <w:pPr>
        <w:spacing w:before="120" w:after="120" w:line="240" w:lineRule="auto"/>
        <w:jc w:val="both"/>
        <w:rPr>
          <w:rStyle w:val="eop"/>
          <w:rFonts w:ascii="Times New Roman" w:hAnsi="Times New Roman" w:cs="Times New Roman"/>
          <w:noProof/>
          <w:shd w:val="clear" w:color="auto" w:fill="FFFFFF"/>
        </w:rPr>
        <w:sectPr w:rsidR="000E48CE" w:rsidSect="00EB7CC8">
          <w:headerReference w:type="even" r:id="rId234"/>
          <w:headerReference w:type="default" r:id="rId235"/>
          <w:footerReference w:type="even" r:id="rId236"/>
          <w:footerReference w:type="default" r:id="rId237"/>
          <w:headerReference w:type="first" r:id="rId238"/>
          <w:footerReference w:type="first" r:id="rId239"/>
          <w:pgSz w:w="11907" w:h="16839"/>
          <w:pgMar w:top="1134" w:right="1417" w:bottom="1134" w:left="1417" w:header="709" w:footer="709" w:gutter="0"/>
          <w:cols w:space="720"/>
          <w:docGrid w:linePitch="360"/>
        </w:sectPr>
      </w:pPr>
    </w:p>
    <w:tbl>
      <w:tblPr>
        <w:tblW w:w="1527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7"/>
        <w:gridCol w:w="837"/>
        <w:gridCol w:w="836"/>
        <w:gridCol w:w="2685"/>
        <w:gridCol w:w="1358"/>
        <w:gridCol w:w="698"/>
        <w:gridCol w:w="698"/>
        <w:gridCol w:w="913"/>
        <w:gridCol w:w="419"/>
        <w:gridCol w:w="827"/>
        <w:gridCol w:w="5165"/>
      </w:tblGrid>
      <w:tr w:rsidR="000E48CE" w14:paraId="2616F5E1" w14:textId="77777777">
        <w:trPr>
          <w:trHeight w:val="309"/>
          <w:tblHeader/>
        </w:trPr>
        <w:tc>
          <w:tcPr>
            <w:tcW w:w="837" w:type="dxa"/>
            <w:vMerge w:val="restart"/>
            <w:shd w:val="clear" w:color="auto" w:fill="C6D9F1" w:themeFill="text2" w:themeFillTint="33"/>
            <w:noWrap/>
            <w:vAlign w:val="center"/>
          </w:tcPr>
          <w:p w14:paraId="3AD07B5D" w14:textId="77777777" w:rsidR="000E48CE" w:rsidRDefault="00FF4C4E">
            <w:pPr>
              <w:pStyle w:val="P68B1DB1-Normal12"/>
              <w:spacing w:after="0" w:line="240" w:lineRule="auto"/>
              <w:jc w:val="center"/>
              <w:rPr>
                <w:rFonts w:cs="Times New Roman"/>
                <w:noProof/>
              </w:rPr>
            </w:pPr>
            <w:r>
              <w:rPr>
                <w:noProof/>
              </w:rPr>
              <w:t>Määrä</w:t>
            </w:r>
          </w:p>
        </w:tc>
        <w:tc>
          <w:tcPr>
            <w:tcW w:w="837" w:type="dxa"/>
            <w:vMerge w:val="restart"/>
            <w:shd w:val="clear" w:color="auto" w:fill="C6D9F1" w:themeFill="text2" w:themeFillTint="33"/>
            <w:noWrap/>
            <w:vAlign w:val="center"/>
          </w:tcPr>
          <w:p w14:paraId="6B19678A" w14:textId="77777777" w:rsidR="000E48CE" w:rsidRDefault="00FF4C4E">
            <w:pPr>
              <w:pStyle w:val="P68B1DB1-Normal12"/>
              <w:spacing w:after="0" w:line="240" w:lineRule="auto"/>
              <w:jc w:val="center"/>
              <w:rPr>
                <w:rFonts w:cs="Times New Roman"/>
                <w:noProof/>
              </w:rPr>
            </w:pPr>
            <w:r>
              <w:rPr>
                <w:noProof/>
              </w:rPr>
              <w:t>Toimenpide</w:t>
            </w:r>
          </w:p>
        </w:tc>
        <w:tc>
          <w:tcPr>
            <w:tcW w:w="836" w:type="dxa"/>
            <w:vMerge w:val="restart"/>
            <w:shd w:val="clear" w:color="auto" w:fill="C6D9F1" w:themeFill="text2" w:themeFillTint="33"/>
            <w:noWrap/>
            <w:vAlign w:val="center"/>
          </w:tcPr>
          <w:p w14:paraId="48A60148" w14:textId="77777777" w:rsidR="000E48CE" w:rsidRDefault="00FF4C4E">
            <w:pPr>
              <w:pStyle w:val="P68B1DB1-Normal13"/>
              <w:spacing w:after="0" w:line="240" w:lineRule="auto"/>
              <w:jc w:val="center"/>
              <w:rPr>
                <w:rFonts w:cs="Times New Roman"/>
                <w:b/>
                <w:noProof/>
              </w:rPr>
            </w:pPr>
            <w:r>
              <w:rPr>
                <w:b/>
                <w:noProof/>
              </w:rPr>
              <w:t>Välitavoite</w:t>
            </w:r>
            <w:r>
              <w:rPr>
                <w:noProof/>
              </w:rPr>
              <w:br/>
            </w:r>
            <w:r>
              <w:rPr>
                <w:b/>
                <w:noProof/>
              </w:rPr>
              <w:t xml:space="preserve"> /Kohde</w:t>
            </w:r>
          </w:p>
        </w:tc>
        <w:tc>
          <w:tcPr>
            <w:tcW w:w="2685" w:type="dxa"/>
            <w:vMerge w:val="restart"/>
            <w:shd w:val="clear" w:color="auto" w:fill="C6D9F1" w:themeFill="text2" w:themeFillTint="33"/>
            <w:noWrap/>
            <w:vAlign w:val="center"/>
          </w:tcPr>
          <w:p w14:paraId="238C1394" w14:textId="77777777" w:rsidR="000E48CE" w:rsidRDefault="00FF4C4E">
            <w:pPr>
              <w:pStyle w:val="P68B1DB1-Normal12"/>
              <w:spacing w:after="0" w:line="240" w:lineRule="auto"/>
              <w:jc w:val="center"/>
              <w:rPr>
                <w:rFonts w:cs="Times New Roman"/>
                <w:noProof/>
              </w:rPr>
            </w:pPr>
            <w:r>
              <w:rPr>
                <w:noProof/>
              </w:rPr>
              <w:t>Nimi</w:t>
            </w:r>
          </w:p>
        </w:tc>
        <w:tc>
          <w:tcPr>
            <w:tcW w:w="1358" w:type="dxa"/>
            <w:vMerge w:val="restart"/>
            <w:shd w:val="clear" w:color="auto" w:fill="C6D9F1" w:themeFill="text2" w:themeFillTint="33"/>
            <w:noWrap/>
            <w:vAlign w:val="center"/>
          </w:tcPr>
          <w:p w14:paraId="4FD7E83C"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309" w:type="dxa"/>
            <w:gridSpan w:val="3"/>
            <w:shd w:val="clear" w:color="auto" w:fill="C6D9F1" w:themeFill="text2" w:themeFillTint="33"/>
            <w:noWrap/>
            <w:vAlign w:val="center"/>
          </w:tcPr>
          <w:p w14:paraId="28F52CFA"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246" w:type="dxa"/>
            <w:gridSpan w:val="2"/>
            <w:shd w:val="clear" w:color="auto" w:fill="C6D9F1" w:themeFill="text2" w:themeFillTint="33"/>
            <w:noWrap/>
            <w:vAlign w:val="center"/>
          </w:tcPr>
          <w:p w14:paraId="60CB2ADD" w14:textId="77777777" w:rsidR="000E48CE" w:rsidRDefault="00FF4C4E">
            <w:pPr>
              <w:pStyle w:val="P68B1DB1-Normal12"/>
              <w:spacing w:after="0" w:line="240" w:lineRule="auto"/>
              <w:jc w:val="center"/>
              <w:rPr>
                <w:rFonts w:cs="Times New Roman"/>
                <w:noProof/>
              </w:rPr>
            </w:pPr>
            <w:r>
              <w:rPr>
                <w:noProof/>
              </w:rPr>
              <w:t>Aika</w:t>
            </w:r>
          </w:p>
        </w:tc>
        <w:tc>
          <w:tcPr>
            <w:tcW w:w="5165" w:type="dxa"/>
            <w:vMerge w:val="restart"/>
            <w:shd w:val="clear" w:color="auto" w:fill="C6D9F1" w:themeFill="text2" w:themeFillTint="33"/>
            <w:noWrap/>
            <w:vAlign w:val="center"/>
          </w:tcPr>
          <w:p w14:paraId="6D385B64"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6E7F24D4" w14:textId="77777777">
        <w:trPr>
          <w:trHeight w:val="309"/>
          <w:tblHeader/>
        </w:trPr>
        <w:tc>
          <w:tcPr>
            <w:tcW w:w="837" w:type="dxa"/>
            <w:vMerge/>
            <w:shd w:val="clear" w:color="auto" w:fill="C6D9F1" w:themeFill="text2" w:themeFillTint="33"/>
            <w:noWrap/>
          </w:tcPr>
          <w:p w14:paraId="59E3779A" w14:textId="77777777" w:rsidR="000E48CE" w:rsidRDefault="000E48CE">
            <w:pPr>
              <w:spacing w:after="0" w:line="240" w:lineRule="auto"/>
              <w:jc w:val="center"/>
              <w:rPr>
                <w:rFonts w:ascii="Times New Roman" w:hAnsi="Times New Roman" w:cs="Times New Roman"/>
                <w:b/>
                <w:noProof/>
                <w:sz w:val="18"/>
              </w:rPr>
            </w:pPr>
          </w:p>
        </w:tc>
        <w:tc>
          <w:tcPr>
            <w:tcW w:w="837" w:type="dxa"/>
            <w:vMerge/>
            <w:shd w:val="clear" w:color="auto" w:fill="C6D9F1" w:themeFill="text2" w:themeFillTint="33"/>
            <w:noWrap/>
          </w:tcPr>
          <w:p w14:paraId="06703800" w14:textId="77777777" w:rsidR="000E48CE" w:rsidRDefault="000E48CE">
            <w:pPr>
              <w:spacing w:after="0" w:line="240" w:lineRule="auto"/>
              <w:jc w:val="center"/>
              <w:rPr>
                <w:rFonts w:ascii="Times New Roman" w:hAnsi="Times New Roman" w:cs="Times New Roman"/>
                <w:b/>
                <w:noProof/>
                <w:sz w:val="18"/>
              </w:rPr>
            </w:pPr>
          </w:p>
        </w:tc>
        <w:tc>
          <w:tcPr>
            <w:tcW w:w="836" w:type="dxa"/>
            <w:vMerge/>
            <w:shd w:val="clear" w:color="auto" w:fill="C6D9F1" w:themeFill="text2" w:themeFillTint="33"/>
            <w:noWrap/>
          </w:tcPr>
          <w:p w14:paraId="1A20FE71" w14:textId="77777777" w:rsidR="000E48CE" w:rsidRDefault="000E48CE">
            <w:pPr>
              <w:spacing w:after="0" w:line="240" w:lineRule="auto"/>
              <w:jc w:val="center"/>
              <w:rPr>
                <w:rFonts w:ascii="Times New Roman" w:hAnsi="Times New Roman" w:cs="Times New Roman"/>
                <w:b/>
                <w:noProof/>
                <w:sz w:val="18"/>
              </w:rPr>
            </w:pPr>
          </w:p>
        </w:tc>
        <w:tc>
          <w:tcPr>
            <w:tcW w:w="2685" w:type="dxa"/>
            <w:vMerge/>
            <w:shd w:val="clear" w:color="auto" w:fill="C6D9F1" w:themeFill="text2" w:themeFillTint="33"/>
            <w:noWrap/>
          </w:tcPr>
          <w:p w14:paraId="7ECDEF7E" w14:textId="77777777" w:rsidR="000E48CE" w:rsidRDefault="000E48CE">
            <w:pPr>
              <w:spacing w:after="0" w:line="240" w:lineRule="auto"/>
              <w:rPr>
                <w:rFonts w:ascii="Times New Roman" w:hAnsi="Times New Roman" w:cs="Times New Roman"/>
                <w:b/>
                <w:noProof/>
                <w:sz w:val="18"/>
              </w:rPr>
            </w:pPr>
          </w:p>
        </w:tc>
        <w:tc>
          <w:tcPr>
            <w:tcW w:w="1358" w:type="dxa"/>
            <w:vMerge/>
            <w:shd w:val="clear" w:color="auto" w:fill="C6D9F1" w:themeFill="text2" w:themeFillTint="33"/>
            <w:noWrap/>
          </w:tcPr>
          <w:p w14:paraId="3D69A8B0" w14:textId="77777777" w:rsidR="000E48CE" w:rsidRDefault="000E48CE">
            <w:pPr>
              <w:spacing w:after="0" w:line="240" w:lineRule="auto"/>
              <w:jc w:val="center"/>
              <w:rPr>
                <w:rFonts w:ascii="Times New Roman" w:hAnsi="Times New Roman" w:cs="Times New Roman"/>
                <w:b/>
                <w:noProof/>
                <w:sz w:val="18"/>
              </w:rPr>
            </w:pPr>
          </w:p>
        </w:tc>
        <w:tc>
          <w:tcPr>
            <w:tcW w:w="698" w:type="dxa"/>
            <w:shd w:val="clear" w:color="auto" w:fill="C6D9F1" w:themeFill="text2" w:themeFillTint="33"/>
            <w:noWrap/>
            <w:vAlign w:val="center"/>
          </w:tcPr>
          <w:p w14:paraId="197941C7" w14:textId="77777777" w:rsidR="000E48CE" w:rsidRDefault="00FF4C4E">
            <w:pPr>
              <w:pStyle w:val="P68B1DB1-Normal12"/>
              <w:spacing w:after="0" w:line="240" w:lineRule="auto"/>
              <w:jc w:val="center"/>
              <w:rPr>
                <w:rFonts w:cs="Times New Roman"/>
                <w:noProof/>
              </w:rPr>
            </w:pPr>
            <w:r>
              <w:rPr>
                <w:noProof/>
              </w:rPr>
              <w:t>Yksikkö</w:t>
            </w:r>
          </w:p>
        </w:tc>
        <w:tc>
          <w:tcPr>
            <w:tcW w:w="698" w:type="dxa"/>
            <w:shd w:val="clear" w:color="auto" w:fill="C6D9F1" w:themeFill="text2" w:themeFillTint="33"/>
            <w:noWrap/>
            <w:vAlign w:val="center"/>
          </w:tcPr>
          <w:p w14:paraId="5BDD40F7" w14:textId="77777777" w:rsidR="000E48CE" w:rsidRDefault="00FF4C4E">
            <w:pPr>
              <w:pStyle w:val="P68B1DB1-Normal12"/>
              <w:spacing w:after="0" w:line="240" w:lineRule="auto"/>
              <w:jc w:val="center"/>
              <w:rPr>
                <w:rFonts w:cs="Times New Roman"/>
                <w:noProof/>
              </w:rPr>
            </w:pPr>
            <w:r>
              <w:rPr>
                <w:noProof/>
              </w:rPr>
              <w:t>Perusviiva</w:t>
            </w:r>
          </w:p>
        </w:tc>
        <w:tc>
          <w:tcPr>
            <w:tcW w:w="913" w:type="dxa"/>
            <w:shd w:val="clear" w:color="auto" w:fill="C6D9F1" w:themeFill="text2" w:themeFillTint="33"/>
            <w:noWrap/>
            <w:vAlign w:val="center"/>
          </w:tcPr>
          <w:p w14:paraId="52121D1F" w14:textId="77777777" w:rsidR="000E48CE" w:rsidRDefault="00FF4C4E">
            <w:pPr>
              <w:pStyle w:val="P68B1DB1-Normal12"/>
              <w:spacing w:after="0" w:line="240" w:lineRule="auto"/>
              <w:jc w:val="center"/>
              <w:rPr>
                <w:rFonts w:cs="Times New Roman"/>
                <w:noProof/>
              </w:rPr>
            </w:pPr>
            <w:r>
              <w:rPr>
                <w:noProof/>
              </w:rPr>
              <w:t>Päämäärä</w:t>
            </w:r>
          </w:p>
        </w:tc>
        <w:tc>
          <w:tcPr>
            <w:tcW w:w="419" w:type="dxa"/>
            <w:shd w:val="clear" w:color="auto" w:fill="C6D9F1" w:themeFill="text2" w:themeFillTint="33"/>
            <w:noWrap/>
            <w:vAlign w:val="center"/>
          </w:tcPr>
          <w:p w14:paraId="1BF3FC7D" w14:textId="77777777" w:rsidR="000E48CE" w:rsidRDefault="00FF4C4E">
            <w:pPr>
              <w:pStyle w:val="P68B1DB1-Normal12"/>
              <w:spacing w:after="0" w:line="240" w:lineRule="auto"/>
              <w:jc w:val="center"/>
              <w:rPr>
                <w:rFonts w:cs="Times New Roman"/>
                <w:noProof/>
              </w:rPr>
            </w:pPr>
            <w:r>
              <w:rPr>
                <w:noProof/>
              </w:rPr>
              <w:t>Q</w:t>
            </w:r>
          </w:p>
        </w:tc>
        <w:tc>
          <w:tcPr>
            <w:tcW w:w="827" w:type="dxa"/>
            <w:shd w:val="clear" w:color="auto" w:fill="C6D9F1" w:themeFill="text2" w:themeFillTint="33"/>
            <w:noWrap/>
            <w:vAlign w:val="center"/>
          </w:tcPr>
          <w:p w14:paraId="7A2A1329" w14:textId="77777777" w:rsidR="000E48CE" w:rsidRDefault="00FF4C4E">
            <w:pPr>
              <w:pStyle w:val="P68B1DB1-Normal12"/>
              <w:spacing w:after="0" w:line="240" w:lineRule="auto"/>
              <w:jc w:val="center"/>
              <w:rPr>
                <w:rFonts w:cs="Times New Roman"/>
                <w:noProof/>
              </w:rPr>
            </w:pPr>
            <w:r>
              <w:rPr>
                <w:noProof/>
              </w:rPr>
              <w:t>Vuosi</w:t>
            </w:r>
          </w:p>
        </w:tc>
        <w:tc>
          <w:tcPr>
            <w:tcW w:w="5165" w:type="dxa"/>
            <w:vMerge/>
            <w:shd w:val="clear" w:color="auto" w:fill="C6D9F1" w:themeFill="text2" w:themeFillTint="33"/>
            <w:noWrap/>
          </w:tcPr>
          <w:p w14:paraId="3B2DFE3C" w14:textId="77777777" w:rsidR="000E48CE" w:rsidRDefault="000E48CE">
            <w:pPr>
              <w:spacing w:after="0" w:line="240" w:lineRule="auto"/>
              <w:rPr>
                <w:rFonts w:ascii="Times New Roman" w:hAnsi="Times New Roman" w:cs="Times New Roman"/>
                <w:b/>
                <w:noProof/>
                <w:sz w:val="18"/>
              </w:rPr>
            </w:pPr>
          </w:p>
        </w:tc>
      </w:tr>
      <w:tr w:rsidR="000E48CE" w14:paraId="563278B1" w14:textId="77777777">
        <w:trPr>
          <w:trHeight w:val="309"/>
        </w:trPr>
        <w:tc>
          <w:tcPr>
            <w:tcW w:w="837" w:type="dxa"/>
            <w:shd w:val="clear" w:color="auto" w:fill="C6EFCE"/>
            <w:noWrap/>
          </w:tcPr>
          <w:p w14:paraId="1EB4BB79" w14:textId="69640D2E" w:rsidR="000E48CE" w:rsidRDefault="00FF4C4E">
            <w:pPr>
              <w:pStyle w:val="P68B1DB1-Normal13"/>
              <w:spacing w:after="0" w:line="240" w:lineRule="auto"/>
              <w:jc w:val="center"/>
              <w:rPr>
                <w:rFonts w:eastAsia="Times New Roman" w:cs="Times New Roman"/>
                <w:noProof/>
              </w:rPr>
            </w:pPr>
            <w:r>
              <w:rPr>
                <w:noProof/>
              </w:rPr>
              <w:t>L89</w:t>
            </w:r>
          </w:p>
        </w:tc>
        <w:tc>
          <w:tcPr>
            <w:tcW w:w="837" w:type="dxa"/>
            <w:shd w:val="clear" w:color="auto" w:fill="C6EFCE"/>
            <w:noWrap/>
          </w:tcPr>
          <w:p w14:paraId="1688DE83" w14:textId="3E5A978B" w:rsidR="000E48CE" w:rsidRDefault="00FF4C4E">
            <w:pPr>
              <w:pStyle w:val="P68B1DB1-Normal13"/>
              <w:spacing w:after="0" w:line="240" w:lineRule="auto"/>
              <w:jc w:val="center"/>
              <w:rPr>
                <w:rFonts w:eastAsia="Times New Roman" w:cs="Times New Roman"/>
                <w:noProof/>
              </w:rPr>
            </w:pPr>
            <w:r>
              <w:rPr>
                <w:noProof/>
              </w:rPr>
              <w:t>C11.I6</w:t>
            </w:r>
          </w:p>
        </w:tc>
        <w:tc>
          <w:tcPr>
            <w:tcW w:w="836" w:type="dxa"/>
            <w:shd w:val="clear" w:color="auto" w:fill="C6EFCE"/>
            <w:noWrap/>
          </w:tcPr>
          <w:p w14:paraId="1BCCFAFE" w14:textId="347496AC" w:rsidR="000E48CE" w:rsidRDefault="00FF4C4E">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21C5ACFB" w14:textId="77C522E4" w:rsidR="000E48CE" w:rsidRDefault="00FF4C4E">
            <w:pPr>
              <w:pStyle w:val="P68B1DB1-Normal13"/>
              <w:spacing w:after="0" w:line="240" w:lineRule="auto"/>
              <w:rPr>
                <w:rFonts w:eastAsia="Times New Roman" w:cs="Times New Roman"/>
                <w:noProof/>
              </w:rPr>
            </w:pPr>
            <w:r>
              <w:rPr>
                <w:noProof/>
              </w:rPr>
              <w:t>Sellaisten hankkeiden myöntäminen, joilla vahvistetaan julkishallinnon kyberturvallisuusvalmiuksia kyberuhkien ehkäisemisen, suojaamisen, havaitsemisen ja niihin reagoimisen aloilla (kyberturvallisuusohjelma)</w:t>
            </w:r>
          </w:p>
        </w:tc>
        <w:tc>
          <w:tcPr>
            <w:tcW w:w="1358" w:type="dxa"/>
            <w:shd w:val="clear" w:color="auto" w:fill="C6EFCE"/>
            <w:noWrap/>
          </w:tcPr>
          <w:p w14:paraId="3789D055" w14:textId="055709F3" w:rsidR="000E48CE" w:rsidRDefault="00FF4C4E">
            <w:pPr>
              <w:pStyle w:val="P68B1DB1-Normal13"/>
              <w:spacing w:after="0" w:line="240" w:lineRule="auto"/>
              <w:jc w:val="center"/>
              <w:rPr>
                <w:rFonts w:eastAsia="Times New Roman" w:cs="Times New Roman"/>
                <w:noProof/>
              </w:rPr>
            </w:pPr>
            <w:r>
              <w:rPr>
                <w:noProof/>
              </w:rPr>
              <w:t>Julkaiseminen virallisessa lehdessä tai julkist</w:t>
            </w:r>
            <w:r>
              <w:rPr>
                <w:noProof/>
              </w:rPr>
              <w:t>en hankintojen foorumissa</w:t>
            </w:r>
          </w:p>
        </w:tc>
        <w:tc>
          <w:tcPr>
            <w:tcW w:w="698" w:type="dxa"/>
            <w:shd w:val="clear" w:color="auto" w:fill="C6EFCE"/>
            <w:noWrap/>
          </w:tcPr>
          <w:p w14:paraId="3D0A1ABB" w14:textId="77256AEB" w:rsidR="000E48CE" w:rsidRDefault="00FF4C4E">
            <w:pPr>
              <w:pStyle w:val="P68B1DB1-Normal13"/>
              <w:spacing w:after="0" w:line="240" w:lineRule="auto"/>
              <w:jc w:val="right"/>
              <w:rPr>
                <w:rFonts w:eastAsia="Times New Roman" w:cs="Times New Roman"/>
                <w:noProof/>
              </w:rPr>
            </w:pPr>
            <w:r>
              <w:rPr>
                <w:noProof/>
              </w:rPr>
              <w:t>Miljoonaa euroa</w:t>
            </w:r>
          </w:p>
        </w:tc>
        <w:tc>
          <w:tcPr>
            <w:tcW w:w="698" w:type="dxa"/>
            <w:shd w:val="clear" w:color="auto" w:fill="C6EFCE"/>
            <w:noWrap/>
          </w:tcPr>
          <w:p w14:paraId="47B04735" w14:textId="7183A9B0" w:rsidR="000E48CE" w:rsidRDefault="00FF4C4E">
            <w:pPr>
              <w:pStyle w:val="P68B1DB1-Normal13"/>
              <w:spacing w:after="0" w:line="240" w:lineRule="auto"/>
              <w:jc w:val="right"/>
              <w:rPr>
                <w:rFonts w:eastAsia="Times New Roman" w:cs="Times New Roman"/>
                <w:noProof/>
              </w:rPr>
            </w:pPr>
            <w:r>
              <w:rPr>
                <w:noProof/>
              </w:rPr>
              <w:t>0</w:t>
            </w:r>
          </w:p>
        </w:tc>
        <w:tc>
          <w:tcPr>
            <w:tcW w:w="913" w:type="dxa"/>
            <w:shd w:val="clear" w:color="auto" w:fill="C6EFCE"/>
            <w:noWrap/>
          </w:tcPr>
          <w:p w14:paraId="50A89CD6" w14:textId="71D776DD" w:rsidR="000E48CE" w:rsidRDefault="00FF4C4E">
            <w:pPr>
              <w:pStyle w:val="P68B1DB1-Normal13"/>
              <w:spacing w:after="0" w:line="240" w:lineRule="auto"/>
              <w:jc w:val="right"/>
              <w:rPr>
                <w:rFonts w:eastAsia="Times New Roman" w:cs="Times New Roman"/>
                <w:noProof/>
              </w:rPr>
            </w:pPr>
            <w:r>
              <w:rPr>
                <w:noProof/>
              </w:rPr>
              <w:t>1 041</w:t>
            </w:r>
          </w:p>
        </w:tc>
        <w:tc>
          <w:tcPr>
            <w:tcW w:w="419" w:type="dxa"/>
            <w:shd w:val="clear" w:color="auto" w:fill="C6EFCE"/>
            <w:noWrap/>
          </w:tcPr>
          <w:p w14:paraId="6F959CC0" w14:textId="37A2F76B" w:rsidR="000E48CE" w:rsidRDefault="00FF4C4E">
            <w:pPr>
              <w:pStyle w:val="P68B1DB1-Normal13"/>
              <w:spacing w:after="0" w:line="240" w:lineRule="auto"/>
              <w:jc w:val="center"/>
              <w:rPr>
                <w:rFonts w:eastAsia="Times New Roman" w:cs="Times New Roman"/>
                <w:noProof/>
              </w:rPr>
            </w:pPr>
            <w:r>
              <w:rPr>
                <w:noProof/>
              </w:rPr>
              <w:t>Q2</w:t>
            </w:r>
          </w:p>
        </w:tc>
        <w:tc>
          <w:tcPr>
            <w:tcW w:w="827" w:type="dxa"/>
            <w:shd w:val="clear" w:color="auto" w:fill="C6EFCE"/>
            <w:noWrap/>
          </w:tcPr>
          <w:p w14:paraId="59AB57E0" w14:textId="01FA9240" w:rsidR="000E48CE" w:rsidRDefault="00FF4C4E">
            <w:pPr>
              <w:pStyle w:val="P68B1DB1-Normal13"/>
              <w:spacing w:after="0" w:line="240" w:lineRule="auto"/>
              <w:jc w:val="center"/>
              <w:rPr>
                <w:rFonts w:eastAsia="Times New Roman" w:cs="Times New Roman"/>
                <w:noProof/>
              </w:rPr>
            </w:pPr>
            <w:r>
              <w:rPr>
                <w:noProof/>
              </w:rPr>
              <w:t>2025</w:t>
            </w:r>
          </w:p>
        </w:tc>
        <w:tc>
          <w:tcPr>
            <w:tcW w:w="5165" w:type="dxa"/>
            <w:shd w:val="clear" w:color="auto" w:fill="C6EFCE"/>
            <w:noWrap/>
          </w:tcPr>
          <w:p w14:paraId="31E9175F" w14:textId="10028EF8" w:rsidR="000E48CE" w:rsidRDefault="00FF4C4E">
            <w:pPr>
              <w:pStyle w:val="P68B1DB1-Normal13"/>
              <w:spacing w:after="0" w:line="240" w:lineRule="auto"/>
              <w:rPr>
                <w:rFonts w:eastAsia="Times New Roman" w:cs="Times New Roman"/>
                <w:noProof/>
              </w:rPr>
            </w:pPr>
            <w:r>
              <w:rPr>
                <w:noProof/>
              </w:rPr>
              <w:t>Julkaistaan Euroopan unionin virallisessa lehdessä tai julkisten hankintojen alustalla vähintään 1041525000 euron arvosta hankkeita, joilla vahvistetaan julkishallinnon kyberturvallisuusvalmiuksia k</w:t>
            </w:r>
            <w:r>
              <w:rPr>
                <w:noProof/>
              </w:rPr>
              <w:t>yberuhkien ehkäisemisen, suojaamisen, havaitsemisen ja niihin reagoimisen aloilla. Näillä hankkeilla on edistettävä yhtä tai useampaa seuraavista tavoitteista: kehitetään valmiuksia vastata kyberuhkiin; strategisten voimavarojen turvallisuuden ja häiriönsi</w:t>
            </w:r>
            <w:r>
              <w:rPr>
                <w:noProof/>
              </w:rPr>
              <w:t>etokyvyn varmistaminen; vahvistaa kyberrikollisuuden tutkinta- ja syytevalmiuksia; kansalaisten ja yritysten kyberturvallisuuden parantaminen; kyberturvallisuusalan tukeminen; ja vi) kyberturvallisuuskulttuurin kehittäminen.</w:t>
            </w:r>
          </w:p>
        </w:tc>
      </w:tr>
      <w:tr w:rsidR="000E48CE" w14:paraId="748067CB" w14:textId="77777777">
        <w:trPr>
          <w:trHeight w:val="309"/>
        </w:trPr>
        <w:tc>
          <w:tcPr>
            <w:tcW w:w="837" w:type="dxa"/>
            <w:shd w:val="clear" w:color="auto" w:fill="C6EFCE"/>
            <w:noWrap/>
          </w:tcPr>
          <w:p w14:paraId="30DF82E4" w14:textId="143F7966" w:rsidR="000E48CE" w:rsidRDefault="00FF4C4E">
            <w:pPr>
              <w:pStyle w:val="P68B1DB1-Normal13"/>
              <w:spacing w:after="0" w:line="240" w:lineRule="auto"/>
              <w:jc w:val="center"/>
              <w:rPr>
                <w:rFonts w:eastAsia="Times New Roman" w:cs="Times New Roman"/>
                <w:noProof/>
              </w:rPr>
            </w:pPr>
            <w:r>
              <w:rPr>
                <w:noProof/>
              </w:rPr>
              <w:t>L17</w:t>
            </w:r>
          </w:p>
        </w:tc>
        <w:tc>
          <w:tcPr>
            <w:tcW w:w="837" w:type="dxa"/>
            <w:shd w:val="clear" w:color="auto" w:fill="C6EFCE"/>
            <w:noWrap/>
          </w:tcPr>
          <w:p w14:paraId="09AD2858" w14:textId="6220FCC5" w:rsidR="000E48CE" w:rsidRDefault="00FF4C4E">
            <w:pPr>
              <w:pStyle w:val="P68B1DB1-Normal13"/>
              <w:spacing w:after="0" w:line="240" w:lineRule="auto"/>
              <w:jc w:val="center"/>
              <w:rPr>
                <w:rFonts w:eastAsia="Times New Roman" w:cs="Times New Roman"/>
                <w:noProof/>
              </w:rPr>
            </w:pPr>
            <w:r>
              <w:rPr>
                <w:noProof/>
              </w:rPr>
              <w:t>C11.I6</w:t>
            </w:r>
          </w:p>
        </w:tc>
        <w:tc>
          <w:tcPr>
            <w:tcW w:w="836" w:type="dxa"/>
            <w:shd w:val="clear" w:color="auto" w:fill="C6EFCE"/>
            <w:noWrap/>
          </w:tcPr>
          <w:p w14:paraId="52F15E55" w14:textId="268DECAE" w:rsidR="000E48CE" w:rsidRDefault="00FF4C4E">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10BCBCB9" w14:textId="2DBDA442" w:rsidR="000E48CE" w:rsidRDefault="00FF4C4E">
            <w:pPr>
              <w:pStyle w:val="P68B1DB1-Normal13"/>
              <w:spacing w:after="0" w:line="240" w:lineRule="auto"/>
              <w:rPr>
                <w:rFonts w:eastAsia="Times New Roman" w:cs="Times New Roman"/>
                <w:noProof/>
              </w:rPr>
            </w:pPr>
            <w:r>
              <w:rPr>
                <w:noProof/>
              </w:rPr>
              <w:t xml:space="preserve">Julkishallinnon </w:t>
            </w:r>
            <w:r>
              <w:rPr>
                <w:noProof/>
              </w:rPr>
              <w:t>kyberturvallisuusvalmiuksien vahvistamista kyberuhkien ehkäisemisen, suojaamisen, havaitsemisen ja niihin reagoimisen alalla koskevien hankkeiden loppuun saattaminen (kyberturvallisuusohjelma)</w:t>
            </w:r>
          </w:p>
        </w:tc>
        <w:tc>
          <w:tcPr>
            <w:tcW w:w="1358" w:type="dxa"/>
            <w:shd w:val="clear" w:color="auto" w:fill="C6EFCE"/>
            <w:noWrap/>
          </w:tcPr>
          <w:p w14:paraId="33A0B084" w14:textId="77777777" w:rsidR="000E48CE" w:rsidRDefault="000E48CE">
            <w:pPr>
              <w:spacing w:after="0" w:line="240" w:lineRule="auto"/>
              <w:jc w:val="center"/>
              <w:rPr>
                <w:rFonts w:ascii="Times New Roman" w:eastAsia="Times New Roman" w:hAnsi="Times New Roman" w:cs="Times New Roman"/>
                <w:noProof/>
                <w:sz w:val="18"/>
              </w:rPr>
            </w:pPr>
          </w:p>
        </w:tc>
        <w:tc>
          <w:tcPr>
            <w:tcW w:w="698" w:type="dxa"/>
            <w:shd w:val="clear" w:color="auto" w:fill="C6EFCE"/>
            <w:noWrap/>
          </w:tcPr>
          <w:p w14:paraId="36A09158" w14:textId="5F5331AB" w:rsidR="000E48CE" w:rsidRDefault="00FF4C4E">
            <w:pPr>
              <w:pStyle w:val="P68B1DB1-Normal13"/>
              <w:spacing w:after="0" w:line="240" w:lineRule="auto"/>
              <w:jc w:val="right"/>
              <w:rPr>
                <w:rFonts w:eastAsia="Times New Roman" w:cs="Times New Roman"/>
                <w:noProof/>
              </w:rPr>
            </w:pPr>
            <w:r>
              <w:rPr>
                <w:noProof/>
              </w:rPr>
              <w:t>Miljoonaa euroa</w:t>
            </w:r>
          </w:p>
        </w:tc>
        <w:tc>
          <w:tcPr>
            <w:tcW w:w="698" w:type="dxa"/>
            <w:shd w:val="clear" w:color="auto" w:fill="C6EFCE"/>
            <w:noWrap/>
          </w:tcPr>
          <w:p w14:paraId="48F4AB32" w14:textId="15A56815" w:rsidR="000E48CE" w:rsidRDefault="00FF4C4E">
            <w:pPr>
              <w:pStyle w:val="P68B1DB1-Normal13"/>
              <w:spacing w:after="0" w:line="240" w:lineRule="auto"/>
              <w:jc w:val="right"/>
              <w:rPr>
                <w:rFonts w:eastAsia="Times New Roman" w:cs="Times New Roman"/>
                <w:noProof/>
              </w:rPr>
            </w:pPr>
            <w:r>
              <w:rPr>
                <w:noProof/>
              </w:rPr>
              <w:t>0</w:t>
            </w:r>
          </w:p>
        </w:tc>
        <w:tc>
          <w:tcPr>
            <w:tcW w:w="913" w:type="dxa"/>
            <w:shd w:val="clear" w:color="auto" w:fill="C6EFCE"/>
            <w:noWrap/>
          </w:tcPr>
          <w:p w14:paraId="6D5868EA" w14:textId="3E874266" w:rsidR="000E48CE" w:rsidRDefault="00FF4C4E">
            <w:pPr>
              <w:pStyle w:val="P68B1DB1-Normal13"/>
              <w:spacing w:after="0" w:line="240" w:lineRule="auto"/>
              <w:jc w:val="right"/>
              <w:rPr>
                <w:rFonts w:eastAsia="Times New Roman" w:cs="Times New Roman"/>
                <w:noProof/>
              </w:rPr>
            </w:pPr>
            <w:r>
              <w:rPr>
                <w:noProof/>
              </w:rPr>
              <w:t>1 041</w:t>
            </w:r>
          </w:p>
        </w:tc>
        <w:tc>
          <w:tcPr>
            <w:tcW w:w="419" w:type="dxa"/>
            <w:shd w:val="clear" w:color="auto" w:fill="C6EFCE"/>
            <w:noWrap/>
          </w:tcPr>
          <w:p w14:paraId="73BDCB58" w14:textId="7F19B5B1" w:rsidR="000E48CE" w:rsidRDefault="00FF4C4E">
            <w:pPr>
              <w:pStyle w:val="P68B1DB1-Normal13"/>
              <w:spacing w:after="0" w:line="240" w:lineRule="auto"/>
              <w:jc w:val="center"/>
              <w:rPr>
                <w:rFonts w:eastAsia="Times New Roman" w:cs="Times New Roman"/>
                <w:noProof/>
              </w:rPr>
            </w:pPr>
            <w:r>
              <w:rPr>
                <w:noProof/>
              </w:rPr>
              <w:t>Q2</w:t>
            </w:r>
          </w:p>
        </w:tc>
        <w:tc>
          <w:tcPr>
            <w:tcW w:w="827" w:type="dxa"/>
            <w:shd w:val="clear" w:color="auto" w:fill="C6EFCE"/>
            <w:noWrap/>
          </w:tcPr>
          <w:p w14:paraId="532EF65D" w14:textId="185C4808" w:rsidR="000E48CE" w:rsidRDefault="00FF4C4E">
            <w:pPr>
              <w:pStyle w:val="P68B1DB1-Normal13"/>
              <w:spacing w:after="0" w:line="240" w:lineRule="auto"/>
              <w:jc w:val="center"/>
              <w:rPr>
                <w:rFonts w:eastAsia="Times New Roman" w:cs="Times New Roman"/>
                <w:noProof/>
              </w:rPr>
            </w:pPr>
            <w:r>
              <w:rPr>
                <w:noProof/>
              </w:rPr>
              <w:t>2026</w:t>
            </w:r>
          </w:p>
        </w:tc>
        <w:tc>
          <w:tcPr>
            <w:tcW w:w="5165" w:type="dxa"/>
            <w:shd w:val="clear" w:color="auto" w:fill="C6EFCE"/>
            <w:noWrap/>
          </w:tcPr>
          <w:p w14:paraId="274410C8" w14:textId="77777777" w:rsidR="000E48CE" w:rsidRDefault="00FF4C4E">
            <w:pPr>
              <w:pStyle w:val="P68B1DB1-Normal13"/>
              <w:spacing w:after="0" w:line="240" w:lineRule="auto"/>
              <w:rPr>
                <w:rFonts w:eastAsia="Times New Roman" w:cs="Times New Roman"/>
                <w:noProof/>
              </w:rPr>
            </w:pPr>
            <w:r>
              <w:rPr>
                <w:noProof/>
              </w:rPr>
              <w:t xml:space="preserve">Julkishallinnon </w:t>
            </w:r>
            <w:r>
              <w:rPr>
                <w:noProof/>
              </w:rPr>
              <w:t>kyberturvallisuusvalmiuksien vahvistamista kyberuhkien ehkäisemisen, suojaamisen, havaitsemisen ja niihin reagoimisen alalla koskevien hankkeiden loppuun saattaminen vähintään 1041525000 eurolla. Näillä hankkeilla on edistettävä yhtä tai useampaa seuraavis</w:t>
            </w:r>
            <w:r>
              <w:rPr>
                <w:noProof/>
              </w:rPr>
              <w:t xml:space="preserve">ta tavoitteista: kehitetään valmiuksia vastata kyberuhkiin; strategisten voimavarojen turvallisuuden ja häiriönsietokyvyn varmistaminen; vahvistaa kyberrikollisuuden tutkinta- ja syytevalmiuksia; kansalaisten ja yritysten kyberturvallisuuden parantaminen; </w:t>
            </w:r>
            <w:r>
              <w:rPr>
                <w:noProof/>
              </w:rPr>
              <w:t>kyberturvallisuusalan tukeminen; ja vi) kyberturvallisuuskulttuurin kehittäminen.</w:t>
            </w:r>
          </w:p>
          <w:p w14:paraId="4BAE3051" w14:textId="77777777" w:rsidR="000E48CE" w:rsidRDefault="000E48CE">
            <w:pPr>
              <w:spacing w:after="0" w:line="240" w:lineRule="auto"/>
              <w:rPr>
                <w:rFonts w:ascii="Times New Roman" w:eastAsia="Times New Roman" w:hAnsi="Times New Roman" w:cs="Times New Roman"/>
                <w:noProof/>
                <w:sz w:val="18"/>
              </w:rPr>
            </w:pPr>
          </w:p>
        </w:tc>
      </w:tr>
      <w:tr w:rsidR="000E48CE" w14:paraId="300EF90E" w14:textId="77777777">
        <w:trPr>
          <w:trHeight w:val="309"/>
        </w:trPr>
        <w:tc>
          <w:tcPr>
            <w:tcW w:w="837" w:type="dxa"/>
            <w:shd w:val="clear" w:color="auto" w:fill="C6EFCE"/>
            <w:noWrap/>
          </w:tcPr>
          <w:p w14:paraId="694D0EB1" w14:textId="1628BA02" w:rsidR="000E48CE" w:rsidRDefault="00FF4C4E">
            <w:pPr>
              <w:pStyle w:val="P68B1DB1-Normal13"/>
              <w:spacing w:after="0" w:line="240" w:lineRule="auto"/>
              <w:jc w:val="center"/>
              <w:rPr>
                <w:rFonts w:eastAsia="Times New Roman" w:cs="Times New Roman"/>
                <w:noProof/>
              </w:rPr>
            </w:pPr>
            <w:r>
              <w:rPr>
                <w:noProof/>
              </w:rPr>
              <w:t>L18</w:t>
            </w:r>
          </w:p>
        </w:tc>
        <w:tc>
          <w:tcPr>
            <w:tcW w:w="837" w:type="dxa"/>
            <w:shd w:val="clear" w:color="auto" w:fill="C6EFCE"/>
            <w:noWrap/>
          </w:tcPr>
          <w:p w14:paraId="4C3987D3" w14:textId="77777777" w:rsidR="000E48CE" w:rsidRDefault="00FF4C4E">
            <w:pPr>
              <w:pStyle w:val="P68B1DB1-Normal13"/>
              <w:spacing w:after="0" w:line="240" w:lineRule="auto"/>
              <w:jc w:val="center"/>
              <w:rPr>
                <w:rFonts w:eastAsia="Times New Roman" w:cs="Times New Roman"/>
                <w:noProof/>
              </w:rPr>
            </w:pPr>
            <w:r>
              <w:rPr>
                <w:noProof/>
              </w:rPr>
              <w:t>C11.I6</w:t>
            </w:r>
          </w:p>
        </w:tc>
        <w:tc>
          <w:tcPr>
            <w:tcW w:w="836" w:type="dxa"/>
            <w:shd w:val="clear" w:color="auto" w:fill="C6EFCE"/>
            <w:noWrap/>
          </w:tcPr>
          <w:p w14:paraId="561C763A" w14:textId="77777777" w:rsidR="000E48CE" w:rsidRDefault="00FF4C4E">
            <w:pPr>
              <w:pStyle w:val="P68B1DB1-Normal13"/>
              <w:spacing w:after="0" w:line="240" w:lineRule="auto"/>
              <w:jc w:val="center"/>
              <w:rPr>
                <w:rFonts w:eastAsia="Times New Roman" w:cs="Times New Roman"/>
                <w:noProof/>
              </w:rPr>
            </w:pPr>
            <w:r>
              <w:rPr>
                <w:noProof/>
              </w:rPr>
              <w:t>M</w:t>
            </w:r>
          </w:p>
        </w:tc>
        <w:tc>
          <w:tcPr>
            <w:tcW w:w="2685" w:type="dxa"/>
            <w:shd w:val="clear" w:color="auto" w:fill="C6EFCE"/>
            <w:noWrap/>
          </w:tcPr>
          <w:p w14:paraId="1CF08157" w14:textId="18A48FCA" w:rsidR="000E48CE" w:rsidRDefault="00FF4C4E">
            <w:pPr>
              <w:pStyle w:val="P68B1DB1-Normal13"/>
              <w:spacing w:after="0" w:line="240" w:lineRule="auto"/>
              <w:rPr>
                <w:rFonts w:eastAsia="Times New Roman" w:cs="Times New Roman"/>
                <w:noProof/>
              </w:rPr>
            </w:pPr>
            <w:r>
              <w:rPr>
                <w:noProof/>
              </w:rPr>
              <w:t>Asetus turvallisuus- ja palautumisrahaston perustamisesta </w:t>
            </w:r>
          </w:p>
        </w:tc>
        <w:tc>
          <w:tcPr>
            <w:tcW w:w="1358" w:type="dxa"/>
            <w:shd w:val="clear" w:color="auto" w:fill="C6EFCE"/>
            <w:noWrap/>
          </w:tcPr>
          <w:p w14:paraId="2250FE67" w14:textId="72E0A992" w:rsidR="000E48CE" w:rsidRDefault="00FF4C4E">
            <w:pPr>
              <w:pStyle w:val="P68B1DB1-Normal13"/>
              <w:spacing w:after="0" w:line="240" w:lineRule="auto"/>
              <w:jc w:val="center"/>
              <w:rPr>
                <w:rFonts w:eastAsia="Times New Roman" w:cs="Times New Roman"/>
                <w:noProof/>
              </w:rPr>
            </w:pPr>
            <w:r>
              <w:rPr>
                <w:noProof/>
              </w:rPr>
              <w:t>Asetuksen voimaantulo</w:t>
            </w:r>
          </w:p>
          <w:p w14:paraId="519E9A28" w14:textId="7D0E2291" w:rsidR="000E48CE" w:rsidRDefault="000E48CE">
            <w:pPr>
              <w:spacing w:after="0" w:line="240" w:lineRule="auto"/>
              <w:jc w:val="center"/>
              <w:rPr>
                <w:rFonts w:ascii="Times New Roman" w:eastAsia="Times New Roman" w:hAnsi="Times New Roman" w:cs="Times New Roman"/>
                <w:noProof/>
                <w:sz w:val="18"/>
              </w:rPr>
            </w:pPr>
          </w:p>
        </w:tc>
        <w:tc>
          <w:tcPr>
            <w:tcW w:w="698" w:type="dxa"/>
            <w:shd w:val="clear" w:color="auto" w:fill="C6EFCE"/>
            <w:noWrap/>
          </w:tcPr>
          <w:p w14:paraId="4C8CC92C" w14:textId="77777777" w:rsidR="000E48CE" w:rsidRDefault="00FF4C4E">
            <w:pPr>
              <w:pStyle w:val="P68B1DB1-Normal13"/>
              <w:spacing w:after="0" w:line="240" w:lineRule="auto"/>
              <w:jc w:val="right"/>
              <w:rPr>
                <w:rFonts w:eastAsia="Times New Roman" w:cs="Times New Roman"/>
                <w:noProof/>
              </w:rPr>
            </w:pPr>
            <w:r>
              <w:rPr>
                <w:noProof/>
              </w:rPr>
              <w:t>  </w:t>
            </w:r>
          </w:p>
        </w:tc>
        <w:tc>
          <w:tcPr>
            <w:tcW w:w="698" w:type="dxa"/>
            <w:shd w:val="clear" w:color="auto" w:fill="C6EFCE"/>
            <w:noWrap/>
          </w:tcPr>
          <w:p w14:paraId="500E7241" w14:textId="77777777" w:rsidR="000E48CE" w:rsidRDefault="00FF4C4E">
            <w:pPr>
              <w:pStyle w:val="P68B1DB1-Normal13"/>
              <w:spacing w:after="0" w:line="240" w:lineRule="auto"/>
              <w:jc w:val="right"/>
              <w:rPr>
                <w:rFonts w:eastAsia="Times New Roman" w:cs="Times New Roman"/>
                <w:noProof/>
              </w:rPr>
            </w:pPr>
            <w:r>
              <w:rPr>
                <w:noProof/>
              </w:rPr>
              <w:t>  </w:t>
            </w:r>
          </w:p>
        </w:tc>
        <w:tc>
          <w:tcPr>
            <w:tcW w:w="913" w:type="dxa"/>
            <w:shd w:val="clear" w:color="auto" w:fill="C6EFCE"/>
            <w:noWrap/>
          </w:tcPr>
          <w:p w14:paraId="5541F636" w14:textId="77777777" w:rsidR="000E48CE" w:rsidRDefault="00FF4C4E">
            <w:pPr>
              <w:pStyle w:val="P68B1DB1-Normal13"/>
              <w:spacing w:after="0" w:line="240" w:lineRule="auto"/>
              <w:jc w:val="right"/>
              <w:rPr>
                <w:rFonts w:eastAsia="Times New Roman" w:cs="Times New Roman"/>
                <w:noProof/>
              </w:rPr>
            </w:pPr>
            <w:r>
              <w:rPr>
                <w:noProof/>
              </w:rPr>
              <w:t>  </w:t>
            </w:r>
          </w:p>
        </w:tc>
        <w:tc>
          <w:tcPr>
            <w:tcW w:w="419" w:type="dxa"/>
            <w:shd w:val="clear" w:color="auto" w:fill="C6EFCE"/>
            <w:noWrap/>
          </w:tcPr>
          <w:p w14:paraId="5E8F6436" w14:textId="7537AC60" w:rsidR="000E48CE" w:rsidRDefault="00FF4C4E">
            <w:pPr>
              <w:pStyle w:val="P68B1DB1-Normal13"/>
              <w:spacing w:after="0" w:line="240" w:lineRule="auto"/>
              <w:jc w:val="center"/>
              <w:rPr>
                <w:rFonts w:eastAsia="Times New Roman" w:cs="Times New Roman"/>
                <w:noProof/>
              </w:rPr>
            </w:pPr>
            <w:r>
              <w:rPr>
                <w:noProof/>
              </w:rPr>
              <w:t>Q2 </w:t>
            </w:r>
          </w:p>
        </w:tc>
        <w:tc>
          <w:tcPr>
            <w:tcW w:w="827" w:type="dxa"/>
            <w:shd w:val="clear" w:color="auto" w:fill="C6EFCE"/>
            <w:noWrap/>
          </w:tcPr>
          <w:p w14:paraId="3E04495A" w14:textId="73DCC945" w:rsidR="000E48CE" w:rsidRDefault="00FF4C4E">
            <w:pPr>
              <w:pStyle w:val="P68B1DB1-Normal13"/>
              <w:spacing w:after="0" w:line="240" w:lineRule="auto"/>
              <w:jc w:val="center"/>
              <w:rPr>
                <w:rFonts w:eastAsia="Times New Roman" w:cs="Times New Roman"/>
                <w:noProof/>
              </w:rPr>
            </w:pPr>
            <w:r>
              <w:rPr>
                <w:noProof/>
              </w:rPr>
              <w:t>2024</w:t>
            </w:r>
          </w:p>
        </w:tc>
        <w:tc>
          <w:tcPr>
            <w:tcW w:w="5165" w:type="dxa"/>
            <w:shd w:val="clear" w:color="auto" w:fill="C6EFCE"/>
            <w:noWrap/>
          </w:tcPr>
          <w:p w14:paraId="457EE473" w14:textId="3E1B2FB3" w:rsidR="000E48CE" w:rsidRDefault="00FF4C4E">
            <w:pPr>
              <w:pStyle w:val="P68B1DB1-Normal13"/>
              <w:spacing w:after="0" w:line="240" w:lineRule="auto"/>
              <w:rPr>
                <w:rFonts w:eastAsia="Times New Roman" w:cs="Times New Roman"/>
                <w:noProof/>
              </w:rPr>
            </w:pPr>
            <w:r>
              <w:rPr>
                <w:noProof/>
              </w:rPr>
              <w:t xml:space="preserve">Rahaston perustamista koskevan asetuksen ja siihen </w:t>
            </w:r>
            <w:r>
              <w:rPr>
                <w:noProof/>
              </w:rPr>
              <w:t>liittyvien asiakirjojen voimaantulo.</w:t>
            </w:r>
          </w:p>
        </w:tc>
      </w:tr>
      <w:tr w:rsidR="000E48CE" w14:paraId="5298DA75" w14:textId="77777777">
        <w:trPr>
          <w:trHeight w:val="309"/>
        </w:trPr>
        <w:tc>
          <w:tcPr>
            <w:tcW w:w="837" w:type="dxa"/>
            <w:shd w:val="clear" w:color="auto" w:fill="C6EFCE"/>
            <w:noWrap/>
          </w:tcPr>
          <w:p w14:paraId="4975496E" w14:textId="7B7A06DD" w:rsidR="000E48CE" w:rsidRDefault="00FF4C4E">
            <w:pPr>
              <w:pStyle w:val="P68B1DB1-Normal13"/>
              <w:spacing w:after="0" w:line="240" w:lineRule="auto"/>
              <w:jc w:val="center"/>
              <w:rPr>
                <w:rFonts w:cs="Times New Roman"/>
                <w:noProof/>
              </w:rPr>
            </w:pPr>
            <w:r>
              <w:rPr>
                <w:noProof/>
              </w:rPr>
              <w:t>L19</w:t>
            </w:r>
          </w:p>
        </w:tc>
        <w:tc>
          <w:tcPr>
            <w:tcW w:w="837" w:type="dxa"/>
            <w:shd w:val="clear" w:color="auto" w:fill="C6EFCE"/>
            <w:noWrap/>
          </w:tcPr>
          <w:p w14:paraId="338ED568" w14:textId="77777777" w:rsidR="000E48CE" w:rsidRDefault="00FF4C4E">
            <w:pPr>
              <w:pStyle w:val="P68B1DB1-Normal13"/>
              <w:spacing w:after="0" w:line="240" w:lineRule="auto"/>
              <w:jc w:val="center"/>
              <w:rPr>
                <w:rFonts w:cs="Times New Roman"/>
                <w:noProof/>
              </w:rPr>
            </w:pPr>
            <w:r>
              <w:rPr>
                <w:noProof/>
              </w:rPr>
              <w:t>C11.I6</w:t>
            </w:r>
          </w:p>
        </w:tc>
        <w:tc>
          <w:tcPr>
            <w:tcW w:w="836" w:type="dxa"/>
            <w:shd w:val="clear" w:color="auto" w:fill="C6EFCE"/>
            <w:noWrap/>
          </w:tcPr>
          <w:p w14:paraId="099DC576" w14:textId="77777777" w:rsidR="000E48CE" w:rsidRDefault="00FF4C4E">
            <w:pPr>
              <w:pStyle w:val="P68B1DB1-Normal13"/>
              <w:spacing w:after="0" w:line="240" w:lineRule="auto"/>
              <w:jc w:val="center"/>
              <w:rPr>
                <w:rFonts w:cs="Times New Roman"/>
                <w:noProof/>
              </w:rPr>
            </w:pPr>
            <w:r>
              <w:rPr>
                <w:noProof/>
              </w:rPr>
              <w:t>T</w:t>
            </w:r>
          </w:p>
        </w:tc>
        <w:tc>
          <w:tcPr>
            <w:tcW w:w="2685" w:type="dxa"/>
            <w:shd w:val="clear" w:color="auto" w:fill="C6EFCE"/>
            <w:noWrap/>
          </w:tcPr>
          <w:p w14:paraId="04ACE8B5" w14:textId="4B2C7BE1" w:rsidR="000E48CE" w:rsidRDefault="00FF4C4E">
            <w:pPr>
              <w:pStyle w:val="P68B1DB1-Normal13"/>
              <w:spacing w:after="0" w:line="240" w:lineRule="auto"/>
              <w:rPr>
                <w:rFonts w:eastAsia="Times New Roman" w:cs="Times New Roman"/>
                <w:noProof/>
              </w:rPr>
            </w:pPr>
            <w:r>
              <w:rPr>
                <w:noProof/>
              </w:rPr>
              <w:t>Turvallisuus- ja palautumisrahasto: Lopullisten edunsaajien (mukaan lukien oman pääoman ehtoiset rahastot) kanssa allekirjoitetut oikeudelliset rahoitussopimukset (I)</w:t>
            </w:r>
          </w:p>
        </w:tc>
        <w:tc>
          <w:tcPr>
            <w:tcW w:w="1358" w:type="dxa"/>
            <w:shd w:val="clear" w:color="auto" w:fill="C6EFCE"/>
            <w:noWrap/>
          </w:tcPr>
          <w:p w14:paraId="78681B00" w14:textId="13ECC24E" w:rsidR="000E48CE" w:rsidRDefault="000E48CE">
            <w:pPr>
              <w:spacing w:after="0" w:line="240" w:lineRule="auto"/>
              <w:jc w:val="center"/>
              <w:rPr>
                <w:rFonts w:ascii="Times New Roman" w:hAnsi="Times New Roman" w:cs="Times New Roman"/>
                <w:noProof/>
                <w:sz w:val="18"/>
              </w:rPr>
            </w:pPr>
          </w:p>
        </w:tc>
        <w:tc>
          <w:tcPr>
            <w:tcW w:w="698" w:type="dxa"/>
            <w:shd w:val="clear" w:color="auto" w:fill="C6EFCE"/>
            <w:noWrap/>
          </w:tcPr>
          <w:p w14:paraId="4CE0D87E" w14:textId="49602E9D" w:rsidR="000E48CE" w:rsidRDefault="000E48CE">
            <w:pPr>
              <w:spacing w:after="0" w:line="240" w:lineRule="auto"/>
              <w:jc w:val="right"/>
              <w:rPr>
                <w:rFonts w:ascii="Times New Roman" w:hAnsi="Times New Roman" w:cs="Times New Roman"/>
                <w:noProof/>
                <w:sz w:val="18"/>
              </w:rPr>
            </w:pPr>
          </w:p>
        </w:tc>
        <w:tc>
          <w:tcPr>
            <w:tcW w:w="698" w:type="dxa"/>
            <w:shd w:val="clear" w:color="auto" w:fill="C6EFCE"/>
            <w:noWrap/>
          </w:tcPr>
          <w:p w14:paraId="68DE3F99" w14:textId="58EED0E9" w:rsidR="000E48CE" w:rsidRDefault="000E48CE">
            <w:pPr>
              <w:spacing w:after="0" w:line="240" w:lineRule="auto"/>
              <w:jc w:val="right"/>
              <w:rPr>
                <w:rFonts w:ascii="Times New Roman" w:hAnsi="Times New Roman" w:cs="Times New Roman"/>
                <w:noProof/>
                <w:sz w:val="18"/>
              </w:rPr>
            </w:pPr>
          </w:p>
        </w:tc>
        <w:tc>
          <w:tcPr>
            <w:tcW w:w="913" w:type="dxa"/>
            <w:shd w:val="clear" w:color="auto" w:fill="C6EFCE"/>
            <w:noWrap/>
          </w:tcPr>
          <w:p w14:paraId="313ACB04" w14:textId="1DE92BFA" w:rsidR="000E48CE" w:rsidRDefault="00FF4C4E">
            <w:pPr>
              <w:pStyle w:val="P68B1DB1-Normal13"/>
              <w:spacing w:after="0" w:line="240" w:lineRule="auto"/>
              <w:jc w:val="right"/>
              <w:rPr>
                <w:rFonts w:cs="Times New Roman"/>
                <w:noProof/>
              </w:rPr>
            </w:pPr>
            <w:r>
              <w:rPr>
                <w:noProof/>
              </w:rPr>
              <w:t>35 %</w:t>
            </w:r>
          </w:p>
        </w:tc>
        <w:tc>
          <w:tcPr>
            <w:tcW w:w="419" w:type="dxa"/>
            <w:shd w:val="clear" w:color="auto" w:fill="C6EFCE"/>
            <w:noWrap/>
          </w:tcPr>
          <w:p w14:paraId="378B2AA6" w14:textId="77777777" w:rsidR="000E48CE" w:rsidRDefault="00FF4C4E">
            <w:pPr>
              <w:pStyle w:val="P68B1DB1-Normal13"/>
              <w:spacing w:after="0" w:line="240" w:lineRule="auto"/>
              <w:jc w:val="center"/>
              <w:rPr>
                <w:rFonts w:cs="Times New Roman"/>
                <w:noProof/>
              </w:rPr>
            </w:pPr>
            <w:r>
              <w:rPr>
                <w:noProof/>
              </w:rPr>
              <w:t>Q2</w:t>
            </w:r>
          </w:p>
        </w:tc>
        <w:tc>
          <w:tcPr>
            <w:tcW w:w="827" w:type="dxa"/>
            <w:shd w:val="clear" w:color="auto" w:fill="C6EFCE"/>
            <w:noWrap/>
          </w:tcPr>
          <w:p w14:paraId="70F0061B" w14:textId="77777777" w:rsidR="000E48CE" w:rsidRDefault="00FF4C4E">
            <w:pPr>
              <w:pStyle w:val="P68B1DB1-Normal13"/>
              <w:spacing w:after="0" w:line="240" w:lineRule="auto"/>
              <w:jc w:val="center"/>
              <w:rPr>
                <w:rFonts w:cs="Times New Roman"/>
                <w:noProof/>
              </w:rPr>
            </w:pPr>
            <w:r>
              <w:rPr>
                <w:noProof/>
              </w:rPr>
              <w:t>2025</w:t>
            </w:r>
          </w:p>
        </w:tc>
        <w:tc>
          <w:tcPr>
            <w:tcW w:w="5165" w:type="dxa"/>
            <w:shd w:val="clear" w:color="auto" w:fill="C6EFCE"/>
            <w:noWrap/>
          </w:tcPr>
          <w:p w14:paraId="432737EA" w14:textId="27FA2BC2" w:rsidR="000E48CE" w:rsidRDefault="00FF4C4E">
            <w:pPr>
              <w:pStyle w:val="P68B1DB1-Normal13"/>
              <w:spacing w:after="0" w:line="240" w:lineRule="auto"/>
              <w:rPr>
                <w:rFonts w:cs="Times New Roman"/>
                <w:noProof/>
              </w:rPr>
            </w:pPr>
            <w:r>
              <w:rPr>
                <w:noProof/>
              </w:rPr>
              <w:t>Tukiväline ja kaikki SEPIDESin valitsemat välittäjät ovat tehneet lopullisten edunsaajien (pääomarahastot mukaan lukien) kanssa oikeudellisia rahoitussopimuksia, joiden määrä on tarpeen, jotta vähintään 35 prosenttia elpymis- ja palautumistukivälineen inve</w:t>
            </w:r>
            <w:r>
              <w:rPr>
                <w:noProof/>
              </w:rPr>
              <w:t>stoinneista tukivälineeseen voidaan käyttää (hallinnolliset maksut huomioon ottaen). Vähintään 10 prosenttia rahoituksesta vastaa pääomarahastojen kanssa allekirjoitettuja rahoitussopimuksia ja vähintään 40 prosenttia rahoitussopimuksia, jotka on allekirjo</w:t>
            </w:r>
            <w:r>
              <w:rPr>
                <w:noProof/>
              </w:rPr>
              <w:t>itettu lopullisten tuensaajien kanssa kaikista muista sijoitustuotteista (mukaan lukien toteutuskumppanin suorat pääomasijoitukset).</w:t>
            </w:r>
          </w:p>
        </w:tc>
      </w:tr>
      <w:tr w:rsidR="000E48CE" w14:paraId="03767160" w14:textId="77777777">
        <w:trPr>
          <w:trHeight w:val="309"/>
        </w:trPr>
        <w:tc>
          <w:tcPr>
            <w:tcW w:w="837" w:type="dxa"/>
            <w:shd w:val="clear" w:color="auto" w:fill="C6EFCE"/>
            <w:noWrap/>
          </w:tcPr>
          <w:p w14:paraId="4D019B29" w14:textId="6F85AC87" w:rsidR="000E48CE" w:rsidRDefault="00FF4C4E">
            <w:pPr>
              <w:pStyle w:val="P68B1DB1-Normal13"/>
              <w:spacing w:after="0" w:line="240" w:lineRule="auto"/>
              <w:jc w:val="center"/>
              <w:rPr>
                <w:rFonts w:eastAsia="Times New Roman" w:cs="Times New Roman"/>
                <w:noProof/>
              </w:rPr>
            </w:pPr>
            <w:r>
              <w:rPr>
                <w:noProof/>
              </w:rPr>
              <w:t>L20</w:t>
            </w:r>
          </w:p>
        </w:tc>
        <w:tc>
          <w:tcPr>
            <w:tcW w:w="837" w:type="dxa"/>
            <w:shd w:val="clear" w:color="auto" w:fill="C6EFCE"/>
            <w:noWrap/>
          </w:tcPr>
          <w:p w14:paraId="51AA59DF" w14:textId="77777777" w:rsidR="000E48CE" w:rsidRDefault="00FF4C4E">
            <w:pPr>
              <w:pStyle w:val="P68B1DB1-Normal13"/>
              <w:spacing w:after="0" w:line="240" w:lineRule="auto"/>
              <w:jc w:val="center"/>
              <w:rPr>
                <w:rFonts w:cs="Times New Roman"/>
                <w:noProof/>
              </w:rPr>
            </w:pPr>
            <w:r>
              <w:rPr>
                <w:noProof/>
              </w:rPr>
              <w:t>C11.I6</w:t>
            </w:r>
          </w:p>
        </w:tc>
        <w:tc>
          <w:tcPr>
            <w:tcW w:w="836" w:type="dxa"/>
            <w:shd w:val="clear" w:color="auto" w:fill="C6EFCE"/>
            <w:noWrap/>
          </w:tcPr>
          <w:p w14:paraId="0F46A205" w14:textId="77777777" w:rsidR="000E48CE" w:rsidRDefault="00FF4C4E">
            <w:pPr>
              <w:pStyle w:val="P68B1DB1-Normal13"/>
              <w:spacing w:after="0" w:line="240" w:lineRule="auto"/>
              <w:jc w:val="center"/>
              <w:rPr>
                <w:rFonts w:cs="Times New Roman"/>
                <w:noProof/>
              </w:rPr>
            </w:pPr>
            <w:r>
              <w:rPr>
                <w:noProof/>
              </w:rPr>
              <w:t>T</w:t>
            </w:r>
          </w:p>
        </w:tc>
        <w:tc>
          <w:tcPr>
            <w:tcW w:w="2685" w:type="dxa"/>
            <w:shd w:val="clear" w:color="auto" w:fill="C6EFCE"/>
            <w:noWrap/>
          </w:tcPr>
          <w:p w14:paraId="23C263C6" w14:textId="34B4572C" w:rsidR="000E48CE" w:rsidRDefault="00FF4C4E">
            <w:pPr>
              <w:pStyle w:val="P68B1DB1-Normal13"/>
              <w:spacing w:after="0" w:line="240" w:lineRule="auto"/>
              <w:rPr>
                <w:rFonts w:eastAsia="Times New Roman" w:cs="Times New Roman"/>
                <w:noProof/>
              </w:rPr>
            </w:pPr>
            <w:r>
              <w:rPr>
                <w:noProof/>
              </w:rPr>
              <w:t xml:space="preserve">Turvallisuus- ja palautumisrahasto: Lopullisten edunsaajien (mukaan lukien oman pääoman ehtoiset rahastot) </w:t>
            </w:r>
            <w:r>
              <w:rPr>
                <w:noProof/>
              </w:rPr>
              <w:t>kanssa allekirjoitetut oikeudelliset rahoitussopimukset (II)</w:t>
            </w:r>
          </w:p>
        </w:tc>
        <w:tc>
          <w:tcPr>
            <w:tcW w:w="1358" w:type="dxa"/>
            <w:shd w:val="clear" w:color="auto" w:fill="C6EFCE"/>
            <w:noWrap/>
          </w:tcPr>
          <w:p w14:paraId="737A611E" w14:textId="0662E0A0" w:rsidR="000E48CE" w:rsidRDefault="000E48CE">
            <w:pPr>
              <w:spacing w:after="0" w:line="240" w:lineRule="auto"/>
              <w:jc w:val="center"/>
              <w:rPr>
                <w:rFonts w:ascii="Times New Roman" w:hAnsi="Times New Roman" w:cs="Times New Roman"/>
                <w:noProof/>
                <w:sz w:val="18"/>
              </w:rPr>
            </w:pPr>
          </w:p>
        </w:tc>
        <w:tc>
          <w:tcPr>
            <w:tcW w:w="698" w:type="dxa"/>
            <w:shd w:val="clear" w:color="auto" w:fill="C6EFCE"/>
            <w:noWrap/>
          </w:tcPr>
          <w:p w14:paraId="38ECB2F6" w14:textId="6BDE6811" w:rsidR="000E48CE" w:rsidRDefault="000E48CE">
            <w:pPr>
              <w:spacing w:after="0" w:line="240" w:lineRule="auto"/>
              <w:jc w:val="right"/>
              <w:rPr>
                <w:rFonts w:ascii="Times New Roman" w:hAnsi="Times New Roman" w:cs="Times New Roman"/>
                <w:noProof/>
                <w:sz w:val="18"/>
              </w:rPr>
            </w:pPr>
          </w:p>
        </w:tc>
        <w:tc>
          <w:tcPr>
            <w:tcW w:w="698" w:type="dxa"/>
            <w:shd w:val="clear" w:color="auto" w:fill="C6EFCE"/>
            <w:noWrap/>
          </w:tcPr>
          <w:p w14:paraId="6B9A52F8" w14:textId="1F37611B" w:rsidR="000E48CE" w:rsidRDefault="000E48CE">
            <w:pPr>
              <w:spacing w:after="0" w:line="240" w:lineRule="auto"/>
              <w:jc w:val="right"/>
              <w:rPr>
                <w:rFonts w:ascii="Times New Roman" w:eastAsia="Times New Roman" w:hAnsi="Times New Roman" w:cs="Times New Roman"/>
                <w:noProof/>
                <w:sz w:val="18"/>
              </w:rPr>
            </w:pPr>
          </w:p>
        </w:tc>
        <w:tc>
          <w:tcPr>
            <w:tcW w:w="913" w:type="dxa"/>
            <w:shd w:val="clear" w:color="auto" w:fill="C6EFCE"/>
            <w:noWrap/>
          </w:tcPr>
          <w:p w14:paraId="03176944" w14:textId="13FDD322" w:rsidR="000E48CE" w:rsidRDefault="00FF4C4E">
            <w:pPr>
              <w:pStyle w:val="P68B1DB1-Normal13"/>
              <w:spacing w:after="0" w:line="240" w:lineRule="auto"/>
              <w:jc w:val="right"/>
              <w:rPr>
                <w:rFonts w:eastAsia="Times New Roman" w:cs="Times New Roman"/>
                <w:noProof/>
              </w:rPr>
            </w:pPr>
            <w:r>
              <w:rPr>
                <w:noProof/>
              </w:rPr>
              <w:t>100 %</w:t>
            </w:r>
          </w:p>
        </w:tc>
        <w:tc>
          <w:tcPr>
            <w:tcW w:w="419" w:type="dxa"/>
            <w:shd w:val="clear" w:color="auto" w:fill="C6EFCE"/>
            <w:noWrap/>
          </w:tcPr>
          <w:p w14:paraId="342E031C" w14:textId="086BA1AB" w:rsidR="000E48CE" w:rsidRDefault="00FF4C4E">
            <w:pPr>
              <w:pStyle w:val="P68B1DB1-Normal13"/>
              <w:spacing w:after="0" w:line="240" w:lineRule="auto"/>
              <w:jc w:val="center"/>
              <w:rPr>
                <w:rFonts w:eastAsia="Times New Roman" w:cs="Times New Roman"/>
                <w:noProof/>
              </w:rPr>
            </w:pPr>
            <w:r>
              <w:rPr>
                <w:noProof/>
              </w:rPr>
              <w:t>KOLMAS VUOSINELJÄNNES</w:t>
            </w:r>
          </w:p>
        </w:tc>
        <w:tc>
          <w:tcPr>
            <w:tcW w:w="827" w:type="dxa"/>
            <w:shd w:val="clear" w:color="auto" w:fill="C6EFCE"/>
            <w:noWrap/>
          </w:tcPr>
          <w:p w14:paraId="643A25DC" w14:textId="77777777" w:rsidR="000E48CE" w:rsidRDefault="00FF4C4E">
            <w:pPr>
              <w:pStyle w:val="P68B1DB1-Normal13"/>
              <w:spacing w:after="0" w:line="240" w:lineRule="auto"/>
              <w:jc w:val="center"/>
              <w:rPr>
                <w:rFonts w:eastAsia="Times New Roman" w:cs="Times New Roman"/>
                <w:noProof/>
              </w:rPr>
            </w:pPr>
            <w:r>
              <w:rPr>
                <w:noProof/>
              </w:rPr>
              <w:t>2026</w:t>
            </w:r>
          </w:p>
        </w:tc>
        <w:tc>
          <w:tcPr>
            <w:tcW w:w="5165" w:type="dxa"/>
            <w:shd w:val="clear" w:color="auto" w:fill="C6EFCE"/>
            <w:noWrap/>
          </w:tcPr>
          <w:p w14:paraId="25CB4DDA" w14:textId="0D8B68F6" w:rsidR="000E48CE" w:rsidRDefault="00FF4C4E">
            <w:pPr>
              <w:pStyle w:val="P68B1DB1-Normal13"/>
              <w:spacing w:after="0" w:line="240" w:lineRule="auto"/>
              <w:rPr>
                <w:rFonts w:eastAsia="Times New Roman" w:cs="Times New Roman"/>
                <w:noProof/>
              </w:rPr>
            </w:pPr>
            <w:r>
              <w:rPr>
                <w:noProof/>
              </w:rPr>
              <w:t>Tukiväline ja kaikki SEPIDESin valitsemat välittäjät ovat tehneet lopullisten edunsaajien (pääomarahastot mukaan lukien) kanssa oikeudellisia rahoitussopimuksi</w:t>
            </w:r>
            <w:r>
              <w:rPr>
                <w:noProof/>
              </w:rPr>
              <w:t>a, joiden määrä on tarpeen, jotta elpymis- ja palautumistukivälineen investoinneista voidaan käyttää 100 prosenttia tukivälineeseen (hallinnolliset maksut huomioon ottaen). Vähintään 10 prosenttia rahoituksesta vastaa pääomarahastojen kanssa allekirjoitett</w:t>
            </w:r>
            <w:r>
              <w:rPr>
                <w:noProof/>
              </w:rPr>
              <w:t>uja rahoitussopimuksia ja vähintään 40 prosenttia rahoitussopimuksia, jotka on allekirjoitettu lopullisten tuensaajien kanssa kaikista muista sijoitustuotteista (mukaan lukien toteutuskumppanin suorat pääomasijoitukset).</w:t>
            </w:r>
          </w:p>
        </w:tc>
      </w:tr>
      <w:tr w:rsidR="000E48CE" w14:paraId="43BFD388" w14:textId="77777777">
        <w:trPr>
          <w:trHeight w:val="309"/>
        </w:trPr>
        <w:tc>
          <w:tcPr>
            <w:tcW w:w="837" w:type="dxa"/>
            <w:shd w:val="clear" w:color="auto" w:fill="C6EFCE"/>
            <w:noWrap/>
          </w:tcPr>
          <w:p w14:paraId="71E826CB" w14:textId="6FDBF7F5" w:rsidR="000E48CE" w:rsidRDefault="00FF4C4E">
            <w:pPr>
              <w:pStyle w:val="P68B1DB1-Normal13"/>
              <w:spacing w:after="0" w:line="240" w:lineRule="auto"/>
              <w:jc w:val="center"/>
              <w:rPr>
                <w:rFonts w:eastAsia="Times New Roman" w:cs="Times New Roman"/>
                <w:noProof/>
              </w:rPr>
            </w:pPr>
            <w:r>
              <w:rPr>
                <w:noProof/>
              </w:rPr>
              <w:t>L21</w:t>
            </w:r>
          </w:p>
        </w:tc>
        <w:tc>
          <w:tcPr>
            <w:tcW w:w="837" w:type="dxa"/>
            <w:shd w:val="clear" w:color="auto" w:fill="C6EFCE"/>
            <w:noWrap/>
          </w:tcPr>
          <w:p w14:paraId="72253F6A" w14:textId="77777777" w:rsidR="000E48CE" w:rsidRDefault="00FF4C4E">
            <w:pPr>
              <w:pStyle w:val="P68B1DB1-Normal13"/>
              <w:spacing w:after="0" w:line="240" w:lineRule="auto"/>
              <w:jc w:val="center"/>
              <w:rPr>
                <w:rFonts w:cs="Times New Roman"/>
                <w:noProof/>
              </w:rPr>
            </w:pPr>
            <w:r>
              <w:rPr>
                <w:noProof/>
              </w:rPr>
              <w:t>C11.I6</w:t>
            </w:r>
          </w:p>
        </w:tc>
        <w:tc>
          <w:tcPr>
            <w:tcW w:w="836" w:type="dxa"/>
            <w:shd w:val="clear" w:color="auto" w:fill="C6EFCE"/>
            <w:noWrap/>
          </w:tcPr>
          <w:p w14:paraId="19FEC783" w14:textId="69F4304C" w:rsidR="000E48CE" w:rsidRDefault="00FF4C4E">
            <w:pPr>
              <w:pStyle w:val="P68B1DB1-Normal13"/>
              <w:spacing w:after="0" w:line="240" w:lineRule="auto"/>
              <w:jc w:val="center"/>
              <w:rPr>
                <w:rFonts w:cs="Times New Roman"/>
                <w:noProof/>
              </w:rPr>
            </w:pPr>
            <w:r>
              <w:rPr>
                <w:noProof/>
              </w:rPr>
              <w:t>M</w:t>
            </w:r>
          </w:p>
        </w:tc>
        <w:tc>
          <w:tcPr>
            <w:tcW w:w="2685" w:type="dxa"/>
            <w:shd w:val="clear" w:color="auto" w:fill="C6EFCE"/>
            <w:noWrap/>
          </w:tcPr>
          <w:p w14:paraId="5E38A5C2" w14:textId="26CAFEB0" w:rsidR="000E48CE" w:rsidRDefault="00FF4C4E">
            <w:pPr>
              <w:pStyle w:val="P68B1DB1-Normal13"/>
              <w:spacing w:after="0" w:line="240" w:lineRule="auto"/>
              <w:rPr>
                <w:rFonts w:eastAsia="Times New Roman" w:cs="Times New Roman"/>
                <w:noProof/>
              </w:rPr>
            </w:pPr>
            <w:r>
              <w:rPr>
                <w:noProof/>
              </w:rPr>
              <w:t xml:space="preserve">Turvallisuus- ja </w:t>
            </w:r>
            <w:r>
              <w:rPr>
                <w:noProof/>
              </w:rPr>
              <w:t>palautumisrahasto: Ministeriö on saattanut investoinnin päätökseen</w:t>
            </w:r>
          </w:p>
        </w:tc>
        <w:tc>
          <w:tcPr>
            <w:tcW w:w="1358" w:type="dxa"/>
            <w:shd w:val="clear" w:color="auto" w:fill="C6EFCE"/>
            <w:noWrap/>
          </w:tcPr>
          <w:p w14:paraId="3E3BF405" w14:textId="737AC62E" w:rsidR="000E48CE" w:rsidRDefault="00FF4C4E">
            <w:pPr>
              <w:pStyle w:val="P68B1DB1-Normal13"/>
              <w:spacing w:after="0" w:line="240" w:lineRule="auto"/>
              <w:jc w:val="center"/>
              <w:rPr>
                <w:rFonts w:cs="Times New Roman"/>
                <w:noProof/>
              </w:rPr>
            </w:pPr>
            <w:r>
              <w:rPr>
                <w:noProof/>
              </w:rPr>
              <w:t>Siirtotodistus</w:t>
            </w:r>
          </w:p>
        </w:tc>
        <w:tc>
          <w:tcPr>
            <w:tcW w:w="698" w:type="dxa"/>
            <w:shd w:val="clear" w:color="auto" w:fill="C6EFCE"/>
            <w:noWrap/>
          </w:tcPr>
          <w:p w14:paraId="1D0D36EA" w14:textId="58AF3D04" w:rsidR="000E48CE" w:rsidRDefault="000E48CE">
            <w:pPr>
              <w:spacing w:after="0" w:line="240" w:lineRule="auto"/>
              <w:jc w:val="right"/>
              <w:rPr>
                <w:rFonts w:ascii="Times New Roman" w:hAnsi="Times New Roman" w:cs="Times New Roman"/>
                <w:noProof/>
                <w:sz w:val="18"/>
              </w:rPr>
            </w:pPr>
          </w:p>
        </w:tc>
        <w:tc>
          <w:tcPr>
            <w:tcW w:w="698" w:type="dxa"/>
            <w:shd w:val="clear" w:color="auto" w:fill="C6EFCE"/>
            <w:noWrap/>
          </w:tcPr>
          <w:p w14:paraId="1F007358" w14:textId="411739BF" w:rsidR="000E48CE" w:rsidRDefault="000E48CE">
            <w:pPr>
              <w:spacing w:after="0" w:line="240" w:lineRule="auto"/>
              <w:jc w:val="right"/>
              <w:rPr>
                <w:rFonts w:ascii="Times New Roman" w:eastAsia="Times New Roman" w:hAnsi="Times New Roman" w:cs="Times New Roman"/>
                <w:noProof/>
                <w:sz w:val="18"/>
              </w:rPr>
            </w:pPr>
          </w:p>
        </w:tc>
        <w:tc>
          <w:tcPr>
            <w:tcW w:w="913" w:type="dxa"/>
            <w:shd w:val="clear" w:color="auto" w:fill="C6EFCE"/>
            <w:noWrap/>
          </w:tcPr>
          <w:p w14:paraId="6F55C39E" w14:textId="1D41CAA6" w:rsidR="000E48CE" w:rsidRDefault="000E48CE">
            <w:pPr>
              <w:spacing w:after="0" w:line="240" w:lineRule="auto"/>
              <w:jc w:val="right"/>
              <w:rPr>
                <w:rFonts w:ascii="Times New Roman" w:eastAsia="Times New Roman" w:hAnsi="Times New Roman" w:cs="Times New Roman"/>
                <w:noProof/>
                <w:sz w:val="18"/>
              </w:rPr>
            </w:pPr>
          </w:p>
        </w:tc>
        <w:tc>
          <w:tcPr>
            <w:tcW w:w="419" w:type="dxa"/>
            <w:shd w:val="clear" w:color="auto" w:fill="C6EFCE"/>
            <w:noWrap/>
          </w:tcPr>
          <w:p w14:paraId="483E7DA2" w14:textId="2425D8D7" w:rsidR="000E48CE" w:rsidRDefault="00FF4C4E">
            <w:pPr>
              <w:pStyle w:val="P68B1DB1-Normal13"/>
              <w:spacing w:after="0" w:line="240" w:lineRule="auto"/>
              <w:jc w:val="center"/>
              <w:rPr>
                <w:rFonts w:eastAsia="Times New Roman" w:cs="Times New Roman"/>
                <w:noProof/>
              </w:rPr>
            </w:pPr>
            <w:r>
              <w:rPr>
                <w:noProof/>
              </w:rPr>
              <w:t>KOLMAS VUOSINELJÄNNES</w:t>
            </w:r>
          </w:p>
        </w:tc>
        <w:tc>
          <w:tcPr>
            <w:tcW w:w="827" w:type="dxa"/>
            <w:shd w:val="clear" w:color="auto" w:fill="C6EFCE"/>
            <w:noWrap/>
          </w:tcPr>
          <w:p w14:paraId="206685CC" w14:textId="77777777" w:rsidR="000E48CE" w:rsidRDefault="00FF4C4E">
            <w:pPr>
              <w:pStyle w:val="P68B1DB1-Normal13"/>
              <w:spacing w:after="0" w:line="240" w:lineRule="auto"/>
              <w:jc w:val="center"/>
              <w:rPr>
                <w:rFonts w:eastAsia="Times New Roman" w:cs="Times New Roman"/>
                <w:noProof/>
              </w:rPr>
            </w:pPr>
            <w:r>
              <w:rPr>
                <w:noProof/>
              </w:rPr>
              <w:t>2026</w:t>
            </w:r>
          </w:p>
        </w:tc>
        <w:tc>
          <w:tcPr>
            <w:tcW w:w="5165" w:type="dxa"/>
            <w:shd w:val="clear" w:color="auto" w:fill="C6EFCE"/>
            <w:noWrap/>
          </w:tcPr>
          <w:p w14:paraId="1827A3B3" w14:textId="7A7DC374" w:rsidR="000E48CE" w:rsidRDefault="00FF4C4E">
            <w:pPr>
              <w:pStyle w:val="P68B1DB1-Normal13"/>
              <w:spacing w:after="0" w:line="240" w:lineRule="auto"/>
              <w:rPr>
                <w:rFonts w:eastAsia="Times New Roman" w:cs="Times New Roman"/>
                <w:noProof/>
              </w:rPr>
            </w:pPr>
            <w:r>
              <w:rPr>
                <w:noProof/>
              </w:rPr>
              <w:t>Espanja siirtää 1000000000 euroa tukivälineeseen.</w:t>
            </w:r>
          </w:p>
        </w:tc>
      </w:tr>
    </w:tbl>
    <w:p w14:paraId="23653004" w14:textId="77777777" w:rsidR="000E48CE" w:rsidRDefault="000E48CE">
      <w:pPr>
        <w:pStyle w:val="Heading1"/>
        <w:jc w:val="left"/>
        <w:rPr>
          <w:rFonts w:ascii="Times New Roman" w:hAnsi="Times New Roman" w:cs="Times New Roman"/>
          <w:noProof/>
          <w:sz w:val="24"/>
        </w:rPr>
        <w:sectPr w:rsidR="000E48CE" w:rsidSect="00EB7CC8">
          <w:headerReference w:type="even" r:id="rId240"/>
          <w:headerReference w:type="default" r:id="rId241"/>
          <w:footerReference w:type="even" r:id="rId242"/>
          <w:footerReference w:type="default" r:id="rId243"/>
          <w:headerReference w:type="first" r:id="rId244"/>
          <w:footerReference w:type="first" r:id="rId245"/>
          <w:pgSz w:w="16839" w:h="11907" w:orient="landscape"/>
          <w:pgMar w:top="1417" w:right="1134" w:bottom="1417" w:left="1134" w:header="709" w:footer="709" w:gutter="0"/>
          <w:cols w:space="720"/>
          <w:docGrid w:linePitch="360"/>
        </w:sectPr>
      </w:pPr>
    </w:p>
    <w:p w14:paraId="3A744280" w14:textId="77777777" w:rsidR="000E48CE" w:rsidRDefault="00FF4C4E">
      <w:pPr>
        <w:pStyle w:val="P68B1DB1-Heading12"/>
        <w:rPr>
          <w:rFonts w:cs="Times New Roman"/>
          <w:noProof/>
        </w:rPr>
      </w:pPr>
      <w:r>
        <w:rPr>
          <w:noProof/>
        </w:rPr>
        <w:t xml:space="preserve">L. OSA 12: </w:t>
      </w:r>
      <w:r>
        <w:rPr>
          <w:noProof/>
        </w:rPr>
        <w:t>Teollisuuspolitiikka</w:t>
      </w:r>
    </w:p>
    <w:p w14:paraId="1927F800" w14:textId="77777777" w:rsidR="000E48CE" w:rsidRDefault="00FF4C4E">
      <w:pPr>
        <w:pStyle w:val="P68B1DB1-Normal4"/>
        <w:spacing w:before="120" w:after="120" w:line="240" w:lineRule="auto"/>
        <w:jc w:val="both"/>
        <w:rPr>
          <w:rFonts w:cs="Times New Roman"/>
          <w:noProof/>
        </w:rPr>
      </w:pPr>
      <w:r>
        <w:rPr>
          <w:noProof/>
        </w:rPr>
        <w:t>Espanjan elpymis- ja palautumissuunnitelman osa-alueen 12 tavoitteena on edistää Espanjan teollisuuden ja palvelujen ekosysteemin nykyaikaistamista ja tuottavuutta ottamalla digitaalinen ja vihreä siirtymä nopeammin käyttöön.</w:t>
      </w:r>
    </w:p>
    <w:p w14:paraId="2D61E720" w14:textId="751A43F5" w:rsidR="000E48CE" w:rsidRDefault="00FF4C4E">
      <w:pPr>
        <w:spacing w:before="120" w:after="120" w:line="240" w:lineRule="auto"/>
        <w:jc w:val="both"/>
        <w:rPr>
          <w:rFonts w:ascii="Times New Roman" w:hAnsi="Times New Roman" w:cs="Times New Roman"/>
          <w:noProof/>
          <w:sz w:val="24"/>
        </w:rPr>
      </w:pPr>
      <w:r>
        <w:rPr>
          <w:rFonts w:ascii="Times New Roman" w:hAnsi="Times New Roman"/>
          <w:noProof/>
          <w:sz w:val="24"/>
        </w:rPr>
        <w:t>Tämä Espa</w:t>
      </w:r>
      <w:r>
        <w:rPr>
          <w:rFonts w:ascii="Times New Roman" w:hAnsi="Times New Roman"/>
          <w:noProof/>
          <w:sz w:val="24"/>
        </w:rPr>
        <w:t>njan elpymis- ja palautumissuunnitelman osa edistää innovointiin ja energiatehokkuuteen tehtävien investointien edistämistä koskevan maakohtaisen suosituksen 3–2019 noudattamista. Se on myös linjassa maakohtaisen suosituksen 3 2020 kanssa (edistämällä julk</w:t>
      </w:r>
      <w:r>
        <w:rPr>
          <w:rFonts w:ascii="Times New Roman" w:hAnsi="Times New Roman"/>
          <w:noProof/>
          <w:sz w:val="24"/>
        </w:rPr>
        <w:t>isia ja yksityisiä investointeja ja edistämällä vihreää siirtymää). Osa-alue auttaa myös noudattamaan maakohtaista suositusta 2 2019 yritysten ja koulutuksen välisen yhteistyön edistämisestä työmarkkinoiden kannalta merkityksellisten taitojen tarjoamiseksi</w:t>
      </w:r>
      <w:r>
        <w:rPr>
          <w:rFonts w:ascii="Times New Roman" w:hAnsi="Times New Roman"/>
          <w:noProof/>
          <w:sz w:val="24"/>
        </w:rPr>
        <w:t xml:space="preserve"> ja maakohtaista suositusta 1 2020 terveydenhuoltojärjestelmän häiriönsietokyvyn vahvistamisesta. Komponentilla edistetään myös maakohtaista suositusta 3 2022, joka koskee kierrätysasteen nostamista EU:n tavoitteiden saavuttamiseksi ja kiertotalouden edist</w:t>
      </w:r>
      <w:r>
        <w:rPr>
          <w:rFonts w:ascii="Times New Roman" w:hAnsi="Times New Roman"/>
          <w:noProof/>
          <w:sz w:val="24"/>
        </w:rPr>
        <w:t>ämiseksi tehostamalla kaikkien hallintotasojen välistä koordinointia ja tekemällä lisäinvestointeja jätteiden erilliskeräystä ja kierrätystä koskevien velvoitteiden täyttämiseksi.</w:t>
      </w:r>
      <w:r>
        <w:rPr>
          <w:noProof/>
        </w:rPr>
        <w:t xml:space="preserve"> </w:t>
      </w:r>
      <w:r>
        <w:rPr>
          <w:rFonts w:ascii="Times New Roman" w:hAnsi="Times New Roman"/>
          <w:noProof/>
          <w:sz w:val="24"/>
        </w:rPr>
        <w:t>Komponentilla edistetään myös maakohtaista suositusta 3 2023, jolla vähennet</w:t>
      </w:r>
      <w:r>
        <w:rPr>
          <w:rFonts w:ascii="Times New Roman" w:hAnsi="Times New Roman"/>
          <w:noProof/>
          <w:sz w:val="24"/>
        </w:rPr>
        <w:t>ään riippuvuutta fossiilisista polttoaineista, nopeutetaan uusiutuvan energian käyttöönottoa ja sähköisen liikkuvuuden yleistymistä.</w:t>
      </w:r>
    </w:p>
    <w:p w14:paraId="1FEC8946" w14:textId="69A8A817" w:rsidR="000E48CE" w:rsidRDefault="00FF4C4E">
      <w:pPr>
        <w:pStyle w:val="P68B1DB1-Normal4"/>
        <w:spacing w:before="120" w:after="120" w:line="240" w:lineRule="auto"/>
        <w:jc w:val="both"/>
        <w:rPr>
          <w:rFonts w:cs="Times New Roman"/>
          <w:noProof/>
        </w:rPr>
      </w:pPr>
      <w:r>
        <w:rPr>
          <w:noProof/>
        </w:rPr>
        <w:t>Yksi osa-alueeseen sisältyvien toimenpiteiden tavoitteista on helpottaa espanjalaisten yritysten osallistumista suunniteltu</w:t>
      </w:r>
      <w:r>
        <w:rPr>
          <w:noProof/>
        </w:rPr>
        <w:t>un Euroopan yhteistä etua koskevaan tärkeään hankkeeseen (IPCEI).</w:t>
      </w:r>
    </w:p>
    <w:p w14:paraId="505B0351" w14:textId="77777777" w:rsidR="000E48CE" w:rsidRDefault="00FF4C4E">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w:t>
      </w:r>
      <w:r>
        <w:rPr>
          <w:noProof/>
        </w:rPr>
        <w:t>ää haittaa” -periaatteen soveltamista koskevien teknisten ohjeiden (2021/C58/01) mukaiset elpymis- ja palautumissuunnitelmassa esitettyjen toimenpiteiden kuvaus ja lieventävät toimet.</w:t>
      </w:r>
    </w:p>
    <w:p w14:paraId="4E9B1FCE" w14:textId="77777777" w:rsidR="000E48CE" w:rsidRDefault="00FF4C4E">
      <w:pPr>
        <w:pStyle w:val="P68B1DB1-Normal5"/>
        <w:spacing w:before="120" w:after="120" w:line="240" w:lineRule="auto"/>
        <w:ind w:left="720"/>
        <w:jc w:val="both"/>
        <w:rPr>
          <w:rFonts w:cs="Times New Roman"/>
          <w:i/>
          <w:noProof/>
        </w:rPr>
      </w:pPr>
      <w:r>
        <w:rPr>
          <w:noProof/>
        </w:rPr>
        <w:t xml:space="preserve">L.1 </w:t>
      </w:r>
      <w:r>
        <w:rPr>
          <w:noProof/>
        </w:rPr>
        <w:tab/>
        <w:t>Kuvaus uudistuksista ja investoinneista, joita rahoitetaan rahoitus</w:t>
      </w:r>
      <w:r>
        <w:rPr>
          <w:noProof/>
        </w:rPr>
        <w:t>tuella, jota ei makseta takaisin</w:t>
      </w:r>
    </w:p>
    <w:p w14:paraId="301FF276" w14:textId="77777777" w:rsidR="000E48CE" w:rsidRDefault="00FF4C4E">
      <w:pPr>
        <w:pStyle w:val="P68B1DB1-Normal6"/>
        <w:spacing w:before="120" w:after="120" w:line="240" w:lineRule="auto"/>
        <w:jc w:val="both"/>
        <w:rPr>
          <w:rFonts w:cs="Times New Roman"/>
          <w:noProof/>
        </w:rPr>
      </w:pPr>
      <w:r>
        <w:rPr>
          <w:noProof/>
        </w:rPr>
        <w:t>Uudistus 1 (C12.R1) – Espanjan strategia teollisuuden edistämiseksi 2030</w:t>
      </w:r>
    </w:p>
    <w:p w14:paraId="54A55D6D" w14:textId="77777777" w:rsidR="000E48CE" w:rsidRDefault="00FF4C4E">
      <w:pPr>
        <w:spacing w:before="120" w:after="120" w:line="240" w:lineRule="auto"/>
        <w:jc w:val="both"/>
        <w:rPr>
          <w:rFonts w:ascii="Times New Roman" w:hAnsi="Times New Roman" w:cs="Times New Roman"/>
          <w:noProof/>
          <w:sz w:val="24"/>
        </w:rPr>
      </w:pPr>
      <w:r>
        <w:rPr>
          <w:rFonts w:ascii="Times New Roman" w:hAnsi="Times New Roman"/>
          <w:noProof/>
          <w:sz w:val="24"/>
        </w:rPr>
        <w:t>Teollisuuden edistämistä vuoteen 2030 koskevan Espanjan strategian tavoitteena on mukauttaa sääntelykehystä, jotta teollisuutta voidaan auttaa selviyt</w:t>
      </w:r>
      <w:r>
        <w:rPr>
          <w:rFonts w:ascii="Times New Roman" w:hAnsi="Times New Roman"/>
          <w:noProof/>
          <w:sz w:val="24"/>
        </w:rPr>
        <w:t>ymään palveluksesta, digitalisaatiosta, ympäristön kestävyydestä ja kiertotaloudesta johtuvista haasteista. Strategiaan sisältyy erityisesti vuonna 1992 annetun teollisuuslain uudistus. Toimenpiteen tavoitteena on parantaa teollisuuspolitiikan eri hallinto</w:t>
      </w:r>
      <w:r>
        <w:rPr>
          <w:rFonts w:ascii="Times New Roman" w:hAnsi="Times New Roman"/>
          <w:noProof/>
          <w:sz w:val="24"/>
        </w:rPr>
        <w:t>tasojen välisiä koordinointimekanismeja ja parantaa teollisuuden laatua ja turvallisuutta vahvistamalla markkinavalvontajärjestelmää markkinavalvonnasta ja tuotteiden vaatimustenmukaisuudesta sekä direktiivin 2004/42/EY ja asetusten (EY) N:o 765/2008 ja (E</w:t>
      </w:r>
      <w:r>
        <w:rPr>
          <w:rFonts w:ascii="Times New Roman" w:hAnsi="Times New Roman"/>
          <w:noProof/>
          <w:sz w:val="24"/>
        </w:rPr>
        <w:t>U) N:o 305/2011 muuttamisesta 20 päivänä kesäkuuta 2019 annetun Euroopan parlamentin ja neuvoston asetuksen (EU) 2019/1020 mukaisesti</w:t>
      </w:r>
      <w:r>
        <w:rPr>
          <w:rStyle w:val="FootnoteReference"/>
          <w:rFonts w:ascii="Times New Roman" w:hAnsi="Times New Roman" w:cs="Times New Roman"/>
          <w:noProof/>
          <w:sz w:val="24"/>
        </w:rPr>
        <w:footnoteReference w:id="33"/>
      </w:r>
      <w:r>
        <w:rPr>
          <w:rFonts w:ascii="Times New Roman" w:hAnsi="Times New Roman"/>
          <w:noProof/>
          <w:sz w:val="24"/>
        </w:rPr>
        <w:t>. Lopuksi on tarkistettava teollisuuspolitiikan rikkomusten määritelmää ja päivitettävä mahdollisesti sovellettavien seura</w:t>
      </w:r>
      <w:r>
        <w:rPr>
          <w:rFonts w:ascii="Times New Roman" w:hAnsi="Times New Roman"/>
          <w:noProof/>
          <w:sz w:val="24"/>
        </w:rPr>
        <w:t>amusten tasoa.</w:t>
      </w:r>
    </w:p>
    <w:p w14:paraId="66FE0027" w14:textId="52714F8C"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päivänä joulukuuta 2023.</w:t>
      </w:r>
    </w:p>
    <w:p w14:paraId="3958C50A" w14:textId="77777777" w:rsidR="000E48CE" w:rsidRDefault="00FF4C4E">
      <w:pPr>
        <w:pStyle w:val="P68B1DB1-Normal6"/>
        <w:spacing w:before="120" w:after="120" w:line="240" w:lineRule="auto"/>
        <w:jc w:val="both"/>
        <w:rPr>
          <w:rFonts w:cs="Times New Roman"/>
          <w:noProof/>
        </w:rPr>
      </w:pPr>
      <w:r>
        <w:rPr>
          <w:noProof/>
        </w:rPr>
        <w:t>Uudistus 2 (C12.R2) – Jätepolitiikka ja kiertotalouden edistäminen</w:t>
      </w:r>
    </w:p>
    <w:p w14:paraId="1D8BE78D" w14:textId="77777777" w:rsidR="000E48CE" w:rsidRDefault="00FF4C4E">
      <w:pPr>
        <w:pStyle w:val="P68B1DB1-Normal4"/>
        <w:spacing w:before="120" w:after="120" w:line="240" w:lineRule="auto"/>
        <w:jc w:val="both"/>
        <w:rPr>
          <w:rFonts w:cs="Times New Roman"/>
          <w:noProof/>
        </w:rPr>
      </w:pPr>
      <w:r>
        <w:rPr>
          <w:noProof/>
        </w:rPr>
        <w:t xml:space="preserve">Toimenpiteen tavoitteena on edistää sellaisia tuotanto- ja kulutusmalleja, jotka </w:t>
      </w:r>
      <w:r>
        <w:rPr>
          <w:noProof/>
        </w:rPr>
        <w:t>pitävät tuotteet, materiaalit ja luonnonvarat taloudessa mahdollisimman pitkään. Tavoitteena on vähentää jätteen syntyminen mahdollisimman pieneksi ja varmistaa sellaisen jätteen täysimääräinen hyödyntäminen, jota ei voida välttää. Uudistukseen sisältyy Es</w:t>
      </w:r>
      <w:r>
        <w:rPr>
          <w:noProof/>
        </w:rPr>
        <w:t>panjan kiertotalousstrategian hyväksyminen kesäkuussa 2020 kiertotaloutta koskevien EU:n toimintasuunnitelmien mukaisesti.</w:t>
      </w:r>
    </w:p>
    <w:p w14:paraId="1B3EDAAD" w14:textId="77777777" w:rsidR="000E48CE" w:rsidRDefault="00FF4C4E">
      <w:pPr>
        <w:pStyle w:val="P68B1DB1-Normal4"/>
        <w:spacing w:before="120" w:after="120" w:line="240" w:lineRule="auto"/>
        <w:jc w:val="both"/>
        <w:rPr>
          <w:rFonts w:cs="Times New Roman"/>
          <w:noProof/>
        </w:rPr>
      </w:pPr>
      <w:r>
        <w:rPr>
          <w:noProof/>
        </w:rPr>
        <w:t>Toimenpiteeseen on sisällyttävä myös kiertotaloutta koskeva säädöspaketti, jolla säännellään jätteiden siirtoa ja hävittämistä ja rom</w:t>
      </w:r>
      <w:r>
        <w:rPr>
          <w:noProof/>
        </w:rPr>
        <w:t>urenkaiden hallintaa, sekä toimenpiteitä, jotka koskevat romuajoneuvoja. Tätä varten hyväksyttiin 2. kesäkuuta 2020 annettu kuninkaan asetus 553/2020, 7.7.2020 annettu kuninkaan asetus 646/2020 ja 4.8.2020 annettu kuninkaan asetus 731/2020 sekä 19.1.2021 j</w:t>
      </w:r>
      <w:r>
        <w:rPr>
          <w:noProof/>
        </w:rPr>
        <w:t>a 13.4.2021 annettu kuninkaan asetus 27/2021. Uudistukseen sisältyy myös se, että ministerineuvosto hyväksyy pakkauksia ja pakkausjätteitä koskevat sääntelytoimenpiteet vuoden 2022 aikana.</w:t>
      </w:r>
    </w:p>
    <w:p w14:paraId="5557D924" w14:textId="46C75789" w:rsidR="000E48CE" w:rsidRDefault="00FF4C4E">
      <w:pPr>
        <w:pStyle w:val="P68B1DB1-Normal4"/>
        <w:spacing w:before="120" w:after="120" w:line="240" w:lineRule="auto"/>
        <w:jc w:val="both"/>
        <w:rPr>
          <w:rFonts w:cs="Times New Roman"/>
          <w:noProof/>
        </w:rPr>
      </w:pPr>
      <w:r>
        <w:rPr>
          <w:noProof/>
        </w:rPr>
        <w:t>Lisäksi toimenpiteeseen sisältyy uuden jätteitä ja pilaantunutta ma</w:t>
      </w:r>
      <w:r>
        <w:rPr>
          <w:noProof/>
        </w:rPr>
        <w:t xml:space="preserve">aperää koskevan lain voimaantulo 31 päivään joulukuuta 2022 mennessä. Laissa säädetään seuraavaa: </w:t>
      </w:r>
    </w:p>
    <w:p w14:paraId="2632200F" w14:textId="77777777" w:rsidR="000E48CE" w:rsidRDefault="00FF4C4E">
      <w:pPr>
        <w:pStyle w:val="P68B1DB1-Normal4"/>
        <w:numPr>
          <w:ilvl w:val="0"/>
          <w:numId w:val="110"/>
        </w:numPr>
        <w:spacing w:before="120" w:after="120" w:line="240" w:lineRule="auto"/>
        <w:jc w:val="both"/>
        <w:rPr>
          <w:rFonts w:cs="Times New Roman"/>
          <w:noProof/>
        </w:rPr>
      </w:pPr>
      <w:r>
        <w:rPr>
          <w:noProof/>
        </w:rPr>
        <w:t>Jätepuitedirektiivin ja kertakäyttömuoveista annetun direktiivin täytäntöönpano sekä Espanjan lainsäädännön mukauttaminen viimeisten kymmenen vuoden aikana s</w:t>
      </w:r>
      <w:r>
        <w:rPr>
          <w:noProof/>
        </w:rPr>
        <w:t xml:space="preserve">aatujen kokemusten perusteella; </w:t>
      </w:r>
    </w:p>
    <w:p w14:paraId="6C049B17" w14:textId="77777777" w:rsidR="000E48CE" w:rsidRDefault="00FF4C4E">
      <w:pPr>
        <w:pStyle w:val="P68B1DB1-Normal4"/>
        <w:numPr>
          <w:ilvl w:val="0"/>
          <w:numId w:val="110"/>
        </w:numPr>
        <w:spacing w:before="120" w:after="120" w:line="240" w:lineRule="auto"/>
        <w:jc w:val="both"/>
        <w:rPr>
          <w:rFonts w:cs="Times New Roman"/>
          <w:noProof/>
        </w:rPr>
      </w:pPr>
      <w:r>
        <w:rPr>
          <w:noProof/>
        </w:rPr>
        <w:t>Jätteitä koskevien EU:n tavoitteiden käyttöönotto ja EU:n asetuksiin perustuvat erilliskeräystä koskevat velvoitteet, joilla ennakoidaan niiden täytäntöönpanoa biojätteessä yli 5000 asukkaan kunnissa. Lisäksi toimenpiteellä</w:t>
      </w:r>
      <w:r>
        <w:rPr>
          <w:noProof/>
        </w:rPr>
        <w:t xml:space="preserve"> otetaan käyttöön erilliskeräysvelvoitteita, jotka menevät unionin lainsäädännössä vahvistettuja vaatimuksia pidemmälle;</w:t>
      </w:r>
    </w:p>
    <w:p w14:paraId="07BEB1AD" w14:textId="77777777" w:rsidR="000E48CE" w:rsidRDefault="00FF4C4E">
      <w:pPr>
        <w:pStyle w:val="P68B1DB1-Normal4"/>
        <w:numPr>
          <w:ilvl w:val="0"/>
          <w:numId w:val="110"/>
        </w:numPr>
        <w:spacing w:before="120" w:after="120" w:line="240" w:lineRule="auto"/>
        <w:jc w:val="both"/>
        <w:rPr>
          <w:rFonts w:cs="Times New Roman"/>
          <w:noProof/>
        </w:rPr>
      </w:pPr>
      <w:r>
        <w:rPr>
          <w:noProof/>
        </w:rPr>
        <w:t>Laajennettua tuottajan vastuuta koskevan sääntelyn tarkistaminen ja uuden sääntelykehyksen luominen (jota edellytetään EU:n asetuksissa</w:t>
      </w:r>
      <w:r>
        <w:rPr>
          <w:noProof/>
        </w:rPr>
        <w:t xml:space="preserve"> ja muissa säädöksissä) ja</w:t>
      </w:r>
    </w:p>
    <w:p w14:paraId="39B2F81D" w14:textId="77777777" w:rsidR="000E48CE" w:rsidRDefault="00FF4C4E">
      <w:pPr>
        <w:pStyle w:val="P68B1DB1-Normal4"/>
        <w:numPr>
          <w:ilvl w:val="0"/>
          <w:numId w:val="110"/>
        </w:numPr>
        <w:spacing w:before="120" w:after="120" w:line="240" w:lineRule="auto"/>
        <w:jc w:val="both"/>
        <w:rPr>
          <w:rFonts w:cs="Times New Roman"/>
          <w:noProof/>
        </w:rPr>
      </w:pPr>
      <w:r>
        <w:rPr>
          <w:noProof/>
        </w:rPr>
        <w:t>Valtiollisen jäteverotuksen käyttöönotto (mukaan lukien kaatopaikalle sijoittaminen, polttaminen ja rinnakkaispolttaminen sekä kertakäyttöiset muovipakkaukset).</w:t>
      </w:r>
    </w:p>
    <w:p w14:paraId="21E54834" w14:textId="77777777" w:rsidR="000E48CE" w:rsidRDefault="00FF4C4E">
      <w:pPr>
        <w:pStyle w:val="P68B1DB1-Normal4"/>
        <w:spacing w:line="240" w:lineRule="auto"/>
        <w:jc w:val="both"/>
        <w:rPr>
          <w:rFonts w:eastAsia="Times New Roman" w:cs="Times New Roman"/>
          <w:noProof/>
        </w:rPr>
      </w:pPr>
      <w:r>
        <w:rPr>
          <w:noProof/>
        </w:rPr>
        <w:t>Uudistuksella edistetään koordinointia jätehuollon eri organisaatio- ja pätevyystasojen välillä, jotta voidaan parantaa lainsäädännön täytäntöönpanoa ja viime kädessä edistää jätteen syntymisen vähentämistä ja parantaa sellaisen jätteen käsittelyä, jonka s</w:t>
      </w:r>
      <w:r>
        <w:rPr>
          <w:noProof/>
        </w:rPr>
        <w:t xml:space="preserve">yntymistä ei voida välttää, jotta voidaan saavuttaa uudelleenkäyttöön valmistelua ja kierrätystä koskevat tavoitteet. </w:t>
      </w:r>
    </w:p>
    <w:p w14:paraId="740FBA4B" w14:textId="77777777" w:rsidR="000E48CE" w:rsidRDefault="00FF4C4E">
      <w:pPr>
        <w:pStyle w:val="P68B1DB1-Normal4"/>
        <w:spacing w:line="240" w:lineRule="auto"/>
        <w:jc w:val="both"/>
        <w:rPr>
          <w:rFonts w:eastAsia="Times New Roman" w:cs="Times New Roman"/>
          <w:noProof/>
        </w:rPr>
      </w:pPr>
      <w:r>
        <w:rPr>
          <w:noProof/>
        </w:rPr>
        <w:t>Tätä varten tähän uudistukseen sisältyvät seuraavat:</w:t>
      </w:r>
    </w:p>
    <w:p w14:paraId="1A6AD36C" w14:textId="6C8AD484" w:rsidR="000E48CE" w:rsidRDefault="00FF4C4E">
      <w:pPr>
        <w:pStyle w:val="P68B1DB1-ListParagraph24"/>
        <w:numPr>
          <w:ilvl w:val="0"/>
          <w:numId w:val="332"/>
        </w:numPr>
        <w:spacing w:line="240" w:lineRule="auto"/>
        <w:jc w:val="both"/>
        <w:rPr>
          <w:rFonts w:eastAsia="Times New Roman" w:cs="Times New Roman"/>
          <w:noProof/>
          <w:sz w:val="24"/>
        </w:rPr>
      </w:pPr>
      <w:r>
        <w:rPr>
          <w:noProof/>
          <w:sz w:val="24"/>
        </w:rPr>
        <w:t>Perustetaan jätteen koordinointikomiteaan työryhmä seuraamaan jätelainsäädännön täyt</w:t>
      </w:r>
      <w:r>
        <w:rPr>
          <w:noProof/>
          <w:sz w:val="24"/>
        </w:rPr>
        <w:t>äntöönpanoa ja hyväksymään erityistoimenpiteitä,</w:t>
      </w:r>
      <w:r>
        <w:rPr>
          <w:noProof/>
        </w:rPr>
        <w:t xml:space="preserve"> </w:t>
      </w:r>
      <w:r>
        <w:rPr>
          <w:noProof/>
          <w:sz w:val="24"/>
        </w:rPr>
        <w:t xml:space="preserve">joilla helpotetaan yhdenmukaistetun kansallisen jätehuoltolainsäädännön noudattamista. Sovitut toimenpiteet julkaistaan ministeriön verkkosivuilla. </w:t>
      </w:r>
    </w:p>
    <w:p w14:paraId="0F3D9999" w14:textId="062F2E1C" w:rsidR="000E48CE" w:rsidRDefault="00FF4C4E">
      <w:pPr>
        <w:pStyle w:val="P68B1DB1-ListParagraph7"/>
        <w:numPr>
          <w:ilvl w:val="0"/>
          <w:numId w:val="332"/>
        </w:numPr>
        <w:spacing w:line="240" w:lineRule="auto"/>
        <w:jc w:val="both"/>
        <w:rPr>
          <w:rFonts w:eastAsia="Times New Roman" w:cs="Times New Roman"/>
          <w:noProof/>
        </w:rPr>
      </w:pPr>
      <w:r>
        <w:rPr>
          <w:noProof/>
        </w:rPr>
        <w:t>Hyväksytään toinen kiertotaloutta koskeva säädöspaketti, j</w:t>
      </w:r>
      <w:r>
        <w:rPr>
          <w:noProof/>
        </w:rPr>
        <w:t>olla pannaan täytäntöön seuraavat näkökohdat:</w:t>
      </w:r>
    </w:p>
    <w:p w14:paraId="493A415F" w14:textId="68964B62" w:rsidR="000E48CE" w:rsidRDefault="00FF4C4E">
      <w:pPr>
        <w:pStyle w:val="P68B1DB1-ListParagraph7"/>
        <w:numPr>
          <w:ilvl w:val="1"/>
          <w:numId w:val="332"/>
        </w:numPr>
        <w:spacing w:line="240" w:lineRule="auto"/>
        <w:jc w:val="both"/>
        <w:rPr>
          <w:rFonts w:eastAsia="Times New Roman" w:cs="Times New Roman"/>
          <w:noProof/>
        </w:rPr>
      </w:pPr>
      <w:r>
        <w:rPr>
          <w:noProof/>
        </w:rPr>
        <w:t xml:space="preserve">Asetus tietyille tuottajille ja jätehuollosta vastaaville tahoille vaadittavista rahoitusvakuuksista siten, että nämä vakuudet lasketaan samojen perusteiden mukaisesti kaikilla alueilla </w:t>
      </w:r>
    </w:p>
    <w:p w14:paraId="5AEABB97" w14:textId="23EDEF5E" w:rsidR="000E48CE" w:rsidRDefault="00FF4C4E">
      <w:pPr>
        <w:pStyle w:val="P68B1DB1-ListParagraph7"/>
        <w:numPr>
          <w:ilvl w:val="1"/>
          <w:numId w:val="332"/>
        </w:numPr>
        <w:spacing w:line="240" w:lineRule="auto"/>
        <w:jc w:val="both"/>
        <w:rPr>
          <w:rFonts w:eastAsia="Times New Roman" w:cs="Times New Roman"/>
          <w:noProof/>
        </w:rPr>
      </w:pPr>
      <w:r>
        <w:rPr>
          <w:noProof/>
        </w:rPr>
        <w:t>Asetus tupakkatuotteist</w:t>
      </w:r>
      <w:r>
        <w:rPr>
          <w:noProof/>
        </w:rPr>
        <w:t>a, joissa on suodattimia ja suodattimia, joita pidetään kaupan käytettäväksi yhdessä tupakkatuotteiden kanssa.</w:t>
      </w:r>
      <w:bookmarkStart w:id="23" w:name="_Hlk141089476"/>
      <w:r>
        <w:rPr>
          <w:noProof/>
        </w:rPr>
        <w:t xml:space="preserve"> Asetuksessa on erityisesti:</w:t>
      </w:r>
    </w:p>
    <w:p w14:paraId="7A2B8723" w14:textId="63C8439F" w:rsidR="000E48CE" w:rsidRDefault="00FF4C4E">
      <w:pPr>
        <w:pStyle w:val="P68B1DB1-ListParagraph7"/>
        <w:numPr>
          <w:ilvl w:val="2"/>
          <w:numId w:val="332"/>
        </w:numPr>
        <w:spacing w:line="240" w:lineRule="auto"/>
        <w:jc w:val="both"/>
        <w:rPr>
          <w:rFonts w:eastAsia="Times New Roman" w:cs="Times New Roman"/>
          <w:noProof/>
        </w:rPr>
      </w:pPr>
      <w:r>
        <w:rPr>
          <w:noProof/>
        </w:rPr>
        <w:t>Asetetaan velvoite laatia ennaltaehkäisyohjelmia valmistajille, jotka saattavat tietyn määrän tuotteita kansallisille</w:t>
      </w:r>
      <w:r>
        <w:rPr>
          <w:noProof/>
        </w:rPr>
        <w:t xml:space="preserve"> markkinoille; </w:t>
      </w:r>
    </w:p>
    <w:p w14:paraId="72EC5082" w14:textId="685C1BD7" w:rsidR="000E48CE" w:rsidRDefault="00FF4C4E">
      <w:pPr>
        <w:pStyle w:val="P68B1DB1-ListParagraph7"/>
        <w:numPr>
          <w:ilvl w:val="2"/>
          <w:numId w:val="332"/>
        </w:numPr>
        <w:spacing w:line="240" w:lineRule="auto"/>
        <w:jc w:val="both"/>
        <w:rPr>
          <w:rFonts w:eastAsia="Times New Roman" w:cs="Times New Roman"/>
          <w:noProof/>
        </w:rPr>
      </w:pPr>
      <w:r>
        <w:rPr>
          <w:noProof/>
        </w:rPr>
        <w:t xml:space="preserve">Asetetaan velvoite julkisen keräysjärjestelmän piiriin kuuluville säiliöille ja erityisinfrastruktuurille, joka mahdollistaa tupakkatuotteiden jätteiden erilliskeräyksen suodattimilla ja suodattimilla; </w:t>
      </w:r>
    </w:p>
    <w:p w14:paraId="6ED982BC" w14:textId="46230736" w:rsidR="000E48CE" w:rsidRDefault="00FF4C4E">
      <w:pPr>
        <w:pStyle w:val="P68B1DB1-ListParagraph7"/>
        <w:numPr>
          <w:ilvl w:val="2"/>
          <w:numId w:val="332"/>
        </w:numPr>
        <w:spacing w:line="240" w:lineRule="auto"/>
        <w:jc w:val="both"/>
        <w:rPr>
          <w:rFonts w:eastAsia="Times New Roman" w:cs="Times New Roman"/>
          <w:noProof/>
        </w:rPr>
      </w:pPr>
      <w:r>
        <w:rPr>
          <w:noProof/>
        </w:rPr>
        <w:t xml:space="preserve">Sisällytetään mahdollisuus asettaa </w:t>
      </w:r>
      <w:r>
        <w:rPr>
          <w:noProof/>
        </w:rPr>
        <w:t>ennaltaehkäisyä ja erilliskeräystä koskevia tavoitteita saavutettujen tulosten perusteella;</w:t>
      </w:r>
    </w:p>
    <w:p w14:paraId="29795BB6" w14:textId="7A04C05D" w:rsidR="000E48CE" w:rsidRDefault="00FF4C4E">
      <w:pPr>
        <w:pStyle w:val="P68B1DB1-ListParagraph7"/>
        <w:numPr>
          <w:ilvl w:val="2"/>
          <w:numId w:val="332"/>
        </w:numPr>
        <w:spacing w:line="240" w:lineRule="auto"/>
        <w:jc w:val="both"/>
        <w:rPr>
          <w:rFonts w:eastAsia="Times New Roman" w:cs="Times New Roman"/>
          <w:noProof/>
        </w:rPr>
      </w:pPr>
      <w:r>
        <w:rPr>
          <w:noProof/>
        </w:rPr>
        <w:t>Perustaa rekisterin tupakkatuotteiden tuottajista, joissa on suodattimia ja suodattimia;</w:t>
      </w:r>
      <w:bookmarkEnd w:id="23"/>
    </w:p>
    <w:p w14:paraId="2FC020DF" w14:textId="4EEAEDF5" w:rsidR="000E48CE" w:rsidRDefault="00FF4C4E">
      <w:pPr>
        <w:pStyle w:val="P68B1DB1-ListParagraph7"/>
        <w:numPr>
          <w:ilvl w:val="1"/>
          <w:numId w:val="332"/>
        </w:numPr>
        <w:spacing w:line="240" w:lineRule="auto"/>
        <w:jc w:val="both"/>
        <w:rPr>
          <w:rFonts w:eastAsia="Times New Roman" w:cs="Times New Roman"/>
          <w:noProof/>
        </w:rPr>
      </w:pPr>
      <w:r>
        <w:rPr>
          <w:noProof/>
        </w:rPr>
        <w:t>Teollisuuden jäteöljyjä koskeva asetus, jotta sääntelykehys saataisiin vast</w:t>
      </w:r>
      <w:r>
        <w:rPr>
          <w:noProof/>
        </w:rPr>
        <w:t>aamaan uuden jätelain säännöksiä, joihin sisältyy teollisuuden jäteöljyjä koskeva säännös;</w:t>
      </w:r>
    </w:p>
    <w:p w14:paraId="78B9D6FC" w14:textId="598CA2E2" w:rsidR="000E48CE" w:rsidRDefault="00FF4C4E">
      <w:pPr>
        <w:pStyle w:val="P68B1DB1-ListParagraph7"/>
        <w:numPr>
          <w:ilvl w:val="1"/>
          <w:numId w:val="332"/>
        </w:numPr>
        <w:spacing w:line="240" w:lineRule="auto"/>
        <w:jc w:val="both"/>
        <w:rPr>
          <w:rFonts w:eastAsia="Times New Roman" w:cs="Times New Roman"/>
          <w:noProof/>
        </w:rPr>
      </w:pPr>
      <w:r>
        <w:rPr>
          <w:noProof/>
        </w:rPr>
        <w:t>Asetus käytöstä poistetuista renkaista vuonna 2020 tehdyn nykyisen standardin osittaisen ja oikea-aikaisen tarkistuksen lisäksi; ja</w:t>
      </w:r>
    </w:p>
    <w:p w14:paraId="0C7988CC" w14:textId="0351A93F" w:rsidR="000E48CE" w:rsidRDefault="00FF4C4E">
      <w:pPr>
        <w:pStyle w:val="P68B1DB1-ListParagraph7"/>
        <w:numPr>
          <w:ilvl w:val="1"/>
          <w:numId w:val="332"/>
        </w:numPr>
        <w:spacing w:line="240" w:lineRule="auto"/>
        <w:jc w:val="both"/>
        <w:rPr>
          <w:rFonts w:eastAsia="Times New Roman" w:cs="Times New Roman"/>
          <w:noProof/>
        </w:rPr>
      </w:pPr>
      <w:r>
        <w:rPr>
          <w:noProof/>
        </w:rPr>
        <w:t>Ministeriön päätös yhdyskuntajätt</w:t>
      </w:r>
      <w:r>
        <w:rPr>
          <w:noProof/>
        </w:rPr>
        <w:t>een käsittelyn vähimmäisvaatimuksista ennen kaatopaikalle sijoittamista.</w:t>
      </w:r>
    </w:p>
    <w:p w14:paraId="2D81A857" w14:textId="77777777" w:rsidR="000E48CE" w:rsidRDefault="00FF4C4E">
      <w:pPr>
        <w:pStyle w:val="P68B1DB1-Normal4"/>
        <w:spacing w:before="120" w:after="120" w:line="240" w:lineRule="auto"/>
        <w:jc w:val="both"/>
        <w:rPr>
          <w:rFonts w:eastAsia="Times New Roman" w:cs="Times New Roman"/>
          <w:noProof/>
        </w:rPr>
      </w:pPr>
      <w:r>
        <w:rPr>
          <w:noProof/>
        </w:rPr>
        <w:t xml:space="preserve">Näillä asetuksilla on varmistettava koordinoitu hallinnointi kaikilla alueilla sekä laajennettua tuottajan vastuuta koskevan järjestelmän täytäntöönpano. </w:t>
      </w:r>
    </w:p>
    <w:p w14:paraId="6223EE37" w14:textId="77777777" w:rsidR="000E48CE" w:rsidRDefault="00FF4C4E">
      <w:pPr>
        <w:pStyle w:val="P68B1DB1-Normal4"/>
        <w:spacing w:before="120" w:after="120" w:line="240" w:lineRule="auto"/>
        <w:jc w:val="both"/>
        <w:rPr>
          <w:rFonts w:eastAsia="Times New Roman" w:cs="Times New Roman"/>
          <w:noProof/>
          <w:shd w:val="clear" w:color="auto" w:fill="E6E6E6"/>
        </w:rPr>
      </w:pPr>
      <w:r>
        <w:rPr>
          <w:noProof/>
        </w:rPr>
        <w:t>Uudistukseen sisältyy myös t</w:t>
      </w:r>
      <w:r>
        <w:rPr>
          <w:noProof/>
        </w:rPr>
        <w:t>oinen kiertotaloutta koskeva toimintasuunnitelma, joka on määrä panna täytäntöön vuosina 2024–2026 osana Espanjan kiertotalousstrategiaa. Toisessa toimintasuunnitelmassa käsitellään ensimmäisen suunnitelman täytäntöönpanon aikana havaittuja kysymyksiä sekä</w:t>
      </w:r>
      <w:r>
        <w:rPr>
          <w:noProof/>
        </w:rPr>
        <w:t xml:space="preserve"> aloja, joille on tarpeen keskittää aloitteita valtion tasolla.</w:t>
      </w:r>
    </w:p>
    <w:p w14:paraId="1776A14E" w14:textId="75E6A396" w:rsidR="000E48CE" w:rsidRDefault="00FF4C4E">
      <w:pPr>
        <w:pStyle w:val="P68B1DB1-Normal4"/>
        <w:spacing w:before="120" w:after="120" w:line="240" w:lineRule="auto"/>
        <w:jc w:val="both"/>
        <w:rPr>
          <w:rFonts w:cs="Times New Roman"/>
          <w:noProof/>
        </w:rPr>
      </w:pPr>
      <w:r>
        <w:rPr>
          <w:noProof/>
        </w:rPr>
        <w:t>Toimenpiteen täytäntöönpano on määrä saattaa päätökseen 31. joulukuuta 2025 mennessä.</w:t>
      </w:r>
    </w:p>
    <w:p w14:paraId="3D16E156" w14:textId="77777777" w:rsidR="000E48CE" w:rsidRDefault="00FF4C4E">
      <w:pPr>
        <w:pStyle w:val="P68B1DB1-Normal6"/>
        <w:spacing w:before="120" w:after="120" w:line="240" w:lineRule="auto"/>
        <w:jc w:val="both"/>
        <w:rPr>
          <w:rFonts w:cs="Times New Roman"/>
          <w:noProof/>
        </w:rPr>
      </w:pPr>
      <w:r>
        <w:rPr>
          <w:noProof/>
        </w:rPr>
        <w:t xml:space="preserve">Investoinnit (C12.I1) – Alakohtaiset data-avaruudet strategisten tuotantoalojen digitalisoimiseksi </w:t>
      </w:r>
    </w:p>
    <w:p w14:paraId="31CF7C55" w14:textId="77777777" w:rsidR="000E48CE" w:rsidRDefault="00FF4C4E">
      <w:pPr>
        <w:pStyle w:val="P68B1DB1-Normal4"/>
        <w:spacing w:before="120" w:after="120" w:line="240" w:lineRule="auto"/>
        <w:jc w:val="both"/>
        <w:rPr>
          <w:rFonts w:cs="Times New Roman"/>
          <w:noProof/>
        </w:rPr>
      </w:pPr>
      <w:r>
        <w:rPr>
          <w:noProof/>
        </w:rPr>
        <w:t xml:space="preserve">Tämän </w:t>
      </w:r>
      <w:r>
        <w:rPr>
          <w:noProof/>
        </w:rPr>
        <w:t>toimenpiteen tavoitteena on luoda turvallisia ja suuria data-avaruuksia strategisille teollisuudenaloille, kuten maatalouselintarvikealalle, kestävälle liikkuvuudelle, terveydenhuollolle ja kaupalliselle sektorille. Innovointia, tehokkuutta ja mittakaavaet</w:t>
      </w:r>
      <w:r>
        <w:rPr>
          <w:noProof/>
        </w:rPr>
        <w:t xml:space="preserve">uja edistetään kehittämällä yhteisiä komponentteja (rakenneosia) ja jakamalla yhteisiä infrastruktuureja ja dataa (pilvialustat, suurteholaskenta- ja tallennusverkot, massadata-analytiikka ja tekoäly). </w:t>
      </w:r>
    </w:p>
    <w:p w14:paraId="7FE1856B" w14:textId="1A0E4136" w:rsidR="000E48CE" w:rsidRDefault="00FF4C4E">
      <w:pPr>
        <w:spacing w:before="120" w:after="120" w:line="240" w:lineRule="auto"/>
        <w:jc w:val="both"/>
        <w:rPr>
          <w:rFonts w:ascii="Times New Roman" w:hAnsi="Times New Roman" w:cs="Times New Roman"/>
          <w:noProof/>
          <w:sz w:val="24"/>
        </w:rPr>
      </w:pPr>
      <w:r>
        <w:rPr>
          <w:rFonts w:ascii="Times New Roman" w:hAnsi="Times New Roman"/>
          <w:noProof/>
          <w:sz w:val="24"/>
        </w:rPr>
        <w:t>Hallintorakenteita on vahvistettava, jotta voidaan so</w:t>
      </w:r>
      <w:r>
        <w:rPr>
          <w:rFonts w:ascii="Times New Roman" w:hAnsi="Times New Roman"/>
          <w:noProof/>
          <w:sz w:val="24"/>
        </w:rPr>
        <w:t>vittaa yhteen julkisen ja yksityisen sektorin yhteistyö data-avaruuksien kehittämisessä. Lisäksi on määriteltävä yhteentoimivuuden varmistavat mekanismit ja laadittava asianmukaiset säännöt ja mekanismit, joilla edistetään datan jakamista yritysten välillä</w:t>
      </w:r>
      <w:r>
        <w:rPr>
          <w:rFonts w:ascii="Times New Roman" w:hAnsi="Times New Roman"/>
          <w:noProof/>
          <w:sz w:val="24"/>
        </w:rPr>
        <w:t>. Investointi on toteutettava Euroopan komission tiedonannon ”Euroopan datastrategia”</w:t>
      </w:r>
      <w:r>
        <w:rPr>
          <w:rStyle w:val="FootnoteReference"/>
          <w:rFonts w:ascii="Times New Roman" w:hAnsi="Times New Roman" w:cs="Times New Roman"/>
          <w:noProof/>
          <w:sz w:val="24"/>
        </w:rPr>
        <w:footnoteReference w:id="34"/>
      </w:r>
      <w:r>
        <w:rPr>
          <w:rFonts w:ascii="Times New Roman" w:hAnsi="Times New Roman"/>
          <w:noProof/>
          <w:sz w:val="24"/>
        </w:rPr>
        <w:t xml:space="preserve"> ja siihen sisältyvien toimien, erityisesti tulevan datasäädöksen ja hallintoasetuksen, sekä EU:n pilvipalveluliiton (Cloud Federation)</w:t>
      </w:r>
      <w:r>
        <w:rPr>
          <w:rStyle w:val="FootnoteReference"/>
          <w:rFonts w:ascii="Times New Roman" w:hAnsi="Times New Roman" w:cs="Times New Roman"/>
          <w:noProof/>
          <w:sz w:val="24"/>
        </w:rPr>
        <w:footnoteReference w:id="35"/>
      </w:r>
      <w:r>
        <w:rPr>
          <w:rFonts w:ascii="Times New Roman" w:hAnsi="Times New Roman"/>
          <w:noProof/>
          <w:sz w:val="24"/>
        </w:rPr>
        <w:t>mukaisesti. Synergioilla varmistet</w:t>
      </w:r>
      <w:r>
        <w:rPr>
          <w:rFonts w:ascii="Times New Roman" w:hAnsi="Times New Roman"/>
          <w:noProof/>
          <w:sz w:val="24"/>
        </w:rPr>
        <w:t>aan täydentävyys Digitaalinen Eurooppa -ohjelman kanssa</w:t>
      </w:r>
      <w:r>
        <w:rPr>
          <w:rStyle w:val="FootnoteReference"/>
          <w:rFonts w:ascii="Times New Roman" w:hAnsi="Times New Roman" w:cs="Times New Roman"/>
          <w:noProof/>
          <w:sz w:val="24"/>
        </w:rPr>
        <w:footnoteReference w:id="36"/>
      </w:r>
      <w:r>
        <w:rPr>
          <w:rFonts w:ascii="Times New Roman" w:hAnsi="Times New Roman"/>
          <w:noProof/>
          <w:sz w:val="24"/>
        </w:rPr>
        <w:t>. Investointi on myös sovitettava yhteen tärkeimpien viitetietojen ja standardien, kuten International Data Spaces (IDS) Associationin (IDS) edistämien, kanssa.</w:t>
      </w:r>
    </w:p>
    <w:p w14:paraId="09C85116" w14:textId="77777777" w:rsidR="000E48CE" w:rsidRDefault="00FF4C4E">
      <w:pPr>
        <w:pStyle w:val="P68B1DB1-Normal4"/>
        <w:spacing w:before="120" w:after="120" w:line="240" w:lineRule="auto"/>
        <w:jc w:val="both"/>
        <w:rPr>
          <w:rFonts w:cs="Times New Roman"/>
          <w:noProof/>
        </w:rPr>
      </w:pPr>
      <w:r>
        <w:rPr>
          <w:noProof/>
        </w:rPr>
        <w:t xml:space="preserve">Maatalouselintarvikealalla, kestävän </w:t>
      </w:r>
      <w:r>
        <w:rPr>
          <w:noProof/>
        </w:rPr>
        <w:t>liikkuvuuden alalla, terveydenhuoltoalalla ja kaupan alalla on tuettava vähintään neljää arvokasta alakohtaista ja yhteentoimivaa data-avaruutta 31 päivään joulukuuta 2023 mennessä.</w:t>
      </w:r>
    </w:p>
    <w:p w14:paraId="64DB6C2B" w14:textId="77777777" w:rsidR="000E48CE" w:rsidRDefault="00FF4C4E">
      <w:pPr>
        <w:pStyle w:val="P68B1DB1-Normal4"/>
        <w:spacing w:before="120" w:after="120" w:line="240" w:lineRule="auto"/>
        <w:jc w:val="both"/>
        <w:rPr>
          <w:rFonts w:cs="Times New Roman"/>
          <w:noProof/>
        </w:rPr>
      </w:pPr>
      <w:r>
        <w:rPr>
          <w:noProof/>
        </w:rPr>
        <w:t>Investoinnin toteuttaminen on saatettava päätökseen viimeistään 30 päivänä</w:t>
      </w:r>
      <w:r>
        <w:rPr>
          <w:noProof/>
        </w:rPr>
        <w:t xml:space="preserve"> kesäkuuta 2026. </w:t>
      </w:r>
    </w:p>
    <w:p w14:paraId="50D189C8" w14:textId="77777777" w:rsidR="000E48CE" w:rsidRDefault="00FF4C4E">
      <w:pPr>
        <w:pStyle w:val="P68B1DB1-Normal6"/>
        <w:keepNext/>
        <w:spacing w:before="120" w:after="120" w:line="240" w:lineRule="auto"/>
        <w:jc w:val="both"/>
        <w:rPr>
          <w:rFonts w:cs="Times New Roman"/>
          <w:noProof/>
        </w:rPr>
      </w:pPr>
      <w:r>
        <w:rPr>
          <w:noProof/>
        </w:rPr>
        <w:t xml:space="preserve">Investointi 2 (C12.I2) – Ohjelma kilpailukyvyn ja teollisuuden kestävyyden parantamiseksi </w:t>
      </w:r>
    </w:p>
    <w:p w14:paraId="119FA788" w14:textId="77777777" w:rsidR="000E48CE" w:rsidRDefault="00FF4C4E">
      <w:pPr>
        <w:pStyle w:val="P68B1DB1-Normal4"/>
        <w:keepNext/>
        <w:spacing w:before="120" w:after="120" w:line="240" w:lineRule="auto"/>
        <w:jc w:val="both"/>
        <w:rPr>
          <w:rFonts w:cs="Times New Roman"/>
          <w:noProof/>
        </w:rPr>
      </w:pPr>
      <w:r>
        <w:rPr>
          <w:noProof/>
        </w:rPr>
        <w:t>Tämän toimenpiteen tavoitteena on edistää sellaisten strategisten alojen muutosta, jotka ovat keskeisiä Espanjan teollisuuden muutosprosessissa, ku</w:t>
      </w:r>
      <w:r>
        <w:rPr>
          <w:noProof/>
        </w:rPr>
        <w:t>ten auto- ja sähköajoneuvot, maatalouselintarvikeala, terveys, ilmailu- ja meriteollisuus, uusiutuviin energialähteisiin liittyvät teollisuuden alat sekä prosessorien ja puolijohdeteknologioiden suunnittelu- ja tuotantovalmiudet. Tämän toimen puitteissa on</w:t>
      </w:r>
      <w:r>
        <w:rPr>
          <w:noProof/>
        </w:rPr>
        <w:t xml:space="preserve"> tuettava vähintään kolmea merkittävää strategista hanketta (nk. PERTE-hanke), jotka kattavat koko asianomaisen alan arvoketjun ja joihin kuuluu myös pk-yritysten tukeminen. </w:t>
      </w:r>
    </w:p>
    <w:p w14:paraId="34EAD922" w14:textId="77777777" w:rsidR="000E48CE" w:rsidRDefault="00FF4C4E">
      <w:pPr>
        <w:pStyle w:val="P68B1DB1-Normal4"/>
        <w:spacing w:before="120" w:after="120" w:line="240" w:lineRule="auto"/>
        <w:jc w:val="both"/>
        <w:rPr>
          <w:rFonts w:cs="Times New Roman"/>
          <w:noProof/>
        </w:rPr>
      </w:pPr>
      <w:r>
        <w:rPr>
          <w:noProof/>
        </w:rPr>
        <w:t>Tällä toimenpiteellä rahoitetaan myös pienimuotoisempia hankkeita, kuten teollisi</w:t>
      </w:r>
      <w:r>
        <w:rPr>
          <w:noProof/>
        </w:rPr>
        <w:t>a simulaatioita, kehittyneitä materiaaleja, virtuaalitodellisuutta sekä yhteistyöhön perustuvaa ja kognitiivista robotiikkaa. Toimenpiteellä tuetaan edelleen kestäviä teollisuusinfrastruktuureja, kuten teollisuuspuistoja tai logistiikka-alueita. Osana tätä</w:t>
      </w:r>
      <w:r>
        <w:rPr>
          <w:noProof/>
        </w:rPr>
        <w:t xml:space="preserve"> toimenpiteen osatekijää Espanjan elpymis- ja palautumissuunnitelmasta on rahoitettava vähintään 78:aa innovatiivista hanketta, joihin liittyy energiatehokkuuden, kestävyyden ja digitalisaation kannalta merkittävä teollisuuden muutos.</w:t>
      </w:r>
    </w:p>
    <w:p w14:paraId="3098C731" w14:textId="77777777" w:rsidR="000E48CE" w:rsidRDefault="00FF4C4E">
      <w:pPr>
        <w:pStyle w:val="P68B1DB1-Normal4"/>
        <w:spacing w:before="120" w:after="120" w:line="240" w:lineRule="auto"/>
        <w:jc w:val="both"/>
        <w:rPr>
          <w:rFonts w:cs="Times New Roman"/>
          <w:noProof/>
        </w:rPr>
      </w:pPr>
      <w:r>
        <w:rPr>
          <w:noProof/>
        </w:rPr>
        <w:t>Sen jälkeen, kun mini</w:t>
      </w:r>
      <w:r>
        <w:rPr>
          <w:noProof/>
        </w:rPr>
        <w:t>sterineuvosto on hyväksynyt PERTE-ohjelman, asianomainen ministeriö käynnistää kilpailuun perustuvan ehdotuspyynnön, jonka tarkoituksena on saada hyväksytyn PERTE-ohjelman puitteissa kehitettäviä erityisiä ehdotuksia. Tukitoimenpiteitä, jotka voivat olla S</w:t>
      </w:r>
      <w:r>
        <w:rPr>
          <w:noProof/>
        </w:rPr>
        <w:t xml:space="preserve">EUT-sopimuksen 107 artiklan mukaista valtiontukea ja jotka saattavat edellyttää ennakkoilmoitusta komissiolle, ei saa toteuttaa ennen kuin Espanja on saanut komissiolta valtiontuen hyväksynnän. </w:t>
      </w:r>
    </w:p>
    <w:p w14:paraId="701E7478" w14:textId="77777777" w:rsidR="000E48CE" w:rsidRDefault="00FF4C4E">
      <w:pPr>
        <w:pStyle w:val="Text1"/>
        <w:ind w:left="0"/>
        <w:rPr>
          <w:rFonts w:ascii="Times New Roman" w:hAnsi="Times New Roman" w:cs="Times New Roman"/>
          <w:noProof/>
        </w:rPr>
      </w:pPr>
      <w:r>
        <w:rPr>
          <w:rFonts w:ascii="Times New Roman" w:hAnsi="Times New Roman"/>
          <w:noProof/>
        </w:rPr>
        <w:t>Ministerineuvoston päätös PERTE-ohjelman hyväksymisestä sisäl</w:t>
      </w:r>
      <w:r>
        <w:rPr>
          <w:rFonts w:ascii="Times New Roman" w:hAnsi="Times New Roman"/>
          <w:noProof/>
        </w:rPr>
        <w:t>tää yksityiskohtaiset valintaperusteet, joilla varmistetaan ”ei merkittävää haittaa” -periaatteen noudattaminen (2021/C58/01). Sen varmistamiseksi, että toimenpide noudattaa ”ei merkittävää haittaa” -periaatetta koskevaa teknistä ohjetta (2021/C58/01), tul</w:t>
      </w:r>
      <w:r>
        <w:rPr>
          <w:rFonts w:ascii="Times New Roman" w:hAnsi="Times New Roman"/>
          <w:noProof/>
        </w:rPr>
        <w:t>evien hankepyyntöjen tehtävänmääritykseen sisältyviin tukikelpoisuusperusteisiin ei lueta seuraavia toimia: fossiilisiin polttoaineisiin liittyvät toiminnot, mukaan lukien käyttö loppupäässä</w:t>
      </w:r>
      <w:r>
        <w:rPr>
          <w:rStyle w:val="FootnoteReference"/>
          <w:rFonts w:ascii="Times New Roman" w:hAnsi="Times New Roman" w:cs="Times New Roman"/>
          <w:noProof/>
        </w:rPr>
        <w:footnoteReference w:id="37"/>
      </w:r>
      <w:r>
        <w:rPr>
          <w:rFonts w:ascii="Times New Roman" w:hAnsi="Times New Roman"/>
          <w:noProof/>
        </w:rPr>
        <w:t>; II) EU:n päästökauppajärjestelmään kuuluvat toimet, joilla saav</w:t>
      </w:r>
      <w:r>
        <w:rPr>
          <w:rFonts w:ascii="Times New Roman" w:hAnsi="Times New Roman"/>
          <w:noProof/>
        </w:rPr>
        <w:t>utetaan ennustetut kasvihuonekaasupäästöt, jotka eivät alita asiaankuuluvia vertailuarvoja</w:t>
      </w:r>
      <w:r>
        <w:rPr>
          <w:rStyle w:val="FootnoteReference"/>
          <w:rFonts w:ascii="Times New Roman" w:hAnsi="Times New Roman" w:cs="Times New Roman"/>
          <w:noProof/>
        </w:rPr>
        <w:footnoteReference w:id="38"/>
      </w:r>
      <w:r>
        <w:rPr>
          <w:rFonts w:ascii="Times New Roman" w:hAnsi="Times New Roman"/>
          <w:noProof/>
        </w:rPr>
        <w:t>; III) päästökauppajärjestelmän välillisten kustannusten korvaaminen; jätteiden kaatopaikkoihin, polttolaitoksiin</w:t>
      </w:r>
      <w:r>
        <w:rPr>
          <w:rStyle w:val="FootnoteReference"/>
          <w:rFonts w:ascii="Times New Roman" w:hAnsi="Times New Roman" w:cs="Times New Roman"/>
          <w:noProof/>
        </w:rPr>
        <w:footnoteReference w:id="39"/>
      </w:r>
      <w:r>
        <w:rPr>
          <w:rFonts w:ascii="Times New Roman" w:hAnsi="Times New Roman"/>
          <w:noProof/>
        </w:rPr>
        <w:t xml:space="preserve"> ja mekaanisiin biologisiin käsittelylaitoksiin lii</w:t>
      </w:r>
      <w:r>
        <w:rPr>
          <w:rFonts w:ascii="Times New Roman" w:hAnsi="Times New Roman"/>
          <w:noProof/>
        </w:rPr>
        <w:t>ttyvät toimet</w:t>
      </w:r>
      <w:r>
        <w:rPr>
          <w:rStyle w:val="FootnoteReference"/>
          <w:rFonts w:ascii="Times New Roman" w:hAnsi="Times New Roman" w:cs="Times New Roman"/>
          <w:noProof/>
        </w:rPr>
        <w:footnoteReference w:id="40"/>
      </w:r>
      <w:r>
        <w:rPr>
          <w:rFonts w:ascii="Times New Roman" w:hAnsi="Times New Roman"/>
          <w:noProof/>
        </w:rPr>
        <w:t>; ja v) toimet, joissa jätteistä huolehtiminen pitkällä aikavälillä voi aiheuttaa haittaa ympäristölle. Tehtävänmäärityksessä on lisäksi edellytettävä, että ainoastaan asiaa koskevan EU:n ja kansallisen ympäristölainsäädännön mukaisia toimint</w:t>
      </w:r>
      <w:r>
        <w:rPr>
          <w:rFonts w:ascii="Times New Roman" w:hAnsi="Times New Roman"/>
          <w:noProof/>
        </w:rPr>
        <w:t xml:space="preserve">oja voidaan valita. </w:t>
      </w:r>
    </w:p>
    <w:p w14:paraId="5B671F58" w14:textId="77777777" w:rsidR="000E48CE" w:rsidRDefault="00FF4C4E">
      <w:pPr>
        <w:pStyle w:val="P68B1DB1-Text119"/>
        <w:ind w:left="0"/>
        <w:rPr>
          <w:rFonts w:cs="Times New Roman"/>
          <w:noProof/>
          <w:highlight w:val="green"/>
        </w:rPr>
      </w:pPr>
      <w:r>
        <w:rPr>
          <w:noProof/>
        </w:rPr>
        <w:t>Seuraavien tämän investoinnin mukaisten T &amp; K &amp; I-toimien katsotaan olevan ”ei merkittävää haittaa” -periaatteen mukaisia (2021/C58/01): Tämän investoinnin mukaiset T &amp; K &amp; I-toimet, joilla pyritään lisäämään merkittävästi yritysten ym</w:t>
      </w:r>
      <w:r>
        <w:rPr>
          <w:noProof/>
        </w:rPr>
        <w:t>päristökestävyyttä (kuten hiilestä irtautuminen, saastumisen vähentäminen ja kiertotalous), jos tämän investoinnin T &amp; K &amp; I-toimissa keskitytään ensisijaisesti sellaisten vaihtoehtojen kehittämiseen tai mukauttamiseen, joilla on mahdollisimman vähän ympär</w:t>
      </w:r>
      <w:r>
        <w:rPr>
          <w:noProof/>
        </w:rPr>
        <w:t>istövaikutuksia alalla.</w:t>
      </w:r>
    </w:p>
    <w:p w14:paraId="1E2A67A2" w14:textId="052CED05" w:rsidR="000E48CE" w:rsidRDefault="00FF4C4E">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Valintaperusteilla on varmistettava, että vähintään 455000000 eurolla edistetään ilmastonmuutostavoitteiden saavuttamista 100 prosentin ilmastokertoimella ja vähintään 1 5 00 000 000 eurolla 40 prosentin ilmastokertoimella elpymis- </w:t>
      </w:r>
      <w:r>
        <w:rPr>
          <w:rFonts w:ascii="Times New Roman" w:hAnsi="Times New Roman"/>
          <w:noProof/>
          <w:sz w:val="24"/>
        </w:rPr>
        <w:t>ja palautumistukivälineen perustamisesta 12 päivänä helmikuuta 2021 annetun Euroopan parlamentin ja neuvoston asetuksen (EU) 2021/241 [] liitteen VI mukaisesti.</w:t>
      </w:r>
      <w:r>
        <w:rPr>
          <w:rStyle w:val="FootnoteReference"/>
          <w:rFonts w:ascii="Times New Roman" w:hAnsi="Times New Roman" w:cs="Times New Roman"/>
          <w:noProof/>
          <w:sz w:val="24"/>
        </w:rPr>
        <w:footnoteReference w:id="41"/>
      </w:r>
      <w:r>
        <w:rPr>
          <w:rFonts w:ascii="Times New Roman" w:hAnsi="Times New Roman"/>
          <w:noProof/>
          <w:sz w:val="24"/>
        </w:rPr>
        <w:t xml:space="preserve"> Vaihtoehtoisesti, jos se on hyvin perusteltua antamalla selvitys syistä, joiden vuoksi vaihtoe</w:t>
      </w:r>
      <w:r>
        <w:rPr>
          <w:rFonts w:ascii="Times New Roman" w:hAnsi="Times New Roman"/>
          <w:noProof/>
          <w:sz w:val="24"/>
        </w:rPr>
        <w:t>htoinen lähestymistapa ei ehkä ole toteutettavissa, valintaperusteilla on varmistettava, että vähintään</w:t>
      </w:r>
      <w:r>
        <w:rPr>
          <w:rFonts w:ascii="Times New Roman" w:hAnsi="Times New Roman"/>
          <w:noProof/>
          <w:sz w:val="24"/>
          <w:shd w:val="clear" w:color="auto" w:fill="E6E6E6"/>
        </w:rPr>
        <w:t xml:space="preserve"> </w:t>
      </w:r>
      <w:r>
        <w:rPr>
          <w:rFonts w:ascii="Times New Roman" w:hAnsi="Times New Roman"/>
          <w:noProof/>
          <w:sz w:val="24"/>
        </w:rPr>
        <w:t>2531500000 eurolla edistetään ilmastonmuutostavoitteiden saavuttamista siten, että ilmastokerroin on keskimäärin vähintään 40 prosenttia, asetuksen (EU)</w:t>
      </w:r>
      <w:r>
        <w:rPr>
          <w:rFonts w:ascii="Times New Roman" w:hAnsi="Times New Roman"/>
          <w:noProof/>
          <w:sz w:val="24"/>
        </w:rPr>
        <w:t xml:space="preserve"> 2021/241 liitteen VI mukaisesti.</w:t>
      </w:r>
    </w:p>
    <w:p w14:paraId="5BD68492" w14:textId="77777777" w:rsidR="000E48CE" w:rsidRDefault="00FF4C4E">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4FA8C342" w14:textId="77777777" w:rsidR="000E48CE" w:rsidRDefault="00FF4C4E">
      <w:pPr>
        <w:pStyle w:val="P68B1DB1-Normal6"/>
        <w:keepNext/>
        <w:spacing w:before="120" w:after="120" w:line="240" w:lineRule="auto"/>
        <w:jc w:val="both"/>
        <w:rPr>
          <w:rFonts w:cs="Times New Roman"/>
          <w:noProof/>
        </w:rPr>
      </w:pPr>
      <w:r>
        <w:rPr>
          <w:noProof/>
        </w:rPr>
        <w:t>Investointi 3 (C12.I3) – Suunnitelma jätelainsäädännön täytäntöönpanon tukemiseksi ja kiertotalouden edistämiseksi</w:t>
      </w:r>
    </w:p>
    <w:p w14:paraId="18579C3C" w14:textId="77777777" w:rsidR="000E48CE" w:rsidRDefault="00FF4C4E">
      <w:pPr>
        <w:pStyle w:val="P68B1DB1-Normal4"/>
        <w:keepNext/>
        <w:spacing w:before="120" w:after="120" w:line="240" w:lineRule="auto"/>
        <w:jc w:val="both"/>
        <w:rPr>
          <w:rFonts w:cs="Times New Roman"/>
          <w:noProof/>
        </w:rPr>
      </w:pPr>
      <w:r>
        <w:rPr>
          <w:noProof/>
        </w:rPr>
        <w:t>Tämän toimenpiteen tavoitteena on edistää kiertotaloutta Espanjassa rahoittamalla hankkeita, joiden tarkoituksena on panna täytäntöön kansallinen jätealan sääntelykehys ja saavuttaa jätteitä koskevat EU:n tavoitteet, sekä innovatiivisia kiertotaloushankkei</w:t>
      </w:r>
      <w:r>
        <w:rPr>
          <w:noProof/>
        </w:rPr>
        <w:t xml:space="preserve">ta yksityisellä sektorilla kiertotalouteen siirtymisen helpottamiseksi.  </w:t>
      </w:r>
    </w:p>
    <w:p w14:paraId="74117ACB" w14:textId="77777777" w:rsidR="000E48CE" w:rsidRDefault="00FF4C4E">
      <w:pPr>
        <w:pStyle w:val="P68B1DB1-Normal4"/>
        <w:spacing w:before="120" w:after="120" w:line="240" w:lineRule="auto"/>
        <w:jc w:val="both"/>
        <w:rPr>
          <w:rFonts w:cs="Times New Roman"/>
          <w:noProof/>
        </w:rPr>
      </w:pPr>
      <w:r>
        <w:rPr>
          <w:noProof/>
        </w:rPr>
        <w:t>Toimenpiteellä tuetaan nykyisten erilliskeräysjärjestelmien päivittämistä ja keräyspisteisiin tehtäviä investointeja kierrätyksen tehostamiseksi, uusien jätteenkäsittelylaitosten rak</w:t>
      </w:r>
      <w:r>
        <w:rPr>
          <w:noProof/>
        </w:rPr>
        <w:t>entamista ja olemassa olevien mekaanisten biologisten käsittelylaitosten resurssitehokkuuden lisäämistä lisäämättä niiden käyttöikää tai kapasiteettia (todennettava laitostasolla). Toimenpiteen tavoitteen on katettava myös alan digitaaliset ratkaisut ja ki</w:t>
      </w:r>
      <w:r>
        <w:rPr>
          <w:noProof/>
        </w:rPr>
        <w:t>ertotalouden edistäminen yritystasolla. Ehdotetuna tavoitteena on saada päätökseen vähintään 30 suunnitelluista hankkeista. Toimenpiteen on saavutettava vähintään 30 prosenttia erilliskerätyn yhdyskuntajätteen osuudesta vuonna 2024 syntyneen yhdyskuntajätt</w:t>
      </w:r>
      <w:r>
        <w:rPr>
          <w:noProof/>
        </w:rPr>
        <w:t xml:space="preserve">een kokonaismäärästä (vuoden 2024 tiedot ovat saatavilla vuonna 2026) direktiivin 2008/98/EY mukaisesti. </w:t>
      </w:r>
    </w:p>
    <w:p w14:paraId="5DA0A525" w14:textId="2980A241" w:rsidR="000E48CE" w:rsidRDefault="00FF4C4E">
      <w:pPr>
        <w:pStyle w:val="P68B1DB1-Normal4"/>
        <w:spacing w:before="120" w:after="120" w:line="240" w:lineRule="auto"/>
        <w:jc w:val="both"/>
        <w:rPr>
          <w:rFonts w:cs="Times New Roman"/>
          <w:noProof/>
        </w:rPr>
      </w:pPr>
      <w:r>
        <w:rPr>
          <w:noProof/>
        </w:rPr>
        <w:t>Toimenpiteeseen sisältyy myös varojen jakaminen itsehallintoalueille jätelainsäädännön täytäntöönpanohankkeisiin, joista sovitaan ja hyväksytään alako</w:t>
      </w:r>
      <w:r>
        <w:rPr>
          <w:noProof/>
        </w:rPr>
        <w:t>htaisessa konferenssissa tai suorina avustuksina tukia koskevan yleisen lain 38/2003 mukaisesti vuoden 2024 loppuun mennessä.</w:t>
      </w:r>
    </w:p>
    <w:p w14:paraId="76EC6FC1"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noudattaa ”ei merkittävää haittaa” -periaatetta koskevaa teknistä ohjetta (2021/C58/01), tule</w:t>
      </w:r>
      <w:r>
        <w:rPr>
          <w:rFonts w:ascii="Times New Roman" w:hAnsi="Times New Roman"/>
          <w:noProof/>
        </w:rPr>
        <w:t>vien hankepyyntöjen tehtävänmääritykseen sisältyviin tukikelpoisuusperusteisiin ei lueta seuraavia toimia: fossiilisiin polttoaineisiin liittyvät toiminnot, mukaan lukien käyttö loppupäässä</w:t>
      </w:r>
      <w:r>
        <w:rPr>
          <w:rStyle w:val="FootnoteReference"/>
          <w:rFonts w:ascii="Times New Roman" w:hAnsi="Times New Roman" w:cs="Times New Roman"/>
          <w:noProof/>
        </w:rPr>
        <w:footnoteReference w:id="42"/>
      </w:r>
      <w:r>
        <w:rPr>
          <w:rFonts w:ascii="Times New Roman" w:hAnsi="Times New Roman"/>
          <w:noProof/>
        </w:rPr>
        <w:t>; II) EU:n päästökauppajärjestelmään kuuluvat toimet, joilla saavu</w:t>
      </w:r>
      <w:r>
        <w:rPr>
          <w:rFonts w:ascii="Times New Roman" w:hAnsi="Times New Roman"/>
          <w:noProof/>
        </w:rPr>
        <w:t>tetaan ennustetut kasvihuonekaasupäästöt, jotka eivät alita asiaankuuluvia vertailuarvoja</w:t>
      </w:r>
      <w:r>
        <w:rPr>
          <w:rStyle w:val="FootnoteReference"/>
          <w:rFonts w:ascii="Times New Roman" w:hAnsi="Times New Roman" w:cs="Times New Roman"/>
          <w:noProof/>
        </w:rPr>
        <w:footnoteReference w:id="43"/>
      </w:r>
      <w:r>
        <w:rPr>
          <w:rFonts w:ascii="Times New Roman" w:hAnsi="Times New Roman"/>
          <w:noProof/>
        </w:rPr>
        <w:t>; jätteiden kaatopaikkoihin, polttolaitoksiin</w:t>
      </w:r>
      <w:r>
        <w:rPr>
          <w:rStyle w:val="FootnoteReference"/>
          <w:rFonts w:ascii="Times New Roman" w:hAnsi="Times New Roman" w:cs="Times New Roman"/>
          <w:noProof/>
        </w:rPr>
        <w:footnoteReference w:id="44"/>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45"/>
      </w:r>
      <w:r>
        <w:rPr>
          <w:rFonts w:ascii="Times New Roman" w:hAnsi="Times New Roman"/>
          <w:noProof/>
        </w:rPr>
        <w:t>; ja iv) toiminnot, joissa jätteiden pitkän aikavälin l</w:t>
      </w:r>
      <w:r>
        <w:rPr>
          <w:rFonts w:ascii="Times New Roman" w:hAnsi="Times New Roman"/>
          <w:noProof/>
        </w:rPr>
        <w:t>oppukäsittely voi aiheuttaa haittaa ympäristölle. Tehtävänmäärityksessä on lisäksi edellytettävä, että ainoastaan asiaa koskevan EU:n ja kansallisen ympäristölainsäädännön mukaisia toimintoja voidaan valita.</w:t>
      </w:r>
    </w:p>
    <w:p w14:paraId="67882DDB" w14:textId="2988A829" w:rsidR="000E48CE" w:rsidRDefault="00FF4C4E">
      <w:pPr>
        <w:pStyle w:val="P68B1DB1-Normal4"/>
        <w:spacing w:before="120" w:after="120" w:line="240" w:lineRule="auto"/>
        <w:jc w:val="both"/>
        <w:rPr>
          <w:rFonts w:cs="Times New Roman"/>
          <w:noProof/>
        </w:rPr>
      </w:pPr>
      <w:r>
        <w:rPr>
          <w:noProof/>
        </w:rPr>
        <w:t>Investoinnin toteutus saatetaan päätökseen viime</w:t>
      </w:r>
      <w:r>
        <w:rPr>
          <w:noProof/>
        </w:rPr>
        <w:t xml:space="preserve">istään 30. kesäkuuta 2026. </w:t>
      </w:r>
    </w:p>
    <w:p w14:paraId="6E541661" w14:textId="34B2B521" w:rsidR="000E48CE" w:rsidRDefault="00FF4C4E">
      <w:pPr>
        <w:pStyle w:val="P68B1DB1-Normal6"/>
        <w:spacing w:before="120" w:after="120" w:line="240" w:lineRule="auto"/>
        <w:jc w:val="both"/>
        <w:rPr>
          <w:rFonts w:cs="Times New Roman"/>
          <w:noProof/>
        </w:rPr>
      </w:pPr>
      <w:r>
        <w:rPr>
          <w:noProof/>
        </w:rPr>
        <w:t>Investointi 4 (C12.I4) – Puolijohteiden arvoketjun teollisuuden vahvistaminen</w:t>
      </w:r>
    </w:p>
    <w:p w14:paraId="2AEB6FB1" w14:textId="7BF88EAA" w:rsidR="000E48CE" w:rsidRDefault="00FF4C4E">
      <w:pPr>
        <w:pStyle w:val="P68B1DB1-Normal4"/>
        <w:spacing w:before="120" w:after="120" w:line="240" w:lineRule="auto"/>
        <w:jc w:val="both"/>
        <w:rPr>
          <w:rFonts w:eastAsia="Times New Roman" w:cs="Times New Roman"/>
          <w:noProof/>
        </w:rPr>
      </w:pPr>
      <w:r>
        <w:rPr>
          <w:noProof/>
        </w:rPr>
        <w:t>Investoinnin tavoitteena on antaa avustuksia puolijohteiden arvoketjuun liittyville hankkeille, jotta voidaan vahvistaa kansallista mikroelektroniikka</w:t>
      </w:r>
      <w:r>
        <w:rPr>
          <w:noProof/>
        </w:rPr>
        <w:t>ekosysteemiä ja laajentaa espanjalaisten yritysten osallistumisen vaikutusta mikroelektroniikka- ja viestintäteknologiaa koskevaan IPCEI-hankkeeseen (IPCEI ME-TC). Tällä tuella parannetaan puolijohdeteollisuuden suunnittelu- ja valmistuskapasiteettia Espan</w:t>
      </w:r>
      <w:r>
        <w:rPr>
          <w:noProof/>
        </w:rPr>
        <w:t xml:space="preserve">jassa. </w:t>
      </w:r>
    </w:p>
    <w:p w14:paraId="252894DF" w14:textId="22BBE09C" w:rsidR="000E48CE" w:rsidRDefault="00FF4C4E">
      <w:pPr>
        <w:pStyle w:val="P68B1DB1-Normal4"/>
        <w:spacing w:before="120" w:after="120" w:line="240" w:lineRule="auto"/>
        <w:jc w:val="both"/>
        <w:rPr>
          <w:rFonts w:eastAsia="Times New Roman" w:cs="Times New Roman"/>
          <w:noProof/>
        </w:rPr>
      </w:pPr>
      <w:r>
        <w:rPr>
          <w:noProof/>
        </w:rPr>
        <w:t>Tämä toimenpide pannaan täytäntöön kahdentyyppisillä välineillä:</w:t>
      </w:r>
    </w:p>
    <w:p w14:paraId="20E3F200" w14:textId="098613EF" w:rsidR="000E48CE" w:rsidRDefault="00FF4C4E">
      <w:pPr>
        <w:pStyle w:val="P68B1DB1-ListParagraph7"/>
        <w:numPr>
          <w:ilvl w:val="0"/>
          <w:numId w:val="306"/>
        </w:numPr>
        <w:spacing w:after="0" w:line="240" w:lineRule="auto"/>
        <w:jc w:val="both"/>
        <w:rPr>
          <w:rFonts w:eastAsia="Times New Roman" w:cs="Times New Roman"/>
          <w:noProof/>
        </w:rPr>
      </w:pPr>
      <w:r>
        <w:rPr>
          <w:noProof/>
        </w:rPr>
        <w:t>Ensimmäinen hanke täydentää tarvittavaa rahoitusta, jolla tuetaan espanjalaisten yritysten osallistumista Euroopan komission hyväksymään IPCEI-MCE:hen.</w:t>
      </w:r>
    </w:p>
    <w:p w14:paraId="7E2A4962" w14:textId="1A1CEB12" w:rsidR="000E48CE" w:rsidRDefault="00FF4C4E">
      <w:pPr>
        <w:pStyle w:val="P68B1DB1-ListParagraph7"/>
        <w:numPr>
          <w:ilvl w:val="0"/>
          <w:numId w:val="306"/>
        </w:numPr>
        <w:spacing w:after="0" w:line="240" w:lineRule="auto"/>
        <w:jc w:val="both"/>
        <w:rPr>
          <w:rFonts w:eastAsia="Times New Roman" w:cs="Times New Roman"/>
          <w:noProof/>
        </w:rPr>
      </w:pPr>
      <w:r>
        <w:rPr>
          <w:noProof/>
        </w:rPr>
        <w:t xml:space="preserve">Toisessa eli kansallisessa </w:t>
      </w:r>
      <w:r>
        <w:rPr>
          <w:noProof/>
        </w:rPr>
        <w:t>ehdotuspyynnössä keskitytään rahoituksen tarjoamiseen muille puolijohdeteollisuuden arvoketjuun kuuluvien yritysten kehittämille hankkeille.</w:t>
      </w:r>
    </w:p>
    <w:p w14:paraId="374E2A04" w14:textId="77777777" w:rsidR="000E48CE" w:rsidRDefault="00FF4C4E">
      <w:pPr>
        <w:pStyle w:val="P68B1DB1-Normal4"/>
        <w:spacing w:before="120" w:after="120" w:line="240" w:lineRule="auto"/>
        <w:jc w:val="both"/>
        <w:rPr>
          <w:rFonts w:cs="Times New Roman"/>
          <w:noProof/>
        </w:rPr>
      </w:pPr>
      <w:r>
        <w:rPr>
          <w:noProof/>
        </w:rPr>
        <w:t>Investointi on saatettava päätökseen viimeistään 31 päivänä elokuuta 2026.</w:t>
      </w:r>
    </w:p>
    <w:p w14:paraId="6351683B" w14:textId="43F82796" w:rsidR="000E48CE" w:rsidRDefault="00FF4C4E">
      <w:pPr>
        <w:pStyle w:val="P68B1DB1-Normal6"/>
        <w:spacing w:before="120" w:after="120" w:line="240" w:lineRule="auto"/>
        <w:jc w:val="both"/>
        <w:rPr>
          <w:rFonts w:cs="Times New Roman"/>
          <w:noProof/>
        </w:rPr>
      </w:pPr>
      <w:r>
        <w:rPr>
          <w:noProof/>
        </w:rPr>
        <w:t xml:space="preserve">Investointi 5 (C12.I5) – Kiertotaloutta </w:t>
      </w:r>
      <w:r>
        <w:rPr>
          <w:noProof/>
        </w:rPr>
        <w:t>tukeva tukiohjelma</w:t>
      </w:r>
    </w:p>
    <w:p w14:paraId="45188051" w14:textId="77B77B2F" w:rsidR="000E48CE" w:rsidRDefault="00FF4C4E">
      <w:pPr>
        <w:spacing w:before="120" w:after="120" w:line="240" w:lineRule="auto"/>
        <w:jc w:val="both"/>
        <w:textAlignment w:val="baseline"/>
        <w:rPr>
          <w:rFonts w:ascii="Times New Roman" w:hAnsi="Times New Roman" w:cs="Times New Roman"/>
          <w:noProof/>
        </w:rPr>
      </w:pPr>
      <w:bookmarkStart w:id="24" w:name="_Hlk145498671"/>
      <w:r>
        <w:rPr>
          <w:rStyle w:val="normaltextrun"/>
          <w:rFonts w:ascii="Times New Roman" w:hAnsi="Times New Roman"/>
          <w:noProof/>
          <w:sz w:val="24"/>
        </w:rPr>
        <w:t xml:space="preserve">Toimenpiteen on koostuttava tukiohjelmaan tehtävästä julkisesta investoinnista, jolla kannustetaan yksityisiä investointeja ja tuetaan kiertotalouden edistämistä yritystasolla kolmella Espanjan talouden keskeisellä alalla: tekstiilit ja </w:t>
      </w:r>
      <w:r>
        <w:rPr>
          <w:rStyle w:val="normaltextrun"/>
          <w:rFonts w:ascii="Times New Roman" w:hAnsi="Times New Roman"/>
          <w:noProof/>
          <w:sz w:val="24"/>
        </w:rPr>
        <w:t>muoti, muovit ja uusiutuvan energian laitteet. Järjestelmä toimii tarjoamalla yksityiselle sektorille taloudellisia kannustimia myöntämällä avustuksia tai pääomasijoituksia, mukaan lukien riskipääoma- ja pääomasijoitusrahastot. Elpymis- ja palautumistukivä</w:t>
      </w:r>
      <w:r>
        <w:rPr>
          <w:rStyle w:val="normaltextrun"/>
          <w:rFonts w:ascii="Times New Roman" w:hAnsi="Times New Roman"/>
          <w:noProof/>
          <w:sz w:val="24"/>
        </w:rPr>
        <w:t xml:space="preserve">lineen investointien perusteella järjestelmästä on tarkoitus myöntää aluksi rahoitusta vähintään 300 miljoonaa euroa. </w:t>
      </w:r>
    </w:p>
    <w:p w14:paraId="1118D082" w14:textId="5851DD68" w:rsidR="000E48CE" w:rsidRDefault="00FF4C4E">
      <w:pPr>
        <w:pStyle w:val="paragraph"/>
        <w:spacing w:before="0" w:beforeAutospacing="0" w:after="0" w:afterAutospacing="0"/>
        <w:jc w:val="both"/>
        <w:textAlignment w:val="baseline"/>
        <w:rPr>
          <w:rFonts w:ascii="Times New Roman" w:hAnsi="Times New Roman" w:cs="Times New Roman"/>
          <w:noProof/>
        </w:rPr>
      </w:pPr>
      <w:r>
        <w:rPr>
          <w:rStyle w:val="normaltextrun"/>
          <w:rFonts w:ascii="Times New Roman" w:hAnsi="Times New Roman"/>
          <w:noProof/>
        </w:rPr>
        <w:t>Järjestelmää hallinnoivat toteutuskumppaneina Instituto de Diversificación y Ahorro de la Energía (IDAE) ja Fundación Biodiversidad. Ohje</w:t>
      </w:r>
      <w:r>
        <w:rPr>
          <w:rStyle w:val="normaltextrun"/>
          <w:rFonts w:ascii="Times New Roman" w:hAnsi="Times New Roman"/>
          <w:noProof/>
        </w:rPr>
        <w:t>lmaan tehtävän sijoituksen toteuttamiseksi hallituksen on hyväksyttävä yksi tai useampi oikeudellinen väline</w:t>
      </w:r>
      <w:r>
        <w:rPr>
          <w:noProof/>
        </w:rPr>
        <w:t></w:t>
      </w:r>
      <w:r>
        <w:rPr>
          <w:rStyle w:val="normaltextrun"/>
          <w:rFonts w:ascii="Times New Roman" w:hAnsi="Times New Roman"/>
          <w:noProof/>
        </w:rPr>
        <w:t>(oman pääoman ehtoisten sijoitusten tapauksessa tämä väline olisi investointipolitiikka, jonka IDAE hyväksyy) ja jolla perustetaan järjestelmä, jok</w:t>
      </w:r>
      <w:r>
        <w:rPr>
          <w:rStyle w:val="normaltextrun"/>
          <w:rFonts w:ascii="Times New Roman" w:hAnsi="Times New Roman"/>
          <w:noProof/>
        </w:rPr>
        <w:t>a sisältää seuraavat osatekijät:</w:t>
      </w:r>
    </w:p>
    <w:p w14:paraId="5707E25A" w14:textId="77777777" w:rsidR="000E48CE" w:rsidRDefault="000E48CE">
      <w:pPr>
        <w:pStyle w:val="paragraph"/>
        <w:spacing w:before="0" w:beforeAutospacing="0" w:after="0" w:afterAutospacing="0"/>
        <w:jc w:val="both"/>
        <w:textAlignment w:val="baseline"/>
        <w:rPr>
          <w:rStyle w:val="normaltextrun"/>
          <w:rFonts w:ascii="Times New Roman" w:eastAsiaTheme="majorEastAsia" w:hAnsi="Times New Roman" w:cs="Times New Roman"/>
          <w:noProof/>
        </w:rPr>
      </w:pPr>
    </w:p>
    <w:p w14:paraId="1739F3C2" w14:textId="6ED69400" w:rsidR="000E48CE" w:rsidRDefault="00FF4C4E">
      <w:pPr>
        <w:pStyle w:val="P68B1DB1-paragraph25"/>
        <w:numPr>
          <w:ilvl w:val="0"/>
          <w:numId w:val="726"/>
        </w:numPr>
        <w:spacing w:before="0" w:beforeAutospacing="0" w:after="0" w:afterAutospacing="0"/>
        <w:jc w:val="both"/>
        <w:textAlignment w:val="baseline"/>
        <w:rPr>
          <w:rFonts w:cs="Times New Roman"/>
          <w:noProof/>
        </w:rPr>
      </w:pPr>
      <w:r>
        <w:rPr>
          <w:noProof/>
        </w:rPr>
        <w:t xml:space="preserve">Kuvaus järjestelmän päätöksentekoprosessista. Arviointielin arvioi hakemukset ja valitsee edunsaajat, jotka sisällytetään ohjelman mukaisiin lopullisiin myöntämispäätöksiin tai investointipäätöksiin, ja ne on hyväksyttävä </w:t>
      </w:r>
      <w:r>
        <w:rPr>
          <w:noProof/>
        </w:rPr>
        <w:t>Espanjan hallituksesta riippumattomien jäsenten äänten enemmistöllä, mikä tarkoittaa, että heidän on oltava joko toteutuskumppaneiden palveluksessa olevaa henkilöstöä ja/tai muita riippumattomia asiantuntijoita. Järjestelmän lopullinen investointipäätös on</w:t>
      </w:r>
      <w:r>
        <w:rPr>
          <w:noProof/>
        </w:rPr>
        <w:t xml:space="preserve"> rajoitettava investointikomitean tai vastaavan hallintoelimen ehdottaman investointipäätöksen hyväksymiseen (muutoksitta) tai veto-oikeuden käyttämiseen. Jos IDAE osallistuu johonkin hakijoista ja tämän ehdotuspyynnön talousarvio ei riitä kattamaan kaikki</w:t>
      </w:r>
      <w:r>
        <w:rPr>
          <w:noProof/>
        </w:rPr>
        <w:t>a vastaanotettuja hakemuksia, arviointiprosessi tarkastetaan ulkoisesti IDAE:n ”Plan de Mitigación de potenciales Confictos de Interés en Sociedades Participadas” mukaisesti.</w:t>
      </w:r>
    </w:p>
    <w:p w14:paraId="71B3B126" w14:textId="4AE06E6F" w:rsidR="000E48CE" w:rsidRDefault="00FF4C4E">
      <w:pPr>
        <w:pStyle w:val="P68B1DB1-paragraph25"/>
        <w:numPr>
          <w:ilvl w:val="0"/>
          <w:numId w:val="726"/>
        </w:numPr>
        <w:spacing w:before="0" w:beforeAutospacing="0" w:after="0" w:afterAutospacing="0"/>
        <w:jc w:val="both"/>
        <w:textAlignment w:val="baseline"/>
        <w:rPr>
          <w:rFonts w:cs="Times New Roman"/>
          <w:noProof/>
        </w:rPr>
      </w:pPr>
      <w:r>
        <w:rPr>
          <w:noProof/>
        </w:rPr>
        <w:t xml:space="preserve">Luettelo tukikelpoisista toimista, jotka ovat seuraavat: </w:t>
      </w:r>
    </w:p>
    <w:p w14:paraId="66B23614" w14:textId="2F82F780" w:rsidR="000E48CE" w:rsidRDefault="00FF4C4E">
      <w:pPr>
        <w:pStyle w:val="paragraph"/>
        <w:numPr>
          <w:ilvl w:val="1"/>
          <w:numId w:val="726"/>
        </w:numPr>
        <w:spacing w:before="0" w:beforeAutospacing="0" w:after="0" w:afterAutospacing="0"/>
        <w:jc w:val="both"/>
        <w:textAlignment w:val="baseline"/>
        <w:rPr>
          <w:rStyle w:val="normaltextrun"/>
          <w:rFonts w:ascii="Times New Roman" w:eastAsiaTheme="minorHAnsi" w:hAnsi="Times New Roman" w:cs="Times New Roman"/>
          <w:noProof/>
          <w:sz w:val="22"/>
        </w:rPr>
      </w:pPr>
      <w:r>
        <w:rPr>
          <w:rStyle w:val="normaltextrun"/>
          <w:rFonts w:ascii="Times New Roman" w:hAnsi="Times New Roman"/>
          <w:noProof/>
        </w:rPr>
        <w:t>Tekstiilit sekä muoti j</w:t>
      </w:r>
      <w:r>
        <w:rPr>
          <w:rStyle w:val="normaltextrun"/>
          <w:rFonts w:ascii="Times New Roman" w:hAnsi="Times New Roman"/>
          <w:noProof/>
        </w:rPr>
        <w:t>a muovit (vähintään 200000000 euroa, jota hallinnoi Fundación Biodiversidad): investoinnit infrastruktuuriin, teknologiaan sekä T &amp; K &amp; I-toimintaan materiaalien vähentämisen, uudelleenkäytön ja kierrätyksen ja/tai uudelleenarvostuksen helpottamiseksi.</w:t>
      </w:r>
    </w:p>
    <w:p w14:paraId="5DD17CA6" w14:textId="77777777" w:rsidR="000E48CE" w:rsidRDefault="00FF4C4E">
      <w:pPr>
        <w:pStyle w:val="paragraph"/>
        <w:numPr>
          <w:ilvl w:val="1"/>
          <w:numId w:val="726"/>
        </w:numPr>
        <w:spacing w:before="0" w:beforeAutospacing="0" w:after="0" w:afterAutospacing="0"/>
        <w:jc w:val="both"/>
        <w:textAlignment w:val="baseline"/>
        <w:rPr>
          <w:rStyle w:val="normaltextrun"/>
          <w:rFonts w:ascii="Times New Roman" w:hAnsi="Times New Roman" w:cs="Times New Roman"/>
          <w:noProof/>
        </w:rPr>
      </w:pPr>
      <w:r>
        <w:rPr>
          <w:rStyle w:val="normaltextrun"/>
          <w:rFonts w:ascii="Times New Roman" w:hAnsi="Times New Roman"/>
          <w:noProof/>
        </w:rPr>
        <w:t>Uus</w:t>
      </w:r>
      <w:r>
        <w:rPr>
          <w:rStyle w:val="normaltextrun"/>
          <w:rFonts w:ascii="Times New Roman" w:hAnsi="Times New Roman"/>
          <w:noProof/>
        </w:rPr>
        <w:t>iutuvan energian laitteet (vähintään 100000000 euroa, joita hallinnoi IDAE): investoinnit ekologiseen suunnitteluun, infrastruktuuriin, teknologiaan, T &amp; K &amp; I-toimintaan sekä laitosten ja järjestelmien kehittämiseen materiaalien vähentämisen, uudelleenkäy</w:t>
      </w:r>
      <w:r>
        <w:rPr>
          <w:rStyle w:val="normaltextrun"/>
          <w:rFonts w:ascii="Times New Roman" w:hAnsi="Times New Roman"/>
          <w:noProof/>
        </w:rPr>
        <w:t>tön ja kierrätyksen ja/tai uudelleenarvostuksen helpottamiseksi.</w:t>
      </w:r>
    </w:p>
    <w:p w14:paraId="2B1296E5" w14:textId="702A2607" w:rsidR="000E48CE" w:rsidRDefault="00FF4C4E">
      <w:pPr>
        <w:pStyle w:val="paragraph"/>
        <w:numPr>
          <w:ilvl w:val="0"/>
          <w:numId w:val="726"/>
        </w:numPr>
        <w:spacing w:before="0" w:beforeAutospacing="0" w:after="0" w:afterAutospacing="0"/>
        <w:jc w:val="both"/>
        <w:textAlignment w:val="baseline"/>
        <w:rPr>
          <w:rFonts w:ascii="Times New Roman" w:eastAsiaTheme="majorEastAsia" w:hAnsi="Times New Roman" w:cs="Times New Roman"/>
          <w:noProof/>
        </w:rPr>
      </w:pPr>
      <w:bookmarkStart w:id="25" w:name="_Hlk145500540"/>
      <w:r>
        <w:rPr>
          <w:rStyle w:val="normaltextrun"/>
          <w:rFonts w:ascii="Times New Roman" w:hAnsi="Times New Roman"/>
          <w:noProof/>
        </w:rPr>
        <w:t>Vaatimus noudattaa elpymis- ja palautumistukivälineen ”ei merkittävää haittaa” -periaatetta, sellaisena kuin se on esitetty ”ei merkittävää haittaa” -periaatetta koskevissa teknisissä ohjeissa (2021/C58/01). Oikeudellinen väline (oikeudelliset välineet) su</w:t>
      </w:r>
      <w:r>
        <w:rPr>
          <w:rStyle w:val="normaltextrun"/>
          <w:rFonts w:ascii="Times New Roman" w:hAnsi="Times New Roman"/>
          <w:noProof/>
        </w:rPr>
        <w:t>lkee pois erityisesti seuraavat toiminnot: fossiilisiin polttoaineisiin liittyvät toiminnot, mukaan lukien käyttö loppupäässä</w:t>
      </w:r>
      <w:r>
        <w:rPr>
          <w:rStyle w:val="FootnoteReference"/>
          <w:rFonts w:ascii="Times New Roman" w:eastAsiaTheme="minorHAnsi" w:hAnsi="Times New Roman" w:cs="Times New Roman"/>
          <w:noProof/>
        </w:rPr>
        <w:footnoteReference w:id="46"/>
      </w:r>
      <w:r>
        <w:rPr>
          <w:rFonts w:ascii="Times New Roman" w:hAnsi="Times New Roman"/>
          <w:noProof/>
        </w:rPr>
        <w:t>; II) EU:n päästökauppajärjestelmään kuuluvat toimet, joilla saavutetaan ennustetut kasvihuonekaasupäästöt, jotka eivät alita asia</w:t>
      </w:r>
      <w:r>
        <w:rPr>
          <w:rFonts w:ascii="Times New Roman" w:hAnsi="Times New Roman"/>
          <w:noProof/>
        </w:rPr>
        <w:t>ankuuluvia vertailuarvoja</w:t>
      </w:r>
      <w:r>
        <w:rPr>
          <w:rStyle w:val="FootnoteReference"/>
          <w:rFonts w:ascii="Times New Roman" w:eastAsiaTheme="minorHAnsi" w:hAnsi="Times New Roman" w:cs="Times New Roman"/>
          <w:noProof/>
        </w:rPr>
        <w:footnoteReference w:id="47"/>
      </w:r>
      <w:r>
        <w:rPr>
          <w:rFonts w:ascii="Times New Roman" w:hAnsi="Times New Roman"/>
          <w:noProof/>
        </w:rPr>
        <w:t>; ja iii) jätteiden kaatopaikkoihin, polttolaitoksiin</w:t>
      </w:r>
      <w:r>
        <w:rPr>
          <w:rStyle w:val="FootnoteReference"/>
          <w:rFonts w:ascii="Times New Roman" w:eastAsiaTheme="minorHAnsi" w:hAnsi="Times New Roman" w:cs="Times New Roman"/>
          <w:noProof/>
        </w:rPr>
        <w:footnoteReference w:id="48"/>
      </w:r>
      <w:r>
        <w:rPr>
          <w:rFonts w:ascii="Times New Roman" w:hAnsi="Times New Roman"/>
          <w:noProof/>
        </w:rPr>
        <w:t xml:space="preserve"> ja mekaanisiin biologisiin käsittelylaitoksiin liittyvät toimet</w:t>
      </w:r>
      <w:r>
        <w:rPr>
          <w:rStyle w:val="FootnoteReference"/>
          <w:rFonts w:ascii="Times New Roman" w:eastAsiaTheme="minorHAnsi" w:hAnsi="Times New Roman" w:cs="Times New Roman"/>
          <w:noProof/>
        </w:rPr>
        <w:footnoteReference w:id="49"/>
      </w:r>
      <w:r>
        <w:rPr>
          <w:rFonts w:ascii="Times New Roman" w:hAnsi="Times New Roman"/>
          <w:noProof/>
        </w:rPr>
        <w:t>. Kun kyse on yrityksille myönnettävästä yleisestä tuesta (mukaan lukien oman pääoman ehtoinen pääoma ja riskip</w:t>
      </w:r>
      <w:r>
        <w:rPr>
          <w:rFonts w:ascii="Times New Roman" w:hAnsi="Times New Roman"/>
          <w:noProof/>
        </w:rPr>
        <w:t>ääoma), oikeudelliset välineet sulkevat pois yritykset,</w:t>
      </w:r>
      <w:r>
        <w:rPr>
          <w:rFonts w:ascii="Times New Roman" w:hAnsi="Times New Roman"/>
          <w:noProof/>
        </w:rPr>
        <w:footnoteReference w:id="50"/>
      </w:r>
      <w:r>
        <w:rPr>
          <w:rFonts w:ascii="Times New Roman" w:hAnsi="Times New Roman"/>
          <w:noProof/>
        </w:rPr>
        <w:t xml:space="preserve"> jotka keskittyvät erityisesti seuraaviin aloihin: fossiilisiin polttoaineisiin perustuva energiantuotanto ja siihen liittyvä toiminta</w:t>
      </w:r>
      <w:r>
        <w:rPr>
          <w:rFonts w:ascii="Times New Roman" w:hAnsi="Times New Roman"/>
          <w:noProof/>
        </w:rPr>
        <w:footnoteReference w:id="51"/>
      </w:r>
      <w:r>
        <w:rPr>
          <w:rFonts w:ascii="Times New Roman" w:hAnsi="Times New Roman"/>
          <w:noProof/>
        </w:rPr>
        <w:t>; energiaintensiiviset ja/tai paljon hiilidioksidipäästöjä aiheut</w:t>
      </w:r>
      <w:r>
        <w:rPr>
          <w:rFonts w:ascii="Times New Roman" w:hAnsi="Times New Roman"/>
          <w:noProof/>
        </w:rPr>
        <w:t>tavat teollisuudenalat</w:t>
      </w:r>
      <w:r>
        <w:rPr>
          <w:rFonts w:ascii="Times New Roman" w:hAnsi="Times New Roman"/>
          <w:noProof/>
        </w:rPr>
        <w:footnoteReference w:id="52"/>
      </w:r>
      <w:r>
        <w:rPr>
          <w:rFonts w:ascii="Times New Roman" w:hAnsi="Times New Roman"/>
          <w:noProof/>
        </w:rPr>
        <w:t>; saastuttavien ajoneuvojen tuotanto, vuokraus tai myynti</w:t>
      </w:r>
      <w:r>
        <w:rPr>
          <w:rFonts w:ascii="Times New Roman" w:hAnsi="Times New Roman"/>
          <w:noProof/>
        </w:rPr>
        <w:footnoteReference w:id="53"/>
      </w:r>
      <w:r>
        <w:rPr>
          <w:rFonts w:ascii="Times New Roman" w:hAnsi="Times New Roman"/>
          <w:noProof/>
        </w:rPr>
        <w:t>; jätteiden keruu, käsittely ja loppusijoitus</w:t>
      </w:r>
      <w:r>
        <w:rPr>
          <w:rFonts w:ascii="Times New Roman" w:hAnsi="Times New Roman"/>
          <w:noProof/>
        </w:rPr>
        <w:footnoteReference w:id="54"/>
      </w:r>
      <w:r>
        <w:rPr>
          <w:rFonts w:ascii="Times New Roman" w:hAnsi="Times New Roman"/>
          <w:noProof/>
        </w:rPr>
        <w:t>, v) ydinpolttoaineen käsittely ja ydinenergian tuotanto. Lisäksi oikeudellisissa välineissä on edellytettävä tukijärjestelmien l</w:t>
      </w:r>
      <w:r>
        <w:rPr>
          <w:rFonts w:ascii="Times New Roman" w:hAnsi="Times New Roman"/>
          <w:noProof/>
        </w:rPr>
        <w:t>opullisten tuensaajien asiaankuuluvan EU:n ja kansallisen ympäristölainsäädännön noudattamista.</w:t>
      </w:r>
    </w:p>
    <w:p w14:paraId="60464F34" w14:textId="66B7E8FD" w:rsidR="000E48CE" w:rsidRDefault="00FF4C4E">
      <w:pPr>
        <w:pStyle w:val="P68B1DB1-paragraph25"/>
        <w:numPr>
          <w:ilvl w:val="0"/>
          <w:numId w:val="726"/>
        </w:numPr>
        <w:spacing w:before="0" w:beforeAutospacing="0" w:after="0" w:afterAutospacing="0"/>
        <w:jc w:val="both"/>
        <w:textAlignment w:val="baseline"/>
        <w:rPr>
          <w:rStyle w:val="normaltextrun"/>
          <w:rFonts w:eastAsiaTheme="majorEastAsia" w:cs="Times New Roman"/>
          <w:noProof/>
          <w:sz w:val="22"/>
        </w:rPr>
      </w:pPr>
      <w:bookmarkStart w:id="26" w:name="_Hlk145500550"/>
      <w:bookmarkEnd w:id="25"/>
      <w:r>
        <w:rPr>
          <w:noProof/>
        </w:rPr>
        <w:t>Vaatimus, jonka mukaan tukijärjestelmien lopulliset edunsaajat eivät saa tukea muista unionin välineistä samojen kustannusten kattamiseksi</w:t>
      </w:r>
      <w:bookmarkEnd w:id="26"/>
      <w:r>
        <w:rPr>
          <w:noProof/>
        </w:rPr>
        <w:t>.</w:t>
      </w:r>
    </w:p>
    <w:p w14:paraId="7CC63F0B" w14:textId="389D6619" w:rsidR="000E48CE" w:rsidRDefault="00FF4C4E">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Järjestelmän kattama</w:t>
      </w:r>
      <w:r>
        <w:rPr>
          <w:rStyle w:val="normaltextrun"/>
          <w:rFonts w:ascii="Times New Roman" w:hAnsi="Times New Roman"/>
          <w:noProof/>
          <w:sz w:val="24"/>
        </w:rPr>
        <w:t xml:space="preserve"> määrä ja vaatimus investoida tukijärjestelmästä käyttämättä jääneet tulot uudelleen edellä lueteltuihin toimintoihin, myös vuoden 2026 jälkeen.</w:t>
      </w:r>
    </w:p>
    <w:p w14:paraId="6CFD6B63" w14:textId="7190A871" w:rsidR="000E48CE" w:rsidRDefault="00FF4C4E">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Tukijärjestelmiin liittyviä ilmastoinvestointeja koskevat raportointivaatimukset</w:t>
      </w:r>
      <w:r>
        <w:rPr>
          <w:rStyle w:val="FootnoteReference"/>
          <w:rFonts w:ascii="Times New Roman" w:eastAsiaTheme="majorEastAsia" w:hAnsi="Times New Roman" w:cs="Times New Roman"/>
          <w:noProof/>
          <w:sz w:val="24"/>
        </w:rPr>
        <w:footnoteReference w:id="55"/>
      </w:r>
      <w:r>
        <w:rPr>
          <w:rStyle w:val="normaltextrun"/>
          <w:rFonts w:ascii="Times New Roman" w:hAnsi="Times New Roman"/>
          <w:noProof/>
          <w:sz w:val="24"/>
        </w:rPr>
        <w:t>.</w:t>
      </w:r>
    </w:p>
    <w:p w14:paraId="228CA13B" w14:textId="6D76C95E" w:rsidR="000E48CE" w:rsidRDefault="00FF4C4E">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Pääomasijoitusten, myös riskipääoman, osalta sijoituspolitiikan keskeisiin vaatimuksiin, jotka koskevat mahdollista varojen myöntämistä, kuuluvat seuraavat:  </w:t>
      </w:r>
    </w:p>
    <w:p w14:paraId="0812194C" w14:textId="6D76C95E" w:rsidR="000E48CE" w:rsidRDefault="00FF4C4E">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Kuvaus rahoitustuotteita koskevista budjettikohdista ja tukikelpoisista lopullisista edunsaajista</w:t>
      </w:r>
      <w:r>
        <w:rPr>
          <w:rStyle w:val="normaltextrun"/>
          <w:rFonts w:ascii="Times New Roman" w:hAnsi="Times New Roman"/>
          <w:noProof/>
          <w:sz w:val="24"/>
        </w:rPr>
        <w:t xml:space="preserve"> </w:t>
      </w:r>
    </w:p>
    <w:p w14:paraId="39612950" w14:textId="5E85E411" w:rsidR="000E48CE" w:rsidRDefault="00FF4C4E">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Kaikkien tuettujen investointien on oltava taloudellisesti kannattavia.  </w:t>
      </w:r>
    </w:p>
    <w:p w14:paraId="3735BC1C" w14:textId="0610D4D4" w:rsidR="000E48CE" w:rsidRDefault="00FF4C4E">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Pääomasijoitusten, myös riskipääoman, osalta seuraavat seuranta-, tarkastus- ja valvontavaatimukset, mukaan lukien: </w:t>
      </w:r>
    </w:p>
    <w:p w14:paraId="5813F73D" w14:textId="21990745" w:rsidR="000E48CE" w:rsidRDefault="00FF4C4E">
      <w:pPr>
        <w:pStyle w:val="P68B1DB1-Normal4"/>
        <w:numPr>
          <w:ilvl w:val="1"/>
          <w:numId w:val="726"/>
        </w:numPr>
        <w:spacing w:after="0" w:line="240" w:lineRule="auto"/>
        <w:jc w:val="both"/>
        <w:rPr>
          <w:rFonts w:cs="Times New Roman"/>
          <w:noProof/>
        </w:rPr>
      </w:pPr>
      <w:r>
        <w:rPr>
          <w:noProof/>
        </w:rPr>
        <w:t>Kuvaus IDAE:n seurantajärjestelmästä, jolla raportoidaan liikke</w:t>
      </w:r>
      <w:r>
        <w:rPr>
          <w:noProof/>
        </w:rPr>
        <w:t>elle saaduista investoinneista.</w:t>
      </w:r>
    </w:p>
    <w:p w14:paraId="530565DC" w14:textId="77278F4C" w:rsidR="000E48CE" w:rsidRDefault="00FF4C4E">
      <w:pPr>
        <w:pStyle w:val="P68B1DB1-paragraph25"/>
        <w:numPr>
          <w:ilvl w:val="1"/>
          <w:numId w:val="726"/>
        </w:numPr>
        <w:spacing w:before="0" w:beforeAutospacing="0" w:after="0" w:afterAutospacing="0"/>
        <w:jc w:val="both"/>
        <w:textAlignment w:val="baseline"/>
        <w:rPr>
          <w:rFonts w:eastAsiaTheme="majorEastAsia" w:cs="Times New Roman"/>
          <w:noProof/>
        </w:rPr>
      </w:pPr>
      <w:r>
        <w:rPr>
          <w:noProof/>
        </w:rPr>
        <w:t>Kuvaus IDAE:n menettelyistä, joilla varmistetaan petosten, lahjonnan ja eturistiriitojen ehkäiseminen, havaitseminen ja korjaaminen.</w:t>
      </w:r>
    </w:p>
    <w:p w14:paraId="6576DF5B" w14:textId="18EBFB24" w:rsidR="000E48CE" w:rsidRDefault="00FF4C4E">
      <w:pPr>
        <w:pStyle w:val="ListParagraph"/>
        <w:numPr>
          <w:ilvl w:val="1"/>
          <w:numId w:val="726"/>
        </w:numPr>
        <w:rPr>
          <w:rStyle w:val="normaltextrun"/>
          <w:rFonts w:ascii="Times New Roman" w:eastAsiaTheme="majorEastAsia" w:hAnsi="Times New Roman" w:cs="Times New Roman"/>
          <w:noProof/>
          <w:sz w:val="24"/>
        </w:rPr>
      </w:pPr>
      <w:r>
        <w:rPr>
          <w:rStyle w:val="normaltextrun"/>
          <w:rFonts w:ascii="Times New Roman" w:hAnsi="Times New Roman"/>
          <w:noProof/>
          <w:sz w:val="24"/>
        </w:rPr>
        <w:t>Velvoite tarkistaa jokaisen toimen tukikelpoisuus täytäntöönpanosopimuksessa vahvistettujen</w:t>
      </w:r>
      <w:r>
        <w:rPr>
          <w:rStyle w:val="normaltextrun"/>
          <w:rFonts w:ascii="Times New Roman" w:hAnsi="Times New Roman"/>
          <w:noProof/>
          <w:sz w:val="24"/>
        </w:rPr>
        <w:t xml:space="preserve"> vaatimusten mukaisesti ennen kuin se sitoutuu rahoittamaan toimea.</w:t>
      </w:r>
    </w:p>
    <w:p w14:paraId="68FA448A" w14:textId="1F736C94" w:rsidR="000E48CE" w:rsidRDefault="00FF4C4E">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Velvollisuus suorittaa riskiperusteisia jälkitarkastuksia IDAE:n tarkastussuunnitelman mukaisesti. Näillä tarkastuksilla on varmistettava i) valvontajärjestelmien tehokkuus, mukaan lukien </w:t>
      </w:r>
      <w:r>
        <w:rPr>
          <w:rStyle w:val="normaltextrun"/>
          <w:rFonts w:ascii="Times New Roman" w:hAnsi="Times New Roman"/>
          <w:noProof/>
          <w:sz w:val="24"/>
        </w:rPr>
        <w:t>petosten, lahjonnan ja eturistiriitojen havaitseminen; ”ei merkittävää haittaa” -periaatteen, valtiontukisääntöjen ja ilmastotavoitteita koskevien vaatimusten noudattaminen; ja iii) että noudatetaan vaatimusta, jonka mukaan IDEAn on todennettava, että lopu</w:t>
      </w:r>
      <w:r>
        <w:rPr>
          <w:rStyle w:val="normaltextrun"/>
          <w:rFonts w:ascii="Times New Roman" w:hAnsi="Times New Roman"/>
          <w:noProof/>
          <w:sz w:val="24"/>
        </w:rPr>
        <w:t>llinen tuensaaja esittää vastuullisen ilmoituksen sen valvomiseksi, katetaanko samat kustannukset toisesta unionin välineestä. Tarkastuksissa on myös varmistettava toimien laillisuus ja se, että järjestelmän perustamista koskevan sovellettavan oikeudellise</w:t>
      </w:r>
      <w:r>
        <w:rPr>
          <w:rStyle w:val="normaltextrun"/>
          <w:rFonts w:ascii="Times New Roman" w:hAnsi="Times New Roman"/>
          <w:noProof/>
          <w:sz w:val="24"/>
        </w:rPr>
        <w:t>n välineen tai investointipolitiikan edellytyksiä noudatetaan.</w:t>
      </w:r>
    </w:p>
    <w:p w14:paraId="2DF7F196" w14:textId="4A64BF29" w:rsidR="000E48CE" w:rsidRDefault="00FF4C4E">
      <w:pPr>
        <w:pStyle w:val="P68B1DB1-paragraph25"/>
        <w:spacing w:before="120" w:beforeAutospacing="0" w:after="120" w:afterAutospacing="0"/>
        <w:jc w:val="both"/>
        <w:textAlignment w:val="baseline"/>
        <w:rPr>
          <w:rFonts w:cs="Times New Roman"/>
          <w:noProof/>
        </w:rPr>
      </w:pPr>
      <w:bookmarkStart w:id="27" w:name="_Hlk145498759"/>
      <w:bookmarkEnd w:id="24"/>
      <w:r>
        <w:rPr>
          <w:noProof/>
        </w:rPr>
        <w:t xml:space="preserve">Investoinnin toteuttaminen on saatettava päätökseen viimeistään 31 päivänä elokuuta 2026. </w:t>
      </w:r>
      <w:bookmarkEnd w:id="27"/>
    </w:p>
    <w:p w14:paraId="2B161184" w14:textId="2BD7C09D" w:rsidR="000E48CE" w:rsidRDefault="00FF4C4E">
      <w:pPr>
        <w:pStyle w:val="P68B1DB1-paragraph26"/>
        <w:spacing w:before="120" w:after="120"/>
        <w:jc w:val="both"/>
        <w:textAlignment w:val="baseline"/>
        <w:rPr>
          <w:rFonts w:cs="Times New Roman"/>
          <w:noProof/>
        </w:rPr>
      </w:pPr>
      <w:r>
        <w:rPr>
          <w:noProof/>
        </w:rPr>
        <w:t>Investointi 6 (C12.I6) – Avustusohjelma sähköautojen arvoketjun strategisten hankkeiden tukemiseksi (a</w:t>
      </w:r>
      <w:r>
        <w:rPr>
          <w:noProof/>
        </w:rPr>
        <w:t>vustukset)</w:t>
      </w:r>
    </w:p>
    <w:p w14:paraId="08AAB58C" w14:textId="4985C9D0" w:rsidR="000E48CE" w:rsidRDefault="00FF4C4E">
      <w:pPr>
        <w:pStyle w:val="P68B1DB1-paragraph25"/>
        <w:spacing w:before="120" w:after="120"/>
        <w:jc w:val="both"/>
        <w:textAlignment w:val="baseline"/>
        <w:rPr>
          <w:rFonts w:cs="Times New Roman"/>
          <w:noProof/>
        </w:rPr>
      </w:pPr>
      <w:r>
        <w:rPr>
          <w:noProof/>
        </w:rPr>
        <w:t>Tämä toimenpide koostuu julkisesta investoinnista tukijärjestelmään, jolla kannustetaan yksityisiin investointeihin sähköautojen arvoketjuun avustusten avulla. Ohjelmalla edistetään strategisten alojen, kuten autoteollisuuden ja sähköajoneuvojen</w:t>
      </w:r>
      <w:r>
        <w:rPr>
          <w:noProof/>
        </w:rPr>
        <w:t xml:space="preserve">, muutosta myöntämällä avustuksia yksityiselle sektorille ministerineuvoston hyväksymien strategisten hankkeiden tai PERTE-hankkeiden puitteissa. Elpymis- ja palautumistukivälineen investointien perusteella tukijärjestelmän tarkoituksena on aluksi tarjota </w:t>
      </w:r>
      <w:r>
        <w:rPr>
          <w:noProof/>
        </w:rPr>
        <w:t>rahoitusta vähintään 250000000 euroa.</w:t>
      </w:r>
    </w:p>
    <w:p w14:paraId="18037602" w14:textId="2A50611B" w:rsidR="000E48CE" w:rsidRDefault="00FF4C4E">
      <w:pPr>
        <w:pStyle w:val="P68B1DB1-paragraph25"/>
        <w:spacing w:before="120" w:after="120"/>
        <w:jc w:val="both"/>
        <w:textAlignment w:val="baseline"/>
        <w:rPr>
          <w:rFonts w:cs="Times New Roman"/>
          <w:noProof/>
        </w:rPr>
      </w:pPr>
      <w:r>
        <w:rPr>
          <w:noProof/>
        </w:rPr>
        <w:t>Järjestelmää hallinnoi toteutuskumppanina toimiva ENISA. Asiaankuuluvalla säädöksellä ENISA muutetaan julkiseksi yritykseksi tämän investoinnin toteuttamiseksi (tämä on Espanjan elpymis- ja palautumissuunnitelman osa-a</w:t>
      </w:r>
      <w:r>
        <w:rPr>
          <w:noProof/>
        </w:rPr>
        <w:t>lueen 31 investoinnin 6 virstanpylväs).</w:t>
      </w:r>
    </w:p>
    <w:p w14:paraId="57D2DC67" w14:textId="4241956F" w:rsidR="000E48CE" w:rsidRDefault="00FF4C4E">
      <w:pPr>
        <w:pStyle w:val="P68B1DB1-paragraph25"/>
        <w:spacing w:before="120" w:after="120"/>
        <w:jc w:val="both"/>
        <w:textAlignment w:val="baseline"/>
        <w:rPr>
          <w:rFonts w:cs="Times New Roman"/>
          <w:noProof/>
        </w:rPr>
      </w:pPr>
      <w:r>
        <w:rPr>
          <w:noProof/>
        </w:rPr>
        <w:t xml:space="preserve">Ohjelmaan tehtävän investoinnin toteuttamiseksi hallitus hyväksyy yhden tai useamman välineen, jolla järjestelmä perustetaan ja joka sisältää seuraavat osat:  </w:t>
      </w:r>
    </w:p>
    <w:p w14:paraId="71E4313C" w14:textId="0974C1F7" w:rsidR="000E48CE" w:rsidRDefault="00FF4C4E">
      <w:pPr>
        <w:pStyle w:val="P68B1DB1-paragraph25"/>
        <w:numPr>
          <w:ilvl w:val="0"/>
          <w:numId w:val="763"/>
        </w:numPr>
        <w:spacing w:before="120" w:after="120"/>
        <w:jc w:val="both"/>
        <w:textAlignment w:val="baseline"/>
        <w:rPr>
          <w:rFonts w:cs="Times New Roman"/>
          <w:noProof/>
        </w:rPr>
      </w:pPr>
      <w:r>
        <w:rPr>
          <w:noProof/>
        </w:rPr>
        <w:t>Kuvaus järjestelmän päätöksentekoprosessista: Arviointik</w:t>
      </w:r>
      <w:r>
        <w:rPr>
          <w:noProof/>
        </w:rPr>
        <w:t>omitea tai muu vastaava hallintoelin arvioi hakemukset ja valitsee edunsaajat, jotka sisällytetään ohjelman mukaisiin lopullisiin myöntämispäätöksiin tai investointipäätöksiin, ja ne hyväksytään äänten enemmistöllä Espanjan hallituksesta riippumattomilta j</w:t>
      </w:r>
      <w:r>
        <w:rPr>
          <w:noProof/>
        </w:rPr>
        <w:t>äseniltä, mikä tarkoittaa, että heidän on oltava joko ENISAn palveluksessa olevaa henkilöstöä ja/tai muita riippumattomia asiantuntijoita. Järjestelmän lopullinen investointipäätös on rajoitettava arviointikomitean tai vastaavan hallintoelimen ehdottaman i</w:t>
      </w:r>
      <w:r>
        <w:rPr>
          <w:noProof/>
        </w:rPr>
        <w:t>nvestointipäätöksen hyväksymiseen (muutoksitta) tai veto-oikeuden käyttämiseen.</w:t>
      </w:r>
    </w:p>
    <w:p w14:paraId="70E00AA1" w14:textId="48F9DA2C" w:rsidR="000E48CE" w:rsidRDefault="00FF4C4E">
      <w:pPr>
        <w:pStyle w:val="P68B1DB1-paragraph25"/>
        <w:numPr>
          <w:ilvl w:val="0"/>
          <w:numId w:val="763"/>
        </w:numPr>
        <w:spacing w:before="120" w:after="120"/>
        <w:jc w:val="both"/>
        <w:textAlignment w:val="baseline"/>
        <w:rPr>
          <w:rFonts w:cs="Times New Roman"/>
          <w:noProof/>
        </w:rPr>
      </w:pPr>
      <w:r>
        <w:rPr>
          <w:noProof/>
        </w:rPr>
        <w:t>Luettelo alan vihreään ja digitaaliseen muutokseen liittyvistä toimista, jotka ovat tukikelpoisia ja joiden määrä on vähintään 250000000 euroa. Toimenpiteellä tuetaan innovatii</w:t>
      </w:r>
      <w:r>
        <w:rPr>
          <w:noProof/>
        </w:rPr>
        <w:t>visia hankkeita, joihin liittyy merkittävä teollisuuden muutos energiatehokkuuden, kestävyyden ja digitalisaation osalta.</w:t>
      </w:r>
    </w:p>
    <w:p w14:paraId="68E02A32" w14:textId="55F7B6E0" w:rsidR="000E48CE" w:rsidRDefault="00FF4C4E">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 xml:space="preserve">Vaatimus noudattaa elpymis- ja palautumistukivälineen ”ei merkittävää haittaa” -periaatetta, sellaisena kuin se on esitetty ”ei </w:t>
      </w:r>
      <w:r>
        <w:rPr>
          <w:rFonts w:ascii="Times New Roman" w:hAnsi="Times New Roman"/>
          <w:noProof/>
        </w:rPr>
        <w:t>merkittävää haittaa” -periaatetta koskevissa teknisissä ohjeissa (2021/C58/01). Oikeudellinen väline (oikeudelliset välineet) sulkee pois erityisesti seuraavat toiminnot: fossiilisiin polttoaineisiin liittyvät toiminnot, mukaan lukien käyttö loppupäässä</w:t>
      </w:r>
      <w:r>
        <w:rPr>
          <w:rStyle w:val="FootnoteReference"/>
          <w:rFonts w:ascii="Times New Roman" w:eastAsiaTheme="minorHAnsi" w:hAnsi="Times New Roman" w:cs="Times New Roman"/>
          <w:noProof/>
        </w:rPr>
        <w:footnoteReference w:id="56"/>
      </w:r>
      <w:r>
        <w:rPr>
          <w:rFonts w:ascii="Times New Roman" w:hAnsi="Times New Roman"/>
          <w:noProof/>
        </w:rPr>
        <w:t xml:space="preserve">; </w:t>
      </w:r>
      <w:r>
        <w:rPr>
          <w:rFonts w:ascii="Times New Roman" w:hAnsi="Times New Roman"/>
          <w:noProof/>
        </w:rPr>
        <w:t>II) EU:n päästökauppajärjestelmään kuuluvat toimet, joilla saavutetaan ennustetut kasvihuonekaasupäästöt, jotka eivät alita asiaankuuluvia vertailuarvoja</w:t>
      </w:r>
      <w:r>
        <w:rPr>
          <w:rStyle w:val="FootnoteReference"/>
          <w:rFonts w:ascii="Times New Roman" w:eastAsiaTheme="minorHAnsi" w:hAnsi="Times New Roman" w:cs="Times New Roman"/>
          <w:noProof/>
        </w:rPr>
        <w:footnoteReference w:id="57"/>
      </w:r>
      <w:r>
        <w:rPr>
          <w:rFonts w:ascii="Times New Roman" w:hAnsi="Times New Roman"/>
          <w:noProof/>
        </w:rPr>
        <w:t>; ja iii) jätteiden kaatopaikkoihin, polttolaitoksiin</w:t>
      </w:r>
      <w:r>
        <w:rPr>
          <w:rStyle w:val="FootnoteReference"/>
          <w:rFonts w:ascii="Times New Roman" w:eastAsiaTheme="minorHAnsi" w:hAnsi="Times New Roman" w:cs="Times New Roman"/>
          <w:noProof/>
        </w:rPr>
        <w:footnoteReference w:id="58"/>
      </w:r>
      <w:r>
        <w:rPr>
          <w:rFonts w:ascii="Times New Roman" w:hAnsi="Times New Roman"/>
          <w:noProof/>
        </w:rPr>
        <w:t xml:space="preserve"> ja mekaanisiin biologisiin käsittelylaitoksiin </w:t>
      </w:r>
      <w:r>
        <w:rPr>
          <w:rFonts w:ascii="Times New Roman" w:hAnsi="Times New Roman"/>
          <w:noProof/>
        </w:rPr>
        <w:t>liittyvät toimet</w:t>
      </w:r>
      <w:r>
        <w:rPr>
          <w:rStyle w:val="FootnoteReference"/>
          <w:rFonts w:ascii="Times New Roman" w:eastAsiaTheme="minorHAnsi" w:hAnsi="Times New Roman" w:cs="Times New Roman"/>
          <w:noProof/>
        </w:rPr>
        <w:footnoteReference w:id="59"/>
      </w:r>
      <w:r>
        <w:rPr>
          <w:rFonts w:ascii="Times New Roman" w:hAnsi="Times New Roman"/>
          <w:noProof/>
        </w:rPr>
        <w:t>.  Lisäksi oikeudellisissa välineissä on edellytettävä tukijärjestelmien lopullisten tuensaajien asiaankuuluvan EU:n ja kansallisen ympäristölainsäädännön noudattamista. Seuraavien tämän investoinnin mukaisten T &amp; K &amp; I-toimien katsotaan o</w:t>
      </w:r>
      <w:r>
        <w:rPr>
          <w:rFonts w:ascii="Times New Roman" w:hAnsi="Times New Roman"/>
          <w:noProof/>
        </w:rPr>
        <w:t>levan ”ei merkittävää haittaa” -periaatteen mukaisia (2021/C58/01): Tämän investoinnin mukaiset T &amp; K &amp; I-toimet, joilla pyritään lisäämään merkittävästi yritysten ympäristökestävyyttä (kuten hiilestä irtautuminen, saastumisen vähentäminen ja kiertotalous)</w:t>
      </w:r>
      <w:r>
        <w:rPr>
          <w:rFonts w:ascii="Times New Roman" w:hAnsi="Times New Roman"/>
          <w:noProof/>
        </w:rPr>
        <w:t xml:space="preserve">, jos tämän investoinnin T &amp; K &amp; I-toimissa keskitytään ensisijaisesti sellaisten vaihtoehtojen kehittämiseen tai mukauttamiseen, joilla on mahdollisimman vähän ympäristövaikutuksia alalla.   </w:t>
      </w:r>
    </w:p>
    <w:p w14:paraId="59D67AB0" w14:textId="4EC401CB" w:rsidR="000E48CE" w:rsidRDefault="00FF4C4E">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 xml:space="preserve">ENISAn tekemiä ilmastoinvestointeja koskevat vaatimukset: </w:t>
      </w:r>
      <w:r>
        <w:rPr>
          <w:rFonts w:ascii="Times New Roman" w:hAnsi="Times New Roman"/>
          <w:noProof/>
        </w:rPr>
        <w:t>vähintään 100000000 euron elpymis- ja palautumistukivälineen investoinneista järjestelmään on edistettävä ilmastonmuutosta koskevien tavoitteiden saavuttamista elpymis- ja palautumistukivälinettä koskevan asetuksen liitteen VI mukaisesti.</w:t>
      </w:r>
      <w:r>
        <w:rPr>
          <w:rStyle w:val="FootnoteReference"/>
          <w:rFonts w:ascii="Times New Roman" w:hAnsi="Times New Roman" w:cs="Times New Roman"/>
          <w:noProof/>
        </w:rPr>
        <w:footnoteReference w:id="60"/>
      </w:r>
      <w:r>
        <w:rPr>
          <w:rFonts w:ascii="Times New Roman" w:hAnsi="Times New Roman"/>
          <w:noProof/>
        </w:rPr>
        <w:t xml:space="preserve"> </w:t>
      </w:r>
    </w:p>
    <w:p w14:paraId="4F5E45AA" w14:textId="7FBD7822" w:rsidR="000E48CE" w:rsidRDefault="00FF4C4E">
      <w:pPr>
        <w:pStyle w:val="P68B1DB1-paragraph25"/>
        <w:numPr>
          <w:ilvl w:val="0"/>
          <w:numId w:val="763"/>
        </w:numPr>
        <w:spacing w:before="120" w:after="120"/>
        <w:jc w:val="both"/>
        <w:textAlignment w:val="baseline"/>
        <w:rPr>
          <w:rFonts w:cs="Times New Roman"/>
          <w:noProof/>
        </w:rPr>
      </w:pPr>
      <w:r>
        <w:rPr>
          <w:noProof/>
        </w:rPr>
        <w:t>Vaatimus, jonka</w:t>
      </w:r>
      <w:r>
        <w:rPr>
          <w:noProof/>
        </w:rPr>
        <w:t xml:space="preserve"> mukaan tukijärjestelmän lopulliset edunsaajat eivät saa tukea muista unionin välineistä samojen kustannusten kattamiseksi.</w:t>
      </w:r>
    </w:p>
    <w:p w14:paraId="61C4B048" w14:textId="6D76C95E" w:rsidR="000E48CE" w:rsidRDefault="00FF4C4E">
      <w:pPr>
        <w:pStyle w:val="P68B1DB1-paragraph25"/>
        <w:numPr>
          <w:ilvl w:val="0"/>
          <w:numId w:val="763"/>
        </w:numPr>
        <w:spacing w:before="120" w:after="120"/>
        <w:jc w:val="both"/>
        <w:textAlignment w:val="baseline"/>
        <w:rPr>
          <w:rFonts w:cs="Times New Roman"/>
          <w:noProof/>
        </w:rPr>
      </w:pPr>
      <w:r>
        <w:rPr>
          <w:noProof/>
        </w:rPr>
        <w:t>Järjestelmän kattama määrä ja vaatimus investoida tukijärjestelmästä käyttämättä jääneet tulot uudelleen edellä lueteltuihin toimint</w:t>
      </w:r>
      <w:r>
        <w:rPr>
          <w:noProof/>
        </w:rPr>
        <w:t>oihin, myös vuoden 2026 jälkeen.</w:t>
      </w:r>
    </w:p>
    <w:p w14:paraId="30FD7CD7" w14:textId="36DF14D3" w:rsidR="000E48CE" w:rsidRDefault="00FF4C4E">
      <w:pPr>
        <w:pStyle w:val="P68B1DB1-paragraph25"/>
        <w:spacing w:before="120" w:beforeAutospacing="0" w:after="120" w:afterAutospacing="0"/>
        <w:jc w:val="both"/>
        <w:textAlignment w:val="baseline"/>
        <w:rPr>
          <w:rFonts w:cs="Times New Roman"/>
          <w:noProof/>
        </w:rPr>
      </w:pPr>
      <w:r>
        <w:rPr>
          <w:noProof/>
        </w:rPr>
        <w:t>Investoinnin toteuttaminen on saatettava päätökseen viimeistään 31 päivänä elokuuta 2026.</w:t>
      </w:r>
    </w:p>
    <w:p w14:paraId="6F9695D0" w14:textId="77777777" w:rsidR="000E48CE" w:rsidRDefault="000E48CE">
      <w:pPr>
        <w:spacing w:before="120" w:after="120" w:line="240" w:lineRule="auto"/>
        <w:jc w:val="both"/>
        <w:rPr>
          <w:rFonts w:ascii="Times New Roman" w:hAnsi="Times New Roman" w:cs="Times New Roman"/>
          <w:noProof/>
          <w:sz w:val="24"/>
        </w:rPr>
      </w:pPr>
    </w:p>
    <w:p w14:paraId="7EFE469E" w14:textId="77777777" w:rsidR="000E48CE" w:rsidRDefault="00FF4C4E">
      <w:pPr>
        <w:pStyle w:val="P68B1DB1-Normal5"/>
        <w:spacing w:before="120" w:after="120" w:line="240" w:lineRule="auto"/>
        <w:ind w:left="709"/>
        <w:jc w:val="both"/>
        <w:rPr>
          <w:rFonts w:cs="Times New Roman"/>
          <w:noProof/>
        </w:rPr>
      </w:pPr>
      <w:r>
        <w:rPr>
          <w:noProof/>
        </w:rPr>
        <w:t xml:space="preserve">L.2 </w:t>
      </w:r>
      <w:r>
        <w:rPr>
          <w:noProof/>
        </w:rPr>
        <w:tab/>
        <w:t>Seurantaa ja täytäntöönpanoa koskevat välitavoitteet, tavoitteet, indikaattorit ja aikataulu – rahoitustuki, jota ei makseta ta</w:t>
      </w:r>
      <w:r>
        <w:rPr>
          <w:noProof/>
        </w:rPr>
        <w:t>kaisin</w:t>
      </w:r>
    </w:p>
    <w:p w14:paraId="7BE8178D" w14:textId="554A4523" w:rsidR="000E48CE" w:rsidRDefault="00FF4C4E">
      <w:pPr>
        <w:pStyle w:val="P68B1DB1-Normal4"/>
        <w:spacing w:before="120" w:after="120" w:line="240" w:lineRule="auto"/>
        <w:jc w:val="both"/>
        <w:rPr>
          <w:rFonts w:cs="Times New Roman"/>
          <w:noProof/>
          <w:u w:val="single"/>
        </w:rPr>
      </w:pPr>
      <w:r>
        <w:rPr>
          <w:i/>
          <w:noProof/>
        </w:rPr>
        <w:t>Ks. taulukko jäljempänä.</w:t>
      </w:r>
      <w:r>
        <w:rPr>
          <w:noProof/>
        </w:rPr>
        <w:t xml:space="preserve"> </w:t>
      </w:r>
      <w:r>
        <w:rPr>
          <w:i/>
          <w:noProof/>
        </w:rPr>
        <w:t>Kaikkien indikaattoreiden peruspäivä on 1. helmikuuta 2020, ellei toimen kuvauksessa toisin mainita. Taulukossa esitetyt määrät eivät sisällä arvonlisäveroa.</w:t>
      </w:r>
    </w:p>
    <w:p w14:paraId="11DC7BAE" w14:textId="77777777" w:rsidR="000E48CE" w:rsidRDefault="000E48CE">
      <w:pPr>
        <w:spacing w:before="120" w:after="120" w:line="240" w:lineRule="auto"/>
        <w:ind w:left="709"/>
        <w:jc w:val="both"/>
        <w:rPr>
          <w:rFonts w:ascii="Times New Roman" w:hAnsi="Times New Roman" w:cs="Times New Roman"/>
          <w:noProof/>
          <w:sz w:val="24"/>
        </w:rPr>
      </w:pPr>
    </w:p>
    <w:p w14:paraId="67D31997" w14:textId="77777777" w:rsidR="000E48CE" w:rsidRDefault="000E48CE">
      <w:pPr>
        <w:spacing w:after="0" w:line="240" w:lineRule="auto"/>
        <w:jc w:val="both"/>
        <w:rPr>
          <w:rFonts w:ascii="Times New Roman" w:hAnsi="Times New Roman" w:cs="Times New Roman"/>
          <w:noProof/>
          <w:sz w:val="24"/>
        </w:rPr>
        <w:sectPr w:rsidR="000E48CE" w:rsidSect="00EB7CC8">
          <w:headerReference w:type="even" r:id="rId246"/>
          <w:headerReference w:type="default" r:id="rId247"/>
          <w:footerReference w:type="even" r:id="rId248"/>
          <w:footerReference w:type="default" r:id="rId249"/>
          <w:headerReference w:type="first" r:id="rId250"/>
          <w:footerReference w:type="first" r:id="rId251"/>
          <w:pgSz w:w="11907" w:h="16839"/>
          <w:pgMar w:top="1134" w:right="1417" w:bottom="1134" w:left="1417" w:header="709" w:footer="709" w:gutter="0"/>
          <w:cols w:space="720"/>
          <w:docGrid w:linePitch="360"/>
        </w:sect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9"/>
        <w:gridCol w:w="826"/>
        <w:gridCol w:w="824"/>
        <w:gridCol w:w="1281"/>
        <w:gridCol w:w="1053"/>
        <w:gridCol w:w="828"/>
        <w:gridCol w:w="638"/>
        <w:gridCol w:w="551"/>
        <w:gridCol w:w="413"/>
        <w:gridCol w:w="551"/>
        <w:gridCol w:w="7344"/>
      </w:tblGrid>
      <w:tr w:rsidR="000E48CE" w14:paraId="393CB269" w14:textId="77777777">
        <w:trPr>
          <w:trHeight w:val="309"/>
          <w:tblHeader/>
        </w:trPr>
        <w:tc>
          <w:tcPr>
            <w:tcW w:w="85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43936C38" w14:textId="77777777" w:rsidR="000E48CE" w:rsidRDefault="00FF4C4E">
            <w:pPr>
              <w:pStyle w:val="P68B1DB1-Normal12"/>
              <w:spacing w:after="0" w:line="240" w:lineRule="auto"/>
              <w:jc w:val="both"/>
              <w:rPr>
                <w:rFonts w:cs="Times New Roman"/>
                <w:noProof/>
              </w:rPr>
            </w:pPr>
            <w:r>
              <w:rPr>
                <w:noProof/>
              </w:rPr>
              <w:t>Määrä</w:t>
            </w:r>
          </w:p>
        </w:tc>
        <w:tc>
          <w:tcPr>
            <w:tcW w:w="826"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9AB8041" w14:textId="77777777" w:rsidR="000E48CE" w:rsidRDefault="00FF4C4E">
            <w:pPr>
              <w:pStyle w:val="P68B1DB1-Normal12"/>
              <w:spacing w:after="0" w:line="240" w:lineRule="auto"/>
              <w:jc w:val="center"/>
              <w:rPr>
                <w:rFonts w:cs="Times New Roman"/>
                <w:noProof/>
              </w:rPr>
            </w:pPr>
            <w:r>
              <w:rPr>
                <w:noProof/>
              </w:rPr>
              <w:t>Toimenpide</w:t>
            </w:r>
          </w:p>
        </w:tc>
        <w:tc>
          <w:tcPr>
            <w:tcW w:w="824"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3640446"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1281"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F04AFEB" w14:textId="77777777" w:rsidR="000E48CE" w:rsidRDefault="00FF4C4E">
            <w:pPr>
              <w:pStyle w:val="P68B1DB1-Normal12"/>
              <w:spacing w:after="0" w:line="240" w:lineRule="auto"/>
              <w:jc w:val="center"/>
              <w:rPr>
                <w:rFonts w:cs="Times New Roman"/>
                <w:noProof/>
              </w:rPr>
            </w:pPr>
            <w:r>
              <w:rPr>
                <w:noProof/>
              </w:rPr>
              <w:t>Nimi</w:t>
            </w:r>
          </w:p>
        </w:tc>
        <w:tc>
          <w:tcPr>
            <w:tcW w:w="1053"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1DDB6F1"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0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01D08"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6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26A1E3" w14:textId="77777777" w:rsidR="000E48CE" w:rsidRDefault="00FF4C4E">
            <w:pPr>
              <w:pStyle w:val="P68B1DB1-Normal12"/>
              <w:spacing w:after="0" w:line="240" w:lineRule="auto"/>
              <w:jc w:val="center"/>
              <w:rPr>
                <w:rFonts w:cs="Times New Roman"/>
                <w:noProof/>
              </w:rPr>
            </w:pPr>
            <w:r>
              <w:rPr>
                <w:noProof/>
              </w:rPr>
              <w:t>Aika</w:t>
            </w:r>
          </w:p>
        </w:tc>
        <w:tc>
          <w:tcPr>
            <w:tcW w:w="7344"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3F1D3D1C" w14:textId="77777777" w:rsidR="000E48CE" w:rsidRDefault="000E48CE">
            <w:pPr>
              <w:spacing w:after="0" w:line="240" w:lineRule="auto"/>
              <w:jc w:val="center"/>
              <w:rPr>
                <w:rFonts w:ascii="Times New Roman" w:hAnsi="Times New Roman" w:cs="Times New Roman"/>
                <w:noProof/>
                <w:sz w:val="18"/>
              </w:rPr>
            </w:pPr>
          </w:p>
          <w:p w14:paraId="5FBE2520" w14:textId="77777777" w:rsidR="000E48CE" w:rsidRDefault="00FF4C4E">
            <w:pPr>
              <w:pStyle w:val="P68B1DB1-Normal12"/>
              <w:spacing w:after="0" w:line="240" w:lineRule="auto"/>
              <w:jc w:val="center"/>
              <w:rPr>
                <w:rFonts w:cs="Times New Roman"/>
                <w:noProof/>
              </w:rPr>
            </w:pPr>
            <w:r>
              <w:rPr>
                <w:noProof/>
              </w:rPr>
              <w:t>Kunkin välitavoitteen ja tavoitteen kuvaus</w:t>
            </w:r>
          </w:p>
          <w:p w14:paraId="1CA3212E" w14:textId="77777777" w:rsidR="000E48CE" w:rsidRDefault="00FF4C4E">
            <w:pPr>
              <w:pStyle w:val="P68B1DB1-Normal13"/>
              <w:tabs>
                <w:tab w:val="left" w:pos="737"/>
              </w:tabs>
              <w:spacing w:after="0" w:line="240" w:lineRule="auto"/>
              <w:rPr>
                <w:rFonts w:cs="Times New Roman"/>
                <w:noProof/>
              </w:rPr>
            </w:pPr>
            <w:r>
              <w:rPr>
                <w:noProof/>
              </w:rPr>
              <w:tab/>
            </w:r>
          </w:p>
        </w:tc>
      </w:tr>
      <w:tr w:rsidR="000E48CE" w14:paraId="78B59B52" w14:textId="77777777">
        <w:trPr>
          <w:trHeight w:val="309"/>
          <w:tblHeader/>
        </w:trPr>
        <w:tc>
          <w:tcPr>
            <w:tcW w:w="859" w:type="dxa"/>
            <w:vMerge/>
            <w:noWrap/>
          </w:tcPr>
          <w:p w14:paraId="689531AC" w14:textId="77777777" w:rsidR="000E48CE" w:rsidRDefault="000E48CE">
            <w:pPr>
              <w:spacing w:after="0" w:line="240" w:lineRule="auto"/>
              <w:jc w:val="center"/>
              <w:rPr>
                <w:rFonts w:ascii="Times New Roman" w:hAnsi="Times New Roman" w:cs="Times New Roman"/>
                <w:noProof/>
                <w:sz w:val="18"/>
              </w:rPr>
            </w:pPr>
          </w:p>
        </w:tc>
        <w:tc>
          <w:tcPr>
            <w:tcW w:w="826" w:type="dxa"/>
            <w:vMerge/>
            <w:noWrap/>
          </w:tcPr>
          <w:p w14:paraId="3E9F70EC" w14:textId="77777777" w:rsidR="000E48CE" w:rsidRDefault="000E48CE">
            <w:pPr>
              <w:spacing w:after="0" w:line="240" w:lineRule="auto"/>
              <w:jc w:val="center"/>
              <w:rPr>
                <w:rFonts w:ascii="Times New Roman" w:hAnsi="Times New Roman" w:cs="Times New Roman"/>
                <w:noProof/>
                <w:sz w:val="18"/>
              </w:rPr>
            </w:pPr>
          </w:p>
        </w:tc>
        <w:tc>
          <w:tcPr>
            <w:tcW w:w="824" w:type="dxa"/>
            <w:vMerge/>
            <w:noWrap/>
          </w:tcPr>
          <w:p w14:paraId="05BBD49F" w14:textId="77777777" w:rsidR="000E48CE" w:rsidRDefault="000E48CE">
            <w:pPr>
              <w:spacing w:after="0" w:line="240" w:lineRule="auto"/>
              <w:jc w:val="center"/>
              <w:rPr>
                <w:rFonts w:ascii="Times New Roman" w:hAnsi="Times New Roman" w:cs="Times New Roman"/>
                <w:noProof/>
                <w:sz w:val="18"/>
              </w:rPr>
            </w:pPr>
          </w:p>
        </w:tc>
        <w:tc>
          <w:tcPr>
            <w:tcW w:w="1281" w:type="dxa"/>
            <w:vMerge/>
            <w:noWrap/>
          </w:tcPr>
          <w:p w14:paraId="11D884CC" w14:textId="77777777" w:rsidR="000E48CE" w:rsidRDefault="000E48CE">
            <w:pPr>
              <w:spacing w:after="0" w:line="240" w:lineRule="auto"/>
              <w:jc w:val="center"/>
              <w:rPr>
                <w:rFonts w:ascii="Times New Roman" w:hAnsi="Times New Roman" w:cs="Times New Roman"/>
                <w:noProof/>
                <w:sz w:val="18"/>
              </w:rPr>
            </w:pPr>
          </w:p>
        </w:tc>
        <w:tc>
          <w:tcPr>
            <w:tcW w:w="1053" w:type="dxa"/>
            <w:vMerge/>
            <w:noWrap/>
            <w:vAlign w:val="center"/>
          </w:tcPr>
          <w:p w14:paraId="3A6B3FF4" w14:textId="77777777" w:rsidR="000E48CE" w:rsidRDefault="000E48CE">
            <w:pPr>
              <w:spacing w:after="0" w:line="240" w:lineRule="auto"/>
              <w:jc w:val="center"/>
              <w:rPr>
                <w:rFonts w:ascii="Times New Roman" w:hAnsi="Times New Roman" w:cs="Times New Roman"/>
                <w:noProof/>
                <w:sz w:val="18"/>
              </w:rPr>
            </w:pPr>
          </w:p>
        </w:tc>
        <w:tc>
          <w:tcPr>
            <w:tcW w:w="8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F81562C" w14:textId="77777777" w:rsidR="000E48CE" w:rsidRDefault="00FF4C4E">
            <w:pPr>
              <w:pStyle w:val="P68B1DB1-Normal12"/>
              <w:spacing w:after="0" w:line="240" w:lineRule="auto"/>
              <w:jc w:val="center"/>
              <w:rPr>
                <w:rFonts w:cs="Times New Roman"/>
                <w:noProof/>
              </w:rPr>
            </w:pPr>
            <w:r>
              <w:rPr>
                <w:noProof/>
              </w:rPr>
              <w:t>Yksikkö</w:t>
            </w:r>
          </w:p>
        </w:tc>
        <w:tc>
          <w:tcPr>
            <w:tcW w:w="63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D3AA5A" w14:textId="77777777" w:rsidR="000E48CE" w:rsidRDefault="00FF4C4E">
            <w:pPr>
              <w:pStyle w:val="P68B1DB1-Normal12"/>
              <w:spacing w:after="0" w:line="240" w:lineRule="auto"/>
              <w:jc w:val="center"/>
              <w:rPr>
                <w:rFonts w:cs="Times New Roman"/>
                <w:noProof/>
              </w:rPr>
            </w:pPr>
            <w:r>
              <w:rPr>
                <w:noProof/>
              </w:rPr>
              <w:t>Perusviiva</w:t>
            </w:r>
          </w:p>
        </w:tc>
        <w:tc>
          <w:tcPr>
            <w:tcW w:w="5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3B2CC4" w14:textId="77777777" w:rsidR="000E48CE" w:rsidRDefault="00FF4C4E">
            <w:pPr>
              <w:pStyle w:val="P68B1DB1-Normal12"/>
              <w:spacing w:after="0" w:line="240" w:lineRule="auto"/>
              <w:jc w:val="center"/>
              <w:rPr>
                <w:rFonts w:cs="Times New Roman"/>
                <w:noProof/>
              </w:rPr>
            </w:pPr>
            <w:r>
              <w:rPr>
                <w:noProof/>
              </w:rPr>
              <w:t>Päämäärä</w:t>
            </w:r>
          </w:p>
        </w:tc>
        <w:tc>
          <w:tcPr>
            <w:tcW w:w="4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7312E86" w14:textId="77777777" w:rsidR="000E48CE" w:rsidRDefault="00FF4C4E">
            <w:pPr>
              <w:pStyle w:val="P68B1DB1-Normal12"/>
              <w:spacing w:after="0" w:line="240" w:lineRule="auto"/>
              <w:jc w:val="center"/>
              <w:rPr>
                <w:rFonts w:cs="Times New Roman"/>
                <w:noProof/>
              </w:rPr>
            </w:pPr>
            <w:r>
              <w:rPr>
                <w:noProof/>
              </w:rPr>
              <w:t>Q</w:t>
            </w:r>
          </w:p>
        </w:tc>
        <w:tc>
          <w:tcPr>
            <w:tcW w:w="5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4D2A3EB" w14:textId="77777777" w:rsidR="000E48CE" w:rsidRDefault="00FF4C4E">
            <w:pPr>
              <w:pStyle w:val="P68B1DB1-Normal12"/>
              <w:spacing w:after="0" w:line="240" w:lineRule="auto"/>
              <w:jc w:val="center"/>
              <w:rPr>
                <w:rFonts w:cs="Times New Roman"/>
                <w:noProof/>
              </w:rPr>
            </w:pPr>
            <w:r>
              <w:rPr>
                <w:noProof/>
              </w:rPr>
              <w:t>Vuosi</w:t>
            </w:r>
          </w:p>
        </w:tc>
        <w:tc>
          <w:tcPr>
            <w:tcW w:w="7344" w:type="dxa"/>
            <w:vMerge/>
            <w:noWrap/>
          </w:tcPr>
          <w:p w14:paraId="4FE75506" w14:textId="77777777" w:rsidR="000E48CE" w:rsidRDefault="000E48CE">
            <w:pPr>
              <w:tabs>
                <w:tab w:val="left" w:pos="737"/>
              </w:tabs>
              <w:spacing w:after="0" w:line="240" w:lineRule="auto"/>
              <w:rPr>
                <w:rFonts w:ascii="Times New Roman" w:hAnsi="Times New Roman" w:cs="Times New Roman"/>
                <w:noProof/>
                <w:sz w:val="18"/>
              </w:rPr>
            </w:pPr>
          </w:p>
        </w:tc>
      </w:tr>
      <w:tr w:rsidR="000E48CE" w14:paraId="31788039"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A149851" w14:textId="77777777" w:rsidR="000E48CE" w:rsidRDefault="00FF4C4E">
            <w:pPr>
              <w:pStyle w:val="P68B1DB1-Normal13"/>
              <w:spacing w:after="0" w:line="240" w:lineRule="auto"/>
              <w:jc w:val="center"/>
              <w:rPr>
                <w:rFonts w:cs="Times New Roman"/>
                <w:noProof/>
              </w:rPr>
            </w:pPr>
            <w:r>
              <w:rPr>
                <w:noProof/>
              </w:rPr>
              <w:t>176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3243B43" w14:textId="77777777" w:rsidR="000E48CE" w:rsidRDefault="00FF4C4E">
            <w:pPr>
              <w:pStyle w:val="P68B1DB1-Normal13"/>
              <w:spacing w:after="0" w:line="240" w:lineRule="auto"/>
              <w:jc w:val="center"/>
              <w:rPr>
                <w:rFonts w:cs="Times New Roman"/>
                <w:noProof/>
              </w:rPr>
            </w:pPr>
            <w:r>
              <w:rPr>
                <w:noProof/>
              </w:rPr>
              <w:t>C12.R1</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0023908" w14:textId="77777777" w:rsidR="000E48CE" w:rsidRDefault="00FF4C4E">
            <w:pPr>
              <w:pStyle w:val="P68B1DB1-Normal13"/>
              <w:spacing w:after="0" w:line="240" w:lineRule="auto"/>
              <w:jc w:val="center"/>
              <w:rPr>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052AA85" w14:textId="67BB68E8" w:rsidR="000E48CE" w:rsidRDefault="00FF4C4E">
            <w:pPr>
              <w:pStyle w:val="P68B1DB1-Normal13"/>
              <w:spacing w:after="0" w:line="240" w:lineRule="auto"/>
              <w:rPr>
                <w:rFonts w:cs="Times New Roman"/>
                <w:noProof/>
              </w:rPr>
            </w:pPr>
            <w:r>
              <w:rPr>
                <w:noProof/>
              </w:rPr>
              <w:t>Teollisuuslain voimaantulo</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E647626" w14:textId="77777777" w:rsidR="000E48CE" w:rsidRDefault="00FF4C4E">
            <w:pPr>
              <w:pStyle w:val="P68B1DB1-Normal13"/>
              <w:spacing w:after="0" w:line="240" w:lineRule="auto"/>
              <w:jc w:val="center"/>
              <w:rPr>
                <w:rFonts w:cs="Times New Roman"/>
                <w:noProof/>
              </w:rPr>
            </w:pPr>
            <w:r>
              <w:rPr>
                <w:noProof/>
              </w:rPr>
              <w:t>Lain voimaantulon osoittava lain säännös</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1574BC" w14:textId="77777777" w:rsidR="000E48CE" w:rsidRDefault="00FF4C4E">
            <w:pPr>
              <w:pStyle w:val="P68B1DB1-Normal13"/>
              <w:spacing w:after="0" w:line="240" w:lineRule="auto"/>
              <w:jc w:val="right"/>
              <w:rPr>
                <w:rFonts w:cs="Times New Roman"/>
                <w:noProof/>
              </w:rPr>
            </w:pPr>
            <w:r>
              <w:rPr>
                <w:noProof/>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52C1D79" w14:textId="77777777" w:rsidR="000E48CE" w:rsidRDefault="00FF4C4E">
            <w:pPr>
              <w:pStyle w:val="P68B1DB1-Normal13"/>
              <w:spacing w:after="0" w:line="240" w:lineRule="auto"/>
              <w:jc w:val="right"/>
              <w:rPr>
                <w:rFonts w:cs="Times New Roman"/>
                <w:noProof/>
              </w:rPr>
            </w:pPr>
            <w:r>
              <w:rPr>
                <w:noProof/>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873883E" w14:textId="77777777" w:rsidR="000E48CE" w:rsidRDefault="00FF4C4E">
            <w:pPr>
              <w:pStyle w:val="P68B1DB1-Normal13"/>
              <w:spacing w:after="0" w:line="240" w:lineRule="auto"/>
              <w:jc w:val="right"/>
              <w:rPr>
                <w:rFonts w:cs="Times New Roman"/>
                <w:noProof/>
              </w:rPr>
            </w:pPr>
            <w:r>
              <w:rPr>
                <w:noProof/>
              </w:rPr>
              <w:t>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33E91D5" w14:textId="77777777" w:rsidR="000E48CE" w:rsidRDefault="00FF4C4E">
            <w:pPr>
              <w:pStyle w:val="P68B1DB1-Normal13"/>
              <w:spacing w:after="0" w:line="240" w:lineRule="auto"/>
              <w:jc w:val="center"/>
              <w:rPr>
                <w:rFonts w:cs="Times New Roman"/>
                <w:noProof/>
              </w:rPr>
            </w:pPr>
            <w:r>
              <w:rPr>
                <w:noProof/>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26D7405" w14:textId="2047E901" w:rsidR="000E48CE" w:rsidRDefault="00FF4C4E">
            <w:pPr>
              <w:pStyle w:val="P68B1DB1-Normal13"/>
              <w:spacing w:after="0" w:line="240" w:lineRule="auto"/>
              <w:jc w:val="center"/>
              <w:rPr>
                <w:rFonts w:cs="Times New Roman"/>
                <w:noProof/>
              </w:rPr>
            </w:pPr>
            <w:r>
              <w:rPr>
                <w:noProof/>
              </w:rPr>
              <w:t>2023</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C089CEA" w14:textId="401E2416" w:rsidR="000E48CE" w:rsidRDefault="00FF4C4E">
            <w:pPr>
              <w:pStyle w:val="P68B1DB1-Normal13"/>
              <w:spacing w:after="0" w:line="240" w:lineRule="auto"/>
              <w:rPr>
                <w:rFonts w:cs="Times New Roman"/>
                <w:noProof/>
              </w:rPr>
            </w:pPr>
            <w:r>
              <w:rPr>
                <w:noProof/>
              </w:rPr>
              <w:t>Lain tavoitteena on parantaa eri hallintotasojen välisiä koordinointimekanismeja teollisuuspolitiikan alalla ja parantaa teollisuuden laatua ja turvallisuutta vahvistamalla markkinavalvontajärjestelmä</w:t>
            </w:r>
            <w:r>
              <w:rPr>
                <w:noProof/>
              </w:rPr>
              <w:t>ä markkinavalvonnasta ja tuotteiden vaatimustenmukaisuudesta sekä direktiivin 2004/42/EY ja asetusten (EY) N:o 765/2008 ja (EU) N:o 305/2011 muuttamisesta 20 päivänä kesäkuuta 2019 annetun Euroopan parlamentin ja neuvoston asetuksen (EU) 2019/1020 mukaises</w:t>
            </w:r>
            <w:r>
              <w:rPr>
                <w:noProof/>
              </w:rPr>
              <w:t>ti. Alan rikkomusten määritelmää tarkistetaan ja sovellettavien seuraamusten taso saatetaan ajan tasalle.</w:t>
            </w:r>
          </w:p>
        </w:tc>
      </w:tr>
      <w:tr w:rsidR="000E48CE" w14:paraId="30E8B3C3"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6DBD28F" w14:textId="77777777" w:rsidR="000E48CE" w:rsidRDefault="00FF4C4E">
            <w:pPr>
              <w:pStyle w:val="P68B1DB1-Normal13"/>
              <w:spacing w:after="0" w:line="240" w:lineRule="auto"/>
              <w:jc w:val="center"/>
              <w:rPr>
                <w:rFonts w:eastAsia="Times New Roman" w:cs="Times New Roman"/>
                <w:noProof/>
              </w:rPr>
            </w:pPr>
            <w:r>
              <w:rPr>
                <w:noProof/>
              </w:rPr>
              <w:t>177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A29BF91" w14:textId="77777777" w:rsidR="000E48CE" w:rsidRDefault="00FF4C4E">
            <w:pPr>
              <w:pStyle w:val="P68B1DB1-Normal13"/>
              <w:spacing w:after="0" w:line="240" w:lineRule="auto"/>
              <w:jc w:val="center"/>
              <w:rPr>
                <w:rFonts w:eastAsia="Times New Roman"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EA7152F" w14:textId="77777777" w:rsidR="000E48CE" w:rsidRDefault="00FF4C4E">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AE4A169" w14:textId="77777777" w:rsidR="000E48CE" w:rsidRDefault="00FF4C4E">
            <w:pPr>
              <w:pStyle w:val="P68B1DB1-Normal13"/>
              <w:spacing w:after="0" w:line="240" w:lineRule="auto"/>
              <w:rPr>
                <w:rFonts w:eastAsia="Times New Roman" w:cs="Times New Roman"/>
                <w:noProof/>
              </w:rPr>
            </w:pPr>
            <w:r>
              <w:rPr>
                <w:noProof/>
              </w:rPr>
              <w:t>Espanjan kiertotalousstrategia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0112438" w14:textId="77777777" w:rsidR="000E48CE" w:rsidRDefault="00FF4C4E">
            <w:pPr>
              <w:pStyle w:val="P68B1DB1-Normal13"/>
              <w:spacing w:after="0" w:line="240" w:lineRule="auto"/>
              <w:jc w:val="center"/>
              <w:rPr>
                <w:rFonts w:eastAsia="Times New Roman" w:cs="Times New Roman"/>
                <w:noProof/>
              </w:rPr>
            </w:pPr>
            <w:r>
              <w:rPr>
                <w:noProof/>
              </w:rPr>
              <w:t>Ministerineuvoston hyväksyntä:</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CA74179"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787A395"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99B893B"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EEC912C" w14:textId="77777777" w:rsidR="000E48CE" w:rsidRDefault="00FF4C4E">
            <w:pPr>
              <w:pStyle w:val="P68B1DB1-Normal13"/>
              <w:spacing w:after="0" w:line="240" w:lineRule="auto"/>
              <w:jc w:val="center"/>
              <w:rPr>
                <w:rFonts w:eastAsia="Times New Roman"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8A1EAD" w14:textId="77777777" w:rsidR="000E48CE" w:rsidRDefault="00FF4C4E">
            <w:pPr>
              <w:pStyle w:val="P68B1DB1-Normal13"/>
              <w:spacing w:after="0" w:line="240" w:lineRule="auto"/>
              <w:jc w:val="center"/>
              <w:rPr>
                <w:rFonts w:eastAsia="Times New Roman" w:cs="Times New Roman"/>
                <w:noProof/>
              </w:rPr>
            </w:pPr>
            <w:r>
              <w:rPr>
                <w:noProof/>
              </w:rPr>
              <w:t>2020</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1C79696" w14:textId="77777777" w:rsidR="000E48CE" w:rsidRDefault="00FF4C4E">
            <w:pPr>
              <w:pStyle w:val="P68B1DB1-Normal13"/>
              <w:spacing w:after="0" w:line="240" w:lineRule="auto"/>
              <w:rPr>
                <w:rFonts w:eastAsia="Times New Roman" w:cs="Times New Roman"/>
                <w:noProof/>
              </w:rPr>
            </w:pPr>
            <w:r>
              <w:rPr>
                <w:noProof/>
              </w:rPr>
              <w:t xml:space="preserve">Espanjan kiertotalousstrategian hyväksyminen. Siinä luodaan </w:t>
            </w:r>
            <w:r>
              <w:rPr>
                <w:noProof/>
              </w:rPr>
              <w:t>perusta sellaisen uuden tuotanto- ja kulutusmallin edistämiselle, jossa tuotteiden, materiaalien ja resurssien arvo säilytetään mahdollisimman pitkään, jossa jätteen syntyminen minimoidaan ja jätettä, jota ei voida välttää, hyödynnetään täysimääräisesti.</w:t>
            </w:r>
          </w:p>
        </w:tc>
      </w:tr>
      <w:tr w:rsidR="000E48CE" w14:paraId="7EF1EA2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A450D50" w14:textId="77777777" w:rsidR="000E48CE" w:rsidRDefault="00FF4C4E">
            <w:pPr>
              <w:pStyle w:val="P68B1DB1-Normal13"/>
              <w:spacing w:after="0" w:line="240" w:lineRule="auto"/>
              <w:jc w:val="center"/>
              <w:rPr>
                <w:rFonts w:eastAsia="Times New Roman" w:cs="Times New Roman"/>
                <w:noProof/>
              </w:rPr>
            </w:pPr>
            <w:r>
              <w:rPr>
                <w:noProof/>
              </w:rPr>
              <w:t>178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61CAF38" w14:textId="77777777" w:rsidR="000E48CE" w:rsidRDefault="00FF4C4E">
            <w:pPr>
              <w:pStyle w:val="P68B1DB1-Normal13"/>
              <w:spacing w:after="0" w:line="240" w:lineRule="auto"/>
              <w:jc w:val="center"/>
              <w:rPr>
                <w:rFonts w:eastAsia="Times New Roman"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57AEC88" w14:textId="77777777" w:rsidR="000E48CE" w:rsidRDefault="00FF4C4E">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7D0FA8B" w14:textId="77777777" w:rsidR="000E48CE" w:rsidRDefault="00FF4C4E">
            <w:pPr>
              <w:pStyle w:val="P68B1DB1-Normal13"/>
              <w:spacing w:after="0" w:line="240" w:lineRule="auto"/>
              <w:rPr>
                <w:rFonts w:eastAsia="Times New Roman" w:cs="Times New Roman"/>
                <w:noProof/>
              </w:rPr>
            </w:pPr>
            <w:r>
              <w:rPr>
                <w:noProof/>
              </w:rPr>
              <w:t>Kiertotalouspakettiin kuuluvien säädösten voimaantulo</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72877DE" w14:textId="77777777" w:rsidR="000E48CE" w:rsidRDefault="00FF4C4E">
            <w:pPr>
              <w:pStyle w:val="P68B1DB1-Normal13"/>
              <w:spacing w:after="0" w:line="240" w:lineRule="auto"/>
              <w:jc w:val="center"/>
              <w:rPr>
                <w:rFonts w:eastAsia="Times New Roman" w:cs="Times New Roman"/>
                <w:noProof/>
              </w:rPr>
            </w:pPr>
            <w:r>
              <w:rPr>
                <w:noProof/>
              </w:rPr>
              <w:t>Kuninkaan asetusten säännökset, joista ilmenee lakien voimaantulo</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768B6386"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5C7610C0"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86D865E"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CC89E36"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76A6432" w14:textId="77777777" w:rsidR="000E48CE" w:rsidRDefault="00FF4C4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67929F30" w14:textId="77777777" w:rsidR="000E48CE" w:rsidRDefault="00FF4C4E">
            <w:pPr>
              <w:pStyle w:val="P68B1DB1-Normal13"/>
              <w:spacing w:after="0" w:line="240" w:lineRule="auto"/>
              <w:rPr>
                <w:rFonts w:eastAsia="Times New Roman" w:cs="Times New Roman"/>
                <w:noProof/>
              </w:rPr>
            </w:pPr>
            <w:r>
              <w:rPr>
                <w:noProof/>
              </w:rPr>
              <w:t>Kiertotalouspakettiin sisältyy</w:t>
            </w:r>
            <w:r>
              <w:rPr>
                <w:noProof/>
              </w:rPr>
              <w:br/>
              <w:t xml:space="preserve">Kuninkaan asetus 731/2020, annettu 4 päivänä elokuuta, käytöstä poistettujen </w:t>
            </w:r>
            <w:r>
              <w:rPr>
                <w:noProof/>
              </w:rPr>
              <w:t>renkaiden hallinnoinnista 30 päivänä joulukuuta 2011 annetun kuninkaan asetuksen 1619/2005 muuttamisesta.</w:t>
            </w:r>
            <w:r>
              <w:rPr>
                <w:noProof/>
              </w:rPr>
              <w:br/>
              <w:t>Kuninkaallinen asetus 646/2020, annettu 7 päivänä heinäkuuta 2020, kaatopaikalle sijoittamisesta.</w:t>
            </w:r>
            <w:r>
              <w:rPr>
                <w:noProof/>
              </w:rPr>
              <w:br/>
              <w:t>Kuninkaan asetus 553/2020, annettu 2. kesäkuuta 2020</w:t>
            </w:r>
            <w:r>
              <w:rPr>
                <w:noProof/>
              </w:rPr>
              <w:t>, valtion alueella tapahtuvista jätteiden siirroista.</w:t>
            </w:r>
            <w:r>
              <w:rPr>
                <w:noProof/>
              </w:rPr>
              <w:br/>
              <w:t>Kuninkaan asetukset 27/2021, 19.1.2021 ja 265/2021, 13.4.2021.</w:t>
            </w:r>
            <w:r>
              <w:rPr>
                <w:noProof/>
              </w:rPr>
              <w:br/>
              <w:t>Pakkauksia ja pakkausjätteitä koskevien sääntelytoimenpiteiden hyväksyminen ministerineuvostossa vuoden 2022 aikana.</w:t>
            </w:r>
          </w:p>
        </w:tc>
      </w:tr>
      <w:tr w:rsidR="000E48CE" w14:paraId="11D87B12"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1B09B5C" w14:textId="77777777" w:rsidR="000E48CE" w:rsidRDefault="00FF4C4E">
            <w:pPr>
              <w:pStyle w:val="P68B1DB1-Normal13"/>
              <w:spacing w:after="0" w:line="240" w:lineRule="auto"/>
              <w:jc w:val="center"/>
              <w:rPr>
                <w:rFonts w:eastAsia="Times New Roman" w:cs="Times New Roman"/>
                <w:noProof/>
              </w:rPr>
            </w:pPr>
            <w:r>
              <w:rPr>
                <w:noProof/>
              </w:rPr>
              <w:t>179</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0F44CD1A" w14:textId="77777777" w:rsidR="000E48CE" w:rsidRDefault="00FF4C4E">
            <w:pPr>
              <w:pStyle w:val="P68B1DB1-Normal13"/>
              <w:spacing w:after="0" w:line="240" w:lineRule="auto"/>
              <w:jc w:val="center"/>
              <w:rPr>
                <w:rFonts w:eastAsia="Times New Roman"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D7D0628" w14:textId="77777777" w:rsidR="000E48CE" w:rsidRDefault="00FF4C4E">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206210B6" w14:textId="77777777" w:rsidR="000E48CE" w:rsidRDefault="00FF4C4E">
            <w:pPr>
              <w:pStyle w:val="P68B1DB1-Normal13"/>
              <w:spacing w:after="0" w:line="240" w:lineRule="auto"/>
              <w:rPr>
                <w:rFonts w:eastAsia="Times New Roman" w:cs="Times New Roman"/>
                <w:noProof/>
              </w:rPr>
            </w:pPr>
            <w:r>
              <w:rPr>
                <w:noProof/>
              </w:rPr>
              <w:t xml:space="preserve">Jätteistä ja pilaantuneesta maaperästä annetun lain voimaantulo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D27EA56" w14:textId="77777777" w:rsidR="000E48CE" w:rsidRDefault="00FF4C4E">
            <w:pPr>
              <w:pStyle w:val="P68B1DB1-Normal13"/>
              <w:spacing w:after="0" w:line="240" w:lineRule="auto"/>
              <w:jc w:val="center"/>
              <w:rPr>
                <w:rFonts w:eastAsia="Times New Roman" w:cs="Times New Roman"/>
                <w:noProof/>
              </w:rPr>
            </w:pPr>
            <w:r>
              <w:rPr>
                <w:noProof/>
              </w:rPr>
              <w:t xml:space="preserve"> Lain voimaantulon osoittava lain säännös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55C560" w14:textId="77777777" w:rsidR="000E48CE" w:rsidRDefault="00FF4C4E">
            <w:pPr>
              <w:pStyle w:val="P68B1DB1-Normal13"/>
              <w:spacing w:after="0" w:line="240" w:lineRule="auto"/>
              <w:jc w:val="right"/>
              <w:rPr>
                <w:rFonts w:eastAsia="Times New Roman" w:cs="Times New Roman"/>
                <w:noProof/>
              </w:rPr>
            </w:pPr>
            <w:r>
              <w:rPr>
                <w:noProof/>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0881CF84" w14:textId="77777777" w:rsidR="000E48CE" w:rsidRDefault="00FF4C4E">
            <w:pPr>
              <w:pStyle w:val="P68B1DB1-Normal13"/>
              <w:spacing w:after="0" w:line="240" w:lineRule="auto"/>
              <w:jc w:val="right"/>
              <w:rPr>
                <w:rFonts w:eastAsia="Times New Roman" w:cs="Times New Roman"/>
                <w:noProof/>
              </w:rPr>
            </w:pPr>
            <w:r>
              <w:rPr>
                <w:noProof/>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702B40C" w14:textId="77777777" w:rsidR="000E48CE" w:rsidRDefault="00FF4C4E">
            <w:pPr>
              <w:pStyle w:val="P68B1DB1-Normal13"/>
              <w:spacing w:after="0" w:line="240" w:lineRule="auto"/>
              <w:jc w:val="right"/>
              <w:rPr>
                <w:rFonts w:eastAsia="Times New Roman" w:cs="Times New Roman"/>
                <w:noProof/>
              </w:rPr>
            </w:pPr>
            <w:r>
              <w:rPr>
                <w:noProof/>
              </w:rPr>
              <w:t>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DC219EF"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A69BD1D" w14:textId="77777777" w:rsidR="000E48CE" w:rsidRDefault="00FF4C4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588F2D4" w14:textId="77777777" w:rsidR="000E48CE" w:rsidRDefault="00FF4C4E">
            <w:pPr>
              <w:pStyle w:val="P68B1DB1-Normal13"/>
              <w:spacing w:after="0" w:line="240" w:lineRule="auto"/>
              <w:rPr>
                <w:rFonts w:cs="Times New Roman"/>
                <w:noProof/>
              </w:rPr>
            </w:pPr>
            <w:r>
              <w:rPr>
                <w:noProof/>
              </w:rPr>
              <w:t xml:space="preserve">Laissa säädetään seuraavaa: </w:t>
            </w:r>
            <w:r>
              <w:rPr>
                <w:noProof/>
              </w:rPr>
              <w:br/>
            </w:r>
            <w:r>
              <w:rPr>
                <w:noProof/>
              </w:rPr>
              <w:t xml:space="preserve">jätepuitedirektiivin ja kertakäyttöisiä muoveja koskevan direktiivin täytäntöönpano sekä Espanjan lainsäädännön saattaminen ajan tasalle viimeisten kymmenen vuoden aikana saatujen kokemusten perusteella; </w:t>
            </w:r>
            <w:r>
              <w:rPr>
                <w:noProof/>
              </w:rPr>
              <w:br/>
              <w:t>II) Jätteitä koskevien EU:n tavoitteiden ja EU:n as</w:t>
            </w:r>
            <w:r>
              <w:rPr>
                <w:noProof/>
              </w:rPr>
              <w:t xml:space="preserve">etuksiin perustuvien erilliskeräysvelvoitteiden käyttöönotto, jotta voidaan ennakoida niiden täytäntöönpanoa biojätteessä yli 5000 asukkaan kunnissa.  Lisäksi toimenpiteellä otetaan käyttöön erilliskeräysvelvoitteita, jotka menevät unionin lainsäädännössä </w:t>
            </w:r>
            <w:r>
              <w:rPr>
                <w:noProof/>
              </w:rPr>
              <w:t>vahvistettuja vaatimuksia pidemmälle;</w:t>
            </w:r>
            <w:r>
              <w:rPr>
                <w:noProof/>
              </w:rPr>
              <w:br/>
              <w:t>III) laajennettua tuottajan vastuuta koskevan sääntelyn tarkistaminen ottamalla käyttöön uusia säännöksiä, jotka menevät pidemmälle kuin unionin lainsäädännössä edellytetään;</w:t>
            </w:r>
            <w:r>
              <w:rPr>
                <w:noProof/>
              </w:rPr>
              <w:br/>
              <w:t>(IV) valtiollisen jäteveron käyttöönotto (m</w:t>
            </w:r>
            <w:r>
              <w:rPr>
                <w:noProof/>
              </w:rPr>
              <w:t>ukaan lukien kaatopaikka-, poltto- ja rinnakkaispoltto sekä kertakäyttöiset muovisäiliöt).</w:t>
            </w:r>
          </w:p>
        </w:tc>
      </w:tr>
      <w:tr w:rsidR="000E48CE" w14:paraId="36D9C0F6"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8F62307" w14:textId="77777777" w:rsidR="000E48CE" w:rsidRDefault="00FF4C4E">
            <w:pPr>
              <w:pStyle w:val="P68B1DB1-Normal13"/>
              <w:spacing w:after="0" w:line="240" w:lineRule="auto"/>
              <w:jc w:val="center"/>
              <w:rPr>
                <w:rFonts w:eastAsia="Times New Roman" w:cs="Times New Roman"/>
                <w:noProof/>
              </w:rPr>
            </w:pPr>
            <w:r>
              <w:rPr>
                <w:noProof/>
              </w:rPr>
              <w:t>180</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5AA93F1" w14:textId="77777777" w:rsidR="000E48CE" w:rsidRDefault="00FF4C4E">
            <w:pPr>
              <w:pStyle w:val="P68B1DB1-Normal13"/>
              <w:spacing w:after="0" w:line="240" w:lineRule="auto"/>
              <w:jc w:val="center"/>
              <w:rPr>
                <w:rFonts w:eastAsia="Times New Roman" w:cs="Times New Roman"/>
                <w:noProof/>
              </w:rPr>
            </w:pPr>
            <w:r>
              <w:rPr>
                <w:noProof/>
              </w:rPr>
              <w:t>C12.I1</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BFA5A92" w14:textId="77777777" w:rsidR="000E48CE" w:rsidRDefault="00FF4C4E">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E715A99" w14:textId="77777777" w:rsidR="000E48CE" w:rsidRDefault="00FF4C4E">
            <w:pPr>
              <w:pStyle w:val="P68B1DB1-Normal13"/>
              <w:spacing w:after="0" w:line="240" w:lineRule="auto"/>
              <w:rPr>
                <w:rFonts w:eastAsia="Times New Roman" w:cs="Times New Roman"/>
                <w:noProof/>
              </w:rPr>
            </w:pPr>
            <w:r>
              <w:rPr>
                <w:noProof/>
              </w:rPr>
              <w:t>Arvokkaat alakohtaiset ja yhteentoimivat data-avaruudet</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DAD64F6" w14:textId="77777777" w:rsidR="000E48CE" w:rsidRDefault="00FF4C4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0073937" w14:textId="77777777" w:rsidR="000E48CE" w:rsidRDefault="00FF4C4E">
            <w:pPr>
              <w:pStyle w:val="P68B1DB1-Normal13"/>
              <w:spacing w:after="0" w:line="240" w:lineRule="auto"/>
              <w:jc w:val="right"/>
              <w:rPr>
                <w:rFonts w:eastAsia="Times New Roman" w:cs="Times New Roman"/>
                <w:noProof/>
              </w:rPr>
            </w:pPr>
            <w:r>
              <w:rPr>
                <w:noProof/>
              </w:rPr>
              <w:t>Määrä</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02AB299" w14:textId="77777777" w:rsidR="000E48CE" w:rsidRDefault="00FF4C4E">
            <w:pPr>
              <w:pStyle w:val="P68B1DB1-Normal13"/>
              <w:spacing w:after="0" w:line="240" w:lineRule="auto"/>
              <w:jc w:val="right"/>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1125339" w14:textId="77777777" w:rsidR="000E48CE" w:rsidRDefault="00FF4C4E">
            <w:pPr>
              <w:pStyle w:val="P68B1DB1-Normal13"/>
              <w:spacing w:after="0" w:line="240" w:lineRule="auto"/>
              <w:jc w:val="right"/>
              <w:rPr>
                <w:rFonts w:eastAsia="Times New Roman" w:cs="Times New Roman"/>
                <w:noProof/>
              </w:rPr>
            </w:pPr>
            <w:r>
              <w:rPr>
                <w:noProof/>
              </w:rPr>
              <w:t>4</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70FAFA9" w14:textId="77777777" w:rsidR="000E48CE" w:rsidRDefault="00FF4C4E">
            <w:pPr>
              <w:pStyle w:val="P68B1DB1-Normal13"/>
              <w:spacing w:after="0" w:line="240" w:lineRule="auto"/>
              <w:jc w:val="center"/>
              <w:rPr>
                <w:rFonts w:eastAsia="Times New Roman"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FD2CD45" w14:textId="77777777" w:rsidR="000E48CE" w:rsidRDefault="00FF4C4E">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519B8F8" w14:textId="77777777" w:rsidR="000E48CE" w:rsidRDefault="00FF4C4E">
            <w:pPr>
              <w:pStyle w:val="P68B1DB1-Normal13"/>
              <w:spacing w:after="0" w:line="240" w:lineRule="auto"/>
              <w:rPr>
                <w:rFonts w:eastAsia="Times New Roman" w:cs="Times New Roman"/>
                <w:noProof/>
              </w:rPr>
            </w:pPr>
            <w:r>
              <w:rPr>
                <w:noProof/>
              </w:rPr>
              <w:t>Strategisilla aloilla luodut suuret arvokkaat alakohtaiset ja yhteentoimivat data-avaruudet. Vähintään neljä maatalouselintarvikealalla, kestävän liikkuvuuden alalla, terveydenhuoltoalalla ja kaupan alalla ”ei merkittävää haittaa” -ohjelman teknisten ohjei</w:t>
            </w:r>
            <w:r>
              <w:rPr>
                <w:noProof/>
              </w:rPr>
              <w:t xml:space="preserve">den (2021/C58/01) mukaisesti käyttämällä poissulkemisluetteloa ja vaatimusta asiaa koskevan EU:n ja kansallisen ympäristölainsäädännön noudattamisesta. Tätä tarkoitusta varten käyttöönotettujen määrärahojen määrä on vähintään 400000000 euroa. </w:t>
            </w:r>
          </w:p>
        </w:tc>
      </w:tr>
      <w:tr w:rsidR="000E48CE" w14:paraId="49B378B6"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5ACC600D" w14:textId="77777777" w:rsidR="000E48CE" w:rsidRDefault="00FF4C4E">
            <w:pPr>
              <w:pStyle w:val="P68B1DB1-Normal13"/>
              <w:spacing w:after="0" w:line="240" w:lineRule="auto"/>
              <w:jc w:val="center"/>
              <w:rPr>
                <w:rFonts w:eastAsia="Times New Roman" w:cs="Times New Roman"/>
                <w:noProof/>
              </w:rPr>
            </w:pPr>
            <w:r>
              <w:rPr>
                <w:noProof/>
              </w:rPr>
              <w:t>181</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D8DC5E3" w14:textId="77777777" w:rsidR="000E48CE" w:rsidRDefault="00FF4C4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2ED7645" w14:textId="77777777" w:rsidR="000E48CE" w:rsidRDefault="00FF4C4E">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ADF28FC" w14:textId="77777777" w:rsidR="000E48CE" w:rsidRDefault="00FF4C4E">
            <w:pPr>
              <w:pStyle w:val="P68B1DB1-Normal13"/>
              <w:spacing w:after="0" w:line="240" w:lineRule="auto"/>
              <w:rPr>
                <w:rFonts w:eastAsia="Times New Roman" w:cs="Times New Roman"/>
                <w:noProof/>
              </w:rPr>
            </w:pPr>
            <w:r>
              <w:rPr>
                <w:noProof/>
              </w:rPr>
              <w:t>Suunnitelma autoteollisuuden arvoketjun edistämiseksi kohti kestävää ja verkottunutta liikkuvuutta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E33FF05" w14:textId="77777777" w:rsidR="000E48CE" w:rsidRDefault="00FF4C4E">
            <w:pPr>
              <w:pStyle w:val="P68B1DB1-Normal13"/>
              <w:spacing w:after="0" w:line="240" w:lineRule="auto"/>
              <w:jc w:val="center"/>
              <w:rPr>
                <w:rFonts w:eastAsia="Times New Roman" w:cs="Times New Roman"/>
                <w:noProof/>
              </w:rPr>
            </w:pPr>
            <w:r>
              <w:rPr>
                <w:noProof/>
              </w:rPr>
              <w:t>Ministerineuvoston hyväksyntä:</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BCB5ADA"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36936BC"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665A675"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4AFC060" w14:textId="77777777" w:rsidR="000E48CE" w:rsidRDefault="00FF4C4E">
            <w:pPr>
              <w:pStyle w:val="P68B1DB1-Normal13"/>
              <w:spacing w:after="0" w:line="240" w:lineRule="auto"/>
              <w:jc w:val="center"/>
              <w:rPr>
                <w:rFonts w:eastAsia="Times New Roman"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57415F7" w14:textId="77777777" w:rsidR="000E48CE" w:rsidRDefault="00FF4C4E">
            <w:pPr>
              <w:pStyle w:val="P68B1DB1-Normal13"/>
              <w:spacing w:after="0" w:line="240" w:lineRule="auto"/>
              <w:jc w:val="center"/>
              <w:rPr>
                <w:rFonts w:eastAsia="Times New Roman" w:cs="Times New Roman"/>
                <w:noProof/>
              </w:rPr>
            </w:pPr>
            <w:r>
              <w:rPr>
                <w:noProof/>
              </w:rPr>
              <w:t>2020</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17B7E93" w14:textId="77777777" w:rsidR="000E48CE" w:rsidRDefault="00FF4C4E">
            <w:pPr>
              <w:pStyle w:val="P68B1DB1-Normal13"/>
              <w:spacing w:after="0" w:line="240" w:lineRule="auto"/>
              <w:rPr>
                <w:rFonts w:eastAsia="Times New Roman" w:cs="Times New Roman"/>
                <w:noProof/>
              </w:rPr>
            </w:pPr>
            <w:r>
              <w:rPr>
                <w:noProof/>
              </w:rPr>
              <w:t xml:space="preserve">Ministerineuvoston hyväksyntä suunnitelmalle autoteollisuuden arvoketjun edistämiseksi kohti kestävää ja yhteenliitettyä liikkuvuutta. </w:t>
            </w:r>
          </w:p>
        </w:tc>
      </w:tr>
      <w:tr w:rsidR="000E48CE" w14:paraId="17F7E0DC"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52AB783" w14:textId="77777777" w:rsidR="000E48CE" w:rsidRDefault="00FF4C4E">
            <w:pPr>
              <w:pStyle w:val="P68B1DB1-Normal13"/>
              <w:spacing w:after="0" w:line="240" w:lineRule="auto"/>
              <w:jc w:val="center"/>
              <w:rPr>
                <w:rFonts w:eastAsia="Times New Roman" w:cs="Times New Roman"/>
                <w:noProof/>
              </w:rPr>
            </w:pPr>
            <w:r>
              <w:rPr>
                <w:noProof/>
              </w:rPr>
              <w:t>182</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2CEC473" w14:textId="77777777" w:rsidR="000E48CE" w:rsidRDefault="00FF4C4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615361E4" w14:textId="77777777" w:rsidR="000E48CE" w:rsidRDefault="00FF4C4E">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6DF5A2B" w14:textId="77777777" w:rsidR="000E48CE" w:rsidRDefault="00FF4C4E">
            <w:pPr>
              <w:pStyle w:val="P68B1DB1-Normal13"/>
              <w:spacing w:after="0" w:line="240" w:lineRule="auto"/>
              <w:rPr>
                <w:rFonts w:eastAsia="Times New Roman" w:cs="Times New Roman"/>
                <w:noProof/>
              </w:rPr>
            </w:pPr>
            <w:r>
              <w:rPr>
                <w:noProof/>
              </w:rPr>
              <w:t>Sähköajoneuvojen alan PERTE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930481" w14:textId="77777777" w:rsidR="000E48CE" w:rsidRDefault="00FF4C4E">
            <w:pPr>
              <w:pStyle w:val="P68B1DB1-Normal13"/>
              <w:spacing w:after="0" w:line="240" w:lineRule="auto"/>
              <w:jc w:val="center"/>
              <w:rPr>
                <w:rFonts w:eastAsia="Times New Roman" w:cs="Times New Roman"/>
                <w:noProof/>
              </w:rPr>
            </w:pPr>
            <w:r>
              <w:rPr>
                <w:noProof/>
              </w:rPr>
              <w:t>Ministerineuvoston hyväksyntä:</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0209D6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E428E3E" w14:textId="77777777" w:rsidR="000E48CE" w:rsidRDefault="000E48CE">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A57D1F6" w14:textId="77777777" w:rsidR="000E48CE" w:rsidRDefault="000E48CE">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61ECAB8" w14:textId="77777777" w:rsidR="000E48CE" w:rsidRDefault="00FF4C4E">
            <w:pPr>
              <w:pStyle w:val="P68B1DB1-Normal13"/>
              <w:spacing w:after="0" w:line="240" w:lineRule="auto"/>
              <w:jc w:val="center"/>
              <w:rPr>
                <w:rFonts w:eastAsia="Times New Roman" w:cs="Times New Roman"/>
                <w:noProof/>
              </w:rPr>
            </w:pPr>
            <w:r>
              <w:rPr>
                <w:noProof/>
              </w:rPr>
              <w:t>KOLMAS VUOSINELJÄNNES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53D474" w14:textId="77777777" w:rsidR="000E48CE" w:rsidRDefault="00FF4C4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90A3749" w14:textId="77777777" w:rsidR="000E48CE" w:rsidRDefault="00FF4C4E">
            <w:pPr>
              <w:pStyle w:val="P68B1DB1-Normal13"/>
              <w:spacing w:after="0" w:line="240" w:lineRule="auto"/>
              <w:rPr>
                <w:rFonts w:eastAsia="Times New Roman" w:cs="Times New Roman"/>
                <w:noProof/>
              </w:rPr>
            </w:pPr>
            <w:r>
              <w:rPr>
                <w:noProof/>
              </w:rPr>
              <w:t>Ministerineuvoston hyväksyntä talouden elpymistä ja muutosta koskevalle strategiselle hankkeelle (PERTE) sähköajoneuvojen strategisella alalla ja vähintään 400000000 euron tukibudjetti. PERTE-hyväksyntäpäätöksessä on oltava yksityiskohtaiset valintaperuste</w:t>
            </w:r>
            <w:r>
              <w:rPr>
                <w:noProof/>
              </w:rPr>
              <w:t>et, joilla varmistetaan, että ”ei merkittävää haittaa” -periaatetta koskevia teknisiä ohjeita (2021/C58/01) noudatetaan poissulkemisluetteloa ja vaatimusta asiaa koskevan EU:n ja kansallisen ympäristölainsäädännön noudattamisesta. Valintaperusteissa on lis</w:t>
            </w:r>
            <w:r>
              <w:rPr>
                <w:noProof/>
              </w:rPr>
              <w:t>äksi otettava huomioon ilmastonmuutokseen liittyvien tavoitteiden osalta sovellettavien tukitoimialojen vaatimukset elpymis- ja palautumistukivälineen perustamisesta 12 päivänä helmikuuta 2021 annetun Euroopan parlamentin ja neuvoston asetuksen (EU) 2021/2</w:t>
            </w:r>
            <w:r>
              <w:rPr>
                <w:noProof/>
              </w:rPr>
              <w:t>41 liitteen VI mukaisesti.</w:t>
            </w:r>
          </w:p>
        </w:tc>
      </w:tr>
      <w:tr w:rsidR="000E48CE" w14:paraId="1FF85CB4"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B7A1CC9" w14:textId="1D4B45E1" w:rsidR="000E48CE" w:rsidRDefault="00FF4C4E">
            <w:pPr>
              <w:pStyle w:val="P68B1DB1-Normal13"/>
              <w:spacing w:after="0" w:line="240" w:lineRule="auto"/>
              <w:jc w:val="center"/>
              <w:rPr>
                <w:rFonts w:eastAsia="Times New Roman" w:cs="Times New Roman"/>
                <w:noProof/>
              </w:rPr>
            </w:pPr>
            <w:r>
              <w:rPr>
                <w:noProof/>
              </w:rPr>
              <w:t>183</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EFBB9" w14:textId="77777777" w:rsidR="000E48CE" w:rsidRDefault="00FF4C4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1FBC497" w14:textId="77777777" w:rsidR="000E48CE" w:rsidRDefault="00FF4C4E">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2B1D3A2" w14:textId="77777777" w:rsidR="000E48CE" w:rsidRDefault="00FF4C4E">
            <w:pPr>
              <w:pStyle w:val="P68B1DB1-Normal13"/>
              <w:spacing w:after="0" w:line="240" w:lineRule="auto"/>
              <w:rPr>
                <w:rFonts w:eastAsia="Times New Roman" w:cs="Times New Roman"/>
                <w:noProof/>
              </w:rPr>
            </w:pPr>
            <w:r>
              <w:rPr>
                <w:noProof/>
              </w:rPr>
              <w:t xml:space="preserve">PERTE-hankkeet suunnitelmassa määritellyillä strategisilla aloilla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B10D494" w14:textId="77777777" w:rsidR="000E48CE" w:rsidRDefault="00FF4C4E">
            <w:pPr>
              <w:pStyle w:val="P68B1DB1-Normal13"/>
              <w:spacing w:after="0" w:line="240" w:lineRule="auto"/>
              <w:jc w:val="center"/>
              <w:rPr>
                <w:rFonts w:eastAsia="Times New Roman" w:cs="Times New Roman"/>
                <w:noProof/>
              </w:rPr>
            </w:pPr>
            <w:r>
              <w:rPr>
                <w:noProof/>
              </w:rPr>
              <w:t>Ministerineuvoston hyväksyntä:</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B80CBB"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2CD290A" w14:textId="77777777" w:rsidR="000E48CE" w:rsidRDefault="000E48CE">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3AC4CEF" w14:textId="77777777" w:rsidR="000E48CE" w:rsidRDefault="000E48CE">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141040AC"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E8DC3C6" w14:textId="77777777" w:rsidR="000E48CE" w:rsidRDefault="00FF4C4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F9C7319" w14:textId="18272EC8" w:rsidR="000E48CE" w:rsidRDefault="00FF4C4E">
            <w:pPr>
              <w:pStyle w:val="P68B1DB1-Normal13"/>
              <w:spacing w:after="0" w:line="240" w:lineRule="auto"/>
              <w:rPr>
                <w:rFonts w:eastAsia="Times New Roman" w:cs="Times New Roman"/>
                <w:noProof/>
              </w:rPr>
            </w:pPr>
            <w:r>
              <w:rPr>
                <w:noProof/>
              </w:rPr>
              <w:t>Ministerineuvoston hyväksyntä vähintään kahdelle PERTE-hankkeelle ja vähintään 800000000 euron kokonaismäärärahat tukeen, muihin strategisiin aloihin, kuten maatalouselintarvikealaan, terveydenhuoltoon, ilmailuun ja laivastoon, uusiutuviin energialähteisii</w:t>
            </w:r>
            <w:r>
              <w:rPr>
                <w:noProof/>
              </w:rPr>
              <w:t>n liittyvillä teollisuudenaloilla sekä prosessorien ja puolijohdeteknologioiden suunnittelu- ja tuotantovalmiuksiin. PERTE-hyväksyntäpäätöksessä on oltava yksityiskohtaiset valintaperusteet, joilla varmistetaan, että ”ei merkittävää haittaa” -periaatetta k</w:t>
            </w:r>
            <w:r>
              <w:rPr>
                <w:noProof/>
              </w:rPr>
              <w:t>oskevia teknisiä ohjeita (2021/C58/01) noudatetaan poissulkemisluetteloa ja vaatimusta asiaa koskevan EU:n ja kansallisen ympäristölainsäädännön noudattamisesta. Valintaperusteissa on lisäksi otettava huomioon ilmastonmuutokseen liittyvien tavoitteiden osa</w:t>
            </w:r>
            <w:r>
              <w:rPr>
                <w:noProof/>
              </w:rPr>
              <w:t xml:space="preserve">lta sovellettavien tukitoimialojen vaatimukset elpymis- ja palautumistukivälineen perustamisesta 12 päivänä helmikuuta 2021 annetun Euroopan parlamentin ja neuvoston asetuksen (EU) 2021/241 liitteen VI mukaisesti. </w:t>
            </w:r>
          </w:p>
        </w:tc>
      </w:tr>
      <w:tr w:rsidR="000E48CE" w14:paraId="466C1B6D"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60917F8" w14:textId="77777777" w:rsidR="000E48CE" w:rsidRDefault="00FF4C4E">
            <w:pPr>
              <w:pStyle w:val="P68B1DB1-Normal13"/>
              <w:spacing w:after="0" w:line="240" w:lineRule="auto"/>
              <w:jc w:val="center"/>
              <w:rPr>
                <w:rFonts w:eastAsia="Times New Roman" w:cs="Times New Roman"/>
                <w:noProof/>
              </w:rPr>
            </w:pPr>
            <w:r>
              <w:rPr>
                <w:noProof/>
              </w:rPr>
              <w:t>184</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5E94FDF" w14:textId="77777777" w:rsidR="000E48CE" w:rsidRDefault="00FF4C4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2AA027E" w14:textId="77777777" w:rsidR="000E48CE" w:rsidRDefault="00FF4C4E">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F2E6595" w14:textId="77777777" w:rsidR="000E48CE" w:rsidRDefault="00FF4C4E">
            <w:pPr>
              <w:pStyle w:val="P68B1DB1-Normal13"/>
              <w:spacing w:after="0" w:line="240" w:lineRule="auto"/>
              <w:rPr>
                <w:rFonts w:eastAsia="Times New Roman" w:cs="Times New Roman"/>
                <w:noProof/>
              </w:rPr>
            </w:pPr>
            <w:r>
              <w:rPr>
                <w:noProof/>
              </w:rPr>
              <w:t xml:space="preserve">Innovatiiviset hankkeet teollisuuden muuttamiseksi energiatehokkuuden, kestävyyden ja digitalisaation osalta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FBB562" w14:textId="77777777" w:rsidR="000E48CE" w:rsidRDefault="00FF4C4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06A498B" w14:textId="77777777" w:rsidR="000E48CE" w:rsidRDefault="00FF4C4E">
            <w:pPr>
              <w:pStyle w:val="P68B1DB1-Normal13"/>
              <w:spacing w:after="0" w:line="240" w:lineRule="auto"/>
              <w:jc w:val="right"/>
              <w:rPr>
                <w:rFonts w:eastAsia="Times New Roman" w:cs="Times New Roman"/>
                <w:noProof/>
              </w:rPr>
            </w:pPr>
            <w:r>
              <w:rPr>
                <w:noProof/>
              </w:rPr>
              <w:t>Määrä</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8942446" w14:textId="77777777" w:rsidR="000E48CE" w:rsidRDefault="00FF4C4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64075E8" w14:textId="77777777" w:rsidR="000E48CE" w:rsidRDefault="00FF4C4E">
            <w:pPr>
              <w:pStyle w:val="P68B1DB1-Normal13"/>
              <w:spacing w:after="0" w:line="240" w:lineRule="auto"/>
              <w:jc w:val="center"/>
              <w:rPr>
                <w:rFonts w:eastAsia="Times New Roman" w:cs="Times New Roman"/>
                <w:noProof/>
              </w:rPr>
            </w:pPr>
            <w:r>
              <w:rPr>
                <w:noProof/>
              </w:rPr>
              <w:t>78</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21F83560"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A247386" w14:textId="10E74AB4" w:rsidR="000E48CE" w:rsidRDefault="00FF4C4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370B8BD" w14:textId="77777777" w:rsidR="000E48CE" w:rsidRDefault="00FF4C4E">
            <w:pPr>
              <w:pStyle w:val="P68B1DB1-Normal13"/>
              <w:spacing w:after="0" w:line="240" w:lineRule="auto"/>
              <w:rPr>
                <w:rFonts w:eastAsia="Times New Roman" w:cs="Times New Roman"/>
                <w:noProof/>
              </w:rPr>
            </w:pPr>
            <w:r>
              <w:rPr>
                <w:noProof/>
              </w:rPr>
              <w:t>Teollisuusministeri myöntää vähintään 1200000000 euroa vähintään 78 innovatiiviselle hankkeelle, mukaan lukien hyväksyttyihin</w:t>
            </w:r>
            <w:r>
              <w:rPr>
                <w:noProof/>
              </w:rPr>
              <w:t xml:space="preserve"> PERTE-hankkeisiin liittyvät hankkeet (vähintään 3), joihin liittyy teollisuuden merkittävä muutos energiatehokkuuden, kestävyyden ja digitalisaation osalta. Hankkeiden valinta Euroopan unionin virallisessa lehdessä julkaistun ehdotuspyynnön perusteella ja</w:t>
            </w:r>
            <w:r>
              <w:rPr>
                <w:noProof/>
              </w:rPr>
              <w:t xml:space="preserve"> sellaisten valintaperusteiden perusteella, joiden perusteella noudatetaan teknisiä ohjeita ”ei merkittävää haittaa” (2021/C58/01) käyttämällä poissulkemisluetteloa ja edellyttämällä asiaa koskevan EU:n ja kansallisen ympäristölainsäädännön noudattamista. </w:t>
            </w:r>
            <w:r>
              <w:rPr>
                <w:noProof/>
              </w:rPr>
              <w:t>Valintaperusteissa on lisäksi otettava huomioon ilmastonmuutokseen liittyvien tavoitteiden osalta sovellettavien tukitoimialojen vaatimukset elpymis- ja palautumistukivälineen perustamisesta 12 päivänä helmikuuta 2021 annetun Euroopan parlamentin ja neuvos</w:t>
            </w:r>
            <w:r>
              <w:rPr>
                <w:noProof/>
              </w:rPr>
              <w:t xml:space="preserve">ton asetuksen (EU) 2021/241 liitteen VI mukaisesti. </w:t>
            </w:r>
          </w:p>
        </w:tc>
      </w:tr>
      <w:tr w:rsidR="000E48CE" w14:paraId="52430A1A"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C650CAC" w14:textId="77777777" w:rsidR="000E48CE" w:rsidRDefault="00FF4C4E">
            <w:pPr>
              <w:pStyle w:val="P68B1DB1-Normal13"/>
              <w:spacing w:after="0" w:line="240" w:lineRule="auto"/>
              <w:jc w:val="center"/>
              <w:rPr>
                <w:rFonts w:eastAsia="Times New Roman" w:cs="Times New Roman"/>
                <w:noProof/>
              </w:rPr>
            </w:pPr>
            <w:r>
              <w:rPr>
                <w:noProof/>
              </w:rPr>
              <w:t>185</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0BA407CA" w14:textId="01C286EF" w:rsidR="000E48CE" w:rsidRDefault="00FF4C4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2ECB9A0A" w14:textId="77777777" w:rsidR="000E48CE" w:rsidRDefault="00FF4C4E">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3E13A50" w14:textId="77777777" w:rsidR="000E48CE" w:rsidRDefault="00FF4C4E">
            <w:pPr>
              <w:pStyle w:val="P68B1DB1-Normal13"/>
              <w:spacing w:after="0" w:line="240" w:lineRule="auto"/>
              <w:rPr>
                <w:rFonts w:eastAsia="Times New Roman" w:cs="Times New Roman"/>
                <w:noProof/>
              </w:rPr>
            </w:pPr>
            <w:r>
              <w:rPr>
                <w:noProof/>
              </w:rPr>
              <w:t xml:space="preserve">PERTE-hankkeiden ja teollisuuden muutoshankkeiden talousarvion toteuttaminen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286F040" w14:textId="77777777" w:rsidR="000E48CE" w:rsidRDefault="00FF4C4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DBB6AEB" w14:textId="77777777" w:rsidR="000E48CE" w:rsidRDefault="00FF4C4E">
            <w:pPr>
              <w:pStyle w:val="P68B1DB1-Normal13"/>
              <w:spacing w:after="0" w:line="240" w:lineRule="auto"/>
              <w:jc w:val="right"/>
              <w:rPr>
                <w:rFonts w:eastAsia="Times New Roman" w:cs="Times New Roman"/>
                <w:noProof/>
              </w:rPr>
            </w:pPr>
            <w:r>
              <w:rPr>
                <w:noProof/>
              </w:rPr>
              <w:t xml:space="preserve">EUR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A017E88" w14:textId="77777777" w:rsidR="000E48CE" w:rsidRDefault="00FF4C4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6600AFC" w14:textId="1EBF41D0" w:rsidR="000E48CE" w:rsidRDefault="00FF4C4E">
            <w:pPr>
              <w:pStyle w:val="P68B1DB1-Normal13"/>
              <w:spacing w:after="0" w:line="240" w:lineRule="auto"/>
              <w:jc w:val="center"/>
              <w:rPr>
                <w:rFonts w:eastAsia="Times New Roman" w:cs="Times New Roman"/>
                <w:noProof/>
              </w:rPr>
            </w:pPr>
            <w:r>
              <w:rPr>
                <w:noProof/>
              </w:rPr>
              <w:t>2 531 500 000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D924EBF"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0E3D020" w14:textId="77777777" w:rsidR="000E48CE" w:rsidRDefault="00FF4C4E">
            <w:pPr>
              <w:pStyle w:val="P68B1DB1-Normal13"/>
              <w:spacing w:after="0" w:line="240" w:lineRule="auto"/>
              <w:jc w:val="center"/>
              <w:rPr>
                <w:rFonts w:eastAsia="Times New Roman"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EB43431" w14:textId="5FF42028" w:rsidR="000E48CE" w:rsidRDefault="00FF4C4E">
            <w:pPr>
              <w:pStyle w:val="P68B1DB1-Normal13"/>
              <w:spacing w:after="0" w:line="240" w:lineRule="auto"/>
              <w:rPr>
                <w:rFonts w:eastAsia="Times New Roman" w:cs="Times New Roman"/>
                <w:noProof/>
              </w:rPr>
            </w:pPr>
            <w:r>
              <w:rPr>
                <w:noProof/>
              </w:rPr>
              <w:t>Talousarvion toteuttaminen vähintään 210 innovatiivisessa hankkeessa, mukaan lukien hyväksyttyihin PERTE-hankkeisiin liittyvät hankkeet (vähintään 3), joihin liittyy teollisuuden todellinen muutos energiatehokkuuden, kestävyyden ja digitalisaation osalta ”</w:t>
            </w:r>
            <w:r>
              <w:rPr>
                <w:noProof/>
              </w:rPr>
              <w:t>ei merkittävää haittaa” -periaatetta koskevien teknisten ohjeiden (2021/C58/01) mukaisesti käyttämällä poissulkemisluetteloa ja asiaankuuluvan EU:n ja kansallisen ympäristölainsäädännön noudattamista koskevaa vaatimusta. Valintaperusteilla on varmistettava</w:t>
            </w:r>
            <w:r>
              <w:rPr>
                <w:noProof/>
              </w:rPr>
              <w:t xml:space="preserve">, että vähintään 455000000 eurolla edistetään ilmastonmuutostavoitteiden saavuttamista 100 prosentin ilmastokertoimella ja vähintään 1 500 </w:t>
            </w:r>
            <w:r>
              <w:rPr>
                <w:noProof/>
                <w:shd w:val="clear" w:color="auto" w:fill="E6E6E6"/>
              </w:rPr>
              <w:t xml:space="preserve">0 </w:t>
            </w:r>
            <w:r>
              <w:rPr>
                <w:noProof/>
              </w:rPr>
              <w:t>00 00 0</w:t>
            </w:r>
            <w:r>
              <w:rPr>
                <w:noProof/>
                <w:shd w:val="clear" w:color="auto" w:fill="E6E6E6"/>
              </w:rPr>
              <w:t>40 prosentin</w:t>
            </w:r>
            <w:r>
              <w:rPr>
                <w:noProof/>
              </w:rPr>
              <w:t xml:space="preserve">ilmastokertoimella elpymis- ja palautumistukivälineen perustamisesta 12 päivänä helmikuuta 2021 </w:t>
            </w:r>
            <w:r>
              <w:rPr>
                <w:noProof/>
              </w:rPr>
              <w:t>annetun Euroopan parlamentin ja neuvoston asetuksen (EU) 2021/241 liitteen VI mukaisesti. Vaihtoehtoisesti, jos se on hyvin perusteltua antamalla selvitys syistä, joiden vuoksi vaihtoehtoinen lähestymistapa ei ehkä ole toteutettavissa, valintaperusteilla o</w:t>
            </w:r>
            <w:r>
              <w:rPr>
                <w:noProof/>
              </w:rPr>
              <w:t>n varmistettava, että vähintään 2531500000 eurolla edistetään ilmastonmuutostavoitteita siten, että ilmastokerroin on keskimäärin vähintään 40 prosenttia, elpymis- ja palautumistukivälineen perustamisesta 12 päivänä helmikuuta 2021 annetun Euroopan parlame</w:t>
            </w:r>
            <w:r>
              <w:rPr>
                <w:noProof/>
              </w:rPr>
              <w:t xml:space="preserve">ntin ja neuvoston asetuksen (EU) 2021/241 liitteen VI mukaisesti. Elpymis- </w:t>
            </w:r>
            <w:r>
              <w:rPr>
                <w:noProof/>
                <w:shd w:val="clear" w:color="auto" w:fill="E6E6E6"/>
              </w:rPr>
              <w:t>ja palautumistukivälineen varoista otetaan käyttöön vähintään 3800000000 euroa yksityisiä investointeja</w:t>
            </w:r>
            <w:r>
              <w:rPr>
                <w:noProof/>
              </w:rPr>
              <w:t>, myös ”ei merkittävää haittaa” -ohjelmaa koskevien teknisten ohjeiden (2021/C</w:t>
            </w:r>
            <w:r>
              <w:rPr>
                <w:noProof/>
              </w:rPr>
              <w:t>58/01) mukaisesti käyttämällä poissulkemisluetteloa ja asiaankuuluvan EU:n ja kansallisen ympäristölainsäädännön noudattamista koskevaa vaatimusta. Tätä tavoitetta ei katsota saavutetuksi, jos jokin toimenpide, johon on sidottu talousarvio, on SEUT-sopimuk</w:t>
            </w:r>
            <w:r>
              <w:rPr>
                <w:noProof/>
              </w:rPr>
              <w:t>sen 107 artiklan mukaista valtiontukea, siitä on ilmoitettava komissiolle eikä se ole saanut komission hyväksyntää 31 päivään joulukuuta 2024 mennessä.</w:t>
            </w:r>
          </w:p>
        </w:tc>
      </w:tr>
      <w:tr w:rsidR="000E48CE" w14:paraId="07D1830A"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0E75A2A" w14:textId="77777777" w:rsidR="000E48CE" w:rsidRDefault="00FF4C4E">
            <w:pPr>
              <w:pStyle w:val="P68B1DB1-Normal13"/>
              <w:spacing w:after="0" w:line="240" w:lineRule="auto"/>
              <w:jc w:val="center"/>
              <w:rPr>
                <w:rFonts w:eastAsia="Times New Roman" w:cs="Times New Roman"/>
                <w:noProof/>
              </w:rPr>
            </w:pPr>
            <w:r>
              <w:rPr>
                <w:noProof/>
              </w:rPr>
              <w:t>186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67AEB79" w14:textId="77777777" w:rsidR="000E48CE" w:rsidRDefault="00FF4C4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64A888A6" w14:textId="77777777" w:rsidR="000E48CE" w:rsidRDefault="00FF4C4E">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308F46B6" w14:textId="77777777" w:rsidR="000E48CE" w:rsidRDefault="00FF4C4E">
            <w:pPr>
              <w:pStyle w:val="P68B1DB1-Normal13"/>
              <w:spacing w:after="0" w:line="240" w:lineRule="auto"/>
              <w:rPr>
                <w:rFonts w:eastAsia="Times New Roman" w:cs="Times New Roman"/>
                <w:noProof/>
              </w:rPr>
            </w:pPr>
            <w:r>
              <w:rPr>
                <w:noProof/>
              </w:rPr>
              <w:t>Teollisuuden muutoshankkeiden ja innovatiivisten hankkeiden loppuun saattaminen</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3987802" w14:textId="77777777" w:rsidR="000E48CE" w:rsidRDefault="00FF4C4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B408792" w14:textId="77777777" w:rsidR="000E48CE" w:rsidRDefault="00FF4C4E">
            <w:pPr>
              <w:pStyle w:val="P68B1DB1-Normal13"/>
              <w:spacing w:after="0" w:line="240" w:lineRule="auto"/>
              <w:jc w:val="right"/>
              <w:rPr>
                <w:rFonts w:eastAsia="Times New Roman" w:cs="Times New Roman"/>
                <w:noProof/>
              </w:rPr>
            </w:pPr>
            <w:r>
              <w:rPr>
                <w:noProof/>
              </w:rPr>
              <w:t xml:space="preserve">Määrä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59DB146" w14:textId="77777777" w:rsidR="000E48CE" w:rsidRDefault="00FF4C4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DA69DF9" w14:textId="77777777" w:rsidR="000E48CE" w:rsidRDefault="00FF4C4E">
            <w:pPr>
              <w:pStyle w:val="P68B1DB1-Normal13"/>
              <w:spacing w:after="0" w:line="240" w:lineRule="auto"/>
              <w:jc w:val="center"/>
              <w:rPr>
                <w:rFonts w:eastAsia="Times New Roman" w:cs="Times New Roman"/>
                <w:noProof/>
              </w:rPr>
            </w:pPr>
            <w:r>
              <w:rPr>
                <w:noProof/>
              </w:rPr>
              <w:t>3</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C07479B" w14:textId="77777777" w:rsidR="000E48CE" w:rsidRDefault="00FF4C4E">
            <w:pPr>
              <w:pStyle w:val="P68B1DB1-Normal13"/>
              <w:spacing w:after="0" w:line="240" w:lineRule="auto"/>
              <w:jc w:val="center"/>
              <w:rPr>
                <w:rFonts w:eastAsia="Times New Roman"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E52B93D" w14:textId="77777777" w:rsidR="000E48CE" w:rsidRDefault="00FF4C4E">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69907EB" w14:textId="61EA1AC6" w:rsidR="000E48CE" w:rsidRDefault="00FF4C4E">
            <w:pPr>
              <w:pStyle w:val="P68B1DB1-Normal13"/>
              <w:spacing w:after="0" w:line="240" w:lineRule="auto"/>
              <w:rPr>
                <w:rFonts w:eastAsia="Times New Roman" w:cs="Times New Roman"/>
                <w:noProof/>
              </w:rPr>
            </w:pPr>
            <w:r>
              <w:rPr>
                <w:noProof/>
              </w:rPr>
              <w:t>Saatetaan päätökseen vähintään 210 innovatiivista hanketta, mukaan lukien hyväksyttyihin PERTE-hankkeisiin liittyvät hankkeet (vähintään kolme), joihin liittyy teollisuuden todellinen muutos energiatehokkuuden, kestävyyden ja digitalisaation osa</w:t>
            </w:r>
            <w:r>
              <w:rPr>
                <w:noProof/>
              </w:rPr>
              <w:t>lta ”ei merkittävää haittaa” -periaatetta koskevien teknisten ohjeiden (2021/C58/01) mukaisesti käyttämällä poissulkemisluetteloa ja asiaankuuluvan EU:n ja kansallisen ympäristölainsäädännön noudattamista koskevaa vaatimusta.</w:t>
            </w:r>
          </w:p>
        </w:tc>
      </w:tr>
      <w:tr w:rsidR="000E48CE" w14:paraId="5ACA68BD"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B9CC0BF" w14:textId="77777777" w:rsidR="000E48CE" w:rsidRDefault="00FF4C4E">
            <w:pPr>
              <w:pStyle w:val="P68B1DB1-Normal13"/>
              <w:spacing w:after="0" w:line="240" w:lineRule="auto"/>
              <w:jc w:val="center"/>
              <w:rPr>
                <w:rFonts w:eastAsia="Times New Roman" w:cs="Times New Roman"/>
                <w:noProof/>
              </w:rPr>
            </w:pPr>
            <w:r>
              <w:rPr>
                <w:noProof/>
              </w:rPr>
              <w:t>187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79B1603" w14:textId="77777777" w:rsidR="000E48CE" w:rsidRDefault="00FF4C4E">
            <w:pPr>
              <w:pStyle w:val="P68B1DB1-Normal13"/>
              <w:spacing w:after="0" w:line="240" w:lineRule="auto"/>
              <w:jc w:val="center"/>
              <w:rPr>
                <w:rFonts w:eastAsia="Times New Roman"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33A83487" w14:textId="77777777" w:rsidR="000E48CE" w:rsidRDefault="00FF4C4E">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6F3E4CD" w14:textId="77777777" w:rsidR="000E48CE" w:rsidRDefault="00FF4C4E">
            <w:pPr>
              <w:pStyle w:val="P68B1DB1-Normal13"/>
              <w:spacing w:after="0" w:line="240" w:lineRule="auto"/>
              <w:rPr>
                <w:rFonts w:eastAsia="Times New Roman" w:cs="Times New Roman"/>
                <w:noProof/>
              </w:rPr>
            </w:pPr>
            <w:r>
              <w:rPr>
                <w:noProof/>
              </w:rPr>
              <w:t xml:space="preserve">Sellaisten </w:t>
            </w:r>
            <w:r>
              <w:rPr>
                <w:noProof/>
              </w:rPr>
              <w:t>hankkeiden loppuun saattaminen, joilla tuetaan jätelainsäädännön täytäntöönpanoa ja edistetään kiertotaloutta yrityksessä</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59D6A6E" w14:textId="77777777" w:rsidR="000E48CE" w:rsidRDefault="00FF4C4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308F59F" w14:textId="77777777" w:rsidR="000E48CE" w:rsidRDefault="00FF4C4E">
            <w:pPr>
              <w:pStyle w:val="P68B1DB1-Normal13"/>
              <w:spacing w:after="0" w:line="240" w:lineRule="auto"/>
              <w:jc w:val="right"/>
              <w:rPr>
                <w:rFonts w:eastAsia="Times New Roman" w:cs="Times New Roman"/>
                <w:noProof/>
              </w:rPr>
            </w:pPr>
            <w:r>
              <w:rPr>
                <w:noProof/>
              </w:rPr>
              <w:t>Määrä</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9C3B1AC" w14:textId="77777777" w:rsidR="000E48CE" w:rsidRDefault="00FF4C4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383F651" w14:textId="77777777" w:rsidR="000E48CE" w:rsidRDefault="00FF4C4E">
            <w:pPr>
              <w:pStyle w:val="P68B1DB1-Normal13"/>
              <w:spacing w:after="0" w:line="240" w:lineRule="auto"/>
              <w:jc w:val="center"/>
              <w:rPr>
                <w:rFonts w:eastAsia="Times New Roman" w:cs="Times New Roman"/>
                <w:noProof/>
              </w:rPr>
            </w:pPr>
            <w:r>
              <w:rPr>
                <w:noProof/>
              </w:rPr>
              <w:t>30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88D4B4E"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F8ECCEB" w14:textId="77777777" w:rsidR="000E48CE" w:rsidRDefault="00FF4C4E">
            <w:pPr>
              <w:pStyle w:val="P68B1DB1-Normal13"/>
              <w:spacing w:after="0" w:line="240" w:lineRule="auto"/>
              <w:jc w:val="center"/>
              <w:rPr>
                <w:rFonts w:eastAsia="Times New Roman" w:cs="Times New Roman"/>
                <w:noProof/>
              </w:rPr>
            </w:pPr>
            <w:r>
              <w:rPr>
                <w:noProof/>
              </w:rPr>
              <w:t>2023</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4584E8D" w14:textId="77777777" w:rsidR="000E48CE" w:rsidRDefault="00FF4C4E">
            <w:pPr>
              <w:pStyle w:val="P68B1DB1-Normal13"/>
              <w:spacing w:after="0" w:line="240" w:lineRule="auto"/>
              <w:rPr>
                <w:rFonts w:eastAsia="Times New Roman" w:cs="Times New Roman"/>
                <w:noProof/>
              </w:rPr>
            </w:pPr>
            <w:r>
              <w:rPr>
                <w:noProof/>
              </w:rPr>
              <w:t>Vähintään 30 MITERD:n hyväksymää hanketta, joilla tuetaan jätelainsäädännön täytäntöönpanoa ja edistetään kiertot</w:t>
            </w:r>
            <w:r>
              <w:rPr>
                <w:noProof/>
              </w:rPr>
              <w:t>aloutta yrityksessä noudattaen teknisiä ohjeita ”ei merkittävää haittaa” (2021/C58/01) käyttämällä poissulkemisluetteloa ja edellyttämällä asiaa koskevan EU:n ja kansallisen ympäristölainsäädännön noudattamista. Tämän mekaanisiin biologisiin käsittelylaito</w:t>
            </w:r>
            <w:r>
              <w:rPr>
                <w:noProof/>
              </w:rPr>
              <w:t>ksiin liittyvän investoinnin mukaisia toimia saa toteuttaa vain olemassa olevissa mekaanisissa biologisissa käsittelylaitoksissa, jos tämän investoinnin mukaisilla toimilla pyritään lisäämään resurssitehokkuutta tai jälkiasennuksia erotetun jätteen kierrät</w:t>
            </w:r>
            <w:r>
              <w:rPr>
                <w:noProof/>
              </w:rPr>
              <w:t>ystoimiin biojätteen kompostoimiseksi ja biojätteen anaerobiseksi mädätystoiminnaksi, edellyttäen, että tällaiset investointiin liittyvät toimet eivät lisää laitoksen tasolla todennettujen laitosten jätteenkäsittelykapasiteettia tai pidentää laitosten elin</w:t>
            </w:r>
            <w:r>
              <w:rPr>
                <w:noProof/>
              </w:rPr>
              <w:t xml:space="preserve">ikää. </w:t>
            </w:r>
          </w:p>
        </w:tc>
      </w:tr>
      <w:tr w:rsidR="000E48CE" w14:paraId="41CA6781"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220FB9F" w14:textId="77777777" w:rsidR="000E48CE" w:rsidRDefault="00FF4C4E">
            <w:pPr>
              <w:pStyle w:val="P68B1DB1-Normal13"/>
              <w:spacing w:after="0" w:line="240" w:lineRule="auto"/>
              <w:jc w:val="center"/>
              <w:rPr>
                <w:rFonts w:cs="Times New Roman"/>
                <w:noProof/>
              </w:rPr>
            </w:pPr>
            <w:r>
              <w:rPr>
                <w:noProof/>
              </w:rPr>
              <w:t>188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661B7E2" w14:textId="77777777" w:rsidR="000E48CE" w:rsidRDefault="00FF4C4E">
            <w:pPr>
              <w:pStyle w:val="P68B1DB1-Normal13"/>
              <w:spacing w:after="0" w:line="240" w:lineRule="auto"/>
              <w:jc w:val="center"/>
              <w:rPr>
                <w:rFonts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DD850FC" w14:textId="77777777" w:rsidR="000E48CE" w:rsidRDefault="00FF4C4E">
            <w:pPr>
              <w:pStyle w:val="P68B1DB1-Normal13"/>
              <w:spacing w:after="0" w:line="240" w:lineRule="auto"/>
              <w:jc w:val="center"/>
              <w:rPr>
                <w:rFonts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EA7C55C" w14:textId="77777777" w:rsidR="000E48CE" w:rsidRDefault="00FF4C4E">
            <w:pPr>
              <w:pStyle w:val="P68B1DB1-Normal13"/>
              <w:spacing w:after="0" w:line="240" w:lineRule="auto"/>
              <w:rPr>
                <w:rFonts w:cs="Times New Roman"/>
                <w:noProof/>
              </w:rPr>
            </w:pPr>
            <w:r>
              <w:rPr>
                <w:noProof/>
              </w:rPr>
              <w:t>Erilliskerätyn yhdyskuntajätteen lisääminen</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54B5742" w14:textId="77777777" w:rsidR="000E48CE" w:rsidRDefault="00FF4C4E">
            <w:pPr>
              <w:pStyle w:val="P68B1DB1-Normal13"/>
              <w:spacing w:after="0" w:line="240" w:lineRule="auto"/>
              <w:jc w:val="center"/>
              <w:rPr>
                <w:rFonts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365F23C4" w14:textId="77777777" w:rsidR="000E48CE" w:rsidRDefault="00FF4C4E">
            <w:pPr>
              <w:pStyle w:val="P68B1DB1-Normal13"/>
              <w:spacing w:after="0" w:line="240" w:lineRule="auto"/>
              <w:jc w:val="center"/>
              <w:rPr>
                <w:rFonts w:cs="Times New Roman"/>
                <w:noProof/>
              </w:rPr>
            </w:pPr>
            <w:r>
              <w:rPr>
                <w:noProof/>
              </w:rPr>
              <w:t>prosenttiosuus erilliskerätystä yhdyskuntajätteestä</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7AEBF728" w14:textId="77777777" w:rsidR="000E48CE" w:rsidRDefault="00FF4C4E">
            <w:pPr>
              <w:pStyle w:val="P68B1DB1-Normal13"/>
              <w:spacing w:after="0" w:line="240" w:lineRule="auto"/>
              <w:jc w:val="center"/>
              <w:rPr>
                <w:rFonts w:cs="Times New Roman"/>
                <w:noProof/>
              </w:rPr>
            </w:pPr>
            <w:r>
              <w:rPr>
                <w:noProof/>
              </w:rPr>
              <w:t>21</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975BB62" w14:textId="77777777" w:rsidR="000E48CE" w:rsidRDefault="00FF4C4E">
            <w:pPr>
              <w:pStyle w:val="P68B1DB1-Normal13"/>
              <w:spacing w:after="0" w:line="240" w:lineRule="auto"/>
              <w:jc w:val="center"/>
              <w:rPr>
                <w:rFonts w:cs="Times New Roman"/>
                <w:noProof/>
              </w:rPr>
            </w:pPr>
            <w:r>
              <w:rPr>
                <w:noProof/>
              </w:rPr>
              <w:t>30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4A27033" w14:textId="77777777" w:rsidR="000E48CE" w:rsidRDefault="00FF4C4E">
            <w:pPr>
              <w:pStyle w:val="P68B1DB1-Normal13"/>
              <w:spacing w:after="0" w:line="240" w:lineRule="auto"/>
              <w:jc w:val="center"/>
              <w:rPr>
                <w:rFonts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B726F3" w14:textId="77777777" w:rsidR="000E48CE" w:rsidRDefault="00FF4C4E">
            <w:pPr>
              <w:pStyle w:val="P68B1DB1-Normal13"/>
              <w:spacing w:after="0" w:line="240" w:lineRule="auto"/>
              <w:jc w:val="center"/>
              <w:rPr>
                <w:rFonts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B5E0A9F" w14:textId="77777777" w:rsidR="000E48CE" w:rsidRDefault="00FF4C4E">
            <w:pPr>
              <w:pStyle w:val="P68B1DB1-Normal13"/>
              <w:spacing w:after="0" w:line="240" w:lineRule="auto"/>
              <w:rPr>
                <w:rFonts w:cs="Times New Roman"/>
                <w:noProof/>
              </w:rPr>
            </w:pPr>
            <w:r>
              <w:rPr>
                <w:noProof/>
              </w:rPr>
              <w:t xml:space="preserve">Saavutettava vähintään 30 prosenttia erikseen kerätystä yhdyskuntajätteestä osuutena vuonna 2024 tuotetusta </w:t>
            </w:r>
            <w:r>
              <w:rPr>
                <w:noProof/>
              </w:rPr>
              <w:t xml:space="preserve">yhdyskuntajätteestä (vuoden 2024 tiedot ovat saatavilla vuonna 2026) direktiivin 2008/98/EY mukaisesti. Erilliskeräyksellä tarkoitetaan keräystä, jossa jätevirta on pidettävä erillään tyypiltään ja luonteeltaan erityiskäsittelyn helpottamiseksi. Tiedot on </w:t>
            </w:r>
            <w:r>
              <w:rPr>
                <w:noProof/>
              </w:rPr>
              <w:t>kerättävä komission täytäntöönpanopäätöksen 019/1004/EY liitteen V mukaisen materiaalierittelyn mukaisesti. (Perustaso: Joulukuuta 2018)</w:t>
            </w:r>
          </w:p>
        </w:tc>
      </w:tr>
      <w:tr w:rsidR="000E48CE" w14:paraId="25B7240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CF18F5E" w14:textId="1599D404" w:rsidR="000E48CE" w:rsidRDefault="00FF4C4E">
            <w:pPr>
              <w:pStyle w:val="P68B1DB1-Normal13"/>
              <w:spacing w:after="0" w:line="240" w:lineRule="auto"/>
              <w:jc w:val="center"/>
              <w:rPr>
                <w:rFonts w:cs="Times New Roman"/>
                <w:noProof/>
              </w:rPr>
            </w:pPr>
            <w:r>
              <w:rPr>
                <w:noProof/>
              </w:rPr>
              <w:t>440</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2A15B1E9" w14:textId="77777777" w:rsidR="000E48CE" w:rsidRDefault="00FF4C4E">
            <w:pPr>
              <w:pStyle w:val="P68B1DB1-Normal13"/>
              <w:spacing w:after="0" w:line="240" w:lineRule="auto"/>
              <w:jc w:val="center"/>
              <w:rPr>
                <w:rFonts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D570A4B" w14:textId="2370C530" w:rsidR="000E48CE" w:rsidRDefault="00FF4C4E">
            <w:pPr>
              <w:pStyle w:val="P68B1DB1-Normal13"/>
              <w:spacing w:after="0" w:line="240" w:lineRule="auto"/>
              <w:jc w:val="center"/>
              <w:rPr>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2F32A023" w14:textId="384998FB" w:rsidR="000E48CE" w:rsidRDefault="00FF4C4E">
            <w:pPr>
              <w:pStyle w:val="P68B1DB1-Normal13"/>
              <w:spacing w:after="0" w:line="240" w:lineRule="auto"/>
              <w:rPr>
                <w:rFonts w:cs="Times New Roman"/>
                <w:noProof/>
              </w:rPr>
            </w:pPr>
            <w:r>
              <w:rPr>
                <w:noProof/>
              </w:rPr>
              <w:t>Jätteiden koordinointikomission työryhmä, jonka tehtävänä on valvoa jätelainsäädännön noudattamista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4361DBB" w14:textId="4F5C2FF6" w:rsidR="000E48CE" w:rsidRDefault="00FF4C4E">
            <w:pPr>
              <w:pStyle w:val="P68B1DB1-Normal13"/>
              <w:spacing w:after="0" w:line="240" w:lineRule="auto"/>
              <w:jc w:val="center"/>
              <w:rPr>
                <w:rFonts w:cs="Times New Roman"/>
                <w:noProof/>
              </w:rPr>
            </w:pPr>
            <w:r>
              <w:rPr>
                <w:noProof/>
              </w:rPr>
              <w:t>Jätteen koordinointikomitean hyväksyntä</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B1F5F8E" w14:textId="77777777" w:rsidR="000E48CE" w:rsidRDefault="00FF4C4E">
            <w:pPr>
              <w:pStyle w:val="P68B1DB1-Normal13"/>
              <w:spacing w:after="0" w:line="240" w:lineRule="auto"/>
              <w:jc w:val="center"/>
              <w:rPr>
                <w:rFonts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DA1B583" w14:textId="77777777" w:rsidR="000E48CE" w:rsidRDefault="00FF4C4E">
            <w:pPr>
              <w:pStyle w:val="P68B1DB1-Normal13"/>
              <w:spacing w:after="0" w:line="240" w:lineRule="auto"/>
              <w:jc w:val="center"/>
              <w:rPr>
                <w:rFonts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FBD1DDC" w14:textId="77777777" w:rsidR="000E48CE" w:rsidRDefault="00FF4C4E">
            <w:pPr>
              <w:pStyle w:val="P68B1DB1-Normal13"/>
              <w:spacing w:after="0" w:line="240" w:lineRule="auto"/>
              <w:jc w:val="center"/>
              <w:rPr>
                <w:rFonts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52F4E67" w14:textId="67DF786E" w:rsidR="000E48CE" w:rsidRDefault="00FF4C4E">
            <w:pPr>
              <w:pStyle w:val="P68B1DB1-Normal13"/>
              <w:spacing w:after="0" w:line="240" w:lineRule="auto"/>
              <w:jc w:val="center"/>
              <w:rPr>
                <w:rFonts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2DF71DB" w14:textId="77777777" w:rsidR="000E48CE" w:rsidRDefault="00FF4C4E">
            <w:pPr>
              <w:pStyle w:val="P68B1DB1-Normal13"/>
              <w:spacing w:after="0" w:line="240" w:lineRule="auto"/>
              <w:jc w:val="center"/>
              <w:rPr>
                <w:rFonts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11F8705" w14:textId="77777777" w:rsidR="000E48CE" w:rsidRDefault="00FF4C4E">
            <w:pPr>
              <w:pStyle w:val="P68B1DB1-Normal13"/>
              <w:rPr>
                <w:rFonts w:eastAsia="Times New Roman" w:cs="Times New Roman"/>
                <w:noProof/>
              </w:rPr>
            </w:pPr>
            <w:r>
              <w:rPr>
                <w:noProof/>
              </w:rPr>
              <w:t>Jätteen koordinointikomitea hyväksyy erityisen työryhmän perustamisen valvomaan jätelainsäädännön noudattamista ja vaatimustenmukaisuuden arviointiperusteiden yhdenmukaistamista sekä tätä helpottavien t</w:t>
            </w:r>
            <w:r>
              <w:rPr>
                <w:noProof/>
              </w:rPr>
              <w:t>oimenpiteiden hyväksymistä.</w:t>
            </w:r>
          </w:p>
          <w:p w14:paraId="418BA7F4" w14:textId="77777777" w:rsidR="000E48CE" w:rsidRDefault="000E48CE">
            <w:pPr>
              <w:spacing w:after="0" w:line="240" w:lineRule="auto"/>
              <w:rPr>
                <w:rFonts w:ascii="Times New Roman" w:hAnsi="Times New Roman" w:cs="Times New Roman"/>
                <w:noProof/>
                <w:sz w:val="18"/>
              </w:rPr>
            </w:pPr>
          </w:p>
        </w:tc>
      </w:tr>
      <w:tr w:rsidR="000E48CE" w14:paraId="07072F30"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DED8843" w14:textId="4A07E80A" w:rsidR="000E48CE" w:rsidRDefault="00FF4C4E">
            <w:pPr>
              <w:pStyle w:val="P68B1DB1-Normal13"/>
              <w:spacing w:after="0" w:line="240" w:lineRule="auto"/>
              <w:jc w:val="center"/>
              <w:rPr>
                <w:rFonts w:cs="Times New Roman"/>
                <w:noProof/>
              </w:rPr>
            </w:pPr>
            <w:r>
              <w:rPr>
                <w:noProof/>
              </w:rPr>
              <w:t>441</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C91783D" w14:textId="77777777" w:rsidR="000E48CE" w:rsidRDefault="00FF4C4E">
            <w:pPr>
              <w:pStyle w:val="P68B1DB1-Normal13"/>
              <w:spacing w:after="0" w:line="240" w:lineRule="auto"/>
              <w:jc w:val="center"/>
              <w:rPr>
                <w:rFonts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3BE866B" w14:textId="630B514C" w:rsidR="000E48CE" w:rsidRDefault="00FF4C4E">
            <w:pPr>
              <w:pStyle w:val="P68B1DB1-Normal13"/>
              <w:spacing w:after="0" w:line="240" w:lineRule="auto"/>
              <w:jc w:val="center"/>
              <w:rPr>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0F376A93" w14:textId="77777777" w:rsidR="000E48CE" w:rsidRDefault="00FF4C4E">
            <w:pPr>
              <w:pStyle w:val="P68B1DB1-Normal13"/>
              <w:spacing w:after="0" w:line="240" w:lineRule="auto"/>
              <w:rPr>
                <w:rFonts w:cs="Times New Roman"/>
                <w:noProof/>
              </w:rPr>
            </w:pPr>
            <w:r>
              <w:rPr>
                <w:noProof/>
              </w:rPr>
              <w:t>Toiseen kiertotalouspakettiin kuuluvien säädösten voimaantulo</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C00499D" w14:textId="77777777" w:rsidR="000E48CE" w:rsidRDefault="00FF4C4E">
            <w:pPr>
              <w:pStyle w:val="P68B1DB1-Normal13"/>
              <w:spacing w:after="0" w:line="240" w:lineRule="auto"/>
              <w:jc w:val="center"/>
              <w:rPr>
                <w:rFonts w:cs="Times New Roman"/>
                <w:noProof/>
              </w:rPr>
            </w:pPr>
            <w:r>
              <w:rPr>
                <w:noProof/>
              </w:rPr>
              <w:t>Säädösten voimaantulosta annettujen kuninkaallisten asetusten säännökset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214FF6E" w14:textId="77777777" w:rsidR="000E48CE" w:rsidRDefault="00FF4C4E">
            <w:pPr>
              <w:pStyle w:val="P68B1DB1-Normal13"/>
              <w:spacing w:after="0" w:line="240" w:lineRule="auto"/>
              <w:jc w:val="center"/>
              <w:rPr>
                <w:rFonts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A97C7F2" w14:textId="77777777" w:rsidR="000E48CE" w:rsidRDefault="00FF4C4E">
            <w:pPr>
              <w:pStyle w:val="P68B1DB1-Normal13"/>
              <w:spacing w:after="0" w:line="240" w:lineRule="auto"/>
              <w:jc w:val="center"/>
              <w:rPr>
                <w:rFonts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BDE7677" w14:textId="77777777" w:rsidR="000E48CE" w:rsidRDefault="00FF4C4E">
            <w:pPr>
              <w:pStyle w:val="P68B1DB1-Normal13"/>
              <w:spacing w:after="0" w:line="240" w:lineRule="auto"/>
              <w:jc w:val="center"/>
              <w:rPr>
                <w:rFonts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0738E1E" w14:textId="443AB0BF" w:rsidR="000E48CE" w:rsidRDefault="00FF4C4E">
            <w:pPr>
              <w:pStyle w:val="P68B1DB1-Normal13"/>
              <w:spacing w:after="0" w:line="240" w:lineRule="auto"/>
              <w:jc w:val="center"/>
              <w:rPr>
                <w:rFonts w:cs="Times New Roman"/>
                <w:noProof/>
              </w:rPr>
            </w:pPr>
            <w:r>
              <w:rPr>
                <w:noProof/>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C1FFB66" w14:textId="77777777" w:rsidR="000E48CE" w:rsidRDefault="00FF4C4E">
            <w:pPr>
              <w:pStyle w:val="P68B1DB1-Normal13"/>
              <w:spacing w:after="0" w:line="240" w:lineRule="auto"/>
              <w:jc w:val="center"/>
              <w:rPr>
                <w:rFonts w:cs="Times New Roman"/>
                <w:noProof/>
              </w:rPr>
            </w:pPr>
            <w:r>
              <w:rPr>
                <w:noProof/>
              </w:rPr>
              <w:t>2025</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01FC647B" w14:textId="1A9B5B97" w:rsidR="000E48CE" w:rsidRDefault="00FF4C4E">
            <w:pPr>
              <w:pStyle w:val="P68B1DB1-Normal13"/>
              <w:spacing w:after="0"/>
              <w:rPr>
                <w:rFonts w:eastAsia="Times New Roman" w:cs="Times New Roman"/>
                <w:noProof/>
              </w:rPr>
            </w:pPr>
            <w:r>
              <w:rPr>
                <w:noProof/>
              </w:rPr>
              <w:t xml:space="preserve">Toiseen kiertotalouden sääntelypakettiin on sisällyttävä </w:t>
            </w:r>
          </w:p>
          <w:p w14:paraId="4AA76FCA" w14:textId="55157F47" w:rsidR="000E48CE" w:rsidRDefault="00FF4C4E">
            <w:pPr>
              <w:pStyle w:val="P68B1DB1-ListParagraph14"/>
              <w:numPr>
                <w:ilvl w:val="0"/>
                <w:numId w:val="318"/>
              </w:numPr>
              <w:spacing w:after="0"/>
              <w:rPr>
                <w:rFonts w:eastAsia="Times New Roman" w:cs="Times New Roman"/>
                <w:noProof/>
              </w:rPr>
            </w:pPr>
            <w:r>
              <w:rPr>
                <w:noProof/>
              </w:rPr>
              <w:t>Kuninkaallinen asetus jätteentuottajia ja jätejohtajia koskevista rahoitusvakuuksista</w:t>
            </w:r>
          </w:p>
          <w:p w14:paraId="14787F90" w14:textId="77777777" w:rsidR="000E48CE" w:rsidRDefault="00FF4C4E">
            <w:pPr>
              <w:pStyle w:val="P68B1DB1-ListParagraph14"/>
              <w:numPr>
                <w:ilvl w:val="0"/>
                <w:numId w:val="318"/>
              </w:numPr>
              <w:spacing w:after="0"/>
              <w:rPr>
                <w:rFonts w:eastAsia="Times New Roman" w:cs="Times New Roman"/>
                <w:noProof/>
              </w:rPr>
            </w:pPr>
            <w:r>
              <w:rPr>
                <w:noProof/>
              </w:rPr>
              <w:t xml:space="preserve">Kuninkaan asetus tupakkatuotteiden suodattimilla ja suodattimilla varustettujen tupakkatuotteiden jätehuollosta, joita markkinoidaan käytettäväksi yhdessä </w:t>
            </w:r>
            <w:r>
              <w:rPr>
                <w:noProof/>
              </w:rPr>
              <w:t>tupakkatuotteiden kanssa</w:t>
            </w:r>
          </w:p>
          <w:p w14:paraId="6DC2865C" w14:textId="77777777" w:rsidR="000E48CE" w:rsidRDefault="00FF4C4E">
            <w:pPr>
              <w:pStyle w:val="P68B1DB1-ListParagraph14"/>
              <w:numPr>
                <w:ilvl w:val="0"/>
                <w:numId w:val="318"/>
              </w:numPr>
              <w:rPr>
                <w:rFonts w:eastAsia="Times New Roman" w:cs="Times New Roman"/>
                <w:noProof/>
              </w:rPr>
            </w:pPr>
            <w:r>
              <w:rPr>
                <w:noProof/>
              </w:rPr>
              <w:t>Kuninkaallinen asetus teollisuuden jäteöljyhuollosta</w:t>
            </w:r>
          </w:p>
          <w:p w14:paraId="5AA96976" w14:textId="77777777" w:rsidR="000E48CE" w:rsidRDefault="00FF4C4E">
            <w:pPr>
              <w:pStyle w:val="P68B1DB1-ListParagraph14"/>
              <w:numPr>
                <w:ilvl w:val="0"/>
                <w:numId w:val="318"/>
              </w:numPr>
              <w:rPr>
                <w:rFonts w:eastAsia="Times New Roman" w:cs="Times New Roman"/>
                <w:noProof/>
              </w:rPr>
            </w:pPr>
            <w:r>
              <w:rPr>
                <w:noProof/>
              </w:rPr>
              <w:t xml:space="preserve">Kuninkaallinen asetus käytöstä poistettujen renkaiden hallinnoinnista. </w:t>
            </w:r>
          </w:p>
          <w:p w14:paraId="303FBF64" w14:textId="77777777" w:rsidR="000E48CE" w:rsidRDefault="00FF4C4E">
            <w:pPr>
              <w:pStyle w:val="P68B1DB1-ListParagraph14"/>
              <w:numPr>
                <w:ilvl w:val="0"/>
                <w:numId w:val="318"/>
              </w:numPr>
              <w:rPr>
                <w:rFonts w:eastAsia="Times New Roman" w:cs="Times New Roman"/>
                <w:noProof/>
              </w:rPr>
            </w:pPr>
            <w:r>
              <w:rPr>
                <w:noProof/>
              </w:rPr>
              <w:t>Ministeriön päätös yhdyskuntajätteen käsittelyn vähimmäisvaatimuksista ennen kaatopaikalle sijoittamista</w:t>
            </w:r>
          </w:p>
          <w:p w14:paraId="189E2BE8" w14:textId="77777777" w:rsidR="000E48CE" w:rsidRDefault="00FF4C4E">
            <w:pPr>
              <w:pStyle w:val="P68B1DB1-ListParagraph14"/>
              <w:numPr>
                <w:ilvl w:val="0"/>
                <w:numId w:val="318"/>
              </w:numPr>
              <w:rPr>
                <w:rFonts w:cs="Times New Roman"/>
                <w:noProof/>
              </w:rPr>
            </w:pPr>
            <w:r>
              <w:rPr>
                <w:noProof/>
              </w:rPr>
              <w:t>T</w:t>
            </w:r>
            <w:r>
              <w:rPr>
                <w:noProof/>
              </w:rPr>
              <w:t>oisen kiertotaloutta koskevan toimintasuunnitelman hyväksyminen</w:t>
            </w:r>
          </w:p>
        </w:tc>
      </w:tr>
      <w:tr w:rsidR="000E48CE" w14:paraId="5164B366"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9A9F7FD" w14:textId="6480BBFD" w:rsidR="000E48CE" w:rsidRDefault="00FF4C4E">
            <w:pPr>
              <w:pStyle w:val="P68B1DB1-Normal13"/>
              <w:spacing w:after="0" w:line="240" w:lineRule="auto"/>
              <w:jc w:val="center"/>
              <w:rPr>
                <w:rFonts w:eastAsia="Times New Roman" w:cs="Times New Roman"/>
                <w:noProof/>
              </w:rPr>
            </w:pPr>
            <w:r>
              <w:rPr>
                <w:noProof/>
              </w:rPr>
              <w:t>442</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489B7D8D" w14:textId="77777777" w:rsidR="000E48CE" w:rsidRDefault="00FF4C4E">
            <w:pPr>
              <w:pStyle w:val="P68B1DB1-Normal13"/>
              <w:spacing w:after="0" w:line="240" w:lineRule="auto"/>
              <w:jc w:val="center"/>
              <w:rPr>
                <w:rFonts w:eastAsia="Times New Roman"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02C5F7F" w14:textId="5E726FE4" w:rsidR="000E48CE" w:rsidRDefault="00FF4C4E">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1583360" w14:textId="77777777" w:rsidR="000E48CE" w:rsidRDefault="00FF4C4E">
            <w:pPr>
              <w:pStyle w:val="P68B1DB1-Normal13"/>
              <w:spacing w:after="0" w:line="240" w:lineRule="auto"/>
              <w:rPr>
                <w:rFonts w:eastAsia="Times New Roman" w:cs="Times New Roman"/>
                <w:noProof/>
              </w:rPr>
            </w:pPr>
            <w:r>
              <w:rPr>
                <w:noProof/>
              </w:rPr>
              <w:t>Jätteiden täytäntöönpanohankkeiden toteuttamiseen tarkoitettujen avustusten jakaminen.</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FB7B21A" w14:textId="77777777" w:rsidR="000E48CE" w:rsidRDefault="000E48CE">
            <w:pPr>
              <w:spacing w:after="0" w:line="240" w:lineRule="auto"/>
              <w:jc w:val="center"/>
              <w:rPr>
                <w:rFonts w:ascii="Times New Roman" w:eastAsia="Times New Roman" w:hAnsi="Times New Roman" w:cs="Times New Roman"/>
                <w:noProof/>
                <w:sz w:val="18"/>
              </w:rPr>
            </w:pP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2754665" w14:textId="0803C52A" w:rsidR="000E48CE" w:rsidRDefault="00FF4C4E">
            <w:pPr>
              <w:pStyle w:val="P68B1DB1-Normal13"/>
              <w:spacing w:after="0" w:line="240" w:lineRule="auto"/>
              <w:jc w:val="center"/>
              <w:rPr>
                <w:rFonts w:eastAsia="Times New Roman" w:cs="Times New Roman"/>
                <w:noProof/>
              </w:rPr>
            </w:pPr>
            <w:r>
              <w:rPr>
                <w:noProof/>
              </w:rPr>
              <w:t>Miljoonaa euroa</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81A6E47" w14:textId="77777777" w:rsidR="000E48CE" w:rsidRDefault="00FF4C4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9056E9D" w14:textId="77777777" w:rsidR="000E48CE" w:rsidRDefault="00FF4C4E">
            <w:pPr>
              <w:pStyle w:val="P68B1DB1-Normal13"/>
              <w:spacing w:after="0" w:line="240" w:lineRule="auto"/>
              <w:jc w:val="center"/>
              <w:rPr>
                <w:rFonts w:eastAsia="Times New Roman" w:cs="Times New Roman"/>
                <w:noProof/>
              </w:rPr>
            </w:pPr>
            <w:r>
              <w:rPr>
                <w:noProof/>
              </w:rPr>
              <w:t>300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0714831"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EB3A66" w14:textId="77777777" w:rsidR="000E48CE" w:rsidRDefault="00FF4C4E">
            <w:pPr>
              <w:pStyle w:val="P68B1DB1-Normal13"/>
              <w:spacing w:after="0" w:line="240" w:lineRule="auto"/>
              <w:jc w:val="center"/>
              <w:rPr>
                <w:rFonts w:eastAsia="Times New Roman"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87591BB" w14:textId="1429A1AD" w:rsidR="000E48CE" w:rsidRDefault="00FF4C4E">
            <w:pPr>
              <w:pStyle w:val="P68B1DB1-Normal13"/>
              <w:spacing w:after="0" w:line="240" w:lineRule="auto"/>
              <w:rPr>
                <w:rFonts w:eastAsia="Times New Roman" w:cs="Times New Roman"/>
                <w:noProof/>
              </w:rPr>
            </w:pPr>
            <w:r>
              <w:rPr>
                <w:noProof/>
              </w:rPr>
              <w:t xml:space="preserve">Alakohtaisen ympäristökonferenssin sopimuksen hyväksyminen </w:t>
            </w:r>
            <w:r>
              <w:rPr>
                <w:noProof/>
              </w:rPr>
              <w:t>avustusten jakoperusteiden ja alueellisen jakautumisen hyväksymisestä tai suorien avustusten hyväksyminen tukia koskevan yleisen lain 28/2003 mukaisesti, joka liittyy vuoden 2024 jätelainsäädännön täytäntöönpanon tukemista koskevaan suunnitelmaan sellaiste</w:t>
            </w:r>
            <w:r>
              <w:rPr>
                <w:noProof/>
              </w:rPr>
              <w:t>n hankkeiden rahoittamiseksi, joiden tarkoituksena on panna täytäntöön kansallinen jätealan sääntelykehys ja saavuttaa EU:n tavoitteet.  Hankkeiden on koostuttava toimista, joilla pannaan täytäntöön ja parannetaan jätteen erilliskeräysjärjestelmiä, investo</w:t>
            </w:r>
            <w:r>
              <w:rPr>
                <w:noProof/>
              </w:rPr>
              <w:t>idaan keräyspisteisiin kierrätyksen parantamiseksi ja uuden erilliskerätyn jätteen käsittelylaitoksen rakentaminen.</w:t>
            </w:r>
          </w:p>
        </w:tc>
      </w:tr>
      <w:tr w:rsidR="000E48CE" w14:paraId="7C60E430"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F43270C" w14:textId="7273D458" w:rsidR="000E48CE" w:rsidRDefault="00FF4C4E">
            <w:pPr>
              <w:pStyle w:val="P68B1DB1-Normal13"/>
              <w:spacing w:after="0" w:line="240" w:lineRule="auto"/>
              <w:jc w:val="center"/>
              <w:rPr>
                <w:rFonts w:eastAsia="Times New Roman" w:cs="Times New Roman"/>
                <w:noProof/>
              </w:rPr>
            </w:pPr>
            <w:r>
              <w:rPr>
                <w:noProof/>
              </w:rPr>
              <w:t>443</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E3DCCC6" w14:textId="77777777" w:rsidR="000E48CE" w:rsidRDefault="00FF4C4E">
            <w:pPr>
              <w:pStyle w:val="P68B1DB1-Normal13"/>
              <w:spacing w:after="0" w:line="240" w:lineRule="auto"/>
              <w:jc w:val="center"/>
              <w:rPr>
                <w:rFonts w:eastAsia="Times New Roman"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3E5CAD4" w14:textId="77777777" w:rsidR="000E48CE" w:rsidRDefault="00FF4C4E">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31A30D72" w14:textId="77777777" w:rsidR="000E48CE" w:rsidRDefault="00FF4C4E">
            <w:pPr>
              <w:pStyle w:val="P68B1DB1-Normal13"/>
              <w:spacing w:after="0" w:line="240" w:lineRule="auto"/>
              <w:rPr>
                <w:rFonts w:eastAsia="Times New Roman" w:cs="Times New Roman"/>
                <w:noProof/>
              </w:rPr>
            </w:pPr>
            <w:r>
              <w:rPr>
                <w:noProof/>
              </w:rPr>
              <w:t>Jätehuoltoon liittyvien hankkeiden loppuun saattaminen</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7478D81" w14:textId="77777777" w:rsidR="000E48CE" w:rsidRDefault="000E48CE">
            <w:pPr>
              <w:spacing w:after="0" w:line="240" w:lineRule="auto"/>
              <w:jc w:val="center"/>
              <w:rPr>
                <w:rFonts w:ascii="Times New Roman" w:eastAsia="Times New Roman" w:hAnsi="Times New Roman" w:cs="Times New Roman"/>
                <w:noProof/>
                <w:sz w:val="18"/>
              </w:rPr>
            </w:pP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F0C6574" w14:textId="77777777" w:rsidR="000E48CE" w:rsidRDefault="00FF4C4E">
            <w:pPr>
              <w:pStyle w:val="P68B1DB1-Normal13"/>
              <w:spacing w:after="0" w:line="240" w:lineRule="auto"/>
              <w:jc w:val="center"/>
              <w:rPr>
                <w:rFonts w:eastAsia="Times New Roman" w:cs="Times New Roman"/>
                <w:noProof/>
              </w:rPr>
            </w:pPr>
            <w:r>
              <w:rPr>
                <w:noProof/>
              </w:rPr>
              <w:t xml:space="preserve">Miljoonaa euroa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99CF9F1" w14:textId="77777777" w:rsidR="000E48CE" w:rsidRDefault="000E48CE">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2D747C" w14:textId="77777777" w:rsidR="000E48CE" w:rsidRDefault="00FF4C4E">
            <w:pPr>
              <w:pStyle w:val="P68B1DB1-Normal13"/>
              <w:spacing w:after="0" w:line="240" w:lineRule="auto"/>
              <w:jc w:val="center"/>
              <w:rPr>
                <w:rFonts w:eastAsia="Times New Roman" w:cs="Times New Roman"/>
                <w:noProof/>
              </w:rPr>
            </w:pPr>
            <w:r>
              <w:rPr>
                <w:noProof/>
              </w:rPr>
              <w:t>270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8DA7C09" w14:textId="77777777" w:rsidR="000E48CE" w:rsidRDefault="00FF4C4E">
            <w:pPr>
              <w:pStyle w:val="P68B1DB1-Normal13"/>
              <w:spacing w:after="0" w:line="240" w:lineRule="auto"/>
              <w:jc w:val="center"/>
              <w:rPr>
                <w:rFonts w:eastAsia="Times New Roman"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0D52795" w14:textId="77777777" w:rsidR="000E48CE" w:rsidRDefault="00FF4C4E">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C5C4F73" w14:textId="7E7E143E" w:rsidR="000E48CE" w:rsidRDefault="00FF4C4E">
            <w:pPr>
              <w:pStyle w:val="P68B1DB1-Normal13"/>
              <w:spacing w:after="0" w:line="240" w:lineRule="auto"/>
              <w:rPr>
                <w:rFonts w:eastAsia="Times New Roman" w:cs="Times New Roman"/>
                <w:noProof/>
              </w:rPr>
            </w:pPr>
            <w:r>
              <w:rPr>
                <w:noProof/>
              </w:rPr>
              <w:t xml:space="preserve">Vähintään 270000000 euron suuruisten </w:t>
            </w:r>
            <w:r>
              <w:rPr>
                <w:noProof/>
              </w:rPr>
              <w:t>hankkeiden loppuun saattaminen jätteen erilliskeräysjärjestelmien toteuttamiseksi ja parantamiseksi, kierrätystä parantaviin keräyspisteisiin tehtäviin investointeihin ja uusien erilliskerättyjen jätteiden käsittelylaitosten rakentamiseen.</w:t>
            </w:r>
          </w:p>
        </w:tc>
      </w:tr>
      <w:tr w:rsidR="000E48CE" w14:paraId="758C3169"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C1EF78E" w14:textId="4C0041F2" w:rsidR="000E48CE" w:rsidRDefault="00FF4C4E">
            <w:pPr>
              <w:pStyle w:val="P68B1DB1-Normal13"/>
              <w:spacing w:after="0" w:line="240" w:lineRule="auto"/>
              <w:jc w:val="center"/>
              <w:rPr>
                <w:rFonts w:eastAsia="Times New Roman" w:cs="Times New Roman"/>
                <w:noProof/>
              </w:rPr>
            </w:pPr>
            <w:r>
              <w:rPr>
                <w:noProof/>
              </w:rPr>
              <w:t>444</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B0BCEA4" w14:textId="77777777" w:rsidR="000E48CE" w:rsidRDefault="00FF4C4E">
            <w:pPr>
              <w:pStyle w:val="P68B1DB1-Normal13"/>
              <w:spacing w:after="0" w:line="240" w:lineRule="auto"/>
              <w:jc w:val="center"/>
              <w:rPr>
                <w:rFonts w:eastAsia="Times New Roman" w:cs="Times New Roman"/>
                <w:noProof/>
              </w:rPr>
            </w:pPr>
            <w:r>
              <w:rPr>
                <w:noProof/>
              </w:rPr>
              <w:t>C12.I4</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F032B11" w14:textId="77777777" w:rsidR="000E48CE" w:rsidRDefault="00FF4C4E">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797FB93" w14:textId="77777777" w:rsidR="000E48CE" w:rsidRDefault="00FF4C4E">
            <w:pPr>
              <w:pStyle w:val="P68B1DB1-Normal13"/>
              <w:spacing w:after="0" w:line="240" w:lineRule="auto"/>
              <w:rPr>
                <w:rFonts w:eastAsia="Times New Roman" w:cs="Times New Roman"/>
                <w:noProof/>
              </w:rPr>
            </w:pPr>
            <w:r>
              <w:rPr>
                <w:noProof/>
              </w:rPr>
              <w:t xml:space="preserve">PERTE-SIRU. Puolijohteiden arvoketjun vahvistaminen.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2C9B0C6C" w14:textId="77777777" w:rsidR="000E48CE" w:rsidRDefault="00FF4C4E">
            <w:pPr>
              <w:pStyle w:val="P68B1DB1-Normal13"/>
              <w:spacing w:after="0" w:line="240" w:lineRule="auto"/>
              <w:jc w:val="center"/>
              <w:rPr>
                <w:rFonts w:eastAsia="Times New Roman" w:cs="Times New Roman"/>
                <w:noProof/>
              </w:rPr>
            </w:pPr>
            <w:r>
              <w:rPr>
                <w:noProof/>
              </w:rPr>
              <w:t xml:space="preserve">Julkaiseminen Euroopan unionin virallisessa lehdessä tai virallisella verkkosivustolla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33852CA" w14:textId="77777777" w:rsidR="000E48CE" w:rsidRDefault="00FF4C4E">
            <w:pPr>
              <w:pStyle w:val="P68B1DB1-Normal13"/>
              <w:spacing w:after="0" w:line="240" w:lineRule="auto"/>
              <w:jc w:val="center"/>
              <w:rPr>
                <w:rFonts w:eastAsia="Times New Roman" w:cs="Times New Roman"/>
                <w:noProof/>
              </w:rPr>
            </w:pPr>
            <w:r>
              <w:rPr>
                <w:noProof/>
              </w:rPr>
              <w:t xml:space="preserve">Miljoonaa euroa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2CCFB21"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CCB0277" w14:textId="77777777" w:rsidR="000E48CE" w:rsidRDefault="00FF4C4E">
            <w:pPr>
              <w:pStyle w:val="P68B1DB1-Normal13"/>
              <w:spacing w:after="0" w:line="240" w:lineRule="auto"/>
              <w:jc w:val="center"/>
              <w:rPr>
                <w:rFonts w:eastAsia="Times New Roman" w:cs="Times New Roman"/>
                <w:noProof/>
              </w:rPr>
            </w:pPr>
            <w:r>
              <w:rPr>
                <w:noProof/>
              </w:rPr>
              <w:t xml:space="preserve">200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132A9B80" w14:textId="77777777" w:rsidR="000E48CE" w:rsidRDefault="00FF4C4E">
            <w:pPr>
              <w:pStyle w:val="P68B1DB1-Normal13"/>
              <w:spacing w:after="0" w:line="240" w:lineRule="auto"/>
              <w:jc w:val="center"/>
              <w:rPr>
                <w:rFonts w:eastAsia="Times New Roman" w:cs="Times New Roman"/>
                <w:noProof/>
              </w:rPr>
            </w:pPr>
            <w:r>
              <w:rPr>
                <w:noProof/>
              </w:rPr>
              <w:t>Q1</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49C322C" w14:textId="77777777" w:rsidR="000E48CE" w:rsidRDefault="00FF4C4E">
            <w:pPr>
              <w:pStyle w:val="P68B1DB1-Normal13"/>
              <w:spacing w:after="0" w:line="240" w:lineRule="auto"/>
              <w:jc w:val="center"/>
              <w:rPr>
                <w:rFonts w:eastAsia="Times New Roman" w:cs="Times New Roman"/>
                <w:noProof/>
              </w:rPr>
            </w:pPr>
            <w:r>
              <w:rPr>
                <w:noProof/>
              </w:rPr>
              <w:t>2025</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73DB66C" w14:textId="77777777" w:rsidR="000E48CE" w:rsidRDefault="00FF4C4E">
            <w:pPr>
              <w:pStyle w:val="P68B1DB1-Normal13"/>
              <w:spacing w:after="0" w:line="240" w:lineRule="auto"/>
              <w:rPr>
                <w:rFonts w:eastAsia="Times New Roman" w:cs="Times New Roman"/>
                <w:noProof/>
              </w:rPr>
            </w:pPr>
            <w:r>
              <w:rPr>
                <w:noProof/>
              </w:rPr>
              <w:t>200000000 euron oikeudellinen sitoumus IPCEI-mikroelektroniikkaan ja yhteenliitet</w:t>
            </w:r>
            <w:r>
              <w:rPr>
                <w:noProof/>
              </w:rPr>
              <w:t>tävyyteen osallistuville lopullisille edunsaajille ja lopullisille edunsaajille, jotka saavat tukea Espanjan puolijohteiden ekosysteemille tutkimus-, kehitys- ja innovointivaihetta ja ensimmäistä teollista käyttöönottoa varten, lukuun ottamatta massatuotan</w:t>
            </w:r>
            <w:r>
              <w:rPr>
                <w:noProof/>
              </w:rPr>
              <w:t xml:space="preserve">toa ja kaupallista toimintaa. </w:t>
            </w:r>
          </w:p>
        </w:tc>
      </w:tr>
      <w:tr w:rsidR="000E48CE" w14:paraId="63434339"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E5083BB" w14:textId="403B4173" w:rsidR="000E48CE" w:rsidRDefault="00FF4C4E">
            <w:pPr>
              <w:pStyle w:val="P68B1DB1-Normal13"/>
              <w:spacing w:after="0" w:line="240" w:lineRule="auto"/>
              <w:jc w:val="center"/>
              <w:rPr>
                <w:rFonts w:eastAsia="Times New Roman" w:cs="Times New Roman"/>
                <w:noProof/>
              </w:rPr>
            </w:pPr>
            <w:r>
              <w:rPr>
                <w:noProof/>
              </w:rPr>
              <w:t>445</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1DA56B5" w14:textId="77777777" w:rsidR="000E48CE" w:rsidRDefault="00FF4C4E">
            <w:pPr>
              <w:pStyle w:val="P68B1DB1-Normal13"/>
              <w:spacing w:after="0" w:line="240" w:lineRule="auto"/>
              <w:jc w:val="center"/>
              <w:rPr>
                <w:rFonts w:eastAsia="Times New Roman" w:cs="Times New Roman"/>
                <w:noProof/>
              </w:rPr>
            </w:pPr>
            <w:r>
              <w:rPr>
                <w:noProof/>
              </w:rPr>
              <w:t>C12.I4</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03D12F5" w14:textId="77777777" w:rsidR="000E48CE" w:rsidRDefault="00FF4C4E">
            <w:pPr>
              <w:pStyle w:val="P68B1DB1-Normal13"/>
              <w:spacing w:after="0" w:line="240" w:lineRule="auto"/>
              <w:jc w:val="center"/>
              <w:rPr>
                <w:rFonts w:eastAsia="Times New Roman"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20CF322" w14:textId="77777777" w:rsidR="000E48CE" w:rsidRDefault="00FF4C4E">
            <w:pPr>
              <w:pStyle w:val="P68B1DB1-Normal13"/>
              <w:spacing w:after="0" w:line="240" w:lineRule="auto"/>
              <w:rPr>
                <w:rFonts w:eastAsia="Times New Roman" w:cs="Times New Roman"/>
                <w:noProof/>
              </w:rPr>
            </w:pPr>
            <w:r>
              <w:rPr>
                <w:noProof/>
              </w:rPr>
              <w:t xml:space="preserve">PERTE-SIRU. Puolijohteiden arvoketjun vahvistaminen (II).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5D826B0"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050ECCD" w14:textId="77777777" w:rsidR="000E48CE" w:rsidRDefault="00FF4C4E">
            <w:pPr>
              <w:pStyle w:val="P68B1DB1-Normal13"/>
              <w:spacing w:after="0" w:line="240" w:lineRule="auto"/>
              <w:jc w:val="center"/>
              <w:rPr>
                <w:rFonts w:eastAsia="Times New Roman" w:cs="Times New Roman"/>
                <w:noProof/>
              </w:rPr>
            </w:pPr>
            <w:r>
              <w:rPr>
                <w:noProof/>
              </w:rPr>
              <w:t>Miljoonaa euroa</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B995D86" w14:textId="0A07AF81" w:rsidR="000E48CE" w:rsidRDefault="000E48CE">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5A5AA7B" w14:textId="77777777" w:rsidR="000E48CE" w:rsidRDefault="00FF4C4E">
            <w:pPr>
              <w:pStyle w:val="P68B1DB1-Normal13"/>
              <w:spacing w:after="0" w:line="240" w:lineRule="auto"/>
              <w:jc w:val="center"/>
              <w:rPr>
                <w:rFonts w:eastAsia="Times New Roman" w:cs="Times New Roman"/>
                <w:noProof/>
              </w:rPr>
            </w:pPr>
            <w:r>
              <w:rPr>
                <w:noProof/>
              </w:rPr>
              <w:t>180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F8A117E" w14:textId="77777777" w:rsidR="000E48CE" w:rsidRDefault="00FF4C4E">
            <w:pPr>
              <w:pStyle w:val="P68B1DB1-Normal13"/>
              <w:spacing w:after="0" w:line="240" w:lineRule="auto"/>
              <w:jc w:val="center"/>
              <w:rPr>
                <w:rFonts w:eastAsia="Times New Roman"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ECDDC52" w14:textId="77777777" w:rsidR="000E48CE" w:rsidRDefault="00FF4C4E">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A8A35EB" w14:textId="2D13C318" w:rsidR="000E48CE" w:rsidRDefault="00FF4C4E">
            <w:pPr>
              <w:pStyle w:val="P68B1DB1-Normal13"/>
              <w:spacing w:after="0" w:line="240" w:lineRule="auto"/>
              <w:rPr>
                <w:rFonts w:eastAsia="Times New Roman" w:cs="Times New Roman"/>
                <w:noProof/>
              </w:rPr>
            </w:pPr>
            <w:r>
              <w:rPr>
                <w:noProof/>
              </w:rPr>
              <w:t xml:space="preserve">Vähintään 180000000 euroa on maksettu IPCEI-mikroelektroniikkaan ja yhteenliitettävyyteen osallistuville lopullisille </w:t>
            </w:r>
            <w:r>
              <w:rPr>
                <w:noProof/>
              </w:rPr>
              <w:t>tuensaajille sekä lopullisille edunsaajille, jotka saavat tukea Espanjan puolijohteiden ekosysteemille tutkimus-, kehitys- ja innovointivaihetta ja ensimmäistä teollista käyttöönottoa varten, lukuun ottamatta massatuotantoa ja kaupallista toimintaa.</w:t>
            </w:r>
          </w:p>
        </w:tc>
      </w:tr>
      <w:tr w:rsidR="000E48CE" w14:paraId="724F503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F711D7D" w14:textId="667B4A08" w:rsidR="000E48CE" w:rsidRDefault="00FF4C4E">
            <w:pPr>
              <w:pStyle w:val="P68B1DB1-Normal13"/>
              <w:spacing w:after="0" w:line="240" w:lineRule="auto"/>
              <w:jc w:val="center"/>
              <w:rPr>
                <w:rFonts w:eastAsia="Times New Roman" w:cs="Times New Roman"/>
                <w:noProof/>
              </w:rPr>
            </w:pPr>
            <w:r>
              <w:rPr>
                <w:noProof/>
              </w:rPr>
              <w:t>448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185066C" w14:textId="22D3FDA8" w:rsidR="000E48CE" w:rsidRDefault="00FF4C4E">
            <w:pPr>
              <w:pStyle w:val="P68B1DB1-Normal13"/>
              <w:spacing w:after="0" w:line="240" w:lineRule="auto"/>
              <w:jc w:val="center"/>
              <w:rPr>
                <w:rFonts w:eastAsia="Times New Roman" w:cs="Times New Roman"/>
                <w:noProof/>
              </w:rPr>
            </w:pPr>
            <w:r>
              <w:rPr>
                <w:noProof/>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754380B" w14:textId="39B6ED53" w:rsidR="000E48CE" w:rsidRDefault="00FF4C4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M </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4F703E4" w14:textId="39BB5415" w:rsidR="000E48CE" w:rsidRDefault="00FF4C4E">
            <w:pPr>
              <w:pStyle w:val="P68B1DB1-Normal13"/>
              <w:spacing w:after="0" w:line="240" w:lineRule="auto"/>
              <w:rPr>
                <w:rFonts w:eastAsia="Times New Roman" w:cs="Times New Roman"/>
                <w:noProof/>
              </w:rPr>
            </w:pPr>
            <w:r>
              <w:rPr>
                <w:noProof/>
              </w:rPr>
              <w:t>Kiertotalouden tukijärjestelmä: Ministeriö on saattanut investoinnin päätökseen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35D3272" w14:textId="629575AE" w:rsidR="000E48CE" w:rsidRDefault="00FF4C4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Todistus maksusta toteutuskumppanille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965198D" w14:textId="77777777" w:rsidR="000E48CE" w:rsidRDefault="000E48CE">
            <w:pPr>
              <w:spacing w:after="0" w:line="240" w:lineRule="auto"/>
              <w:jc w:val="center"/>
              <w:rPr>
                <w:rFonts w:ascii="Times New Roman" w:eastAsia="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69223C4" w14:textId="77777777" w:rsidR="000E48CE" w:rsidRDefault="000E48CE">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F73057A" w14:textId="77777777" w:rsidR="000E48CE" w:rsidRDefault="000E48CE">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AA5C2AE" w14:textId="47B7DDDA" w:rsidR="000E48CE" w:rsidRDefault="00FF4C4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Q2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42A713D" w14:textId="73C6D30D" w:rsidR="000E48CE" w:rsidRDefault="00FF4C4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2024 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B471DCE" w14:textId="2D9B9847" w:rsidR="000E48CE" w:rsidRDefault="00FF4C4E">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Espanjan on siirrettävä 100000000 euroa IDAE:lle ja 200000000 euroa Fundación Biodiversidadille ohjelmaa varten.</w:t>
            </w:r>
          </w:p>
        </w:tc>
      </w:tr>
      <w:tr w:rsidR="000E48CE" w14:paraId="6192F824"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676CD28" w14:textId="423B2F14" w:rsidR="000E48CE" w:rsidRDefault="00FF4C4E">
            <w:pPr>
              <w:pStyle w:val="P68B1DB1-Normal13"/>
              <w:spacing w:after="0" w:line="240" w:lineRule="auto"/>
              <w:jc w:val="center"/>
              <w:rPr>
                <w:rFonts w:eastAsia="Times New Roman" w:cs="Times New Roman"/>
                <w:noProof/>
              </w:rPr>
            </w:pPr>
            <w:r>
              <w:rPr>
                <w:noProof/>
              </w:rPr>
              <w:t>446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93D24" w14:textId="77777777" w:rsidR="000E48CE" w:rsidRDefault="00FF4C4E">
            <w:pPr>
              <w:pStyle w:val="P68B1DB1-Normal13"/>
              <w:spacing w:after="0" w:line="240" w:lineRule="auto"/>
              <w:jc w:val="center"/>
              <w:rPr>
                <w:rFonts w:eastAsia="Times New Roman" w:cs="Times New Roman"/>
                <w:noProof/>
              </w:rPr>
            </w:pPr>
            <w:r>
              <w:rPr>
                <w:noProof/>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59B5E1B" w14:textId="77777777" w:rsidR="000E48CE" w:rsidRDefault="00FF4C4E">
            <w:pPr>
              <w:pStyle w:val="P68B1DB1-Normal13"/>
              <w:spacing w:after="0" w:line="240" w:lineRule="auto"/>
              <w:jc w:val="center"/>
              <w:rPr>
                <w:rFonts w:eastAsia="Times New Roman"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0475E4FD" w14:textId="45DB8A9B" w:rsidR="000E48CE" w:rsidRDefault="00FF4C4E">
            <w:pPr>
              <w:pStyle w:val="P68B1DB1-Normal13"/>
              <w:spacing w:after="0" w:line="240" w:lineRule="auto"/>
              <w:rPr>
                <w:rFonts w:eastAsia="Times New Roman" w:cs="Times New Roman"/>
                <w:noProof/>
              </w:rPr>
            </w:pPr>
            <w:r>
              <w:rPr>
                <w:noProof/>
              </w:rPr>
              <w:t>Kiertotalouden tukijärjestelmä: Tukijärjestelmän perustaminen</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9DE73B6" w14:textId="12612E5C" w:rsidR="000E48CE" w:rsidRDefault="00FF4C4E">
            <w:pPr>
              <w:pStyle w:val="P68B1DB1-Normal13"/>
              <w:spacing w:after="0" w:line="240" w:lineRule="auto"/>
              <w:jc w:val="center"/>
              <w:rPr>
                <w:rFonts w:eastAsia="Times New Roman" w:cs="Times New Roman"/>
                <w:noProof/>
              </w:rPr>
            </w:pPr>
            <w:r>
              <w:rPr>
                <w:noProof/>
              </w:rPr>
              <w:t>Tulee voimaan asiaa koskeva(t) säädös(t)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609D0A1" w14:textId="77777777" w:rsidR="000E48CE" w:rsidRDefault="000E48CE">
            <w:pPr>
              <w:spacing w:after="0" w:line="240" w:lineRule="auto"/>
              <w:jc w:val="center"/>
              <w:rPr>
                <w:rFonts w:ascii="Times New Roman" w:eastAsia="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1957D37" w14:textId="77777777" w:rsidR="000E48CE" w:rsidRDefault="000E48CE">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EF180D2" w14:textId="77777777" w:rsidR="000E48CE" w:rsidRDefault="000E48CE">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1E7C9F6" w14:textId="77777777" w:rsidR="000E48CE" w:rsidRDefault="00FF4C4E">
            <w:pPr>
              <w:pStyle w:val="P68B1DB1-Normal13"/>
              <w:spacing w:after="0" w:line="240" w:lineRule="auto"/>
              <w:jc w:val="center"/>
              <w:rPr>
                <w:rFonts w:eastAsia="Times New Roman" w:cs="Times New Roman"/>
                <w:noProof/>
              </w:rPr>
            </w:pPr>
            <w:r>
              <w:rPr>
                <w:noProof/>
              </w:rPr>
              <w:t>Q4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43BBBC2" w14:textId="77777777" w:rsidR="000E48CE" w:rsidRDefault="00FF4C4E">
            <w:pPr>
              <w:pStyle w:val="P68B1DB1-Normal13"/>
              <w:spacing w:after="0" w:line="240" w:lineRule="auto"/>
              <w:jc w:val="center"/>
              <w:rPr>
                <w:rFonts w:eastAsia="Times New Roman" w:cs="Times New Roman"/>
                <w:noProof/>
              </w:rPr>
            </w:pPr>
            <w:r>
              <w:rPr>
                <w:noProof/>
              </w:rPr>
              <w:t>2024 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429ECFB4" w14:textId="36B26541" w:rsidR="000E48CE" w:rsidRDefault="00FF4C4E">
            <w:pPr>
              <w:pStyle w:val="P68B1DB1-Normal13"/>
              <w:spacing w:after="0" w:line="240" w:lineRule="auto"/>
              <w:rPr>
                <w:rFonts w:eastAsia="Times New Roman" w:cs="Times New Roman"/>
                <w:noProof/>
              </w:rPr>
            </w:pPr>
            <w:r>
              <w:rPr>
                <w:noProof/>
              </w:rPr>
              <w:t>Niiden säädösten voimaantulo, joilla tukiohjelma perustetaan toimenpiteen kuvauksessa täsmennettyjen vaatimusten mukaisesti.</w:t>
            </w:r>
          </w:p>
        </w:tc>
      </w:tr>
      <w:tr w:rsidR="000E48CE" w14:paraId="193E4360"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5E466F6B" w14:textId="39519970" w:rsidR="000E48CE" w:rsidRDefault="00FF4C4E">
            <w:pPr>
              <w:pStyle w:val="P68B1DB1-Normal13"/>
              <w:spacing w:after="0" w:line="240" w:lineRule="auto"/>
              <w:jc w:val="center"/>
              <w:rPr>
                <w:rFonts w:eastAsia="Times New Roman" w:cs="Times New Roman"/>
                <w:noProof/>
              </w:rPr>
            </w:pPr>
            <w:r>
              <w:rPr>
                <w:noProof/>
              </w:rPr>
              <w:t>447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4F2D3CC1" w14:textId="77777777" w:rsidR="000E48CE" w:rsidRDefault="00FF4C4E">
            <w:pPr>
              <w:pStyle w:val="P68B1DB1-Normal13"/>
              <w:spacing w:after="0" w:line="240" w:lineRule="auto"/>
              <w:jc w:val="center"/>
              <w:rPr>
                <w:rFonts w:eastAsia="Times New Roman" w:cs="Times New Roman"/>
                <w:noProof/>
              </w:rPr>
            </w:pPr>
            <w:r>
              <w:rPr>
                <w:noProof/>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5808CA3" w14:textId="77777777" w:rsidR="000E48CE" w:rsidRDefault="00FF4C4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T </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F9FF87E" w14:textId="0E0CF4A4" w:rsidR="000E48CE" w:rsidRDefault="00FF4C4E">
            <w:pPr>
              <w:pStyle w:val="P68B1DB1-Normal13"/>
              <w:spacing w:after="0" w:line="240" w:lineRule="auto"/>
              <w:rPr>
                <w:rFonts w:eastAsia="Times New Roman" w:cs="Times New Roman"/>
                <w:noProof/>
              </w:rPr>
            </w:pPr>
            <w:r>
              <w:rPr>
                <w:noProof/>
              </w:rPr>
              <w:t>Kiertotalouden tukijärjestelmä: Lopullisten edunsaajien kanssa allekirjoitetut oikeudelliset sopimukset tai lopulliset myöntämispäätökset julkaistu</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70CEB37" w14:textId="4F67CFEA" w:rsidR="000E48CE" w:rsidRDefault="00FF4C4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Julkaistujen oikeudellisten rahoitussopimusten tai lopullisten myöntämispäätösten voimaantulo</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5A87720" w14:textId="77777777" w:rsidR="000E48CE" w:rsidRDefault="00FF4C4E">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AEEA772" w14:textId="77777777" w:rsidR="000E48CE" w:rsidRDefault="00FF4C4E">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0 %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09A8952" w14:textId="77777777" w:rsidR="000E48CE" w:rsidRDefault="00FF4C4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100 %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392DE83" w14:textId="77777777" w:rsidR="000E48CE" w:rsidRDefault="00FF4C4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KOLMAS VUOSINELJÄNNES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6F2B9F" w14:textId="77777777" w:rsidR="000E48CE" w:rsidRDefault="00FF4C4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2025 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07E9390C" w14:textId="1C2C2BDD" w:rsidR="000E48CE" w:rsidRDefault="00FF4C4E">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IDAE ja Fundación Biodiversidad ovat julkaisseet lopulliset myöntämispäätökset tai tehneet lopullisten edunsaajien kanssa oikeudellisia rahoitussopimuksia määrästä, joka on tarpeen elpymis- ja palautumistukiväline</w:t>
            </w:r>
            <w:r>
              <w:rPr>
                <w:rStyle w:val="normaltextrun"/>
                <w:rFonts w:ascii="Times New Roman" w:hAnsi="Times New Roman"/>
                <w:noProof/>
                <w:sz w:val="18"/>
              </w:rPr>
              <w:t>en investointien (välilliset kustannukset mukaan luettuina) käyttämiseksi järjestelmässä 100 prosenttia.</w:t>
            </w:r>
          </w:p>
        </w:tc>
      </w:tr>
      <w:tr w:rsidR="000E48CE" w14:paraId="35C50EBE"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971327F" w14:textId="42D5F40F" w:rsidR="000E48CE" w:rsidRDefault="00FF4C4E">
            <w:pPr>
              <w:pStyle w:val="P68B1DB1-Normal13"/>
              <w:spacing w:after="0" w:line="240" w:lineRule="auto"/>
              <w:jc w:val="center"/>
              <w:rPr>
                <w:rFonts w:eastAsia="Times New Roman" w:cs="Times New Roman"/>
                <w:noProof/>
              </w:rPr>
            </w:pPr>
            <w:r>
              <w:rPr>
                <w:noProof/>
              </w:rPr>
              <w:t>448a</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B2A2C" w14:textId="42733C92" w:rsidR="000E48CE" w:rsidRDefault="00FF4C4E">
            <w:pPr>
              <w:pStyle w:val="P68B1DB1-Normal13"/>
              <w:spacing w:after="0" w:line="240" w:lineRule="auto"/>
              <w:jc w:val="center"/>
              <w:rPr>
                <w:rFonts w:cs="Times New Roman"/>
                <w:noProof/>
              </w:rPr>
            </w:pPr>
            <w:r>
              <w:rPr>
                <w:noProof/>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F7DB35F" w14:textId="59E78DFF" w:rsidR="000E48CE" w:rsidRDefault="00FF4C4E">
            <w:pPr>
              <w:pStyle w:val="P68B1DB1-Normal13"/>
              <w:spacing w:after="0" w:line="240" w:lineRule="auto"/>
              <w:jc w:val="center"/>
              <w:rPr>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4573819" w14:textId="233F4B20" w:rsidR="000E48CE" w:rsidRDefault="00FF4C4E">
            <w:pPr>
              <w:pStyle w:val="P68B1DB1-Normal13"/>
              <w:spacing w:after="0" w:line="240" w:lineRule="auto"/>
              <w:rPr>
                <w:rFonts w:cs="Times New Roman"/>
                <w:noProof/>
              </w:rPr>
            </w:pPr>
            <w:r>
              <w:rPr>
                <w:noProof/>
              </w:rPr>
              <w:t>Sähköajoneuvoalan tukiohjelma (avustukset): Ministeriö on saattanut investoinnin päätökseen</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100932" w14:textId="4E31DC25" w:rsidR="000E48CE" w:rsidRDefault="00FF4C4E">
            <w:pPr>
              <w:pStyle w:val="P68B1DB1-Normal13"/>
              <w:spacing w:after="0" w:line="240" w:lineRule="auto"/>
              <w:jc w:val="center"/>
              <w:rPr>
                <w:rFonts w:cs="Times New Roman"/>
                <w:noProof/>
              </w:rPr>
            </w:pPr>
            <w:r>
              <w:rPr>
                <w:noProof/>
              </w:rPr>
              <w:t>Todistus maksujen suorittamisesta ENISAlle</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F3DB594" w14:textId="77777777" w:rsidR="000E48CE" w:rsidRDefault="000E48CE">
            <w:pPr>
              <w:spacing w:after="0" w:line="240" w:lineRule="auto"/>
              <w:jc w:val="center"/>
              <w:rPr>
                <w:rStyle w:val="eop"/>
                <w:rFonts w:ascii="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D6BD69E" w14:textId="77777777" w:rsidR="000E48CE" w:rsidRDefault="000E48CE">
            <w:pPr>
              <w:spacing w:after="0" w:line="240" w:lineRule="auto"/>
              <w:jc w:val="center"/>
              <w:rPr>
                <w:rStyle w:val="eop"/>
                <w:rFonts w:ascii="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D153BF3" w14:textId="77777777" w:rsidR="000E48CE" w:rsidRDefault="000E48CE">
            <w:pPr>
              <w:spacing w:after="0" w:line="240" w:lineRule="auto"/>
              <w:jc w:val="center"/>
              <w:rPr>
                <w:rStyle w:val="eop"/>
                <w:rFonts w:ascii="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2A996DE" w14:textId="69D76941" w:rsidR="000E48CE" w:rsidRDefault="00FF4C4E">
            <w:pPr>
              <w:pStyle w:val="P68B1DB1-Normal13"/>
              <w:spacing w:after="0" w:line="240" w:lineRule="auto"/>
              <w:jc w:val="center"/>
              <w:rPr>
                <w:rFonts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F0DA853" w14:textId="07EDDF73" w:rsidR="000E48CE" w:rsidRDefault="00FF4C4E">
            <w:pPr>
              <w:pStyle w:val="P68B1DB1-Normal13"/>
              <w:spacing w:after="0" w:line="240" w:lineRule="auto"/>
              <w:jc w:val="center"/>
              <w:rPr>
                <w:rFonts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9FF64A6" w14:textId="17CEBB80" w:rsidR="000E48CE" w:rsidRDefault="00FF4C4E">
            <w:pPr>
              <w:pStyle w:val="P68B1DB1-Normal13"/>
              <w:spacing w:after="0" w:line="240" w:lineRule="auto"/>
              <w:rPr>
                <w:rFonts w:cs="Times New Roman"/>
                <w:noProof/>
              </w:rPr>
            </w:pPr>
            <w:r>
              <w:rPr>
                <w:noProof/>
              </w:rPr>
              <w:t>Espanjan on siirrettävä järjestelmää varten ENISAlle 250000000 euroa.</w:t>
            </w:r>
          </w:p>
        </w:tc>
      </w:tr>
      <w:tr w:rsidR="000E48CE" w14:paraId="0CF7788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5AA4BA2" w14:textId="22E462F7" w:rsidR="000E48CE" w:rsidRDefault="00FF4C4E">
            <w:pPr>
              <w:pStyle w:val="P68B1DB1-Normal13"/>
              <w:spacing w:after="0" w:line="240" w:lineRule="auto"/>
              <w:jc w:val="center"/>
              <w:rPr>
                <w:rFonts w:eastAsia="Times New Roman" w:cs="Times New Roman"/>
                <w:noProof/>
              </w:rPr>
            </w:pPr>
            <w:r>
              <w:rPr>
                <w:noProof/>
              </w:rPr>
              <w:t>448b</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12484DB" w14:textId="7EF1C065" w:rsidR="000E48CE" w:rsidRDefault="00FF4C4E">
            <w:pPr>
              <w:pStyle w:val="P68B1DB1-Normal13"/>
              <w:spacing w:after="0" w:line="240" w:lineRule="auto"/>
              <w:jc w:val="center"/>
              <w:rPr>
                <w:rFonts w:eastAsia="Times New Roman" w:cs="Times New Roman"/>
                <w:noProof/>
              </w:rPr>
            </w:pPr>
            <w:r>
              <w:rPr>
                <w:noProof/>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1099AD5" w14:textId="1B6EE572" w:rsidR="000E48CE" w:rsidRDefault="00FF4C4E">
            <w:pPr>
              <w:pStyle w:val="P68B1DB1-Normal13"/>
              <w:spacing w:after="0" w:line="240" w:lineRule="auto"/>
              <w:jc w:val="center"/>
              <w:rPr>
                <w:rStyle w:val="normaltextrun"/>
                <w:rFonts w:cs="Times New Roman"/>
                <w:noProof/>
              </w:rPr>
            </w:pPr>
            <w:r>
              <w:rPr>
                <w:noProof/>
              </w:rPr>
              <w:t>M</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885859D" w14:textId="43B2C672" w:rsidR="000E48CE" w:rsidRDefault="00FF4C4E">
            <w:pPr>
              <w:pStyle w:val="P68B1DB1-Normal13"/>
              <w:spacing w:after="0" w:line="240" w:lineRule="auto"/>
              <w:rPr>
                <w:rStyle w:val="normaltextrun"/>
                <w:rFonts w:cs="Times New Roman"/>
                <w:noProof/>
              </w:rPr>
            </w:pPr>
            <w:r>
              <w:rPr>
                <w:noProof/>
              </w:rPr>
              <w:t>Sähköajoneuvoalan tukiohjelma (avustukset) Tukijärjestelmän perustaminen</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563C6A1" w14:textId="3C73E426" w:rsidR="000E48CE" w:rsidRDefault="00FF4C4E">
            <w:pPr>
              <w:pStyle w:val="P68B1DB1-Normal13"/>
              <w:spacing w:after="0" w:line="240" w:lineRule="auto"/>
              <w:jc w:val="center"/>
              <w:rPr>
                <w:rStyle w:val="normaltextrun"/>
                <w:rFonts w:cs="Times New Roman"/>
                <w:noProof/>
              </w:rPr>
            </w:pPr>
            <w:r>
              <w:rPr>
                <w:noProof/>
              </w:rPr>
              <w:t>Asiaa koskevien säädösten voimaantulo</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3FC7F7B0" w14:textId="77777777" w:rsidR="000E48CE" w:rsidRDefault="000E48CE">
            <w:pPr>
              <w:spacing w:after="0" w:line="240" w:lineRule="auto"/>
              <w:jc w:val="center"/>
              <w:rPr>
                <w:rStyle w:val="eop"/>
                <w:rFonts w:ascii="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7575F5AC" w14:textId="77777777" w:rsidR="000E48CE" w:rsidRDefault="000E48CE">
            <w:pPr>
              <w:spacing w:after="0" w:line="240" w:lineRule="auto"/>
              <w:jc w:val="center"/>
              <w:rPr>
                <w:rStyle w:val="eop"/>
                <w:rFonts w:ascii="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95EC66A" w14:textId="77777777" w:rsidR="000E48CE" w:rsidRDefault="000E48CE">
            <w:pPr>
              <w:spacing w:after="0" w:line="240" w:lineRule="auto"/>
              <w:jc w:val="center"/>
              <w:rPr>
                <w:rStyle w:val="eop"/>
                <w:rFonts w:ascii="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3EE9EF5" w14:textId="1DC2A2DC" w:rsidR="000E48CE" w:rsidRDefault="00FF4C4E">
            <w:pPr>
              <w:pStyle w:val="P68B1DB1-Normal13"/>
              <w:spacing w:after="0" w:line="240" w:lineRule="auto"/>
              <w:jc w:val="center"/>
              <w:rPr>
                <w:rStyle w:val="normaltextrun"/>
                <w:rFonts w:cs="Times New Roman"/>
                <w:noProof/>
              </w:rPr>
            </w:pPr>
            <w:r>
              <w:rPr>
                <w:noProof/>
              </w:rPr>
              <w:t>KOLMAS VUOSINELJÄNNES</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454FDAA" w14:textId="4EEE9967" w:rsidR="000E48CE" w:rsidRDefault="00FF4C4E">
            <w:pPr>
              <w:pStyle w:val="P68B1DB1-Normal13"/>
              <w:spacing w:after="0" w:line="240" w:lineRule="auto"/>
              <w:jc w:val="center"/>
              <w:rPr>
                <w:rStyle w:val="normaltextrun"/>
                <w:rFonts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4B94225F" w14:textId="1504E8B4" w:rsidR="000E48CE" w:rsidRDefault="00FF4C4E">
            <w:pPr>
              <w:pStyle w:val="P68B1DB1-Normal13"/>
              <w:spacing w:after="0" w:line="240" w:lineRule="auto"/>
              <w:rPr>
                <w:rStyle w:val="normaltextrun"/>
                <w:rFonts w:cs="Times New Roman"/>
                <w:noProof/>
              </w:rPr>
            </w:pPr>
            <w:r>
              <w:rPr>
                <w:noProof/>
              </w:rPr>
              <w:t xml:space="preserve">Tukijärjestelmän </w:t>
            </w:r>
            <w:r>
              <w:rPr>
                <w:noProof/>
              </w:rPr>
              <w:t>perustamista koskevien oikeudellisten välineiden voimaantulo toimenpiteen kuvauksessa täsmennettyjen vaatimusten mukaisesti.</w:t>
            </w:r>
          </w:p>
        </w:tc>
      </w:tr>
      <w:tr w:rsidR="000E48CE" w14:paraId="023D9E7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7A2BA75" w14:textId="2A830409" w:rsidR="000E48CE" w:rsidRDefault="00FF4C4E">
            <w:pPr>
              <w:pStyle w:val="P68B1DB1-Normal13"/>
              <w:spacing w:after="0" w:line="240" w:lineRule="auto"/>
              <w:jc w:val="center"/>
              <w:rPr>
                <w:rFonts w:eastAsia="Times New Roman" w:cs="Times New Roman"/>
                <w:noProof/>
              </w:rPr>
            </w:pPr>
            <w:r>
              <w:rPr>
                <w:noProof/>
              </w:rPr>
              <w:t>448c</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8D8026E" w14:textId="623BE091" w:rsidR="000E48CE" w:rsidRDefault="00FF4C4E">
            <w:pPr>
              <w:pStyle w:val="P68B1DB1-Normal13"/>
              <w:spacing w:after="0" w:line="240" w:lineRule="auto"/>
              <w:jc w:val="center"/>
              <w:rPr>
                <w:rFonts w:eastAsia="Times New Roman" w:cs="Times New Roman"/>
                <w:noProof/>
              </w:rPr>
            </w:pPr>
            <w:r>
              <w:rPr>
                <w:noProof/>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1E20D67" w14:textId="2E230453" w:rsidR="000E48CE" w:rsidRDefault="00FF4C4E">
            <w:pPr>
              <w:pStyle w:val="P68B1DB1-Normal13"/>
              <w:spacing w:after="0" w:line="240" w:lineRule="auto"/>
              <w:jc w:val="center"/>
              <w:rPr>
                <w:rStyle w:val="normaltextrun"/>
                <w:rFonts w:cs="Times New Roman"/>
                <w:noProof/>
              </w:rPr>
            </w:pPr>
            <w:r>
              <w:rPr>
                <w:noProof/>
              </w:rPr>
              <w:t>T</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8290148" w14:textId="5B5E7DB6" w:rsidR="000E48CE" w:rsidRDefault="00FF4C4E">
            <w:pPr>
              <w:pStyle w:val="P68B1DB1-Normal13"/>
              <w:spacing w:after="0" w:line="240" w:lineRule="auto"/>
              <w:rPr>
                <w:rStyle w:val="normaltextrun"/>
                <w:rFonts w:cs="Times New Roman"/>
                <w:noProof/>
              </w:rPr>
            </w:pPr>
            <w:r>
              <w:rPr>
                <w:noProof/>
              </w:rPr>
              <w:t xml:space="preserve">Sähköajoneuvoalan tukiohjelma (avustukset): Lopullisten edunsaajien kanssa allekirjoitetut oikeudelliset sopimukset </w:t>
            </w:r>
            <w:r>
              <w:rPr>
                <w:noProof/>
              </w:rPr>
              <w:t>tai lopulliset myöntämispäätökset julkaistu</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8231155" w14:textId="53099192" w:rsidR="000E48CE" w:rsidRDefault="00FF4C4E">
            <w:pPr>
              <w:spacing w:after="0" w:line="240" w:lineRule="auto"/>
              <w:jc w:val="center"/>
              <w:rPr>
                <w:rStyle w:val="normaltextrun"/>
                <w:rFonts w:ascii="Times New Roman" w:hAnsi="Times New Roman" w:cs="Times New Roman"/>
                <w:noProof/>
                <w:sz w:val="18"/>
              </w:rPr>
            </w:pPr>
            <w:r>
              <w:rPr>
                <w:rStyle w:val="normaltextrun"/>
                <w:rFonts w:ascii="Times New Roman" w:hAnsi="Times New Roman"/>
                <w:noProof/>
                <w:sz w:val="18"/>
              </w:rPr>
              <w:t>Julkaistujen oikeudellisten rahoitussopimusten tai lopullisten myöntämispäätösten voimaantulo</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45CAC1E" w14:textId="43AFC18F" w:rsidR="000E48CE" w:rsidRDefault="000E48CE">
            <w:pPr>
              <w:spacing w:after="0" w:line="240" w:lineRule="auto"/>
              <w:jc w:val="center"/>
              <w:rPr>
                <w:rStyle w:val="eop"/>
                <w:rFonts w:ascii="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243C441" w14:textId="04508D53" w:rsidR="000E48CE" w:rsidRDefault="00FF4C4E">
            <w:pPr>
              <w:pStyle w:val="P68B1DB1-Normal13"/>
              <w:spacing w:after="0" w:line="240" w:lineRule="auto"/>
              <w:jc w:val="center"/>
              <w:rPr>
                <w:rStyle w:val="eop"/>
                <w:rFonts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CCCC4C8" w14:textId="6A85DB45" w:rsidR="000E48CE" w:rsidRDefault="00FF4C4E">
            <w:pPr>
              <w:pStyle w:val="P68B1DB1-Normal13"/>
              <w:spacing w:after="0" w:line="240" w:lineRule="auto"/>
              <w:jc w:val="center"/>
              <w:rPr>
                <w:rStyle w:val="eop"/>
                <w:rFonts w:cs="Times New Roman"/>
                <w:noProof/>
              </w:rPr>
            </w:pPr>
            <w:r>
              <w:rPr>
                <w:noProof/>
              </w:rPr>
              <w:t>100 %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6A61E54" w14:textId="3E9C4978" w:rsidR="000E48CE" w:rsidRDefault="00FF4C4E">
            <w:pPr>
              <w:pStyle w:val="P68B1DB1-Normal13"/>
              <w:spacing w:after="0" w:line="240" w:lineRule="auto"/>
              <w:jc w:val="center"/>
              <w:rPr>
                <w:rStyle w:val="normaltextrun"/>
                <w:rFonts w:cs="Times New Roman"/>
                <w:noProof/>
              </w:rPr>
            </w:pPr>
            <w:r>
              <w:rPr>
                <w:noProof/>
              </w:rPr>
              <w:t>Q2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DE61EC2" w14:textId="0CBB52CB" w:rsidR="000E48CE" w:rsidRDefault="00FF4C4E">
            <w:pPr>
              <w:pStyle w:val="P68B1DB1-Normal13"/>
              <w:spacing w:after="0" w:line="240" w:lineRule="auto"/>
              <w:jc w:val="center"/>
              <w:rPr>
                <w:rStyle w:val="normaltextrun"/>
                <w:rFonts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036D2B0" w14:textId="0A86B2AA" w:rsidR="000E48CE" w:rsidRDefault="00FF4C4E">
            <w:pPr>
              <w:pStyle w:val="P68B1DB1-Normal13"/>
              <w:spacing w:after="0" w:line="240" w:lineRule="auto"/>
              <w:rPr>
                <w:rStyle w:val="normaltextrun"/>
                <w:rFonts w:cs="Times New Roman"/>
                <w:noProof/>
              </w:rPr>
            </w:pPr>
            <w:r>
              <w:rPr>
                <w:noProof/>
              </w:rPr>
              <w:t>ENISA on julkaissut lopulliset myöntämispäätökset tai tehnyt lopullisten edunsaajien kanssa oikeudell</w:t>
            </w:r>
            <w:r>
              <w:rPr>
                <w:noProof/>
              </w:rPr>
              <w:t>isia rahoitussopimuksia määrästä, joka on tarpeen elpymis- ja palautumistukivälineen 100 prosentin investointien (välilliset kustannukset mukaan luettuina) käyttämiseksi järjestelmässä. ENISA on varmistanut, että vähintään 40 prosentilla tästä rahoituksest</w:t>
            </w:r>
            <w:r>
              <w:rPr>
                <w:noProof/>
              </w:rPr>
              <w:t xml:space="preserve">a edistetään ilmastotavoitteiden saavuttamista elpymis- ja palautumistukivälinettä koskevan asetuksen liitteessä VI esitettyä menetelmää käyttäen.  </w:t>
            </w:r>
          </w:p>
        </w:tc>
      </w:tr>
    </w:tbl>
    <w:p w14:paraId="1606A7E5" w14:textId="36D91D00" w:rsidR="000E48CE" w:rsidRDefault="00FF4C4E">
      <w:pPr>
        <w:rPr>
          <w:rFonts w:ascii="Times New Roman" w:hAnsi="Times New Roman" w:cs="Times New Roman"/>
          <w:noProof/>
          <w:sz w:val="24"/>
        </w:rPr>
        <w:sectPr w:rsidR="000E48CE" w:rsidSect="00EB7CC8">
          <w:headerReference w:type="even" r:id="rId252"/>
          <w:headerReference w:type="default" r:id="rId253"/>
          <w:footerReference w:type="even" r:id="rId254"/>
          <w:footerReference w:type="default" r:id="rId255"/>
          <w:headerReference w:type="first" r:id="rId256"/>
          <w:footerReference w:type="first" r:id="rId257"/>
          <w:pgSz w:w="16839" w:h="11907" w:orient="landscape"/>
          <w:pgMar w:top="1417" w:right="1134" w:bottom="1417" w:left="1134" w:header="709" w:footer="709" w:gutter="0"/>
          <w:cols w:space="720"/>
          <w:docGrid w:linePitch="360"/>
        </w:sectPr>
      </w:pPr>
      <w:r>
        <w:rPr>
          <w:noProof/>
        </w:rPr>
        <w:br w:type="page"/>
      </w:r>
    </w:p>
    <w:p w14:paraId="1863B4FD" w14:textId="77777777" w:rsidR="000E48CE" w:rsidRDefault="000E48CE">
      <w:pPr>
        <w:rPr>
          <w:rFonts w:ascii="Times New Roman" w:hAnsi="Times New Roman" w:cs="Times New Roman"/>
          <w:noProof/>
          <w:sz w:val="24"/>
        </w:rPr>
      </w:pPr>
    </w:p>
    <w:p w14:paraId="44231B9C" w14:textId="77777777" w:rsidR="000E48CE" w:rsidRDefault="00FF4C4E">
      <w:pPr>
        <w:pStyle w:val="P68B1DB1-Normal5"/>
        <w:ind w:firstLine="720"/>
        <w:rPr>
          <w:rFonts w:cs="Times New Roman"/>
          <w:noProof/>
        </w:rPr>
      </w:pPr>
      <w:r>
        <w:rPr>
          <w:noProof/>
        </w:rPr>
        <w:t xml:space="preserve">I.3. </w:t>
      </w:r>
      <w:r>
        <w:rPr>
          <w:noProof/>
        </w:rPr>
        <w:tab/>
      </w:r>
      <w:r>
        <w:rPr>
          <w:noProof/>
        </w:rPr>
        <w:t xml:space="preserve">Kuvaus lainatukeen liittyvistä uudistuksista ja investoinneista  </w:t>
      </w:r>
    </w:p>
    <w:p w14:paraId="11E71760" w14:textId="4032C121" w:rsidR="000E48CE" w:rsidRDefault="00FF4C4E">
      <w:pPr>
        <w:spacing w:before="120" w:after="120" w:line="240" w:lineRule="auto"/>
        <w:jc w:val="both"/>
        <w:rPr>
          <w:rStyle w:val="normaltextrun"/>
          <w:rFonts w:ascii="Times New Roman" w:hAnsi="Times New Roman" w:cs="Times New Roman"/>
          <w:noProof/>
          <w:sz w:val="24"/>
          <w:u w:val="single"/>
        </w:rPr>
      </w:pPr>
      <w:r>
        <w:rPr>
          <w:rStyle w:val="normaltextrun"/>
          <w:rFonts w:ascii="Times New Roman" w:hAnsi="Times New Roman"/>
          <w:noProof/>
          <w:sz w:val="24"/>
          <w:u w:val="single"/>
        </w:rPr>
        <w:t xml:space="preserve">Investointi 6 (C12.I7) – Sähköautojen ja maatalouselintarvikkeiden arvoketjun strategisten hankkeiden tukijärjestelmä (lainat)  </w:t>
      </w:r>
    </w:p>
    <w:p w14:paraId="2D7B7ECE" w14:textId="617414B4" w:rsidR="000E48CE" w:rsidRDefault="00FF4C4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Tämä toimenpide koostuu julkisesta investoinnista </w:t>
      </w:r>
      <w:r>
        <w:rPr>
          <w:rStyle w:val="normaltextrun"/>
          <w:rFonts w:ascii="Times New Roman" w:hAnsi="Times New Roman"/>
          <w:noProof/>
          <w:sz w:val="24"/>
        </w:rPr>
        <w:t>tukijärjestelmään, jolla kannustetaan yksityisiin investointeihin sähköautojen ja maatalouselintarvikkeiden arvoketjussa lainojen avulla. Ohjelmalla edistetään strategisten alojen, kuten auto- ja sähköajoneuvojen sekä maatalouselintarvikealan, muutosta myö</w:t>
      </w:r>
      <w:r>
        <w:rPr>
          <w:rStyle w:val="normaltextrun"/>
          <w:rFonts w:ascii="Times New Roman" w:hAnsi="Times New Roman"/>
          <w:noProof/>
          <w:sz w:val="24"/>
        </w:rPr>
        <w:t xml:space="preserve">ntämällä lainoja yksityiselle sektorille ministerineuvoston hyväksymien strategisten hankkeiden tai PERTE-hankkeiden puitteissa. Elpymis- ja palautumistukivälineen investointien perusteella järjestelmän tarkoituksena on aluksi tarjota rahoitusta vähintään </w:t>
      </w:r>
      <w:r>
        <w:rPr>
          <w:rStyle w:val="normaltextrun"/>
          <w:rFonts w:ascii="Times New Roman" w:hAnsi="Times New Roman"/>
          <w:noProof/>
          <w:sz w:val="24"/>
        </w:rPr>
        <w:t>1200000000 euroa.</w:t>
      </w:r>
    </w:p>
    <w:p w14:paraId="75BC80EB" w14:textId="61EBECE1" w:rsidR="000E48CE" w:rsidRDefault="00FF4C4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Järjestelmää hallinnoi toteutuskumppanina toimiva ENISA. Asiaankuuluvalla säädöksellä ENISA muutetaan julkiseksi yritykseksi tämän investoinnin toteuttamiseksi (tämä on Espanjan elpymis- ja palautumissuunnitelman osa-alueen 31 investoinni</w:t>
      </w:r>
      <w:r>
        <w:rPr>
          <w:rStyle w:val="normaltextrun"/>
          <w:rFonts w:ascii="Times New Roman" w:hAnsi="Times New Roman"/>
          <w:noProof/>
          <w:sz w:val="24"/>
        </w:rPr>
        <w:t>n 6 virstanpylväs).</w:t>
      </w:r>
    </w:p>
    <w:p w14:paraId="5BAAC0A3" w14:textId="2CAC0404" w:rsidR="000E48CE" w:rsidRDefault="00FF4C4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Ohjelmaan tehtävän investoinnin toteuttamiseksi hallitus hyväksyy yhden tai useamman lainajärjestelmän perustamista koskevan oikeudellisen välineen, joka sisältää seuraavat osat:  </w:t>
      </w:r>
    </w:p>
    <w:p w14:paraId="40AD246D" w14:textId="080791A1" w:rsidR="000E48CE" w:rsidRDefault="00FF4C4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Kuvaus järjestelmän päätöksentekoprosessista: Hakemuste</w:t>
      </w:r>
      <w:r>
        <w:rPr>
          <w:rStyle w:val="normaltextrun"/>
          <w:rFonts w:ascii="Times New Roman" w:hAnsi="Times New Roman"/>
          <w:noProof/>
          <w:sz w:val="24"/>
        </w:rPr>
        <w:t>n arvioinnin ja edunsaajien valinnan, jotka sisällytetään ohjelman mukaisiin lopullisiin myöntämispäätöksiin tai investointipäätöksiin, tekee investointikomitea tai muu vastaava hallintoelin, ja ne hyväksytään äänten enemmistöllä Espanjan hallituksesta rii</w:t>
      </w:r>
      <w:r>
        <w:rPr>
          <w:rStyle w:val="normaltextrun"/>
          <w:rFonts w:ascii="Times New Roman" w:hAnsi="Times New Roman"/>
          <w:noProof/>
          <w:sz w:val="24"/>
        </w:rPr>
        <w:t>ppumattomilta jäseniltä, mikä tarkoittaa, että heidän on oltava joko ENISAn palveluksessa olevaa henkilöstöä ja/tai muita riippumattomia asiantuntijoita. Järjestelmän lopullinen investointipäätös on rajoitettava investointikomitean tai vastaavan hallintoel</w:t>
      </w:r>
      <w:r>
        <w:rPr>
          <w:rStyle w:val="normaltextrun"/>
          <w:rFonts w:ascii="Times New Roman" w:hAnsi="Times New Roman"/>
          <w:noProof/>
          <w:sz w:val="24"/>
        </w:rPr>
        <w:t>imen ehdottaman investointipäätöksen hyväksymiseen (muutoksitta) tai veto-oikeuden käyttämiseen.</w:t>
      </w:r>
    </w:p>
    <w:p w14:paraId="4D5B4310" w14:textId="7026476A" w:rsidR="000E48CE" w:rsidRDefault="00FF4C4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Luettelo alan vihreään ja digitaaliseen muutokseen liittyvistä toimista, jotka ovat tukikelpoisia ja joiden määrä on vähintään 1200000000 euroa. Toimenpiteellä</w:t>
      </w:r>
      <w:r>
        <w:rPr>
          <w:rStyle w:val="normaltextrun"/>
          <w:rFonts w:ascii="Times New Roman" w:hAnsi="Times New Roman"/>
          <w:noProof/>
          <w:sz w:val="24"/>
        </w:rPr>
        <w:t xml:space="preserve"> tuetaan innovatiivisia hankkeita, joihin liittyy merkittävä teollisuuden muutos energiatehokkuuden, kestävyyden ja digitalisaation osalta.</w:t>
      </w:r>
    </w:p>
    <w:p w14:paraId="4C761E5C" w14:textId="58DF97DE" w:rsidR="000E48CE" w:rsidRDefault="00FF4C4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Vaatimus noudattaa elpymis- ja palautumistukivälineen ”ei merkittävää haittaa” -periaatetta, sellaisena kuin se on e</w:t>
      </w:r>
      <w:r>
        <w:rPr>
          <w:rStyle w:val="normaltextrun"/>
          <w:rFonts w:ascii="Times New Roman" w:hAnsi="Times New Roman"/>
          <w:noProof/>
          <w:sz w:val="24"/>
        </w:rPr>
        <w:t>sitetty ”ei merkittävää haittaa” -periaatetta koskevissa teknisissä ohjeissa (2021/C58/01): (I) fossiilisiin polttoaineisiin liittyvät toiminnot ja omaisuuserät, mukaan lukien jatkokäyttö</w:t>
      </w:r>
      <w:r>
        <w:rPr>
          <w:rStyle w:val="FootnoteReference"/>
          <w:rFonts w:ascii="Times New Roman" w:hAnsi="Times New Roman" w:cs="Times New Roman"/>
          <w:noProof/>
          <w:sz w:val="24"/>
        </w:rPr>
        <w:footnoteReference w:id="61"/>
      </w:r>
      <w:r>
        <w:rPr>
          <w:rFonts w:ascii="Times New Roman" w:hAnsi="Times New Roman"/>
          <w:noProof/>
          <w:sz w:val="24"/>
        </w:rPr>
        <w:t>, ii) EU:n päästökauppajärjestelmään kuuluvat toiminnot ja omaisuuse</w:t>
      </w:r>
      <w:r>
        <w:rPr>
          <w:rFonts w:ascii="Times New Roman" w:hAnsi="Times New Roman"/>
          <w:noProof/>
          <w:sz w:val="24"/>
        </w:rPr>
        <w:t>rät, joilla saavutetaan ennustetut kasvihuonekaasupäästöt, jotka eivät alita asiaankuuluvia vertailuarvoja</w:t>
      </w:r>
      <w:r>
        <w:rPr>
          <w:rStyle w:val="FootnoteReference"/>
          <w:rFonts w:ascii="Times New Roman" w:hAnsi="Times New Roman" w:cs="Times New Roman"/>
          <w:noProof/>
          <w:sz w:val="24"/>
        </w:rPr>
        <w:footnoteReference w:id="62"/>
      </w:r>
      <w:r>
        <w:rPr>
          <w:rFonts w:ascii="Times New Roman" w:hAnsi="Times New Roman"/>
          <w:noProof/>
          <w:sz w:val="24"/>
        </w:rPr>
        <w:t>, iii) kaatopaikkoihin, polttolaitoksiin ja mekaanisiin biologisiin käsittelylaitoksiin liittyvät toiminnot</w:t>
      </w:r>
      <w:r>
        <w:rPr>
          <w:rStyle w:val="FootnoteReference"/>
          <w:rFonts w:ascii="Times New Roman" w:hAnsi="Times New Roman" w:cs="Times New Roman"/>
          <w:noProof/>
          <w:sz w:val="24"/>
        </w:rPr>
        <w:footnoteReference w:id="63"/>
      </w:r>
      <w:r>
        <w:rPr>
          <w:rFonts w:ascii="Times New Roman" w:hAnsi="Times New Roman"/>
          <w:noProof/>
          <w:sz w:val="24"/>
        </w:rPr>
        <w:t xml:space="preserve"> ja omaisuus</w:t>
      </w:r>
      <w:r>
        <w:rPr>
          <w:rStyle w:val="FootnoteReference"/>
          <w:rFonts w:ascii="Times New Roman" w:hAnsi="Times New Roman" w:cs="Times New Roman"/>
          <w:noProof/>
          <w:sz w:val="24"/>
        </w:rPr>
        <w:footnoteReference w:id="64"/>
      </w:r>
      <w:r>
        <w:rPr>
          <w:rFonts w:ascii="Times New Roman" w:hAnsi="Times New Roman"/>
          <w:noProof/>
          <w:sz w:val="24"/>
        </w:rPr>
        <w:t>. Lisäksi oikeudellisissa vä</w:t>
      </w:r>
      <w:r>
        <w:rPr>
          <w:rFonts w:ascii="Times New Roman" w:hAnsi="Times New Roman"/>
          <w:noProof/>
          <w:sz w:val="24"/>
        </w:rPr>
        <w:t>lineissä on edellytettävä lainajärjestelmien lopullisten edunsaajien asiaankuuluvan EU:n ja kansallisen ympäristölainsäädännön noudattamista. Seuraavien tämän investoinnin mukaisten T &amp; K &amp; I-toimien katsotaan olevan ”ei merkittävää haittaa” -periaatteen m</w:t>
      </w:r>
      <w:r>
        <w:rPr>
          <w:rFonts w:ascii="Times New Roman" w:hAnsi="Times New Roman"/>
          <w:noProof/>
          <w:sz w:val="24"/>
        </w:rPr>
        <w:t>ukaisia (2021/C58/01): Tämän investoinnin mukaiset T &amp; K &amp; I-toimet, joilla pyritään lisäämään merkittävästi yritysten ympäristökestävyyttä (kuten hiilestä irtautuminen, saastumisen vähentäminen ja kiertotalous), jos tämän investoinnin T &amp; K &amp; I-toimissa k</w:t>
      </w:r>
      <w:r>
        <w:rPr>
          <w:rFonts w:ascii="Times New Roman" w:hAnsi="Times New Roman"/>
          <w:noProof/>
          <w:sz w:val="24"/>
        </w:rPr>
        <w:t xml:space="preserve">eskitytään ensisijaisesti sellaisten vaihtoehtojen kehittämiseen tai mukauttamiseen, joilla on mahdollisimman vähän ympäristövaikutuksia alalla. </w:t>
      </w:r>
    </w:p>
    <w:p w14:paraId="6A777BC6" w14:textId="28F287E0" w:rsidR="000E48CE" w:rsidRDefault="00FF4C4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Fonts w:ascii="Times New Roman" w:hAnsi="Times New Roman"/>
          <w:noProof/>
          <w:sz w:val="24"/>
        </w:rPr>
        <w:t>ENISAn tekemiä ilmastoinvestointeja</w:t>
      </w:r>
      <w:r>
        <w:rPr>
          <w:rStyle w:val="normaltextrun"/>
          <w:rFonts w:ascii="Times New Roman" w:hAnsi="Times New Roman"/>
          <w:noProof/>
          <w:sz w:val="24"/>
        </w:rPr>
        <w:t>koskevat vaatimukset: vähintään 480000000 euron elpymis- ja palautumistukiv</w:t>
      </w:r>
      <w:r>
        <w:rPr>
          <w:rStyle w:val="normaltextrun"/>
          <w:rFonts w:ascii="Times New Roman" w:hAnsi="Times New Roman"/>
          <w:noProof/>
          <w:sz w:val="24"/>
        </w:rPr>
        <w:t>älineen investoinneista järjestelmään on edistettävä ilmastonmuutosta koskevien tavoitteiden saavuttamista elpymis- ja palautumistukivälinettä koskevan asetuksen liitteen VI mukaisesti.</w:t>
      </w:r>
      <w:r>
        <w:rPr>
          <w:rStyle w:val="FootnoteReference"/>
          <w:rFonts w:ascii="Times New Roman" w:hAnsi="Times New Roman" w:cs="Times New Roman"/>
          <w:noProof/>
          <w:sz w:val="24"/>
        </w:rPr>
        <w:footnoteReference w:id="65"/>
      </w:r>
    </w:p>
    <w:p w14:paraId="04D4384B" w14:textId="0238DFEC" w:rsidR="000E48CE" w:rsidRDefault="00FF4C4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Vaatimus, jonka mukaan lainajärjestelmän lopulliset edunsaajat eivät </w:t>
      </w:r>
      <w:r>
        <w:rPr>
          <w:rStyle w:val="normaltextrun"/>
          <w:rFonts w:ascii="Times New Roman" w:hAnsi="Times New Roman"/>
          <w:noProof/>
          <w:sz w:val="24"/>
        </w:rPr>
        <w:t>saa tukea muista unionin välineistä samojen kustannusten kattamiseksi.</w:t>
      </w:r>
    </w:p>
    <w:p w14:paraId="5C805529" w14:textId="4B42B69B" w:rsidR="000E48CE" w:rsidRDefault="00FF4C4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Järjestelmän kattama määrä ja vaatimus sijoittaa lainajärjestelmästä käyttämättä jääneet tulot uudelleen edellä lueteltuihin toimintoihin, myös vuoden 2026 jälkeen.</w:t>
      </w:r>
    </w:p>
    <w:p w14:paraId="58DF67AB" w14:textId="77777777" w:rsidR="000E48CE" w:rsidRDefault="00FF4C4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Investoinnin toteutt</w:t>
      </w:r>
      <w:r>
        <w:rPr>
          <w:rStyle w:val="normaltextrun"/>
          <w:rFonts w:ascii="Times New Roman" w:hAnsi="Times New Roman"/>
          <w:noProof/>
          <w:sz w:val="24"/>
        </w:rPr>
        <w:t>aminen on saatettava päätökseen viimeistään 31 päivänä elokuuta 2026.</w:t>
      </w:r>
    </w:p>
    <w:p w14:paraId="6117EFB0" w14:textId="77777777" w:rsidR="000E48CE" w:rsidRDefault="00FF4C4E">
      <w:pPr>
        <w:pStyle w:val="P68B1DB1-Normal15"/>
        <w:spacing w:before="120" w:after="120" w:line="240" w:lineRule="auto"/>
        <w:ind w:left="720"/>
        <w:jc w:val="both"/>
        <w:rPr>
          <w:rFonts w:cs="Times New Roman"/>
          <w:b/>
          <w:noProof/>
          <w:sz w:val="24"/>
        </w:rPr>
      </w:pPr>
      <w:r>
        <w:rPr>
          <w:b/>
          <w:noProof/>
          <w:sz w:val="24"/>
        </w:rPr>
        <w:t xml:space="preserve">L.4 </w:t>
      </w:r>
      <w:r>
        <w:rPr>
          <w:noProof/>
        </w:rPr>
        <w:tab/>
      </w:r>
      <w:r>
        <w:rPr>
          <w:b/>
          <w:noProof/>
          <w:sz w:val="24"/>
        </w:rPr>
        <w:t>Lainatuen seurannan ja täytäntöönpanon välitavoitteet, tavoitteet, indikaattorit ja aikataulu</w:t>
      </w:r>
    </w:p>
    <w:p w14:paraId="6E53268D" w14:textId="77777777" w:rsidR="000E48CE" w:rsidRDefault="00FF4C4E">
      <w:pPr>
        <w:pStyle w:val="P68B1DB1-Normal8"/>
        <w:rPr>
          <w:rFonts w:cs="Times New Roman"/>
          <w:noProof/>
        </w:rPr>
      </w:pPr>
      <w:r>
        <w:rPr>
          <w:i/>
          <w:noProof/>
          <w:sz w:val="24"/>
        </w:rPr>
        <w:t>Ks. taulukko jäljempänä.</w:t>
      </w:r>
      <w:r>
        <w:rPr>
          <w:noProof/>
          <w:sz w:val="24"/>
        </w:rPr>
        <w:t xml:space="preserve"> </w:t>
      </w:r>
      <w:r>
        <w:rPr>
          <w:i/>
          <w:noProof/>
          <w:sz w:val="24"/>
        </w:rPr>
        <w:t>Kaikkien indikaattoreiden perustaso on 1. helmikuuta 2020, ell</w:t>
      </w:r>
      <w:r>
        <w:rPr>
          <w:i/>
          <w:noProof/>
          <w:sz w:val="24"/>
        </w:rPr>
        <w:t>ei toimen kuvauksessa toisin ilmoiteta. Taulukossa esitetyt määrät eivät sisällä arvonlisäveroa.</w:t>
      </w:r>
      <w:r>
        <w:rPr>
          <w:noProof/>
        </w:rPr>
        <w:br w:type="page"/>
      </w:r>
    </w:p>
    <w:p w14:paraId="06FAD37B" w14:textId="77777777" w:rsidR="000E48CE" w:rsidRDefault="000E48CE">
      <w:pPr>
        <w:spacing w:before="120" w:after="120" w:line="240" w:lineRule="auto"/>
        <w:jc w:val="both"/>
        <w:rPr>
          <w:rFonts w:ascii="Times New Roman" w:hAnsi="Times New Roman" w:cs="Times New Roman"/>
          <w:b/>
          <w:noProof/>
          <w:sz w:val="24"/>
          <w:u w:val="single"/>
        </w:rPr>
        <w:sectPr w:rsidR="000E48CE" w:rsidSect="00EB7CC8">
          <w:headerReference w:type="even" r:id="rId258"/>
          <w:headerReference w:type="default" r:id="rId259"/>
          <w:footerReference w:type="even" r:id="rId260"/>
          <w:footerReference w:type="default" r:id="rId261"/>
          <w:headerReference w:type="first" r:id="rId262"/>
          <w:footerReference w:type="first" r:id="rId263"/>
          <w:pgSz w:w="11907" w:h="16839"/>
          <w:pgMar w:top="1134" w:right="1417" w:bottom="1134" w:left="1418" w:header="709" w:footer="709" w:gutter="0"/>
          <w:cols w:space="720"/>
          <w:docGrid w:linePitch="360"/>
        </w:sectPr>
      </w:pPr>
    </w:p>
    <w:p w14:paraId="5F8FCAA8" w14:textId="77777777" w:rsidR="000E48CE" w:rsidRDefault="000E48CE">
      <w:pPr>
        <w:spacing w:before="120" w:after="120" w:line="240" w:lineRule="auto"/>
        <w:jc w:val="both"/>
        <w:rPr>
          <w:rFonts w:ascii="Times New Roman" w:hAnsi="Times New Roman" w:cs="Times New Roman"/>
          <w:i/>
          <w:noProof/>
          <w:sz w:val="24"/>
        </w:r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5"/>
        <w:gridCol w:w="850"/>
        <w:gridCol w:w="849"/>
        <w:gridCol w:w="1275"/>
        <w:gridCol w:w="1133"/>
        <w:gridCol w:w="709"/>
        <w:gridCol w:w="567"/>
        <w:gridCol w:w="572"/>
        <w:gridCol w:w="425"/>
        <w:gridCol w:w="567"/>
        <w:gridCol w:w="7649"/>
      </w:tblGrid>
      <w:tr w:rsidR="000E48CE" w14:paraId="59E9ABC6" w14:textId="77777777">
        <w:trPr>
          <w:trHeight w:val="309"/>
          <w:tblHeader/>
        </w:trPr>
        <w:tc>
          <w:tcPr>
            <w:tcW w:w="85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A5E78FB" w14:textId="77777777" w:rsidR="000E48CE" w:rsidRDefault="00FF4C4E">
            <w:pPr>
              <w:pStyle w:val="P68B1DB1-Normal12"/>
              <w:spacing w:after="0" w:line="240" w:lineRule="auto"/>
              <w:jc w:val="both"/>
              <w:rPr>
                <w:rFonts w:cs="Times New Roman"/>
                <w:noProof/>
              </w:rPr>
            </w:pPr>
            <w:r>
              <w:rPr>
                <w:noProof/>
              </w:rPr>
              <w:t>Määrä</w:t>
            </w:r>
          </w:p>
        </w:tc>
        <w:tc>
          <w:tcPr>
            <w:tcW w:w="85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55408E2" w14:textId="77777777" w:rsidR="000E48CE" w:rsidRDefault="00FF4C4E">
            <w:pPr>
              <w:pStyle w:val="P68B1DB1-Normal12"/>
              <w:spacing w:after="0" w:line="240" w:lineRule="auto"/>
              <w:jc w:val="center"/>
              <w:rPr>
                <w:rFonts w:cs="Times New Roman"/>
                <w:noProof/>
              </w:rPr>
            </w:pPr>
            <w:r>
              <w:rPr>
                <w:noProof/>
              </w:rPr>
              <w:t>Toimenpide</w:t>
            </w:r>
          </w:p>
        </w:tc>
        <w:tc>
          <w:tcPr>
            <w:tcW w:w="8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3E57576"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127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4D7DB8E" w14:textId="77777777" w:rsidR="000E48CE" w:rsidRDefault="00FF4C4E">
            <w:pPr>
              <w:pStyle w:val="P68B1DB1-Normal12"/>
              <w:spacing w:after="0" w:line="240" w:lineRule="auto"/>
              <w:jc w:val="center"/>
              <w:rPr>
                <w:rFonts w:cs="Times New Roman"/>
                <w:noProof/>
              </w:rPr>
            </w:pPr>
            <w:r>
              <w:rPr>
                <w:noProof/>
              </w:rPr>
              <w:t>Nimi</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0E8617" w14:textId="77777777" w:rsidR="000E48CE" w:rsidRDefault="000E48CE">
            <w:pPr>
              <w:spacing w:after="0" w:line="240" w:lineRule="auto"/>
              <w:jc w:val="center"/>
              <w:rPr>
                <w:rFonts w:ascii="Times New Roman" w:hAnsi="Times New Roman" w:cs="Times New Roman"/>
                <w:noProof/>
                <w:sz w:val="18"/>
              </w:rPr>
            </w:pPr>
          </w:p>
        </w:tc>
        <w:tc>
          <w:tcPr>
            <w:tcW w:w="184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3B0057"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288D73C" w14:textId="77777777" w:rsidR="000E48CE" w:rsidRDefault="00FF4C4E">
            <w:pPr>
              <w:pStyle w:val="P68B1DB1-Normal12"/>
              <w:spacing w:after="0" w:line="240" w:lineRule="auto"/>
              <w:jc w:val="center"/>
              <w:rPr>
                <w:rFonts w:cs="Times New Roman"/>
                <w:noProof/>
              </w:rPr>
            </w:pPr>
            <w:r>
              <w:rPr>
                <w:noProof/>
              </w:rPr>
              <w:t>Aika</w:t>
            </w:r>
          </w:p>
        </w:tc>
        <w:tc>
          <w:tcPr>
            <w:tcW w:w="76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6B5D32B" w14:textId="77777777" w:rsidR="000E48CE" w:rsidRDefault="000E48CE">
            <w:pPr>
              <w:spacing w:after="0" w:line="240" w:lineRule="auto"/>
              <w:jc w:val="center"/>
              <w:rPr>
                <w:rFonts w:ascii="Times New Roman" w:hAnsi="Times New Roman" w:cs="Times New Roman"/>
                <w:noProof/>
                <w:sz w:val="18"/>
              </w:rPr>
            </w:pPr>
          </w:p>
          <w:p w14:paraId="2872DF35" w14:textId="77777777" w:rsidR="000E48CE" w:rsidRDefault="00FF4C4E">
            <w:pPr>
              <w:pStyle w:val="P68B1DB1-Normal12"/>
              <w:spacing w:after="0" w:line="240" w:lineRule="auto"/>
              <w:jc w:val="center"/>
              <w:rPr>
                <w:rFonts w:cs="Times New Roman"/>
                <w:noProof/>
              </w:rPr>
            </w:pPr>
            <w:r>
              <w:rPr>
                <w:noProof/>
              </w:rPr>
              <w:t xml:space="preserve">Kunkin </w:t>
            </w:r>
            <w:r>
              <w:rPr>
                <w:noProof/>
              </w:rPr>
              <w:t>välitavoitteen ja tavoitteen kuvaus</w:t>
            </w:r>
          </w:p>
        </w:tc>
      </w:tr>
      <w:tr w:rsidR="000E48CE" w14:paraId="11B8C6DE" w14:textId="77777777">
        <w:trPr>
          <w:trHeight w:val="309"/>
          <w:tblHeader/>
        </w:trPr>
        <w:tc>
          <w:tcPr>
            <w:tcW w:w="855" w:type="dxa"/>
            <w:vMerge/>
            <w:noWrap/>
          </w:tcPr>
          <w:p w14:paraId="746FBB9E" w14:textId="77777777" w:rsidR="000E48CE" w:rsidRDefault="000E48CE">
            <w:pPr>
              <w:spacing w:after="0" w:line="240" w:lineRule="auto"/>
              <w:jc w:val="center"/>
              <w:rPr>
                <w:rFonts w:ascii="Times New Roman" w:hAnsi="Times New Roman" w:cs="Times New Roman"/>
                <w:noProof/>
                <w:sz w:val="18"/>
              </w:rPr>
            </w:pPr>
          </w:p>
        </w:tc>
        <w:tc>
          <w:tcPr>
            <w:tcW w:w="850" w:type="dxa"/>
            <w:vMerge/>
            <w:noWrap/>
          </w:tcPr>
          <w:p w14:paraId="7D7DA3CA" w14:textId="77777777" w:rsidR="000E48CE" w:rsidRDefault="000E48CE">
            <w:pPr>
              <w:spacing w:after="0" w:line="240" w:lineRule="auto"/>
              <w:jc w:val="center"/>
              <w:rPr>
                <w:rFonts w:ascii="Times New Roman" w:hAnsi="Times New Roman" w:cs="Times New Roman"/>
                <w:noProof/>
                <w:sz w:val="18"/>
              </w:rPr>
            </w:pPr>
          </w:p>
        </w:tc>
        <w:tc>
          <w:tcPr>
            <w:tcW w:w="849" w:type="dxa"/>
            <w:vMerge/>
            <w:noWrap/>
          </w:tcPr>
          <w:p w14:paraId="58018547" w14:textId="77777777" w:rsidR="000E48CE" w:rsidRDefault="000E48CE">
            <w:pPr>
              <w:spacing w:after="0" w:line="240" w:lineRule="auto"/>
              <w:jc w:val="center"/>
              <w:rPr>
                <w:rFonts w:ascii="Times New Roman" w:hAnsi="Times New Roman" w:cs="Times New Roman"/>
                <w:noProof/>
                <w:sz w:val="18"/>
              </w:rPr>
            </w:pPr>
          </w:p>
        </w:tc>
        <w:tc>
          <w:tcPr>
            <w:tcW w:w="1275" w:type="dxa"/>
            <w:vMerge/>
            <w:noWrap/>
          </w:tcPr>
          <w:p w14:paraId="4D62C93D" w14:textId="77777777" w:rsidR="000E48CE" w:rsidRDefault="000E48CE">
            <w:pPr>
              <w:spacing w:after="0" w:line="240" w:lineRule="auto"/>
              <w:jc w:val="center"/>
              <w:rPr>
                <w:rFonts w:ascii="Times New Roman" w:hAnsi="Times New Roman" w:cs="Times New Roman"/>
                <w:noProof/>
                <w:sz w:val="18"/>
              </w:rPr>
            </w:pP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EF7D5"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069BF1" w14:textId="77777777" w:rsidR="000E48CE" w:rsidRDefault="00FF4C4E">
            <w:pPr>
              <w:pStyle w:val="P68B1DB1-Normal12"/>
              <w:spacing w:after="0" w:line="240" w:lineRule="auto"/>
              <w:jc w:val="center"/>
              <w:rPr>
                <w:rFonts w:cs="Times New Roman"/>
                <w:noProof/>
              </w:rPr>
            </w:pPr>
            <w:r>
              <w:rPr>
                <w:noProof/>
              </w:rPr>
              <w:t>Yksikkö</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499462B" w14:textId="77777777" w:rsidR="000E48CE" w:rsidRDefault="00FF4C4E">
            <w:pPr>
              <w:pStyle w:val="P68B1DB1-Normal12"/>
              <w:spacing w:after="0" w:line="240" w:lineRule="auto"/>
              <w:jc w:val="center"/>
              <w:rPr>
                <w:rFonts w:cs="Times New Roman"/>
                <w:noProof/>
              </w:rPr>
            </w:pPr>
            <w:r>
              <w:rPr>
                <w:noProof/>
              </w:rPr>
              <w:t>Perusviiva</w:t>
            </w:r>
          </w:p>
        </w:tc>
        <w:tc>
          <w:tcPr>
            <w:tcW w:w="5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7259C64" w14:textId="77777777" w:rsidR="000E48CE" w:rsidRDefault="00FF4C4E">
            <w:pPr>
              <w:pStyle w:val="P68B1DB1-Normal12"/>
              <w:spacing w:after="0" w:line="240" w:lineRule="auto"/>
              <w:jc w:val="center"/>
              <w:rPr>
                <w:rFonts w:cs="Times New Roman"/>
                <w:noProof/>
              </w:rPr>
            </w:pPr>
            <w:r>
              <w:rPr>
                <w:noProof/>
              </w:rPr>
              <w:t>Päämäärä</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ED67B8" w14:textId="77777777" w:rsidR="000E48CE" w:rsidRDefault="00FF4C4E">
            <w:pPr>
              <w:pStyle w:val="P68B1DB1-Normal12"/>
              <w:spacing w:after="0" w:line="240" w:lineRule="auto"/>
              <w:jc w:val="center"/>
              <w:rPr>
                <w:rFonts w:cs="Times New Roman"/>
                <w:noProof/>
              </w:rPr>
            </w:pPr>
            <w:r>
              <w:rPr>
                <w:noProof/>
              </w:rPr>
              <w:t>Q</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B0CAF2" w14:textId="77777777" w:rsidR="000E48CE" w:rsidRDefault="00FF4C4E">
            <w:pPr>
              <w:pStyle w:val="P68B1DB1-Normal12"/>
              <w:spacing w:after="0" w:line="240" w:lineRule="auto"/>
              <w:jc w:val="center"/>
              <w:rPr>
                <w:rFonts w:cs="Times New Roman"/>
                <w:noProof/>
              </w:rPr>
            </w:pPr>
            <w:r>
              <w:rPr>
                <w:noProof/>
              </w:rPr>
              <w:t>Vuosi</w:t>
            </w:r>
          </w:p>
        </w:tc>
        <w:tc>
          <w:tcPr>
            <w:tcW w:w="7649" w:type="dxa"/>
            <w:vMerge/>
            <w:noWrap/>
          </w:tcPr>
          <w:p w14:paraId="57667C3B" w14:textId="77777777" w:rsidR="000E48CE" w:rsidRDefault="000E48CE">
            <w:pPr>
              <w:spacing w:after="0" w:line="240" w:lineRule="auto"/>
              <w:jc w:val="center"/>
              <w:rPr>
                <w:rFonts w:ascii="Times New Roman" w:hAnsi="Times New Roman" w:cs="Times New Roman"/>
                <w:noProof/>
                <w:sz w:val="18"/>
              </w:rPr>
            </w:pPr>
          </w:p>
        </w:tc>
      </w:tr>
      <w:tr w:rsidR="000E48CE" w14:paraId="7244BAFA"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499C7A10" w14:textId="4ABABD5B" w:rsidR="000E48CE" w:rsidRDefault="00FF4C4E">
            <w:pPr>
              <w:pStyle w:val="P68B1DB1-Normal13"/>
              <w:spacing w:line="240" w:lineRule="auto"/>
              <w:jc w:val="center"/>
              <w:rPr>
                <w:rFonts w:cs="Times New Roman"/>
                <w:noProof/>
              </w:rPr>
            </w:pPr>
            <w:r>
              <w:rPr>
                <w:noProof/>
              </w:rPr>
              <w:t>L22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303A5BC" w14:textId="60AABD70" w:rsidR="000E48CE" w:rsidRDefault="00FF4C4E">
            <w:pPr>
              <w:pStyle w:val="P68B1DB1-Normal13"/>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0DF9E2AF" w14:textId="11324D7A" w:rsidR="000E48CE" w:rsidRDefault="00FF4C4E">
            <w:pPr>
              <w:pStyle w:val="P68B1DB1-Normal13"/>
              <w:spacing w:line="240" w:lineRule="auto"/>
              <w:jc w:val="center"/>
              <w:rPr>
                <w:rFonts w:cs="Times New Roman"/>
                <w:noProof/>
              </w:rPr>
            </w:pPr>
            <w:r>
              <w:rPr>
                <w:noProof/>
              </w:rPr>
              <w:t>M</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67A0EB1" w14:textId="51D3085A" w:rsidR="000E48CE" w:rsidRDefault="00FF4C4E">
            <w:pPr>
              <w:pStyle w:val="P68B1DB1-Normal13"/>
              <w:spacing w:line="240" w:lineRule="auto"/>
              <w:rPr>
                <w:rFonts w:cs="Times New Roman"/>
                <w:noProof/>
              </w:rPr>
            </w:pPr>
            <w:r>
              <w:rPr>
                <w:noProof/>
              </w:rPr>
              <w:t xml:space="preserve">Tukijärjestelmä sähköautojen ja maatalouselintarvikkeiden arvoketjun strategisille hankkeille (lainat): Ministeriö on </w:t>
            </w:r>
            <w:r>
              <w:rPr>
                <w:noProof/>
              </w:rPr>
              <w:t>saattanut investoinnin päätökseen</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53928234" w14:textId="27F44607" w:rsidR="000E48CE" w:rsidRDefault="00FF4C4E">
            <w:pPr>
              <w:pStyle w:val="P68B1DB1-Normal13"/>
              <w:spacing w:line="240" w:lineRule="auto"/>
              <w:jc w:val="center"/>
              <w:rPr>
                <w:rFonts w:cs="Times New Roman"/>
                <w:noProof/>
              </w:rPr>
            </w:pPr>
            <w:r>
              <w:rPr>
                <w:noProof/>
              </w:rPr>
              <w:t>Todistus maksujen suorittamisesta ENISAlle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699DFEE" w14:textId="77777777" w:rsidR="000E48CE" w:rsidRDefault="000E48CE">
            <w:pPr>
              <w:spacing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8307B89" w14:textId="77777777" w:rsidR="000E48CE" w:rsidRDefault="000E48CE">
            <w:pPr>
              <w:spacing w:line="240" w:lineRule="auto"/>
              <w:jc w:val="right"/>
              <w:rPr>
                <w:rFonts w:ascii="Times New Roman" w:hAnsi="Times New Roman" w:cs="Times New Roman"/>
                <w:noProof/>
                <w:sz w:val="18"/>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07001AF4" w14:textId="77777777" w:rsidR="000E48CE" w:rsidRDefault="000E48CE">
            <w:pPr>
              <w:spacing w:line="240" w:lineRule="auto"/>
              <w:jc w:val="right"/>
              <w:rPr>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2A16B080" w14:textId="612F5282" w:rsidR="000E48CE" w:rsidRDefault="00FF4C4E">
            <w:pPr>
              <w:pStyle w:val="P68B1DB1-Normal13"/>
              <w:spacing w:line="240" w:lineRule="auto"/>
              <w:jc w:val="center"/>
              <w:rPr>
                <w:rFonts w:cs="Times New Roman"/>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7DD845" w14:textId="6F7D2881" w:rsidR="000E48CE" w:rsidRDefault="00FF4C4E">
            <w:pPr>
              <w:pStyle w:val="P68B1DB1-Normal13"/>
              <w:spacing w:line="240" w:lineRule="auto"/>
              <w:jc w:val="center"/>
              <w:rPr>
                <w:rFonts w:cs="Times New Roman"/>
                <w:noProof/>
              </w:rPr>
            </w:pPr>
            <w:r>
              <w:rPr>
                <w:noProof/>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DDEAAA1" w14:textId="688F06D1" w:rsidR="000E48CE" w:rsidRDefault="00FF4C4E">
            <w:pPr>
              <w:pStyle w:val="P68B1DB1-Normal13"/>
              <w:spacing w:line="240" w:lineRule="auto"/>
              <w:rPr>
                <w:rFonts w:cs="Times New Roman"/>
                <w:noProof/>
              </w:rPr>
            </w:pPr>
            <w:r>
              <w:rPr>
                <w:noProof/>
              </w:rPr>
              <w:t>Espanjan on siirrettävä järjestelmää varten ENISAlle 1200000000 euroa.</w:t>
            </w:r>
          </w:p>
        </w:tc>
      </w:tr>
      <w:tr w:rsidR="000E48CE" w14:paraId="623D914A"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78B1E78B" w14:textId="6D48B3B7" w:rsidR="000E48CE" w:rsidRDefault="00FF4C4E">
            <w:pPr>
              <w:pStyle w:val="P68B1DB1-Normal13"/>
              <w:spacing w:line="240" w:lineRule="auto"/>
              <w:jc w:val="center"/>
              <w:rPr>
                <w:rFonts w:cs="Times New Roman"/>
                <w:noProof/>
              </w:rPr>
            </w:pPr>
            <w:r>
              <w:rPr>
                <w:noProof/>
              </w:rPr>
              <w:t>L23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C0CC8D7" w14:textId="1745E8A6" w:rsidR="000E48CE" w:rsidRDefault="00FF4C4E">
            <w:pPr>
              <w:pStyle w:val="P68B1DB1-Normal13"/>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7181B7FE" w14:textId="77777777" w:rsidR="000E48CE" w:rsidRDefault="00FF4C4E">
            <w:pPr>
              <w:pStyle w:val="P68B1DB1-Normal13"/>
              <w:spacing w:line="240" w:lineRule="auto"/>
              <w:jc w:val="center"/>
              <w:rPr>
                <w:rFonts w:cs="Times New Roman"/>
                <w:noProof/>
              </w:rPr>
            </w:pPr>
            <w:r>
              <w:rPr>
                <w:noProof/>
              </w:rPr>
              <w:t>M</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87C8DF3" w14:textId="44A54ACF" w:rsidR="000E48CE" w:rsidRDefault="00FF4C4E">
            <w:pPr>
              <w:pStyle w:val="P68B1DB1-Normal13"/>
              <w:spacing w:line="240" w:lineRule="auto"/>
              <w:rPr>
                <w:rFonts w:cs="Times New Roman"/>
                <w:noProof/>
              </w:rPr>
            </w:pPr>
            <w:r>
              <w:rPr>
                <w:noProof/>
              </w:rPr>
              <w:t xml:space="preserve">Tukijärjestelmä sähköautojen ja maatalouselintarvikkeiden arvoketjun strategisille </w:t>
            </w:r>
            <w:r>
              <w:rPr>
                <w:noProof/>
              </w:rPr>
              <w:t>hankkeille (lainat): Järjestelmän perustaminen</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7D5E74B9" w14:textId="1433AF49" w:rsidR="000E48CE" w:rsidRDefault="00FF4C4E">
            <w:pPr>
              <w:pStyle w:val="P68B1DB1-Normal13"/>
              <w:spacing w:line="240" w:lineRule="auto"/>
              <w:jc w:val="center"/>
              <w:rPr>
                <w:rFonts w:cs="Times New Roman"/>
                <w:noProof/>
              </w:rPr>
            </w:pPr>
            <w:r>
              <w:rPr>
                <w:noProof/>
              </w:rPr>
              <w:t>Asiaa koskevien säädösten voimaantulo</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BB0C80E" w14:textId="77777777" w:rsidR="000E48CE" w:rsidRDefault="000E48CE">
            <w:pPr>
              <w:spacing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F79BD3" w14:textId="77777777" w:rsidR="000E48CE" w:rsidRDefault="000E48CE">
            <w:pPr>
              <w:spacing w:line="240" w:lineRule="auto"/>
              <w:jc w:val="right"/>
              <w:rPr>
                <w:rFonts w:ascii="Times New Roman" w:hAnsi="Times New Roman" w:cs="Times New Roman"/>
                <w:noProof/>
                <w:sz w:val="18"/>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3121C638" w14:textId="77777777" w:rsidR="000E48CE" w:rsidRDefault="000E48CE">
            <w:pPr>
              <w:spacing w:line="240" w:lineRule="auto"/>
              <w:jc w:val="right"/>
              <w:rPr>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77BE20A4" w14:textId="77777777" w:rsidR="000E48CE" w:rsidRDefault="00FF4C4E">
            <w:pPr>
              <w:pStyle w:val="P68B1DB1-Normal13"/>
              <w:spacing w:line="240" w:lineRule="auto"/>
              <w:jc w:val="center"/>
              <w:rPr>
                <w:rFonts w:cs="Times New Roman"/>
                <w:noProof/>
              </w:rPr>
            </w:pPr>
            <w:r>
              <w:rPr>
                <w:noProof/>
              </w:rPr>
              <w:t>KOLMAS VUOSINELJÄNNES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3F72CA9" w14:textId="77777777" w:rsidR="000E48CE" w:rsidRDefault="00FF4C4E">
            <w:pPr>
              <w:pStyle w:val="P68B1DB1-Normal13"/>
              <w:spacing w:line="240" w:lineRule="auto"/>
              <w:jc w:val="center"/>
              <w:rPr>
                <w:rFonts w:cs="Times New Roman"/>
                <w:noProof/>
              </w:rPr>
            </w:pPr>
            <w:r>
              <w:rPr>
                <w:noProof/>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C793D9D" w14:textId="2F9790BE" w:rsidR="000E48CE" w:rsidRDefault="00FF4C4E">
            <w:pPr>
              <w:pStyle w:val="P68B1DB1-Normal13"/>
              <w:spacing w:line="240" w:lineRule="auto"/>
              <w:rPr>
                <w:rFonts w:cs="Times New Roman"/>
                <w:noProof/>
              </w:rPr>
            </w:pPr>
            <w:r>
              <w:rPr>
                <w:noProof/>
              </w:rPr>
              <w:t>Lainajärjestelmän perustamista koskevien oikeudellisten välineiden voimaantulo</w:t>
            </w:r>
          </w:p>
        </w:tc>
      </w:tr>
      <w:tr w:rsidR="000E48CE" w14:paraId="50F64876"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6EFBBB3E" w14:textId="16E9D7B5" w:rsidR="000E48CE" w:rsidRDefault="00FF4C4E">
            <w:pPr>
              <w:pStyle w:val="P68B1DB1-Normal13"/>
              <w:spacing w:line="240" w:lineRule="auto"/>
              <w:jc w:val="center"/>
              <w:rPr>
                <w:rFonts w:cs="Times New Roman"/>
                <w:noProof/>
              </w:rPr>
            </w:pPr>
            <w:r>
              <w:rPr>
                <w:noProof/>
              </w:rPr>
              <w:t>L24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A4B20ED" w14:textId="64988B68" w:rsidR="000E48CE" w:rsidRDefault="00FF4C4E">
            <w:pPr>
              <w:pStyle w:val="P68B1DB1-Normal13"/>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3F3AF10D" w14:textId="77777777" w:rsidR="000E48CE" w:rsidRDefault="00FF4C4E">
            <w:pPr>
              <w:pStyle w:val="P68B1DB1-Normal13"/>
              <w:spacing w:line="240" w:lineRule="auto"/>
              <w:jc w:val="center"/>
              <w:rPr>
                <w:rFonts w:cs="Times New Roman"/>
                <w:noProof/>
              </w:rPr>
            </w:pPr>
            <w:r>
              <w:rPr>
                <w:noProof/>
              </w:rPr>
              <w:t>T</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33E481A" w14:textId="4B291270" w:rsidR="000E48CE" w:rsidRDefault="00FF4C4E">
            <w:pPr>
              <w:spacing w:line="240" w:lineRule="auto"/>
              <w:rPr>
                <w:rFonts w:ascii="Times New Roman" w:hAnsi="Times New Roman" w:cs="Times New Roman"/>
                <w:noProof/>
                <w:sz w:val="18"/>
              </w:rPr>
            </w:pPr>
            <w:r>
              <w:rPr>
                <w:rStyle w:val="normaltextrun"/>
                <w:rFonts w:ascii="Times New Roman" w:hAnsi="Times New Roman"/>
                <w:noProof/>
                <w:sz w:val="18"/>
              </w:rPr>
              <w:t>Tukijärjestelmä sähköautojen ja maatalouselintarvikkeiden arvoketjun strategisille hankkeille (lainat): Lopullisten edunsaajien kanssa allekirjoitetut oikeudelliset sopimukset tai lopulliset myöntämispäätökset julkaistu</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1760F91F" w14:textId="01B51D9F" w:rsidR="000E48CE" w:rsidRDefault="00FF4C4E">
            <w:pPr>
              <w:spacing w:line="240" w:lineRule="auto"/>
              <w:jc w:val="center"/>
              <w:rPr>
                <w:rFonts w:ascii="Times New Roman" w:hAnsi="Times New Roman" w:cs="Times New Roman"/>
                <w:noProof/>
                <w:sz w:val="18"/>
              </w:rPr>
            </w:pPr>
            <w:r>
              <w:rPr>
                <w:rStyle w:val="normaltextrun"/>
                <w:rFonts w:ascii="Times New Roman" w:hAnsi="Times New Roman"/>
                <w:noProof/>
                <w:sz w:val="18"/>
              </w:rPr>
              <w:t xml:space="preserve">Julkaistujen oikeudellisten </w:t>
            </w:r>
            <w:r>
              <w:rPr>
                <w:rStyle w:val="normaltextrun"/>
                <w:rFonts w:ascii="Times New Roman" w:hAnsi="Times New Roman"/>
                <w:noProof/>
                <w:sz w:val="18"/>
              </w:rPr>
              <w:t>rahoitussopimusten tai lopullisten myöntämispäätösten voimaantulo</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E41CE69" w14:textId="0920F352" w:rsidR="000E48CE" w:rsidRDefault="000E48CE">
            <w:pPr>
              <w:spacing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D987C2B" w14:textId="77777777" w:rsidR="000E48CE" w:rsidRDefault="00FF4C4E">
            <w:pPr>
              <w:pStyle w:val="P68B1DB1-Normal13"/>
              <w:spacing w:line="240" w:lineRule="auto"/>
              <w:jc w:val="right"/>
              <w:rPr>
                <w:rFonts w:cs="Times New Roman"/>
                <w:noProof/>
              </w:rPr>
            </w:pPr>
            <w:r>
              <w:rPr>
                <w:noProof/>
              </w:rPr>
              <w:t>0</w:t>
            </w: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1DE0585D" w14:textId="47A557C4" w:rsidR="000E48CE" w:rsidRDefault="00FF4C4E">
            <w:pPr>
              <w:pStyle w:val="P68B1DB1-Normal13"/>
              <w:spacing w:line="240" w:lineRule="auto"/>
              <w:jc w:val="right"/>
              <w:rPr>
                <w:rFonts w:cs="Times New Roman"/>
                <w:noProof/>
              </w:rPr>
            </w:pPr>
            <w:r>
              <w:rPr>
                <w:noProof/>
              </w:rPr>
              <w:t>100 %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2AA99FD" w14:textId="77777777" w:rsidR="000E48CE" w:rsidRDefault="00FF4C4E">
            <w:pPr>
              <w:pStyle w:val="P68B1DB1-Normal13"/>
              <w:spacing w:line="240" w:lineRule="auto"/>
              <w:jc w:val="center"/>
              <w:rPr>
                <w:rFonts w:cs="Times New Roman"/>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5E24D36" w14:textId="77777777" w:rsidR="000E48CE" w:rsidRDefault="00FF4C4E">
            <w:pPr>
              <w:pStyle w:val="P68B1DB1-Normal13"/>
              <w:spacing w:line="240" w:lineRule="auto"/>
              <w:jc w:val="center"/>
              <w:rPr>
                <w:rFonts w:cs="Times New Roman"/>
                <w:noProof/>
              </w:rPr>
            </w:pPr>
            <w:r>
              <w:rPr>
                <w:noProof/>
              </w:rPr>
              <w:t>2026</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75B8E356" w14:textId="607350E3" w:rsidR="000E48CE" w:rsidRDefault="00FF4C4E">
            <w:pPr>
              <w:pStyle w:val="P68B1DB1-Normal13"/>
              <w:spacing w:line="240" w:lineRule="auto"/>
              <w:rPr>
                <w:rFonts w:cs="Times New Roman"/>
                <w:noProof/>
              </w:rPr>
            </w:pPr>
            <w:r>
              <w:rPr>
                <w:noProof/>
              </w:rPr>
              <w:t>ENISA on julkaissut lopulliset myöntämispäätökset tai tehnyt lopullisten edunsaajien kanssa oikeudellisia rahoitussopimuksia määrästä, joka on tarpeen elpymis- ja palautumis</w:t>
            </w:r>
            <w:r>
              <w:rPr>
                <w:noProof/>
              </w:rPr>
              <w:t>tukivälineen 100 prosentin investointien (välilliset kustannukset mukaan luettuina) käyttämiseksi järjestelmässä. ENISA on varmistanut, että vähintään 40 prosentilla tästä rahoituksesta edistetään ilmastotavoitteiden saavuttamista elpymis- ja palautumistuk</w:t>
            </w:r>
            <w:r>
              <w:rPr>
                <w:noProof/>
              </w:rPr>
              <w:t xml:space="preserve">ivälinettä koskevan asetuksen liitteessä VI esitettyä menetelmää käyttäen.  </w:t>
            </w:r>
          </w:p>
        </w:tc>
      </w:tr>
    </w:tbl>
    <w:p w14:paraId="61B83AA7" w14:textId="77777777" w:rsidR="000E48CE" w:rsidRDefault="000E48CE">
      <w:pPr>
        <w:rPr>
          <w:rFonts w:ascii="Times New Roman" w:hAnsi="Times New Roman" w:cs="Times New Roman"/>
          <w:noProof/>
        </w:rPr>
      </w:pPr>
    </w:p>
    <w:p w14:paraId="73AF0456" w14:textId="77777777" w:rsidR="000E48CE" w:rsidRDefault="000E48CE">
      <w:pPr>
        <w:spacing w:before="120" w:after="120" w:line="240" w:lineRule="auto"/>
        <w:jc w:val="both"/>
        <w:rPr>
          <w:rFonts w:ascii="Times New Roman" w:hAnsi="Times New Roman" w:cs="Times New Roman"/>
          <w:noProof/>
          <w:sz w:val="24"/>
          <w:u w:val="single"/>
        </w:rPr>
      </w:pPr>
    </w:p>
    <w:p w14:paraId="1C46581F" w14:textId="77777777" w:rsidR="000E48CE" w:rsidRDefault="000E48CE">
      <w:pPr>
        <w:spacing w:before="120" w:after="120" w:line="240" w:lineRule="auto"/>
        <w:jc w:val="both"/>
        <w:rPr>
          <w:rFonts w:ascii="Times New Roman" w:hAnsi="Times New Roman" w:cs="Times New Roman"/>
          <w:noProof/>
          <w:sz w:val="24"/>
        </w:rPr>
      </w:pPr>
    </w:p>
    <w:p w14:paraId="51AF60EC" w14:textId="77777777" w:rsidR="000E48CE" w:rsidRDefault="000E48CE">
      <w:pPr>
        <w:spacing w:before="120" w:after="120" w:line="240" w:lineRule="auto"/>
        <w:ind w:left="709"/>
        <w:jc w:val="both"/>
        <w:rPr>
          <w:rFonts w:ascii="Times New Roman" w:hAnsi="Times New Roman" w:cs="Times New Roman"/>
          <w:noProof/>
          <w:sz w:val="24"/>
        </w:rPr>
      </w:pPr>
    </w:p>
    <w:p w14:paraId="50261866"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264"/>
          <w:headerReference w:type="default" r:id="rId265"/>
          <w:footerReference w:type="even" r:id="rId266"/>
          <w:footerReference w:type="default" r:id="rId267"/>
          <w:headerReference w:type="first" r:id="rId268"/>
          <w:footerReference w:type="first" r:id="rId269"/>
          <w:pgSz w:w="16839" w:h="11907" w:orient="landscape"/>
          <w:pgMar w:top="1417" w:right="1134" w:bottom="1417" w:left="1134" w:header="709" w:footer="709" w:gutter="0"/>
          <w:cols w:space="720"/>
          <w:docGrid w:linePitch="360"/>
        </w:sectPr>
      </w:pPr>
    </w:p>
    <w:p w14:paraId="6082D2A6" w14:textId="77777777" w:rsidR="000E48CE" w:rsidRDefault="00FF4C4E">
      <w:pPr>
        <w:pStyle w:val="P68B1DB1-Heading12"/>
        <w:rPr>
          <w:rFonts w:cs="Times New Roman"/>
          <w:noProof/>
        </w:rPr>
      </w:pPr>
      <w:r>
        <w:rPr>
          <w:noProof/>
        </w:rPr>
        <w:t xml:space="preserve">M. KOMPONENTTI 13: Pk-yritysten tukeminen  </w:t>
      </w:r>
    </w:p>
    <w:p w14:paraId="15D82318" w14:textId="1EB0591F" w:rsidR="000E48CE" w:rsidRDefault="00FF4C4E">
      <w:pPr>
        <w:pStyle w:val="P68B1DB1-Text119"/>
        <w:ind w:left="0"/>
        <w:rPr>
          <w:rFonts w:cs="Times New Roman"/>
          <w:noProof/>
        </w:rPr>
      </w:pPr>
      <w:r>
        <w:rPr>
          <w:noProof/>
        </w:rPr>
        <w:t xml:space="preserve">Pienillä ja keskisuurilla yrityksillä (pk-yrityksillä) on keskeinen rooli EU:n ja Espanjan taloudessa erityisesti silloin, kun pk-yritysten osuus kansallisesta BKT:stä on suurempi ja yritysten keskimääräinen koko on pienempi kuin EU:ssa keskimäärin. </w:t>
      </w:r>
    </w:p>
    <w:p w14:paraId="1FC6FBB4" w14:textId="0C4D676D" w:rsidR="000E48CE" w:rsidRDefault="00FF4C4E">
      <w:pPr>
        <w:pStyle w:val="Text1"/>
        <w:ind w:left="0"/>
        <w:rPr>
          <w:rFonts w:ascii="Times New Roman" w:hAnsi="Times New Roman" w:cs="Times New Roman"/>
          <w:noProof/>
        </w:rPr>
      </w:pPr>
      <w:r>
        <w:rPr>
          <w:rFonts w:ascii="Times New Roman" w:hAnsi="Times New Roman"/>
          <w:noProof/>
        </w:rPr>
        <w:t>Tällä</w:t>
      </w:r>
      <w:r>
        <w:rPr>
          <w:rFonts w:ascii="Times New Roman" w:hAnsi="Times New Roman"/>
          <w:noProof/>
        </w:rPr>
        <w:t xml:space="preserve"> </w:t>
      </w:r>
      <w:r>
        <w:rPr>
          <w:rStyle w:val="IntenseEmphasis"/>
          <w:rFonts w:ascii="Times New Roman" w:hAnsi="Times New Roman"/>
          <w:i w:val="0"/>
          <w:noProof/>
          <w:color w:val="auto"/>
        </w:rPr>
        <w:t>Espanjan elpymis- ja palautumissuunnitelman</w:t>
      </w:r>
      <w:r>
        <w:rPr>
          <w:rFonts w:ascii="Times New Roman" w:hAnsi="Times New Roman"/>
          <w:noProof/>
        </w:rPr>
        <w:t>osa-alueella</w:t>
      </w:r>
      <w:r>
        <w:rPr>
          <w:rStyle w:val="IntenseEmphasis"/>
          <w:rFonts w:ascii="Times New Roman" w:hAnsi="Times New Roman"/>
          <w:noProof/>
          <w:color w:val="auto"/>
        </w:rPr>
        <w:t xml:space="preserve"> </w:t>
      </w:r>
      <w:r>
        <w:rPr>
          <w:rFonts w:ascii="Times New Roman" w:hAnsi="Times New Roman"/>
          <w:noProof/>
        </w:rPr>
        <w:t>vastataan pienten ja keskisuurten yritysten (pk-yritykset mukaan luettuina) kohtaamiin haasteisiin Espanjan talouden kilpailukyvyn parantamiseksi sekä kasvun ja työllisyyden edistämiseksi. Ja nämä ha</w:t>
      </w:r>
      <w:r>
        <w:rPr>
          <w:rFonts w:ascii="Times New Roman" w:hAnsi="Times New Roman"/>
          <w:noProof/>
        </w:rPr>
        <w:t>asteet ovat seuraavat: vaikeudet saada rahoitusta yrittäjyydelle, yritysten kasvulle ja innovoinnille; digitaalisten taitojen puute ja sellaisten digitaaliteknologioiden käyttöönoton puute, jotka haittaavat pk-yritysten tuottavuutta ja kilpailukykyä; yrity</w:t>
      </w:r>
      <w:r>
        <w:rPr>
          <w:rFonts w:ascii="Times New Roman" w:hAnsi="Times New Roman"/>
          <w:noProof/>
        </w:rPr>
        <w:t>sten pieni koko, joka haittaa mittakaavaetujen hyödyntämistä ja kansainvälistymistä; ja suuri haavoittuvuus ulkoisille häiriöille ja vähäiset mittakaavaedut, jotka haittaavat investointeja ja innovointia.</w:t>
      </w:r>
    </w:p>
    <w:p w14:paraId="2FB2F3C5" w14:textId="77777777" w:rsidR="000E48CE" w:rsidRDefault="00FF4C4E">
      <w:pPr>
        <w:pStyle w:val="P68B1DB1-Text119"/>
        <w:ind w:left="0"/>
        <w:rPr>
          <w:rFonts w:cs="Times New Roman"/>
          <w:noProof/>
        </w:rPr>
      </w:pPr>
      <w:r>
        <w:rPr>
          <w:noProof/>
        </w:rPr>
        <w:t>Tämän osa-alueen tavoitteena on ottaa käyttöön uudi</w:t>
      </w:r>
      <w:r>
        <w:rPr>
          <w:noProof/>
        </w:rPr>
        <w:t>stuksia ja investointeja, joilla pyritään helpottamaan yritysten perustamista, kasvua ja yritysten rakenneuudistusta, parantamaan liiketoimintaympäristöä (erityisesti vahvistamalla Espanjan sisämarkkinoiden toimintaa) sekä vauhdittamaan edelleen merkittävi</w:t>
      </w:r>
      <w:r>
        <w:rPr>
          <w:noProof/>
        </w:rPr>
        <w:t>ä tuottavuuden kasvuprosesseja digitalisaation, innovoinnin ja kansainvälistymisen avulla. Tämä osa-alue keskittyy merkittävästi digitalisaatioon horisontaalisella lähestymistavalla, jolla tarjotaan merkittävälle osalle pk-yrityksiä digitointipaketti ja ve</w:t>
      </w:r>
      <w:r>
        <w:rPr>
          <w:noProof/>
        </w:rPr>
        <w:t>rtikaalinen lähestymistapa, jolla edistetään prosessien digitalisointia ja teknologista innovointia tietyissä pk-yrityksissä.</w:t>
      </w:r>
    </w:p>
    <w:p w14:paraId="7F3E9C10" w14:textId="4DE96ECE" w:rsidR="000E48CE" w:rsidRDefault="00FF4C4E">
      <w:pPr>
        <w:pStyle w:val="P68B1DB1-Text119"/>
        <w:ind w:left="0"/>
        <w:rPr>
          <w:rFonts w:cs="Times New Roman"/>
          <w:noProof/>
        </w:rPr>
      </w:pPr>
      <w:r>
        <w:rPr>
          <w:noProof/>
        </w:rPr>
        <w:t>Tässä osassa käsitellään osittain maakohtaisia suosituksia, jotka koskevat edistymistä markkinoiden yhtenäisyyttä koskevan lain tä</w:t>
      </w:r>
      <w:r>
        <w:rPr>
          <w:noProof/>
        </w:rPr>
        <w:t>ytäntöönpanossa (maakohtainen suositus 4 2019) ja niiden toimenpiteiden tehokkaan täytäntöönpanon varmistamista, joilla pyritään tarjoamaan likviditeettiä pk-yrityksille ja itsenäisille ammatinharjoittajille erityisesti välttämällä maksuviivästyksiä (maako</w:t>
      </w:r>
      <w:r>
        <w:rPr>
          <w:noProof/>
        </w:rPr>
        <w:t>htainen suositus 3 2020). Siinä käsitellään myös maakohtaisia suosituksia, jotka koskevat investointien keskittämistä digitaaliseen siirtymään (maakohtainen suositus 3 2020) ja digitaalisen oppimisen saatavuuden parantamista (maakohtainen suositus 2 2020).</w:t>
      </w:r>
      <w:r>
        <w:rPr>
          <w:noProof/>
        </w:rPr>
        <w:t xml:space="preserve"> Sillä edistetään myös investointeja vihreään siirtymään (maakohtaiset suositukset 1 2023 ja 1 2022). </w:t>
      </w:r>
    </w:p>
    <w:p w14:paraId="1FF6074D" w14:textId="77777777" w:rsidR="000E48CE" w:rsidRDefault="00FF4C4E">
      <w:pPr>
        <w:pStyle w:val="P68B1DB1-Text119"/>
        <w:ind w:left="0"/>
        <w:rPr>
          <w:rFonts w:cs="Times New Roman"/>
          <w:noProof/>
        </w:rPr>
      </w:pPr>
      <w:r>
        <w:rPr>
          <w:noProof/>
        </w:rPr>
        <w:t>Minkään tämän komponentin toimenpiteen ei odoteta aiheuttavan asetuksen (EU) 2020/852 17 artiklassa tarkoitettua merkittävää haittaa ympäristötavoitteill</w:t>
      </w:r>
      <w:r>
        <w:rPr>
          <w:noProof/>
        </w:rPr>
        <w:t xml:space="preserve">e, kun otetaan huomioon ”ei merkittävää haittaa” -periaatteen soveltamista koskevien teknisten ohjeiden (2021/C58/01) mukaiset elpymis- ja palautumissuunnitelmassa esitettyjen toimenpiteiden kuvaus ja lieventävät toimet. </w:t>
      </w:r>
    </w:p>
    <w:p w14:paraId="3C82E79E" w14:textId="77777777" w:rsidR="000E48CE" w:rsidRDefault="00FF4C4E">
      <w:pPr>
        <w:pStyle w:val="P68B1DB1-Normal5"/>
        <w:ind w:left="720"/>
        <w:rPr>
          <w:rFonts w:cs="Times New Roman"/>
          <w:noProof/>
        </w:rPr>
      </w:pPr>
      <w:r>
        <w:rPr>
          <w:noProof/>
        </w:rPr>
        <w:t xml:space="preserve">M.1 </w:t>
      </w:r>
      <w:r>
        <w:rPr>
          <w:noProof/>
        </w:rPr>
        <w:tab/>
        <w:t>Kuvaus uudistuksista ja inves</w:t>
      </w:r>
      <w:r>
        <w:rPr>
          <w:noProof/>
        </w:rPr>
        <w:t>toinneista, joita rahoitetaan rahoitustuella, jota ei makseta takaisin</w:t>
      </w:r>
    </w:p>
    <w:p w14:paraId="04FC7FA7" w14:textId="77777777" w:rsidR="000E48CE" w:rsidRDefault="00FF4C4E">
      <w:pPr>
        <w:pStyle w:val="P68B1DB1-Text120"/>
        <w:ind w:left="0"/>
        <w:rPr>
          <w:rFonts w:cs="Times New Roman"/>
          <w:noProof/>
        </w:rPr>
      </w:pPr>
      <w:r>
        <w:rPr>
          <w:noProof/>
        </w:rPr>
        <w:t>Uudistus 1 (C13.R1) – Liiketoiminnan sääntelyn ja ilmaston parantaminen</w:t>
      </w:r>
    </w:p>
    <w:p w14:paraId="65B9E8AE" w14:textId="77777777" w:rsidR="000E48CE" w:rsidRDefault="00FF4C4E">
      <w:pPr>
        <w:pStyle w:val="P68B1DB1-Text119"/>
        <w:ind w:left="0"/>
        <w:rPr>
          <w:rFonts w:cs="Times New Roman"/>
          <w:noProof/>
        </w:rPr>
      </w:pPr>
      <w:r>
        <w:rPr>
          <w:noProof/>
        </w:rPr>
        <w:t>Uudistuksen tavoitteena on parantaa taloudellisen toiminnan puitteita varmistamalla parempi sääntely ja liiketoim</w:t>
      </w:r>
      <w:r>
        <w:rPr>
          <w:noProof/>
        </w:rPr>
        <w:t xml:space="preserve">intaympäristö, joka helpottaa yritysten perustamista ja kasvua sekä tarvittaessa niiden rakenneuudistusta toteuttamalla useita toimenpiteitä. </w:t>
      </w:r>
    </w:p>
    <w:p w14:paraId="28205233" w14:textId="5B09D706" w:rsidR="000E48CE" w:rsidRDefault="00FF4C4E">
      <w:pPr>
        <w:pStyle w:val="P68B1DB1-Text119"/>
        <w:ind w:left="0"/>
        <w:rPr>
          <w:rFonts w:cs="Times New Roman"/>
          <w:noProof/>
        </w:rPr>
      </w:pPr>
      <w:r>
        <w:rPr>
          <w:noProof/>
        </w:rPr>
        <w:t>Uudistus koostuu seuraavista:</w:t>
      </w:r>
    </w:p>
    <w:p w14:paraId="7AFE3315" w14:textId="77777777" w:rsidR="000E48CE" w:rsidRDefault="00FF4C4E">
      <w:pPr>
        <w:pStyle w:val="P68B1DB1-Text119"/>
        <w:numPr>
          <w:ilvl w:val="0"/>
          <w:numId w:val="111"/>
        </w:numPr>
        <w:rPr>
          <w:rFonts w:cs="Times New Roman"/>
          <w:noProof/>
        </w:rPr>
      </w:pPr>
      <w:r>
        <w:rPr>
          <w:noProof/>
        </w:rPr>
        <w:t xml:space="preserve">Yritysten perustamista ja kasvua koskevan lain hyväksyminen. Tämän lainsäädännön </w:t>
      </w:r>
      <w:r>
        <w:rPr>
          <w:noProof/>
        </w:rPr>
        <w:t>tavoitteena on</w:t>
      </w:r>
    </w:p>
    <w:p w14:paraId="04FAB48E" w14:textId="77777777" w:rsidR="000E48CE" w:rsidRDefault="00FF4C4E">
      <w:pPr>
        <w:pStyle w:val="P68B1DB1-Text119"/>
        <w:numPr>
          <w:ilvl w:val="1"/>
          <w:numId w:val="111"/>
        </w:numPr>
        <w:rPr>
          <w:rFonts w:cs="Times New Roman"/>
          <w:noProof/>
        </w:rPr>
      </w:pPr>
      <w:r>
        <w:rPr>
          <w:noProof/>
        </w:rPr>
        <w:t xml:space="preserve">Yksinkertaistetaan yrityksen perustamismenettelyjä. Tämä saavutetaan vähentämällä yrityksen perustamista koskevaa vähimmäispääomavaatimusta ja vahvistamalla joukkorahoitusalustoja ja muita julkisia rahoitusvälineitä; </w:t>
      </w:r>
    </w:p>
    <w:p w14:paraId="20ED4BE2" w14:textId="77777777" w:rsidR="000E48CE" w:rsidRDefault="00FF4C4E">
      <w:pPr>
        <w:pStyle w:val="P68B1DB1-Text119"/>
        <w:numPr>
          <w:ilvl w:val="1"/>
          <w:numId w:val="111"/>
        </w:numPr>
        <w:rPr>
          <w:rFonts w:cs="Times New Roman"/>
          <w:noProof/>
        </w:rPr>
      </w:pPr>
      <w:r>
        <w:rPr>
          <w:noProof/>
        </w:rPr>
        <w:t>Oikeudelliset toimenpit</w:t>
      </w:r>
      <w:r>
        <w:rPr>
          <w:noProof/>
        </w:rPr>
        <w:t>eet varhaismaksukulttuurin edistämiseksi. Tällä lailla tehostetaan kaupallisissa toimissa tapahtuvien maksuviivästysten torjumisesta annetun direktiivin (EU) 2011/7 täytäntöönpanoa. Lain odotetaan lyhentävän kaupallisten toimien keskimääräisiä maksuaikoja.</w:t>
      </w:r>
      <w:r>
        <w:rPr>
          <w:noProof/>
        </w:rPr>
        <w:t xml:space="preserve"> Tämä auttaisi vastaamaan velkoja-pk-yritysten likviditeettihaasteisiin, joita ei makseta ajoissa, millä olisi myönteisiä heijastusvaikutuksia niiden toimintaan ja kasvuun. Esimerkkejä toimenpiteistä, joilla edistetään varhaismaksukulttuuria, ovat ohjeet m</w:t>
      </w:r>
      <w:r>
        <w:rPr>
          <w:noProof/>
        </w:rPr>
        <w:t>aksuaikojen julkisuudesta ja läpinäkyvyydestä, parhaista liiketoimintakäytännöistä ja mekanismeista täytäntöönpanon parantamiseksi, kuten tuomioistuinten ulkopuolinen riitojenratkaisujärjestelmä;</w:t>
      </w:r>
    </w:p>
    <w:p w14:paraId="4A84DB97" w14:textId="77777777" w:rsidR="000E48CE" w:rsidRDefault="00FF4C4E">
      <w:pPr>
        <w:pStyle w:val="P68B1DB1-Text119"/>
        <w:numPr>
          <w:ilvl w:val="1"/>
          <w:numId w:val="111"/>
        </w:numPr>
        <w:rPr>
          <w:rFonts w:cs="Times New Roman"/>
          <w:noProof/>
        </w:rPr>
      </w:pPr>
      <w:r>
        <w:rPr>
          <w:noProof/>
        </w:rPr>
        <w:t xml:space="preserve">Muuttaa tiettyjä markkinoiden yhtenäisyyttä koskevan lain </w:t>
      </w:r>
      <w:r>
        <w:rPr>
          <w:noProof/>
        </w:rPr>
        <w:t>säännöksiä selkeyttääkseen aloja, joilla epäselvyydet ovat aiheuttaneet täytäntöönpano-ongelmia. Markkinoiden yhtenäisyydestä annetun lain tavoitteena on poistaa tarpeettomia, suhteettomia tai syrjiviä esteitä, jotka haittaavat taloudellisen toiminnan aloi</w:t>
      </w:r>
      <w:r>
        <w:rPr>
          <w:noProof/>
        </w:rPr>
        <w:t>ttamista ja harjoittamista sekä sijoittautumisvapautta koko alueella. Uudistuksen tavoitteena on myös lisätä markkinoiden yhtenäisyydestä annetussa laissa säädettyjen mekanismien tehokkuutta ja avoimuutta sellaisten toimijoiden suojelemiseksi, joiden toimi</w:t>
      </w:r>
      <w:r>
        <w:rPr>
          <w:noProof/>
        </w:rPr>
        <w:t>ntaan julkishallinnon asettamat esteet vaikuttavat. Lisäksi uudistuksella vahvistetaan yhteistyötä paremman sääntelyn edistämiseksi koko maassa.</w:t>
      </w:r>
    </w:p>
    <w:p w14:paraId="65E91C6D" w14:textId="77777777" w:rsidR="000E48CE" w:rsidRDefault="00FF4C4E">
      <w:pPr>
        <w:pStyle w:val="P68B1DB1-Text119"/>
        <w:numPr>
          <w:ilvl w:val="0"/>
          <w:numId w:val="111"/>
        </w:numPr>
        <w:rPr>
          <w:rFonts w:cs="Times New Roman"/>
          <w:noProof/>
        </w:rPr>
      </w:pPr>
      <w:r>
        <w:rPr>
          <w:noProof/>
        </w:rPr>
        <w:t>Perustetaan uusi sääntelyn parantamista ja liiketoimintailmastoa käsittelevä alakohtainen konferenssi. Sen tavo</w:t>
      </w:r>
      <w:r>
        <w:rPr>
          <w:noProof/>
        </w:rPr>
        <w:t>itteena on helpottaa hyvän sääntelyn periaatteiden asianmukaista soveltamista kaikissa julkishallinnoissa ja varmistaa eri hallintojen optimaalinen koordinointi, myös takaisinperintään liittyvissä toimenpiteissä. Alakohtainen konferenssi seuraa myös muissa</w:t>
      </w:r>
      <w:r>
        <w:rPr>
          <w:noProof/>
        </w:rPr>
        <w:t xml:space="preserve"> alakohtaisissa konferensseissa tehtyä työtä, mikä mahdollistaa paremman sääntelyn koordinoinnin, seurannan ja edistämisen sekä horisontaalisesti että alakohtaisesti;</w:t>
      </w:r>
    </w:p>
    <w:p w14:paraId="3AF46301" w14:textId="77777777" w:rsidR="000E48CE" w:rsidRDefault="00FF4C4E">
      <w:pPr>
        <w:pStyle w:val="P68B1DB1-Text119"/>
        <w:numPr>
          <w:ilvl w:val="0"/>
          <w:numId w:val="111"/>
        </w:numPr>
        <w:rPr>
          <w:rFonts w:cs="Times New Roman"/>
          <w:noProof/>
        </w:rPr>
      </w:pPr>
      <w:r>
        <w:rPr>
          <w:noProof/>
        </w:rPr>
        <w:t>Maksukyvyttömyyslain uudistaminen ennaltaehkäiseviä uudelleenjärjestelyjä koskevista puit</w:t>
      </w:r>
      <w:r>
        <w:rPr>
          <w:noProof/>
        </w:rPr>
        <w:t xml:space="preserve">teista, veloista vapauttamisesta ja liiketoimintakielloista sekä toimenpiteistä maksukyvyttömyysmenettelyjen tehostamiseksi ja direktiivin (EU) 2017/1132 (uudelleenjärjestely- ja maksukyvyttömyysdirektiivi) muuttamisesta annetun direktiivin (EU) 2019/1023 </w:t>
      </w:r>
      <w:r>
        <w:rPr>
          <w:noProof/>
        </w:rPr>
        <w:t>saattamiseksi osaksi kansallista lainsäädäntöä. Uudistukseen on sisällyttävä tehokkaamman uuden mahdollisuuden menettelyn käyttöönotto luonnollisille henkilöille, mikä mahdollistaa velkajärjestelyn ilman, että maksukyvyttömän omaisuus asetetaan selvitystil</w:t>
      </w:r>
      <w:r>
        <w:rPr>
          <w:noProof/>
        </w:rPr>
        <w:t>aan. Lisäksi maksukyvyttömyysdirektiivissä (EU) 2019/1023 edellytetyt uudelleenjärjestelysuunnitelmat on otettava käyttöön uutena maksukyvyttömyyttä edeltävänä välineenä, jolla parannetaan tällä hetkellä sovellettavien maksukyvyttömyyttä edeltävien instrum</w:t>
      </w:r>
      <w:r>
        <w:rPr>
          <w:noProof/>
        </w:rPr>
        <w:t>enttien tehokkuutta maksukyvyttömyyden ja sen jälkeisen konkurssin estämiseksi. Menettelyn keston ja kustannusten lyhentämiseksi on myös otettava käyttöön kokonaan sähköisesti käsiteltyjä mikroyrityksiä koskeva erityinen menettely.</w:t>
      </w:r>
    </w:p>
    <w:p w14:paraId="4C86FC4C" w14:textId="1AE05236" w:rsidR="000E48CE" w:rsidRDefault="00FF4C4E">
      <w:pPr>
        <w:pStyle w:val="P68B1DB1-Text119"/>
        <w:numPr>
          <w:ilvl w:val="0"/>
          <w:numId w:val="111"/>
        </w:numPr>
        <w:rPr>
          <w:rFonts w:cs="Times New Roman"/>
          <w:noProof/>
        </w:rPr>
      </w:pPr>
      <w:r>
        <w:rPr>
          <w:noProof/>
        </w:rPr>
        <w:t>Uudistuksessa hyväksytää</w:t>
      </w:r>
      <w:r>
        <w:rPr>
          <w:noProof/>
        </w:rPr>
        <w:t xml:space="preserve">n myös laki, jolla muutetaan kolmea lakitekstiä, erityisesti laki 34/2006, joka koskee asianajajien ja procuradoresin ammattien </w:t>
      </w:r>
      <w:r>
        <w:rPr>
          <w:i/>
          <w:noProof/>
        </w:rPr>
        <w:t>harjoittamista</w:t>
      </w:r>
      <w:r>
        <w:rPr>
          <w:noProof/>
        </w:rPr>
        <w:t xml:space="preserve">. Uuden järjestelmän on tarjottava yhtenäinen pääsy asianajajan ja procuradoresin </w:t>
      </w:r>
      <w:r>
        <w:rPr>
          <w:i/>
          <w:noProof/>
        </w:rPr>
        <w:t>ammatteihin</w:t>
      </w:r>
      <w:r>
        <w:rPr>
          <w:noProof/>
        </w:rPr>
        <w:t>, koska sama pätevyys</w:t>
      </w:r>
      <w:r>
        <w:rPr>
          <w:noProof/>
        </w:rPr>
        <w:t xml:space="preserve"> antaa mahdollisuuden harjoittaa molempia ammatteja. Monialaisten ammattijärjestöjen on voitava tarjota yhdessä oikeudellista puolustusta ja oikeudellista edustusta tuomioistuimessa koskevia palveluja. Procuradoresin palveluihin sovellettavaa tariffijärjes</w:t>
      </w:r>
      <w:r>
        <w:rPr>
          <w:noProof/>
        </w:rPr>
        <w:t xml:space="preserve">telmää </w:t>
      </w:r>
      <w:r>
        <w:rPr>
          <w:i/>
          <w:noProof/>
        </w:rPr>
        <w:t>muutetaan</w:t>
      </w:r>
      <w:r>
        <w:rPr>
          <w:noProof/>
        </w:rPr>
        <w:t xml:space="preserve"> myös: on vahvistettava enimmäismaksut mutta ei vähimmäismaksuja sen varmistamiseksi, että palvelujen vastaanottajat voivat käyttää kilpailukykyisin hinnoin tarjottavia palveluja. Tämän uudistuksen myötä Espanjan on varmistettava, että tämä</w:t>
      </w:r>
      <w:r>
        <w:rPr>
          <w:noProof/>
        </w:rPr>
        <w:t>n alan lainsäädäntö on palveluista sisämarkkinoilla annetun Euroopan parlamentin ja neuvoston direktiivin 2006/123/EY 15, 16 ja 25 artiklan sekä Euroopan unionin toiminnasta tehdyn sopimuksen 49 ja 56 artiklan mukaista. Tämän uudistuksen osalta ministerine</w:t>
      </w:r>
      <w:r>
        <w:rPr>
          <w:noProof/>
        </w:rPr>
        <w:t>uvosto hyväksyi edellä mainitut säädösehdotukset syyskuussa 2020.</w:t>
      </w:r>
    </w:p>
    <w:p w14:paraId="7189CEC4" w14:textId="659B71BC" w:rsidR="000E48CE" w:rsidRDefault="00FF4C4E">
      <w:pPr>
        <w:pStyle w:val="P68B1DB1-Text119"/>
        <w:numPr>
          <w:ilvl w:val="0"/>
          <w:numId w:val="111"/>
        </w:numPr>
        <w:rPr>
          <w:rFonts w:cs="Times New Roman"/>
          <w:noProof/>
        </w:rPr>
      </w:pPr>
      <w:r>
        <w:rPr>
          <w:noProof/>
        </w:rPr>
        <w:t>Muutetaan kilpailulainsäädäntöä (laki 15/2007 kilpailun suojaamisesta) ja sen asetuksia (kilpailun suojaamista koskevien asetusten hyväksymisestä 22 päivänä helmikuuta 2007 annettu kuninkaal</w:t>
      </w:r>
      <w:r>
        <w:rPr>
          <w:noProof/>
        </w:rPr>
        <w:t>linen asetus 261/2008), yksinkertaistamalla menettelyjä ja vahvistamalla maan kilpailulainsäädäntöä kansainvälisten parhaiden käytäntöjen mukaisesti tehokkaan kilpailun varmistamiseksi. Muutoksella otetaan käyttöön sovintomenettely kilpailuoikeuden 1 artik</w:t>
      </w:r>
      <w:r>
        <w:rPr>
          <w:noProof/>
        </w:rPr>
        <w:t>lan (yhteistoiminta), 2 artiklan (määräävän markkina-aseman väärinkäyttö) ja 3 artiklan (vapaan kilpailun vääristyminen sopimattomien toimien avulla) mukaisesti. Muutoksella on myös otettava käyttöön täydentäviä säännöksiä asetukseen (EU) 2022/1925 (digima</w:t>
      </w:r>
      <w:r>
        <w:rPr>
          <w:noProof/>
        </w:rPr>
        <w:t>rkkinasäädös), jotta Espanjan toimivaltaiselle viranomaiselle annetaan valtuudet suorittaa tutkimuksia kansallisessa kehyksessä, virtaviivaistaa menettelyjen ratkaisemisen määräaikaa ja vähentää yritysten hallinnollista taakkaa sekä tehostaa seuraamusjärje</w:t>
      </w:r>
      <w:r>
        <w:rPr>
          <w:noProof/>
        </w:rPr>
        <w:t>stelmää muun muassa kannustamalla rikkomusten tunnustamiseen ja tiukentamalla luonnollisille henkilöille (eli johtajille) määrättäviä seuraamuksia.</w:t>
      </w:r>
    </w:p>
    <w:p w14:paraId="5611FD7A" w14:textId="2ABEAE92" w:rsidR="000E48CE" w:rsidRDefault="00FF4C4E">
      <w:pPr>
        <w:pStyle w:val="P68B1DB1-Text119"/>
        <w:ind w:left="0"/>
        <w:rPr>
          <w:rFonts w:cs="Times New Roman"/>
          <w:noProof/>
        </w:rPr>
      </w:pPr>
      <w:r>
        <w:rPr>
          <w:noProof/>
        </w:rPr>
        <w:t>Toimenpiteen täytäntöönpano on määrä saattaa päätökseen 31. joulukuuta 2025 mennessä.</w:t>
      </w:r>
    </w:p>
    <w:p w14:paraId="0B36211E" w14:textId="77777777" w:rsidR="000E48CE" w:rsidRDefault="00FF4C4E">
      <w:pPr>
        <w:pStyle w:val="P68B1DB1-Text120"/>
        <w:keepNext/>
        <w:ind w:left="0"/>
        <w:rPr>
          <w:rFonts w:cs="Times New Roman"/>
          <w:noProof/>
        </w:rPr>
      </w:pPr>
      <w:r>
        <w:rPr>
          <w:noProof/>
        </w:rPr>
        <w:t xml:space="preserve">Uudistus 2 (C13.R2) – </w:t>
      </w:r>
      <w:r>
        <w:rPr>
          <w:noProof/>
        </w:rPr>
        <w:t>Espanjan yrittäjyysstrategia</w:t>
      </w:r>
    </w:p>
    <w:p w14:paraId="36A12FAD" w14:textId="2999754B" w:rsidR="000E48CE" w:rsidRDefault="00FF4C4E">
      <w:pPr>
        <w:pStyle w:val="P68B1DB1-Text119"/>
        <w:keepNext/>
        <w:ind w:left="0"/>
        <w:rPr>
          <w:rFonts w:cs="Times New Roman"/>
          <w:noProof/>
        </w:rPr>
      </w:pPr>
      <w:r>
        <w:rPr>
          <w:noProof/>
        </w:rPr>
        <w:t>Toimenpiteen tavoitteena on edistää Espanjan yrittäjyysstrategiaa. Uudistuksessa hyväksytään startup-laki, jolla luodaan suotuisat puitteet erittäin innovatiivisten startup-yritysten perustamiselle ja kasvulle, perustetaan julk</w:t>
      </w:r>
      <w:r>
        <w:rPr>
          <w:noProof/>
        </w:rPr>
        <w:t>isen ja yksityisen sektorin NEXT-TECH-rahasto murroksellisen teknologian startup-yritysten laajentamiseksi ja tarkistetaan työntekijöiden muuttoliikejärjestelmää, jotta voidaan houkutella lahjakkuuksia ja puuttua osaamisvajeeseen.</w:t>
      </w:r>
    </w:p>
    <w:p w14:paraId="60AEC707" w14:textId="77777777" w:rsidR="000E48CE" w:rsidRDefault="00FF4C4E">
      <w:pPr>
        <w:pStyle w:val="P68B1DB1-Text119"/>
        <w:ind w:left="0"/>
        <w:rPr>
          <w:rFonts w:cs="Times New Roman"/>
          <w:noProof/>
        </w:rPr>
      </w:pPr>
      <w:r>
        <w:rPr>
          <w:noProof/>
        </w:rPr>
        <w:t>Käynnistysyrityksiä koske</w:t>
      </w:r>
      <w:r>
        <w:rPr>
          <w:noProof/>
        </w:rPr>
        <w:t>van lain hyväksyminen vuoden 2022 loppuun mennessä annetaan startup-yritysten oikeudellinen määritelmä; määrittämään verokannustimia, joilla edistetään niiden luomista ja houkutellaan lahjakkuuksia; esitetään toimenpiteitä, joilla helpotetaan ulkomaisten s</w:t>
      </w:r>
      <w:r>
        <w:rPr>
          <w:noProof/>
        </w:rPr>
        <w:t>ijoittajien ja yrittäjien houkuttelemista; ottaa käyttöön mekanismeja, joilla helpotetaan lain täytäntöönpanoa ja sen suhdetta digitaalisen yrittäjäekosysteemin toimenpiteisiin.</w:t>
      </w:r>
    </w:p>
    <w:p w14:paraId="49F3CA66" w14:textId="772966A9" w:rsidR="000E48CE" w:rsidRDefault="00FF4C4E">
      <w:pPr>
        <w:pStyle w:val="P68B1DB1-Text119"/>
        <w:ind w:left="0"/>
        <w:rPr>
          <w:rFonts w:cs="Times New Roman"/>
          <w:noProof/>
        </w:rPr>
      </w:pPr>
      <w:r>
        <w:rPr>
          <w:noProof/>
        </w:rPr>
        <w:t>Uudistuksessa muutetaan myös ulkomaalaisten oikeuksista ja vapauksista Espanja</w:t>
      </w:r>
      <w:r>
        <w:rPr>
          <w:noProof/>
        </w:rPr>
        <w:t>ssa 11 päivänä tammikuuta annettua orgaanista lakia 4/2000 ja yrittäjien tukemisesta ja heidän kansainvälistymisestään 27 päivänä syyskuuta annettua lakia 14/2013.</w:t>
      </w:r>
    </w:p>
    <w:p w14:paraId="2C1646D0" w14:textId="00462CD9" w:rsidR="000E48CE" w:rsidRDefault="00FF4C4E">
      <w:pPr>
        <w:pStyle w:val="P68B1DB1-Text119"/>
        <w:ind w:left="0"/>
        <w:rPr>
          <w:rFonts w:cs="Times New Roman"/>
          <w:noProof/>
        </w:rPr>
      </w:pPr>
      <w:r>
        <w:rPr>
          <w:noProof/>
        </w:rPr>
        <w:t xml:space="preserve">Ulkomaalaisten oikeuksista ja vapauksista Espanjassa ja heidän kotouttamisestaan 11 päivänä </w:t>
      </w:r>
      <w:r>
        <w:rPr>
          <w:noProof/>
        </w:rPr>
        <w:t>tammikuuta annetun lain 4/2000 muutoksella yksinkertaistetaan maahanmuuttoon liittyviä hallinnollisia menettelyjä muun muassa vähentämällä lupien määrää ja pidentämällä niiden voimassaoloaikaa, nopeuttamalla menettelyjä, helpottamalla kolmansien maiden kan</w:t>
      </w:r>
      <w:r>
        <w:rPr>
          <w:noProof/>
        </w:rPr>
        <w:t>salaisten pääsyä työmarkkinoille ja parantamalla työnvälitysjärjestelmää. Muutoksilla otetaan erityisesti käyttöön joustavampi pääsy opiskelijoille työmarkkinoille, kausityöntekijöiden monivuotinen kiertomuuttojärjestelmä, uudet säännöt kansallisen työllis</w:t>
      </w:r>
      <w:r>
        <w:rPr>
          <w:noProof/>
        </w:rPr>
        <w:t>yystilanteen arvioimiseksi ja uuden hallinnollisen yksikön (UTEX) perustaminen ulkomaalaisten asiakirjojen käsittelyn parantamiseksi.</w:t>
      </w:r>
    </w:p>
    <w:p w14:paraId="4A7EF98C" w14:textId="1F332FAA" w:rsidR="000E48CE" w:rsidRDefault="00FF4C4E">
      <w:pPr>
        <w:pStyle w:val="P68B1DB1-Text119"/>
        <w:ind w:left="0"/>
        <w:rPr>
          <w:rFonts w:cs="Times New Roman"/>
          <w:noProof/>
        </w:rPr>
      </w:pPr>
      <w:r>
        <w:rPr>
          <w:noProof/>
        </w:rPr>
        <w:t>Yrittäjien tukemisesta ja heidän kansainvälistymisestään 27 päivänä syyskuuta annetun lain 14/2013 muutoksella helpotetaan</w:t>
      </w:r>
      <w:r>
        <w:rPr>
          <w:noProof/>
        </w:rPr>
        <w:t xml:space="preserve"> sellaisten ulkomaalaisten rekrytointia, joilla on hyvin erityiset taidot ja pätevyydet, käyttämällä yksinkertaisempaa ja joustavampaa menettelyä kuin mitä orgaanista lakia 4/2000 koskevassa asetuksessa on määritelty. Lain 14/2013 muutoksella otetaan käytt</w:t>
      </w:r>
      <w:r>
        <w:rPr>
          <w:noProof/>
        </w:rPr>
        <w:t>öön uusi digitaalisten nomadien muuttoliikejärjestelmä, yrittäjien oleskelu- ja työlupia koskevat uudet innovointikriteerit, korkeasti koulutettujen ammattilaisten kansallisen muuttoliikejärjestelmän soveltamisalan laajentaminen pk-yrityksiin ja korkeamman</w:t>
      </w:r>
      <w:r>
        <w:rPr>
          <w:noProof/>
        </w:rPr>
        <w:t xml:space="preserve"> ammatillisen koulutuksen tutkintotodistusten haltijoihin sekä pidempiä voimassaoloaikoja ja yksinkertaistetaan oleskelu- ja työlupamenettelyjä laissa 14/2013 ennen muutosta säädettyjen menettelyjen osalta.</w:t>
      </w:r>
    </w:p>
    <w:p w14:paraId="3D4CCDDD" w14:textId="7089989E" w:rsidR="000E48CE" w:rsidRDefault="00FF4C4E">
      <w:pPr>
        <w:pStyle w:val="P68B1DB1-Text119"/>
        <w:ind w:left="0"/>
        <w:rPr>
          <w:rFonts w:cs="Times New Roman"/>
          <w:noProof/>
        </w:rPr>
      </w:pPr>
      <w:r>
        <w:rPr>
          <w:noProof/>
        </w:rPr>
        <w:t>Toimenpiteen täytäntöönpano on saatettava päätöks</w:t>
      </w:r>
      <w:r>
        <w:rPr>
          <w:noProof/>
        </w:rPr>
        <w:t>een viimeistään 31 päivänä joulukuuta 2023.</w:t>
      </w:r>
    </w:p>
    <w:p w14:paraId="46827732" w14:textId="77777777" w:rsidR="000E48CE" w:rsidRDefault="00FF4C4E">
      <w:pPr>
        <w:pStyle w:val="P68B1DB1-Normal6"/>
        <w:spacing w:before="120" w:after="120"/>
        <w:jc w:val="both"/>
        <w:rPr>
          <w:rFonts w:eastAsiaTheme="minorEastAsia" w:cs="Times New Roman"/>
          <w:noProof/>
        </w:rPr>
      </w:pPr>
      <w:r>
        <w:rPr>
          <w:noProof/>
        </w:rPr>
        <w:t>Uudistus 3 (C13.R3) – Arvopaperi- ja sijoituspalvelulain tarkistaminen</w:t>
      </w:r>
    </w:p>
    <w:p w14:paraId="6CA34C5A" w14:textId="1BB6826B" w:rsidR="000E48CE" w:rsidRDefault="00FF4C4E">
      <w:pPr>
        <w:pStyle w:val="P68B1DB1-Normal4"/>
        <w:spacing w:before="120" w:after="120"/>
        <w:jc w:val="both"/>
        <w:rPr>
          <w:rFonts w:eastAsiaTheme="minorEastAsia" w:cs="Times New Roman"/>
          <w:noProof/>
        </w:rPr>
      </w:pPr>
      <w:r>
        <w:rPr>
          <w:noProof/>
        </w:rPr>
        <w:t>Uudistuksen tavoitteena on parantaa arvopaperimarkkinoiden sääntelyä siten, että erityisesti pk-yritysten rahoituksen saantia parannetaan hyv</w:t>
      </w:r>
      <w:r>
        <w:rPr>
          <w:noProof/>
        </w:rPr>
        <w:t xml:space="preserve">äksymällä laki 6/2023, jolla säännellään arvopaperimarkkinoita ja sijoituspalveluja Espanjassa. </w:t>
      </w:r>
    </w:p>
    <w:p w14:paraId="4FB51AEC" w14:textId="4666EF74" w:rsidR="000E48CE" w:rsidRDefault="00FF4C4E">
      <w:pPr>
        <w:pStyle w:val="P68B1DB1-Normal4"/>
        <w:spacing w:before="120" w:after="120"/>
        <w:jc w:val="both"/>
        <w:rPr>
          <w:rFonts w:cs="Times New Roman"/>
          <w:noProof/>
        </w:rPr>
      </w:pPr>
      <w:r>
        <w:rPr>
          <w:noProof/>
        </w:rPr>
        <w:t xml:space="preserve"> Laissa 6/2023 säädetään seuraavaa:</w:t>
      </w:r>
    </w:p>
    <w:p w14:paraId="71D69DE2" w14:textId="77777777" w:rsidR="000E48CE" w:rsidRDefault="00FF4C4E">
      <w:pPr>
        <w:pStyle w:val="P68B1DB1-ListParagraph7"/>
        <w:numPr>
          <w:ilvl w:val="0"/>
          <w:numId w:val="621"/>
        </w:numPr>
        <w:spacing w:after="0"/>
        <w:jc w:val="both"/>
        <w:rPr>
          <w:rFonts w:cs="Times New Roman"/>
          <w:noProof/>
        </w:rPr>
      </w:pPr>
      <w:r>
        <w:rPr>
          <w:noProof/>
        </w:rPr>
        <w:t>yksinkertaistaa menettelyä, jolla kiinteätuottoiset arvopaperit otetaan kaupankäynnin kohteeksi;</w:t>
      </w:r>
    </w:p>
    <w:p w14:paraId="5173D240" w14:textId="77777777" w:rsidR="000E48CE" w:rsidRDefault="00FF4C4E">
      <w:pPr>
        <w:pStyle w:val="P68B1DB1-ListParagraph7"/>
        <w:numPr>
          <w:ilvl w:val="0"/>
          <w:numId w:val="621"/>
        </w:numPr>
        <w:spacing w:after="0"/>
        <w:jc w:val="both"/>
        <w:rPr>
          <w:rFonts w:eastAsiaTheme="minorEastAsia" w:cs="Times New Roman"/>
          <w:noProof/>
        </w:rPr>
      </w:pPr>
      <w:r>
        <w:rPr>
          <w:noProof/>
        </w:rPr>
        <w:t xml:space="preserve">laajennetaan pk-yritysten </w:t>
      </w:r>
      <w:r>
        <w:rPr>
          <w:noProof/>
        </w:rPr>
        <w:t>pääsyä BME Growthiin (BME-pörssimarkkinat);</w:t>
      </w:r>
    </w:p>
    <w:p w14:paraId="6355B17F" w14:textId="77777777" w:rsidR="000E48CE" w:rsidRDefault="00FF4C4E">
      <w:pPr>
        <w:pStyle w:val="P68B1DB1-ListParagraph7"/>
        <w:numPr>
          <w:ilvl w:val="0"/>
          <w:numId w:val="621"/>
        </w:numPr>
        <w:spacing w:after="0"/>
        <w:jc w:val="both"/>
        <w:rPr>
          <w:rFonts w:eastAsiaTheme="minorEastAsia" w:cs="Times New Roman"/>
          <w:noProof/>
        </w:rPr>
      </w:pPr>
      <w:r>
        <w:rPr>
          <w:noProof/>
        </w:rPr>
        <w:t>ulotetaan pakolliset julkiset ostotarjoukset säännellyillä markkinoilla kaupankäynnin kohteena olevia arvopapereita laajemmalle koskemaan arvopapereita, joilla käydään kauppaa monenkeskisissä kaupankäyntijärjeste</w:t>
      </w:r>
      <w:r>
        <w:rPr>
          <w:noProof/>
        </w:rPr>
        <w:t xml:space="preserve">lmissä (mukaan lukien niiden EU:n kasvumarkkinasegmentit); ja </w:t>
      </w:r>
    </w:p>
    <w:p w14:paraId="69874394" w14:textId="77777777" w:rsidR="000E48CE" w:rsidRDefault="00FF4C4E">
      <w:pPr>
        <w:pStyle w:val="P68B1DB1-ListParagraph7"/>
        <w:numPr>
          <w:ilvl w:val="0"/>
          <w:numId w:val="621"/>
        </w:numPr>
        <w:spacing w:after="0"/>
        <w:jc w:val="both"/>
        <w:rPr>
          <w:rFonts w:eastAsiaTheme="minorEastAsia" w:cs="Times New Roman"/>
          <w:noProof/>
        </w:rPr>
      </w:pPr>
      <w:r>
        <w:rPr>
          <w:noProof/>
        </w:rPr>
        <w:t>vähennetään rahoitusmarkkinoille pääsyn esteitä poistamalla tietojärjestelmä (kaupan jälkeinen rajapinta), jolla seurataan arvopapereiden selvitystä, toimitusta ja rekisteröintiä laissa säädety</w:t>
      </w:r>
      <w:r>
        <w:rPr>
          <w:noProof/>
        </w:rPr>
        <w:t>n siirtymäkauden aikana.</w:t>
      </w:r>
    </w:p>
    <w:p w14:paraId="05387AEE" w14:textId="77777777" w:rsidR="000E48CE" w:rsidRDefault="00FF4C4E">
      <w:pPr>
        <w:pStyle w:val="P68B1DB1-Normal4"/>
        <w:spacing w:before="120" w:after="120"/>
        <w:jc w:val="both"/>
        <w:rPr>
          <w:rFonts w:cs="Times New Roman"/>
          <w:noProof/>
        </w:rPr>
      </w:pPr>
      <w:r>
        <w:rPr>
          <w:noProof/>
        </w:rPr>
        <w:t>Toimenpiteen täytäntöönpano on saatettava päätökseen viimeistään 30 päivänä kesäkuuta 2024.</w:t>
      </w:r>
    </w:p>
    <w:p w14:paraId="7D8C9E3E" w14:textId="77777777" w:rsidR="000E48CE" w:rsidRDefault="000E48CE">
      <w:pPr>
        <w:pStyle w:val="Text1"/>
        <w:ind w:left="0"/>
        <w:rPr>
          <w:rFonts w:ascii="Times New Roman" w:hAnsi="Times New Roman" w:cs="Times New Roman"/>
          <w:noProof/>
        </w:rPr>
      </w:pPr>
    </w:p>
    <w:p w14:paraId="169F9947" w14:textId="77777777" w:rsidR="000E48CE" w:rsidRDefault="00FF4C4E">
      <w:pPr>
        <w:pStyle w:val="P68B1DB1-Normal6"/>
        <w:spacing w:before="120" w:after="120"/>
        <w:jc w:val="both"/>
        <w:rPr>
          <w:rFonts w:eastAsiaTheme="minorEastAsia" w:cs="Times New Roman"/>
          <w:noProof/>
        </w:rPr>
      </w:pPr>
      <w:r>
        <w:rPr>
          <w:noProof/>
        </w:rPr>
        <w:t xml:space="preserve">Sijoitus 1 (C13.I1) – Yrittäjyys </w:t>
      </w:r>
    </w:p>
    <w:p w14:paraId="03C7E9E0" w14:textId="77777777" w:rsidR="000E48CE" w:rsidRDefault="00FF4C4E">
      <w:pPr>
        <w:pStyle w:val="P68B1DB1-Text119"/>
        <w:ind w:left="0"/>
        <w:rPr>
          <w:rFonts w:cs="Times New Roman"/>
          <w:noProof/>
        </w:rPr>
      </w:pPr>
      <w:r>
        <w:rPr>
          <w:noProof/>
        </w:rPr>
        <w:t xml:space="preserve">Investoinnin tavoitteena on edistää yrittäjyysekosysteemiä sen häiriönsietokyvyn ja kilpailukyvyn </w:t>
      </w:r>
      <w:r>
        <w:rPr>
          <w:noProof/>
        </w:rPr>
        <w:t>parantamiseksi sekä vastata vihreän ja digitaalisen siirtymän haasteisiin.</w:t>
      </w:r>
    </w:p>
    <w:p w14:paraId="2763E8E1" w14:textId="77777777" w:rsidR="000E48CE" w:rsidRDefault="00FF4C4E">
      <w:pPr>
        <w:pStyle w:val="P68B1DB1-Text119"/>
        <w:ind w:left="0"/>
        <w:rPr>
          <w:rFonts w:cs="Times New Roman"/>
          <w:noProof/>
        </w:rPr>
      </w:pPr>
      <w:r>
        <w:rPr>
          <w:noProof/>
        </w:rPr>
        <w:t>Investointi koostuu neljästä päätoimesta:</w:t>
      </w:r>
    </w:p>
    <w:p w14:paraId="3EE9C38C" w14:textId="1B85A1C1" w:rsidR="000E48CE" w:rsidRDefault="00FF4C4E">
      <w:pPr>
        <w:pStyle w:val="Text1"/>
        <w:ind w:left="0"/>
        <w:rPr>
          <w:rFonts w:ascii="Times New Roman" w:hAnsi="Times New Roman" w:cs="Times New Roman"/>
          <w:noProof/>
        </w:rPr>
      </w:pPr>
      <w:r>
        <w:rPr>
          <w:rFonts w:ascii="Times New Roman" w:hAnsi="Times New Roman"/>
          <w:noProof/>
        </w:rPr>
        <w:t>1) Yrittäjyystaitojen vahvistaminen, mukaan lukien osaaminen ja uudelleenkoulutus, ja yrittäjien tukeminen vihreää ja digitaalista siirtymä</w:t>
      </w:r>
      <w:r>
        <w:rPr>
          <w:rFonts w:ascii="Times New Roman" w:hAnsi="Times New Roman"/>
          <w:noProof/>
        </w:rPr>
        <w:t>ä koskevien EU:n painopisteiden mukaisesti. Osana tätä toimea vähintään 6900 yrittäjän on täytynyt toteuttaa ohjelma, jolla pyritään vahvistamaan yrittäjyysekosysteemiä. Yrittäjyystaitoja koskevasta ohjelmasta tuetaan 6100 yrittäjää (joista 1200 on naisia)</w:t>
      </w:r>
      <w:r>
        <w:rPr>
          <w:rFonts w:ascii="Times New Roman" w:hAnsi="Times New Roman"/>
          <w:noProof/>
        </w:rPr>
        <w:t xml:space="preserve"> ja 800 naisyrittäjää Women’s Talent Attraction -ohjelmasta.</w:t>
      </w:r>
      <w:r>
        <w:rPr>
          <w:rFonts w:ascii="Times New Roman" w:hAnsi="Times New Roman"/>
          <w:noProof/>
          <w:shd w:val="clear" w:color="auto" w:fill="E6E6E6"/>
        </w:rPr>
        <w:t xml:space="preserve"> </w:t>
      </w:r>
    </w:p>
    <w:p w14:paraId="28FFBA76" w14:textId="77777777" w:rsidR="000E48CE" w:rsidRDefault="00FF4C4E">
      <w:pPr>
        <w:pStyle w:val="P68B1DB1-Text119"/>
        <w:ind w:left="0"/>
        <w:rPr>
          <w:rFonts w:cs="Times New Roman"/>
          <w:noProof/>
        </w:rPr>
      </w:pPr>
      <w:r>
        <w:rPr>
          <w:noProof/>
        </w:rPr>
        <w:t>2) tarjota välineitä, joilla tuetaan yritysten perustamista ja liikkeenjohtoa ja vahvistetaan pk-yrityksiä, mukaan lukien vähintään 12000 aktiivisen käyttäjän tukeminen virtuaalisella ONE-Nation</w:t>
      </w:r>
      <w:r>
        <w:rPr>
          <w:noProof/>
        </w:rPr>
        <w:t>al Entrepreneurship Office -foorumilla pk-yrityspolitiikan strategiakehyksen 2030, Espanjan yrittäjyysstrategian ja Espanjan digitaalistrategian puitteissa;</w:t>
      </w:r>
    </w:p>
    <w:p w14:paraId="75A10A38" w14:textId="77777777" w:rsidR="000E48CE" w:rsidRDefault="00FF4C4E">
      <w:pPr>
        <w:pStyle w:val="P68B1DB1-Text119"/>
        <w:ind w:left="0"/>
        <w:rPr>
          <w:rFonts w:cs="Times New Roman"/>
          <w:noProof/>
        </w:rPr>
      </w:pPr>
      <w:r>
        <w:rPr>
          <w:noProof/>
        </w:rPr>
        <w:t>Tiedotus- ja viestintäkampanjat, joilla luodaan, kehitetään tai houkutellaan Espanjaan kansainvälis</w:t>
      </w:r>
      <w:r>
        <w:rPr>
          <w:noProof/>
        </w:rPr>
        <w:t>iä tapahtumia, joissa keskitytään innovatiivisiin yrityksiin, ja ohjelma, jolla houkutellaan naisia lahjakkuuksia. Tähän on sisällyttävä vähintään 20 lippulaivaohjelmassa kehitettyä yrittäjyystapahtumaa; ja vähintään 260 viestintätoimea (200 medianäyttelyä</w:t>
      </w:r>
      <w:r>
        <w:rPr>
          <w:noProof/>
        </w:rPr>
        <w:t xml:space="preserve"> ja 60 tapahtumaa) ”Brand Spain Entrepreneurship Nation”; ja</w:t>
      </w:r>
    </w:p>
    <w:p w14:paraId="3E11FFE1" w14:textId="77777777" w:rsidR="000E48CE" w:rsidRDefault="00FF4C4E">
      <w:pPr>
        <w:pStyle w:val="P68B1DB1-Normal4"/>
        <w:spacing w:line="240" w:lineRule="auto"/>
        <w:jc w:val="both"/>
        <w:rPr>
          <w:rFonts w:cs="Times New Roman"/>
          <w:noProof/>
        </w:rPr>
      </w:pPr>
      <w:r>
        <w:rPr>
          <w:noProof/>
        </w:rPr>
        <w:t xml:space="preserve">4) Yrittäjyyden ja pk-yritysten tukilinjan rahoittaminen naisten yrittäjyyden tukiohjelmasta. Tähän sisältyy vähintään 200 naisyrittäjän tukeminen </w:t>
      </w:r>
      <w:r>
        <w:rPr>
          <w:i/>
          <w:noProof/>
        </w:rPr>
        <w:t>Empresa Nacional de Innovación, S.A:n myöntämill</w:t>
      </w:r>
      <w:r>
        <w:rPr>
          <w:i/>
          <w:noProof/>
        </w:rPr>
        <w:t>ä osallistavilla lainoilla</w:t>
      </w:r>
      <w:r>
        <w:rPr>
          <w:noProof/>
        </w:rPr>
        <w:t xml:space="preserve">. </w:t>
      </w:r>
    </w:p>
    <w:p w14:paraId="53922631" w14:textId="77777777" w:rsidR="000E48CE" w:rsidRDefault="00FF4C4E">
      <w:pPr>
        <w:pStyle w:val="P68B1DB1-Text119"/>
        <w:ind w:left="0"/>
        <w:rPr>
          <w:rFonts w:cs="Times New Roman"/>
          <w:noProof/>
        </w:rPr>
      </w:pPr>
      <w:r>
        <w:rPr>
          <w:noProof/>
        </w:rPr>
        <w:t>Sen varmistamiseksi, että toimenpide on ”ei merkittävää haittaa” -ohjeiden (2021/C58/01) mukainen, Espanjan viranomaisten ja rahoitusvälineestä vastaavan yhteisön tai rahoituksen välittäjän välinen oikeudellinen sopimus ja raho</w:t>
      </w:r>
      <w:r>
        <w:rPr>
          <w:noProof/>
        </w:rPr>
        <w:t xml:space="preserve">itusvälineen myöhempi investointipolitiikka </w:t>
      </w:r>
    </w:p>
    <w:p w14:paraId="28CFFC45" w14:textId="709B2534" w:rsidR="000E48CE" w:rsidRDefault="00FF4C4E">
      <w:pPr>
        <w:pStyle w:val="P68B1DB1-Text119"/>
        <w:numPr>
          <w:ilvl w:val="0"/>
          <w:numId w:val="197"/>
        </w:numPr>
        <w:rPr>
          <w:rFonts w:cs="Times New Roman"/>
          <w:noProof/>
        </w:rPr>
      </w:pPr>
      <w:r>
        <w:rPr>
          <w:noProof/>
        </w:rPr>
        <w:t>edellytetään InvestEU-rahaston kestävyysarviointia koskevien komission teknisten ohjeiden soveltamista</w:t>
      </w:r>
    </w:p>
    <w:p w14:paraId="4E0DAE12" w14:textId="77777777" w:rsidR="000E48CE" w:rsidRDefault="00FF4C4E">
      <w:pPr>
        <w:pStyle w:val="P68B1DB1-Text119"/>
        <w:numPr>
          <w:ilvl w:val="0"/>
          <w:numId w:val="197"/>
        </w:numPr>
        <w:rPr>
          <w:rFonts w:cs="Times New Roman"/>
          <w:noProof/>
        </w:rPr>
      </w:pPr>
      <w:r>
        <w:rPr>
          <w:noProof/>
        </w:rPr>
        <w:t>jättää tukikelpoisuuden ulkopuolelle seuraavan luettelon toiminnoista ja omaisuuseristä: fossiilisiin poltto</w:t>
      </w:r>
      <w:r>
        <w:rPr>
          <w:noProof/>
        </w:rPr>
        <w:t>aineisiin liittyvät toiminnot ja omaisuuserät, mukaan lukien käyttö tuotantoketjun loppupäässä</w:t>
      </w:r>
      <w:r>
        <w:rPr>
          <w:noProof/>
        </w:rPr>
        <w:footnoteReference w:id="66"/>
      </w:r>
      <w:r>
        <w:rPr>
          <w:noProof/>
        </w:rPr>
        <w:t>; II) EU:n päästökauppajärjestelmään kuuluvat toiminnot ja omaisuuserät, joilla saavutetaan ennustetut kasvihuonekaasupäästöt, jotka eivät alita asiaankuuluvia v</w:t>
      </w:r>
      <w:r>
        <w:rPr>
          <w:noProof/>
        </w:rPr>
        <w:t>ertailuarvoja</w:t>
      </w:r>
      <w:r>
        <w:rPr>
          <w:noProof/>
        </w:rPr>
        <w:footnoteReference w:id="67"/>
      </w:r>
      <w:r>
        <w:rPr>
          <w:noProof/>
        </w:rPr>
        <w:t>; jätteiden kaatopaikkoihin, polttolaitoksiin ja mekaanisiin biologisiin käsittelylaitoksiin liittyvät toiminnot</w:t>
      </w:r>
      <w:r>
        <w:rPr>
          <w:noProof/>
        </w:rPr>
        <w:footnoteReference w:id="68"/>
      </w:r>
      <w:r>
        <w:rPr>
          <w:noProof/>
        </w:rPr>
        <w:t xml:space="preserve"> ja omaisuus</w:t>
      </w:r>
      <w:r>
        <w:rPr>
          <w:noProof/>
        </w:rPr>
        <w:footnoteReference w:id="69"/>
      </w:r>
      <w:r>
        <w:rPr>
          <w:noProof/>
        </w:rPr>
        <w:t xml:space="preserve">; ja iv) toiminnot ja omaisuuserät, joissa jätteiden pitkän aikavälin loppukäsittely voi aiheuttaa vahinkoa </w:t>
      </w:r>
      <w:r>
        <w:rPr>
          <w:noProof/>
        </w:rPr>
        <w:t>ympäristölle; ja</w:t>
      </w:r>
    </w:p>
    <w:p w14:paraId="7DDBBB8E" w14:textId="77777777" w:rsidR="000E48CE" w:rsidRDefault="00FF4C4E">
      <w:pPr>
        <w:pStyle w:val="P68B1DB1-Text119"/>
        <w:numPr>
          <w:ilvl w:val="0"/>
          <w:numId w:val="197"/>
        </w:numPr>
        <w:rPr>
          <w:rFonts w:cs="Times New Roman"/>
          <w:noProof/>
        </w:rPr>
      </w:pPr>
      <w:r>
        <w:rPr>
          <w:noProof/>
        </w:rPr>
        <w:t>vaatia, että yhteisö/rahoituksen välittäjä varmentaa hankkeita koskevan EU:n ja kansallisen ympäristölainsäädännön noudattamisen kaikissa liiketoimissa, mukaan lukien ne, jotka on vapautettu kestävyysarvioinnista.</w:t>
      </w:r>
    </w:p>
    <w:p w14:paraId="71B740AD"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w:t>
      </w:r>
      <w:r>
        <w:rPr>
          <w:rFonts w:ascii="Times New Roman" w:hAnsi="Times New Roman"/>
          <w:noProof/>
        </w:rPr>
        <w:t xml:space="preserve"> toimenpide on ”ei merkittävää haittaa” -ohjelman teknisten ohjeiden (2021/C58/01) mukainen, tulevien hankepyyntöjen toimeksiannossa ei oteta huomioon seuraavia toimia koskevaa luetteloa: fossiilisiin polttoaineisiin liittyvät toiminnot, mukaan lukien käyt</w:t>
      </w:r>
      <w:r>
        <w:rPr>
          <w:rFonts w:ascii="Times New Roman" w:hAnsi="Times New Roman"/>
          <w:noProof/>
        </w:rPr>
        <w:t>tö loppupäässä</w:t>
      </w:r>
      <w:r>
        <w:rPr>
          <w:rStyle w:val="FootnoteReference"/>
          <w:rFonts w:ascii="Times New Roman" w:hAnsi="Times New Roman" w:cs="Times New Roman"/>
          <w:noProof/>
        </w:rPr>
        <w:footnoteReference w:id="70"/>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71"/>
      </w:r>
      <w:r>
        <w:rPr>
          <w:rFonts w:ascii="Times New Roman" w:hAnsi="Times New Roman"/>
          <w:noProof/>
        </w:rPr>
        <w:t>; jätteiden kaatopaikkoihin, polttolaitoksiin</w:t>
      </w:r>
      <w:r>
        <w:rPr>
          <w:rStyle w:val="FootnoteReference"/>
          <w:rFonts w:ascii="Times New Roman" w:hAnsi="Times New Roman" w:cs="Times New Roman"/>
          <w:noProof/>
        </w:rPr>
        <w:footnoteReference w:id="72"/>
      </w:r>
      <w:r>
        <w:rPr>
          <w:rFonts w:ascii="Times New Roman" w:hAnsi="Times New Roman"/>
          <w:noProof/>
        </w:rPr>
        <w:t xml:space="preserve"> ja mekaanisiin biologisiin käsittelyla</w:t>
      </w:r>
      <w:r>
        <w:rPr>
          <w:rFonts w:ascii="Times New Roman" w:hAnsi="Times New Roman"/>
          <w:noProof/>
        </w:rPr>
        <w:t>itoksiin liittyvät toimet</w:t>
      </w:r>
      <w:r>
        <w:rPr>
          <w:rStyle w:val="FootnoteReference"/>
          <w:rFonts w:ascii="Times New Roman" w:hAnsi="Times New Roman" w:cs="Times New Roman"/>
          <w:noProof/>
        </w:rPr>
        <w:footnoteReference w:id="73"/>
      </w:r>
      <w:r>
        <w:rPr>
          <w:rFonts w:ascii="Times New Roman" w:hAnsi="Times New Roman"/>
          <w:noProof/>
        </w:rPr>
        <w:t>; ja iv) toiminnot, joissa jätteiden pitkän aikavälin loppukäsittely voi aiheuttaa haittaa ympäristölle. Tehtävänmäärityksessä on lisäksi edellytettävä, että ainoastaan asiaa koskevan EU:n ja kansallisen ympäristölainsäädännön muk</w:t>
      </w:r>
      <w:r>
        <w:rPr>
          <w:rFonts w:ascii="Times New Roman" w:hAnsi="Times New Roman"/>
          <w:noProof/>
        </w:rPr>
        <w:t>aisia toimintoja voidaan valita.</w:t>
      </w:r>
    </w:p>
    <w:p w14:paraId="1E392410" w14:textId="0AEF2FA9" w:rsidR="000E48CE" w:rsidRDefault="00FF4C4E">
      <w:pPr>
        <w:pStyle w:val="P68B1DB1-Normal4"/>
        <w:spacing w:line="240" w:lineRule="auto"/>
        <w:jc w:val="both"/>
        <w:rPr>
          <w:rFonts w:cs="Times New Roman"/>
          <w:noProof/>
        </w:rPr>
      </w:pPr>
      <w:r>
        <w:rPr>
          <w:noProof/>
        </w:rPr>
        <w:t xml:space="preserve">Investoinnin toteutus saatetaan päätökseen viimeistään 31. joulukuuta 2025. </w:t>
      </w:r>
    </w:p>
    <w:p w14:paraId="11292CFE" w14:textId="77777777" w:rsidR="000E48CE" w:rsidRDefault="00FF4C4E">
      <w:pPr>
        <w:pStyle w:val="P68B1DB1-Text120"/>
        <w:ind w:left="0"/>
        <w:rPr>
          <w:rFonts w:cs="Times New Roman"/>
          <w:noProof/>
        </w:rPr>
      </w:pPr>
      <w:r>
        <w:rPr>
          <w:noProof/>
        </w:rPr>
        <w:t xml:space="preserve">Investointi 2 (C13.I2) – Kasvu </w:t>
      </w:r>
    </w:p>
    <w:p w14:paraId="73AFC212" w14:textId="77777777" w:rsidR="000E48CE" w:rsidRDefault="00FF4C4E">
      <w:pPr>
        <w:pStyle w:val="P68B1DB1-Text119"/>
        <w:ind w:left="0"/>
        <w:rPr>
          <w:rFonts w:cs="Times New Roman"/>
          <w:noProof/>
        </w:rPr>
      </w:pPr>
      <w:r>
        <w:rPr>
          <w:noProof/>
        </w:rPr>
        <w:t xml:space="preserve">Toimenpiteen tavoitteena on edistää pk-yritysten kasvua. </w:t>
      </w:r>
    </w:p>
    <w:p w14:paraId="38B5166A" w14:textId="77777777" w:rsidR="000E48CE" w:rsidRDefault="00FF4C4E">
      <w:pPr>
        <w:pStyle w:val="P68B1DB1-Text119"/>
        <w:ind w:left="0"/>
        <w:rPr>
          <w:rFonts w:cs="Times New Roman"/>
          <w:noProof/>
        </w:rPr>
      </w:pPr>
      <w:r>
        <w:rPr>
          <w:noProof/>
        </w:rPr>
        <w:t>Investointi koostuu toimista, jotka koskevat</w:t>
      </w:r>
    </w:p>
    <w:p w14:paraId="1629AD50" w14:textId="77777777" w:rsidR="000E48CE" w:rsidRDefault="00FF4C4E">
      <w:pPr>
        <w:pStyle w:val="P68B1DB1-Text119"/>
        <w:ind w:left="0"/>
        <w:rPr>
          <w:rFonts w:cs="Times New Roman"/>
          <w:noProof/>
        </w:rPr>
      </w:pPr>
      <w:r>
        <w:rPr>
          <w:noProof/>
        </w:rPr>
        <w:t>1) tuki (11</w:t>
      </w:r>
      <w:r>
        <w:rPr>
          <w:noProof/>
        </w:rPr>
        <w:t>000) yksittäiselle pk-yritykselle ”Pk-yritysten kasvua edistävät taidot” -ohjelmasta. Ohjelman tavoitteena on tarjota yrityksille tarvittavat taidot, jotta ne voivat kasvaa ja parantaa kilpailukykyään, muuttaa liiketoimintamallejaan ja edistää vihreää ja d</w:t>
      </w:r>
      <w:r>
        <w:rPr>
          <w:noProof/>
        </w:rPr>
        <w:t>igitaalista siirtymää.</w:t>
      </w:r>
    </w:p>
    <w:p w14:paraId="57EA9081" w14:textId="77777777" w:rsidR="000E48CE" w:rsidRDefault="00FF4C4E">
      <w:pPr>
        <w:pStyle w:val="P68B1DB1-Text119"/>
        <w:ind w:left="0"/>
        <w:rPr>
          <w:rFonts w:cs="Times New Roman"/>
          <w:noProof/>
        </w:rPr>
      </w:pPr>
      <w:r>
        <w:rPr>
          <w:noProof/>
        </w:rPr>
        <w:t>2) Pitkän aikavälin rahoitustuki pk-yritysten kehittämille teollisuushankkeille (1500) tämän investoinnin puitteissa toteutettavia toimia varten uusiin teollisuuslaitoksiin tai olemassa olevien teollisuuslaitosten laajentamiseen, ott</w:t>
      </w:r>
      <w:r>
        <w:rPr>
          <w:noProof/>
        </w:rPr>
        <w:t>aen huomioon mahdollisuudet edistää ilmastonmuutoksen hillitsemistä.</w:t>
      </w:r>
    </w:p>
    <w:p w14:paraId="5CB698C7" w14:textId="77777777" w:rsidR="000E48CE" w:rsidRDefault="00FF4C4E">
      <w:pPr>
        <w:pStyle w:val="P68B1DB1-Text119"/>
        <w:ind w:left="0"/>
        <w:rPr>
          <w:rFonts w:cs="Times New Roman"/>
          <w:noProof/>
        </w:rPr>
      </w:pPr>
      <w:r>
        <w:rPr>
          <w:noProof/>
        </w:rPr>
        <w:t xml:space="preserve">3)Pk-yritysten rahoituksen saannin parantaminen tarjoamalla tukea rahoitustakuiden, kaupallisten ja teknisten takuiden muodossa vahvistamalla </w:t>
      </w:r>
      <w:r>
        <w:rPr>
          <w:i/>
          <w:noProof/>
        </w:rPr>
        <w:t>Compañia Española de Reafianzamiento SME S.A.</w:t>
      </w:r>
      <w:r>
        <w:rPr>
          <w:i/>
          <w:noProof/>
        </w:rPr>
        <w:t xml:space="preserve"> -yritystä (</w:t>
      </w:r>
      <w:r>
        <w:rPr>
          <w:noProof/>
        </w:rPr>
        <w:t xml:space="preserve"> CERSA) elpymis- ja palautumistukivälinettä koskevan asetuksen tukikelpoisuuskriteerien mukaisesti, kuten jäsenvaltioille 21. tammikuuta 2021 annetuissa ohjeissa säädetään. Osana tätä toimintalinjaa CERSA antaa pitkäaikaista tukea vastatakaukse</w:t>
      </w:r>
      <w:r>
        <w:rPr>
          <w:noProof/>
        </w:rPr>
        <w:t>nsa kautta alueellisille keskinäisten takausten yhdistyksille niiden kantaman riskin tukemiseksi. CERSA edistää pk-yritysten kilpailukykyä ja häiriönsietokykyä myös kolmella uudella erityisellä budjettikohdasta, jotka mahdollistavat pitkäaikaisen rahoituks</w:t>
      </w:r>
      <w:r>
        <w:rPr>
          <w:noProof/>
        </w:rPr>
        <w:t>en ja käyttöpääoman toimien saatavuuden tämän investoinnin puitteissa seuraavilla aloilla: digitalisaatio kestävyys; kasvu ja elpyminen (kestävyyttä vahvistetaan pääasiassa niiden pk-yritysten osalta, joihin covid-19-pandemia on vaikuttanut ja jotka ovat v</w:t>
      </w:r>
      <w:r>
        <w:rPr>
          <w:noProof/>
        </w:rPr>
        <w:t xml:space="preserve">almiita toteuttamaan merkittäviä muutos- ja kasvusuunnitelmia). </w:t>
      </w:r>
    </w:p>
    <w:p w14:paraId="640FE40E" w14:textId="77777777" w:rsidR="000E48CE" w:rsidRDefault="00FF4C4E">
      <w:pPr>
        <w:pStyle w:val="P68B1DB1-Text119"/>
        <w:ind w:left="0"/>
        <w:rPr>
          <w:rFonts w:cs="Times New Roman"/>
          <w:noProof/>
        </w:rPr>
      </w:pPr>
      <w:r>
        <w:rPr>
          <w:noProof/>
        </w:rPr>
        <w:t>Lisäksi rahoitusvakuusvälineen täytäntöönpanoa varten on tehtävä sopimus investoinnista vastaavan ministeriön ja toteutuskumppanin tai toimeksi saaneen yhteisön välillä. Sopimuksessa on esite</w:t>
      </w:r>
      <w:r>
        <w:rPr>
          <w:noProof/>
        </w:rPr>
        <w:t>ttävä velvoitteiksi elpymis- ja palautumissuunnitelmaan sisältyvät tiedot. Lisäksi kaikki rahoitusvälineeseen liittyvät takaisin saadut varat (eli lainan korot, oman pääoman tuotto tai takaisinmaksettu pääoma, josta on vähennetty liitännäiskulut), olisi si</w:t>
      </w:r>
      <w:r>
        <w:rPr>
          <w:noProof/>
        </w:rPr>
        <w:t>joitettava uudelleen samoihin toimintapoliittisiin tavoitteisiin, myös vuoden 2026 jälkeen. Sen varmistamiseksi, että toimenpide on ”ei merkittävää haittaa” -ohjeiden (2021/C58/01) mukainen, Espanjan viranomaisten ja rahoitusvälineestä vastaavan yhteisön t</w:t>
      </w:r>
      <w:r>
        <w:rPr>
          <w:noProof/>
        </w:rPr>
        <w:t xml:space="preserve">ai rahoituksen välittäjän välinen oikeudellinen sopimus ja rahoitusvälineen myöhempi investointipolitiikka </w:t>
      </w:r>
    </w:p>
    <w:p w14:paraId="50ACDE27" w14:textId="77777777" w:rsidR="000E48CE" w:rsidRDefault="00FF4C4E">
      <w:pPr>
        <w:pStyle w:val="P68B1DB1-Text119"/>
        <w:numPr>
          <w:ilvl w:val="0"/>
          <w:numId w:val="199"/>
        </w:numPr>
        <w:rPr>
          <w:rFonts w:cs="Times New Roman"/>
          <w:noProof/>
        </w:rPr>
      </w:pPr>
      <w:r>
        <w:rPr>
          <w:noProof/>
        </w:rPr>
        <w:t>vaatia InvestEU-rahaston kestävyysarviointia koskevien komission teknisten ohjeiden soveltamista;</w:t>
      </w:r>
    </w:p>
    <w:p w14:paraId="12D35BAE" w14:textId="77777777" w:rsidR="000E48CE" w:rsidRDefault="00FF4C4E">
      <w:pPr>
        <w:pStyle w:val="P68B1DB1-Text119"/>
        <w:numPr>
          <w:ilvl w:val="0"/>
          <w:numId w:val="199"/>
        </w:numPr>
        <w:rPr>
          <w:rFonts w:cs="Times New Roman"/>
          <w:noProof/>
        </w:rPr>
      </w:pPr>
      <w:r>
        <w:rPr>
          <w:noProof/>
        </w:rPr>
        <w:t>jättää tukikelpoisuuden ulkopuolelle seuraavan lue</w:t>
      </w:r>
      <w:r>
        <w:rPr>
          <w:noProof/>
        </w:rPr>
        <w:t>ttelon toiminnoista ja omaisuuseristä: fossiilisiin polttoaineisiin liittyvät toiminnot ja omaisuuserät, mukaan lukien käyttö tuotantoketjun loppupäässä</w:t>
      </w:r>
      <w:r>
        <w:rPr>
          <w:noProof/>
        </w:rPr>
        <w:footnoteReference w:id="74"/>
      </w:r>
      <w:r>
        <w:rPr>
          <w:noProof/>
        </w:rPr>
        <w:t xml:space="preserve">; II) EU:n päästökauppajärjestelmään kuuluvat toiminnot ja omaisuuserät, joilla saavutetaan ennustetut </w:t>
      </w:r>
      <w:r>
        <w:rPr>
          <w:noProof/>
        </w:rPr>
        <w:t>kasvihuonekaasupäästöt, jotka eivät alita asiaankuuluvia vertailuarvoja</w:t>
      </w:r>
      <w:r>
        <w:rPr>
          <w:noProof/>
        </w:rPr>
        <w:footnoteReference w:id="75"/>
      </w:r>
      <w:r>
        <w:rPr>
          <w:noProof/>
        </w:rPr>
        <w:t>; jätteiden kaatopaikkoihin, polttolaitoksiin ja mekaanisiin biologisiin käsittelylaitoksiin liittyvät toiminnot</w:t>
      </w:r>
      <w:r>
        <w:rPr>
          <w:noProof/>
        </w:rPr>
        <w:footnoteReference w:id="76"/>
      </w:r>
      <w:r>
        <w:rPr>
          <w:noProof/>
        </w:rPr>
        <w:t xml:space="preserve"> ja omaisuus</w:t>
      </w:r>
      <w:r>
        <w:rPr>
          <w:noProof/>
        </w:rPr>
        <w:footnoteReference w:id="77"/>
      </w:r>
      <w:r>
        <w:rPr>
          <w:noProof/>
        </w:rPr>
        <w:t>; ja iv) toiminnot ja omaisuuserät, joissa jätteiden pitkä</w:t>
      </w:r>
      <w:r>
        <w:rPr>
          <w:noProof/>
        </w:rPr>
        <w:t>n aikavälin loppukäsittely voi aiheuttaa vahinkoa ympäristölle; ja</w:t>
      </w:r>
    </w:p>
    <w:p w14:paraId="5170F010" w14:textId="77777777" w:rsidR="000E48CE" w:rsidRDefault="00FF4C4E">
      <w:pPr>
        <w:pStyle w:val="P68B1DB1-Text119"/>
        <w:numPr>
          <w:ilvl w:val="0"/>
          <w:numId w:val="199"/>
        </w:numPr>
        <w:rPr>
          <w:rFonts w:cs="Times New Roman"/>
          <w:noProof/>
        </w:rPr>
      </w:pPr>
      <w:r>
        <w:rPr>
          <w:noProof/>
        </w:rPr>
        <w:t>vaatia, että yhteisö/rahoituksen välittäjä varmentaa hankkeita koskevan EU:n ja kansallisen ympäristölainsäädännön noudattamisen kaikissa liiketoimissa, mukaan lukien ne, jotka on vapautett</w:t>
      </w:r>
      <w:r>
        <w:rPr>
          <w:noProof/>
        </w:rPr>
        <w:t>u kestävyysarvioinnista.</w:t>
      </w:r>
    </w:p>
    <w:p w14:paraId="74B66515"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on ”ei merkittävää haittaa” -ohjelman teknisten ohjeiden (2021/C58/01) mukainen, tulevien hankepyyntöjen toimeksiannossa ei oteta huomioon seuraavia toimia koskevaa luetteloa: fossiilisiin poltt</w:t>
      </w:r>
      <w:r>
        <w:rPr>
          <w:rFonts w:ascii="Times New Roman" w:hAnsi="Times New Roman"/>
          <w:noProof/>
        </w:rPr>
        <w:t>oaineisiin liittyvät toiminnot, mukaan lukien käyttö loppupäässä</w:t>
      </w:r>
      <w:r>
        <w:rPr>
          <w:rStyle w:val="FootnoteReference"/>
          <w:rFonts w:ascii="Times New Roman" w:hAnsi="Times New Roman" w:cs="Times New Roman"/>
          <w:noProof/>
        </w:rPr>
        <w:footnoteReference w:id="78"/>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79"/>
      </w:r>
      <w:r>
        <w:rPr>
          <w:rFonts w:ascii="Times New Roman" w:hAnsi="Times New Roman"/>
          <w:noProof/>
        </w:rPr>
        <w:t>; jätteiden kaatopaikkoihin, poltto</w:t>
      </w:r>
      <w:r>
        <w:rPr>
          <w:rFonts w:ascii="Times New Roman" w:hAnsi="Times New Roman"/>
          <w:noProof/>
        </w:rPr>
        <w:t>laitoksiin</w:t>
      </w:r>
      <w:r>
        <w:rPr>
          <w:rStyle w:val="FootnoteReference"/>
          <w:rFonts w:ascii="Times New Roman" w:hAnsi="Times New Roman" w:cs="Times New Roman"/>
          <w:noProof/>
        </w:rPr>
        <w:footnoteReference w:id="80"/>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81"/>
      </w:r>
      <w:r>
        <w:rPr>
          <w:rFonts w:ascii="Times New Roman" w:hAnsi="Times New Roman"/>
          <w:noProof/>
        </w:rPr>
        <w:t>; ja iv) toiminnot, joissa jätteiden pitkän aikavälin loppukäsittely voi aiheuttaa haittaa ympäristölle. Tehtävänmäärityksessä on lisäksi edellytettävä, että ainoastaan asiaa koske</w:t>
      </w:r>
      <w:r>
        <w:rPr>
          <w:rFonts w:ascii="Times New Roman" w:hAnsi="Times New Roman"/>
          <w:noProof/>
        </w:rPr>
        <w:t>van EU:n ja kansallisen ympäristölainsäädännön mukaisia toimintoja voidaan valita.</w:t>
      </w:r>
    </w:p>
    <w:p w14:paraId="1450DD94" w14:textId="15040BF0" w:rsidR="000E48CE" w:rsidRDefault="00FF4C4E">
      <w:pPr>
        <w:pStyle w:val="P68B1DB1-Normal4"/>
        <w:spacing w:line="240" w:lineRule="auto"/>
        <w:jc w:val="both"/>
        <w:rPr>
          <w:rFonts w:cs="Times New Roman"/>
          <w:noProof/>
        </w:rPr>
      </w:pPr>
      <w:r>
        <w:rPr>
          <w:noProof/>
        </w:rPr>
        <w:t>Investoinnin toteutus saatetaan päätökseen viimeistään 31. joulukuuta 2024.</w:t>
      </w:r>
    </w:p>
    <w:p w14:paraId="7D512F7C" w14:textId="77777777" w:rsidR="000E48CE" w:rsidRDefault="00FF4C4E">
      <w:pPr>
        <w:pStyle w:val="P68B1DB1-Text120"/>
        <w:ind w:left="0"/>
        <w:rPr>
          <w:rFonts w:cs="Times New Roman"/>
          <w:noProof/>
        </w:rPr>
      </w:pPr>
      <w:r>
        <w:rPr>
          <w:noProof/>
        </w:rPr>
        <w:t xml:space="preserve">Investointi 3 (C13.I3) Digitalisaatio ja innovointi </w:t>
      </w:r>
    </w:p>
    <w:p w14:paraId="2E979525" w14:textId="77777777" w:rsidR="000E48CE" w:rsidRDefault="00FF4C4E">
      <w:pPr>
        <w:pStyle w:val="P68B1DB1-Text119"/>
        <w:ind w:left="0"/>
        <w:rPr>
          <w:rFonts w:cs="Times New Roman"/>
          <w:noProof/>
        </w:rPr>
      </w:pPr>
      <w:r>
        <w:rPr>
          <w:noProof/>
        </w:rPr>
        <w:t xml:space="preserve">Tämän investoinnin tavoitteena on antaa </w:t>
      </w:r>
      <w:r>
        <w:rPr>
          <w:noProof/>
        </w:rPr>
        <w:t>pk-yrityksille taidot ja välineet, joilla ne voivat edistää digitaalista siirtymää ja vastata siitä johtuviin haasteisiin. Se on yhdenmukainen Espanjan digitaalistrategian 2025 kanssa, ja sitä täydennetään liitettävyyttä koskevalla osa-alueella 15 ja digit</w:t>
      </w:r>
      <w:r>
        <w:rPr>
          <w:noProof/>
        </w:rPr>
        <w:t>aalisia taitoja koskevalla osa-alueella 19.</w:t>
      </w:r>
    </w:p>
    <w:p w14:paraId="084171E7" w14:textId="77777777" w:rsidR="000E48CE" w:rsidRDefault="00FF4C4E">
      <w:pPr>
        <w:pStyle w:val="P68B1DB1-Text119"/>
        <w:ind w:left="0"/>
        <w:rPr>
          <w:rFonts w:cs="Times New Roman"/>
          <w:noProof/>
        </w:rPr>
      </w:pPr>
      <w:r>
        <w:rPr>
          <w:noProof/>
        </w:rPr>
        <w:t>Investoinnissa on keskityttävä seuraaviin eri toimiin:</w:t>
      </w:r>
    </w:p>
    <w:p w14:paraId="51BB6D01" w14:textId="6F6D0FDA" w:rsidR="000E48CE" w:rsidRDefault="00FF4C4E">
      <w:pPr>
        <w:pStyle w:val="P68B1DB1-Text119"/>
        <w:ind w:left="0"/>
        <w:rPr>
          <w:rFonts w:cs="Times New Roman"/>
          <w:noProof/>
        </w:rPr>
      </w:pPr>
      <w:r>
        <w:rPr>
          <w:noProof/>
        </w:rPr>
        <w:t xml:space="preserve">1) </w:t>
      </w:r>
      <w:r>
        <w:rPr>
          <w:noProof/>
          <w:u w:val="single"/>
        </w:rPr>
        <w:t>Digitaalinen työkalupakki:</w:t>
      </w:r>
      <w:r>
        <w:rPr>
          <w:noProof/>
        </w:rPr>
        <w:t xml:space="preserve"> Tämä on tämän toimenpiteen tärkein toimi, jolla edistetään pienten ja keskisuurten yritysten (kymmenen alle 250 työntekijää), m</w:t>
      </w:r>
      <w:r>
        <w:rPr>
          <w:noProof/>
        </w:rPr>
        <w:t>ikroyritysten (yhdestä yhdeksään työntekijää) ja itsenäisten ammatinharjoittajien digitalisointia millä tahansa taloudellisen toiminnan alalla ja nostaa niiden digitaalista kypsyystasoa. Ohjelma perustuu avustuksiin, joilla tuetaan digitaaliteknologian int</w:t>
      </w:r>
      <w:r>
        <w:rPr>
          <w:noProof/>
        </w:rPr>
        <w:t>egrointia, jotta voidaan ottaa tehokkaasti käyttöön sähköinen kaupankäynti, digitalisoida suhteet julkishallintoon ja asiakkaisiin, kehittää digitaalisia sisäisiä prosesseja sekä ottaa käyttöön sähköinen laskutus ja digitaalinen markkinointi. erityisesti p</w:t>
      </w:r>
      <w:r>
        <w:rPr>
          <w:noProof/>
        </w:rPr>
        <w:t>alvelusuuntautuneiden ratkaisujen edistäminen. Ohjelmasta tuetaan osittain kustannuksia, jotka aiheutuvat sellaisten digitaalisten perusratkaisujen hyväksymisestä, kuten internetnäkyvyydestä, sähköisestä myynnistä, pilvipalveluista, digitaalisista työpaiko</w:t>
      </w:r>
      <w:r>
        <w:rPr>
          <w:noProof/>
        </w:rPr>
        <w:t>ista, digitalisaation perusprosesseista, asiakashallinnosta, digitaalisesta markkinoinnista ja kyberturvallisuudesta. Kullekin DTK-digitointipaketille myönnetään kiinteä avustus, joka määritetään kussakin ehdotuspyynnössä yrityksen koon ja toimialan mukaan</w:t>
      </w:r>
      <w:r>
        <w:rPr>
          <w:noProof/>
        </w:rPr>
        <w:t>.</w:t>
      </w:r>
    </w:p>
    <w:p w14:paraId="1E51A126" w14:textId="77777777" w:rsidR="000E48CE" w:rsidRDefault="00FF4C4E">
      <w:pPr>
        <w:pStyle w:val="P68B1DB1-Text119"/>
        <w:ind w:left="0"/>
        <w:rPr>
          <w:rFonts w:cs="Times New Roman"/>
          <w:noProof/>
        </w:rPr>
      </w:pPr>
      <w:r>
        <w:rPr>
          <w:noProof/>
        </w:rPr>
        <w:t>2)</w:t>
      </w:r>
      <w:r>
        <w:rPr>
          <w:noProof/>
          <w:u w:val="single"/>
        </w:rPr>
        <w:t>”Muutostoimijat” -ohjelma</w:t>
      </w:r>
      <w:r>
        <w:rPr>
          <w:noProof/>
        </w:rPr>
        <w:t>: ohjelmalla tuetaan vähintään 15000 pientä ja keskisuurta yritystä (kymmenen-249 työntekijää) niiden digitalisaatioprosesseissa.</w:t>
      </w:r>
    </w:p>
    <w:p w14:paraId="3C9FE3DB" w14:textId="77777777" w:rsidR="000E48CE" w:rsidRDefault="00FF4C4E">
      <w:pPr>
        <w:pStyle w:val="P68B1DB1-Text119"/>
        <w:ind w:left="0"/>
        <w:rPr>
          <w:rFonts w:cs="Times New Roman"/>
          <w:noProof/>
        </w:rPr>
      </w:pPr>
      <w:r>
        <w:rPr>
          <w:noProof/>
        </w:rPr>
        <w:t>3) ”Pk</w:t>
      </w:r>
      <w:r>
        <w:rPr>
          <w:noProof/>
          <w:u w:val="single"/>
        </w:rPr>
        <w:t>-yritykset 2.0:n kiihdyttimet” -ohjelma</w:t>
      </w:r>
      <w:r>
        <w:rPr>
          <w:noProof/>
        </w:rPr>
        <w:t>: kyseessä on tähän investointiin kuuluva toimi, jol</w:t>
      </w:r>
      <w:r>
        <w:rPr>
          <w:noProof/>
        </w:rPr>
        <w:t>la laajennetaan pk-yritysten digitalisaatiota tukevaa infrastruktuuria neuvontapalveluilla ja koulutuspalveluilla.</w:t>
      </w:r>
    </w:p>
    <w:p w14:paraId="5CF5131C" w14:textId="77777777" w:rsidR="000E48CE" w:rsidRDefault="00FF4C4E">
      <w:pPr>
        <w:pStyle w:val="P68B1DB1-Text119"/>
        <w:ind w:left="0"/>
        <w:rPr>
          <w:rFonts w:cs="Times New Roman"/>
          <w:noProof/>
        </w:rPr>
      </w:pPr>
      <w:r>
        <w:rPr>
          <w:noProof/>
        </w:rPr>
        <w:t>5)</w:t>
      </w:r>
      <w:r>
        <w:rPr>
          <w:noProof/>
          <w:u w:val="single"/>
        </w:rPr>
        <w:t>Innovatiivista yritysklusteritukea koskeva ohjelma</w:t>
      </w:r>
      <w:r>
        <w:rPr>
          <w:noProof/>
        </w:rPr>
        <w:t>: tällä toimenpiteellä tuetaan hankkeita eri teollisuudenalojen arvoketjun digitalisoimis</w:t>
      </w:r>
      <w:r>
        <w:rPr>
          <w:noProof/>
        </w:rPr>
        <w:t>eksi niiden nykyaikaistamiseksi ja pk-yritysten sisällyttämiseksi arvoketjuun.</w:t>
      </w:r>
    </w:p>
    <w:p w14:paraId="40EB0F1C" w14:textId="77777777" w:rsidR="000E48CE" w:rsidRDefault="00FF4C4E">
      <w:pPr>
        <w:pStyle w:val="P68B1DB1-Text119"/>
        <w:ind w:left="0"/>
        <w:rPr>
          <w:rFonts w:cs="Times New Roman"/>
          <w:noProof/>
        </w:rPr>
      </w:pPr>
      <w:r>
        <w:rPr>
          <w:noProof/>
        </w:rPr>
        <w:t>6) ”</w:t>
      </w:r>
      <w:r>
        <w:rPr>
          <w:noProof/>
          <w:u w:val="single"/>
        </w:rPr>
        <w:t>Digitaali-innovointikeskittymiä” koskeva ohjelma</w:t>
      </w:r>
      <w:r>
        <w:rPr>
          <w:noProof/>
        </w:rPr>
        <w:t>: kyseessä on ohjelma, jolla tuetaan digitaali-innovointikeskittymien kehittämistä Espanjassa. Digitaali-innovointikeskittymä</w:t>
      </w:r>
      <w:r>
        <w:rPr>
          <w:noProof/>
        </w:rPr>
        <w:t>t ovat rakenteita, jotka auttavat yrityksiä vastaamaan digitaalisiin haasteisiin ja parantamaan kilpailukykyään parantamalla liiketoiminta- ja tuotantoprosessejaan digitaaliteknologian intensiivisen käytön avulla. Osana tätä alatoimenpidettä 25 digitaali-i</w:t>
      </w:r>
      <w:r>
        <w:rPr>
          <w:noProof/>
        </w:rPr>
        <w:t>nnovointikeskittymiä tuetaan.</w:t>
      </w:r>
    </w:p>
    <w:p w14:paraId="14AF7B44"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noudattaa ”ei merkittävää haittaa” -periaatetta koskevaa teknistä ohjetta (2021/C58/01), tulevien hankepyyntöjen tehtävänmääritykseen sisältyviin tukikelpoisuusperusteisiin ei lueta seuraav</w:t>
      </w:r>
      <w:r>
        <w:rPr>
          <w:rFonts w:ascii="Times New Roman" w:hAnsi="Times New Roman"/>
          <w:noProof/>
        </w:rPr>
        <w:t>ia toimia: fossiilisiin polttoaineisiin liittyvät toiminnot, mukaan lukien käyttö loppupäässä</w:t>
      </w:r>
      <w:r>
        <w:rPr>
          <w:rStyle w:val="FootnoteReference"/>
          <w:rFonts w:ascii="Times New Roman" w:hAnsi="Times New Roman" w:cs="Times New Roman"/>
          <w:noProof/>
        </w:rPr>
        <w:footnoteReference w:id="82"/>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83"/>
      </w:r>
      <w:r>
        <w:rPr>
          <w:rFonts w:ascii="Times New Roman" w:hAnsi="Times New Roman"/>
          <w:noProof/>
        </w:rPr>
        <w:t xml:space="preserve">; </w:t>
      </w:r>
      <w:r>
        <w:rPr>
          <w:rFonts w:ascii="Times New Roman" w:hAnsi="Times New Roman"/>
          <w:noProof/>
        </w:rPr>
        <w:t>jätteiden kaatopaikkoihin, polttolaitoksiin</w:t>
      </w:r>
      <w:r>
        <w:rPr>
          <w:rStyle w:val="FootnoteReference"/>
          <w:rFonts w:ascii="Times New Roman" w:hAnsi="Times New Roman" w:cs="Times New Roman"/>
          <w:noProof/>
        </w:rPr>
        <w:footnoteReference w:id="84"/>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85"/>
      </w:r>
      <w:r>
        <w:rPr>
          <w:rFonts w:ascii="Times New Roman" w:hAnsi="Times New Roman"/>
          <w:noProof/>
        </w:rPr>
        <w:t>; ja iv) toiminnot, joissa jätteiden pitkän aikavälin loppukäsittely voi aiheuttaa haittaa ympäristölle. Tehtävänmäärityksessä on lisäksi edellytet</w:t>
      </w:r>
      <w:r>
        <w:rPr>
          <w:rFonts w:ascii="Times New Roman" w:hAnsi="Times New Roman"/>
          <w:noProof/>
        </w:rPr>
        <w:t>tävä, että ainoastaan asiaa koskevan EU:n ja kansallisen ympäristölainsäädännön mukaisia toimintoja voidaan valita.</w:t>
      </w:r>
    </w:p>
    <w:p w14:paraId="2B18AE3B" w14:textId="677E1B25" w:rsidR="000E48CE" w:rsidRDefault="00FF4C4E">
      <w:pPr>
        <w:pStyle w:val="P68B1DB1-Normal4"/>
        <w:spacing w:line="240" w:lineRule="auto"/>
        <w:jc w:val="both"/>
        <w:rPr>
          <w:rFonts w:cs="Times New Roman"/>
          <w:noProof/>
        </w:rPr>
      </w:pPr>
      <w:r>
        <w:rPr>
          <w:noProof/>
        </w:rPr>
        <w:t>Investoinnin toteutus saatetaan päätökseen viimeistään 30. kesäkuuta 2026.</w:t>
      </w:r>
    </w:p>
    <w:p w14:paraId="6CE0CEB2" w14:textId="77777777" w:rsidR="000E48CE" w:rsidRDefault="00FF4C4E">
      <w:pPr>
        <w:pStyle w:val="P68B1DB1-Text120"/>
        <w:ind w:left="0"/>
        <w:rPr>
          <w:rFonts w:cs="Times New Roman"/>
          <w:noProof/>
        </w:rPr>
      </w:pPr>
      <w:r>
        <w:rPr>
          <w:noProof/>
        </w:rPr>
        <w:t xml:space="preserve">Investointi 4 (C13.I4) Kaupan tukeminen </w:t>
      </w:r>
    </w:p>
    <w:p w14:paraId="07666486" w14:textId="77777777" w:rsidR="000E48CE" w:rsidRDefault="00FF4C4E">
      <w:pPr>
        <w:pStyle w:val="P68B1DB1-Text119"/>
        <w:ind w:left="0"/>
        <w:rPr>
          <w:rFonts w:cs="Times New Roman"/>
          <w:noProof/>
        </w:rPr>
      </w:pPr>
      <w:r>
        <w:rPr>
          <w:noProof/>
        </w:rPr>
        <w:t>Toimenpiteen tavoitteena</w:t>
      </w:r>
      <w:r>
        <w:rPr>
          <w:noProof/>
        </w:rPr>
        <w:t xml:space="preserve"> on auttaa pienyrityksiä mukautumaan kaupan alan digitalisaatioon ja kuluttajien muuttuvaan käyttäytymiseen. </w:t>
      </w:r>
    </w:p>
    <w:p w14:paraId="7E2B24D8" w14:textId="77777777" w:rsidR="000E48CE" w:rsidRDefault="00FF4C4E">
      <w:pPr>
        <w:pStyle w:val="P68B1DB1-Text119"/>
        <w:ind w:left="0"/>
        <w:rPr>
          <w:rFonts w:cs="Times New Roman"/>
          <w:noProof/>
        </w:rPr>
      </w:pPr>
      <w:r>
        <w:rPr>
          <w:noProof/>
        </w:rPr>
        <w:t>Investoinnilla on oltava kaksi keskeistä toimintalinjaa.</w:t>
      </w:r>
    </w:p>
    <w:p w14:paraId="58316D33" w14:textId="77777777" w:rsidR="000E48CE" w:rsidRDefault="00FF4C4E">
      <w:pPr>
        <w:pStyle w:val="P68B1DB1-Text119"/>
        <w:numPr>
          <w:ilvl w:val="0"/>
          <w:numId w:val="179"/>
        </w:numPr>
        <w:rPr>
          <w:rFonts w:cs="Times New Roman"/>
          <w:noProof/>
        </w:rPr>
      </w:pPr>
      <w:r>
        <w:rPr>
          <w:noProof/>
        </w:rPr>
        <w:t>Pienimuotoisen kaupan alan hankkeet, joiden tavoitteena on ottaa käyttöön uutta teknologi</w:t>
      </w:r>
      <w:r>
        <w:rPr>
          <w:noProof/>
        </w:rPr>
        <w:t>aa, jonka avulla paikallinen kauppa voi vastata uusiin kulutustottumuksiin, osana teknologiarahastoa (200 hanketta). Rahastosta rahoitettaviin tukikelpoisiin hankkeisiin kuuluvat seuraavat:</w:t>
      </w:r>
    </w:p>
    <w:p w14:paraId="7B372BBE" w14:textId="77777777" w:rsidR="000E48CE" w:rsidRDefault="00FF4C4E">
      <w:pPr>
        <w:pStyle w:val="P68B1DB1-Text119"/>
        <w:numPr>
          <w:ilvl w:val="1"/>
          <w:numId w:val="179"/>
        </w:numPr>
        <w:rPr>
          <w:rFonts w:cs="Times New Roman"/>
          <w:noProof/>
        </w:rPr>
      </w:pPr>
      <w:r>
        <w:rPr>
          <w:noProof/>
        </w:rPr>
        <w:t>Uuteen teknologiaan liittyvät hankkeet, joilla pyritään parantamaa</w:t>
      </w:r>
      <w:r>
        <w:rPr>
          <w:noProof/>
        </w:rPr>
        <w:t>n verkossa toteutettavaa kaupallista ja viestintästrategiaa, liiketoimintamalleja tai ostokokemusta;</w:t>
      </w:r>
    </w:p>
    <w:p w14:paraId="0E961FA6" w14:textId="77777777" w:rsidR="000E48CE" w:rsidRDefault="00FF4C4E">
      <w:pPr>
        <w:pStyle w:val="P68B1DB1-Text119"/>
        <w:numPr>
          <w:ilvl w:val="1"/>
          <w:numId w:val="179"/>
        </w:numPr>
        <w:rPr>
          <w:rFonts w:cs="Times New Roman"/>
          <w:noProof/>
        </w:rPr>
      </w:pPr>
      <w:r>
        <w:rPr>
          <w:noProof/>
        </w:rPr>
        <w:t>Hankkeet, jotka koskevat uutta teknologiaa fyysisten ostosten mukauttamiseksi kuluttajien uusiin tarpeisiin ja tottumuksiin ja uusiin hallintomalleihin;</w:t>
      </w:r>
    </w:p>
    <w:p w14:paraId="3048CE17" w14:textId="77777777" w:rsidR="000E48CE" w:rsidRDefault="00FF4C4E">
      <w:pPr>
        <w:pStyle w:val="P68B1DB1-Text119"/>
        <w:numPr>
          <w:ilvl w:val="1"/>
          <w:numId w:val="179"/>
        </w:numPr>
        <w:rPr>
          <w:rFonts w:cs="Times New Roman"/>
          <w:noProof/>
        </w:rPr>
      </w:pPr>
      <w:r>
        <w:rPr>
          <w:noProof/>
        </w:rPr>
        <w:t>Te</w:t>
      </w:r>
      <w:r>
        <w:rPr>
          <w:noProof/>
        </w:rPr>
        <w:t>knologisia ratkaisuja koskevat hankkeet, joilla parannetaan viimeisen osuuden logistiikan tehokkuutta ja kestävyyttä;</w:t>
      </w:r>
    </w:p>
    <w:p w14:paraId="74171754" w14:textId="77777777" w:rsidR="000E48CE" w:rsidRDefault="00FF4C4E">
      <w:pPr>
        <w:pStyle w:val="P68B1DB1-Text119"/>
        <w:numPr>
          <w:ilvl w:val="1"/>
          <w:numId w:val="179"/>
        </w:numPr>
        <w:rPr>
          <w:rFonts w:cs="Times New Roman"/>
          <w:noProof/>
        </w:rPr>
      </w:pPr>
      <w:r>
        <w:rPr>
          <w:noProof/>
        </w:rPr>
        <w:t xml:space="preserve">Hankkeet teknologisten ratkaisujen toteuttamiseksi energia- ja resurssitehokkuuden parantamiseksi. </w:t>
      </w:r>
    </w:p>
    <w:p w14:paraId="34E6DC97" w14:textId="77777777" w:rsidR="000E48CE" w:rsidRDefault="00FF4C4E">
      <w:pPr>
        <w:pStyle w:val="P68B1DB1-Text119"/>
        <w:ind w:left="0"/>
        <w:rPr>
          <w:rFonts w:cs="Times New Roman"/>
          <w:noProof/>
        </w:rPr>
      </w:pPr>
      <w:r>
        <w:rPr>
          <w:noProof/>
        </w:rPr>
        <w:t>Investointia täydennetään luomalla dig</w:t>
      </w:r>
      <w:r>
        <w:rPr>
          <w:noProof/>
        </w:rPr>
        <w:t>itaalinen alusta (</w:t>
      </w:r>
      <w:r>
        <w:rPr>
          <w:i/>
          <w:noProof/>
        </w:rPr>
        <w:t>Plataforma Comercio Conectado</w:t>
      </w:r>
      <w:r>
        <w:rPr>
          <w:noProof/>
        </w:rPr>
        <w:t xml:space="preserve">) alan digitalisaation edistämiseksi. </w:t>
      </w:r>
    </w:p>
    <w:p w14:paraId="17A95610" w14:textId="77777777" w:rsidR="000E48CE" w:rsidRDefault="00FF4C4E">
      <w:pPr>
        <w:pStyle w:val="P68B1DB1-Text119"/>
        <w:numPr>
          <w:ilvl w:val="0"/>
          <w:numId w:val="179"/>
        </w:numPr>
        <w:rPr>
          <w:rFonts w:cs="Times New Roman"/>
          <w:noProof/>
        </w:rPr>
      </w:pPr>
      <w:r>
        <w:rPr>
          <w:noProof/>
        </w:rPr>
        <w:t>Paikallisviranomaisten esittämät hankkeet kuntien markkinoiden, kaupallisten alueiden, muiden kuin toimipaikkojen ja lyhyiden markkinointikanavien nykyaikaistamiseksi ”Ke</w:t>
      </w:r>
      <w:r>
        <w:rPr>
          <w:noProof/>
        </w:rPr>
        <w:t xml:space="preserve">stävät markkinat” -ohjelman puitteissa (130 hanketta). Tämän ohjelman mukaisiin tukikelpoisiin hankkeisiin on sisällyttävä: </w:t>
      </w:r>
    </w:p>
    <w:p w14:paraId="5657690C" w14:textId="77777777" w:rsidR="000E48CE" w:rsidRDefault="00FF4C4E">
      <w:pPr>
        <w:pStyle w:val="P68B1DB1-Text119"/>
        <w:numPr>
          <w:ilvl w:val="1"/>
          <w:numId w:val="179"/>
        </w:numPr>
        <w:rPr>
          <w:rFonts w:cs="Times New Roman"/>
          <w:noProof/>
        </w:rPr>
      </w:pPr>
      <w:r>
        <w:rPr>
          <w:noProof/>
        </w:rPr>
        <w:t>Hankkeet, joissa otetaan käyttöön massadataan tai muuhun teknologiaan perustuvia asiakastietovälineitä;</w:t>
      </w:r>
    </w:p>
    <w:p w14:paraId="7265C4E7" w14:textId="77777777" w:rsidR="000E48CE" w:rsidRDefault="00FF4C4E">
      <w:pPr>
        <w:pStyle w:val="P68B1DB1-Text119"/>
        <w:numPr>
          <w:ilvl w:val="1"/>
          <w:numId w:val="179"/>
        </w:numPr>
        <w:rPr>
          <w:rFonts w:cs="Times New Roman"/>
          <w:noProof/>
        </w:rPr>
      </w:pPr>
      <w:r>
        <w:rPr>
          <w:noProof/>
        </w:rPr>
        <w:t>Markkinoiden digitalisaatio</w:t>
      </w:r>
      <w:r>
        <w:rPr>
          <w:noProof/>
        </w:rPr>
        <w:t>on liittyvät hankkeet, joilla parannetaan yleisiä markkinapaikkoja ja ostoskokemusta;</w:t>
      </w:r>
    </w:p>
    <w:p w14:paraId="453FC010" w14:textId="77777777" w:rsidR="000E48CE" w:rsidRDefault="00FF4C4E">
      <w:pPr>
        <w:pStyle w:val="P68B1DB1-Text119"/>
        <w:numPr>
          <w:ilvl w:val="1"/>
          <w:numId w:val="179"/>
        </w:numPr>
        <w:rPr>
          <w:rFonts w:cs="Times New Roman"/>
          <w:noProof/>
        </w:rPr>
      </w:pPr>
      <w:r>
        <w:rPr>
          <w:noProof/>
        </w:rPr>
        <w:t>Hankkeet, joiden tavoitteena on katukaupan digitalisaatio ja lyhyet markkinointikanavat;</w:t>
      </w:r>
    </w:p>
    <w:p w14:paraId="39B80040" w14:textId="77777777" w:rsidR="000E48CE" w:rsidRDefault="00FF4C4E">
      <w:pPr>
        <w:pStyle w:val="P68B1DB1-Text119"/>
        <w:numPr>
          <w:ilvl w:val="1"/>
          <w:numId w:val="179"/>
        </w:numPr>
        <w:rPr>
          <w:rFonts w:cs="Times New Roman"/>
          <w:noProof/>
        </w:rPr>
      </w:pPr>
      <w:r>
        <w:rPr>
          <w:noProof/>
        </w:rPr>
        <w:t>Rakennus- ja kunnostushankkeet, joiden tarkoituksena on parantaa tiloja, niiden s</w:t>
      </w:r>
      <w:r>
        <w:rPr>
          <w:noProof/>
        </w:rPr>
        <w:t>aavutettavuutta, laitteistoja ja kunnostuksia kunnallisten markkinoiden, kauppa-alueiden ja muiden kuin toimipaikkojen sekä niihin liittyvien alueiden riittävyyttä;</w:t>
      </w:r>
    </w:p>
    <w:p w14:paraId="62EE7A4E" w14:textId="77777777" w:rsidR="000E48CE" w:rsidRDefault="00FF4C4E">
      <w:pPr>
        <w:pStyle w:val="P68B1DB1-Text119"/>
        <w:numPr>
          <w:ilvl w:val="1"/>
          <w:numId w:val="179"/>
        </w:numPr>
        <w:rPr>
          <w:rFonts w:cs="Times New Roman"/>
          <w:noProof/>
        </w:rPr>
      </w:pPr>
      <w:r>
        <w:rPr>
          <w:noProof/>
        </w:rPr>
        <w:t xml:space="preserve">Hankkeet, joilla vähennetään tuotantopanosten kulutusta kaupan alalla ja korvataan ne </w:t>
      </w:r>
      <w:r>
        <w:rPr>
          <w:noProof/>
        </w:rPr>
        <w:t>ympäristöystävällisillä vaihtoehdoilla;</w:t>
      </w:r>
    </w:p>
    <w:p w14:paraId="71D6E11E" w14:textId="77777777" w:rsidR="000E48CE" w:rsidRDefault="00FF4C4E">
      <w:pPr>
        <w:pStyle w:val="P68B1DB1-Text119"/>
        <w:numPr>
          <w:ilvl w:val="1"/>
          <w:numId w:val="179"/>
        </w:numPr>
        <w:rPr>
          <w:rFonts w:cs="Times New Roman"/>
          <w:noProof/>
        </w:rPr>
      </w:pPr>
      <w:r>
        <w:rPr>
          <w:noProof/>
        </w:rPr>
        <w:t>Älykkäiden jakelupisteiden asentaminen;</w:t>
      </w:r>
    </w:p>
    <w:p w14:paraId="5B87337C" w14:textId="77777777" w:rsidR="000E48CE" w:rsidRDefault="00FF4C4E">
      <w:pPr>
        <w:pStyle w:val="P68B1DB1-Text119"/>
        <w:numPr>
          <w:ilvl w:val="1"/>
          <w:numId w:val="179"/>
        </w:numPr>
        <w:rPr>
          <w:rFonts w:cs="Times New Roman"/>
          <w:noProof/>
        </w:rPr>
      </w:pPr>
      <w:r>
        <w:rPr>
          <w:noProof/>
        </w:rPr>
        <w:t>Energiatehokkuuden parantamiseen tähtäävät hankkeet;</w:t>
      </w:r>
    </w:p>
    <w:p w14:paraId="6CCEF1FD" w14:textId="77777777" w:rsidR="000E48CE" w:rsidRDefault="00FF4C4E">
      <w:pPr>
        <w:pStyle w:val="P68B1DB1-Text119"/>
        <w:numPr>
          <w:ilvl w:val="1"/>
          <w:numId w:val="179"/>
        </w:numPr>
        <w:rPr>
          <w:rFonts w:cs="Times New Roman"/>
          <w:noProof/>
        </w:rPr>
      </w:pPr>
      <w:r>
        <w:rPr>
          <w:noProof/>
        </w:rPr>
        <w:t>Toimet, joilla edistetään jätteiden kierrätystä tai uudelleenkäyttöä;</w:t>
      </w:r>
    </w:p>
    <w:p w14:paraId="5A265DDC" w14:textId="77777777" w:rsidR="000E48CE" w:rsidRDefault="00FF4C4E">
      <w:pPr>
        <w:pStyle w:val="P68B1DB1-Text119"/>
        <w:numPr>
          <w:ilvl w:val="1"/>
          <w:numId w:val="179"/>
        </w:numPr>
        <w:rPr>
          <w:rFonts w:cs="Times New Roman"/>
          <w:noProof/>
        </w:rPr>
      </w:pPr>
      <w:r>
        <w:rPr>
          <w:noProof/>
        </w:rPr>
        <w:t>Teknologisia taitoja koskevan tietoisuuden lisääminen</w:t>
      </w:r>
      <w:r>
        <w:rPr>
          <w:noProof/>
        </w:rPr>
        <w:t xml:space="preserve"> ja koulutus.</w:t>
      </w:r>
    </w:p>
    <w:p w14:paraId="0CEBB0F1"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noudattaa ”ei merkittävää haittaa” -periaatetta koskevaa teknistä ohjetta (2021/C58/01), tulevien hankepyyntöjen tehtävänmääritykseen sisältyviin tukikelpoisuusperusteisiin ei lueta seuraavia toimia: fossi</w:t>
      </w:r>
      <w:r>
        <w:rPr>
          <w:rFonts w:ascii="Times New Roman" w:hAnsi="Times New Roman"/>
          <w:noProof/>
        </w:rPr>
        <w:t>ilisiin polttoaineisiin liittyvät toiminnot, mukaan lukien käyttö loppupäässä</w:t>
      </w:r>
      <w:r>
        <w:rPr>
          <w:rStyle w:val="FootnoteReference"/>
          <w:rFonts w:ascii="Times New Roman" w:hAnsi="Times New Roman" w:cs="Times New Roman"/>
          <w:noProof/>
        </w:rPr>
        <w:footnoteReference w:id="86"/>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87"/>
      </w:r>
      <w:r>
        <w:rPr>
          <w:rFonts w:ascii="Times New Roman" w:hAnsi="Times New Roman"/>
          <w:noProof/>
        </w:rPr>
        <w:t>; jätteiden kaatopaikk</w:t>
      </w:r>
      <w:r>
        <w:rPr>
          <w:rFonts w:ascii="Times New Roman" w:hAnsi="Times New Roman"/>
          <w:noProof/>
        </w:rPr>
        <w:t>oihin, polttolaitoksiin</w:t>
      </w:r>
      <w:r>
        <w:rPr>
          <w:rStyle w:val="FootnoteReference"/>
          <w:rFonts w:ascii="Times New Roman" w:hAnsi="Times New Roman" w:cs="Times New Roman"/>
          <w:noProof/>
        </w:rPr>
        <w:footnoteReference w:id="88"/>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89"/>
      </w:r>
      <w:r>
        <w:rPr>
          <w:rFonts w:ascii="Times New Roman" w:hAnsi="Times New Roman"/>
          <w:noProof/>
        </w:rPr>
        <w:t>; ja iv) toiminnot, joissa jätteiden pitkän aikavälin loppukäsittely voi aiheuttaa haittaa ympäristölle. Tehtävänmäärityksessä on lisäksi edellytettävä, että ainoastaa</w:t>
      </w:r>
      <w:r>
        <w:rPr>
          <w:rFonts w:ascii="Times New Roman" w:hAnsi="Times New Roman"/>
          <w:noProof/>
        </w:rPr>
        <w:t>n asiaa koskevan EU:n ja kansallisen ympäristölainsäädännön mukaisia toimintoja voidaan valita.</w:t>
      </w:r>
    </w:p>
    <w:p w14:paraId="48EFD63B" w14:textId="77777777" w:rsidR="000E48CE" w:rsidRDefault="00FF4C4E">
      <w:pPr>
        <w:pStyle w:val="P68B1DB1-Normal4"/>
        <w:spacing w:line="240" w:lineRule="auto"/>
        <w:jc w:val="both"/>
        <w:rPr>
          <w:rFonts w:cs="Times New Roman"/>
          <w:noProof/>
        </w:rPr>
      </w:pPr>
      <w:r>
        <w:rPr>
          <w:noProof/>
        </w:rPr>
        <w:t>Investoinnin toteutus saatetaan päätökseen viimeistään 31. joulukuuta 2024.</w:t>
      </w:r>
    </w:p>
    <w:p w14:paraId="33FA769E" w14:textId="77777777" w:rsidR="000E48CE" w:rsidRDefault="00FF4C4E">
      <w:pPr>
        <w:pStyle w:val="P68B1DB1-Text120"/>
        <w:ind w:left="0"/>
        <w:rPr>
          <w:rFonts w:cs="Times New Roman"/>
          <w:noProof/>
        </w:rPr>
      </w:pPr>
      <w:r>
        <w:rPr>
          <w:noProof/>
        </w:rPr>
        <w:t xml:space="preserve">Investointi 5 (C13.I5) Kansainvälistyminen </w:t>
      </w:r>
    </w:p>
    <w:p w14:paraId="2AA5556E" w14:textId="77777777" w:rsidR="000E48CE" w:rsidRDefault="00FF4C4E">
      <w:pPr>
        <w:pStyle w:val="P68B1DB1-Text119"/>
        <w:ind w:left="0"/>
        <w:rPr>
          <w:rFonts w:cs="Times New Roman"/>
          <w:noProof/>
        </w:rPr>
      </w:pPr>
      <w:r>
        <w:rPr>
          <w:noProof/>
        </w:rPr>
        <w:t>Toimenpiteen tavoitteena on vahvistaa Es</w:t>
      </w:r>
      <w:r>
        <w:rPr>
          <w:noProof/>
        </w:rPr>
        <w:t>panjan vientituen, kansainvälistymisen ja ulkomaisten investointien järjestelmän valmiuksia ja välineitä.</w:t>
      </w:r>
    </w:p>
    <w:p w14:paraId="23CB221F" w14:textId="77777777" w:rsidR="000E48CE" w:rsidRDefault="00FF4C4E">
      <w:pPr>
        <w:pStyle w:val="P68B1DB1-Text119"/>
        <w:ind w:left="0"/>
        <w:rPr>
          <w:rFonts w:cs="Times New Roman"/>
          <w:noProof/>
        </w:rPr>
      </w:pPr>
      <w:r>
        <w:rPr>
          <w:noProof/>
        </w:rPr>
        <w:t>Investointi koostuu 11 toimesta seuraavasti:</w:t>
      </w:r>
    </w:p>
    <w:p w14:paraId="42E8CBD7" w14:textId="77777777" w:rsidR="000E48CE" w:rsidRDefault="00FF4C4E">
      <w:pPr>
        <w:pStyle w:val="P68B1DB1-Text119"/>
        <w:numPr>
          <w:ilvl w:val="0"/>
          <w:numId w:val="180"/>
        </w:numPr>
        <w:rPr>
          <w:rFonts w:cs="Times New Roman"/>
          <w:noProof/>
        </w:rPr>
      </w:pPr>
      <w:r>
        <w:rPr>
          <w:noProof/>
        </w:rPr>
        <w:t xml:space="preserve">Budjettikohta toteutettavuus-, toteutettavuus- ja ennakkototeutettavuustutkimuksille sekä alakohtaisille </w:t>
      </w:r>
      <w:r>
        <w:rPr>
          <w:noProof/>
        </w:rPr>
        <w:t>ja institutionaalisille nykyaikaistamistutkimuksille;</w:t>
      </w:r>
    </w:p>
    <w:p w14:paraId="77E0C301" w14:textId="77777777" w:rsidR="000E48CE" w:rsidRDefault="00FF4C4E">
      <w:pPr>
        <w:pStyle w:val="P68B1DB1-Text119"/>
        <w:numPr>
          <w:ilvl w:val="0"/>
          <w:numId w:val="180"/>
        </w:numPr>
        <w:rPr>
          <w:rFonts w:cs="Times New Roman"/>
          <w:noProof/>
        </w:rPr>
      </w:pPr>
      <w:r>
        <w:rPr>
          <w:noProof/>
        </w:rPr>
        <w:t>INNOVA Invest -ohjelma, jolla tuetaan ulkomaisia T &amp; K-investointeja;</w:t>
      </w:r>
    </w:p>
    <w:p w14:paraId="04A5FDA5" w14:textId="77777777" w:rsidR="000E48CE" w:rsidRDefault="00FF4C4E">
      <w:pPr>
        <w:pStyle w:val="P68B1DB1-Text119"/>
        <w:numPr>
          <w:ilvl w:val="0"/>
          <w:numId w:val="180"/>
        </w:numPr>
        <w:rPr>
          <w:rFonts w:cs="Times New Roman"/>
          <w:noProof/>
        </w:rPr>
      </w:pPr>
      <w:r>
        <w:rPr>
          <w:noProof/>
        </w:rPr>
        <w:t>VIVES-ohjelma, jolla tarjotaan taloudellista tukea harjoittelijoiden palkkaamiseen vientitoimintaa harjoittavissa yrityksissä;</w:t>
      </w:r>
    </w:p>
    <w:p w14:paraId="6F005537" w14:textId="77777777" w:rsidR="000E48CE" w:rsidRDefault="00FF4C4E">
      <w:pPr>
        <w:pStyle w:val="P68B1DB1-Text119"/>
        <w:numPr>
          <w:ilvl w:val="0"/>
          <w:numId w:val="180"/>
        </w:numPr>
        <w:rPr>
          <w:rFonts w:cs="Times New Roman"/>
          <w:noProof/>
        </w:rPr>
      </w:pPr>
      <w:r>
        <w:rPr>
          <w:noProof/>
        </w:rPr>
        <w:t>Kansa</w:t>
      </w:r>
      <w:r>
        <w:rPr>
          <w:noProof/>
        </w:rPr>
        <w:t>invälinen mentorointikoulutusohjelma;</w:t>
      </w:r>
    </w:p>
    <w:p w14:paraId="7AD21A9C" w14:textId="77777777" w:rsidR="000E48CE" w:rsidRDefault="00FF4C4E">
      <w:pPr>
        <w:pStyle w:val="P68B1DB1-Text119"/>
        <w:numPr>
          <w:ilvl w:val="0"/>
          <w:numId w:val="180"/>
        </w:numPr>
        <w:rPr>
          <w:rFonts w:cs="Times New Roman"/>
          <w:noProof/>
        </w:rPr>
      </w:pPr>
      <w:r>
        <w:rPr>
          <w:noProof/>
        </w:rPr>
        <w:t>Vientiyhdistysten, vientijärjestöjen, Espanjan kauppakamareiden ja niiden liittojen viestintäjärjestelmien, telemaattisten palvelujen ja digitalisoinnin vahvistamista koskeva ohjelma;</w:t>
      </w:r>
    </w:p>
    <w:p w14:paraId="6953C7C8" w14:textId="77777777" w:rsidR="000E48CE" w:rsidRDefault="00FF4C4E">
      <w:pPr>
        <w:pStyle w:val="P68B1DB1-Text119"/>
        <w:numPr>
          <w:ilvl w:val="0"/>
          <w:numId w:val="180"/>
        </w:numPr>
        <w:rPr>
          <w:rFonts w:cs="Times New Roman"/>
          <w:noProof/>
        </w:rPr>
      </w:pPr>
      <w:r>
        <w:rPr>
          <w:noProof/>
        </w:rPr>
        <w:t>Vientituen laajentumisohjelma, ohj</w:t>
      </w:r>
      <w:r>
        <w:rPr>
          <w:noProof/>
        </w:rPr>
        <w:t>elma, jolla tarjotaan yksilöllistä valmennusta yritysten ja erityisesti pk-yritysten kansainvälistymiselle;</w:t>
      </w:r>
    </w:p>
    <w:p w14:paraId="4E244043" w14:textId="77777777" w:rsidR="000E48CE" w:rsidRDefault="00FF4C4E">
      <w:pPr>
        <w:pStyle w:val="P68B1DB1-Text119"/>
        <w:numPr>
          <w:ilvl w:val="0"/>
          <w:numId w:val="180"/>
        </w:numPr>
        <w:rPr>
          <w:rFonts w:cs="Times New Roman"/>
          <w:noProof/>
        </w:rPr>
      </w:pPr>
      <w:r>
        <w:rPr>
          <w:noProof/>
        </w:rPr>
        <w:t>Ohjelma Espanjan nopeasti kasvavien yritysten ekosysteemin vahvistamiseksi;</w:t>
      </w:r>
    </w:p>
    <w:p w14:paraId="5FC226CD" w14:textId="77777777" w:rsidR="000E48CE" w:rsidRDefault="00FF4C4E">
      <w:pPr>
        <w:pStyle w:val="P68B1DB1-Text119"/>
        <w:numPr>
          <w:ilvl w:val="0"/>
          <w:numId w:val="180"/>
        </w:numPr>
        <w:rPr>
          <w:rFonts w:cs="Times New Roman"/>
          <w:noProof/>
        </w:rPr>
      </w:pPr>
      <w:r>
        <w:rPr>
          <w:noProof/>
        </w:rPr>
        <w:t>Tuki markkinoiden avaamiseen ja vakauttamiseen myöntämällä avustuksia ko</w:t>
      </w:r>
      <w:r>
        <w:rPr>
          <w:noProof/>
        </w:rPr>
        <w:t>lmansien maiden viranomaisten tarkastuksiin ja tilintarkastuksiin liittyviin menoihin sekä kaupan suojatoimiin liittyviin oikeudellisiin ja konsultointimenoihin;</w:t>
      </w:r>
    </w:p>
    <w:p w14:paraId="365765DB" w14:textId="77777777" w:rsidR="000E48CE" w:rsidRDefault="00FF4C4E">
      <w:pPr>
        <w:pStyle w:val="P68B1DB1-ListParagraph7"/>
        <w:numPr>
          <w:ilvl w:val="0"/>
          <w:numId w:val="180"/>
        </w:numPr>
        <w:rPr>
          <w:rFonts w:cs="Times New Roman"/>
          <w:noProof/>
        </w:rPr>
      </w:pPr>
      <w:r>
        <w:rPr>
          <w:noProof/>
        </w:rPr>
        <w:t>COFIDESin (valtion omistama rahoituslaitos, joka tarjoaa keskipitkän ja pitkän aikavälin rahoi</w:t>
      </w:r>
      <w:r>
        <w:rPr>
          <w:noProof/>
        </w:rPr>
        <w:t>tusta yritysten kansainvälistymisinvestointihankkeiden tukemiseen) rahoituskannustinohjelma vaikutusinvestointien edistämiseksi. Sen päätavoitteena on tuottaa mitattavissa olevia, sosiaalisia ja/tai ympäristövaikutuksia taloudellisen tuoton ohella.</w:t>
      </w:r>
    </w:p>
    <w:p w14:paraId="51EB652A" w14:textId="77777777" w:rsidR="000E48CE" w:rsidRDefault="00FF4C4E">
      <w:pPr>
        <w:pStyle w:val="P68B1DB1-Text119"/>
        <w:numPr>
          <w:ilvl w:val="0"/>
          <w:numId w:val="180"/>
        </w:numPr>
        <w:rPr>
          <w:rFonts w:cs="Times New Roman"/>
          <w:noProof/>
        </w:rPr>
      </w:pPr>
      <w:r>
        <w:rPr>
          <w:noProof/>
        </w:rPr>
        <w:t>Vauhdit</w:t>
      </w:r>
      <w:r>
        <w:rPr>
          <w:noProof/>
        </w:rPr>
        <w:t>etaan julkisten palvelujen digitalisointia kansainvälistymisen tukemiseksi;</w:t>
      </w:r>
    </w:p>
    <w:p w14:paraId="4E94D798" w14:textId="77777777" w:rsidR="000E48CE" w:rsidRDefault="00FF4C4E">
      <w:pPr>
        <w:pStyle w:val="P68B1DB1-Text119"/>
        <w:numPr>
          <w:ilvl w:val="0"/>
          <w:numId w:val="180"/>
        </w:numPr>
        <w:rPr>
          <w:rFonts w:cs="Times New Roman"/>
          <w:noProof/>
        </w:rPr>
      </w:pPr>
      <w:r>
        <w:rPr>
          <w:noProof/>
        </w:rPr>
        <w:t>ICEX:n (kansallinen julkinen yritys, joka edistää espanjalaisten yritysten kansainvälistymistä) digitalisointi.</w:t>
      </w:r>
    </w:p>
    <w:p w14:paraId="3F1FCC2B"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 xml:space="preserve">Sen varmistamiseksi, että toimenpide noudattaa ”ei merkittävää </w:t>
      </w:r>
      <w:r>
        <w:rPr>
          <w:rFonts w:ascii="Times New Roman" w:hAnsi="Times New Roman"/>
          <w:noProof/>
        </w:rPr>
        <w:t>haittaa” -periaatetta koskevaa teknistä ohjetta (2021/C58/01), tulevien hankepyyntöjen tehtävänmääritykseen sisältyviin tukikelpoisuusperusteisiin ei lueta seuraavia toimia: fossiilisiin polttoaineisiin liittyvät toiminnot, mukaan lukien käyttö loppupäässä</w:t>
      </w:r>
      <w:r>
        <w:rPr>
          <w:rStyle w:val="FootnoteReference"/>
          <w:rFonts w:ascii="Times New Roman" w:hAnsi="Times New Roman" w:cs="Times New Roman"/>
          <w:noProof/>
        </w:rPr>
        <w:footnoteReference w:id="90"/>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91"/>
      </w:r>
      <w:r>
        <w:rPr>
          <w:rFonts w:ascii="Times New Roman" w:hAnsi="Times New Roman"/>
          <w:noProof/>
        </w:rPr>
        <w:t>; jätteiden kaatopaikkoihin, polttolaitoksiin</w:t>
      </w:r>
      <w:r>
        <w:rPr>
          <w:rStyle w:val="FootnoteReference"/>
          <w:rFonts w:ascii="Times New Roman" w:hAnsi="Times New Roman" w:cs="Times New Roman"/>
          <w:noProof/>
        </w:rPr>
        <w:footnoteReference w:id="92"/>
      </w:r>
      <w:r>
        <w:rPr>
          <w:rFonts w:ascii="Times New Roman" w:hAnsi="Times New Roman"/>
          <w:noProof/>
        </w:rPr>
        <w:t xml:space="preserve"> ja mekaanisiin biologisiin käsittelylaitoksiin liitt</w:t>
      </w:r>
      <w:r>
        <w:rPr>
          <w:rFonts w:ascii="Times New Roman" w:hAnsi="Times New Roman"/>
          <w:noProof/>
        </w:rPr>
        <w:t>yvät toimet</w:t>
      </w:r>
      <w:r>
        <w:rPr>
          <w:rStyle w:val="FootnoteReference"/>
          <w:rFonts w:ascii="Times New Roman" w:hAnsi="Times New Roman" w:cs="Times New Roman"/>
          <w:noProof/>
        </w:rPr>
        <w:footnoteReference w:id="93"/>
      </w:r>
      <w:r>
        <w:rPr>
          <w:rFonts w:ascii="Times New Roman" w:hAnsi="Times New Roman"/>
          <w:noProof/>
        </w:rPr>
        <w:t>; ja iv) toiminnot, joissa jätteiden pitkän aikavälin loppukäsittely voi aiheuttaa haittaa ympäristölle. Tehtävänmäärityksessä on lisäksi edellytettävä, että ainoastaan asiaa koskevan EU:n ja kansallisen ympäristölainsäädännön mukaisia toiminto</w:t>
      </w:r>
      <w:r>
        <w:rPr>
          <w:rFonts w:ascii="Times New Roman" w:hAnsi="Times New Roman"/>
          <w:noProof/>
        </w:rPr>
        <w:t>ja voidaan valita.</w:t>
      </w:r>
    </w:p>
    <w:p w14:paraId="41E86151" w14:textId="77777777" w:rsidR="000E48CE" w:rsidRDefault="00FF4C4E">
      <w:pPr>
        <w:pStyle w:val="P68B1DB1-Text119"/>
        <w:ind w:left="0"/>
        <w:rPr>
          <w:rFonts w:cs="Times New Roman"/>
          <w:noProof/>
        </w:rPr>
      </w:pPr>
      <w:r>
        <w:rPr>
          <w:noProof/>
        </w:rPr>
        <w:t>Rahoitusvälineiden osalta sen varmistamiseksi, että toimenpide on ”ei merkittävää haittaa” -ohjeiden (2021/C58/01) mukainen, Espanjan viranomaisten ja rahoitusvälineestä vastaavan yhteisön tai rahoituksen välittäjän välinen oikeudellinen</w:t>
      </w:r>
      <w:r>
        <w:rPr>
          <w:noProof/>
        </w:rPr>
        <w:t xml:space="preserve"> sopimus ja rahoitusvälineen myöhempi investointipolitiikka </w:t>
      </w:r>
    </w:p>
    <w:p w14:paraId="0AEA3626" w14:textId="77777777" w:rsidR="000E48CE" w:rsidRDefault="00FF4C4E">
      <w:pPr>
        <w:pStyle w:val="P68B1DB1-Text119"/>
        <w:numPr>
          <w:ilvl w:val="0"/>
          <w:numId w:val="221"/>
        </w:numPr>
        <w:rPr>
          <w:rFonts w:cs="Times New Roman"/>
          <w:noProof/>
        </w:rPr>
      </w:pPr>
      <w:r>
        <w:rPr>
          <w:noProof/>
        </w:rPr>
        <w:t>vaatia InvestEU-rahaston kestävyysarviointia koskevien komission teknisten ohjeiden soveltamista; ja</w:t>
      </w:r>
    </w:p>
    <w:p w14:paraId="562BFB7D" w14:textId="77777777" w:rsidR="000E48CE" w:rsidRDefault="00FF4C4E">
      <w:pPr>
        <w:pStyle w:val="P68B1DB1-Text119"/>
        <w:numPr>
          <w:ilvl w:val="0"/>
          <w:numId w:val="221"/>
        </w:numPr>
        <w:rPr>
          <w:rFonts w:cs="Times New Roman"/>
          <w:noProof/>
        </w:rPr>
      </w:pPr>
      <w:r>
        <w:rPr>
          <w:noProof/>
        </w:rPr>
        <w:t xml:space="preserve">jättää tukikelpoisuuden ulkopuolelle seuraavan luettelon toiminnoista ja omaisuuseristä: </w:t>
      </w:r>
      <w:r>
        <w:rPr>
          <w:noProof/>
        </w:rPr>
        <w:t>fossiilisiin polttoaineisiin liittyvät toiminnot ja omaisuuserät, mukaan lukien käyttö tuotantoketjun loppupäässä</w:t>
      </w:r>
      <w:r>
        <w:rPr>
          <w:noProof/>
        </w:rPr>
        <w:footnoteReference w:id="94"/>
      </w:r>
      <w:r>
        <w:rPr>
          <w:noProof/>
        </w:rPr>
        <w:t>; II) EU:n päästökauppajärjestelmään kuuluvat toiminnot ja omaisuuserät, joilla saavutetaan ennustetut kasvihuonekaasupäästöt, jotka eivät ali</w:t>
      </w:r>
      <w:r>
        <w:rPr>
          <w:noProof/>
        </w:rPr>
        <w:t>ta asiaankuuluvia vertailuarvoja</w:t>
      </w:r>
      <w:r>
        <w:rPr>
          <w:noProof/>
        </w:rPr>
        <w:footnoteReference w:id="95"/>
      </w:r>
      <w:r>
        <w:rPr>
          <w:noProof/>
        </w:rPr>
        <w:t>; jätteiden kaatopaikkoihin, polttolaitoksiin ja mekaanisiin biologisiin käsittelylaitoksiin liittyvät toiminnot</w:t>
      </w:r>
      <w:r>
        <w:rPr>
          <w:noProof/>
        </w:rPr>
        <w:footnoteReference w:id="96"/>
      </w:r>
      <w:r>
        <w:rPr>
          <w:noProof/>
        </w:rPr>
        <w:t xml:space="preserve"> ja omaisuus</w:t>
      </w:r>
      <w:r>
        <w:rPr>
          <w:noProof/>
        </w:rPr>
        <w:footnoteReference w:id="97"/>
      </w:r>
      <w:r>
        <w:rPr>
          <w:noProof/>
        </w:rPr>
        <w:t>; ja iv) toiminnot ja omaisuuserät, joissa jätteiden pitkän aikavälin loppukäsittely voi aiheutta</w:t>
      </w:r>
      <w:r>
        <w:rPr>
          <w:noProof/>
        </w:rPr>
        <w:t>a vahinkoa ympäristölle; ja</w:t>
      </w:r>
    </w:p>
    <w:p w14:paraId="705BC046" w14:textId="77777777" w:rsidR="000E48CE" w:rsidRDefault="00FF4C4E">
      <w:pPr>
        <w:pStyle w:val="P68B1DB1-Text119"/>
        <w:numPr>
          <w:ilvl w:val="0"/>
          <w:numId w:val="221"/>
        </w:numPr>
        <w:rPr>
          <w:rFonts w:cs="Times New Roman"/>
          <w:noProof/>
        </w:rPr>
      </w:pPr>
      <w:r>
        <w:rPr>
          <w:noProof/>
        </w:rPr>
        <w:t>vaatia, että yhteisö/rahoituksen välittäjä varmentaa hankkeita koskevan EU:n ja kansallisen ympäristölainsäädännön noudattamisen kaikissa liiketoimissa, mukaan lukien ne, jotka on vapautettu kestävyysarvioinnista.</w:t>
      </w:r>
    </w:p>
    <w:p w14:paraId="0AEC43C8" w14:textId="77777777" w:rsidR="000E48CE" w:rsidRDefault="00FF4C4E">
      <w:pPr>
        <w:pStyle w:val="P68B1DB1-Normal4"/>
        <w:spacing w:line="240" w:lineRule="auto"/>
        <w:jc w:val="both"/>
        <w:rPr>
          <w:rFonts w:cs="Times New Roman"/>
          <w:noProof/>
        </w:rPr>
      </w:pPr>
      <w:r>
        <w:rPr>
          <w:noProof/>
        </w:rPr>
        <w:t>Investoinnin t</w:t>
      </w:r>
      <w:r>
        <w:rPr>
          <w:noProof/>
        </w:rPr>
        <w:t>oteutus saatetaan päätökseen viimeistään 31. joulukuuta 2024.</w:t>
      </w:r>
    </w:p>
    <w:p w14:paraId="24F0F6FF" w14:textId="10857EA4" w:rsidR="000E48CE" w:rsidRDefault="00FF4C4E">
      <w:pPr>
        <w:pStyle w:val="P68B1DB1-Heading227"/>
        <w:numPr>
          <w:ilvl w:val="0"/>
          <w:numId w:val="0"/>
        </w:numPr>
        <w:ind w:left="850"/>
        <w:rPr>
          <w:rFonts w:cs="Times New Roman"/>
          <w:noProof/>
        </w:rPr>
      </w:pPr>
      <w:r>
        <w:rPr>
          <w:noProof/>
        </w:rPr>
        <w:t xml:space="preserve">M.2 </w:t>
      </w:r>
      <w:r>
        <w:rPr>
          <w:noProof/>
        </w:rPr>
        <w:tab/>
        <w:t>Seurantaa ja täytäntöönpanoa koskevat välitavoitteet, tavoitteet, indikaattorit ja aikataulu – rahoitustuki, jota ei makseta takaisin</w:t>
      </w:r>
    </w:p>
    <w:p w14:paraId="4B4055F9" w14:textId="77777777" w:rsidR="000E48CE" w:rsidRDefault="00FF4C4E">
      <w:pPr>
        <w:pStyle w:val="P68B1DB1-Normal4"/>
        <w:spacing w:before="120" w:after="120" w:line="240" w:lineRule="auto"/>
        <w:jc w:val="both"/>
        <w:rPr>
          <w:rFonts w:cs="Times New Roman"/>
          <w:b/>
          <w:noProof/>
          <w:u w:val="single"/>
        </w:rPr>
      </w:pPr>
      <w:r>
        <w:rPr>
          <w:i/>
          <w:noProof/>
        </w:rPr>
        <w:t>Ks. taulukko jäljempänä.</w:t>
      </w:r>
      <w:r>
        <w:rPr>
          <w:noProof/>
        </w:rPr>
        <w:t xml:space="preserve"> </w:t>
      </w:r>
      <w:r>
        <w:rPr>
          <w:i/>
          <w:noProof/>
        </w:rPr>
        <w:t>Kaikkien indikaattoreiden peru</w:t>
      </w:r>
      <w:r>
        <w:rPr>
          <w:i/>
          <w:noProof/>
        </w:rPr>
        <w:t>staso on 1. helmikuuta 2020, ellei toimen kuvauksessa toisin ilmoiteta. Taulukossa esitetyt määrät eivät sisällä arvonlisäveroa.</w:t>
      </w:r>
    </w:p>
    <w:p w14:paraId="7E2F1A47" w14:textId="77777777" w:rsidR="000E48CE" w:rsidRDefault="000E48CE">
      <w:pPr>
        <w:spacing w:before="120" w:after="120" w:line="240" w:lineRule="auto"/>
        <w:ind w:left="709"/>
        <w:jc w:val="both"/>
        <w:rPr>
          <w:rFonts w:ascii="Times New Roman" w:hAnsi="Times New Roman" w:cs="Times New Roman"/>
          <w:noProof/>
          <w:sz w:val="24"/>
        </w:rPr>
      </w:pPr>
    </w:p>
    <w:p w14:paraId="70101A6A"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270"/>
          <w:headerReference w:type="default" r:id="rId271"/>
          <w:footerReference w:type="even" r:id="rId272"/>
          <w:footerReference w:type="default" r:id="rId273"/>
          <w:headerReference w:type="first" r:id="rId274"/>
          <w:footerReference w:type="first" r:id="rId275"/>
          <w:pgSz w:w="11907" w:h="16839"/>
          <w:pgMar w:top="1134" w:right="1417" w:bottom="1134" w:left="1417" w:header="709" w:footer="709" w:gutter="0"/>
          <w:cols w:space="720"/>
          <w:docGrid w:linePitch="360"/>
        </w:sect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985"/>
        <w:gridCol w:w="1134"/>
        <w:gridCol w:w="709"/>
        <w:gridCol w:w="708"/>
        <w:gridCol w:w="709"/>
        <w:gridCol w:w="567"/>
        <w:gridCol w:w="567"/>
        <w:gridCol w:w="6662"/>
      </w:tblGrid>
      <w:tr w:rsidR="000E48CE" w14:paraId="60CFCA36" w14:textId="77777777">
        <w:trPr>
          <w:trHeight w:val="309"/>
          <w:tblHeader/>
        </w:trPr>
        <w:tc>
          <w:tcPr>
            <w:tcW w:w="709" w:type="dxa"/>
            <w:tcBorders>
              <w:bottom w:val="nil"/>
            </w:tcBorders>
            <w:shd w:val="clear" w:color="auto" w:fill="C6D9F1" w:themeFill="text2" w:themeFillTint="33"/>
            <w:noWrap/>
            <w:vAlign w:val="center"/>
          </w:tcPr>
          <w:p w14:paraId="34D241D4"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01343C75"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4C001132"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1985" w:type="dxa"/>
            <w:tcBorders>
              <w:bottom w:val="nil"/>
            </w:tcBorders>
            <w:shd w:val="clear" w:color="auto" w:fill="C6D9F1" w:themeFill="text2" w:themeFillTint="33"/>
            <w:noWrap/>
            <w:vAlign w:val="center"/>
          </w:tcPr>
          <w:p w14:paraId="39A089F3" w14:textId="77777777" w:rsidR="000E48CE" w:rsidRDefault="00FF4C4E">
            <w:pPr>
              <w:pStyle w:val="P68B1DB1-Normal12"/>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5ED90BF6" w14:textId="77777777" w:rsidR="000E48CE" w:rsidRDefault="00FF4C4E">
            <w:pPr>
              <w:pStyle w:val="P68B1DB1-Normal12"/>
              <w:spacing w:after="0" w:line="240" w:lineRule="auto"/>
              <w:jc w:val="center"/>
              <w:rPr>
                <w:rFonts w:cs="Times New Roman"/>
                <w:noProof/>
              </w:rPr>
            </w:pPr>
            <w:r>
              <w:rPr>
                <w:noProof/>
              </w:rPr>
              <w:t>Välitavoitteiden laadul</w:t>
            </w:r>
            <w:r>
              <w:rPr>
                <w:noProof/>
              </w:rPr>
              <w:t>linen indikaattori</w:t>
            </w:r>
          </w:p>
        </w:tc>
        <w:tc>
          <w:tcPr>
            <w:tcW w:w="2126" w:type="dxa"/>
            <w:gridSpan w:val="3"/>
            <w:shd w:val="clear" w:color="auto" w:fill="C6D9F1" w:themeFill="text2" w:themeFillTint="33"/>
            <w:noWrap/>
            <w:vAlign w:val="center"/>
          </w:tcPr>
          <w:p w14:paraId="47ACD0A8"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134" w:type="dxa"/>
            <w:gridSpan w:val="2"/>
            <w:shd w:val="clear" w:color="auto" w:fill="C6D9F1" w:themeFill="text2" w:themeFillTint="33"/>
            <w:noWrap/>
            <w:vAlign w:val="center"/>
          </w:tcPr>
          <w:p w14:paraId="4BCD9346" w14:textId="77777777" w:rsidR="000E48CE" w:rsidRDefault="00FF4C4E">
            <w:pPr>
              <w:pStyle w:val="P68B1DB1-Normal12"/>
              <w:spacing w:after="0" w:line="240" w:lineRule="auto"/>
              <w:jc w:val="center"/>
              <w:rPr>
                <w:rFonts w:cs="Times New Roman"/>
                <w:noProof/>
              </w:rPr>
            </w:pPr>
            <w:r>
              <w:rPr>
                <w:noProof/>
              </w:rPr>
              <w:t>Aika</w:t>
            </w:r>
          </w:p>
        </w:tc>
        <w:tc>
          <w:tcPr>
            <w:tcW w:w="6662" w:type="dxa"/>
            <w:tcBorders>
              <w:bottom w:val="nil"/>
            </w:tcBorders>
            <w:shd w:val="clear" w:color="auto" w:fill="C6D9F1" w:themeFill="text2" w:themeFillTint="33"/>
            <w:noWrap/>
            <w:vAlign w:val="center"/>
          </w:tcPr>
          <w:p w14:paraId="2897C0E5"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35C15B1F" w14:textId="77777777">
        <w:trPr>
          <w:trHeight w:val="309"/>
          <w:tblHeader/>
        </w:trPr>
        <w:tc>
          <w:tcPr>
            <w:tcW w:w="709" w:type="dxa"/>
            <w:tcBorders>
              <w:top w:val="nil"/>
            </w:tcBorders>
            <w:shd w:val="clear" w:color="auto" w:fill="C6D9F1" w:themeFill="text2" w:themeFillTint="33"/>
            <w:noWrap/>
          </w:tcPr>
          <w:p w14:paraId="1E8D5C3A"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017D20C"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CE1D9F2" w14:textId="77777777" w:rsidR="000E48CE" w:rsidRDefault="000E48CE">
            <w:pPr>
              <w:spacing w:after="0" w:line="240" w:lineRule="auto"/>
              <w:jc w:val="center"/>
              <w:rPr>
                <w:rFonts w:ascii="Times New Roman" w:hAnsi="Times New Roman" w:cs="Times New Roman"/>
                <w:b/>
                <w:noProof/>
                <w:sz w:val="18"/>
              </w:rPr>
            </w:pPr>
          </w:p>
        </w:tc>
        <w:tc>
          <w:tcPr>
            <w:tcW w:w="1985" w:type="dxa"/>
            <w:tcBorders>
              <w:top w:val="nil"/>
            </w:tcBorders>
            <w:shd w:val="clear" w:color="auto" w:fill="C6D9F1" w:themeFill="text2" w:themeFillTint="33"/>
            <w:noWrap/>
          </w:tcPr>
          <w:p w14:paraId="1F72EC9C" w14:textId="77777777" w:rsidR="000E48CE" w:rsidRDefault="000E48C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16EBF265" w14:textId="77777777" w:rsidR="000E48CE" w:rsidRDefault="000E48CE">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tcPr>
          <w:p w14:paraId="74BEB85F" w14:textId="77777777" w:rsidR="000E48CE" w:rsidRDefault="00FF4C4E">
            <w:pPr>
              <w:pStyle w:val="P68B1DB1-Normal12"/>
              <w:spacing w:after="0" w:line="240" w:lineRule="auto"/>
              <w:jc w:val="center"/>
              <w:rPr>
                <w:rFonts w:cs="Times New Roman"/>
                <w:noProof/>
              </w:rPr>
            </w:pPr>
            <w:r>
              <w:rPr>
                <w:noProof/>
              </w:rPr>
              <w:t>Yksikkö</w:t>
            </w:r>
          </w:p>
        </w:tc>
        <w:tc>
          <w:tcPr>
            <w:tcW w:w="708" w:type="dxa"/>
            <w:shd w:val="clear" w:color="auto" w:fill="C6D9F1" w:themeFill="text2" w:themeFillTint="33"/>
            <w:noWrap/>
          </w:tcPr>
          <w:p w14:paraId="53B410BE" w14:textId="77777777" w:rsidR="000E48CE" w:rsidRDefault="00FF4C4E">
            <w:pPr>
              <w:pStyle w:val="P68B1DB1-Normal12"/>
              <w:spacing w:after="0" w:line="240" w:lineRule="auto"/>
              <w:jc w:val="center"/>
              <w:rPr>
                <w:rFonts w:cs="Times New Roman"/>
                <w:noProof/>
              </w:rPr>
            </w:pPr>
            <w:r>
              <w:rPr>
                <w:noProof/>
              </w:rPr>
              <w:t>Perusviiva</w:t>
            </w:r>
          </w:p>
        </w:tc>
        <w:tc>
          <w:tcPr>
            <w:tcW w:w="709" w:type="dxa"/>
            <w:shd w:val="clear" w:color="auto" w:fill="C6D9F1" w:themeFill="text2" w:themeFillTint="33"/>
            <w:noWrap/>
          </w:tcPr>
          <w:p w14:paraId="3DF32928" w14:textId="77777777" w:rsidR="000E48CE" w:rsidRDefault="00FF4C4E">
            <w:pPr>
              <w:pStyle w:val="P68B1DB1-Normal12"/>
              <w:spacing w:after="0" w:line="240" w:lineRule="auto"/>
              <w:jc w:val="center"/>
              <w:rPr>
                <w:rFonts w:cs="Times New Roman"/>
                <w:noProof/>
              </w:rPr>
            </w:pPr>
            <w:r>
              <w:rPr>
                <w:noProof/>
              </w:rPr>
              <w:t>Päämäärä</w:t>
            </w:r>
          </w:p>
        </w:tc>
        <w:tc>
          <w:tcPr>
            <w:tcW w:w="567" w:type="dxa"/>
            <w:shd w:val="clear" w:color="auto" w:fill="C6D9F1" w:themeFill="text2" w:themeFillTint="33"/>
            <w:noWrap/>
          </w:tcPr>
          <w:p w14:paraId="347EBF18"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7D75D435" w14:textId="77777777" w:rsidR="000E48CE" w:rsidRDefault="00FF4C4E">
            <w:pPr>
              <w:pStyle w:val="P68B1DB1-Normal12"/>
              <w:spacing w:after="0" w:line="240" w:lineRule="auto"/>
              <w:jc w:val="center"/>
              <w:rPr>
                <w:rFonts w:cs="Times New Roman"/>
                <w:noProof/>
              </w:rPr>
            </w:pPr>
            <w:r>
              <w:rPr>
                <w:noProof/>
              </w:rPr>
              <w:t>Vuosi</w:t>
            </w:r>
          </w:p>
        </w:tc>
        <w:tc>
          <w:tcPr>
            <w:tcW w:w="6662" w:type="dxa"/>
            <w:tcBorders>
              <w:top w:val="nil"/>
            </w:tcBorders>
            <w:shd w:val="clear" w:color="auto" w:fill="C6D9F1" w:themeFill="text2" w:themeFillTint="33"/>
            <w:noWrap/>
          </w:tcPr>
          <w:p w14:paraId="2C5AE2F3" w14:textId="77777777" w:rsidR="000E48CE" w:rsidRDefault="000E48CE">
            <w:pPr>
              <w:spacing w:after="0" w:line="240" w:lineRule="auto"/>
              <w:rPr>
                <w:rFonts w:ascii="Times New Roman" w:hAnsi="Times New Roman" w:cs="Times New Roman"/>
                <w:b/>
                <w:noProof/>
                <w:sz w:val="18"/>
              </w:rPr>
            </w:pPr>
          </w:p>
        </w:tc>
      </w:tr>
      <w:tr w:rsidR="000E48CE" w14:paraId="5ECF8F23" w14:textId="77777777">
        <w:trPr>
          <w:trHeight w:val="309"/>
        </w:trPr>
        <w:tc>
          <w:tcPr>
            <w:tcW w:w="709" w:type="dxa"/>
            <w:shd w:val="clear" w:color="auto" w:fill="C6EFCE"/>
            <w:noWrap/>
          </w:tcPr>
          <w:p w14:paraId="55D17BBE" w14:textId="77777777" w:rsidR="000E48CE" w:rsidRDefault="00FF4C4E">
            <w:pPr>
              <w:pStyle w:val="P68B1DB1-Normal13"/>
              <w:spacing w:after="0" w:line="240" w:lineRule="auto"/>
              <w:jc w:val="center"/>
              <w:rPr>
                <w:rFonts w:eastAsia="Times New Roman" w:cs="Times New Roman"/>
                <w:noProof/>
              </w:rPr>
            </w:pPr>
            <w:r>
              <w:rPr>
                <w:noProof/>
              </w:rPr>
              <w:t>189</w:t>
            </w:r>
          </w:p>
        </w:tc>
        <w:tc>
          <w:tcPr>
            <w:tcW w:w="851" w:type="dxa"/>
            <w:shd w:val="clear" w:color="auto" w:fill="C6EFCE"/>
            <w:noWrap/>
          </w:tcPr>
          <w:p w14:paraId="60850CCD" w14:textId="77777777" w:rsidR="000E48CE" w:rsidRDefault="00FF4C4E">
            <w:pPr>
              <w:pStyle w:val="P68B1DB1-Normal13"/>
              <w:spacing w:after="0" w:line="240" w:lineRule="auto"/>
              <w:jc w:val="center"/>
              <w:rPr>
                <w:rFonts w:eastAsia="Times New Roman" w:cs="Times New Roman"/>
                <w:noProof/>
              </w:rPr>
            </w:pPr>
            <w:r>
              <w:rPr>
                <w:noProof/>
              </w:rPr>
              <w:t>C13.R1</w:t>
            </w:r>
          </w:p>
        </w:tc>
        <w:tc>
          <w:tcPr>
            <w:tcW w:w="850" w:type="dxa"/>
            <w:shd w:val="clear" w:color="auto" w:fill="C6EFCE"/>
            <w:noWrap/>
          </w:tcPr>
          <w:p w14:paraId="6B48FA13" w14:textId="77777777" w:rsidR="000E48CE" w:rsidRDefault="00FF4C4E">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69AE906E" w14:textId="77777777" w:rsidR="000E48CE" w:rsidRDefault="00FF4C4E">
            <w:pPr>
              <w:pStyle w:val="P68B1DB1-Normal13"/>
              <w:spacing w:after="0" w:line="240" w:lineRule="auto"/>
              <w:rPr>
                <w:rFonts w:eastAsia="Times New Roman" w:cs="Times New Roman"/>
                <w:noProof/>
              </w:rPr>
            </w:pPr>
            <w:r>
              <w:rPr>
                <w:noProof/>
              </w:rPr>
              <w:t xml:space="preserve">Laki asianajajien ja </w:t>
            </w:r>
            <w:r>
              <w:rPr>
                <w:i/>
                <w:noProof/>
              </w:rPr>
              <w:t>procuradorien</w:t>
            </w:r>
            <w:r>
              <w:rPr>
                <w:noProof/>
              </w:rPr>
              <w:t xml:space="preserve">ammatteihin pääsystä annetun lain 34/2006 muuttamisesta annetun lain voimaantulo  </w:t>
            </w:r>
          </w:p>
        </w:tc>
        <w:tc>
          <w:tcPr>
            <w:tcW w:w="1134" w:type="dxa"/>
            <w:shd w:val="clear" w:color="auto" w:fill="C6EFCE"/>
            <w:noWrap/>
          </w:tcPr>
          <w:p w14:paraId="68E7AA98" w14:textId="77777777" w:rsidR="000E48CE" w:rsidRDefault="00FF4C4E">
            <w:pPr>
              <w:pStyle w:val="P68B1DB1-Normal13"/>
              <w:spacing w:after="0" w:line="240" w:lineRule="auto"/>
              <w:jc w:val="center"/>
              <w:rPr>
                <w:rFonts w:cs="Times New Roman"/>
                <w:noProof/>
              </w:rPr>
            </w:pPr>
            <w:r>
              <w:rPr>
                <w:noProof/>
              </w:rPr>
              <w:t xml:space="preserve">Lain voimaantulon osoittava lain säännös </w:t>
            </w:r>
          </w:p>
        </w:tc>
        <w:tc>
          <w:tcPr>
            <w:tcW w:w="709" w:type="dxa"/>
            <w:shd w:val="clear" w:color="auto" w:fill="C6EFCE"/>
            <w:noWrap/>
          </w:tcPr>
          <w:p w14:paraId="1A8872DF" w14:textId="77777777" w:rsidR="000E48CE" w:rsidRDefault="00FF4C4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7FAB8CD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46AD9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97DFDAC"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7179B9E0" w14:textId="77777777" w:rsidR="000E48CE" w:rsidRDefault="00FF4C4E">
            <w:pPr>
              <w:pStyle w:val="P68B1DB1-Normal13"/>
              <w:spacing w:after="0" w:line="240" w:lineRule="auto"/>
              <w:jc w:val="center"/>
              <w:rPr>
                <w:rFonts w:eastAsia="Times New Roman" w:cs="Times New Roman"/>
                <w:noProof/>
              </w:rPr>
            </w:pPr>
            <w:r>
              <w:rPr>
                <w:noProof/>
              </w:rPr>
              <w:t>2021</w:t>
            </w:r>
          </w:p>
        </w:tc>
        <w:tc>
          <w:tcPr>
            <w:tcW w:w="6662" w:type="dxa"/>
            <w:shd w:val="clear" w:color="auto" w:fill="C6EFCE"/>
            <w:noWrap/>
          </w:tcPr>
          <w:p w14:paraId="65DCB318" w14:textId="77777777" w:rsidR="000E48CE" w:rsidRDefault="00FF4C4E">
            <w:pPr>
              <w:pStyle w:val="P68B1DB1-Normal13"/>
              <w:spacing w:after="0"/>
              <w:rPr>
                <w:rFonts w:eastAsia="Times New Roman" w:cs="Times New Roman"/>
                <w:noProof/>
              </w:rPr>
            </w:pPr>
            <w:r>
              <w:rPr>
                <w:noProof/>
              </w:rPr>
              <w:t xml:space="preserve">Asianajajan ja procuradoresin ammatteihin pääsystä annetun lain 34/2006 muuttamisesta annetun </w:t>
            </w:r>
            <w:r>
              <w:rPr>
                <w:i/>
                <w:noProof/>
              </w:rPr>
              <w:t>lain</w:t>
            </w:r>
            <w:r>
              <w:rPr>
                <w:noProof/>
              </w:rPr>
              <w:t xml:space="preserve"> voimaantulo</w:t>
            </w:r>
            <w:r>
              <w:rPr>
                <w:noProof/>
              </w:rPr>
              <w:br/>
              <w:t>— Nyky</w:t>
            </w:r>
            <w:r>
              <w:rPr>
                <w:noProof/>
              </w:rPr>
              <w:t>isen vähimmäismaksujärjestelmän uudistaminen enimmäismaksujen järjestelmäksi ja uusi velvoite toimittaa kustannusarvio asiakkaalle neuvonnan muodossa.</w:t>
            </w:r>
            <w:r>
              <w:rPr>
                <w:noProof/>
              </w:rPr>
              <w:br/>
              <w:t xml:space="preserve">Sallitaan asianajajan ja procuradoresin ammattien monialatoiminta samassa </w:t>
            </w:r>
            <w:r>
              <w:rPr>
                <w:i/>
                <w:noProof/>
              </w:rPr>
              <w:t>oikeushenkilössä</w:t>
            </w:r>
            <w:r>
              <w:rPr>
                <w:noProof/>
              </w:rPr>
              <w:t xml:space="preserve"> </w:t>
            </w:r>
            <w:r>
              <w:rPr>
                <w:noProof/>
              </w:rPr>
              <w:br/>
              <w:t>— Asianajajan</w:t>
            </w:r>
            <w:r>
              <w:rPr>
                <w:noProof/>
              </w:rPr>
              <w:t xml:space="preserve"> ja procuradoresin ammatin harjoittaminen vain </w:t>
            </w:r>
            <w:r>
              <w:rPr>
                <w:i/>
                <w:noProof/>
              </w:rPr>
              <w:t>kerran</w:t>
            </w:r>
            <w:r>
              <w:rPr>
                <w:noProof/>
              </w:rPr>
              <w:t>.</w:t>
            </w:r>
          </w:p>
        </w:tc>
      </w:tr>
      <w:tr w:rsidR="000E48CE" w14:paraId="765E1C0D" w14:textId="77777777">
        <w:trPr>
          <w:trHeight w:val="309"/>
        </w:trPr>
        <w:tc>
          <w:tcPr>
            <w:tcW w:w="709" w:type="dxa"/>
            <w:shd w:val="clear" w:color="auto" w:fill="C6EFCE"/>
            <w:noWrap/>
          </w:tcPr>
          <w:p w14:paraId="5BB30F60" w14:textId="77777777" w:rsidR="000E48CE" w:rsidRDefault="00FF4C4E">
            <w:pPr>
              <w:pStyle w:val="P68B1DB1-Normal13"/>
              <w:spacing w:after="0" w:line="240" w:lineRule="auto"/>
              <w:jc w:val="center"/>
              <w:rPr>
                <w:rFonts w:eastAsia="Times New Roman" w:cs="Times New Roman"/>
                <w:noProof/>
              </w:rPr>
            </w:pPr>
            <w:r>
              <w:rPr>
                <w:noProof/>
              </w:rPr>
              <w:t>190</w:t>
            </w:r>
          </w:p>
        </w:tc>
        <w:tc>
          <w:tcPr>
            <w:tcW w:w="851" w:type="dxa"/>
            <w:shd w:val="clear" w:color="auto" w:fill="C6EFCE"/>
            <w:noWrap/>
          </w:tcPr>
          <w:p w14:paraId="7F61B1A9" w14:textId="77777777" w:rsidR="000E48CE" w:rsidRDefault="00FF4C4E">
            <w:pPr>
              <w:pStyle w:val="P68B1DB1-Normal13"/>
              <w:spacing w:after="0" w:line="240" w:lineRule="auto"/>
              <w:jc w:val="center"/>
              <w:rPr>
                <w:rFonts w:eastAsia="Times New Roman" w:cs="Times New Roman"/>
                <w:noProof/>
              </w:rPr>
            </w:pPr>
            <w:r>
              <w:rPr>
                <w:noProof/>
              </w:rPr>
              <w:t>C13.R1</w:t>
            </w:r>
          </w:p>
        </w:tc>
        <w:tc>
          <w:tcPr>
            <w:tcW w:w="850" w:type="dxa"/>
            <w:shd w:val="clear" w:color="auto" w:fill="C6EFCE"/>
            <w:noWrap/>
          </w:tcPr>
          <w:p w14:paraId="61E98DCA" w14:textId="77777777" w:rsidR="000E48CE" w:rsidRDefault="00FF4C4E">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57F15FB7" w14:textId="77777777" w:rsidR="000E48CE" w:rsidRDefault="00FF4C4E">
            <w:pPr>
              <w:pStyle w:val="P68B1DB1-Normal13"/>
              <w:spacing w:after="0" w:line="240" w:lineRule="auto"/>
              <w:rPr>
                <w:rFonts w:eastAsia="Times New Roman" w:cs="Times New Roman"/>
                <w:noProof/>
              </w:rPr>
            </w:pPr>
            <w:r>
              <w:rPr>
                <w:noProof/>
              </w:rPr>
              <w:t>Maksukyvyttömyyslain uudistamista koskevan lain voimaantulo</w:t>
            </w:r>
          </w:p>
        </w:tc>
        <w:tc>
          <w:tcPr>
            <w:tcW w:w="1134" w:type="dxa"/>
            <w:shd w:val="clear" w:color="auto" w:fill="C6EFCE"/>
            <w:noWrap/>
          </w:tcPr>
          <w:p w14:paraId="61F1C772" w14:textId="77777777" w:rsidR="000E48CE" w:rsidRDefault="00FF4C4E">
            <w:pPr>
              <w:pStyle w:val="P68B1DB1-Normal13"/>
              <w:spacing w:after="0" w:line="240" w:lineRule="auto"/>
              <w:jc w:val="center"/>
              <w:rPr>
                <w:rFonts w:eastAsia="Times New Roman" w:cs="Times New Roman"/>
                <w:noProof/>
              </w:rPr>
            </w:pPr>
            <w:r>
              <w:rPr>
                <w:noProof/>
              </w:rPr>
              <w:t xml:space="preserve">Lain voimaantulon osoittava lain säännös </w:t>
            </w:r>
          </w:p>
        </w:tc>
        <w:tc>
          <w:tcPr>
            <w:tcW w:w="709" w:type="dxa"/>
            <w:shd w:val="clear" w:color="auto" w:fill="C6EFCE"/>
            <w:noWrap/>
          </w:tcPr>
          <w:p w14:paraId="137D43B2" w14:textId="77777777" w:rsidR="000E48CE" w:rsidRDefault="00FF4C4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479AD0FD"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950652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C44A06B" w14:textId="77777777" w:rsidR="000E48CE" w:rsidRDefault="00FF4C4E">
            <w:pPr>
              <w:pStyle w:val="P68B1DB1-Normal13"/>
              <w:spacing w:after="0" w:line="240" w:lineRule="auto"/>
              <w:jc w:val="center"/>
              <w:rPr>
                <w:rFonts w:eastAsia="Times New Roman" w:cs="Times New Roman"/>
                <w:noProof/>
              </w:rPr>
            </w:pPr>
            <w:r>
              <w:rPr>
                <w:noProof/>
              </w:rPr>
              <w:t>Q2</w:t>
            </w:r>
          </w:p>
        </w:tc>
        <w:tc>
          <w:tcPr>
            <w:tcW w:w="567" w:type="dxa"/>
            <w:shd w:val="clear" w:color="auto" w:fill="C6EFCE"/>
            <w:noWrap/>
          </w:tcPr>
          <w:p w14:paraId="2FCB0542"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1A958D65" w14:textId="77777777" w:rsidR="000E48CE" w:rsidRDefault="00FF4C4E">
            <w:pPr>
              <w:pStyle w:val="P68B1DB1-Normal13"/>
              <w:spacing w:after="0" w:line="240" w:lineRule="auto"/>
              <w:rPr>
                <w:rFonts w:eastAsia="Times New Roman" w:cs="Times New Roman"/>
                <w:noProof/>
              </w:rPr>
            </w:pPr>
            <w:r>
              <w:rPr>
                <w:noProof/>
              </w:rPr>
              <w:t xml:space="preserve">Maksukyvyttömyyslain uudistuksen voimaantulo. </w:t>
            </w:r>
            <w:r>
              <w:rPr>
                <w:noProof/>
              </w:rPr>
              <w:br/>
              <w:t xml:space="preserve">Maksukyvyttömyyslain </w:t>
            </w:r>
            <w:r>
              <w:rPr>
                <w:noProof/>
              </w:rPr>
              <w:t>uudistuksessa, joka ylittää direktiivin vaatimukset, on</w:t>
            </w:r>
            <w:r>
              <w:rPr>
                <w:noProof/>
              </w:rPr>
              <w:br/>
              <w:t xml:space="preserve">otetaan käyttöön tehokkaampi uusi mahdollisuus luonnollisille henkilöille siten, että velkajärjestely on mahdollinen ilman maksukyvyttömän omaisuuden likvidointia, </w:t>
            </w:r>
            <w:r>
              <w:rPr>
                <w:noProof/>
              </w:rPr>
              <w:br/>
              <w:t>otetaan käyttöön mikro-pk-yrityksiä</w:t>
            </w:r>
            <w:r>
              <w:rPr>
                <w:noProof/>
              </w:rPr>
              <w:t xml:space="preserve"> koskeva erityinen menettely, joka lyhentää kestoa ja kustannuksia ja joka käsitellään kokonaisuudessaan sähköisesti.</w:t>
            </w:r>
          </w:p>
        </w:tc>
      </w:tr>
      <w:tr w:rsidR="000E48CE" w14:paraId="0E7B4115" w14:textId="77777777">
        <w:trPr>
          <w:trHeight w:val="309"/>
        </w:trPr>
        <w:tc>
          <w:tcPr>
            <w:tcW w:w="709" w:type="dxa"/>
            <w:shd w:val="clear" w:color="auto" w:fill="C6EFCE"/>
            <w:noWrap/>
          </w:tcPr>
          <w:p w14:paraId="1367200D" w14:textId="77777777" w:rsidR="000E48CE" w:rsidRDefault="00FF4C4E">
            <w:pPr>
              <w:pStyle w:val="P68B1DB1-Normal13"/>
              <w:spacing w:after="0" w:line="240" w:lineRule="auto"/>
              <w:jc w:val="center"/>
              <w:rPr>
                <w:rFonts w:eastAsia="Times New Roman" w:cs="Times New Roman"/>
                <w:noProof/>
              </w:rPr>
            </w:pPr>
            <w:r>
              <w:rPr>
                <w:noProof/>
              </w:rPr>
              <w:t>191</w:t>
            </w:r>
          </w:p>
        </w:tc>
        <w:tc>
          <w:tcPr>
            <w:tcW w:w="851" w:type="dxa"/>
            <w:shd w:val="clear" w:color="auto" w:fill="C6EFCE"/>
            <w:noWrap/>
          </w:tcPr>
          <w:p w14:paraId="764559FA" w14:textId="77777777" w:rsidR="000E48CE" w:rsidRDefault="00FF4C4E">
            <w:pPr>
              <w:pStyle w:val="P68B1DB1-Normal13"/>
              <w:spacing w:after="0" w:line="240" w:lineRule="auto"/>
              <w:jc w:val="center"/>
              <w:rPr>
                <w:rFonts w:eastAsia="Times New Roman" w:cs="Times New Roman"/>
                <w:noProof/>
              </w:rPr>
            </w:pPr>
            <w:r>
              <w:rPr>
                <w:noProof/>
              </w:rPr>
              <w:t>C13.R1</w:t>
            </w:r>
          </w:p>
        </w:tc>
        <w:tc>
          <w:tcPr>
            <w:tcW w:w="850" w:type="dxa"/>
            <w:shd w:val="clear" w:color="auto" w:fill="C6EFCE"/>
            <w:noWrap/>
          </w:tcPr>
          <w:p w14:paraId="5D99C20E" w14:textId="77777777" w:rsidR="000E48CE" w:rsidRDefault="00FF4C4E">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6EB68533" w14:textId="77777777" w:rsidR="000E48CE" w:rsidRDefault="00FF4C4E">
            <w:pPr>
              <w:pStyle w:val="P68B1DB1-Normal13"/>
              <w:spacing w:after="0" w:line="240" w:lineRule="auto"/>
              <w:rPr>
                <w:rFonts w:eastAsia="Times New Roman" w:cs="Times New Roman"/>
                <w:noProof/>
              </w:rPr>
            </w:pPr>
            <w:r>
              <w:rPr>
                <w:noProof/>
              </w:rPr>
              <w:t>Yritysten perustamista ja kasvua koskevan lain voimaantulo</w:t>
            </w:r>
          </w:p>
        </w:tc>
        <w:tc>
          <w:tcPr>
            <w:tcW w:w="1134" w:type="dxa"/>
            <w:shd w:val="clear" w:color="auto" w:fill="C6EFCE"/>
            <w:noWrap/>
          </w:tcPr>
          <w:p w14:paraId="6B20E7DE" w14:textId="77777777" w:rsidR="000E48CE" w:rsidRDefault="00FF4C4E">
            <w:pPr>
              <w:pStyle w:val="P68B1DB1-Normal13"/>
              <w:spacing w:after="0" w:line="240" w:lineRule="auto"/>
              <w:jc w:val="center"/>
              <w:rPr>
                <w:rFonts w:eastAsia="Times New Roman" w:cs="Times New Roman"/>
                <w:noProof/>
              </w:rPr>
            </w:pPr>
            <w:r>
              <w:rPr>
                <w:noProof/>
              </w:rPr>
              <w:t xml:space="preserve">Lain voimaantulon osoittava lain säännös </w:t>
            </w:r>
          </w:p>
        </w:tc>
        <w:tc>
          <w:tcPr>
            <w:tcW w:w="709" w:type="dxa"/>
            <w:shd w:val="clear" w:color="auto" w:fill="C6EFCE"/>
            <w:noWrap/>
          </w:tcPr>
          <w:p w14:paraId="686C10AE" w14:textId="77777777" w:rsidR="000E48CE" w:rsidRDefault="00FF4C4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14C8C5BF"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556DE6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09E9066"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7E166C72"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3D4B57FC" w14:textId="77777777" w:rsidR="000E48CE" w:rsidRDefault="00FF4C4E">
            <w:pPr>
              <w:pStyle w:val="P68B1DB1-Normal13"/>
              <w:spacing w:after="0" w:line="240" w:lineRule="auto"/>
              <w:rPr>
                <w:rFonts w:eastAsia="Times New Roman" w:cs="Times New Roman"/>
                <w:noProof/>
              </w:rPr>
            </w:pPr>
            <w:r>
              <w:rPr>
                <w:noProof/>
              </w:rPr>
              <w:t>Yritysten perustamista ja kasvua koskevan uuden lain voimaantulo, jolla yksinkertaistetaan yrityksen perustamismenettelyjä ja edistetään monipuolisia rahoituslähteitä yritysten kasvulle. Yritysten perustamista ja kasvua koskevaan lakiin on sisällyttävä myö</w:t>
            </w:r>
            <w:r>
              <w:rPr>
                <w:noProof/>
              </w:rPr>
              <w:t>s toimenpiteitä, joilla edistetään varhaismaksukulttuuria, erityisesti maksuvalmiuden tarjoamiseksi pk-yrityksille ja itsenäisille ammatinharjoittajille välttämällä maksuviivästyksiä. Varhaismaksukulttuurin edistämiseksi toteutettavia toimenpiteitä ovat mu</w:t>
            </w:r>
            <w:r>
              <w:rPr>
                <w:noProof/>
              </w:rPr>
              <w:t>un muassa ohjeet maksuaikojen julkisuudesta ja läpinäkyvyydestä, parhaista liiketoimintakäytännöistä ja mekanismeista täytäntöönpanon parantamiseksi, kuten tuomioistuinten ulkopuolinen riitojenratkaisujärjestelmä. Yritysten perustamista ja kasvua koskevaan</w:t>
            </w:r>
            <w:r>
              <w:rPr>
                <w:noProof/>
              </w:rPr>
              <w:t xml:space="preserve"> lakiin on sisällytettävä myös muutoksia markkinoiden yhtenäisyyttä koskevaan lakiin sen täytäntöönpanon helpottamiseksi ja markkinaesteistä kärsivien markkinatoimijoiden käytettävissä olevien mekanismien vahvistamiseksi. Perustetaan uusi sääntelyn paranta</w:t>
            </w:r>
            <w:r>
              <w:rPr>
                <w:noProof/>
              </w:rPr>
              <w:t xml:space="preserve">mista ja liiketoimintaympäristöä käsittelevä alakohtainen konferenssi helpottamaan hyvän sääntelyn periaatteiden asianmukaista soveltamista kaikissa julkishallinnoissa ja varmistamaan eri hallintojen optimaalinen koordinointi. </w:t>
            </w:r>
          </w:p>
        </w:tc>
      </w:tr>
      <w:tr w:rsidR="000E48CE" w14:paraId="248732C2" w14:textId="77777777">
        <w:trPr>
          <w:trHeight w:val="309"/>
        </w:trPr>
        <w:tc>
          <w:tcPr>
            <w:tcW w:w="709" w:type="dxa"/>
            <w:shd w:val="clear" w:color="auto" w:fill="C6EFCE"/>
            <w:noWrap/>
          </w:tcPr>
          <w:p w14:paraId="297C70A3" w14:textId="4BCC95D8" w:rsidR="000E48CE" w:rsidRDefault="00FF4C4E">
            <w:pPr>
              <w:pStyle w:val="P68B1DB1-Normal13"/>
              <w:spacing w:after="0" w:line="240" w:lineRule="auto"/>
              <w:jc w:val="center"/>
              <w:rPr>
                <w:rFonts w:cs="Times New Roman"/>
                <w:noProof/>
              </w:rPr>
            </w:pPr>
            <w:r>
              <w:rPr>
                <w:noProof/>
              </w:rPr>
              <w:t>449</w:t>
            </w:r>
          </w:p>
        </w:tc>
        <w:tc>
          <w:tcPr>
            <w:tcW w:w="851" w:type="dxa"/>
            <w:shd w:val="clear" w:color="auto" w:fill="C6EFCE"/>
            <w:noWrap/>
          </w:tcPr>
          <w:p w14:paraId="25F9E4EC" w14:textId="77777777" w:rsidR="000E48CE" w:rsidRDefault="00FF4C4E">
            <w:pPr>
              <w:pStyle w:val="P68B1DB1-Normal13"/>
              <w:spacing w:after="0" w:line="240" w:lineRule="auto"/>
              <w:jc w:val="center"/>
              <w:rPr>
                <w:rFonts w:cs="Times New Roman"/>
                <w:noProof/>
              </w:rPr>
            </w:pPr>
            <w:r>
              <w:rPr>
                <w:noProof/>
              </w:rPr>
              <w:t>C13.R1</w:t>
            </w:r>
          </w:p>
        </w:tc>
        <w:tc>
          <w:tcPr>
            <w:tcW w:w="850" w:type="dxa"/>
            <w:shd w:val="clear" w:color="auto" w:fill="C6EFCE"/>
            <w:noWrap/>
          </w:tcPr>
          <w:p w14:paraId="7ED0050D" w14:textId="77777777" w:rsidR="000E48CE" w:rsidRDefault="00FF4C4E">
            <w:pPr>
              <w:pStyle w:val="P68B1DB1-Normal13"/>
              <w:spacing w:after="0" w:line="240" w:lineRule="auto"/>
              <w:jc w:val="center"/>
              <w:rPr>
                <w:rFonts w:cs="Times New Roman"/>
                <w:noProof/>
              </w:rPr>
            </w:pPr>
            <w:r>
              <w:rPr>
                <w:noProof/>
              </w:rPr>
              <w:t>M </w:t>
            </w:r>
          </w:p>
        </w:tc>
        <w:tc>
          <w:tcPr>
            <w:tcW w:w="1985" w:type="dxa"/>
            <w:shd w:val="clear" w:color="auto" w:fill="C6EFCE"/>
            <w:noWrap/>
          </w:tcPr>
          <w:p w14:paraId="0D5EC354" w14:textId="77777777" w:rsidR="000E48CE" w:rsidRDefault="00FF4C4E">
            <w:pPr>
              <w:pStyle w:val="P68B1DB1-Normal13"/>
              <w:spacing w:after="0" w:line="240" w:lineRule="auto"/>
              <w:rPr>
                <w:rFonts w:cs="Times New Roman"/>
                <w:noProof/>
              </w:rPr>
            </w:pPr>
            <w:r>
              <w:rPr>
                <w:noProof/>
              </w:rPr>
              <w:t>Kilpailun suojaamisesta annettuun lakiin ja sen asetuksiin tehtyjen muutosten voimaantulo</w:t>
            </w:r>
          </w:p>
        </w:tc>
        <w:tc>
          <w:tcPr>
            <w:tcW w:w="1134" w:type="dxa"/>
            <w:shd w:val="clear" w:color="auto" w:fill="C6EFCE"/>
            <w:noWrap/>
          </w:tcPr>
          <w:p w14:paraId="07782DE2" w14:textId="77777777" w:rsidR="000E48CE" w:rsidRDefault="00FF4C4E">
            <w:pPr>
              <w:pStyle w:val="P68B1DB1-Normal13"/>
              <w:spacing w:after="0" w:line="240" w:lineRule="auto"/>
              <w:jc w:val="center"/>
              <w:rPr>
                <w:rFonts w:cs="Times New Roman"/>
                <w:noProof/>
              </w:rPr>
            </w:pPr>
            <w:r>
              <w:rPr>
                <w:noProof/>
              </w:rPr>
              <w:t>Säännös, jossa ilmoitetaan lain ja sen asetusten muutosten voimaantulo</w:t>
            </w:r>
          </w:p>
        </w:tc>
        <w:tc>
          <w:tcPr>
            <w:tcW w:w="709" w:type="dxa"/>
            <w:shd w:val="clear" w:color="auto" w:fill="C6EFCE"/>
            <w:noWrap/>
          </w:tcPr>
          <w:p w14:paraId="2884EBB4" w14:textId="77777777" w:rsidR="000E48CE" w:rsidRDefault="00FF4C4E">
            <w:pPr>
              <w:pStyle w:val="P68B1DB1-Normal13"/>
              <w:spacing w:after="0" w:line="240" w:lineRule="auto"/>
              <w:jc w:val="center"/>
              <w:rPr>
                <w:rFonts w:cs="Times New Roman"/>
                <w:noProof/>
              </w:rPr>
            </w:pPr>
            <w:r>
              <w:rPr>
                <w:noProof/>
              </w:rPr>
              <w:t> </w:t>
            </w:r>
          </w:p>
        </w:tc>
        <w:tc>
          <w:tcPr>
            <w:tcW w:w="708" w:type="dxa"/>
            <w:shd w:val="clear" w:color="auto" w:fill="C6EFCE"/>
            <w:noWrap/>
          </w:tcPr>
          <w:p w14:paraId="0E531F80" w14:textId="77777777" w:rsidR="000E48CE" w:rsidRDefault="00FF4C4E">
            <w:pPr>
              <w:pStyle w:val="P68B1DB1-Normal13"/>
              <w:spacing w:after="0" w:line="240" w:lineRule="auto"/>
              <w:jc w:val="right"/>
              <w:rPr>
                <w:rFonts w:cs="Times New Roman"/>
                <w:noProof/>
              </w:rPr>
            </w:pPr>
            <w:r>
              <w:rPr>
                <w:noProof/>
              </w:rPr>
              <w:t> </w:t>
            </w:r>
          </w:p>
        </w:tc>
        <w:tc>
          <w:tcPr>
            <w:tcW w:w="709" w:type="dxa"/>
            <w:shd w:val="clear" w:color="auto" w:fill="C6EFCE"/>
            <w:noWrap/>
          </w:tcPr>
          <w:p w14:paraId="25EC3370" w14:textId="77777777" w:rsidR="000E48CE" w:rsidRDefault="00FF4C4E">
            <w:pPr>
              <w:pStyle w:val="P68B1DB1-Normal13"/>
              <w:spacing w:after="0" w:line="240" w:lineRule="auto"/>
              <w:jc w:val="right"/>
              <w:rPr>
                <w:rFonts w:cs="Times New Roman"/>
                <w:noProof/>
              </w:rPr>
            </w:pPr>
            <w:r>
              <w:rPr>
                <w:noProof/>
              </w:rPr>
              <w:t> </w:t>
            </w:r>
          </w:p>
        </w:tc>
        <w:tc>
          <w:tcPr>
            <w:tcW w:w="567" w:type="dxa"/>
            <w:shd w:val="clear" w:color="auto" w:fill="C6EFCE"/>
            <w:noWrap/>
          </w:tcPr>
          <w:p w14:paraId="717E2388"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0F25FC10" w14:textId="77777777" w:rsidR="000E48CE" w:rsidRDefault="00FF4C4E">
            <w:pPr>
              <w:pStyle w:val="P68B1DB1-Normal13"/>
              <w:spacing w:after="0" w:line="240" w:lineRule="auto"/>
              <w:jc w:val="center"/>
              <w:rPr>
                <w:rFonts w:cs="Times New Roman"/>
                <w:noProof/>
              </w:rPr>
            </w:pPr>
            <w:r>
              <w:rPr>
                <w:noProof/>
              </w:rPr>
              <w:t>2025</w:t>
            </w:r>
          </w:p>
        </w:tc>
        <w:tc>
          <w:tcPr>
            <w:tcW w:w="6662" w:type="dxa"/>
            <w:shd w:val="clear" w:color="auto" w:fill="C6EFCE"/>
            <w:noWrap/>
          </w:tcPr>
          <w:p w14:paraId="3F43BBC4" w14:textId="77777777" w:rsidR="000E48CE" w:rsidRDefault="00FF4C4E">
            <w:pPr>
              <w:pStyle w:val="P68B1DB1-Normal13"/>
              <w:spacing w:after="0" w:line="240" w:lineRule="auto"/>
              <w:rPr>
                <w:rFonts w:eastAsia="Times New Roman" w:cs="Times New Roman"/>
                <w:noProof/>
              </w:rPr>
            </w:pPr>
            <w:r>
              <w:rPr>
                <w:noProof/>
              </w:rPr>
              <w:t>Kilpailun suojaamisesta annettuun lakiin ja sen asetuksiin tehtyjen muutosten voi</w:t>
            </w:r>
            <w:r>
              <w:rPr>
                <w:noProof/>
              </w:rPr>
              <w:t>maantulo.</w:t>
            </w:r>
          </w:p>
        </w:tc>
      </w:tr>
      <w:tr w:rsidR="000E48CE" w14:paraId="7DB6EB05" w14:textId="77777777">
        <w:trPr>
          <w:trHeight w:val="309"/>
        </w:trPr>
        <w:tc>
          <w:tcPr>
            <w:tcW w:w="709" w:type="dxa"/>
            <w:shd w:val="clear" w:color="auto" w:fill="C6EFCE"/>
            <w:noWrap/>
          </w:tcPr>
          <w:p w14:paraId="2D973C8D" w14:textId="73945A9B" w:rsidR="000E48CE" w:rsidRDefault="00FF4C4E">
            <w:pPr>
              <w:pStyle w:val="P68B1DB1-Normal13"/>
              <w:spacing w:after="0" w:line="240" w:lineRule="auto"/>
              <w:jc w:val="center"/>
              <w:rPr>
                <w:rFonts w:cs="Times New Roman"/>
                <w:noProof/>
              </w:rPr>
            </w:pPr>
            <w:r>
              <w:rPr>
                <w:noProof/>
              </w:rPr>
              <w:t>450</w:t>
            </w:r>
          </w:p>
        </w:tc>
        <w:tc>
          <w:tcPr>
            <w:tcW w:w="851" w:type="dxa"/>
            <w:shd w:val="clear" w:color="auto" w:fill="C6EFCE"/>
            <w:noWrap/>
          </w:tcPr>
          <w:p w14:paraId="1DFAC27E" w14:textId="1D64EE03" w:rsidR="000E48CE" w:rsidRDefault="00FF4C4E">
            <w:pPr>
              <w:pStyle w:val="P68B1DB1-Normal13"/>
              <w:spacing w:after="0" w:line="240" w:lineRule="auto"/>
              <w:jc w:val="center"/>
              <w:rPr>
                <w:rFonts w:cs="Times New Roman"/>
                <w:noProof/>
              </w:rPr>
            </w:pPr>
            <w:r>
              <w:rPr>
                <w:noProof/>
              </w:rPr>
              <w:t>C13.R2</w:t>
            </w:r>
          </w:p>
        </w:tc>
        <w:tc>
          <w:tcPr>
            <w:tcW w:w="850" w:type="dxa"/>
            <w:shd w:val="clear" w:color="auto" w:fill="C6EFCE"/>
            <w:noWrap/>
          </w:tcPr>
          <w:p w14:paraId="38042A60" w14:textId="440BACC0"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12DA6D1C" w14:textId="0EEF1C6B" w:rsidR="000E48CE" w:rsidRDefault="00FF4C4E">
            <w:pPr>
              <w:pStyle w:val="P68B1DB1-Normal13"/>
              <w:spacing w:after="0" w:line="240" w:lineRule="auto"/>
              <w:rPr>
                <w:rFonts w:cs="Times New Roman"/>
                <w:noProof/>
              </w:rPr>
            </w:pPr>
            <w:r>
              <w:rPr>
                <w:noProof/>
              </w:rPr>
              <w:t>Ulkomaalaisten oikeuksista ja vapauksista Espanjassa annetun lain 4/2000 muuttamisesta 26. heinäkuuta annetun kuninkaan asetuksen 629/2022 voimaantulo</w:t>
            </w:r>
          </w:p>
        </w:tc>
        <w:tc>
          <w:tcPr>
            <w:tcW w:w="1134" w:type="dxa"/>
            <w:shd w:val="clear" w:color="auto" w:fill="C6EFCE"/>
            <w:noWrap/>
          </w:tcPr>
          <w:p w14:paraId="6098828B" w14:textId="485D5F35" w:rsidR="000E48CE" w:rsidRDefault="00FF4C4E">
            <w:pPr>
              <w:pStyle w:val="P68B1DB1-Normal13"/>
              <w:spacing w:after="0" w:line="240" w:lineRule="auto"/>
              <w:jc w:val="center"/>
              <w:rPr>
                <w:rFonts w:cs="Times New Roman"/>
                <w:noProof/>
              </w:rPr>
            </w:pPr>
            <w:r>
              <w:rPr>
                <w:noProof/>
              </w:rPr>
              <w:t>Kuninkaan asetuksen säännös, josta ilmenee kyseisten säännösten voimaantulo</w:t>
            </w:r>
          </w:p>
        </w:tc>
        <w:tc>
          <w:tcPr>
            <w:tcW w:w="709" w:type="dxa"/>
            <w:shd w:val="clear" w:color="auto" w:fill="C6EFCE"/>
            <w:noWrap/>
          </w:tcPr>
          <w:p w14:paraId="55D4F140" w14:textId="77777777" w:rsidR="000E48CE" w:rsidRDefault="000E48CE">
            <w:pPr>
              <w:spacing w:after="0" w:line="240" w:lineRule="auto"/>
              <w:jc w:val="center"/>
              <w:rPr>
                <w:rFonts w:ascii="Times New Roman" w:hAnsi="Times New Roman" w:cs="Times New Roman"/>
                <w:noProof/>
                <w:sz w:val="18"/>
              </w:rPr>
            </w:pPr>
          </w:p>
        </w:tc>
        <w:tc>
          <w:tcPr>
            <w:tcW w:w="708" w:type="dxa"/>
            <w:shd w:val="clear" w:color="auto" w:fill="C6EFCE"/>
            <w:noWrap/>
          </w:tcPr>
          <w:p w14:paraId="65380D86"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326BAF63" w14:textId="77777777" w:rsidR="000E48CE" w:rsidRDefault="000E48CE">
            <w:pPr>
              <w:spacing w:after="0" w:line="240" w:lineRule="auto"/>
              <w:jc w:val="right"/>
              <w:rPr>
                <w:rFonts w:ascii="Times New Roman" w:hAnsi="Times New Roman" w:cs="Times New Roman"/>
                <w:noProof/>
                <w:sz w:val="18"/>
              </w:rPr>
            </w:pPr>
          </w:p>
        </w:tc>
        <w:tc>
          <w:tcPr>
            <w:tcW w:w="567" w:type="dxa"/>
            <w:shd w:val="clear" w:color="auto" w:fill="C6EFCE"/>
            <w:noWrap/>
          </w:tcPr>
          <w:p w14:paraId="68343D68" w14:textId="411A585C"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noWrap/>
          </w:tcPr>
          <w:p w14:paraId="3724B3D2" w14:textId="2ABC8EAD" w:rsidR="000E48CE" w:rsidRDefault="00FF4C4E">
            <w:pPr>
              <w:pStyle w:val="P68B1DB1-Normal13"/>
              <w:spacing w:after="0" w:line="240" w:lineRule="auto"/>
              <w:jc w:val="center"/>
              <w:rPr>
                <w:rFonts w:cs="Times New Roman"/>
                <w:noProof/>
              </w:rPr>
            </w:pPr>
            <w:r>
              <w:rPr>
                <w:noProof/>
              </w:rPr>
              <w:t>2022</w:t>
            </w:r>
          </w:p>
        </w:tc>
        <w:tc>
          <w:tcPr>
            <w:tcW w:w="6662" w:type="dxa"/>
            <w:shd w:val="clear" w:color="auto" w:fill="C6EFCE"/>
            <w:noWrap/>
          </w:tcPr>
          <w:p w14:paraId="16134E7E" w14:textId="1EBA40BE" w:rsidR="000E48CE" w:rsidRDefault="00FF4C4E">
            <w:pPr>
              <w:pStyle w:val="P68B1DB1-Normal13"/>
              <w:spacing w:after="0" w:line="240" w:lineRule="auto"/>
              <w:rPr>
                <w:rFonts w:cs="Times New Roman"/>
                <w:noProof/>
              </w:rPr>
            </w:pPr>
            <w:r>
              <w:rPr>
                <w:noProof/>
              </w:rPr>
              <w:t>Ulkomaalaisten oikeuksista ja vapauksista Espanjassa annetun asetuksen 4/2000 muuttamisesta 26 päivänä heinäkuuta 2022 annetun kuninkaan asetuksen 629/2022 asiaa koskevien säännösten voimaantulo toimenpiteen kuvauksen mukaisesti.</w:t>
            </w:r>
          </w:p>
        </w:tc>
      </w:tr>
      <w:tr w:rsidR="000E48CE" w14:paraId="7668D217" w14:textId="77777777">
        <w:trPr>
          <w:trHeight w:val="309"/>
        </w:trPr>
        <w:tc>
          <w:tcPr>
            <w:tcW w:w="709" w:type="dxa"/>
            <w:shd w:val="clear" w:color="auto" w:fill="C6EFCE"/>
            <w:noWrap/>
          </w:tcPr>
          <w:p w14:paraId="71B30D2C" w14:textId="77777777" w:rsidR="000E48CE" w:rsidRDefault="00FF4C4E">
            <w:pPr>
              <w:pStyle w:val="P68B1DB1-Normal13"/>
              <w:spacing w:after="0" w:line="240" w:lineRule="auto"/>
              <w:jc w:val="center"/>
              <w:rPr>
                <w:rFonts w:eastAsia="Times New Roman" w:cs="Times New Roman"/>
                <w:noProof/>
              </w:rPr>
            </w:pPr>
            <w:r>
              <w:rPr>
                <w:noProof/>
              </w:rPr>
              <w:t>192</w:t>
            </w:r>
          </w:p>
        </w:tc>
        <w:tc>
          <w:tcPr>
            <w:tcW w:w="851" w:type="dxa"/>
            <w:shd w:val="clear" w:color="auto" w:fill="C6EFCE"/>
            <w:noWrap/>
          </w:tcPr>
          <w:p w14:paraId="7D0D42DF" w14:textId="77777777" w:rsidR="000E48CE" w:rsidRDefault="00FF4C4E">
            <w:pPr>
              <w:pStyle w:val="P68B1DB1-Normal13"/>
              <w:spacing w:after="0" w:line="240" w:lineRule="auto"/>
              <w:jc w:val="center"/>
              <w:rPr>
                <w:rFonts w:eastAsia="Times New Roman" w:cs="Times New Roman"/>
                <w:noProof/>
              </w:rPr>
            </w:pPr>
            <w:r>
              <w:rPr>
                <w:noProof/>
              </w:rPr>
              <w:t>C13.R2</w:t>
            </w:r>
          </w:p>
        </w:tc>
        <w:tc>
          <w:tcPr>
            <w:tcW w:w="850" w:type="dxa"/>
            <w:shd w:val="clear" w:color="auto" w:fill="C6EFCE"/>
            <w:noWrap/>
          </w:tcPr>
          <w:p w14:paraId="00CB68D1" w14:textId="77777777" w:rsidR="000E48CE" w:rsidRDefault="00FF4C4E">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1680BA86" w14:textId="77777777" w:rsidR="000E48CE" w:rsidRDefault="00FF4C4E">
            <w:pPr>
              <w:pStyle w:val="P68B1DB1-Normal13"/>
              <w:spacing w:after="0" w:line="240" w:lineRule="auto"/>
              <w:rPr>
                <w:rFonts w:eastAsia="Times New Roman" w:cs="Times New Roman"/>
                <w:noProof/>
              </w:rPr>
            </w:pPr>
            <w:r>
              <w:rPr>
                <w:noProof/>
              </w:rPr>
              <w:t>Startup-yrityksiä koskevan lain voimaantulo</w:t>
            </w:r>
          </w:p>
        </w:tc>
        <w:tc>
          <w:tcPr>
            <w:tcW w:w="1134" w:type="dxa"/>
            <w:shd w:val="clear" w:color="auto" w:fill="C6EFCE"/>
            <w:noWrap/>
          </w:tcPr>
          <w:p w14:paraId="63805AAE" w14:textId="77777777" w:rsidR="000E48CE" w:rsidRDefault="00FF4C4E">
            <w:pPr>
              <w:pStyle w:val="P68B1DB1-Normal13"/>
              <w:spacing w:after="0" w:line="240" w:lineRule="auto"/>
              <w:jc w:val="center"/>
              <w:rPr>
                <w:rFonts w:eastAsia="Times New Roman" w:cs="Times New Roman"/>
                <w:noProof/>
              </w:rPr>
            </w:pPr>
            <w:r>
              <w:rPr>
                <w:noProof/>
              </w:rPr>
              <w:t xml:space="preserve">Lain voimaantulon osoittava lain säännös </w:t>
            </w:r>
          </w:p>
        </w:tc>
        <w:tc>
          <w:tcPr>
            <w:tcW w:w="709" w:type="dxa"/>
            <w:shd w:val="clear" w:color="auto" w:fill="C6EFCE"/>
            <w:noWrap/>
          </w:tcPr>
          <w:p w14:paraId="4E23ACCC" w14:textId="77777777" w:rsidR="000E48CE" w:rsidRDefault="00FF4C4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49A8FFB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665DF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92F3102"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6277EBC5"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2D9CE0CD" w14:textId="77777777" w:rsidR="000E48CE" w:rsidRDefault="00FF4C4E">
            <w:pPr>
              <w:pStyle w:val="P68B1DB1-Normal13"/>
              <w:spacing w:after="0" w:line="240" w:lineRule="auto"/>
              <w:rPr>
                <w:rFonts w:eastAsia="Times New Roman" w:cs="Times New Roman"/>
                <w:noProof/>
              </w:rPr>
            </w:pPr>
            <w:r>
              <w:rPr>
                <w:noProof/>
              </w:rPr>
              <w:t xml:space="preserve">Käynnistyslain voimaantulo, sillä se luo suotuisat puitteet erittäin innovatiivisten startup-yritysten perustamiselle ja kasvulle. </w:t>
            </w:r>
            <w:r>
              <w:rPr>
                <w:noProof/>
              </w:rPr>
              <w:t>Startup-Ups-lailla otetaan käyttöön veromaksuja koskevia uudistuksia kannustimina, joilla kannustetaan ja helpotetaan startup-yritysten kehittämistä sekä ulkomaisten yrittäjien ja sijoittajien houkuttelemista julkisen talouden vakauttamista koskevien tavoi</w:t>
            </w:r>
            <w:r>
              <w:rPr>
                <w:noProof/>
              </w:rPr>
              <w:t>tteiden mukaisesti. Start-Ups-laissa on myös otettava käyttöön mekanismeja, joilla helpotetaan sen täytäntöönpanoa ja sen suhdetta digitaalisen yrittäjän ekosysteemiin liittyviin toimenpiteisiin.</w:t>
            </w:r>
          </w:p>
        </w:tc>
      </w:tr>
      <w:tr w:rsidR="000E48CE" w14:paraId="1E6EB94D" w14:textId="77777777">
        <w:trPr>
          <w:trHeight w:val="309"/>
        </w:trPr>
        <w:tc>
          <w:tcPr>
            <w:tcW w:w="709" w:type="dxa"/>
            <w:shd w:val="clear" w:color="auto" w:fill="C6EFCE"/>
            <w:noWrap/>
          </w:tcPr>
          <w:p w14:paraId="318F0EB5" w14:textId="613F4F07" w:rsidR="000E48CE" w:rsidRDefault="00FF4C4E">
            <w:pPr>
              <w:pStyle w:val="P68B1DB1-Normal13"/>
              <w:spacing w:after="0" w:line="240" w:lineRule="auto"/>
              <w:jc w:val="center"/>
              <w:rPr>
                <w:rFonts w:cs="Times New Roman"/>
                <w:noProof/>
              </w:rPr>
            </w:pPr>
            <w:r>
              <w:rPr>
                <w:noProof/>
              </w:rPr>
              <w:t>451</w:t>
            </w:r>
          </w:p>
        </w:tc>
        <w:tc>
          <w:tcPr>
            <w:tcW w:w="851" w:type="dxa"/>
            <w:shd w:val="clear" w:color="auto" w:fill="C6EFCE"/>
            <w:noWrap/>
          </w:tcPr>
          <w:p w14:paraId="5833FDD5" w14:textId="77777777" w:rsidR="000E48CE" w:rsidRDefault="00FF4C4E">
            <w:pPr>
              <w:pStyle w:val="P68B1DB1-Normal13"/>
              <w:spacing w:after="0" w:line="240" w:lineRule="auto"/>
              <w:jc w:val="center"/>
              <w:rPr>
                <w:rFonts w:cs="Times New Roman"/>
                <w:noProof/>
              </w:rPr>
            </w:pPr>
            <w:r>
              <w:rPr>
                <w:noProof/>
              </w:rPr>
              <w:t>C13.R2</w:t>
            </w:r>
          </w:p>
        </w:tc>
        <w:tc>
          <w:tcPr>
            <w:tcW w:w="850" w:type="dxa"/>
            <w:shd w:val="clear" w:color="auto" w:fill="C6EFCE"/>
            <w:noWrap/>
          </w:tcPr>
          <w:p w14:paraId="5D9DCA8A" w14:textId="77777777"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096FFB22" w14:textId="77777777" w:rsidR="000E48CE" w:rsidRDefault="00FF4C4E">
            <w:pPr>
              <w:pStyle w:val="P68B1DB1-Normal13"/>
              <w:spacing w:after="0" w:line="240" w:lineRule="auto"/>
              <w:rPr>
                <w:rFonts w:cs="Times New Roman"/>
                <w:noProof/>
              </w:rPr>
            </w:pPr>
            <w:r>
              <w:rPr>
                <w:noProof/>
              </w:rPr>
              <w:t xml:space="preserve">Yrittäjien tukemisesta ja </w:t>
            </w:r>
            <w:r>
              <w:rPr>
                <w:noProof/>
              </w:rPr>
              <w:t>kansainvälistymisestä 27. syyskuuta annetun lain 14/2013 muutoksen voimaantulo</w:t>
            </w:r>
          </w:p>
        </w:tc>
        <w:tc>
          <w:tcPr>
            <w:tcW w:w="1134" w:type="dxa"/>
            <w:shd w:val="clear" w:color="auto" w:fill="C6EFCE"/>
            <w:noWrap/>
          </w:tcPr>
          <w:p w14:paraId="28020984" w14:textId="56A043DE" w:rsidR="000E48CE" w:rsidRDefault="00FF4C4E">
            <w:pPr>
              <w:pStyle w:val="P68B1DB1-Normal13"/>
              <w:spacing w:after="0" w:line="240" w:lineRule="auto"/>
              <w:jc w:val="center"/>
              <w:rPr>
                <w:rFonts w:cs="Times New Roman"/>
                <w:noProof/>
              </w:rPr>
            </w:pPr>
            <w:r>
              <w:rPr>
                <w:noProof/>
              </w:rPr>
              <w:t>Lainmuutokseen sisältyvä säännös, jossa ilmoitetaan kyseisten säännösten voimaantulo</w:t>
            </w:r>
          </w:p>
        </w:tc>
        <w:tc>
          <w:tcPr>
            <w:tcW w:w="709" w:type="dxa"/>
            <w:shd w:val="clear" w:color="auto" w:fill="C6EFCE"/>
            <w:noWrap/>
          </w:tcPr>
          <w:p w14:paraId="7133CF56" w14:textId="77777777" w:rsidR="000E48CE" w:rsidRDefault="000E48CE">
            <w:pPr>
              <w:spacing w:after="0" w:line="240" w:lineRule="auto"/>
              <w:jc w:val="center"/>
              <w:rPr>
                <w:rFonts w:ascii="Times New Roman" w:hAnsi="Times New Roman" w:cs="Times New Roman"/>
                <w:noProof/>
                <w:sz w:val="18"/>
              </w:rPr>
            </w:pPr>
          </w:p>
        </w:tc>
        <w:tc>
          <w:tcPr>
            <w:tcW w:w="708" w:type="dxa"/>
            <w:shd w:val="clear" w:color="auto" w:fill="C6EFCE"/>
            <w:noWrap/>
          </w:tcPr>
          <w:p w14:paraId="6BA613E5"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5D56298E" w14:textId="77777777" w:rsidR="000E48CE" w:rsidRDefault="000E48CE">
            <w:pPr>
              <w:spacing w:after="0" w:line="240" w:lineRule="auto"/>
              <w:jc w:val="right"/>
              <w:rPr>
                <w:rFonts w:ascii="Times New Roman" w:hAnsi="Times New Roman" w:cs="Times New Roman"/>
                <w:noProof/>
                <w:sz w:val="18"/>
              </w:rPr>
            </w:pPr>
          </w:p>
        </w:tc>
        <w:tc>
          <w:tcPr>
            <w:tcW w:w="567" w:type="dxa"/>
            <w:shd w:val="clear" w:color="auto" w:fill="C6EFCE"/>
            <w:noWrap/>
          </w:tcPr>
          <w:p w14:paraId="4D85260B"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08115EB3" w14:textId="77777777" w:rsidR="000E48CE" w:rsidRDefault="00FF4C4E">
            <w:pPr>
              <w:pStyle w:val="P68B1DB1-Normal13"/>
              <w:spacing w:after="0" w:line="240" w:lineRule="auto"/>
              <w:jc w:val="center"/>
              <w:rPr>
                <w:rFonts w:cs="Times New Roman"/>
                <w:noProof/>
              </w:rPr>
            </w:pPr>
            <w:r>
              <w:rPr>
                <w:noProof/>
              </w:rPr>
              <w:t>2023</w:t>
            </w:r>
          </w:p>
        </w:tc>
        <w:tc>
          <w:tcPr>
            <w:tcW w:w="6662" w:type="dxa"/>
            <w:shd w:val="clear" w:color="auto" w:fill="C6EFCE"/>
            <w:noWrap/>
          </w:tcPr>
          <w:p w14:paraId="1D6A9F51" w14:textId="77777777" w:rsidR="000E48CE" w:rsidRDefault="00FF4C4E">
            <w:pPr>
              <w:pStyle w:val="P68B1DB1-Normal13"/>
              <w:spacing w:after="0" w:line="240" w:lineRule="auto"/>
              <w:rPr>
                <w:rFonts w:cs="Times New Roman"/>
                <w:noProof/>
              </w:rPr>
            </w:pPr>
            <w:r>
              <w:rPr>
                <w:noProof/>
              </w:rPr>
              <w:t>Yrittäjien tukemisesta ja kansainvälistymisestä 27 päivänä syyskuuta annetun lain</w:t>
            </w:r>
            <w:r>
              <w:rPr>
                <w:noProof/>
              </w:rPr>
              <w:t xml:space="preserve"> 14/2013 muutoksen asiaankuuluvien säännösten voimaantulo toimenpiteen kuvauksen mukaisesti.</w:t>
            </w:r>
          </w:p>
        </w:tc>
      </w:tr>
      <w:tr w:rsidR="000E48CE" w14:paraId="407FE735" w14:textId="77777777">
        <w:trPr>
          <w:trHeight w:val="309"/>
        </w:trPr>
        <w:tc>
          <w:tcPr>
            <w:tcW w:w="709" w:type="dxa"/>
            <w:shd w:val="clear" w:color="auto" w:fill="C6EFCE"/>
            <w:noWrap/>
          </w:tcPr>
          <w:p w14:paraId="18C76E68" w14:textId="6ABC1D27" w:rsidR="000E48CE" w:rsidRDefault="00FF4C4E">
            <w:pPr>
              <w:pStyle w:val="P68B1DB1-Normal13"/>
              <w:spacing w:line="240" w:lineRule="auto"/>
              <w:jc w:val="center"/>
              <w:rPr>
                <w:rFonts w:cs="Times New Roman"/>
                <w:noProof/>
              </w:rPr>
            </w:pPr>
            <w:r>
              <w:rPr>
                <w:noProof/>
              </w:rPr>
              <w:t>452</w:t>
            </w:r>
          </w:p>
        </w:tc>
        <w:tc>
          <w:tcPr>
            <w:tcW w:w="851" w:type="dxa"/>
            <w:shd w:val="clear" w:color="auto" w:fill="C6EFCE"/>
            <w:noWrap/>
          </w:tcPr>
          <w:p w14:paraId="35E33E6F" w14:textId="77777777" w:rsidR="000E48CE" w:rsidRDefault="00FF4C4E">
            <w:pPr>
              <w:pStyle w:val="P68B1DB1-Normal13"/>
              <w:spacing w:line="240" w:lineRule="auto"/>
              <w:jc w:val="center"/>
              <w:rPr>
                <w:rFonts w:cs="Times New Roman"/>
                <w:noProof/>
              </w:rPr>
            </w:pPr>
            <w:r>
              <w:rPr>
                <w:noProof/>
              </w:rPr>
              <w:t>C13.R3</w:t>
            </w:r>
          </w:p>
        </w:tc>
        <w:tc>
          <w:tcPr>
            <w:tcW w:w="850" w:type="dxa"/>
            <w:shd w:val="clear" w:color="auto" w:fill="C6EFCE"/>
            <w:noWrap/>
          </w:tcPr>
          <w:p w14:paraId="69DEFA12" w14:textId="77777777" w:rsidR="000E48CE" w:rsidRDefault="00FF4C4E">
            <w:pPr>
              <w:pStyle w:val="P68B1DB1-Normal13"/>
              <w:spacing w:after="0" w:line="240" w:lineRule="auto"/>
              <w:jc w:val="center"/>
              <w:rPr>
                <w:rFonts w:cs="Times New Roman"/>
                <w:noProof/>
              </w:rPr>
            </w:pPr>
            <w:r>
              <w:rPr>
                <w:noProof/>
              </w:rPr>
              <w:t>M</w:t>
            </w:r>
          </w:p>
        </w:tc>
        <w:tc>
          <w:tcPr>
            <w:tcW w:w="1985" w:type="dxa"/>
            <w:shd w:val="clear" w:color="auto" w:fill="C6EFCE"/>
            <w:noWrap/>
          </w:tcPr>
          <w:p w14:paraId="2A2C64E6" w14:textId="77777777" w:rsidR="000E48CE" w:rsidRDefault="00FF4C4E">
            <w:pPr>
              <w:pStyle w:val="P68B1DB1-Normal13"/>
              <w:spacing w:after="0" w:line="240" w:lineRule="auto"/>
              <w:rPr>
                <w:rFonts w:cs="Times New Roman"/>
                <w:noProof/>
              </w:rPr>
            </w:pPr>
            <w:r>
              <w:rPr>
                <w:noProof/>
              </w:rPr>
              <w:t>Toimenpiteet pk-yritysten rahoituksen saannin parantamiseksi muuttamalla 17. maaliskuuta 2023 annettua lakia 6/2023.</w:t>
            </w:r>
          </w:p>
        </w:tc>
        <w:tc>
          <w:tcPr>
            <w:tcW w:w="1134" w:type="dxa"/>
            <w:shd w:val="clear" w:color="auto" w:fill="C6EFCE"/>
            <w:noWrap/>
          </w:tcPr>
          <w:p w14:paraId="042795AA" w14:textId="77777777" w:rsidR="000E48CE" w:rsidRDefault="00FF4C4E">
            <w:pPr>
              <w:pStyle w:val="P68B1DB1-Normal13"/>
              <w:spacing w:after="0" w:line="240" w:lineRule="auto"/>
              <w:jc w:val="center"/>
              <w:rPr>
                <w:rFonts w:cs="Times New Roman"/>
                <w:noProof/>
              </w:rPr>
            </w:pPr>
            <w:r>
              <w:rPr>
                <w:noProof/>
              </w:rPr>
              <w:t>Lain voimaantulon osoittava lain</w:t>
            </w:r>
            <w:r>
              <w:rPr>
                <w:noProof/>
              </w:rPr>
              <w:t xml:space="preserve"> säännös</w:t>
            </w:r>
          </w:p>
        </w:tc>
        <w:tc>
          <w:tcPr>
            <w:tcW w:w="709" w:type="dxa"/>
            <w:shd w:val="clear" w:color="auto" w:fill="C6EFCE"/>
            <w:noWrap/>
          </w:tcPr>
          <w:p w14:paraId="7DA54085" w14:textId="77777777" w:rsidR="000E48CE" w:rsidRDefault="000E48CE">
            <w:pPr>
              <w:spacing w:line="240" w:lineRule="auto"/>
              <w:jc w:val="center"/>
              <w:rPr>
                <w:rFonts w:ascii="Times New Roman" w:hAnsi="Times New Roman" w:cs="Times New Roman"/>
                <w:noProof/>
                <w:sz w:val="18"/>
              </w:rPr>
            </w:pPr>
          </w:p>
        </w:tc>
        <w:tc>
          <w:tcPr>
            <w:tcW w:w="708" w:type="dxa"/>
            <w:shd w:val="clear" w:color="auto" w:fill="C6EFCE"/>
            <w:noWrap/>
          </w:tcPr>
          <w:p w14:paraId="47A91D23" w14:textId="77777777" w:rsidR="000E48CE" w:rsidRDefault="000E48CE">
            <w:pPr>
              <w:spacing w:line="240" w:lineRule="auto"/>
              <w:jc w:val="right"/>
              <w:rPr>
                <w:rFonts w:ascii="Times New Roman" w:hAnsi="Times New Roman" w:cs="Times New Roman"/>
                <w:noProof/>
                <w:sz w:val="18"/>
              </w:rPr>
            </w:pPr>
          </w:p>
        </w:tc>
        <w:tc>
          <w:tcPr>
            <w:tcW w:w="709" w:type="dxa"/>
            <w:shd w:val="clear" w:color="auto" w:fill="C6EFCE"/>
            <w:noWrap/>
          </w:tcPr>
          <w:p w14:paraId="3DCF9411" w14:textId="77777777" w:rsidR="000E48CE" w:rsidRDefault="000E48CE">
            <w:pPr>
              <w:spacing w:line="240" w:lineRule="auto"/>
              <w:jc w:val="right"/>
              <w:rPr>
                <w:rFonts w:ascii="Times New Roman" w:hAnsi="Times New Roman" w:cs="Times New Roman"/>
                <w:noProof/>
                <w:sz w:val="18"/>
              </w:rPr>
            </w:pPr>
          </w:p>
        </w:tc>
        <w:tc>
          <w:tcPr>
            <w:tcW w:w="567" w:type="dxa"/>
            <w:shd w:val="clear" w:color="auto" w:fill="C6EFCE"/>
            <w:noWrap/>
          </w:tcPr>
          <w:p w14:paraId="5F702D89" w14:textId="77777777" w:rsidR="000E48CE" w:rsidRDefault="00FF4C4E">
            <w:pPr>
              <w:pStyle w:val="P68B1DB1-Normal13"/>
              <w:spacing w:line="240" w:lineRule="auto"/>
              <w:jc w:val="center"/>
              <w:rPr>
                <w:rFonts w:cs="Times New Roman"/>
                <w:noProof/>
              </w:rPr>
            </w:pPr>
            <w:r>
              <w:rPr>
                <w:noProof/>
              </w:rPr>
              <w:t>Q2</w:t>
            </w:r>
          </w:p>
        </w:tc>
        <w:tc>
          <w:tcPr>
            <w:tcW w:w="567" w:type="dxa"/>
            <w:shd w:val="clear" w:color="auto" w:fill="C6EFCE"/>
            <w:noWrap/>
          </w:tcPr>
          <w:p w14:paraId="6D8FC70B" w14:textId="77777777" w:rsidR="000E48CE" w:rsidRDefault="00FF4C4E">
            <w:pPr>
              <w:pStyle w:val="P68B1DB1-Normal13"/>
              <w:spacing w:line="240" w:lineRule="auto"/>
              <w:jc w:val="center"/>
              <w:rPr>
                <w:rFonts w:cs="Times New Roman"/>
                <w:noProof/>
              </w:rPr>
            </w:pPr>
            <w:r>
              <w:rPr>
                <w:noProof/>
              </w:rPr>
              <w:t>2024</w:t>
            </w:r>
          </w:p>
        </w:tc>
        <w:tc>
          <w:tcPr>
            <w:tcW w:w="6662" w:type="dxa"/>
            <w:shd w:val="clear" w:color="auto" w:fill="C6EFCE"/>
            <w:noWrap/>
          </w:tcPr>
          <w:p w14:paraId="3FD3EEE0" w14:textId="77777777" w:rsidR="000E48CE" w:rsidRDefault="00FF4C4E">
            <w:pPr>
              <w:pStyle w:val="P68B1DB1-Normal13"/>
              <w:spacing w:line="240" w:lineRule="auto"/>
              <w:rPr>
                <w:rFonts w:cs="Times New Roman"/>
                <w:noProof/>
              </w:rPr>
            </w:pPr>
            <w:r>
              <w:rPr>
                <w:noProof/>
              </w:rPr>
              <w:t>Arvopaperimarkkinoita ja sijoituspalveluja koskevan lain voimaantulo. Sillä yksinkertaistetaan kiinteätuottoisten arvopapereiden ottamista kaupankäynnin kohteeksi, laajennetaan pääsyä BME Growthiin, laajennetaan pakolliset julkiset osto</w:t>
            </w:r>
            <w:r>
              <w:rPr>
                <w:noProof/>
              </w:rPr>
              <w:t>tarjoukset kuin säännellyillä markkinoilla kaupankäynnin kohteena olevat arvopaperit koskemaan arvopapereita, joilla käydään kauppaa monenkeskisissä kaupankäyntijärjestelmissä, ja vähennetään rahoitusmarkkinoille pääsyn esteitä poistamalla tietojärjestelmä</w:t>
            </w:r>
            <w:r>
              <w:rPr>
                <w:noProof/>
              </w:rPr>
              <w:t xml:space="preserve"> (ns. kaupan jälkeinen rajapinta) arvopapereiden selvityksen, toimituksen ja rekisteröinnin seurantaa varten.</w:t>
            </w:r>
          </w:p>
        </w:tc>
      </w:tr>
      <w:tr w:rsidR="000E48CE" w14:paraId="17D6ADC8" w14:textId="77777777">
        <w:trPr>
          <w:trHeight w:val="309"/>
        </w:trPr>
        <w:tc>
          <w:tcPr>
            <w:tcW w:w="709" w:type="dxa"/>
            <w:shd w:val="clear" w:color="auto" w:fill="C6EFCE"/>
            <w:noWrap/>
          </w:tcPr>
          <w:p w14:paraId="05D5C24F" w14:textId="77777777" w:rsidR="000E48CE" w:rsidRDefault="00FF4C4E">
            <w:pPr>
              <w:pStyle w:val="P68B1DB1-Normal13"/>
              <w:spacing w:after="0" w:line="240" w:lineRule="auto"/>
              <w:jc w:val="center"/>
              <w:rPr>
                <w:rFonts w:eastAsia="Times New Roman" w:cs="Times New Roman"/>
                <w:noProof/>
              </w:rPr>
            </w:pPr>
            <w:r>
              <w:rPr>
                <w:noProof/>
              </w:rPr>
              <w:t>193</w:t>
            </w:r>
          </w:p>
        </w:tc>
        <w:tc>
          <w:tcPr>
            <w:tcW w:w="851" w:type="dxa"/>
            <w:shd w:val="clear" w:color="auto" w:fill="C6EFCE"/>
            <w:noWrap/>
          </w:tcPr>
          <w:p w14:paraId="748C134F" w14:textId="77777777" w:rsidR="000E48CE" w:rsidRDefault="00FF4C4E">
            <w:pPr>
              <w:pStyle w:val="P68B1DB1-Normal13"/>
              <w:spacing w:after="0" w:line="240" w:lineRule="auto"/>
              <w:jc w:val="center"/>
              <w:rPr>
                <w:rFonts w:eastAsia="Times New Roman" w:cs="Times New Roman"/>
                <w:noProof/>
              </w:rPr>
            </w:pPr>
            <w:r>
              <w:rPr>
                <w:noProof/>
              </w:rPr>
              <w:t>C13.I1</w:t>
            </w:r>
          </w:p>
        </w:tc>
        <w:tc>
          <w:tcPr>
            <w:tcW w:w="850" w:type="dxa"/>
            <w:shd w:val="clear" w:color="auto" w:fill="C6EFCE"/>
            <w:noWrap/>
          </w:tcPr>
          <w:p w14:paraId="3CCDA9E5"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38FB9B1F" w14:textId="77777777" w:rsidR="000E48CE" w:rsidRDefault="00FF4C4E">
            <w:pPr>
              <w:pStyle w:val="P68B1DB1-Normal13"/>
              <w:spacing w:after="0" w:line="240" w:lineRule="auto"/>
              <w:rPr>
                <w:rFonts w:eastAsia="Times New Roman" w:cs="Times New Roman"/>
                <w:noProof/>
              </w:rPr>
            </w:pPr>
            <w:r>
              <w:rPr>
                <w:noProof/>
              </w:rPr>
              <w:t>Yrittäjät tai pk-yritykset, jotka hyötyvät yrittäjäekosysteemiä edistävistä toimenpiteistä</w:t>
            </w:r>
          </w:p>
        </w:tc>
        <w:tc>
          <w:tcPr>
            <w:tcW w:w="1134" w:type="dxa"/>
            <w:shd w:val="clear" w:color="auto" w:fill="C6EFCE"/>
            <w:noWrap/>
          </w:tcPr>
          <w:p w14:paraId="277AC171"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2B5BC2FA"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7A53A9C3"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76A49FD6" w14:textId="77777777" w:rsidR="000E48CE" w:rsidRDefault="00FF4C4E">
            <w:pPr>
              <w:pStyle w:val="P68B1DB1-Normal13"/>
              <w:spacing w:after="0" w:line="240" w:lineRule="auto"/>
              <w:jc w:val="right"/>
              <w:rPr>
                <w:rFonts w:eastAsia="Times New Roman" w:cs="Times New Roman"/>
                <w:noProof/>
              </w:rPr>
            </w:pPr>
            <w:r>
              <w:rPr>
                <w:noProof/>
              </w:rPr>
              <w:t>6 900</w:t>
            </w:r>
          </w:p>
        </w:tc>
        <w:tc>
          <w:tcPr>
            <w:tcW w:w="567" w:type="dxa"/>
            <w:shd w:val="clear" w:color="auto" w:fill="C6EFCE"/>
            <w:noWrap/>
          </w:tcPr>
          <w:p w14:paraId="2494DAA4"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7D948FD4" w14:textId="5D588B4A" w:rsidR="000E48CE" w:rsidRDefault="00FF4C4E">
            <w:pPr>
              <w:pStyle w:val="P68B1DB1-Normal13"/>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475EB871" w14:textId="09B85465" w:rsidR="000E48CE" w:rsidRDefault="00FF4C4E">
            <w:pPr>
              <w:pStyle w:val="P68B1DB1-Normal13"/>
              <w:spacing w:after="0" w:line="240" w:lineRule="auto"/>
              <w:rPr>
                <w:rFonts w:eastAsia="Times New Roman" w:cs="Times New Roman"/>
                <w:noProof/>
              </w:rPr>
            </w:pPr>
            <w:r>
              <w:rPr>
                <w:noProof/>
              </w:rPr>
              <w:t xml:space="preserve">Vähintään 6900 </w:t>
            </w:r>
            <w:r>
              <w:rPr>
                <w:noProof/>
              </w:rPr>
              <w:t xml:space="preserve">yrittäjää tai pk-yritystä, jotka ovat saattaneet päätökseen yrittäjyysekosysteemin edistämiseen tähtäävän ohjelman vuoteen 2030 ulottuvan pk-yrityspolitiikan strategiakehyksen, Espanjan yrittäjyysstrategian ja Espanjan digitaalistrategian 2025 puitteissa, </w:t>
            </w:r>
            <w:r>
              <w:rPr>
                <w:noProof/>
              </w:rPr>
              <w:t>mukaan lukien vähintään 2000 naisyrittäjää/pk-yritystä, jotka ovat naisten johtamia tai mukana. Yrittäjyystaitoja koskevassa ohjelmassa tuetaan 6100:aa yrittäjää (joista 1200 on naisia) ja 800 naisyrittäjää Women’s Talent Attraction -ohjelman kautta ja nou</w:t>
            </w:r>
            <w:r>
              <w:rPr>
                <w:noProof/>
              </w:rPr>
              <w:t>dattaen ”ei merkittävää haittaa” -ohjelmaa (2021/C58/01) käyttämällä poissulkemisluetteloa ja edellyttämällä asiaa koskevan EU:n ja kansallisen ympäristölainsäädännön noudattamista.</w:t>
            </w:r>
          </w:p>
        </w:tc>
      </w:tr>
      <w:tr w:rsidR="000E48CE" w14:paraId="3CA897A7" w14:textId="77777777">
        <w:trPr>
          <w:trHeight w:val="309"/>
        </w:trPr>
        <w:tc>
          <w:tcPr>
            <w:tcW w:w="709" w:type="dxa"/>
            <w:shd w:val="clear" w:color="auto" w:fill="C6EFCE"/>
            <w:noWrap/>
          </w:tcPr>
          <w:p w14:paraId="21D58642" w14:textId="77777777" w:rsidR="000E48CE" w:rsidRDefault="00FF4C4E">
            <w:pPr>
              <w:pStyle w:val="P68B1DB1-Normal13"/>
              <w:spacing w:after="0" w:line="240" w:lineRule="auto"/>
              <w:jc w:val="center"/>
              <w:rPr>
                <w:rFonts w:eastAsia="Times New Roman" w:cs="Times New Roman"/>
                <w:noProof/>
              </w:rPr>
            </w:pPr>
            <w:r>
              <w:rPr>
                <w:noProof/>
              </w:rPr>
              <w:t>194</w:t>
            </w:r>
          </w:p>
        </w:tc>
        <w:tc>
          <w:tcPr>
            <w:tcW w:w="851" w:type="dxa"/>
            <w:shd w:val="clear" w:color="auto" w:fill="C6EFCE"/>
            <w:noWrap/>
          </w:tcPr>
          <w:p w14:paraId="178C5916" w14:textId="77777777" w:rsidR="000E48CE" w:rsidRDefault="00FF4C4E">
            <w:pPr>
              <w:pStyle w:val="P68B1DB1-Normal13"/>
              <w:spacing w:after="0" w:line="240" w:lineRule="auto"/>
              <w:jc w:val="center"/>
              <w:rPr>
                <w:rFonts w:eastAsia="Times New Roman" w:cs="Times New Roman"/>
                <w:noProof/>
              </w:rPr>
            </w:pPr>
            <w:r>
              <w:rPr>
                <w:noProof/>
              </w:rPr>
              <w:t>C13.I1</w:t>
            </w:r>
          </w:p>
        </w:tc>
        <w:tc>
          <w:tcPr>
            <w:tcW w:w="850" w:type="dxa"/>
            <w:shd w:val="clear" w:color="auto" w:fill="C6EFCE"/>
            <w:noWrap/>
          </w:tcPr>
          <w:p w14:paraId="7E4262ED"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3DA184E" w14:textId="77777777" w:rsidR="000E48CE" w:rsidRDefault="00FF4C4E">
            <w:pPr>
              <w:pStyle w:val="P68B1DB1-Normal13"/>
              <w:spacing w:after="0" w:line="240" w:lineRule="auto"/>
              <w:rPr>
                <w:rFonts w:eastAsia="Times New Roman" w:cs="Times New Roman"/>
                <w:noProof/>
              </w:rPr>
            </w:pPr>
            <w:r>
              <w:rPr>
                <w:noProof/>
              </w:rPr>
              <w:t xml:space="preserve">Yrittäjäekosysteemiä edistävistä toimenpiteistä hyötyvät </w:t>
            </w:r>
            <w:r>
              <w:rPr>
                <w:noProof/>
              </w:rPr>
              <w:t>käyttäjät</w:t>
            </w:r>
          </w:p>
        </w:tc>
        <w:tc>
          <w:tcPr>
            <w:tcW w:w="1134" w:type="dxa"/>
            <w:shd w:val="clear" w:color="auto" w:fill="C6EFCE"/>
            <w:noWrap/>
          </w:tcPr>
          <w:p w14:paraId="70E34C10"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5AE9F8F2"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5D0054EC"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70C6C8FC" w14:textId="77777777" w:rsidR="000E48CE" w:rsidRDefault="00FF4C4E">
            <w:pPr>
              <w:pStyle w:val="P68B1DB1-Normal13"/>
              <w:spacing w:after="0" w:line="240" w:lineRule="auto"/>
              <w:jc w:val="right"/>
              <w:rPr>
                <w:rFonts w:eastAsia="Times New Roman" w:cs="Times New Roman"/>
                <w:noProof/>
              </w:rPr>
            </w:pPr>
            <w:r>
              <w:rPr>
                <w:noProof/>
              </w:rPr>
              <w:t>12 000</w:t>
            </w:r>
          </w:p>
        </w:tc>
        <w:tc>
          <w:tcPr>
            <w:tcW w:w="567" w:type="dxa"/>
            <w:shd w:val="clear" w:color="auto" w:fill="C6EFCE"/>
            <w:noWrap/>
          </w:tcPr>
          <w:p w14:paraId="151950EE"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074264CD"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1921B1A4" w14:textId="0A0A590F" w:rsidR="000E48CE" w:rsidRDefault="00FF4C4E">
            <w:pPr>
              <w:pStyle w:val="P68B1DB1-Normal8"/>
              <w:spacing w:after="0" w:line="240" w:lineRule="auto"/>
              <w:rPr>
                <w:rFonts w:eastAsia="Times New Roman" w:cs="Times New Roman"/>
                <w:noProof/>
                <w:sz w:val="18"/>
              </w:rPr>
            </w:pPr>
            <w:r>
              <w:rPr>
                <w:noProof/>
                <w:sz w:val="18"/>
              </w:rPr>
              <w:t>Vähintään 12000 käyttäjää hyötyy toimenpiteistä, joilla pyritään edistämään yrittäjyysekosysteemiä pk-yrityspolitiikan strategiakehyksen 2030, Espanjan yrittäjyysstrategian ja Espanjan digitaalistrategian 2025 puitteissa;</w:t>
            </w:r>
            <w:r>
              <w:rPr>
                <w:noProof/>
                <w:sz w:val="18"/>
              </w:rPr>
              <w:t xml:space="preserve"> ja noudattaen ”ei merkittävää haittaa” -periaatetta koskevia teknisiä ohjeita (2021/C58/01) käyttämällä poissulkemisluetteloa ja asiaa koskevan EU:n ja kansallisen ympäristölainsäädännön noudattamista koskevaa vaatimusta.</w:t>
            </w:r>
          </w:p>
        </w:tc>
      </w:tr>
      <w:tr w:rsidR="000E48CE" w14:paraId="00F9D5E0" w14:textId="77777777">
        <w:trPr>
          <w:trHeight w:val="309"/>
        </w:trPr>
        <w:tc>
          <w:tcPr>
            <w:tcW w:w="709" w:type="dxa"/>
            <w:shd w:val="clear" w:color="auto" w:fill="C6EFCE"/>
            <w:noWrap/>
          </w:tcPr>
          <w:p w14:paraId="2ACEA88D" w14:textId="77777777" w:rsidR="000E48CE" w:rsidRDefault="00FF4C4E">
            <w:pPr>
              <w:pStyle w:val="P68B1DB1-Normal13"/>
              <w:spacing w:after="0" w:line="240" w:lineRule="auto"/>
              <w:jc w:val="center"/>
              <w:rPr>
                <w:rFonts w:eastAsia="Times New Roman" w:cs="Times New Roman"/>
                <w:noProof/>
              </w:rPr>
            </w:pPr>
            <w:r>
              <w:rPr>
                <w:noProof/>
              </w:rPr>
              <w:t>195</w:t>
            </w:r>
          </w:p>
        </w:tc>
        <w:tc>
          <w:tcPr>
            <w:tcW w:w="851" w:type="dxa"/>
            <w:shd w:val="clear" w:color="auto" w:fill="C6EFCE"/>
            <w:noWrap/>
          </w:tcPr>
          <w:p w14:paraId="5524FC9E" w14:textId="77777777" w:rsidR="000E48CE" w:rsidRDefault="00FF4C4E">
            <w:pPr>
              <w:pStyle w:val="P68B1DB1-Normal13"/>
              <w:spacing w:after="0" w:line="240" w:lineRule="auto"/>
              <w:jc w:val="center"/>
              <w:rPr>
                <w:rFonts w:eastAsia="Times New Roman" w:cs="Times New Roman"/>
                <w:noProof/>
              </w:rPr>
            </w:pPr>
            <w:r>
              <w:rPr>
                <w:noProof/>
              </w:rPr>
              <w:t>C13.I1</w:t>
            </w:r>
          </w:p>
        </w:tc>
        <w:tc>
          <w:tcPr>
            <w:tcW w:w="850" w:type="dxa"/>
            <w:shd w:val="clear" w:color="auto" w:fill="C6EFCE"/>
            <w:noWrap/>
          </w:tcPr>
          <w:p w14:paraId="06FC199C"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106F31D8" w14:textId="77777777" w:rsidR="000E48CE" w:rsidRDefault="00FF4C4E">
            <w:pPr>
              <w:pStyle w:val="P68B1DB1-Normal13"/>
              <w:spacing w:after="0" w:line="240" w:lineRule="auto"/>
              <w:rPr>
                <w:rFonts w:eastAsia="Times New Roman" w:cs="Times New Roman"/>
                <w:noProof/>
              </w:rPr>
            </w:pPr>
            <w:r>
              <w:rPr>
                <w:noProof/>
              </w:rPr>
              <w:t xml:space="preserve">Muiden toimien </w:t>
            </w:r>
            <w:r>
              <w:rPr>
                <w:noProof/>
              </w:rPr>
              <w:t>levittäminen, viestintä ja rahoitus</w:t>
            </w:r>
          </w:p>
        </w:tc>
        <w:tc>
          <w:tcPr>
            <w:tcW w:w="1134" w:type="dxa"/>
            <w:shd w:val="clear" w:color="auto" w:fill="C6EFCE"/>
            <w:noWrap/>
          </w:tcPr>
          <w:p w14:paraId="14D7D97A"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7BEE507"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316510DD"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0D44C787" w14:textId="77777777" w:rsidR="000E48CE" w:rsidRDefault="00FF4C4E">
            <w:pPr>
              <w:pStyle w:val="P68B1DB1-Normal13"/>
              <w:spacing w:after="0" w:line="240" w:lineRule="auto"/>
              <w:jc w:val="right"/>
              <w:rPr>
                <w:rFonts w:eastAsia="Times New Roman" w:cs="Times New Roman"/>
                <w:noProof/>
              </w:rPr>
            </w:pPr>
            <w:r>
              <w:rPr>
                <w:noProof/>
              </w:rPr>
              <w:t>480</w:t>
            </w:r>
          </w:p>
        </w:tc>
        <w:tc>
          <w:tcPr>
            <w:tcW w:w="567" w:type="dxa"/>
            <w:shd w:val="clear" w:color="auto" w:fill="C6EFCE"/>
            <w:noWrap/>
          </w:tcPr>
          <w:p w14:paraId="22A74655"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0641FEE1" w14:textId="4A074EF8" w:rsidR="000E48CE" w:rsidRDefault="00FF4C4E">
            <w:pPr>
              <w:pStyle w:val="P68B1DB1-Normal13"/>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2CDBA29B" w14:textId="77777777" w:rsidR="000E48CE" w:rsidRDefault="00FF4C4E">
            <w:pPr>
              <w:pStyle w:val="P68B1DB1-Normal13"/>
              <w:spacing w:after="0" w:line="240" w:lineRule="auto"/>
              <w:rPr>
                <w:rFonts w:eastAsia="Times New Roman" w:cs="Times New Roman"/>
                <w:noProof/>
              </w:rPr>
            </w:pPr>
            <w:r>
              <w:rPr>
                <w:noProof/>
              </w:rPr>
              <w:t xml:space="preserve">Vähintään 480 toimea on toteutettu levittämis- ja viestintäkampanjoissa, joilla pyritään luomaan, kehittämään tai houkuttelemaan Espanjaan kansainvälisiä tapahtumia, joissa keskitytään </w:t>
            </w:r>
            <w:r>
              <w:rPr>
                <w:noProof/>
              </w:rPr>
              <w:t>innovatiivisiin yrityksiin ja ohjelmiin naisten lahjakkuuksien houkuttelemiseksi. Tähän on sisällyttävä vähintään 20 lippulaivaohjelmassa kehitettyä yrittäjyystapahtumaa; ja vähintään 260 viestintätoimea (200 medianäyttelyä ja 60 tapahtumaa) ”Brand Spain E</w:t>
            </w:r>
            <w:r>
              <w:rPr>
                <w:noProof/>
              </w:rPr>
              <w:t>ntrepreneurship Nation”.</w:t>
            </w:r>
            <w:r>
              <w:rPr>
                <w:noProof/>
              </w:rPr>
              <w:br/>
              <w:t>Yrittäjyyden ja pk-yritysten tukiohjelman rahoittaminen naisyrittäjyyden tukemiseksi. Tähän sisältyy vähintään 200 naisyrittäjän tukeminen osallistavilla lainoilla, joita Empresa Nacional de Innovación, S.A. myöntää tämän toimenpit</w:t>
            </w:r>
            <w:r>
              <w:rPr>
                <w:noProof/>
              </w:rPr>
              <w:t>een piiriin kuuluvien tuettujen transaktioiden ”ei merkittävää haittaa” teknisten ohjeiden (2021/C58/01) mukaisesti käyttämällä kestävyysarviointia, käyttämällä poissulkemisluetteloa sekä asiaankuuluvan EU:n ja kansallisen ympäristölainsäädännön noudattami</w:t>
            </w:r>
            <w:r>
              <w:rPr>
                <w:noProof/>
              </w:rPr>
              <w:t>sta koskevaa vaatimusta.</w:t>
            </w:r>
          </w:p>
        </w:tc>
      </w:tr>
      <w:tr w:rsidR="000E48CE" w14:paraId="7C8C54B0" w14:textId="77777777">
        <w:trPr>
          <w:trHeight w:val="309"/>
        </w:trPr>
        <w:tc>
          <w:tcPr>
            <w:tcW w:w="709" w:type="dxa"/>
            <w:shd w:val="clear" w:color="auto" w:fill="C6EFCE"/>
            <w:noWrap/>
          </w:tcPr>
          <w:p w14:paraId="0B8EA362" w14:textId="77777777" w:rsidR="000E48CE" w:rsidRDefault="00FF4C4E">
            <w:pPr>
              <w:pStyle w:val="P68B1DB1-Normal13"/>
              <w:spacing w:after="0" w:line="240" w:lineRule="auto"/>
              <w:jc w:val="center"/>
              <w:rPr>
                <w:rFonts w:eastAsia="Times New Roman" w:cs="Times New Roman"/>
                <w:noProof/>
              </w:rPr>
            </w:pPr>
            <w:r>
              <w:rPr>
                <w:noProof/>
              </w:rPr>
              <w:t>196</w:t>
            </w:r>
          </w:p>
        </w:tc>
        <w:tc>
          <w:tcPr>
            <w:tcW w:w="851" w:type="dxa"/>
            <w:shd w:val="clear" w:color="auto" w:fill="C6EFCE"/>
            <w:noWrap/>
          </w:tcPr>
          <w:p w14:paraId="7A1E9222" w14:textId="77777777" w:rsidR="000E48CE" w:rsidRDefault="00FF4C4E">
            <w:pPr>
              <w:pStyle w:val="P68B1DB1-Normal13"/>
              <w:spacing w:after="0" w:line="240" w:lineRule="auto"/>
              <w:jc w:val="center"/>
              <w:rPr>
                <w:rFonts w:eastAsia="Times New Roman" w:cs="Times New Roman"/>
                <w:noProof/>
              </w:rPr>
            </w:pPr>
            <w:r>
              <w:rPr>
                <w:noProof/>
              </w:rPr>
              <w:t>C13.I2</w:t>
            </w:r>
          </w:p>
        </w:tc>
        <w:tc>
          <w:tcPr>
            <w:tcW w:w="850" w:type="dxa"/>
            <w:shd w:val="clear" w:color="auto" w:fill="C6EFCE"/>
            <w:noWrap/>
          </w:tcPr>
          <w:p w14:paraId="01D91C27"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0119AE5B" w14:textId="77777777" w:rsidR="000E48CE" w:rsidRDefault="00FF4C4E">
            <w:pPr>
              <w:pStyle w:val="P68B1DB1-Normal13"/>
              <w:spacing w:after="0" w:line="240" w:lineRule="auto"/>
              <w:rPr>
                <w:rFonts w:eastAsia="Times New Roman" w:cs="Times New Roman"/>
                <w:noProof/>
              </w:rPr>
            </w:pPr>
            <w:r>
              <w:rPr>
                <w:noProof/>
              </w:rPr>
              <w:t>CERSA-takaus</w:t>
            </w:r>
          </w:p>
        </w:tc>
        <w:tc>
          <w:tcPr>
            <w:tcW w:w="1134" w:type="dxa"/>
            <w:shd w:val="clear" w:color="auto" w:fill="C6EFCE"/>
            <w:noWrap/>
          </w:tcPr>
          <w:p w14:paraId="514296A7"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029A5AFC" w14:textId="77777777" w:rsidR="000E48CE" w:rsidRDefault="00FF4C4E">
            <w:pPr>
              <w:pStyle w:val="P68B1DB1-Normal13"/>
              <w:spacing w:after="0" w:line="240" w:lineRule="auto"/>
              <w:jc w:val="center"/>
              <w:rPr>
                <w:rFonts w:eastAsia="Times New Roman" w:cs="Times New Roman"/>
                <w:noProof/>
              </w:rPr>
            </w:pPr>
            <w:r>
              <w:rPr>
                <w:noProof/>
              </w:rPr>
              <w:t xml:space="preserve">Miljoonaa euroa </w:t>
            </w:r>
          </w:p>
        </w:tc>
        <w:tc>
          <w:tcPr>
            <w:tcW w:w="708" w:type="dxa"/>
            <w:shd w:val="clear" w:color="auto" w:fill="C6EFCE"/>
            <w:noWrap/>
          </w:tcPr>
          <w:p w14:paraId="76A11F81"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1E428D48" w14:textId="77777777" w:rsidR="000E48CE" w:rsidRDefault="00FF4C4E">
            <w:pPr>
              <w:pStyle w:val="P68B1DB1-Normal13"/>
              <w:spacing w:after="0" w:line="240" w:lineRule="auto"/>
              <w:jc w:val="right"/>
              <w:rPr>
                <w:rFonts w:eastAsia="Times New Roman" w:cs="Times New Roman"/>
                <w:noProof/>
              </w:rPr>
            </w:pPr>
            <w:r>
              <w:rPr>
                <w:noProof/>
              </w:rPr>
              <w:t>1 000</w:t>
            </w:r>
          </w:p>
        </w:tc>
        <w:tc>
          <w:tcPr>
            <w:tcW w:w="567" w:type="dxa"/>
            <w:shd w:val="clear" w:color="auto" w:fill="C6EFCE"/>
            <w:noWrap/>
          </w:tcPr>
          <w:p w14:paraId="7A32BF78"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07E86744"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79CE5B2A" w14:textId="77777777" w:rsidR="000E48CE" w:rsidRDefault="00FF4C4E">
            <w:pPr>
              <w:pStyle w:val="P68B1DB1-Normal13"/>
              <w:spacing w:after="0" w:line="240" w:lineRule="auto"/>
              <w:rPr>
                <w:rFonts w:eastAsia="Times New Roman" w:cs="Times New Roman"/>
                <w:noProof/>
              </w:rPr>
            </w:pPr>
            <w:r>
              <w:rPr>
                <w:noProof/>
              </w:rPr>
              <w:t xml:space="preserve">CERSA-takaus: Vähintään 1000000000 euron määrä CERSAn myöntämiä takauksia, joiden avulla pk-yritykset voivat saada takauksia pitkäaikaisiin investointeihin ja </w:t>
            </w:r>
            <w:r>
              <w:rPr>
                <w:noProof/>
              </w:rPr>
              <w:t>käyttöpääomaan. Valintaperusteilla on varmistettava, että tämän toimenpiteen nojalla tuettuja transaktioita koskevia ”ei merkittävää haittaa” -periaatetta koskevia teknisiä ohjeita (2021/C58/01) noudatetaan käyttämällä kestävyysarviointia, käyttämällä pois</w:t>
            </w:r>
            <w:r>
              <w:rPr>
                <w:noProof/>
              </w:rPr>
              <w:t xml:space="preserve">sulkemisluetteloa sekä vaatimusta asiaa koskevan EU:n ja kansallisen ympäristölainsäädännön noudattamisesta. </w:t>
            </w:r>
          </w:p>
        </w:tc>
      </w:tr>
      <w:tr w:rsidR="000E48CE" w14:paraId="321DC7FB" w14:textId="77777777">
        <w:trPr>
          <w:trHeight w:val="309"/>
        </w:trPr>
        <w:tc>
          <w:tcPr>
            <w:tcW w:w="709" w:type="dxa"/>
            <w:shd w:val="clear" w:color="auto" w:fill="C6EFCE"/>
            <w:noWrap/>
          </w:tcPr>
          <w:p w14:paraId="2E99DCA6" w14:textId="77777777" w:rsidR="000E48CE" w:rsidRDefault="00FF4C4E">
            <w:pPr>
              <w:pStyle w:val="P68B1DB1-Normal13"/>
              <w:spacing w:after="0" w:line="240" w:lineRule="auto"/>
              <w:jc w:val="center"/>
              <w:rPr>
                <w:rFonts w:eastAsia="Times New Roman" w:cs="Times New Roman"/>
                <w:noProof/>
              </w:rPr>
            </w:pPr>
            <w:r>
              <w:rPr>
                <w:noProof/>
              </w:rPr>
              <w:t>197</w:t>
            </w:r>
          </w:p>
        </w:tc>
        <w:tc>
          <w:tcPr>
            <w:tcW w:w="851" w:type="dxa"/>
            <w:shd w:val="clear" w:color="auto" w:fill="C6EFCE"/>
            <w:noWrap/>
          </w:tcPr>
          <w:p w14:paraId="5FB297C2" w14:textId="77777777" w:rsidR="000E48CE" w:rsidRDefault="00FF4C4E">
            <w:pPr>
              <w:pStyle w:val="P68B1DB1-Normal13"/>
              <w:spacing w:after="0" w:line="240" w:lineRule="auto"/>
              <w:jc w:val="center"/>
              <w:rPr>
                <w:rFonts w:eastAsia="Times New Roman" w:cs="Times New Roman"/>
                <w:noProof/>
              </w:rPr>
            </w:pPr>
            <w:r>
              <w:rPr>
                <w:noProof/>
              </w:rPr>
              <w:t>C13.I2</w:t>
            </w:r>
          </w:p>
        </w:tc>
        <w:tc>
          <w:tcPr>
            <w:tcW w:w="850" w:type="dxa"/>
            <w:shd w:val="clear" w:color="auto" w:fill="C6EFCE"/>
            <w:noWrap/>
          </w:tcPr>
          <w:p w14:paraId="6174C3F1"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78DE5EB" w14:textId="77777777" w:rsidR="000E48CE" w:rsidRDefault="00FF4C4E">
            <w:pPr>
              <w:pStyle w:val="P68B1DB1-Normal13"/>
              <w:spacing w:after="0" w:line="240" w:lineRule="auto"/>
              <w:rPr>
                <w:rFonts w:eastAsia="Times New Roman" w:cs="Times New Roman"/>
                <w:noProof/>
              </w:rPr>
            </w:pPr>
            <w:r>
              <w:rPr>
                <w:noProof/>
              </w:rPr>
              <w:t>Pk-yritykset, joita tuetaan ”Pk-yritysten kasvua edistävät taidot” -ohjelmasta</w:t>
            </w:r>
          </w:p>
        </w:tc>
        <w:tc>
          <w:tcPr>
            <w:tcW w:w="1134" w:type="dxa"/>
            <w:shd w:val="clear" w:color="auto" w:fill="C6EFCE"/>
            <w:noWrap/>
          </w:tcPr>
          <w:p w14:paraId="79BA3B63"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8854F0E"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2D36C34C"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28EF1427" w14:textId="77777777" w:rsidR="000E48CE" w:rsidRDefault="00FF4C4E">
            <w:pPr>
              <w:pStyle w:val="P68B1DB1-Normal13"/>
              <w:spacing w:after="0" w:line="240" w:lineRule="auto"/>
              <w:jc w:val="right"/>
              <w:rPr>
                <w:rFonts w:eastAsia="Times New Roman" w:cs="Times New Roman"/>
                <w:noProof/>
              </w:rPr>
            </w:pPr>
            <w:r>
              <w:rPr>
                <w:noProof/>
              </w:rPr>
              <w:t>11 000</w:t>
            </w:r>
          </w:p>
        </w:tc>
        <w:tc>
          <w:tcPr>
            <w:tcW w:w="567" w:type="dxa"/>
            <w:shd w:val="clear" w:color="auto" w:fill="C6EFCE"/>
            <w:noWrap/>
          </w:tcPr>
          <w:p w14:paraId="76E4D1F7"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4357DA9B" w14:textId="156D549E" w:rsidR="000E48CE" w:rsidRDefault="00FF4C4E">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1C6A391D" w14:textId="12DF3E4B" w:rsidR="000E48CE" w:rsidRDefault="00FF4C4E">
            <w:pPr>
              <w:pStyle w:val="P68B1DB1-Normal13"/>
              <w:spacing w:after="0" w:line="240" w:lineRule="auto"/>
              <w:rPr>
                <w:rFonts w:eastAsia="Times New Roman" w:cs="Times New Roman"/>
                <w:noProof/>
              </w:rPr>
            </w:pPr>
            <w:r>
              <w:rPr>
                <w:noProof/>
              </w:rPr>
              <w:t>Vähintään 11000 pk-yritystä,</w:t>
            </w:r>
            <w:r>
              <w:rPr>
                <w:noProof/>
              </w:rPr>
              <w:t xml:space="preserve"> jotka ovat saattaneet päätökseen ohjelman ”Skills for SMEs Growth”. Valintaperusteilla on varmistettava, että ”ei merkittävää haittaa” -periaatetta koskevia teknisiä ohjeita (2021/C58/01) noudatetaan poissulkemisluetteloa ja vaatimusta asiaa koskevan EU:n</w:t>
            </w:r>
            <w:r>
              <w:rPr>
                <w:noProof/>
              </w:rPr>
              <w:t xml:space="preserve"> ja kansallisen ympäristölainsäädännön noudattamisesta.</w:t>
            </w:r>
          </w:p>
        </w:tc>
      </w:tr>
      <w:tr w:rsidR="000E48CE" w14:paraId="410A7318" w14:textId="77777777">
        <w:trPr>
          <w:trHeight w:val="309"/>
        </w:trPr>
        <w:tc>
          <w:tcPr>
            <w:tcW w:w="709" w:type="dxa"/>
            <w:shd w:val="clear" w:color="auto" w:fill="C6EFCE"/>
            <w:noWrap/>
          </w:tcPr>
          <w:p w14:paraId="3B8DB5BC" w14:textId="77777777" w:rsidR="000E48CE" w:rsidRDefault="00FF4C4E">
            <w:pPr>
              <w:pStyle w:val="P68B1DB1-Normal13"/>
              <w:spacing w:after="0" w:line="240" w:lineRule="auto"/>
              <w:jc w:val="center"/>
              <w:rPr>
                <w:rFonts w:eastAsia="Times New Roman" w:cs="Times New Roman"/>
                <w:noProof/>
              </w:rPr>
            </w:pPr>
            <w:r>
              <w:rPr>
                <w:noProof/>
              </w:rPr>
              <w:t>198</w:t>
            </w:r>
          </w:p>
        </w:tc>
        <w:tc>
          <w:tcPr>
            <w:tcW w:w="851" w:type="dxa"/>
            <w:shd w:val="clear" w:color="auto" w:fill="C6EFCE"/>
            <w:noWrap/>
          </w:tcPr>
          <w:p w14:paraId="4681C710" w14:textId="77777777" w:rsidR="000E48CE" w:rsidRDefault="00FF4C4E">
            <w:pPr>
              <w:pStyle w:val="P68B1DB1-Normal13"/>
              <w:spacing w:after="0" w:line="240" w:lineRule="auto"/>
              <w:jc w:val="center"/>
              <w:rPr>
                <w:rFonts w:eastAsia="Times New Roman" w:cs="Times New Roman"/>
                <w:noProof/>
              </w:rPr>
            </w:pPr>
            <w:r>
              <w:rPr>
                <w:noProof/>
              </w:rPr>
              <w:t>C13.I2</w:t>
            </w:r>
          </w:p>
        </w:tc>
        <w:tc>
          <w:tcPr>
            <w:tcW w:w="850" w:type="dxa"/>
            <w:shd w:val="clear" w:color="auto" w:fill="C6EFCE"/>
            <w:noWrap/>
          </w:tcPr>
          <w:p w14:paraId="7BBE7B83"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5955476" w14:textId="77777777" w:rsidR="000E48CE" w:rsidRDefault="00FF4C4E">
            <w:pPr>
              <w:pStyle w:val="P68B1DB1-Normal13"/>
              <w:spacing w:after="0" w:line="240" w:lineRule="auto"/>
              <w:rPr>
                <w:rFonts w:eastAsia="Times New Roman" w:cs="Times New Roman"/>
                <w:noProof/>
              </w:rPr>
            </w:pPr>
            <w:r>
              <w:rPr>
                <w:noProof/>
              </w:rPr>
              <w:t>Yrittäjät ja pk-yritykset, joita tuetaan teollisuuden yrittäjyyden tukiohjelmasta</w:t>
            </w:r>
          </w:p>
        </w:tc>
        <w:tc>
          <w:tcPr>
            <w:tcW w:w="1134" w:type="dxa"/>
            <w:shd w:val="clear" w:color="auto" w:fill="C6EFCE"/>
            <w:noWrap/>
          </w:tcPr>
          <w:p w14:paraId="5CD62714"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1EA61FE8"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6622C180"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E662A82" w14:textId="77777777" w:rsidR="000E48CE" w:rsidRDefault="00FF4C4E">
            <w:pPr>
              <w:pStyle w:val="P68B1DB1-Normal13"/>
              <w:spacing w:after="0" w:line="240" w:lineRule="auto"/>
              <w:jc w:val="right"/>
              <w:rPr>
                <w:rFonts w:eastAsia="Times New Roman" w:cs="Times New Roman"/>
                <w:noProof/>
              </w:rPr>
            </w:pPr>
            <w:r>
              <w:rPr>
                <w:noProof/>
              </w:rPr>
              <w:t>1 500</w:t>
            </w:r>
          </w:p>
        </w:tc>
        <w:tc>
          <w:tcPr>
            <w:tcW w:w="567" w:type="dxa"/>
            <w:shd w:val="clear" w:color="auto" w:fill="C6EFCE"/>
            <w:noWrap/>
          </w:tcPr>
          <w:p w14:paraId="1079A35B"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257CA3A4"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399E8C4A" w14:textId="66690E79" w:rsidR="000E48CE" w:rsidRDefault="00FF4C4E">
            <w:pPr>
              <w:pStyle w:val="P68B1DB1-Normal13"/>
              <w:spacing w:after="0" w:line="240" w:lineRule="auto"/>
              <w:rPr>
                <w:rFonts w:cs="Times New Roman"/>
                <w:noProof/>
              </w:rPr>
            </w:pPr>
            <w:r>
              <w:rPr>
                <w:noProof/>
              </w:rPr>
              <w:t>Yrittäjille ja pk-yrityksille tarjotaan pitkän aikavälin rahoitusta teollisuuden</w:t>
            </w:r>
            <w:r>
              <w:rPr>
                <w:noProof/>
              </w:rPr>
              <w:t xml:space="preserve"> investointihankkeita varten teollisuuden yrittäjyyden tukiohjelmasta. Rahoitusta myönnetään teollisuusyritysten perustamiseen tai olemassa olevien laitosten laajentamiseen.</w:t>
            </w:r>
            <w:r>
              <w:rPr>
                <w:noProof/>
              </w:rPr>
              <w:br/>
              <w:t>Vähintään 1500 toimea, jotka ovat saaneet rahoitusta 1. tammikuuta 2021 ja 31. jou</w:t>
            </w:r>
            <w:r>
              <w:rPr>
                <w:noProof/>
              </w:rPr>
              <w:t xml:space="preserve">lukuuta 2023 välisenä aikana. Valintaperusteilla on varmistettava, että ”ei merkittävää haittaa” -periaatetta koskevia teknisiä ohjeita (2021/C58/01) noudatetaan poissulkemisluetteloa ja vaatimusta asiaa koskevan EU:n ja kansallisen ympäristölainsäädännön </w:t>
            </w:r>
            <w:r>
              <w:rPr>
                <w:noProof/>
              </w:rPr>
              <w:t>noudattamisesta.</w:t>
            </w:r>
          </w:p>
          <w:p w14:paraId="1278D830" w14:textId="77777777" w:rsidR="000E48CE" w:rsidRDefault="00FF4C4E">
            <w:pPr>
              <w:pStyle w:val="P68B1DB1-Normal13"/>
              <w:spacing w:after="0" w:line="240" w:lineRule="auto"/>
              <w:rPr>
                <w:rFonts w:eastAsia="Times New Roman" w:cs="Times New Roman"/>
                <w:noProof/>
              </w:rPr>
            </w:pPr>
            <w:r>
              <w:rPr>
                <w:noProof/>
              </w:rPr>
              <w:t>(Perustaso: Tammikuuta 2021)</w:t>
            </w:r>
          </w:p>
        </w:tc>
      </w:tr>
      <w:tr w:rsidR="000E48CE" w14:paraId="10D7EEA5" w14:textId="77777777">
        <w:trPr>
          <w:trHeight w:val="309"/>
        </w:trPr>
        <w:tc>
          <w:tcPr>
            <w:tcW w:w="709" w:type="dxa"/>
            <w:shd w:val="clear" w:color="auto" w:fill="C6EFCE"/>
            <w:noWrap/>
          </w:tcPr>
          <w:p w14:paraId="48EE2866" w14:textId="77777777" w:rsidR="000E48CE" w:rsidRDefault="00FF4C4E">
            <w:pPr>
              <w:pStyle w:val="P68B1DB1-Normal13"/>
              <w:spacing w:after="0" w:line="240" w:lineRule="auto"/>
              <w:jc w:val="center"/>
              <w:rPr>
                <w:rFonts w:eastAsia="Times New Roman" w:cs="Times New Roman"/>
                <w:noProof/>
              </w:rPr>
            </w:pPr>
            <w:r>
              <w:rPr>
                <w:noProof/>
              </w:rPr>
              <w:t>199</w:t>
            </w:r>
          </w:p>
        </w:tc>
        <w:tc>
          <w:tcPr>
            <w:tcW w:w="851" w:type="dxa"/>
            <w:shd w:val="clear" w:color="auto" w:fill="C6EFCE"/>
            <w:noWrap/>
          </w:tcPr>
          <w:p w14:paraId="7390B23C"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11129831" w14:textId="77777777" w:rsidR="000E48CE" w:rsidRDefault="00FF4C4E">
            <w:pPr>
              <w:pStyle w:val="P68B1DB1-Normal13"/>
              <w:spacing w:after="0" w:line="240" w:lineRule="auto"/>
              <w:jc w:val="center"/>
              <w:rPr>
                <w:rFonts w:eastAsia="Times New Roman" w:cs="Times New Roman"/>
                <w:noProof/>
              </w:rPr>
            </w:pPr>
            <w:r>
              <w:rPr>
                <w:noProof/>
              </w:rPr>
              <w:t>M</w:t>
            </w:r>
          </w:p>
        </w:tc>
        <w:tc>
          <w:tcPr>
            <w:tcW w:w="1985" w:type="dxa"/>
            <w:shd w:val="clear" w:color="auto" w:fill="C6EFCE"/>
            <w:noWrap/>
          </w:tcPr>
          <w:p w14:paraId="116554F6" w14:textId="77777777" w:rsidR="000E48CE" w:rsidRDefault="00FF4C4E">
            <w:pPr>
              <w:pStyle w:val="P68B1DB1-Normal13"/>
              <w:spacing w:after="0" w:line="240" w:lineRule="auto"/>
              <w:rPr>
                <w:rFonts w:eastAsia="Times New Roman" w:cs="Times New Roman"/>
                <w:noProof/>
              </w:rPr>
            </w:pPr>
            <w:r>
              <w:rPr>
                <w:noProof/>
              </w:rPr>
              <w:t>Pk-yritysten digitalisointisuunnitelma 2021–2025</w:t>
            </w:r>
          </w:p>
        </w:tc>
        <w:tc>
          <w:tcPr>
            <w:tcW w:w="1134" w:type="dxa"/>
            <w:shd w:val="clear" w:color="auto" w:fill="C6EFCE"/>
            <w:noWrap/>
          </w:tcPr>
          <w:p w14:paraId="77792DF1" w14:textId="77777777" w:rsidR="000E48CE" w:rsidRDefault="00FF4C4E">
            <w:pPr>
              <w:pStyle w:val="P68B1DB1-Normal13"/>
              <w:spacing w:after="0" w:line="240" w:lineRule="auto"/>
              <w:jc w:val="center"/>
              <w:rPr>
                <w:rFonts w:eastAsia="Times New Roman" w:cs="Times New Roman"/>
                <w:noProof/>
              </w:rPr>
            </w:pPr>
            <w:r>
              <w:rPr>
                <w:noProof/>
              </w:rPr>
              <w:t>Julkaiseminen</w:t>
            </w:r>
          </w:p>
        </w:tc>
        <w:tc>
          <w:tcPr>
            <w:tcW w:w="709" w:type="dxa"/>
            <w:shd w:val="clear" w:color="auto" w:fill="C6EFCE"/>
            <w:noWrap/>
          </w:tcPr>
          <w:p w14:paraId="7EE468D0" w14:textId="77777777" w:rsidR="000E48CE" w:rsidRDefault="00FF4C4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1B95F3EB"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2BB37B0"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354596B" w14:textId="77777777" w:rsidR="000E48CE" w:rsidRDefault="00FF4C4E">
            <w:pPr>
              <w:pStyle w:val="P68B1DB1-Normal13"/>
              <w:spacing w:after="0" w:line="240" w:lineRule="auto"/>
              <w:jc w:val="center"/>
              <w:rPr>
                <w:rFonts w:eastAsia="Times New Roman" w:cs="Times New Roman"/>
                <w:noProof/>
              </w:rPr>
            </w:pPr>
            <w:r>
              <w:rPr>
                <w:noProof/>
              </w:rPr>
              <w:t>Q1</w:t>
            </w:r>
          </w:p>
        </w:tc>
        <w:tc>
          <w:tcPr>
            <w:tcW w:w="567" w:type="dxa"/>
            <w:shd w:val="clear" w:color="auto" w:fill="C6EFCE"/>
            <w:noWrap/>
          </w:tcPr>
          <w:p w14:paraId="15F728BA" w14:textId="77777777" w:rsidR="000E48CE" w:rsidRDefault="00FF4C4E">
            <w:pPr>
              <w:pStyle w:val="P68B1DB1-Normal13"/>
              <w:spacing w:after="0" w:line="240" w:lineRule="auto"/>
              <w:jc w:val="center"/>
              <w:rPr>
                <w:rFonts w:eastAsia="Times New Roman" w:cs="Times New Roman"/>
                <w:noProof/>
              </w:rPr>
            </w:pPr>
            <w:r>
              <w:rPr>
                <w:noProof/>
              </w:rPr>
              <w:t>2021</w:t>
            </w:r>
          </w:p>
        </w:tc>
        <w:tc>
          <w:tcPr>
            <w:tcW w:w="6662" w:type="dxa"/>
            <w:shd w:val="clear" w:color="auto" w:fill="C6EFCE"/>
            <w:noWrap/>
          </w:tcPr>
          <w:p w14:paraId="45E22CA7" w14:textId="77777777" w:rsidR="000E48CE" w:rsidRDefault="00FF4C4E">
            <w:pPr>
              <w:pStyle w:val="P68B1DB1-Normal13"/>
              <w:spacing w:after="0" w:line="240" w:lineRule="auto"/>
              <w:rPr>
                <w:rFonts w:eastAsia="Times New Roman" w:cs="Times New Roman"/>
                <w:noProof/>
              </w:rPr>
            </w:pPr>
            <w:r>
              <w:rPr>
                <w:noProof/>
              </w:rPr>
              <w:t xml:space="preserve">Ministerineuvoston hyväksyntä pk-yritysten digitalisointia koskevalle suunnitelmalle 2021–2025, jossa esitetään </w:t>
            </w:r>
            <w:r>
              <w:rPr>
                <w:noProof/>
              </w:rPr>
              <w:t>välineitä jo saatavilla olevien digitaalisten välineiden sisällyttämiseksi mikroyrityksiin ja itsenäisiin yrityksiin, pienten yritysten digitalisoinnin vauhdittamiseksi ja teknologisen innovoinnin edistämiseksi</w:t>
            </w:r>
          </w:p>
        </w:tc>
      </w:tr>
      <w:tr w:rsidR="000E48CE" w14:paraId="3D1C9641" w14:textId="77777777">
        <w:trPr>
          <w:trHeight w:val="309"/>
        </w:trPr>
        <w:tc>
          <w:tcPr>
            <w:tcW w:w="709" w:type="dxa"/>
            <w:shd w:val="clear" w:color="auto" w:fill="C6EFCE"/>
            <w:noWrap/>
          </w:tcPr>
          <w:p w14:paraId="46EAD99A" w14:textId="77777777" w:rsidR="000E48CE" w:rsidRDefault="00FF4C4E">
            <w:pPr>
              <w:pStyle w:val="P68B1DB1-Normal13"/>
              <w:spacing w:after="0" w:line="240" w:lineRule="auto"/>
              <w:jc w:val="center"/>
              <w:rPr>
                <w:rFonts w:eastAsia="Times New Roman" w:cs="Times New Roman"/>
                <w:noProof/>
              </w:rPr>
            </w:pPr>
            <w:r>
              <w:rPr>
                <w:noProof/>
              </w:rPr>
              <w:t>200</w:t>
            </w:r>
          </w:p>
        </w:tc>
        <w:tc>
          <w:tcPr>
            <w:tcW w:w="851" w:type="dxa"/>
            <w:shd w:val="clear" w:color="auto" w:fill="C6EFCE"/>
            <w:noWrap/>
          </w:tcPr>
          <w:p w14:paraId="3AAAC27C"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43F3EB35"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7F933A20" w14:textId="77777777" w:rsidR="000E48CE" w:rsidRDefault="00FF4C4E">
            <w:pPr>
              <w:pStyle w:val="P68B1DB1-Normal13"/>
              <w:spacing w:after="0" w:line="240" w:lineRule="auto"/>
              <w:rPr>
                <w:rFonts w:eastAsia="Times New Roman" w:cs="Times New Roman"/>
                <w:noProof/>
              </w:rPr>
            </w:pPr>
            <w:r>
              <w:rPr>
                <w:noProof/>
              </w:rPr>
              <w:t xml:space="preserve">Digital Toolkit -ohjelmaan </w:t>
            </w:r>
            <w:r>
              <w:rPr>
                <w:noProof/>
              </w:rPr>
              <w:t>sidotut määrärahat</w:t>
            </w:r>
          </w:p>
        </w:tc>
        <w:tc>
          <w:tcPr>
            <w:tcW w:w="1134" w:type="dxa"/>
            <w:shd w:val="clear" w:color="auto" w:fill="C6EFCE"/>
            <w:noWrap/>
          </w:tcPr>
          <w:p w14:paraId="4E29D0B7"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538D652"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6082D976"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16DD5D42" w14:textId="77777777" w:rsidR="000E48CE" w:rsidRDefault="00FF4C4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454F7B34"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153645A5"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5E1A96EB" w14:textId="77777777" w:rsidR="000E48CE" w:rsidRDefault="00FF4C4E">
            <w:pPr>
              <w:pStyle w:val="P68B1DB1-Normal13"/>
              <w:spacing w:after="0" w:line="240" w:lineRule="auto"/>
              <w:rPr>
                <w:rFonts w:eastAsia="Times New Roman" w:cs="Times New Roman"/>
                <w:noProof/>
              </w:rPr>
            </w:pPr>
            <w:r>
              <w:rPr>
                <w:noProof/>
              </w:rPr>
              <w:t>Vähintään 30 prosenttia sidotuista määrärahoista 3067000000 euroa, jotka on osoitettu toimiin pk-yritysten digitalisoimiseksi digitaalisen työkalupakin ohjelman kautta, noudattaen ”ei merkittävää haittaa” -periaatetta k</w:t>
            </w:r>
            <w:r>
              <w:rPr>
                <w:noProof/>
              </w:rPr>
              <w:t>oskevaa teknistä ohjeistusta (2021/C58/01) käyttämällä poissulkemisluetteloa ja asiaankuuluvan EU:n ja kansallisen ympäristölainsäädännön noudattamista koskevaa vaatimusta.</w:t>
            </w:r>
          </w:p>
        </w:tc>
      </w:tr>
      <w:tr w:rsidR="000E48CE" w14:paraId="004A4664" w14:textId="77777777">
        <w:trPr>
          <w:trHeight w:val="309"/>
        </w:trPr>
        <w:tc>
          <w:tcPr>
            <w:tcW w:w="709" w:type="dxa"/>
            <w:shd w:val="clear" w:color="auto" w:fill="C6EFCE"/>
            <w:noWrap/>
          </w:tcPr>
          <w:p w14:paraId="0CBD1023" w14:textId="77777777" w:rsidR="000E48CE" w:rsidRDefault="00FF4C4E">
            <w:pPr>
              <w:pStyle w:val="P68B1DB1-Normal13"/>
              <w:spacing w:after="0" w:line="240" w:lineRule="auto"/>
              <w:jc w:val="center"/>
              <w:rPr>
                <w:rFonts w:eastAsia="Times New Roman" w:cs="Times New Roman"/>
                <w:noProof/>
              </w:rPr>
            </w:pPr>
            <w:r>
              <w:rPr>
                <w:noProof/>
              </w:rPr>
              <w:t>201</w:t>
            </w:r>
          </w:p>
        </w:tc>
        <w:tc>
          <w:tcPr>
            <w:tcW w:w="851" w:type="dxa"/>
            <w:shd w:val="clear" w:color="auto" w:fill="C6EFCE"/>
            <w:noWrap/>
          </w:tcPr>
          <w:p w14:paraId="4C20BDFF"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1F25AAB8"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03130879" w14:textId="77777777" w:rsidR="000E48CE" w:rsidRDefault="00FF4C4E">
            <w:pPr>
              <w:pStyle w:val="P68B1DB1-Normal13"/>
              <w:spacing w:after="0" w:line="240" w:lineRule="auto"/>
              <w:rPr>
                <w:rFonts w:eastAsia="Times New Roman" w:cs="Times New Roman"/>
                <w:noProof/>
              </w:rPr>
            </w:pPr>
            <w:r>
              <w:rPr>
                <w:noProof/>
              </w:rPr>
              <w:t>Muutosohjelman toimihenkilöille sidotut määrärahat</w:t>
            </w:r>
          </w:p>
        </w:tc>
        <w:tc>
          <w:tcPr>
            <w:tcW w:w="1134" w:type="dxa"/>
            <w:shd w:val="clear" w:color="auto" w:fill="C6EFCE"/>
            <w:noWrap/>
          </w:tcPr>
          <w:p w14:paraId="0C38C335"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8A5730A"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7E3B2C99"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3F2AE2BE" w14:textId="77777777" w:rsidR="000E48CE" w:rsidRDefault="00FF4C4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6B4961EC"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793E7ED6"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6D94CB5B" w14:textId="77777777" w:rsidR="000E48CE" w:rsidRDefault="00FF4C4E">
            <w:pPr>
              <w:pStyle w:val="P68B1DB1-Normal13"/>
              <w:spacing w:after="0" w:line="240" w:lineRule="auto"/>
              <w:rPr>
                <w:rFonts w:eastAsia="Times New Roman" w:cs="Times New Roman"/>
                <w:noProof/>
              </w:rPr>
            </w:pPr>
            <w:r>
              <w:rPr>
                <w:noProof/>
              </w:rPr>
              <w:t>Vähintään 30 prosenttia sidotuista 300000000 euron määrärahoista, jotka on osoitettu pk-yrityksille muutosohjelmassa. Tarjouspyynnössä on oltava kelpoisuusperusteet, joilla varmistetaan, että valitut hankkeet ovat ”ei merkittävää haittaa” -ohjeiden (2021/C</w:t>
            </w:r>
            <w:r>
              <w:rPr>
                <w:noProof/>
              </w:rPr>
              <w:t>58/01) mukaisia käyttämällä poissulkemisluetteloa ja asiaankuuluvan EU:n ja kansallisen ympäristölainsäädännön noudattamista koskevaa vaatimusta.</w:t>
            </w:r>
          </w:p>
        </w:tc>
      </w:tr>
      <w:tr w:rsidR="000E48CE" w14:paraId="0845524F" w14:textId="77777777">
        <w:trPr>
          <w:trHeight w:val="309"/>
        </w:trPr>
        <w:tc>
          <w:tcPr>
            <w:tcW w:w="709" w:type="dxa"/>
            <w:shd w:val="clear" w:color="auto" w:fill="C6EFCE"/>
            <w:noWrap/>
          </w:tcPr>
          <w:p w14:paraId="3C7B2632" w14:textId="77777777" w:rsidR="000E48CE" w:rsidRDefault="00FF4C4E">
            <w:pPr>
              <w:pStyle w:val="P68B1DB1-Normal13"/>
              <w:spacing w:after="0" w:line="240" w:lineRule="auto"/>
              <w:jc w:val="center"/>
              <w:rPr>
                <w:rFonts w:eastAsia="Times New Roman" w:cs="Times New Roman"/>
                <w:noProof/>
              </w:rPr>
            </w:pPr>
            <w:r>
              <w:rPr>
                <w:noProof/>
              </w:rPr>
              <w:t>202</w:t>
            </w:r>
          </w:p>
        </w:tc>
        <w:tc>
          <w:tcPr>
            <w:tcW w:w="851" w:type="dxa"/>
            <w:shd w:val="clear" w:color="auto" w:fill="C6EFCE"/>
            <w:noWrap/>
          </w:tcPr>
          <w:p w14:paraId="5B752B06"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39006BC2"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6032BE80" w14:textId="77777777" w:rsidR="000E48CE" w:rsidRDefault="00FF4C4E">
            <w:pPr>
              <w:pStyle w:val="P68B1DB1-Normal13"/>
              <w:spacing w:after="0" w:line="240" w:lineRule="auto"/>
              <w:rPr>
                <w:rFonts w:eastAsia="Times New Roman" w:cs="Times New Roman"/>
                <w:noProof/>
              </w:rPr>
            </w:pPr>
            <w:r>
              <w:rPr>
                <w:noProof/>
              </w:rPr>
              <w:t>Innovatiivisen yritysklusterin tukiohjelmaan sidotut määrärahat</w:t>
            </w:r>
          </w:p>
        </w:tc>
        <w:tc>
          <w:tcPr>
            <w:tcW w:w="1134" w:type="dxa"/>
            <w:shd w:val="clear" w:color="auto" w:fill="C6EFCE"/>
            <w:noWrap/>
          </w:tcPr>
          <w:p w14:paraId="15C32A37"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B37412A"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11CBE983"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6CA06CD" w14:textId="77777777" w:rsidR="000E48CE" w:rsidRDefault="00FF4C4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1F73D9DD"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3A79C2A3"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6C2CA866" w14:textId="77777777" w:rsidR="000E48CE" w:rsidRDefault="00FF4C4E">
            <w:pPr>
              <w:pStyle w:val="P68B1DB1-Normal13"/>
              <w:spacing w:after="0" w:line="240" w:lineRule="auto"/>
              <w:rPr>
                <w:rFonts w:eastAsia="Times New Roman" w:cs="Times New Roman"/>
                <w:noProof/>
              </w:rPr>
            </w:pPr>
            <w:r>
              <w:rPr>
                <w:noProof/>
              </w:rPr>
              <w:t xml:space="preserve">Vähintään 30 </w:t>
            </w:r>
            <w:r>
              <w:rPr>
                <w:noProof/>
              </w:rPr>
              <w:t>prosenttia sidotuista 115000000 euron määrärahoista, jotka on osoitettu pk-yrityksille innovatiivisen yritysklusterin tukiohjelmassa. Tarjouspyynnössä on oltava kelpoisuusperusteet, joilla varmistetaan, että valitut hankkeet ovat ”ei merkittävää haittaa” -</w:t>
            </w:r>
            <w:r>
              <w:rPr>
                <w:noProof/>
              </w:rPr>
              <w:t>ohjeiden (2021/C58/01) mukaisia käyttämällä poissulkemisluetteloa ja asiaankuuluvan EU:n ja kansallisen ympäristölainsäädännön noudattamista koskevaa vaatimusta.</w:t>
            </w:r>
          </w:p>
        </w:tc>
      </w:tr>
      <w:tr w:rsidR="000E48CE" w14:paraId="645E62E2" w14:textId="77777777">
        <w:trPr>
          <w:trHeight w:val="309"/>
        </w:trPr>
        <w:tc>
          <w:tcPr>
            <w:tcW w:w="709" w:type="dxa"/>
            <w:shd w:val="clear" w:color="auto" w:fill="C6EFCE"/>
            <w:noWrap/>
          </w:tcPr>
          <w:p w14:paraId="667360E9" w14:textId="77777777" w:rsidR="000E48CE" w:rsidRDefault="00FF4C4E">
            <w:pPr>
              <w:pStyle w:val="P68B1DB1-Normal13"/>
              <w:spacing w:after="0" w:line="240" w:lineRule="auto"/>
              <w:jc w:val="center"/>
              <w:rPr>
                <w:rFonts w:eastAsia="Times New Roman" w:cs="Times New Roman"/>
                <w:noProof/>
              </w:rPr>
            </w:pPr>
            <w:r>
              <w:rPr>
                <w:noProof/>
              </w:rPr>
              <w:t>203</w:t>
            </w:r>
          </w:p>
        </w:tc>
        <w:tc>
          <w:tcPr>
            <w:tcW w:w="851" w:type="dxa"/>
            <w:shd w:val="clear" w:color="auto" w:fill="C6EFCE"/>
            <w:noWrap/>
          </w:tcPr>
          <w:p w14:paraId="7359BE08"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54DC2E9E"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1DF54B07" w14:textId="77777777" w:rsidR="000E48CE" w:rsidRDefault="00FF4C4E">
            <w:pPr>
              <w:pStyle w:val="P68B1DB1-Normal13"/>
              <w:spacing w:after="0" w:line="240" w:lineRule="auto"/>
              <w:rPr>
                <w:rFonts w:eastAsia="Times New Roman" w:cs="Times New Roman"/>
                <w:noProof/>
              </w:rPr>
            </w:pPr>
            <w:r>
              <w:rPr>
                <w:noProof/>
              </w:rPr>
              <w:t>Digitaali-innovointikeskittymiä koskevaan ohjelmaan sidotut määrärahat</w:t>
            </w:r>
          </w:p>
        </w:tc>
        <w:tc>
          <w:tcPr>
            <w:tcW w:w="1134" w:type="dxa"/>
            <w:shd w:val="clear" w:color="auto" w:fill="C6EFCE"/>
            <w:noWrap/>
          </w:tcPr>
          <w:p w14:paraId="664C0709"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0DB6C6A7"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37EFBB1A"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02E9A466" w14:textId="77777777" w:rsidR="000E48CE" w:rsidRDefault="00FF4C4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58548943"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3E22AFA0"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53B86743" w14:textId="77777777" w:rsidR="000E48CE" w:rsidRDefault="00FF4C4E">
            <w:pPr>
              <w:pStyle w:val="P68B1DB1-Normal13"/>
              <w:spacing w:after="0" w:line="240" w:lineRule="auto"/>
              <w:rPr>
                <w:rFonts w:eastAsia="Times New Roman" w:cs="Times New Roman"/>
                <w:noProof/>
              </w:rPr>
            </w:pPr>
            <w:r>
              <w:rPr>
                <w:noProof/>
              </w:rPr>
              <w:t>Vähintään 30 prosenttia sidotuista 37590000 euron määrärahoista osoitetaan pk-yrityksille digitaali-innovointikeskittymiä koskevassa ohjelmassa. Tarjouspyynnössä on oltava kelpoisuusperusteet, joilla varmistetaan, että valitut hankkeet ovat ”ei me</w:t>
            </w:r>
            <w:r>
              <w:rPr>
                <w:noProof/>
              </w:rPr>
              <w:t>rkittävää haittaa” -ohjeiden (2021/C58/01) mukaisia käyttämällä poissulkemisluetteloa ja asiaankuuluvan EU:n ja kansallisen ympäristölainsäädännön noudattamista koskevaa vaatimusta.</w:t>
            </w:r>
          </w:p>
        </w:tc>
      </w:tr>
      <w:tr w:rsidR="000E48CE" w14:paraId="302AD6EC" w14:textId="77777777">
        <w:trPr>
          <w:trHeight w:val="309"/>
        </w:trPr>
        <w:tc>
          <w:tcPr>
            <w:tcW w:w="709" w:type="dxa"/>
            <w:shd w:val="clear" w:color="auto" w:fill="C6EFCE"/>
            <w:noWrap/>
          </w:tcPr>
          <w:p w14:paraId="14046760" w14:textId="77777777" w:rsidR="000E48CE" w:rsidRDefault="00FF4C4E">
            <w:pPr>
              <w:pStyle w:val="P68B1DB1-Normal13"/>
              <w:spacing w:after="0" w:line="240" w:lineRule="auto"/>
              <w:jc w:val="center"/>
              <w:rPr>
                <w:rFonts w:eastAsia="Times New Roman" w:cs="Times New Roman"/>
                <w:noProof/>
              </w:rPr>
            </w:pPr>
            <w:r>
              <w:rPr>
                <w:noProof/>
              </w:rPr>
              <w:t>204</w:t>
            </w:r>
          </w:p>
        </w:tc>
        <w:tc>
          <w:tcPr>
            <w:tcW w:w="851" w:type="dxa"/>
            <w:shd w:val="clear" w:color="auto" w:fill="C6EFCE"/>
            <w:noWrap/>
          </w:tcPr>
          <w:p w14:paraId="07FE773D"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48311CD3"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1F2BB74D" w14:textId="77777777" w:rsidR="000E48CE" w:rsidRDefault="00FF4C4E">
            <w:pPr>
              <w:pStyle w:val="P68B1DB1-Normal13"/>
              <w:spacing w:after="0" w:line="240" w:lineRule="auto"/>
              <w:rPr>
                <w:rFonts w:eastAsia="Times New Roman" w:cs="Times New Roman"/>
                <w:noProof/>
              </w:rPr>
            </w:pPr>
            <w:r>
              <w:rPr>
                <w:noProof/>
              </w:rPr>
              <w:t>Digital Toolkit -ohjelmasta tuetut pk-yritykset</w:t>
            </w:r>
          </w:p>
        </w:tc>
        <w:tc>
          <w:tcPr>
            <w:tcW w:w="1134" w:type="dxa"/>
            <w:shd w:val="clear" w:color="auto" w:fill="C6EFCE"/>
            <w:noWrap/>
          </w:tcPr>
          <w:p w14:paraId="6B23C6FB"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56958C5C"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423684F5"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097752F" w14:textId="3CB92CE9" w:rsidR="000E48CE" w:rsidRDefault="00FF4C4E">
            <w:pPr>
              <w:pStyle w:val="P68B1DB1-Normal13"/>
              <w:spacing w:after="0" w:line="240" w:lineRule="auto"/>
              <w:jc w:val="right"/>
              <w:rPr>
                <w:rFonts w:eastAsia="Times New Roman" w:cs="Times New Roman"/>
                <w:noProof/>
              </w:rPr>
            </w:pPr>
            <w:r>
              <w:rPr>
                <w:noProof/>
                <w:shd w:val="clear" w:color="auto" w:fill="E6E6E6"/>
              </w:rPr>
              <w:t>5</w:t>
            </w:r>
            <w:r>
              <w:rPr>
                <w:noProof/>
              </w:rPr>
              <w:t>00 000</w:t>
            </w:r>
          </w:p>
        </w:tc>
        <w:tc>
          <w:tcPr>
            <w:tcW w:w="567" w:type="dxa"/>
            <w:shd w:val="clear" w:color="auto" w:fill="C6EFCE"/>
            <w:noWrap/>
          </w:tcPr>
          <w:p w14:paraId="0D775F2C"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378ADF52" w14:textId="26FCB59F" w:rsidR="000E48CE" w:rsidRDefault="00FF4C4E">
            <w:pPr>
              <w:pStyle w:val="P68B1DB1-Normal13"/>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65A61970" w14:textId="47D05979" w:rsidR="000E48CE" w:rsidRDefault="00FF4C4E">
            <w:pPr>
              <w:pStyle w:val="P68B1DB1-Normal13"/>
              <w:spacing w:after="0" w:line="240" w:lineRule="auto"/>
              <w:rPr>
                <w:rFonts w:eastAsia="Times New Roman" w:cs="Times New Roman"/>
                <w:noProof/>
              </w:rPr>
            </w:pPr>
            <w:r>
              <w:rPr>
                <w:noProof/>
              </w:rPr>
              <w:t>Vähintään 500000 pk-yritystä tai itsenäistä ammatinharjoittajaa, jotka ovat saaneet tukea Digital Toolkit -ohjelmasta noudattaen ”ei merkittävää haittaa” -ohjelmaa (2021/C58/01) käyttämällä poissulkemisluetteloa ja asiaankuuluvan EU:n ja kan</w:t>
            </w:r>
            <w:r>
              <w:rPr>
                <w:noProof/>
              </w:rPr>
              <w:t>sallisen ympäristölainsäädännön noudattamista koskevaa vaatimusta.</w:t>
            </w:r>
          </w:p>
        </w:tc>
      </w:tr>
      <w:tr w:rsidR="000E48CE" w14:paraId="6E883AD5" w14:textId="77777777">
        <w:trPr>
          <w:trHeight w:val="309"/>
        </w:trPr>
        <w:tc>
          <w:tcPr>
            <w:tcW w:w="709" w:type="dxa"/>
            <w:shd w:val="clear" w:color="auto" w:fill="C6EFCE"/>
            <w:noWrap/>
          </w:tcPr>
          <w:p w14:paraId="7683F186" w14:textId="77777777" w:rsidR="000E48CE" w:rsidRDefault="00FF4C4E">
            <w:pPr>
              <w:pStyle w:val="P68B1DB1-Normal13"/>
              <w:spacing w:after="0" w:line="240" w:lineRule="auto"/>
              <w:jc w:val="center"/>
              <w:rPr>
                <w:rFonts w:eastAsia="Times New Roman" w:cs="Times New Roman"/>
                <w:noProof/>
              </w:rPr>
            </w:pPr>
            <w:r>
              <w:rPr>
                <w:noProof/>
              </w:rPr>
              <w:t>205</w:t>
            </w:r>
          </w:p>
        </w:tc>
        <w:tc>
          <w:tcPr>
            <w:tcW w:w="851" w:type="dxa"/>
            <w:shd w:val="clear" w:color="auto" w:fill="C6EFCE"/>
            <w:noWrap/>
          </w:tcPr>
          <w:p w14:paraId="3ED5A10F"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24908E33"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8ABF485" w14:textId="77777777" w:rsidR="000E48CE" w:rsidRDefault="00FF4C4E">
            <w:pPr>
              <w:pStyle w:val="P68B1DB1-Normal13"/>
              <w:spacing w:after="0" w:line="240" w:lineRule="auto"/>
              <w:rPr>
                <w:rFonts w:eastAsia="Times New Roman" w:cs="Times New Roman"/>
                <w:noProof/>
              </w:rPr>
            </w:pPr>
            <w:r>
              <w:rPr>
                <w:noProof/>
              </w:rPr>
              <w:t>Muutosohjelman toimihenkilöiden talousarvion toteuttaminen</w:t>
            </w:r>
          </w:p>
        </w:tc>
        <w:tc>
          <w:tcPr>
            <w:tcW w:w="1134" w:type="dxa"/>
            <w:shd w:val="clear" w:color="auto" w:fill="C6EFCE"/>
            <w:noWrap/>
          </w:tcPr>
          <w:p w14:paraId="57D082C8"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5362525"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393BEB43" w14:textId="77777777" w:rsidR="000E48CE" w:rsidRDefault="00FF4C4E">
            <w:pPr>
              <w:pStyle w:val="P68B1DB1-Normal13"/>
              <w:spacing w:after="0" w:line="240" w:lineRule="auto"/>
              <w:jc w:val="right"/>
              <w:rPr>
                <w:rFonts w:eastAsia="Times New Roman" w:cs="Times New Roman"/>
                <w:noProof/>
              </w:rPr>
            </w:pPr>
            <w:r>
              <w:rPr>
                <w:noProof/>
              </w:rPr>
              <w:t>30</w:t>
            </w:r>
          </w:p>
        </w:tc>
        <w:tc>
          <w:tcPr>
            <w:tcW w:w="709" w:type="dxa"/>
            <w:shd w:val="clear" w:color="auto" w:fill="C6EFCE"/>
            <w:noWrap/>
          </w:tcPr>
          <w:p w14:paraId="4ABD35B1" w14:textId="77777777" w:rsidR="000E48CE" w:rsidRDefault="00FF4C4E">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57C1A4A9"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3AD6CDAC"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5D9D1700" w14:textId="1F054017" w:rsidR="000E48CE" w:rsidRDefault="00FF4C4E">
            <w:pPr>
              <w:pStyle w:val="P68B1DB1-Normal13"/>
              <w:spacing w:after="0" w:line="240" w:lineRule="auto"/>
              <w:rPr>
                <w:rFonts w:eastAsia="Times New Roman" w:cs="Times New Roman"/>
                <w:noProof/>
              </w:rPr>
            </w:pPr>
            <w:r>
              <w:rPr>
                <w:noProof/>
              </w:rPr>
              <w:t xml:space="preserve">100 prosenttia sidotuista määrärahoista 300000000 euroa, jotka on osoitettu pk-yrityksille </w:t>
            </w:r>
            <w:r>
              <w:rPr>
                <w:noProof/>
              </w:rPr>
              <w:t>muutosohjelmassa. Ohjelman tavoitteena on tukea vähintään 15000 pientä ja keskisuurta yritystä (10–249 työntekijää) niiden digitalisaatioprosesseissa. Valintaperusteilla on varmistettava, että ”ei merkittävää haittaa” -periaatetta koskevia teknisiä ohjeita</w:t>
            </w:r>
            <w:r>
              <w:rPr>
                <w:noProof/>
              </w:rPr>
              <w:t xml:space="preserve"> (2021/C58/01) noudatetaan poissulkemisluetteloa ja vaatimusta asiaa koskevan EU:n ja kansallisen ympäristölainsäädännön noudattamisesta. (perustaso: Joulukuuta 2022).</w:t>
            </w:r>
          </w:p>
        </w:tc>
      </w:tr>
      <w:tr w:rsidR="000E48CE" w14:paraId="30FF7304" w14:textId="77777777">
        <w:trPr>
          <w:trHeight w:val="309"/>
        </w:trPr>
        <w:tc>
          <w:tcPr>
            <w:tcW w:w="709" w:type="dxa"/>
            <w:shd w:val="clear" w:color="auto" w:fill="C6EFCE"/>
            <w:noWrap/>
          </w:tcPr>
          <w:p w14:paraId="7B45E36E" w14:textId="77777777" w:rsidR="000E48CE" w:rsidRDefault="00FF4C4E">
            <w:pPr>
              <w:pStyle w:val="P68B1DB1-Normal13"/>
              <w:spacing w:after="0" w:line="240" w:lineRule="auto"/>
              <w:jc w:val="center"/>
              <w:rPr>
                <w:rFonts w:eastAsia="Times New Roman" w:cs="Times New Roman"/>
                <w:noProof/>
              </w:rPr>
            </w:pPr>
            <w:r>
              <w:rPr>
                <w:noProof/>
              </w:rPr>
              <w:t>206</w:t>
            </w:r>
          </w:p>
        </w:tc>
        <w:tc>
          <w:tcPr>
            <w:tcW w:w="851" w:type="dxa"/>
            <w:shd w:val="clear" w:color="auto" w:fill="C6EFCE"/>
            <w:noWrap/>
          </w:tcPr>
          <w:p w14:paraId="4332DC16"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11320BD7"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47FCF466" w14:textId="77777777" w:rsidR="000E48CE" w:rsidRDefault="00FF4C4E">
            <w:pPr>
              <w:pStyle w:val="P68B1DB1-Normal13"/>
              <w:spacing w:after="0" w:line="240" w:lineRule="auto"/>
              <w:rPr>
                <w:rFonts w:eastAsia="Times New Roman" w:cs="Times New Roman"/>
                <w:noProof/>
              </w:rPr>
            </w:pPr>
            <w:r>
              <w:rPr>
                <w:noProof/>
              </w:rPr>
              <w:t xml:space="preserve">Innovatiivisen yritysklusterin tukiohjelman talousarvion toteuttaminen </w:t>
            </w:r>
          </w:p>
        </w:tc>
        <w:tc>
          <w:tcPr>
            <w:tcW w:w="1134" w:type="dxa"/>
            <w:shd w:val="clear" w:color="auto" w:fill="C6EFCE"/>
            <w:noWrap/>
          </w:tcPr>
          <w:p w14:paraId="4E38B6DC"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0CBEC89"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5A3E4312" w14:textId="77777777" w:rsidR="000E48CE" w:rsidRDefault="00FF4C4E">
            <w:pPr>
              <w:pStyle w:val="P68B1DB1-Normal13"/>
              <w:spacing w:after="0" w:line="240" w:lineRule="auto"/>
              <w:jc w:val="right"/>
              <w:rPr>
                <w:rFonts w:eastAsia="Times New Roman" w:cs="Times New Roman"/>
                <w:noProof/>
              </w:rPr>
            </w:pPr>
            <w:r>
              <w:rPr>
                <w:noProof/>
              </w:rPr>
              <w:t>30</w:t>
            </w:r>
          </w:p>
        </w:tc>
        <w:tc>
          <w:tcPr>
            <w:tcW w:w="709" w:type="dxa"/>
            <w:shd w:val="clear" w:color="auto" w:fill="C6EFCE"/>
            <w:noWrap/>
          </w:tcPr>
          <w:p w14:paraId="219FFAC2" w14:textId="77777777" w:rsidR="000E48CE" w:rsidRDefault="00FF4C4E">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1163A990"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376CBEEC"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61E533C2" w14:textId="77777777" w:rsidR="000E48CE" w:rsidRDefault="00FF4C4E">
            <w:pPr>
              <w:pStyle w:val="P68B1DB1-Normal13"/>
              <w:spacing w:after="0" w:line="240" w:lineRule="auto"/>
              <w:rPr>
                <w:rFonts w:eastAsia="Times New Roman" w:cs="Times New Roman"/>
                <w:noProof/>
              </w:rPr>
            </w:pPr>
            <w:r>
              <w:rPr>
                <w:noProof/>
              </w:rPr>
              <w:t>100 prosenttia sidotuista määrärahoista 115000000 euroa, jotka on osoitettu pk-yrityksille innovatiivisen yritysklusterin tukiohjelmassa. Toimenpiteen tavoitteena on tukea hankkeita, joilla digitalisoidaan eri teollisuudenalojen arvoketju</w:t>
            </w:r>
            <w:r>
              <w:rPr>
                <w:noProof/>
              </w:rPr>
              <w:t>ja. Tavoitteena on nykyaikaistaa niitä ja sisällyttää pk-yritykset arvoketjuun. Tarjouspyynnössä on oltava kelpoisuusperusteet, joilla varmistetaan, että valitut hankkeet ovat ”ei merkittävää haittaa” -ohjeiden (2021/C58/01) mukaisia käyttämällä poissulkem</w:t>
            </w:r>
            <w:r>
              <w:rPr>
                <w:noProof/>
              </w:rPr>
              <w:t>isluetteloa ja asiaankuuluvan EU:n ja kansallisen ympäristölainsäädännön noudattamista koskevaa vaatimusta. (perustaso: Joulukuuta 2022).</w:t>
            </w:r>
          </w:p>
        </w:tc>
      </w:tr>
      <w:tr w:rsidR="000E48CE" w14:paraId="5F723A55" w14:textId="77777777">
        <w:trPr>
          <w:trHeight w:val="309"/>
        </w:trPr>
        <w:tc>
          <w:tcPr>
            <w:tcW w:w="709" w:type="dxa"/>
            <w:shd w:val="clear" w:color="auto" w:fill="C6EFCE"/>
            <w:noWrap/>
          </w:tcPr>
          <w:p w14:paraId="52EC3C9D" w14:textId="77777777" w:rsidR="000E48CE" w:rsidRDefault="00FF4C4E">
            <w:pPr>
              <w:pStyle w:val="P68B1DB1-Normal13"/>
              <w:spacing w:after="0" w:line="240" w:lineRule="auto"/>
              <w:jc w:val="center"/>
              <w:rPr>
                <w:rFonts w:eastAsia="Times New Roman" w:cs="Times New Roman"/>
                <w:noProof/>
              </w:rPr>
            </w:pPr>
            <w:r>
              <w:rPr>
                <w:noProof/>
              </w:rPr>
              <w:t>207</w:t>
            </w:r>
          </w:p>
        </w:tc>
        <w:tc>
          <w:tcPr>
            <w:tcW w:w="851" w:type="dxa"/>
            <w:shd w:val="clear" w:color="auto" w:fill="C6EFCE"/>
            <w:noWrap/>
          </w:tcPr>
          <w:p w14:paraId="4BDE3CE9"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27D3835F"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7863AD59" w14:textId="77777777" w:rsidR="000E48CE" w:rsidRDefault="00FF4C4E">
            <w:pPr>
              <w:pStyle w:val="P68B1DB1-Normal13"/>
              <w:spacing w:after="0" w:line="240" w:lineRule="auto"/>
              <w:rPr>
                <w:rFonts w:eastAsia="Times New Roman" w:cs="Times New Roman"/>
                <w:noProof/>
              </w:rPr>
            </w:pPr>
            <w:r>
              <w:rPr>
                <w:noProof/>
              </w:rPr>
              <w:t>Digitaali-innovaatiokeskittymien ohjelman talousarvion toteuttaminen</w:t>
            </w:r>
          </w:p>
        </w:tc>
        <w:tc>
          <w:tcPr>
            <w:tcW w:w="1134" w:type="dxa"/>
            <w:shd w:val="clear" w:color="auto" w:fill="C6EFCE"/>
            <w:noWrap/>
          </w:tcPr>
          <w:p w14:paraId="22FE275F"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0B391AB1" w14:textId="77777777" w:rsidR="000E48CE" w:rsidRDefault="00FF4C4E">
            <w:pPr>
              <w:pStyle w:val="P68B1DB1-Normal13"/>
              <w:spacing w:after="0" w:line="240" w:lineRule="auto"/>
              <w:jc w:val="center"/>
              <w:rPr>
                <w:rFonts w:eastAsia="Times New Roman" w:cs="Times New Roman"/>
                <w:noProof/>
              </w:rPr>
            </w:pPr>
            <w:r>
              <w:rPr>
                <w:noProof/>
              </w:rPr>
              <w:t>%</w:t>
            </w:r>
          </w:p>
        </w:tc>
        <w:tc>
          <w:tcPr>
            <w:tcW w:w="708" w:type="dxa"/>
            <w:shd w:val="clear" w:color="auto" w:fill="C6EFCE"/>
            <w:noWrap/>
          </w:tcPr>
          <w:p w14:paraId="28C1AE1A" w14:textId="77777777" w:rsidR="000E48CE" w:rsidRDefault="00FF4C4E">
            <w:pPr>
              <w:pStyle w:val="P68B1DB1-Normal13"/>
              <w:spacing w:after="0" w:line="240" w:lineRule="auto"/>
              <w:jc w:val="right"/>
              <w:rPr>
                <w:rFonts w:eastAsia="Times New Roman" w:cs="Times New Roman"/>
                <w:noProof/>
              </w:rPr>
            </w:pPr>
            <w:r>
              <w:rPr>
                <w:noProof/>
              </w:rPr>
              <w:t>30</w:t>
            </w:r>
          </w:p>
        </w:tc>
        <w:tc>
          <w:tcPr>
            <w:tcW w:w="709" w:type="dxa"/>
            <w:shd w:val="clear" w:color="auto" w:fill="C6EFCE"/>
            <w:noWrap/>
          </w:tcPr>
          <w:p w14:paraId="2940DEF5" w14:textId="77777777" w:rsidR="000E48CE" w:rsidRDefault="00FF4C4E">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38B629BB"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3F6BC4C6"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2468B19B" w14:textId="2778709F" w:rsidR="000E48CE" w:rsidRDefault="00FF4C4E">
            <w:pPr>
              <w:pStyle w:val="P68B1DB1-Normal13"/>
              <w:spacing w:after="0" w:line="240" w:lineRule="auto"/>
              <w:rPr>
                <w:rFonts w:eastAsia="Times New Roman" w:cs="Times New Roman"/>
                <w:noProof/>
              </w:rPr>
            </w:pPr>
            <w:r>
              <w:rPr>
                <w:noProof/>
              </w:rPr>
              <w:t xml:space="preserve">100 prosenttia </w:t>
            </w:r>
            <w:r>
              <w:rPr>
                <w:noProof/>
              </w:rPr>
              <w:t xml:space="preserve">sidotuista määrärahoista 37590000 euroa, jotka on osoitettu pk-yrityksille digitaali-innovointikeskittymiä koskevassa ohjelmassa. Kyseessä on ohjelma, jolla autetaan yrityksiä parantamaan kilpailukykyään parantamalla liiketoiminta- ja tuotantoprosessejaan </w:t>
            </w:r>
            <w:r>
              <w:rPr>
                <w:noProof/>
              </w:rPr>
              <w:t>digitaaliteknologian intensiivisen käytön avulla. Osana tätä alatoimenpidettä 25 digitaali-innovointikeskittymiä tuetaan. Tarjouspyynnössä on oltava kelpoisuusperusteet, joilla varmistetaan, että valitut hankkeet ovat ”ei merkittävää haittaa” -ohjeiden (20</w:t>
            </w:r>
            <w:r>
              <w:rPr>
                <w:noProof/>
              </w:rPr>
              <w:t>21/C58/01) mukaisia käyttämällä poissulkemisluetteloa ja asiaankuuluvan EU:n ja kansallisen ympäristölainsäädännön noudattamista koskevaa vaatimusta. (perustaso: Joulukuuta 2022).</w:t>
            </w:r>
          </w:p>
        </w:tc>
      </w:tr>
      <w:tr w:rsidR="000E48CE" w14:paraId="365AC1AB" w14:textId="77777777">
        <w:trPr>
          <w:trHeight w:val="309"/>
        </w:trPr>
        <w:tc>
          <w:tcPr>
            <w:tcW w:w="709" w:type="dxa"/>
            <w:shd w:val="clear" w:color="auto" w:fill="C6EFCE"/>
            <w:noWrap/>
          </w:tcPr>
          <w:p w14:paraId="3C34C378" w14:textId="77777777" w:rsidR="000E48CE" w:rsidRDefault="00FF4C4E">
            <w:pPr>
              <w:pStyle w:val="P68B1DB1-Normal13"/>
              <w:spacing w:after="0" w:line="240" w:lineRule="auto"/>
              <w:jc w:val="center"/>
              <w:rPr>
                <w:rFonts w:eastAsia="Times New Roman" w:cs="Times New Roman"/>
                <w:noProof/>
              </w:rPr>
            </w:pPr>
            <w:r>
              <w:rPr>
                <w:noProof/>
              </w:rPr>
              <w:t>208</w:t>
            </w:r>
          </w:p>
        </w:tc>
        <w:tc>
          <w:tcPr>
            <w:tcW w:w="851" w:type="dxa"/>
            <w:shd w:val="clear" w:color="auto" w:fill="C6EFCE"/>
            <w:noWrap/>
          </w:tcPr>
          <w:p w14:paraId="4F3B9E58"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3D36884F"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70181F94" w14:textId="77777777" w:rsidR="000E48CE" w:rsidRDefault="00FF4C4E">
            <w:pPr>
              <w:pStyle w:val="P68B1DB1-Normal13"/>
              <w:spacing w:after="0" w:line="240" w:lineRule="auto"/>
              <w:rPr>
                <w:rFonts w:eastAsia="Times New Roman" w:cs="Times New Roman"/>
                <w:noProof/>
              </w:rPr>
            </w:pPr>
            <w:r>
              <w:rPr>
                <w:noProof/>
              </w:rPr>
              <w:t>Digitaalinen työkalupakki -ohjelman loppuun saattaminen</w:t>
            </w:r>
          </w:p>
        </w:tc>
        <w:tc>
          <w:tcPr>
            <w:tcW w:w="1134" w:type="dxa"/>
            <w:shd w:val="clear" w:color="auto" w:fill="C6EFCE"/>
            <w:noWrap/>
          </w:tcPr>
          <w:p w14:paraId="68806BA5"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21AE94F3"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4194F95B" w14:textId="52855B6D" w:rsidR="000E48CE" w:rsidRDefault="00FF4C4E">
            <w:pPr>
              <w:pStyle w:val="P68B1DB1-Normal13"/>
              <w:rPr>
                <w:rFonts w:cs="Times New Roman"/>
                <w:noProof/>
              </w:rPr>
            </w:pPr>
            <w:r>
              <w:rPr>
                <w:noProof/>
              </w:rPr>
              <w:t>500 000</w:t>
            </w:r>
          </w:p>
        </w:tc>
        <w:tc>
          <w:tcPr>
            <w:tcW w:w="709" w:type="dxa"/>
            <w:shd w:val="clear" w:color="auto" w:fill="C6EFCE"/>
            <w:noWrap/>
          </w:tcPr>
          <w:p w14:paraId="0B2EF20D" w14:textId="6111525E" w:rsidR="000E48CE" w:rsidRDefault="00FF4C4E">
            <w:pPr>
              <w:pStyle w:val="P68B1DB1-Normal13"/>
              <w:rPr>
                <w:rFonts w:cs="Times New Roman"/>
                <w:noProof/>
              </w:rPr>
            </w:pPr>
            <w:r>
              <w:rPr>
                <w:noProof/>
              </w:rPr>
              <w:t>676 000</w:t>
            </w:r>
          </w:p>
        </w:tc>
        <w:tc>
          <w:tcPr>
            <w:tcW w:w="567" w:type="dxa"/>
            <w:shd w:val="clear" w:color="auto" w:fill="C6EFCE"/>
            <w:noWrap/>
          </w:tcPr>
          <w:p w14:paraId="230895F8"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1B6E1C3E" w14:textId="7091BDF5" w:rsidR="000E48CE" w:rsidRDefault="00FF4C4E">
            <w:pPr>
              <w:pStyle w:val="P68B1DB1-Normal13"/>
              <w:spacing w:after="0" w:line="240" w:lineRule="auto"/>
              <w:jc w:val="center"/>
              <w:rPr>
                <w:rFonts w:eastAsia="Times New Roman" w:cs="Times New Roman"/>
                <w:noProof/>
              </w:rPr>
            </w:pPr>
            <w:r>
              <w:rPr>
                <w:noProof/>
              </w:rPr>
              <w:t>202</w:t>
            </w:r>
            <w:r>
              <w:rPr>
                <w:noProof/>
                <w:shd w:val="clear" w:color="auto" w:fill="E6E6E6"/>
              </w:rPr>
              <w:t>5</w:t>
            </w:r>
          </w:p>
        </w:tc>
        <w:tc>
          <w:tcPr>
            <w:tcW w:w="6662" w:type="dxa"/>
            <w:shd w:val="clear" w:color="auto" w:fill="C6EFCE"/>
            <w:noWrap/>
          </w:tcPr>
          <w:p w14:paraId="6A3E457F" w14:textId="57E649CC" w:rsidR="000E48CE" w:rsidRDefault="00FF4C4E">
            <w:pPr>
              <w:pStyle w:val="P68B1DB1-Normal13"/>
              <w:spacing w:after="120" w:line="240" w:lineRule="auto"/>
              <w:rPr>
                <w:rFonts w:cs="Times New Roman"/>
                <w:noProof/>
              </w:rPr>
            </w:pPr>
            <w:r>
              <w:rPr>
                <w:noProof/>
              </w:rPr>
              <w:t>Vähintään 676000 pk-yritystä tai itsenäistä ammatinharjoittajaa, jotka ovat saaneet tukea Digital Toolkit -ohjelmasta noudattaen ”ei merkittävää haittaa” -ohjelmaa (2021/C58/01) käyttämällä poissulkemisluetteloa ja asiaankuulu</w:t>
            </w:r>
            <w:r>
              <w:rPr>
                <w:noProof/>
              </w:rPr>
              <w:t>van EU:n ja kansallisen ympäristölainsäädännön noudattamista koskevaa vaatimusta. Ohjelma perustuu avustuksiin, joilla tuetaan digitaaliteknologian integrointia, jotta voidaan ottaa tehokkaasti käyttöön sähköinen kaupankäynti, digitalisoida suhteet hallint</w:t>
            </w:r>
            <w:r>
              <w:rPr>
                <w:noProof/>
              </w:rPr>
              <w:t>oon ja asiakkaisiin, kehittää digitaalisia sisäisiä prosesseja ja ottaa käyttöön sähköinen laskutus ja digitaalinen markkinointi. erityisesti palvelusuuntautuneiden ratkaisujen edistäminen. Ohjelmasta tuetaan osittain kustannuksia, jotka aiheutuvat sellais</w:t>
            </w:r>
            <w:r>
              <w:rPr>
                <w:noProof/>
              </w:rPr>
              <w:t>ten digitaalisten perusratkaisujen hyväksymisestä, kuten internetnäkyvyydestä, sähköisestä myynnistä, pilvipalveluista, digitaalisista työpaikoista, digitalisaation perusprosesseista, asiakashallinnosta, digitaalisesta markkinoinnista ja kyberturvallisuude</w:t>
            </w:r>
            <w:r>
              <w:rPr>
                <w:noProof/>
              </w:rPr>
              <w:t>sta. (perustaso: Joulukuuta 2023).</w:t>
            </w:r>
          </w:p>
          <w:p w14:paraId="71FD0435" w14:textId="77777777" w:rsidR="000E48CE" w:rsidRDefault="00FF4C4E">
            <w:pPr>
              <w:pStyle w:val="P68B1DB1-Normal13"/>
              <w:spacing w:after="120" w:line="240" w:lineRule="auto"/>
              <w:rPr>
                <w:rFonts w:cs="Times New Roman"/>
                <w:noProof/>
              </w:rPr>
            </w:pPr>
            <w:r>
              <w:rPr>
                <w:noProof/>
              </w:rPr>
              <w:t>Vähintään 676000 pk-yrityksen tai itsenäisen ammatinharjoittajan lopullisesta tavoitteesta:</w:t>
            </w:r>
          </w:p>
          <w:p w14:paraId="129754C0" w14:textId="77777777" w:rsidR="000E48CE" w:rsidRDefault="00FF4C4E">
            <w:pPr>
              <w:pStyle w:val="P68B1DB1-ListParagraph14"/>
              <w:numPr>
                <w:ilvl w:val="0"/>
                <w:numId w:val="630"/>
              </w:numPr>
              <w:spacing w:after="120" w:line="240" w:lineRule="auto"/>
              <w:rPr>
                <w:rFonts w:cs="Times New Roman"/>
                <w:noProof/>
              </w:rPr>
            </w:pPr>
            <w:r>
              <w:rPr>
                <w:noProof/>
              </w:rPr>
              <w:t>Vähintään 629000 pk-yritystä, joilla on alle 50 työntekijää, tai itsenäisiä ammatinharjoittajia, on tuettava vähintään 2000 euron</w:t>
            </w:r>
            <w:r>
              <w:rPr>
                <w:noProof/>
              </w:rPr>
              <w:t xml:space="preserve"> ja enintään 12000 euron arvoisella arvosetelillä.</w:t>
            </w:r>
          </w:p>
          <w:p w14:paraId="208F591F" w14:textId="798904E1" w:rsidR="000E48CE" w:rsidRDefault="00FF4C4E">
            <w:pPr>
              <w:pStyle w:val="P68B1DB1-ListParagraph14"/>
              <w:numPr>
                <w:ilvl w:val="0"/>
                <w:numId w:val="630"/>
              </w:numPr>
              <w:spacing w:after="120" w:line="240" w:lineRule="auto"/>
              <w:rPr>
                <w:rFonts w:cs="Times New Roman"/>
                <w:noProof/>
              </w:rPr>
            </w:pPr>
            <w:r>
              <w:rPr>
                <w:noProof/>
              </w:rPr>
              <w:t>Vähintään 12100 pk-yritystä, joissa on vähintään 50 mutta alle 250 työntekijää, on tuettava vähintään 25000–29000 euron arvosetelillä.</w:t>
            </w:r>
          </w:p>
        </w:tc>
      </w:tr>
      <w:tr w:rsidR="000E48CE" w14:paraId="7BE0ECEC" w14:textId="77777777">
        <w:trPr>
          <w:trHeight w:val="309"/>
        </w:trPr>
        <w:tc>
          <w:tcPr>
            <w:tcW w:w="709" w:type="dxa"/>
            <w:shd w:val="clear" w:color="auto" w:fill="C6EFCE"/>
            <w:noWrap/>
          </w:tcPr>
          <w:p w14:paraId="52C49AEE" w14:textId="77777777" w:rsidR="000E48CE" w:rsidRDefault="00FF4C4E">
            <w:pPr>
              <w:pStyle w:val="P68B1DB1-Normal13"/>
              <w:spacing w:after="0" w:line="240" w:lineRule="auto"/>
              <w:jc w:val="center"/>
              <w:rPr>
                <w:rFonts w:eastAsia="Times New Roman" w:cs="Times New Roman"/>
                <w:noProof/>
              </w:rPr>
            </w:pPr>
            <w:r>
              <w:rPr>
                <w:noProof/>
              </w:rPr>
              <w:t>209</w:t>
            </w:r>
          </w:p>
        </w:tc>
        <w:tc>
          <w:tcPr>
            <w:tcW w:w="851" w:type="dxa"/>
            <w:shd w:val="clear" w:color="auto" w:fill="C6EFCE"/>
            <w:noWrap/>
          </w:tcPr>
          <w:p w14:paraId="5B78862F" w14:textId="77777777" w:rsidR="000E48CE" w:rsidRDefault="00FF4C4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39C09E3A"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2D82F927" w14:textId="77777777" w:rsidR="000E48CE" w:rsidRDefault="00FF4C4E">
            <w:pPr>
              <w:pStyle w:val="P68B1DB1-Normal13"/>
              <w:spacing w:after="0" w:line="240" w:lineRule="auto"/>
              <w:rPr>
                <w:rFonts w:eastAsia="Times New Roman" w:cs="Times New Roman"/>
                <w:noProof/>
              </w:rPr>
            </w:pPr>
            <w:r>
              <w:rPr>
                <w:noProof/>
              </w:rPr>
              <w:t xml:space="preserve">Pk-yritykset, jotka ovat toteuttaneet toimia </w:t>
            </w:r>
            <w:r>
              <w:rPr>
                <w:noProof/>
              </w:rPr>
              <w:t>digitaaliteknologian käytön lisäämiseksi (pl. digitaalinen työkalupakki)</w:t>
            </w:r>
          </w:p>
        </w:tc>
        <w:tc>
          <w:tcPr>
            <w:tcW w:w="1134" w:type="dxa"/>
            <w:shd w:val="clear" w:color="auto" w:fill="C6EFCE"/>
            <w:noWrap/>
          </w:tcPr>
          <w:p w14:paraId="149D1E18"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A9838C9"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6CC76E74"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39E54683" w14:textId="77777777" w:rsidR="000E48CE" w:rsidRDefault="00FF4C4E">
            <w:pPr>
              <w:pStyle w:val="P68B1DB1-Normal13"/>
              <w:spacing w:after="0" w:line="240" w:lineRule="auto"/>
              <w:jc w:val="right"/>
              <w:rPr>
                <w:rFonts w:eastAsia="Times New Roman" w:cs="Times New Roman"/>
                <w:noProof/>
              </w:rPr>
            </w:pPr>
            <w:r>
              <w:rPr>
                <w:noProof/>
              </w:rPr>
              <w:t>171 000</w:t>
            </w:r>
          </w:p>
        </w:tc>
        <w:tc>
          <w:tcPr>
            <w:tcW w:w="567" w:type="dxa"/>
            <w:shd w:val="clear" w:color="auto" w:fill="C6EFCE"/>
            <w:noWrap/>
          </w:tcPr>
          <w:p w14:paraId="2BCED87F"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39544FDC" w14:textId="77777777" w:rsidR="000E48CE" w:rsidRDefault="00FF4C4E">
            <w:pPr>
              <w:pStyle w:val="P68B1DB1-Normal13"/>
              <w:spacing w:after="0" w:line="240" w:lineRule="auto"/>
              <w:jc w:val="center"/>
              <w:rPr>
                <w:rFonts w:eastAsia="Times New Roman" w:cs="Times New Roman"/>
                <w:noProof/>
              </w:rPr>
            </w:pPr>
            <w:r>
              <w:rPr>
                <w:noProof/>
              </w:rPr>
              <w:t>2025</w:t>
            </w:r>
          </w:p>
        </w:tc>
        <w:tc>
          <w:tcPr>
            <w:tcW w:w="6662" w:type="dxa"/>
            <w:shd w:val="clear" w:color="auto" w:fill="C6EFCE"/>
            <w:noWrap/>
          </w:tcPr>
          <w:p w14:paraId="72888EF3" w14:textId="77777777" w:rsidR="000E48CE" w:rsidRDefault="00FF4C4E">
            <w:pPr>
              <w:pStyle w:val="P68B1DB1-Text128"/>
              <w:spacing w:before="0"/>
              <w:ind w:left="0"/>
              <w:jc w:val="left"/>
              <w:rPr>
                <w:rFonts w:cs="Times New Roman"/>
                <w:noProof/>
              </w:rPr>
            </w:pPr>
            <w:r>
              <w:rPr>
                <w:noProof/>
              </w:rPr>
              <w:t>Vähintään 171000 pk-yritystä, jotka ovat toteuttaneet digitaaliteknologian käytön lisäämiseen tähtääviä toimia, joita tuetaan seuraavista ohjelmista: ”Ohjelm</w:t>
            </w:r>
            <w:r>
              <w:rPr>
                <w:noProof/>
              </w:rPr>
              <w:t>atoimijat” ja ”SME 2.0 -kiihdyttimet”; Innovatiivisen yritysklusterin tukiohjelma ja digitaali-innovointikeskittymien ohjelma. Tarjouspyynnössä on oltava kelpoisuusperusteet, joilla varmistetaan, että valitut hankkeet ovat ”ei merkittävää haittaa” -ohjeide</w:t>
            </w:r>
            <w:r>
              <w:rPr>
                <w:noProof/>
              </w:rPr>
              <w:t xml:space="preserve">n (2021/C58/01) mukaisia käyttämällä poissulkemisluetteloa ja asiaankuuluvan EU:n ja kansallisen ympäristölainsäädännön noudattamista koskevaa vaatimusta. </w:t>
            </w:r>
            <w:r>
              <w:rPr>
                <w:noProof/>
              </w:rPr>
              <w:br/>
              <w:t>1) ”Muutokset” -ohjelma: ohjelmalla tuetaan vähintään 15000 pientä ja keskisuurta yritystä (kymmenen</w:t>
            </w:r>
            <w:r>
              <w:rPr>
                <w:noProof/>
              </w:rPr>
              <w:t>-249 työntekijää) niiden digitalisaatioprosesseissa.</w:t>
            </w:r>
            <w:r>
              <w:rPr>
                <w:noProof/>
              </w:rPr>
              <w:br/>
              <w:t>2) ”SME 2.0 -kiihdyttimet” -ohjelma: kyseessä on investointiin kuuluva toimi, jolla laajennetaan pk-yritysten digitalisaatiota tukevaa infrastruktuuria neuvontapalveluilla ja koulutuspalveluilla.</w:t>
            </w:r>
            <w:r>
              <w:rPr>
                <w:noProof/>
              </w:rPr>
              <w:br/>
              <w:t>3) Inno</w:t>
            </w:r>
            <w:r>
              <w:rPr>
                <w:noProof/>
              </w:rPr>
              <w:t>vatiivista yritysklusteritukea koskeva ohjelma: tällä tuetaan hankkeita eri teollisuudenalojen arvoketjun digitalisoimiseksi niiden nykyaikaistamiseksi ja pk-yritysten sisällyttämiseksi arvoketjuun.</w:t>
            </w:r>
            <w:r>
              <w:rPr>
                <w:noProof/>
              </w:rPr>
              <w:br/>
              <w:t>4) ”Digitaali-innovointikeskittymät” -ohjelma: kyseessä o</w:t>
            </w:r>
            <w:r>
              <w:rPr>
                <w:noProof/>
              </w:rPr>
              <w:t>n ohjelma, jolla autetaan yrityksiä parantamaan kilpailukykyään parantamalla liiketoiminta- ja tuotantoprosessejaan digitaaliteknologian intensiivisen käytön avulla.</w:t>
            </w:r>
          </w:p>
        </w:tc>
      </w:tr>
      <w:tr w:rsidR="000E48CE" w14:paraId="7B45DF80" w14:textId="77777777">
        <w:trPr>
          <w:trHeight w:val="309"/>
        </w:trPr>
        <w:tc>
          <w:tcPr>
            <w:tcW w:w="709" w:type="dxa"/>
            <w:shd w:val="clear" w:color="auto" w:fill="C6EFCE"/>
            <w:noWrap/>
          </w:tcPr>
          <w:p w14:paraId="7EEE0241" w14:textId="77777777" w:rsidR="000E48CE" w:rsidRDefault="00FF4C4E">
            <w:pPr>
              <w:pStyle w:val="P68B1DB1-Normal13"/>
              <w:spacing w:after="0" w:line="240" w:lineRule="auto"/>
              <w:jc w:val="center"/>
              <w:rPr>
                <w:rFonts w:eastAsia="Times New Roman" w:cs="Times New Roman"/>
                <w:noProof/>
              </w:rPr>
            </w:pPr>
            <w:r>
              <w:rPr>
                <w:noProof/>
              </w:rPr>
              <w:t>210</w:t>
            </w:r>
          </w:p>
        </w:tc>
        <w:tc>
          <w:tcPr>
            <w:tcW w:w="851" w:type="dxa"/>
            <w:shd w:val="clear" w:color="auto" w:fill="C6EFCE"/>
            <w:noWrap/>
          </w:tcPr>
          <w:p w14:paraId="0BD986CE" w14:textId="77777777" w:rsidR="000E48CE" w:rsidRDefault="00FF4C4E">
            <w:pPr>
              <w:pStyle w:val="P68B1DB1-Normal13"/>
              <w:spacing w:after="0" w:line="240" w:lineRule="auto"/>
              <w:jc w:val="center"/>
              <w:rPr>
                <w:rFonts w:eastAsia="Times New Roman" w:cs="Times New Roman"/>
                <w:noProof/>
              </w:rPr>
            </w:pPr>
            <w:r>
              <w:rPr>
                <w:noProof/>
              </w:rPr>
              <w:t>C13.I4</w:t>
            </w:r>
          </w:p>
        </w:tc>
        <w:tc>
          <w:tcPr>
            <w:tcW w:w="850" w:type="dxa"/>
            <w:shd w:val="clear" w:color="auto" w:fill="C6EFCE"/>
            <w:noWrap/>
          </w:tcPr>
          <w:p w14:paraId="331544CF"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51FD86F9" w14:textId="77777777" w:rsidR="000E48CE" w:rsidRDefault="00FF4C4E">
            <w:pPr>
              <w:pStyle w:val="P68B1DB1-Normal13"/>
              <w:spacing w:after="0" w:line="240" w:lineRule="auto"/>
              <w:rPr>
                <w:rFonts w:eastAsia="Times New Roman" w:cs="Times New Roman"/>
                <w:noProof/>
              </w:rPr>
            </w:pPr>
            <w:r>
              <w:rPr>
                <w:noProof/>
              </w:rPr>
              <w:t>Teknologiarahastosta tukea saaneet pk-yritykset ja elinkeinoelämän järjestöt</w:t>
            </w:r>
          </w:p>
        </w:tc>
        <w:tc>
          <w:tcPr>
            <w:tcW w:w="1134" w:type="dxa"/>
            <w:shd w:val="clear" w:color="auto" w:fill="C6EFCE"/>
            <w:noWrap/>
          </w:tcPr>
          <w:p w14:paraId="062FED21"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7A8C953"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21407A27"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19AED87" w14:textId="77777777" w:rsidR="000E48CE" w:rsidRDefault="00FF4C4E">
            <w:pPr>
              <w:pStyle w:val="P68B1DB1-Normal13"/>
              <w:spacing w:after="0" w:line="240" w:lineRule="auto"/>
              <w:jc w:val="right"/>
              <w:rPr>
                <w:rFonts w:eastAsia="Times New Roman" w:cs="Times New Roman"/>
                <w:noProof/>
              </w:rPr>
            </w:pPr>
            <w:r>
              <w:rPr>
                <w:noProof/>
              </w:rPr>
              <w:t>200</w:t>
            </w:r>
          </w:p>
        </w:tc>
        <w:tc>
          <w:tcPr>
            <w:tcW w:w="567" w:type="dxa"/>
            <w:shd w:val="clear" w:color="auto" w:fill="C6EFCE"/>
            <w:noWrap/>
          </w:tcPr>
          <w:p w14:paraId="6F973932"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177A153F"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418DE2E2" w14:textId="38AA0029" w:rsidR="000E48CE" w:rsidRDefault="00FF4C4E">
            <w:pPr>
              <w:pStyle w:val="P68B1DB1-Normal13"/>
              <w:spacing w:after="0" w:line="240" w:lineRule="auto"/>
              <w:rPr>
                <w:rFonts w:cs="Times New Roman"/>
                <w:noProof/>
              </w:rPr>
            </w:pPr>
            <w:r>
              <w:rPr>
                <w:noProof/>
              </w:rPr>
              <w:t>Vähintään 200 kaupallisen alan pk-yritystä tai liike-elämän järjestöä, jotka ovat saaneet tukea teknologiarahastosta ”ei merkittävää haittaa” -periaatteen mukaisesti (2021/C58/01) käyttämällä poissulkemisluetteloa ja asiaankuuluvan E</w:t>
            </w:r>
            <w:r>
              <w:rPr>
                <w:noProof/>
              </w:rPr>
              <w:t xml:space="preserve">U:n ja kansallisen ympäristölainsäädännön noudattamista koskevaa vaatimusta. </w:t>
            </w:r>
            <w:r>
              <w:rPr>
                <w:noProof/>
              </w:rPr>
              <w:br/>
              <w:t>Pienimuotoisen kaupan alan hankkeet, joiden tavoitteena on ottaa käyttöön uutta teknologiaa, jonka avulla paikallinen kauppa voi vastata uusiin kulutustottumuksiin, osana teknolo</w:t>
            </w:r>
            <w:r>
              <w:rPr>
                <w:noProof/>
              </w:rPr>
              <w:t>giarahastoa (200 hanketta). Rahastosta rahoitettaviin tukikelpoisiin hankkeisiin kuuluvat seuraavat:</w:t>
            </w:r>
            <w:r>
              <w:rPr>
                <w:noProof/>
              </w:rPr>
              <w:br/>
              <w:t xml:space="preserve">a. Uusia teknologioita koskevat hankkeet, joilla pyritään parantamaan verkkokaupan ja viestinnän strategiaa, liiketoimintamalleja tai ostokokemusta. </w:t>
            </w:r>
            <w:r>
              <w:rPr>
                <w:noProof/>
              </w:rPr>
              <w:br/>
              <w:t>b. Uu</w:t>
            </w:r>
            <w:r>
              <w:rPr>
                <w:noProof/>
              </w:rPr>
              <w:t xml:space="preserve">sia teknologioita koskevat hankkeet fyysisten ostosten mukauttamiseksi kuluttajien uusiin tarpeisiin ja tottumuksiin sekä uusiin hallintomalleihin. </w:t>
            </w:r>
            <w:r>
              <w:rPr>
                <w:noProof/>
              </w:rPr>
              <w:br/>
              <w:t>C. Teknisiä ratkaisuja koskevat hankkeet, joilla parannetaan viimeisen osuuden logistiikan tehokkuutta ja k</w:t>
            </w:r>
            <w:r>
              <w:rPr>
                <w:noProof/>
              </w:rPr>
              <w:t xml:space="preserve">estävyyttä. </w:t>
            </w:r>
            <w:r>
              <w:rPr>
                <w:noProof/>
              </w:rPr>
              <w:br/>
              <w:t xml:space="preserve">D. Hankkeet teknologisten ratkaisujen toteuttamiseksi energia- ja resurssitehokkuuden parantamiseksi. </w:t>
            </w:r>
            <w:r>
              <w:rPr>
                <w:noProof/>
              </w:rPr>
              <w:br/>
              <w:t>Investointia täydennetään luomalla digitaalinen alusta (</w:t>
            </w:r>
            <w:r>
              <w:rPr>
                <w:i/>
                <w:noProof/>
              </w:rPr>
              <w:t>Plataforma Comercio Conectado</w:t>
            </w:r>
            <w:r>
              <w:rPr>
                <w:noProof/>
              </w:rPr>
              <w:t xml:space="preserve">) alan digitalisaation edistämiseksi. </w:t>
            </w:r>
          </w:p>
        </w:tc>
      </w:tr>
      <w:tr w:rsidR="000E48CE" w14:paraId="008B24B2" w14:textId="77777777">
        <w:trPr>
          <w:trHeight w:val="309"/>
        </w:trPr>
        <w:tc>
          <w:tcPr>
            <w:tcW w:w="709" w:type="dxa"/>
            <w:shd w:val="clear" w:color="auto" w:fill="C6EFCE"/>
            <w:noWrap/>
          </w:tcPr>
          <w:p w14:paraId="429C24D1" w14:textId="77777777" w:rsidR="000E48CE" w:rsidRDefault="00FF4C4E">
            <w:pPr>
              <w:pStyle w:val="P68B1DB1-Normal13"/>
              <w:spacing w:after="0" w:line="240" w:lineRule="auto"/>
              <w:jc w:val="center"/>
              <w:rPr>
                <w:rFonts w:eastAsia="Times New Roman" w:cs="Times New Roman"/>
                <w:noProof/>
              </w:rPr>
            </w:pPr>
            <w:r>
              <w:rPr>
                <w:noProof/>
              </w:rPr>
              <w:t>211</w:t>
            </w:r>
          </w:p>
        </w:tc>
        <w:tc>
          <w:tcPr>
            <w:tcW w:w="851" w:type="dxa"/>
            <w:shd w:val="clear" w:color="auto" w:fill="C6EFCE"/>
            <w:noWrap/>
          </w:tcPr>
          <w:p w14:paraId="7B3D2E61" w14:textId="77777777" w:rsidR="000E48CE" w:rsidRDefault="00FF4C4E">
            <w:pPr>
              <w:pStyle w:val="P68B1DB1-Normal13"/>
              <w:spacing w:after="0" w:line="240" w:lineRule="auto"/>
              <w:jc w:val="center"/>
              <w:rPr>
                <w:rFonts w:eastAsia="Times New Roman" w:cs="Times New Roman"/>
                <w:noProof/>
              </w:rPr>
            </w:pPr>
            <w:r>
              <w:rPr>
                <w:noProof/>
              </w:rPr>
              <w:t>C13.I4</w:t>
            </w:r>
          </w:p>
        </w:tc>
        <w:tc>
          <w:tcPr>
            <w:tcW w:w="850" w:type="dxa"/>
            <w:shd w:val="clear" w:color="auto" w:fill="C6EFCE"/>
            <w:noWrap/>
          </w:tcPr>
          <w:p w14:paraId="752931E0"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486B5B48" w14:textId="77777777" w:rsidR="000E48CE" w:rsidRDefault="00FF4C4E">
            <w:pPr>
              <w:pStyle w:val="P68B1DB1-Normal13"/>
              <w:spacing w:after="0" w:line="240" w:lineRule="auto"/>
              <w:rPr>
                <w:rFonts w:eastAsia="Times New Roman" w:cs="Times New Roman"/>
                <w:noProof/>
              </w:rPr>
            </w:pPr>
            <w:r>
              <w:rPr>
                <w:noProof/>
              </w:rPr>
              <w:t>Kunnallisten markkinoiden tai kauppa-alueiden nykyaikaistamistoimet</w:t>
            </w:r>
          </w:p>
        </w:tc>
        <w:tc>
          <w:tcPr>
            <w:tcW w:w="1134" w:type="dxa"/>
            <w:shd w:val="clear" w:color="auto" w:fill="C6EFCE"/>
            <w:noWrap/>
          </w:tcPr>
          <w:p w14:paraId="5999AB34"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749BFC1"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634E5575"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F315D91" w14:textId="77777777" w:rsidR="000E48CE" w:rsidRDefault="00FF4C4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33DF6B61"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1D272AB4" w14:textId="77777777" w:rsidR="000E48CE" w:rsidRDefault="00FF4C4E">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029DF34B" w14:textId="77777777" w:rsidR="000E48CE" w:rsidRDefault="00FF4C4E">
            <w:pPr>
              <w:pStyle w:val="P68B1DB1-Normal13"/>
              <w:spacing w:after="0" w:line="240" w:lineRule="auto"/>
              <w:rPr>
                <w:rFonts w:cs="Times New Roman"/>
                <w:noProof/>
              </w:rPr>
            </w:pPr>
            <w:r>
              <w:rPr>
                <w:noProof/>
              </w:rPr>
              <w:t xml:space="preserve">Vähintään 30 nykyaikaistamistoimea, jotka on saatettu päätökseen kunnallisilla markkinoilla tai kaupallisilla alueilla noudattaen teknisiä ohjeita ”ei merkittävää </w:t>
            </w:r>
            <w:r>
              <w:rPr>
                <w:noProof/>
              </w:rPr>
              <w:t>haittaa” (2021/C58/01) käyttämällä poissulkemisluetteloa ja vaatimusta asiaa koskevan EU:n ja kansallisen ympäristölainsäädännön noudattamisesta.</w:t>
            </w:r>
            <w:r>
              <w:rPr>
                <w:noProof/>
              </w:rPr>
              <w:br/>
              <w:t>Paikallisviranomaisten esittämät hankkeet kuntien markkinoiden, kaupallisten alueiden, muiden kuin toimipaikko</w:t>
            </w:r>
            <w:r>
              <w:rPr>
                <w:noProof/>
              </w:rPr>
              <w:t xml:space="preserve">jen ja lyhyiden markkinointikanavien nykyaikaistamiseksi ”Kestävät markkinat” -ohjelman puitteissa (30 hanketta). Tukikelpoisia hankkeita ovat muun muassa seuraavat: </w:t>
            </w:r>
            <w:r>
              <w:rPr>
                <w:noProof/>
              </w:rPr>
              <w:br/>
              <w:t>a. Hankkeet, joissa otetaan käyttöön massadataan tai muuhun teknologiaan perustuvia asiak</w:t>
            </w:r>
            <w:r>
              <w:rPr>
                <w:noProof/>
              </w:rPr>
              <w:t>astietovälineitä.</w:t>
            </w:r>
            <w:r>
              <w:rPr>
                <w:noProof/>
              </w:rPr>
              <w:br/>
              <w:t xml:space="preserve"> b. Markkinoiden digitalisaatioon liittyvät hankkeet, joilla parannetaan markkinapaikkoja ja ostoskokemusta.</w:t>
            </w:r>
            <w:r>
              <w:rPr>
                <w:noProof/>
              </w:rPr>
              <w:br/>
              <w:t xml:space="preserve"> C. Hankkeet, joiden tavoitteena on katukaupan digitalisaatio ja lyhyet markkinointikanavat.</w:t>
            </w:r>
            <w:r>
              <w:rPr>
                <w:noProof/>
              </w:rPr>
              <w:br/>
              <w:t xml:space="preserve"> D. Hankkeet, jotka liittyvät töihin</w:t>
            </w:r>
            <w:r>
              <w:rPr>
                <w:noProof/>
              </w:rPr>
              <w:t xml:space="preserve"> ja kunnostukseen, joiden tarkoituksena on parantaa tiloja, niiden saavutettavuutta, laitteistoja ja kuntamarkkinoita, joilla on kuntamarkkinoita, kaupallisia alueita ja muita kuin toimipaikkoja, sekä niiden lähialueita.</w:t>
            </w:r>
            <w:r>
              <w:rPr>
                <w:noProof/>
              </w:rPr>
              <w:br/>
              <w:t xml:space="preserve"> e. Hankkeet, joilla vähennetään tu</w:t>
            </w:r>
            <w:r>
              <w:rPr>
                <w:noProof/>
              </w:rPr>
              <w:t>otantopanosten kulutusta kaupankäynnissä ja korvataan ne ympäristöystävällisillä vaihtoehdoilla.</w:t>
            </w:r>
            <w:r>
              <w:rPr>
                <w:noProof/>
              </w:rPr>
              <w:br/>
              <w:t xml:space="preserve"> F. Älykkäiden jakelupisteiden asentaminen.</w:t>
            </w:r>
            <w:r>
              <w:rPr>
                <w:noProof/>
              </w:rPr>
              <w:br/>
              <w:t xml:space="preserve"> g. Hankkeet, joilla parannetaan kunnallisten markkinoiden, kaupallisten alueiden ja muiden kuin elinkeinonharjoitt</w:t>
            </w:r>
            <w:r>
              <w:rPr>
                <w:noProof/>
              </w:rPr>
              <w:t>ajien myyntimarkkinoiden energiatehokkuutta.</w:t>
            </w:r>
            <w:r>
              <w:rPr>
                <w:noProof/>
              </w:rPr>
              <w:br/>
              <w:t xml:space="preserve"> H. Toimet, joilla edistetään jätteiden kierrätystä tai uudelleenkäyttöä.</w:t>
            </w:r>
            <w:r>
              <w:rPr>
                <w:noProof/>
              </w:rPr>
              <w:br/>
              <w:t xml:space="preserve"> I. Tiedotus ja koulutus teknologisista taidoista kunnallisilla markkinoilla, kauppa-alueilla ja muilla kuin elinkeinonharjoittajilla.</w:t>
            </w:r>
          </w:p>
        </w:tc>
      </w:tr>
      <w:tr w:rsidR="000E48CE" w14:paraId="039FAF56" w14:textId="77777777">
        <w:trPr>
          <w:trHeight w:val="309"/>
        </w:trPr>
        <w:tc>
          <w:tcPr>
            <w:tcW w:w="709" w:type="dxa"/>
            <w:shd w:val="clear" w:color="auto" w:fill="C6EFCE"/>
            <w:noWrap/>
          </w:tcPr>
          <w:p w14:paraId="750B66BA" w14:textId="77777777" w:rsidR="000E48CE" w:rsidRDefault="00FF4C4E">
            <w:pPr>
              <w:pStyle w:val="P68B1DB1-Normal13"/>
              <w:spacing w:after="0" w:line="240" w:lineRule="auto"/>
              <w:jc w:val="center"/>
              <w:rPr>
                <w:rFonts w:eastAsia="Times New Roman" w:cs="Times New Roman"/>
                <w:noProof/>
              </w:rPr>
            </w:pPr>
            <w:r>
              <w:rPr>
                <w:noProof/>
              </w:rPr>
              <w:t>212</w:t>
            </w:r>
          </w:p>
        </w:tc>
        <w:tc>
          <w:tcPr>
            <w:tcW w:w="851" w:type="dxa"/>
            <w:shd w:val="clear" w:color="auto" w:fill="C6EFCE"/>
            <w:noWrap/>
          </w:tcPr>
          <w:p w14:paraId="5170E8E5" w14:textId="77777777" w:rsidR="000E48CE" w:rsidRDefault="00FF4C4E">
            <w:pPr>
              <w:pStyle w:val="P68B1DB1-Normal13"/>
              <w:spacing w:after="0" w:line="240" w:lineRule="auto"/>
              <w:jc w:val="center"/>
              <w:rPr>
                <w:rFonts w:eastAsia="Times New Roman" w:cs="Times New Roman"/>
                <w:noProof/>
              </w:rPr>
            </w:pPr>
            <w:r>
              <w:rPr>
                <w:noProof/>
              </w:rPr>
              <w:t>C13.I4</w:t>
            </w:r>
          </w:p>
        </w:tc>
        <w:tc>
          <w:tcPr>
            <w:tcW w:w="850" w:type="dxa"/>
            <w:shd w:val="clear" w:color="auto" w:fill="C6EFCE"/>
            <w:noWrap/>
          </w:tcPr>
          <w:p w14:paraId="73A3859C"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6349AB81" w14:textId="77777777" w:rsidR="000E48CE" w:rsidRDefault="00FF4C4E">
            <w:pPr>
              <w:pStyle w:val="P68B1DB1-Normal13"/>
              <w:spacing w:after="0" w:line="240" w:lineRule="auto"/>
              <w:rPr>
                <w:rFonts w:eastAsia="Times New Roman" w:cs="Times New Roman"/>
                <w:noProof/>
              </w:rPr>
            </w:pPr>
            <w:r>
              <w:rPr>
                <w:noProof/>
              </w:rPr>
              <w:t>Markkinainfrastruktuurin nykyaikaistaminen pienissä kunnissa</w:t>
            </w:r>
          </w:p>
        </w:tc>
        <w:tc>
          <w:tcPr>
            <w:tcW w:w="1134" w:type="dxa"/>
            <w:shd w:val="clear" w:color="auto" w:fill="C6EFCE"/>
            <w:noWrap/>
          </w:tcPr>
          <w:p w14:paraId="1C455B31"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2BC82CC9"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396AE786"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540C49D" w14:textId="77777777" w:rsidR="000E48CE" w:rsidRDefault="00FF4C4E">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30C39912"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5AD41FCE" w14:textId="77777777" w:rsidR="000E48CE" w:rsidRDefault="00FF4C4E">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16D4FAA1" w14:textId="4F896182" w:rsidR="000E48CE" w:rsidRDefault="00FF4C4E">
            <w:pPr>
              <w:pStyle w:val="P68B1DB1-Normal13"/>
              <w:spacing w:after="0" w:line="240" w:lineRule="auto"/>
              <w:rPr>
                <w:rFonts w:eastAsia="Times New Roman" w:cs="Times New Roman"/>
                <w:noProof/>
              </w:rPr>
            </w:pPr>
            <w:r>
              <w:rPr>
                <w:noProof/>
              </w:rPr>
              <w:t xml:space="preserve">Vähintään 100 markkinainfrastruktuurin nykyaikaistamista pienissä kunnissa koskevaa toimea, jotka on hyväksytty ja käynnistetty ”ei merkittävää haittaa” </w:t>
            </w:r>
            <w:r>
              <w:rPr>
                <w:noProof/>
              </w:rPr>
              <w:t>-periaatetta koskevien teknisten ohjeiden (2021/C58/01) mukaisesti käyttämällä poissulkemisluetteloa ja vaatimusta asiaa koskevan EU:n ja kansallisen ympäristölainsäädännön noudattamisesta.</w:t>
            </w:r>
            <w:r>
              <w:rPr>
                <w:noProof/>
              </w:rPr>
              <w:br/>
              <w:t xml:space="preserve">Tukikelpoisia hankkeita ovat muun muassa seuraavat: </w:t>
            </w:r>
            <w:r>
              <w:rPr>
                <w:noProof/>
              </w:rPr>
              <w:br/>
              <w:t xml:space="preserve"> a. Hankkeet,</w:t>
            </w:r>
            <w:r>
              <w:rPr>
                <w:noProof/>
              </w:rPr>
              <w:t xml:space="preserve"> joissa otetaan käyttöön massadataan tai muuhun teknologiaan perustuvia asiakastietovälineitä.</w:t>
            </w:r>
            <w:r>
              <w:rPr>
                <w:noProof/>
              </w:rPr>
              <w:br/>
              <w:t xml:space="preserve"> b. Markkinoiden digitalisaatioon liittyvät hankkeet, joilla parannetaan markkinapaikkoja ja ostoskokemusta.</w:t>
            </w:r>
            <w:r>
              <w:rPr>
                <w:noProof/>
              </w:rPr>
              <w:br/>
              <w:t xml:space="preserve"> C. Hankkeet, joiden tavoitteena on katukaupan digit</w:t>
            </w:r>
            <w:r>
              <w:rPr>
                <w:noProof/>
              </w:rPr>
              <w:t>alisaatio ja lyhyet markkinointikanavat.</w:t>
            </w:r>
            <w:r>
              <w:rPr>
                <w:noProof/>
              </w:rPr>
              <w:br/>
              <w:t xml:space="preserve"> D. Hankkeet, jotka liittyvät töihin ja kunnostukseen, joiden tarkoituksena on parantaa tiloja, niiden saavutettavuutta, laitteistoja ja kuntamarkkinoita, joilla on kuntamarkkinoita, kaupallisia alueita ja muita kui</w:t>
            </w:r>
            <w:r>
              <w:rPr>
                <w:noProof/>
              </w:rPr>
              <w:t>n toimipaikkoja, sekä niiden lähialueita.</w:t>
            </w:r>
            <w:r>
              <w:rPr>
                <w:noProof/>
              </w:rPr>
              <w:br/>
              <w:t xml:space="preserve"> e. Hankkeet, joilla vähennetään tuotantopanosten kulutusta kaupankäynnissä ja korvataan ne ympäristöystävällisillä vaihtoehdoilla.</w:t>
            </w:r>
            <w:r>
              <w:rPr>
                <w:noProof/>
              </w:rPr>
              <w:br/>
              <w:t xml:space="preserve"> F. Älykkäiden jakelupisteiden asentaminen.</w:t>
            </w:r>
            <w:r>
              <w:rPr>
                <w:noProof/>
              </w:rPr>
              <w:br/>
              <w:t xml:space="preserve"> g. Hankkeet, joilla parannetaan kunna</w:t>
            </w:r>
            <w:r>
              <w:rPr>
                <w:noProof/>
              </w:rPr>
              <w:t>llisten markkinoiden, kaupallisten alueiden ja muiden kuin elinkeinonharjoittajien myyntimarkkinoiden energiatehokkuutta.</w:t>
            </w:r>
            <w:r>
              <w:rPr>
                <w:noProof/>
              </w:rPr>
              <w:br/>
              <w:t xml:space="preserve"> H. Toimet, joilla edistetään jätteiden kierrätystä tai uudelleenkäyttöä.</w:t>
            </w:r>
            <w:r>
              <w:rPr>
                <w:noProof/>
              </w:rPr>
              <w:br/>
              <w:t xml:space="preserve"> I. Tiedotus ja koulutus teknologisista taidoista kunnallisi</w:t>
            </w:r>
            <w:r>
              <w:rPr>
                <w:noProof/>
              </w:rPr>
              <w:t>lla markkinoilla, kauppa-alueilla ja muilla kuin elinkeinonharjoittajilla.</w:t>
            </w:r>
          </w:p>
        </w:tc>
      </w:tr>
      <w:tr w:rsidR="000E48CE" w14:paraId="61292C9B" w14:textId="77777777">
        <w:trPr>
          <w:trHeight w:val="309"/>
        </w:trPr>
        <w:tc>
          <w:tcPr>
            <w:tcW w:w="709" w:type="dxa"/>
            <w:shd w:val="clear" w:color="auto" w:fill="C6EFCE"/>
            <w:noWrap/>
          </w:tcPr>
          <w:p w14:paraId="2016163D" w14:textId="77777777" w:rsidR="000E48CE" w:rsidRDefault="00FF4C4E">
            <w:pPr>
              <w:pStyle w:val="P68B1DB1-Normal13"/>
              <w:spacing w:after="0" w:line="240" w:lineRule="auto"/>
              <w:jc w:val="center"/>
              <w:rPr>
                <w:rFonts w:eastAsia="Times New Roman" w:cs="Times New Roman"/>
                <w:noProof/>
              </w:rPr>
            </w:pPr>
            <w:r>
              <w:rPr>
                <w:noProof/>
              </w:rPr>
              <w:t>213</w:t>
            </w:r>
          </w:p>
        </w:tc>
        <w:tc>
          <w:tcPr>
            <w:tcW w:w="851" w:type="dxa"/>
            <w:shd w:val="clear" w:color="auto" w:fill="C6EFCE"/>
            <w:noWrap/>
          </w:tcPr>
          <w:p w14:paraId="0A5FEB25" w14:textId="77777777" w:rsidR="000E48CE" w:rsidRDefault="00FF4C4E">
            <w:pPr>
              <w:pStyle w:val="P68B1DB1-Normal13"/>
              <w:spacing w:after="0" w:line="240" w:lineRule="auto"/>
              <w:jc w:val="center"/>
              <w:rPr>
                <w:rFonts w:eastAsia="Times New Roman" w:cs="Times New Roman"/>
                <w:noProof/>
              </w:rPr>
            </w:pPr>
            <w:r>
              <w:rPr>
                <w:noProof/>
              </w:rPr>
              <w:t>C13.I5</w:t>
            </w:r>
          </w:p>
        </w:tc>
        <w:tc>
          <w:tcPr>
            <w:tcW w:w="850" w:type="dxa"/>
            <w:shd w:val="clear" w:color="auto" w:fill="C6EFCE"/>
            <w:noWrap/>
          </w:tcPr>
          <w:p w14:paraId="1CCC9AC6" w14:textId="77777777" w:rsidR="000E48CE" w:rsidRDefault="00FF4C4E">
            <w:pPr>
              <w:pStyle w:val="P68B1DB1-Normal13"/>
              <w:spacing w:after="0" w:line="240" w:lineRule="auto"/>
              <w:jc w:val="center"/>
              <w:rPr>
                <w:rFonts w:eastAsia="Times New Roman" w:cs="Times New Roman"/>
                <w:noProof/>
              </w:rPr>
            </w:pPr>
            <w:r>
              <w:rPr>
                <w:noProof/>
              </w:rPr>
              <w:t>T</w:t>
            </w:r>
          </w:p>
        </w:tc>
        <w:tc>
          <w:tcPr>
            <w:tcW w:w="1985" w:type="dxa"/>
            <w:shd w:val="clear" w:color="auto" w:fill="C6EFCE"/>
            <w:noWrap/>
          </w:tcPr>
          <w:p w14:paraId="705A5779" w14:textId="77777777" w:rsidR="000E48CE" w:rsidRDefault="00FF4C4E">
            <w:pPr>
              <w:pStyle w:val="P68B1DB1-Normal13"/>
              <w:spacing w:after="0" w:line="240" w:lineRule="auto"/>
              <w:rPr>
                <w:rFonts w:eastAsia="Times New Roman" w:cs="Times New Roman"/>
                <w:noProof/>
              </w:rPr>
            </w:pPr>
            <w:r>
              <w:rPr>
                <w:noProof/>
              </w:rPr>
              <w:t>Kansainvälistymistä tukeviin hankkeisiin osallistuvat yritykset</w:t>
            </w:r>
          </w:p>
        </w:tc>
        <w:tc>
          <w:tcPr>
            <w:tcW w:w="1134" w:type="dxa"/>
            <w:shd w:val="clear" w:color="auto" w:fill="C6EFCE"/>
            <w:noWrap/>
          </w:tcPr>
          <w:p w14:paraId="54DAA9FA"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3B7C0BF"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8" w:type="dxa"/>
            <w:shd w:val="clear" w:color="auto" w:fill="C6EFCE"/>
            <w:noWrap/>
          </w:tcPr>
          <w:p w14:paraId="1B6A52EE"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8FC2B62" w14:textId="77777777" w:rsidR="000E48CE" w:rsidRDefault="00FF4C4E">
            <w:pPr>
              <w:pStyle w:val="P68B1DB1-Normal13"/>
              <w:spacing w:after="0" w:line="240" w:lineRule="auto"/>
              <w:jc w:val="right"/>
              <w:rPr>
                <w:rFonts w:eastAsia="Times New Roman" w:cs="Times New Roman"/>
                <w:noProof/>
              </w:rPr>
            </w:pPr>
            <w:r>
              <w:rPr>
                <w:noProof/>
              </w:rPr>
              <w:t>3 000</w:t>
            </w:r>
          </w:p>
        </w:tc>
        <w:tc>
          <w:tcPr>
            <w:tcW w:w="567" w:type="dxa"/>
            <w:shd w:val="clear" w:color="auto" w:fill="C6EFCE"/>
            <w:noWrap/>
          </w:tcPr>
          <w:p w14:paraId="5D192DE9"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2A031F49" w14:textId="77777777" w:rsidR="000E48CE" w:rsidRDefault="00FF4C4E">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54D3EC9D" w14:textId="77777777" w:rsidR="000E48CE" w:rsidRDefault="00FF4C4E">
            <w:pPr>
              <w:pStyle w:val="P68B1DB1-Normal13"/>
              <w:spacing w:after="0" w:line="240" w:lineRule="auto"/>
              <w:rPr>
                <w:rFonts w:eastAsia="Times New Roman" w:cs="Times New Roman"/>
                <w:noProof/>
              </w:rPr>
            </w:pPr>
            <w:r>
              <w:rPr>
                <w:noProof/>
              </w:rPr>
              <w:t xml:space="preserve">Vähintään 3000 yritystä, joista vähintään 2500 pk-yritystä on osallistunut ja saattanut päätökseen kansainvälistymistä tukevia hankkeita vuosien 2021–2022 ja 2023–2024 kansainvälistymisen toimintasuunnitelmien puitteissa. Vientiyhdistyksen, kauppakamarien </w:t>
            </w:r>
            <w:r>
              <w:rPr>
                <w:noProof/>
              </w:rPr>
              <w:t>ja hallintopalvelujen digitalisointia tukevien horisontaalisten toimien on hyödytettävä kaikkia viejiä ja edistettävä uusien yritysten kansainvälistymistä ”ei merkittävää haittaa” -periaatetta koskevien teknisten ohjeiden (2021/C58/01) mukaisesti käyttämäl</w:t>
            </w:r>
            <w:r>
              <w:rPr>
                <w:noProof/>
              </w:rPr>
              <w:t xml:space="preserve">lä poissulkemisluetteloa ja asiaankuuluvan EU:n ja kansallisen ympäristölainsäädännön noudattamista koskevaa vaatimusta. </w:t>
            </w:r>
            <w:r>
              <w:rPr>
                <w:noProof/>
              </w:rPr>
              <w:br/>
              <w:t>Investoinnin kohteena olevat toimet valitaan seuraavasta hankkeiden/alojen luettelosta:</w:t>
            </w:r>
            <w:r>
              <w:rPr>
                <w:noProof/>
              </w:rPr>
              <w:br/>
              <w:t>1. Budjettikohta toteutettavuus-, toteutettavu</w:t>
            </w:r>
            <w:r>
              <w:rPr>
                <w:noProof/>
              </w:rPr>
              <w:t>us- ja ennakkototeutettavuustutkimuksille sekä alakohtaisille ja institutionaalisille nykyaikaistamistutkimuksille.</w:t>
            </w:r>
            <w:r>
              <w:rPr>
                <w:noProof/>
              </w:rPr>
              <w:br/>
              <w:t xml:space="preserve">2. INNOVA Invest -ohjelma, jolla tuetaan ulkomaisia T &amp; K-investointeja. </w:t>
            </w:r>
            <w:r>
              <w:rPr>
                <w:noProof/>
              </w:rPr>
              <w:br/>
              <w:t>3. VIVES-ohjelma, josta myönnetään taloudellista tukea harjoitteli</w:t>
            </w:r>
            <w:r>
              <w:rPr>
                <w:noProof/>
              </w:rPr>
              <w:t>joiden palkkaamiseen vientitoimintaa harjoittavissa yrityksissä.</w:t>
            </w:r>
            <w:r>
              <w:rPr>
                <w:noProof/>
              </w:rPr>
              <w:br/>
              <w:t>4. Kansainvälistymisen mentorointi- ja koulutusohjelma.</w:t>
            </w:r>
            <w:r>
              <w:rPr>
                <w:noProof/>
              </w:rPr>
              <w:br/>
              <w:t>5. Vientijärjestöjen, Espanjan kauppakamareiden ja niiden liittojen viestintäjärjestelmien, telemaattisten palvelujen ja digitalisoinni</w:t>
            </w:r>
            <w:r>
              <w:rPr>
                <w:noProof/>
              </w:rPr>
              <w:t>n vahvistamista koskeva ohjelma.</w:t>
            </w:r>
            <w:r>
              <w:rPr>
                <w:noProof/>
              </w:rPr>
              <w:br/>
              <w:t>6. Vientituen laajentumisohjelma on ohjelma, jolla tarjotaan yksilöllistä valmennusta yritysten ja erityisesti pk-yritysten kansainvälistymiselle.</w:t>
            </w:r>
            <w:r>
              <w:rPr>
                <w:noProof/>
              </w:rPr>
              <w:br/>
              <w:t>7. Ohjelma Espanjan nopeasti kasvavien yritysten ekosysteemin vahvistamiseks</w:t>
            </w:r>
            <w:r>
              <w:rPr>
                <w:noProof/>
              </w:rPr>
              <w:t>i.</w:t>
            </w:r>
            <w:r>
              <w:rPr>
                <w:noProof/>
              </w:rPr>
              <w:br/>
              <w:t>8. Tuki markkinoiden avaamiseen ja vakauttamiseen myöntämällä avustuksia kolmansien maiden viranomaisten tarkastuksiin ja tilintarkastuksiin liittyviin menoihin sekä kaupan suojatoimiin liittyviin oikeudellisiin ja konsultointimenoihin.</w:t>
            </w:r>
            <w:r>
              <w:rPr>
                <w:noProof/>
              </w:rPr>
              <w:br/>
              <w:t>9. COFIDESin (va</w:t>
            </w:r>
            <w:r>
              <w:rPr>
                <w:noProof/>
              </w:rPr>
              <w:t xml:space="preserve">ltion omistama rahoituslaitos, joka tarjoaa keskipitkän ja pitkän aikavälin rahoitusta yritysten kansainvälistymisinvestointihankkeiden tukemiseen) rahoituskannustinohjelma vaikutusinvestointien edistämiseksi. </w:t>
            </w:r>
            <w:r>
              <w:rPr>
                <w:noProof/>
              </w:rPr>
              <w:br/>
              <w:t>10. Edistetään julkisten palvelujen digitalis</w:t>
            </w:r>
            <w:r>
              <w:rPr>
                <w:noProof/>
              </w:rPr>
              <w:t>ointia kansainvälistymisen tukemiseksi.</w:t>
            </w:r>
            <w:r>
              <w:rPr>
                <w:noProof/>
              </w:rPr>
              <w:br/>
              <w:t>11. ICEX:n (kansallinen julkinen yritys, joka edistää espanjalaisten yritysten kansainvälistymistä) digitalisointi ja virtuaalikampuksen perustaminen.</w:t>
            </w:r>
            <w:r>
              <w:rPr>
                <w:noProof/>
              </w:rPr>
              <w:br/>
              <w:t>Valintaperusteilla on varmistettava, että tämän toimenpiteen noja</w:t>
            </w:r>
            <w:r>
              <w:rPr>
                <w:noProof/>
              </w:rPr>
              <w:t>lla tuettuja transaktioita koskevia ”ei merkittävää haittaa” -periaatetta koskevia teknisiä ohjeita (2021/C58/01) noudatetaan käyttämällä kestävyysarviointia, käyttämällä poissulkemisluetteloa sekä vaatimusta asiaa koskevan EU:n ja kansallisen ympäristölai</w:t>
            </w:r>
            <w:r>
              <w:rPr>
                <w:noProof/>
              </w:rPr>
              <w:t xml:space="preserve">nsäädännön noudattamisesta. </w:t>
            </w:r>
          </w:p>
        </w:tc>
      </w:tr>
    </w:tbl>
    <w:p w14:paraId="03A133E4" w14:textId="77777777" w:rsidR="000E48CE" w:rsidRDefault="000E48CE">
      <w:pPr>
        <w:spacing w:before="120" w:after="120" w:line="240" w:lineRule="auto"/>
        <w:ind w:left="709"/>
        <w:jc w:val="both"/>
        <w:rPr>
          <w:rFonts w:ascii="Times New Roman" w:hAnsi="Times New Roman" w:cs="Times New Roman"/>
          <w:noProof/>
          <w:sz w:val="24"/>
        </w:rPr>
      </w:pPr>
    </w:p>
    <w:p w14:paraId="5BC3968E" w14:textId="77777777" w:rsidR="000E48CE" w:rsidRDefault="00FF4C4E">
      <w:pPr>
        <w:spacing w:before="120" w:after="120" w:line="240" w:lineRule="auto"/>
        <w:ind w:left="709"/>
        <w:jc w:val="both"/>
        <w:rPr>
          <w:rFonts w:ascii="Times New Roman" w:hAnsi="Times New Roman" w:cs="Times New Roman"/>
          <w:noProof/>
          <w:sz w:val="24"/>
        </w:rPr>
        <w:sectPr w:rsidR="000E48CE" w:rsidSect="00EB7CC8">
          <w:headerReference w:type="even" r:id="rId276"/>
          <w:headerReference w:type="default" r:id="rId277"/>
          <w:footerReference w:type="even" r:id="rId278"/>
          <w:footerReference w:type="default" r:id="rId279"/>
          <w:headerReference w:type="first" r:id="rId280"/>
          <w:footerReference w:type="first" r:id="rId281"/>
          <w:pgSz w:w="16839" w:h="11907" w:orient="landscape"/>
          <w:pgMar w:top="1417" w:right="1134" w:bottom="1417" w:left="1134" w:header="709" w:footer="709" w:gutter="0"/>
          <w:cols w:space="720"/>
          <w:docGrid w:linePitch="360"/>
        </w:sectPr>
      </w:pPr>
      <w:r>
        <w:rPr>
          <w:noProof/>
        </w:rPr>
        <w:br w:type="page"/>
      </w:r>
    </w:p>
    <w:p w14:paraId="7973AD0F" w14:textId="20CFE205" w:rsidR="000E48CE" w:rsidRDefault="00FF4C4E">
      <w:pPr>
        <w:pStyle w:val="P68B1DB1-Normal5"/>
        <w:ind w:firstLine="720"/>
        <w:rPr>
          <w:rFonts w:cs="Times New Roman"/>
          <w:noProof/>
        </w:rPr>
      </w:pPr>
      <w:r>
        <w:rPr>
          <w:noProof/>
        </w:rPr>
        <w:t>M.3 Kuvaus lainatukeen liittyvistä uudistuksista ja investoinneista</w:t>
      </w:r>
    </w:p>
    <w:p w14:paraId="07B27A8F" w14:textId="723F2FBA" w:rsidR="000E48CE" w:rsidRDefault="00FF4C4E">
      <w:pPr>
        <w:pStyle w:val="P68B1DB1-Normal6"/>
        <w:rPr>
          <w:rFonts w:cs="Times New Roman"/>
          <w:noProof/>
        </w:rPr>
      </w:pPr>
      <w:r>
        <w:rPr>
          <w:noProof/>
        </w:rPr>
        <w:t>Investointi 6</w:t>
      </w:r>
      <w:bookmarkStart w:id="28" w:name="_Hlk141289238"/>
      <w:r>
        <w:rPr>
          <w:noProof/>
        </w:rPr>
        <w:t>(</w:t>
      </w:r>
      <w:bookmarkEnd w:id="28"/>
      <w:r>
        <w:rPr>
          <w:noProof/>
        </w:rPr>
        <w:t>C13.I6) – Vihreä linja sekä yritykset ja yrittäjät</w:t>
      </w:r>
    </w:p>
    <w:p w14:paraId="651485A1" w14:textId="5AF5E694" w:rsidR="000E48CE" w:rsidRDefault="00FF4C4E">
      <w:pPr>
        <w:pStyle w:val="P68B1DB1-Normal4"/>
        <w:spacing w:line="240" w:lineRule="auto"/>
        <w:jc w:val="both"/>
        <w:rPr>
          <w:rFonts w:cs="Times New Roman"/>
          <w:noProof/>
        </w:rPr>
      </w:pPr>
      <w:r>
        <w:rPr>
          <w:noProof/>
        </w:rPr>
        <w:t xml:space="preserve">Tämä toimenpide koostuu </w:t>
      </w:r>
      <w:r>
        <w:rPr>
          <w:noProof/>
        </w:rPr>
        <w:t>investoinnista kahteen budjettikohtaan: ICO Green Line ja ICO Enterprises and Entrepreneurs Line.</w:t>
      </w:r>
    </w:p>
    <w:p w14:paraId="5F576ED7" w14:textId="7E236BB9" w:rsidR="000E48CE" w:rsidRDefault="00FF4C4E">
      <w:pPr>
        <w:pStyle w:val="P68B1DB1-Normal18"/>
        <w:rPr>
          <w:rFonts w:cs="Times New Roman"/>
          <w:noProof/>
        </w:rPr>
      </w:pPr>
      <w:r>
        <w:rPr>
          <w:noProof/>
        </w:rPr>
        <w:t>ICO Vihreä linja</w:t>
      </w:r>
    </w:p>
    <w:p w14:paraId="4825AEBB" w14:textId="1F539370" w:rsidR="000E48CE" w:rsidRDefault="00FF4C4E">
      <w:pPr>
        <w:pStyle w:val="P68B1DB1-Normal4"/>
        <w:spacing w:line="240" w:lineRule="auto"/>
        <w:jc w:val="both"/>
        <w:rPr>
          <w:rFonts w:cs="Times New Roman"/>
          <w:noProof/>
        </w:rPr>
      </w:pPr>
      <w:bookmarkStart w:id="29" w:name="_Hlk145872780"/>
      <w:r>
        <w:rPr>
          <w:noProof/>
        </w:rPr>
        <w:t>Tämän toimenpiteen tämä osa koostuu julkisesta investoinnista välineeseen, Green ICO Line -linjaan, jotta voidaan kannustaa yksityisiin inves</w:t>
      </w:r>
      <w:r>
        <w:rPr>
          <w:noProof/>
        </w:rPr>
        <w:t>tointeihin ja parantaa rahoituksen saantia Espanjan vihreillä aloilla ja kehittää pääomamarkkinoita tällä alalla erityisesti seitsemällä eri alalla: kestävä liikenne, mukaan lukien rautatieliikenne; energiatehokkuus; uusiutuva energia, mukaan lukien energi</w:t>
      </w:r>
      <w:r>
        <w:rPr>
          <w:noProof/>
        </w:rPr>
        <w:t>an varastointi ja sähköverkko; teollisuuden hiilestä irtautuminen ja vähähiiliset teollisuuden arvoketjut, jotka liittyvät energiasiirtymään; vesihuolto; kiertotalous; ilmastonmuutokseen sopeutuminen</w:t>
      </w:r>
      <w:bookmarkStart w:id="30" w:name="_Hlk145872817"/>
      <w:r>
        <w:rPr>
          <w:noProof/>
        </w:rPr>
        <w:t xml:space="preserve">. </w:t>
      </w:r>
      <w:bookmarkEnd w:id="29"/>
      <w:bookmarkEnd w:id="30"/>
      <w:r>
        <w:rPr>
          <w:noProof/>
        </w:rPr>
        <w:t xml:space="preserve">Investointikehys toimii tarjoamalla suoraa rahoitusta, </w:t>
      </w:r>
      <w:r>
        <w:rPr>
          <w:noProof/>
        </w:rPr>
        <w:t>yritysjoukkolainojen ostoja sekä oman pääoman ehtoisia ja oman pääoman luonteisia sijoituksia suoraan tai välittäjien kautta yksityiselle sektorille ja kotitalouksille sekä vastaavaa toimintaa harjoittaville julkisyhteisöille ja julkisoikeudellisille laito</w:t>
      </w:r>
      <w:r>
        <w:rPr>
          <w:noProof/>
        </w:rPr>
        <w:t>ksille. Elpymis- ja palautumistukivälineen investointien perusteella tukivälineestä on alun perin tarkoitus myöntää rahoitusta vähintään 22000000000 euroa.</w:t>
      </w:r>
    </w:p>
    <w:p w14:paraId="6F778440" w14:textId="15C6A539" w:rsidR="000E48CE" w:rsidRDefault="00FF4C4E">
      <w:pPr>
        <w:pStyle w:val="P68B1DB1-Normal4"/>
        <w:spacing w:line="240" w:lineRule="auto"/>
        <w:jc w:val="both"/>
        <w:rPr>
          <w:rFonts w:cs="Times New Roman"/>
          <w:noProof/>
        </w:rPr>
      </w:pPr>
      <w:r>
        <w:rPr>
          <w:noProof/>
        </w:rPr>
        <w:t>Investointikehystä hallinnoivat toteutuskumppaneina Instituto de Crédito Oficial (ICO) ja Axis (ICO:</w:t>
      </w:r>
      <w:r>
        <w:rPr>
          <w:noProof/>
        </w:rPr>
        <w:t>n pääomasijoitusyhtiö/yksityisen pääoman hallinnoija). Lainajärjestely sisältää seuraavat tuotelinjat:</w:t>
      </w:r>
    </w:p>
    <w:p w14:paraId="335641C8" w14:textId="2307009F" w:rsidR="000E48CE" w:rsidRDefault="00FF4C4E">
      <w:pPr>
        <w:pStyle w:val="P68B1DB1-ListParagraph7"/>
        <w:numPr>
          <w:ilvl w:val="0"/>
          <w:numId w:val="754"/>
        </w:numPr>
        <w:spacing w:line="240" w:lineRule="auto"/>
        <w:jc w:val="both"/>
        <w:rPr>
          <w:rFonts w:cs="Times New Roman"/>
          <w:noProof/>
        </w:rPr>
      </w:pPr>
      <w:r>
        <w:rPr>
          <w:noProof/>
        </w:rPr>
        <w:t>Sovittelulinja: sovittelulinja koostuu ICO:n liikepankeille myöntämistä lainoista, jotka puolestaan myöntävät lainoja lopullisille edunsaajille vihreiden</w:t>
      </w:r>
      <w:r>
        <w:rPr>
          <w:noProof/>
        </w:rPr>
        <w:t xml:space="preserve"> hankkeiden rahoittamiseksi. Lopullisten tuensaajien on oltava yksityisiä yrityksiä (kuten pk-yrityksiä, pieniä midcap-yrityksiä, suuria yrityksiä tai yrittäjiä) ja kotitalouksia. </w:t>
      </w:r>
    </w:p>
    <w:p w14:paraId="50365F2E" w14:textId="2E0A6386" w:rsidR="000E48CE" w:rsidRDefault="00FF4C4E">
      <w:pPr>
        <w:pStyle w:val="P68B1DB1-ListParagraph7"/>
        <w:numPr>
          <w:ilvl w:val="0"/>
          <w:numId w:val="754"/>
        </w:numPr>
        <w:spacing w:line="240" w:lineRule="auto"/>
        <w:jc w:val="both"/>
        <w:rPr>
          <w:rFonts w:cs="Times New Roman"/>
          <w:noProof/>
        </w:rPr>
      </w:pPr>
      <w:r>
        <w:rPr>
          <w:noProof/>
        </w:rPr>
        <w:t>ICO:n suora rahoitus: tästä budjettikohdasta myönnetään suoria lainoja yksi</w:t>
      </w:r>
      <w:r>
        <w:rPr>
          <w:noProof/>
        </w:rPr>
        <w:t>tyisille yrityksille (kuten mid-cap-yrityksille) ja julkisille yrityksille vihreiden hankkeiden rahoittamiseksi. ICO myöntää lainat suoraan, ja kukin hanke, jota yhteisrahoittaa yksi tai useampi kolmas osapuoli. ICO:n myöntämät varat ovat enintään 70 prose</w:t>
      </w:r>
      <w:r>
        <w:rPr>
          <w:noProof/>
        </w:rPr>
        <w:t xml:space="preserve">nttia investoinnin tuen kokonaismäärästä. Yksityisten sijoittajien on katettava vähintään 30 prosenttia investointituen kokonaismäärästä. </w:t>
      </w:r>
    </w:p>
    <w:p w14:paraId="50EE436C" w14:textId="5F98DC61" w:rsidR="000E48CE" w:rsidRDefault="00FF4C4E">
      <w:pPr>
        <w:pStyle w:val="P68B1DB1-ListParagraph7"/>
        <w:numPr>
          <w:ilvl w:val="0"/>
          <w:numId w:val="754"/>
        </w:numPr>
        <w:spacing w:line="240" w:lineRule="auto"/>
        <w:jc w:val="both"/>
        <w:rPr>
          <w:rFonts w:cs="Times New Roman"/>
          <w:noProof/>
        </w:rPr>
      </w:pPr>
      <w:r>
        <w:rPr>
          <w:noProof/>
        </w:rPr>
        <w:t>Yritysjoukkolainojen ostot: tällä rivillä ICO ostaa espanjalaisten yritysten liikkeeseen laskemia etuoikeusasemaltaan parempia keskipitkän ja pitkän aikavälin kiinteätuottoisia arvopapereita järjestäytyneiltä jälkimarkkinoilta (kuten vaihtoehtoisten kiinte</w:t>
      </w:r>
      <w:r>
        <w:rPr>
          <w:noProof/>
        </w:rPr>
        <w:t xml:space="preserve">ätuottoisten markkinoiden (MARF) tai rahoitusomaisuuden välittäjien yhdistyksen (AIAF)) kautta. Arvopaperit on liitettävä arvopaperin liikkeeseen laskevan yrityksen tiettyyn vihreään investointihankkeeseen. </w:t>
      </w:r>
    </w:p>
    <w:p w14:paraId="00BD4451" w14:textId="1372F4F0" w:rsidR="000E48CE" w:rsidRDefault="00FF4C4E">
      <w:pPr>
        <w:pStyle w:val="P68B1DB1-ListParagraph7"/>
        <w:numPr>
          <w:ilvl w:val="0"/>
          <w:numId w:val="754"/>
        </w:numPr>
        <w:spacing w:line="240" w:lineRule="auto"/>
        <w:jc w:val="both"/>
        <w:rPr>
          <w:rFonts w:cs="Times New Roman"/>
          <w:noProof/>
        </w:rPr>
      </w:pPr>
      <w:r>
        <w:rPr>
          <w:noProof/>
        </w:rPr>
        <w:t>Oman pääoman ehtoiset ja luonteiset sijoitukset:</w:t>
      </w:r>
      <w:r>
        <w:rPr>
          <w:noProof/>
        </w:rPr>
        <w:t xml:space="preserve"> tämä budjettikohta koostuu suorista oman pääoman ehtoisista sijoituksista toimintalinjan (ICO:n riskipääoma/yksityisen pääoman hoitaja) kautta ja/tai varojen siirtämisestä pääomarahastoihin tai muihin sijoitusvälineisiin, joita hallinnoivat yksityiset rah</w:t>
      </w:r>
      <w:r>
        <w:rPr>
          <w:noProof/>
        </w:rPr>
        <w:t>oituksen välittäjät, jotka toteuttavat pääomasijoituksia vihreitä hankkeita toteuttavissa yrityksissä. Rahaston osuus saa olla enintään 49 prosenttia sijoitusrahastoista. Linjan pääomasijoitukset eivät saa johtaa siihen, että julkisessa omistuksessa olevan</w:t>
      </w:r>
      <w:r>
        <w:rPr>
          <w:noProof/>
        </w:rPr>
        <w:t xml:space="preserve"> oman pääoman osuus lopullisesta tuensaajasta ylittää 49:ää prosenttia kokonaispääomasta.</w:t>
      </w:r>
    </w:p>
    <w:p w14:paraId="10EE6958" w14:textId="7CE6A57A" w:rsidR="000E48CE" w:rsidRDefault="00FF4C4E">
      <w:pPr>
        <w:pStyle w:val="P68B1DB1-Normal4"/>
        <w:spacing w:line="240" w:lineRule="auto"/>
        <w:jc w:val="both"/>
        <w:rPr>
          <w:rFonts w:cs="Times New Roman"/>
          <w:noProof/>
        </w:rPr>
      </w:pPr>
      <w:r>
        <w:rPr>
          <w:noProof/>
        </w:rPr>
        <w:t>Investointikehykseen tehtävän investoinnin toteuttamiseksi Espanja ja ICO allekirjoittavat täytäntöönpanosopimuksen, joka sisältää seuraavat tiedot:</w:t>
      </w:r>
    </w:p>
    <w:p w14:paraId="1D74E591" w14:textId="604C7896" w:rsidR="000E48CE" w:rsidRDefault="00FF4C4E">
      <w:pPr>
        <w:pStyle w:val="P68B1DB1-LegalNumPar29"/>
        <w:numPr>
          <w:ilvl w:val="0"/>
          <w:numId w:val="740"/>
        </w:numPr>
        <w:jc w:val="both"/>
        <w:rPr>
          <w:rFonts w:eastAsia="Times New Roman" w:cs="Times New Roman"/>
          <w:noProof/>
        </w:rPr>
      </w:pPr>
      <w:r>
        <w:rPr>
          <w:noProof/>
        </w:rPr>
        <w:t>Kuvaus tukiväline</w:t>
      </w:r>
      <w:r>
        <w:rPr>
          <w:noProof/>
        </w:rPr>
        <w:t>en päätöksentekoprosessista: Investointikehyksen lopullisen investointipäätöksen tekee investointikomitea tai muu vastaava hallintoelin, ja se hyväksytään äänten enemmistöllä Espanjan hallituksesta riippumattomilta jäseniltä. Välitettyjen sijoitusten osalt</w:t>
      </w:r>
      <w:r>
        <w:rPr>
          <w:noProof/>
        </w:rPr>
        <w:t xml:space="preserve">a lopullisen sijoituspäätöksen tekevät välittäjät. </w:t>
      </w:r>
    </w:p>
    <w:p w14:paraId="2897BDA6" w14:textId="77777777" w:rsidR="000E48CE" w:rsidRDefault="00FF4C4E">
      <w:pPr>
        <w:pStyle w:val="P68B1DB1-LegalNumPar29"/>
        <w:numPr>
          <w:ilvl w:val="0"/>
          <w:numId w:val="740"/>
        </w:numPr>
        <w:jc w:val="both"/>
        <w:rPr>
          <w:rFonts w:cs="Times New Roman"/>
          <w:noProof/>
        </w:rPr>
      </w:pPr>
      <w:r>
        <w:rPr>
          <w:noProof/>
        </w:rPr>
        <w:t>Asiaan liittyvän sijoituspolitiikan keskeiset vaatimukset,</w:t>
      </w:r>
      <w:r>
        <w:rPr>
          <w:b/>
          <w:noProof/>
        </w:rPr>
        <w:t xml:space="preserve"> </w:t>
      </w:r>
      <w:r>
        <w:rPr>
          <w:noProof/>
        </w:rPr>
        <w:t>joita ovat muun muassa seuraavat:</w:t>
      </w:r>
    </w:p>
    <w:p w14:paraId="60535834" w14:textId="77777777" w:rsidR="000E48CE" w:rsidRDefault="00FF4C4E">
      <w:pPr>
        <w:pStyle w:val="P68B1DB1-LegalNumPar230"/>
        <w:numPr>
          <w:ilvl w:val="1"/>
          <w:numId w:val="741"/>
        </w:numPr>
        <w:jc w:val="both"/>
        <w:rPr>
          <w:rFonts w:cs="Times New Roman"/>
          <w:noProof/>
        </w:rPr>
      </w:pPr>
      <w:r>
        <w:rPr>
          <w:noProof/>
        </w:rPr>
        <w:t>Rahoitustuotteen (-tuotteiden) ja tukikelpoisten lopullisten tuensaajien kuvaus toimenpiteen kuvauksen mukaises</w:t>
      </w:r>
      <w:r>
        <w:rPr>
          <w:noProof/>
        </w:rPr>
        <w:t xml:space="preserve">ti.   </w:t>
      </w:r>
    </w:p>
    <w:p w14:paraId="786BA6FE" w14:textId="77777777" w:rsidR="000E48CE" w:rsidRDefault="00FF4C4E">
      <w:pPr>
        <w:pStyle w:val="P68B1DB1-LegalNumPar230"/>
        <w:numPr>
          <w:ilvl w:val="1"/>
          <w:numId w:val="741"/>
        </w:numPr>
        <w:jc w:val="both"/>
        <w:rPr>
          <w:rFonts w:cs="Times New Roman"/>
          <w:noProof/>
        </w:rPr>
      </w:pPr>
      <w:r>
        <w:rPr>
          <w:noProof/>
        </w:rPr>
        <w:t>Kaikkien tuettujen investointien on oltava taloudellisesti kannattavia</w:t>
      </w:r>
      <w:r>
        <w:rPr>
          <w:b/>
          <w:noProof/>
        </w:rPr>
        <w:t>.</w:t>
      </w:r>
    </w:p>
    <w:p w14:paraId="54F251E3" w14:textId="77777777" w:rsidR="000E48CE" w:rsidRDefault="00FF4C4E">
      <w:pPr>
        <w:pStyle w:val="P68B1DB1-LegalNumPar230"/>
        <w:numPr>
          <w:ilvl w:val="1"/>
          <w:numId w:val="741"/>
        </w:numPr>
        <w:jc w:val="both"/>
        <w:rPr>
          <w:rFonts w:cs="Times New Roman"/>
          <w:noProof/>
        </w:rPr>
      </w:pPr>
      <w:r>
        <w:rPr>
          <w:noProof/>
        </w:rPr>
        <w:t>Kielto jälleenrahoittaa jäljellä olevia lainoja.</w:t>
      </w:r>
    </w:p>
    <w:p w14:paraId="09A6066A" w14:textId="722FCB9B" w:rsidR="000E48CE" w:rsidRDefault="00FF4C4E">
      <w:pPr>
        <w:pStyle w:val="P68B1DB1-LegalNumPar230"/>
        <w:numPr>
          <w:ilvl w:val="1"/>
          <w:numId w:val="741"/>
        </w:numPr>
        <w:jc w:val="both"/>
        <w:rPr>
          <w:rFonts w:cs="Times New Roman"/>
          <w:noProof/>
        </w:rPr>
      </w:pPr>
      <w:r>
        <w:rPr>
          <w:noProof/>
        </w:rPr>
        <w:t xml:space="preserve">Vaatimus noudattaa ”ei merkittävää haittaa” -periaatetta sellaisena kuin se on vahvistettu ”ei merkittävää haittaa” -periaatetta koskevissa teknisissä ohjeissa (2021/C58/01), erityisesti: </w:t>
      </w:r>
    </w:p>
    <w:p w14:paraId="4150B5D3" w14:textId="52680E44" w:rsidR="000E48CE" w:rsidRDefault="00FF4C4E">
      <w:pPr>
        <w:pStyle w:val="ListParagraph"/>
        <w:numPr>
          <w:ilvl w:val="0"/>
          <w:numId w:val="742"/>
        </w:numPr>
        <w:spacing w:line="240" w:lineRule="auto"/>
        <w:jc w:val="both"/>
        <w:rPr>
          <w:rFonts w:ascii="Times New Roman" w:hAnsi="Times New Roman" w:cs="Times New Roman"/>
          <w:noProof/>
          <w:sz w:val="24"/>
        </w:rPr>
      </w:pPr>
      <w:r>
        <w:rPr>
          <w:rFonts w:ascii="Times New Roman" w:hAnsi="Times New Roman"/>
          <w:noProof/>
          <w:sz w:val="24"/>
        </w:rPr>
        <w:t>Lainojen, hankejoukkolainojen tai vastaavien välineiden osalta: inv</w:t>
      </w:r>
      <w:r>
        <w:rPr>
          <w:rFonts w:ascii="Times New Roman" w:hAnsi="Times New Roman"/>
          <w:noProof/>
          <w:sz w:val="24"/>
        </w:rPr>
        <w:t>estointipolitiikassa on jätettävä tukikelpoisuuden ulkopuolelle seuraava luettelo toiminnoista ja omaisuuseristä: (I) fossiilisiin polttoaineisiin liittyvät toiminnot ja omaisuuserät, mukaan lukien jatkokäyttö</w:t>
      </w:r>
      <w:r>
        <w:rPr>
          <w:rStyle w:val="FootnoteReference"/>
          <w:rFonts w:ascii="Times New Roman" w:hAnsi="Times New Roman" w:cs="Times New Roman"/>
          <w:noProof/>
          <w:sz w:val="24"/>
        </w:rPr>
        <w:footnoteReference w:id="98"/>
      </w:r>
      <w:r>
        <w:rPr>
          <w:rFonts w:ascii="Times New Roman" w:hAnsi="Times New Roman"/>
          <w:noProof/>
          <w:sz w:val="24"/>
        </w:rPr>
        <w:t xml:space="preserve">, ii) EU:n päästökauppajärjestelmään kuuluvat </w:t>
      </w:r>
      <w:r>
        <w:rPr>
          <w:rFonts w:ascii="Times New Roman" w:hAnsi="Times New Roman"/>
          <w:noProof/>
          <w:sz w:val="24"/>
        </w:rPr>
        <w:t>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99"/>
      </w:r>
      <w:r>
        <w:rPr>
          <w:rFonts w:ascii="Times New Roman" w:hAnsi="Times New Roman"/>
          <w:noProof/>
          <w:sz w:val="24"/>
        </w:rPr>
        <w:t>, iii) kaatopaikkoihin, polttolaitoksiin ja mekaanisiin biologisiin käsittelylaitoksiin liittyvät toiminnot</w:t>
      </w:r>
      <w:r>
        <w:rPr>
          <w:rStyle w:val="FootnoteReference"/>
          <w:rFonts w:ascii="Times New Roman" w:hAnsi="Times New Roman" w:cs="Times New Roman"/>
          <w:noProof/>
          <w:sz w:val="24"/>
        </w:rPr>
        <w:footnoteReference w:id="100"/>
      </w:r>
      <w:r>
        <w:rPr>
          <w:rFonts w:ascii="Times New Roman" w:hAnsi="Times New Roman"/>
          <w:noProof/>
          <w:sz w:val="24"/>
        </w:rPr>
        <w:t xml:space="preserve"> ja omaisuus</w:t>
      </w:r>
      <w:r>
        <w:rPr>
          <w:rStyle w:val="FootnoteReference"/>
          <w:rFonts w:ascii="Times New Roman" w:hAnsi="Times New Roman" w:cs="Times New Roman"/>
          <w:noProof/>
          <w:sz w:val="24"/>
        </w:rPr>
        <w:footnoteReference w:id="101"/>
      </w:r>
      <w:r>
        <w:rPr>
          <w:rFonts w:ascii="Times New Roman" w:hAnsi="Times New Roman"/>
          <w:noProof/>
          <w:sz w:val="24"/>
        </w:rPr>
        <w:t>.</w:t>
      </w:r>
    </w:p>
    <w:p w14:paraId="33782BF6" w14:textId="280FA2AB" w:rsidR="000E48CE" w:rsidRDefault="00FF4C4E">
      <w:pPr>
        <w:pStyle w:val="ListParagraph"/>
        <w:numPr>
          <w:ilvl w:val="0"/>
          <w:numId w:val="742"/>
        </w:numPr>
        <w:jc w:val="both"/>
        <w:rPr>
          <w:rFonts w:ascii="Times New Roman" w:hAnsi="Times New Roman" w:cs="Times New Roman"/>
          <w:noProof/>
          <w:sz w:val="24"/>
        </w:rPr>
      </w:pPr>
      <w:r>
        <w:rPr>
          <w:rFonts w:ascii="Times New Roman" w:hAnsi="Times New Roman"/>
          <w:noProof/>
          <w:sz w:val="24"/>
        </w:rPr>
        <w:t>Oman</w:t>
      </w:r>
      <w:r>
        <w:rPr>
          <w:rFonts w:ascii="Times New Roman" w:hAnsi="Times New Roman"/>
          <w:noProof/>
          <w:sz w:val="24"/>
        </w:rPr>
        <w:t xml:space="preserve"> pääoman ehtoisten, oman pääoman luonteisten instrumenttien, yritysjoukkolainojen tai vastaavien instrumenttien osalta: sijoituspolitiikassa on edellytettävä, että yritykset hyväksyvät vihreää siirtymää koskevat suunnitelmat direktiivin 2013/34/EU 19 a art</w:t>
      </w:r>
      <w:r>
        <w:rPr>
          <w:rFonts w:ascii="Times New Roman" w:hAnsi="Times New Roman"/>
          <w:noProof/>
          <w:sz w:val="24"/>
        </w:rPr>
        <w:t>iklan 2 kohdan a alakohdan iii alakohdan määritelmän mukaisesti,</w:t>
      </w:r>
      <w:r>
        <w:rPr>
          <w:rStyle w:val="FootnoteReference"/>
          <w:rFonts w:ascii="Times New Roman" w:hAnsi="Times New Roman" w:cs="Times New Roman"/>
          <w:noProof/>
          <w:sz w:val="24"/>
        </w:rPr>
        <w:footnoteReference w:id="102"/>
      </w:r>
      <w:r>
        <w:rPr>
          <w:rFonts w:ascii="Times New Roman" w:hAnsi="Times New Roman"/>
          <w:noProof/>
          <w:sz w:val="24"/>
        </w:rPr>
        <w:t xml:space="preserve"> jos yli 50 prosenttia niiden edellisen tilikauden suorista tuloista on peräisin seuraavasta toimintojen ja varojen luettelosta: (I) fossiilisiin polttoaineisiin liittyvät toiminnot ja omaisu</w:t>
      </w:r>
      <w:r>
        <w:rPr>
          <w:rFonts w:ascii="Times New Roman" w:hAnsi="Times New Roman"/>
          <w:noProof/>
          <w:sz w:val="24"/>
        </w:rPr>
        <w:t>userät, mukaan lukien jatkokäyttö</w:t>
      </w:r>
      <w:r>
        <w:rPr>
          <w:rStyle w:val="FootnoteReference"/>
          <w:rFonts w:ascii="Times New Roman" w:hAnsi="Times New Roman" w:cs="Times New Roman"/>
          <w:noProof/>
          <w:sz w:val="24"/>
        </w:rPr>
        <w:footnoteReference w:id="103"/>
      </w:r>
      <w:r>
        <w:rPr>
          <w:rFonts w:ascii="Times New Roman" w:hAnsi="Times New Roman"/>
          <w:noProof/>
          <w:sz w:val="24"/>
        </w:rPr>
        <w:t>, 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04"/>
      </w:r>
      <w:r>
        <w:rPr>
          <w:rFonts w:ascii="Times New Roman" w:hAnsi="Times New Roman"/>
          <w:noProof/>
          <w:sz w:val="24"/>
        </w:rPr>
        <w:t>, iii) kaatopaikkoihin, polttolaitoksiin ja mek</w:t>
      </w:r>
      <w:r>
        <w:rPr>
          <w:rFonts w:ascii="Times New Roman" w:hAnsi="Times New Roman"/>
          <w:noProof/>
          <w:sz w:val="24"/>
        </w:rPr>
        <w:t>aanisiin biologisiin käsittelylaitoksiin liittyvät toiminnot</w:t>
      </w:r>
      <w:r>
        <w:rPr>
          <w:rStyle w:val="FootnoteReference"/>
          <w:rFonts w:ascii="Times New Roman" w:hAnsi="Times New Roman" w:cs="Times New Roman"/>
          <w:noProof/>
          <w:sz w:val="24"/>
        </w:rPr>
        <w:footnoteReference w:id="105"/>
      </w:r>
      <w:r>
        <w:rPr>
          <w:rFonts w:ascii="Times New Roman" w:hAnsi="Times New Roman"/>
          <w:noProof/>
          <w:sz w:val="24"/>
        </w:rPr>
        <w:t xml:space="preserve"> ja omaisuus</w:t>
      </w:r>
      <w:r>
        <w:rPr>
          <w:rStyle w:val="FootnoteReference"/>
          <w:rFonts w:ascii="Times New Roman" w:hAnsi="Times New Roman" w:cs="Times New Roman"/>
          <w:noProof/>
          <w:sz w:val="24"/>
        </w:rPr>
        <w:footnoteReference w:id="106"/>
      </w:r>
      <w:r>
        <w:rPr>
          <w:rFonts w:ascii="Times New Roman" w:hAnsi="Times New Roman"/>
          <w:noProof/>
          <w:sz w:val="24"/>
        </w:rPr>
        <w:t xml:space="preserve">.  </w:t>
      </w:r>
    </w:p>
    <w:p w14:paraId="243B4054" w14:textId="77777777" w:rsidR="000E48CE" w:rsidRDefault="00FF4C4E">
      <w:pPr>
        <w:pStyle w:val="P68B1DB1-ListParagraph7"/>
        <w:numPr>
          <w:ilvl w:val="0"/>
          <w:numId w:val="742"/>
        </w:numPr>
        <w:jc w:val="both"/>
        <w:rPr>
          <w:rFonts w:cs="Times New Roman"/>
          <w:noProof/>
        </w:rPr>
      </w:pPr>
      <w:r>
        <w:rPr>
          <w:noProof/>
        </w:rPr>
        <w:t>Lisäksi investointipolitiikassa on edellytettävä tukivälineen lopullisten edunsaajien asiaankuuluvan EU:n ja kansallisen ympäristölainsäädännön noudattamista.</w:t>
      </w:r>
    </w:p>
    <w:p w14:paraId="101FA6B1" w14:textId="77777777" w:rsidR="000E48CE" w:rsidRDefault="00FF4C4E">
      <w:pPr>
        <w:pStyle w:val="P68B1DB1-ListParagraph7"/>
        <w:numPr>
          <w:ilvl w:val="1"/>
          <w:numId w:val="741"/>
        </w:numPr>
        <w:spacing w:line="240" w:lineRule="auto"/>
        <w:jc w:val="both"/>
        <w:rPr>
          <w:rFonts w:cs="Times New Roman"/>
          <w:noProof/>
        </w:rPr>
      </w:pPr>
      <w:r>
        <w:rPr>
          <w:noProof/>
        </w:rPr>
        <w:t>Vaatimus, jonka muk</w:t>
      </w:r>
      <w:r>
        <w:rPr>
          <w:noProof/>
        </w:rPr>
        <w:t>aan lainajärjestelyn lopulliset edunsaajat eivät saa tukea muista unionin välineistä samojen kustannusten kattamiseksi.</w:t>
      </w:r>
    </w:p>
    <w:p w14:paraId="294A956A" w14:textId="5298560B" w:rsidR="000E48CE" w:rsidRDefault="00FF4C4E">
      <w:pPr>
        <w:pStyle w:val="P68B1DB1-LegalNumPar29"/>
        <w:numPr>
          <w:ilvl w:val="0"/>
          <w:numId w:val="740"/>
        </w:numPr>
        <w:jc w:val="both"/>
        <w:rPr>
          <w:rFonts w:cs="Times New Roman"/>
          <w:noProof/>
        </w:rPr>
      </w:pPr>
      <w:r>
        <w:rPr>
          <w:noProof/>
        </w:rPr>
        <w:t>Täytäntöönpanosopimuksen kattama määrä, toteutuskumppanin maksurakenne ja vaatimus sijoittaa takaisin saadut varat tukivälineen investoi</w:t>
      </w:r>
      <w:r>
        <w:rPr>
          <w:noProof/>
        </w:rPr>
        <w:t>ntipolitiikan mukaisesti, paitsi jos niitä käytetään elpymis- ja palautumistukivälineen lainojen takaisinmaksujen hoitamiseen.</w:t>
      </w:r>
    </w:p>
    <w:p w14:paraId="2D52D76E" w14:textId="77777777" w:rsidR="000E48CE" w:rsidRDefault="00FF4C4E">
      <w:pPr>
        <w:pStyle w:val="P68B1DB1-ListParagraph7"/>
        <w:numPr>
          <w:ilvl w:val="0"/>
          <w:numId w:val="740"/>
        </w:numPr>
        <w:spacing w:line="240" w:lineRule="auto"/>
        <w:jc w:val="both"/>
        <w:rPr>
          <w:rFonts w:cs="Times New Roman"/>
          <w:noProof/>
        </w:rPr>
      </w:pPr>
      <w:r>
        <w:rPr>
          <w:noProof/>
        </w:rPr>
        <w:t>Seuranta-, auditointi- ja valvontavaatimukset, mukaan lukien</w:t>
      </w:r>
    </w:p>
    <w:p w14:paraId="5E1F5B38" w14:textId="7191556F" w:rsidR="000E48CE" w:rsidRDefault="00FF4C4E">
      <w:pPr>
        <w:pStyle w:val="P68B1DB1-ListParagraph7"/>
        <w:numPr>
          <w:ilvl w:val="1"/>
          <w:numId w:val="743"/>
        </w:numPr>
        <w:spacing w:line="240" w:lineRule="auto"/>
        <w:jc w:val="both"/>
        <w:rPr>
          <w:rFonts w:cs="Times New Roman"/>
          <w:noProof/>
        </w:rPr>
      </w:pPr>
      <w:r>
        <w:rPr>
          <w:noProof/>
        </w:rPr>
        <w:t xml:space="preserve">Kuvaus toteutuskumppanin seurantajärjestelmästä, jolla raportoidaan </w:t>
      </w:r>
      <w:r>
        <w:rPr>
          <w:noProof/>
        </w:rPr>
        <w:t>liikkeelle saaduista investoinneista.</w:t>
      </w:r>
    </w:p>
    <w:p w14:paraId="73FB5F63" w14:textId="6828617C" w:rsidR="000E48CE" w:rsidRDefault="00FF4C4E">
      <w:pPr>
        <w:pStyle w:val="P68B1DB1-ListParagraph7"/>
        <w:numPr>
          <w:ilvl w:val="1"/>
          <w:numId w:val="743"/>
        </w:numPr>
        <w:spacing w:line="240" w:lineRule="auto"/>
        <w:jc w:val="both"/>
        <w:rPr>
          <w:rFonts w:cs="Times New Roman"/>
          <w:noProof/>
        </w:rPr>
      </w:pPr>
      <w:r>
        <w:rPr>
          <w:noProof/>
        </w:rPr>
        <w:t>Kuvaus toteutuskumppanin menettelyistä, joilla varmistetaan petosten, lahjonnan ja eturistiriitojen ehkäiseminen, havaitseminen ja korjaaminen.</w:t>
      </w:r>
    </w:p>
    <w:p w14:paraId="0D875653" w14:textId="7390CB07" w:rsidR="000E48CE" w:rsidRDefault="00FF4C4E">
      <w:pPr>
        <w:pStyle w:val="P68B1DB1-ListParagraph7"/>
        <w:numPr>
          <w:ilvl w:val="1"/>
          <w:numId w:val="743"/>
        </w:numPr>
        <w:spacing w:line="240" w:lineRule="auto"/>
        <w:jc w:val="both"/>
        <w:rPr>
          <w:rFonts w:cs="Times New Roman"/>
          <w:noProof/>
        </w:rPr>
      </w:pPr>
      <w:r>
        <w:rPr>
          <w:noProof/>
        </w:rPr>
        <w:t>Velvoite tarkistaa kunkin toimen tukikelpoisuus täytäntöönpanosopimuksessa</w:t>
      </w:r>
      <w:r>
        <w:rPr>
          <w:noProof/>
        </w:rPr>
        <w:t xml:space="preserve"> vahvistettujen vaatimusten mukaisesti, myös käyttämällä positiivisten ilmoitusten luetteloa ja/tai omaa ilmoitusta toimista, joiden arvo on alle 10000000 euroa, ennen kuin sitoudutaan rahoittamaan toimea.</w:t>
      </w:r>
    </w:p>
    <w:p w14:paraId="1C075D49" w14:textId="0E3B02E8" w:rsidR="000E48CE" w:rsidRDefault="00FF4C4E">
      <w:pPr>
        <w:pStyle w:val="P68B1DB1-ListParagraph7"/>
        <w:numPr>
          <w:ilvl w:val="1"/>
          <w:numId w:val="743"/>
        </w:numPr>
        <w:spacing w:line="240" w:lineRule="auto"/>
        <w:jc w:val="both"/>
        <w:rPr>
          <w:rFonts w:cs="Times New Roman"/>
          <w:noProof/>
        </w:rPr>
      </w:pPr>
      <w:r>
        <w:rPr>
          <w:noProof/>
        </w:rPr>
        <w:t>Velvollisuus suorittaa riskiperusteisia jälkitarka</w:t>
      </w:r>
      <w:r>
        <w:rPr>
          <w:noProof/>
        </w:rPr>
        <w:t>stuksia ICO:n tarkastussuunnitelman mukaisesti. Näillä tarkastuksilla on varmistettava i) valvontajärjestelmien tehokkuus, mukaan lukien petosten, lahjonnan ja eturistiriitojen havaitseminen; ”ei merkittävää haittaa” -periaatteen, valtiontukisääntöjen ja i</w:t>
      </w:r>
      <w:r>
        <w:rPr>
          <w:noProof/>
        </w:rPr>
        <w:t>lmastotavoitteita koskevien vaatimusten noudattaminen; ja iii) että noudatetaan vaatimusta, jonka mukaan välittäjän on todennettava, että lopullinen tuensaaja esittää vastuullisen ilmoituksen sen valvomiseksi, katetaanko samat kustannukset toisesta unionin</w:t>
      </w:r>
      <w:r>
        <w:rPr>
          <w:noProof/>
        </w:rPr>
        <w:t xml:space="preserve"> välineestä. Tarkastuksissa on myös varmistettava toimien laillisuus ja se, että sovellettavan täytäntöönpanosopimuksen ja rahoitussopimusten ehtoja noudatetaan, muun muassa käyttämällä positiivisten ilmoitusten luetteloa ja/tai omia ilmoituksia toimista, </w:t>
      </w:r>
      <w:r>
        <w:rPr>
          <w:noProof/>
        </w:rPr>
        <w:t>joiden arvo on alle 10000000 euroa, ennen kuin sitoudutaan rahoittamaan toimea.</w:t>
      </w:r>
    </w:p>
    <w:p w14:paraId="619276A9" w14:textId="3B972D0B" w:rsidR="000E48CE" w:rsidRDefault="00FF4C4E">
      <w:pPr>
        <w:pStyle w:val="ListParagraph"/>
        <w:numPr>
          <w:ilvl w:val="0"/>
          <w:numId w:val="740"/>
        </w:numPr>
        <w:spacing w:line="240" w:lineRule="auto"/>
        <w:jc w:val="both"/>
        <w:rPr>
          <w:rFonts w:ascii="Times New Roman" w:hAnsi="Times New Roman" w:cs="Times New Roman"/>
          <w:noProof/>
          <w:sz w:val="24"/>
        </w:rPr>
      </w:pPr>
      <w:r>
        <w:rPr>
          <w:rFonts w:ascii="Times New Roman" w:hAnsi="Times New Roman"/>
          <w:noProof/>
          <w:sz w:val="24"/>
        </w:rPr>
        <w:t>Toteutuskumppanin tekemiä ilmastoinvestointeja koskevat vaatimukset: vähintään 17800000000 euron elpymis- ja palautumistukivälineen investoinneista tukivälineeseen on edistettä</w:t>
      </w:r>
      <w:r>
        <w:rPr>
          <w:rFonts w:ascii="Times New Roman" w:hAnsi="Times New Roman"/>
          <w:noProof/>
          <w:sz w:val="24"/>
        </w:rPr>
        <w:t>vä ilmastotavoitteiden saavuttamista elpymis- ja palautumistukivälinettä koskevan asetuksen liitteen VI mukaisesti.</w:t>
      </w:r>
      <w:r>
        <w:rPr>
          <w:rStyle w:val="FootnoteReference"/>
          <w:rFonts w:ascii="Times New Roman" w:hAnsi="Times New Roman" w:cs="Times New Roman"/>
          <w:noProof/>
          <w:sz w:val="24"/>
        </w:rPr>
        <w:footnoteReference w:id="107"/>
      </w:r>
    </w:p>
    <w:p w14:paraId="4ADF13A0" w14:textId="452AEB42" w:rsidR="000E48CE" w:rsidRDefault="00FF4C4E">
      <w:pPr>
        <w:pStyle w:val="P68B1DB1-ListParagraph7"/>
        <w:numPr>
          <w:ilvl w:val="0"/>
          <w:numId w:val="740"/>
        </w:numPr>
        <w:rPr>
          <w:rFonts w:cs="Times New Roman"/>
          <w:noProof/>
        </w:rPr>
      </w:pPr>
      <w:r>
        <w:rPr>
          <w:noProof/>
        </w:rPr>
        <w:t>Rahoituksen välittäjien valintaa koskevat vaatimukset: ICO valitsee rahoituksen välittäjät avoimella, läpinäkyvällä ja syrjimättömällä tava</w:t>
      </w:r>
      <w:r>
        <w:rPr>
          <w:noProof/>
        </w:rPr>
        <w:t xml:space="preserve">lla. Rahoituksenvälittäjien eturistiriitojen puuttumista koskevat tarkastukset on suoritettava etukäteen kaikkien rahoitusalan toimijoiden osalta Minervan kaltaisen tietoteknisen järjestelmän kautta. </w:t>
      </w:r>
    </w:p>
    <w:p w14:paraId="6B00BFFB" w14:textId="77777777" w:rsidR="000E48CE" w:rsidRDefault="00FF4C4E">
      <w:pPr>
        <w:pStyle w:val="P68B1DB1-ListParagraph7"/>
        <w:numPr>
          <w:ilvl w:val="0"/>
          <w:numId w:val="740"/>
        </w:numPr>
        <w:spacing w:line="240" w:lineRule="auto"/>
        <w:jc w:val="both"/>
        <w:rPr>
          <w:rFonts w:cs="Times New Roman"/>
          <w:noProof/>
        </w:rPr>
      </w:pPr>
      <w:r>
        <w:rPr>
          <w:noProof/>
        </w:rPr>
        <w:t>Rahoitussopimusten allekirjoittaminen: ICO allekirjoitt</w:t>
      </w:r>
      <w:r>
        <w:rPr>
          <w:noProof/>
        </w:rPr>
        <w:t>aa rahoituksen välittäjien kanssa rahoitussopimukset täytäntöönpanosopimuksen liitteenä olevien keskeisten vaatimusten mukaisesti. Rahoitussopimuksen keskeisiin vaatimuksiin on sisällyttävä kaikki vaatimukset, joiden mukaisesti lainajärjestely toimii, muka</w:t>
      </w:r>
      <w:r>
        <w:rPr>
          <w:noProof/>
        </w:rPr>
        <w:t xml:space="preserve">an lukien seuraavat: </w:t>
      </w:r>
    </w:p>
    <w:p w14:paraId="16D1FEBE" w14:textId="77777777" w:rsidR="000E48CE" w:rsidRDefault="00FF4C4E">
      <w:pPr>
        <w:pStyle w:val="P68B1DB1-Normal4"/>
        <w:numPr>
          <w:ilvl w:val="0"/>
          <w:numId w:val="744"/>
        </w:numPr>
        <w:spacing w:after="160" w:line="240" w:lineRule="auto"/>
        <w:jc w:val="both"/>
        <w:rPr>
          <w:rFonts w:cs="Times New Roman"/>
          <w:noProof/>
        </w:rPr>
      </w:pPr>
      <w:r>
        <w:rPr>
          <w:noProof/>
        </w:rPr>
        <w:t xml:space="preserve">Rahoituksen välittäjän velvollisuus tehdä päätöksensä noudattaen </w:t>
      </w:r>
      <w:r>
        <w:rPr>
          <w:i/>
          <w:noProof/>
        </w:rPr>
        <w:t>soveltuvin osin</w:t>
      </w:r>
      <w:r>
        <w:rPr>
          <w:noProof/>
        </w:rPr>
        <w:t xml:space="preserve"> edellä täsmennettyjä päätöksentekoa ja sijoituspolitiikkaa koskevia vaatimuksia, mukaan lukien ”ei merkittävää haittaa” -periaatteen noudattaminen.</w:t>
      </w:r>
    </w:p>
    <w:p w14:paraId="3CEEEB74" w14:textId="0F25D43E" w:rsidR="000E48CE" w:rsidRDefault="00FF4C4E">
      <w:pPr>
        <w:pStyle w:val="P68B1DB1-Normal4"/>
        <w:numPr>
          <w:ilvl w:val="0"/>
          <w:numId w:val="744"/>
        </w:numPr>
        <w:spacing w:after="160" w:line="240" w:lineRule="auto"/>
        <w:jc w:val="both"/>
        <w:rPr>
          <w:rFonts w:cs="Times New Roman"/>
          <w:noProof/>
        </w:rPr>
      </w:pPr>
      <w:r>
        <w:rPr>
          <w:noProof/>
        </w:rPr>
        <w:t>Kuvau</w:t>
      </w:r>
      <w:r>
        <w:rPr>
          <w:noProof/>
        </w:rPr>
        <w:t xml:space="preserve">s seuranta-, tarkastus- ja valvontakehyksestä, joka rahoituksen välittäjän on otettava käyttöön ja johon </w:t>
      </w:r>
      <w:r>
        <w:rPr>
          <w:i/>
          <w:noProof/>
        </w:rPr>
        <w:t>sovelletaan soveltuvin osin</w:t>
      </w:r>
      <w:r>
        <w:rPr>
          <w:noProof/>
        </w:rPr>
        <w:t xml:space="preserve"> kaikkia edellä määriteltyjä seuranta-, tarkastus- ja valvontavaatimuksia. </w:t>
      </w:r>
    </w:p>
    <w:p w14:paraId="28406941" w14:textId="77777777" w:rsidR="000E48CE" w:rsidRDefault="00FF4C4E">
      <w:pPr>
        <w:pStyle w:val="P68B1DB1-Normal4"/>
        <w:spacing w:line="240" w:lineRule="auto"/>
        <w:rPr>
          <w:rFonts w:eastAsia="Times New Roman" w:cs="Times New Roman"/>
          <w:noProof/>
        </w:rPr>
      </w:pPr>
      <w:r>
        <w:rPr>
          <w:noProof/>
        </w:rPr>
        <w:t xml:space="preserve">Toimenpiteen täytäntöönpano on saatettava </w:t>
      </w:r>
      <w:r>
        <w:rPr>
          <w:noProof/>
        </w:rPr>
        <w:t>päätökseen viimeistään 31 päivänä elokuuta 2026.</w:t>
      </w:r>
    </w:p>
    <w:p w14:paraId="4A12B21D" w14:textId="7C864473" w:rsidR="000E48CE" w:rsidRDefault="00FF4C4E">
      <w:pPr>
        <w:pStyle w:val="P68B1DB1-Normal18"/>
        <w:rPr>
          <w:rFonts w:cs="Times New Roman"/>
          <w:noProof/>
        </w:rPr>
      </w:pPr>
      <w:r>
        <w:rPr>
          <w:noProof/>
        </w:rPr>
        <w:t>ICO Enterprises and Entrepreneurs Line</w:t>
      </w:r>
    </w:p>
    <w:p w14:paraId="301F8344" w14:textId="78C41B9F" w:rsidR="000E48CE" w:rsidRDefault="00FF4C4E">
      <w:pPr>
        <w:pStyle w:val="P68B1DB1-LegalNumPar230"/>
        <w:numPr>
          <w:ilvl w:val="1"/>
          <w:numId w:val="0"/>
        </w:numPr>
        <w:spacing w:line="240" w:lineRule="auto"/>
        <w:jc w:val="both"/>
        <w:rPr>
          <w:rFonts w:cs="Times New Roman"/>
          <w:noProof/>
        </w:rPr>
      </w:pPr>
      <w:bookmarkStart w:id="31" w:name="_Hlk145873324"/>
      <w:r>
        <w:rPr>
          <w:noProof/>
        </w:rPr>
        <w:t>Toimenpiteen tämä osa koostuu julkisesta investoinnista investointivälineeseen, yrityksiin ja yrittäjiin, jotta voidaan kannustaa yksityisiin investointeihin ja paranta</w:t>
      </w:r>
      <w:r>
        <w:rPr>
          <w:noProof/>
        </w:rPr>
        <w:t>a rahoituksen saantia yrityksen taloudelliseen toimintaan liittyvillä aloilla ja kehittää pääomamarkkinoita näillä aloilla, julkisten ja yksityisten yliopistojen digitalisointiin liittyvät hankkeet osana PERTE New Economy of the Language -ohjelmaa (NEL) se</w:t>
      </w:r>
      <w:r>
        <w:rPr>
          <w:noProof/>
        </w:rPr>
        <w:t xml:space="preserve">kä </w:t>
      </w:r>
      <w:bookmarkEnd w:id="31"/>
      <w:r>
        <w:rPr>
          <w:noProof/>
        </w:rPr>
        <w:t>matkailualan yritysten hankkeet, jotka liittyvät kestävyyteen, digitalisaatioon, henkilöstöresurssien ja laitteiden täydennyskoulutusjärjestelmiin sekä sen kilpailukyvyn ja häiriönsietokyvyn vahvistamiseen. [Budjettikohtaa käytetään myös kattamaan käytt</w:t>
      </w:r>
      <w:r>
        <w:rPr>
          <w:noProof/>
        </w:rPr>
        <w:t>öpääomatarpeet, joiden avulla yritykset voivat saavuttaa edellä mainitut tavoitteet.] Investointikehys toimii tarjoamalla suoraa rahoitusta, yritysjoukkolainojen ostoja sekä oman pääoman ehtoisia ja oman pääoman luonteisia sijoituksia suoraan tai välittäji</w:t>
      </w:r>
      <w:r>
        <w:rPr>
          <w:noProof/>
        </w:rPr>
        <w:t>en kautta yksityiselle sektorille sekä vastaavaa toimintaa harjoittaville julkisyhteisöille ja julkisoikeudellisille laitoksille. Elpymis- ja palautumistukivälineen investointien perusteella tukivälineestä on alun perin tarkoitus myöntää rahoitusta vähintä</w:t>
      </w:r>
      <w:r>
        <w:rPr>
          <w:noProof/>
        </w:rPr>
        <w:t xml:space="preserve">än 8 150 00 000 euroa. </w:t>
      </w:r>
    </w:p>
    <w:p w14:paraId="43FB884B" w14:textId="3EE89197" w:rsidR="000E48CE" w:rsidRDefault="00FF4C4E">
      <w:pPr>
        <w:pStyle w:val="P68B1DB1-Normal4"/>
        <w:spacing w:line="240" w:lineRule="auto"/>
        <w:jc w:val="both"/>
        <w:rPr>
          <w:rFonts w:cs="Times New Roman"/>
          <w:noProof/>
        </w:rPr>
      </w:pPr>
      <w:r>
        <w:rPr>
          <w:noProof/>
        </w:rPr>
        <w:t>Investointikehystä hallinnoivat toteutuskumppaneina Instituto de Crédito Oficial (ICO) ja Axis (ICO:n pääomasijoitusyhtiö/yksityisen pääoman hallinnoija). Lainajärjestely sisältää seuraavat tuotelinjat:</w:t>
      </w:r>
    </w:p>
    <w:p w14:paraId="683E4DE2" w14:textId="77777777" w:rsidR="000E48CE" w:rsidRDefault="00FF4C4E">
      <w:pPr>
        <w:pStyle w:val="P68B1DB1-ListParagraph7"/>
        <w:numPr>
          <w:ilvl w:val="0"/>
          <w:numId w:val="352"/>
        </w:numPr>
        <w:jc w:val="both"/>
        <w:rPr>
          <w:rFonts w:eastAsia="Times New Roman" w:cs="Times New Roman"/>
          <w:noProof/>
        </w:rPr>
      </w:pPr>
      <w:r>
        <w:rPr>
          <w:noProof/>
        </w:rPr>
        <w:t>Sovittelulinja: sovittelulinja koostuu ICO:n liikepankeille myöntämistä lainoista, jotka puolestaan myöntävät lainoja lopullisille edunsaajille niiden taloudelliseen toimintaan liittyvien hankkeiden rahoittamiseksi; digitalisaatio ja tekoäly yliopistoissa;</w:t>
      </w:r>
      <w:r>
        <w:rPr>
          <w:noProof/>
        </w:rPr>
        <w:t xml:space="preserve"> ja kestävyys, digitalisaatio, uudelleen- ja täydennyskoulutusjärjestelmät henkilöresurssien ja laitteiden osalta sekä hankkeet, joilla vahvistetaan matkailualan kilpailukykyä ja häiriönsietokykyä. Lopullisten tuensaajien on oltava yksityisiä yrityksiä (ku</w:t>
      </w:r>
      <w:r>
        <w:rPr>
          <w:noProof/>
        </w:rPr>
        <w:t xml:space="preserve">ten itsenäisiä ammatinharjoittajia, pk-yrityksiä, pieniä midcap-yrityksiä, suuryrityksiä tai yrittäjiä) ja vastaavaa toimintaa harjoittavia julkisyhteisöjä. </w:t>
      </w:r>
    </w:p>
    <w:p w14:paraId="393EBC7B" w14:textId="77777777" w:rsidR="000E48CE" w:rsidRDefault="00FF4C4E">
      <w:pPr>
        <w:pStyle w:val="P68B1DB1-ListParagraph7"/>
        <w:numPr>
          <w:ilvl w:val="0"/>
          <w:numId w:val="352"/>
        </w:numPr>
        <w:jc w:val="both"/>
        <w:rPr>
          <w:rFonts w:eastAsia="Times New Roman" w:cs="Times New Roman"/>
          <w:noProof/>
        </w:rPr>
      </w:pPr>
      <w:r>
        <w:rPr>
          <w:noProof/>
        </w:rPr>
        <w:t>ICO:n suora rahoitus: tästä budjettikohdasta myönnetään suoria lainoja yksityisille yrityksille (k</w:t>
      </w:r>
      <w:r>
        <w:rPr>
          <w:noProof/>
        </w:rPr>
        <w:t>uten mid-cap-yrityksille ja suuryrityksille) ja julkisille yrityksille niiden taloudelliseen toimintaan liittyvien hankkeiden rahoittamiseksi. ICO myöntää lainat suoraan, ja kukin hanke, jota yhteisrahoittaa yksi tai useampi kolmas osapuoli. ICO:n myöntämä</w:t>
      </w:r>
      <w:r>
        <w:rPr>
          <w:noProof/>
        </w:rPr>
        <w:t xml:space="preserve">t varat ovat enintään 70 prosenttia investoinnin tuen kokonaismäärästä. Yksityisten sijoittajien on katettava vähintään 30 prosenttia investointituen kokonaismäärästä. </w:t>
      </w:r>
    </w:p>
    <w:p w14:paraId="36D18B4F" w14:textId="77777777" w:rsidR="000E48CE" w:rsidRDefault="00FF4C4E">
      <w:pPr>
        <w:pStyle w:val="P68B1DB1-ListParagraph7"/>
        <w:numPr>
          <w:ilvl w:val="0"/>
          <w:numId w:val="352"/>
        </w:numPr>
        <w:jc w:val="both"/>
        <w:rPr>
          <w:rFonts w:eastAsia="Times New Roman" w:cs="Times New Roman"/>
          <w:noProof/>
        </w:rPr>
      </w:pPr>
      <w:r>
        <w:rPr>
          <w:noProof/>
        </w:rPr>
        <w:t>Yritysjoukkolainojen ostot: tällä rivillä ICO ostaa espanjalaisten yritysten liikkeesee</w:t>
      </w:r>
      <w:r>
        <w:rPr>
          <w:noProof/>
        </w:rPr>
        <w:t>n laskemia etuoikeusasemaltaan parempia keskipitkän ja pitkän aikavälin kiinteätuottoisia arvopapereita järjestäytyneiltä jälkimarkkinoilta (kuten vaihtoehtoisten kiinteätuottoisten markkinoiden (MARF) tai rahoitusomaisuuden välittäjien yhdistyksen (AIAF))</w:t>
      </w:r>
      <w:r>
        <w:rPr>
          <w:noProof/>
        </w:rPr>
        <w:t xml:space="preserve"> kautta. Arvopaperit on liitettävä arvopaperin liikkeeseen laskevan yrityksen tiettyyn investointihankkeeseen. </w:t>
      </w:r>
    </w:p>
    <w:p w14:paraId="1FDA1A43" w14:textId="3E6AFF88" w:rsidR="000E48CE" w:rsidRDefault="00FF4C4E">
      <w:pPr>
        <w:pStyle w:val="P68B1DB1-ListParagraph7"/>
        <w:numPr>
          <w:ilvl w:val="0"/>
          <w:numId w:val="352"/>
        </w:numPr>
        <w:jc w:val="both"/>
        <w:rPr>
          <w:rFonts w:eastAsia="Times New Roman" w:cs="Times New Roman"/>
          <w:noProof/>
        </w:rPr>
      </w:pPr>
      <w:r>
        <w:rPr>
          <w:noProof/>
        </w:rPr>
        <w:t>Oman pääoman ehtoiset ja luonteiset sijoitukset: tämä budjettikohta koostuu suorista oman pääoman ehtoisista sijoituksista toimintalinjan (ICO:n</w:t>
      </w:r>
      <w:r>
        <w:rPr>
          <w:noProof/>
        </w:rPr>
        <w:t xml:space="preserve"> riskipääoma/yksityisen pääoman hoitaja) kautta ja/tai varojen siirtämisestä pääomarahastoihin tai muihin sijoitusvälineisiin, joita hallinnoivat yksityiset rahoituksen välittäjät, jotka toteuttavat pääomasijoituksia yrityksissä (uusyritykset, pk-yritykset</w:t>
      </w:r>
      <w:r>
        <w:rPr>
          <w:noProof/>
        </w:rPr>
        <w:t>, midcap-yritykset ja suuret yhteisöt). Rahaston osuus saa olla enintään 49 prosenttia sijoitusrahastoista. Linjan pääomasijoitukset eivät saa johtaa siihen, että julkisessa omistuksessa olevan oman pääoman osuus lopullisesta tuensaajasta ylittää 49:ää pro</w:t>
      </w:r>
      <w:r>
        <w:rPr>
          <w:noProof/>
        </w:rPr>
        <w:t>senttia kokonaispääomasta.</w:t>
      </w:r>
    </w:p>
    <w:p w14:paraId="55E4C3C3" w14:textId="21F94008" w:rsidR="000E48CE" w:rsidRDefault="00FF4C4E">
      <w:pPr>
        <w:pStyle w:val="P68B1DB1-Normal4"/>
        <w:spacing w:line="240" w:lineRule="auto"/>
        <w:jc w:val="both"/>
        <w:rPr>
          <w:rFonts w:cs="Times New Roman"/>
          <w:noProof/>
        </w:rPr>
      </w:pPr>
      <w:r>
        <w:rPr>
          <w:noProof/>
        </w:rPr>
        <w:t>Investointikehykseen tehtävän investoinnin toteuttamiseksi Espanja ja ICO allekirjoittavat täytäntöönpanosopimuksen, joka sisältää seuraavat tiedot:</w:t>
      </w:r>
    </w:p>
    <w:p w14:paraId="53A5EF28" w14:textId="725F3D04" w:rsidR="000E48CE" w:rsidRDefault="00FF4C4E">
      <w:pPr>
        <w:pStyle w:val="P68B1DB1-LegalNumPar29"/>
        <w:numPr>
          <w:ilvl w:val="0"/>
          <w:numId w:val="773"/>
        </w:numPr>
        <w:jc w:val="both"/>
        <w:rPr>
          <w:rFonts w:eastAsia="Times New Roman" w:cs="Times New Roman"/>
          <w:noProof/>
        </w:rPr>
      </w:pPr>
      <w:bookmarkStart w:id="32" w:name="_Hlk145601400"/>
      <w:r>
        <w:rPr>
          <w:noProof/>
        </w:rPr>
        <w:t>Kuvaus tukivälineen päätöksentekoprosessista: Investointikehyksen lopullisen inv</w:t>
      </w:r>
      <w:r>
        <w:rPr>
          <w:noProof/>
        </w:rPr>
        <w:t>estointipäätöksen tekee investointikomitea tai muu vastaava hallintoelin, ja se hyväksytään äänten enemmistöllä hallituksesta riippumattomilta jäseniltä. Välitettyjen sijoitusten osalta lopullisen sijoituspäätöksen tekevät välittäjät.</w:t>
      </w:r>
    </w:p>
    <w:bookmarkEnd w:id="32"/>
    <w:p w14:paraId="1FD4C11A" w14:textId="77777777" w:rsidR="000E48CE" w:rsidRDefault="00FF4C4E">
      <w:pPr>
        <w:pStyle w:val="P68B1DB1-LegalNumPar29"/>
        <w:numPr>
          <w:ilvl w:val="0"/>
          <w:numId w:val="773"/>
        </w:numPr>
        <w:jc w:val="both"/>
        <w:rPr>
          <w:rFonts w:cs="Times New Roman"/>
          <w:noProof/>
        </w:rPr>
      </w:pPr>
      <w:r>
        <w:rPr>
          <w:noProof/>
        </w:rPr>
        <w:t>Asiaan liittyvän sijo</w:t>
      </w:r>
      <w:r>
        <w:rPr>
          <w:noProof/>
        </w:rPr>
        <w:t>ituspolitiikan keskeiset vaatimukset,</w:t>
      </w:r>
      <w:r>
        <w:rPr>
          <w:b/>
          <w:noProof/>
        </w:rPr>
        <w:t xml:space="preserve"> </w:t>
      </w:r>
      <w:r>
        <w:rPr>
          <w:noProof/>
        </w:rPr>
        <w:t>joita ovat muun muassa seuraavat:</w:t>
      </w:r>
    </w:p>
    <w:p w14:paraId="4000C7AE" w14:textId="245DDE76" w:rsidR="000E48CE" w:rsidRDefault="00FF4C4E">
      <w:pPr>
        <w:pStyle w:val="P68B1DB1-LegalNumPar230"/>
        <w:numPr>
          <w:ilvl w:val="0"/>
          <w:numId w:val="774"/>
        </w:numPr>
        <w:jc w:val="both"/>
        <w:rPr>
          <w:rFonts w:cs="Times New Roman"/>
          <w:noProof/>
        </w:rPr>
      </w:pPr>
      <w:r>
        <w:rPr>
          <w:noProof/>
        </w:rPr>
        <w:t xml:space="preserve">Rahoitustuotteen (-tuotteiden) ja tukikelpoisten lopullisten tuensaajien kuvaus toimenpiteen kuvauksen mukaisesti.   </w:t>
      </w:r>
    </w:p>
    <w:p w14:paraId="651DD390" w14:textId="77777777" w:rsidR="000E48CE" w:rsidRDefault="00FF4C4E">
      <w:pPr>
        <w:pStyle w:val="P68B1DB1-LegalNumPar230"/>
        <w:numPr>
          <w:ilvl w:val="0"/>
          <w:numId w:val="774"/>
        </w:numPr>
        <w:jc w:val="both"/>
        <w:rPr>
          <w:rFonts w:cs="Times New Roman"/>
          <w:noProof/>
        </w:rPr>
      </w:pPr>
      <w:r>
        <w:rPr>
          <w:noProof/>
        </w:rPr>
        <w:t>Kaikkien tuettujen investointien on oltava taloudellisesti kannatt</w:t>
      </w:r>
      <w:r>
        <w:rPr>
          <w:noProof/>
        </w:rPr>
        <w:t>avia</w:t>
      </w:r>
      <w:r>
        <w:rPr>
          <w:b/>
          <w:noProof/>
        </w:rPr>
        <w:t>.</w:t>
      </w:r>
    </w:p>
    <w:p w14:paraId="0AF6A743" w14:textId="77777777" w:rsidR="000E48CE" w:rsidRDefault="00FF4C4E">
      <w:pPr>
        <w:pStyle w:val="P68B1DB1-LegalNumPar230"/>
        <w:numPr>
          <w:ilvl w:val="0"/>
          <w:numId w:val="774"/>
        </w:numPr>
        <w:jc w:val="both"/>
        <w:rPr>
          <w:rFonts w:cs="Times New Roman"/>
          <w:noProof/>
        </w:rPr>
      </w:pPr>
      <w:r>
        <w:rPr>
          <w:noProof/>
        </w:rPr>
        <w:t>Kielto jälleenrahoittaa jäljellä olevia lainoja.</w:t>
      </w:r>
    </w:p>
    <w:p w14:paraId="444A2BA1" w14:textId="3CF710F2" w:rsidR="000E48CE" w:rsidRDefault="00FF4C4E">
      <w:pPr>
        <w:pStyle w:val="P68B1DB1-LegalNumPar230"/>
        <w:numPr>
          <w:ilvl w:val="0"/>
          <w:numId w:val="774"/>
        </w:numPr>
        <w:jc w:val="both"/>
        <w:rPr>
          <w:rFonts w:cs="Times New Roman"/>
          <w:noProof/>
        </w:rPr>
      </w:pPr>
      <w:r>
        <w:rPr>
          <w:noProof/>
        </w:rPr>
        <w:t xml:space="preserve">Vaatimus noudattaa ”ei merkittävää haittaa” -periaatetta sellaisena kuin se on vahvistettu ”ei merkittävää haittaa” -periaatetta koskevissa teknisissä ohjeissa (2021/C58/01), erityisesti: </w:t>
      </w:r>
    </w:p>
    <w:p w14:paraId="6C78A40A" w14:textId="1A390A71" w:rsidR="000E48CE" w:rsidRDefault="00FF4C4E">
      <w:pPr>
        <w:pStyle w:val="ListParagraph"/>
        <w:numPr>
          <w:ilvl w:val="0"/>
          <w:numId w:val="775"/>
        </w:numPr>
        <w:spacing w:line="240" w:lineRule="auto"/>
        <w:jc w:val="both"/>
        <w:rPr>
          <w:rFonts w:ascii="Times New Roman" w:hAnsi="Times New Roman" w:cs="Times New Roman"/>
          <w:noProof/>
          <w:sz w:val="24"/>
        </w:rPr>
      </w:pPr>
      <w:r>
        <w:rPr>
          <w:rFonts w:ascii="Times New Roman" w:hAnsi="Times New Roman"/>
          <w:noProof/>
          <w:sz w:val="24"/>
        </w:rPr>
        <w:t>Lainojen, ha</w:t>
      </w:r>
      <w:r>
        <w:rPr>
          <w:rFonts w:ascii="Times New Roman" w:hAnsi="Times New Roman"/>
          <w:noProof/>
          <w:sz w:val="24"/>
        </w:rPr>
        <w:t>nkejoukkolainojen tai vastaavien välineiden osalta: investointipolitiikassa on jätettävä tukikelpoisuuden ulkopuolelle seuraava luettelo toiminnoista ja omaisuuseristä: (I) fossiilisiin polttoaineisiin liittyvät toiminnot ja omaisuuserät, mukaan lukien jat</w:t>
      </w:r>
      <w:r>
        <w:rPr>
          <w:rFonts w:ascii="Times New Roman" w:hAnsi="Times New Roman"/>
          <w:noProof/>
          <w:sz w:val="24"/>
        </w:rPr>
        <w:t>kokäyttö</w:t>
      </w:r>
      <w:r>
        <w:rPr>
          <w:rStyle w:val="FootnoteReference"/>
          <w:rFonts w:ascii="Times New Roman" w:hAnsi="Times New Roman" w:cs="Times New Roman"/>
          <w:noProof/>
          <w:sz w:val="24"/>
        </w:rPr>
        <w:footnoteReference w:id="108"/>
      </w:r>
      <w:r>
        <w:rPr>
          <w:rFonts w:ascii="Times New Roman" w:hAnsi="Times New Roman"/>
          <w:noProof/>
          <w:sz w:val="24"/>
        </w:rPr>
        <w:t>, 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09"/>
      </w:r>
      <w:r>
        <w:rPr>
          <w:rFonts w:ascii="Times New Roman" w:hAnsi="Times New Roman"/>
          <w:noProof/>
          <w:sz w:val="24"/>
        </w:rPr>
        <w:t>, iii) kaatopaikkoihin, polttolaitoksiin ja mekaanisiin biologisiin käsi</w:t>
      </w:r>
      <w:r>
        <w:rPr>
          <w:rFonts w:ascii="Times New Roman" w:hAnsi="Times New Roman"/>
          <w:noProof/>
          <w:sz w:val="24"/>
        </w:rPr>
        <w:t>ttelylaitoksiin liittyvät toiminnot</w:t>
      </w:r>
      <w:r>
        <w:rPr>
          <w:rStyle w:val="FootnoteReference"/>
          <w:rFonts w:ascii="Times New Roman" w:hAnsi="Times New Roman" w:cs="Times New Roman"/>
          <w:noProof/>
          <w:sz w:val="24"/>
        </w:rPr>
        <w:footnoteReference w:id="110"/>
      </w:r>
      <w:r>
        <w:rPr>
          <w:rFonts w:ascii="Times New Roman" w:hAnsi="Times New Roman"/>
          <w:noProof/>
          <w:sz w:val="24"/>
        </w:rPr>
        <w:t xml:space="preserve"> ja omaisuus</w:t>
      </w:r>
      <w:r>
        <w:rPr>
          <w:rStyle w:val="FootnoteReference"/>
          <w:rFonts w:ascii="Times New Roman" w:hAnsi="Times New Roman" w:cs="Times New Roman"/>
          <w:noProof/>
          <w:sz w:val="24"/>
        </w:rPr>
        <w:footnoteReference w:id="111"/>
      </w:r>
      <w:r>
        <w:rPr>
          <w:rFonts w:ascii="Times New Roman" w:hAnsi="Times New Roman"/>
          <w:noProof/>
          <w:sz w:val="24"/>
        </w:rPr>
        <w:t xml:space="preserve">. </w:t>
      </w:r>
    </w:p>
    <w:p w14:paraId="210FD2C8" w14:textId="049D1AE6" w:rsidR="000E48CE" w:rsidRDefault="00FF4C4E">
      <w:pPr>
        <w:pStyle w:val="ListParagraph"/>
        <w:numPr>
          <w:ilvl w:val="0"/>
          <w:numId w:val="775"/>
        </w:numPr>
        <w:jc w:val="both"/>
        <w:rPr>
          <w:rFonts w:ascii="Times New Roman" w:hAnsi="Times New Roman" w:cs="Times New Roman"/>
          <w:noProof/>
          <w:sz w:val="24"/>
        </w:rPr>
      </w:pPr>
      <w:r>
        <w:rPr>
          <w:rFonts w:ascii="Times New Roman" w:hAnsi="Times New Roman"/>
          <w:noProof/>
          <w:sz w:val="24"/>
        </w:rPr>
        <w:t>Oman pääoman ehtoisten, oman pääoman luonteisten instrumenttien, yritysjoukkolainojen tai vastaavien instrumenttien osalta: sijoituspolitiikassa on edellytettävä, että yritykset hyväksyvät vihreää siirtym</w:t>
      </w:r>
      <w:r>
        <w:rPr>
          <w:rFonts w:ascii="Times New Roman" w:hAnsi="Times New Roman"/>
          <w:noProof/>
          <w:sz w:val="24"/>
        </w:rPr>
        <w:t>ää koskevat suunnitelmat direktiivin 2013/34/EU 19 a artiklan 2 kohdan a alakohdan iii alakohdan määritelmän mukaisesti,</w:t>
      </w:r>
      <w:r>
        <w:rPr>
          <w:rStyle w:val="FootnoteReference"/>
          <w:rFonts w:ascii="Times New Roman" w:hAnsi="Times New Roman" w:cs="Times New Roman"/>
          <w:noProof/>
          <w:sz w:val="24"/>
        </w:rPr>
        <w:footnoteReference w:id="112"/>
      </w:r>
      <w:r>
        <w:rPr>
          <w:rFonts w:ascii="Times New Roman" w:hAnsi="Times New Roman"/>
          <w:noProof/>
          <w:sz w:val="24"/>
        </w:rPr>
        <w:t xml:space="preserve"> jos yli 50 prosenttia niiden edellisen tilikauden suorista tuloista on peräisin seuraavasta toimintojen ja varojen luettelosta: (I) fo</w:t>
      </w:r>
      <w:r>
        <w:rPr>
          <w:rFonts w:ascii="Times New Roman" w:hAnsi="Times New Roman"/>
          <w:noProof/>
          <w:sz w:val="24"/>
        </w:rPr>
        <w:t>ssiilisiin polttoaineisiin liittyvät toiminnot ja omaisuuserät, mukaan lukien jatkokäyttö</w:t>
      </w:r>
      <w:r>
        <w:rPr>
          <w:rStyle w:val="FootnoteReference"/>
          <w:rFonts w:ascii="Times New Roman" w:hAnsi="Times New Roman" w:cs="Times New Roman"/>
          <w:noProof/>
          <w:sz w:val="24"/>
        </w:rPr>
        <w:footnoteReference w:id="113"/>
      </w:r>
      <w:r>
        <w:rPr>
          <w:rFonts w:ascii="Times New Roman" w:hAnsi="Times New Roman"/>
          <w:noProof/>
          <w:sz w:val="24"/>
        </w:rPr>
        <w:t>, ii) EU:n päästökauppajärjestelmään kuuluvat toiminnot ja omaisuuserät, joilla saavutetaan ennustetut kasvihuonekaasupäästöt, jotka eivät alita asiaankuuluvia vertai</w:t>
      </w:r>
      <w:r>
        <w:rPr>
          <w:rFonts w:ascii="Times New Roman" w:hAnsi="Times New Roman"/>
          <w:noProof/>
          <w:sz w:val="24"/>
        </w:rPr>
        <w:t>luarvoja</w:t>
      </w:r>
      <w:r>
        <w:rPr>
          <w:rStyle w:val="FootnoteReference"/>
          <w:rFonts w:ascii="Times New Roman" w:hAnsi="Times New Roman" w:cs="Times New Roman"/>
          <w:noProof/>
          <w:sz w:val="24"/>
        </w:rPr>
        <w:footnoteReference w:id="114"/>
      </w:r>
      <w:r>
        <w:rPr>
          <w:rFonts w:ascii="Times New Roman" w:hAnsi="Times New Roman"/>
          <w:noProof/>
          <w:sz w:val="24"/>
        </w:rPr>
        <w:t>, iii) kaatopaikkoihin, polttolaitoksiin ja mekaanisiin biologisiin käsittelylaitoksiin liittyvät toiminnot</w:t>
      </w:r>
      <w:r>
        <w:rPr>
          <w:rStyle w:val="FootnoteReference"/>
          <w:rFonts w:ascii="Times New Roman" w:hAnsi="Times New Roman" w:cs="Times New Roman"/>
          <w:noProof/>
          <w:sz w:val="24"/>
        </w:rPr>
        <w:footnoteReference w:id="115"/>
      </w:r>
      <w:r>
        <w:rPr>
          <w:rFonts w:ascii="Times New Roman" w:hAnsi="Times New Roman"/>
          <w:noProof/>
          <w:sz w:val="24"/>
        </w:rPr>
        <w:t xml:space="preserve"> ja omaisuus</w:t>
      </w:r>
      <w:r>
        <w:rPr>
          <w:rStyle w:val="FootnoteReference"/>
          <w:rFonts w:ascii="Times New Roman" w:hAnsi="Times New Roman" w:cs="Times New Roman"/>
          <w:noProof/>
          <w:sz w:val="24"/>
        </w:rPr>
        <w:footnoteReference w:id="116"/>
      </w:r>
      <w:r>
        <w:rPr>
          <w:rFonts w:ascii="Times New Roman" w:hAnsi="Times New Roman"/>
          <w:noProof/>
          <w:sz w:val="24"/>
        </w:rPr>
        <w:t xml:space="preserve">.  </w:t>
      </w:r>
    </w:p>
    <w:p w14:paraId="173B651D" w14:textId="77777777" w:rsidR="000E48CE" w:rsidRDefault="00FF4C4E">
      <w:pPr>
        <w:pStyle w:val="P68B1DB1-ListParagraph7"/>
        <w:numPr>
          <w:ilvl w:val="0"/>
          <w:numId w:val="775"/>
        </w:numPr>
        <w:jc w:val="both"/>
        <w:rPr>
          <w:rFonts w:cs="Times New Roman"/>
          <w:noProof/>
        </w:rPr>
      </w:pPr>
      <w:r>
        <w:rPr>
          <w:noProof/>
        </w:rPr>
        <w:t>Lisäksi investointipolitiikassa on edellytettävä tukivälineen lopullisten edunsaajien asiaankuuluvan EU:n ja kansallisen y</w:t>
      </w:r>
      <w:r>
        <w:rPr>
          <w:noProof/>
        </w:rPr>
        <w:t>mpäristölainsäädännön noudattamista.</w:t>
      </w:r>
    </w:p>
    <w:p w14:paraId="2A73A449" w14:textId="009DF5DE" w:rsidR="000E48CE" w:rsidRDefault="00FF4C4E">
      <w:pPr>
        <w:pStyle w:val="P68B1DB1-ListParagraph7"/>
        <w:numPr>
          <w:ilvl w:val="0"/>
          <w:numId w:val="774"/>
        </w:numPr>
        <w:spacing w:line="240" w:lineRule="auto"/>
        <w:jc w:val="both"/>
        <w:rPr>
          <w:rFonts w:cs="Times New Roman"/>
          <w:noProof/>
        </w:rPr>
      </w:pPr>
      <w:r>
        <w:rPr>
          <w:noProof/>
        </w:rPr>
        <w:t>Vaatimus, jonka mukaan lainajärjestelyn lopulliset edunsaajat eivät saa tukea muista unionin välineistä samojen kustannusten kattamiseksi.</w:t>
      </w:r>
    </w:p>
    <w:p w14:paraId="73052689" w14:textId="7E01235C" w:rsidR="000E48CE" w:rsidRDefault="00FF4C4E">
      <w:pPr>
        <w:pStyle w:val="P68B1DB1-LegalNumPar29"/>
        <w:numPr>
          <w:ilvl w:val="0"/>
          <w:numId w:val="773"/>
        </w:numPr>
        <w:jc w:val="both"/>
        <w:rPr>
          <w:rFonts w:cs="Times New Roman"/>
          <w:noProof/>
        </w:rPr>
      </w:pPr>
      <w:r>
        <w:rPr>
          <w:noProof/>
        </w:rPr>
        <w:t xml:space="preserve">Täytäntöönpanosopimuksen kattama määrä, toteutuskumppanin maksurakenne ja </w:t>
      </w:r>
      <w:r>
        <w:rPr>
          <w:noProof/>
        </w:rPr>
        <w:t>vaatimus sijoittaa takaisin saadut varat tukivälineen investointipolitiikan mukaisesti, paitsi jos niitä käytetään elpymis- ja palautumistukivälineen lainojen takaisinmaksujen hoitamiseen.</w:t>
      </w:r>
    </w:p>
    <w:p w14:paraId="1C13B238" w14:textId="77777777" w:rsidR="000E48CE" w:rsidRDefault="00FF4C4E">
      <w:pPr>
        <w:pStyle w:val="P68B1DB1-ListParagraph7"/>
        <w:numPr>
          <w:ilvl w:val="0"/>
          <w:numId w:val="773"/>
        </w:numPr>
        <w:spacing w:line="240" w:lineRule="auto"/>
        <w:jc w:val="both"/>
        <w:rPr>
          <w:rFonts w:cs="Times New Roman"/>
          <w:noProof/>
        </w:rPr>
      </w:pPr>
      <w:r>
        <w:rPr>
          <w:noProof/>
        </w:rPr>
        <w:t>Seuranta-, auditointi- ja valvontavaatimukset, mukaan lukien</w:t>
      </w:r>
    </w:p>
    <w:p w14:paraId="3AA8D0CE" w14:textId="0CB66D85" w:rsidR="000E48CE" w:rsidRDefault="00FF4C4E">
      <w:pPr>
        <w:pStyle w:val="P68B1DB1-ListParagraph7"/>
        <w:numPr>
          <w:ilvl w:val="0"/>
          <w:numId w:val="776"/>
        </w:numPr>
        <w:spacing w:line="240" w:lineRule="auto"/>
        <w:jc w:val="both"/>
        <w:rPr>
          <w:rFonts w:cs="Times New Roman"/>
          <w:noProof/>
        </w:rPr>
      </w:pPr>
      <w:r>
        <w:rPr>
          <w:noProof/>
        </w:rPr>
        <w:t>Kuvaus</w:t>
      </w:r>
      <w:r>
        <w:rPr>
          <w:noProof/>
        </w:rPr>
        <w:t xml:space="preserve"> toteutuskumppanin seurantajärjestelmästä, jolla raportoidaan liikkeelle saaduista investoinneista.</w:t>
      </w:r>
    </w:p>
    <w:p w14:paraId="795F4D18" w14:textId="4D944CC6" w:rsidR="000E48CE" w:rsidRDefault="00FF4C4E">
      <w:pPr>
        <w:pStyle w:val="P68B1DB1-ListParagraph7"/>
        <w:numPr>
          <w:ilvl w:val="0"/>
          <w:numId w:val="776"/>
        </w:numPr>
        <w:spacing w:line="240" w:lineRule="auto"/>
        <w:jc w:val="both"/>
        <w:rPr>
          <w:rFonts w:cs="Times New Roman"/>
          <w:noProof/>
        </w:rPr>
      </w:pPr>
      <w:r>
        <w:rPr>
          <w:noProof/>
        </w:rPr>
        <w:t xml:space="preserve">Kuvaus toteutuskumppanin menettelyistä, joilla varmistetaan petosten, lahjonnan ja eturistiriitojen ehkäiseminen, havaitseminen ja korjaaminen. </w:t>
      </w:r>
    </w:p>
    <w:p w14:paraId="581D7EE3" w14:textId="4D523061" w:rsidR="000E48CE" w:rsidRDefault="00FF4C4E">
      <w:pPr>
        <w:pStyle w:val="P68B1DB1-ListParagraph7"/>
        <w:numPr>
          <w:ilvl w:val="0"/>
          <w:numId w:val="776"/>
        </w:numPr>
        <w:spacing w:line="240" w:lineRule="auto"/>
        <w:jc w:val="both"/>
        <w:rPr>
          <w:rFonts w:cs="Times New Roman"/>
          <w:noProof/>
        </w:rPr>
      </w:pPr>
      <w:bookmarkStart w:id="33" w:name="_Hlk145681811"/>
      <w:r>
        <w:rPr>
          <w:noProof/>
        </w:rPr>
        <w:t>Velvoite ta</w:t>
      </w:r>
      <w:r>
        <w:rPr>
          <w:noProof/>
        </w:rPr>
        <w:t>rkistaa kunkin toimen tukikelpoisuus täytäntöönpanosopimuksessa vahvistettujen vaatimusten mukaisesti, myös käyttämällä omaa ilmoitusta toimista, joiden arvo on alle 10000000 euroa, ennen kuin sitoudutaan rahoittamaan toimea.</w:t>
      </w:r>
    </w:p>
    <w:bookmarkEnd w:id="33"/>
    <w:p w14:paraId="7E99BD54" w14:textId="4CB77C30" w:rsidR="000E48CE" w:rsidRDefault="00FF4C4E">
      <w:pPr>
        <w:pStyle w:val="ListParagraph"/>
        <w:numPr>
          <w:ilvl w:val="0"/>
          <w:numId w:val="776"/>
        </w:numPr>
        <w:spacing w:line="240" w:lineRule="auto"/>
        <w:jc w:val="both"/>
        <w:rPr>
          <w:rFonts w:ascii="Times New Roman" w:hAnsi="Times New Roman" w:cs="Times New Roman"/>
          <w:noProof/>
          <w:sz w:val="24"/>
        </w:rPr>
      </w:pPr>
      <w:r>
        <w:rPr>
          <w:rFonts w:ascii="Times New Roman" w:hAnsi="Times New Roman"/>
          <w:noProof/>
          <w:sz w:val="24"/>
        </w:rPr>
        <w:t>Velvollisuus suorittaa riskipe</w:t>
      </w:r>
      <w:r>
        <w:rPr>
          <w:rFonts w:ascii="Times New Roman" w:hAnsi="Times New Roman"/>
          <w:noProof/>
          <w:sz w:val="24"/>
        </w:rPr>
        <w:t>rusteisia jälkitarkastuksia ICO:n tarkastussuunnitelman mukaisesti. Näillä tarkastuksilla on varmistettava i) valvontajärjestelmien tehokkuus, mukaan lukien petosten, lahjonnan ja eturistiriitojen havaitseminen; ”ei merkittävää haittaa” -periaatteen, valti</w:t>
      </w:r>
      <w:r>
        <w:rPr>
          <w:rFonts w:ascii="Times New Roman" w:hAnsi="Times New Roman"/>
          <w:noProof/>
          <w:sz w:val="24"/>
        </w:rPr>
        <w:t>ontukisääntöjen ja digitaalista tavoitetta koskevien vaatimusten noudattaminen; ja iii) että noudatetaan vaatimusta, jonka mukaan välittäjän on todennettava, että lopullinen tuensaaja esittää vastuullisen ilmoituksen sen valvomiseksi, katetaanko samat kust</w:t>
      </w:r>
      <w:r>
        <w:rPr>
          <w:rFonts w:ascii="Times New Roman" w:hAnsi="Times New Roman"/>
          <w:noProof/>
          <w:sz w:val="24"/>
        </w:rPr>
        <w:t>annukset toisesta unionin välineestä.  Tarkastuksissa on myös varmistettava toimien laillisuus ja se, että sovellettavan täytäntöönpanosopimuksen ja rahoitussopimusten ehtoja noudatetaan,</w:t>
      </w:r>
      <w:r>
        <w:rPr>
          <w:noProof/>
        </w:rPr>
        <w:t xml:space="preserve"> myös käyttämällä omia ilmoituksia toimista, joiden arvo on alle 1000</w:t>
      </w:r>
      <w:r>
        <w:rPr>
          <w:noProof/>
        </w:rPr>
        <w:t xml:space="preserve">0000 euroa, ennen kuin sitoudutaan rahoittamaan toimea. </w:t>
      </w:r>
    </w:p>
    <w:p w14:paraId="46EDF36E" w14:textId="7F08766F" w:rsidR="000E48CE" w:rsidRDefault="00FF4C4E">
      <w:pPr>
        <w:pStyle w:val="ListParagraph"/>
        <w:numPr>
          <w:ilvl w:val="0"/>
          <w:numId w:val="773"/>
        </w:numPr>
        <w:spacing w:line="240" w:lineRule="auto"/>
        <w:jc w:val="both"/>
        <w:rPr>
          <w:rFonts w:ascii="Times New Roman" w:hAnsi="Times New Roman" w:cs="Times New Roman"/>
          <w:noProof/>
          <w:sz w:val="24"/>
        </w:rPr>
      </w:pPr>
      <w:r>
        <w:rPr>
          <w:rFonts w:ascii="Times New Roman" w:hAnsi="Times New Roman"/>
          <w:noProof/>
          <w:sz w:val="24"/>
        </w:rPr>
        <w:t>Toteutuskumppanin tekemiä digitaalisia investointeja koskevat vaatimukset: vähintään 150000000 eurolla elpymis- ja palautumistukivälineen investoinneista tukivälineeseen edistetään digitaalisia tavoi</w:t>
      </w:r>
      <w:r>
        <w:rPr>
          <w:rFonts w:ascii="Times New Roman" w:hAnsi="Times New Roman"/>
          <w:noProof/>
          <w:sz w:val="24"/>
        </w:rPr>
        <w:t>tteita elpymis- ja palautumistukivälinettä koskevan asetuksen liitteen VII mukaisesti.</w:t>
      </w:r>
      <w:r>
        <w:rPr>
          <w:rStyle w:val="FootnoteReference"/>
          <w:rFonts w:ascii="Times New Roman" w:hAnsi="Times New Roman" w:cs="Times New Roman"/>
          <w:noProof/>
          <w:sz w:val="24"/>
        </w:rPr>
        <w:footnoteReference w:id="117"/>
      </w:r>
    </w:p>
    <w:p w14:paraId="73ED57F1" w14:textId="62856346" w:rsidR="000E48CE" w:rsidRDefault="00FF4C4E">
      <w:pPr>
        <w:pStyle w:val="P68B1DB1-ListParagraph7"/>
        <w:numPr>
          <w:ilvl w:val="0"/>
          <w:numId w:val="773"/>
        </w:numPr>
        <w:jc w:val="both"/>
        <w:rPr>
          <w:rFonts w:cs="Times New Roman"/>
          <w:noProof/>
        </w:rPr>
      </w:pPr>
      <w:r>
        <w:rPr>
          <w:noProof/>
        </w:rPr>
        <w:t>Rahoituksen välittäjien valintaa koskevat vaatimukset: ICO valitsee rahoituksen välittäjät avoimella, läpinäkyvällä ja syrjimättömällä tavalla. Rahoituksenvälittäjien e</w:t>
      </w:r>
      <w:r>
        <w:rPr>
          <w:noProof/>
        </w:rPr>
        <w:t xml:space="preserve">turistiriitojen puuttumista koskevat tarkastukset on suoritettava etukäteen kaikkien rahoitusalan toimijoiden osalta Minervan kaltaisen tietoteknisen järjestelmän kautta. </w:t>
      </w:r>
    </w:p>
    <w:p w14:paraId="28D7ED99" w14:textId="30EF4715" w:rsidR="000E48CE" w:rsidRDefault="00FF4C4E">
      <w:pPr>
        <w:pStyle w:val="P68B1DB1-ListParagraph7"/>
        <w:numPr>
          <w:ilvl w:val="0"/>
          <w:numId w:val="773"/>
        </w:numPr>
        <w:spacing w:line="240" w:lineRule="auto"/>
        <w:jc w:val="both"/>
        <w:rPr>
          <w:rFonts w:cs="Times New Roman"/>
          <w:noProof/>
        </w:rPr>
      </w:pPr>
      <w:r>
        <w:rPr>
          <w:noProof/>
        </w:rPr>
        <w:t>Rahoitussopimusten allekirjoittaminen: ICO allekirjoittaa rahoituksen välittäjien ka</w:t>
      </w:r>
      <w:r>
        <w:rPr>
          <w:noProof/>
        </w:rPr>
        <w:t xml:space="preserve">nssa rahoitussopimukset täytäntöönpanosopimuksen liitteenä olevien keskeisten vaatimusten mukaisesti. Rahoitussopimuksen keskeisiin vaatimuksiin on sisällyttävä kaikki vaatimukset, joiden mukaisesti lainajärjestely toimii, mukaan lukien seuraavat: </w:t>
      </w:r>
    </w:p>
    <w:p w14:paraId="7EC2D567" w14:textId="77777777" w:rsidR="000E48CE" w:rsidRDefault="00FF4C4E">
      <w:pPr>
        <w:pStyle w:val="P68B1DB1-Normal4"/>
        <w:numPr>
          <w:ilvl w:val="0"/>
          <w:numId w:val="744"/>
        </w:numPr>
        <w:spacing w:after="160" w:line="240" w:lineRule="auto"/>
        <w:jc w:val="both"/>
        <w:rPr>
          <w:rFonts w:cs="Times New Roman"/>
          <w:noProof/>
        </w:rPr>
      </w:pPr>
      <w:r>
        <w:rPr>
          <w:noProof/>
        </w:rPr>
        <w:t>Rahoitu</w:t>
      </w:r>
      <w:r>
        <w:rPr>
          <w:noProof/>
        </w:rPr>
        <w:t xml:space="preserve">ksen välittäjän velvollisuus tehdä päätöksensä noudattaen </w:t>
      </w:r>
      <w:r>
        <w:rPr>
          <w:i/>
          <w:noProof/>
        </w:rPr>
        <w:t>soveltuvin osin</w:t>
      </w:r>
      <w:r>
        <w:rPr>
          <w:noProof/>
        </w:rPr>
        <w:t xml:space="preserve"> edellä täsmennettyjä päätöksentekoa ja sijoituspolitiikkaa koskevia vaatimuksia, mukaan lukien ”ei merkittävää haittaa” -periaatteen noudattaminen.</w:t>
      </w:r>
    </w:p>
    <w:p w14:paraId="1381D3EC" w14:textId="77777777" w:rsidR="000E48CE" w:rsidRDefault="00FF4C4E">
      <w:pPr>
        <w:pStyle w:val="P68B1DB1-Normal4"/>
        <w:numPr>
          <w:ilvl w:val="0"/>
          <w:numId w:val="744"/>
        </w:numPr>
        <w:spacing w:after="160" w:line="240" w:lineRule="auto"/>
        <w:jc w:val="both"/>
        <w:rPr>
          <w:rFonts w:cs="Times New Roman"/>
          <w:noProof/>
        </w:rPr>
      </w:pPr>
      <w:r>
        <w:rPr>
          <w:noProof/>
        </w:rPr>
        <w:t>Kuvaus seuranta-, tarkastus- ja va</w:t>
      </w:r>
      <w:r>
        <w:rPr>
          <w:noProof/>
        </w:rPr>
        <w:t xml:space="preserve">lvontakehyksestä, joka rahoituksen välittäjän on otettava käyttöön ja johon </w:t>
      </w:r>
      <w:r>
        <w:rPr>
          <w:i/>
          <w:noProof/>
        </w:rPr>
        <w:t>sovelletaan soveltuvin osin</w:t>
      </w:r>
      <w:r>
        <w:rPr>
          <w:noProof/>
        </w:rPr>
        <w:t xml:space="preserve"> kaikkia edellä määriteltyjä seuranta-, tarkastus- ja valvontavaatimuksia. </w:t>
      </w:r>
    </w:p>
    <w:p w14:paraId="3EFDD5CC" w14:textId="77777777" w:rsidR="000E48CE" w:rsidRDefault="00FF4C4E">
      <w:pPr>
        <w:pStyle w:val="P68B1DB1-Normal4"/>
        <w:spacing w:before="120" w:after="120" w:line="240" w:lineRule="auto"/>
        <w:jc w:val="both"/>
        <w:rPr>
          <w:rFonts w:eastAsia="Times New Roman" w:cs="Times New Roman"/>
          <w:noProof/>
        </w:rPr>
      </w:pPr>
      <w:r>
        <w:rPr>
          <w:noProof/>
        </w:rPr>
        <w:t>Toimenpiteen täytäntöönpano on saatettava päätökseen viimeistään 31 päivänä e</w:t>
      </w:r>
      <w:r>
        <w:rPr>
          <w:noProof/>
        </w:rPr>
        <w:t>lokuuta 2026.</w:t>
      </w:r>
    </w:p>
    <w:p w14:paraId="2AFFB725" w14:textId="77777777" w:rsidR="000E48CE" w:rsidRDefault="00FF4C4E">
      <w:pPr>
        <w:pStyle w:val="P68B1DB1-Normal6"/>
        <w:rPr>
          <w:rFonts w:cs="Times New Roman"/>
          <w:noProof/>
        </w:rPr>
      </w:pPr>
      <w:r>
        <w:rPr>
          <w:noProof/>
        </w:rPr>
        <w:t>Investointi 7 (C13.I7) – ICO Next Tech -rahasto</w:t>
      </w:r>
    </w:p>
    <w:p w14:paraId="358C72D6" w14:textId="323E53E4" w:rsidR="000E48CE" w:rsidRDefault="00FF4C4E">
      <w:pPr>
        <w:pStyle w:val="P68B1DB1-LegalNumPar230"/>
        <w:numPr>
          <w:ilvl w:val="1"/>
          <w:numId w:val="0"/>
        </w:numPr>
        <w:spacing w:line="240" w:lineRule="auto"/>
        <w:jc w:val="both"/>
        <w:rPr>
          <w:rFonts w:cs="Times New Roman"/>
          <w:noProof/>
        </w:rPr>
      </w:pPr>
      <w:bookmarkStart w:id="34" w:name="_Hlk140650645"/>
      <w:r>
        <w:rPr>
          <w:noProof/>
        </w:rPr>
        <w:t xml:space="preserve">Tämä toimenpide koostuu julkisesta investoinnista ICO Next Tech </w:t>
      </w:r>
      <w:bookmarkEnd w:id="34"/>
      <w:r>
        <w:rPr>
          <w:noProof/>
        </w:rPr>
        <w:t>-rahastoon, jotta voidaan kannustaa yksityisiä investointeja ja parantaa rahoituksen saantia Espanjan strategisilla aloilla, jotka ovat sidoksissa digitaaliseen siirtymään, ja kehittää pääomamarkkinoita tällä alalla. Tukiväline toimii tarjoamalla taloudell</w:t>
      </w:r>
      <w:r>
        <w:rPr>
          <w:noProof/>
        </w:rPr>
        <w:t>isia kannustimia yhteisinvestointien kautta muiden rahastojen kanssa suoraan tai välittäjien kautta yksityiselle sektorille sekä vastaavaa toimintaa harjoittaville julkisyhteisöille ja julkisoikeudellisille yhteisöille. Elpymis- ja palautumistukivälineen i</w:t>
      </w:r>
      <w:r>
        <w:rPr>
          <w:noProof/>
        </w:rPr>
        <w:t xml:space="preserve">nvestointien perusteella tukivälineestä on alun perin tarkoitus myöntää rahoitusta vähintään 4000000000 euroa. </w:t>
      </w:r>
    </w:p>
    <w:p w14:paraId="69A5E882" w14:textId="754DE619" w:rsidR="000E48CE" w:rsidRDefault="00FF4C4E">
      <w:pPr>
        <w:pStyle w:val="P68B1DB1-LegalNumPar230"/>
        <w:numPr>
          <w:ilvl w:val="1"/>
          <w:numId w:val="0"/>
        </w:numPr>
        <w:spacing w:line="240" w:lineRule="auto"/>
        <w:jc w:val="both"/>
        <w:rPr>
          <w:rFonts w:cs="Times New Roman"/>
          <w:noProof/>
        </w:rPr>
      </w:pPr>
      <w:r>
        <w:rPr>
          <w:noProof/>
        </w:rPr>
        <w:t>Investointivälinettä hallinnoi toteutuskumppaneina Axis (ICO:n riskipääoma/yksityisen pääoman hallinnoija). Lainajärjestely sisältää seuraavat t</w:t>
      </w:r>
      <w:r>
        <w:rPr>
          <w:noProof/>
        </w:rPr>
        <w:t>uotelinjat:</w:t>
      </w:r>
    </w:p>
    <w:p w14:paraId="15D3E958" w14:textId="3C30DF7B" w:rsidR="000E48CE" w:rsidRDefault="00FF4C4E">
      <w:pPr>
        <w:pStyle w:val="P68B1DB1-ListParagraph7"/>
        <w:numPr>
          <w:ilvl w:val="0"/>
          <w:numId w:val="352"/>
        </w:numPr>
        <w:jc w:val="both"/>
        <w:rPr>
          <w:rFonts w:eastAsia="Times New Roman" w:cs="Times New Roman"/>
          <w:noProof/>
        </w:rPr>
      </w:pPr>
      <w:r>
        <w:rPr>
          <w:noProof/>
        </w:rPr>
        <w:t>Ohivalinta: tämä budjettikohta muodostuu suorien oman pääoman ehtoisten tai oman pääoman luonteisten sijoitusten tarjoamisesta ICO:n riskipääoman/yksityisen pääoman hallinnoijan AXISin kautta Espanjassa perustetuille yrityksille niiden koosta j</w:t>
      </w:r>
      <w:r>
        <w:rPr>
          <w:noProof/>
        </w:rPr>
        <w:t>a pääomaomistuksesta riippumatta, jotka sitoutuvat toteuttamaan uusia teknologiahankkeita. Rahaston pääomasijoitukset eivät saa johtaa siihen, että julkisessa omistuksessa olevan oman pääoman osuus lopullisesta tuensaajasta ylittää 49:ää prosenttia kokonai</w:t>
      </w:r>
      <w:r>
        <w:rPr>
          <w:noProof/>
        </w:rPr>
        <w:t>spääomasta.</w:t>
      </w:r>
    </w:p>
    <w:p w14:paraId="7DAB95B4" w14:textId="0342F73A" w:rsidR="000E48CE" w:rsidRDefault="00FF4C4E">
      <w:pPr>
        <w:pStyle w:val="P68B1DB1-ListParagraph7"/>
        <w:numPr>
          <w:ilvl w:val="0"/>
          <w:numId w:val="352"/>
        </w:numPr>
        <w:jc w:val="both"/>
        <w:rPr>
          <w:rFonts w:eastAsia="Times New Roman" w:cs="Times New Roman"/>
          <w:noProof/>
        </w:rPr>
      </w:pPr>
      <w:r>
        <w:rPr>
          <w:noProof/>
        </w:rPr>
        <w:t>Epäsuora rivi: tämä budjettikohta koostuu varojen siirtämisestä olemassa oleviin sijoitusvälineisiin, joita hallinnoivat yksityiset rahoituksen välittäjät, mukaan lukien riskipääomarahastot, jotka toteuttavat pääomasijoituksia rahaston kattamil</w:t>
      </w:r>
      <w:r>
        <w:rPr>
          <w:noProof/>
        </w:rPr>
        <w:t>la teknologian aloilla. Rahaston enimmäisosuus sijoitusrahastosta saa olla enintään 49 prosenttia.</w:t>
      </w:r>
    </w:p>
    <w:p w14:paraId="3A9B1832" w14:textId="0262FC3D" w:rsidR="000E48CE" w:rsidRDefault="00FF4C4E">
      <w:pPr>
        <w:pStyle w:val="P68B1DB1-ListParagraph7"/>
        <w:numPr>
          <w:ilvl w:val="0"/>
          <w:numId w:val="352"/>
        </w:numPr>
        <w:jc w:val="both"/>
        <w:rPr>
          <w:rFonts w:cs="Times New Roman"/>
          <w:noProof/>
        </w:rPr>
      </w:pPr>
      <w:r>
        <w:rPr>
          <w:noProof/>
        </w:rPr>
        <w:t>Euroopan teknologian mestaruuskilpailualoite (ETCI): tämä budjettikohta koostuu Espanjan suorittamasta enintään miljardin euron varojen siirrosta ETCI:lle, joka on Euroopan investointirahaston (EIR) hallinnoima rahasto-osuusrahasto, joka kanavoi myöhäisvai</w:t>
      </w:r>
      <w:r>
        <w:rPr>
          <w:noProof/>
        </w:rPr>
        <w:t xml:space="preserve">heen kasvupääomaa lupaaville eurooppalaisille innovoijille.  </w:t>
      </w:r>
    </w:p>
    <w:p w14:paraId="2B91A638" w14:textId="77777777" w:rsidR="000E48CE" w:rsidRDefault="00FF4C4E">
      <w:pPr>
        <w:pStyle w:val="P68B1DB1-Normal4"/>
        <w:spacing w:line="240" w:lineRule="auto"/>
        <w:jc w:val="both"/>
        <w:rPr>
          <w:rFonts w:cs="Times New Roman"/>
          <w:noProof/>
        </w:rPr>
      </w:pPr>
      <w:r>
        <w:rPr>
          <w:noProof/>
        </w:rPr>
        <w:t>Investointijärjestelyyn tehtävän investoinnin toteuttamiseksi Espanja ja toimintalinja allekirjoittavat täytäntöönpanosopimuksen, jonka sisältö on seuraava:</w:t>
      </w:r>
    </w:p>
    <w:p w14:paraId="16740221" w14:textId="728E4441" w:rsidR="000E48CE" w:rsidRDefault="00FF4C4E">
      <w:pPr>
        <w:pStyle w:val="P68B1DB1-ListParagraph7"/>
        <w:numPr>
          <w:ilvl w:val="0"/>
          <w:numId w:val="766"/>
        </w:numPr>
        <w:jc w:val="both"/>
        <w:rPr>
          <w:rFonts w:cs="Times New Roman"/>
          <w:noProof/>
        </w:rPr>
      </w:pPr>
      <w:r>
        <w:rPr>
          <w:noProof/>
        </w:rPr>
        <w:t>Kuvaus tukivälineen päätöksentekopros</w:t>
      </w:r>
      <w:r>
        <w:rPr>
          <w:noProof/>
        </w:rPr>
        <w:t>essista: Investointikehyksen lopullisen investointipäätöksen tekee investointikomitea tai muu vastaava hallintoelin, ja se hyväksytään äänten enemmistöllä Espanjan hallituksesta riippumattomilta jäseniltä. Välitettyjen sijoitusten osalta lopullisen sijoitu</w:t>
      </w:r>
      <w:r>
        <w:rPr>
          <w:noProof/>
        </w:rPr>
        <w:t>späätöksen tekevät välittäjät.</w:t>
      </w:r>
    </w:p>
    <w:p w14:paraId="0E765F69" w14:textId="77777777" w:rsidR="000E48CE" w:rsidRDefault="00FF4C4E">
      <w:pPr>
        <w:pStyle w:val="P68B1DB1-LegalNumPar29"/>
        <w:numPr>
          <w:ilvl w:val="0"/>
          <w:numId w:val="766"/>
        </w:numPr>
        <w:jc w:val="both"/>
        <w:rPr>
          <w:rFonts w:cs="Times New Roman"/>
          <w:noProof/>
        </w:rPr>
      </w:pPr>
      <w:r>
        <w:rPr>
          <w:noProof/>
        </w:rPr>
        <w:t>Asiaan liittyvän sijoituspolitiikan keskeiset vaatimukset,</w:t>
      </w:r>
      <w:r>
        <w:rPr>
          <w:b/>
          <w:noProof/>
        </w:rPr>
        <w:t xml:space="preserve"> </w:t>
      </w:r>
      <w:r>
        <w:rPr>
          <w:noProof/>
        </w:rPr>
        <w:t>joita ovat muun muassa seuraavat:</w:t>
      </w:r>
    </w:p>
    <w:p w14:paraId="54A323D4" w14:textId="77777777" w:rsidR="000E48CE" w:rsidRDefault="00FF4C4E">
      <w:pPr>
        <w:pStyle w:val="P68B1DB1-LegalNumPar29"/>
        <w:numPr>
          <w:ilvl w:val="1"/>
          <w:numId w:val="780"/>
        </w:numPr>
        <w:jc w:val="both"/>
        <w:rPr>
          <w:rFonts w:cs="Times New Roman"/>
          <w:noProof/>
        </w:rPr>
      </w:pPr>
      <w:r>
        <w:rPr>
          <w:noProof/>
        </w:rPr>
        <w:t xml:space="preserve">Rahoitustuotteen (-tuotteiden) ja tukikelpoisten lopullisten tuensaajien kuvaus toimenpiteen kuvauksen mukaisesti.   </w:t>
      </w:r>
    </w:p>
    <w:p w14:paraId="11A25243" w14:textId="77777777" w:rsidR="000E48CE" w:rsidRDefault="00FF4C4E">
      <w:pPr>
        <w:pStyle w:val="P68B1DB1-LegalNumPar29"/>
        <w:numPr>
          <w:ilvl w:val="1"/>
          <w:numId w:val="780"/>
        </w:numPr>
        <w:jc w:val="both"/>
        <w:rPr>
          <w:rFonts w:cs="Times New Roman"/>
          <w:noProof/>
        </w:rPr>
      </w:pPr>
      <w:r>
        <w:rPr>
          <w:noProof/>
        </w:rPr>
        <w:t>Kaikkien tuett</w:t>
      </w:r>
      <w:r>
        <w:rPr>
          <w:noProof/>
        </w:rPr>
        <w:t>ujen investointien on oltava taloudellisesti kannattavia.</w:t>
      </w:r>
    </w:p>
    <w:p w14:paraId="1B3A8A71" w14:textId="77777777" w:rsidR="000E48CE" w:rsidRDefault="00FF4C4E">
      <w:pPr>
        <w:pStyle w:val="P68B1DB1-LegalNumPar29"/>
        <w:numPr>
          <w:ilvl w:val="1"/>
          <w:numId w:val="780"/>
        </w:numPr>
        <w:jc w:val="both"/>
        <w:rPr>
          <w:rFonts w:cs="Times New Roman"/>
          <w:noProof/>
        </w:rPr>
      </w:pPr>
      <w:r>
        <w:rPr>
          <w:noProof/>
        </w:rPr>
        <w:t>Kielto jälleenrahoittaa jäljellä olevia lainoja.</w:t>
      </w:r>
    </w:p>
    <w:p w14:paraId="5B86B0AC" w14:textId="784E47DB" w:rsidR="000E48CE" w:rsidRDefault="00FF4C4E">
      <w:pPr>
        <w:pStyle w:val="P68B1DB1-LegalNumPar29"/>
        <w:numPr>
          <w:ilvl w:val="1"/>
          <w:numId w:val="780"/>
        </w:numPr>
        <w:jc w:val="both"/>
        <w:rPr>
          <w:rFonts w:eastAsia="Times New Roman" w:cs="Times New Roman"/>
          <w:noProof/>
        </w:rPr>
      </w:pPr>
      <w:r>
        <w:rPr>
          <w:noProof/>
        </w:rPr>
        <w:t>Vaatimus noudattaa ”ei merkittävää haittaa” -periaatetta sellaisena kuin se on vahvistettu ”ei merkittävää haittaa” -periaatetta koskevissa teknisiss</w:t>
      </w:r>
      <w:r>
        <w:rPr>
          <w:noProof/>
        </w:rPr>
        <w:t xml:space="preserve">ä ohjeissa (2021/C58/01), erityisesti: </w:t>
      </w:r>
    </w:p>
    <w:p w14:paraId="5934AFCB" w14:textId="6E278741" w:rsidR="000E48CE" w:rsidRDefault="00FF4C4E">
      <w:pPr>
        <w:pStyle w:val="LegalNumPar3"/>
        <w:numPr>
          <w:ilvl w:val="2"/>
          <w:numId w:val="766"/>
        </w:numPr>
        <w:spacing w:line="240" w:lineRule="auto"/>
        <w:jc w:val="both"/>
        <w:rPr>
          <w:rStyle w:val="normaltextrun"/>
          <w:rFonts w:ascii="Times New Roman" w:eastAsiaTheme="minorEastAsia" w:hAnsi="Times New Roman" w:cs="Times New Roman"/>
          <w:noProof/>
          <w:sz w:val="24"/>
        </w:rPr>
      </w:pPr>
      <w:bookmarkStart w:id="35" w:name="_Hlk145663647"/>
      <w:r>
        <w:rPr>
          <w:rStyle w:val="normaltextrun"/>
          <w:rFonts w:ascii="Times New Roman" w:hAnsi="Times New Roman"/>
          <w:noProof/>
          <w:sz w:val="24"/>
        </w:rPr>
        <w:t xml:space="preserve">Oman pääoman ehtoisten, oman pääoman luonteisten instrumenttien, yritysjoukkolainojen tai vastaavien instrumenttien osalta: sijoituspolitiikassa on edellytettävä, että yritykset hyväksyvät vihreää siirtymää koskevat </w:t>
      </w:r>
      <w:r>
        <w:rPr>
          <w:rStyle w:val="normaltextrun"/>
          <w:rFonts w:ascii="Times New Roman" w:hAnsi="Times New Roman"/>
          <w:noProof/>
          <w:sz w:val="24"/>
        </w:rPr>
        <w:t>suunnitelmat direktiivin 2013/34/EU 19 a artiklan 2 kohdan a alakohdan iii alakohdan määritelmän mukaisesti,</w:t>
      </w:r>
      <w:r>
        <w:rPr>
          <w:rStyle w:val="FootnoteReference"/>
          <w:rFonts w:ascii="Times New Roman" w:eastAsiaTheme="minorEastAsia" w:hAnsi="Times New Roman" w:cs="Times New Roman"/>
          <w:noProof/>
          <w:sz w:val="24"/>
        </w:rPr>
        <w:footnoteReference w:id="118"/>
      </w:r>
      <w:r>
        <w:rPr>
          <w:rFonts w:ascii="Times New Roman" w:hAnsi="Times New Roman"/>
          <w:noProof/>
          <w:sz w:val="24"/>
        </w:rPr>
        <w:t xml:space="preserve"> jos yli 50 prosenttia niiden edellisen tilikauden suorista tuloista on peräisin seuraavasta toimintojen ja varojen luettelosta: (I) fossiilisiin p</w:t>
      </w:r>
      <w:r>
        <w:rPr>
          <w:rFonts w:ascii="Times New Roman" w:hAnsi="Times New Roman"/>
          <w:noProof/>
          <w:sz w:val="24"/>
        </w:rPr>
        <w:t>olttoaineisiin liittyvät toiminnot ja omaisuuserät, mukaan lukien jatkokäyttö</w:t>
      </w:r>
      <w:r>
        <w:rPr>
          <w:rStyle w:val="FootnoteReference"/>
          <w:rFonts w:ascii="Times New Roman" w:eastAsiaTheme="minorEastAsia" w:hAnsi="Times New Roman" w:cs="Times New Roman"/>
          <w:noProof/>
          <w:sz w:val="24"/>
        </w:rPr>
        <w:footnoteReference w:id="119"/>
      </w:r>
      <w:r>
        <w:rPr>
          <w:rFonts w:ascii="Times New Roman" w:hAnsi="Times New Roman"/>
          <w:noProof/>
          <w:sz w:val="24"/>
        </w:rPr>
        <w:t>, ii) EU:n päästökauppajärjestelmään kuuluvat toiminnot ja omaisuuserät, joilla saavutetaan ennustetut kasvihuonekaasupäästöt, jotka eivät alita asiaankuuluvia vertailuarvoja</w:t>
      </w:r>
      <w:r>
        <w:rPr>
          <w:rStyle w:val="FootnoteReference"/>
          <w:rFonts w:ascii="Times New Roman" w:eastAsiaTheme="minorEastAsia" w:hAnsi="Times New Roman" w:cs="Times New Roman"/>
          <w:noProof/>
          <w:sz w:val="24"/>
        </w:rPr>
        <w:footnoteReference w:id="120"/>
      </w:r>
      <w:r>
        <w:rPr>
          <w:rStyle w:val="normaltextrun"/>
          <w:rFonts w:ascii="Times New Roman" w:hAnsi="Times New Roman"/>
          <w:noProof/>
          <w:sz w:val="24"/>
        </w:rPr>
        <w:t>, i</w:t>
      </w:r>
      <w:r>
        <w:rPr>
          <w:rStyle w:val="normaltextrun"/>
          <w:rFonts w:ascii="Times New Roman" w:hAnsi="Times New Roman"/>
          <w:noProof/>
          <w:sz w:val="24"/>
        </w:rPr>
        <w:t>ii) kaatopaikkoihin, polttolaitoksiin ja mekaanisiin biologisiin käsittelylaitoksiin liittyvät toiminnot</w:t>
      </w:r>
      <w:r>
        <w:rPr>
          <w:rStyle w:val="FootnoteReference"/>
          <w:rFonts w:ascii="Times New Roman" w:eastAsiaTheme="minorEastAsia" w:hAnsi="Times New Roman" w:cs="Times New Roman"/>
          <w:noProof/>
          <w:sz w:val="24"/>
        </w:rPr>
        <w:footnoteReference w:id="121"/>
      </w:r>
      <w:r>
        <w:rPr>
          <w:rStyle w:val="normaltextrun"/>
          <w:rFonts w:ascii="Times New Roman" w:hAnsi="Times New Roman"/>
          <w:noProof/>
          <w:sz w:val="24"/>
        </w:rPr>
        <w:t xml:space="preserve"> ja omaisuus</w:t>
      </w:r>
      <w:r>
        <w:rPr>
          <w:rStyle w:val="FootnoteReference"/>
          <w:rFonts w:ascii="Times New Roman" w:eastAsiaTheme="minorEastAsia" w:hAnsi="Times New Roman" w:cs="Times New Roman"/>
          <w:noProof/>
          <w:sz w:val="24"/>
        </w:rPr>
        <w:footnoteReference w:id="122"/>
      </w:r>
      <w:r>
        <w:rPr>
          <w:rStyle w:val="normaltextrun"/>
          <w:rFonts w:ascii="Times New Roman" w:hAnsi="Times New Roman"/>
          <w:noProof/>
          <w:sz w:val="24"/>
        </w:rPr>
        <w:t>.</w:t>
      </w:r>
      <w:r>
        <w:rPr>
          <w:rStyle w:val="FootnoteReference"/>
          <w:rFonts w:ascii="Times New Roman" w:hAnsi="Times New Roman"/>
          <w:noProof/>
          <w:sz w:val="24"/>
        </w:rPr>
        <w:t xml:space="preserve"> </w:t>
      </w:r>
      <w:r>
        <w:rPr>
          <w:rFonts w:ascii="Times New Roman" w:hAnsi="Times New Roman"/>
          <w:noProof/>
          <w:sz w:val="24"/>
        </w:rPr>
        <w:t xml:space="preserve"> </w:t>
      </w:r>
    </w:p>
    <w:bookmarkEnd w:id="35"/>
    <w:p w14:paraId="5BF6741F" w14:textId="77777777" w:rsidR="000E48CE" w:rsidRDefault="00FF4C4E">
      <w:pPr>
        <w:pStyle w:val="P68B1DB1-LegalNumPar317"/>
        <w:numPr>
          <w:ilvl w:val="2"/>
          <w:numId w:val="766"/>
        </w:numPr>
        <w:spacing w:line="240" w:lineRule="auto"/>
        <w:rPr>
          <w:rFonts w:cs="Times New Roman"/>
          <w:noProof/>
        </w:rPr>
      </w:pPr>
      <w:r>
        <w:rPr>
          <w:noProof/>
        </w:rPr>
        <w:t>Lisäksi investointipolitiikassa on edellytettävä tukivälineen lopullisten edunsaajien asiaankuuluvan EU:n ja kansallisen ympäristölain</w:t>
      </w:r>
      <w:r>
        <w:rPr>
          <w:noProof/>
        </w:rPr>
        <w:t>säädännön</w:t>
      </w:r>
      <w:r>
        <w:rPr>
          <w:b/>
          <w:noProof/>
        </w:rPr>
        <w:t xml:space="preserve"> </w:t>
      </w:r>
      <w:r>
        <w:rPr>
          <w:noProof/>
        </w:rPr>
        <w:t>noudattamista.</w:t>
      </w:r>
    </w:p>
    <w:p w14:paraId="54798F0F" w14:textId="77777777" w:rsidR="000E48CE" w:rsidRDefault="00FF4C4E">
      <w:pPr>
        <w:pStyle w:val="P68B1DB1-LegalNumPar29"/>
        <w:numPr>
          <w:ilvl w:val="1"/>
          <w:numId w:val="780"/>
        </w:numPr>
        <w:spacing w:line="240" w:lineRule="auto"/>
        <w:jc w:val="both"/>
        <w:rPr>
          <w:rFonts w:cs="Times New Roman"/>
          <w:noProof/>
        </w:rPr>
      </w:pPr>
      <w:r>
        <w:rPr>
          <w:noProof/>
        </w:rPr>
        <w:t>Vaatimus, jonka mukaan lainajärjestelyn lopulliset edunsaajat eivät saa tukea muista unionin välineistä samojen kustannusten kattamiseksi.</w:t>
      </w:r>
    </w:p>
    <w:p w14:paraId="184D6B7B" w14:textId="1BC2B2B2" w:rsidR="000E48CE" w:rsidRDefault="00FF4C4E">
      <w:pPr>
        <w:pStyle w:val="P68B1DB1-LegalNumPar29"/>
        <w:numPr>
          <w:ilvl w:val="0"/>
          <w:numId w:val="766"/>
        </w:numPr>
        <w:spacing w:line="240" w:lineRule="auto"/>
        <w:jc w:val="both"/>
        <w:rPr>
          <w:rFonts w:cs="Times New Roman"/>
          <w:noProof/>
        </w:rPr>
      </w:pPr>
      <w:r>
        <w:rPr>
          <w:noProof/>
        </w:rPr>
        <w:t>Täytäntöönpanosopimuksen kattama määrä, toteutuskumppanin maksurakenne ja vaatimus sijoittaa</w:t>
      </w:r>
      <w:r>
        <w:rPr>
          <w:noProof/>
        </w:rPr>
        <w:t xml:space="preserve"> takaisin saadut varat tukivälineen investointipolitiikan mukaisesti, paitsi jos niitä käytetään elpymis- ja palautumistukivälineen lainojen takaisinmaksujen hoitamiseen.</w:t>
      </w:r>
    </w:p>
    <w:p w14:paraId="50AE8E30" w14:textId="216C3656" w:rsidR="000E48CE" w:rsidRDefault="00FF4C4E">
      <w:pPr>
        <w:pStyle w:val="P68B1DB1-ListParagraph7"/>
        <w:numPr>
          <w:ilvl w:val="0"/>
          <w:numId w:val="766"/>
        </w:numPr>
        <w:spacing w:line="240" w:lineRule="auto"/>
        <w:jc w:val="both"/>
        <w:rPr>
          <w:rFonts w:cs="Times New Roman"/>
          <w:noProof/>
        </w:rPr>
      </w:pPr>
      <w:r>
        <w:rPr>
          <w:noProof/>
        </w:rPr>
        <w:t xml:space="preserve">Seuranta-, auditointi- ja valvontavaatimukset, mukaan lukien </w:t>
      </w:r>
    </w:p>
    <w:p w14:paraId="0DE7F897" w14:textId="290BEAA4" w:rsidR="000E48CE" w:rsidRDefault="00FF4C4E">
      <w:pPr>
        <w:pStyle w:val="P68B1DB1-ListParagraph7"/>
        <w:numPr>
          <w:ilvl w:val="1"/>
          <w:numId w:val="781"/>
        </w:numPr>
        <w:spacing w:line="240" w:lineRule="auto"/>
        <w:jc w:val="both"/>
        <w:rPr>
          <w:rFonts w:cs="Times New Roman"/>
          <w:noProof/>
        </w:rPr>
      </w:pPr>
      <w:r>
        <w:rPr>
          <w:noProof/>
        </w:rPr>
        <w:t>Kuvaus toteutuskumppani</w:t>
      </w:r>
      <w:r>
        <w:rPr>
          <w:noProof/>
        </w:rPr>
        <w:t>n seurantajärjestelmästä, jolla raportoidaan liikkeelle saaduista investoinneista.</w:t>
      </w:r>
    </w:p>
    <w:p w14:paraId="70CB4626" w14:textId="7D7CBBA0" w:rsidR="000E48CE" w:rsidRDefault="00FF4C4E">
      <w:pPr>
        <w:pStyle w:val="P68B1DB1-Normal4"/>
        <w:numPr>
          <w:ilvl w:val="1"/>
          <w:numId w:val="781"/>
        </w:numPr>
        <w:spacing w:after="160" w:line="240" w:lineRule="auto"/>
        <w:jc w:val="both"/>
        <w:rPr>
          <w:rFonts w:cs="Times New Roman"/>
          <w:noProof/>
        </w:rPr>
      </w:pPr>
      <w:r>
        <w:rPr>
          <w:noProof/>
        </w:rPr>
        <w:t xml:space="preserve">Kuvaus toteutuskumppanin menettelyistä, joilla varmistetaan petosten, lahjonnan ja eturistiriitojen ehkäiseminen, havaitseminen ja korjaaminen. </w:t>
      </w:r>
    </w:p>
    <w:p w14:paraId="414F081B" w14:textId="3CF341EB" w:rsidR="000E48CE" w:rsidRDefault="00FF4C4E">
      <w:pPr>
        <w:pStyle w:val="P68B1DB1-Normal4"/>
        <w:numPr>
          <w:ilvl w:val="1"/>
          <w:numId w:val="781"/>
        </w:numPr>
        <w:spacing w:after="160" w:line="240" w:lineRule="auto"/>
        <w:jc w:val="both"/>
        <w:rPr>
          <w:rFonts w:cs="Times New Roman"/>
          <w:noProof/>
        </w:rPr>
      </w:pPr>
      <w:r>
        <w:rPr>
          <w:noProof/>
        </w:rPr>
        <w:t>Velvoite tarkistaa kunkin to</w:t>
      </w:r>
      <w:r>
        <w:rPr>
          <w:noProof/>
        </w:rPr>
        <w:t>imen tukikelpoisuus täytäntöönpanosopimuksessa vahvistettujen vaatimusten mukaisesti, myös käyttämällä omaa ilmoitusta toimista, joiden arvo on alle 10000000 euroa, ennen kuin sitoudutaan rahoittamaan toimea, ennen kuin sitoudutaan rahoittamaan toimea.</w:t>
      </w:r>
    </w:p>
    <w:p w14:paraId="19D89E60" w14:textId="2F4BC095" w:rsidR="000E48CE" w:rsidRDefault="00FF4C4E">
      <w:pPr>
        <w:pStyle w:val="P68B1DB1-Normal4"/>
        <w:numPr>
          <w:ilvl w:val="1"/>
          <w:numId w:val="781"/>
        </w:numPr>
        <w:spacing w:line="240" w:lineRule="auto"/>
        <w:jc w:val="both"/>
        <w:rPr>
          <w:rFonts w:cs="Times New Roman"/>
          <w:noProof/>
        </w:rPr>
      </w:pPr>
      <w:r>
        <w:rPr>
          <w:noProof/>
        </w:rPr>
        <w:t>Velvollisuus suorittaa riskiperusteisia jälkitarkastuksia ICO:n tarkastussuunnitelman mukaisesti. Näillä tarkastuksilla on varmistettava i) valvontajärjestelmien tehokkuus, mukaan lukien petosten, lahjonnan ja eturistiriitojen havaitseminen; ”ei merkittävä</w:t>
      </w:r>
      <w:r>
        <w:rPr>
          <w:noProof/>
        </w:rPr>
        <w:t>ä haittaa” -periaatteen, valtiontukisääntöjen ja ilmastotavoitteita koskevien vaatimusten noudattaminen; ja iii) että noudatetaan vaatimusta, jonka mukaan välittäjän on todennettava, että lopullinen tuensaaja esittää vastuullisen ilmoituksen sen valvomisek</w:t>
      </w:r>
      <w:r>
        <w:rPr>
          <w:noProof/>
        </w:rPr>
        <w:t xml:space="preserve">si, katetaanko samat kustannukset toisesta unionin välineestä. Tarkastuksissa on myös varmistettava toimien laillisuus ja se, että sovellettavan täytäntöönpanosopimuksen ja rahoitussopimusten ehtoja noudatetaan, myös käyttämällä omia ilmoituksia toimista, </w:t>
      </w:r>
      <w:r>
        <w:rPr>
          <w:noProof/>
        </w:rPr>
        <w:t>joiden arvo on alle 10000000 euroa, ennen kuin sitoudutaan rahoittamaan toimea.</w:t>
      </w:r>
    </w:p>
    <w:p w14:paraId="27C1B162" w14:textId="0827D70B" w:rsidR="000E48CE" w:rsidRDefault="00FF4C4E">
      <w:pPr>
        <w:numPr>
          <w:ilvl w:val="0"/>
          <w:numId w:val="766"/>
        </w:numPr>
        <w:spacing w:after="160" w:line="240" w:lineRule="auto"/>
        <w:jc w:val="both"/>
        <w:rPr>
          <w:rFonts w:ascii="Times New Roman" w:hAnsi="Times New Roman" w:cs="Times New Roman"/>
          <w:noProof/>
          <w:sz w:val="24"/>
        </w:rPr>
      </w:pPr>
      <w:r>
        <w:rPr>
          <w:rFonts w:ascii="Times New Roman" w:hAnsi="Times New Roman"/>
          <w:noProof/>
          <w:sz w:val="24"/>
        </w:rPr>
        <w:t>Toteutuskumppanin tekemiä digitaalisia investointeja koskevat vaatimukset: vähintään 4000000000 eurolla elpymis- ja palautumistukivälineen investoinneista tukivälineeseen edist</w:t>
      </w:r>
      <w:r>
        <w:rPr>
          <w:rFonts w:ascii="Times New Roman" w:hAnsi="Times New Roman"/>
          <w:noProof/>
          <w:sz w:val="24"/>
        </w:rPr>
        <w:t>etään digitaalisen muutoksen tavoitteita elpymis- ja palautumistukivälinettä koskevan asetuksen liitteen VII mukaisesti.</w:t>
      </w:r>
      <w:r>
        <w:rPr>
          <w:rStyle w:val="FootnoteReference"/>
          <w:rFonts w:ascii="Times New Roman" w:hAnsi="Times New Roman" w:cs="Times New Roman"/>
          <w:noProof/>
          <w:sz w:val="24"/>
        </w:rPr>
        <w:footnoteReference w:id="123"/>
      </w:r>
      <w:r>
        <w:rPr>
          <w:rFonts w:ascii="Times New Roman" w:hAnsi="Times New Roman"/>
          <w:noProof/>
          <w:sz w:val="24"/>
        </w:rPr>
        <w:t xml:space="preserve"> </w:t>
      </w:r>
    </w:p>
    <w:p w14:paraId="347335BE" w14:textId="7DF526FE" w:rsidR="000E48CE" w:rsidRDefault="00FF4C4E">
      <w:pPr>
        <w:pStyle w:val="P68B1DB1-ListParagraph7"/>
        <w:numPr>
          <w:ilvl w:val="0"/>
          <w:numId w:val="766"/>
        </w:numPr>
        <w:jc w:val="both"/>
        <w:rPr>
          <w:rFonts w:cs="Times New Roman"/>
          <w:noProof/>
        </w:rPr>
      </w:pPr>
      <w:r>
        <w:rPr>
          <w:noProof/>
        </w:rPr>
        <w:t>Rahoituksen välittäjien valintaa koskevat vaatimukset: ICO valitsee rahoituksen välittäjät avoimella, läpinäkyvällä ja syrjimättömällä tavalla. Rahoituksenvälittäjien eturistiriitojen puuttumista koskevat tarkastukset on suoritettava etukäteen kaikkien rah</w:t>
      </w:r>
      <w:r>
        <w:rPr>
          <w:noProof/>
        </w:rPr>
        <w:t xml:space="preserve">oitusalan toimijoiden osalta Minervan kaltaisen tietoteknisen järjestelmän kautta. </w:t>
      </w:r>
    </w:p>
    <w:p w14:paraId="6AC5F13F" w14:textId="1599992A" w:rsidR="000E48CE" w:rsidRDefault="00FF4C4E">
      <w:pPr>
        <w:pStyle w:val="P68B1DB1-Normal4"/>
        <w:numPr>
          <w:ilvl w:val="0"/>
          <w:numId w:val="766"/>
        </w:numPr>
        <w:spacing w:after="160" w:line="240" w:lineRule="auto"/>
        <w:jc w:val="both"/>
        <w:rPr>
          <w:rFonts w:cs="Times New Roman"/>
          <w:noProof/>
        </w:rPr>
      </w:pPr>
      <w:r>
        <w:rPr>
          <w:noProof/>
        </w:rPr>
        <w:t xml:space="preserve">Rahoitussopimusten allekirjoittaminen: Toimintalinja allekirjoittaa rahoituksen välittäjien kanssa rahoitussopimukset täytäntöönpanosopimuksen liitteenä olevien keskeisten </w:t>
      </w:r>
      <w:r>
        <w:rPr>
          <w:noProof/>
        </w:rPr>
        <w:t xml:space="preserve">vaatimusten mukaisesti. Rahoitussopimuksen keskeisiin vaatimuksiin on sisällyttävä kaikki vaatimukset, joiden mukaisesti lainajärjestely toimii, mukaan lukien seuraavat: </w:t>
      </w:r>
    </w:p>
    <w:p w14:paraId="46C4FBEB" w14:textId="409595C2" w:rsidR="000E48CE" w:rsidRDefault="00FF4C4E">
      <w:pPr>
        <w:pStyle w:val="P68B1DB1-Normal4"/>
        <w:numPr>
          <w:ilvl w:val="1"/>
          <w:numId w:val="766"/>
        </w:numPr>
        <w:spacing w:after="160" w:line="240" w:lineRule="auto"/>
        <w:jc w:val="both"/>
        <w:rPr>
          <w:rFonts w:cs="Times New Roman"/>
          <w:noProof/>
        </w:rPr>
      </w:pPr>
      <w:r>
        <w:rPr>
          <w:noProof/>
        </w:rPr>
        <w:t>Rahoituksen välittäjän velvollisuus tehdä päätöksensä noudattaen soveltuvin osin edel</w:t>
      </w:r>
      <w:r>
        <w:rPr>
          <w:noProof/>
        </w:rPr>
        <w:t>lä täsmennettyjä päätöksentekoa ja sijoituspolitiikkaa koskevia vaatimuksia, mukaan lukien ”ei merkittävää haittaa” -periaatteen noudattaminen.</w:t>
      </w:r>
    </w:p>
    <w:p w14:paraId="5E4BC8D8" w14:textId="63FFD13C" w:rsidR="000E48CE" w:rsidRDefault="00FF4C4E">
      <w:pPr>
        <w:pStyle w:val="P68B1DB1-Normal4"/>
        <w:numPr>
          <w:ilvl w:val="1"/>
          <w:numId w:val="766"/>
        </w:numPr>
        <w:spacing w:after="160" w:line="240" w:lineRule="auto"/>
        <w:jc w:val="both"/>
        <w:rPr>
          <w:rFonts w:eastAsia="Times New Roman" w:cs="Times New Roman"/>
          <w:noProof/>
        </w:rPr>
      </w:pPr>
      <w:r>
        <w:rPr>
          <w:noProof/>
        </w:rPr>
        <w:t>Kuvaus seuranta-, tarkastus- ja valvontakehyksestä, joka rahoituksen välittäjän on otettava käyttöön ja johon so</w:t>
      </w:r>
      <w:r>
        <w:rPr>
          <w:noProof/>
        </w:rPr>
        <w:t xml:space="preserve">velletaan soveltuvin osin kaikkia edellä määriteltyjä seuranta-, tarkastus- ja valvontavaatimuksia. </w:t>
      </w:r>
    </w:p>
    <w:p w14:paraId="1C64E7F4" w14:textId="77777777" w:rsidR="000E48CE" w:rsidRDefault="00FF4C4E">
      <w:pPr>
        <w:pStyle w:val="P68B1DB1-Normal4"/>
        <w:jc w:val="both"/>
        <w:rPr>
          <w:rFonts w:eastAsia="Times New Roman" w:cs="Times New Roman"/>
          <w:noProof/>
        </w:rPr>
      </w:pPr>
      <w:r>
        <w:rPr>
          <w:noProof/>
        </w:rPr>
        <w:t>Toimenpiteen täytäntöönpano on saatettava päätökseen viimeistään 31 päivänä elokuuta 2026.</w:t>
      </w:r>
    </w:p>
    <w:p w14:paraId="66233B2E" w14:textId="0466CC2F" w:rsidR="000E48CE" w:rsidRDefault="00FF4C4E">
      <w:pPr>
        <w:pStyle w:val="P68B1DB1-Normal6"/>
        <w:tabs>
          <w:tab w:val="left" w:pos="7280"/>
        </w:tabs>
        <w:rPr>
          <w:rFonts w:cs="Times New Roman"/>
          <w:noProof/>
        </w:rPr>
      </w:pPr>
      <w:r>
        <w:rPr>
          <w:noProof/>
        </w:rPr>
        <w:t xml:space="preserve">Sijoitus 8 </w:t>
      </w:r>
      <w:bookmarkStart w:id="36" w:name="_Hlk141289356"/>
      <w:r>
        <w:rPr>
          <w:noProof/>
        </w:rPr>
        <w:t>(C13.I8) – Yhteissijoitusrahasto (FOCO)</w:t>
      </w:r>
      <w:bookmarkEnd w:id="36"/>
    </w:p>
    <w:p w14:paraId="70A22EBF" w14:textId="152CC236" w:rsidR="000E48CE" w:rsidRDefault="00FF4C4E">
      <w:pPr>
        <w:spacing w:line="240" w:lineRule="auto"/>
        <w:jc w:val="both"/>
        <w:rPr>
          <w:rStyle w:val="normaltextrun"/>
          <w:rFonts w:ascii="Times New Roman" w:eastAsia="Times New Roman" w:hAnsi="Times New Roman" w:cs="Times New Roman"/>
          <w:noProof/>
          <w:sz w:val="24"/>
          <w:shd w:val="clear" w:color="auto" w:fill="FFFFFF"/>
        </w:rPr>
      </w:pPr>
      <w:bookmarkStart w:id="37" w:name="_Hlk140753831"/>
      <w:r>
        <w:rPr>
          <w:rStyle w:val="normaltextrun"/>
          <w:rFonts w:ascii="Times New Roman" w:hAnsi="Times New Roman"/>
          <w:noProof/>
          <w:sz w:val="24"/>
          <w:shd w:val="clear" w:color="auto" w:fill="FFFFFF"/>
        </w:rPr>
        <w:t>Tämä toimenpi</w:t>
      </w:r>
      <w:r>
        <w:rPr>
          <w:rStyle w:val="normaltextrun"/>
          <w:rFonts w:ascii="Times New Roman" w:hAnsi="Times New Roman"/>
          <w:noProof/>
          <w:sz w:val="24"/>
          <w:shd w:val="clear" w:color="auto" w:fill="FFFFFF"/>
        </w:rPr>
        <w:t>de koostuu julkisesta investoinnista välineeseen, yhteissijoitusrahastoon, jotta voidaan kannustaa yksityisiä investointeja ja parantaa rahoituksen saantia Espanjan strategisilla aloilla, erityisesti niillä aloilla, jotka ovat sidoksissa vihreään siirtymää</w:t>
      </w:r>
      <w:r>
        <w:rPr>
          <w:rStyle w:val="normaltextrun"/>
          <w:rFonts w:ascii="Times New Roman" w:hAnsi="Times New Roman"/>
          <w:noProof/>
          <w:sz w:val="24"/>
          <w:shd w:val="clear" w:color="auto" w:fill="FFFFFF"/>
        </w:rPr>
        <w:t>n ja digitaaliseen muutokseen ja PERTE-hankkeisiin, sekä kehittää pääomamarkkinoita näillä aloilla. Investointikehys toimii tarjoamalla lainoja, oman pääoman ehtoisia ja oman pääoman luonteisia sijoituksia yhteissijoituksina kolmansien osapuolten ulkomaist</w:t>
      </w:r>
      <w:r>
        <w:rPr>
          <w:rStyle w:val="normaltextrun"/>
          <w:rFonts w:ascii="Times New Roman" w:hAnsi="Times New Roman"/>
          <w:noProof/>
          <w:sz w:val="24"/>
          <w:shd w:val="clear" w:color="auto" w:fill="FFFFFF"/>
        </w:rPr>
        <w:t>en ja monenvälisten yhteisösijoittajien kanssa joko suoraan tai välittäjien kautta yksityiselle sektorille. Elpymis- ja palautumistukivälineen investointien perusteella tukivälineestä on alun perin tarkoitus myöntää rahoitusta vähintään 2000000000 euroa.</w:t>
      </w:r>
    </w:p>
    <w:p w14:paraId="18E849D4" w14:textId="339B9B0A" w:rsidR="000E48CE" w:rsidRDefault="00FF4C4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K</w:t>
      </w:r>
      <w:r>
        <w:rPr>
          <w:rStyle w:val="normaltextrun"/>
          <w:rFonts w:ascii="Times New Roman" w:hAnsi="Times New Roman"/>
          <w:noProof/>
          <w:sz w:val="24"/>
          <w:shd w:val="clear" w:color="auto" w:fill="FFFFFF"/>
        </w:rPr>
        <w:t xml:space="preserve">oordinointivälinettä hallinnoi toteutuskumppanina Compañía Española de Financiación del Desarrollo (COFIDES). Lainajärjestely sisältää seuraavat tuotelinjat: </w:t>
      </w:r>
    </w:p>
    <w:bookmarkEnd w:id="37"/>
    <w:p w14:paraId="2F08DC91" w14:textId="1D0A116A" w:rsidR="000E48CE" w:rsidRDefault="00FF4C4E">
      <w:pPr>
        <w:pStyle w:val="P68B1DB1-ListParagraph7"/>
        <w:numPr>
          <w:ilvl w:val="0"/>
          <w:numId w:val="614"/>
        </w:numPr>
        <w:jc w:val="both"/>
        <w:rPr>
          <w:rFonts w:cs="Times New Roman"/>
          <w:noProof/>
        </w:rPr>
      </w:pPr>
      <w:r>
        <w:rPr>
          <w:noProof/>
        </w:rPr>
        <w:t>Ohivalinta: Investointikehyksen on investoitava suoraan kolmansien ulkomaisten institutionaaliste</w:t>
      </w:r>
      <w:r>
        <w:rPr>
          <w:noProof/>
        </w:rPr>
        <w:t>n sijoittajien kanssa yrityksiin, jotka ovat sitoutuneet toteuttamaan uusia hankkeita Espanjan strategisilla talouden aloilla, mukaan lukien vihreään ja digitaaliseen siirtymään sekä PERTE-hankkeisiin liittyvät hankkeet. Investointikehyksen on pystyttävä s</w:t>
      </w:r>
      <w:r>
        <w:rPr>
          <w:noProof/>
        </w:rPr>
        <w:t>ijoittamaan laina-, oman pääoman ehtoisiin ja oman pääoman luonteisiin instrumentteihin. Rahaston pääomasijoitukset eivät saa johtaa siihen, että julkisessa omistuksessa olevan oman pääoman osuus lopullisesta tuensaajasta ylittää 49:ää prosenttia kokonaisp</w:t>
      </w:r>
      <w:r>
        <w:rPr>
          <w:noProof/>
        </w:rPr>
        <w:t>ääomasta.</w:t>
      </w:r>
    </w:p>
    <w:p w14:paraId="18F00A58" w14:textId="5694BED6" w:rsidR="000E48CE" w:rsidRDefault="00FF4C4E">
      <w:pPr>
        <w:pStyle w:val="P68B1DB1-ListParagraph7"/>
        <w:numPr>
          <w:ilvl w:val="0"/>
          <w:numId w:val="614"/>
        </w:numPr>
        <w:jc w:val="both"/>
        <w:rPr>
          <w:rFonts w:cs="Times New Roman"/>
          <w:noProof/>
        </w:rPr>
      </w:pPr>
      <w:r>
        <w:rPr>
          <w:noProof/>
        </w:rPr>
        <w:t xml:space="preserve">Epäsuora rivi: Tukivälineestä on investoitava olemassa oleviin rahastoihin, jotka investoivat tukivälineen kohteena oleviin aloihin ja joilla voidaan luoda räätälöityjä rahoitusvälineitä samoille aloille. Investointikehyksen enimmäisosuus ei saa </w:t>
      </w:r>
      <w:r>
        <w:rPr>
          <w:noProof/>
        </w:rPr>
        <w:t xml:space="preserve">ylittää 49:ää prosenttia mistään rahastosta tai muusta sijoitusvälineestä, eikä se saa johtaa siihen, että julkisessa omistuksessa olevan oman pääoman osuus rahastossa tai sijoitusvälineessä ylittää 49:ää prosenttia kokonaispääomasta. </w:t>
      </w:r>
    </w:p>
    <w:p w14:paraId="4BC9837F" w14:textId="2369EFA3" w:rsidR="000E48CE" w:rsidRDefault="00FF4C4E">
      <w:pPr>
        <w:spacing w:line="240" w:lineRule="auto"/>
        <w:jc w:val="both"/>
        <w:rPr>
          <w:rStyle w:val="normaltextrun"/>
          <w:rFonts w:ascii="Times New Roman" w:eastAsia="Times New Roman" w:hAnsi="Times New Roman" w:cs="Times New Roman"/>
          <w:noProof/>
          <w:sz w:val="24"/>
          <w:shd w:val="clear" w:color="auto" w:fill="FFFFFF"/>
        </w:rPr>
      </w:pPr>
      <w:bookmarkStart w:id="38" w:name="_Hlk140753801"/>
      <w:r>
        <w:rPr>
          <w:rStyle w:val="normaltextrun"/>
          <w:rFonts w:ascii="Times New Roman" w:hAnsi="Times New Roman"/>
          <w:noProof/>
          <w:sz w:val="24"/>
          <w:shd w:val="clear" w:color="auto" w:fill="FFFFFF"/>
        </w:rPr>
        <w:t>Kolmansina osapuolin</w:t>
      </w:r>
      <w:r>
        <w:rPr>
          <w:rStyle w:val="normaltextrun"/>
          <w:rFonts w:ascii="Times New Roman" w:hAnsi="Times New Roman"/>
          <w:noProof/>
          <w:sz w:val="24"/>
          <w:shd w:val="clear" w:color="auto" w:fill="FFFFFF"/>
        </w:rPr>
        <w:t>a olevien sijoittajien yhteisinvestointien on vastattava vähintään investointikehyksen rahoitusosuutta ja investoitava tasavertaisin ehdoin. Kolmansien osapuolten yhteissijoittajia voivat olla muun muassa seuraavat:</w:t>
      </w:r>
    </w:p>
    <w:p w14:paraId="357ABC3A" w14:textId="1E36AF4D" w:rsidR="000E48CE" w:rsidRDefault="00FF4C4E">
      <w:pPr>
        <w:pStyle w:val="P68B1DB1-ListParagraph7"/>
        <w:numPr>
          <w:ilvl w:val="0"/>
          <w:numId w:val="614"/>
        </w:numPr>
        <w:jc w:val="both"/>
        <w:rPr>
          <w:rFonts w:cs="Times New Roman"/>
          <w:noProof/>
        </w:rPr>
      </w:pPr>
      <w:r>
        <w:rPr>
          <w:noProof/>
        </w:rPr>
        <w:t>Ulkomaiset julkiset laitokset, kuten jul</w:t>
      </w:r>
      <w:r>
        <w:rPr>
          <w:noProof/>
        </w:rPr>
        <w:t xml:space="preserve">kiset eläkerahastot, valtiolliset ja valtiotasoa alemman tason rahastot, yksityisille pääomamarkkinoille sijoittavat monenväliset laitokset (kuten Euroopan investointirahasto). </w:t>
      </w:r>
    </w:p>
    <w:p w14:paraId="7F753F2C" w14:textId="295DC384" w:rsidR="000E48CE" w:rsidRDefault="00FF4C4E">
      <w:pPr>
        <w:pStyle w:val="P68B1DB1-ListParagraph7"/>
        <w:numPr>
          <w:ilvl w:val="0"/>
          <w:numId w:val="614"/>
        </w:numPr>
        <w:jc w:val="both"/>
        <w:rPr>
          <w:rFonts w:cs="Times New Roman"/>
          <w:noProof/>
        </w:rPr>
      </w:pPr>
      <w:r>
        <w:rPr>
          <w:noProof/>
        </w:rPr>
        <w:t>Ulkomaiset yksityiset pitkäaikaiset yhteisösijoittajat, kuten sijoitusrahastot</w:t>
      </w:r>
      <w:r>
        <w:rPr>
          <w:noProof/>
        </w:rPr>
        <w:t xml:space="preserve">, eläkerahastot tai vakuutusyhtiöt. </w:t>
      </w:r>
    </w:p>
    <w:p w14:paraId="7B0C2C5C" w14:textId="0D226C0F" w:rsidR="000E48CE" w:rsidRDefault="00FF4C4E">
      <w:pPr>
        <w:pStyle w:val="P68B1DB1-ListParagraph7"/>
        <w:numPr>
          <w:ilvl w:val="0"/>
          <w:numId w:val="614"/>
        </w:numPr>
        <w:jc w:val="both"/>
        <w:rPr>
          <w:rFonts w:cs="Times New Roman"/>
          <w:noProof/>
        </w:rPr>
      </w:pPr>
      <w:r>
        <w:rPr>
          <w:noProof/>
        </w:rPr>
        <w:t>Kotimaiset yksityiset sijoitusvälineet ja -yhteisöt edellyttäen, että ne hankkivat rahoitusta ulkomaisilta yksityisiltä sijoittajilta.</w:t>
      </w:r>
    </w:p>
    <w:p w14:paraId="1D0EBDC2" w14:textId="6D957821" w:rsidR="000E48CE" w:rsidRDefault="00FF4C4E">
      <w:pPr>
        <w:pStyle w:val="P68B1DB1-ListParagraph7"/>
        <w:numPr>
          <w:ilvl w:val="0"/>
          <w:numId w:val="614"/>
        </w:numPr>
        <w:jc w:val="both"/>
        <w:rPr>
          <w:rFonts w:cs="Times New Roman"/>
          <w:noProof/>
        </w:rPr>
      </w:pPr>
      <w:r>
        <w:rPr>
          <w:noProof/>
        </w:rPr>
        <w:t>Ulkomaiset pääomayhtiöt, jotka osallistuvat yrityslukuihin Espanjassa toteuttaakseen</w:t>
      </w:r>
      <w:r>
        <w:rPr>
          <w:noProof/>
        </w:rPr>
        <w:t xml:space="preserve"> investointihankkeita ja tuottavaa toimintaa, joita rahastosta voitaisiin tukea.</w:t>
      </w:r>
    </w:p>
    <w:p w14:paraId="59928A86" w14:textId="1BBF7AFF" w:rsidR="000E48CE" w:rsidRDefault="00FF4C4E">
      <w:pPr>
        <w:pStyle w:val="P68B1DB1-Normal4"/>
        <w:spacing w:line="240" w:lineRule="auto"/>
        <w:jc w:val="both"/>
        <w:rPr>
          <w:rFonts w:eastAsia="Times New Roman" w:cs="Times New Roman"/>
          <w:noProof/>
        </w:rPr>
      </w:pPr>
      <w:bookmarkStart w:id="39" w:name="_Hlk145620018"/>
      <w:r>
        <w:rPr>
          <w:noProof/>
        </w:rPr>
        <w:t>Investointijärjestelyyn tehtävien investointien toteuttamiseksi Espanjan on hyväksyttävä tukivälineen perustamista ja hallinnointia koskeva asetus ja siihen liittyvät asiakirj</w:t>
      </w:r>
      <w:r>
        <w:rPr>
          <w:noProof/>
        </w:rPr>
        <w:t xml:space="preserve">at, joiden sisältö on seuraava: </w:t>
      </w:r>
    </w:p>
    <w:bookmarkEnd w:id="39"/>
    <w:p w14:paraId="51770341" w14:textId="02C8A9BD" w:rsidR="000E48CE" w:rsidRDefault="00FF4C4E">
      <w:pPr>
        <w:pStyle w:val="P68B1DB1-ListParagraph7"/>
        <w:numPr>
          <w:ilvl w:val="0"/>
          <w:numId w:val="745"/>
        </w:numPr>
        <w:spacing w:line="240" w:lineRule="auto"/>
        <w:contextualSpacing w:val="0"/>
        <w:jc w:val="both"/>
        <w:rPr>
          <w:rFonts w:eastAsia="Times New Roman" w:cs="Times New Roman"/>
          <w:noProof/>
        </w:rPr>
      </w:pPr>
      <w:r>
        <w:rPr>
          <w:noProof/>
        </w:rPr>
        <w:t xml:space="preserve">Kuvaus tukivälineen päätöksentekoprosessista:  Investointirahaston alkuinvestointipäätöksen tekee investointikomitea tai muu vastaava hallintoelin, ja se hyväksytään äänten enemmistöllä Espanjan hallituksesta </w:t>
      </w:r>
      <w:r>
        <w:rPr>
          <w:noProof/>
        </w:rPr>
        <w:t>riippumattomilta jäseniltä. Investointikehyksen lopullinen investointipäätös rajoitetaan investointikomitean tai vastaavan hallintoelimen ehdottaman investointipäätöksen hyväksymiseen (muutoksitta) tai veto-oikeuden käyttämiseen. Välitettyjen sijoitusten o</w:t>
      </w:r>
      <w:r>
        <w:rPr>
          <w:noProof/>
        </w:rPr>
        <w:t>salta lopullisen sijoituspäätöksen tekevät välittäjät.</w:t>
      </w:r>
    </w:p>
    <w:p w14:paraId="5DC4A5C2" w14:textId="77777777" w:rsidR="000E48CE" w:rsidRDefault="00FF4C4E">
      <w:pPr>
        <w:pStyle w:val="P68B1DB1-ListParagraph7"/>
        <w:numPr>
          <w:ilvl w:val="0"/>
          <w:numId w:val="745"/>
        </w:numPr>
        <w:spacing w:line="240" w:lineRule="auto"/>
        <w:jc w:val="both"/>
        <w:rPr>
          <w:rFonts w:eastAsia="Times New Roman" w:cs="Times New Roman"/>
          <w:noProof/>
        </w:rPr>
      </w:pPr>
      <w:r>
        <w:rPr>
          <w:noProof/>
        </w:rPr>
        <w:t>Asiaan liittyvän sijoituspolitiikan keskeiset vaatimukset, joita ovat muun muassa seuraavat:</w:t>
      </w:r>
    </w:p>
    <w:p w14:paraId="5C17F8D0" w14:textId="6C581C56" w:rsidR="000E48CE" w:rsidRDefault="00FF4C4E">
      <w:pPr>
        <w:pStyle w:val="ListParagraph"/>
        <w:numPr>
          <w:ilvl w:val="1"/>
          <w:numId w:val="745"/>
        </w:numPr>
        <w:spacing w:line="240" w:lineRule="auto"/>
        <w:jc w:val="both"/>
        <w:rPr>
          <w:rFonts w:ascii="Times New Roman" w:eastAsia="Times New Roman" w:hAnsi="Times New Roman" w:cs="Times New Roman"/>
          <w:noProof/>
          <w:sz w:val="24"/>
        </w:rPr>
      </w:pPr>
      <w:r>
        <w:rPr>
          <w:rFonts w:ascii="Times New Roman" w:hAnsi="Times New Roman"/>
          <w:noProof/>
          <w:sz w:val="24"/>
        </w:rPr>
        <w:t>Rahoitustuotteiden ja tukikelpoisten lopullisten tuensaajien kuvaus toimenpiteen kuvauksen mukaisesti. Strat</w:t>
      </w:r>
      <w:r>
        <w:rPr>
          <w:rFonts w:ascii="Times New Roman" w:hAnsi="Times New Roman"/>
          <w:noProof/>
          <w:sz w:val="24"/>
        </w:rPr>
        <w:t>egisiin investointeihin eli Euroopan puolustusrahaston vuotuisessa työohjelmassa yksilöityihin puolustusteknologioihin ja -tuotteisiin; avaruusinvestoinnit atomikelloihin ja strategisiin kantoraketteihin; ja avaruustuotteet;  ja investoinnit, joissa keskit</w:t>
      </w:r>
      <w:r>
        <w:rPr>
          <w:rFonts w:ascii="Times New Roman" w:hAnsi="Times New Roman"/>
          <w:noProof/>
          <w:sz w:val="24"/>
        </w:rPr>
        <w:t xml:space="preserve">ytään yksinomaan kyberturvallisuusvälineiden ja -ratkaisujen kehittämiseen ja käyttöönottoon, myös silloin, kun ne ovat osa digitaalisten verkkojen ja datainfrastruktuurin käyttöönottoa tai parantamista; lopulliset tuensaajat eivät saa olla kolmannen maan </w:t>
      </w:r>
      <w:r>
        <w:rPr>
          <w:rFonts w:ascii="Times New Roman" w:hAnsi="Times New Roman"/>
          <w:noProof/>
          <w:sz w:val="24"/>
        </w:rPr>
        <w:t>tai kolmansien maiden yhteisöjen määräysvallassa, ja niiden johto on unionissa, lukuun ottamatta alle 10000000 euron investointeja. Jos lopullinen tuensaaja osallistuu strategiseen investointiin 5G-yhteyksien alalla, 5G-kyberturvallisuusvälineistön mukaisi</w:t>
      </w:r>
      <w:r>
        <w:rPr>
          <w:rFonts w:ascii="Times New Roman" w:hAnsi="Times New Roman"/>
          <w:noProof/>
          <w:sz w:val="24"/>
        </w:rPr>
        <w:t>a toimenpiteitä ja riskinhallintasuunnitelmia</w:t>
      </w:r>
      <w:r>
        <w:rPr>
          <w:rStyle w:val="FootnoteReference"/>
          <w:rFonts w:ascii="Times New Roman" w:eastAsia="Times New Roman" w:hAnsi="Times New Roman" w:cs="Times New Roman"/>
          <w:noProof/>
          <w:sz w:val="24"/>
        </w:rPr>
        <w:footnoteReference w:id="124"/>
      </w:r>
      <w:r>
        <w:rPr>
          <w:rFonts w:ascii="Times New Roman" w:hAnsi="Times New Roman"/>
          <w:noProof/>
          <w:sz w:val="24"/>
        </w:rPr>
        <w:t xml:space="preserve"> sovelletaan myös sen toimittajiin. Tällaisia toimittajia ovat erityisesti televiestintälaitteiden myyjät ja valmistajat sekä muut ulkopuoliset toimittajat, kuten pilvi-infrastruktuurin tarjoajat, hallintapalve</w:t>
      </w:r>
      <w:r>
        <w:rPr>
          <w:rFonts w:ascii="Times New Roman" w:hAnsi="Times New Roman"/>
          <w:noProof/>
          <w:sz w:val="24"/>
        </w:rPr>
        <w:t>lujen tarjoajat, järjestelmäintegroijat, turvallisuudesta ja ylläpidosta vastaavat toimeksisaajat sekä siirtojärjestelmien valmistajat. Jos lopullinen tuensaaja osallistuu puolustusalan strategiseen investointiin, tätä rajoitusta sovelletaan myös sen toimi</w:t>
      </w:r>
      <w:r>
        <w:rPr>
          <w:rFonts w:ascii="Times New Roman" w:hAnsi="Times New Roman"/>
          <w:noProof/>
          <w:sz w:val="24"/>
        </w:rPr>
        <w:t>ttajiin ja alihankkijoihin. Edellä olevissa kolmessa kappaleessa esitettyjä rajoituksia, jotka koskevat kolmannen maan tai kolmannen maan yhteisön määräysvallan puuttumista, ei sovelleta tiettyyn rahoitus- ja investointitoimeen, jos lopullinen tuensaaja vo</w:t>
      </w:r>
      <w:r>
        <w:rPr>
          <w:rFonts w:ascii="Times New Roman" w:hAnsi="Times New Roman"/>
          <w:noProof/>
          <w:sz w:val="24"/>
        </w:rPr>
        <w:t>i osoittaa olevansa oikeushenkilö, jolle se jäsenvaltio, johon se on sijoittautunut, on hyväksynyt takauksen Euroopan puolustusrahastosta (EKR) annetun asetuksen asianomaisissa säännöksissä vahvistettujen tukikelpoisia yhteisöjä koskevien periaatteiden</w:t>
      </w:r>
      <w:r>
        <w:rPr>
          <w:rStyle w:val="FootnoteReference"/>
          <w:rFonts w:ascii="Times New Roman" w:eastAsia="Times New Roman" w:hAnsi="Times New Roman" w:cs="Times New Roman"/>
          <w:noProof/>
          <w:sz w:val="24"/>
        </w:rPr>
        <w:footnoteReference w:id="125"/>
      </w:r>
      <w:r>
        <w:rPr>
          <w:rFonts w:ascii="Times New Roman" w:hAnsi="Times New Roman"/>
          <w:noProof/>
          <w:sz w:val="24"/>
        </w:rPr>
        <w:t xml:space="preserve"> ta</w:t>
      </w:r>
      <w:r>
        <w:rPr>
          <w:rFonts w:ascii="Times New Roman" w:hAnsi="Times New Roman"/>
          <w:noProof/>
          <w:sz w:val="24"/>
        </w:rPr>
        <w:t>i avaruusasetuksen asianomaisissa säännöksissä vahvistettujen tukikelpoisia yhteisöjä koskevien periaatteiden mukaisesti</w:t>
      </w:r>
      <w:r>
        <w:rPr>
          <w:rStyle w:val="FootnoteReference"/>
          <w:rFonts w:ascii="Times New Roman" w:eastAsia="Times New Roman" w:hAnsi="Times New Roman" w:cs="Times New Roman"/>
          <w:noProof/>
          <w:sz w:val="24"/>
        </w:rPr>
        <w:footnoteReference w:id="126"/>
      </w:r>
      <w:r>
        <w:rPr>
          <w:rFonts w:ascii="Times New Roman" w:hAnsi="Times New Roman"/>
          <w:noProof/>
          <w:sz w:val="24"/>
        </w:rPr>
        <w:t xml:space="preserve">. Toteutuskumppanin on ilmoitettava hallitukselle kaikista rajoituksista poikkeamisesta.   </w:t>
      </w:r>
    </w:p>
    <w:p w14:paraId="1EB12EA3" w14:textId="77777777" w:rsidR="000E48CE" w:rsidRDefault="00FF4C4E">
      <w:pPr>
        <w:pStyle w:val="P68B1DB1-ListParagraph7"/>
        <w:numPr>
          <w:ilvl w:val="1"/>
          <w:numId w:val="745"/>
        </w:numPr>
        <w:spacing w:line="240" w:lineRule="auto"/>
        <w:jc w:val="both"/>
        <w:rPr>
          <w:rFonts w:eastAsia="Times New Roman" w:cs="Times New Roman"/>
          <w:noProof/>
        </w:rPr>
      </w:pPr>
      <w:r>
        <w:rPr>
          <w:noProof/>
        </w:rPr>
        <w:t xml:space="preserve">Kaikkien tuettujen investointien on oltava </w:t>
      </w:r>
      <w:r>
        <w:rPr>
          <w:noProof/>
        </w:rPr>
        <w:t>taloudellisesti kannattavia.</w:t>
      </w:r>
    </w:p>
    <w:p w14:paraId="0E56EC59" w14:textId="77777777" w:rsidR="000E48CE" w:rsidRDefault="00FF4C4E">
      <w:pPr>
        <w:pStyle w:val="P68B1DB1-ListParagraph7"/>
        <w:numPr>
          <w:ilvl w:val="1"/>
          <w:numId w:val="745"/>
        </w:numPr>
        <w:spacing w:line="240" w:lineRule="auto"/>
        <w:jc w:val="both"/>
        <w:rPr>
          <w:rFonts w:eastAsia="Times New Roman" w:cs="Times New Roman"/>
          <w:noProof/>
        </w:rPr>
      </w:pPr>
      <w:r>
        <w:rPr>
          <w:noProof/>
        </w:rPr>
        <w:t xml:space="preserve">Kielto jälleenrahoittaa jäljellä olevia lainoja.  </w:t>
      </w:r>
    </w:p>
    <w:p w14:paraId="37B5D099" w14:textId="77777777" w:rsidR="000E48CE" w:rsidRDefault="00FF4C4E">
      <w:pPr>
        <w:pStyle w:val="P68B1DB1-ListParagraph7"/>
        <w:numPr>
          <w:ilvl w:val="1"/>
          <w:numId w:val="745"/>
        </w:numPr>
        <w:spacing w:line="240" w:lineRule="auto"/>
        <w:jc w:val="both"/>
        <w:rPr>
          <w:rFonts w:eastAsia="Times New Roman" w:cs="Times New Roman"/>
          <w:noProof/>
        </w:rPr>
      </w:pPr>
      <w:r>
        <w:rPr>
          <w:noProof/>
        </w:rPr>
        <w:t>Vaatimus noudattaa ”ei merkittävää haittaa” -periaatetta sellaisena kuin se on vahvistettu ”ei merkittävää haittaa” -periaatetta koskevissa teknisissä ohjeissa (2021/C58/01), e</w:t>
      </w:r>
      <w:r>
        <w:rPr>
          <w:noProof/>
        </w:rPr>
        <w:t xml:space="preserve">rityisesti: </w:t>
      </w:r>
    </w:p>
    <w:p w14:paraId="6CF4F264" w14:textId="6D012AC6" w:rsidR="000E48CE" w:rsidRDefault="00FF4C4E">
      <w:pPr>
        <w:pStyle w:val="ListParagraph"/>
        <w:numPr>
          <w:ilvl w:val="2"/>
          <w:numId w:val="745"/>
        </w:numPr>
        <w:jc w:val="both"/>
        <w:rPr>
          <w:rFonts w:ascii="Times New Roman" w:eastAsia="Times New Roman" w:hAnsi="Times New Roman" w:cs="Times New Roman"/>
          <w:noProof/>
          <w:sz w:val="24"/>
        </w:rPr>
      </w:pPr>
      <w:r>
        <w:rPr>
          <w:rFonts w:ascii="Times New Roman" w:hAnsi="Times New Roman"/>
          <w:noProof/>
          <w:sz w:val="24"/>
        </w:rPr>
        <w:t>Lainojen, hankejoukkolainojen tai vastaavien välineiden osalta: investointipolitiikassa on jätettävä tukikelpoisuuden ulkopuolelle seuraava luettelo toiminnoista ja omaisuuseristä: (I) fossiilisiin polttoaineisiin liittyvät toiminnot ja omaisu</w:t>
      </w:r>
      <w:r>
        <w:rPr>
          <w:rFonts w:ascii="Times New Roman" w:hAnsi="Times New Roman"/>
          <w:noProof/>
          <w:sz w:val="24"/>
        </w:rPr>
        <w:t>userät, mukaan lukien jatkokäyttö</w:t>
      </w:r>
      <w:r>
        <w:rPr>
          <w:rStyle w:val="FootnoteReference"/>
          <w:rFonts w:ascii="Times New Roman" w:eastAsia="Times New Roman" w:hAnsi="Times New Roman" w:cs="Times New Roman"/>
          <w:noProof/>
          <w:sz w:val="24"/>
        </w:rPr>
        <w:footnoteReference w:id="127"/>
      </w:r>
      <w:r>
        <w:rPr>
          <w:rFonts w:ascii="Times New Roman" w:hAnsi="Times New Roman"/>
          <w:noProof/>
          <w:sz w:val="24"/>
        </w:rPr>
        <w:t>, 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128"/>
      </w:r>
      <w:r>
        <w:rPr>
          <w:rFonts w:ascii="Times New Roman" w:hAnsi="Times New Roman"/>
          <w:noProof/>
          <w:sz w:val="24"/>
        </w:rPr>
        <w:t>, iii) kaatopaikkoihin, polttolaitoksiin ja mek</w:t>
      </w:r>
      <w:r>
        <w:rPr>
          <w:rFonts w:ascii="Times New Roman" w:hAnsi="Times New Roman"/>
          <w:noProof/>
          <w:sz w:val="24"/>
        </w:rPr>
        <w:t>aanisiin biologisiin käsittelylaitoksiin liittyvät toiminnot</w:t>
      </w:r>
      <w:r>
        <w:rPr>
          <w:rStyle w:val="FootnoteReference"/>
          <w:rFonts w:ascii="Times New Roman" w:hAnsi="Times New Roman" w:cs="Times New Roman"/>
          <w:noProof/>
          <w:sz w:val="24"/>
        </w:rPr>
        <w:footnoteReference w:id="129"/>
      </w:r>
      <w:r>
        <w:rPr>
          <w:rFonts w:ascii="Times New Roman" w:hAnsi="Times New Roman"/>
          <w:noProof/>
          <w:sz w:val="24"/>
        </w:rPr>
        <w:t xml:space="preserve"> ja omaisuus</w:t>
      </w:r>
      <w:r>
        <w:rPr>
          <w:rStyle w:val="FootnoteReference"/>
          <w:rFonts w:ascii="Times New Roman" w:hAnsi="Times New Roman" w:cs="Times New Roman"/>
          <w:noProof/>
          <w:sz w:val="24"/>
        </w:rPr>
        <w:footnoteReference w:id="130"/>
      </w:r>
      <w:r>
        <w:rPr>
          <w:rFonts w:ascii="Times New Roman" w:hAnsi="Times New Roman"/>
          <w:noProof/>
          <w:sz w:val="24"/>
        </w:rPr>
        <w:t>.  Oman pääoman ehtoisten, oman pääoman luonteisten instrumenttien, yritysjoukkolainojen tai vastaavien instrumenttien osalta:  investointipolitiikan ulkopuolelle on jätettävä yrityk</w:t>
      </w:r>
      <w:r>
        <w:rPr>
          <w:rFonts w:ascii="Times New Roman" w:hAnsi="Times New Roman"/>
          <w:noProof/>
          <w:sz w:val="24"/>
        </w:rPr>
        <w:t>set, jotka keskittyvät</w:t>
      </w:r>
      <w:r>
        <w:rPr>
          <w:rStyle w:val="FootnoteReference"/>
          <w:rFonts w:ascii="Times New Roman" w:eastAsia="Times New Roman" w:hAnsi="Times New Roman" w:cs="Times New Roman"/>
          <w:noProof/>
          <w:sz w:val="24"/>
        </w:rPr>
        <w:footnoteReference w:id="131"/>
      </w:r>
      <w:r>
        <w:rPr>
          <w:rFonts w:ascii="Times New Roman" w:hAnsi="Times New Roman"/>
          <w:noProof/>
          <w:sz w:val="24"/>
        </w:rPr>
        <w:t xml:space="preserve"> erityisesti seuraaviin aloihin: fossiilisiin polttoaineisiin perustuva energiantuotanto ja siihen liittyvä toiminta</w:t>
      </w:r>
      <w:r>
        <w:rPr>
          <w:rStyle w:val="FootnoteReference"/>
          <w:rFonts w:ascii="Times New Roman" w:eastAsia="Times New Roman" w:hAnsi="Times New Roman" w:cs="Times New Roman"/>
          <w:noProof/>
          <w:sz w:val="24"/>
        </w:rPr>
        <w:footnoteReference w:id="132"/>
      </w:r>
      <w:r>
        <w:rPr>
          <w:rFonts w:ascii="Times New Roman" w:hAnsi="Times New Roman"/>
          <w:noProof/>
          <w:sz w:val="24"/>
        </w:rPr>
        <w:t>; energiaintensiiviset ja/tai paljon hiilidioksidipäästöjä aiheuttavat teollisuudenalat</w:t>
      </w:r>
      <w:r>
        <w:rPr>
          <w:rStyle w:val="FootnoteReference"/>
          <w:rFonts w:ascii="Times New Roman" w:eastAsia="Times New Roman" w:hAnsi="Times New Roman" w:cs="Times New Roman"/>
          <w:noProof/>
          <w:sz w:val="24"/>
        </w:rPr>
        <w:footnoteReference w:id="133"/>
      </w:r>
      <w:r>
        <w:rPr>
          <w:rFonts w:ascii="Times New Roman" w:hAnsi="Times New Roman"/>
          <w:noProof/>
          <w:sz w:val="24"/>
        </w:rPr>
        <w:t xml:space="preserve">; saastuttavien ajoneuvojen </w:t>
      </w:r>
      <w:r>
        <w:rPr>
          <w:rFonts w:ascii="Times New Roman" w:hAnsi="Times New Roman"/>
          <w:noProof/>
          <w:sz w:val="24"/>
        </w:rPr>
        <w:t>tuotanto, vuokraus tai myynti</w:t>
      </w:r>
      <w:r>
        <w:rPr>
          <w:rStyle w:val="FootnoteReference"/>
          <w:rFonts w:ascii="Times New Roman" w:eastAsia="Times New Roman" w:hAnsi="Times New Roman" w:cs="Times New Roman"/>
          <w:noProof/>
          <w:sz w:val="24"/>
        </w:rPr>
        <w:footnoteReference w:id="134"/>
      </w:r>
      <w:r>
        <w:rPr>
          <w:rFonts w:ascii="Times New Roman" w:hAnsi="Times New Roman"/>
          <w:noProof/>
          <w:sz w:val="24"/>
        </w:rPr>
        <w:t>; jätteiden keruu, käsittely ja loppusijoitus</w:t>
      </w:r>
      <w:r>
        <w:rPr>
          <w:rStyle w:val="FootnoteReference"/>
          <w:rFonts w:ascii="Times New Roman" w:eastAsia="Times New Roman" w:hAnsi="Times New Roman" w:cs="Times New Roman"/>
          <w:noProof/>
          <w:sz w:val="24"/>
        </w:rPr>
        <w:footnoteReference w:id="135"/>
      </w:r>
      <w:r>
        <w:rPr>
          <w:rFonts w:ascii="Times New Roman" w:hAnsi="Times New Roman"/>
          <w:noProof/>
          <w:sz w:val="24"/>
        </w:rPr>
        <w:t>, v) ydinpolttoaineen käsittely ja ydinenergian tuotanto.</w:t>
      </w:r>
    </w:p>
    <w:p w14:paraId="07CDEDD8" w14:textId="77777777" w:rsidR="000E48CE" w:rsidRDefault="00FF4C4E">
      <w:pPr>
        <w:pStyle w:val="P68B1DB1-ListParagraph7"/>
        <w:numPr>
          <w:ilvl w:val="2"/>
          <w:numId w:val="745"/>
        </w:numPr>
        <w:jc w:val="both"/>
        <w:rPr>
          <w:rFonts w:eastAsia="Times New Roman" w:cs="Times New Roman"/>
          <w:noProof/>
        </w:rPr>
      </w:pPr>
      <w:r>
        <w:rPr>
          <w:noProof/>
        </w:rPr>
        <w:t>Lisäksi investointipolitiikassa on edellytettävä tukivälineen lopullisten edunsaajien asiaankuuluvan EU:n ja kansallisen y</w:t>
      </w:r>
      <w:r>
        <w:rPr>
          <w:noProof/>
        </w:rPr>
        <w:t>mpäristölainsäädännön noudattamista.</w:t>
      </w:r>
    </w:p>
    <w:p w14:paraId="022A3AD5" w14:textId="77777777" w:rsidR="000E48CE" w:rsidRDefault="00FF4C4E">
      <w:pPr>
        <w:pStyle w:val="P68B1DB1-ListParagraph7"/>
        <w:numPr>
          <w:ilvl w:val="1"/>
          <w:numId w:val="745"/>
        </w:numPr>
        <w:jc w:val="both"/>
        <w:rPr>
          <w:rFonts w:eastAsia="Times New Roman" w:cs="Times New Roman"/>
          <w:noProof/>
        </w:rPr>
      </w:pPr>
      <w:r>
        <w:rPr>
          <w:noProof/>
        </w:rPr>
        <w:t>Vaatimus, jonka mukaan lainajärjestelyn lopulliset edunsaajat eivät saa tukea muista unionin välineistä samojen kustannusten kattamiseksi.</w:t>
      </w:r>
    </w:p>
    <w:p w14:paraId="291FBC2C" w14:textId="54BBCD14" w:rsidR="000E48CE" w:rsidRDefault="00FF4C4E">
      <w:pPr>
        <w:pStyle w:val="P68B1DB1-ListParagraph7"/>
        <w:numPr>
          <w:ilvl w:val="0"/>
          <w:numId w:val="745"/>
        </w:numPr>
        <w:jc w:val="both"/>
        <w:rPr>
          <w:rFonts w:eastAsia="Times New Roman" w:cs="Times New Roman"/>
          <w:noProof/>
        </w:rPr>
      </w:pPr>
      <w:r>
        <w:rPr>
          <w:noProof/>
        </w:rPr>
        <w:t>Tukivälineen perustamisasetusten ja niihin liittyvien asiakirjojen kattama määrä</w:t>
      </w:r>
      <w:r>
        <w:rPr>
          <w:noProof/>
        </w:rPr>
        <w:t>, toteutuskumppanin maksurakenne ja vaatimus sijoittaa takaisin saadut varat tukivälineen investointipolitiikan mukaisesti, paitsi jos niitä käytetään elpymis- ja palautumistukivälineen lainojen takaisinmaksujen hoitamiseen.</w:t>
      </w:r>
    </w:p>
    <w:p w14:paraId="41829FB4" w14:textId="77777777" w:rsidR="000E48CE" w:rsidRDefault="00FF4C4E">
      <w:pPr>
        <w:pStyle w:val="P68B1DB1-ListParagraph7"/>
        <w:numPr>
          <w:ilvl w:val="0"/>
          <w:numId w:val="745"/>
        </w:numPr>
        <w:jc w:val="both"/>
        <w:rPr>
          <w:rFonts w:eastAsia="Times New Roman" w:cs="Times New Roman"/>
          <w:noProof/>
        </w:rPr>
      </w:pPr>
      <w:r>
        <w:rPr>
          <w:noProof/>
        </w:rPr>
        <w:t>Seuranta-, auditointi- ja valvo</w:t>
      </w:r>
      <w:r>
        <w:rPr>
          <w:noProof/>
        </w:rPr>
        <w:t>ntavaatimukset, mukaan lukien</w:t>
      </w:r>
    </w:p>
    <w:p w14:paraId="4B35A451" w14:textId="77777777" w:rsidR="000E48CE" w:rsidRDefault="00FF4C4E">
      <w:pPr>
        <w:pStyle w:val="P68B1DB1-ListParagraph7"/>
        <w:numPr>
          <w:ilvl w:val="1"/>
          <w:numId w:val="745"/>
        </w:numPr>
        <w:jc w:val="both"/>
        <w:rPr>
          <w:rFonts w:eastAsia="Times New Roman" w:cs="Times New Roman"/>
          <w:noProof/>
        </w:rPr>
      </w:pPr>
      <w:r>
        <w:rPr>
          <w:noProof/>
        </w:rPr>
        <w:t>Kuvaus toteutuskumppanin seurantajärjestelmästä, jolla raportoidaan liikkeelle saaduista investoinneista.</w:t>
      </w:r>
    </w:p>
    <w:p w14:paraId="63ED8ECA" w14:textId="77777777" w:rsidR="000E48CE" w:rsidRDefault="00FF4C4E">
      <w:pPr>
        <w:pStyle w:val="P68B1DB1-ListParagraph7"/>
        <w:numPr>
          <w:ilvl w:val="1"/>
          <w:numId w:val="745"/>
        </w:numPr>
        <w:jc w:val="both"/>
        <w:rPr>
          <w:rFonts w:eastAsia="Times New Roman" w:cs="Times New Roman"/>
          <w:noProof/>
        </w:rPr>
      </w:pPr>
      <w:r>
        <w:rPr>
          <w:noProof/>
        </w:rPr>
        <w:t>Kuvaus toteutuskumppanin menettelyistä, joilla varmistetaan petosten, lahjonnan ja eturistiriitojen ehkäiseminen, havait</w:t>
      </w:r>
      <w:r>
        <w:rPr>
          <w:noProof/>
        </w:rPr>
        <w:t xml:space="preserve">seminen ja korjaaminen. </w:t>
      </w:r>
    </w:p>
    <w:p w14:paraId="2B8BD3A5" w14:textId="507378C4" w:rsidR="000E48CE" w:rsidRDefault="00FF4C4E">
      <w:pPr>
        <w:pStyle w:val="P68B1DB1-ListParagraph7"/>
        <w:numPr>
          <w:ilvl w:val="1"/>
          <w:numId w:val="745"/>
        </w:numPr>
        <w:jc w:val="both"/>
        <w:rPr>
          <w:rFonts w:eastAsia="Times New Roman" w:cs="Times New Roman"/>
          <w:noProof/>
        </w:rPr>
      </w:pPr>
      <w:r>
        <w:rPr>
          <w:noProof/>
        </w:rPr>
        <w:t>Velvollisuus tarkistaa jokaisen toimen tukikelpoisuus rahaston perustamisasetuksissa vahvistettujen vaatimusten mukaisesti ennen kuin se sitoutuu rahoittamaan toimea.</w:t>
      </w:r>
    </w:p>
    <w:p w14:paraId="2E4328E0" w14:textId="5D1F4667" w:rsidR="000E48CE" w:rsidRDefault="00FF4C4E">
      <w:pPr>
        <w:pStyle w:val="P68B1DB1-ListParagraph7"/>
        <w:numPr>
          <w:ilvl w:val="1"/>
          <w:numId w:val="745"/>
        </w:numPr>
        <w:jc w:val="both"/>
        <w:rPr>
          <w:rFonts w:eastAsia="Times New Roman" w:cs="Times New Roman"/>
          <w:noProof/>
        </w:rPr>
      </w:pPr>
      <w:r>
        <w:rPr>
          <w:noProof/>
        </w:rPr>
        <w:t>Velvollisuus suorittaa riskiperusteisia jälkitarkastuksia COFIDE</w:t>
      </w:r>
      <w:r>
        <w:rPr>
          <w:noProof/>
        </w:rPr>
        <w:t>Sin tarkastussuunnitelman mukaisesti. Näillä tarkastuksilla on varmistettava i) valvontajärjestelmien tehokkuus, mukaan lukien petosten, lahjonnan ja eturistiriitojen havaitseminen; ”ei merkittävää haittaa” -periaatteen, valtiontukisääntöjen sekä ilmastota</w:t>
      </w:r>
      <w:r>
        <w:rPr>
          <w:noProof/>
        </w:rPr>
        <w:t>voitteita ja digitaalisia tavoitteita koskevien vaatimusten noudattaminen; ja iii) että noudatetaan vaatimusta, jonka mukaan välittäjän on todennettava, että lopullinen tuensaaja esittää vastuullisen ilmoituksen sen valvomiseksi, katetaanko samat kustannuk</w:t>
      </w:r>
      <w:r>
        <w:rPr>
          <w:noProof/>
        </w:rPr>
        <w:t xml:space="preserve">set toisesta unionin välineestä. Tarkastuksilla on myös varmistettava tapahtumien laillisuus ja se, että tukivälinettä ja rahoitussopimuksia koskevan sovellettavan asetuksen ja siihen liittyvien asiakirjojen ehtoja noudatetaan. </w:t>
      </w:r>
    </w:p>
    <w:p w14:paraId="6183DB3C" w14:textId="1785D899" w:rsidR="000E48CE" w:rsidRDefault="00FF4C4E">
      <w:pPr>
        <w:pStyle w:val="P68B1DB1-ListParagraph7"/>
        <w:numPr>
          <w:ilvl w:val="0"/>
          <w:numId w:val="745"/>
        </w:numPr>
        <w:jc w:val="both"/>
        <w:rPr>
          <w:rFonts w:eastAsia="Times New Roman" w:cs="Times New Roman"/>
          <w:noProof/>
        </w:rPr>
      </w:pPr>
      <w:r>
        <w:rPr>
          <w:noProof/>
        </w:rPr>
        <w:t>Rahoituksen välittäjien val</w:t>
      </w:r>
      <w:r>
        <w:rPr>
          <w:noProof/>
        </w:rPr>
        <w:t>intaa koskevat vaatimukset: COFIDES valitsee rahoituksen välittäjät avoimella, läpinäkyvällä ja syrjimättömällä tavalla. Rahoituksenvälittäjien eturistiriitojen puuttumista koskevat tarkastukset on suoritettava etukäteen kaikkien rahoitusalan toimijoiden o</w:t>
      </w:r>
      <w:r>
        <w:rPr>
          <w:noProof/>
        </w:rPr>
        <w:t xml:space="preserve">salta Minervan kaltaisen tietoteknisen järjestelmän kautta.  </w:t>
      </w:r>
    </w:p>
    <w:p w14:paraId="1A7E800A" w14:textId="373DEF41" w:rsidR="000E48CE" w:rsidRDefault="00FF4C4E">
      <w:pPr>
        <w:pStyle w:val="P68B1DB1-ListParagraph7"/>
        <w:numPr>
          <w:ilvl w:val="0"/>
          <w:numId w:val="745"/>
        </w:numPr>
        <w:jc w:val="both"/>
        <w:rPr>
          <w:rFonts w:eastAsia="Times New Roman" w:cs="Times New Roman"/>
          <w:noProof/>
        </w:rPr>
      </w:pPr>
      <w:r>
        <w:rPr>
          <w:noProof/>
        </w:rPr>
        <w:t>Rahoitussopimusten allekirjoittaminen: COFIDES allekirjoittaa rahoituksen välittäjien kanssa rahoitussopimukset niiden keskeisten vaatimusten mukaisesti, jotka esitetään osana tukivälineen perus</w:t>
      </w:r>
      <w:r>
        <w:rPr>
          <w:noProof/>
        </w:rPr>
        <w:t xml:space="preserve">tamisasiakirjoja. Rahoitussopimuksen keskeisiin vaatimuksiin on sisällyttävä kaikki vaatimukset, joiden mukaisesti lainajärjestely toimii, mukaan lukien seuraavat:  </w:t>
      </w:r>
    </w:p>
    <w:p w14:paraId="7FAEF67A" w14:textId="211B2007" w:rsidR="000E48CE" w:rsidRDefault="00FF4C4E">
      <w:pPr>
        <w:pStyle w:val="P68B1DB1-ListParagraph7"/>
        <w:numPr>
          <w:ilvl w:val="1"/>
          <w:numId w:val="745"/>
        </w:numPr>
        <w:jc w:val="both"/>
        <w:rPr>
          <w:rFonts w:cs="Times New Roman"/>
          <w:noProof/>
        </w:rPr>
      </w:pPr>
      <w:bookmarkStart w:id="40" w:name="_Hlk139304194"/>
      <w:r>
        <w:rPr>
          <w:noProof/>
        </w:rPr>
        <w:t xml:space="preserve">Rahoituksen välittäjän velvollisuus tehdä päätöksensä noudattaen </w:t>
      </w:r>
      <w:r>
        <w:rPr>
          <w:i/>
          <w:noProof/>
        </w:rPr>
        <w:t>soveltuvin osin</w:t>
      </w:r>
      <w:r>
        <w:rPr>
          <w:noProof/>
        </w:rPr>
        <w:t xml:space="preserve"> edellä tä</w:t>
      </w:r>
      <w:r>
        <w:rPr>
          <w:noProof/>
        </w:rPr>
        <w:t xml:space="preserve">smennettyjä päätöksentekoa ja sijoituspolitiikkaa koskevia vaatimuksia, mukaan lukien ”ei merkittävää haittaa” -periaatteen noudattaminen. </w:t>
      </w:r>
    </w:p>
    <w:p w14:paraId="7632968F" w14:textId="28A85F92" w:rsidR="000E48CE" w:rsidRDefault="00FF4C4E">
      <w:pPr>
        <w:pStyle w:val="P68B1DB1-ListParagraph7"/>
        <w:numPr>
          <w:ilvl w:val="1"/>
          <w:numId w:val="745"/>
        </w:numPr>
        <w:jc w:val="both"/>
        <w:rPr>
          <w:rFonts w:cs="Times New Roman"/>
          <w:noProof/>
        </w:rPr>
      </w:pPr>
      <w:r>
        <w:rPr>
          <w:noProof/>
        </w:rPr>
        <w:t xml:space="preserve">Kuvaus seuranta-, tarkastus- ja valvontakehyksestä, joka rahoituksen välittäjän on otettava käyttöön ja johon </w:t>
      </w:r>
      <w:r>
        <w:rPr>
          <w:i/>
          <w:noProof/>
        </w:rPr>
        <w:t>sovell</w:t>
      </w:r>
      <w:r>
        <w:rPr>
          <w:i/>
          <w:noProof/>
        </w:rPr>
        <w:t>etaan soveltuvin osin</w:t>
      </w:r>
      <w:r>
        <w:rPr>
          <w:noProof/>
        </w:rPr>
        <w:t xml:space="preserve"> kaikkia edellä määriteltyjä seuranta-, tarkastus- ja valvontavaatimuksia.  </w:t>
      </w:r>
    </w:p>
    <w:bookmarkEnd w:id="38"/>
    <w:p w14:paraId="0DC6F00D" w14:textId="77777777" w:rsidR="000E48CE" w:rsidRDefault="00FF4C4E">
      <w:pPr>
        <w:pStyle w:val="P68B1DB1-Normal4"/>
        <w:spacing w:line="240" w:lineRule="auto"/>
        <w:jc w:val="both"/>
        <w:rPr>
          <w:rFonts w:eastAsia="Times New Roman" w:cs="Times New Roman"/>
          <w:noProof/>
        </w:rPr>
      </w:pPr>
      <w:r>
        <w:rPr>
          <w:noProof/>
        </w:rPr>
        <w:t>Toimenpiteen täytäntöönpano on saatettava päätökseen viimeistään 31 päivänä elokuuta 2026.</w:t>
      </w:r>
    </w:p>
    <w:bookmarkEnd w:id="40"/>
    <w:p w14:paraId="23F3DF31" w14:textId="790E6F5B" w:rsidR="000E48CE" w:rsidRDefault="00FF4C4E">
      <w:pPr>
        <w:pStyle w:val="P68B1DB1-Normal6"/>
        <w:spacing w:line="240" w:lineRule="auto"/>
        <w:jc w:val="both"/>
        <w:rPr>
          <w:rFonts w:cs="Times New Roman"/>
          <w:noProof/>
        </w:rPr>
      </w:pPr>
      <w:r>
        <w:rPr>
          <w:noProof/>
        </w:rPr>
        <w:t xml:space="preserve">Investointi 9 (C13.I9) – Strategisten yritysten </w:t>
      </w:r>
      <w:r>
        <w:rPr>
          <w:noProof/>
        </w:rPr>
        <w:t>vakavaraisuustukirahasto (FASEE)</w:t>
      </w:r>
    </w:p>
    <w:p w14:paraId="5DC624AE" w14:textId="0DEAAB55" w:rsidR="000E48CE" w:rsidRDefault="00FF4C4E">
      <w:pPr>
        <w:pStyle w:val="P68B1DB1-Normal4"/>
        <w:spacing w:line="240" w:lineRule="auto"/>
        <w:jc w:val="both"/>
        <w:rPr>
          <w:rFonts w:cs="Times New Roman"/>
          <w:noProof/>
        </w:rPr>
      </w:pPr>
      <w:r>
        <w:rPr>
          <w:noProof/>
        </w:rPr>
        <w:t>Tämä investointi koostuu yritysten strategisesta vakavaraisuustukirahastosta, joka tarjoaa väliaikaista vakavaraisuustukea elinkelpoisille ja strategisille yrityksille taloudellisesti strategisilla aloilla, joihin covid-19-</w:t>
      </w:r>
      <w:r>
        <w:rPr>
          <w:noProof/>
        </w:rPr>
        <w:t>pandemia vaikuttaa. Tämä investointi kattaa ainoastaan toimet, jotka ovat ”ei merkittävää haittaa” -periaatteen, valtiontukisääntöjen, eturistiriitojen puuttumisen ja päällekkäisen rahoituksen periaatteen mukaisia. Riippumattoman tarkastajan on tehtävä jäl</w:t>
      </w:r>
      <w:r>
        <w:rPr>
          <w:noProof/>
        </w:rPr>
        <w:t xml:space="preserve">kitarkastus näiden vaatimusten täyttymisen ja elpymis- ja palautumistukivälinettä koskevan asetuksen 22 artiklassa säädetyn tiedonkeruun todentamiseksi. </w:t>
      </w:r>
    </w:p>
    <w:p w14:paraId="3D70B6E5" w14:textId="5FFDBA70" w:rsidR="000E48CE" w:rsidRDefault="00FF4C4E">
      <w:pPr>
        <w:pStyle w:val="P68B1DB1-Normal4"/>
        <w:spacing w:line="240" w:lineRule="auto"/>
        <w:jc w:val="both"/>
        <w:rPr>
          <w:rFonts w:eastAsia="Times New Roman" w:cs="Times New Roman"/>
          <w:noProof/>
        </w:rPr>
      </w:pPr>
      <w:r>
        <w:rPr>
          <w:noProof/>
        </w:rPr>
        <w:t>Kaikki rahaston toimiin liittyvät takaisin saatavat varat sijoitetaan uudelleen samalla tavalla, kunne</w:t>
      </w:r>
      <w:r>
        <w:rPr>
          <w:noProof/>
        </w:rPr>
        <w:t>s ne käytetään elpymis- ja palautumistukivälineen lainojen takaisinmaksuun.</w:t>
      </w:r>
    </w:p>
    <w:p w14:paraId="3FD64375" w14:textId="3F0A0ED4" w:rsidR="000E48CE" w:rsidRDefault="00FF4C4E">
      <w:pPr>
        <w:pStyle w:val="P68B1DB1-Normal4"/>
        <w:spacing w:line="240" w:lineRule="auto"/>
        <w:jc w:val="both"/>
        <w:rPr>
          <w:rFonts w:eastAsia="Times New Roman" w:cs="Times New Roman"/>
          <w:noProof/>
        </w:rPr>
      </w:pPr>
      <w:r>
        <w:rPr>
          <w:noProof/>
        </w:rPr>
        <w:t>Toimenpiteen täytäntöönpano on saatettava päätökseen viimeistään 30 päivänä kesäkuuta 2024.</w:t>
      </w:r>
    </w:p>
    <w:p w14:paraId="0516DAEF" w14:textId="13F6AB23" w:rsidR="000E48CE" w:rsidRDefault="00FF4C4E">
      <w:pPr>
        <w:pStyle w:val="P68B1DB1-Normal6"/>
        <w:spacing w:line="240" w:lineRule="auto"/>
        <w:jc w:val="both"/>
        <w:rPr>
          <w:rFonts w:cs="Times New Roman"/>
          <w:noProof/>
        </w:rPr>
      </w:pPr>
      <w:r>
        <w:rPr>
          <w:noProof/>
        </w:rPr>
        <w:t>Sijoitus 10 (C13.I10) – Covid-19-pandemiaan liittyvä yritysten pääomapohjan vahvistamisr</w:t>
      </w:r>
      <w:r>
        <w:rPr>
          <w:noProof/>
        </w:rPr>
        <w:t>ahasto (FONREC)</w:t>
      </w:r>
    </w:p>
    <w:p w14:paraId="58D9A79D" w14:textId="629A39B2" w:rsidR="000E48CE" w:rsidRDefault="00FF4C4E">
      <w:pPr>
        <w:pStyle w:val="P68B1DB1-Normal4"/>
        <w:spacing w:line="240" w:lineRule="auto"/>
        <w:jc w:val="both"/>
        <w:rPr>
          <w:rFonts w:eastAsia="Times New Roman" w:cs="Times New Roman"/>
          <w:noProof/>
        </w:rPr>
      </w:pPr>
      <w:r>
        <w:rPr>
          <w:noProof/>
        </w:rPr>
        <w:t>Investointi koostuu covid-19-pandemiaan liittyvästä yritysten pääomapohjan vahvistamisrahastosta, joka tarjoaa väliaikaista vakavaraisuustukea elinkelpoisille keskisuurille yrityksille (10–400 miljoonan euron liikevaihto), joihin covid-19-p</w:t>
      </w:r>
      <w:r>
        <w:rPr>
          <w:noProof/>
        </w:rPr>
        <w:t>andemia vaikutti. Tämä investointi kattaa ainoastaan toimet, jotka ovat ”ei merkittävää haittaa” -periaatteen, valtiontukisääntöjen, eturistiriitojen puuttumisen ja päällekkäisen rahoituksen periaatteen mukaisia. Riippumattoman tarkastajan on tehtävä jälki</w:t>
      </w:r>
      <w:r>
        <w:rPr>
          <w:noProof/>
        </w:rPr>
        <w:t xml:space="preserve">tarkastus näiden vaatimusten täyttymisen ja elpymis- ja palautumistukivälinettä koskevan asetuksen 22 artiklassa säädetyn tiedonkeruun todentamiseksi. </w:t>
      </w:r>
    </w:p>
    <w:p w14:paraId="028BA1F7" w14:textId="23E64E01" w:rsidR="000E48CE" w:rsidRDefault="00FF4C4E">
      <w:pPr>
        <w:pStyle w:val="P68B1DB1-Normal4"/>
        <w:spacing w:line="240" w:lineRule="auto"/>
        <w:jc w:val="both"/>
        <w:rPr>
          <w:rFonts w:eastAsia="Times New Roman" w:cs="Times New Roman"/>
          <w:noProof/>
        </w:rPr>
      </w:pPr>
      <w:r>
        <w:rPr>
          <w:noProof/>
        </w:rPr>
        <w:t xml:space="preserve">Kaikki rahaston toimiin liittyvät takaisin saatavat varat sijoitetaan uudelleen samalla tavalla, kunnes </w:t>
      </w:r>
      <w:r>
        <w:rPr>
          <w:noProof/>
        </w:rPr>
        <w:t>ne käytetään elpymis- ja palautumistukivälineen lainojen takaisinmaksuun.</w:t>
      </w:r>
    </w:p>
    <w:p w14:paraId="00630E32" w14:textId="3A62C748" w:rsidR="000E48CE" w:rsidRDefault="00FF4C4E">
      <w:pPr>
        <w:pStyle w:val="P68B1DB1-Normal4"/>
        <w:spacing w:line="240" w:lineRule="auto"/>
        <w:jc w:val="both"/>
        <w:rPr>
          <w:rFonts w:eastAsia="Times New Roman" w:cs="Times New Roman"/>
          <w:noProof/>
        </w:rPr>
      </w:pPr>
      <w:r>
        <w:rPr>
          <w:noProof/>
        </w:rPr>
        <w:t>Toimenpiteen täytäntöönpano on saatettava päätökseen viimeistään 30 päivänä kesäkuuta 2025.</w:t>
      </w:r>
    </w:p>
    <w:p w14:paraId="6AE575C2" w14:textId="77777777" w:rsidR="000E48CE" w:rsidRDefault="00FF4C4E">
      <w:pPr>
        <w:pStyle w:val="P68B1DB1-Normal6"/>
        <w:spacing w:line="240" w:lineRule="auto"/>
        <w:jc w:val="both"/>
        <w:rPr>
          <w:rFonts w:cs="Times New Roman"/>
          <w:noProof/>
        </w:rPr>
      </w:pPr>
      <w:r>
        <w:rPr>
          <w:noProof/>
        </w:rPr>
        <w:t>Sijoitus 11 (C13.I11) – Takuuväline SGR-CERSA</w:t>
      </w:r>
    </w:p>
    <w:p w14:paraId="7FE38B5C" w14:textId="6E240A57" w:rsidR="000E48CE" w:rsidRDefault="00FF4C4E">
      <w:pPr>
        <w:pStyle w:val="P68B1DB1-Normal4"/>
        <w:spacing w:line="240" w:lineRule="auto"/>
        <w:jc w:val="both"/>
        <w:rPr>
          <w:rFonts w:cs="Times New Roman"/>
          <w:noProof/>
        </w:rPr>
      </w:pPr>
      <w:r>
        <w:rPr>
          <w:noProof/>
        </w:rPr>
        <w:t>Tämän investoinnin tarkoituksena on täydentä</w:t>
      </w:r>
      <w:r>
        <w:rPr>
          <w:noProof/>
        </w:rPr>
        <w:t>ä toimenpidettä C13.I2. Se parantaa pk-yritysten ja markkina-arvoltaan keskisuurten yritysten rahoituksen saantia tukemalla rahoitustakuiden, kaupallisten ja teknisten takuiden muodossa vahvistamalla Compañia Española de Reafianzamiento SME S.A:ta (CERSA).</w:t>
      </w:r>
      <w:r>
        <w:rPr>
          <w:noProof/>
        </w:rPr>
        <w:t xml:space="preserve"> Osana tätä toimintalinjaa CERSA antaa pitkäaikaista tukea vastatakauksensa kautta alueellisille keskinäisten takausten yhdistyksille (SGR) niiden kantaman riskin tukemiseksi. CERSA edistää pk-yritysten ja markkina-arvoltaan keskisuurten yritysten kilpailu</w:t>
      </w:r>
      <w:r>
        <w:rPr>
          <w:noProof/>
        </w:rPr>
        <w:t>kykyä ja häiriönsietokykyä myös kolmella uudella erityisellä budjettikohdasta, jotka mahdollistavat pitkäaikaisen rahoituksen ja käyttöpääoman toimien saatavuuden tämän investoinnin puitteissa seuraavilla aloilla: digitalisaatio kestävyys; kasvu ja elpymin</w:t>
      </w:r>
      <w:r>
        <w:rPr>
          <w:noProof/>
        </w:rPr>
        <w:t>en (kestävyyttä vahvistetaan pääasiassa niiden pk-yritysten osalta, joihin covid-19-pandemia on vaikuttanut ja jotka ovat valmiita toteuttamaan merkittäviä muutos- ja kasvusuunnitelmia). Digitaali-innovointikeskittymät ja muut aloitteet, joilla yrityksille</w:t>
      </w:r>
      <w:r>
        <w:rPr>
          <w:noProof/>
        </w:rPr>
        <w:t xml:space="preserve"> tiedotetaan saatavilla olevasta digitalisaatiotuesta, edistävät CERSAn ja SGR:ien mukaisia takuita.</w:t>
      </w:r>
    </w:p>
    <w:p w14:paraId="214C2E76" w14:textId="2A00B354" w:rsidR="000E48CE" w:rsidRDefault="00FF4C4E">
      <w:pPr>
        <w:pStyle w:val="P68B1DB1-Normal4"/>
        <w:spacing w:line="240" w:lineRule="auto"/>
        <w:jc w:val="both"/>
        <w:rPr>
          <w:rFonts w:cs="Times New Roman"/>
          <w:noProof/>
        </w:rPr>
      </w:pPr>
      <w:r>
        <w:rPr>
          <w:noProof/>
        </w:rPr>
        <w:t>Elpymis- ja palautumistukivälineen 630000000 euron investoinnin perusteella CERSA pyrkii aluksi myöntämään rahoitusta vähintään 2100000000 euroa.</w:t>
      </w:r>
    </w:p>
    <w:p w14:paraId="58BE6325" w14:textId="77777777" w:rsidR="000E48CE" w:rsidRDefault="00FF4C4E">
      <w:pPr>
        <w:pStyle w:val="P68B1DB1-Normal4"/>
        <w:spacing w:line="240" w:lineRule="auto"/>
        <w:jc w:val="both"/>
        <w:rPr>
          <w:rFonts w:eastAsia="Times New Roman" w:cs="Times New Roman"/>
          <w:noProof/>
        </w:rPr>
      </w:pPr>
      <w:r>
        <w:rPr>
          <w:noProof/>
        </w:rPr>
        <w:t>Toimenpit</w:t>
      </w:r>
      <w:r>
        <w:rPr>
          <w:noProof/>
        </w:rPr>
        <w:t>een täytäntöönpano on saatettava päätökseen viimeistään 31 päivänä elokuuta 2026.</w:t>
      </w:r>
    </w:p>
    <w:p w14:paraId="57663A3D" w14:textId="77777777" w:rsidR="000E48CE" w:rsidRDefault="00FF4C4E">
      <w:pPr>
        <w:pStyle w:val="P68B1DB1-Normal6"/>
        <w:spacing w:line="240" w:lineRule="auto"/>
        <w:rPr>
          <w:rFonts w:cs="Times New Roman"/>
          <w:noProof/>
        </w:rPr>
      </w:pPr>
      <w:r>
        <w:rPr>
          <w:noProof/>
        </w:rPr>
        <w:t>Investointi 12 (</w:t>
      </w:r>
      <w:bookmarkStart w:id="41" w:name="_Hlk141289377"/>
      <w:r>
        <w:rPr>
          <w:noProof/>
        </w:rPr>
        <w:t>C13.I12) – ENISAn Yrittäjyys- ja pk-yritysrahasto</w:t>
      </w:r>
      <w:bookmarkEnd w:id="41"/>
    </w:p>
    <w:p w14:paraId="1ACF6A29" w14:textId="76ABBE32" w:rsidR="000E48CE" w:rsidRDefault="00FF4C4E">
      <w:pPr>
        <w:pStyle w:val="P68B1DB1-Normal4"/>
        <w:jc w:val="both"/>
        <w:rPr>
          <w:rFonts w:cs="Times New Roman"/>
          <w:noProof/>
        </w:rPr>
      </w:pPr>
      <w:r>
        <w:rPr>
          <w:noProof/>
        </w:rPr>
        <w:t>Tämä toimenpide koostuu julkisesta investoinnista investointikehykseen, ENISAn yrittäjyys- ja pk-yritysrahas</w:t>
      </w:r>
      <w:r>
        <w:rPr>
          <w:noProof/>
        </w:rPr>
        <w:t>toon, jotta voidaan kannustaa yksityisiä investointeja ja parantaa pienten ja keskisuurten yritysten, jäljempänä ’pk-yritykset’, rahoituksen saantia, jotta ne voivat investoida toteuttamiskelpoisiin ja innovatiivisiin hankkeisiin ja hankkeisiin, jotka liit</w:t>
      </w:r>
      <w:r>
        <w:rPr>
          <w:noProof/>
        </w:rPr>
        <w:t>tyvät kieliteknologiaan osana uutta kielitaloutta (PERTE New Economy of the Language, NEL). Investointikehys toimii myöntämällä osallistavia lainoja suoraan yksityiselle sektorille sekä vastaavaa toimintaa harjoittaville julkisyhteisöille ja julkisoikeudel</w:t>
      </w:r>
      <w:r>
        <w:rPr>
          <w:noProof/>
        </w:rPr>
        <w:t>lisille laitoksille. Elpymis- ja palautumistukivälineen investointien perusteella tukivälineestä on alun perin tarkoitus myöntää rahoitusta vähintään 303000000 euroa.</w:t>
      </w:r>
    </w:p>
    <w:p w14:paraId="439990B7" w14:textId="77777777" w:rsidR="000E48CE" w:rsidRDefault="00FF4C4E">
      <w:pPr>
        <w:pStyle w:val="P68B1DB1-LegalNumPar230"/>
        <w:numPr>
          <w:ilvl w:val="1"/>
          <w:numId w:val="0"/>
        </w:numPr>
        <w:spacing w:line="240" w:lineRule="auto"/>
        <w:jc w:val="both"/>
        <w:rPr>
          <w:rFonts w:cs="Times New Roman"/>
          <w:noProof/>
        </w:rPr>
      </w:pPr>
      <w:r>
        <w:rPr>
          <w:noProof/>
        </w:rPr>
        <w:t>Välinettä hallinnoi toteutuskumppanina toimiva valtion innovaatioyritys (Empresa Nacional</w:t>
      </w:r>
      <w:r>
        <w:rPr>
          <w:noProof/>
        </w:rPr>
        <w:t xml:space="preserve"> de Innovación, SA – ENISA). </w:t>
      </w:r>
    </w:p>
    <w:p w14:paraId="75519CE9" w14:textId="1DC569E6" w:rsidR="000E48CE" w:rsidRDefault="00FF4C4E">
      <w:pPr>
        <w:pStyle w:val="P68B1DB1-LegalNumPar230"/>
        <w:numPr>
          <w:ilvl w:val="1"/>
          <w:numId w:val="0"/>
        </w:numPr>
        <w:spacing w:line="240" w:lineRule="auto"/>
        <w:jc w:val="both"/>
        <w:rPr>
          <w:rFonts w:cs="Times New Roman"/>
          <w:noProof/>
        </w:rPr>
      </w:pPr>
      <w:r>
        <w:rPr>
          <w:noProof/>
        </w:rPr>
        <w:t>Espanja ja ENISA allekirjoittavat lainajärjestelyyn tehtävän investoinnin toteuttamiseksi täytäntöönpanosopimuksen, jonka sisältö on seuraava:</w:t>
      </w:r>
    </w:p>
    <w:p w14:paraId="1B9FEF74" w14:textId="650190A0" w:rsidR="000E48CE" w:rsidRDefault="00FF4C4E">
      <w:pPr>
        <w:pStyle w:val="P68B1DB1-LegalNumPar29"/>
        <w:numPr>
          <w:ilvl w:val="0"/>
          <w:numId w:val="777"/>
        </w:numPr>
        <w:jc w:val="both"/>
        <w:rPr>
          <w:rFonts w:eastAsia="Times New Roman" w:cs="Times New Roman"/>
          <w:noProof/>
        </w:rPr>
      </w:pPr>
      <w:r>
        <w:rPr>
          <w:noProof/>
        </w:rPr>
        <w:t>Kuvaus tukivälineen päätöksentekoprosessista: Investointikomitea tekee investointir</w:t>
      </w:r>
      <w:r>
        <w:rPr>
          <w:noProof/>
        </w:rPr>
        <w:t>ahaston ensimmäisen investointipäätöksen, joka hyväksytään Espanjan hallituksesta riippumattomien jäsenten äänten enemmistöllä. ENISAn tapauksessa investointikomiteaan kuuluvat ENISAn henkilöstön jäsenet (jotka ovat riippumattomia hallituksesta). Investoin</w:t>
      </w:r>
      <w:r>
        <w:rPr>
          <w:noProof/>
        </w:rPr>
        <w:t>tikehyksen lopullinen investointipäätös rajoitetaan investointikomitean tai vastaavan hallintoelimen ehdottaman investointipäätöksen hyväksymiseen (muutoksitta) tai veto-oikeuden käyttämiseen. </w:t>
      </w:r>
    </w:p>
    <w:p w14:paraId="1A8676AB" w14:textId="77777777" w:rsidR="000E48CE" w:rsidRDefault="00FF4C4E">
      <w:pPr>
        <w:pStyle w:val="P68B1DB1-LegalNumPar29"/>
        <w:numPr>
          <w:ilvl w:val="0"/>
          <w:numId w:val="777"/>
        </w:numPr>
        <w:jc w:val="both"/>
        <w:rPr>
          <w:rFonts w:cs="Times New Roman"/>
          <w:noProof/>
        </w:rPr>
      </w:pPr>
      <w:r>
        <w:rPr>
          <w:noProof/>
        </w:rPr>
        <w:t>Asiaan liittyvän sijoituspolitiikan keskeiset vaatimukset,</w:t>
      </w:r>
      <w:r>
        <w:rPr>
          <w:b/>
          <w:noProof/>
        </w:rPr>
        <w:t xml:space="preserve"> </w:t>
      </w:r>
      <w:r>
        <w:rPr>
          <w:noProof/>
        </w:rPr>
        <w:t>joi</w:t>
      </w:r>
      <w:r>
        <w:rPr>
          <w:noProof/>
        </w:rPr>
        <w:t>ta ovat muun muassa seuraavat:</w:t>
      </w:r>
    </w:p>
    <w:p w14:paraId="53167A26" w14:textId="77777777" w:rsidR="000E48CE" w:rsidRDefault="00FF4C4E">
      <w:pPr>
        <w:pStyle w:val="P68B1DB1-LegalNumPar230"/>
        <w:numPr>
          <w:ilvl w:val="1"/>
          <w:numId w:val="777"/>
        </w:numPr>
        <w:rPr>
          <w:rFonts w:cs="Times New Roman"/>
          <w:noProof/>
        </w:rPr>
      </w:pPr>
      <w:r>
        <w:rPr>
          <w:noProof/>
        </w:rPr>
        <w:t xml:space="preserve">Rahoitustuotteen ja tukikelpoisten lopullisten tuensaajien kuvaus toimenpiteen kuvauksen mukaisesti.   </w:t>
      </w:r>
    </w:p>
    <w:p w14:paraId="2058F386" w14:textId="77777777" w:rsidR="000E48CE" w:rsidRDefault="00FF4C4E">
      <w:pPr>
        <w:pStyle w:val="P68B1DB1-LegalNumPar230"/>
        <w:numPr>
          <w:ilvl w:val="1"/>
          <w:numId w:val="777"/>
        </w:numPr>
        <w:rPr>
          <w:rFonts w:cs="Times New Roman"/>
          <w:noProof/>
        </w:rPr>
      </w:pPr>
      <w:r>
        <w:rPr>
          <w:noProof/>
        </w:rPr>
        <w:t>Kaikkien tuettujen investointien on oltava taloudellisesti kannattavia</w:t>
      </w:r>
      <w:r>
        <w:rPr>
          <w:b/>
          <w:noProof/>
        </w:rPr>
        <w:t>.</w:t>
      </w:r>
    </w:p>
    <w:p w14:paraId="0F832EDA" w14:textId="77777777" w:rsidR="000E48CE" w:rsidRDefault="00FF4C4E">
      <w:pPr>
        <w:pStyle w:val="P68B1DB1-LegalNumPar230"/>
        <w:numPr>
          <w:ilvl w:val="1"/>
          <w:numId w:val="777"/>
        </w:numPr>
        <w:rPr>
          <w:rFonts w:cs="Times New Roman"/>
          <w:noProof/>
        </w:rPr>
      </w:pPr>
      <w:r>
        <w:rPr>
          <w:noProof/>
        </w:rPr>
        <w:t>Kielto jälleenrahoittaa jäljellä olevia lainoja.</w:t>
      </w:r>
    </w:p>
    <w:p w14:paraId="36A92C80" w14:textId="77777777" w:rsidR="000E48CE" w:rsidRDefault="00FF4C4E">
      <w:pPr>
        <w:pStyle w:val="P68B1DB1-LegalNumPar230"/>
        <w:numPr>
          <w:ilvl w:val="1"/>
          <w:numId w:val="777"/>
        </w:numPr>
        <w:rPr>
          <w:rFonts w:cs="Times New Roman"/>
          <w:noProof/>
        </w:rPr>
      </w:pPr>
      <w:r>
        <w:rPr>
          <w:noProof/>
        </w:rPr>
        <w:t xml:space="preserve">Vaatimus noudattaa ”ei merkittävää haittaa” -periaatetta sellaisena kuin se on vahvistettu ”ei merkittävää haittaa” -periaatetta koskevissa teknisissä ohjeissa (2021/C58/01), erityisesti: </w:t>
      </w:r>
    </w:p>
    <w:p w14:paraId="7796D9D1" w14:textId="08163042" w:rsidR="000E48CE" w:rsidRDefault="00FF4C4E">
      <w:pPr>
        <w:pStyle w:val="LegalNumPar2"/>
        <w:numPr>
          <w:ilvl w:val="2"/>
          <w:numId w:val="777"/>
        </w:numPr>
        <w:spacing w:line="240" w:lineRule="auto"/>
        <w:jc w:val="both"/>
        <w:rPr>
          <w:rFonts w:ascii="Times New Roman" w:hAnsi="Times New Roman" w:cs="Times New Roman"/>
          <w:noProof/>
          <w:sz w:val="24"/>
        </w:rPr>
      </w:pPr>
      <w:r>
        <w:rPr>
          <w:rFonts w:ascii="Times New Roman" w:hAnsi="Times New Roman"/>
          <w:noProof/>
          <w:sz w:val="24"/>
        </w:rPr>
        <w:t xml:space="preserve">investointipolitiikassa on jätettävä tukikelpoisuuden ulkopuolelle </w:t>
      </w:r>
      <w:r>
        <w:rPr>
          <w:rFonts w:ascii="Times New Roman" w:hAnsi="Times New Roman"/>
          <w:noProof/>
          <w:sz w:val="24"/>
        </w:rPr>
        <w:t>seuraava luettelo toiminnoista ja omaisuuseristä: (I) fossiilisiin polttoaineisiin liittyvät toiminnot ja omaisuuserät, mukaan lukien jatkokäyttö</w:t>
      </w:r>
      <w:r>
        <w:rPr>
          <w:rStyle w:val="FootnoteReference"/>
          <w:rFonts w:ascii="Times New Roman" w:hAnsi="Times New Roman" w:cs="Times New Roman"/>
          <w:noProof/>
          <w:sz w:val="24"/>
        </w:rPr>
        <w:footnoteReference w:id="136"/>
      </w:r>
      <w:r>
        <w:rPr>
          <w:rFonts w:ascii="Times New Roman" w:hAnsi="Times New Roman"/>
          <w:noProof/>
          <w:sz w:val="24"/>
        </w:rPr>
        <w:t>, ii) EU:n päästökauppajärjestelmään kuuluvat toiminnot ja omaisuuserät, joilla saavutetaan ennustetut kasvihu</w:t>
      </w:r>
      <w:r>
        <w:rPr>
          <w:rFonts w:ascii="Times New Roman" w:hAnsi="Times New Roman"/>
          <w:noProof/>
          <w:sz w:val="24"/>
        </w:rPr>
        <w:t>onekaasupäästöt, jotka eivät alita asiaankuuluvia vertailuarvoja</w:t>
      </w:r>
      <w:r>
        <w:rPr>
          <w:rStyle w:val="FootnoteReference"/>
          <w:rFonts w:ascii="Times New Roman" w:hAnsi="Times New Roman" w:cs="Times New Roman"/>
          <w:noProof/>
          <w:sz w:val="24"/>
        </w:rPr>
        <w:footnoteReference w:id="137"/>
      </w:r>
      <w:r>
        <w:rPr>
          <w:rFonts w:ascii="Times New Roman" w:hAnsi="Times New Roman"/>
          <w:noProof/>
          <w:sz w:val="24"/>
        </w:rPr>
        <w:t xml:space="preserve">, iii) kaatopaikkoihin, polttolaitoksiin ja mekaanisiin biologisiin käsittelylaitoksiin liittyvät toiminnot ja omaisuus. </w:t>
      </w:r>
    </w:p>
    <w:p w14:paraId="712F106C" w14:textId="5645F731" w:rsidR="000E48CE" w:rsidRDefault="00FF4C4E">
      <w:pPr>
        <w:pStyle w:val="P68B1DB1-LegalNumPar230"/>
        <w:numPr>
          <w:ilvl w:val="2"/>
          <w:numId w:val="777"/>
        </w:numPr>
        <w:spacing w:line="240" w:lineRule="auto"/>
        <w:jc w:val="both"/>
        <w:rPr>
          <w:rFonts w:cs="Times New Roman"/>
          <w:noProof/>
        </w:rPr>
      </w:pPr>
      <w:r>
        <w:rPr>
          <w:noProof/>
        </w:rPr>
        <w:t>investointipolitiikka edellyttää tukivälineen lopullisten edunsaajien</w:t>
      </w:r>
      <w:r>
        <w:rPr>
          <w:noProof/>
        </w:rPr>
        <w:t xml:space="preserve"> asiaankuuluvan EU:n ja kansallisen ympäristölainsäädännön noudattamista.</w:t>
      </w:r>
    </w:p>
    <w:p w14:paraId="51AB1F5E" w14:textId="77777777" w:rsidR="000E48CE" w:rsidRDefault="00FF4C4E">
      <w:pPr>
        <w:pStyle w:val="P68B1DB1-ListParagraph7"/>
        <w:numPr>
          <w:ilvl w:val="1"/>
          <w:numId w:val="777"/>
        </w:numPr>
        <w:rPr>
          <w:rFonts w:cs="Times New Roman"/>
          <w:noProof/>
        </w:rPr>
      </w:pPr>
      <w:r>
        <w:rPr>
          <w:noProof/>
        </w:rPr>
        <w:t>Vaatimus, jonka mukaan lainajärjestelyn lopulliset edunsaajat eivät saa tukea muista unionin välineistä samojen kustannusten kattamiseksi.</w:t>
      </w:r>
    </w:p>
    <w:p w14:paraId="0B9EDD04" w14:textId="202D48AE" w:rsidR="000E48CE" w:rsidRDefault="00FF4C4E">
      <w:pPr>
        <w:pStyle w:val="P68B1DB1-LegalNumPar29"/>
        <w:numPr>
          <w:ilvl w:val="0"/>
          <w:numId w:val="777"/>
        </w:numPr>
        <w:jc w:val="both"/>
        <w:rPr>
          <w:rFonts w:cs="Times New Roman"/>
          <w:noProof/>
        </w:rPr>
      </w:pPr>
      <w:r>
        <w:rPr>
          <w:noProof/>
        </w:rPr>
        <w:t>Täytäntöönpanosopimuksen kattama määrä, tot</w:t>
      </w:r>
      <w:r>
        <w:rPr>
          <w:noProof/>
        </w:rPr>
        <w:t>eutuskumppanin maksurakenne ja vaatimus sijoittaa takaisin saadut varat tukivälineen investointipolitiikan mukaisesti, paitsi jos niitä käytetään elpymis- ja palautumistukivälineen lainojen takaisinmaksujen hoitamiseen.</w:t>
      </w:r>
    </w:p>
    <w:p w14:paraId="241C198C" w14:textId="77777777" w:rsidR="000E48CE" w:rsidRDefault="00FF4C4E">
      <w:pPr>
        <w:pStyle w:val="P68B1DB1-LegalNumPar29"/>
        <w:numPr>
          <w:ilvl w:val="0"/>
          <w:numId w:val="777"/>
        </w:numPr>
        <w:jc w:val="both"/>
        <w:rPr>
          <w:rFonts w:cs="Times New Roman"/>
          <w:noProof/>
        </w:rPr>
      </w:pPr>
      <w:r>
        <w:rPr>
          <w:noProof/>
        </w:rPr>
        <w:t>Seuranta-, auditointi- ja valvontava</w:t>
      </w:r>
      <w:r>
        <w:rPr>
          <w:noProof/>
        </w:rPr>
        <w:t>atimukset, mukaan lukien</w:t>
      </w:r>
    </w:p>
    <w:p w14:paraId="7B5D7055" w14:textId="77777777" w:rsidR="000E48CE" w:rsidRDefault="00FF4C4E">
      <w:pPr>
        <w:pStyle w:val="P68B1DB1-Normal4"/>
        <w:numPr>
          <w:ilvl w:val="1"/>
          <w:numId w:val="777"/>
        </w:numPr>
        <w:spacing w:after="160" w:line="240" w:lineRule="auto"/>
        <w:jc w:val="both"/>
        <w:rPr>
          <w:rFonts w:cs="Times New Roman"/>
          <w:noProof/>
        </w:rPr>
      </w:pPr>
      <w:bookmarkStart w:id="42" w:name="_Hlk139218377"/>
      <w:r>
        <w:rPr>
          <w:noProof/>
        </w:rPr>
        <w:t>Kuvaus toteutuskumppanin seurantajärjestelmästä, jolla raportoidaan liikkeelle saaduista investoinneista.</w:t>
      </w:r>
    </w:p>
    <w:p w14:paraId="4AAB5BEC" w14:textId="77777777" w:rsidR="000E48CE" w:rsidRDefault="00FF4C4E">
      <w:pPr>
        <w:pStyle w:val="P68B1DB1-Normal4"/>
        <w:numPr>
          <w:ilvl w:val="1"/>
          <w:numId w:val="777"/>
        </w:numPr>
        <w:spacing w:after="160" w:line="259" w:lineRule="auto"/>
        <w:jc w:val="both"/>
        <w:rPr>
          <w:rFonts w:cs="Times New Roman"/>
          <w:noProof/>
        </w:rPr>
      </w:pPr>
      <w:r>
        <w:rPr>
          <w:noProof/>
        </w:rPr>
        <w:t>Kuvaus toteutuskumppanin menettelyistä, joilla varmistetaan petosten, lahjonnan ja eturistiriitojen ehkäiseminen, havaitsemin</w:t>
      </w:r>
      <w:r>
        <w:rPr>
          <w:noProof/>
        </w:rPr>
        <w:t xml:space="preserve">en ja korjaaminen. </w:t>
      </w:r>
    </w:p>
    <w:p w14:paraId="2AF24E11" w14:textId="77777777" w:rsidR="000E48CE" w:rsidRDefault="00FF4C4E">
      <w:pPr>
        <w:pStyle w:val="P68B1DB1-Normal4"/>
        <w:numPr>
          <w:ilvl w:val="1"/>
          <w:numId w:val="777"/>
        </w:numPr>
        <w:spacing w:after="160" w:line="259" w:lineRule="auto"/>
        <w:jc w:val="both"/>
        <w:rPr>
          <w:rFonts w:cs="Times New Roman"/>
          <w:noProof/>
        </w:rPr>
      </w:pPr>
      <w:r>
        <w:rPr>
          <w:noProof/>
        </w:rPr>
        <w:t>Velvoite tarkistaa jokaisen toimen tukikelpoisuus täytäntöönpanosopimuksessa vahvistettujen vaatimusten mukaisesti ennen kuin se sitoutuu rahoittamaan toimea.</w:t>
      </w:r>
    </w:p>
    <w:p w14:paraId="2CA9BA25" w14:textId="044A04DF" w:rsidR="000E48CE" w:rsidRDefault="00FF4C4E">
      <w:pPr>
        <w:pStyle w:val="P68B1DB1-Normal4"/>
        <w:numPr>
          <w:ilvl w:val="1"/>
          <w:numId w:val="777"/>
        </w:numPr>
        <w:spacing w:after="160" w:line="240" w:lineRule="auto"/>
        <w:jc w:val="both"/>
        <w:rPr>
          <w:rFonts w:cs="Times New Roman"/>
          <w:noProof/>
        </w:rPr>
      </w:pPr>
      <w:bookmarkStart w:id="43" w:name="_Hlk145675948"/>
      <w:bookmarkEnd w:id="42"/>
      <w:r>
        <w:rPr>
          <w:noProof/>
        </w:rPr>
        <w:t>Velvollisuus suorittaa riskiperusteisia jälkitarkastuksia ENISAn tarkastussuu</w:t>
      </w:r>
      <w:r>
        <w:rPr>
          <w:noProof/>
        </w:rPr>
        <w:t>nnitelman</w:t>
      </w:r>
      <w:bookmarkEnd w:id="43"/>
      <w:r>
        <w:rPr>
          <w:noProof/>
        </w:rPr>
        <w:t xml:space="preserve"> mukaisesti. Näillä tarkastuksilla on varmistettava i) valvontajärjestelmien tehokkuus, mukaan lukien petosten, lahjonnan ja eturistiriitojen havaitseminen; ”ei merkittävää haittaa” -periaatteen, valtiontukisääntöjen ja digitaalista tavoitetta kos</w:t>
      </w:r>
      <w:r>
        <w:rPr>
          <w:noProof/>
        </w:rPr>
        <w:t>kevien vaatimusten noudattaminen; ja iii) että noudatetaan vaatimusta, jonka mukaan välittäjän on todennettava, että lopullinen tuensaaja esittää vastuullisen ilmoituksen sen valvomiseksi, katetaanko samat kustannukset toisesta unionin välineestä. Tarkastu</w:t>
      </w:r>
      <w:r>
        <w:rPr>
          <w:noProof/>
        </w:rPr>
        <w:t xml:space="preserve">ksissa on myös varmistettava tapahtumien laillisuus ja se, että sovellettavan täytäntöönpanosopimuksen ja rahoitussopimusten ehtoja noudatetaan. </w:t>
      </w:r>
    </w:p>
    <w:p w14:paraId="7D1D5A8A" w14:textId="36DDAC75" w:rsidR="000E48CE" w:rsidRDefault="00FF4C4E">
      <w:pPr>
        <w:numPr>
          <w:ilvl w:val="0"/>
          <w:numId w:val="777"/>
        </w:numPr>
        <w:spacing w:after="160" w:line="240" w:lineRule="auto"/>
        <w:jc w:val="both"/>
        <w:rPr>
          <w:rFonts w:ascii="Times New Roman" w:hAnsi="Times New Roman" w:cs="Times New Roman"/>
          <w:noProof/>
          <w:sz w:val="24"/>
        </w:rPr>
      </w:pPr>
      <w:r>
        <w:rPr>
          <w:noProof/>
        </w:rPr>
        <w:t>Toteutuskumppanin tekemiä digitaalisia investointeja koskevat</w:t>
      </w:r>
      <w:r>
        <w:rPr>
          <w:rFonts w:ascii="Times New Roman" w:hAnsi="Times New Roman"/>
          <w:noProof/>
          <w:sz w:val="24"/>
        </w:rPr>
        <w:t xml:space="preserve">vaatimukset: vähintään 20000000 eurolla elpymis- </w:t>
      </w:r>
      <w:r>
        <w:rPr>
          <w:rFonts w:ascii="Times New Roman" w:hAnsi="Times New Roman"/>
          <w:noProof/>
          <w:sz w:val="24"/>
        </w:rPr>
        <w:t>ja palautumistukivälineen investoinneista tukivälineeseen edistetään digitaalisia tavoitteita elpymis- ja palautumistukivälinettä koskevan asetuksen liitteen VII mukaisesti.</w:t>
      </w:r>
    </w:p>
    <w:p w14:paraId="22285CFF" w14:textId="77777777" w:rsidR="000E48CE" w:rsidRDefault="00FF4C4E">
      <w:pPr>
        <w:pStyle w:val="P68B1DB1-Normal4"/>
        <w:rPr>
          <w:rFonts w:cs="Times New Roman"/>
          <w:noProof/>
        </w:rPr>
      </w:pPr>
      <w:r>
        <w:rPr>
          <w:noProof/>
        </w:rPr>
        <w:t>Toimenpiteen täytäntöönpano on saatettava päätökseen viimeistään 31 päivänä elokuu</w:t>
      </w:r>
      <w:r>
        <w:rPr>
          <w:noProof/>
        </w:rPr>
        <w:t>ta 2026.</w:t>
      </w:r>
    </w:p>
    <w:p w14:paraId="01845BA9" w14:textId="77777777" w:rsidR="000E48CE" w:rsidRDefault="00FF4C4E">
      <w:pPr>
        <w:pStyle w:val="P68B1DB1-Normal6"/>
        <w:rPr>
          <w:rFonts w:cs="Times New Roman"/>
          <w:noProof/>
        </w:rPr>
      </w:pPr>
      <w:bookmarkStart w:id="44" w:name="_Hlk141697321"/>
      <w:r>
        <w:rPr>
          <w:noProof/>
        </w:rPr>
        <w:t>Investoinnit 13 (C13.I13) – Alueellinen selviytymiskyvyn kehittämisrahasto (FRA)</w:t>
      </w:r>
    </w:p>
    <w:p w14:paraId="1757DEF3" w14:textId="77777777" w:rsidR="000E48CE" w:rsidRDefault="00FF4C4E">
      <w:pPr>
        <w:pStyle w:val="P68B1DB1-Normal4"/>
        <w:spacing w:before="160" w:after="0" w:line="240" w:lineRule="auto"/>
        <w:jc w:val="both"/>
        <w:rPr>
          <w:rFonts w:eastAsia="@MS Mincho" w:cs="Times New Roman"/>
          <w:noProof/>
        </w:rPr>
      </w:pPr>
      <w:bookmarkStart w:id="45" w:name="_Hlk138428161"/>
      <w:r>
        <w:rPr>
          <w:noProof/>
        </w:rPr>
        <w:t>Tämä toimenpide koostuu julkisesta investoinnista InvestEU:n jäsenvaltio-osioon ja tukivälineeseen, alueelliseen rahastoon, jotta voidaan kannustaa yksityisiä investo</w:t>
      </w:r>
      <w:r>
        <w:rPr>
          <w:noProof/>
        </w:rPr>
        <w:t>inteja ja parantaa rahoituksen saantia Espanjan itsehallintoalueilla seuraavilla painopistealoilla: sosiaalinen ja kohtuuhintainen asuminen ja kaupunkialueiden elvyttäminen; kestävä liikenne; teollisuuden ja pk-yritysten kilpailukyky; tutkimus, kehittämine</w:t>
      </w:r>
      <w:r>
        <w:rPr>
          <w:noProof/>
        </w:rPr>
        <w:t xml:space="preserve">n ja innovointi; kestävä matkailu hoito- ja hoivatalous; vesi- ja jätehuolto; ja energiakäänne; sekä pääomamarkkinoiden kehittäminen näillä aloilla. </w:t>
      </w:r>
    </w:p>
    <w:p w14:paraId="4DBD1EA3" w14:textId="62FBFDEC" w:rsidR="000E48CE" w:rsidRDefault="00FF4C4E">
      <w:pPr>
        <w:pStyle w:val="P68B1DB1-Normal4"/>
        <w:spacing w:before="160" w:after="0" w:line="240" w:lineRule="auto"/>
        <w:jc w:val="both"/>
        <w:rPr>
          <w:rFonts w:cs="Times New Roman"/>
          <w:noProof/>
        </w:rPr>
      </w:pPr>
      <w:r>
        <w:rPr>
          <w:noProof/>
        </w:rPr>
        <w:t>Investointikehys toimii tarjoamalla rahoitusta suoraan tai välittäjien kautta yksityiselle sektorille, vas</w:t>
      </w:r>
      <w:r>
        <w:rPr>
          <w:noProof/>
        </w:rPr>
        <w:t>taavaa toimintaa harjoittaville julkisen sektorin yhteisöille ja julkisyhteisöille, kuten alue- ja paikallishallinnoille. Elpymis- ja palautumistukivälineen investointien perusteella tukivälineestä on tarkoitus myöntää rahoitusta vähintään 19500000000 euro</w:t>
      </w:r>
      <w:r>
        <w:rPr>
          <w:noProof/>
        </w:rPr>
        <w:t>a. InvestEU-jäsenvaltio-osioon osoitetaan lisäksi 500000000 euroa.</w:t>
      </w:r>
    </w:p>
    <w:p w14:paraId="62C4CD55" w14:textId="13EEB42C" w:rsidR="000E48CE" w:rsidRDefault="00FF4C4E">
      <w:pPr>
        <w:pStyle w:val="P68B1DB1-Normal4"/>
        <w:spacing w:before="160" w:after="0" w:line="240" w:lineRule="auto"/>
        <w:jc w:val="both"/>
        <w:rPr>
          <w:rFonts w:cs="Times New Roman"/>
          <w:noProof/>
        </w:rPr>
      </w:pPr>
      <w:r>
        <w:rPr>
          <w:noProof/>
        </w:rPr>
        <w:t>EIP-ryhmä hallinnoi investointikehystä toteutuskumppanina. Lainajärjestely sisältää seuraavat tuotelinjat:</w:t>
      </w:r>
    </w:p>
    <w:p w14:paraId="2BA9E56C" w14:textId="4A743B87" w:rsidR="000E48CE" w:rsidRDefault="00FF4C4E">
      <w:pPr>
        <w:pStyle w:val="P68B1DB1-ListParagraph7"/>
        <w:numPr>
          <w:ilvl w:val="0"/>
          <w:numId w:val="483"/>
        </w:numPr>
        <w:spacing w:before="160" w:after="0"/>
        <w:ind w:left="714" w:hanging="357"/>
        <w:jc w:val="both"/>
        <w:rPr>
          <w:rFonts w:cs="Times New Roman"/>
          <w:noProof/>
        </w:rPr>
      </w:pPr>
      <w:r>
        <w:rPr>
          <w:noProof/>
        </w:rPr>
        <w:t>Suora julkinen linja (3500000000 euroa): Suora yhteisrahoitusväline, jolla rahoite</w:t>
      </w:r>
      <w:r>
        <w:rPr>
          <w:noProof/>
        </w:rPr>
        <w:t>taan julkisyhteisöjen, kuten alue- ja paikallishallinnon, hankkeita.</w:t>
      </w:r>
    </w:p>
    <w:p w14:paraId="2FD334C1" w14:textId="5D6913B9" w:rsidR="000E48CE" w:rsidRDefault="00FF4C4E">
      <w:pPr>
        <w:pStyle w:val="P68B1DB1-ListParagraph7"/>
        <w:numPr>
          <w:ilvl w:val="0"/>
          <w:numId w:val="483"/>
        </w:numPr>
        <w:spacing w:before="160" w:after="0"/>
        <w:ind w:left="714" w:hanging="357"/>
        <w:jc w:val="both"/>
        <w:rPr>
          <w:rFonts w:cs="Times New Roman"/>
          <w:noProof/>
        </w:rPr>
      </w:pPr>
      <w:r>
        <w:rPr>
          <w:noProof/>
        </w:rPr>
        <w:t>Muut budjettikohdat (16000000000 euroa): Linjat, jotka on suunnattu yksityisille yhteisöille tai julkisyhteisöille, jotka harjoittavat samankaltaista toimintaa, erityisesti:</w:t>
      </w:r>
    </w:p>
    <w:p w14:paraId="549BA5C1" w14:textId="4782C26B" w:rsidR="000E48CE" w:rsidRDefault="00FF4C4E">
      <w:pPr>
        <w:pStyle w:val="P68B1DB1-ListParagraph7"/>
        <w:numPr>
          <w:ilvl w:val="1"/>
          <w:numId w:val="483"/>
        </w:numPr>
        <w:spacing w:before="160" w:after="0"/>
        <w:ind w:left="1434" w:hanging="357"/>
        <w:jc w:val="both"/>
        <w:rPr>
          <w:rFonts w:cs="Times New Roman"/>
          <w:noProof/>
        </w:rPr>
      </w:pPr>
      <w:r>
        <w:rPr>
          <w:noProof/>
        </w:rPr>
        <w:t xml:space="preserve">Suora </w:t>
      </w:r>
      <w:r>
        <w:rPr>
          <w:noProof/>
        </w:rPr>
        <w:t>yhteisrahoitusväline hankkeiden rahoittamiseksi lainoilla, varojen hankinnalla tai osallistumalla hankerahoitukseen.</w:t>
      </w:r>
    </w:p>
    <w:p w14:paraId="7232CE8D" w14:textId="053F98AB" w:rsidR="000E48CE" w:rsidRDefault="00FF4C4E">
      <w:pPr>
        <w:pStyle w:val="P68B1DB1-ListParagraph7"/>
        <w:numPr>
          <w:ilvl w:val="1"/>
          <w:numId w:val="483"/>
        </w:numPr>
        <w:spacing w:before="160" w:after="0"/>
        <w:ind w:left="1434" w:hanging="357"/>
        <w:jc w:val="both"/>
        <w:rPr>
          <w:rFonts w:cs="Times New Roman"/>
          <w:noProof/>
        </w:rPr>
      </w:pPr>
      <w:r>
        <w:rPr>
          <w:noProof/>
        </w:rPr>
        <w:t xml:space="preserve">Välitetty rahoitus pk-yrityksille, markkina-arvoltaan keskisuurille yrityksille ja yksityishenkilöille muun muassa oman pääoman ehtoisilla </w:t>
      </w:r>
      <w:r>
        <w:rPr>
          <w:noProof/>
        </w:rPr>
        <w:t>sijoituksilla, oman pääoman luonteisella rahoituksella, takauksilla ja omaisuusvakuudellisella arvopaperistamisella olemassa olevilla lainasalkuilla, paremmassa etuoikeusasemassa oleville yksityisille luotoille ja ostamalla vihreitä joukkolainoja, jotka tu</w:t>
      </w:r>
      <w:r>
        <w:rPr>
          <w:noProof/>
        </w:rPr>
        <w:t>ottavat uuden hyväksyttävän lainasalkun.</w:t>
      </w:r>
    </w:p>
    <w:p w14:paraId="7D5D4DF7" w14:textId="2B516A66" w:rsidR="000E48CE" w:rsidRDefault="00FF4C4E">
      <w:pPr>
        <w:pStyle w:val="P68B1DB1-Normal4"/>
        <w:spacing w:before="160" w:after="0" w:line="240" w:lineRule="auto"/>
        <w:jc w:val="both"/>
        <w:rPr>
          <w:rFonts w:cs="Times New Roman"/>
          <w:noProof/>
        </w:rPr>
      </w:pPr>
      <w:r>
        <w:rPr>
          <w:noProof/>
        </w:rPr>
        <w:t>Investointikehykseen tehtävän investoinnin toteuttamiseksi Espanja ja EIP-ryhmä allekirjoittavat täytäntöönpanosopimuksen, jonka sisältö on seuraava:</w:t>
      </w:r>
    </w:p>
    <w:p w14:paraId="3C6F4765" w14:textId="78492C8F" w:rsidR="000E48CE" w:rsidRDefault="00FF4C4E">
      <w:pPr>
        <w:pStyle w:val="P68B1DB1-ListParagraph7"/>
        <w:numPr>
          <w:ilvl w:val="0"/>
          <w:numId w:val="755"/>
        </w:numPr>
        <w:spacing w:before="160" w:after="0" w:line="240" w:lineRule="auto"/>
        <w:jc w:val="both"/>
        <w:rPr>
          <w:rFonts w:cs="Times New Roman"/>
          <w:noProof/>
        </w:rPr>
      </w:pPr>
      <w:r>
        <w:rPr>
          <w:noProof/>
        </w:rPr>
        <w:t>EIP-ryhmä tekee investointikehyksen ensimmäisen investointipäätök</w:t>
      </w:r>
      <w:r>
        <w:rPr>
          <w:noProof/>
        </w:rPr>
        <w:t>sen Espanjan hallituksesta riippumatta. Investointikehyksen lopullinen investointipäätös rajoitetaan investointikomitean tai vastaavan hallintoelimen ehdottaman investointipäätöksen hyväksymiseen (muutoksitta) tai veto-oikeuden käyttämiseen.   Välitettyjen</w:t>
      </w:r>
      <w:r>
        <w:rPr>
          <w:noProof/>
        </w:rPr>
        <w:t xml:space="preserve"> sijoitusten osalta lopullisen sijoituspäätöksen tekevät välittäjät.</w:t>
      </w:r>
    </w:p>
    <w:p w14:paraId="6068387E" w14:textId="77777777" w:rsidR="000E48CE" w:rsidRDefault="00FF4C4E">
      <w:pPr>
        <w:pStyle w:val="P68B1DB1-ListParagraph7"/>
        <w:numPr>
          <w:ilvl w:val="0"/>
          <w:numId w:val="755"/>
        </w:numPr>
        <w:spacing w:line="240" w:lineRule="auto"/>
        <w:jc w:val="both"/>
        <w:rPr>
          <w:rFonts w:eastAsia="Times New Roman" w:cs="Times New Roman"/>
          <w:noProof/>
        </w:rPr>
      </w:pPr>
      <w:r>
        <w:rPr>
          <w:noProof/>
        </w:rPr>
        <w:t>Asiaan liittyvän sijoituspolitiikan keskeiset vaatimukset, joita ovat muun muassa seuraavat:</w:t>
      </w:r>
    </w:p>
    <w:p w14:paraId="194C34BC" w14:textId="77777777" w:rsidR="000E48CE" w:rsidRDefault="00FF4C4E">
      <w:pPr>
        <w:pStyle w:val="P68B1DB1-ListParagraph7"/>
        <w:numPr>
          <w:ilvl w:val="1"/>
          <w:numId w:val="755"/>
        </w:numPr>
        <w:spacing w:line="240" w:lineRule="auto"/>
        <w:jc w:val="both"/>
        <w:rPr>
          <w:rFonts w:eastAsia="Times New Roman" w:cs="Times New Roman"/>
          <w:noProof/>
        </w:rPr>
      </w:pPr>
      <w:r>
        <w:rPr>
          <w:noProof/>
        </w:rPr>
        <w:t>Rahoitustuotteiden ja tukikelpoisten lopullisten tuensaajien kuvaus toimenpiteen kuvauksen muk</w:t>
      </w:r>
      <w:r>
        <w:rPr>
          <w:noProof/>
        </w:rPr>
        <w:t xml:space="preserve">aisesti.     </w:t>
      </w:r>
    </w:p>
    <w:p w14:paraId="1B8FC68C" w14:textId="77777777" w:rsidR="000E48CE" w:rsidRDefault="00FF4C4E">
      <w:pPr>
        <w:pStyle w:val="P68B1DB1-ListParagraph7"/>
        <w:numPr>
          <w:ilvl w:val="1"/>
          <w:numId w:val="755"/>
        </w:numPr>
        <w:spacing w:line="240" w:lineRule="auto"/>
        <w:jc w:val="both"/>
        <w:rPr>
          <w:rFonts w:eastAsia="Times New Roman" w:cs="Times New Roman"/>
          <w:noProof/>
        </w:rPr>
      </w:pPr>
      <w:r>
        <w:rPr>
          <w:noProof/>
        </w:rPr>
        <w:t>Kaikkien tuettujen investointien on oltava taloudellisesti kannattavia.</w:t>
      </w:r>
    </w:p>
    <w:p w14:paraId="75C0AFD0" w14:textId="77777777" w:rsidR="000E48CE" w:rsidRDefault="00FF4C4E">
      <w:pPr>
        <w:pStyle w:val="P68B1DB1-ListParagraph7"/>
        <w:numPr>
          <w:ilvl w:val="1"/>
          <w:numId w:val="755"/>
        </w:numPr>
        <w:spacing w:line="240" w:lineRule="auto"/>
        <w:jc w:val="both"/>
        <w:rPr>
          <w:rFonts w:eastAsia="Times New Roman" w:cs="Times New Roman"/>
          <w:noProof/>
        </w:rPr>
      </w:pPr>
      <w:r>
        <w:rPr>
          <w:noProof/>
        </w:rPr>
        <w:t xml:space="preserve">Kielto jälleenrahoittaa jäljellä olevia lainoja.  </w:t>
      </w:r>
    </w:p>
    <w:p w14:paraId="7C25BF49" w14:textId="77777777" w:rsidR="000E48CE" w:rsidRDefault="00FF4C4E">
      <w:pPr>
        <w:pStyle w:val="P68B1DB1-ListParagraph7"/>
        <w:numPr>
          <w:ilvl w:val="1"/>
          <w:numId w:val="755"/>
        </w:numPr>
        <w:spacing w:line="240" w:lineRule="auto"/>
        <w:jc w:val="both"/>
        <w:rPr>
          <w:rFonts w:eastAsia="Times New Roman" w:cs="Times New Roman"/>
          <w:noProof/>
        </w:rPr>
      </w:pPr>
      <w:r>
        <w:rPr>
          <w:noProof/>
        </w:rPr>
        <w:t>Vaatimus noudattaa ”ei merkittävää haittaa” -periaatetta sellaisena kuin se on vahvistettu ”ei merkittävää haittaa” -pe</w:t>
      </w:r>
      <w:r>
        <w:rPr>
          <w:noProof/>
        </w:rPr>
        <w:t xml:space="preserve">riaatetta koskevissa teknisissä ohjeissa (2021/C58/01), erityisesti: </w:t>
      </w:r>
    </w:p>
    <w:p w14:paraId="4F28561E" w14:textId="011EFE25" w:rsidR="000E48CE" w:rsidRDefault="00FF4C4E">
      <w:pPr>
        <w:pStyle w:val="ListParagraph"/>
        <w:numPr>
          <w:ilvl w:val="2"/>
          <w:numId w:val="755"/>
        </w:numPr>
        <w:jc w:val="both"/>
        <w:rPr>
          <w:rFonts w:ascii="Times New Roman" w:eastAsia="Times New Roman" w:hAnsi="Times New Roman" w:cs="Times New Roman"/>
          <w:noProof/>
          <w:sz w:val="24"/>
        </w:rPr>
      </w:pPr>
      <w:r>
        <w:rPr>
          <w:rFonts w:ascii="Times New Roman" w:hAnsi="Times New Roman"/>
          <w:noProof/>
          <w:sz w:val="24"/>
        </w:rPr>
        <w:t>Lainojen, hankejoukkolainojen tai vastaavien välineiden osalta: investointipolitiikassa on jätettävä tukikelpoisuuden ulkopuolelle seuraava luettelo toiminnoista ja omaisuuseristä: (I) f</w:t>
      </w:r>
      <w:r>
        <w:rPr>
          <w:rFonts w:ascii="Times New Roman" w:hAnsi="Times New Roman"/>
          <w:noProof/>
          <w:sz w:val="24"/>
        </w:rPr>
        <w:t>ossiilisiin polttoaineisiin liittyvät toiminnot ja omaisuuserät, mukaan lukien jatkokäyttö</w:t>
      </w:r>
      <w:r>
        <w:rPr>
          <w:rStyle w:val="FootnoteReference"/>
          <w:rFonts w:ascii="Times New Roman" w:eastAsia="Times New Roman" w:hAnsi="Times New Roman" w:cs="Times New Roman"/>
          <w:noProof/>
          <w:sz w:val="24"/>
        </w:rPr>
        <w:footnoteReference w:id="138"/>
      </w:r>
      <w:r>
        <w:rPr>
          <w:rFonts w:ascii="Times New Roman" w:hAnsi="Times New Roman"/>
          <w:noProof/>
          <w:sz w:val="24"/>
        </w:rPr>
        <w:t>, ii) EU:n päästökauppajärjestelmään kuuluvat toiminnot ja omaisuuserät, joilla saavutetaan ennustetut kasvihuonekaasupäästöt, jotka eivät alita asiaankuuluvia verta</w:t>
      </w:r>
      <w:r>
        <w:rPr>
          <w:rFonts w:ascii="Times New Roman" w:hAnsi="Times New Roman"/>
          <w:noProof/>
          <w:sz w:val="24"/>
        </w:rPr>
        <w:t>iluarvoja</w:t>
      </w:r>
      <w:r>
        <w:rPr>
          <w:rStyle w:val="FootnoteReference"/>
          <w:rFonts w:ascii="Times New Roman" w:eastAsia="Times New Roman" w:hAnsi="Times New Roman" w:cs="Times New Roman"/>
          <w:noProof/>
          <w:sz w:val="24"/>
        </w:rPr>
        <w:footnoteReference w:id="139"/>
      </w:r>
      <w:r>
        <w:rPr>
          <w:rFonts w:ascii="Times New Roman" w:hAnsi="Times New Roman"/>
          <w:noProof/>
          <w:sz w:val="24"/>
        </w:rPr>
        <w:t>, iii) kaatopaikkoihin, polttolaitoksiin ja mekaanisiin biologisiin käsittelylaitoksiin liittyvät toiminnot</w:t>
      </w:r>
      <w:r>
        <w:rPr>
          <w:rStyle w:val="FootnoteReference"/>
          <w:rFonts w:ascii="Times New Roman" w:hAnsi="Times New Roman" w:cs="Times New Roman"/>
          <w:noProof/>
          <w:sz w:val="24"/>
        </w:rPr>
        <w:footnoteReference w:id="140"/>
      </w:r>
      <w:r>
        <w:rPr>
          <w:rFonts w:ascii="Times New Roman" w:hAnsi="Times New Roman"/>
          <w:noProof/>
          <w:sz w:val="24"/>
        </w:rPr>
        <w:t xml:space="preserve"> ja omaisuus</w:t>
      </w:r>
      <w:r>
        <w:rPr>
          <w:rStyle w:val="FootnoteReference"/>
          <w:rFonts w:ascii="Times New Roman" w:hAnsi="Times New Roman" w:cs="Times New Roman"/>
          <w:noProof/>
          <w:sz w:val="24"/>
        </w:rPr>
        <w:footnoteReference w:id="141"/>
      </w:r>
      <w:r>
        <w:rPr>
          <w:rFonts w:ascii="Times New Roman" w:hAnsi="Times New Roman"/>
          <w:noProof/>
          <w:sz w:val="24"/>
        </w:rPr>
        <w:t xml:space="preserve">.  </w:t>
      </w:r>
    </w:p>
    <w:p w14:paraId="16C8C54F" w14:textId="1AD523F7" w:rsidR="000E48CE" w:rsidRDefault="00FF4C4E">
      <w:pPr>
        <w:pStyle w:val="ListParagraph"/>
        <w:numPr>
          <w:ilvl w:val="2"/>
          <w:numId w:val="755"/>
        </w:numPr>
        <w:jc w:val="both"/>
        <w:rPr>
          <w:rFonts w:ascii="Times New Roman" w:eastAsia="Times New Roman" w:hAnsi="Times New Roman" w:cs="Times New Roman"/>
          <w:noProof/>
          <w:sz w:val="24"/>
        </w:rPr>
      </w:pPr>
      <w:r>
        <w:rPr>
          <w:rFonts w:ascii="Times New Roman" w:hAnsi="Times New Roman"/>
          <w:noProof/>
          <w:sz w:val="24"/>
        </w:rPr>
        <w:t xml:space="preserve">Oman pääoman ehtoisten, oman pääoman luonteisten instrumenttien, yritysjoukkolainojen tai vastaavien instrumenttien </w:t>
      </w:r>
      <w:r>
        <w:rPr>
          <w:rFonts w:ascii="Times New Roman" w:hAnsi="Times New Roman"/>
          <w:noProof/>
          <w:sz w:val="24"/>
        </w:rPr>
        <w:t>osalta: sijoituspolitiikassa on edellytettävä, että yritykset hyväksyvät vihreää siirtymää koskevat suunnitelmat direktiivin 2013/34/EU 19 a artiklan 2 kohdan a alakohdan iii alakohdan määritelmän mukaisesti,</w:t>
      </w:r>
      <w:r>
        <w:rPr>
          <w:rStyle w:val="FootnoteReference"/>
          <w:rFonts w:ascii="Times New Roman" w:eastAsia="Times New Roman" w:hAnsi="Times New Roman" w:cs="Times New Roman"/>
          <w:noProof/>
          <w:sz w:val="24"/>
        </w:rPr>
        <w:footnoteReference w:id="142"/>
      </w:r>
      <w:r>
        <w:rPr>
          <w:rFonts w:ascii="Times New Roman" w:hAnsi="Times New Roman"/>
          <w:noProof/>
          <w:sz w:val="24"/>
        </w:rPr>
        <w:t xml:space="preserve"> jos yli 50 prosenttia niiden edellisen tilikau</w:t>
      </w:r>
      <w:r>
        <w:rPr>
          <w:rFonts w:ascii="Times New Roman" w:hAnsi="Times New Roman"/>
          <w:noProof/>
          <w:sz w:val="24"/>
        </w:rPr>
        <w:t>den suorista tuloista on peräisin seuraavasta toimintojen ja varojen luettelosta: (I) fossiilisiin polttoaineisiin liittyvät toiminnot ja omaisuuserät, mukaan lukien jatkokäyttö</w:t>
      </w:r>
      <w:r>
        <w:rPr>
          <w:rStyle w:val="FootnoteReference"/>
          <w:rFonts w:ascii="Times New Roman" w:eastAsia="Times New Roman" w:hAnsi="Times New Roman" w:cs="Times New Roman"/>
          <w:noProof/>
          <w:sz w:val="24"/>
        </w:rPr>
        <w:footnoteReference w:id="143"/>
      </w:r>
      <w:r>
        <w:rPr>
          <w:rFonts w:ascii="Times New Roman" w:hAnsi="Times New Roman"/>
          <w:noProof/>
          <w:sz w:val="24"/>
        </w:rPr>
        <w:t>, ii) EU:n päästökauppajärjestelmään kuuluvat toiminnot ja omaisuuserät, joill</w:t>
      </w:r>
      <w:r>
        <w:rPr>
          <w:rFonts w:ascii="Times New Roman" w:hAnsi="Times New Roman"/>
          <w:noProof/>
          <w:sz w:val="24"/>
        </w:rPr>
        <w:t>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144"/>
      </w:r>
      <w:r>
        <w:rPr>
          <w:rFonts w:ascii="Times New Roman" w:hAnsi="Times New Roman"/>
          <w:noProof/>
          <w:sz w:val="24"/>
        </w:rPr>
        <w:t>, iii) kaatopaikkoihin, polttolaitoksiin ja mekaanisiin biologisiin käsittelylaitoksiin liittyvät toiminnot</w:t>
      </w:r>
      <w:r>
        <w:rPr>
          <w:rStyle w:val="FootnoteReference"/>
          <w:rFonts w:ascii="Times New Roman" w:eastAsia="Times New Roman" w:hAnsi="Times New Roman" w:cs="Times New Roman"/>
          <w:noProof/>
          <w:sz w:val="24"/>
        </w:rPr>
        <w:footnoteReference w:id="145"/>
      </w:r>
      <w:r>
        <w:rPr>
          <w:rFonts w:ascii="Times New Roman" w:hAnsi="Times New Roman"/>
          <w:noProof/>
          <w:sz w:val="24"/>
        </w:rPr>
        <w:t xml:space="preserve"> ja omaisuus</w:t>
      </w:r>
      <w:r>
        <w:rPr>
          <w:rStyle w:val="FootnoteReference"/>
          <w:rFonts w:ascii="Times New Roman" w:eastAsia="Times New Roman" w:hAnsi="Times New Roman" w:cs="Times New Roman"/>
          <w:noProof/>
          <w:sz w:val="24"/>
        </w:rPr>
        <w:footnoteReference w:id="146"/>
      </w:r>
      <w:r>
        <w:rPr>
          <w:rFonts w:ascii="Times New Roman" w:hAnsi="Times New Roman"/>
          <w:noProof/>
          <w:sz w:val="24"/>
        </w:rPr>
        <w:t xml:space="preserve">. </w:t>
      </w:r>
    </w:p>
    <w:p w14:paraId="1F24FA81" w14:textId="77777777" w:rsidR="000E48CE" w:rsidRDefault="00FF4C4E">
      <w:pPr>
        <w:pStyle w:val="P68B1DB1-ListParagraph7"/>
        <w:numPr>
          <w:ilvl w:val="2"/>
          <w:numId w:val="755"/>
        </w:numPr>
        <w:rPr>
          <w:rFonts w:eastAsia="Times New Roman" w:cs="Times New Roman"/>
          <w:noProof/>
        </w:rPr>
      </w:pPr>
      <w:r>
        <w:rPr>
          <w:noProof/>
        </w:rPr>
        <w:t xml:space="preserve">Lisäksi investointipolitiikassa on </w:t>
      </w:r>
      <w:r>
        <w:rPr>
          <w:noProof/>
        </w:rPr>
        <w:t>edellytettävä tukivälineen lopullisten edunsaajien asiaankuuluvan EU:n ja kansallisen ympäristölainsäädännön noudattamista.</w:t>
      </w:r>
    </w:p>
    <w:p w14:paraId="68AAD697" w14:textId="77777777" w:rsidR="000E48CE" w:rsidRDefault="00FF4C4E">
      <w:pPr>
        <w:pStyle w:val="P68B1DB1-ListParagraph7"/>
        <w:numPr>
          <w:ilvl w:val="1"/>
          <w:numId w:val="755"/>
        </w:numPr>
        <w:rPr>
          <w:rFonts w:eastAsia="Times New Roman" w:cs="Times New Roman"/>
          <w:noProof/>
        </w:rPr>
      </w:pPr>
      <w:r>
        <w:rPr>
          <w:noProof/>
        </w:rPr>
        <w:t>Vaatimus, jonka mukaan lainajärjestelyn lopulliset edunsaajat eivät saa tukea muista unionin välineistä samojen kustannusten kattami</w:t>
      </w:r>
      <w:r>
        <w:rPr>
          <w:noProof/>
        </w:rPr>
        <w:t>seksi.</w:t>
      </w:r>
    </w:p>
    <w:p w14:paraId="7CF753BD" w14:textId="4346533E" w:rsidR="000E48CE" w:rsidRDefault="00FF4C4E">
      <w:pPr>
        <w:pStyle w:val="P68B1DB1-ListParagraph7"/>
        <w:numPr>
          <w:ilvl w:val="0"/>
          <w:numId w:val="755"/>
        </w:numPr>
        <w:jc w:val="both"/>
        <w:rPr>
          <w:rFonts w:eastAsia="Times New Roman" w:cs="Times New Roman"/>
          <w:noProof/>
        </w:rPr>
      </w:pPr>
      <w:r>
        <w:rPr>
          <w:noProof/>
        </w:rPr>
        <w:t>Täytäntöönpanosopimuksen kattama määrä, toteutuskumppanin maksurakenne ja vaatimus sijoittaa takaisin saadut varat tukivälineen investointipolitiikan mukaisesti, paitsi jos niitä käytetään elpymis- ja palautumistukivälineen lainojen takaisinmaksujen</w:t>
      </w:r>
      <w:r>
        <w:rPr>
          <w:noProof/>
        </w:rPr>
        <w:t xml:space="preserve"> hoitamiseen.</w:t>
      </w:r>
    </w:p>
    <w:p w14:paraId="375487A6" w14:textId="77777777" w:rsidR="000E48CE" w:rsidRDefault="00FF4C4E">
      <w:pPr>
        <w:pStyle w:val="P68B1DB1-ListParagraph7"/>
        <w:numPr>
          <w:ilvl w:val="0"/>
          <w:numId w:val="755"/>
        </w:numPr>
        <w:jc w:val="both"/>
        <w:rPr>
          <w:rFonts w:eastAsia="Times New Roman" w:cs="Times New Roman"/>
          <w:noProof/>
        </w:rPr>
      </w:pPr>
      <w:r>
        <w:rPr>
          <w:noProof/>
        </w:rPr>
        <w:t>Seuranta-, auditointi- ja valvontavaatimukset, mukaan lukien</w:t>
      </w:r>
    </w:p>
    <w:p w14:paraId="044F541F" w14:textId="77777777" w:rsidR="000E48CE" w:rsidRDefault="00FF4C4E">
      <w:pPr>
        <w:pStyle w:val="P68B1DB1-ListParagraph7"/>
        <w:numPr>
          <w:ilvl w:val="1"/>
          <w:numId w:val="755"/>
        </w:numPr>
        <w:jc w:val="both"/>
        <w:rPr>
          <w:rFonts w:eastAsia="Times New Roman" w:cs="Times New Roman"/>
          <w:noProof/>
        </w:rPr>
      </w:pPr>
      <w:r>
        <w:rPr>
          <w:noProof/>
        </w:rPr>
        <w:t>Velvollisuus tarkistaa jokaisen toimen tukikelpoisuus rahaston perustamisasetuksissa vahvistettujen vaatimusten mukaisesti ennen kuin se sitoutuu rahoittamaan toimea.</w:t>
      </w:r>
    </w:p>
    <w:p w14:paraId="725AD338" w14:textId="6F276A3B" w:rsidR="000E48CE" w:rsidRDefault="00FF4C4E">
      <w:pPr>
        <w:pStyle w:val="P68B1DB1-ListParagraph7"/>
        <w:numPr>
          <w:ilvl w:val="1"/>
          <w:numId w:val="755"/>
        </w:numPr>
        <w:jc w:val="both"/>
        <w:rPr>
          <w:rFonts w:eastAsia="Times New Roman" w:cs="Times New Roman"/>
          <w:noProof/>
        </w:rPr>
      </w:pPr>
      <w:r>
        <w:rPr>
          <w:noProof/>
        </w:rPr>
        <w:t>Velvollisuus suorittaa riskiperusteisia jälkitarkastuksia EIP-ryhmän tarkastussuunnitelman mukaisesti. Näillä tarkastuksilla on varmistettava i) valvontajärjestelmien tehokkuus, mukaan lukien petosten, lahjonnan ja eturistiriitojen havaitseminen; ”ei merki</w:t>
      </w:r>
      <w:r>
        <w:rPr>
          <w:noProof/>
        </w:rPr>
        <w:t>ttävää haittaa” -periaatteen, valtiontukisääntöjen sekä ilmastotavoitteita ja digitaalisia tavoitteita koskevien vaatimusten noudattaminen; ja iii) että noudatetaan vaatimusta, jonka mukaan välittäjän on todennettava, että lopullinen tuensaaja esittää vast</w:t>
      </w:r>
      <w:r>
        <w:rPr>
          <w:noProof/>
        </w:rPr>
        <w:t xml:space="preserve">uullisen ilmoituksen sen valvomiseksi, katetaanko samat kustannukset toisesta unionin välineestä.  Tarkastuksissa on myös varmistettava tapahtumien laillisuus ja se, että sovellettavan täytäntöönpanosopimuksen ja rahoitussopimusten ehtoja noudatetaan. </w:t>
      </w:r>
    </w:p>
    <w:p w14:paraId="618D5455" w14:textId="76DF3653" w:rsidR="000E48CE" w:rsidRDefault="00FF4C4E">
      <w:pPr>
        <w:pStyle w:val="P68B1DB1-ListParagraph7"/>
        <w:numPr>
          <w:ilvl w:val="1"/>
          <w:numId w:val="755"/>
        </w:numPr>
        <w:jc w:val="both"/>
        <w:rPr>
          <w:rFonts w:eastAsia="Times New Roman" w:cs="Times New Roman"/>
          <w:noProof/>
        </w:rPr>
      </w:pPr>
      <w:r>
        <w:rPr>
          <w:noProof/>
        </w:rPr>
        <w:t>EIP</w:t>
      </w:r>
      <w:r>
        <w:rPr>
          <w:noProof/>
        </w:rPr>
        <w:t>-ryhmän velvollisuus toimittaa keskushallinnon valvojalle (IGAE) ulkopuolisten tilintarkastajiensa laatima vuotuinen tarkastuskertomus.</w:t>
      </w:r>
    </w:p>
    <w:p w14:paraId="557E207F" w14:textId="5CFAD5F2" w:rsidR="000E48CE" w:rsidRDefault="00FF4C4E">
      <w:pPr>
        <w:pStyle w:val="ListParagraph"/>
        <w:numPr>
          <w:ilvl w:val="0"/>
          <w:numId w:val="755"/>
        </w:numPr>
        <w:jc w:val="both"/>
        <w:rPr>
          <w:rFonts w:ascii="Times New Roman" w:eastAsia="Times New Roman" w:hAnsi="Times New Roman" w:cs="Times New Roman"/>
          <w:noProof/>
          <w:sz w:val="24"/>
        </w:rPr>
      </w:pPr>
      <w:r>
        <w:rPr>
          <w:rFonts w:ascii="Times New Roman" w:hAnsi="Times New Roman"/>
          <w:noProof/>
          <w:sz w:val="24"/>
        </w:rPr>
        <w:t>Toteutuskumppanin tekemiä ilmastoinvestointeja koskevat vaatimukset: vähintään 9750000000 eurolla elpymis- ja palautumis</w:t>
      </w:r>
      <w:r>
        <w:rPr>
          <w:rFonts w:ascii="Times New Roman" w:hAnsi="Times New Roman"/>
          <w:noProof/>
          <w:sz w:val="24"/>
        </w:rPr>
        <w:t>tukivälineen investoinneista tukivälineeseen edistetään ilmastonmuutosta koskevia tavoitteita elpymis- ja palautumistukivälinettä koskevan asetuksen liitteen VI mukaisesti.</w:t>
      </w:r>
      <w:r>
        <w:rPr>
          <w:rStyle w:val="FootnoteReference"/>
          <w:rFonts w:ascii="Times New Roman" w:hAnsi="Times New Roman" w:cs="Times New Roman"/>
          <w:noProof/>
          <w:sz w:val="24"/>
        </w:rPr>
        <w:footnoteReference w:id="147"/>
      </w:r>
    </w:p>
    <w:p w14:paraId="216600C2" w14:textId="1EE967AA" w:rsidR="000E48CE" w:rsidRDefault="00FF4C4E">
      <w:pPr>
        <w:pStyle w:val="P68B1DB1-ListParagraph7"/>
        <w:numPr>
          <w:ilvl w:val="0"/>
          <w:numId w:val="755"/>
        </w:numPr>
        <w:jc w:val="both"/>
        <w:rPr>
          <w:rFonts w:eastAsia="Times New Roman" w:cs="Times New Roman"/>
          <w:noProof/>
        </w:rPr>
      </w:pPr>
      <w:r>
        <w:rPr>
          <w:noProof/>
        </w:rPr>
        <w:t>Rahoituksen välittäjien valintaa koskevat vaatimukset: EIP-ryhmä valitsee rahoituk</w:t>
      </w:r>
      <w:r>
        <w:rPr>
          <w:noProof/>
        </w:rPr>
        <w:t xml:space="preserve">sen välittäjät avoimella, läpinäkyvällä ja syrjimättömällä tavalla. Rahoituksenvälittäjiin kohdistuvien eturistiriitojen puuttumista koskevat tarkastukset on suoritettava etukäteen kaikille asiaan liittyville rahoitusalan toimijoille.  </w:t>
      </w:r>
    </w:p>
    <w:p w14:paraId="6137DE3A" w14:textId="15766C8D" w:rsidR="000E48CE" w:rsidRDefault="00FF4C4E">
      <w:pPr>
        <w:pStyle w:val="P68B1DB1-ListParagraph7"/>
        <w:numPr>
          <w:ilvl w:val="0"/>
          <w:numId w:val="755"/>
        </w:numPr>
        <w:jc w:val="both"/>
        <w:rPr>
          <w:rFonts w:eastAsia="Times New Roman" w:cs="Times New Roman"/>
          <w:noProof/>
        </w:rPr>
      </w:pPr>
      <w:r>
        <w:rPr>
          <w:noProof/>
        </w:rPr>
        <w:t xml:space="preserve">Rahoitussopimusten </w:t>
      </w:r>
      <w:r>
        <w:rPr>
          <w:noProof/>
        </w:rPr>
        <w:t>allekirjoittaminen: EIP-ryhmä allekirjoittaa rahoituksen välittäjien kanssa rahoitussopimukset täytäntöönpanosopimuksen liitteenä olevien keskeisten vaatimusten mukaisesti. Rahoitussopimuksen keskeisiin vaatimuksiin on sisällyttävä kaikki vaatimukset, joid</w:t>
      </w:r>
      <w:r>
        <w:rPr>
          <w:noProof/>
        </w:rPr>
        <w:t xml:space="preserve">en mukaisesti lainajärjestely toimii, mukaan lukien seuraavat:  </w:t>
      </w:r>
    </w:p>
    <w:p w14:paraId="5DEE2206" w14:textId="77777777" w:rsidR="000E48CE" w:rsidRDefault="00FF4C4E">
      <w:pPr>
        <w:pStyle w:val="P68B1DB1-ListParagraph7"/>
        <w:numPr>
          <w:ilvl w:val="1"/>
          <w:numId w:val="755"/>
        </w:numPr>
        <w:rPr>
          <w:rFonts w:cs="Times New Roman"/>
          <w:noProof/>
        </w:rPr>
      </w:pPr>
      <w:r>
        <w:rPr>
          <w:noProof/>
        </w:rPr>
        <w:t xml:space="preserve">Rahoituksen välittäjän velvollisuus tehdä päätöksensä noudattaen </w:t>
      </w:r>
      <w:r>
        <w:rPr>
          <w:i/>
          <w:noProof/>
        </w:rPr>
        <w:t>soveltuvin osin</w:t>
      </w:r>
      <w:r>
        <w:rPr>
          <w:noProof/>
        </w:rPr>
        <w:t xml:space="preserve"> edellä täsmennettyjä päätöksentekoa ja sijoituspolitiikkaa koskevia vaatimuksia, mukaan lukien ”ei merkittävää</w:t>
      </w:r>
      <w:r>
        <w:rPr>
          <w:noProof/>
        </w:rPr>
        <w:t xml:space="preserve"> haittaa” -periaatteen noudattaminen. </w:t>
      </w:r>
    </w:p>
    <w:p w14:paraId="139C3B11" w14:textId="77777777" w:rsidR="000E48CE" w:rsidRDefault="00FF4C4E">
      <w:pPr>
        <w:pStyle w:val="P68B1DB1-ListParagraph7"/>
        <w:numPr>
          <w:ilvl w:val="1"/>
          <w:numId w:val="755"/>
        </w:numPr>
        <w:rPr>
          <w:rFonts w:cs="Times New Roman"/>
          <w:noProof/>
        </w:rPr>
      </w:pPr>
      <w:r>
        <w:rPr>
          <w:noProof/>
        </w:rPr>
        <w:t xml:space="preserve">Kuvaus seuranta-, tarkastus- ja valvontakehyksestä, joka rahoituksen välittäjän on otettava käyttöön ja johon </w:t>
      </w:r>
      <w:r>
        <w:rPr>
          <w:i/>
          <w:noProof/>
        </w:rPr>
        <w:t>sovelletaan soveltuvin osin</w:t>
      </w:r>
      <w:r>
        <w:rPr>
          <w:noProof/>
        </w:rPr>
        <w:t xml:space="preserve"> kaikkia edellä määriteltyjä seuranta-, tarkastus- ja valvontavaatimuksia.  </w:t>
      </w:r>
    </w:p>
    <w:p w14:paraId="1FF0C1AA" w14:textId="373609A2" w:rsidR="000E48CE" w:rsidRDefault="00FF4C4E">
      <w:pPr>
        <w:pStyle w:val="P68B1DB1-Normal4"/>
        <w:spacing w:before="160" w:after="0" w:line="240" w:lineRule="auto"/>
        <w:jc w:val="both"/>
        <w:rPr>
          <w:rFonts w:eastAsia="Times New Roman" w:cs="Times New Roman"/>
          <w:noProof/>
        </w:rPr>
      </w:pPr>
      <w:r>
        <w:rPr>
          <w:noProof/>
        </w:rPr>
        <w:t>Inv</w:t>
      </w:r>
      <w:r>
        <w:rPr>
          <w:noProof/>
        </w:rPr>
        <w:t>estEU:n jäsenvaltio-osioon osoitettava rahoitusosuus (500000000 euroa) käytetään</w:t>
      </w:r>
      <w:r>
        <w:rPr>
          <w:b/>
          <w:noProof/>
        </w:rPr>
        <w:t xml:space="preserve"> </w:t>
      </w:r>
      <w:r>
        <w:rPr>
          <w:noProof/>
        </w:rPr>
        <w:t>pk-yritysten, markkina-arvoltaan keskisuurten yritysten ja yksityishenkilöiden rahoitukseen, mukaan lukien joukkovelkakirjalainat, lainat, leasing-sopimukset, huonommassa etuo</w:t>
      </w:r>
      <w:r>
        <w:rPr>
          <w:noProof/>
        </w:rPr>
        <w:t>ikeusasemassa olevat velat, factoring, pankkitakaukset tai kaupan rahoitus.</w:t>
      </w:r>
    </w:p>
    <w:p w14:paraId="7242546C" w14:textId="160DC2FB" w:rsidR="000E48CE" w:rsidRDefault="00FF4C4E">
      <w:pPr>
        <w:pStyle w:val="P68B1DB1-Normal4"/>
        <w:spacing w:before="160" w:after="0" w:line="240" w:lineRule="auto"/>
        <w:jc w:val="both"/>
        <w:rPr>
          <w:rFonts w:eastAsia="Times New Roman" w:cs="Times New Roman"/>
          <w:noProof/>
        </w:rPr>
      </w:pPr>
      <w:r>
        <w:rPr>
          <w:noProof/>
        </w:rPr>
        <w:t>InvestEU-ohjelman perustamisesta ja asetuksen (EU) 2015/1017 muuttamisesta 24 päivänä maaliskuuta 2021 annetun Euroopan parlamentin ja neuvoston asetuksen (EU) 2021/523 asiaa koske</w:t>
      </w:r>
      <w:r>
        <w:rPr>
          <w:noProof/>
        </w:rPr>
        <w:t>vien säännösten mukaisesti valittu komission ja toteutuskumppanin välinen takuusopimus tulee voimaan. Espanja on ehdottanut EIR:ää toteutuskumppaniksi tämän toimenpiteen täytäntöönpanoa varten.</w:t>
      </w:r>
    </w:p>
    <w:p w14:paraId="75AD9FE1" w14:textId="37B3A716" w:rsidR="000E48CE" w:rsidRDefault="00FF4C4E">
      <w:pPr>
        <w:pStyle w:val="P68B1DB1-Normal4"/>
        <w:spacing w:before="160" w:after="0" w:line="240" w:lineRule="auto"/>
        <w:jc w:val="both"/>
        <w:rPr>
          <w:rFonts w:eastAsia="Times New Roman" w:cs="Times New Roman"/>
          <w:noProof/>
        </w:rPr>
      </w:pPr>
      <w:r>
        <w:rPr>
          <w:noProof/>
        </w:rPr>
        <w:t>Espanja allekirjoittaa Euroopan komission kanssa rahoitusosuus</w:t>
      </w:r>
      <w:r>
        <w:rPr>
          <w:noProof/>
        </w:rPr>
        <w:t xml:space="preserve">sopimuksen, johon sisältyvät </w:t>
      </w:r>
    </w:p>
    <w:p w14:paraId="20DB6344" w14:textId="77777777" w:rsidR="000E48CE" w:rsidRDefault="00FF4C4E">
      <w:pPr>
        <w:pStyle w:val="P68B1DB1-ListParagraph7"/>
        <w:numPr>
          <w:ilvl w:val="0"/>
          <w:numId w:val="719"/>
        </w:numPr>
        <w:spacing w:before="160" w:after="0" w:line="240" w:lineRule="auto"/>
        <w:jc w:val="both"/>
        <w:rPr>
          <w:rFonts w:eastAsia="Times New Roman" w:cs="Times New Roman"/>
          <w:noProof/>
        </w:rPr>
      </w:pPr>
      <w:r>
        <w:rPr>
          <w:noProof/>
        </w:rPr>
        <w:t xml:space="preserve">Ehdotettu toteutuskumppani. </w:t>
      </w:r>
    </w:p>
    <w:p w14:paraId="13495C88" w14:textId="22C269EB" w:rsidR="000E48CE" w:rsidRDefault="00FF4C4E">
      <w:pPr>
        <w:pStyle w:val="ListParagraph"/>
        <w:numPr>
          <w:ilvl w:val="0"/>
          <w:numId w:val="719"/>
        </w:numPr>
        <w:spacing w:before="160" w:after="0" w:line="240" w:lineRule="auto"/>
        <w:jc w:val="both"/>
        <w:rPr>
          <w:rFonts w:ascii="Times New Roman" w:eastAsia="Times New Roman" w:hAnsi="Times New Roman" w:cs="Times New Roman"/>
          <w:noProof/>
          <w:sz w:val="24"/>
        </w:rPr>
      </w:pPr>
      <w:r>
        <w:rPr>
          <w:rFonts w:ascii="Times New Roman" w:hAnsi="Times New Roman"/>
          <w:noProof/>
          <w:sz w:val="24"/>
        </w:rPr>
        <w:t>”Ei merkittävää haittaa” -periaatteen mukaisten teknisten ohjeiden (2021/C58/01) noudattamista koskeva vaatimus. Tarvittaessa takuusopimuksessa suljetaan tukikelpoisuuden ulkopuolelle seuraava luet</w:t>
      </w:r>
      <w:r>
        <w:rPr>
          <w:rFonts w:ascii="Times New Roman" w:hAnsi="Times New Roman"/>
          <w:noProof/>
          <w:sz w:val="24"/>
        </w:rPr>
        <w:t>telo toimista ja omaisuuseristä: fossiilisiin polttoaineisiin liittyvät toiminnot ja omaisuuserät, mukaan lukien käyttö tuotantoketjun loppupäässä</w:t>
      </w:r>
      <w:r>
        <w:rPr>
          <w:rStyle w:val="FootnoteReference"/>
          <w:rFonts w:ascii="Times New Roman" w:eastAsia="Times New Roman" w:hAnsi="Times New Roman" w:cs="Times New Roman"/>
          <w:noProof/>
          <w:sz w:val="24"/>
        </w:rPr>
        <w:footnoteReference w:id="148"/>
      </w:r>
      <w:r>
        <w:rPr>
          <w:rFonts w:ascii="Times New Roman" w:hAnsi="Times New Roman"/>
          <w:noProof/>
          <w:sz w:val="24"/>
        </w:rPr>
        <w:t>; II) EU:n päästökauppajärjestelmään kuuluvat toiminnot ja omaisuuserät, joilla saavutetaan ennustetut kasvih</w:t>
      </w:r>
      <w:r>
        <w:rPr>
          <w:rFonts w:ascii="Times New Roman" w:hAnsi="Times New Roman"/>
          <w:noProof/>
          <w:sz w:val="24"/>
        </w:rPr>
        <w:t>uonekaasupäästöt, jotka eivät alita asiaankuuluvia vertailuarvoja</w:t>
      </w:r>
      <w:r>
        <w:rPr>
          <w:rStyle w:val="FootnoteReference"/>
          <w:rFonts w:ascii="Times New Roman" w:eastAsia="Times New Roman" w:hAnsi="Times New Roman" w:cs="Times New Roman"/>
          <w:noProof/>
          <w:sz w:val="24"/>
        </w:rPr>
        <w:footnoteReference w:id="149"/>
      </w:r>
      <w:r>
        <w:rPr>
          <w:rFonts w:ascii="Times New Roman" w:hAnsi="Times New Roman"/>
          <w:noProof/>
          <w:sz w:val="24"/>
        </w:rPr>
        <w:t>; jätteiden kaatopaikkoihin, polttolaitoksiin ja mekaanisiin biologisiin käsittelylaitoksiin liittyvät toiminnot</w:t>
      </w:r>
      <w:r>
        <w:rPr>
          <w:rStyle w:val="FootnoteReference"/>
          <w:rFonts w:ascii="Times New Roman" w:eastAsia="Times New Roman" w:hAnsi="Times New Roman" w:cs="Times New Roman"/>
          <w:noProof/>
          <w:sz w:val="24"/>
        </w:rPr>
        <w:footnoteReference w:id="150"/>
      </w:r>
      <w:r>
        <w:rPr>
          <w:rFonts w:ascii="Times New Roman" w:hAnsi="Times New Roman"/>
          <w:noProof/>
          <w:sz w:val="24"/>
        </w:rPr>
        <w:t xml:space="preserve"> ja omaisuus</w:t>
      </w:r>
      <w:r>
        <w:rPr>
          <w:rStyle w:val="FootnoteReference"/>
          <w:rFonts w:ascii="Times New Roman" w:eastAsia="Times New Roman" w:hAnsi="Times New Roman" w:cs="Times New Roman"/>
          <w:noProof/>
          <w:sz w:val="24"/>
        </w:rPr>
        <w:footnoteReference w:id="151"/>
      </w:r>
      <w:r>
        <w:rPr>
          <w:rFonts w:ascii="Times New Roman" w:hAnsi="Times New Roman"/>
          <w:noProof/>
          <w:sz w:val="24"/>
        </w:rPr>
        <w:t>.</w:t>
      </w:r>
    </w:p>
    <w:p w14:paraId="600CE2FF" w14:textId="0CCDA3A4" w:rsidR="000E48CE" w:rsidRDefault="00FF4C4E">
      <w:pPr>
        <w:pStyle w:val="P68B1DB1-Normal4"/>
        <w:rPr>
          <w:rFonts w:eastAsia="Times New Roman" w:cs="Times New Roman"/>
          <w:noProof/>
        </w:rPr>
      </w:pPr>
      <w:r>
        <w:rPr>
          <w:noProof/>
        </w:rPr>
        <w:t>Toimenpiteen täytäntöönpano on saatettava päätökseen viimeistä</w:t>
      </w:r>
      <w:r>
        <w:rPr>
          <w:noProof/>
        </w:rPr>
        <w:t>än 31 päivänä elokuuta 2026.</w:t>
      </w:r>
    </w:p>
    <w:bookmarkEnd w:id="44"/>
    <w:bookmarkEnd w:id="45"/>
    <w:p w14:paraId="63516851" w14:textId="5495836A" w:rsidR="000E48CE" w:rsidRDefault="00FF4C4E">
      <w:pPr>
        <w:pStyle w:val="P68B1DB1-paragraph31"/>
        <w:spacing w:before="0" w:beforeAutospacing="0" w:after="0" w:afterAutospacing="0"/>
        <w:ind w:left="720"/>
        <w:jc w:val="both"/>
        <w:textAlignment w:val="baseline"/>
        <w:rPr>
          <w:rFonts w:cs="Times New Roman"/>
          <w:noProof/>
        </w:rPr>
      </w:pPr>
      <w:r>
        <w:rPr>
          <w:noProof/>
        </w:rPr>
        <w:t xml:space="preserve">M.4 </w:t>
      </w:r>
      <w:r>
        <w:rPr>
          <w:noProof/>
        </w:rPr>
        <w:tab/>
        <w:t>Lainatuen seurannan ja täytäntöönpanon välitavoitteet, tavoitteet, indikaattorit ja aikataulu</w:t>
      </w:r>
    </w:p>
    <w:p w14:paraId="06DF55F9" w14:textId="3E7724DF" w:rsidR="000E48CE" w:rsidRDefault="000E48CE">
      <w:pPr>
        <w:pStyle w:val="paragraph"/>
        <w:spacing w:before="0" w:beforeAutospacing="0" w:after="0" w:afterAutospacing="0"/>
        <w:jc w:val="both"/>
        <w:textAlignment w:val="baseline"/>
        <w:rPr>
          <w:rFonts w:ascii="Times New Roman" w:hAnsi="Times New Roman" w:cs="Times New Roman"/>
          <w:b/>
          <w:noProof/>
          <w:u w:val="single"/>
        </w:rPr>
      </w:pPr>
    </w:p>
    <w:p w14:paraId="7BCE618A" w14:textId="59223A2F" w:rsidR="000E48CE" w:rsidRDefault="00FF4C4E">
      <w:pPr>
        <w:pStyle w:val="P68B1DB1-paragraph25"/>
        <w:spacing w:before="0" w:beforeAutospacing="0" w:after="0" w:afterAutospacing="0"/>
        <w:jc w:val="both"/>
        <w:textAlignment w:val="baseline"/>
        <w:rPr>
          <w:rFonts w:cs="Times New Roman"/>
          <w:b/>
          <w:noProof/>
          <w:u w:val="single"/>
        </w:rPr>
      </w:pPr>
      <w:r>
        <w:rPr>
          <w:i/>
          <w:noProof/>
        </w:rPr>
        <w:t>Ks. taulukko jäljempänä.</w:t>
      </w:r>
      <w:r>
        <w:rPr>
          <w:noProof/>
        </w:rPr>
        <w:t xml:space="preserve"> </w:t>
      </w:r>
      <w:r>
        <w:rPr>
          <w:i/>
          <w:noProof/>
        </w:rPr>
        <w:t>Kaikkien indikaattoreiden perustaso on 1. helmikuuta 2020, ellei toimen kuvauksessa toisin ilmoiteta.</w:t>
      </w:r>
    </w:p>
    <w:p w14:paraId="1DAFA8BA" w14:textId="77777777" w:rsidR="000E48CE" w:rsidRDefault="000E48CE">
      <w:pPr>
        <w:rPr>
          <w:rFonts w:ascii="Times New Roman" w:hAnsi="Times New Roman" w:cs="Times New Roman"/>
          <w:noProof/>
          <w:sz w:val="24"/>
        </w:rPr>
        <w:sectPr w:rsidR="000E48CE" w:rsidSect="00EB7CC8">
          <w:headerReference w:type="even" r:id="rId282"/>
          <w:headerReference w:type="default" r:id="rId283"/>
          <w:footerReference w:type="even" r:id="rId284"/>
          <w:footerReference w:type="default" r:id="rId285"/>
          <w:headerReference w:type="first" r:id="rId286"/>
          <w:footerReference w:type="first" r:id="rId287"/>
          <w:pgSz w:w="11907" w:h="16839"/>
          <w:pgMar w:top="1134" w:right="1417" w:bottom="1134" w:left="1417" w:header="709" w:footer="709" w:gutter="0"/>
          <w:cols w:space="720"/>
          <w:docGrid w:linePitch="360"/>
        </w:sectPr>
      </w:pPr>
    </w:p>
    <w:tbl>
      <w:tblPr>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850"/>
        <w:gridCol w:w="851"/>
        <w:gridCol w:w="2268"/>
        <w:gridCol w:w="1134"/>
        <w:gridCol w:w="709"/>
        <w:gridCol w:w="708"/>
        <w:gridCol w:w="709"/>
        <w:gridCol w:w="709"/>
        <w:gridCol w:w="709"/>
        <w:gridCol w:w="4958"/>
      </w:tblGrid>
      <w:tr w:rsidR="000E48CE" w14:paraId="009AA642" w14:textId="77777777">
        <w:trPr>
          <w:trHeight w:val="300"/>
          <w:tblHeader/>
        </w:trPr>
        <w:tc>
          <w:tcPr>
            <w:tcW w:w="846" w:type="dxa"/>
            <w:vMerge w:val="restart"/>
            <w:shd w:val="clear" w:color="auto" w:fill="C6D9F1" w:themeFill="text2" w:themeFillTint="33"/>
            <w:vAlign w:val="center"/>
            <w:hideMark/>
          </w:tcPr>
          <w:p w14:paraId="228A799E" w14:textId="77777777" w:rsidR="000E48CE" w:rsidRDefault="00FF4C4E">
            <w:pPr>
              <w:pStyle w:val="P68B1DB1-Normal13"/>
              <w:spacing w:after="0" w:line="240" w:lineRule="auto"/>
              <w:jc w:val="center"/>
              <w:textAlignment w:val="baseline"/>
              <w:rPr>
                <w:rFonts w:eastAsia="Times New Roman" w:cs="Times New Roman"/>
                <w:noProof/>
              </w:rPr>
            </w:pPr>
            <w:r>
              <w:rPr>
                <w:b/>
                <w:noProof/>
              </w:rPr>
              <w:t>Määrä</w:t>
            </w:r>
            <w:r>
              <w:rPr>
                <w:noProof/>
              </w:rPr>
              <w:t> </w:t>
            </w:r>
          </w:p>
          <w:p w14:paraId="54770E32" w14:textId="35686B28" w:rsidR="000E48CE" w:rsidRDefault="00FF4C4E">
            <w:pPr>
              <w:pStyle w:val="P68B1DB1-Normal13"/>
              <w:spacing w:after="0" w:line="240" w:lineRule="auto"/>
              <w:jc w:val="center"/>
              <w:textAlignment w:val="baseline"/>
              <w:rPr>
                <w:rFonts w:eastAsia="Times New Roman" w:cs="Times New Roman"/>
                <w:noProof/>
              </w:rPr>
            </w:pPr>
            <w:r>
              <w:rPr>
                <w:noProof/>
              </w:rPr>
              <w:t> </w:t>
            </w:r>
          </w:p>
        </w:tc>
        <w:tc>
          <w:tcPr>
            <w:tcW w:w="850" w:type="dxa"/>
            <w:vMerge w:val="restart"/>
            <w:shd w:val="clear" w:color="auto" w:fill="C6D9F1" w:themeFill="text2" w:themeFillTint="33"/>
            <w:vAlign w:val="center"/>
            <w:hideMark/>
          </w:tcPr>
          <w:p w14:paraId="16242CC3" w14:textId="77777777" w:rsidR="000E48CE" w:rsidRDefault="00FF4C4E">
            <w:pPr>
              <w:pStyle w:val="P68B1DB1-Normal13"/>
              <w:spacing w:after="0" w:line="240" w:lineRule="auto"/>
              <w:jc w:val="center"/>
              <w:textAlignment w:val="baseline"/>
              <w:rPr>
                <w:rFonts w:eastAsia="Times New Roman" w:cs="Times New Roman"/>
                <w:noProof/>
              </w:rPr>
            </w:pPr>
            <w:r>
              <w:rPr>
                <w:b/>
                <w:noProof/>
              </w:rPr>
              <w:t>Toimenpide</w:t>
            </w:r>
            <w:r>
              <w:rPr>
                <w:noProof/>
              </w:rPr>
              <w:t> </w:t>
            </w:r>
          </w:p>
          <w:p w14:paraId="76686C5A" w14:textId="04D5F8CE" w:rsidR="000E48CE" w:rsidRDefault="00FF4C4E">
            <w:pPr>
              <w:pStyle w:val="P68B1DB1-Normal13"/>
              <w:spacing w:after="0" w:line="240" w:lineRule="auto"/>
              <w:jc w:val="center"/>
              <w:textAlignment w:val="baseline"/>
              <w:rPr>
                <w:rFonts w:eastAsia="Times New Roman" w:cs="Times New Roman"/>
                <w:noProof/>
              </w:rPr>
            </w:pPr>
            <w:r>
              <w:rPr>
                <w:noProof/>
              </w:rPr>
              <w:t> </w:t>
            </w:r>
          </w:p>
        </w:tc>
        <w:tc>
          <w:tcPr>
            <w:tcW w:w="851" w:type="dxa"/>
            <w:vMerge w:val="restart"/>
            <w:shd w:val="clear" w:color="auto" w:fill="C6D9F1" w:themeFill="text2" w:themeFillTint="33"/>
            <w:vAlign w:val="center"/>
            <w:hideMark/>
          </w:tcPr>
          <w:p w14:paraId="4C2BB3AE" w14:textId="77777777" w:rsidR="000E48CE" w:rsidRDefault="00FF4C4E">
            <w:pPr>
              <w:pStyle w:val="P68B1DB1-Normal8"/>
              <w:spacing w:after="0" w:line="240" w:lineRule="auto"/>
              <w:jc w:val="center"/>
              <w:textAlignment w:val="baseline"/>
              <w:rPr>
                <w:rFonts w:eastAsia="Times New Roman" w:cs="Times New Roman"/>
                <w:noProof/>
                <w:sz w:val="18"/>
              </w:rPr>
            </w:pPr>
            <w:r>
              <w:rPr>
                <w:b/>
                <w:noProof/>
                <w:sz w:val="18"/>
              </w:rPr>
              <w:t>Välitavoite</w:t>
            </w:r>
            <w:r>
              <w:rPr>
                <w:noProof/>
                <w:sz w:val="18"/>
              </w:rPr>
              <w:t xml:space="preserve"> </w:t>
            </w:r>
            <w:r>
              <w:rPr>
                <w:noProof/>
                <w:shd w:val="clear" w:color="auto" w:fill="E6E6E6"/>
              </w:rPr>
              <w:br/>
            </w:r>
            <w:r>
              <w:rPr>
                <w:b/>
                <w:noProof/>
                <w:sz w:val="18"/>
              </w:rPr>
              <w:t>/Kohde</w:t>
            </w:r>
            <w:r>
              <w:rPr>
                <w:noProof/>
                <w:sz w:val="18"/>
              </w:rPr>
              <w:t> </w:t>
            </w:r>
          </w:p>
          <w:p w14:paraId="1F11B0E2" w14:textId="43990835" w:rsidR="000E48CE" w:rsidRDefault="00FF4C4E">
            <w:pPr>
              <w:pStyle w:val="P68B1DB1-Normal13"/>
              <w:spacing w:after="0" w:line="240" w:lineRule="auto"/>
              <w:jc w:val="center"/>
              <w:textAlignment w:val="baseline"/>
              <w:rPr>
                <w:rFonts w:eastAsia="Times New Roman" w:cs="Times New Roman"/>
                <w:noProof/>
              </w:rPr>
            </w:pPr>
            <w:r>
              <w:rPr>
                <w:noProof/>
              </w:rPr>
              <w:t> </w:t>
            </w:r>
          </w:p>
        </w:tc>
        <w:tc>
          <w:tcPr>
            <w:tcW w:w="2268" w:type="dxa"/>
            <w:vMerge w:val="restart"/>
            <w:shd w:val="clear" w:color="auto" w:fill="C6D9F1" w:themeFill="text2" w:themeFillTint="33"/>
            <w:vAlign w:val="center"/>
            <w:hideMark/>
          </w:tcPr>
          <w:p w14:paraId="67F7FFCD" w14:textId="77777777" w:rsidR="000E48CE" w:rsidRDefault="00FF4C4E">
            <w:pPr>
              <w:pStyle w:val="P68B1DB1-Normal13"/>
              <w:spacing w:after="0" w:line="240" w:lineRule="auto"/>
              <w:jc w:val="center"/>
              <w:textAlignment w:val="baseline"/>
              <w:rPr>
                <w:rFonts w:eastAsia="Times New Roman" w:cs="Times New Roman"/>
                <w:noProof/>
              </w:rPr>
            </w:pPr>
            <w:r>
              <w:rPr>
                <w:b/>
                <w:noProof/>
              </w:rPr>
              <w:t>Nimi</w:t>
            </w:r>
            <w:r>
              <w:rPr>
                <w:noProof/>
              </w:rPr>
              <w:t> </w:t>
            </w:r>
          </w:p>
          <w:p w14:paraId="04BB8F11" w14:textId="301D47E5" w:rsidR="000E48CE" w:rsidRDefault="00FF4C4E">
            <w:pPr>
              <w:pStyle w:val="P68B1DB1-Normal13"/>
              <w:spacing w:after="0" w:line="240" w:lineRule="auto"/>
              <w:textAlignment w:val="baseline"/>
              <w:rPr>
                <w:rFonts w:eastAsia="Times New Roman" w:cs="Times New Roman"/>
                <w:noProof/>
              </w:rPr>
            </w:pPr>
            <w:r>
              <w:rPr>
                <w:noProof/>
              </w:rPr>
              <w:t> </w:t>
            </w:r>
          </w:p>
        </w:tc>
        <w:tc>
          <w:tcPr>
            <w:tcW w:w="1134" w:type="dxa"/>
            <w:vMerge w:val="restart"/>
            <w:shd w:val="clear" w:color="auto" w:fill="C6D9F1" w:themeFill="text2" w:themeFillTint="33"/>
            <w:vAlign w:val="center"/>
            <w:hideMark/>
          </w:tcPr>
          <w:p w14:paraId="1FD58E81" w14:textId="77777777" w:rsidR="000E48CE" w:rsidRDefault="00FF4C4E">
            <w:pPr>
              <w:pStyle w:val="P68B1DB1-Normal13"/>
              <w:spacing w:after="0" w:line="240" w:lineRule="auto"/>
              <w:jc w:val="center"/>
              <w:textAlignment w:val="baseline"/>
              <w:rPr>
                <w:rFonts w:eastAsia="Times New Roman" w:cs="Times New Roman"/>
                <w:noProof/>
              </w:rPr>
            </w:pPr>
            <w:r>
              <w:rPr>
                <w:b/>
                <w:noProof/>
              </w:rPr>
              <w:t>Välitavoitteiden laadullinen indikaattori</w:t>
            </w:r>
            <w:r>
              <w:rPr>
                <w:noProof/>
              </w:rPr>
              <w:t> </w:t>
            </w:r>
          </w:p>
          <w:p w14:paraId="2A6C4529" w14:textId="5EC89C64" w:rsidR="000E48CE" w:rsidRDefault="00FF4C4E">
            <w:pPr>
              <w:pStyle w:val="P68B1DB1-Normal13"/>
              <w:spacing w:after="0" w:line="240" w:lineRule="auto"/>
              <w:jc w:val="center"/>
              <w:textAlignment w:val="baseline"/>
              <w:rPr>
                <w:rFonts w:eastAsia="Times New Roman" w:cs="Times New Roman"/>
                <w:noProof/>
              </w:rPr>
            </w:pPr>
            <w:r>
              <w:rPr>
                <w:noProof/>
              </w:rPr>
              <w:t> </w:t>
            </w:r>
          </w:p>
        </w:tc>
        <w:tc>
          <w:tcPr>
            <w:tcW w:w="2126" w:type="dxa"/>
            <w:gridSpan w:val="3"/>
            <w:shd w:val="clear" w:color="auto" w:fill="C6D9F1" w:themeFill="text2" w:themeFillTint="33"/>
            <w:vAlign w:val="center"/>
            <w:hideMark/>
          </w:tcPr>
          <w:p w14:paraId="16A60266" w14:textId="77777777" w:rsidR="000E48CE" w:rsidRDefault="00FF4C4E">
            <w:pPr>
              <w:pStyle w:val="P68B1DB1-Normal13"/>
              <w:spacing w:after="0" w:line="240" w:lineRule="auto"/>
              <w:jc w:val="center"/>
              <w:textAlignment w:val="baseline"/>
              <w:rPr>
                <w:rFonts w:eastAsia="Times New Roman" w:cs="Times New Roman"/>
                <w:noProof/>
              </w:rPr>
            </w:pPr>
            <w:r>
              <w:rPr>
                <w:b/>
                <w:noProof/>
              </w:rPr>
              <w:t>Määrällinen indikaattori tavoitteelle</w:t>
            </w:r>
            <w:r>
              <w:rPr>
                <w:noProof/>
              </w:rPr>
              <w:t> </w:t>
            </w:r>
          </w:p>
        </w:tc>
        <w:tc>
          <w:tcPr>
            <w:tcW w:w="1418" w:type="dxa"/>
            <w:gridSpan w:val="2"/>
            <w:shd w:val="clear" w:color="auto" w:fill="C6D9F1" w:themeFill="text2" w:themeFillTint="33"/>
            <w:vAlign w:val="center"/>
            <w:hideMark/>
          </w:tcPr>
          <w:p w14:paraId="79B6C7FC" w14:textId="77777777" w:rsidR="000E48CE" w:rsidRDefault="00FF4C4E">
            <w:pPr>
              <w:pStyle w:val="P68B1DB1-Normal13"/>
              <w:spacing w:after="0" w:line="240" w:lineRule="auto"/>
              <w:jc w:val="center"/>
              <w:textAlignment w:val="baseline"/>
              <w:rPr>
                <w:rFonts w:eastAsia="Times New Roman" w:cs="Times New Roman"/>
                <w:noProof/>
              </w:rPr>
            </w:pPr>
            <w:r>
              <w:rPr>
                <w:b/>
                <w:noProof/>
              </w:rPr>
              <w:t>Aika</w:t>
            </w:r>
            <w:r>
              <w:rPr>
                <w:noProof/>
              </w:rPr>
              <w:t> </w:t>
            </w:r>
          </w:p>
        </w:tc>
        <w:tc>
          <w:tcPr>
            <w:tcW w:w="4958" w:type="dxa"/>
            <w:vMerge w:val="restart"/>
            <w:shd w:val="clear" w:color="auto" w:fill="C6D9F1" w:themeFill="text2" w:themeFillTint="33"/>
            <w:vAlign w:val="center"/>
            <w:hideMark/>
          </w:tcPr>
          <w:p w14:paraId="76717449" w14:textId="77777777" w:rsidR="000E48CE" w:rsidRDefault="00FF4C4E">
            <w:pPr>
              <w:pStyle w:val="P68B1DB1-Normal13"/>
              <w:spacing w:after="0" w:line="240" w:lineRule="auto"/>
              <w:jc w:val="center"/>
              <w:textAlignment w:val="baseline"/>
              <w:rPr>
                <w:rFonts w:eastAsia="Times New Roman" w:cs="Times New Roman"/>
                <w:noProof/>
              </w:rPr>
            </w:pPr>
            <w:r>
              <w:rPr>
                <w:b/>
                <w:noProof/>
              </w:rPr>
              <w:t>Kunkin välitavoitteen ja tavoitteen kuvaus</w:t>
            </w:r>
            <w:r>
              <w:rPr>
                <w:noProof/>
              </w:rPr>
              <w:t> </w:t>
            </w:r>
          </w:p>
          <w:p w14:paraId="742312F1" w14:textId="79871565" w:rsidR="000E48CE" w:rsidRDefault="00FF4C4E">
            <w:pPr>
              <w:pStyle w:val="P68B1DB1-Normal13"/>
              <w:spacing w:after="0" w:line="240" w:lineRule="auto"/>
              <w:textAlignment w:val="baseline"/>
              <w:rPr>
                <w:rFonts w:eastAsia="Times New Roman" w:cs="Times New Roman"/>
                <w:noProof/>
              </w:rPr>
            </w:pPr>
            <w:r>
              <w:rPr>
                <w:noProof/>
              </w:rPr>
              <w:t> </w:t>
            </w:r>
          </w:p>
        </w:tc>
      </w:tr>
      <w:tr w:rsidR="000E48CE" w14:paraId="65A4F62D" w14:textId="77777777">
        <w:trPr>
          <w:trHeight w:val="495"/>
          <w:tblHeader/>
        </w:trPr>
        <w:tc>
          <w:tcPr>
            <w:tcW w:w="846" w:type="dxa"/>
            <w:vMerge/>
            <w:shd w:val="clear" w:color="auto" w:fill="C6D9F1" w:themeFill="text2" w:themeFillTint="33"/>
            <w:hideMark/>
          </w:tcPr>
          <w:p w14:paraId="47E8EB72" w14:textId="3890B55D"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850" w:type="dxa"/>
            <w:vMerge/>
            <w:shd w:val="clear" w:color="auto" w:fill="C6D9F1" w:themeFill="text2" w:themeFillTint="33"/>
            <w:hideMark/>
          </w:tcPr>
          <w:p w14:paraId="4D9D5A78" w14:textId="6C04FB28"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851" w:type="dxa"/>
            <w:vMerge/>
            <w:shd w:val="clear" w:color="auto" w:fill="C6D9F1" w:themeFill="text2" w:themeFillTint="33"/>
            <w:hideMark/>
          </w:tcPr>
          <w:p w14:paraId="28A47BAC" w14:textId="3B79D6A1"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2268" w:type="dxa"/>
            <w:vMerge/>
            <w:shd w:val="clear" w:color="auto" w:fill="C6D9F1" w:themeFill="text2" w:themeFillTint="33"/>
            <w:hideMark/>
          </w:tcPr>
          <w:p w14:paraId="4929334D" w14:textId="7F2FCDD2" w:rsidR="000E48CE" w:rsidRDefault="000E48CE">
            <w:pPr>
              <w:spacing w:after="0" w:line="240" w:lineRule="auto"/>
              <w:textAlignment w:val="baseline"/>
              <w:rPr>
                <w:rFonts w:ascii="Times New Roman" w:eastAsia="Times New Roman" w:hAnsi="Times New Roman" w:cs="Times New Roman"/>
                <w:noProof/>
                <w:sz w:val="18"/>
              </w:rPr>
            </w:pPr>
          </w:p>
        </w:tc>
        <w:tc>
          <w:tcPr>
            <w:tcW w:w="1134" w:type="dxa"/>
            <w:vMerge/>
            <w:shd w:val="clear" w:color="auto" w:fill="C6D9F1" w:themeFill="text2" w:themeFillTint="33"/>
            <w:hideMark/>
          </w:tcPr>
          <w:p w14:paraId="4CA1E531" w14:textId="522CE838"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D9F1" w:themeFill="text2" w:themeFillTint="33"/>
            <w:vAlign w:val="center"/>
            <w:hideMark/>
          </w:tcPr>
          <w:p w14:paraId="79E268EE" w14:textId="77777777" w:rsidR="000E48CE" w:rsidRDefault="00FF4C4E">
            <w:pPr>
              <w:pStyle w:val="P68B1DB1-Normal13"/>
              <w:spacing w:after="0" w:line="240" w:lineRule="auto"/>
              <w:jc w:val="center"/>
              <w:textAlignment w:val="baseline"/>
              <w:rPr>
                <w:rFonts w:eastAsia="Times New Roman" w:cs="Times New Roman"/>
                <w:noProof/>
              </w:rPr>
            </w:pPr>
            <w:r>
              <w:rPr>
                <w:b/>
                <w:noProof/>
              </w:rPr>
              <w:t>Yksikkö</w:t>
            </w:r>
            <w:r>
              <w:rPr>
                <w:noProof/>
              </w:rPr>
              <w:t> </w:t>
            </w:r>
          </w:p>
        </w:tc>
        <w:tc>
          <w:tcPr>
            <w:tcW w:w="708" w:type="dxa"/>
            <w:shd w:val="clear" w:color="auto" w:fill="C6D9F1" w:themeFill="text2" w:themeFillTint="33"/>
            <w:vAlign w:val="center"/>
            <w:hideMark/>
          </w:tcPr>
          <w:p w14:paraId="7DE07462" w14:textId="7B033F9A" w:rsidR="000E48CE" w:rsidRDefault="00FF4C4E">
            <w:pPr>
              <w:pStyle w:val="P68B1DB1-Normal13"/>
              <w:spacing w:after="0" w:line="240" w:lineRule="auto"/>
              <w:jc w:val="center"/>
              <w:textAlignment w:val="baseline"/>
              <w:rPr>
                <w:rFonts w:eastAsia="Times New Roman" w:cs="Times New Roman"/>
                <w:noProof/>
              </w:rPr>
            </w:pPr>
            <w:r>
              <w:rPr>
                <w:b/>
                <w:noProof/>
              </w:rPr>
              <w:t>Perusviiva</w:t>
            </w:r>
            <w:r>
              <w:rPr>
                <w:noProof/>
              </w:rPr>
              <w:t> </w:t>
            </w:r>
          </w:p>
        </w:tc>
        <w:tc>
          <w:tcPr>
            <w:tcW w:w="709" w:type="dxa"/>
            <w:shd w:val="clear" w:color="auto" w:fill="C6D9F1" w:themeFill="text2" w:themeFillTint="33"/>
            <w:vAlign w:val="center"/>
            <w:hideMark/>
          </w:tcPr>
          <w:p w14:paraId="26DDD29B" w14:textId="77777777" w:rsidR="000E48CE" w:rsidRDefault="00FF4C4E">
            <w:pPr>
              <w:pStyle w:val="P68B1DB1-Normal13"/>
              <w:spacing w:after="0" w:line="240" w:lineRule="auto"/>
              <w:jc w:val="center"/>
              <w:textAlignment w:val="baseline"/>
              <w:rPr>
                <w:rFonts w:eastAsia="Times New Roman" w:cs="Times New Roman"/>
                <w:noProof/>
              </w:rPr>
            </w:pPr>
            <w:r>
              <w:rPr>
                <w:b/>
                <w:noProof/>
              </w:rPr>
              <w:t>Päämäärä</w:t>
            </w:r>
            <w:r>
              <w:rPr>
                <w:noProof/>
              </w:rPr>
              <w:t> </w:t>
            </w:r>
          </w:p>
        </w:tc>
        <w:tc>
          <w:tcPr>
            <w:tcW w:w="709" w:type="dxa"/>
            <w:shd w:val="clear" w:color="auto" w:fill="C6D9F1" w:themeFill="text2" w:themeFillTint="33"/>
            <w:vAlign w:val="center"/>
            <w:hideMark/>
          </w:tcPr>
          <w:p w14:paraId="26E559A7" w14:textId="77777777" w:rsidR="000E48CE" w:rsidRDefault="00FF4C4E">
            <w:pPr>
              <w:pStyle w:val="P68B1DB1-Normal13"/>
              <w:spacing w:after="0" w:line="240" w:lineRule="auto"/>
              <w:jc w:val="center"/>
              <w:textAlignment w:val="baseline"/>
              <w:rPr>
                <w:rFonts w:eastAsia="Times New Roman" w:cs="Times New Roman"/>
                <w:noProof/>
              </w:rPr>
            </w:pPr>
            <w:r>
              <w:rPr>
                <w:b/>
                <w:noProof/>
              </w:rPr>
              <w:t>Q</w:t>
            </w:r>
            <w:r>
              <w:rPr>
                <w:noProof/>
              </w:rPr>
              <w:t> </w:t>
            </w:r>
          </w:p>
        </w:tc>
        <w:tc>
          <w:tcPr>
            <w:tcW w:w="709" w:type="dxa"/>
            <w:shd w:val="clear" w:color="auto" w:fill="C6D9F1" w:themeFill="text2" w:themeFillTint="33"/>
            <w:vAlign w:val="center"/>
            <w:hideMark/>
          </w:tcPr>
          <w:p w14:paraId="47AD313C" w14:textId="77777777" w:rsidR="000E48CE" w:rsidRDefault="00FF4C4E">
            <w:pPr>
              <w:pStyle w:val="P68B1DB1-Normal13"/>
              <w:spacing w:after="0" w:line="240" w:lineRule="auto"/>
              <w:jc w:val="center"/>
              <w:textAlignment w:val="baseline"/>
              <w:rPr>
                <w:rFonts w:eastAsia="Times New Roman" w:cs="Times New Roman"/>
                <w:noProof/>
              </w:rPr>
            </w:pPr>
            <w:r>
              <w:rPr>
                <w:b/>
                <w:noProof/>
              </w:rPr>
              <w:t>Vuosi</w:t>
            </w:r>
            <w:r>
              <w:rPr>
                <w:noProof/>
              </w:rPr>
              <w:t> </w:t>
            </w:r>
          </w:p>
        </w:tc>
        <w:tc>
          <w:tcPr>
            <w:tcW w:w="4958" w:type="dxa"/>
            <w:vMerge/>
            <w:shd w:val="clear" w:color="auto" w:fill="C6D9F1" w:themeFill="text2" w:themeFillTint="33"/>
            <w:hideMark/>
          </w:tcPr>
          <w:p w14:paraId="5A46B545" w14:textId="0E052537" w:rsidR="000E48CE" w:rsidRDefault="000E48CE">
            <w:pPr>
              <w:spacing w:after="0" w:line="240" w:lineRule="auto"/>
              <w:textAlignment w:val="baseline"/>
              <w:rPr>
                <w:rFonts w:ascii="Times New Roman" w:eastAsia="Times New Roman" w:hAnsi="Times New Roman" w:cs="Times New Roman"/>
                <w:noProof/>
                <w:sz w:val="18"/>
              </w:rPr>
            </w:pPr>
          </w:p>
        </w:tc>
      </w:tr>
      <w:tr w:rsidR="000E48CE" w14:paraId="38DD0C1A" w14:textId="77777777">
        <w:trPr>
          <w:trHeight w:val="300"/>
        </w:trPr>
        <w:tc>
          <w:tcPr>
            <w:tcW w:w="846" w:type="dxa"/>
            <w:shd w:val="clear" w:color="auto" w:fill="C6EFCE"/>
            <w:hideMark/>
          </w:tcPr>
          <w:p w14:paraId="0484FB96" w14:textId="43DAF472" w:rsidR="000E48CE" w:rsidRDefault="00FF4C4E">
            <w:pPr>
              <w:pStyle w:val="P68B1DB1-Normal13"/>
              <w:spacing w:after="0" w:line="240" w:lineRule="auto"/>
              <w:jc w:val="center"/>
              <w:textAlignment w:val="baseline"/>
              <w:rPr>
                <w:rFonts w:eastAsia="Times New Roman" w:cs="Times New Roman"/>
                <w:noProof/>
              </w:rPr>
            </w:pPr>
            <w:r>
              <w:rPr>
                <w:noProof/>
              </w:rPr>
              <w:t xml:space="preserve">L25 </w:t>
            </w:r>
          </w:p>
        </w:tc>
        <w:tc>
          <w:tcPr>
            <w:tcW w:w="850" w:type="dxa"/>
            <w:shd w:val="clear" w:color="auto" w:fill="C6EFCE"/>
            <w:hideMark/>
          </w:tcPr>
          <w:p w14:paraId="7CB457CB"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hideMark/>
          </w:tcPr>
          <w:p w14:paraId="2D9910B1" w14:textId="77777777" w:rsidR="000E48CE" w:rsidRDefault="00FF4C4E">
            <w:pPr>
              <w:pStyle w:val="P68B1DB1-Normal13"/>
              <w:spacing w:after="0" w:line="240" w:lineRule="auto"/>
              <w:jc w:val="center"/>
              <w:textAlignment w:val="baseline"/>
              <w:rPr>
                <w:rFonts w:eastAsia="Times New Roman" w:cs="Times New Roman"/>
                <w:noProof/>
              </w:rPr>
            </w:pPr>
            <w:r>
              <w:rPr>
                <w:noProof/>
              </w:rPr>
              <w:t>M </w:t>
            </w:r>
          </w:p>
        </w:tc>
        <w:tc>
          <w:tcPr>
            <w:tcW w:w="2268" w:type="dxa"/>
            <w:shd w:val="clear" w:color="auto" w:fill="C6EFCE"/>
            <w:hideMark/>
          </w:tcPr>
          <w:p w14:paraId="64221936" w14:textId="34F95960" w:rsidR="000E48CE" w:rsidRDefault="00FF4C4E">
            <w:pPr>
              <w:pStyle w:val="P68B1DB1-Normal13"/>
              <w:spacing w:after="0" w:line="240" w:lineRule="auto"/>
              <w:textAlignment w:val="baseline"/>
              <w:rPr>
                <w:rFonts w:eastAsia="Times New Roman" w:cs="Times New Roman"/>
                <w:noProof/>
              </w:rPr>
            </w:pPr>
            <w:r>
              <w:rPr>
                <w:noProof/>
              </w:rPr>
              <w:t>ICO:n vihreän linjan täytäntöönpanosopimus ICO:n kanssa</w:t>
            </w:r>
          </w:p>
        </w:tc>
        <w:tc>
          <w:tcPr>
            <w:tcW w:w="1134" w:type="dxa"/>
            <w:shd w:val="clear" w:color="auto" w:fill="C6EFCE"/>
            <w:hideMark/>
          </w:tcPr>
          <w:p w14:paraId="0B2E0E54" w14:textId="3DD972FE" w:rsidR="000E48CE" w:rsidRDefault="00FF4C4E">
            <w:pPr>
              <w:pStyle w:val="P68B1DB1-Normal13"/>
              <w:spacing w:after="0" w:line="240" w:lineRule="auto"/>
              <w:jc w:val="center"/>
              <w:textAlignment w:val="baseline"/>
              <w:rPr>
                <w:rFonts w:eastAsia="Times New Roman" w:cs="Times New Roman"/>
                <w:noProof/>
              </w:rPr>
            </w:pPr>
            <w:r>
              <w:rPr>
                <w:noProof/>
              </w:rPr>
              <w:t>Täytäntöönpanosopimuksen voimaantulo </w:t>
            </w:r>
          </w:p>
        </w:tc>
        <w:tc>
          <w:tcPr>
            <w:tcW w:w="709" w:type="dxa"/>
            <w:shd w:val="clear" w:color="auto" w:fill="C6EFCE"/>
            <w:hideMark/>
          </w:tcPr>
          <w:p w14:paraId="00E85A9A" w14:textId="77777777" w:rsidR="000E48CE" w:rsidRDefault="00FF4C4E">
            <w:pPr>
              <w:pStyle w:val="P68B1DB1-Normal13"/>
              <w:spacing w:after="0" w:line="240" w:lineRule="auto"/>
              <w:jc w:val="center"/>
              <w:textAlignment w:val="baseline"/>
              <w:rPr>
                <w:rFonts w:eastAsia="Times New Roman" w:cs="Times New Roman"/>
                <w:noProof/>
              </w:rPr>
            </w:pPr>
            <w:r>
              <w:rPr>
                <w:noProof/>
              </w:rPr>
              <w:t>  </w:t>
            </w:r>
          </w:p>
        </w:tc>
        <w:tc>
          <w:tcPr>
            <w:tcW w:w="708" w:type="dxa"/>
            <w:shd w:val="clear" w:color="auto" w:fill="C6EFCE"/>
            <w:hideMark/>
          </w:tcPr>
          <w:p w14:paraId="6CE86E41" w14:textId="77777777" w:rsidR="000E48CE" w:rsidRDefault="00FF4C4E">
            <w:pPr>
              <w:pStyle w:val="P68B1DB1-Normal13"/>
              <w:spacing w:after="0" w:line="240" w:lineRule="auto"/>
              <w:jc w:val="right"/>
              <w:textAlignment w:val="baseline"/>
              <w:rPr>
                <w:rFonts w:eastAsia="Times New Roman" w:cs="Times New Roman"/>
                <w:noProof/>
              </w:rPr>
            </w:pPr>
            <w:r>
              <w:rPr>
                <w:noProof/>
              </w:rPr>
              <w:t>  </w:t>
            </w:r>
          </w:p>
        </w:tc>
        <w:tc>
          <w:tcPr>
            <w:tcW w:w="709" w:type="dxa"/>
            <w:shd w:val="clear" w:color="auto" w:fill="C6EFCE"/>
            <w:hideMark/>
          </w:tcPr>
          <w:p w14:paraId="2BDAA92E" w14:textId="77777777" w:rsidR="000E48CE" w:rsidRDefault="00FF4C4E">
            <w:pPr>
              <w:pStyle w:val="P68B1DB1-Normal13"/>
              <w:spacing w:after="0" w:line="240" w:lineRule="auto"/>
              <w:jc w:val="right"/>
              <w:textAlignment w:val="baseline"/>
              <w:rPr>
                <w:rFonts w:eastAsia="Times New Roman" w:cs="Times New Roman"/>
                <w:noProof/>
              </w:rPr>
            </w:pPr>
            <w:r>
              <w:rPr>
                <w:noProof/>
              </w:rPr>
              <w:t>  </w:t>
            </w:r>
          </w:p>
        </w:tc>
        <w:tc>
          <w:tcPr>
            <w:tcW w:w="709" w:type="dxa"/>
            <w:shd w:val="clear" w:color="auto" w:fill="C6EFCE"/>
            <w:hideMark/>
          </w:tcPr>
          <w:p w14:paraId="7E990893" w14:textId="77777777" w:rsidR="000E48CE" w:rsidRDefault="00FF4C4E">
            <w:pPr>
              <w:pStyle w:val="P68B1DB1-Normal13"/>
              <w:spacing w:after="0" w:line="240" w:lineRule="auto"/>
              <w:jc w:val="center"/>
              <w:textAlignment w:val="baseline"/>
              <w:rPr>
                <w:rFonts w:eastAsia="Times New Roman" w:cs="Times New Roman"/>
                <w:noProof/>
              </w:rPr>
            </w:pPr>
            <w:r>
              <w:rPr>
                <w:noProof/>
              </w:rPr>
              <w:t>Q4 </w:t>
            </w:r>
          </w:p>
        </w:tc>
        <w:tc>
          <w:tcPr>
            <w:tcW w:w="709" w:type="dxa"/>
            <w:shd w:val="clear" w:color="auto" w:fill="C6EFCE"/>
            <w:hideMark/>
          </w:tcPr>
          <w:p w14:paraId="4FEAD874" w14:textId="77777777" w:rsidR="000E48CE" w:rsidRDefault="00FF4C4E">
            <w:pPr>
              <w:pStyle w:val="P68B1DB1-Normal13"/>
              <w:spacing w:after="0" w:line="240" w:lineRule="auto"/>
              <w:jc w:val="center"/>
              <w:textAlignment w:val="baseline"/>
              <w:rPr>
                <w:rFonts w:eastAsia="Times New Roman" w:cs="Times New Roman"/>
                <w:noProof/>
              </w:rPr>
            </w:pPr>
            <w:r>
              <w:rPr>
                <w:noProof/>
              </w:rPr>
              <w:t>2023 </w:t>
            </w:r>
          </w:p>
        </w:tc>
        <w:tc>
          <w:tcPr>
            <w:tcW w:w="4958" w:type="dxa"/>
            <w:shd w:val="clear" w:color="auto" w:fill="C6EFCE"/>
            <w:hideMark/>
          </w:tcPr>
          <w:p w14:paraId="7F7EA717" w14:textId="799CAC09" w:rsidR="000E48CE" w:rsidRDefault="00FF4C4E">
            <w:pPr>
              <w:pStyle w:val="P68B1DB1-Normal13"/>
              <w:spacing w:after="0" w:line="240" w:lineRule="auto"/>
              <w:textAlignment w:val="baseline"/>
              <w:rPr>
                <w:rFonts w:eastAsia="Times New Roman" w:cs="Times New Roman"/>
                <w:noProof/>
              </w:rPr>
            </w:pPr>
            <w:r>
              <w:rPr>
                <w:noProof/>
              </w:rPr>
              <w:t>Täytäntöönpanosopimuksen voimaantulo.</w:t>
            </w:r>
          </w:p>
        </w:tc>
      </w:tr>
      <w:tr w:rsidR="000E48CE" w14:paraId="58AE24B1" w14:textId="77777777">
        <w:trPr>
          <w:trHeight w:val="300"/>
        </w:trPr>
        <w:tc>
          <w:tcPr>
            <w:tcW w:w="846" w:type="dxa"/>
            <w:shd w:val="clear" w:color="auto" w:fill="C6EFCE"/>
          </w:tcPr>
          <w:p w14:paraId="3E5F2996" w14:textId="7B963C64" w:rsidR="000E48CE" w:rsidRDefault="00FF4C4E">
            <w:pPr>
              <w:pStyle w:val="P68B1DB1-Normal13"/>
              <w:spacing w:after="0" w:line="240" w:lineRule="auto"/>
              <w:jc w:val="center"/>
              <w:textAlignment w:val="baseline"/>
              <w:rPr>
                <w:rFonts w:eastAsia="Times New Roman" w:cs="Times New Roman"/>
                <w:noProof/>
              </w:rPr>
            </w:pPr>
            <w:r>
              <w:rPr>
                <w:noProof/>
              </w:rPr>
              <w:t>L25a</w:t>
            </w:r>
          </w:p>
        </w:tc>
        <w:tc>
          <w:tcPr>
            <w:tcW w:w="850" w:type="dxa"/>
            <w:shd w:val="clear" w:color="auto" w:fill="C6EFCE"/>
          </w:tcPr>
          <w:p w14:paraId="63CB3941" w14:textId="08A2DD43"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066063AF" w14:textId="6B0F0504"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ADCE7B9" w14:textId="2F5A5236" w:rsidR="000E48CE" w:rsidRDefault="00FF4C4E">
            <w:pPr>
              <w:pStyle w:val="P68B1DB1-Normal13"/>
              <w:spacing w:after="0" w:line="240" w:lineRule="auto"/>
              <w:textAlignment w:val="baseline"/>
              <w:rPr>
                <w:rFonts w:eastAsia="Times New Roman" w:cs="Times New Roman"/>
                <w:noProof/>
              </w:rPr>
            </w:pPr>
            <w:r>
              <w:rPr>
                <w:noProof/>
              </w:rPr>
              <w:t xml:space="preserve">ICO Green Line – Lopullisten </w:t>
            </w:r>
            <w:r>
              <w:rPr>
                <w:noProof/>
              </w:rPr>
              <w:t>edunsaajien (mukaan lukien pääomarahastot) kanssa allekirjoitetut oikeudelliset sopimukset (I)</w:t>
            </w:r>
          </w:p>
        </w:tc>
        <w:tc>
          <w:tcPr>
            <w:tcW w:w="1134" w:type="dxa"/>
            <w:shd w:val="clear" w:color="auto" w:fill="C6EFCE"/>
          </w:tcPr>
          <w:p w14:paraId="47B2720F"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3CE78BA" w14:textId="50FE46BF"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42FA31CA" w14:textId="45ECE08F" w:rsidR="000E48CE" w:rsidRDefault="00FF4C4E">
            <w:pPr>
              <w:pStyle w:val="P68B1DB1-Normal13"/>
              <w:spacing w:after="0" w:line="240" w:lineRule="auto"/>
              <w:jc w:val="right"/>
              <w:textAlignment w:val="baseline"/>
              <w:rPr>
                <w:rFonts w:eastAsia="Times New Roman" w:cs="Times New Roman"/>
                <w:noProof/>
              </w:rPr>
            </w:pPr>
            <w:r>
              <w:rPr>
                <w:noProof/>
              </w:rPr>
              <w:t>0 %</w:t>
            </w:r>
          </w:p>
        </w:tc>
        <w:tc>
          <w:tcPr>
            <w:tcW w:w="709" w:type="dxa"/>
            <w:shd w:val="clear" w:color="auto" w:fill="C6EFCE"/>
          </w:tcPr>
          <w:p w14:paraId="2B6F9941" w14:textId="77777777" w:rsidR="000E48CE" w:rsidRDefault="00FF4C4E">
            <w:pPr>
              <w:pStyle w:val="P68B1DB1-Normal13"/>
              <w:spacing w:after="0" w:line="240" w:lineRule="auto"/>
              <w:jc w:val="right"/>
              <w:textAlignment w:val="baseline"/>
              <w:rPr>
                <w:rFonts w:eastAsia="Times New Roman" w:cs="Times New Roman"/>
                <w:noProof/>
              </w:rPr>
            </w:pPr>
            <w:r>
              <w:rPr>
                <w:noProof/>
              </w:rPr>
              <w:t xml:space="preserve">15 % </w:t>
            </w:r>
          </w:p>
          <w:p w14:paraId="1354F165"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BD6F75" w14:textId="37109EAF"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4A69A515" w14:textId="13A47AD7" w:rsidR="000E48CE" w:rsidRDefault="00FF4C4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51EEFEB4" w14:textId="2E1A8B49" w:rsidR="000E48CE" w:rsidRDefault="00FF4C4E">
            <w:pPr>
              <w:pStyle w:val="P68B1DB1-Normal13"/>
              <w:spacing w:after="0" w:line="240" w:lineRule="auto"/>
              <w:textAlignment w:val="baseline"/>
              <w:rPr>
                <w:rFonts w:eastAsia="Times New Roman" w:cs="Times New Roman"/>
                <w:noProof/>
              </w:rPr>
            </w:pPr>
            <w:r>
              <w:rPr>
                <w:noProof/>
              </w:rPr>
              <w:t>ICO/Axis ja sen valitsemat välittäjät ovat tehneet lopullisten edunsaajien (pääomarahastot mukaan lukien) kanssa oikeudellisia rahoitussopi</w:t>
            </w:r>
            <w:r>
              <w:rPr>
                <w:noProof/>
              </w:rPr>
              <w:t>muksia, joiden määrä on tarpeen, jotta vähintään 15 prosenttia elpymis- ja palautumistukivälineen investoinneista tukivälineeseen voidaan käyttää (hallintopalkkiot huomioon ottaen). Vähintään 2,5 prosenttia rahoituksesta vastaa pääomarahastojen kanssa alle</w:t>
            </w:r>
            <w:r>
              <w:rPr>
                <w:noProof/>
              </w:rPr>
              <w:t>kirjoitettuja rahoitussopimuksia ja vähintään 50 prosenttia rahoitussopimuksia, jotka on allekirjoitettu lopullisten tuensaajien kanssa kaikista muista sijoitustuotteista (mukaan lukien toteutuskumppanin suorat pääomasijoitukset). ICO laatii elpymis- ja pa</w:t>
            </w:r>
            <w:r>
              <w:rPr>
                <w:noProof/>
              </w:rPr>
              <w:t xml:space="preserve">lautumistukivälinettä koskevan asetuksen liitteessä VI esitetyn menetelmän mukaisesti raportin, jossa esitetään yksityiskohtaisesti tämän ilmastotavoitteiden saavuttamista edistävän rahoituksen osuus. </w:t>
            </w:r>
          </w:p>
        </w:tc>
      </w:tr>
      <w:tr w:rsidR="000E48CE" w14:paraId="3DE10BF1" w14:textId="77777777">
        <w:trPr>
          <w:trHeight w:val="300"/>
        </w:trPr>
        <w:tc>
          <w:tcPr>
            <w:tcW w:w="846" w:type="dxa"/>
            <w:shd w:val="clear" w:color="auto" w:fill="C6EFCE"/>
          </w:tcPr>
          <w:p w14:paraId="132606E8" w14:textId="3028137B" w:rsidR="000E48CE" w:rsidRDefault="00FF4C4E">
            <w:pPr>
              <w:pStyle w:val="P68B1DB1-Normal13"/>
              <w:spacing w:after="0" w:line="240" w:lineRule="auto"/>
              <w:jc w:val="center"/>
              <w:textAlignment w:val="baseline"/>
              <w:rPr>
                <w:rFonts w:eastAsia="Times New Roman" w:cs="Times New Roman"/>
                <w:noProof/>
              </w:rPr>
            </w:pPr>
            <w:r>
              <w:rPr>
                <w:noProof/>
              </w:rPr>
              <w:t>L26</w:t>
            </w:r>
          </w:p>
        </w:tc>
        <w:tc>
          <w:tcPr>
            <w:tcW w:w="850" w:type="dxa"/>
            <w:shd w:val="clear" w:color="auto" w:fill="C6EFCE"/>
          </w:tcPr>
          <w:p w14:paraId="34E3B45E"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1E8B5BEF"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35294DF" w14:textId="280946B9" w:rsidR="000E48CE" w:rsidRDefault="00FF4C4E">
            <w:pPr>
              <w:pStyle w:val="P68B1DB1-Normal13"/>
              <w:spacing w:after="0" w:line="240" w:lineRule="auto"/>
              <w:textAlignment w:val="baseline"/>
              <w:rPr>
                <w:rFonts w:eastAsia="Times New Roman" w:cs="Times New Roman"/>
                <w:noProof/>
              </w:rPr>
            </w:pPr>
            <w:r>
              <w:rPr>
                <w:noProof/>
              </w:rPr>
              <w:t>ICO Green Line – Lopullisten edunsaajien</w:t>
            </w:r>
            <w:r>
              <w:rPr>
                <w:noProof/>
              </w:rPr>
              <w:t xml:space="preserve"> (mukaan lukien pääomarahastot) kanssa allekirjoitetut oikeudelliset sopimukset (II)</w:t>
            </w:r>
          </w:p>
        </w:tc>
        <w:tc>
          <w:tcPr>
            <w:tcW w:w="1134" w:type="dxa"/>
            <w:shd w:val="clear" w:color="auto" w:fill="C6EFCE"/>
          </w:tcPr>
          <w:p w14:paraId="72261FED" w14:textId="6022DB30"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397D884" w14:textId="256A234F"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4359F60D" w14:textId="0C8D1C03" w:rsidR="000E48CE" w:rsidRDefault="00FF4C4E">
            <w:pPr>
              <w:pStyle w:val="P68B1DB1-Normal13"/>
              <w:spacing w:after="0" w:line="240" w:lineRule="auto"/>
              <w:jc w:val="center"/>
              <w:textAlignment w:val="baseline"/>
              <w:rPr>
                <w:rFonts w:eastAsia="Times New Roman" w:cs="Times New Roman"/>
                <w:noProof/>
              </w:rPr>
            </w:pPr>
            <w:r>
              <w:rPr>
                <w:noProof/>
              </w:rPr>
              <w:t>15 %</w:t>
            </w:r>
          </w:p>
        </w:tc>
        <w:tc>
          <w:tcPr>
            <w:tcW w:w="709" w:type="dxa"/>
            <w:shd w:val="clear" w:color="auto" w:fill="C6EFCE"/>
          </w:tcPr>
          <w:p w14:paraId="6D41301B" w14:textId="6D99ABAC" w:rsidR="000E48CE" w:rsidRDefault="00FF4C4E">
            <w:pPr>
              <w:pStyle w:val="P68B1DB1-Normal13"/>
              <w:spacing w:after="0" w:line="240" w:lineRule="auto"/>
              <w:jc w:val="right"/>
              <w:textAlignment w:val="baseline"/>
              <w:rPr>
                <w:rFonts w:eastAsia="Times New Roman" w:cs="Times New Roman"/>
                <w:noProof/>
              </w:rPr>
            </w:pPr>
            <w:r>
              <w:rPr>
                <w:noProof/>
              </w:rPr>
              <w:t xml:space="preserve">50 % </w:t>
            </w:r>
          </w:p>
          <w:p w14:paraId="78DF5E69" w14:textId="1C4D9A76"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C35E3D9" w14:textId="77777777"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2A72BF7E"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37A7DD49" w14:textId="4A3390E4" w:rsidR="000E48CE" w:rsidRDefault="00FF4C4E">
            <w:pPr>
              <w:pStyle w:val="P68B1DB1-Normal13"/>
              <w:spacing w:after="0" w:line="240" w:lineRule="auto"/>
              <w:textAlignment w:val="baseline"/>
              <w:rPr>
                <w:rFonts w:eastAsia="Times New Roman" w:cs="Times New Roman"/>
                <w:b/>
                <w:noProof/>
              </w:rPr>
            </w:pPr>
            <w:r>
              <w:rPr>
                <w:noProof/>
              </w:rPr>
              <w:t>ICO/Axis ja sen valitsemat välittäjät ovat tehneet lopullisten edunsaajien (pääomarahastot mukaan lukien) kanssa oikeudellisia rahoitussopimuksia, j</w:t>
            </w:r>
            <w:r>
              <w:rPr>
                <w:noProof/>
              </w:rPr>
              <w:t>oiden määrä on tarpeen, jotta vähintään 50 prosenttia elpymis- ja palautumistukivälineen investoinneista tukivälineeseen voidaan käyttää (hallinnolliset maksut huomioon ottaen). Vähintään 2,5 prosenttia rahoituksesta vastaa pääomarahastojen kanssa allekirj</w:t>
            </w:r>
            <w:r>
              <w:rPr>
                <w:noProof/>
              </w:rPr>
              <w:t>oitettuja rahoitussopimuksia ja vähintään 50 prosenttia rahoitussopimuksia, jotka on allekirjoitettu lopullisten tuensaajien kanssa kaikista muista sijoitustuotteista (mukaan lukien toteutuskumppanin suorat pääomasijoitukset). ICO laatii elpymis- ja palaut</w:t>
            </w:r>
            <w:r>
              <w:rPr>
                <w:noProof/>
              </w:rPr>
              <w:t xml:space="preserve">umistukivälinettä koskevan asetuksen liitteessä VI esitetyn menetelmän mukaisesti raportin, jossa esitetään yksityiskohtaisesti tämän ilmastotavoitteiden saavuttamista edistävän rahoituksen osuus. </w:t>
            </w:r>
          </w:p>
        </w:tc>
      </w:tr>
      <w:tr w:rsidR="000E48CE" w14:paraId="0DFCD043" w14:textId="77777777">
        <w:trPr>
          <w:trHeight w:val="300"/>
        </w:trPr>
        <w:tc>
          <w:tcPr>
            <w:tcW w:w="846" w:type="dxa"/>
            <w:shd w:val="clear" w:color="auto" w:fill="C6EFCE"/>
          </w:tcPr>
          <w:p w14:paraId="7D93EEE5" w14:textId="34DF8E06" w:rsidR="000E48CE" w:rsidRDefault="00FF4C4E">
            <w:pPr>
              <w:pStyle w:val="P68B1DB1-Normal13"/>
              <w:spacing w:after="0" w:line="240" w:lineRule="auto"/>
              <w:jc w:val="center"/>
              <w:textAlignment w:val="baseline"/>
              <w:rPr>
                <w:rFonts w:eastAsia="Times New Roman" w:cs="Times New Roman"/>
                <w:noProof/>
              </w:rPr>
            </w:pPr>
            <w:r>
              <w:rPr>
                <w:noProof/>
              </w:rPr>
              <w:t>L27</w:t>
            </w:r>
          </w:p>
        </w:tc>
        <w:tc>
          <w:tcPr>
            <w:tcW w:w="850" w:type="dxa"/>
            <w:shd w:val="clear" w:color="auto" w:fill="C6EFCE"/>
          </w:tcPr>
          <w:p w14:paraId="2F40B8EF"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61037879"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D319704" w14:textId="619F48DE" w:rsidR="000E48CE" w:rsidRDefault="00FF4C4E">
            <w:pPr>
              <w:pStyle w:val="P68B1DB1-Normal13"/>
              <w:spacing w:after="0" w:line="240" w:lineRule="auto"/>
              <w:textAlignment w:val="baseline"/>
              <w:rPr>
                <w:rFonts w:eastAsia="Times New Roman" w:cs="Times New Roman"/>
                <w:noProof/>
              </w:rPr>
            </w:pPr>
            <w:r>
              <w:rPr>
                <w:noProof/>
              </w:rPr>
              <w:t xml:space="preserve">ICO Green Line – Lopullisten edunsaajien </w:t>
            </w:r>
            <w:r>
              <w:rPr>
                <w:noProof/>
              </w:rPr>
              <w:t>(mukaan lukien pääomarahastot) kanssa allekirjoitetut oikeudelliset sopimukset (III)</w:t>
            </w:r>
          </w:p>
        </w:tc>
        <w:tc>
          <w:tcPr>
            <w:tcW w:w="1134" w:type="dxa"/>
            <w:shd w:val="clear" w:color="auto" w:fill="C6EFCE"/>
          </w:tcPr>
          <w:p w14:paraId="527B6538" w14:textId="24D80566"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291F74D" w14:textId="06576BD1"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44C9391D" w14:textId="796F0FE5" w:rsidR="000E48CE" w:rsidRDefault="00FF4C4E">
            <w:pPr>
              <w:pStyle w:val="P68B1DB1-Normal13"/>
              <w:spacing w:after="0" w:line="240" w:lineRule="auto"/>
              <w:jc w:val="right"/>
              <w:textAlignment w:val="baseline"/>
              <w:rPr>
                <w:rFonts w:eastAsia="Times New Roman" w:cs="Times New Roman"/>
                <w:noProof/>
              </w:rPr>
            </w:pPr>
            <w:r>
              <w:rPr>
                <w:noProof/>
              </w:rPr>
              <w:t xml:space="preserve">50 % </w:t>
            </w:r>
          </w:p>
        </w:tc>
        <w:tc>
          <w:tcPr>
            <w:tcW w:w="709" w:type="dxa"/>
            <w:shd w:val="clear" w:color="auto" w:fill="C6EFCE"/>
          </w:tcPr>
          <w:p w14:paraId="76A0D5D7" w14:textId="1F3298FB" w:rsidR="000E48CE" w:rsidRDefault="00FF4C4E">
            <w:pPr>
              <w:pStyle w:val="P68B1DB1-Normal13"/>
              <w:spacing w:after="0" w:line="240" w:lineRule="auto"/>
              <w:jc w:val="right"/>
              <w:textAlignment w:val="baseline"/>
              <w:rPr>
                <w:rFonts w:eastAsia="Times New Roman" w:cs="Times New Roman"/>
                <w:noProof/>
              </w:rPr>
            </w:pPr>
            <w:r>
              <w:rPr>
                <w:noProof/>
              </w:rPr>
              <w:t xml:space="preserve">75 % </w:t>
            </w:r>
          </w:p>
          <w:p w14:paraId="13387DD0" w14:textId="77777777" w:rsidR="000E48CE" w:rsidRDefault="000E48CE">
            <w:pPr>
              <w:rPr>
                <w:rFonts w:ascii="Times New Roman" w:eastAsia="Times New Roman" w:hAnsi="Times New Roman" w:cs="Times New Roman"/>
                <w:noProof/>
                <w:sz w:val="18"/>
              </w:rPr>
            </w:pPr>
          </w:p>
        </w:tc>
        <w:tc>
          <w:tcPr>
            <w:tcW w:w="709" w:type="dxa"/>
            <w:shd w:val="clear" w:color="auto" w:fill="C6EFCE"/>
          </w:tcPr>
          <w:p w14:paraId="793F4CD5" w14:textId="62CFE6A6"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0C737108"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50094083" w14:textId="52824E20" w:rsidR="000E48CE" w:rsidRDefault="00FF4C4E">
            <w:pPr>
              <w:pStyle w:val="P68B1DB1-paragraph32"/>
              <w:spacing w:before="0" w:beforeAutospacing="0" w:after="0" w:afterAutospacing="0"/>
              <w:textAlignment w:val="baseline"/>
              <w:rPr>
                <w:noProof/>
              </w:rPr>
            </w:pPr>
            <w:r>
              <w:rPr>
                <w:noProof/>
              </w:rPr>
              <w:t>ICO/Axis ja sen valitsemat välittäjät ovat tehneet lopullisten edunsaajien (pääomarahastot mukaan lukien) kanssa oikeudellisia rahoitussopimuksia, joiden määrä on tarpeen, jotta vähintään 75 prosenttia elpymis- ja palautumistukivälineen investoinneista tuk</w:t>
            </w:r>
            <w:r>
              <w:rPr>
                <w:noProof/>
              </w:rPr>
              <w:t>ivälineeseen voidaan käyttää (hallinnolliset maksut huomioon ottaen). Vähintään 7,5 prosentin rahoituksesta on vastattava pääomarahastojen kanssa allekirjoitettuja rahoitussopimuksia ja vähintään 50 prosenttia rahoitussopimuksia, jotka on allekirjoitettu l</w:t>
            </w:r>
            <w:r>
              <w:rPr>
                <w:noProof/>
              </w:rPr>
              <w:t>opullisten tuensaajien kanssa kaikista muista sijoitustuotteista (mukaan lukien toteutuskumppanin suorat pääomasijoitukset). ICO laatii elpymis- ja palautumistukivälinettä koskevan asetuksen liitteessä VI esitetyn menetelmän mukaisesti raportin, jossa esit</w:t>
            </w:r>
            <w:r>
              <w:rPr>
                <w:noProof/>
              </w:rPr>
              <w:t xml:space="preserve">etään yksityiskohtaisesti tämän ilmastotavoitteiden saavuttamista edistävän rahoituksen osuus. </w:t>
            </w:r>
          </w:p>
        </w:tc>
      </w:tr>
      <w:tr w:rsidR="000E48CE" w14:paraId="430E365D" w14:textId="77777777">
        <w:trPr>
          <w:trHeight w:val="300"/>
        </w:trPr>
        <w:tc>
          <w:tcPr>
            <w:tcW w:w="846" w:type="dxa"/>
            <w:shd w:val="clear" w:color="auto" w:fill="C6EFCE"/>
          </w:tcPr>
          <w:p w14:paraId="36CE58AE" w14:textId="12159273" w:rsidR="000E48CE" w:rsidRDefault="00FF4C4E">
            <w:pPr>
              <w:pStyle w:val="P68B1DB1-Normal13"/>
              <w:spacing w:after="0" w:line="240" w:lineRule="auto"/>
              <w:jc w:val="center"/>
              <w:textAlignment w:val="baseline"/>
              <w:rPr>
                <w:rFonts w:eastAsia="Times New Roman" w:cs="Times New Roman"/>
                <w:noProof/>
              </w:rPr>
            </w:pPr>
            <w:r>
              <w:rPr>
                <w:noProof/>
              </w:rPr>
              <w:t>L28</w:t>
            </w:r>
          </w:p>
        </w:tc>
        <w:tc>
          <w:tcPr>
            <w:tcW w:w="850" w:type="dxa"/>
            <w:shd w:val="clear" w:color="auto" w:fill="C6EFCE"/>
          </w:tcPr>
          <w:p w14:paraId="252CE9D9"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4713ED1E"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27C7615" w14:textId="6BFC11B7" w:rsidR="000E48CE" w:rsidRDefault="00FF4C4E">
            <w:pPr>
              <w:pStyle w:val="P68B1DB1-Normal13"/>
              <w:spacing w:after="0" w:line="240" w:lineRule="auto"/>
              <w:textAlignment w:val="baseline"/>
              <w:rPr>
                <w:rFonts w:eastAsia="Times New Roman" w:cs="Times New Roman"/>
                <w:noProof/>
              </w:rPr>
            </w:pPr>
            <w:r>
              <w:rPr>
                <w:noProof/>
              </w:rPr>
              <w:t>ICO Green Line – Lopullisten edunsaajien (mukaan lukien pääomarahastot) kanssa allekirjoitetut oikeudelliset sopimukset (IV)</w:t>
            </w:r>
          </w:p>
        </w:tc>
        <w:tc>
          <w:tcPr>
            <w:tcW w:w="1134" w:type="dxa"/>
            <w:shd w:val="clear" w:color="auto" w:fill="C6EFCE"/>
          </w:tcPr>
          <w:p w14:paraId="5BCAE9D4" w14:textId="5F241F01"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588480D" w14:textId="1C2801A5"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68410066" w14:textId="6362BB91" w:rsidR="000E48CE" w:rsidRDefault="00FF4C4E">
            <w:pPr>
              <w:pStyle w:val="P68B1DB1-Normal13"/>
              <w:spacing w:after="0" w:line="240" w:lineRule="auto"/>
              <w:jc w:val="right"/>
              <w:textAlignment w:val="baseline"/>
              <w:rPr>
                <w:rFonts w:eastAsia="Times New Roman" w:cs="Times New Roman"/>
                <w:noProof/>
              </w:rPr>
            </w:pPr>
            <w:r>
              <w:rPr>
                <w:noProof/>
              </w:rPr>
              <w:t xml:space="preserve">75 % </w:t>
            </w:r>
          </w:p>
        </w:tc>
        <w:tc>
          <w:tcPr>
            <w:tcW w:w="709" w:type="dxa"/>
            <w:shd w:val="clear" w:color="auto" w:fill="C6EFCE"/>
          </w:tcPr>
          <w:p w14:paraId="20B9358E" w14:textId="46F5D92C" w:rsidR="000E48CE" w:rsidRDefault="00FF4C4E">
            <w:pPr>
              <w:pStyle w:val="P68B1DB1-Normal13"/>
              <w:spacing w:after="0" w:line="240" w:lineRule="auto"/>
              <w:jc w:val="right"/>
              <w:textAlignment w:val="baseline"/>
              <w:rPr>
                <w:rFonts w:eastAsia="Times New Roman" w:cs="Times New Roman"/>
                <w:noProof/>
              </w:rPr>
            </w:pPr>
            <w:r>
              <w:rPr>
                <w:noProof/>
              </w:rPr>
              <w:t xml:space="preserve">100 %  </w:t>
            </w:r>
          </w:p>
        </w:tc>
        <w:tc>
          <w:tcPr>
            <w:tcW w:w="709" w:type="dxa"/>
            <w:shd w:val="clear" w:color="auto" w:fill="C6EFCE"/>
          </w:tcPr>
          <w:p w14:paraId="7C483CA8" w14:textId="40408F7E"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7A4C0272"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E1B295B" w14:textId="5174B537" w:rsidR="000E48CE" w:rsidRDefault="00FF4C4E">
            <w:pPr>
              <w:pStyle w:val="P68B1DB1-paragraph32"/>
              <w:spacing w:before="0" w:beforeAutospacing="0" w:after="0" w:afterAutospacing="0"/>
              <w:textAlignment w:val="baseline"/>
              <w:rPr>
                <w:noProof/>
              </w:rPr>
            </w:pPr>
            <w:r>
              <w:rPr>
                <w:noProof/>
              </w:rPr>
              <w:t xml:space="preserve">ICO/Axis ja sen valitsemat välittäjät ovat tehneet lopullisten edunsaajien (mukaan lukien pääomarahastot) kanssa oikeudellisia rahoitussopimuksia, joiden määrä on tarpeen, jotta elpymis- ja palautumistukivälineen investoinneista </w:t>
            </w:r>
            <w:r>
              <w:rPr>
                <w:noProof/>
              </w:rPr>
              <w:t>välineeseen voidaan käyttää 100 prosenttia (hallinnolliset maksut huomioon ottaen). Vähintään 10 prosenttia rahoituksesta vastaa pääomarahastojen kanssa allekirjoitettuja rahoitussopimuksia ja vähintään 50 prosenttia rahoitussopimuksia, jotka on allekirjoi</w:t>
            </w:r>
            <w:r>
              <w:rPr>
                <w:noProof/>
              </w:rPr>
              <w:t>tettu lopullisten tuensaajien kanssa kaikista muista sijoitustuotteista (mukaan lukien toteutuskumppanin suorat pääomasijoitukset). Vähintään 80,9 prosentilla tästä rahoituksesta on edistettävä ilmastotavoitteiden saavuttamista elpymis- ja palautumistukivä</w:t>
            </w:r>
            <w:r>
              <w:rPr>
                <w:noProof/>
              </w:rPr>
              <w:t xml:space="preserve">linettä koskevan asetuksen liitteessä VI esitettyä menetelmää käyttäen. </w:t>
            </w:r>
          </w:p>
        </w:tc>
      </w:tr>
      <w:tr w:rsidR="000E48CE" w14:paraId="65E01684" w14:textId="77777777">
        <w:trPr>
          <w:trHeight w:val="300"/>
        </w:trPr>
        <w:tc>
          <w:tcPr>
            <w:tcW w:w="846" w:type="dxa"/>
            <w:shd w:val="clear" w:color="auto" w:fill="C6EFCE"/>
          </w:tcPr>
          <w:p w14:paraId="1348715E" w14:textId="3C6DD476" w:rsidR="000E48CE" w:rsidRDefault="00FF4C4E">
            <w:pPr>
              <w:pStyle w:val="P68B1DB1-Normal13"/>
              <w:spacing w:after="0" w:line="240" w:lineRule="auto"/>
              <w:jc w:val="center"/>
              <w:textAlignment w:val="baseline"/>
              <w:rPr>
                <w:rFonts w:eastAsia="Times New Roman" w:cs="Times New Roman"/>
                <w:noProof/>
              </w:rPr>
            </w:pPr>
            <w:r>
              <w:rPr>
                <w:noProof/>
              </w:rPr>
              <w:t>L29</w:t>
            </w:r>
          </w:p>
        </w:tc>
        <w:tc>
          <w:tcPr>
            <w:tcW w:w="850" w:type="dxa"/>
            <w:shd w:val="clear" w:color="auto" w:fill="C6EFCE"/>
          </w:tcPr>
          <w:p w14:paraId="5D31E5FC"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5E50CF49" w14:textId="7A34ECF2"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D2CFC15" w14:textId="606E27FF" w:rsidR="000E48CE" w:rsidRDefault="00FF4C4E">
            <w:pPr>
              <w:pStyle w:val="P68B1DB1-Normal13"/>
              <w:spacing w:after="0" w:line="240" w:lineRule="auto"/>
              <w:textAlignment w:val="baseline"/>
              <w:rPr>
                <w:rFonts w:eastAsia="Times New Roman" w:cs="Times New Roman"/>
                <w:noProof/>
              </w:rPr>
            </w:pPr>
            <w:r>
              <w:rPr>
                <w:noProof/>
              </w:rPr>
              <w:t>ICO Green Line – Maa- ja metsätalousministeriö on saattanut investoinnin päätökseen</w:t>
            </w:r>
          </w:p>
        </w:tc>
        <w:tc>
          <w:tcPr>
            <w:tcW w:w="1134" w:type="dxa"/>
            <w:shd w:val="clear" w:color="auto" w:fill="C6EFCE"/>
          </w:tcPr>
          <w:p w14:paraId="21CFA64B" w14:textId="6AD11D01" w:rsidR="000E48CE" w:rsidRDefault="00FF4C4E">
            <w:pPr>
              <w:pStyle w:val="P68B1DB1-Normal13"/>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38C0BAF3" w14:textId="5BFB7EFC"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54D0DD89"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BCFA1C4" w14:textId="3EA6823C" w:rsidR="000E48CE" w:rsidRDefault="00FF4C4E">
            <w:pPr>
              <w:pStyle w:val="P68B1DB1-Normal13"/>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177DC39B" w14:textId="07CDB1EA"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4EC5DE42"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7EC78B9" w14:textId="7D014BE2" w:rsidR="000E48CE" w:rsidRDefault="00FF4C4E">
            <w:pPr>
              <w:pStyle w:val="P68B1DB1-Normal13"/>
              <w:spacing w:after="0" w:line="240" w:lineRule="auto"/>
              <w:textAlignment w:val="baseline"/>
              <w:rPr>
                <w:rFonts w:eastAsia="Times New Roman" w:cs="Times New Roman"/>
                <w:noProof/>
              </w:rPr>
            </w:pPr>
            <w:r>
              <w:rPr>
                <w:noProof/>
              </w:rPr>
              <w:t xml:space="preserve">Espanja siirtää 22000000000 euroa ICO:lle tukivälinettä varten. </w:t>
            </w:r>
          </w:p>
        </w:tc>
      </w:tr>
      <w:tr w:rsidR="000E48CE" w14:paraId="5B976FA9" w14:textId="77777777">
        <w:trPr>
          <w:trHeight w:val="300"/>
        </w:trPr>
        <w:tc>
          <w:tcPr>
            <w:tcW w:w="846" w:type="dxa"/>
            <w:shd w:val="clear" w:color="auto" w:fill="C6EFCE"/>
          </w:tcPr>
          <w:p w14:paraId="60CCA077" w14:textId="64714839" w:rsidR="000E48CE" w:rsidRDefault="00FF4C4E">
            <w:pPr>
              <w:pStyle w:val="P68B1DB1-Normal13"/>
              <w:spacing w:after="0" w:line="240" w:lineRule="auto"/>
              <w:jc w:val="center"/>
              <w:textAlignment w:val="baseline"/>
              <w:rPr>
                <w:rFonts w:eastAsia="Times New Roman" w:cs="Times New Roman"/>
                <w:noProof/>
              </w:rPr>
            </w:pPr>
            <w:r>
              <w:rPr>
                <w:noProof/>
              </w:rPr>
              <w:t>L30</w:t>
            </w:r>
          </w:p>
        </w:tc>
        <w:tc>
          <w:tcPr>
            <w:tcW w:w="850" w:type="dxa"/>
            <w:shd w:val="clear" w:color="auto" w:fill="C6EFCE"/>
          </w:tcPr>
          <w:p w14:paraId="2534DF42"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78659B46"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6D02C463" w14:textId="1C79C256" w:rsidR="000E48CE" w:rsidRDefault="00FF4C4E">
            <w:pPr>
              <w:pStyle w:val="P68B1DB1-Normal13"/>
              <w:spacing w:after="0" w:line="240" w:lineRule="auto"/>
              <w:textAlignment w:val="baseline"/>
              <w:rPr>
                <w:rFonts w:eastAsia="Times New Roman" w:cs="Times New Roman"/>
                <w:noProof/>
              </w:rPr>
            </w:pPr>
            <w:r>
              <w:rPr>
                <w:noProof/>
              </w:rPr>
              <w:t xml:space="preserve">ICO:n yrityksiä ja yrittäjiä koskeva täytäntöönpanosopimus </w:t>
            </w:r>
          </w:p>
        </w:tc>
        <w:tc>
          <w:tcPr>
            <w:tcW w:w="1134" w:type="dxa"/>
            <w:shd w:val="clear" w:color="auto" w:fill="C6EFCE"/>
          </w:tcPr>
          <w:p w14:paraId="1E3502D4" w14:textId="40958563" w:rsidR="000E48CE" w:rsidRDefault="00FF4C4E">
            <w:pPr>
              <w:pStyle w:val="P68B1DB1-Normal13"/>
              <w:spacing w:after="0" w:line="240" w:lineRule="auto"/>
              <w:jc w:val="center"/>
              <w:textAlignment w:val="baseline"/>
              <w:rPr>
                <w:rFonts w:eastAsia="Times New Roman" w:cs="Times New Roman"/>
                <w:noProof/>
              </w:rPr>
            </w:pPr>
            <w:r>
              <w:rPr>
                <w:noProof/>
              </w:rPr>
              <w:t>Täytäntöönpanosopimuksen voimaantulo </w:t>
            </w:r>
          </w:p>
        </w:tc>
        <w:tc>
          <w:tcPr>
            <w:tcW w:w="709" w:type="dxa"/>
            <w:shd w:val="clear" w:color="auto" w:fill="C6EFCE"/>
          </w:tcPr>
          <w:p w14:paraId="72BA320A"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C1E9E38" w14:textId="62944D50"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A8BC75"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D52C6EA" w14:textId="77777777" w:rsidR="000E48CE" w:rsidRDefault="00FF4C4E">
            <w:pPr>
              <w:pStyle w:val="P68B1DB1-Normal13"/>
              <w:spacing w:after="0" w:line="240" w:lineRule="auto"/>
              <w:jc w:val="center"/>
              <w:textAlignment w:val="baseline"/>
              <w:rPr>
                <w:rFonts w:eastAsia="Times New Roman" w:cs="Times New Roman"/>
                <w:noProof/>
              </w:rPr>
            </w:pPr>
            <w:r>
              <w:rPr>
                <w:noProof/>
              </w:rPr>
              <w:t xml:space="preserve">Q4 </w:t>
            </w:r>
          </w:p>
        </w:tc>
        <w:tc>
          <w:tcPr>
            <w:tcW w:w="709" w:type="dxa"/>
            <w:shd w:val="clear" w:color="auto" w:fill="C6EFCE"/>
          </w:tcPr>
          <w:p w14:paraId="6BA60D4B" w14:textId="77777777" w:rsidR="000E48CE" w:rsidRDefault="00FF4C4E">
            <w:pPr>
              <w:pStyle w:val="P68B1DB1-Normal13"/>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5C58F40D" w14:textId="144A278F" w:rsidR="000E48CE" w:rsidRDefault="00FF4C4E">
            <w:pPr>
              <w:pStyle w:val="P68B1DB1-paragraph32"/>
              <w:spacing w:before="0" w:beforeAutospacing="0" w:after="0" w:afterAutospacing="0"/>
              <w:textAlignment w:val="baseline"/>
              <w:rPr>
                <w:rFonts w:cs="Times New Roman"/>
                <w:noProof/>
              </w:rPr>
            </w:pPr>
            <w:r>
              <w:rPr>
                <w:noProof/>
              </w:rPr>
              <w:t>Täytäntöönpanosopimuksen voimaantulo.</w:t>
            </w:r>
          </w:p>
        </w:tc>
      </w:tr>
      <w:tr w:rsidR="000E48CE" w14:paraId="42C2B01A" w14:textId="77777777">
        <w:trPr>
          <w:trHeight w:val="300"/>
        </w:trPr>
        <w:tc>
          <w:tcPr>
            <w:tcW w:w="846" w:type="dxa"/>
            <w:shd w:val="clear" w:color="auto" w:fill="C6EFCE"/>
          </w:tcPr>
          <w:p w14:paraId="5BA39789" w14:textId="20179638" w:rsidR="000E48CE" w:rsidRDefault="00FF4C4E">
            <w:pPr>
              <w:pStyle w:val="P68B1DB1-Normal13"/>
              <w:spacing w:after="0" w:line="240" w:lineRule="auto"/>
              <w:jc w:val="center"/>
              <w:textAlignment w:val="baseline"/>
              <w:rPr>
                <w:rFonts w:eastAsia="Times New Roman" w:cs="Times New Roman"/>
                <w:noProof/>
              </w:rPr>
            </w:pPr>
            <w:r>
              <w:rPr>
                <w:noProof/>
              </w:rPr>
              <w:t>L31</w:t>
            </w:r>
          </w:p>
        </w:tc>
        <w:tc>
          <w:tcPr>
            <w:tcW w:w="850" w:type="dxa"/>
            <w:shd w:val="clear" w:color="auto" w:fill="C6EFCE"/>
          </w:tcPr>
          <w:p w14:paraId="2DF94740"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4F2F2BFB"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FB70BD5" w14:textId="79DD556A" w:rsidR="000E48CE" w:rsidRDefault="00FF4C4E">
            <w:pPr>
              <w:pStyle w:val="P68B1DB1-Normal13"/>
              <w:spacing w:after="0" w:line="240" w:lineRule="auto"/>
              <w:textAlignment w:val="baseline"/>
              <w:rPr>
                <w:rFonts w:eastAsia="Times New Roman" w:cs="Times New Roman"/>
                <w:noProof/>
              </w:rPr>
            </w:pPr>
            <w:r>
              <w:rPr>
                <w:noProof/>
              </w:rPr>
              <w:t xml:space="preserve">Yritykset ja </w:t>
            </w:r>
            <w:r>
              <w:rPr>
                <w:noProof/>
              </w:rPr>
              <w:t>yrittäjät – Lopullisten edunsaajien (mukaan lukien pääomarahastot) kanssa allekirjoitetut oikeudelliset sopimukset (I)</w:t>
            </w:r>
          </w:p>
        </w:tc>
        <w:tc>
          <w:tcPr>
            <w:tcW w:w="1134" w:type="dxa"/>
            <w:shd w:val="clear" w:color="auto" w:fill="C6EFCE"/>
          </w:tcPr>
          <w:p w14:paraId="0C4DC771" w14:textId="2B7CD62E" w:rsidR="000E48CE" w:rsidRDefault="00FF4C4E">
            <w:pPr>
              <w:pStyle w:val="P68B1DB1-Normal13"/>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1EE90475" w14:textId="35C90CAC"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6C5CBE24" w14:textId="0A385553" w:rsidR="000E48CE" w:rsidRDefault="00FF4C4E">
            <w:pPr>
              <w:pStyle w:val="P68B1DB1-Normal13"/>
              <w:spacing w:after="0" w:line="240" w:lineRule="auto"/>
              <w:jc w:val="center"/>
              <w:textAlignment w:val="baseline"/>
              <w:rPr>
                <w:rFonts w:eastAsia="Times New Roman" w:cs="Times New Roman"/>
                <w:noProof/>
              </w:rPr>
            </w:pPr>
            <w:r>
              <w:rPr>
                <w:noProof/>
              </w:rPr>
              <w:t>0 %</w:t>
            </w:r>
          </w:p>
        </w:tc>
        <w:tc>
          <w:tcPr>
            <w:tcW w:w="709" w:type="dxa"/>
            <w:shd w:val="clear" w:color="auto" w:fill="C6EFCE"/>
          </w:tcPr>
          <w:p w14:paraId="3CF7496A" w14:textId="451036C1" w:rsidR="000E48CE" w:rsidRDefault="00FF4C4E">
            <w:pPr>
              <w:pStyle w:val="P68B1DB1-Normal13"/>
              <w:spacing w:after="0" w:line="240" w:lineRule="auto"/>
              <w:jc w:val="right"/>
              <w:textAlignment w:val="baseline"/>
              <w:rPr>
                <w:rFonts w:eastAsia="Times New Roman" w:cs="Times New Roman"/>
                <w:noProof/>
              </w:rPr>
            </w:pPr>
            <w:r>
              <w:rPr>
                <w:noProof/>
              </w:rPr>
              <w:t xml:space="preserve">50 % </w:t>
            </w:r>
          </w:p>
        </w:tc>
        <w:tc>
          <w:tcPr>
            <w:tcW w:w="709" w:type="dxa"/>
            <w:shd w:val="clear" w:color="auto" w:fill="C6EFCE"/>
          </w:tcPr>
          <w:p w14:paraId="75C8355B" w14:textId="77777777"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1CB3D9B3"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ED2A9A4" w14:textId="58E129A9" w:rsidR="000E48CE" w:rsidRDefault="00FF4C4E">
            <w:pPr>
              <w:pStyle w:val="P68B1DB1-paragraph32"/>
              <w:spacing w:before="0" w:beforeAutospacing="0" w:after="0" w:afterAutospacing="0"/>
              <w:textAlignment w:val="baseline"/>
              <w:rPr>
                <w:rStyle w:val="normaltextrun"/>
                <w:rFonts w:eastAsiaTheme="minorHAnsi" w:cs="Times New Roman"/>
                <w:noProof/>
                <w:u w:val="single"/>
              </w:rPr>
            </w:pPr>
            <w:r>
              <w:rPr>
                <w:noProof/>
              </w:rPr>
              <w:t>ICO/Axis ja sen valitsemat välittäjät ovat tehneet lopullisten edunsaajien (pääomarahastot mukaan lukien) kanssa oikeudellisia rahoitussopimuksia, joiden määrä on tarpeen, jotta vähintään 50 prosenttia elpymis- ja palautumistukivälineen investoinneista tuk</w:t>
            </w:r>
            <w:r>
              <w:rPr>
                <w:noProof/>
              </w:rPr>
              <w:t>ivälineeseen voidaan käyttää (hallinnolliset maksut huomioon ottaen). Vähintään 2,5 prosenttia rahoituksesta vastaa pääomarahastojen kanssa allekirjoitettuja rahoitussopimuksia ja vähintään 50 prosenttia rahoitussopimuksia, jotka on allekirjoitettu lopulli</w:t>
            </w:r>
            <w:r>
              <w:rPr>
                <w:noProof/>
              </w:rPr>
              <w:t>sten tuensaajien kanssa kaikista muista sijoitustuotteista (mukaan lukien toteutuskumppanin suorat pääomasijoitukset).</w:t>
            </w:r>
          </w:p>
        </w:tc>
      </w:tr>
      <w:tr w:rsidR="000E48CE" w14:paraId="680EF42C" w14:textId="77777777">
        <w:trPr>
          <w:trHeight w:val="300"/>
        </w:trPr>
        <w:tc>
          <w:tcPr>
            <w:tcW w:w="846" w:type="dxa"/>
            <w:shd w:val="clear" w:color="auto" w:fill="C6EFCE"/>
          </w:tcPr>
          <w:p w14:paraId="41EA9FC6" w14:textId="28DEC1A9" w:rsidR="000E48CE" w:rsidRDefault="00FF4C4E">
            <w:pPr>
              <w:pStyle w:val="P68B1DB1-Normal13"/>
              <w:spacing w:after="0" w:line="240" w:lineRule="auto"/>
              <w:jc w:val="center"/>
              <w:textAlignment w:val="baseline"/>
              <w:rPr>
                <w:rFonts w:eastAsia="Times New Roman" w:cs="Times New Roman"/>
                <w:noProof/>
              </w:rPr>
            </w:pPr>
            <w:r>
              <w:rPr>
                <w:noProof/>
              </w:rPr>
              <w:t>L32</w:t>
            </w:r>
          </w:p>
        </w:tc>
        <w:tc>
          <w:tcPr>
            <w:tcW w:w="850" w:type="dxa"/>
            <w:shd w:val="clear" w:color="auto" w:fill="C6EFCE"/>
          </w:tcPr>
          <w:p w14:paraId="61004FF6"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640872D2"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329D60E" w14:textId="06EAFF07" w:rsidR="000E48CE" w:rsidRDefault="00FF4C4E">
            <w:pPr>
              <w:pStyle w:val="P68B1DB1-Normal13"/>
              <w:spacing w:after="0" w:line="240" w:lineRule="auto"/>
              <w:textAlignment w:val="baseline"/>
              <w:rPr>
                <w:rFonts w:eastAsia="Times New Roman" w:cs="Times New Roman"/>
                <w:noProof/>
              </w:rPr>
            </w:pPr>
            <w:r>
              <w:rPr>
                <w:noProof/>
              </w:rPr>
              <w:t xml:space="preserve">ICO Enterprises and Entrepreneurs Line – Lopullisten edunsaajien (mukaan lukien pääomarahastot) kanssa allekirjoitetut </w:t>
            </w:r>
            <w:r>
              <w:rPr>
                <w:noProof/>
              </w:rPr>
              <w:t>oikeudelliset sopimukset (II)</w:t>
            </w:r>
          </w:p>
        </w:tc>
        <w:tc>
          <w:tcPr>
            <w:tcW w:w="1134" w:type="dxa"/>
            <w:shd w:val="clear" w:color="auto" w:fill="C6EFCE"/>
          </w:tcPr>
          <w:p w14:paraId="6705A2E9" w14:textId="1D274F3E"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E47BDF4" w14:textId="004F984A"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014F1668" w14:textId="6E2E8268" w:rsidR="000E48CE" w:rsidRDefault="00FF4C4E">
            <w:pPr>
              <w:pStyle w:val="P68B1DB1-Normal13"/>
              <w:spacing w:after="0" w:line="240" w:lineRule="auto"/>
              <w:jc w:val="right"/>
              <w:textAlignment w:val="baseline"/>
              <w:rPr>
                <w:rFonts w:eastAsia="Times New Roman" w:cs="Times New Roman"/>
                <w:noProof/>
              </w:rPr>
            </w:pPr>
            <w:r>
              <w:rPr>
                <w:noProof/>
              </w:rPr>
              <w:t xml:space="preserve">50 % </w:t>
            </w:r>
          </w:p>
        </w:tc>
        <w:tc>
          <w:tcPr>
            <w:tcW w:w="709" w:type="dxa"/>
            <w:shd w:val="clear" w:color="auto" w:fill="C6EFCE"/>
          </w:tcPr>
          <w:p w14:paraId="521B4250" w14:textId="66A66A9F" w:rsidR="000E48CE" w:rsidRDefault="00FF4C4E">
            <w:pPr>
              <w:pStyle w:val="P68B1DB1-Normal13"/>
              <w:spacing w:after="0" w:line="240" w:lineRule="auto"/>
              <w:jc w:val="right"/>
              <w:textAlignment w:val="baseline"/>
              <w:rPr>
                <w:rFonts w:eastAsia="Times New Roman" w:cs="Times New Roman"/>
                <w:noProof/>
              </w:rPr>
            </w:pPr>
            <w:r>
              <w:rPr>
                <w:noProof/>
              </w:rPr>
              <w:t xml:space="preserve">75 %  </w:t>
            </w:r>
          </w:p>
        </w:tc>
        <w:tc>
          <w:tcPr>
            <w:tcW w:w="709" w:type="dxa"/>
            <w:shd w:val="clear" w:color="auto" w:fill="C6EFCE"/>
          </w:tcPr>
          <w:p w14:paraId="7ACBC92F" w14:textId="77777777"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6F1F85F"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E22CC94" w14:textId="3E48EBFB" w:rsidR="000E48CE" w:rsidRDefault="00FF4C4E">
            <w:pPr>
              <w:pStyle w:val="P68B1DB1-paragraph32"/>
              <w:spacing w:before="0" w:beforeAutospacing="0" w:after="0" w:afterAutospacing="0"/>
              <w:textAlignment w:val="baseline"/>
              <w:rPr>
                <w:rStyle w:val="normaltextrun"/>
                <w:rFonts w:eastAsiaTheme="minorEastAsia" w:cs="Times New Roman"/>
                <w:noProof/>
              </w:rPr>
            </w:pPr>
            <w:r>
              <w:rPr>
                <w:noProof/>
              </w:rPr>
              <w:t xml:space="preserve">ICO/Axis ja sen valitsemat välittäjät ovat tehneet lopullisten edunsaajien (pääomarahastot mukaan lukien) kanssa oikeudellisia rahoitussopimuksia, joiden määrä on tarpeen, jotta vähintään 75 prosenttia </w:t>
            </w:r>
            <w:r>
              <w:rPr>
                <w:noProof/>
              </w:rPr>
              <w:t>elpymis- ja palautumistukivälineen investoinneista tukivälineeseen voidaan käyttää (hallinnolliset maksut huomioon ottaen). Vähintään 7,5 prosentin rahoituksesta on vastattava pääomarahastojen kanssa allekirjoitettuja rahoitussopimuksia ja vähintään 50 pro</w:t>
            </w:r>
            <w:r>
              <w:rPr>
                <w:noProof/>
              </w:rPr>
              <w:t xml:space="preserve">senttia rahoitussopimuksia, jotka on allekirjoitettu lopullisten tuensaajien kanssa kaikista muista sijoitustuotteista (mukaan lukien toteutuskumppanin suorat pääomasijoitukset). </w:t>
            </w:r>
          </w:p>
        </w:tc>
      </w:tr>
      <w:tr w:rsidR="000E48CE" w14:paraId="3AA7BE6B" w14:textId="77777777">
        <w:trPr>
          <w:trHeight w:val="300"/>
        </w:trPr>
        <w:tc>
          <w:tcPr>
            <w:tcW w:w="846" w:type="dxa"/>
            <w:shd w:val="clear" w:color="auto" w:fill="C6EFCE"/>
          </w:tcPr>
          <w:p w14:paraId="20BA34D9" w14:textId="74A64304" w:rsidR="000E48CE" w:rsidRDefault="00FF4C4E">
            <w:pPr>
              <w:pStyle w:val="P68B1DB1-Normal13"/>
              <w:spacing w:after="0" w:line="240" w:lineRule="auto"/>
              <w:jc w:val="center"/>
              <w:textAlignment w:val="baseline"/>
              <w:rPr>
                <w:rFonts w:eastAsia="Times New Roman" w:cs="Times New Roman"/>
                <w:noProof/>
              </w:rPr>
            </w:pPr>
            <w:r>
              <w:rPr>
                <w:noProof/>
              </w:rPr>
              <w:t>L33</w:t>
            </w:r>
          </w:p>
        </w:tc>
        <w:tc>
          <w:tcPr>
            <w:tcW w:w="850" w:type="dxa"/>
            <w:shd w:val="clear" w:color="auto" w:fill="C6EFCE"/>
          </w:tcPr>
          <w:p w14:paraId="228A1BC9"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2758B547"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112F34AB" w14:textId="00465E87" w:rsidR="000E48CE" w:rsidRDefault="00FF4C4E">
            <w:pPr>
              <w:pStyle w:val="P68B1DB1-Normal13"/>
              <w:spacing w:after="0" w:line="240" w:lineRule="auto"/>
              <w:textAlignment w:val="baseline"/>
              <w:rPr>
                <w:rFonts w:eastAsia="Times New Roman" w:cs="Times New Roman"/>
                <w:noProof/>
              </w:rPr>
            </w:pPr>
            <w:r>
              <w:rPr>
                <w:noProof/>
              </w:rPr>
              <w:t xml:space="preserve">ICO Enterprises and Entrepreneurs Line – Lopullisten </w:t>
            </w:r>
            <w:r>
              <w:rPr>
                <w:noProof/>
              </w:rPr>
              <w:t>edunsaajien (mukaan lukien pääomarahastot) kanssa allekirjoitetut oikeudelliset sopimukset (III)</w:t>
            </w:r>
          </w:p>
        </w:tc>
        <w:tc>
          <w:tcPr>
            <w:tcW w:w="1134" w:type="dxa"/>
            <w:shd w:val="clear" w:color="auto" w:fill="C6EFCE"/>
          </w:tcPr>
          <w:p w14:paraId="5B044FB9" w14:textId="12E53D49" w:rsidR="000E48CE" w:rsidRDefault="00FF4C4E">
            <w:pPr>
              <w:pStyle w:val="P68B1DB1-Normal13"/>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4F73509C" w14:textId="35C98BE7"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15E859CD" w14:textId="40231C8F" w:rsidR="000E48CE" w:rsidRDefault="00FF4C4E">
            <w:pPr>
              <w:pStyle w:val="P68B1DB1-Normal13"/>
              <w:spacing w:after="0" w:line="240" w:lineRule="auto"/>
              <w:jc w:val="right"/>
              <w:textAlignment w:val="baseline"/>
              <w:rPr>
                <w:rFonts w:eastAsia="Times New Roman" w:cs="Times New Roman"/>
                <w:noProof/>
              </w:rPr>
            </w:pPr>
            <w:r>
              <w:rPr>
                <w:noProof/>
              </w:rPr>
              <w:t xml:space="preserve">75 % </w:t>
            </w:r>
          </w:p>
        </w:tc>
        <w:tc>
          <w:tcPr>
            <w:tcW w:w="709" w:type="dxa"/>
            <w:shd w:val="clear" w:color="auto" w:fill="C6EFCE"/>
          </w:tcPr>
          <w:p w14:paraId="0DC9BAE2" w14:textId="0980F094" w:rsidR="000E48CE" w:rsidRDefault="00FF4C4E">
            <w:pPr>
              <w:pStyle w:val="P68B1DB1-Normal13"/>
              <w:spacing w:after="0" w:line="240" w:lineRule="auto"/>
              <w:jc w:val="right"/>
              <w:textAlignment w:val="baseline"/>
              <w:rPr>
                <w:rFonts w:eastAsia="Times New Roman" w:cs="Times New Roman"/>
                <w:noProof/>
              </w:rPr>
            </w:pPr>
            <w:r>
              <w:rPr>
                <w:noProof/>
              </w:rPr>
              <w:t xml:space="preserve">100 % </w:t>
            </w:r>
          </w:p>
        </w:tc>
        <w:tc>
          <w:tcPr>
            <w:tcW w:w="709" w:type="dxa"/>
            <w:shd w:val="clear" w:color="auto" w:fill="C6EFCE"/>
          </w:tcPr>
          <w:p w14:paraId="0F13266E" w14:textId="0E91D221"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6CB5F185"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55A87545" w14:textId="691A5EE9" w:rsidR="000E48CE" w:rsidRDefault="00FF4C4E">
            <w:pPr>
              <w:pStyle w:val="P68B1DB1-paragraph32"/>
              <w:spacing w:before="0" w:beforeAutospacing="0" w:after="0" w:afterAutospacing="0"/>
              <w:textAlignment w:val="baseline"/>
              <w:rPr>
                <w:rStyle w:val="normaltextrun"/>
                <w:rFonts w:eastAsiaTheme="minorEastAsia" w:cs="Times New Roman"/>
                <w:noProof/>
                <w:u w:val="single"/>
              </w:rPr>
            </w:pPr>
            <w:r>
              <w:rPr>
                <w:noProof/>
              </w:rPr>
              <w:t>ICO/Axis ja sen valitsemat välittäjät ovat tehneet lopullisten edunsaajien (mukaan lukien pääomarahastot) kanssa oi</w:t>
            </w:r>
            <w:r>
              <w:rPr>
                <w:noProof/>
              </w:rPr>
              <w:t>keudellisia rahoitussopimuksia, joiden määrä on tarpeen, jotta elpymis- ja palautumistukivälineen investoinneista välineeseen voidaan käyttää 100 prosenttia (hallinnolliset maksut huomioon ottaen). Vähintään 10 prosenttia rahoituksesta vastaa pääomarahasto</w:t>
            </w:r>
            <w:r>
              <w:rPr>
                <w:noProof/>
              </w:rPr>
              <w:t xml:space="preserve">jen kanssa allekirjoitettuja rahoitussopimuksia ja vähintään 50 prosenttia rahoitussopimuksia, jotka on allekirjoitettu lopullisten tuensaajien kanssa kaikista muista sijoitustuotteista (mukaan lukien toteutuskumppanin suorat pääomasijoitukset). Vähintään </w:t>
            </w:r>
            <w:r>
              <w:rPr>
                <w:noProof/>
              </w:rPr>
              <w:t xml:space="preserve">1,84 prosentilla tästä rahoituksesta on edistettävä digitaalisia tavoitteita elpymis- ja palautumistukivälinettä koskevan asetuksen liitteessä VII esitettyä menetelmää käyttäen. </w:t>
            </w:r>
          </w:p>
        </w:tc>
      </w:tr>
      <w:tr w:rsidR="000E48CE" w14:paraId="326480BC" w14:textId="77777777">
        <w:trPr>
          <w:trHeight w:val="300"/>
        </w:trPr>
        <w:tc>
          <w:tcPr>
            <w:tcW w:w="846" w:type="dxa"/>
            <w:shd w:val="clear" w:color="auto" w:fill="C6EFCE"/>
          </w:tcPr>
          <w:p w14:paraId="5040ED5B" w14:textId="08B036AA" w:rsidR="000E48CE" w:rsidRDefault="00FF4C4E">
            <w:pPr>
              <w:pStyle w:val="P68B1DB1-Normal13"/>
              <w:spacing w:after="0" w:line="240" w:lineRule="auto"/>
              <w:jc w:val="center"/>
              <w:textAlignment w:val="baseline"/>
              <w:rPr>
                <w:rFonts w:eastAsia="Times New Roman" w:cs="Times New Roman"/>
                <w:noProof/>
              </w:rPr>
            </w:pPr>
            <w:r>
              <w:rPr>
                <w:noProof/>
              </w:rPr>
              <w:t>L34</w:t>
            </w:r>
          </w:p>
        </w:tc>
        <w:tc>
          <w:tcPr>
            <w:tcW w:w="850" w:type="dxa"/>
            <w:shd w:val="clear" w:color="auto" w:fill="C6EFCE"/>
          </w:tcPr>
          <w:p w14:paraId="65DE97C5" w14:textId="77777777" w:rsidR="000E48CE" w:rsidRDefault="00FF4C4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277146FF"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3FBD63BA" w14:textId="26A51040" w:rsidR="000E48CE" w:rsidRDefault="00FF4C4E">
            <w:pPr>
              <w:pStyle w:val="P68B1DB1-Normal13"/>
              <w:spacing w:after="0" w:line="240" w:lineRule="auto"/>
              <w:textAlignment w:val="baseline"/>
              <w:rPr>
                <w:rFonts w:eastAsia="Times New Roman" w:cs="Times New Roman"/>
                <w:noProof/>
              </w:rPr>
            </w:pPr>
            <w:r>
              <w:rPr>
                <w:noProof/>
              </w:rPr>
              <w:t xml:space="preserve">ICO Enterprises and Entrepreneurs Line – Maa- ja </w:t>
            </w:r>
            <w:r>
              <w:rPr>
                <w:noProof/>
              </w:rPr>
              <w:t>metsätalousministeriö on saattanut investoinnin päätökseen.</w:t>
            </w:r>
          </w:p>
        </w:tc>
        <w:tc>
          <w:tcPr>
            <w:tcW w:w="1134" w:type="dxa"/>
            <w:shd w:val="clear" w:color="auto" w:fill="C6EFCE"/>
          </w:tcPr>
          <w:p w14:paraId="5FA7AE29" w14:textId="4AF971AC" w:rsidR="000E48CE" w:rsidRDefault="00FF4C4E">
            <w:pPr>
              <w:pStyle w:val="P68B1DB1-Normal13"/>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3ED141B2"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7CD22B98"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5DF4F92"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02FC5681" w14:textId="11ACCF2D"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258F4AC3"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533E1A7" w14:textId="5E8DB829" w:rsidR="000E48CE" w:rsidRDefault="00FF4C4E">
            <w:pPr>
              <w:pStyle w:val="P68B1DB1-Normal13"/>
              <w:spacing w:after="0" w:line="240" w:lineRule="auto"/>
              <w:textAlignment w:val="baseline"/>
              <w:rPr>
                <w:rFonts w:eastAsia="Times New Roman" w:cs="Times New Roman"/>
                <w:noProof/>
              </w:rPr>
            </w:pPr>
            <w:r>
              <w:rPr>
                <w:noProof/>
              </w:rPr>
              <w:t>Espanja siirtää 8150000000 euroa ICO:lle tukivälinettä varten.</w:t>
            </w:r>
          </w:p>
        </w:tc>
      </w:tr>
      <w:tr w:rsidR="000E48CE" w14:paraId="4FC8E8BF" w14:textId="77777777">
        <w:trPr>
          <w:trHeight w:val="677"/>
        </w:trPr>
        <w:tc>
          <w:tcPr>
            <w:tcW w:w="846" w:type="dxa"/>
            <w:shd w:val="clear" w:color="auto" w:fill="C6EFCE"/>
          </w:tcPr>
          <w:p w14:paraId="54AB878F" w14:textId="43BD63A3" w:rsidR="000E48CE" w:rsidRDefault="00FF4C4E">
            <w:pPr>
              <w:pStyle w:val="P68B1DB1-Normal13"/>
              <w:spacing w:after="0" w:line="240" w:lineRule="auto"/>
              <w:jc w:val="center"/>
              <w:textAlignment w:val="baseline"/>
              <w:rPr>
                <w:rFonts w:eastAsia="Times New Roman" w:cs="Times New Roman"/>
                <w:noProof/>
              </w:rPr>
            </w:pPr>
            <w:r>
              <w:rPr>
                <w:noProof/>
              </w:rPr>
              <w:t>L35</w:t>
            </w:r>
          </w:p>
        </w:tc>
        <w:tc>
          <w:tcPr>
            <w:tcW w:w="850" w:type="dxa"/>
            <w:shd w:val="clear" w:color="auto" w:fill="C6EFCE"/>
          </w:tcPr>
          <w:p w14:paraId="537C5BEE" w14:textId="77777777" w:rsidR="000E48CE" w:rsidRDefault="00FF4C4E">
            <w:pPr>
              <w:pStyle w:val="P68B1DB1-Normal13"/>
              <w:spacing w:after="0" w:line="240" w:lineRule="auto"/>
              <w:jc w:val="center"/>
              <w:rPr>
                <w:rFonts w:eastAsia="Times New Roman" w:cs="Times New Roman"/>
                <w:noProof/>
              </w:rPr>
            </w:pPr>
            <w:r>
              <w:rPr>
                <w:noProof/>
              </w:rPr>
              <w:t>C13.I7</w:t>
            </w:r>
          </w:p>
        </w:tc>
        <w:tc>
          <w:tcPr>
            <w:tcW w:w="851" w:type="dxa"/>
            <w:shd w:val="clear" w:color="auto" w:fill="C6EFCE"/>
          </w:tcPr>
          <w:p w14:paraId="64DF9146"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6FD52622" w14:textId="256D2B5D" w:rsidR="000E48CE" w:rsidRDefault="00FF4C4E">
            <w:pPr>
              <w:pStyle w:val="P68B1DB1-Normal13"/>
              <w:spacing w:after="0" w:line="240" w:lineRule="auto"/>
              <w:textAlignment w:val="baseline"/>
              <w:rPr>
                <w:rFonts w:eastAsia="Times New Roman" w:cs="Times New Roman"/>
                <w:noProof/>
              </w:rPr>
            </w:pPr>
            <w:r>
              <w:rPr>
                <w:noProof/>
              </w:rPr>
              <w:t xml:space="preserve">Seuraava teknologiarahasto – Täytäntöönpanosopimus toimintalinjan kanssa </w:t>
            </w:r>
          </w:p>
        </w:tc>
        <w:tc>
          <w:tcPr>
            <w:tcW w:w="1134" w:type="dxa"/>
            <w:shd w:val="clear" w:color="auto" w:fill="C6EFCE"/>
          </w:tcPr>
          <w:p w14:paraId="5F24E248" w14:textId="77777777" w:rsidR="000E48CE" w:rsidRDefault="00FF4C4E">
            <w:pPr>
              <w:pStyle w:val="P68B1DB1-Normal13"/>
              <w:spacing w:after="0" w:line="240" w:lineRule="auto"/>
              <w:jc w:val="center"/>
              <w:textAlignment w:val="baseline"/>
              <w:rPr>
                <w:rFonts w:eastAsia="Times New Roman" w:cs="Times New Roman"/>
                <w:noProof/>
              </w:rPr>
            </w:pPr>
            <w:r>
              <w:rPr>
                <w:noProof/>
              </w:rPr>
              <w:t>Muutetun täytäntöönpanosopimuksen allekirjoittaminen</w:t>
            </w:r>
          </w:p>
        </w:tc>
        <w:tc>
          <w:tcPr>
            <w:tcW w:w="709" w:type="dxa"/>
            <w:shd w:val="clear" w:color="auto" w:fill="C6EFCE"/>
          </w:tcPr>
          <w:p w14:paraId="2509CEC8"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044E9458"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9DA499"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BC05701" w14:textId="77777777"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3CD67789" w14:textId="77777777" w:rsidR="000E48CE" w:rsidRDefault="00FF4C4E">
            <w:pPr>
              <w:pStyle w:val="P68B1DB1-Normal13"/>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0AB4A920" w14:textId="13C39BAB" w:rsidR="000E48CE" w:rsidRDefault="00FF4C4E">
            <w:pPr>
              <w:pStyle w:val="paragraph"/>
              <w:spacing w:before="0" w:beforeAutospacing="0" w:after="0" w:afterAutospacing="0"/>
              <w:textAlignment w:val="baseline"/>
              <w:rPr>
                <w:rFonts w:ascii="Times New Roman" w:hAnsi="Times New Roman" w:cs="Times New Roman"/>
                <w:noProof/>
                <w:sz w:val="18"/>
              </w:rPr>
            </w:pPr>
            <w:r>
              <w:rPr>
                <w:rStyle w:val="normaltextrun"/>
                <w:rFonts w:ascii="Times New Roman" w:hAnsi="Times New Roman"/>
                <w:noProof/>
                <w:sz w:val="18"/>
              </w:rPr>
              <w:t xml:space="preserve">Täytäntöönpanosopimuksen voimaantulo </w:t>
            </w:r>
          </w:p>
        </w:tc>
      </w:tr>
      <w:tr w:rsidR="000E48CE" w14:paraId="6E488E46" w14:textId="77777777">
        <w:trPr>
          <w:trHeight w:val="300"/>
        </w:trPr>
        <w:tc>
          <w:tcPr>
            <w:tcW w:w="846" w:type="dxa"/>
            <w:shd w:val="clear" w:color="auto" w:fill="C6EFCE"/>
          </w:tcPr>
          <w:p w14:paraId="6995C319" w14:textId="1FBC5C27" w:rsidR="000E48CE" w:rsidRDefault="00FF4C4E">
            <w:pPr>
              <w:pStyle w:val="P68B1DB1-Normal13"/>
              <w:spacing w:after="0" w:line="240" w:lineRule="auto"/>
              <w:jc w:val="center"/>
              <w:textAlignment w:val="baseline"/>
              <w:rPr>
                <w:rFonts w:eastAsia="Times New Roman" w:cs="Times New Roman"/>
                <w:noProof/>
              </w:rPr>
            </w:pPr>
            <w:r>
              <w:rPr>
                <w:noProof/>
              </w:rPr>
              <w:t>L36</w:t>
            </w:r>
          </w:p>
        </w:tc>
        <w:tc>
          <w:tcPr>
            <w:tcW w:w="850" w:type="dxa"/>
            <w:shd w:val="clear" w:color="auto" w:fill="C6EFCE"/>
          </w:tcPr>
          <w:p w14:paraId="316A7C83" w14:textId="77777777" w:rsidR="000E48CE" w:rsidRDefault="00FF4C4E">
            <w:pPr>
              <w:pStyle w:val="P68B1DB1-Normal13"/>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5D376CAE"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25126CE" w14:textId="682554EA" w:rsidR="000E48CE" w:rsidRDefault="00FF4C4E">
            <w:pPr>
              <w:pStyle w:val="P68B1DB1-Normal13"/>
              <w:spacing w:after="0" w:line="240" w:lineRule="auto"/>
              <w:textAlignment w:val="baseline"/>
              <w:rPr>
                <w:rFonts w:eastAsia="Times New Roman" w:cs="Times New Roman"/>
                <w:noProof/>
              </w:rPr>
            </w:pPr>
            <w:r>
              <w:rPr>
                <w:noProof/>
              </w:rPr>
              <w:t>Seuraava Tech – Lopullisten edunsaajien ja pääomarahastojen kanssa allekirjoitetut oikeudelliset sopimukset (I)</w:t>
            </w:r>
          </w:p>
        </w:tc>
        <w:tc>
          <w:tcPr>
            <w:tcW w:w="1134" w:type="dxa"/>
            <w:shd w:val="clear" w:color="auto" w:fill="C6EFCE"/>
          </w:tcPr>
          <w:p w14:paraId="6E4A6D46" w14:textId="216F8E54"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84EF85D" w14:textId="25CCB4B8" w:rsidR="000E48CE" w:rsidRDefault="00FF4C4E">
            <w:pPr>
              <w:pStyle w:val="P68B1DB1-Normal13"/>
              <w:spacing w:after="0" w:line="360" w:lineRule="auto"/>
              <w:jc w:val="center"/>
              <w:textAlignment w:val="baseline"/>
              <w:rPr>
                <w:rFonts w:eastAsia="Times New Roman" w:cs="Times New Roman"/>
                <w:noProof/>
              </w:rPr>
            </w:pPr>
            <w:r>
              <w:rPr>
                <w:noProof/>
              </w:rPr>
              <w:t>%</w:t>
            </w:r>
          </w:p>
        </w:tc>
        <w:tc>
          <w:tcPr>
            <w:tcW w:w="708" w:type="dxa"/>
            <w:shd w:val="clear" w:color="auto" w:fill="C6EFCE"/>
          </w:tcPr>
          <w:p w14:paraId="489ACAD9" w14:textId="391305EC" w:rsidR="000E48CE" w:rsidRDefault="00FF4C4E">
            <w:pPr>
              <w:pStyle w:val="P68B1DB1-Normal13"/>
              <w:spacing w:after="0" w:line="240" w:lineRule="auto"/>
              <w:jc w:val="right"/>
              <w:textAlignment w:val="baseline"/>
              <w:rPr>
                <w:rFonts w:eastAsia="Times New Roman" w:cs="Times New Roman"/>
                <w:noProof/>
              </w:rPr>
            </w:pPr>
            <w:r>
              <w:rPr>
                <w:noProof/>
              </w:rPr>
              <w:t>0 %</w:t>
            </w:r>
          </w:p>
        </w:tc>
        <w:tc>
          <w:tcPr>
            <w:tcW w:w="709" w:type="dxa"/>
            <w:shd w:val="clear" w:color="auto" w:fill="C6EFCE"/>
          </w:tcPr>
          <w:p w14:paraId="7564B01C" w14:textId="6038F89D" w:rsidR="000E48CE" w:rsidRDefault="00FF4C4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2C514BD" w14:textId="77777777"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4DB96629"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2D0D321F" w14:textId="0E04BA48" w:rsidR="000E48CE" w:rsidRDefault="00FF4C4E">
            <w:pPr>
              <w:pStyle w:val="P68B1DB1-Normal13"/>
              <w:spacing w:after="0" w:line="240" w:lineRule="auto"/>
              <w:textAlignment w:val="baseline"/>
              <w:rPr>
                <w:rFonts w:eastAsia="Times New Roman" w:cs="Times New Roman"/>
                <w:noProof/>
              </w:rPr>
            </w:pPr>
            <w:r>
              <w:rPr>
                <w:noProof/>
              </w:rPr>
              <w:t>Toimintalinjan ja toimintalinjan valitsemien välittäjien on tehtävä lopullisten tuensaajien ja pääomarahastojen kanssa oikeudellinen rahoitussopimus, jonka määrä on tarpeen, jotta vähintään 50 prosenttia elpymis- ja palautumistukivälineen investoinneista t</w:t>
            </w:r>
            <w:r>
              <w:rPr>
                <w:noProof/>
              </w:rPr>
              <w:t>ukivälineeseen voidaan käyttää (hallinnolliset maksut huomioon ottaen). Toimintalinja laatii elpymis- ja palautumistukivälinettä koskevan asetuksen liitteessä VII esitetyn menetelmän mukaisesti kertomuksen, jossa esitetään yksityiskohtaisesti tämän rahoitu</w:t>
            </w:r>
            <w:r>
              <w:rPr>
                <w:noProof/>
              </w:rPr>
              <w:t xml:space="preserve">ksen osuus, joka edistää digitaalisten tavoitteiden saavuttamista. </w:t>
            </w:r>
          </w:p>
        </w:tc>
      </w:tr>
      <w:tr w:rsidR="000E48CE" w14:paraId="4597898A" w14:textId="77777777">
        <w:trPr>
          <w:trHeight w:val="300"/>
        </w:trPr>
        <w:tc>
          <w:tcPr>
            <w:tcW w:w="846" w:type="dxa"/>
            <w:shd w:val="clear" w:color="auto" w:fill="C6EFCE"/>
          </w:tcPr>
          <w:p w14:paraId="70870A6A" w14:textId="13F3C568" w:rsidR="000E48CE" w:rsidRDefault="00FF4C4E">
            <w:pPr>
              <w:pStyle w:val="P68B1DB1-Normal13"/>
              <w:spacing w:after="0" w:line="240" w:lineRule="auto"/>
              <w:jc w:val="center"/>
              <w:textAlignment w:val="baseline"/>
              <w:rPr>
                <w:rFonts w:eastAsia="Times New Roman" w:cs="Times New Roman"/>
                <w:noProof/>
              </w:rPr>
            </w:pPr>
            <w:r>
              <w:rPr>
                <w:noProof/>
              </w:rPr>
              <w:t>L37</w:t>
            </w:r>
          </w:p>
        </w:tc>
        <w:tc>
          <w:tcPr>
            <w:tcW w:w="850" w:type="dxa"/>
            <w:shd w:val="clear" w:color="auto" w:fill="C6EFCE"/>
          </w:tcPr>
          <w:p w14:paraId="07A76F6F" w14:textId="77777777" w:rsidR="000E48CE" w:rsidRDefault="00FF4C4E">
            <w:pPr>
              <w:pStyle w:val="P68B1DB1-Normal13"/>
              <w:spacing w:after="0" w:line="240" w:lineRule="auto"/>
              <w:jc w:val="center"/>
              <w:textAlignment w:val="baseline"/>
              <w:rPr>
                <w:rFonts w:eastAsia="Times New Roman" w:cs="Times New Roman"/>
                <w:noProof/>
              </w:rPr>
            </w:pPr>
            <w:r>
              <w:rPr>
                <w:noProof/>
              </w:rPr>
              <w:t>C13.I7</w:t>
            </w:r>
          </w:p>
          <w:p w14:paraId="3D6AB098"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851" w:type="dxa"/>
            <w:shd w:val="clear" w:color="auto" w:fill="C6EFCE"/>
          </w:tcPr>
          <w:p w14:paraId="410584B2"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BC07377" w14:textId="7B3795CE" w:rsidR="000E48CE" w:rsidRDefault="00FF4C4E">
            <w:pPr>
              <w:pStyle w:val="P68B1DB1-Normal13"/>
              <w:spacing w:after="0" w:line="240" w:lineRule="auto"/>
              <w:textAlignment w:val="baseline"/>
              <w:rPr>
                <w:rFonts w:eastAsia="Times New Roman" w:cs="Times New Roman"/>
                <w:noProof/>
              </w:rPr>
            </w:pPr>
            <w:r>
              <w:rPr>
                <w:noProof/>
              </w:rPr>
              <w:t>Seuraava Tech – Lopullisten edunsaajien ja pääomarahastojen kanssa allekirjoitetut oikeudelliset sopimukset (II)</w:t>
            </w:r>
          </w:p>
        </w:tc>
        <w:tc>
          <w:tcPr>
            <w:tcW w:w="1134" w:type="dxa"/>
            <w:shd w:val="clear" w:color="auto" w:fill="C6EFCE"/>
          </w:tcPr>
          <w:p w14:paraId="711A44B0" w14:textId="275B0298"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7CA1770" w14:textId="3C7A8A00"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3EF1F523" w14:textId="30DE1D69" w:rsidR="000E48CE" w:rsidRDefault="00FF4C4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63560433" w14:textId="7BE776E1" w:rsidR="000E48CE" w:rsidRDefault="00FF4C4E">
            <w:pPr>
              <w:pStyle w:val="P68B1DB1-Normal13"/>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75EBF31D" w14:textId="77777777"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7DA9086"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16E76197" w14:textId="53BF8B2E" w:rsidR="000E48CE" w:rsidRDefault="00FF4C4E">
            <w:pPr>
              <w:pStyle w:val="P68B1DB1-Normal13"/>
              <w:spacing w:after="0" w:line="240" w:lineRule="auto"/>
              <w:textAlignment w:val="baseline"/>
              <w:rPr>
                <w:rFonts w:eastAsia="Times New Roman" w:cs="Times New Roman"/>
                <w:noProof/>
              </w:rPr>
            </w:pPr>
            <w:r>
              <w:rPr>
                <w:noProof/>
              </w:rPr>
              <w:t>Toimintalinjan ja toimintalinjan valitsemien välittäjien on tehtävä lopullisten tuensaajien ja pääomarahastojen kanssa oikeudellinen rahoitussopimus, jonka määrä on tarpeen, jotta vähintään 75 prosenttia elpymis- ja palautumistukivälineen investoinneista t</w:t>
            </w:r>
            <w:r>
              <w:rPr>
                <w:noProof/>
              </w:rPr>
              <w:t>ukivälineeseen voidaan käyttää (hallinnolliset maksut huomioon ottaen). Toimintalinja laatii elpymis- ja palautumistukivälinettä koskevan asetuksen liitteessä VII esitetyn menetelmän mukaisesti kertomuksen, jossa esitetään yksityiskohtaisesti tämän rahoitu</w:t>
            </w:r>
            <w:r>
              <w:rPr>
                <w:noProof/>
              </w:rPr>
              <w:t xml:space="preserve">ksen osuus, joka edistää digitaalisten tavoitteiden saavuttamista. </w:t>
            </w:r>
          </w:p>
        </w:tc>
      </w:tr>
      <w:tr w:rsidR="000E48CE" w14:paraId="277B94BD" w14:textId="77777777">
        <w:trPr>
          <w:trHeight w:val="300"/>
        </w:trPr>
        <w:tc>
          <w:tcPr>
            <w:tcW w:w="846" w:type="dxa"/>
            <w:shd w:val="clear" w:color="auto" w:fill="C6EFCE"/>
          </w:tcPr>
          <w:p w14:paraId="61844900" w14:textId="52F53057" w:rsidR="000E48CE" w:rsidRDefault="00FF4C4E">
            <w:pPr>
              <w:pStyle w:val="P68B1DB1-Normal13"/>
              <w:spacing w:after="0" w:line="240" w:lineRule="auto"/>
              <w:jc w:val="center"/>
              <w:textAlignment w:val="baseline"/>
              <w:rPr>
                <w:rFonts w:eastAsia="Times New Roman" w:cs="Times New Roman"/>
                <w:noProof/>
              </w:rPr>
            </w:pPr>
            <w:r>
              <w:rPr>
                <w:noProof/>
              </w:rPr>
              <w:t>L38</w:t>
            </w:r>
          </w:p>
        </w:tc>
        <w:tc>
          <w:tcPr>
            <w:tcW w:w="850" w:type="dxa"/>
            <w:shd w:val="clear" w:color="auto" w:fill="C6EFCE"/>
          </w:tcPr>
          <w:p w14:paraId="2AF164FC" w14:textId="77777777" w:rsidR="000E48CE" w:rsidRDefault="00FF4C4E">
            <w:pPr>
              <w:pStyle w:val="P68B1DB1-Normal13"/>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09BBE52D"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853A9B8" w14:textId="1E7B0942" w:rsidR="000E48CE" w:rsidRDefault="00FF4C4E">
            <w:pPr>
              <w:pStyle w:val="P68B1DB1-Normal13"/>
              <w:spacing w:after="0" w:line="240" w:lineRule="auto"/>
              <w:textAlignment w:val="baseline"/>
              <w:rPr>
                <w:rFonts w:eastAsia="Times New Roman" w:cs="Times New Roman"/>
                <w:noProof/>
              </w:rPr>
            </w:pPr>
            <w:r>
              <w:rPr>
                <w:noProof/>
              </w:rPr>
              <w:t>Seuraava Tech – Lopullisten edunsaajien ja pääomarahastojen kanssa allekirjoitetut oikeudelliset sopimukset (II)</w:t>
            </w:r>
          </w:p>
        </w:tc>
        <w:tc>
          <w:tcPr>
            <w:tcW w:w="1134" w:type="dxa"/>
            <w:shd w:val="clear" w:color="auto" w:fill="C6EFCE"/>
          </w:tcPr>
          <w:p w14:paraId="0CA2BE6E" w14:textId="056C9211"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A70397B" w14:textId="764B4723"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1E5A1461" w14:textId="61C4BED3" w:rsidR="000E48CE" w:rsidRDefault="00FF4C4E">
            <w:pPr>
              <w:pStyle w:val="P68B1DB1-Normal13"/>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00CC87E9" w14:textId="2EB5FF72" w:rsidR="000E48CE" w:rsidRDefault="00FF4C4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4186B1BD" w14:textId="2D94B469"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675D6D0F"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62DD61C" w14:textId="3597952C" w:rsidR="000E48CE" w:rsidRDefault="00FF4C4E">
            <w:pPr>
              <w:pStyle w:val="P68B1DB1-Normal13"/>
              <w:spacing w:after="0" w:line="240" w:lineRule="auto"/>
              <w:textAlignment w:val="baseline"/>
              <w:rPr>
                <w:rFonts w:eastAsia="Times New Roman" w:cs="Times New Roman"/>
                <w:noProof/>
              </w:rPr>
            </w:pPr>
            <w:r>
              <w:rPr>
                <w:noProof/>
              </w:rPr>
              <w:t>Toimintalinjan ja toimintalinjan valitsemien välittäjien on tehtävä lopullisten tuensaajien ja pääomarahastojen kanssa oikeudellinen rahoitussopimus, jonka määrä on tarpeen, jotta elpymis- ja palautumistukivälineen investoinneista voidaan käyttää 100 prose</w:t>
            </w:r>
            <w:r>
              <w:rPr>
                <w:noProof/>
              </w:rPr>
              <w:t xml:space="preserve">nttia tukivälineeseen (hallinnolliset maksut huomioon ottaen). Tästä rahoituksesta 100 prosentilla edistetään digitaalisia tavoitteita elpymis- ja palautumistukivälinettä koskevan asetuksen liitteessä VII esitettyä menetelmää käyttäen. </w:t>
            </w:r>
          </w:p>
        </w:tc>
      </w:tr>
      <w:tr w:rsidR="000E48CE" w14:paraId="62E7A379" w14:textId="77777777">
        <w:trPr>
          <w:trHeight w:val="300"/>
        </w:trPr>
        <w:tc>
          <w:tcPr>
            <w:tcW w:w="846" w:type="dxa"/>
            <w:shd w:val="clear" w:color="auto" w:fill="C6EFCE"/>
          </w:tcPr>
          <w:p w14:paraId="4B05E2B6" w14:textId="382D6228" w:rsidR="000E48CE" w:rsidRDefault="00FF4C4E">
            <w:pPr>
              <w:pStyle w:val="P68B1DB1-Normal13"/>
              <w:spacing w:after="0" w:line="240" w:lineRule="auto"/>
              <w:jc w:val="center"/>
              <w:textAlignment w:val="baseline"/>
              <w:rPr>
                <w:rFonts w:eastAsia="Times New Roman" w:cs="Times New Roman"/>
                <w:noProof/>
              </w:rPr>
            </w:pPr>
            <w:r>
              <w:rPr>
                <w:noProof/>
              </w:rPr>
              <w:t>L39</w:t>
            </w:r>
          </w:p>
        </w:tc>
        <w:tc>
          <w:tcPr>
            <w:tcW w:w="850" w:type="dxa"/>
            <w:shd w:val="clear" w:color="auto" w:fill="C6EFCE"/>
          </w:tcPr>
          <w:p w14:paraId="3BD747F8" w14:textId="77777777" w:rsidR="000E48CE" w:rsidRDefault="00FF4C4E">
            <w:pPr>
              <w:pStyle w:val="P68B1DB1-Normal13"/>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4CF0C57E"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4BD548CA" w14:textId="711EE18B" w:rsidR="000E48CE" w:rsidRDefault="00FF4C4E">
            <w:pPr>
              <w:pStyle w:val="P68B1DB1-Normal13"/>
              <w:spacing w:after="0" w:line="240" w:lineRule="auto"/>
              <w:textAlignment w:val="baseline"/>
              <w:rPr>
                <w:rFonts w:eastAsia="Times New Roman" w:cs="Times New Roman"/>
                <w:noProof/>
              </w:rPr>
            </w:pPr>
            <w:r>
              <w:rPr>
                <w:noProof/>
              </w:rPr>
              <w:t xml:space="preserve">Seuraava Tech-ministeriö on saanut investoinnit päätökseen. </w:t>
            </w:r>
          </w:p>
        </w:tc>
        <w:tc>
          <w:tcPr>
            <w:tcW w:w="1134" w:type="dxa"/>
            <w:shd w:val="clear" w:color="auto" w:fill="C6EFCE"/>
          </w:tcPr>
          <w:p w14:paraId="50565B4D" w14:textId="01BB337C" w:rsidR="000E48CE" w:rsidRDefault="00FF4C4E">
            <w:pPr>
              <w:pStyle w:val="P68B1DB1-Normal13"/>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1BF984B9" w14:textId="7509B215"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4E656853"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3601E0F" w14:textId="1001B4B6"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96DDA20" w14:textId="3CD9E96D"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4655CBB3"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64747634" w14:textId="11E345AE" w:rsidR="000E48CE" w:rsidRDefault="00FF4C4E">
            <w:pPr>
              <w:pStyle w:val="P68B1DB1-Normal13"/>
              <w:spacing w:after="0" w:line="240" w:lineRule="auto"/>
              <w:textAlignment w:val="baseline"/>
              <w:rPr>
                <w:rFonts w:eastAsia="Times New Roman" w:cs="Times New Roman"/>
                <w:noProof/>
              </w:rPr>
            </w:pPr>
            <w:r>
              <w:rPr>
                <w:noProof/>
              </w:rPr>
              <w:t>Espanja siirtää 4000000000 euroa ICO:lle tukivälinettä varten.</w:t>
            </w:r>
          </w:p>
        </w:tc>
      </w:tr>
      <w:tr w:rsidR="000E48CE" w14:paraId="4E31ADCE" w14:textId="77777777">
        <w:trPr>
          <w:trHeight w:val="300"/>
        </w:trPr>
        <w:tc>
          <w:tcPr>
            <w:tcW w:w="846" w:type="dxa"/>
            <w:shd w:val="clear" w:color="auto" w:fill="C6EFCE"/>
          </w:tcPr>
          <w:p w14:paraId="6B773916" w14:textId="2C35DE84" w:rsidR="000E48CE" w:rsidRDefault="00FF4C4E">
            <w:pPr>
              <w:pStyle w:val="P68B1DB1-Normal13"/>
              <w:spacing w:after="0" w:line="240" w:lineRule="auto"/>
              <w:jc w:val="center"/>
              <w:textAlignment w:val="baseline"/>
              <w:rPr>
                <w:rFonts w:eastAsia="Times New Roman" w:cs="Times New Roman"/>
                <w:noProof/>
              </w:rPr>
            </w:pPr>
            <w:r>
              <w:rPr>
                <w:noProof/>
              </w:rPr>
              <w:t>L40</w:t>
            </w:r>
          </w:p>
        </w:tc>
        <w:tc>
          <w:tcPr>
            <w:tcW w:w="850" w:type="dxa"/>
            <w:shd w:val="clear" w:color="auto" w:fill="C6EFCE"/>
          </w:tcPr>
          <w:p w14:paraId="57D602EB" w14:textId="77777777" w:rsidR="000E48CE" w:rsidRDefault="00FF4C4E">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483ACA03"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1264AA5D" w14:textId="48BF9705" w:rsidR="000E48CE" w:rsidRDefault="00FF4C4E">
            <w:pPr>
              <w:pStyle w:val="P68B1DB1-Normal13"/>
              <w:spacing w:after="0" w:line="240" w:lineRule="auto"/>
              <w:textAlignment w:val="baseline"/>
              <w:rPr>
                <w:rFonts w:eastAsia="Times New Roman" w:cs="Times New Roman"/>
                <w:noProof/>
              </w:rPr>
            </w:pPr>
            <w:r>
              <w:rPr>
                <w:noProof/>
              </w:rPr>
              <w:t>Foco – rahaston perustamisesta annetut asetukset</w:t>
            </w:r>
          </w:p>
        </w:tc>
        <w:tc>
          <w:tcPr>
            <w:tcW w:w="1134" w:type="dxa"/>
            <w:shd w:val="clear" w:color="auto" w:fill="C6EFCE"/>
          </w:tcPr>
          <w:p w14:paraId="3AE85A06" w14:textId="2FE3DBE9" w:rsidR="000E48CE" w:rsidRDefault="00FF4C4E">
            <w:pPr>
              <w:pStyle w:val="P68B1DB1-Normal13"/>
              <w:spacing w:after="0" w:line="240" w:lineRule="auto"/>
              <w:jc w:val="center"/>
              <w:textAlignment w:val="baseline"/>
              <w:rPr>
                <w:rFonts w:eastAsia="Times New Roman" w:cs="Times New Roman"/>
                <w:noProof/>
              </w:rPr>
            </w:pPr>
            <w:r>
              <w:rPr>
                <w:noProof/>
              </w:rPr>
              <w:t xml:space="preserve">Rahaston perustamisesta </w:t>
            </w:r>
            <w:r>
              <w:rPr>
                <w:noProof/>
              </w:rPr>
              <w:t>annettujen asetusten voimaantulo</w:t>
            </w:r>
          </w:p>
        </w:tc>
        <w:tc>
          <w:tcPr>
            <w:tcW w:w="709" w:type="dxa"/>
            <w:shd w:val="clear" w:color="auto" w:fill="C6EFCE"/>
          </w:tcPr>
          <w:p w14:paraId="7ED26068"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7C979E1"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558F92"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8719DEB" w14:textId="2C7E5EF1" w:rsidR="000E48CE" w:rsidRDefault="00FF4C4E">
            <w:pPr>
              <w:pStyle w:val="P68B1DB1-Normal13"/>
              <w:spacing w:after="0" w:line="240" w:lineRule="auto"/>
              <w:jc w:val="center"/>
              <w:textAlignment w:val="baseline"/>
              <w:rPr>
                <w:rFonts w:eastAsia="Times New Roman" w:cs="Times New Roman"/>
                <w:noProof/>
              </w:rPr>
            </w:pPr>
            <w:r>
              <w:rPr>
                <w:noProof/>
              </w:rPr>
              <w:t>Q1</w:t>
            </w:r>
          </w:p>
        </w:tc>
        <w:tc>
          <w:tcPr>
            <w:tcW w:w="709" w:type="dxa"/>
            <w:shd w:val="clear" w:color="auto" w:fill="C6EFCE"/>
          </w:tcPr>
          <w:p w14:paraId="69C41DF4" w14:textId="070D1F91" w:rsidR="000E48CE" w:rsidRDefault="00FF4C4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23BE14D3" w14:textId="6F9411AC" w:rsidR="000E48CE" w:rsidRDefault="00FF4C4E">
            <w:pPr>
              <w:pStyle w:val="P68B1DB1-Normal13"/>
              <w:spacing w:after="0" w:line="240" w:lineRule="auto"/>
              <w:textAlignment w:val="baseline"/>
              <w:rPr>
                <w:rFonts w:eastAsia="Times New Roman" w:cs="Times New Roman"/>
                <w:noProof/>
              </w:rPr>
            </w:pPr>
            <w:r>
              <w:rPr>
                <w:noProof/>
              </w:rPr>
              <w:t xml:space="preserve">Rahaston perustamista koskevan asetuksen ja siihen liittyvien asiakirjojen voimaantulo. </w:t>
            </w:r>
          </w:p>
        </w:tc>
      </w:tr>
      <w:tr w:rsidR="000E48CE" w14:paraId="388D8E24" w14:textId="77777777">
        <w:trPr>
          <w:trHeight w:val="300"/>
        </w:trPr>
        <w:tc>
          <w:tcPr>
            <w:tcW w:w="846" w:type="dxa"/>
            <w:shd w:val="clear" w:color="auto" w:fill="C6EFCE"/>
          </w:tcPr>
          <w:p w14:paraId="62E598CB" w14:textId="2303095C" w:rsidR="000E48CE" w:rsidRDefault="00FF4C4E">
            <w:pPr>
              <w:pStyle w:val="P68B1DB1-Normal13"/>
              <w:spacing w:after="0" w:line="240" w:lineRule="auto"/>
              <w:jc w:val="center"/>
              <w:textAlignment w:val="baseline"/>
              <w:rPr>
                <w:rFonts w:eastAsia="Times New Roman" w:cs="Times New Roman"/>
                <w:noProof/>
              </w:rPr>
            </w:pPr>
            <w:r>
              <w:rPr>
                <w:noProof/>
              </w:rPr>
              <w:t>L41</w:t>
            </w:r>
          </w:p>
        </w:tc>
        <w:tc>
          <w:tcPr>
            <w:tcW w:w="850" w:type="dxa"/>
            <w:shd w:val="clear" w:color="auto" w:fill="C6EFCE"/>
          </w:tcPr>
          <w:p w14:paraId="1D237F3C" w14:textId="77777777" w:rsidR="000E48CE" w:rsidRDefault="00FF4C4E">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75D4F251"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560FF3F" w14:textId="791168AA" w:rsidR="000E48CE" w:rsidRDefault="00FF4C4E">
            <w:pPr>
              <w:pStyle w:val="P68B1DB1-Normal13"/>
              <w:spacing w:after="0" w:line="240" w:lineRule="auto"/>
              <w:textAlignment w:val="baseline"/>
              <w:rPr>
                <w:rFonts w:eastAsia="Times New Roman" w:cs="Times New Roman"/>
                <w:noProof/>
              </w:rPr>
            </w:pPr>
            <w:r>
              <w:rPr>
                <w:noProof/>
              </w:rPr>
              <w:t>Foco – Lopullisten edunsaajien (mukaan lukien pääomarahastot) kanssa allekirjoitetut oikeudelliset sopimukset</w:t>
            </w:r>
            <w:r>
              <w:rPr>
                <w:noProof/>
              </w:rPr>
              <w:t xml:space="preserve"> (I)</w:t>
            </w:r>
          </w:p>
        </w:tc>
        <w:tc>
          <w:tcPr>
            <w:tcW w:w="1134" w:type="dxa"/>
            <w:shd w:val="clear" w:color="auto" w:fill="C6EFCE"/>
          </w:tcPr>
          <w:p w14:paraId="752CC410" w14:textId="1E76E501"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16A9226" w14:textId="104F94C9"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00758ADC" w14:textId="77777777" w:rsidR="000E48CE" w:rsidRDefault="00FF4C4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385CBF3D" w14:textId="580B9033" w:rsidR="000E48CE" w:rsidRDefault="00FF4C4E">
            <w:pPr>
              <w:pStyle w:val="P68B1DB1-Normal13"/>
              <w:spacing w:after="0" w:line="240" w:lineRule="auto"/>
              <w:jc w:val="right"/>
              <w:textAlignment w:val="baseline"/>
              <w:rPr>
                <w:rFonts w:eastAsia="Times New Roman" w:cs="Times New Roman"/>
                <w:noProof/>
              </w:rPr>
            </w:pPr>
            <w:r>
              <w:rPr>
                <w:noProof/>
              </w:rPr>
              <w:t>50 %</w:t>
            </w:r>
          </w:p>
          <w:p w14:paraId="59214C2B"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73FE16" w14:textId="77777777"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15E7847C"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6DD25180" w14:textId="7177FB58" w:rsidR="000E48CE" w:rsidRDefault="00FF4C4E">
            <w:pPr>
              <w:pStyle w:val="P68B1DB1-Normal13"/>
              <w:spacing w:after="0" w:line="240" w:lineRule="auto"/>
              <w:textAlignment w:val="baseline"/>
              <w:rPr>
                <w:rFonts w:eastAsia="Times New Roman" w:cs="Times New Roman"/>
                <w:noProof/>
              </w:rPr>
            </w:pPr>
            <w:r>
              <w:rPr>
                <w:noProof/>
              </w:rPr>
              <w:t>Tukiväline ja COFIDESin valitsemat välittäjät ovat tehneet lopullisten edunsaajien (pääomarahastot mukaan lukien) kanssa oikeudellisia rahoitussopimuksia, joiden määrä on tarpeen, jotta vähintään 50 prosenttia elpymis- ja palautumis</w:t>
            </w:r>
            <w:r>
              <w:rPr>
                <w:noProof/>
              </w:rPr>
              <w:t>tukivälineen investoinneista tukivälineeseen voidaan käyttää (hallinnolliset maksut huomioon ottaen). Vähintään 20 prosentin rahoituksesta on vastattava pääomarahastojen kanssa allekirjoitettuja rahoitussopimuksia ja vähintään 20 prosenttia rahoitussopimuk</w:t>
            </w:r>
            <w:r>
              <w:rPr>
                <w:noProof/>
              </w:rPr>
              <w:t>sia, jotka on allekirjoitettu lopullisten tuensaajien kanssa kaikista muista sijoitustuotteista (mukaan lukien lainajärjestelyn suorat pääomasijoitukset).</w:t>
            </w:r>
          </w:p>
        </w:tc>
      </w:tr>
      <w:tr w:rsidR="000E48CE" w14:paraId="4DE1B9BD" w14:textId="77777777">
        <w:trPr>
          <w:trHeight w:val="300"/>
        </w:trPr>
        <w:tc>
          <w:tcPr>
            <w:tcW w:w="846" w:type="dxa"/>
            <w:shd w:val="clear" w:color="auto" w:fill="C6EFCE"/>
          </w:tcPr>
          <w:p w14:paraId="2992D19F" w14:textId="3844CEEA" w:rsidR="000E48CE" w:rsidRDefault="00FF4C4E">
            <w:pPr>
              <w:pStyle w:val="P68B1DB1-Normal13"/>
              <w:spacing w:after="0" w:line="240" w:lineRule="auto"/>
              <w:jc w:val="center"/>
              <w:textAlignment w:val="baseline"/>
              <w:rPr>
                <w:rFonts w:eastAsia="Times New Roman" w:cs="Times New Roman"/>
                <w:noProof/>
              </w:rPr>
            </w:pPr>
            <w:r>
              <w:rPr>
                <w:noProof/>
              </w:rPr>
              <w:t>L42</w:t>
            </w:r>
          </w:p>
        </w:tc>
        <w:tc>
          <w:tcPr>
            <w:tcW w:w="850" w:type="dxa"/>
            <w:shd w:val="clear" w:color="auto" w:fill="C6EFCE"/>
          </w:tcPr>
          <w:p w14:paraId="008092BD" w14:textId="77777777" w:rsidR="000E48CE" w:rsidRDefault="00FF4C4E">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5F8A0532"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4CF63345" w14:textId="2BE93766" w:rsidR="000E48CE" w:rsidRDefault="00FF4C4E">
            <w:pPr>
              <w:pStyle w:val="P68B1DB1-Normal13"/>
              <w:spacing w:after="0" w:line="240" w:lineRule="auto"/>
              <w:textAlignment w:val="baseline"/>
              <w:rPr>
                <w:rFonts w:eastAsia="Times New Roman" w:cs="Times New Roman"/>
                <w:noProof/>
              </w:rPr>
            </w:pPr>
            <w:r>
              <w:rPr>
                <w:noProof/>
              </w:rPr>
              <w:t xml:space="preserve">Foco – Lopullisten edunsaajien (mukaan lukien pääomarahastot) kanssa allekirjoitetut </w:t>
            </w:r>
            <w:r>
              <w:rPr>
                <w:noProof/>
              </w:rPr>
              <w:t>oikeudelliset sopimukset (II)</w:t>
            </w:r>
          </w:p>
        </w:tc>
        <w:tc>
          <w:tcPr>
            <w:tcW w:w="1134" w:type="dxa"/>
            <w:shd w:val="clear" w:color="auto" w:fill="C6EFCE"/>
          </w:tcPr>
          <w:p w14:paraId="1C19B6C9" w14:textId="11CE6039"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185F2E5" w14:textId="354E27A0" w:rsidR="000E48CE" w:rsidRDefault="00FF4C4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2AC405AC" w14:textId="1252F274" w:rsidR="000E48CE" w:rsidRDefault="00FF4C4E">
            <w:pPr>
              <w:pStyle w:val="P68B1DB1-Normal13"/>
              <w:spacing w:after="0" w:line="240" w:lineRule="auto"/>
              <w:jc w:val="center"/>
              <w:textAlignment w:val="baseline"/>
              <w:rPr>
                <w:rFonts w:eastAsia="Times New Roman" w:cs="Times New Roman"/>
                <w:noProof/>
              </w:rPr>
            </w:pPr>
            <w:r>
              <w:rPr>
                <w:noProof/>
              </w:rPr>
              <w:t>50 %</w:t>
            </w:r>
          </w:p>
        </w:tc>
        <w:tc>
          <w:tcPr>
            <w:tcW w:w="709" w:type="dxa"/>
            <w:shd w:val="clear" w:color="auto" w:fill="C6EFCE"/>
          </w:tcPr>
          <w:p w14:paraId="3D1A6017" w14:textId="0F9BBE4D" w:rsidR="000E48CE" w:rsidRDefault="00FF4C4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37E52C92" w14:textId="0EDCC6CE"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6DEBAB30"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5133B97" w14:textId="2D09A65B" w:rsidR="000E48CE" w:rsidRDefault="00FF4C4E">
            <w:pPr>
              <w:pStyle w:val="P68B1DB1-Normal13"/>
              <w:spacing w:after="0" w:line="240" w:lineRule="auto"/>
              <w:textAlignment w:val="baseline"/>
              <w:rPr>
                <w:rFonts w:eastAsia="Times New Roman" w:cs="Times New Roman"/>
                <w:noProof/>
              </w:rPr>
            </w:pPr>
            <w:r>
              <w:rPr>
                <w:noProof/>
              </w:rPr>
              <w:t>Tukiväline ja COFIDESin valitsemat välittäjät ovat tehneet lopullisten edunsaajien (pääomarahastot mukaan lukien) kanssa oikeudellisia rahoitussopimuksia, joiden määrä on tarpeen, jotta</w:t>
            </w:r>
            <w:r>
              <w:rPr>
                <w:noProof/>
              </w:rPr>
              <w:t xml:space="preserve"> elpymis- ja palautumistukivälineen investoinneista voidaan käyttää 100 prosenttia tukivälineeseen (hallinnolliset maksut huomioon ottaen). Vähintään 20 prosentin rahoituksesta on vastattava pääomarahastojen kanssa allekirjoitettuja rahoitussopimuksia ja v</w:t>
            </w:r>
            <w:r>
              <w:rPr>
                <w:noProof/>
              </w:rPr>
              <w:t>ähintään 20 prosenttia rahoitussopimuksia, jotka on allekirjoitettu lopullisten tuensaajien kanssa kaikista muista sijoitustuotteista (mukaan lukien lainajärjestelyn suorat pääomasijoitukset).</w:t>
            </w:r>
          </w:p>
        </w:tc>
      </w:tr>
      <w:tr w:rsidR="000E48CE" w14:paraId="413858E2" w14:textId="77777777">
        <w:trPr>
          <w:trHeight w:val="300"/>
        </w:trPr>
        <w:tc>
          <w:tcPr>
            <w:tcW w:w="846" w:type="dxa"/>
            <w:shd w:val="clear" w:color="auto" w:fill="C6EFCE"/>
          </w:tcPr>
          <w:p w14:paraId="679F761A" w14:textId="72994404" w:rsidR="000E48CE" w:rsidRDefault="00FF4C4E">
            <w:pPr>
              <w:pStyle w:val="P68B1DB1-Normal13"/>
              <w:spacing w:after="0" w:line="240" w:lineRule="auto"/>
              <w:jc w:val="center"/>
              <w:textAlignment w:val="baseline"/>
              <w:rPr>
                <w:rFonts w:eastAsia="Times New Roman" w:cs="Times New Roman"/>
                <w:noProof/>
              </w:rPr>
            </w:pPr>
            <w:r>
              <w:rPr>
                <w:noProof/>
              </w:rPr>
              <w:t>L43</w:t>
            </w:r>
          </w:p>
        </w:tc>
        <w:tc>
          <w:tcPr>
            <w:tcW w:w="850" w:type="dxa"/>
            <w:shd w:val="clear" w:color="auto" w:fill="C6EFCE"/>
          </w:tcPr>
          <w:p w14:paraId="6B82B99B" w14:textId="77777777" w:rsidR="000E48CE" w:rsidRDefault="00FF4C4E">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11175A4F"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47F04ADC" w14:textId="2CFEFE6D" w:rsidR="000E48CE" w:rsidRDefault="00FF4C4E">
            <w:pPr>
              <w:pStyle w:val="P68B1DB1-Normal13"/>
              <w:spacing w:after="0" w:line="240" w:lineRule="auto"/>
              <w:textAlignment w:val="baseline"/>
              <w:rPr>
                <w:rFonts w:eastAsia="Times New Roman" w:cs="Times New Roman"/>
                <w:noProof/>
              </w:rPr>
            </w:pPr>
            <w:r>
              <w:rPr>
                <w:noProof/>
              </w:rPr>
              <w:t>Foco – Maa- ja metsätalousministeriö on saattanut</w:t>
            </w:r>
            <w:r>
              <w:rPr>
                <w:noProof/>
              </w:rPr>
              <w:t xml:space="preserve"> investoinnin päätökseen.</w:t>
            </w:r>
          </w:p>
        </w:tc>
        <w:tc>
          <w:tcPr>
            <w:tcW w:w="1134" w:type="dxa"/>
            <w:shd w:val="clear" w:color="auto" w:fill="C6EFCE"/>
          </w:tcPr>
          <w:p w14:paraId="6874C2AB" w14:textId="5F59CDA8" w:rsidR="000E48CE" w:rsidRDefault="00FF4C4E">
            <w:pPr>
              <w:pStyle w:val="P68B1DB1-Normal13"/>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625D17C6" w14:textId="6FFA06D2"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2865F839"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AF06EC2" w14:textId="65E4AC7C"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4D5F054" w14:textId="46C375E6"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3E719710"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26BD24C5" w14:textId="01188F1C" w:rsidR="000E48CE" w:rsidRDefault="00FF4C4E">
            <w:pPr>
              <w:pStyle w:val="P68B1DB1-Normal13"/>
              <w:spacing w:after="0" w:line="240" w:lineRule="auto"/>
              <w:textAlignment w:val="baseline"/>
              <w:rPr>
                <w:rFonts w:eastAsia="Times New Roman" w:cs="Times New Roman"/>
                <w:noProof/>
              </w:rPr>
            </w:pPr>
            <w:r>
              <w:rPr>
                <w:noProof/>
              </w:rPr>
              <w:t>Espanja siirtää 2000000000 euroa tukivälineeseen.</w:t>
            </w:r>
          </w:p>
        </w:tc>
      </w:tr>
      <w:tr w:rsidR="000E48CE" w14:paraId="674A0CA5" w14:textId="77777777">
        <w:trPr>
          <w:trHeight w:val="1829"/>
        </w:trPr>
        <w:tc>
          <w:tcPr>
            <w:tcW w:w="846" w:type="dxa"/>
            <w:shd w:val="clear" w:color="auto" w:fill="C6EFCE"/>
          </w:tcPr>
          <w:p w14:paraId="29B69C3C" w14:textId="35DF434C" w:rsidR="000E48CE" w:rsidRDefault="00FF4C4E">
            <w:pPr>
              <w:pStyle w:val="P68B1DB1-Normal13"/>
              <w:spacing w:after="0" w:line="240" w:lineRule="auto"/>
              <w:jc w:val="center"/>
              <w:textAlignment w:val="baseline"/>
              <w:rPr>
                <w:rFonts w:eastAsia="Times New Roman" w:cs="Times New Roman"/>
                <w:noProof/>
              </w:rPr>
            </w:pPr>
            <w:bookmarkStart w:id="46" w:name="_Hlk144798525"/>
            <w:r>
              <w:rPr>
                <w:noProof/>
              </w:rPr>
              <w:t>L44</w:t>
            </w:r>
          </w:p>
        </w:tc>
        <w:tc>
          <w:tcPr>
            <w:tcW w:w="850" w:type="dxa"/>
            <w:shd w:val="clear" w:color="auto" w:fill="C6EFCE"/>
          </w:tcPr>
          <w:p w14:paraId="5D94843C" w14:textId="77777777" w:rsidR="000E48CE" w:rsidRDefault="00FF4C4E">
            <w:pPr>
              <w:pStyle w:val="P68B1DB1-Normal13"/>
              <w:spacing w:after="0" w:line="240" w:lineRule="auto"/>
              <w:jc w:val="center"/>
              <w:textAlignment w:val="baseline"/>
              <w:rPr>
                <w:rFonts w:eastAsia="Times New Roman" w:cs="Times New Roman"/>
                <w:noProof/>
              </w:rPr>
            </w:pPr>
            <w:r>
              <w:rPr>
                <w:noProof/>
              </w:rPr>
              <w:t>C13.I9</w:t>
            </w:r>
          </w:p>
        </w:tc>
        <w:tc>
          <w:tcPr>
            <w:tcW w:w="851" w:type="dxa"/>
            <w:shd w:val="clear" w:color="auto" w:fill="C6EFCE"/>
          </w:tcPr>
          <w:p w14:paraId="25A1D4DB"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4C6F8DFB" w14:textId="77777777" w:rsidR="000E48CE" w:rsidRDefault="00FF4C4E">
            <w:pPr>
              <w:pStyle w:val="P68B1DB1-Normal13"/>
              <w:spacing w:after="0" w:line="240" w:lineRule="auto"/>
              <w:textAlignment w:val="baseline"/>
              <w:rPr>
                <w:rFonts w:eastAsia="Times New Roman" w:cs="Times New Roman"/>
                <w:noProof/>
              </w:rPr>
            </w:pPr>
            <w:r>
              <w:rPr>
                <w:noProof/>
              </w:rPr>
              <w:t>Strategisten yritysten vakavaraisuustukirahasto</w:t>
            </w:r>
          </w:p>
        </w:tc>
        <w:tc>
          <w:tcPr>
            <w:tcW w:w="1134" w:type="dxa"/>
            <w:shd w:val="clear" w:color="auto" w:fill="C6EFCE"/>
          </w:tcPr>
          <w:p w14:paraId="6EA6A767"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A7116BA" w14:textId="77777777" w:rsidR="000E48CE" w:rsidRDefault="00FF4C4E">
            <w:pPr>
              <w:pStyle w:val="P68B1DB1-Normal13"/>
              <w:spacing w:after="0" w:line="240" w:lineRule="auto"/>
              <w:jc w:val="center"/>
              <w:textAlignment w:val="baseline"/>
              <w:rPr>
                <w:rFonts w:eastAsia="Times New Roman" w:cs="Times New Roman"/>
                <w:noProof/>
              </w:rPr>
            </w:pPr>
            <w:r>
              <w:rPr>
                <w:noProof/>
              </w:rPr>
              <w:t>Miljoonaa euroa</w:t>
            </w:r>
          </w:p>
        </w:tc>
        <w:tc>
          <w:tcPr>
            <w:tcW w:w="708" w:type="dxa"/>
            <w:shd w:val="clear" w:color="auto" w:fill="C6EFCE"/>
          </w:tcPr>
          <w:p w14:paraId="2F819E3C" w14:textId="77777777" w:rsidR="000E48CE" w:rsidRDefault="00FF4C4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1AA03446" w14:textId="77777777" w:rsidR="000E48CE" w:rsidRDefault="00FF4C4E">
            <w:pPr>
              <w:pStyle w:val="P68B1DB1-Normal13"/>
              <w:spacing w:after="0" w:line="240" w:lineRule="auto"/>
              <w:jc w:val="right"/>
              <w:textAlignment w:val="baseline"/>
              <w:rPr>
                <w:rFonts w:eastAsia="Times New Roman" w:cs="Times New Roman"/>
                <w:noProof/>
              </w:rPr>
            </w:pPr>
            <w:r>
              <w:rPr>
                <w:noProof/>
              </w:rPr>
              <w:t>563</w:t>
            </w:r>
          </w:p>
        </w:tc>
        <w:tc>
          <w:tcPr>
            <w:tcW w:w="709" w:type="dxa"/>
            <w:shd w:val="clear" w:color="auto" w:fill="C6EFCE"/>
          </w:tcPr>
          <w:p w14:paraId="0F02180E" w14:textId="77777777"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5E619485" w14:textId="77777777" w:rsidR="000E48CE" w:rsidRDefault="00FF4C4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608B9E70" w14:textId="751A3453" w:rsidR="000E48CE" w:rsidRDefault="00FF4C4E">
            <w:pPr>
              <w:pStyle w:val="P68B1DB1-Normal13"/>
              <w:spacing w:line="240" w:lineRule="auto"/>
              <w:rPr>
                <w:rFonts w:eastAsia="Times New Roman" w:cs="Times New Roman"/>
                <w:noProof/>
              </w:rPr>
            </w:pPr>
            <w:r>
              <w:rPr>
                <w:noProof/>
              </w:rPr>
              <w:t>Lopullisille tuensaajille on maksettu vähintään 563300000 euroa elpymis- ja palautumistukivälineen tukikelpoisista toimista FASEE-ohjelmasta. Riippumattoman tarkastajan tekemässä jälkitarkastuksessa olisi vahvistettava ainakin ”ei merkittävää haittaa” -per</w:t>
            </w:r>
            <w:r>
              <w:rPr>
                <w:noProof/>
              </w:rPr>
              <w:t>iaatteen ja valtiontukisääntöjen noudattaminen, petosten, korruption, eturistiriitojen ja päällekkäisen rahoituksen puuttuminen sekä elpymis- ja palautumistukivälineen 22 artiklassa säädettyjen tietojen kerääminen. Jälkitarkastuksessa on varmistettava, ett</w:t>
            </w:r>
            <w:r>
              <w:rPr>
                <w:noProof/>
              </w:rPr>
              <w:t xml:space="preserve">ä tukea on annettu ainoastaan yrityksille, jotka tuen myöntämishetkellä olivat kannattavia ja strategisia kansallisen tai alueellisen tuotantorakenteen kannalta. </w:t>
            </w:r>
          </w:p>
        </w:tc>
      </w:tr>
      <w:tr w:rsidR="000E48CE" w14:paraId="3973BF9B" w14:textId="77777777">
        <w:trPr>
          <w:trHeight w:val="300"/>
        </w:trPr>
        <w:tc>
          <w:tcPr>
            <w:tcW w:w="846" w:type="dxa"/>
            <w:shd w:val="clear" w:color="auto" w:fill="C6EFCE"/>
          </w:tcPr>
          <w:p w14:paraId="1ED40D9B" w14:textId="0F2A4A88" w:rsidR="000E48CE" w:rsidRDefault="00FF4C4E">
            <w:pPr>
              <w:pStyle w:val="P68B1DB1-Normal13"/>
              <w:spacing w:after="0" w:line="240" w:lineRule="auto"/>
              <w:jc w:val="center"/>
              <w:textAlignment w:val="baseline"/>
              <w:rPr>
                <w:rFonts w:eastAsia="Times New Roman" w:cs="Times New Roman"/>
                <w:noProof/>
              </w:rPr>
            </w:pPr>
            <w:r>
              <w:rPr>
                <w:noProof/>
              </w:rPr>
              <w:t>L45</w:t>
            </w:r>
          </w:p>
        </w:tc>
        <w:tc>
          <w:tcPr>
            <w:tcW w:w="850" w:type="dxa"/>
            <w:shd w:val="clear" w:color="auto" w:fill="C6EFCE"/>
          </w:tcPr>
          <w:p w14:paraId="481AA9DB" w14:textId="77777777" w:rsidR="000E48CE" w:rsidRDefault="00FF4C4E">
            <w:pPr>
              <w:pStyle w:val="P68B1DB1-Normal13"/>
              <w:spacing w:after="0" w:line="240" w:lineRule="auto"/>
              <w:jc w:val="center"/>
              <w:textAlignment w:val="baseline"/>
              <w:rPr>
                <w:rFonts w:eastAsia="Times New Roman" w:cs="Times New Roman"/>
                <w:noProof/>
              </w:rPr>
            </w:pPr>
            <w:r>
              <w:rPr>
                <w:noProof/>
              </w:rPr>
              <w:t>C13.I10</w:t>
            </w:r>
          </w:p>
        </w:tc>
        <w:tc>
          <w:tcPr>
            <w:tcW w:w="851" w:type="dxa"/>
            <w:shd w:val="clear" w:color="auto" w:fill="C6EFCE"/>
          </w:tcPr>
          <w:p w14:paraId="41F31964"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2621DB36" w14:textId="77777777" w:rsidR="000E48CE" w:rsidRDefault="00FF4C4E">
            <w:pPr>
              <w:pStyle w:val="P68B1DB1-Normal13"/>
              <w:spacing w:after="0" w:line="240" w:lineRule="auto"/>
              <w:textAlignment w:val="baseline"/>
              <w:rPr>
                <w:rFonts w:eastAsia="Times New Roman" w:cs="Times New Roman"/>
                <w:noProof/>
              </w:rPr>
            </w:pPr>
            <w:r>
              <w:rPr>
                <w:noProof/>
              </w:rPr>
              <w:t>FONREC</w:t>
            </w:r>
          </w:p>
        </w:tc>
        <w:tc>
          <w:tcPr>
            <w:tcW w:w="1134" w:type="dxa"/>
            <w:shd w:val="clear" w:color="auto" w:fill="C6EFCE"/>
          </w:tcPr>
          <w:p w14:paraId="7BE35DD6"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C93D5EC" w14:textId="77777777" w:rsidR="000E48CE" w:rsidRDefault="00FF4C4E">
            <w:pPr>
              <w:pStyle w:val="P68B1DB1-Normal13"/>
              <w:spacing w:after="0" w:line="240" w:lineRule="auto"/>
              <w:jc w:val="center"/>
              <w:textAlignment w:val="baseline"/>
              <w:rPr>
                <w:rFonts w:eastAsia="Times New Roman" w:cs="Times New Roman"/>
                <w:noProof/>
              </w:rPr>
            </w:pPr>
            <w:r>
              <w:rPr>
                <w:noProof/>
              </w:rPr>
              <w:t>Miljoonaa euroa</w:t>
            </w:r>
          </w:p>
        </w:tc>
        <w:tc>
          <w:tcPr>
            <w:tcW w:w="708" w:type="dxa"/>
            <w:shd w:val="clear" w:color="auto" w:fill="C6EFCE"/>
          </w:tcPr>
          <w:p w14:paraId="2E82B041" w14:textId="77777777" w:rsidR="000E48CE" w:rsidRDefault="00FF4C4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66B06835" w14:textId="538EC0B6" w:rsidR="000E48CE" w:rsidRDefault="00FF4C4E">
            <w:pPr>
              <w:pStyle w:val="P68B1DB1-Normal13"/>
              <w:spacing w:after="0" w:line="240" w:lineRule="auto"/>
              <w:jc w:val="right"/>
              <w:textAlignment w:val="baseline"/>
              <w:rPr>
                <w:rFonts w:eastAsia="Times New Roman" w:cs="Times New Roman"/>
                <w:noProof/>
              </w:rPr>
            </w:pPr>
            <w:r>
              <w:rPr>
                <w:noProof/>
              </w:rPr>
              <w:t>457,01</w:t>
            </w:r>
          </w:p>
        </w:tc>
        <w:tc>
          <w:tcPr>
            <w:tcW w:w="709" w:type="dxa"/>
            <w:shd w:val="clear" w:color="auto" w:fill="C6EFCE"/>
          </w:tcPr>
          <w:p w14:paraId="189A94BE" w14:textId="77777777"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7D490E8B" w14:textId="369B1A9E"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76BFDC4F" w14:textId="2BBDB0FB" w:rsidR="000E48CE" w:rsidRDefault="00FF4C4E">
            <w:pPr>
              <w:pStyle w:val="P68B1DB1-Normal13"/>
              <w:spacing w:after="0" w:line="240" w:lineRule="auto"/>
              <w:textAlignment w:val="baseline"/>
              <w:rPr>
                <w:rFonts w:eastAsia="Times New Roman" w:cs="Times New Roman"/>
                <w:noProof/>
              </w:rPr>
            </w:pPr>
            <w:r>
              <w:rPr>
                <w:noProof/>
              </w:rPr>
              <w:t>Lopullisille tuensaajille on maksettu</w:t>
            </w:r>
            <w:r>
              <w:rPr>
                <w:noProof/>
              </w:rPr>
              <w:t xml:space="preserve"> vähintään 457010000 euroa elpymis- ja palautumistukivälineen tukikelpoisista toimista FONRECin puitteissa. Riippumattoman tarkastajan tekemässä jälkitarkastuksessa olisi vahvistettava ainakin ”ei merkittävää haittaa” -periaatteen ja valtiontukisääntöjen n</w:t>
            </w:r>
            <w:r>
              <w:rPr>
                <w:noProof/>
              </w:rPr>
              <w:t>oudattaminen, petosten, korruption, eturistiriitojen ja päällekkäisen rahoituksen puuttuminen sekä elpymis- ja palautumistukivälineen 22 artiklassa säädettyjen tietojen kerääminen. Jälkitarkastuksessa on varmistettava, että tukea on annettu ainoastaan yrit</w:t>
            </w:r>
            <w:r>
              <w:rPr>
                <w:noProof/>
              </w:rPr>
              <w:t>yksille, jotka ovat tukikelpoisia välineen oikeudellisen kehyksen mukaisesti.</w:t>
            </w:r>
          </w:p>
        </w:tc>
      </w:tr>
      <w:bookmarkEnd w:id="46"/>
      <w:tr w:rsidR="000E48CE" w14:paraId="6C5071F8" w14:textId="77777777">
        <w:trPr>
          <w:trHeight w:val="300"/>
        </w:trPr>
        <w:tc>
          <w:tcPr>
            <w:tcW w:w="846" w:type="dxa"/>
            <w:shd w:val="clear" w:color="auto" w:fill="C6EFCE"/>
          </w:tcPr>
          <w:p w14:paraId="288A6F5B" w14:textId="49A414C5" w:rsidR="000E48CE" w:rsidRDefault="00FF4C4E">
            <w:pPr>
              <w:pStyle w:val="P68B1DB1-Normal13"/>
              <w:spacing w:after="0" w:line="240" w:lineRule="auto"/>
              <w:jc w:val="center"/>
              <w:textAlignment w:val="baseline"/>
              <w:rPr>
                <w:rFonts w:eastAsia="Times New Roman" w:cs="Times New Roman"/>
                <w:noProof/>
              </w:rPr>
            </w:pPr>
            <w:r>
              <w:rPr>
                <w:noProof/>
              </w:rPr>
              <w:t>L46</w:t>
            </w:r>
          </w:p>
        </w:tc>
        <w:tc>
          <w:tcPr>
            <w:tcW w:w="850" w:type="dxa"/>
            <w:shd w:val="clear" w:color="auto" w:fill="C6EFCE"/>
          </w:tcPr>
          <w:p w14:paraId="61DECBED" w14:textId="77777777" w:rsidR="000E48CE" w:rsidRDefault="00FF4C4E">
            <w:pPr>
              <w:pStyle w:val="P68B1DB1-Normal13"/>
              <w:spacing w:after="0" w:line="240" w:lineRule="auto"/>
              <w:jc w:val="center"/>
              <w:textAlignment w:val="baseline"/>
              <w:rPr>
                <w:rFonts w:eastAsia="Times New Roman" w:cs="Times New Roman"/>
                <w:noProof/>
              </w:rPr>
            </w:pPr>
            <w:r>
              <w:rPr>
                <w:noProof/>
              </w:rPr>
              <w:t>C13.I11</w:t>
            </w:r>
          </w:p>
        </w:tc>
        <w:tc>
          <w:tcPr>
            <w:tcW w:w="851" w:type="dxa"/>
            <w:shd w:val="clear" w:color="auto" w:fill="C6EFCE"/>
          </w:tcPr>
          <w:p w14:paraId="3B422315"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7348AA40" w14:textId="77777777" w:rsidR="000E48CE" w:rsidRDefault="00FF4C4E">
            <w:pPr>
              <w:pStyle w:val="P68B1DB1-Normal13"/>
              <w:spacing w:after="0" w:line="240" w:lineRule="auto"/>
              <w:textAlignment w:val="baseline"/>
              <w:rPr>
                <w:rFonts w:eastAsia="Times New Roman" w:cs="Times New Roman"/>
                <w:noProof/>
              </w:rPr>
            </w:pPr>
            <w:r>
              <w:rPr>
                <w:noProof/>
              </w:rPr>
              <w:t>CERSA</w:t>
            </w:r>
          </w:p>
        </w:tc>
        <w:tc>
          <w:tcPr>
            <w:tcW w:w="1134" w:type="dxa"/>
            <w:shd w:val="clear" w:color="auto" w:fill="C6EFCE"/>
          </w:tcPr>
          <w:p w14:paraId="45B86058"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D54FCFD" w14:textId="77777777" w:rsidR="000E48CE" w:rsidRDefault="00FF4C4E">
            <w:pPr>
              <w:pStyle w:val="P68B1DB1-Normal13"/>
              <w:spacing w:after="0" w:line="240" w:lineRule="auto"/>
              <w:jc w:val="center"/>
              <w:textAlignment w:val="baseline"/>
              <w:rPr>
                <w:rFonts w:eastAsia="Times New Roman" w:cs="Times New Roman"/>
                <w:noProof/>
              </w:rPr>
            </w:pPr>
            <w:r>
              <w:rPr>
                <w:noProof/>
              </w:rPr>
              <w:t>Miljoonaa euroa</w:t>
            </w:r>
          </w:p>
        </w:tc>
        <w:tc>
          <w:tcPr>
            <w:tcW w:w="708" w:type="dxa"/>
            <w:shd w:val="clear" w:color="auto" w:fill="C6EFCE"/>
          </w:tcPr>
          <w:p w14:paraId="507A5AC3" w14:textId="77777777" w:rsidR="000E48CE" w:rsidRDefault="00FF4C4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00F8D76A" w14:textId="1E69D12F" w:rsidR="000E48CE" w:rsidRDefault="00FF4C4E">
            <w:pPr>
              <w:pStyle w:val="P68B1DB1-Normal13"/>
              <w:spacing w:after="0" w:line="240" w:lineRule="auto"/>
              <w:jc w:val="right"/>
              <w:textAlignment w:val="baseline"/>
              <w:rPr>
                <w:rFonts w:eastAsia="Times New Roman" w:cs="Times New Roman"/>
                <w:noProof/>
              </w:rPr>
            </w:pPr>
            <w:r>
              <w:rPr>
                <w:noProof/>
              </w:rPr>
              <w:t>2 100</w:t>
            </w:r>
          </w:p>
        </w:tc>
        <w:tc>
          <w:tcPr>
            <w:tcW w:w="709" w:type="dxa"/>
            <w:shd w:val="clear" w:color="auto" w:fill="C6EFCE"/>
          </w:tcPr>
          <w:p w14:paraId="656CB88D" w14:textId="61A4346F"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16F0D829"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3A190137" w14:textId="6C56AE2C" w:rsidR="000E48CE" w:rsidRDefault="00FF4C4E">
            <w:pPr>
              <w:pStyle w:val="P68B1DB1-Normal13"/>
              <w:spacing w:after="0" w:line="240" w:lineRule="auto"/>
              <w:rPr>
                <w:rFonts w:eastAsia="Times New Roman" w:cs="Times New Roman"/>
                <w:noProof/>
              </w:rPr>
            </w:pPr>
            <w:r>
              <w:rPr>
                <w:noProof/>
              </w:rPr>
              <w:t xml:space="preserve">CERSA-takaus: Vähintään 2100000000 euron määrä CERSAn 1. heinäkuuta 2023 alkaen myöntämiä takauksia, </w:t>
            </w:r>
            <w:r>
              <w:rPr>
                <w:noProof/>
              </w:rPr>
              <w:t>joiden avulla pk-yritykset ja markkina-arvoltaan keskisuuret yritykset voivat saada takauksia pitkäaikaisiin investointeihin ja käyttöpääomaan sekä rahoitustakuita, kaupallisia ja teknisiä takauksia. Valintaperusteilla on varmistettava, että tämän toimenpi</w:t>
            </w:r>
            <w:r>
              <w:rPr>
                <w:noProof/>
              </w:rPr>
              <w:t>teen nojalla tuettuja transaktioita koskevia ”ei merkittävää haittaa” -periaatetta koskevia teknisiä ohjeita (2021/C58/01) noudatetaan poissulkemisluetteloa ja vaatimusta noudattaa asiaankuuluvaa EU:n ja kansallista ympäristölainsäädäntöä.</w:t>
            </w:r>
          </w:p>
        </w:tc>
      </w:tr>
      <w:tr w:rsidR="000E48CE" w14:paraId="5214E48A" w14:textId="77777777">
        <w:trPr>
          <w:trHeight w:val="300"/>
        </w:trPr>
        <w:tc>
          <w:tcPr>
            <w:tcW w:w="846" w:type="dxa"/>
            <w:shd w:val="clear" w:color="auto" w:fill="C6EFCE"/>
          </w:tcPr>
          <w:p w14:paraId="653132E0" w14:textId="4FDE57AF" w:rsidR="000E48CE" w:rsidRDefault="00FF4C4E">
            <w:pPr>
              <w:pStyle w:val="P68B1DB1-Normal13"/>
              <w:spacing w:after="0" w:line="240" w:lineRule="auto"/>
              <w:jc w:val="center"/>
              <w:textAlignment w:val="baseline"/>
              <w:rPr>
                <w:rFonts w:eastAsia="Times New Roman" w:cs="Times New Roman"/>
                <w:noProof/>
              </w:rPr>
            </w:pPr>
            <w:r>
              <w:rPr>
                <w:noProof/>
              </w:rPr>
              <w:t>L47</w:t>
            </w:r>
          </w:p>
        </w:tc>
        <w:tc>
          <w:tcPr>
            <w:tcW w:w="850" w:type="dxa"/>
            <w:shd w:val="clear" w:color="auto" w:fill="C6EFCE"/>
          </w:tcPr>
          <w:p w14:paraId="2B7997EA" w14:textId="77777777" w:rsidR="000E48CE" w:rsidRDefault="00FF4C4E">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72C5ABFE"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24643420" w14:textId="56F46F61" w:rsidR="000E48CE" w:rsidRDefault="00FF4C4E">
            <w:pPr>
              <w:pStyle w:val="P68B1DB1-Normal13"/>
              <w:spacing w:after="0" w:line="240" w:lineRule="auto"/>
              <w:textAlignment w:val="baseline"/>
              <w:rPr>
                <w:rFonts w:eastAsia="Times New Roman" w:cs="Times New Roman"/>
                <w:noProof/>
              </w:rPr>
            </w:pPr>
            <w:r>
              <w:rPr>
                <w:noProof/>
              </w:rPr>
              <w:t>ENISAn yrittäjyys- ja pk-yritysrahasto – Täytäntöönpanosopimus</w:t>
            </w:r>
          </w:p>
        </w:tc>
        <w:tc>
          <w:tcPr>
            <w:tcW w:w="1134" w:type="dxa"/>
            <w:shd w:val="clear" w:color="auto" w:fill="C6EFCE"/>
          </w:tcPr>
          <w:p w14:paraId="3330650D" w14:textId="6E61FA20" w:rsidR="000E48CE" w:rsidRDefault="00FF4C4E">
            <w:pPr>
              <w:pStyle w:val="P68B1DB1-Normal13"/>
              <w:spacing w:after="0" w:line="240" w:lineRule="auto"/>
              <w:jc w:val="center"/>
              <w:textAlignment w:val="baseline"/>
              <w:rPr>
                <w:rFonts w:eastAsia="Times New Roman" w:cs="Times New Roman"/>
                <w:noProof/>
              </w:rPr>
            </w:pPr>
            <w:r>
              <w:rPr>
                <w:noProof/>
              </w:rPr>
              <w:t>Täytäntöönpanosopimuksen voimaantulo</w:t>
            </w:r>
          </w:p>
        </w:tc>
        <w:tc>
          <w:tcPr>
            <w:tcW w:w="709" w:type="dxa"/>
            <w:shd w:val="clear" w:color="auto" w:fill="C6EFCE"/>
          </w:tcPr>
          <w:p w14:paraId="62A16AC1"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5894F71"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FB9A061"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F4A8C84" w14:textId="737C7CC8"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19FD97A5" w14:textId="09CC0B88" w:rsidR="000E48CE" w:rsidRDefault="00FF4C4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30AF59CD" w14:textId="73FAF2A6" w:rsidR="000E48CE" w:rsidRDefault="00FF4C4E">
            <w:pPr>
              <w:pStyle w:val="P68B1DB1-Normal13"/>
              <w:spacing w:line="240" w:lineRule="auto"/>
              <w:rPr>
                <w:rFonts w:cs="Times New Roman"/>
                <w:noProof/>
              </w:rPr>
            </w:pPr>
            <w:r>
              <w:rPr>
                <w:noProof/>
              </w:rPr>
              <w:t>Täytäntöönpanosopimuksen voimaantulo.</w:t>
            </w:r>
          </w:p>
        </w:tc>
      </w:tr>
      <w:tr w:rsidR="000E48CE" w14:paraId="3A5852ED" w14:textId="77777777">
        <w:trPr>
          <w:trHeight w:val="300"/>
        </w:trPr>
        <w:tc>
          <w:tcPr>
            <w:tcW w:w="846" w:type="dxa"/>
            <w:shd w:val="clear" w:color="auto" w:fill="C6EFCE"/>
          </w:tcPr>
          <w:p w14:paraId="06905E86" w14:textId="312CD56D" w:rsidR="000E48CE" w:rsidRDefault="00FF4C4E">
            <w:pPr>
              <w:pStyle w:val="P68B1DB1-Normal13"/>
              <w:spacing w:after="0" w:line="240" w:lineRule="auto"/>
              <w:jc w:val="center"/>
              <w:textAlignment w:val="baseline"/>
              <w:rPr>
                <w:rFonts w:eastAsia="Times New Roman" w:cs="Times New Roman"/>
                <w:noProof/>
              </w:rPr>
            </w:pPr>
            <w:r>
              <w:rPr>
                <w:noProof/>
              </w:rPr>
              <w:t>L48</w:t>
            </w:r>
          </w:p>
        </w:tc>
        <w:tc>
          <w:tcPr>
            <w:tcW w:w="850" w:type="dxa"/>
            <w:shd w:val="clear" w:color="auto" w:fill="C6EFCE"/>
          </w:tcPr>
          <w:p w14:paraId="6B86ECBB" w14:textId="77777777" w:rsidR="000E48CE" w:rsidRDefault="00FF4C4E">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3234A8A9"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2937366F" w14:textId="1400C1EE" w:rsidR="000E48CE" w:rsidRDefault="00FF4C4E">
            <w:pPr>
              <w:pStyle w:val="P68B1DB1-Normal13"/>
              <w:spacing w:after="0" w:line="240" w:lineRule="auto"/>
              <w:textAlignment w:val="baseline"/>
              <w:rPr>
                <w:rFonts w:eastAsia="Times New Roman" w:cs="Times New Roman"/>
                <w:noProof/>
              </w:rPr>
            </w:pPr>
            <w:r>
              <w:rPr>
                <w:noProof/>
              </w:rPr>
              <w:t xml:space="preserve">ENISAn yrittäjyys- ja pk-yritysrahasto – Lopullisten edunsaajien kanssa allekirjoitetut </w:t>
            </w:r>
            <w:r>
              <w:rPr>
                <w:noProof/>
              </w:rPr>
              <w:t>oikeudelliset sopimukset</w:t>
            </w:r>
          </w:p>
        </w:tc>
        <w:tc>
          <w:tcPr>
            <w:tcW w:w="1134" w:type="dxa"/>
            <w:shd w:val="clear" w:color="auto" w:fill="C6EFCE"/>
          </w:tcPr>
          <w:p w14:paraId="46300E66"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CA5433C"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2B112905" w14:textId="77777777" w:rsidR="000E48CE" w:rsidRDefault="00FF4C4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4C5F5E96" w14:textId="77777777" w:rsidR="000E48CE" w:rsidRDefault="00FF4C4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01BC7C0F" w14:textId="77777777"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36EFFD94"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2FDFDE1A" w14:textId="168CD4F7" w:rsidR="000E48CE" w:rsidRDefault="00FF4C4E">
            <w:pPr>
              <w:pStyle w:val="P68B1DB1-Normal13"/>
              <w:spacing w:after="0" w:line="240" w:lineRule="auto"/>
              <w:textAlignment w:val="baseline"/>
              <w:rPr>
                <w:rFonts w:eastAsia="Times New Roman" w:cs="Times New Roman"/>
                <w:noProof/>
              </w:rPr>
            </w:pPr>
            <w:r>
              <w:rPr>
                <w:noProof/>
              </w:rPr>
              <w:t>ENISA on tehnyt lopullisten edunsaajien kanssa oikeudellisia rahoitussopimuksia, joiden määrä on tarpeen, jotta vähintään 50 prosenttia elpymis- ja palautumistukivälineen investoinneista voidaan käyttää tukivälinee</w:t>
            </w:r>
            <w:r>
              <w:rPr>
                <w:noProof/>
              </w:rPr>
              <w:t>seen (hallinnolliset maksut huomioon ottaen).</w:t>
            </w:r>
          </w:p>
        </w:tc>
      </w:tr>
      <w:tr w:rsidR="000E48CE" w14:paraId="5CF5B340" w14:textId="77777777">
        <w:trPr>
          <w:trHeight w:val="300"/>
        </w:trPr>
        <w:tc>
          <w:tcPr>
            <w:tcW w:w="846" w:type="dxa"/>
            <w:shd w:val="clear" w:color="auto" w:fill="C6EFCE"/>
          </w:tcPr>
          <w:p w14:paraId="697232E0" w14:textId="08C37CC3" w:rsidR="000E48CE" w:rsidRDefault="00FF4C4E">
            <w:pPr>
              <w:pStyle w:val="P68B1DB1-Normal13"/>
              <w:spacing w:after="0" w:line="240" w:lineRule="auto"/>
              <w:jc w:val="center"/>
              <w:textAlignment w:val="baseline"/>
              <w:rPr>
                <w:rFonts w:eastAsia="Times New Roman" w:cs="Times New Roman"/>
                <w:noProof/>
              </w:rPr>
            </w:pPr>
            <w:r>
              <w:rPr>
                <w:noProof/>
              </w:rPr>
              <w:t>L49</w:t>
            </w:r>
          </w:p>
        </w:tc>
        <w:tc>
          <w:tcPr>
            <w:tcW w:w="850" w:type="dxa"/>
            <w:shd w:val="clear" w:color="auto" w:fill="C6EFCE"/>
          </w:tcPr>
          <w:p w14:paraId="5D16A0FA" w14:textId="77777777" w:rsidR="000E48CE" w:rsidRDefault="00FF4C4E">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482A7C59"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20F140E5" w14:textId="2DF67F0A" w:rsidR="000E48CE" w:rsidRDefault="00FF4C4E">
            <w:pPr>
              <w:pStyle w:val="P68B1DB1-Normal13"/>
              <w:spacing w:after="0" w:line="240" w:lineRule="auto"/>
              <w:textAlignment w:val="baseline"/>
              <w:rPr>
                <w:rFonts w:eastAsia="Times New Roman" w:cs="Times New Roman"/>
                <w:noProof/>
              </w:rPr>
            </w:pPr>
            <w:r>
              <w:rPr>
                <w:noProof/>
              </w:rPr>
              <w:t>ENISAn yrittäjyys- ja pk-yritysrahasto – Lopullisten edunsaajien kanssa allekirjoitetut oikeudelliset sopimukset</w:t>
            </w:r>
          </w:p>
        </w:tc>
        <w:tc>
          <w:tcPr>
            <w:tcW w:w="1134" w:type="dxa"/>
            <w:shd w:val="clear" w:color="auto" w:fill="C6EFCE"/>
          </w:tcPr>
          <w:p w14:paraId="62534D82"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0D15689"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9F1853B" w14:textId="77777777" w:rsidR="000E48CE" w:rsidRDefault="00FF4C4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719122DD" w14:textId="77777777" w:rsidR="000E48CE" w:rsidRDefault="00FF4C4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67F370D8" w14:textId="73E31215"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013CF25A"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A2A1F0B" w14:textId="5DC84A80" w:rsidR="000E48CE" w:rsidRDefault="00FF4C4E">
            <w:pPr>
              <w:pStyle w:val="P68B1DB1-Normal13"/>
              <w:spacing w:after="0" w:line="240" w:lineRule="auto"/>
              <w:textAlignment w:val="baseline"/>
              <w:rPr>
                <w:rFonts w:eastAsia="Times New Roman" w:cs="Times New Roman"/>
                <w:noProof/>
              </w:rPr>
            </w:pPr>
            <w:r>
              <w:rPr>
                <w:noProof/>
              </w:rPr>
              <w:t xml:space="preserve">ENISA on tehnyt lopullisten edunsaajien </w:t>
            </w:r>
            <w:r>
              <w:rPr>
                <w:noProof/>
              </w:rPr>
              <w:t>kanssa oikeudellisia rahoitussopimuksia, joiden määrä on tarpeen, jotta elpymis- ja palautumistukivälineen investoinneista voidaan käyttää 100 prosenttia tukivälineeseen (hallinnolliset maksut huomioon ottaen). Vähintään 6,6 prosentilla tästä rahoituksesta</w:t>
            </w:r>
            <w:r>
              <w:rPr>
                <w:noProof/>
              </w:rPr>
              <w:t xml:space="preserve"> on edistettävä digitaalisia tavoitteita elpymis- ja palautumistukivälinettä koskevan asetuksen liitteessä VII esitettyä menetelmää käyttäen.</w:t>
            </w:r>
          </w:p>
        </w:tc>
      </w:tr>
      <w:tr w:rsidR="000E48CE" w14:paraId="349E1D53" w14:textId="77777777">
        <w:trPr>
          <w:trHeight w:val="300"/>
        </w:trPr>
        <w:tc>
          <w:tcPr>
            <w:tcW w:w="846" w:type="dxa"/>
            <w:shd w:val="clear" w:color="auto" w:fill="C6EFCE"/>
          </w:tcPr>
          <w:p w14:paraId="58EA83D0" w14:textId="3FA7A21E" w:rsidR="000E48CE" w:rsidRDefault="00FF4C4E">
            <w:pPr>
              <w:pStyle w:val="P68B1DB1-Normal13"/>
              <w:spacing w:after="0" w:line="240" w:lineRule="auto"/>
              <w:jc w:val="center"/>
              <w:textAlignment w:val="baseline"/>
              <w:rPr>
                <w:rFonts w:eastAsia="Times New Roman" w:cs="Times New Roman"/>
                <w:noProof/>
              </w:rPr>
            </w:pPr>
            <w:r>
              <w:rPr>
                <w:noProof/>
              </w:rPr>
              <w:t>L50</w:t>
            </w:r>
          </w:p>
        </w:tc>
        <w:tc>
          <w:tcPr>
            <w:tcW w:w="850" w:type="dxa"/>
            <w:shd w:val="clear" w:color="auto" w:fill="C6EFCE"/>
          </w:tcPr>
          <w:p w14:paraId="37CFB7C0" w14:textId="77777777" w:rsidR="000E48CE" w:rsidRDefault="00FF4C4E">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36C91DE3"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5C8C5ED6" w14:textId="67DEF979" w:rsidR="000E48CE" w:rsidRDefault="00FF4C4E">
            <w:pPr>
              <w:pStyle w:val="P68B1DB1-Normal13"/>
              <w:spacing w:after="0" w:line="240" w:lineRule="auto"/>
              <w:textAlignment w:val="baseline"/>
              <w:rPr>
                <w:rFonts w:eastAsia="Times New Roman" w:cs="Times New Roman"/>
                <w:noProof/>
              </w:rPr>
            </w:pPr>
            <w:r>
              <w:rPr>
                <w:noProof/>
              </w:rPr>
              <w:t xml:space="preserve">ENISAn yrittäjyys- ja pk-yritysrahasto – ministeriö on saattanut investoinnit päätökseen. </w:t>
            </w:r>
          </w:p>
        </w:tc>
        <w:tc>
          <w:tcPr>
            <w:tcW w:w="1134" w:type="dxa"/>
            <w:shd w:val="clear" w:color="auto" w:fill="C6EFCE"/>
          </w:tcPr>
          <w:p w14:paraId="101F1BA0" w14:textId="111AE4F7" w:rsidR="000E48CE" w:rsidRDefault="00FF4C4E">
            <w:pPr>
              <w:pStyle w:val="P68B1DB1-Normal13"/>
              <w:spacing w:after="0" w:line="240" w:lineRule="auto"/>
              <w:jc w:val="center"/>
              <w:textAlignment w:val="baseline"/>
              <w:rPr>
                <w:rFonts w:eastAsia="Times New Roman" w:cs="Times New Roman"/>
                <w:noProof/>
              </w:rPr>
            </w:pPr>
            <w:r>
              <w:rPr>
                <w:noProof/>
              </w:rPr>
              <w:t>Siirtotodistus</w:t>
            </w:r>
          </w:p>
        </w:tc>
        <w:tc>
          <w:tcPr>
            <w:tcW w:w="709" w:type="dxa"/>
            <w:shd w:val="clear" w:color="auto" w:fill="C6EFCE"/>
          </w:tcPr>
          <w:p w14:paraId="14738179" w14:textId="1A7183F3"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2E3AC936" w14:textId="2F0C0CD1"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045F6AF" w14:textId="6E7444D0"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1557CA" w14:textId="693999E0"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48D5AD69"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486A647E" w14:textId="70158327" w:rsidR="000E48CE" w:rsidRDefault="00FF4C4E">
            <w:pPr>
              <w:pStyle w:val="P68B1DB1-Normal13"/>
              <w:spacing w:after="0" w:line="240" w:lineRule="auto"/>
              <w:textAlignment w:val="baseline"/>
              <w:rPr>
                <w:rFonts w:eastAsia="Times New Roman" w:cs="Times New Roman"/>
                <w:noProof/>
              </w:rPr>
            </w:pPr>
            <w:r>
              <w:rPr>
                <w:noProof/>
              </w:rPr>
              <w:t xml:space="preserve">Espanja siirtää ENISAlle 303000000 euroa tukivälinettä varten. </w:t>
            </w:r>
          </w:p>
        </w:tc>
      </w:tr>
      <w:tr w:rsidR="000E48CE" w14:paraId="2F9F6FDF" w14:textId="77777777">
        <w:trPr>
          <w:trHeight w:val="300"/>
        </w:trPr>
        <w:tc>
          <w:tcPr>
            <w:tcW w:w="846" w:type="dxa"/>
            <w:shd w:val="clear" w:color="auto" w:fill="C6EFCE"/>
          </w:tcPr>
          <w:p w14:paraId="30D7D40B" w14:textId="7A0947B4" w:rsidR="000E48CE" w:rsidRDefault="00FF4C4E">
            <w:pPr>
              <w:pStyle w:val="P68B1DB1-Normal13"/>
              <w:spacing w:after="0" w:line="240" w:lineRule="auto"/>
              <w:jc w:val="center"/>
              <w:textAlignment w:val="baseline"/>
              <w:rPr>
                <w:rFonts w:eastAsia="Times New Roman" w:cs="Times New Roman"/>
                <w:noProof/>
              </w:rPr>
            </w:pPr>
            <w:r>
              <w:rPr>
                <w:noProof/>
              </w:rPr>
              <w:t>L51</w:t>
            </w:r>
          </w:p>
        </w:tc>
        <w:tc>
          <w:tcPr>
            <w:tcW w:w="850" w:type="dxa"/>
            <w:shd w:val="clear" w:color="auto" w:fill="C6EFCE"/>
          </w:tcPr>
          <w:p w14:paraId="62EE6A22"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6F6A86C5"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64C12D66" w14:textId="77777777" w:rsidR="000E48CE" w:rsidRDefault="00FF4C4E">
            <w:pPr>
              <w:pStyle w:val="P68B1DB1-Normal13"/>
              <w:spacing w:after="0" w:line="240" w:lineRule="auto"/>
              <w:textAlignment w:val="baseline"/>
              <w:rPr>
                <w:rFonts w:eastAsia="Times New Roman" w:cs="Times New Roman"/>
                <w:noProof/>
              </w:rPr>
            </w:pPr>
            <w:r>
              <w:rPr>
                <w:noProof/>
              </w:rPr>
              <w:t xml:space="preserve">Alueellinen selviytymiskyvyn rahasto – InvestEU: Espanjan hallituksen ja Euroopan komission välisen rahoitussopimuksen </w:t>
            </w:r>
            <w:r>
              <w:rPr>
                <w:noProof/>
              </w:rPr>
              <w:t>allekirjoittaminen</w:t>
            </w:r>
          </w:p>
        </w:tc>
        <w:tc>
          <w:tcPr>
            <w:tcW w:w="1134" w:type="dxa"/>
            <w:shd w:val="clear" w:color="auto" w:fill="C6EFCE"/>
          </w:tcPr>
          <w:p w14:paraId="61F78961" w14:textId="77777777" w:rsidR="000E48CE" w:rsidRDefault="00FF4C4E">
            <w:pPr>
              <w:pStyle w:val="P68B1DB1-Normal13"/>
              <w:spacing w:after="0" w:line="240" w:lineRule="auto"/>
              <w:jc w:val="center"/>
              <w:textAlignment w:val="baseline"/>
              <w:rPr>
                <w:rFonts w:eastAsia="Times New Roman" w:cs="Times New Roman"/>
                <w:noProof/>
              </w:rPr>
            </w:pPr>
            <w:r>
              <w:rPr>
                <w:noProof/>
              </w:rPr>
              <w:t>Rahoitusosuussopimuksen allekirjoittaminen</w:t>
            </w:r>
          </w:p>
        </w:tc>
        <w:tc>
          <w:tcPr>
            <w:tcW w:w="709" w:type="dxa"/>
            <w:shd w:val="clear" w:color="auto" w:fill="C6EFCE"/>
          </w:tcPr>
          <w:p w14:paraId="705E3A95"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9FA58FE"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4434F3A5"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E73E5F2" w14:textId="77777777"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F49490E" w14:textId="77777777" w:rsidR="000E48CE" w:rsidRDefault="00FF4C4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39849D9D" w14:textId="3C8A757A" w:rsidR="000E48CE" w:rsidRDefault="00FF4C4E">
            <w:pPr>
              <w:pStyle w:val="P68B1DB1-Normal13"/>
              <w:spacing w:after="0" w:line="240" w:lineRule="auto"/>
              <w:textAlignment w:val="baseline"/>
              <w:rPr>
                <w:rFonts w:eastAsia="Times New Roman" w:cs="Times New Roman"/>
                <w:noProof/>
              </w:rPr>
            </w:pPr>
            <w:r>
              <w:rPr>
                <w:noProof/>
              </w:rPr>
              <w:t>Espanjan hallituksen ja Euroopan komission välisen 500000000 euron rahoitussopimuksen allekirjoittaminen.</w:t>
            </w:r>
          </w:p>
        </w:tc>
      </w:tr>
      <w:tr w:rsidR="000E48CE" w14:paraId="77C8E513" w14:textId="77777777">
        <w:trPr>
          <w:trHeight w:val="300"/>
        </w:trPr>
        <w:tc>
          <w:tcPr>
            <w:tcW w:w="846" w:type="dxa"/>
            <w:shd w:val="clear" w:color="auto" w:fill="C6EFCE"/>
          </w:tcPr>
          <w:p w14:paraId="12937DB4" w14:textId="2F1CF206" w:rsidR="000E48CE" w:rsidRDefault="00FF4C4E">
            <w:pPr>
              <w:pStyle w:val="P68B1DB1-Normal13"/>
              <w:spacing w:after="0" w:line="240" w:lineRule="auto"/>
              <w:jc w:val="center"/>
              <w:textAlignment w:val="baseline"/>
              <w:rPr>
                <w:rFonts w:eastAsia="Times New Roman" w:cs="Times New Roman"/>
                <w:noProof/>
              </w:rPr>
            </w:pPr>
            <w:r>
              <w:rPr>
                <w:noProof/>
              </w:rPr>
              <w:t>L52</w:t>
            </w:r>
          </w:p>
        </w:tc>
        <w:tc>
          <w:tcPr>
            <w:tcW w:w="850" w:type="dxa"/>
            <w:shd w:val="clear" w:color="auto" w:fill="C6EFCE"/>
          </w:tcPr>
          <w:p w14:paraId="3F4A2501" w14:textId="6B565761"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1A7A5D33" w14:textId="0DFC98BA"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3562C17" w14:textId="0E3EEB6A" w:rsidR="000E48CE" w:rsidRDefault="00FF4C4E">
            <w:pPr>
              <w:pStyle w:val="P68B1DB1-Normal13"/>
              <w:spacing w:after="0" w:line="240" w:lineRule="auto"/>
              <w:textAlignment w:val="baseline"/>
              <w:rPr>
                <w:rFonts w:eastAsia="Times New Roman" w:cs="Times New Roman"/>
                <w:noProof/>
              </w:rPr>
            </w:pPr>
            <w:r>
              <w:rPr>
                <w:noProof/>
              </w:rPr>
              <w:t>Alueellinen selviytymiskyvyn rahasto – InvestEU: Vähintään 500</w:t>
            </w:r>
            <w:r>
              <w:rPr>
                <w:noProof/>
              </w:rPr>
              <w:t xml:space="preserve"> miljoonan euron rahoitus- tai investointitoimet, jotka on kohdennettu InvestEU-investointikomitean hyväksymään välineeseen.</w:t>
            </w:r>
          </w:p>
        </w:tc>
        <w:tc>
          <w:tcPr>
            <w:tcW w:w="1134" w:type="dxa"/>
            <w:shd w:val="clear" w:color="auto" w:fill="C6EFCE"/>
          </w:tcPr>
          <w:p w14:paraId="7BE661E4"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0466B7A" w14:textId="0EC3724E"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389606B4" w14:textId="2805ABA1" w:rsidR="000E48CE" w:rsidRDefault="00FF4C4E">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6E8C09FE" w14:textId="75923D23" w:rsidR="000E48CE" w:rsidRDefault="00FF4C4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0D6856FA" w14:textId="61D11617"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76DD787A"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2963E159" w14:textId="1ED9FB34" w:rsidR="000E48CE" w:rsidRDefault="00FF4C4E">
            <w:pPr>
              <w:pStyle w:val="P68B1DB1-Normal13"/>
              <w:spacing w:after="0" w:line="240" w:lineRule="auto"/>
              <w:textAlignment w:val="baseline"/>
              <w:rPr>
                <w:rFonts w:eastAsia="Times New Roman" w:cs="Times New Roman"/>
                <w:noProof/>
              </w:rPr>
            </w:pPr>
            <w:r>
              <w:rPr>
                <w:noProof/>
              </w:rPr>
              <w:t xml:space="preserve">InvestEU-investointikomitea on hyväksynyt rahoitus- tai investointitoimet, joiden osuus </w:t>
            </w:r>
            <w:r>
              <w:rPr>
                <w:noProof/>
              </w:rPr>
              <w:t>elpymis- ja palautumistukivälineen kokonaismäärärahoista on 100 prosenttia.</w:t>
            </w:r>
          </w:p>
        </w:tc>
      </w:tr>
      <w:tr w:rsidR="000E48CE" w14:paraId="3B3C7B6B" w14:textId="77777777">
        <w:trPr>
          <w:trHeight w:val="1085"/>
        </w:trPr>
        <w:tc>
          <w:tcPr>
            <w:tcW w:w="846" w:type="dxa"/>
            <w:shd w:val="clear" w:color="auto" w:fill="C6EFCE"/>
          </w:tcPr>
          <w:p w14:paraId="7109109F" w14:textId="58AD46B8" w:rsidR="000E48CE" w:rsidRDefault="00FF4C4E">
            <w:pPr>
              <w:pStyle w:val="P68B1DB1-Normal13"/>
              <w:spacing w:after="0" w:line="240" w:lineRule="auto"/>
              <w:jc w:val="center"/>
              <w:textAlignment w:val="baseline"/>
              <w:rPr>
                <w:rFonts w:eastAsia="Times New Roman" w:cs="Times New Roman"/>
                <w:noProof/>
              </w:rPr>
            </w:pPr>
            <w:bookmarkStart w:id="47" w:name="_Hlk141708313"/>
            <w:r>
              <w:rPr>
                <w:noProof/>
              </w:rPr>
              <w:t>L53</w:t>
            </w:r>
          </w:p>
        </w:tc>
        <w:tc>
          <w:tcPr>
            <w:tcW w:w="850" w:type="dxa"/>
            <w:shd w:val="clear" w:color="auto" w:fill="C6EFCE"/>
          </w:tcPr>
          <w:p w14:paraId="03CF9462"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4D7C2760"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2EFF7B6C" w14:textId="0F4FFA0A" w:rsidR="000E48CE" w:rsidRDefault="00FF4C4E">
            <w:pPr>
              <w:pStyle w:val="P68B1DB1-Normal13"/>
              <w:spacing w:after="0" w:line="240" w:lineRule="auto"/>
              <w:textAlignment w:val="baseline"/>
              <w:rPr>
                <w:rFonts w:eastAsia="Times New Roman" w:cs="Times New Roman"/>
                <w:noProof/>
              </w:rPr>
            </w:pPr>
            <w:r>
              <w:rPr>
                <w:noProof/>
              </w:rPr>
              <w:t xml:space="preserve">Alueellinen selviytymiskyvyn kehittämisrahasto: Täytäntöönpanosopimus </w:t>
            </w:r>
          </w:p>
        </w:tc>
        <w:tc>
          <w:tcPr>
            <w:tcW w:w="1134" w:type="dxa"/>
            <w:shd w:val="clear" w:color="auto" w:fill="C6EFCE"/>
          </w:tcPr>
          <w:p w14:paraId="1A2EA724" w14:textId="0A3815AC" w:rsidR="000E48CE" w:rsidRDefault="00FF4C4E">
            <w:pPr>
              <w:pStyle w:val="P68B1DB1-Normal13"/>
              <w:spacing w:after="0" w:line="240" w:lineRule="auto"/>
              <w:jc w:val="center"/>
              <w:textAlignment w:val="baseline"/>
              <w:rPr>
                <w:rFonts w:eastAsia="Times New Roman" w:cs="Times New Roman"/>
                <w:noProof/>
              </w:rPr>
            </w:pPr>
            <w:r>
              <w:rPr>
                <w:noProof/>
              </w:rPr>
              <w:t>Täytäntöönpanosopimuksen voimaantulo</w:t>
            </w:r>
          </w:p>
        </w:tc>
        <w:tc>
          <w:tcPr>
            <w:tcW w:w="709" w:type="dxa"/>
            <w:shd w:val="clear" w:color="auto" w:fill="C6EFCE"/>
          </w:tcPr>
          <w:p w14:paraId="0ACEDFCE" w14:textId="77777777" w:rsidR="000E48CE" w:rsidRDefault="00FF4C4E">
            <w:pPr>
              <w:pStyle w:val="P68B1DB1-Normal13"/>
              <w:spacing w:after="0" w:line="240" w:lineRule="auto"/>
              <w:jc w:val="center"/>
              <w:textAlignment w:val="baseline"/>
              <w:rPr>
                <w:rFonts w:eastAsia="Times New Roman" w:cs="Times New Roman"/>
                <w:noProof/>
              </w:rPr>
            </w:pPr>
            <w:r>
              <w:rPr>
                <w:noProof/>
              </w:rPr>
              <w:t xml:space="preserve"> </w:t>
            </w:r>
          </w:p>
        </w:tc>
        <w:tc>
          <w:tcPr>
            <w:tcW w:w="708" w:type="dxa"/>
            <w:shd w:val="clear" w:color="auto" w:fill="C6EFCE"/>
          </w:tcPr>
          <w:p w14:paraId="3D6C9F81" w14:textId="77777777" w:rsidR="000E48CE" w:rsidRDefault="00FF4C4E">
            <w:pPr>
              <w:pStyle w:val="P68B1DB1-Normal13"/>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0B2FDE26" w14:textId="77777777" w:rsidR="000E48CE" w:rsidRDefault="00FF4C4E">
            <w:pPr>
              <w:pStyle w:val="P68B1DB1-Normal13"/>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466A19D1" w14:textId="77777777"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6F6D41BC" w14:textId="77777777" w:rsidR="000E48CE" w:rsidRDefault="00FF4C4E">
            <w:pPr>
              <w:pStyle w:val="P68B1DB1-Normal13"/>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4D7FCF31" w14:textId="533498A4" w:rsidR="000E48CE" w:rsidRDefault="00FF4C4E">
            <w:pPr>
              <w:pStyle w:val="P68B1DB1-Normal13"/>
              <w:spacing w:after="0" w:line="240" w:lineRule="auto"/>
              <w:textAlignment w:val="baseline"/>
              <w:rPr>
                <w:rFonts w:eastAsia="Times New Roman" w:cs="Times New Roman"/>
                <w:noProof/>
              </w:rPr>
            </w:pPr>
            <w:r>
              <w:rPr>
                <w:noProof/>
              </w:rPr>
              <w:t xml:space="preserve">Täytäntöönpanosopimuksen voimaantulo </w:t>
            </w:r>
          </w:p>
        </w:tc>
      </w:tr>
      <w:tr w:rsidR="000E48CE" w14:paraId="362638EB" w14:textId="77777777">
        <w:trPr>
          <w:trHeight w:val="300"/>
        </w:trPr>
        <w:tc>
          <w:tcPr>
            <w:tcW w:w="846" w:type="dxa"/>
            <w:shd w:val="clear" w:color="auto" w:fill="C6EFCE"/>
          </w:tcPr>
          <w:p w14:paraId="1A5791F0" w14:textId="4751708F" w:rsidR="000E48CE" w:rsidRDefault="00FF4C4E">
            <w:pPr>
              <w:pStyle w:val="P68B1DB1-Normal13"/>
              <w:spacing w:after="0" w:line="240" w:lineRule="auto"/>
              <w:jc w:val="center"/>
              <w:textAlignment w:val="baseline"/>
              <w:rPr>
                <w:rFonts w:eastAsia="Times New Roman" w:cs="Times New Roman"/>
                <w:noProof/>
              </w:rPr>
            </w:pPr>
            <w:r>
              <w:rPr>
                <w:noProof/>
              </w:rPr>
              <w:t>L54</w:t>
            </w:r>
          </w:p>
        </w:tc>
        <w:tc>
          <w:tcPr>
            <w:tcW w:w="850" w:type="dxa"/>
            <w:shd w:val="clear" w:color="auto" w:fill="C6EFCE"/>
          </w:tcPr>
          <w:p w14:paraId="2C866467"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AC69072"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6EA034C3" w14:textId="186093BA" w:rsidR="000E48CE" w:rsidRDefault="00FF4C4E">
            <w:pPr>
              <w:pStyle w:val="P68B1DB1-Normal13"/>
              <w:spacing w:after="0" w:line="240" w:lineRule="auto"/>
              <w:textAlignment w:val="baseline"/>
              <w:rPr>
                <w:rFonts w:eastAsia="Times New Roman" w:cs="Times New Roman"/>
                <w:noProof/>
              </w:rPr>
            </w:pPr>
            <w:r>
              <w:rPr>
                <w:noProof/>
              </w:rPr>
              <w:t>Alueellinen selviytymiskyvyn kehittämisrahasto – Muut budjettikohdat: Lopullisten edunsaajien (mukaan lukien pääomarahastot) kanssa allekirjoitetut oikeudelliset sopimukset (I)</w:t>
            </w:r>
          </w:p>
        </w:tc>
        <w:tc>
          <w:tcPr>
            <w:tcW w:w="1134" w:type="dxa"/>
            <w:shd w:val="clear" w:color="auto" w:fill="C6EFCE"/>
          </w:tcPr>
          <w:p w14:paraId="13150465" w14:textId="0CF651EC"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564B5E" w14:textId="6DC0F5AF"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1196233A" w14:textId="77777777" w:rsidR="000E48CE" w:rsidRDefault="00FF4C4E">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47D225E3" w14:textId="2D4969E4" w:rsidR="000E48CE" w:rsidRDefault="00FF4C4E">
            <w:pPr>
              <w:pStyle w:val="P68B1DB1-Normal13"/>
              <w:spacing w:after="0" w:line="240" w:lineRule="auto"/>
              <w:jc w:val="right"/>
              <w:textAlignment w:val="baseline"/>
              <w:rPr>
                <w:rFonts w:eastAsia="Times New Roman" w:cs="Times New Roman"/>
                <w:noProof/>
              </w:rPr>
            </w:pPr>
            <w:r>
              <w:rPr>
                <w:noProof/>
              </w:rPr>
              <w:t>15 %</w:t>
            </w:r>
          </w:p>
        </w:tc>
        <w:tc>
          <w:tcPr>
            <w:tcW w:w="709" w:type="dxa"/>
            <w:shd w:val="clear" w:color="auto" w:fill="C6EFCE"/>
          </w:tcPr>
          <w:p w14:paraId="640449AF" w14:textId="77777777"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138B9EB6" w14:textId="77777777" w:rsidR="000E48CE" w:rsidRDefault="00FF4C4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6E546150" w14:textId="5EC48BFA" w:rsidR="000E48CE" w:rsidRDefault="00FF4C4E">
            <w:pPr>
              <w:pStyle w:val="P68B1DB1-Normal13"/>
              <w:spacing w:after="0" w:line="240" w:lineRule="auto"/>
              <w:textAlignment w:val="baseline"/>
              <w:rPr>
                <w:rFonts w:eastAsia="Times New Roman" w:cs="Times New Roman"/>
                <w:noProof/>
              </w:rPr>
            </w:pPr>
            <w:r>
              <w:rPr>
                <w:noProof/>
              </w:rPr>
              <w:t xml:space="preserve">EIP-ryhmä ja EIP-ryhmän valitsemat välittäjät ovat </w:t>
            </w:r>
            <w:r>
              <w:rPr>
                <w:noProof/>
              </w:rPr>
              <w:t>tehneet lopullisten edunsaajien (pääomarahastot mukaan lukien) kanssa oikeudellisia rahoitussopimuksia, joiden määrä on tarpeen, jotta vähintään 25 prosenttia elpymis- ja palautumistukivälineen investoinneista muihin budjettikohtiin voidaan käyttää (hallin</w:t>
            </w:r>
            <w:r>
              <w:rPr>
                <w:noProof/>
              </w:rPr>
              <w:t>nolliset maksut huomioon ottaen). Vähintään 2,5 prosenttia rahoituksesta vastaa pääomarahastojen kanssa allekirjoitettuja rahoitussopimuksia ja vähintään 60 prosenttia rahoitussopimuksia, jotka on allekirjoitettu lopullisten tuensaajien kanssa kaikista mui</w:t>
            </w:r>
            <w:r>
              <w:rPr>
                <w:noProof/>
              </w:rPr>
              <w:t>sta sijoitustuotteista (mukaan lukien investointikehyksen suorat pääomasijoitukset). EIP-ryhmä laatii elpymis- ja palautumistukivälinettä koskevan asetuksen liitteessä VI esitetyn menetelmän mukaisesti kertomuksen, jossa esitetään yksityiskohtaisesti, kuin</w:t>
            </w:r>
            <w:r>
              <w:rPr>
                <w:noProof/>
              </w:rPr>
              <w:t>ka suuri prosenttiosuus tästä rahoituksesta edistää ilmastotavoitteiden saavuttamista.</w:t>
            </w:r>
          </w:p>
        </w:tc>
      </w:tr>
      <w:tr w:rsidR="000E48CE" w14:paraId="4292062F" w14:textId="77777777">
        <w:trPr>
          <w:trHeight w:val="300"/>
        </w:trPr>
        <w:tc>
          <w:tcPr>
            <w:tcW w:w="846" w:type="dxa"/>
            <w:shd w:val="clear" w:color="auto" w:fill="C6EFCE"/>
          </w:tcPr>
          <w:p w14:paraId="736256C6" w14:textId="6899A111" w:rsidR="000E48CE" w:rsidRDefault="00FF4C4E">
            <w:pPr>
              <w:pStyle w:val="P68B1DB1-Normal13"/>
              <w:spacing w:after="0" w:line="240" w:lineRule="auto"/>
              <w:jc w:val="center"/>
              <w:textAlignment w:val="baseline"/>
              <w:rPr>
                <w:rFonts w:eastAsia="Times New Roman" w:cs="Times New Roman"/>
                <w:noProof/>
              </w:rPr>
            </w:pPr>
            <w:r>
              <w:rPr>
                <w:noProof/>
              </w:rPr>
              <w:t>L55</w:t>
            </w:r>
          </w:p>
        </w:tc>
        <w:tc>
          <w:tcPr>
            <w:tcW w:w="850" w:type="dxa"/>
            <w:shd w:val="clear" w:color="auto" w:fill="C6EFCE"/>
          </w:tcPr>
          <w:p w14:paraId="1EA7EE1B"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2B66452C"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D7867C7" w14:textId="6286EFE1" w:rsidR="000E48CE" w:rsidRDefault="00FF4C4E">
            <w:pPr>
              <w:pStyle w:val="P68B1DB1-Normal13"/>
              <w:spacing w:after="0" w:line="240" w:lineRule="auto"/>
              <w:textAlignment w:val="baseline"/>
              <w:rPr>
                <w:rFonts w:eastAsia="Times New Roman" w:cs="Times New Roman"/>
                <w:noProof/>
              </w:rPr>
            </w:pPr>
            <w:r>
              <w:rPr>
                <w:noProof/>
              </w:rPr>
              <w:t xml:space="preserve">Alueellinen selviytymiskyvyn kehittämisrahasto – Muut budjettikohdat: Lopullisten edunsaajien (mukaan lukien pääomarahastot) kanssa allekirjoitetut </w:t>
            </w:r>
            <w:r>
              <w:rPr>
                <w:noProof/>
              </w:rPr>
              <w:t>oikeudelliset sopimukset (II)</w:t>
            </w:r>
          </w:p>
        </w:tc>
        <w:tc>
          <w:tcPr>
            <w:tcW w:w="1134" w:type="dxa"/>
            <w:shd w:val="clear" w:color="auto" w:fill="C6EFCE"/>
          </w:tcPr>
          <w:p w14:paraId="5F31F902" w14:textId="06DB7B15"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B2AB904" w14:textId="2D0D8A21"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51088886" w14:textId="74701B21" w:rsidR="000E48CE" w:rsidRDefault="00FF4C4E">
            <w:pPr>
              <w:pStyle w:val="P68B1DB1-Normal13"/>
              <w:spacing w:after="0" w:line="240" w:lineRule="auto"/>
              <w:jc w:val="right"/>
              <w:textAlignment w:val="baseline"/>
              <w:rPr>
                <w:rFonts w:eastAsia="Times New Roman" w:cs="Times New Roman"/>
                <w:noProof/>
              </w:rPr>
            </w:pPr>
            <w:r>
              <w:rPr>
                <w:noProof/>
              </w:rPr>
              <w:t>15 %</w:t>
            </w:r>
          </w:p>
        </w:tc>
        <w:tc>
          <w:tcPr>
            <w:tcW w:w="709" w:type="dxa"/>
            <w:shd w:val="clear" w:color="auto" w:fill="C6EFCE"/>
          </w:tcPr>
          <w:p w14:paraId="4F6A4DC0" w14:textId="37FA3D77" w:rsidR="000E48CE" w:rsidRDefault="00FF4C4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C35AD1F" w14:textId="77777777"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723F4717"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0972C7A" w14:textId="2F98D166" w:rsidR="000E48CE" w:rsidRDefault="00FF4C4E">
            <w:pPr>
              <w:pStyle w:val="P68B1DB1-Normal13"/>
              <w:spacing w:after="0" w:line="240" w:lineRule="auto"/>
              <w:textAlignment w:val="baseline"/>
              <w:rPr>
                <w:rFonts w:eastAsia="Times New Roman" w:cs="Times New Roman"/>
                <w:noProof/>
              </w:rPr>
            </w:pPr>
            <w:r>
              <w:rPr>
                <w:noProof/>
              </w:rPr>
              <w:t>EIP-ryhmä ja EIP-ryhmän valitsemat välittäjät ovat tehneet lopullisten edunsaajien (pääomarahastot mukaan lukien) kanssa oikeudellisia rahoitussopimuksia, joiden määrä on tarpeen, jotta vähintään 50 prosent</w:t>
            </w:r>
            <w:r>
              <w:rPr>
                <w:noProof/>
              </w:rPr>
              <w:t>tia elpymis- ja palautumistukivälineen investoinneista muihin budjettikohtiin voidaan käyttää (hallintopalkkiot huomioon ottaen). Vähintään 2,5 prosenttia rahoituksesta vastaa pääomarahastojen kanssa allekirjoitettuja rahoitussopimuksia ja vähintään 60 pro</w:t>
            </w:r>
            <w:r>
              <w:rPr>
                <w:noProof/>
              </w:rPr>
              <w:t>senttia rahoitussopimuksia, jotka on allekirjoitettu lopullisten tuensaajien kanssa kaikista muista sijoitustuotteista (mukaan lukien investointikehyksen suorat pääomasijoitukset). EIP-ryhmä laatii elpymis- ja palautumistukivälinettä koskevan asetuksen lii</w:t>
            </w:r>
            <w:r>
              <w:rPr>
                <w:noProof/>
              </w:rPr>
              <w:t>tteessä VI esitetyn menetelmän mukaisesti kertomuksen, jossa esitetään yksityiskohtaisesti, kuinka suuri prosenttiosuus tästä rahoituksesta edistää ilmastotavoitteiden saavuttamista.</w:t>
            </w:r>
          </w:p>
        </w:tc>
      </w:tr>
      <w:tr w:rsidR="000E48CE" w14:paraId="791776F7" w14:textId="77777777">
        <w:trPr>
          <w:trHeight w:val="300"/>
        </w:trPr>
        <w:tc>
          <w:tcPr>
            <w:tcW w:w="846" w:type="dxa"/>
            <w:shd w:val="clear" w:color="auto" w:fill="C6EFCE"/>
          </w:tcPr>
          <w:p w14:paraId="770405F3" w14:textId="6E55B292" w:rsidR="000E48CE" w:rsidRDefault="00FF4C4E">
            <w:pPr>
              <w:pStyle w:val="P68B1DB1-Normal13"/>
              <w:spacing w:after="0" w:line="240" w:lineRule="auto"/>
              <w:jc w:val="center"/>
              <w:textAlignment w:val="baseline"/>
              <w:rPr>
                <w:rFonts w:eastAsia="Times New Roman" w:cs="Times New Roman"/>
                <w:noProof/>
              </w:rPr>
            </w:pPr>
            <w:r>
              <w:rPr>
                <w:noProof/>
              </w:rPr>
              <w:t>L56</w:t>
            </w:r>
          </w:p>
        </w:tc>
        <w:tc>
          <w:tcPr>
            <w:tcW w:w="850" w:type="dxa"/>
            <w:shd w:val="clear" w:color="auto" w:fill="C6EFCE"/>
          </w:tcPr>
          <w:p w14:paraId="70652E84"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74B665E0"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146F402F" w14:textId="36A8DFCD" w:rsidR="000E48CE" w:rsidRDefault="00FF4C4E">
            <w:pPr>
              <w:pStyle w:val="P68B1DB1-Normal13"/>
              <w:spacing w:after="0" w:line="240" w:lineRule="auto"/>
              <w:textAlignment w:val="baseline"/>
              <w:rPr>
                <w:rFonts w:eastAsia="Times New Roman" w:cs="Times New Roman"/>
                <w:noProof/>
              </w:rPr>
            </w:pPr>
            <w:r>
              <w:rPr>
                <w:noProof/>
              </w:rPr>
              <w:t>Alueellinen selviytymiskyvyn kehittämisrahasto – muut budjettikohdat: Lopullisten edunsaajien (mukaan lukien pääomarahastot) kanssa allekirjoitetut oikeudelliset sopimukset (III)</w:t>
            </w:r>
          </w:p>
        </w:tc>
        <w:tc>
          <w:tcPr>
            <w:tcW w:w="1134" w:type="dxa"/>
            <w:shd w:val="clear" w:color="auto" w:fill="C6EFCE"/>
          </w:tcPr>
          <w:p w14:paraId="0AFDFDA8" w14:textId="172C6FB3"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CF8BA72" w14:textId="1EC5ED4A"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7D158BE4" w14:textId="2A2CE4E5" w:rsidR="000E48CE" w:rsidRDefault="00FF4C4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EA499EC" w14:textId="593576DE" w:rsidR="000E48CE" w:rsidRDefault="00FF4C4E">
            <w:pPr>
              <w:pStyle w:val="P68B1DB1-Normal13"/>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4BB1C262" w14:textId="77777777"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D7B06A9"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73BB7229" w14:textId="40FBFE87" w:rsidR="000E48CE" w:rsidRDefault="00FF4C4E">
            <w:pPr>
              <w:pStyle w:val="P68B1DB1-Normal13"/>
              <w:spacing w:after="0" w:line="240" w:lineRule="auto"/>
              <w:textAlignment w:val="baseline"/>
              <w:rPr>
                <w:rFonts w:eastAsia="Times New Roman" w:cs="Times New Roman"/>
                <w:noProof/>
              </w:rPr>
            </w:pPr>
            <w:r>
              <w:rPr>
                <w:noProof/>
              </w:rPr>
              <w:t>EIP-ryhmä ja EIP-ryhmän valitsemat välittäjät ovat tehnee</w:t>
            </w:r>
            <w:r>
              <w:rPr>
                <w:noProof/>
              </w:rPr>
              <w:t>t lopullisten edunsaajien (pääomarahastot mukaan lukien) kanssa oikeudellisia rahoitussopimuksia, joiden määrä on tarpeen, jotta vähintään 75 prosenttia elpymis- ja palautumistukivälineen investoinneista muihin budjettikohtiin voidaan käyttää (hallintopalk</w:t>
            </w:r>
            <w:r>
              <w:rPr>
                <w:noProof/>
              </w:rPr>
              <w:t>kiot huomioon ottaen). Vähintään 2,5 prosenttia rahoituksesta vastaa pääomarahastojen kanssa allekirjoitettuja rahoitussopimuksia ja vähintään 60 prosenttia rahoitussopimuksia, jotka on allekirjoitettu lopullisten tuensaajien kanssa kaikista muista sijoitu</w:t>
            </w:r>
            <w:r>
              <w:rPr>
                <w:noProof/>
              </w:rPr>
              <w:t>stuotteista (mukaan lukien investointikehyksen suorat pääomasijoitukset).  EIP-ryhmä laatii elpymis- ja palautumistukivälinettä koskevan asetuksen liitteessä VI esitetyn menetelmän mukaisesti kertomuksen, jossa esitetään yksityiskohtaisesti, kuinka suuri p</w:t>
            </w:r>
            <w:r>
              <w:rPr>
                <w:noProof/>
              </w:rPr>
              <w:t>rosenttiosuus tästä rahoituksesta edistää ilmastotavoitteiden saavuttamista.</w:t>
            </w:r>
          </w:p>
        </w:tc>
      </w:tr>
      <w:tr w:rsidR="000E48CE" w14:paraId="05D9E365" w14:textId="77777777">
        <w:trPr>
          <w:trHeight w:val="300"/>
        </w:trPr>
        <w:tc>
          <w:tcPr>
            <w:tcW w:w="846" w:type="dxa"/>
            <w:shd w:val="clear" w:color="auto" w:fill="C6EFCE"/>
          </w:tcPr>
          <w:p w14:paraId="143BED7A" w14:textId="3590908E" w:rsidR="000E48CE" w:rsidRDefault="00FF4C4E">
            <w:pPr>
              <w:pStyle w:val="P68B1DB1-Normal13"/>
              <w:spacing w:after="0" w:line="240" w:lineRule="auto"/>
              <w:jc w:val="center"/>
              <w:textAlignment w:val="baseline"/>
              <w:rPr>
                <w:rFonts w:eastAsia="Times New Roman" w:cs="Times New Roman"/>
                <w:noProof/>
              </w:rPr>
            </w:pPr>
            <w:r>
              <w:rPr>
                <w:noProof/>
              </w:rPr>
              <w:t>L57</w:t>
            </w:r>
          </w:p>
        </w:tc>
        <w:tc>
          <w:tcPr>
            <w:tcW w:w="850" w:type="dxa"/>
            <w:shd w:val="clear" w:color="auto" w:fill="C6EFCE"/>
          </w:tcPr>
          <w:p w14:paraId="5A120BA7"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0155F790"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5A070662" w14:textId="184B347B" w:rsidR="000E48CE" w:rsidRDefault="00FF4C4E">
            <w:pPr>
              <w:pStyle w:val="P68B1DB1-Normal13"/>
              <w:spacing w:after="0" w:line="240" w:lineRule="auto"/>
              <w:textAlignment w:val="baseline"/>
              <w:rPr>
                <w:rFonts w:eastAsia="Times New Roman" w:cs="Times New Roman"/>
                <w:noProof/>
              </w:rPr>
            </w:pPr>
            <w:r>
              <w:rPr>
                <w:noProof/>
              </w:rPr>
              <w:t xml:space="preserve">Alueellinen selviytymiskyvyn kehittämisrahasto – muut budjettikohdat: Lopullisten edunsaajien (mukaan lukien pääomarahastot) kanssa allekirjoitetut oikeudelliset </w:t>
            </w:r>
            <w:r>
              <w:rPr>
                <w:noProof/>
              </w:rPr>
              <w:t>sopimukset (IV)</w:t>
            </w:r>
          </w:p>
        </w:tc>
        <w:tc>
          <w:tcPr>
            <w:tcW w:w="1134" w:type="dxa"/>
            <w:shd w:val="clear" w:color="auto" w:fill="C6EFCE"/>
          </w:tcPr>
          <w:p w14:paraId="5A8CCAD9" w14:textId="7E8BD2A5"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664EC5B0" w14:textId="551D045F"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7702EF7D" w14:textId="553D87CD" w:rsidR="000E48CE" w:rsidRDefault="00FF4C4E">
            <w:pPr>
              <w:pStyle w:val="P68B1DB1-Normal13"/>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46AA8698" w14:textId="3B25FE1D" w:rsidR="000E48CE" w:rsidRDefault="00FF4C4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16FA5C8C" w14:textId="0BCDAFE3"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1DBD2CD8"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7D6E26F8" w14:textId="13BB85B1" w:rsidR="000E48CE" w:rsidRDefault="00FF4C4E">
            <w:pPr>
              <w:pStyle w:val="P68B1DB1-Normal13"/>
              <w:spacing w:after="0" w:line="240" w:lineRule="auto"/>
              <w:textAlignment w:val="baseline"/>
              <w:rPr>
                <w:rFonts w:eastAsia="Times New Roman" w:cs="Times New Roman"/>
                <w:noProof/>
              </w:rPr>
            </w:pPr>
            <w:r>
              <w:rPr>
                <w:noProof/>
              </w:rPr>
              <w:t>EIP-ryhmä ja EIP-ryhmän valitsemat välittäjät ovat tehneet lopullisten edunsaajien (pääomarahastot mukaan lukien) kanssa oikeudellisia rahoitussopimuksia, joiden määrä on tarpeen, jotta elpymis- ja pa</w:t>
            </w:r>
            <w:r>
              <w:rPr>
                <w:noProof/>
              </w:rPr>
              <w:t>lautumistukivälineen investoinneista voidaan käyttää 100 prosenttia muihin budjettikohtiin (hallinnolliset maksut huomioon ottaen). Vähintään 2,5 prosenttia rahoituksesta vastaa pääomarahastojen kanssa allekirjoitettuja rahoitussopimuksia ja vähintään 60 p</w:t>
            </w:r>
            <w:r>
              <w:rPr>
                <w:noProof/>
              </w:rPr>
              <w:t>rosenttia rahoitussopimuksia, jotka on allekirjoitettu lopullisten tuensaajien kanssa kaikista muista sijoitustuotteista (mukaan lukien investointikehyksen suorat pääomasijoitukset). EIP-ryhmä laatii elpymis- ja palautumistukivälinettä koskevan asetuksen l</w:t>
            </w:r>
            <w:r>
              <w:rPr>
                <w:noProof/>
              </w:rPr>
              <w:t>iitteessä VI esitetyn menetelmän mukaisesti kertomuksen, jossa esitetään yksityiskohtaisesti, kuinka suuri prosenttiosuus tästä rahoituksesta edistää ilmastotavoitteiden saavuttamista.</w:t>
            </w:r>
          </w:p>
        </w:tc>
      </w:tr>
      <w:tr w:rsidR="000E48CE" w14:paraId="06A35F8D" w14:textId="77777777">
        <w:trPr>
          <w:trHeight w:val="417"/>
        </w:trPr>
        <w:tc>
          <w:tcPr>
            <w:tcW w:w="846" w:type="dxa"/>
            <w:shd w:val="clear" w:color="auto" w:fill="C6EFCE"/>
          </w:tcPr>
          <w:p w14:paraId="12F5515E" w14:textId="01698D97" w:rsidR="000E48CE" w:rsidRDefault="00FF4C4E">
            <w:pPr>
              <w:pStyle w:val="P68B1DB1-Normal13"/>
              <w:spacing w:after="0" w:line="240" w:lineRule="auto"/>
              <w:jc w:val="center"/>
              <w:textAlignment w:val="baseline"/>
              <w:rPr>
                <w:rFonts w:eastAsia="Times New Roman" w:cs="Times New Roman"/>
                <w:noProof/>
              </w:rPr>
            </w:pPr>
            <w:r>
              <w:rPr>
                <w:noProof/>
              </w:rPr>
              <w:t>L58</w:t>
            </w:r>
          </w:p>
        </w:tc>
        <w:tc>
          <w:tcPr>
            <w:tcW w:w="850" w:type="dxa"/>
            <w:shd w:val="clear" w:color="auto" w:fill="C6EFCE"/>
          </w:tcPr>
          <w:p w14:paraId="683F350C"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5BE30C83"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3063E0CC" w14:textId="6EC4301B" w:rsidR="000E48CE" w:rsidRDefault="00FF4C4E">
            <w:pPr>
              <w:pStyle w:val="P68B1DB1-Normal13"/>
              <w:spacing w:after="0" w:line="240" w:lineRule="auto"/>
              <w:textAlignment w:val="baseline"/>
              <w:rPr>
                <w:rFonts w:eastAsia="Times New Roman" w:cs="Times New Roman"/>
                <w:noProof/>
              </w:rPr>
            </w:pPr>
            <w:r>
              <w:rPr>
                <w:noProof/>
              </w:rPr>
              <w:t xml:space="preserve">Alueellinen selviytymiskyvyn kehittämisrahasto – suora </w:t>
            </w:r>
            <w:r>
              <w:rPr>
                <w:noProof/>
              </w:rPr>
              <w:t>julkinen linja: Lopullisten edunsaajien kanssa allekirjoitetut oikeudelliset sopimukset (I)</w:t>
            </w:r>
          </w:p>
        </w:tc>
        <w:tc>
          <w:tcPr>
            <w:tcW w:w="1134" w:type="dxa"/>
            <w:shd w:val="clear" w:color="auto" w:fill="C6EFCE"/>
          </w:tcPr>
          <w:p w14:paraId="02B3B879" w14:textId="391F8EEA"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3B89C93" w14:textId="6D36023C"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1C5B8A19" w14:textId="77777777" w:rsidR="000E48CE" w:rsidRDefault="00FF4C4E">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7ECDB1A0" w14:textId="53352305" w:rsidR="000E48CE" w:rsidRDefault="00FF4C4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4245172" w14:textId="77777777" w:rsidR="000E48CE" w:rsidRDefault="00FF4C4E">
            <w:pPr>
              <w:pStyle w:val="P68B1DB1-Normal13"/>
              <w:spacing w:after="0" w:line="240" w:lineRule="auto"/>
              <w:jc w:val="center"/>
              <w:textAlignment w:val="baseline"/>
              <w:rPr>
                <w:rFonts w:eastAsia="Times New Roman" w:cs="Times New Roman"/>
                <w:noProof/>
              </w:rPr>
            </w:pPr>
            <w:r>
              <w:rPr>
                <w:noProof/>
              </w:rPr>
              <w:t>Q4</w:t>
            </w:r>
          </w:p>
        </w:tc>
        <w:tc>
          <w:tcPr>
            <w:tcW w:w="709" w:type="dxa"/>
            <w:shd w:val="clear" w:color="auto" w:fill="C6EFCE"/>
          </w:tcPr>
          <w:p w14:paraId="705541E0" w14:textId="77777777" w:rsidR="000E48CE" w:rsidRDefault="00FF4C4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11CD28D0" w14:textId="1D461C85" w:rsidR="000E48CE" w:rsidRDefault="00FF4C4E">
            <w:pPr>
              <w:pStyle w:val="P68B1DB1-Normal13"/>
              <w:spacing w:after="0" w:line="240" w:lineRule="auto"/>
              <w:textAlignment w:val="baseline"/>
              <w:rPr>
                <w:rFonts w:eastAsia="Times New Roman" w:cs="Times New Roman"/>
                <w:noProof/>
              </w:rPr>
            </w:pPr>
            <w:r>
              <w:rPr>
                <w:noProof/>
              </w:rPr>
              <w:t>EIP-ryhmä ja EIP-ryhmän valitsemat välittäjät ovat tehneet lopullisten edunsaajien kanssa oikeudellisia rahoitussopimuksia, joiden määrä on tarpeen</w:t>
            </w:r>
            <w:r>
              <w:rPr>
                <w:noProof/>
              </w:rPr>
              <w:t>, jotta vähintään 50 prosenttia elpymis- ja palautumistukivälineen investoinneista voidaan käyttää suoraan julkiseen linjaan (hallinnolliset maksut huomioon ottaen). EIP-ryhmä laatii elpymis- ja palautumistukivälinettä koskevan asetuksen liitteessä VI esit</w:t>
            </w:r>
            <w:r>
              <w:rPr>
                <w:noProof/>
              </w:rPr>
              <w:t>etyn menetelmän mukaisesti kertomuksen, jossa esitetään yksityiskohtaisesti, kuinka suuri prosenttiosuus tästä rahoituksesta edistää ilmastotavoitteiden saavuttamista.</w:t>
            </w:r>
          </w:p>
        </w:tc>
      </w:tr>
      <w:tr w:rsidR="000E48CE" w14:paraId="63E8570F" w14:textId="77777777">
        <w:trPr>
          <w:trHeight w:val="417"/>
        </w:trPr>
        <w:tc>
          <w:tcPr>
            <w:tcW w:w="846" w:type="dxa"/>
            <w:shd w:val="clear" w:color="auto" w:fill="C6EFCE"/>
          </w:tcPr>
          <w:p w14:paraId="4495493D" w14:textId="6672C7F9" w:rsidR="000E48CE" w:rsidRDefault="00FF4C4E">
            <w:pPr>
              <w:pStyle w:val="P68B1DB1-Normal13"/>
              <w:spacing w:after="0" w:line="240" w:lineRule="auto"/>
              <w:jc w:val="center"/>
              <w:textAlignment w:val="baseline"/>
              <w:rPr>
                <w:rFonts w:eastAsia="Times New Roman" w:cs="Times New Roman"/>
                <w:noProof/>
              </w:rPr>
            </w:pPr>
            <w:r>
              <w:rPr>
                <w:noProof/>
              </w:rPr>
              <w:t>L59</w:t>
            </w:r>
          </w:p>
        </w:tc>
        <w:tc>
          <w:tcPr>
            <w:tcW w:w="850" w:type="dxa"/>
            <w:shd w:val="clear" w:color="auto" w:fill="C6EFCE"/>
          </w:tcPr>
          <w:p w14:paraId="2E2778A9"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B4CBA85" w14:textId="77777777" w:rsidR="000E48CE" w:rsidRDefault="00FF4C4E">
            <w:pPr>
              <w:pStyle w:val="P68B1DB1-Normal13"/>
              <w:spacing w:after="0" w:line="240" w:lineRule="auto"/>
              <w:jc w:val="center"/>
              <w:textAlignment w:val="baseline"/>
              <w:rPr>
                <w:rFonts w:eastAsia="Times New Roman" w:cs="Times New Roman"/>
                <w:noProof/>
              </w:rPr>
            </w:pPr>
            <w:r>
              <w:rPr>
                <w:noProof/>
              </w:rPr>
              <w:t>T</w:t>
            </w:r>
          </w:p>
        </w:tc>
        <w:tc>
          <w:tcPr>
            <w:tcW w:w="2268" w:type="dxa"/>
            <w:shd w:val="clear" w:color="auto" w:fill="C6EFCE"/>
          </w:tcPr>
          <w:p w14:paraId="099C52F7" w14:textId="370CF6B6" w:rsidR="000E48CE" w:rsidRDefault="00FF4C4E">
            <w:pPr>
              <w:pStyle w:val="P68B1DB1-Normal13"/>
              <w:spacing w:after="0" w:line="240" w:lineRule="auto"/>
              <w:textAlignment w:val="baseline"/>
              <w:rPr>
                <w:rFonts w:eastAsia="Times New Roman" w:cs="Times New Roman"/>
                <w:noProof/>
              </w:rPr>
            </w:pPr>
            <w:r>
              <w:rPr>
                <w:noProof/>
              </w:rPr>
              <w:t>Alueellinen selviytymiskyvyn kehittämisrahasto – suora julkinen linja: Lopullisten edunsaajien kanssa allekirjoitetut oikeudelliset sopimukset (II)</w:t>
            </w:r>
          </w:p>
        </w:tc>
        <w:tc>
          <w:tcPr>
            <w:tcW w:w="1134" w:type="dxa"/>
            <w:shd w:val="clear" w:color="auto" w:fill="C6EFCE"/>
          </w:tcPr>
          <w:p w14:paraId="4D278E9E" w14:textId="0BACD6D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19728C8" w14:textId="00BA9B33"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1F042AEB" w14:textId="04DA191A" w:rsidR="000E48CE" w:rsidRDefault="00FF4C4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7DEF3DEE" w14:textId="7267021C" w:rsidR="000E48CE" w:rsidRDefault="00FF4C4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5E27C084" w14:textId="77777777" w:rsidR="000E48CE" w:rsidRDefault="00FF4C4E">
            <w:pPr>
              <w:pStyle w:val="P68B1DB1-Normal13"/>
              <w:spacing w:after="0" w:line="240" w:lineRule="auto"/>
              <w:jc w:val="center"/>
              <w:textAlignment w:val="baseline"/>
              <w:rPr>
                <w:rFonts w:eastAsia="Times New Roman" w:cs="Times New Roman"/>
                <w:noProof/>
              </w:rPr>
            </w:pPr>
            <w:r>
              <w:rPr>
                <w:noProof/>
              </w:rPr>
              <w:t>Q2</w:t>
            </w:r>
          </w:p>
        </w:tc>
        <w:tc>
          <w:tcPr>
            <w:tcW w:w="709" w:type="dxa"/>
            <w:shd w:val="clear" w:color="auto" w:fill="C6EFCE"/>
          </w:tcPr>
          <w:p w14:paraId="36118383" w14:textId="77777777" w:rsidR="000E48CE" w:rsidRDefault="00FF4C4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58EF0038" w14:textId="1238F812" w:rsidR="000E48CE" w:rsidRDefault="00FF4C4E">
            <w:pPr>
              <w:pStyle w:val="P68B1DB1-Normal13"/>
              <w:spacing w:after="0" w:line="240" w:lineRule="auto"/>
              <w:textAlignment w:val="baseline"/>
              <w:rPr>
                <w:rFonts w:eastAsia="Times New Roman" w:cs="Times New Roman"/>
                <w:noProof/>
              </w:rPr>
            </w:pPr>
            <w:r>
              <w:rPr>
                <w:noProof/>
              </w:rPr>
              <w:t>EIP-ryhmä ja EIP-ryhmän valitsemat välittäjät ovat tehneet lopullisten edunsaajien kans</w:t>
            </w:r>
            <w:r>
              <w:rPr>
                <w:noProof/>
              </w:rPr>
              <w:t xml:space="preserve">sa oikeudellisia rahoitussopimuksia, joiden määrä on tarpeen, jotta elpymis- ja palautumistukivälineen investoinneista voidaan käyttää 100 prosenttia suoraan julkiseen linjaan (hallinnolliset maksut huomioon ottaen). </w:t>
            </w:r>
            <w:bookmarkStart w:id="48" w:name="_Hlk145696936"/>
            <w:r>
              <w:rPr>
                <w:noProof/>
              </w:rPr>
              <w:t>EIP-ryhmä laatii elpymis- ja palautumis</w:t>
            </w:r>
            <w:r>
              <w:rPr>
                <w:noProof/>
              </w:rPr>
              <w:t>tukivälinettä koskevan asetuksen liitteessä VI esitetyn menetelmän mukaisesti kertomuksen, jossa esitetään yksityiskohtaisesti, kuinka suuri prosenttiosuus tästä rahoituksesta edistää ilmastotavoitteiden saavuttamista.</w:t>
            </w:r>
            <w:bookmarkEnd w:id="48"/>
          </w:p>
        </w:tc>
      </w:tr>
      <w:tr w:rsidR="000E48CE" w14:paraId="03FB41D9" w14:textId="77777777">
        <w:trPr>
          <w:trHeight w:val="417"/>
        </w:trPr>
        <w:tc>
          <w:tcPr>
            <w:tcW w:w="846" w:type="dxa"/>
            <w:shd w:val="clear" w:color="auto" w:fill="C6EFCE"/>
          </w:tcPr>
          <w:p w14:paraId="01FCDD23" w14:textId="44738A29" w:rsidR="000E48CE" w:rsidRDefault="00FF4C4E">
            <w:pPr>
              <w:pStyle w:val="P68B1DB1-Normal13"/>
              <w:spacing w:after="0" w:line="240" w:lineRule="auto"/>
              <w:jc w:val="center"/>
              <w:textAlignment w:val="baseline"/>
              <w:rPr>
                <w:rFonts w:eastAsia="Times New Roman" w:cs="Times New Roman"/>
                <w:noProof/>
              </w:rPr>
            </w:pPr>
            <w:r>
              <w:rPr>
                <w:noProof/>
              </w:rPr>
              <w:t>L60</w:t>
            </w:r>
          </w:p>
        </w:tc>
        <w:tc>
          <w:tcPr>
            <w:tcW w:w="850" w:type="dxa"/>
            <w:shd w:val="clear" w:color="auto" w:fill="C6EFCE"/>
          </w:tcPr>
          <w:p w14:paraId="5CBC3798" w14:textId="3C89253C"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BAD9EAF" w14:textId="74664483"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0EAD6F9A" w14:textId="125F4E01" w:rsidR="000E48CE" w:rsidRDefault="00FF4C4E">
            <w:pPr>
              <w:pStyle w:val="P68B1DB1-Normal13"/>
              <w:spacing w:after="0" w:line="240" w:lineRule="auto"/>
              <w:textAlignment w:val="baseline"/>
              <w:rPr>
                <w:rFonts w:eastAsia="Times New Roman" w:cs="Times New Roman"/>
                <w:noProof/>
              </w:rPr>
            </w:pPr>
            <w:r>
              <w:rPr>
                <w:noProof/>
              </w:rPr>
              <w:t xml:space="preserve">Alueellinen </w:t>
            </w:r>
            <w:r>
              <w:rPr>
                <w:noProof/>
              </w:rPr>
              <w:t>selviytymiskyvyn kehittämisrahasto – ilmastorahoitus</w:t>
            </w:r>
          </w:p>
        </w:tc>
        <w:tc>
          <w:tcPr>
            <w:tcW w:w="1134" w:type="dxa"/>
            <w:shd w:val="clear" w:color="auto" w:fill="C6EFCE"/>
          </w:tcPr>
          <w:p w14:paraId="2E9F1A1F"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B9F36D"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00BC601D"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BFDEE6"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D6F765" w14:textId="6CE14458"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1DDDBAD4" w14:textId="51E2A380"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5E552863" w14:textId="2E918D87" w:rsidR="000E48CE" w:rsidRDefault="00FF4C4E">
            <w:pPr>
              <w:pStyle w:val="P68B1DB1-Normal13"/>
              <w:spacing w:after="0" w:line="240" w:lineRule="auto"/>
              <w:textAlignment w:val="baseline"/>
              <w:rPr>
                <w:rFonts w:eastAsia="Times New Roman" w:cs="Times New Roman"/>
                <w:noProof/>
              </w:rPr>
            </w:pPr>
            <w:r>
              <w:rPr>
                <w:noProof/>
              </w:rPr>
              <w:t>Vähintään 50 prosentilla suoran julkisen budjettikohdan ja muiden budjettikohtien rahoituksesta on edistettävä ilmastotavoitteiden saavuttamista elpymis- ja palautumistukiv</w:t>
            </w:r>
            <w:r>
              <w:rPr>
                <w:noProof/>
              </w:rPr>
              <w:t>älinettä koskevan asetuksen liitteessä VI esitettyä menetelmää käyttäen.</w:t>
            </w:r>
          </w:p>
        </w:tc>
      </w:tr>
      <w:tr w:rsidR="000E48CE" w14:paraId="21EB8F1D" w14:textId="77777777">
        <w:trPr>
          <w:trHeight w:val="300"/>
        </w:trPr>
        <w:tc>
          <w:tcPr>
            <w:tcW w:w="846" w:type="dxa"/>
            <w:shd w:val="clear" w:color="auto" w:fill="C6EFCE"/>
          </w:tcPr>
          <w:p w14:paraId="72699A00" w14:textId="079AEF25" w:rsidR="000E48CE" w:rsidRDefault="00FF4C4E">
            <w:pPr>
              <w:pStyle w:val="P68B1DB1-Normal13"/>
              <w:spacing w:after="0" w:line="240" w:lineRule="auto"/>
              <w:jc w:val="center"/>
              <w:textAlignment w:val="baseline"/>
              <w:rPr>
                <w:rFonts w:eastAsia="Times New Roman" w:cs="Times New Roman"/>
                <w:noProof/>
              </w:rPr>
            </w:pPr>
            <w:r>
              <w:rPr>
                <w:noProof/>
              </w:rPr>
              <w:t>L61</w:t>
            </w:r>
          </w:p>
        </w:tc>
        <w:tc>
          <w:tcPr>
            <w:tcW w:w="850" w:type="dxa"/>
            <w:shd w:val="clear" w:color="auto" w:fill="C6EFCE"/>
          </w:tcPr>
          <w:p w14:paraId="5845E936"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0D109629" w14:textId="49F3C68C"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505D58B1" w14:textId="5F4AF18F" w:rsidR="000E48CE" w:rsidRDefault="00FF4C4E">
            <w:pPr>
              <w:pStyle w:val="P68B1DB1-Normal13"/>
              <w:spacing w:after="0" w:line="240" w:lineRule="auto"/>
              <w:textAlignment w:val="baseline"/>
              <w:rPr>
                <w:rFonts w:eastAsia="Times New Roman" w:cs="Times New Roman"/>
                <w:noProof/>
              </w:rPr>
            </w:pPr>
            <w:r>
              <w:rPr>
                <w:noProof/>
              </w:rPr>
              <w:t>Alueellinen selviytymiskyvyn kehittämisrahasto – suora julkinen linja: Hankkeiden loppuun saattaminen julkisyhteisöjen toimesta</w:t>
            </w:r>
          </w:p>
        </w:tc>
        <w:tc>
          <w:tcPr>
            <w:tcW w:w="1134" w:type="dxa"/>
            <w:shd w:val="clear" w:color="auto" w:fill="C6EFCE"/>
          </w:tcPr>
          <w:p w14:paraId="2820682D" w14:textId="40F98DA1"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7E495312" w14:textId="2B6037AD"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5E04D9BD"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729A8EC" w14:textId="40BB2BFC" w:rsidR="000E48CE" w:rsidRDefault="000E48CE">
            <w:pPr>
              <w:jc w:val="right"/>
              <w:rPr>
                <w:rFonts w:ascii="Times New Roman" w:eastAsia="Times New Roman" w:hAnsi="Times New Roman" w:cs="Times New Roman"/>
                <w:noProof/>
                <w:sz w:val="18"/>
              </w:rPr>
            </w:pPr>
          </w:p>
        </w:tc>
        <w:tc>
          <w:tcPr>
            <w:tcW w:w="709" w:type="dxa"/>
            <w:shd w:val="clear" w:color="auto" w:fill="C6EFCE"/>
          </w:tcPr>
          <w:p w14:paraId="4442565A" w14:textId="1907DC9B"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3FF794C2"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812BD0E" w14:textId="66C1961E" w:rsidR="000E48CE" w:rsidRDefault="00FF4C4E">
            <w:pPr>
              <w:pStyle w:val="P68B1DB1-Normal13"/>
              <w:spacing w:after="0" w:line="240" w:lineRule="auto"/>
              <w:textAlignment w:val="baseline"/>
              <w:rPr>
                <w:rFonts w:eastAsia="Times New Roman" w:cs="Times New Roman"/>
                <w:noProof/>
              </w:rPr>
            </w:pPr>
            <w:r>
              <w:rPr>
                <w:noProof/>
              </w:rPr>
              <w:t>Sellaisten julkisyhteisöjen toteuttamien hankkeiden loppuun saattaminen, joiden arvo on vähintään 3150000000 euroa (hallintopalkkiot mukaan luettuina) suorassa julkisessa linjassa.</w:t>
            </w:r>
            <w:r>
              <w:rPr>
                <w:noProof/>
                <w:highlight w:val="yellow"/>
              </w:rPr>
              <w:t xml:space="preserve"> </w:t>
            </w:r>
          </w:p>
        </w:tc>
      </w:tr>
      <w:tr w:rsidR="000E48CE" w14:paraId="16180596" w14:textId="77777777">
        <w:trPr>
          <w:trHeight w:val="300"/>
        </w:trPr>
        <w:tc>
          <w:tcPr>
            <w:tcW w:w="846" w:type="dxa"/>
            <w:shd w:val="clear" w:color="auto" w:fill="C6EFCE"/>
          </w:tcPr>
          <w:p w14:paraId="64DE1AE2" w14:textId="7B5AB5C3" w:rsidR="000E48CE" w:rsidRDefault="00FF4C4E">
            <w:pPr>
              <w:pStyle w:val="P68B1DB1-Normal13"/>
              <w:spacing w:after="0" w:line="240" w:lineRule="auto"/>
              <w:jc w:val="center"/>
              <w:textAlignment w:val="baseline"/>
              <w:rPr>
                <w:rFonts w:eastAsia="Times New Roman" w:cs="Times New Roman"/>
                <w:noProof/>
              </w:rPr>
            </w:pPr>
            <w:r>
              <w:rPr>
                <w:noProof/>
              </w:rPr>
              <w:t>L62</w:t>
            </w:r>
          </w:p>
        </w:tc>
        <w:tc>
          <w:tcPr>
            <w:tcW w:w="850" w:type="dxa"/>
            <w:shd w:val="clear" w:color="auto" w:fill="C6EFCE"/>
          </w:tcPr>
          <w:p w14:paraId="37BA37A7" w14:textId="77777777" w:rsidR="000E48CE" w:rsidRDefault="00FF4C4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7DF5DC8D" w14:textId="77777777" w:rsidR="000E48CE" w:rsidRDefault="00FF4C4E">
            <w:pPr>
              <w:pStyle w:val="P68B1DB1-Normal13"/>
              <w:spacing w:after="0" w:line="240" w:lineRule="auto"/>
              <w:jc w:val="center"/>
              <w:textAlignment w:val="baseline"/>
              <w:rPr>
                <w:rFonts w:eastAsia="Times New Roman" w:cs="Times New Roman"/>
                <w:noProof/>
              </w:rPr>
            </w:pPr>
            <w:r>
              <w:rPr>
                <w:noProof/>
              </w:rPr>
              <w:t>M</w:t>
            </w:r>
          </w:p>
        </w:tc>
        <w:tc>
          <w:tcPr>
            <w:tcW w:w="2268" w:type="dxa"/>
            <w:shd w:val="clear" w:color="auto" w:fill="C6EFCE"/>
          </w:tcPr>
          <w:p w14:paraId="5C1B1A16" w14:textId="539CE86A" w:rsidR="000E48CE" w:rsidRDefault="00FF4C4E">
            <w:pPr>
              <w:pStyle w:val="P68B1DB1-Normal13"/>
              <w:spacing w:after="0" w:line="240" w:lineRule="auto"/>
              <w:textAlignment w:val="baseline"/>
              <w:rPr>
                <w:rFonts w:eastAsia="Times New Roman" w:cs="Times New Roman"/>
                <w:noProof/>
              </w:rPr>
            </w:pPr>
            <w:r>
              <w:rPr>
                <w:noProof/>
              </w:rPr>
              <w:t>Alueellinen selviytymiskyvyn kehittämisrahasto – Talous- ja</w:t>
            </w:r>
            <w:r>
              <w:rPr>
                <w:noProof/>
              </w:rPr>
              <w:t xml:space="preserve"> digitaalisesta siirtymästä vastaava ministeriö on saanut investoinnin päätökseen</w:t>
            </w:r>
          </w:p>
        </w:tc>
        <w:tc>
          <w:tcPr>
            <w:tcW w:w="1134" w:type="dxa"/>
            <w:shd w:val="clear" w:color="auto" w:fill="C6EFCE"/>
          </w:tcPr>
          <w:p w14:paraId="16C4AA6B" w14:textId="77777777" w:rsidR="000E48CE" w:rsidRDefault="00FF4C4E">
            <w:pPr>
              <w:pStyle w:val="P68B1DB1-Normal13"/>
              <w:spacing w:after="0" w:line="240" w:lineRule="auto"/>
              <w:jc w:val="center"/>
              <w:textAlignment w:val="baseline"/>
              <w:rPr>
                <w:rFonts w:eastAsia="Times New Roman" w:cs="Times New Roman"/>
                <w:noProof/>
              </w:rPr>
            </w:pPr>
            <w:r>
              <w:rPr>
                <w:noProof/>
              </w:rPr>
              <w:t>Todistus rahastolle suoritetusta maksusta</w:t>
            </w:r>
          </w:p>
        </w:tc>
        <w:tc>
          <w:tcPr>
            <w:tcW w:w="709" w:type="dxa"/>
            <w:shd w:val="clear" w:color="auto" w:fill="C6EFCE"/>
          </w:tcPr>
          <w:p w14:paraId="11CA77FB" w14:textId="56F495F6" w:rsidR="000E48CE" w:rsidRDefault="000E48CE">
            <w:pPr>
              <w:spacing w:after="0" w:line="240" w:lineRule="auto"/>
              <w:jc w:val="center"/>
              <w:textAlignment w:val="baseline"/>
              <w:rPr>
                <w:rFonts w:ascii="Times New Roman" w:eastAsia="Times New Roman" w:hAnsi="Times New Roman" w:cs="Times New Roman"/>
                <w:noProof/>
                <w:sz w:val="18"/>
              </w:rPr>
            </w:pPr>
          </w:p>
          <w:p w14:paraId="1F699900" w14:textId="77777777" w:rsidR="000E48CE" w:rsidRDefault="000E48CE">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311F4D0C"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8DB9A1B" w14:textId="0029E818" w:rsidR="000E48CE" w:rsidRDefault="000E48CE">
            <w:pPr>
              <w:spacing w:after="0" w:line="240" w:lineRule="auto"/>
              <w:jc w:val="right"/>
              <w:textAlignment w:val="baseline"/>
              <w:rPr>
                <w:rFonts w:ascii="Times New Roman" w:eastAsia="Times New Roman" w:hAnsi="Times New Roman" w:cs="Times New Roman"/>
                <w:noProof/>
                <w:sz w:val="18"/>
              </w:rPr>
            </w:pPr>
          </w:p>
          <w:p w14:paraId="3BB3C1FE" w14:textId="77777777" w:rsidR="000E48CE" w:rsidRDefault="000E48CE">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A261259" w14:textId="5DA6EADE" w:rsidR="000E48CE" w:rsidRDefault="00FF4C4E">
            <w:pPr>
              <w:pStyle w:val="P68B1DB1-Normal13"/>
              <w:spacing w:after="0" w:line="240" w:lineRule="auto"/>
              <w:jc w:val="center"/>
              <w:textAlignment w:val="baseline"/>
              <w:rPr>
                <w:rFonts w:eastAsia="Times New Roman" w:cs="Times New Roman"/>
                <w:noProof/>
              </w:rPr>
            </w:pPr>
            <w:r>
              <w:rPr>
                <w:noProof/>
              </w:rPr>
              <w:t>KOLMAS VUOSINELJÄNNES</w:t>
            </w:r>
          </w:p>
        </w:tc>
        <w:tc>
          <w:tcPr>
            <w:tcW w:w="709" w:type="dxa"/>
            <w:shd w:val="clear" w:color="auto" w:fill="C6EFCE"/>
          </w:tcPr>
          <w:p w14:paraId="219AE1CF" w14:textId="77777777" w:rsidR="000E48CE" w:rsidRDefault="00FF4C4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4DD5973E" w14:textId="70BFECC3" w:rsidR="000E48CE" w:rsidRDefault="00FF4C4E">
            <w:pPr>
              <w:pStyle w:val="P68B1DB1-Normal13"/>
              <w:spacing w:after="0" w:line="240" w:lineRule="auto"/>
              <w:textAlignment w:val="baseline"/>
              <w:rPr>
                <w:rFonts w:eastAsia="Times New Roman" w:cs="Times New Roman"/>
                <w:noProof/>
              </w:rPr>
            </w:pPr>
            <w:r>
              <w:rPr>
                <w:noProof/>
              </w:rPr>
              <w:t>Espanja siirtää 19500000000 euroa EIP-ryhmälle lainajärjestelyä varten.</w:t>
            </w:r>
          </w:p>
        </w:tc>
      </w:tr>
      <w:bookmarkEnd w:id="47"/>
    </w:tbl>
    <w:p w14:paraId="7E6B0AD1" w14:textId="19B8E0ED" w:rsidR="000E48CE" w:rsidRDefault="00FF4C4E">
      <w:pPr>
        <w:rPr>
          <w:rFonts w:ascii="Times New Roman" w:hAnsi="Times New Roman" w:cs="Times New Roman"/>
          <w:noProof/>
          <w:sz w:val="24"/>
        </w:rPr>
      </w:pPr>
      <w:r>
        <w:rPr>
          <w:noProof/>
        </w:rPr>
        <w:br w:type="page"/>
      </w:r>
    </w:p>
    <w:p w14:paraId="6B8AE13E" w14:textId="77777777" w:rsidR="000E48CE" w:rsidRDefault="000E48CE">
      <w:pPr>
        <w:rPr>
          <w:rFonts w:ascii="Times New Roman" w:hAnsi="Times New Roman" w:cs="Times New Roman"/>
          <w:noProof/>
          <w:sz w:val="24"/>
        </w:rPr>
        <w:sectPr w:rsidR="000E48CE" w:rsidSect="00EB7CC8">
          <w:headerReference w:type="even" r:id="rId288"/>
          <w:headerReference w:type="default" r:id="rId289"/>
          <w:footerReference w:type="even" r:id="rId290"/>
          <w:footerReference w:type="default" r:id="rId291"/>
          <w:headerReference w:type="first" r:id="rId292"/>
          <w:footerReference w:type="first" r:id="rId293"/>
          <w:pgSz w:w="16839" w:h="11907" w:orient="landscape"/>
          <w:pgMar w:top="1417" w:right="1134" w:bottom="1417" w:left="1134" w:header="709" w:footer="709" w:gutter="0"/>
          <w:cols w:space="720"/>
          <w:docGrid w:linePitch="360"/>
        </w:sectPr>
      </w:pPr>
    </w:p>
    <w:p w14:paraId="49F00853" w14:textId="77777777" w:rsidR="000E48CE" w:rsidRDefault="00FF4C4E">
      <w:pPr>
        <w:pStyle w:val="P68B1DB1-Heading12"/>
        <w:rPr>
          <w:rFonts w:cs="Times New Roman"/>
          <w:noProof/>
        </w:rPr>
      </w:pPr>
      <w:r>
        <w:rPr>
          <w:noProof/>
        </w:rPr>
        <w:t>N. KOMPONENTTI 14: Matkailu</w:t>
      </w:r>
    </w:p>
    <w:p w14:paraId="187C3B49" w14:textId="77777777" w:rsidR="000E48CE" w:rsidRDefault="00FF4C4E">
      <w:pPr>
        <w:pStyle w:val="maintext"/>
        <w:rPr>
          <w:b/>
          <w:smallCaps/>
          <w:noProof/>
          <w:sz w:val="28"/>
        </w:rPr>
      </w:pPr>
      <w:r>
        <w:rPr>
          <w:noProof/>
        </w:rPr>
        <w:t>Espanjan elpymis- ja palautumissuunnitelman osa-alueella on vastattava seuraaviin haasteisiin:</w:t>
      </w:r>
    </w:p>
    <w:p w14:paraId="70FB1EE8" w14:textId="77777777" w:rsidR="000E48CE" w:rsidRDefault="00FF4C4E">
      <w:pPr>
        <w:pStyle w:val="P68B1DB1-ListParagraph7"/>
        <w:numPr>
          <w:ilvl w:val="0"/>
          <w:numId w:val="720"/>
        </w:numPr>
        <w:spacing w:before="120" w:line="240" w:lineRule="auto"/>
        <w:jc w:val="both"/>
        <w:rPr>
          <w:rFonts w:cs="Times New Roman"/>
          <w:noProof/>
        </w:rPr>
      </w:pPr>
      <w:r>
        <w:rPr>
          <w:noProof/>
        </w:rPr>
        <w:t xml:space="preserve">Espanjan matkailualalla on covid-19-pandemian aiheuttaman kriisin vuoksi hyvin arkaluonteinen tilanne, ja sen kestävyyden ja kilpailukyvyn parantamiseksi tarvitaan kiireellisiä toimia. </w:t>
      </w:r>
    </w:p>
    <w:p w14:paraId="6CDD9DBE" w14:textId="77777777" w:rsidR="000E48CE" w:rsidRDefault="00FF4C4E">
      <w:pPr>
        <w:pStyle w:val="P68B1DB1-ListParagraph7"/>
        <w:numPr>
          <w:ilvl w:val="0"/>
          <w:numId w:val="720"/>
        </w:numPr>
        <w:spacing w:before="120" w:after="120" w:line="240" w:lineRule="auto"/>
        <w:jc w:val="both"/>
        <w:rPr>
          <w:rFonts w:cs="Times New Roman"/>
          <w:noProof/>
        </w:rPr>
      </w:pPr>
      <w:r>
        <w:rPr>
          <w:noProof/>
        </w:rPr>
        <w:t>Kanariansaaret ja Baleaarit, jotka ovat Espanjan matkailualan moottore</w:t>
      </w:r>
      <w:r>
        <w:rPr>
          <w:noProof/>
        </w:rPr>
        <w:t>ita, tarvitsevat erityistoimia ulkoisvaikutusten lieventämiseksi ja niiden suureksi riippuvaiseksi lomatoiminnasta.</w:t>
      </w:r>
    </w:p>
    <w:p w14:paraId="0CF97EC8" w14:textId="77777777" w:rsidR="000E48CE" w:rsidRDefault="00FF4C4E">
      <w:pPr>
        <w:pStyle w:val="P68B1DB1-ListParagraph7"/>
        <w:numPr>
          <w:ilvl w:val="0"/>
          <w:numId w:val="720"/>
        </w:numPr>
        <w:spacing w:before="120" w:after="120" w:line="240" w:lineRule="auto"/>
        <w:jc w:val="both"/>
        <w:rPr>
          <w:rFonts w:cs="Times New Roman"/>
          <w:noProof/>
        </w:rPr>
      </w:pPr>
      <w:r>
        <w:rPr>
          <w:noProof/>
        </w:rPr>
        <w:t>Espanja on maailman talousfoorumin matkailualan kilpailukykyraportin mukaan 27. sijalla tieto- ja viestintätekniikan alalla. Lisäksi sen jul</w:t>
      </w:r>
      <w:r>
        <w:rPr>
          <w:noProof/>
        </w:rPr>
        <w:t xml:space="preserve">kiset ja yksityiset investoinnit T &amp; K-toimintaan ovat suhteellisen vähäisiä. Lisäksi monissa raporteissa todetaan, että matkailuala on ala, jolla on suurimmat mahdollisuudet hyötyä tekoälystä (128 prosentin lisäys toiminnan lisäarvossa tekoälysovellusten </w:t>
      </w:r>
      <w:r>
        <w:rPr>
          <w:noProof/>
        </w:rPr>
        <w:t>avulla).</w:t>
      </w:r>
    </w:p>
    <w:p w14:paraId="5A8182C4" w14:textId="77777777" w:rsidR="000E48CE" w:rsidRDefault="00FF4C4E">
      <w:pPr>
        <w:pStyle w:val="P68B1DB1-Normal4"/>
        <w:spacing w:before="120" w:after="120" w:line="240" w:lineRule="auto"/>
        <w:jc w:val="both"/>
        <w:rPr>
          <w:rFonts w:cs="Times New Roman"/>
          <w:noProof/>
        </w:rPr>
      </w:pPr>
      <w:r>
        <w:rPr>
          <w:noProof/>
        </w:rPr>
        <w:t>Tämän osa-alueen tavoitteena on muuttaa ja nykyaikaistaa Espanjan matkailualaa parantamalla sen kilpailukykyä ja häiriönsietokykyä.</w:t>
      </w:r>
    </w:p>
    <w:p w14:paraId="35827750" w14:textId="77777777" w:rsidR="000E48CE" w:rsidRDefault="00FF4C4E">
      <w:pPr>
        <w:pStyle w:val="P68B1DB1-Normal4"/>
        <w:spacing w:before="120" w:after="120" w:line="240" w:lineRule="auto"/>
        <w:jc w:val="both"/>
        <w:rPr>
          <w:rFonts w:cs="Times New Roman"/>
          <w:noProof/>
        </w:rPr>
      </w:pPr>
      <w:r>
        <w:rPr>
          <w:noProof/>
        </w:rPr>
        <w:t>Osa-alueella käsitellään maakohtaisia suosituksia innovointiin ja energiatehokkuuteen tehtävien investointien edist</w:t>
      </w:r>
      <w:r>
        <w:rPr>
          <w:noProof/>
        </w:rPr>
        <w:t>ämisestä sekä tutkimusta ja innovointia tukevien politiikkojen vaikuttavuuden lisäämisestä (maakohtainen suositus 3 2019), talouden ylläpitämisestä (maakohtainen suositus 1 2020), työllisyyden tukemisesta toimenpiteillä, joilla säilytetään työpaikat ja osa</w:t>
      </w:r>
      <w:r>
        <w:rPr>
          <w:noProof/>
        </w:rPr>
        <w:t xml:space="preserve">amisen kehittäminen ja parannetaan digitaalisen oppimisen saatavuutta (maakohtainen suositus 2 2020), julkisten ja yksityisten investointien edistämisestä sekä vihreän ja digitaalisen siirtymän edistämisestä (maakohtainen suositus 3 2020) ja hallinnon eri </w:t>
      </w:r>
      <w:r>
        <w:rPr>
          <w:noProof/>
        </w:rPr>
        <w:t>tasojen välisen koordinoinnin parantamisesta (maakohtainen suositus 4 2020).</w:t>
      </w:r>
    </w:p>
    <w:p w14:paraId="6928174B" w14:textId="77777777" w:rsidR="000E48CE" w:rsidRDefault="00FF4C4E">
      <w:pPr>
        <w:pStyle w:val="P68B1DB1-Normal4"/>
        <w:spacing w:before="120" w:after="120" w:line="240" w:lineRule="auto"/>
        <w:ind w:left="11"/>
        <w:jc w:val="both"/>
        <w:rPr>
          <w:rFonts w:cs="Times New Roman"/>
          <w:noProof/>
        </w:rPr>
      </w:pPr>
      <w:r>
        <w:rPr>
          <w:noProof/>
        </w:rPr>
        <w:t>Minkään tämän komponentin toimenpiteen ei odoteta aiheuttavan asetuksen (EU) 2020/852 17 artiklassa tarkoitettua merkittävää haittaa ympäristötavoitteille, kun otetaan huomioon ”e</w:t>
      </w:r>
      <w:r>
        <w:rPr>
          <w:noProof/>
        </w:rPr>
        <w:t xml:space="preserve">i merkittävää haittaa” -periaatteen soveltamista koskevien teknisten ohjeiden (2021/C58/01) mukaiset elpymis- ja palautumissuunnitelmassa esitettyjen toimenpiteiden kuvaus ja lieventävät toimet.  </w:t>
      </w:r>
    </w:p>
    <w:p w14:paraId="42129347" w14:textId="77777777" w:rsidR="000E48CE" w:rsidRDefault="00FF4C4E">
      <w:pPr>
        <w:pStyle w:val="P68B1DB1-Normal5"/>
        <w:spacing w:before="120" w:after="120" w:line="240" w:lineRule="auto"/>
        <w:ind w:left="720"/>
        <w:jc w:val="both"/>
        <w:rPr>
          <w:rFonts w:cs="Times New Roman"/>
          <w:i/>
          <w:noProof/>
        </w:rPr>
      </w:pPr>
      <w:r>
        <w:rPr>
          <w:noProof/>
        </w:rPr>
        <w:t xml:space="preserve">N.1 </w:t>
      </w:r>
      <w:r>
        <w:rPr>
          <w:noProof/>
        </w:rPr>
        <w:tab/>
        <w:t>Kuvaus uudistuksista ja investoinneista, joita rahoite</w:t>
      </w:r>
      <w:r>
        <w:rPr>
          <w:noProof/>
        </w:rPr>
        <w:t>taan rahoitustuella, jota ei makseta takaisin</w:t>
      </w:r>
    </w:p>
    <w:p w14:paraId="5DA8EE5F" w14:textId="77777777" w:rsidR="000E48CE" w:rsidRDefault="00FF4C4E">
      <w:pPr>
        <w:pStyle w:val="P68B1DB1-Normal6"/>
        <w:spacing w:before="120" w:after="120" w:line="240" w:lineRule="auto"/>
        <w:jc w:val="both"/>
        <w:rPr>
          <w:rFonts w:cs="Times New Roman"/>
          <w:noProof/>
        </w:rPr>
      </w:pPr>
      <w:r>
        <w:rPr>
          <w:noProof/>
        </w:rPr>
        <w:t>Uudistus 1 (C14.R1) – Kuninkaallinen asetus matkailualan kilpailukykyä edistävän valtion rahoitusrahaston (FOCIT) täytäntöönpanosta</w:t>
      </w:r>
    </w:p>
    <w:p w14:paraId="34CD9BB6" w14:textId="77777777" w:rsidR="000E48CE" w:rsidRDefault="00FF4C4E">
      <w:pPr>
        <w:pStyle w:val="P68B1DB1-Normal4"/>
        <w:spacing w:before="120" w:after="120" w:line="240" w:lineRule="auto"/>
        <w:jc w:val="both"/>
        <w:rPr>
          <w:rFonts w:cs="Times New Roman"/>
          <w:noProof/>
        </w:rPr>
      </w:pPr>
      <w:r>
        <w:rPr>
          <w:noProof/>
        </w:rPr>
        <w:t>Uudistuksen tavoitteena on parantaa matkailualan kilpailukykyä edistämällä inn</w:t>
      </w:r>
      <w:r>
        <w:rPr>
          <w:noProof/>
        </w:rPr>
        <w:t xml:space="preserve">ovointia ja tukemalla energiatehokkuutta ja kiertotaloutta. </w:t>
      </w:r>
    </w:p>
    <w:p w14:paraId="4EDB6FDB" w14:textId="77777777" w:rsidR="000E48CE" w:rsidRDefault="00FF4C4E">
      <w:pPr>
        <w:pStyle w:val="P68B1DB1-Normal4"/>
        <w:spacing w:before="120" w:after="120" w:line="240" w:lineRule="auto"/>
        <w:jc w:val="both"/>
        <w:rPr>
          <w:rFonts w:cs="Times New Roman"/>
          <w:noProof/>
        </w:rPr>
      </w:pPr>
      <w:r>
        <w:rPr>
          <w:noProof/>
        </w:rPr>
        <w:t xml:space="preserve">Uudistuksella muutetaan voimassa olevia säädöksiä, jotka koskevat valtion matkailualan kilpailukykyrahaston tavoitteita, luonnetta, toimintaa ja tukikelpoisia hankkeita.  </w:t>
      </w:r>
    </w:p>
    <w:p w14:paraId="535EFD1F" w14:textId="77777777" w:rsidR="000E48CE" w:rsidRDefault="00FF4C4E">
      <w:pPr>
        <w:pStyle w:val="P68B1DB1-Normal4"/>
        <w:spacing w:before="120" w:after="120" w:line="240" w:lineRule="auto"/>
        <w:jc w:val="both"/>
        <w:rPr>
          <w:rFonts w:cs="Times New Roman"/>
          <w:noProof/>
        </w:rPr>
      </w:pPr>
      <w:r>
        <w:rPr>
          <w:noProof/>
        </w:rPr>
        <w:t>Muutetun säädöksen on m</w:t>
      </w:r>
      <w:r>
        <w:rPr>
          <w:noProof/>
        </w:rPr>
        <w:t>ahdollistettava se, että matkailualan kilpailukykyä edistävä valtion rahoitusrahasto rahoittaa matkailualan yrityksiä energiatehokkuuden parantamiseksi, resurssien kulutuksen ja jätteen syntymisen vähentämiseksi sekä jätteiden uudelleenkäytön ja kierrätyks</w:t>
      </w:r>
      <w:r>
        <w:rPr>
          <w:noProof/>
        </w:rPr>
        <w:t>en lisäämiseksi. Energiatehokkuuden ja kiertotalouden alalla rahastosta rahoitetaan innovointihankkeita.</w:t>
      </w:r>
    </w:p>
    <w:p w14:paraId="7E2182EC" w14:textId="77777777" w:rsidR="000E48CE" w:rsidRDefault="00FF4C4E">
      <w:pPr>
        <w:pStyle w:val="P68B1DB1-Normal4"/>
        <w:spacing w:before="120" w:after="120" w:line="240" w:lineRule="auto"/>
        <w:jc w:val="both"/>
        <w:rPr>
          <w:rFonts w:cs="Times New Roman"/>
          <w:noProof/>
        </w:rPr>
      </w:pPr>
      <w:r>
        <w:rPr>
          <w:noProof/>
        </w:rPr>
        <w:t>Rahoitusvälineessä voidaan käyttää yhdistämisjärjestelmiä, joissa lainoja yhdistetään muuntyyppiseen tukeen. Väline rahoitetaan kansallisesta talousarv</w:t>
      </w:r>
      <w:r>
        <w:rPr>
          <w:noProof/>
        </w:rPr>
        <w:t>iosta.</w:t>
      </w:r>
    </w:p>
    <w:p w14:paraId="66A890D1" w14:textId="77777777" w:rsidR="000E48CE" w:rsidRDefault="00FF4C4E">
      <w:pPr>
        <w:pStyle w:val="P68B1DB1-Normal4"/>
        <w:spacing w:before="120" w:after="120" w:line="240" w:lineRule="auto"/>
        <w:jc w:val="both"/>
        <w:rPr>
          <w:rFonts w:cs="Times New Roman"/>
          <w:noProof/>
        </w:rPr>
      </w:pPr>
      <w:r>
        <w:rPr>
          <w:noProof/>
        </w:rPr>
        <w:t xml:space="preserve">Uudistukseen on sisällyttävä myös seuraavat erityistoimenpiteet: </w:t>
      </w:r>
    </w:p>
    <w:p w14:paraId="6BC89025" w14:textId="77777777" w:rsidR="000E48CE" w:rsidRDefault="00FF4C4E">
      <w:pPr>
        <w:pStyle w:val="P68B1DB1-ListParagraph24"/>
        <w:numPr>
          <w:ilvl w:val="0"/>
          <w:numId w:val="723"/>
        </w:numPr>
        <w:spacing w:before="120" w:after="120" w:line="240" w:lineRule="auto"/>
        <w:jc w:val="both"/>
        <w:rPr>
          <w:rFonts w:cs="Times New Roman"/>
          <w:noProof/>
          <w:sz w:val="24"/>
        </w:rPr>
      </w:pPr>
      <w:r>
        <w:rPr>
          <w:noProof/>
          <w:sz w:val="24"/>
        </w:rPr>
        <w:t xml:space="preserve">matkailualanedistämissuunnitelma, jossa kuvataan matkailualan edistämistoimia ja määritellään puitteet matkailuun liittyvien toimenpiteiden toteuttamiselle. </w:t>
      </w:r>
    </w:p>
    <w:p w14:paraId="084EBCB4" w14:textId="77777777" w:rsidR="000E48CE" w:rsidRDefault="00FF4C4E">
      <w:pPr>
        <w:pStyle w:val="P68B1DB1-ListParagraph7"/>
        <w:numPr>
          <w:ilvl w:val="0"/>
          <w:numId w:val="723"/>
        </w:numPr>
        <w:spacing w:line="240" w:lineRule="auto"/>
        <w:rPr>
          <w:rFonts w:cs="Times New Roman"/>
          <w:noProof/>
        </w:rPr>
      </w:pPr>
      <w:r>
        <w:rPr>
          <w:noProof/>
        </w:rPr>
        <w:t xml:space="preserve">perustetaan verkkosivusto, jolla kerätään tietoja matkailutilastojen eri lähteistä, mukaan lukien julkiset ja yksityiset elimet, kuten INE, </w:t>
      </w:r>
      <w:r>
        <w:rPr>
          <w:i/>
          <w:noProof/>
        </w:rPr>
        <w:t>Turespaña</w:t>
      </w:r>
      <w:r>
        <w:rPr>
          <w:noProof/>
        </w:rPr>
        <w:t xml:space="preserve">, Espanjan keskuspankki, AENA ja RENFE. </w:t>
      </w:r>
    </w:p>
    <w:p w14:paraId="4FA9F02D" w14:textId="77777777" w:rsidR="000E48CE" w:rsidRDefault="00FF4C4E">
      <w:pPr>
        <w:pStyle w:val="P68B1DB1-Normal4"/>
        <w:spacing w:before="120" w:after="120" w:line="240" w:lineRule="auto"/>
        <w:jc w:val="both"/>
        <w:rPr>
          <w:rFonts w:cs="Times New Roman"/>
          <w:noProof/>
        </w:rPr>
      </w:pPr>
      <w:r>
        <w:rPr>
          <w:noProof/>
        </w:rPr>
        <w:t xml:space="preserve">Uudistuksen toteutus on määrä saattaa päätökseen 31. joulukuuta </w:t>
      </w:r>
      <w:r>
        <w:rPr>
          <w:noProof/>
        </w:rPr>
        <w:t>2021 mennessä.</w:t>
      </w:r>
    </w:p>
    <w:p w14:paraId="456FBD52" w14:textId="77777777" w:rsidR="000E48CE" w:rsidRDefault="00FF4C4E">
      <w:pPr>
        <w:pStyle w:val="P68B1DB1-Normal6"/>
        <w:keepNext/>
        <w:spacing w:before="120" w:after="120" w:line="240" w:lineRule="auto"/>
        <w:jc w:val="both"/>
        <w:rPr>
          <w:rFonts w:cs="Times New Roman"/>
          <w:noProof/>
        </w:rPr>
      </w:pPr>
      <w:r>
        <w:rPr>
          <w:noProof/>
        </w:rPr>
        <w:t>Investointi 1 (C14.I1) – Matkailumallin muuttaminen kohti kestävyyttä</w:t>
      </w:r>
    </w:p>
    <w:p w14:paraId="6ABEDDDC" w14:textId="77777777" w:rsidR="000E48CE" w:rsidRDefault="00FF4C4E">
      <w:pPr>
        <w:pStyle w:val="P68B1DB1-Normal4"/>
        <w:keepNext/>
        <w:spacing w:before="120" w:after="120" w:line="240" w:lineRule="auto"/>
        <w:jc w:val="both"/>
        <w:rPr>
          <w:rFonts w:cs="Times New Roman"/>
          <w:noProof/>
        </w:rPr>
      </w:pPr>
      <w:r>
        <w:rPr>
          <w:noProof/>
        </w:rPr>
        <w:t>Investoinnin tavoitteena on vahvistaa matkailun ekologista, sosioekonomista ja alueellista kestävyyttä, ja se kohdistuu matkailukohteisiin, työmarkkinaosapuoliin ja alan y</w:t>
      </w:r>
      <w:r>
        <w:rPr>
          <w:noProof/>
        </w:rPr>
        <w:t xml:space="preserve">ksityisiin toimijoihin. </w:t>
      </w:r>
    </w:p>
    <w:p w14:paraId="3752306B" w14:textId="77777777" w:rsidR="000E48CE" w:rsidRDefault="00FF4C4E">
      <w:pPr>
        <w:pStyle w:val="P68B1DB1-Normal4"/>
        <w:spacing w:before="120" w:after="120" w:line="240" w:lineRule="auto"/>
        <w:jc w:val="both"/>
        <w:rPr>
          <w:rFonts w:cs="Times New Roman"/>
          <w:noProof/>
        </w:rPr>
      </w:pPr>
      <w:r>
        <w:rPr>
          <w:noProof/>
        </w:rPr>
        <w:t xml:space="preserve">Investointi koostuu neljästä alatoimenpiteestä: </w:t>
      </w:r>
    </w:p>
    <w:p w14:paraId="67183722" w14:textId="77777777" w:rsidR="000E48CE" w:rsidRDefault="00FF4C4E">
      <w:pPr>
        <w:pStyle w:val="P68B1DB1-Normal4"/>
        <w:numPr>
          <w:ilvl w:val="0"/>
          <w:numId w:val="114"/>
        </w:numPr>
        <w:spacing w:before="120" w:after="160" w:line="240" w:lineRule="auto"/>
        <w:ind w:left="360"/>
        <w:contextualSpacing/>
        <w:jc w:val="both"/>
        <w:rPr>
          <w:rFonts w:cs="Times New Roman"/>
          <w:noProof/>
        </w:rPr>
      </w:pPr>
      <w:r>
        <w:rPr>
          <w:noProof/>
        </w:rPr>
        <w:t>Valmistellaan kestävän matkailun strategiaa Espanja 2030, joka muodostaa kansallisen matkailuohjelman, jolla vastataan alan haasteisiin keskipitkällä ja pitkällä aikavälillä ja edist</w:t>
      </w:r>
      <w:r>
        <w:rPr>
          <w:noProof/>
        </w:rPr>
        <w:t>etään kestävyyden kolmea pilaria: sosioekonominen, ympäristöllinen ja alueellinen</w:t>
      </w:r>
    </w:p>
    <w:p w14:paraId="27081162" w14:textId="77777777" w:rsidR="000E48CE" w:rsidRDefault="00FF4C4E">
      <w:pPr>
        <w:pStyle w:val="P68B1DB1-Normal4"/>
        <w:numPr>
          <w:ilvl w:val="0"/>
          <w:numId w:val="114"/>
        </w:numPr>
        <w:spacing w:before="120" w:after="160" w:line="240" w:lineRule="auto"/>
        <w:ind w:left="360"/>
        <w:contextualSpacing/>
        <w:jc w:val="both"/>
        <w:rPr>
          <w:rFonts w:cs="Times New Roman"/>
          <w:noProof/>
        </w:rPr>
      </w:pPr>
      <w:r>
        <w:rPr>
          <w:noProof/>
        </w:rPr>
        <w:t>Matkailun kestävyyssuunnitelmat matkailukohteissa: Nämä osatoimenpiteet toteutetaan seuraavassa järjestyksessä:</w:t>
      </w:r>
    </w:p>
    <w:p w14:paraId="7B8FA401" w14:textId="77777777" w:rsidR="000E48CE" w:rsidRDefault="00FF4C4E">
      <w:pPr>
        <w:pStyle w:val="P68B1DB1-Normal4"/>
        <w:numPr>
          <w:ilvl w:val="0"/>
          <w:numId w:val="116"/>
        </w:numPr>
        <w:spacing w:before="120" w:after="160" w:line="240" w:lineRule="auto"/>
        <w:ind w:left="1069"/>
        <w:contextualSpacing/>
        <w:jc w:val="both"/>
        <w:rPr>
          <w:rFonts w:cs="Times New Roman"/>
          <w:noProof/>
        </w:rPr>
      </w:pPr>
      <w:r>
        <w:rPr>
          <w:noProof/>
        </w:rPr>
        <w:t>Matkailun kestävyysstrategian valmistelu määräpaikassa. Strate</w:t>
      </w:r>
      <w:r>
        <w:rPr>
          <w:noProof/>
        </w:rPr>
        <w:t>gia tarjoaa perustan matkailuhallinnon toimien jäsentämiselle, suunnittelulle, kehittämiselle ja arvioinnille matkailukohteiden muuttamiseksi kestävien kriteerien mukaisesti ja Agenda 2030:n kestävän kehityksen tavoitteiden mukaisesti.</w:t>
      </w:r>
    </w:p>
    <w:p w14:paraId="5093BE89" w14:textId="77777777" w:rsidR="000E48CE" w:rsidRDefault="00FF4C4E">
      <w:pPr>
        <w:pStyle w:val="P68B1DB1-Normal4"/>
        <w:numPr>
          <w:ilvl w:val="0"/>
          <w:numId w:val="116"/>
        </w:numPr>
        <w:spacing w:before="120" w:after="160" w:line="240" w:lineRule="auto"/>
        <w:ind w:left="1069"/>
        <w:contextualSpacing/>
        <w:jc w:val="both"/>
        <w:rPr>
          <w:rFonts w:cs="Times New Roman"/>
          <w:noProof/>
        </w:rPr>
      </w:pPr>
      <w:r>
        <w:rPr>
          <w:noProof/>
        </w:rPr>
        <w:t>Matkailun kestävyyss</w:t>
      </w:r>
      <w:r>
        <w:rPr>
          <w:noProof/>
        </w:rPr>
        <w:t xml:space="preserve">uunnitelman valmistelu. Ohjelmassa vahvistetaan itsehallintoalueiden ja paikallisviranomaisten osallistumisen edellytykset, soveltamisala, investointien vähimmäismäärät, ehdotusten jättämismenettely sekä niiden hyväksymistä, täytäntöönpanoa ja perusteluja </w:t>
      </w:r>
      <w:r>
        <w:rPr>
          <w:noProof/>
        </w:rPr>
        <w:t xml:space="preserve">koskevat säännöt. </w:t>
      </w:r>
    </w:p>
    <w:p w14:paraId="4F01777E" w14:textId="77777777" w:rsidR="000E48CE" w:rsidRDefault="00FF4C4E">
      <w:pPr>
        <w:pStyle w:val="P68B1DB1-Normal4"/>
        <w:numPr>
          <w:ilvl w:val="0"/>
          <w:numId w:val="116"/>
        </w:numPr>
        <w:spacing w:before="160" w:after="160" w:line="240" w:lineRule="auto"/>
        <w:ind w:left="1069"/>
        <w:contextualSpacing/>
        <w:jc w:val="both"/>
        <w:rPr>
          <w:rFonts w:cs="Times New Roman"/>
          <w:noProof/>
        </w:rPr>
      </w:pPr>
      <w:r>
        <w:rPr>
          <w:noProof/>
        </w:rPr>
        <w:t xml:space="preserve">Matkailun kestävyyttä matkailukohteissa koskevien alueellisten suunnitelmien valmistelu ja täytäntöönpano. Niitä kehitetään osallistavalla ja yhteistyöhön perustuvalla prosessilla, johon osallistuvat kolme toimivaltaista julkishallintoa </w:t>
      </w:r>
      <w:r>
        <w:rPr>
          <w:noProof/>
        </w:rPr>
        <w:t>ja matkailukohteen matkailuekosysteemin eri julkiset ja yksityiset toimijat. Niiden avulla kukin alue ja matkakohde voivat vastata matkailun kestävyyden haasteisiin käyttäessään matkailun suunnitteluvaltuuksiaan ja Espanjan hallituksen hyväksymän matkailun</w:t>
      </w:r>
      <w:r>
        <w:rPr>
          <w:noProof/>
        </w:rPr>
        <w:t xml:space="preserve"> kestävyysstrategian puitteissa. Nämä suunnitelmat koostuvat toimista seuraavilla aloilla:</w:t>
      </w:r>
    </w:p>
    <w:p w14:paraId="065201EE" w14:textId="77777777" w:rsidR="000E48CE" w:rsidRDefault="00FF4C4E">
      <w:pPr>
        <w:pStyle w:val="P68B1DB1-ListParagraph7"/>
        <w:numPr>
          <w:ilvl w:val="1"/>
          <w:numId w:val="117"/>
        </w:numPr>
        <w:spacing w:before="160" w:line="240" w:lineRule="auto"/>
        <w:ind w:left="1786" w:hanging="357"/>
        <w:rPr>
          <w:rFonts w:cs="Times New Roman"/>
          <w:noProof/>
        </w:rPr>
      </w:pPr>
      <w:r>
        <w:rPr>
          <w:noProof/>
        </w:rPr>
        <w:t>Vihreä siirtymä, mukaan lukien tämän investoinnin mukaiset toimet, jotka koskevat ympäristön ennallistamista, julkisen käytön hallintaa suojelluilla luonnonalueilla,</w:t>
      </w:r>
      <w:r>
        <w:rPr>
          <w:noProof/>
        </w:rPr>
        <w:t xml:space="preserve"> matkailun sertifiointijärjestelmien täytäntöönpanoa, kiertotaloustoimenpiteiden toteuttamista julkisissa palveluissa ja pyörätettävien/pyörettävien maaseutuväylien rakentamista.</w:t>
      </w:r>
    </w:p>
    <w:p w14:paraId="1320C32F" w14:textId="77777777" w:rsidR="000E48CE" w:rsidRDefault="00FF4C4E">
      <w:pPr>
        <w:pStyle w:val="P68B1DB1-Normal4"/>
        <w:numPr>
          <w:ilvl w:val="1"/>
          <w:numId w:val="117"/>
        </w:numPr>
        <w:spacing w:before="160" w:after="160" w:line="240" w:lineRule="auto"/>
        <w:ind w:left="1789"/>
        <w:contextualSpacing/>
        <w:jc w:val="both"/>
        <w:rPr>
          <w:rFonts w:cs="Times New Roman"/>
          <w:noProof/>
        </w:rPr>
      </w:pPr>
      <w:r>
        <w:rPr>
          <w:noProof/>
        </w:rPr>
        <w:t xml:space="preserve">Energiatehokkuus, mukaan lukien tähän investointiin liittyvät toimet, joilla </w:t>
      </w:r>
      <w:r>
        <w:rPr>
          <w:noProof/>
        </w:rPr>
        <w:t>vähennetään rakennusten, julkisen infrastruktuurin ja palvelujen hiilidioksidipäästöjä, hillitään ilmastonmuutosta, otetaan käyttöön ympäristöteknologioita, vähennetään hiilestä ja edistetään kestävää liikkuvuutta tai parannetaan kaupunkiympäristöä.</w:t>
      </w:r>
    </w:p>
    <w:p w14:paraId="6AEC8CA2" w14:textId="77777777" w:rsidR="000E48CE" w:rsidRDefault="00FF4C4E">
      <w:pPr>
        <w:pStyle w:val="P68B1DB1-Normal8"/>
        <w:numPr>
          <w:ilvl w:val="1"/>
          <w:numId w:val="117"/>
        </w:numPr>
        <w:spacing w:before="160" w:after="160" w:line="240" w:lineRule="auto"/>
        <w:ind w:left="1789"/>
        <w:contextualSpacing/>
        <w:jc w:val="both"/>
        <w:rPr>
          <w:rFonts w:cs="Times New Roman"/>
          <w:noProof/>
          <w:sz w:val="24"/>
        </w:rPr>
      </w:pPr>
      <w:r>
        <w:rPr>
          <w:noProof/>
          <w:sz w:val="24"/>
        </w:rPr>
        <w:t>Digita</w:t>
      </w:r>
      <w:r>
        <w:rPr>
          <w:noProof/>
          <w:sz w:val="24"/>
        </w:rPr>
        <w:t>lisaatio, mukaan lukien tämän investoinnin puitteissa toteutettavat toimet, joilla digitalisoidaan matkakohteissa oleville matkailijoille tarjottavia palveluja, kehitetään matkailukohteen digitaalista jalanjälkeä tai markkinatietoisuutta ja matkailun kysyn</w:t>
      </w:r>
      <w:r>
        <w:rPr>
          <w:noProof/>
          <w:sz w:val="24"/>
        </w:rPr>
        <w:t>nän hallintaa</w:t>
      </w:r>
      <w:r>
        <w:rPr>
          <w:noProof/>
          <w:sz w:val="18"/>
        </w:rPr>
        <w:t xml:space="preserve">. </w:t>
      </w:r>
    </w:p>
    <w:p w14:paraId="0FDC034A" w14:textId="77777777" w:rsidR="000E48CE" w:rsidRDefault="00FF4C4E">
      <w:pPr>
        <w:pStyle w:val="P68B1DB1-Normal4"/>
        <w:numPr>
          <w:ilvl w:val="1"/>
          <w:numId w:val="117"/>
        </w:numPr>
        <w:spacing w:before="160" w:after="160" w:line="240" w:lineRule="auto"/>
        <w:ind w:left="1789"/>
        <w:contextualSpacing/>
        <w:jc w:val="both"/>
        <w:rPr>
          <w:rFonts w:cs="Times New Roman"/>
          <w:noProof/>
        </w:rPr>
      </w:pPr>
      <w:r>
        <w:rPr>
          <w:noProof/>
        </w:rPr>
        <w:t>Kilpailukyvyn muutos, mukaan lukien tämän investoinnin puitteissa toteutettavat toimet, joilla pyritään laajentamaan saavutettavuutta matkakohteen kautta, parantamaan paikallisia julkisia matkailuinfrastruktuureja tai edistämään työpaikkoje</w:t>
      </w:r>
      <w:r>
        <w:rPr>
          <w:noProof/>
        </w:rPr>
        <w:t>n luomista kehittämällä uusia matkailutuotteita, kuten kulttuuri-, luonto-, gastronomia- tai perinteisiä käsityö- ja teollisuustuotteita.</w:t>
      </w:r>
    </w:p>
    <w:p w14:paraId="0676D8AC" w14:textId="77777777" w:rsidR="000E48CE" w:rsidRDefault="00FF4C4E">
      <w:pPr>
        <w:pStyle w:val="P68B1DB1-Normal4"/>
        <w:numPr>
          <w:ilvl w:val="0"/>
          <w:numId w:val="114"/>
        </w:numPr>
        <w:spacing w:before="160" w:after="160" w:line="240" w:lineRule="auto"/>
        <w:ind w:left="360"/>
        <w:contextualSpacing/>
        <w:jc w:val="both"/>
        <w:rPr>
          <w:rFonts w:cs="Times New Roman"/>
          <w:noProof/>
        </w:rPr>
      </w:pPr>
      <w:r>
        <w:rPr>
          <w:noProof/>
        </w:rPr>
        <w:t>Matkailualan sosiaalista kestävyyttä koskeva suunnitelma.</w:t>
      </w:r>
    </w:p>
    <w:p w14:paraId="1862E719" w14:textId="77777777" w:rsidR="000E48CE" w:rsidRDefault="00FF4C4E">
      <w:pPr>
        <w:pStyle w:val="P68B1DB1-Normal4"/>
        <w:numPr>
          <w:ilvl w:val="0"/>
          <w:numId w:val="114"/>
        </w:numPr>
        <w:spacing w:before="120" w:after="120" w:line="240" w:lineRule="auto"/>
        <w:ind w:left="360"/>
        <w:contextualSpacing/>
        <w:jc w:val="both"/>
        <w:rPr>
          <w:rFonts w:cs="Times New Roman"/>
          <w:noProof/>
        </w:rPr>
      </w:pPr>
      <w:r>
        <w:rPr>
          <w:noProof/>
        </w:rPr>
        <w:t>Muutetaan Espanjan matkailukohteita koskeva nykyinen matkail</w:t>
      </w:r>
      <w:r>
        <w:rPr>
          <w:noProof/>
        </w:rPr>
        <w:t>un laatujärjestelmä (SICTED) matkailukohteiden kattavaksi kestävän matkailun järjestelmäksi. Tähän sisältyy uuden prosessin ja ohjeistuksen kehittäminen, nykyisen tietoteknisen alustan päivittäminen, uusien matkailun kestävyyttä edistävien toimijoiden koul</w:t>
      </w:r>
      <w:r>
        <w:rPr>
          <w:noProof/>
        </w:rPr>
        <w:t>uttaminen ja tiedonkeruumekanismin kehittäminen matkailuasuntomarkkinoiden analysoimiseksi ja seuraamiseksi koko Espanjassa.</w:t>
      </w:r>
    </w:p>
    <w:p w14:paraId="25486ECB" w14:textId="77777777" w:rsidR="000E48CE" w:rsidRDefault="00FF4C4E">
      <w:pPr>
        <w:pStyle w:val="P68B1DB1-Normal4"/>
        <w:spacing w:before="120" w:after="120" w:line="240" w:lineRule="auto"/>
        <w:jc w:val="both"/>
        <w:rPr>
          <w:rFonts w:cs="Times New Roman"/>
          <w:noProof/>
        </w:rPr>
      </w:pPr>
      <w:r>
        <w:rPr>
          <w:noProof/>
        </w:rPr>
        <w:t>Tämän investoinnin mukaiset toimet toteutetaan 1 päivän tammikuuta 2021 ja 30 päivän kesäkuuta 2026 välisenä aikana, ja ne maksetaa</w:t>
      </w:r>
      <w:r>
        <w:rPr>
          <w:noProof/>
        </w:rPr>
        <w:t>n paikallisviranomaisille 1 päivän tammikuuta 2021 ja 31 päivän joulukuuta 2023 välisenä aikana ja ne toteutetaan vuoteen 2026 saakka. Tämän investoinnin puitteissa toteutettavat hankkeet, joilla edistetään matkailukohteiden kestävyyttä, on saatettava päät</w:t>
      </w:r>
      <w:r>
        <w:rPr>
          <w:noProof/>
        </w:rPr>
        <w:t xml:space="preserve">ökseen viimeistään 30 päivänä kesäkuuta 2026. </w:t>
      </w:r>
    </w:p>
    <w:p w14:paraId="66CF2AE0" w14:textId="173CF646"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noudattaa ”ei merkittävää haittaa” -periaatetta koskevaa teknistä ohjetta (2021/C58/01), tulevien hankepyyntöjen tehtävänmääritykseen sisältyviin tukikelpoisuusperusteisiin</w:t>
      </w:r>
      <w:r>
        <w:rPr>
          <w:rFonts w:ascii="Times New Roman" w:hAnsi="Times New Roman"/>
          <w:noProof/>
        </w:rPr>
        <w:t xml:space="preserve"> ei lueta seuraavia toimia: fossiilisiin polttoaineisiin liittyvät toiminnot, mukaan lukien käyttö loppupäässä</w:t>
      </w:r>
      <w:r>
        <w:rPr>
          <w:rStyle w:val="FootnoteReference"/>
          <w:rFonts w:ascii="Times New Roman" w:hAnsi="Times New Roman" w:cs="Times New Roman"/>
          <w:noProof/>
        </w:rPr>
        <w:footnoteReference w:id="152"/>
      </w:r>
      <w:r>
        <w:rPr>
          <w:rFonts w:ascii="Times New Roman" w:hAnsi="Times New Roman"/>
          <w:noProof/>
        </w:rPr>
        <w:t>; II) EU:n päästökauppajärjestelmään kuuluvat toimet, joilla saavutetaan ennustetut kasvihuonekaasupäästöt, jotka eivät alita asiaankuuluvia vert</w:t>
      </w:r>
      <w:r>
        <w:rPr>
          <w:rFonts w:ascii="Times New Roman" w:hAnsi="Times New Roman"/>
          <w:noProof/>
        </w:rPr>
        <w:t>ailuarvoja</w:t>
      </w:r>
      <w:r>
        <w:rPr>
          <w:rStyle w:val="FootnoteReference"/>
          <w:rFonts w:ascii="Times New Roman" w:hAnsi="Times New Roman" w:cs="Times New Roman"/>
          <w:noProof/>
        </w:rPr>
        <w:footnoteReference w:id="153"/>
      </w:r>
      <w:r>
        <w:rPr>
          <w:rFonts w:ascii="Times New Roman" w:hAnsi="Times New Roman"/>
          <w:noProof/>
        </w:rPr>
        <w:t>; jätteiden kaatopaikkoihin, polttolaitoksiin</w:t>
      </w:r>
      <w:r>
        <w:rPr>
          <w:rStyle w:val="FootnoteReference"/>
          <w:rFonts w:ascii="Times New Roman" w:hAnsi="Times New Roman" w:cs="Times New Roman"/>
          <w:noProof/>
        </w:rPr>
        <w:footnoteReference w:id="154"/>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55"/>
      </w:r>
      <w:r>
        <w:rPr>
          <w:rFonts w:ascii="Times New Roman" w:hAnsi="Times New Roman"/>
          <w:noProof/>
        </w:rPr>
        <w:t>; ja iv) toiminnot, joissa jätteiden pitkän aikavälin loppukäsittely voi aiheuttaa haittaa ympäristölle. Tehtävänmäärityksessä on lisä</w:t>
      </w:r>
      <w:r>
        <w:rPr>
          <w:rFonts w:ascii="Times New Roman" w:hAnsi="Times New Roman"/>
          <w:noProof/>
        </w:rPr>
        <w:t xml:space="preserve">ksi edellytettävä, että ainoastaan asiaa koskevan EU:n ja kansallisen ympäristölainsäädännön mukaisia toimintoja voidaan valita. Valintaperusteilla on lisäksi varmistettava, että tukea voidaan myöntää ainoastaan toimille, jotka ovat asiaa koskevan EU:n ja </w:t>
      </w:r>
      <w:r>
        <w:rPr>
          <w:rFonts w:ascii="Times New Roman" w:hAnsi="Times New Roman"/>
          <w:noProof/>
        </w:rPr>
        <w:t xml:space="preserve">kansallisen ympäristölainsäädännön mukaisia. Valintaperusteilla on varmistettava, että vähintään 359 miljoonalla eurolla edistetään ilmastonmuutostavoitteiden saavuttamista 100 prosentin ilmastokertoimella ja vähintään 519 miljoonalla eurolla 40 prosentin </w:t>
      </w:r>
      <w:r>
        <w:rPr>
          <w:rFonts w:ascii="Times New Roman" w:hAnsi="Times New Roman"/>
          <w:noProof/>
        </w:rPr>
        <w:t>ilmastokertoimella elpymis- ja palautumistukivälinettä koskevan asetuksen (EU) 2021/241 liitteen VI mukaisesti. Vaihtoehtoisesti valintaperusteilla on varmistettava, että vähintään 1 788,6 miljoonalla eurolla edistetään ilmastonmuutostavoitteiden saavuttam</w:t>
      </w:r>
      <w:r>
        <w:rPr>
          <w:rFonts w:ascii="Times New Roman" w:hAnsi="Times New Roman"/>
          <w:noProof/>
        </w:rPr>
        <w:t>ista siten, että keskimääräinen ilmastokerroin on vähintään 31,7 prosenttia Euroopan parlamentin ja neuvoston asetuksen (EU) 2021/241 liitteen VI mukaisesti. Tämä keskimääräinen rahoitusosuus voidaan saavuttaa käyttämällä kaikkia asetuksen (EU) 2021/241 li</w:t>
      </w:r>
      <w:r>
        <w:rPr>
          <w:rFonts w:ascii="Times New Roman" w:hAnsi="Times New Roman"/>
          <w:noProof/>
        </w:rPr>
        <w:t>itteessä VI esitettyjä tukitoimialoja.</w:t>
      </w:r>
    </w:p>
    <w:p w14:paraId="34ACB801"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2026.</w:t>
      </w:r>
    </w:p>
    <w:p w14:paraId="611BD607" w14:textId="77777777" w:rsidR="000E48CE" w:rsidRDefault="00FF4C4E">
      <w:pPr>
        <w:pStyle w:val="P68B1DB1-Normal6"/>
        <w:keepNext/>
        <w:spacing w:before="120" w:after="120" w:line="240" w:lineRule="auto"/>
        <w:jc w:val="both"/>
        <w:rPr>
          <w:rFonts w:cs="Times New Roman"/>
          <w:noProof/>
        </w:rPr>
      </w:pPr>
      <w:r>
        <w:rPr>
          <w:noProof/>
        </w:rPr>
        <w:t>Investointi 2 (C14.I2) – Digitalisaatio- ja tiedusteluohjelma matkakohteita ja matkailualaa varten</w:t>
      </w:r>
    </w:p>
    <w:p w14:paraId="03EEB851" w14:textId="77777777" w:rsidR="000E48CE" w:rsidRDefault="00FF4C4E">
      <w:pPr>
        <w:pStyle w:val="P68B1DB1-Normal4"/>
        <w:keepNext/>
        <w:spacing w:before="120" w:after="120" w:line="240" w:lineRule="auto"/>
        <w:jc w:val="both"/>
        <w:rPr>
          <w:rFonts w:cs="Times New Roman"/>
          <w:noProof/>
        </w:rPr>
      </w:pPr>
      <w:r>
        <w:rPr>
          <w:noProof/>
        </w:rPr>
        <w:t xml:space="preserve">Tämän investoinnin tavoitteena on kehittää </w:t>
      </w:r>
      <w:r>
        <w:rPr>
          <w:noProof/>
        </w:rPr>
        <w:t>älykkäisiin kohteisiin keskittyvä alusta, joka tarjoaa yhteentoimivia julkisia ja yksityisiä palveluja matkailijoiden saataville.  Tätä täydennetään kehittämällä matkailutiedustelujärjestelmä ja joukko aloitteita, joilla edistetään Espanjan älykkäiden matk</w:t>
      </w:r>
      <w:r>
        <w:rPr>
          <w:noProof/>
        </w:rPr>
        <w:t>akohteiden verkostoa. Tämän investoinnin mukaisilla toimilla tuetaan myös tekoälyyn ja muihin mahdollistaviin teknologioihin perustuvia digitaalisia ratkaisuja matkailualan yrityksissä ja tarjotaan rahoitusta teollisten data-avaruuksien kehittämiseen ja di</w:t>
      </w:r>
      <w:r>
        <w:rPr>
          <w:noProof/>
        </w:rPr>
        <w:t xml:space="preserve">gitaalisen innovoinnin edistämiseen matkailualalla. </w:t>
      </w:r>
    </w:p>
    <w:p w14:paraId="7821B2DF" w14:textId="77777777" w:rsidR="000E48CE" w:rsidRDefault="00FF4C4E">
      <w:pPr>
        <w:pStyle w:val="P68B1DB1-Normal4"/>
        <w:spacing w:before="120" w:after="120" w:line="240" w:lineRule="auto"/>
        <w:jc w:val="both"/>
        <w:rPr>
          <w:rFonts w:cs="Times New Roman"/>
          <w:noProof/>
        </w:rPr>
      </w:pPr>
      <w:r>
        <w:rPr>
          <w:noProof/>
        </w:rPr>
        <w:t>Tämän investoinnin mukaiset toimet toteutetaan tarjouskilpailujen ja suorien investointien kautta. Vähintään 1000 yritystä tai klusteria on saanut rahoitusta tekoälyyn ja muihin mahdollistaviin teknologi</w:t>
      </w:r>
      <w:r>
        <w:rPr>
          <w:noProof/>
        </w:rPr>
        <w:t>oihin liittyvistä investointihankkeista, ja älykkään matkailun foorumi on käynnistettävä viimeistään 30 päivänä kesäkuuta 2025.</w:t>
      </w:r>
    </w:p>
    <w:p w14:paraId="3FD7FEBC"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2025.</w:t>
      </w:r>
    </w:p>
    <w:p w14:paraId="5C545786" w14:textId="77777777" w:rsidR="000E48CE" w:rsidRDefault="00FF4C4E">
      <w:pPr>
        <w:pStyle w:val="P68B1DB1-Normal6"/>
        <w:spacing w:before="120" w:after="120" w:line="240" w:lineRule="auto"/>
        <w:jc w:val="both"/>
        <w:rPr>
          <w:rFonts w:cs="Times New Roman"/>
          <w:noProof/>
        </w:rPr>
      </w:pPr>
      <w:r>
        <w:rPr>
          <w:noProof/>
        </w:rPr>
        <w:t xml:space="preserve">Investointi 3 (C14.I3) – Matkailun häiriönsietokykyä </w:t>
      </w:r>
      <w:r>
        <w:rPr>
          <w:noProof/>
        </w:rPr>
        <w:t>koskevat strategiat saarialueiden ulkopuolella</w:t>
      </w:r>
    </w:p>
    <w:p w14:paraId="2AAE98BB" w14:textId="77777777" w:rsidR="000E48CE" w:rsidRDefault="00FF4C4E">
      <w:pPr>
        <w:pStyle w:val="P68B1DB1-Normal4"/>
        <w:spacing w:before="120" w:after="120" w:line="240" w:lineRule="auto"/>
        <w:jc w:val="both"/>
        <w:rPr>
          <w:rFonts w:cs="Times New Roman"/>
          <w:noProof/>
        </w:rPr>
      </w:pPr>
      <w:r>
        <w:rPr>
          <w:noProof/>
        </w:rPr>
        <w:t xml:space="preserve">Investoinnin kohteena ovat Baleaarit, Kanariansaaret, Ceuta ja Melilla. Tavoitteena on vastata matkailualan erityishaasteisiin näillä alueilla. Toimenpiteillä parannetaan näiden alueiden kilpailukykyä ja </w:t>
      </w:r>
      <w:r>
        <w:rPr>
          <w:noProof/>
        </w:rPr>
        <w:t>valmiuksia sopeutua kansainvälisten markkinoiden muutoksiin, ja ne koostuvat seuraavista:</w:t>
      </w:r>
    </w:p>
    <w:p w14:paraId="07260ABD" w14:textId="77777777" w:rsidR="000E48CE" w:rsidRDefault="00FF4C4E">
      <w:pPr>
        <w:pStyle w:val="P68B1DB1-ListParagraph7"/>
        <w:numPr>
          <w:ilvl w:val="0"/>
          <w:numId w:val="721"/>
        </w:numPr>
        <w:spacing w:before="120" w:line="240" w:lineRule="auto"/>
        <w:jc w:val="both"/>
        <w:rPr>
          <w:rFonts w:cs="Times New Roman"/>
          <w:noProof/>
        </w:rPr>
      </w:pPr>
      <w:r>
        <w:rPr>
          <w:noProof/>
        </w:rPr>
        <w:t>julkinen infrastruktuuri, jossa keskitytään erityisesti julkisten tilojen parantamiseen matkailun, ympäristöasioiden ja jätehuollon edistämiseksi sekä vanhentuneen ma</w:t>
      </w:r>
      <w:r>
        <w:rPr>
          <w:noProof/>
        </w:rPr>
        <w:t>tkailuinfrastruktuurin uudelleenkoulutukseen;</w:t>
      </w:r>
    </w:p>
    <w:p w14:paraId="5976AF1A" w14:textId="77777777" w:rsidR="000E48CE" w:rsidRDefault="00FF4C4E">
      <w:pPr>
        <w:pStyle w:val="P68B1DB1-ListParagraph7"/>
        <w:numPr>
          <w:ilvl w:val="0"/>
          <w:numId w:val="721"/>
        </w:numPr>
        <w:spacing w:before="120" w:line="240" w:lineRule="auto"/>
        <w:jc w:val="both"/>
        <w:rPr>
          <w:rFonts w:cs="Times New Roman"/>
          <w:noProof/>
        </w:rPr>
      </w:pPr>
      <w:r>
        <w:rPr>
          <w:noProof/>
        </w:rPr>
        <w:t>julkisten palvelujen vahvistaminen alueilla, joilla on erityistä vaikutusta matkailuun: hallinto-, turvallisuus- ja terveyspalvelut;</w:t>
      </w:r>
    </w:p>
    <w:p w14:paraId="39286C5C" w14:textId="77777777" w:rsidR="000E48CE" w:rsidRDefault="00FF4C4E">
      <w:pPr>
        <w:pStyle w:val="P68B1DB1-ListParagraph7"/>
        <w:numPr>
          <w:ilvl w:val="0"/>
          <w:numId w:val="721"/>
        </w:numPr>
        <w:spacing w:before="120" w:line="240" w:lineRule="auto"/>
        <w:jc w:val="both"/>
        <w:rPr>
          <w:rFonts w:cs="Times New Roman"/>
          <w:noProof/>
        </w:rPr>
      </w:pPr>
      <w:r>
        <w:rPr>
          <w:noProof/>
        </w:rPr>
        <w:t>koulutus, jossa keskitytään erityisesti matkailualaan liittyvään nuorisokoulu</w:t>
      </w:r>
      <w:r>
        <w:rPr>
          <w:noProof/>
        </w:rPr>
        <w:t>tukseen;</w:t>
      </w:r>
    </w:p>
    <w:p w14:paraId="5ED1DF2F" w14:textId="77777777" w:rsidR="000E48CE" w:rsidRDefault="00FF4C4E">
      <w:pPr>
        <w:pStyle w:val="P68B1DB1-ListParagraph7"/>
        <w:numPr>
          <w:ilvl w:val="0"/>
          <w:numId w:val="721"/>
        </w:numPr>
        <w:spacing w:before="120" w:line="240" w:lineRule="auto"/>
        <w:jc w:val="both"/>
        <w:rPr>
          <w:rFonts w:cs="Times New Roman"/>
          <w:noProof/>
        </w:rPr>
      </w:pPr>
      <w:r>
        <w:rPr>
          <w:noProof/>
        </w:rPr>
        <w:t>vaihtoehtoisten matkailutuotteiden kehittäminen ja matkailutarjonnan nykyaikaistaminen;</w:t>
      </w:r>
    </w:p>
    <w:p w14:paraId="346BFF24" w14:textId="77777777" w:rsidR="000E48CE" w:rsidRDefault="00FF4C4E">
      <w:pPr>
        <w:pStyle w:val="P68B1DB1-ListParagraph7"/>
        <w:numPr>
          <w:ilvl w:val="0"/>
          <w:numId w:val="721"/>
        </w:numPr>
        <w:spacing w:before="120" w:line="240" w:lineRule="auto"/>
        <w:jc w:val="both"/>
        <w:rPr>
          <w:rFonts w:cs="Times New Roman"/>
          <w:noProof/>
        </w:rPr>
      </w:pPr>
      <w:r>
        <w:rPr>
          <w:noProof/>
        </w:rPr>
        <w:t>kannustimet, joilla helpotetaan yhteyksiä alueille ja matkailuyritysten toimintaa sesongin ulkopuolella;</w:t>
      </w:r>
    </w:p>
    <w:p w14:paraId="2E27E597" w14:textId="77777777" w:rsidR="000E48CE" w:rsidRDefault="00FF4C4E">
      <w:pPr>
        <w:pStyle w:val="P68B1DB1-ListParagraph7"/>
        <w:numPr>
          <w:ilvl w:val="0"/>
          <w:numId w:val="721"/>
        </w:numPr>
        <w:spacing w:before="120" w:line="240" w:lineRule="auto"/>
        <w:jc w:val="both"/>
        <w:rPr>
          <w:rFonts w:cs="Times New Roman"/>
          <w:noProof/>
        </w:rPr>
      </w:pPr>
      <w:r>
        <w:rPr>
          <w:noProof/>
        </w:rPr>
        <w:t>kansallisten ja kansainvälisten reuna-alueiden edistäm</w:t>
      </w:r>
      <w:r>
        <w:rPr>
          <w:noProof/>
        </w:rPr>
        <w:t>inen historiallisesti kulttuurisesti kiinnostavina matkailukohteina; ja</w:t>
      </w:r>
    </w:p>
    <w:p w14:paraId="4B9F9FB5" w14:textId="77777777" w:rsidR="000E48CE" w:rsidRDefault="00FF4C4E">
      <w:pPr>
        <w:pStyle w:val="P68B1DB1-ListParagraph7"/>
        <w:numPr>
          <w:ilvl w:val="0"/>
          <w:numId w:val="721"/>
        </w:numPr>
        <w:spacing w:before="120" w:line="240" w:lineRule="auto"/>
        <w:jc w:val="both"/>
        <w:rPr>
          <w:rFonts w:cs="Times New Roman"/>
          <w:noProof/>
        </w:rPr>
      </w:pPr>
      <w:r>
        <w:rPr>
          <w:noProof/>
        </w:rPr>
        <w:t>kausitasoitetut strategiset myynninedistämistoimet painottaen erityisesti verkkomarkkinointistrategioita, kielten saavutettavuutta, ennakoivia valmiuksia multimediavälineissä ja toimie</w:t>
      </w:r>
      <w:r>
        <w:rPr>
          <w:noProof/>
        </w:rPr>
        <w:t>linten asiakassuhteiden hallintaa.</w:t>
      </w:r>
    </w:p>
    <w:p w14:paraId="45BEB207" w14:textId="77777777" w:rsidR="000E48CE" w:rsidRDefault="00FF4C4E">
      <w:pPr>
        <w:pStyle w:val="P68B1DB1-Normal4"/>
        <w:spacing w:before="120" w:after="120" w:line="240" w:lineRule="auto"/>
        <w:jc w:val="both"/>
        <w:rPr>
          <w:rFonts w:cs="Times New Roman"/>
          <w:noProof/>
        </w:rPr>
      </w:pPr>
      <w:r>
        <w:rPr>
          <w:noProof/>
        </w:rPr>
        <w:t>Vähintään 400 talouden ja yhteiskunnan toimijaa olisi hyötynyt investoinneista saarialueiden ulkopuolisilla alueilla kesäkuuhun 2025 mennessä.</w:t>
      </w:r>
    </w:p>
    <w:p w14:paraId="3FC09720"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2025.</w:t>
      </w:r>
    </w:p>
    <w:p w14:paraId="5A7285A2" w14:textId="77777777" w:rsidR="000E48CE" w:rsidRDefault="00FF4C4E">
      <w:pPr>
        <w:pStyle w:val="P68B1DB1-Normal6"/>
        <w:spacing w:before="120" w:after="120" w:line="240" w:lineRule="auto"/>
        <w:jc w:val="both"/>
        <w:rPr>
          <w:rFonts w:cs="Times New Roman"/>
          <w:noProof/>
        </w:rPr>
      </w:pPr>
      <w:r>
        <w:rPr>
          <w:noProof/>
        </w:rPr>
        <w:t>Inv</w:t>
      </w:r>
      <w:r>
        <w:rPr>
          <w:noProof/>
        </w:rPr>
        <w:t>estointi 4 (C14.I4) – Kilpailukykyyn liittyvät erityistoimet</w:t>
      </w:r>
    </w:p>
    <w:p w14:paraId="767D7DFA" w14:textId="77777777" w:rsidR="000E48CE" w:rsidRDefault="00FF4C4E">
      <w:pPr>
        <w:pStyle w:val="P68B1DB1-Normal4"/>
        <w:spacing w:before="120" w:after="120" w:line="240" w:lineRule="auto"/>
        <w:jc w:val="both"/>
        <w:rPr>
          <w:rFonts w:cs="Times New Roman"/>
          <w:noProof/>
        </w:rPr>
      </w:pPr>
      <w:r>
        <w:rPr>
          <w:noProof/>
        </w:rPr>
        <w:t>Investointi sisältää joukon toimenpiteitä, joilla pyritään parantamaan matkailualan kilpailukykyä. Tämän investoinnin puitteissa tuettaviin erityistoimiin on sisällyttävä seuraavat:</w:t>
      </w:r>
    </w:p>
    <w:p w14:paraId="4756CFC3" w14:textId="77777777" w:rsidR="000E48CE" w:rsidRDefault="00FF4C4E">
      <w:pPr>
        <w:pStyle w:val="P68B1DB1-ListParagraph7"/>
        <w:numPr>
          <w:ilvl w:val="0"/>
          <w:numId w:val="722"/>
        </w:numPr>
        <w:spacing w:before="120" w:line="240" w:lineRule="auto"/>
        <w:jc w:val="both"/>
        <w:rPr>
          <w:rFonts w:cs="Times New Roman"/>
          <w:noProof/>
        </w:rPr>
      </w:pPr>
      <w:r>
        <w:rPr>
          <w:noProof/>
        </w:rPr>
        <w:t>matkailutuott</w:t>
      </w:r>
      <w:r>
        <w:rPr>
          <w:noProof/>
        </w:rPr>
        <w:t>eiden kehittäminen kestävän matkailun tuotekehitysstrategian mukaisesti ja ottaen huomioon muun muassa seuraavat ohjeelliset luokat: gastronominen matkailu, kulttuurimatkailu, kaupunkimatkailu, ekoturismi, liikematkailu, urheilumatkailu, kuten pyöräily, ku</w:t>
      </w:r>
      <w:r>
        <w:rPr>
          <w:noProof/>
        </w:rPr>
        <w:t>lttuuriperintö ja uskonnollinen matkailu;</w:t>
      </w:r>
    </w:p>
    <w:p w14:paraId="686D5410" w14:textId="77777777" w:rsidR="000E48CE" w:rsidRDefault="00FF4C4E">
      <w:pPr>
        <w:pStyle w:val="P68B1DB1-ListParagraph7"/>
        <w:numPr>
          <w:ilvl w:val="0"/>
          <w:numId w:val="722"/>
        </w:numPr>
        <w:spacing w:before="120" w:after="120" w:line="240" w:lineRule="auto"/>
        <w:jc w:val="both"/>
        <w:rPr>
          <w:rFonts w:cs="Times New Roman"/>
          <w:noProof/>
        </w:rPr>
      </w:pPr>
      <w:r>
        <w:rPr>
          <w:noProof/>
        </w:rPr>
        <w:t>hankkeet, joilla pyritään vähentämään matkailulaitosten vuotuista jätettä tai energiankulutusta. Energiankulutuksen vähentämiseksi erityistoimenpiteitä ovat muun muassa anturien asentaminen energiankulutuksen seura</w:t>
      </w:r>
      <w:r>
        <w:rPr>
          <w:noProof/>
        </w:rPr>
        <w:t>ntaan ja optimointiin, energianhallintajärjestelmien (kuten ISO 500001 -sertifioitujen järjestelmien) käytön edistäminen, lämpötehokkaiden materiaalien käyttö, energiatehokkaiden teknologioiden käyttö ja ulkoisten elementtien, kuten varjojen tai puutarhoje</w:t>
      </w:r>
      <w:r>
        <w:rPr>
          <w:noProof/>
        </w:rPr>
        <w:t>n, käyttö. Jätteen vähentämiseen tähtääviin erityistoimenpiteisiin kuuluvat jätteen erottelua sen lähteellä koskevat suunnitelmat sekä toimet, joilla edistetään jätteen uudelleenkäyttöä ja kierrätystä. Lisätoimenpiteitä ovat energiatehokkuutta ja jätehuolt</w:t>
      </w:r>
      <w:r>
        <w:rPr>
          <w:noProof/>
        </w:rPr>
        <w:t xml:space="preserve">oa koskevat tiedotuskampanjat ja -koulutus matkailulaitosten henkilöstölle sekä paikallisten tarvikkeiden tuotannon ja hankinnan edistäminen; </w:t>
      </w:r>
    </w:p>
    <w:p w14:paraId="453EDD0D" w14:textId="77777777" w:rsidR="000E48CE" w:rsidRDefault="00FF4C4E">
      <w:pPr>
        <w:pStyle w:val="P68B1DB1-ListParagraph7"/>
        <w:numPr>
          <w:ilvl w:val="0"/>
          <w:numId w:val="722"/>
        </w:numPr>
        <w:spacing w:before="120" w:after="120" w:line="240" w:lineRule="auto"/>
        <w:jc w:val="both"/>
        <w:rPr>
          <w:rFonts w:cs="Times New Roman"/>
          <w:noProof/>
        </w:rPr>
      </w:pPr>
      <w:r>
        <w:rPr>
          <w:noProof/>
        </w:rPr>
        <w:t xml:space="preserve">historiallisten matkailukohteiden elvyttäminen ja kunnostaminen, mukaan lukien i) hiilijalanjäljen pienentäminen </w:t>
      </w:r>
      <w:r>
        <w:rPr>
          <w:noProof/>
        </w:rPr>
        <w:t>ja korvaaminen laatimalla toimintasuunnitelmia kasvihuonekaasupäästöjen vähentämiseksi, ii) kohteiden ekologinen kunnostaminen, iii) energiatehokkuuden parantaminen korvaamalla diesel- tai polttoainekattiloilla maakaasukattiloilla, iv) toimet ilmastonmuuto</w:t>
      </w:r>
      <w:r>
        <w:rPr>
          <w:noProof/>
        </w:rPr>
        <w:t>kseen sopeutumiseksi, v) harmaan veden käsittelyjärjestelmien parantaminen, vi) jätehuoltojärjestelmien nykyaikaistaminen, vii) tilojen kunnostaminen ja käyttö älykkäällä teknologialla, toimet kohteiden esteettömyyden parantamiseksi ja viii) energian ja ve</w:t>
      </w:r>
      <w:r>
        <w:rPr>
          <w:noProof/>
        </w:rPr>
        <w:t>den kulutuksen vähentämiseksi; ja</w:t>
      </w:r>
    </w:p>
    <w:p w14:paraId="17B32380" w14:textId="77777777" w:rsidR="000E48CE" w:rsidRDefault="00FF4C4E">
      <w:pPr>
        <w:pStyle w:val="P68B1DB1-ListParagraph7"/>
        <w:numPr>
          <w:ilvl w:val="0"/>
          <w:numId w:val="722"/>
        </w:numPr>
        <w:spacing w:before="120" w:after="120" w:line="240" w:lineRule="auto"/>
        <w:jc w:val="both"/>
        <w:rPr>
          <w:rFonts w:cs="Times New Roman"/>
          <w:noProof/>
        </w:rPr>
      </w:pPr>
      <w:r>
        <w:rPr>
          <w:noProof/>
        </w:rPr>
        <w:t>kaupallisten alueiden parantaminen sellaisilla paikallisilla alueilla, joilla matkailijoiden määrä on suuri, mukaan lukien tähän investointiin liittyvät toimet uuteen teknologiaan; teknologisten ratkaisujen toteuttaminen e</w:t>
      </w:r>
      <w:r>
        <w:rPr>
          <w:noProof/>
        </w:rPr>
        <w:t>nergiatehokkuuden parantamiseksi; ekotehokkaat prosessit sekä jätteiden kierrätys ja uudelleenkäyttö; henkilöstön koulutus,  integroitu digitaalinen allekirjoitus, joka on mukautettu ulkomaisille vierailijoille; ja julkisten tilojen mukauttaminen esteettöm</w:t>
      </w:r>
      <w:r>
        <w:rPr>
          <w:noProof/>
        </w:rPr>
        <w:t xml:space="preserve">yyden ja liikkuvuuden parantamiseksi. </w:t>
      </w:r>
    </w:p>
    <w:p w14:paraId="4E65AEEE" w14:textId="77777777" w:rsidR="000E48CE" w:rsidRDefault="000E48CE">
      <w:pPr>
        <w:spacing w:before="120" w:after="120" w:line="240" w:lineRule="auto"/>
        <w:ind w:left="360"/>
        <w:contextualSpacing/>
        <w:jc w:val="both"/>
        <w:rPr>
          <w:rFonts w:ascii="Times New Roman" w:hAnsi="Times New Roman" w:cs="Times New Roman"/>
          <w:noProof/>
          <w:sz w:val="24"/>
        </w:rPr>
      </w:pPr>
    </w:p>
    <w:p w14:paraId="2DF4BA9A" w14:textId="77777777" w:rsidR="000E48CE" w:rsidRDefault="00FF4C4E">
      <w:pPr>
        <w:pStyle w:val="P68B1DB1-Normal4"/>
        <w:spacing w:before="120" w:after="120" w:line="240" w:lineRule="auto"/>
        <w:jc w:val="both"/>
        <w:rPr>
          <w:rFonts w:cs="Times New Roman"/>
          <w:noProof/>
        </w:rPr>
      </w:pPr>
      <w:r>
        <w:rPr>
          <w:noProof/>
        </w:rPr>
        <w:t>Viimeistään 31 päivänä joulukuuta 2024 on saatettava päätökseen vähintään 60 hanketta kaupallisilla alueilla sijaitsevilla paikallisilla alueilla, joille matkailijoiden määrä on suuri. Kesäkuun 30 päivään 2025 mennes</w:t>
      </w:r>
      <w:r>
        <w:rPr>
          <w:noProof/>
        </w:rPr>
        <w:t>sä toteutettujen investointien tuloksena on saatavilla on vähintään 45 uutta matkailutuotetta ja ii) vähintään 3400 matkailuyritystä on täytynyt saattaa päätökseen hankkeet, joilla vähennetään niiden vuotuista jätettä tai energiankulutusta. Vähintään 50 ha</w:t>
      </w:r>
      <w:r>
        <w:rPr>
          <w:noProof/>
        </w:rPr>
        <w:t xml:space="preserve">nketta, jotka kohdistuvat historialliseen matkailuperintöön kuuluviin kohteisiin, on saatettava päätökseen 30 päivään kesäkuuta 2026 mennessä. </w:t>
      </w:r>
    </w:p>
    <w:p w14:paraId="20A76D21" w14:textId="77777777" w:rsidR="000E48CE" w:rsidRDefault="00FF4C4E">
      <w:pPr>
        <w:pStyle w:val="Text1"/>
        <w:ind w:left="0"/>
        <w:rPr>
          <w:rFonts w:ascii="Times New Roman" w:hAnsi="Times New Roman" w:cs="Times New Roman"/>
          <w:noProof/>
        </w:rPr>
      </w:pPr>
      <w:r>
        <w:rPr>
          <w:rFonts w:ascii="Times New Roman" w:hAnsi="Times New Roman"/>
          <w:noProof/>
        </w:rPr>
        <w:t>Sen varmistamiseksi, että toimenpide noudattaa ”ei merkittävää haittaa” -periaatetta koskevaa teknistä ohjetta (</w:t>
      </w:r>
      <w:r>
        <w:rPr>
          <w:rFonts w:ascii="Times New Roman" w:hAnsi="Times New Roman"/>
          <w:noProof/>
        </w:rPr>
        <w:t>2021/C58/01), tulevien hankepyyntöjen tehtävänmääritykseen sisältyviin tukikelpoisuusperusteisiin ei lueta seuraavia toimia: fossiilisiin polttoaineisiin liittyvät toiminnot, mukaan lukien käyttö loppupäässä</w:t>
      </w:r>
      <w:r>
        <w:rPr>
          <w:rStyle w:val="FootnoteReference"/>
          <w:rFonts w:ascii="Times New Roman" w:hAnsi="Times New Roman" w:cs="Times New Roman"/>
          <w:noProof/>
        </w:rPr>
        <w:footnoteReference w:id="156"/>
      </w:r>
      <w:r>
        <w:rPr>
          <w:rFonts w:ascii="Times New Roman" w:hAnsi="Times New Roman"/>
          <w:noProof/>
        </w:rPr>
        <w:t>; II) EU:n päästökauppajärjestelmään kuuluvat to</w:t>
      </w:r>
      <w:r>
        <w:rPr>
          <w:rFonts w:ascii="Times New Roman" w:hAnsi="Times New Roman"/>
          <w:noProof/>
        </w:rPr>
        <w:t>imet, joilla saavutetaan ennustetut kasvihuonekaasupäästöt, jotka eivät alita asiaankuuluvia vertailuarvoja</w:t>
      </w:r>
      <w:r>
        <w:rPr>
          <w:rStyle w:val="FootnoteReference"/>
          <w:rFonts w:ascii="Times New Roman" w:hAnsi="Times New Roman" w:cs="Times New Roman"/>
          <w:noProof/>
        </w:rPr>
        <w:footnoteReference w:id="157"/>
      </w:r>
      <w:r>
        <w:rPr>
          <w:rFonts w:ascii="Times New Roman" w:hAnsi="Times New Roman"/>
          <w:noProof/>
        </w:rPr>
        <w:t>; jätteiden kaatopaikkoihin, polttolaitoksiin</w:t>
      </w:r>
      <w:r>
        <w:rPr>
          <w:rStyle w:val="FootnoteReference"/>
          <w:rFonts w:ascii="Times New Roman" w:hAnsi="Times New Roman" w:cs="Times New Roman"/>
          <w:noProof/>
        </w:rPr>
        <w:footnoteReference w:id="158"/>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59"/>
      </w:r>
      <w:r>
        <w:rPr>
          <w:rFonts w:ascii="Times New Roman" w:hAnsi="Times New Roman"/>
          <w:noProof/>
        </w:rPr>
        <w:t xml:space="preserve">; ja iv) toiminnot, joissa jätteiden </w:t>
      </w:r>
      <w:r>
        <w:rPr>
          <w:rFonts w:ascii="Times New Roman" w:hAnsi="Times New Roman"/>
          <w:noProof/>
        </w:rPr>
        <w:t>pitkän aikavälin loppukäsittely voi aiheuttaa haittaa ympäristölle. Tehtävänmäärityksessä on lisäksi edellytettävä, että ainoastaan asiaa koskevan EU:n ja kansallisen ympäristölainsäädännön mukaisia toimintoja voidaan valita.</w:t>
      </w:r>
    </w:p>
    <w:p w14:paraId="521253E5" w14:textId="77777777" w:rsidR="000E48CE" w:rsidRDefault="00FF4C4E">
      <w:pPr>
        <w:pStyle w:val="P68B1DB1-Text119"/>
        <w:ind w:left="0"/>
        <w:rPr>
          <w:rFonts w:eastAsia="Calibri" w:cs="Times New Roman"/>
          <w:noProof/>
        </w:rPr>
      </w:pPr>
      <w:r>
        <w:rPr>
          <w:noProof/>
        </w:rPr>
        <w:t xml:space="preserve">Investoinnin toteutus </w:t>
      </w:r>
      <w:r>
        <w:rPr>
          <w:noProof/>
        </w:rPr>
        <w:t>saatetaan päätökseen viimeistään 30. kesäkuuta 2026.</w:t>
      </w:r>
    </w:p>
    <w:p w14:paraId="242947EB" w14:textId="77777777" w:rsidR="000E48CE" w:rsidRDefault="000E48CE">
      <w:pPr>
        <w:pStyle w:val="Text1"/>
        <w:ind w:left="0"/>
        <w:rPr>
          <w:rFonts w:ascii="Times New Roman" w:eastAsia="Calibri" w:hAnsi="Times New Roman" w:cs="Times New Roman"/>
          <w:noProof/>
        </w:rPr>
      </w:pPr>
    </w:p>
    <w:p w14:paraId="5EB8C009" w14:textId="77777777" w:rsidR="000E48CE" w:rsidRDefault="00FF4C4E">
      <w:pPr>
        <w:pStyle w:val="P68B1DB1-Normal5"/>
        <w:keepNext/>
        <w:spacing w:before="120" w:after="120" w:line="240" w:lineRule="auto"/>
        <w:ind w:left="709"/>
        <w:jc w:val="both"/>
        <w:rPr>
          <w:rFonts w:cs="Times New Roman"/>
          <w:noProof/>
        </w:rPr>
      </w:pPr>
      <w:r>
        <w:rPr>
          <w:noProof/>
        </w:rPr>
        <w:t xml:space="preserve">N.2 </w:t>
      </w:r>
      <w:r>
        <w:rPr>
          <w:noProof/>
        </w:rPr>
        <w:tab/>
        <w:t>Seurantaa ja täytäntöönpanoa koskevat välitavoitteet, tavoitteet, indikaattorit ja aikataulu – rahoitustuki, jota ei makseta takaisin</w:t>
      </w:r>
    </w:p>
    <w:p w14:paraId="70AC05EA" w14:textId="77777777" w:rsidR="000E48CE" w:rsidRDefault="00FF4C4E">
      <w:pPr>
        <w:pStyle w:val="P68B1DB1-Normal4"/>
        <w:keepNext/>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 on</w:t>
      </w:r>
      <w:r>
        <w:rPr>
          <w:i/>
          <w:noProof/>
        </w:rPr>
        <w:t xml:space="preserve"> 1. helmikuuta 2020, ellei toimen kuvauksessa toisin ilmoiteta. Taulukossa esitetyt määrät eivät sisällä arvonlisäveroa.</w:t>
      </w:r>
    </w:p>
    <w:p w14:paraId="126BCA63" w14:textId="77777777" w:rsidR="000E48CE" w:rsidRDefault="000E48CE">
      <w:pPr>
        <w:spacing w:before="120" w:after="120" w:line="240" w:lineRule="auto"/>
        <w:jc w:val="both"/>
        <w:rPr>
          <w:rFonts w:ascii="Times New Roman" w:hAnsi="Times New Roman" w:cs="Times New Roman"/>
          <w:b/>
          <w:noProof/>
          <w:sz w:val="24"/>
          <w:u w:val="single"/>
        </w:rPr>
      </w:pPr>
    </w:p>
    <w:p w14:paraId="4C3FEC7D" w14:textId="77777777" w:rsidR="000E48CE" w:rsidRDefault="000E48CE">
      <w:pPr>
        <w:spacing w:before="120" w:after="120" w:line="240" w:lineRule="auto"/>
        <w:ind w:left="709"/>
        <w:jc w:val="both"/>
        <w:rPr>
          <w:rFonts w:ascii="Times New Roman" w:hAnsi="Times New Roman" w:cs="Times New Roman"/>
          <w:noProof/>
          <w:sz w:val="24"/>
        </w:rPr>
      </w:pPr>
    </w:p>
    <w:p w14:paraId="4B605DE9"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294"/>
          <w:headerReference w:type="default" r:id="rId295"/>
          <w:footerReference w:type="even" r:id="rId296"/>
          <w:footerReference w:type="default" r:id="rId297"/>
          <w:headerReference w:type="first" r:id="rId298"/>
          <w:footerReference w:type="first" r:id="rId299"/>
          <w:pgSz w:w="11907" w:h="16839"/>
          <w:pgMar w:top="1134" w:right="1417" w:bottom="1134" w:left="1417" w:header="709" w:footer="709" w:gutter="0"/>
          <w:cols w:space="720"/>
          <w:docGrid w:linePitch="360"/>
        </w:sectPr>
      </w:pPr>
    </w:p>
    <w:tbl>
      <w:tblPr>
        <w:tblW w:w="148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418"/>
        <w:gridCol w:w="1276"/>
        <w:gridCol w:w="850"/>
        <w:gridCol w:w="992"/>
        <w:gridCol w:w="567"/>
        <w:gridCol w:w="426"/>
        <w:gridCol w:w="708"/>
        <w:gridCol w:w="6237"/>
      </w:tblGrid>
      <w:tr w:rsidR="000E48CE" w14:paraId="063DFD46" w14:textId="77777777">
        <w:trPr>
          <w:trHeight w:val="309"/>
          <w:tblHeader/>
        </w:trPr>
        <w:tc>
          <w:tcPr>
            <w:tcW w:w="709" w:type="dxa"/>
            <w:tcBorders>
              <w:bottom w:val="nil"/>
            </w:tcBorders>
            <w:shd w:val="clear" w:color="auto" w:fill="C6D9F1" w:themeFill="text2" w:themeFillTint="33"/>
            <w:noWrap/>
            <w:vAlign w:val="center"/>
          </w:tcPr>
          <w:p w14:paraId="4AFFA011"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4BAC7FA5"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33A9C41E" w14:textId="77777777" w:rsidR="000E48CE" w:rsidRDefault="00FF4C4E">
            <w:pPr>
              <w:pStyle w:val="P68B1DB1-Normal13"/>
              <w:spacing w:after="0" w:line="240" w:lineRule="auto"/>
              <w:jc w:val="center"/>
              <w:rPr>
                <w:rFonts w:cs="Times New Roman"/>
                <w:b/>
                <w:noProof/>
              </w:rPr>
            </w:pPr>
            <w:r>
              <w:rPr>
                <w:b/>
                <w:noProof/>
              </w:rPr>
              <w:t>Välitavoite</w:t>
            </w:r>
            <w:r>
              <w:rPr>
                <w:noProof/>
              </w:rPr>
              <w:br/>
            </w:r>
            <w:r>
              <w:rPr>
                <w:b/>
                <w:noProof/>
              </w:rPr>
              <w:t xml:space="preserve"> /Kohde</w:t>
            </w:r>
          </w:p>
        </w:tc>
        <w:tc>
          <w:tcPr>
            <w:tcW w:w="1418" w:type="dxa"/>
            <w:vMerge w:val="restart"/>
            <w:shd w:val="clear" w:color="auto" w:fill="C6D9F1" w:themeFill="text2" w:themeFillTint="33"/>
            <w:noWrap/>
            <w:vAlign w:val="center"/>
          </w:tcPr>
          <w:p w14:paraId="12D59150" w14:textId="77777777" w:rsidR="000E48CE" w:rsidRDefault="00FF4C4E">
            <w:pPr>
              <w:pStyle w:val="P68B1DB1-Normal12"/>
              <w:spacing w:after="0" w:line="240" w:lineRule="auto"/>
              <w:jc w:val="center"/>
              <w:rPr>
                <w:rFonts w:cs="Times New Roman"/>
                <w:noProof/>
              </w:rPr>
            </w:pPr>
            <w:r>
              <w:rPr>
                <w:noProof/>
              </w:rPr>
              <w:t>Nimi</w:t>
            </w:r>
          </w:p>
        </w:tc>
        <w:tc>
          <w:tcPr>
            <w:tcW w:w="1276" w:type="dxa"/>
            <w:vMerge w:val="restart"/>
            <w:shd w:val="clear" w:color="auto" w:fill="C6D9F1" w:themeFill="text2" w:themeFillTint="33"/>
            <w:noWrap/>
            <w:vAlign w:val="center"/>
          </w:tcPr>
          <w:p w14:paraId="26345872" w14:textId="77777777" w:rsidR="000E48CE" w:rsidRDefault="00FF4C4E">
            <w:pPr>
              <w:pStyle w:val="P68B1DB1-Normal12"/>
              <w:spacing w:after="0" w:line="240" w:lineRule="auto"/>
              <w:jc w:val="center"/>
              <w:rPr>
                <w:rFonts w:cs="Times New Roman"/>
                <w:noProof/>
              </w:rPr>
            </w:pPr>
            <w:r>
              <w:rPr>
                <w:noProof/>
              </w:rPr>
              <w:t xml:space="preserve">Välitavoitteiden laadullinen </w:t>
            </w:r>
            <w:r>
              <w:rPr>
                <w:noProof/>
              </w:rPr>
              <w:t>indikaattori</w:t>
            </w:r>
          </w:p>
        </w:tc>
        <w:tc>
          <w:tcPr>
            <w:tcW w:w="2409" w:type="dxa"/>
            <w:gridSpan w:val="3"/>
            <w:shd w:val="clear" w:color="auto" w:fill="C6D9F1" w:themeFill="text2" w:themeFillTint="33"/>
            <w:noWrap/>
            <w:vAlign w:val="center"/>
          </w:tcPr>
          <w:p w14:paraId="4131D199"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134" w:type="dxa"/>
            <w:gridSpan w:val="2"/>
            <w:shd w:val="clear" w:color="auto" w:fill="C6D9F1" w:themeFill="text2" w:themeFillTint="33"/>
            <w:noWrap/>
            <w:vAlign w:val="center"/>
          </w:tcPr>
          <w:p w14:paraId="2F42BFA9" w14:textId="77777777" w:rsidR="000E48CE" w:rsidRDefault="00FF4C4E">
            <w:pPr>
              <w:pStyle w:val="P68B1DB1-Normal12"/>
              <w:spacing w:after="0" w:line="240" w:lineRule="auto"/>
              <w:jc w:val="center"/>
              <w:rPr>
                <w:rFonts w:cs="Times New Roman"/>
                <w:noProof/>
              </w:rPr>
            </w:pPr>
            <w:r>
              <w:rPr>
                <w:noProof/>
              </w:rPr>
              <w:t>Aika</w:t>
            </w:r>
          </w:p>
        </w:tc>
        <w:tc>
          <w:tcPr>
            <w:tcW w:w="6237" w:type="dxa"/>
            <w:vMerge w:val="restart"/>
            <w:shd w:val="clear" w:color="auto" w:fill="C6D9F1" w:themeFill="text2" w:themeFillTint="33"/>
            <w:noWrap/>
            <w:vAlign w:val="center"/>
          </w:tcPr>
          <w:p w14:paraId="2EBF9182"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4688A0EE" w14:textId="77777777">
        <w:trPr>
          <w:trHeight w:val="309"/>
          <w:tblHeader/>
        </w:trPr>
        <w:tc>
          <w:tcPr>
            <w:tcW w:w="709" w:type="dxa"/>
            <w:tcBorders>
              <w:top w:val="nil"/>
            </w:tcBorders>
            <w:shd w:val="clear" w:color="auto" w:fill="C6D9F1" w:themeFill="text2" w:themeFillTint="33"/>
            <w:noWrap/>
          </w:tcPr>
          <w:p w14:paraId="132A2021"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21F4038"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3EF80F5" w14:textId="77777777" w:rsidR="000E48CE" w:rsidRDefault="000E48CE">
            <w:pPr>
              <w:spacing w:after="0" w:line="240" w:lineRule="auto"/>
              <w:jc w:val="center"/>
              <w:rPr>
                <w:rFonts w:ascii="Times New Roman" w:hAnsi="Times New Roman" w:cs="Times New Roman"/>
                <w:b/>
                <w:noProof/>
                <w:sz w:val="18"/>
              </w:rPr>
            </w:pPr>
          </w:p>
        </w:tc>
        <w:tc>
          <w:tcPr>
            <w:tcW w:w="1418" w:type="dxa"/>
            <w:vMerge/>
            <w:noWrap/>
          </w:tcPr>
          <w:p w14:paraId="6632FDF6" w14:textId="77777777" w:rsidR="000E48CE" w:rsidRDefault="000E48CE">
            <w:pPr>
              <w:spacing w:after="0" w:line="240" w:lineRule="auto"/>
              <w:rPr>
                <w:rFonts w:ascii="Times New Roman" w:hAnsi="Times New Roman" w:cs="Times New Roman"/>
                <w:b/>
                <w:noProof/>
                <w:sz w:val="18"/>
              </w:rPr>
            </w:pPr>
          </w:p>
        </w:tc>
        <w:tc>
          <w:tcPr>
            <w:tcW w:w="1276" w:type="dxa"/>
            <w:vMerge/>
            <w:noWrap/>
          </w:tcPr>
          <w:p w14:paraId="4D45A0BB"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628B78D6" w14:textId="77777777" w:rsidR="000E48CE" w:rsidRDefault="00FF4C4E">
            <w:pPr>
              <w:pStyle w:val="P68B1DB1-Normal12"/>
              <w:spacing w:after="0" w:line="240" w:lineRule="auto"/>
              <w:jc w:val="center"/>
              <w:rPr>
                <w:rFonts w:cs="Times New Roman"/>
                <w:noProof/>
              </w:rPr>
            </w:pPr>
            <w:r>
              <w:rPr>
                <w:noProof/>
              </w:rPr>
              <w:t>Yksikkö</w:t>
            </w:r>
          </w:p>
          <w:p w14:paraId="03340206" w14:textId="385CFE10" w:rsidR="000E48CE" w:rsidRDefault="000E48CE">
            <w:pPr>
              <w:spacing w:after="0" w:line="240" w:lineRule="auto"/>
              <w:jc w:val="center"/>
              <w:rPr>
                <w:rFonts w:ascii="Times New Roman" w:hAnsi="Times New Roman" w:cs="Times New Roman"/>
                <w:b/>
                <w:noProof/>
                <w:sz w:val="18"/>
              </w:rPr>
            </w:pPr>
          </w:p>
        </w:tc>
        <w:tc>
          <w:tcPr>
            <w:tcW w:w="992" w:type="dxa"/>
            <w:shd w:val="clear" w:color="auto" w:fill="C6D9F1" w:themeFill="text2" w:themeFillTint="33"/>
            <w:noWrap/>
            <w:vAlign w:val="center"/>
          </w:tcPr>
          <w:p w14:paraId="00041F81" w14:textId="77777777" w:rsidR="000E48CE" w:rsidRDefault="00FF4C4E">
            <w:pPr>
              <w:pStyle w:val="P68B1DB1-Normal12"/>
              <w:spacing w:after="0" w:line="240" w:lineRule="auto"/>
              <w:jc w:val="center"/>
              <w:rPr>
                <w:rFonts w:cs="Times New Roman"/>
                <w:noProof/>
              </w:rPr>
            </w:pPr>
            <w:r>
              <w:rPr>
                <w:noProof/>
              </w:rPr>
              <w:t>Perusviiva</w:t>
            </w:r>
          </w:p>
          <w:p w14:paraId="7D3E5CB8" w14:textId="496D4530" w:rsidR="000E48CE" w:rsidRDefault="000E48CE">
            <w:pPr>
              <w:spacing w:after="0" w:line="240" w:lineRule="auto"/>
              <w:jc w:val="center"/>
              <w:rPr>
                <w:rFonts w:ascii="Times New Roman" w:hAnsi="Times New Roman" w:cs="Times New Roman"/>
                <w:b/>
                <w:noProof/>
                <w:sz w:val="18"/>
              </w:rPr>
            </w:pPr>
          </w:p>
        </w:tc>
        <w:tc>
          <w:tcPr>
            <w:tcW w:w="567" w:type="dxa"/>
            <w:shd w:val="clear" w:color="auto" w:fill="C6D9F1" w:themeFill="text2" w:themeFillTint="33"/>
            <w:noWrap/>
            <w:vAlign w:val="center"/>
          </w:tcPr>
          <w:p w14:paraId="5E7A485D" w14:textId="77777777" w:rsidR="000E48CE" w:rsidRDefault="00FF4C4E">
            <w:pPr>
              <w:pStyle w:val="P68B1DB1-Normal12"/>
              <w:spacing w:after="0" w:line="240" w:lineRule="auto"/>
              <w:jc w:val="center"/>
              <w:rPr>
                <w:rFonts w:cs="Times New Roman"/>
                <w:noProof/>
              </w:rPr>
            </w:pPr>
            <w:r>
              <w:rPr>
                <w:noProof/>
              </w:rPr>
              <w:t>Päämäärä</w:t>
            </w:r>
          </w:p>
          <w:p w14:paraId="5C77F60E" w14:textId="68715297" w:rsidR="000E48CE" w:rsidRDefault="000E48CE">
            <w:pPr>
              <w:spacing w:after="0" w:line="240" w:lineRule="auto"/>
              <w:jc w:val="center"/>
              <w:rPr>
                <w:rFonts w:ascii="Times New Roman" w:hAnsi="Times New Roman" w:cs="Times New Roman"/>
                <w:b/>
                <w:noProof/>
                <w:sz w:val="18"/>
              </w:rPr>
            </w:pPr>
          </w:p>
        </w:tc>
        <w:tc>
          <w:tcPr>
            <w:tcW w:w="426" w:type="dxa"/>
            <w:shd w:val="clear" w:color="auto" w:fill="C6D9F1" w:themeFill="text2" w:themeFillTint="33"/>
            <w:noWrap/>
            <w:vAlign w:val="center"/>
          </w:tcPr>
          <w:p w14:paraId="4617389F" w14:textId="77777777" w:rsidR="000E48CE" w:rsidRDefault="00FF4C4E">
            <w:pPr>
              <w:pStyle w:val="P68B1DB1-Normal12"/>
              <w:spacing w:after="0" w:line="240" w:lineRule="auto"/>
              <w:jc w:val="center"/>
              <w:rPr>
                <w:rFonts w:cs="Times New Roman"/>
                <w:noProof/>
              </w:rPr>
            </w:pPr>
            <w:r>
              <w:rPr>
                <w:noProof/>
              </w:rPr>
              <w:t>Q</w:t>
            </w:r>
          </w:p>
          <w:p w14:paraId="0127678F" w14:textId="7FDC6B8F" w:rsidR="000E48CE" w:rsidRDefault="000E48CE">
            <w:pPr>
              <w:spacing w:after="0" w:line="240" w:lineRule="auto"/>
              <w:jc w:val="center"/>
              <w:rPr>
                <w:rFonts w:ascii="Times New Roman" w:hAnsi="Times New Roman" w:cs="Times New Roman"/>
                <w:b/>
                <w:noProof/>
                <w:sz w:val="18"/>
              </w:rPr>
            </w:pPr>
          </w:p>
        </w:tc>
        <w:tc>
          <w:tcPr>
            <w:tcW w:w="708" w:type="dxa"/>
            <w:shd w:val="clear" w:color="auto" w:fill="C6D9F1" w:themeFill="text2" w:themeFillTint="33"/>
            <w:noWrap/>
            <w:vAlign w:val="center"/>
          </w:tcPr>
          <w:p w14:paraId="0FBB54C7" w14:textId="77777777" w:rsidR="000E48CE" w:rsidRDefault="00FF4C4E">
            <w:pPr>
              <w:pStyle w:val="P68B1DB1-Normal12"/>
              <w:spacing w:after="0" w:line="240" w:lineRule="auto"/>
              <w:jc w:val="center"/>
              <w:rPr>
                <w:rFonts w:cs="Times New Roman"/>
                <w:noProof/>
              </w:rPr>
            </w:pPr>
            <w:r>
              <w:rPr>
                <w:noProof/>
              </w:rPr>
              <w:t>Vuosi</w:t>
            </w:r>
          </w:p>
          <w:p w14:paraId="5FBC7EB6" w14:textId="3BF060B8" w:rsidR="000E48CE" w:rsidRDefault="000E48CE">
            <w:pPr>
              <w:spacing w:after="0" w:line="240" w:lineRule="auto"/>
              <w:jc w:val="center"/>
              <w:rPr>
                <w:rFonts w:ascii="Times New Roman" w:hAnsi="Times New Roman" w:cs="Times New Roman"/>
                <w:b/>
                <w:noProof/>
                <w:sz w:val="18"/>
              </w:rPr>
            </w:pPr>
          </w:p>
        </w:tc>
        <w:tc>
          <w:tcPr>
            <w:tcW w:w="6237" w:type="dxa"/>
            <w:vMerge/>
            <w:noWrap/>
          </w:tcPr>
          <w:p w14:paraId="5D55FAF0" w14:textId="77777777" w:rsidR="000E48CE" w:rsidRDefault="000E48CE">
            <w:pPr>
              <w:spacing w:after="0" w:line="240" w:lineRule="auto"/>
              <w:rPr>
                <w:rFonts w:ascii="Times New Roman" w:hAnsi="Times New Roman" w:cs="Times New Roman"/>
                <w:b/>
                <w:noProof/>
                <w:sz w:val="18"/>
              </w:rPr>
            </w:pPr>
          </w:p>
        </w:tc>
      </w:tr>
      <w:tr w:rsidR="000E48CE" w14:paraId="0BC17027" w14:textId="77777777">
        <w:trPr>
          <w:trHeight w:val="309"/>
        </w:trPr>
        <w:tc>
          <w:tcPr>
            <w:tcW w:w="709" w:type="dxa"/>
            <w:shd w:val="clear" w:color="auto" w:fill="C6EFCE"/>
            <w:noWrap/>
          </w:tcPr>
          <w:p w14:paraId="029298D7" w14:textId="77777777" w:rsidR="000E48CE" w:rsidRDefault="00FF4C4E">
            <w:pPr>
              <w:pStyle w:val="P68B1DB1-Normal13"/>
              <w:spacing w:after="0" w:line="240" w:lineRule="auto"/>
              <w:jc w:val="center"/>
              <w:rPr>
                <w:rFonts w:eastAsia="Times New Roman" w:cs="Times New Roman"/>
                <w:noProof/>
              </w:rPr>
            </w:pPr>
            <w:r>
              <w:rPr>
                <w:noProof/>
              </w:rPr>
              <w:t>214</w:t>
            </w:r>
          </w:p>
        </w:tc>
        <w:tc>
          <w:tcPr>
            <w:tcW w:w="851" w:type="dxa"/>
            <w:shd w:val="clear" w:color="auto" w:fill="C6EFCE"/>
            <w:noWrap/>
          </w:tcPr>
          <w:p w14:paraId="4CFE236E" w14:textId="77777777" w:rsidR="000E48CE" w:rsidRDefault="00FF4C4E">
            <w:pPr>
              <w:pStyle w:val="P68B1DB1-Normal13"/>
              <w:spacing w:after="0" w:line="240" w:lineRule="auto"/>
              <w:jc w:val="center"/>
              <w:rPr>
                <w:rFonts w:eastAsia="Times New Roman" w:cs="Times New Roman"/>
                <w:noProof/>
              </w:rPr>
            </w:pPr>
            <w:r>
              <w:rPr>
                <w:noProof/>
              </w:rPr>
              <w:t>C14.R1</w:t>
            </w:r>
          </w:p>
        </w:tc>
        <w:tc>
          <w:tcPr>
            <w:tcW w:w="850" w:type="dxa"/>
            <w:shd w:val="clear" w:color="auto" w:fill="C6EFCE"/>
            <w:noWrap/>
          </w:tcPr>
          <w:p w14:paraId="4CA21D10" w14:textId="77777777" w:rsidR="000E48CE" w:rsidRDefault="00FF4C4E">
            <w:pPr>
              <w:pStyle w:val="P68B1DB1-Normal13"/>
              <w:spacing w:after="0" w:line="240" w:lineRule="auto"/>
              <w:jc w:val="center"/>
              <w:rPr>
                <w:rFonts w:eastAsia="Times New Roman" w:cs="Times New Roman"/>
                <w:noProof/>
              </w:rPr>
            </w:pPr>
            <w:r>
              <w:rPr>
                <w:noProof/>
              </w:rPr>
              <w:t>M</w:t>
            </w:r>
          </w:p>
        </w:tc>
        <w:tc>
          <w:tcPr>
            <w:tcW w:w="1418" w:type="dxa"/>
            <w:shd w:val="clear" w:color="auto" w:fill="C6EFCE"/>
            <w:noWrap/>
          </w:tcPr>
          <w:p w14:paraId="0241C116" w14:textId="77777777" w:rsidR="000E48CE" w:rsidRDefault="00FF4C4E">
            <w:pPr>
              <w:pStyle w:val="P68B1DB1-Normal13"/>
              <w:spacing w:after="0" w:line="240" w:lineRule="auto"/>
              <w:rPr>
                <w:rFonts w:eastAsia="Times New Roman" w:cs="Times New Roman"/>
                <w:noProof/>
              </w:rPr>
            </w:pPr>
            <w:r>
              <w:rPr>
                <w:noProof/>
              </w:rPr>
              <w:t>Matkailualan edistämissuunnitelma</w:t>
            </w:r>
          </w:p>
        </w:tc>
        <w:tc>
          <w:tcPr>
            <w:tcW w:w="1276" w:type="dxa"/>
            <w:shd w:val="clear" w:color="auto" w:fill="C6EFCE"/>
            <w:noWrap/>
          </w:tcPr>
          <w:p w14:paraId="2F992D67" w14:textId="77777777" w:rsidR="000E48CE" w:rsidRDefault="00FF4C4E">
            <w:pPr>
              <w:pStyle w:val="P68B1DB1-Normal13"/>
              <w:spacing w:after="0" w:line="240" w:lineRule="auto"/>
              <w:jc w:val="center"/>
              <w:rPr>
                <w:rFonts w:eastAsia="Times New Roman" w:cs="Times New Roman"/>
                <w:noProof/>
              </w:rPr>
            </w:pPr>
            <w:r>
              <w:rPr>
                <w:noProof/>
              </w:rPr>
              <w:t>Julkaisusivusto</w:t>
            </w:r>
          </w:p>
        </w:tc>
        <w:tc>
          <w:tcPr>
            <w:tcW w:w="850" w:type="dxa"/>
            <w:shd w:val="clear" w:color="auto" w:fill="C6EFCE"/>
            <w:noWrap/>
          </w:tcPr>
          <w:p w14:paraId="226F9C0B"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2EC2116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6621D010"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26" w:type="dxa"/>
            <w:shd w:val="clear" w:color="auto" w:fill="C6EFCE"/>
            <w:noWrap/>
          </w:tcPr>
          <w:p w14:paraId="3A37F27E" w14:textId="77777777" w:rsidR="000E48CE" w:rsidRDefault="00FF4C4E">
            <w:pPr>
              <w:pStyle w:val="P68B1DB1-Normal13"/>
              <w:spacing w:after="0" w:line="240" w:lineRule="auto"/>
              <w:jc w:val="center"/>
              <w:rPr>
                <w:rFonts w:eastAsia="Times New Roman" w:cs="Times New Roman"/>
                <w:noProof/>
              </w:rPr>
            </w:pPr>
            <w:r>
              <w:rPr>
                <w:noProof/>
              </w:rPr>
              <w:t>Q2</w:t>
            </w:r>
          </w:p>
        </w:tc>
        <w:tc>
          <w:tcPr>
            <w:tcW w:w="708" w:type="dxa"/>
            <w:shd w:val="clear" w:color="auto" w:fill="C6EFCE"/>
            <w:noWrap/>
          </w:tcPr>
          <w:p w14:paraId="0F5EAF35" w14:textId="77777777" w:rsidR="000E48CE" w:rsidRDefault="00FF4C4E">
            <w:pPr>
              <w:pStyle w:val="P68B1DB1-Normal13"/>
              <w:spacing w:after="0" w:line="240" w:lineRule="auto"/>
              <w:jc w:val="center"/>
              <w:rPr>
                <w:rFonts w:eastAsia="Times New Roman" w:cs="Times New Roman"/>
                <w:noProof/>
              </w:rPr>
            </w:pPr>
            <w:r>
              <w:rPr>
                <w:noProof/>
              </w:rPr>
              <w:t>2020</w:t>
            </w:r>
          </w:p>
        </w:tc>
        <w:tc>
          <w:tcPr>
            <w:tcW w:w="6237" w:type="dxa"/>
            <w:shd w:val="clear" w:color="auto" w:fill="C6EFCE"/>
            <w:noWrap/>
          </w:tcPr>
          <w:p w14:paraId="3E743927" w14:textId="77777777" w:rsidR="000E48CE" w:rsidRDefault="00FF4C4E">
            <w:pPr>
              <w:pStyle w:val="P68B1DB1-Normal13"/>
              <w:spacing w:after="0" w:line="240" w:lineRule="auto"/>
              <w:rPr>
                <w:rFonts w:eastAsia="Times New Roman" w:cs="Times New Roman"/>
                <w:noProof/>
              </w:rPr>
            </w:pPr>
            <w:r>
              <w:rPr>
                <w:noProof/>
              </w:rPr>
              <w:t xml:space="preserve">Suunnitelmassa on kuvattava </w:t>
            </w:r>
            <w:r>
              <w:rPr>
                <w:noProof/>
              </w:rPr>
              <w:t>toimenpiteet matkailualan vauhdittamiseksi ja määriteltävä puitteet matkailuun liittyvien toimenpiteiden toteuttamiselle.</w:t>
            </w:r>
          </w:p>
        </w:tc>
      </w:tr>
      <w:tr w:rsidR="000E48CE" w14:paraId="256CED81" w14:textId="77777777">
        <w:trPr>
          <w:trHeight w:val="881"/>
        </w:trPr>
        <w:tc>
          <w:tcPr>
            <w:tcW w:w="709" w:type="dxa"/>
            <w:shd w:val="clear" w:color="auto" w:fill="C6EFCE"/>
            <w:noWrap/>
          </w:tcPr>
          <w:p w14:paraId="16F839A0" w14:textId="77777777" w:rsidR="000E48CE" w:rsidRDefault="00FF4C4E">
            <w:pPr>
              <w:pStyle w:val="P68B1DB1-Normal13"/>
              <w:spacing w:after="0" w:line="240" w:lineRule="auto"/>
              <w:jc w:val="center"/>
              <w:rPr>
                <w:rFonts w:eastAsia="Times New Roman" w:cs="Times New Roman"/>
                <w:noProof/>
              </w:rPr>
            </w:pPr>
            <w:r>
              <w:rPr>
                <w:noProof/>
              </w:rPr>
              <w:t>215</w:t>
            </w:r>
          </w:p>
        </w:tc>
        <w:tc>
          <w:tcPr>
            <w:tcW w:w="851" w:type="dxa"/>
            <w:shd w:val="clear" w:color="auto" w:fill="C6EFCE"/>
            <w:noWrap/>
          </w:tcPr>
          <w:p w14:paraId="4BC75E1B" w14:textId="77777777" w:rsidR="000E48CE" w:rsidRDefault="00FF4C4E">
            <w:pPr>
              <w:pStyle w:val="P68B1DB1-Normal13"/>
              <w:spacing w:after="0" w:line="240" w:lineRule="auto"/>
              <w:jc w:val="center"/>
              <w:rPr>
                <w:rFonts w:eastAsia="Times New Roman" w:cs="Times New Roman"/>
                <w:noProof/>
              </w:rPr>
            </w:pPr>
            <w:r>
              <w:rPr>
                <w:noProof/>
              </w:rPr>
              <w:t>C14.R1</w:t>
            </w:r>
          </w:p>
        </w:tc>
        <w:tc>
          <w:tcPr>
            <w:tcW w:w="850" w:type="dxa"/>
            <w:shd w:val="clear" w:color="auto" w:fill="C6EFCE"/>
            <w:noWrap/>
          </w:tcPr>
          <w:p w14:paraId="3A720761" w14:textId="77777777" w:rsidR="000E48CE" w:rsidRDefault="00FF4C4E">
            <w:pPr>
              <w:pStyle w:val="P68B1DB1-Normal13"/>
              <w:spacing w:after="0" w:line="240" w:lineRule="auto"/>
              <w:jc w:val="center"/>
              <w:rPr>
                <w:rFonts w:eastAsia="Times New Roman" w:cs="Times New Roman"/>
                <w:noProof/>
              </w:rPr>
            </w:pPr>
            <w:r>
              <w:rPr>
                <w:noProof/>
              </w:rPr>
              <w:t>M</w:t>
            </w:r>
          </w:p>
        </w:tc>
        <w:tc>
          <w:tcPr>
            <w:tcW w:w="1418" w:type="dxa"/>
            <w:shd w:val="clear" w:color="auto" w:fill="C6EFCE"/>
            <w:noWrap/>
          </w:tcPr>
          <w:p w14:paraId="4391D859" w14:textId="77777777" w:rsidR="000E48CE" w:rsidRDefault="00FF4C4E">
            <w:pPr>
              <w:pStyle w:val="P68B1DB1-Normal13"/>
              <w:spacing w:after="0" w:line="240" w:lineRule="auto"/>
              <w:rPr>
                <w:rFonts w:eastAsia="Times New Roman" w:cs="Times New Roman"/>
                <w:noProof/>
              </w:rPr>
            </w:pPr>
            <w:r>
              <w:rPr>
                <w:noProof/>
              </w:rPr>
              <w:t>Matkailutietoa keräävän DATAESTUR-verkkosivuston käynnistäminen</w:t>
            </w:r>
          </w:p>
        </w:tc>
        <w:tc>
          <w:tcPr>
            <w:tcW w:w="1276" w:type="dxa"/>
            <w:shd w:val="clear" w:color="auto" w:fill="C6EFCE"/>
            <w:noWrap/>
          </w:tcPr>
          <w:p w14:paraId="4D25AC71" w14:textId="77777777" w:rsidR="000E48CE" w:rsidRDefault="00FF4C4E">
            <w:pPr>
              <w:pStyle w:val="P68B1DB1-Normal13"/>
              <w:spacing w:after="0" w:line="240" w:lineRule="auto"/>
              <w:jc w:val="center"/>
              <w:rPr>
                <w:rFonts w:eastAsia="Times New Roman" w:cs="Times New Roman"/>
                <w:noProof/>
              </w:rPr>
            </w:pPr>
            <w:r>
              <w:rPr>
                <w:noProof/>
              </w:rPr>
              <w:t>Linkki DATAESTUR-sivustolle</w:t>
            </w:r>
          </w:p>
        </w:tc>
        <w:tc>
          <w:tcPr>
            <w:tcW w:w="850" w:type="dxa"/>
            <w:shd w:val="clear" w:color="auto" w:fill="C6EFCE"/>
            <w:noWrap/>
          </w:tcPr>
          <w:p w14:paraId="39554A49"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180FA731"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B8DC005"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26" w:type="dxa"/>
            <w:shd w:val="clear" w:color="auto" w:fill="C6EFCE"/>
            <w:noWrap/>
          </w:tcPr>
          <w:p w14:paraId="780C42A6" w14:textId="77777777" w:rsidR="000E48CE" w:rsidRDefault="00FF4C4E">
            <w:pPr>
              <w:pStyle w:val="P68B1DB1-Normal13"/>
              <w:spacing w:after="0" w:line="240" w:lineRule="auto"/>
              <w:jc w:val="center"/>
              <w:rPr>
                <w:rFonts w:eastAsia="Times New Roman" w:cs="Times New Roman"/>
                <w:noProof/>
              </w:rPr>
            </w:pPr>
            <w:r>
              <w:rPr>
                <w:noProof/>
              </w:rPr>
              <w:t>Q4</w:t>
            </w:r>
          </w:p>
        </w:tc>
        <w:tc>
          <w:tcPr>
            <w:tcW w:w="708" w:type="dxa"/>
            <w:shd w:val="clear" w:color="auto" w:fill="C6EFCE"/>
            <w:noWrap/>
          </w:tcPr>
          <w:p w14:paraId="0965DB69" w14:textId="77777777" w:rsidR="000E48CE" w:rsidRDefault="00FF4C4E">
            <w:pPr>
              <w:pStyle w:val="P68B1DB1-Normal13"/>
              <w:spacing w:after="0" w:line="240" w:lineRule="auto"/>
              <w:jc w:val="center"/>
              <w:rPr>
                <w:rFonts w:eastAsia="Times New Roman" w:cs="Times New Roman"/>
                <w:noProof/>
              </w:rPr>
            </w:pPr>
            <w:r>
              <w:rPr>
                <w:noProof/>
              </w:rPr>
              <w:t>2020</w:t>
            </w:r>
          </w:p>
        </w:tc>
        <w:tc>
          <w:tcPr>
            <w:tcW w:w="6237" w:type="dxa"/>
            <w:shd w:val="clear" w:color="auto" w:fill="C6EFCE"/>
            <w:noWrap/>
          </w:tcPr>
          <w:p w14:paraId="239EFD6C" w14:textId="77777777" w:rsidR="000E48CE" w:rsidRDefault="00FF4C4E">
            <w:pPr>
              <w:pStyle w:val="P68B1DB1-Normal13"/>
              <w:spacing w:after="0" w:line="240" w:lineRule="auto"/>
              <w:rPr>
                <w:rFonts w:eastAsia="Times New Roman" w:cs="Times New Roman"/>
                <w:noProof/>
              </w:rPr>
            </w:pPr>
            <w:r>
              <w:rPr>
                <w:noProof/>
              </w:rPr>
              <w:t>Verkkosivustolla kerätään tietoa Espanjan matkailusta eri matkailutilastojen lähteistä, mukaan lukien julkiset ja yksityiset elimet, kuten INE, Turespaña, Espanjan keskuspankki, AENA tai RENFE, ja se on toiminnassa.</w:t>
            </w:r>
          </w:p>
        </w:tc>
      </w:tr>
      <w:tr w:rsidR="000E48CE" w14:paraId="5FF511CA" w14:textId="77777777">
        <w:trPr>
          <w:trHeight w:val="881"/>
        </w:trPr>
        <w:tc>
          <w:tcPr>
            <w:tcW w:w="709" w:type="dxa"/>
            <w:shd w:val="clear" w:color="auto" w:fill="C6EFCE"/>
            <w:noWrap/>
          </w:tcPr>
          <w:p w14:paraId="5EE03C76" w14:textId="77777777" w:rsidR="000E48CE" w:rsidRDefault="00FF4C4E">
            <w:pPr>
              <w:pStyle w:val="P68B1DB1-Normal13"/>
              <w:spacing w:after="0" w:line="240" w:lineRule="auto"/>
              <w:jc w:val="center"/>
              <w:rPr>
                <w:rFonts w:cs="Times New Roman"/>
                <w:noProof/>
              </w:rPr>
            </w:pPr>
            <w:r>
              <w:rPr>
                <w:noProof/>
              </w:rPr>
              <w:t>216</w:t>
            </w:r>
          </w:p>
        </w:tc>
        <w:tc>
          <w:tcPr>
            <w:tcW w:w="851" w:type="dxa"/>
            <w:shd w:val="clear" w:color="auto" w:fill="C6EFCE"/>
            <w:noWrap/>
          </w:tcPr>
          <w:p w14:paraId="5B7C6976" w14:textId="77777777" w:rsidR="000E48CE" w:rsidRDefault="00FF4C4E">
            <w:pPr>
              <w:pStyle w:val="P68B1DB1-Normal13"/>
              <w:spacing w:after="0" w:line="240" w:lineRule="auto"/>
              <w:jc w:val="center"/>
              <w:rPr>
                <w:rFonts w:cs="Times New Roman"/>
                <w:noProof/>
              </w:rPr>
            </w:pPr>
            <w:r>
              <w:rPr>
                <w:noProof/>
              </w:rPr>
              <w:t>C14.R1</w:t>
            </w:r>
          </w:p>
        </w:tc>
        <w:tc>
          <w:tcPr>
            <w:tcW w:w="850" w:type="dxa"/>
            <w:shd w:val="clear" w:color="auto" w:fill="C6EFCE"/>
            <w:noWrap/>
          </w:tcPr>
          <w:p w14:paraId="4EE6B19A" w14:textId="77777777" w:rsidR="000E48CE" w:rsidRDefault="00FF4C4E">
            <w:pPr>
              <w:pStyle w:val="P68B1DB1-Normal13"/>
              <w:spacing w:after="0" w:line="240" w:lineRule="auto"/>
              <w:jc w:val="center"/>
              <w:rPr>
                <w:rFonts w:cs="Times New Roman"/>
                <w:noProof/>
              </w:rPr>
            </w:pPr>
            <w:r>
              <w:rPr>
                <w:noProof/>
              </w:rPr>
              <w:t>M</w:t>
            </w:r>
          </w:p>
        </w:tc>
        <w:tc>
          <w:tcPr>
            <w:tcW w:w="1418" w:type="dxa"/>
            <w:shd w:val="clear" w:color="auto" w:fill="C6EFCE"/>
            <w:noWrap/>
          </w:tcPr>
          <w:p w14:paraId="033843B4" w14:textId="77777777" w:rsidR="000E48CE" w:rsidRDefault="00FF4C4E">
            <w:pPr>
              <w:pStyle w:val="P68B1DB1-Normal13"/>
              <w:spacing w:after="0" w:line="240" w:lineRule="auto"/>
              <w:rPr>
                <w:rFonts w:cs="Times New Roman"/>
                <w:noProof/>
              </w:rPr>
            </w:pPr>
            <w:r>
              <w:rPr>
                <w:noProof/>
              </w:rPr>
              <w:t xml:space="preserve">Kuninkaallinen asetus, jolla pannaan täytäntöön valtion matkailualan kilpailukykyrahasto, tulee voimaan </w:t>
            </w:r>
          </w:p>
        </w:tc>
        <w:tc>
          <w:tcPr>
            <w:tcW w:w="1276" w:type="dxa"/>
            <w:shd w:val="clear" w:color="auto" w:fill="C6EFCE"/>
            <w:noWrap/>
          </w:tcPr>
          <w:p w14:paraId="208A134E" w14:textId="77777777" w:rsidR="000E48CE" w:rsidRDefault="00FF4C4E">
            <w:pPr>
              <w:pStyle w:val="P68B1DB1-Normal13"/>
              <w:spacing w:after="0" w:line="240" w:lineRule="auto"/>
              <w:jc w:val="center"/>
              <w:rPr>
                <w:rFonts w:cs="Times New Roman"/>
                <w:noProof/>
              </w:rPr>
            </w:pPr>
            <w:r>
              <w:rPr>
                <w:noProof/>
              </w:rPr>
              <w:t>Kuninkaan asetuksen säännös lain voimaantulosta</w:t>
            </w:r>
          </w:p>
        </w:tc>
        <w:tc>
          <w:tcPr>
            <w:tcW w:w="850" w:type="dxa"/>
            <w:shd w:val="clear" w:color="auto" w:fill="C6EFCE"/>
            <w:noWrap/>
          </w:tcPr>
          <w:p w14:paraId="6C1352AE" w14:textId="77777777" w:rsidR="000E48CE" w:rsidRDefault="00FF4C4E">
            <w:pPr>
              <w:pStyle w:val="P68B1DB1-Normal13"/>
              <w:spacing w:after="0" w:line="240" w:lineRule="auto"/>
              <w:jc w:val="right"/>
              <w:rPr>
                <w:rFonts w:cs="Times New Roman"/>
                <w:noProof/>
              </w:rPr>
            </w:pPr>
            <w:r>
              <w:rPr>
                <w:noProof/>
              </w:rPr>
              <w:t xml:space="preserve"> </w:t>
            </w:r>
          </w:p>
        </w:tc>
        <w:tc>
          <w:tcPr>
            <w:tcW w:w="992" w:type="dxa"/>
            <w:shd w:val="clear" w:color="auto" w:fill="C6EFCE"/>
            <w:noWrap/>
          </w:tcPr>
          <w:p w14:paraId="3C57C8A9" w14:textId="77777777" w:rsidR="000E48CE" w:rsidRDefault="00FF4C4E">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0EB9C128" w14:textId="77777777" w:rsidR="000E48CE" w:rsidRDefault="00FF4C4E">
            <w:pPr>
              <w:pStyle w:val="P68B1DB1-Normal13"/>
              <w:spacing w:after="0" w:line="240" w:lineRule="auto"/>
              <w:jc w:val="right"/>
              <w:rPr>
                <w:rFonts w:cs="Times New Roman"/>
                <w:noProof/>
              </w:rPr>
            </w:pPr>
            <w:r>
              <w:rPr>
                <w:noProof/>
              </w:rPr>
              <w:t xml:space="preserve"> </w:t>
            </w:r>
          </w:p>
        </w:tc>
        <w:tc>
          <w:tcPr>
            <w:tcW w:w="426" w:type="dxa"/>
            <w:shd w:val="clear" w:color="auto" w:fill="C6EFCE"/>
            <w:noWrap/>
          </w:tcPr>
          <w:p w14:paraId="0733D322" w14:textId="77777777" w:rsidR="000E48CE" w:rsidRDefault="00FF4C4E">
            <w:pPr>
              <w:pStyle w:val="P68B1DB1-Normal13"/>
              <w:spacing w:after="0" w:line="240" w:lineRule="auto"/>
              <w:jc w:val="center"/>
              <w:rPr>
                <w:rFonts w:cs="Times New Roman"/>
                <w:noProof/>
              </w:rPr>
            </w:pPr>
            <w:r>
              <w:rPr>
                <w:noProof/>
              </w:rPr>
              <w:t>Q4</w:t>
            </w:r>
          </w:p>
        </w:tc>
        <w:tc>
          <w:tcPr>
            <w:tcW w:w="708" w:type="dxa"/>
            <w:shd w:val="clear" w:color="auto" w:fill="C6EFCE"/>
            <w:noWrap/>
          </w:tcPr>
          <w:p w14:paraId="6A376A49" w14:textId="77777777" w:rsidR="000E48CE" w:rsidRDefault="00FF4C4E">
            <w:pPr>
              <w:pStyle w:val="P68B1DB1-Normal13"/>
              <w:spacing w:after="0" w:line="240" w:lineRule="auto"/>
              <w:jc w:val="center"/>
              <w:rPr>
                <w:rFonts w:cs="Times New Roman"/>
                <w:noProof/>
              </w:rPr>
            </w:pPr>
            <w:r>
              <w:rPr>
                <w:noProof/>
              </w:rPr>
              <w:t>2021</w:t>
            </w:r>
          </w:p>
        </w:tc>
        <w:tc>
          <w:tcPr>
            <w:tcW w:w="6237" w:type="dxa"/>
            <w:shd w:val="clear" w:color="auto" w:fill="C6EFCE"/>
            <w:noWrap/>
          </w:tcPr>
          <w:p w14:paraId="6AF54F6E" w14:textId="77777777" w:rsidR="000E48CE" w:rsidRDefault="00FF4C4E">
            <w:pPr>
              <w:pStyle w:val="P68B1DB1-Normal13"/>
              <w:spacing w:after="0" w:line="240" w:lineRule="auto"/>
              <w:rPr>
                <w:rFonts w:cs="Times New Roman"/>
                <w:noProof/>
              </w:rPr>
            </w:pPr>
            <w:r>
              <w:rPr>
                <w:noProof/>
              </w:rPr>
              <w:t>Kuninkaallisella asetuksella, jolla pannaan täytäntöön valtion matkailualan kilpailukykyr</w:t>
            </w:r>
            <w:r>
              <w:rPr>
                <w:noProof/>
              </w:rPr>
              <w:t xml:space="preserve">ahasto, parannetaan yritysten mahdollisuuksia saada julkista rahoitusta kiertotalouden ja energiatehokkuuden aloilla. </w:t>
            </w:r>
          </w:p>
        </w:tc>
      </w:tr>
      <w:tr w:rsidR="000E48CE" w14:paraId="5F4ACDC5" w14:textId="77777777">
        <w:trPr>
          <w:trHeight w:val="881"/>
        </w:trPr>
        <w:tc>
          <w:tcPr>
            <w:tcW w:w="709" w:type="dxa"/>
            <w:shd w:val="clear" w:color="auto" w:fill="C6EFCE"/>
            <w:noWrap/>
          </w:tcPr>
          <w:p w14:paraId="57B862B3" w14:textId="77777777" w:rsidR="000E48CE" w:rsidRDefault="00FF4C4E">
            <w:pPr>
              <w:pStyle w:val="P68B1DB1-Normal13"/>
              <w:spacing w:after="0" w:line="240" w:lineRule="auto"/>
              <w:jc w:val="center"/>
              <w:rPr>
                <w:rFonts w:cs="Times New Roman"/>
                <w:noProof/>
              </w:rPr>
            </w:pPr>
            <w:r>
              <w:rPr>
                <w:noProof/>
              </w:rPr>
              <w:t>217</w:t>
            </w:r>
          </w:p>
        </w:tc>
        <w:tc>
          <w:tcPr>
            <w:tcW w:w="851" w:type="dxa"/>
            <w:shd w:val="clear" w:color="auto" w:fill="C6EFCE"/>
            <w:noWrap/>
          </w:tcPr>
          <w:p w14:paraId="57AF5194" w14:textId="77777777" w:rsidR="000E48CE" w:rsidRDefault="00FF4C4E">
            <w:pPr>
              <w:pStyle w:val="P68B1DB1-Normal13"/>
              <w:spacing w:after="0" w:line="240" w:lineRule="auto"/>
              <w:jc w:val="center"/>
              <w:rPr>
                <w:rFonts w:cs="Times New Roman"/>
                <w:noProof/>
              </w:rPr>
            </w:pPr>
            <w:r>
              <w:rPr>
                <w:noProof/>
              </w:rPr>
              <w:t>C14.I1</w:t>
            </w:r>
          </w:p>
        </w:tc>
        <w:tc>
          <w:tcPr>
            <w:tcW w:w="850" w:type="dxa"/>
            <w:shd w:val="clear" w:color="auto" w:fill="C6EFCE"/>
            <w:noWrap/>
          </w:tcPr>
          <w:p w14:paraId="7BD991D3" w14:textId="77777777" w:rsidR="000E48CE" w:rsidRDefault="00FF4C4E">
            <w:pPr>
              <w:pStyle w:val="P68B1DB1-Normal13"/>
              <w:spacing w:after="0" w:line="240" w:lineRule="auto"/>
              <w:jc w:val="center"/>
              <w:rPr>
                <w:rFonts w:cs="Times New Roman"/>
                <w:noProof/>
              </w:rPr>
            </w:pPr>
            <w:r>
              <w:rPr>
                <w:noProof/>
              </w:rPr>
              <w:t>T</w:t>
            </w:r>
          </w:p>
        </w:tc>
        <w:tc>
          <w:tcPr>
            <w:tcW w:w="1418" w:type="dxa"/>
            <w:shd w:val="clear" w:color="auto" w:fill="C6EFCE"/>
            <w:noWrap/>
          </w:tcPr>
          <w:p w14:paraId="64BC3D8B" w14:textId="77777777" w:rsidR="000E48CE" w:rsidRDefault="00FF4C4E">
            <w:pPr>
              <w:pStyle w:val="P68B1DB1-Normal13"/>
              <w:spacing w:after="0" w:line="240" w:lineRule="auto"/>
              <w:rPr>
                <w:rFonts w:cs="Times New Roman"/>
                <w:noProof/>
              </w:rPr>
            </w:pPr>
            <w:r>
              <w:rPr>
                <w:noProof/>
              </w:rPr>
              <w:t>Matkailun kestävyyttä edistäville suunnitelmille myönnettävä talousarvio</w:t>
            </w:r>
          </w:p>
        </w:tc>
        <w:tc>
          <w:tcPr>
            <w:tcW w:w="1276" w:type="dxa"/>
            <w:shd w:val="clear" w:color="auto" w:fill="C6EFCE"/>
            <w:noWrap/>
          </w:tcPr>
          <w:p w14:paraId="2491DAEF"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0A88C9B6" w14:textId="77777777" w:rsidR="000E48CE" w:rsidRDefault="00FF4C4E">
            <w:pPr>
              <w:pStyle w:val="P68B1DB1-Normal13"/>
              <w:spacing w:after="0" w:line="240" w:lineRule="auto"/>
              <w:jc w:val="right"/>
              <w:rPr>
                <w:rFonts w:cs="Times New Roman"/>
                <w:noProof/>
              </w:rPr>
            </w:pPr>
            <w:r>
              <w:rPr>
                <w:noProof/>
              </w:rPr>
              <w:t>Miljoonaa euroa</w:t>
            </w:r>
          </w:p>
        </w:tc>
        <w:tc>
          <w:tcPr>
            <w:tcW w:w="992" w:type="dxa"/>
            <w:shd w:val="clear" w:color="auto" w:fill="C6EFCE"/>
            <w:noWrap/>
          </w:tcPr>
          <w:p w14:paraId="3CAEF826"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1F72AA04" w14:textId="77777777" w:rsidR="000E48CE" w:rsidRDefault="00FF4C4E">
            <w:pPr>
              <w:pStyle w:val="P68B1DB1-Normal13"/>
              <w:spacing w:after="0" w:line="240" w:lineRule="auto"/>
              <w:jc w:val="right"/>
              <w:rPr>
                <w:rFonts w:cs="Times New Roman"/>
                <w:noProof/>
              </w:rPr>
            </w:pPr>
            <w:r>
              <w:rPr>
                <w:noProof/>
              </w:rPr>
              <w:t>561</w:t>
            </w:r>
          </w:p>
        </w:tc>
        <w:tc>
          <w:tcPr>
            <w:tcW w:w="426" w:type="dxa"/>
            <w:shd w:val="clear" w:color="auto" w:fill="C6EFCE"/>
            <w:noWrap/>
          </w:tcPr>
          <w:p w14:paraId="0CF117A0" w14:textId="77777777" w:rsidR="000E48CE" w:rsidRDefault="00FF4C4E">
            <w:pPr>
              <w:pStyle w:val="P68B1DB1-Normal13"/>
              <w:spacing w:after="0" w:line="240" w:lineRule="auto"/>
              <w:jc w:val="center"/>
              <w:rPr>
                <w:rFonts w:cs="Times New Roman"/>
                <w:noProof/>
              </w:rPr>
            </w:pPr>
            <w:r>
              <w:rPr>
                <w:noProof/>
              </w:rPr>
              <w:t>Q4</w:t>
            </w:r>
          </w:p>
        </w:tc>
        <w:tc>
          <w:tcPr>
            <w:tcW w:w="708" w:type="dxa"/>
            <w:shd w:val="clear" w:color="auto" w:fill="C6EFCE"/>
            <w:noWrap/>
          </w:tcPr>
          <w:p w14:paraId="18240322" w14:textId="77777777" w:rsidR="000E48CE" w:rsidRDefault="00FF4C4E">
            <w:pPr>
              <w:pStyle w:val="P68B1DB1-Normal13"/>
              <w:spacing w:after="0" w:line="240" w:lineRule="auto"/>
              <w:jc w:val="center"/>
              <w:rPr>
                <w:rFonts w:cs="Times New Roman"/>
                <w:noProof/>
              </w:rPr>
            </w:pPr>
            <w:r>
              <w:rPr>
                <w:noProof/>
              </w:rPr>
              <w:t>2021</w:t>
            </w:r>
          </w:p>
        </w:tc>
        <w:tc>
          <w:tcPr>
            <w:tcW w:w="6237" w:type="dxa"/>
            <w:shd w:val="clear" w:color="auto" w:fill="C6EFCE"/>
            <w:noWrap/>
          </w:tcPr>
          <w:p w14:paraId="3898F70F" w14:textId="349978F6" w:rsidR="000E48CE" w:rsidRDefault="00FF4C4E">
            <w:pPr>
              <w:pStyle w:val="P68B1DB1-Normal13"/>
              <w:spacing w:after="0" w:line="240" w:lineRule="auto"/>
              <w:rPr>
                <w:rFonts w:cs="Times New Roman"/>
                <w:noProof/>
              </w:rPr>
            </w:pPr>
            <w:r>
              <w:rPr>
                <w:noProof/>
              </w:rPr>
              <w:t>Euroopan unionin virallisessa lehdessä julkaistaan paikallisviranomaisille myönnettävä tuki matkailun kestävyyttä matkakohteessa koskevien alueellisten suunnitelmien täytäntöönpanoon vähintään 561000000 euroa ja 35 prosenttia varoista, joilla rahoitetaan v</w:t>
            </w:r>
            <w:r>
              <w:rPr>
                <w:noProof/>
              </w:rPr>
              <w:t>ihreää siirtymää, kestävyyttä ja energiatehokkuutta/sähköistä liikkuvuutta matkailukohteissa koskevia toimenpiteitä. Valintaperusteilla varmistetaan, että ”ei merkittävää haittaa” -periaatetta koskevia teknisiä ohjeita (2021/C58/01) noudatetaan poissulkemi</w:t>
            </w:r>
            <w:r>
              <w:rPr>
                <w:noProof/>
              </w:rPr>
              <w:t>sluetteloa ja vaatimusta asiaa koskevan EU:n ja kansallisen ympäristölainsäädännön noudattamisesta. Valintaperusteilla on varmistettava, että toimenpiteeseen myönnetystä lopullisesta kokonaistalousarviosta vähintään 359000000 eurolla edistetään ilmastonmuu</w:t>
            </w:r>
            <w:r>
              <w:rPr>
                <w:noProof/>
              </w:rPr>
              <w:t>tostavoitteiden saavuttamista 100 prosentin ilmastokertoimella ja vähintään 519000000 eurolla 40 prosentin ilmastokertoimella elpymis- ja palautumistukivälinettä koskevan asetuksen (EU) 2021/241 liitteen VI mukaisesti. Vaihtoehtoisesti valintaperusteilla o</w:t>
            </w:r>
            <w:r>
              <w:rPr>
                <w:noProof/>
              </w:rPr>
              <w:t>n varmistettava, että vähintään 1 788,6 miljoonalla eurolla edistetään ilmastonmuutostavoitteiden saavuttamista siten, että keskimääräinen ilmastokerroin on vähintään 31,7 prosenttia Euroopan parlamentin ja neuvoston asetuksen (EU) 2021/241 liitteen VI muk</w:t>
            </w:r>
            <w:r>
              <w:rPr>
                <w:noProof/>
              </w:rPr>
              <w:t>aisesti. Tämä keskimääräinen rahoitusosuus voidaan saavuttaa asetuksen (EU) 2021/241 liitteessä VI esitettyjen tukitoimialojen perusteella.</w:t>
            </w:r>
          </w:p>
        </w:tc>
      </w:tr>
      <w:tr w:rsidR="000E48CE" w14:paraId="3A49E1E8" w14:textId="77777777">
        <w:trPr>
          <w:trHeight w:val="881"/>
        </w:trPr>
        <w:tc>
          <w:tcPr>
            <w:tcW w:w="709" w:type="dxa"/>
            <w:shd w:val="clear" w:color="auto" w:fill="C6EFCE"/>
            <w:noWrap/>
          </w:tcPr>
          <w:p w14:paraId="53C4D7CE" w14:textId="77777777" w:rsidR="000E48CE" w:rsidRDefault="00FF4C4E">
            <w:pPr>
              <w:pStyle w:val="P68B1DB1-Normal13"/>
              <w:spacing w:after="0" w:line="240" w:lineRule="auto"/>
              <w:jc w:val="center"/>
              <w:rPr>
                <w:rFonts w:cs="Times New Roman"/>
                <w:noProof/>
              </w:rPr>
            </w:pPr>
            <w:r>
              <w:rPr>
                <w:noProof/>
              </w:rPr>
              <w:t>218</w:t>
            </w:r>
          </w:p>
        </w:tc>
        <w:tc>
          <w:tcPr>
            <w:tcW w:w="851" w:type="dxa"/>
            <w:shd w:val="clear" w:color="auto" w:fill="C6EFCE"/>
            <w:noWrap/>
          </w:tcPr>
          <w:p w14:paraId="4197E07D" w14:textId="77777777" w:rsidR="000E48CE" w:rsidRDefault="00FF4C4E">
            <w:pPr>
              <w:pStyle w:val="P68B1DB1-Normal13"/>
              <w:spacing w:after="0" w:line="240" w:lineRule="auto"/>
              <w:jc w:val="center"/>
              <w:rPr>
                <w:rFonts w:cs="Times New Roman"/>
                <w:noProof/>
              </w:rPr>
            </w:pPr>
            <w:r>
              <w:rPr>
                <w:noProof/>
              </w:rPr>
              <w:t>C14.I1</w:t>
            </w:r>
          </w:p>
        </w:tc>
        <w:tc>
          <w:tcPr>
            <w:tcW w:w="850" w:type="dxa"/>
            <w:shd w:val="clear" w:color="auto" w:fill="C6EFCE"/>
            <w:noWrap/>
          </w:tcPr>
          <w:p w14:paraId="7A8BEF67" w14:textId="77777777" w:rsidR="000E48CE" w:rsidRDefault="00FF4C4E">
            <w:pPr>
              <w:pStyle w:val="P68B1DB1-Normal13"/>
              <w:spacing w:after="0" w:line="240" w:lineRule="auto"/>
              <w:jc w:val="center"/>
              <w:rPr>
                <w:rFonts w:cs="Times New Roman"/>
                <w:noProof/>
              </w:rPr>
            </w:pPr>
            <w:r>
              <w:rPr>
                <w:noProof/>
              </w:rPr>
              <w:t>T</w:t>
            </w:r>
          </w:p>
        </w:tc>
        <w:tc>
          <w:tcPr>
            <w:tcW w:w="1418" w:type="dxa"/>
            <w:shd w:val="clear" w:color="auto" w:fill="C6EFCE"/>
            <w:noWrap/>
          </w:tcPr>
          <w:p w14:paraId="656C3402" w14:textId="77777777" w:rsidR="000E48CE" w:rsidRDefault="00FF4C4E">
            <w:pPr>
              <w:pStyle w:val="P68B1DB1-Normal13"/>
              <w:spacing w:after="0" w:line="240" w:lineRule="auto"/>
              <w:rPr>
                <w:rFonts w:cs="Times New Roman"/>
                <w:noProof/>
              </w:rPr>
            </w:pPr>
            <w:r>
              <w:rPr>
                <w:noProof/>
              </w:rPr>
              <w:t>Matkailun kestävyyttä edistäville suunnitelmille myönnettävä talousarvio</w:t>
            </w:r>
          </w:p>
        </w:tc>
        <w:tc>
          <w:tcPr>
            <w:tcW w:w="1276" w:type="dxa"/>
            <w:shd w:val="clear" w:color="auto" w:fill="C6EFCE"/>
            <w:noWrap/>
          </w:tcPr>
          <w:p w14:paraId="031418A8"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35029609" w14:textId="77777777" w:rsidR="000E48CE" w:rsidRDefault="00FF4C4E">
            <w:pPr>
              <w:pStyle w:val="P68B1DB1-Normal13"/>
              <w:spacing w:after="0" w:line="240" w:lineRule="auto"/>
              <w:jc w:val="right"/>
              <w:rPr>
                <w:rFonts w:cs="Times New Roman"/>
                <w:noProof/>
              </w:rPr>
            </w:pPr>
            <w:r>
              <w:rPr>
                <w:noProof/>
              </w:rPr>
              <w:t>Miljoonaa euroa</w:t>
            </w:r>
          </w:p>
        </w:tc>
        <w:tc>
          <w:tcPr>
            <w:tcW w:w="992" w:type="dxa"/>
            <w:shd w:val="clear" w:color="auto" w:fill="C6EFCE"/>
            <w:noWrap/>
          </w:tcPr>
          <w:p w14:paraId="3F42A92B" w14:textId="77777777" w:rsidR="000E48CE" w:rsidRDefault="00FF4C4E">
            <w:pPr>
              <w:pStyle w:val="P68B1DB1-Normal13"/>
              <w:spacing w:after="0" w:line="240" w:lineRule="auto"/>
              <w:jc w:val="right"/>
              <w:rPr>
                <w:rFonts w:cs="Times New Roman"/>
                <w:noProof/>
              </w:rPr>
            </w:pPr>
            <w:r>
              <w:rPr>
                <w:noProof/>
              </w:rPr>
              <w:t>561</w:t>
            </w:r>
          </w:p>
        </w:tc>
        <w:tc>
          <w:tcPr>
            <w:tcW w:w="567" w:type="dxa"/>
            <w:shd w:val="clear" w:color="auto" w:fill="C6EFCE"/>
            <w:noWrap/>
          </w:tcPr>
          <w:p w14:paraId="7B60B58D" w14:textId="77777777" w:rsidR="000E48CE" w:rsidRDefault="00FF4C4E">
            <w:pPr>
              <w:pStyle w:val="P68B1DB1-Normal13"/>
              <w:spacing w:after="0" w:line="240" w:lineRule="auto"/>
              <w:jc w:val="right"/>
              <w:rPr>
                <w:rFonts w:cs="Times New Roman"/>
                <w:noProof/>
              </w:rPr>
            </w:pPr>
            <w:r>
              <w:rPr>
                <w:noProof/>
              </w:rPr>
              <w:t>1 173</w:t>
            </w:r>
          </w:p>
        </w:tc>
        <w:tc>
          <w:tcPr>
            <w:tcW w:w="426" w:type="dxa"/>
            <w:shd w:val="clear" w:color="auto" w:fill="C6EFCE"/>
            <w:noWrap/>
          </w:tcPr>
          <w:p w14:paraId="4821E7BF" w14:textId="77777777" w:rsidR="000E48CE" w:rsidRDefault="00FF4C4E">
            <w:pPr>
              <w:pStyle w:val="P68B1DB1-Normal13"/>
              <w:spacing w:after="0" w:line="240" w:lineRule="auto"/>
              <w:jc w:val="center"/>
              <w:rPr>
                <w:rFonts w:cs="Times New Roman"/>
                <w:noProof/>
              </w:rPr>
            </w:pPr>
            <w:r>
              <w:rPr>
                <w:noProof/>
              </w:rPr>
              <w:t>Q4</w:t>
            </w:r>
          </w:p>
        </w:tc>
        <w:tc>
          <w:tcPr>
            <w:tcW w:w="708" w:type="dxa"/>
            <w:shd w:val="clear" w:color="auto" w:fill="C6EFCE"/>
            <w:noWrap/>
          </w:tcPr>
          <w:p w14:paraId="57C4583C" w14:textId="77777777" w:rsidR="000E48CE" w:rsidRDefault="00FF4C4E">
            <w:pPr>
              <w:pStyle w:val="P68B1DB1-Normal13"/>
              <w:spacing w:after="0" w:line="240" w:lineRule="auto"/>
              <w:jc w:val="center"/>
              <w:rPr>
                <w:rFonts w:cs="Times New Roman"/>
                <w:noProof/>
              </w:rPr>
            </w:pPr>
            <w:r>
              <w:rPr>
                <w:noProof/>
              </w:rPr>
              <w:t>2022</w:t>
            </w:r>
          </w:p>
        </w:tc>
        <w:tc>
          <w:tcPr>
            <w:tcW w:w="6237" w:type="dxa"/>
            <w:shd w:val="clear" w:color="auto" w:fill="C6EFCE"/>
            <w:noWrap/>
          </w:tcPr>
          <w:p w14:paraId="2279EB70" w14:textId="7195F2AA" w:rsidR="000E48CE" w:rsidRDefault="00FF4C4E">
            <w:pPr>
              <w:pStyle w:val="P68B1DB1-Normal13"/>
              <w:spacing w:after="0" w:line="240" w:lineRule="auto"/>
              <w:rPr>
                <w:rFonts w:cs="Times New Roman"/>
                <w:noProof/>
              </w:rPr>
            </w:pPr>
            <w:r>
              <w:rPr>
                <w:noProof/>
              </w:rPr>
              <w:t>Euroopan unionin virallisessa lehdessä julkaistaan paikallisviranomaisille myönnettävä tuki matkailun kestävyyttä matkailussa koskevien alueellisten suunnitelmien toteuttamiseksi vähintään 1173000000 eurolla (perustaso: Joulukuuta 2021) ja 35 prose</w:t>
            </w:r>
            <w:r>
              <w:rPr>
                <w:noProof/>
              </w:rPr>
              <w:t>nttia varoista osoitetaan vihreään siirtymään, kestävyyteen ja energiatehokkuuteen/sähköiseen liikkuvuuteen liittyviin toimenpiteisiin matkailukohteissa. Valintaperusteilla on varmistettava, että ”ei merkittävää haittaa” -periaatetta koskevia teknisiä ohje</w:t>
            </w:r>
            <w:r>
              <w:rPr>
                <w:noProof/>
              </w:rPr>
              <w:t>ita (2021/C58/01) noudatetaan poissulkemisluetteloa ja vaatimusta asiaa koskevan EU:n ja kansallisen ympäristölainsäädännön noudattamisesta. Valintaperusteilla on varmistettava, että toimenpiteeseen myönnetystä lopullisesta kokonaistalousarviosta vähintään</w:t>
            </w:r>
            <w:r>
              <w:rPr>
                <w:noProof/>
              </w:rPr>
              <w:t xml:space="preserve"> 359000000 eurolla edistetään ilmastonmuutostavoitteiden saavuttamista 100 prosentin ilmastokertoimella ja vähintään 519000000 eurolla 40 prosentin ilmastokertoimella elpymis- ja palautumistukivälinettä koskevan asetuksen (EU) 2021/241 liitteen VI mukaises</w:t>
            </w:r>
            <w:r>
              <w:rPr>
                <w:noProof/>
              </w:rPr>
              <w:t>ti.</w:t>
            </w:r>
            <w:r>
              <w:rPr>
                <w:noProof/>
                <w:shd w:val="clear" w:color="auto" w:fill="E6E6E6"/>
              </w:rPr>
              <w:t xml:space="preserve"> </w:t>
            </w:r>
            <w:r>
              <w:rPr>
                <w:noProof/>
              </w:rPr>
              <w:t xml:space="preserve"> Vaihtoehtoisesti valintaperusteilla on varmistettava, että vähintään 1 788,6 miljoonalla eurolla edistetään ilmastonmuutostavoitteiden saavuttamista siten, että keskimääräinen ilmastokerroin on vähintään 31,7 prosenttia Euroopan parlamentin ja neuvost</w:t>
            </w:r>
            <w:r>
              <w:rPr>
                <w:noProof/>
              </w:rPr>
              <w:t>on asetuksen (EU) 2021/241 liitteen VI mukaisesti. Tämä keskimääräinen rahoitusosuus voidaan saavuttaa asetuksen (EU) 2021/241 liitteessä VI esitettyjen tukitoimialojen perusteella.</w:t>
            </w:r>
          </w:p>
        </w:tc>
      </w:tr>
      <w:tr w:rsidR="000E48CE" w14:paraId="7E2C0B03" w14:textId="77777777">
        <w:trPr>
          <w:trHeight w:val="881"/>
        </w:trPr>
        <w:tc>
          <w:tcPr>
            <w:tcW w:w="709" w:type="dxa"/>
            <w:shd w:val="clear" w:color="auto" w:fill="C6EFCE"/>
            <w:noWrap/>
          </w:tcPr>
          <w:p w14:paraId="3F6C604A" w14:textId="77777777" w:rsidR="000E48CE" w:rsidRDefault="00FF4C4E">
            <w:pPr>
              <w:pStyle w:val="P68B1DB1-Normal13"/>
              <w:spacing w:after="0" w:line="240" w:lineRule="auto"/>
              <w:jc w:val="center"/>
              <w:rPr>
                <w:rFonts w:cs="Times New Roman"/>
                <w:noProof/>
              </w:rPr>
            </w:pPr>
            <w:r>
              <w:rPr>
                <w:noProof/>
              </w:rPr>
              <w:t>219</w:t>
            </w:r>
          </w:p>
        </w:tc>
        <w:tc>
          <w:tcPr>
            <w:tcW w:w="851" w:type="dxa"/>
            <w:shd w:val="clear" w:color="auto" w:fill="C6EFCE"/>
            <w:noWrap/>
          </w:tcPr>
          <w:p w14:paraId="3BB6DD03" w14:textId="77777777" w:rsidR="000E48CE" w:rsidRDefault="00FF4C4E">
            <w:pPr>
              <w:pStyle w:val="P68B1DB1-Normal13"/>
              <w:spacing w:after="0" w:line="240" w:lineRule="auto"/>
              <w:jc w:val="center"/>
              <w:rPr>
                <w:rFonts w:cs="Times New Roman"/>
                <w:noProof/>
              </w:rPr>
            </w:pPr>
            <w:r>
              <w:rPr>
                <w:noProof/>
              </w:rPr>
              <w:t>C14.I1</w:t>
            </w:r>
          </w:p>
        </w:tc>
        <w:tc>
          <w:tcPr>
            <w:tcW w:w="850" w:type="dxa"/>
            <w:shd w:val="clear" w:color="auto" w:fill="C6EFCE"/>
            <w:noWrap/>
          </w:tcPr>
          <w:p w14:paraId="714985AB" w14:textId="77777777" w:rsidR="000E48CE" w:rsidRDefault="00FF4C4E">
            <w:pPr>
              <w:pStyle w:val="P68B1DB1-Normal13"/>
              <w:spacing w:after="0" w:line="240" w:lineRule="auto"/>
              <w:jc w:val="center"/>
              <w:rPr>
                <w:rFonts w:cs="Times New Roman"/>
                <w:noProof/>
              </w:rPr>
            </w:pPr>
            <w:r>
              <w:rPr>
                <w:noProof/>
              </w:rPr>
              <w:t>T</w:t>
            </w:r>
          </w:p>
        </w:tc>
        <w:tc>
          <w:tcPr>
            <w:tcW w:w="1418" w:type="dxa"/>
            <w:shd w:val="clear" w:color="auto" w:fill="C6EFCE"/>
            <w:noWrap/>
          </w:tcPr>
          <w:p w14:paraId="2C99D933" w14:textId="77777777" w:rsidR="000E48CE" w:rsidRDefault="00FF4C4E">
            <w:pPr>
              <w:pStyle w:val="P68B1DB1-Normal13"/>
              <w:spacing w:after="0" w:line="240" w:lineRule="auto"/>
              <w:rPr>
                <w:rFonts w:cs="Times New Roman"/>
                <w:noProof/>
              </w:rPr>
            </w:pPr>
            <w:r>
              <w:rPr>
                <w:noProof/>
              </w:rPr>
              <w:t>Matkailun kestävyyttä edistäville suunnitelmille myönnettävä</w:t>
            </w:r>
            <w:r>
              <w:rPr>
                <w:noProof/>
              </w:rPr>
              <w:t xml:space="preserve"> talousarvio</w:t>
            </w:r>
          </w:p>
        </w:tc>
        <w:tc>
          <w:tcPr>
            <w:tcW w:w="1276" w:type="dxa"/>
            <w:shd w:val="clear" w:color="auto" w:fill="C6EFCE"/>
            <w:noWrap/>
          </w:tcPr>
          <w:p w14:paraId="252E388B"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793BFD1E" w14:textId="77777777" w:rsidR="000E48CE" w:rsidRDefault="00FF4C4E">
            <w:pPr>
              <w:pStyle w:val="P68B1DB1-Normal13"/>
              <w:spacing w:after="0" w:line="240" w:lineRule="auto"/>
              <w:jc w:val="right"/>
              <w:rPr>
                <w:rFonts w:cs="Times New Roman"/>
                <w:noProof/>
              </w:rPr>
            </w:pPr>
            <w:r>
              <w:rPr>
                <w:noProof/>
              </w:rPr>
              <w:t>Miljoonaa euroa</w:t>
            </w:r>
          </w:p>
        </w:tc>
        <w:tc>
          <w:tcPr>
            <w:tcW w:w="992" w:type="dxa"/>
            <w:shd w:val="clear" w:color="auto" w:fill="C6EFCE"/>
            <w:noWrap/>
          </w:tcPr>
          <w:p w14:paraId="0D6A52D3" w14:textId="77777777" w:rsidR="000E48CE" w:rsidRDefault="00FF4C4E">
            <w:pPr>
              <w:pStyle w:val="P68B1DB1-Normal13"/>
              <w:spacing w:after="0" w:line="240" w:lineRule="auto"/>
              <w:jc w:val="right"/>
              <w:rPr>
                <w:rFonts w:cs="Times New Roman"/>
                <w:noProof/>
              </w:rPr>
            </w:pPr>
            <w:r>
              <w:rPr>
                <w:noProof/>
              </w:rPr>
              <w:t>1 173</w:t>
            </w:r>
          </w:p>
        </w:tc>
        <w:tc>
          <w:tcPr>
            <w:tcW w:w="567" w:type="dxa"/>
            <w:shd w:val="clear" w:color="auto" w:fill="C6EFCE"/>
            <w:noWrap/>
          </w:tcPr>
          <w:p w14:paraId="42F823EC" w14:textId="77777777" w:rsidR="000E48CE" w:rsidRDefault="00FF4C4E">
            <w:pPr>
              <w:pStyle w:val="P68B1DB1-Normal13"/>
              <w:spacing w:after="0" w:line="240" w:lineRule="auto"/>
              <w:jc w:val="right"/>
              <w:rPr>
                <w:rFonts w:cs="Times New Roman"/>
                <w:noProof/>
              </w:rPr>
            </w:pPr>
            <w:r>
              <w:rPr>
                <w:noProof/>
              </w:rPr>
              <w:t xml:space="preserve">1 788,6 </w:t>
            </w:r>
          </w:p>
        </w:tc>
        <w:tc>
          <w:tcPr>
            <w:tcW w:w="426" w:type="dxa"/>
            <w:shd w:val="clear" w:color="auto" w:fill="C6EFCE"/>
            <w:noWrap/>
          </w:tcPr>
          <w:p w14:paraId="4486E236" w14:textId="77777777" w:rsidR="000E48CE" w:rsidRDefault="00FF4C4E">
            <w:pPr>
              <w:pStyle w:val="P68B1DB1-Normal13"/>
              <w:spacing w:after="0" w:line="240" w:lineRule="auto"/>
              <w:jc w:val="center"/>
              <w:rPr>
                <w:rFonts w:cs="Times New Roman"/>
                <w:noProof/>
              </w:rPr>
            </w:pPr>
            <w:r>
              <w:rPr>
                <w:noProof/>
              </w:rPr>
              <w:t>Q4</w:t>
            </w:r>
          </w:p>
        </w:tc>
        <w:tc>
          <w:tcPr>
            <w:tcW w:w="708" w:type="dxa"/>
            <w:shd w:val="clear" w:color="auto" w:fill="C6EFCE"/>
            <w:noWrap/>
          </w:tcPr>
          <w:p w14:paraId="05A1046B" w14:textId="77777777" w:rsidR="000E48CE" w:rsidRDefault="00FF4C4E">
            <w:pPr>
              <w:pStyle w:val="P68B1DB1-Normal13"/>
              <w:spacing w:after="0" w:line="240" w:lineRule="auto"/>
              <w:jc w:val="center"/>
              <w:rPr>
                <w:rFonts w:cs="Times New Roman"/>
                <w:noProof/>
              </w:rPr>
            </w:pPr>
            <w:r>
              <w:rPr>
                <w:noProof/>
              </w:rPr>
              <w:t>2023</w:t>
            </w:r>
          </w:p>
        </w:tc>
        <w:tc>
          <w:tcPr>
            <w:tcW w:w="6237" w:type="dxa"/>
            <w:shd w:val="clear" w:color="auto" w:fill="C6EFCE"/>
            <w:noWrap/>
          </w:tcPr>
          <w:p w14:paraId="0D332556" w14:textId="1CDFA346" w:rsidR="000E48CE" w:rsidRDefault="00FF4C4E">
            <w:pPr>
              <w:pStyle w:val="P68B1DB1-Normal13"/>
              <w:spacing w:after="0" w:line="240" w:lineRule="auto"/>
              <w:rPr>
                <w:rFonts w:cs="Times New Roman"/>
                <w:noProof/>
              </w:rPr>
            </w:pPr>
            <w:r>
              <w:rPr>
                <w:noProof/>
              </w:rPr>
              <w:t>Euroopan unionin virallisessa lehdessä julkaistaan paikallisviranomaisille myönnettävä tuki matkailun kestävyyttä koskevien alueellisten suunnitelmien toteuttamiseksi vähintään 1788600000 eurolla (perus</w:t>
            </w:r>
            <w:r>
              <w:rPr>
                <w:noProof/>
              </w:rPr>
              <w:t>taso: Joulukuuta 2022) ja 35 prosenttia varoista osoitetaan toimenpiteisiin, joilla edistetään vihreää siirtymää, kestävyyttä ja energiatehokkuutta ja sähköistä liikkuvuutta matkailukohteissa. Valintaperusteilla on varmistettava, että ”ei merkittävää haitt</w:t>
            </w:r>
            <w:r>
              <w:rPr>
                <w:noProof/>
              </w:rPr>
              <w:t>aa” -periaatetta koskevia teknisiä ohjeita (2021/C58/01) noudatetaan poissulkemisluetteloa ja vaatimusta asiaa koskevan EU:n ja kansallisen ympäristölainsäädännön noudattamisesta. Valintaperusteilla on varmistettava, että toimenpiteeseen myönnetystä lopull</w:t>
            </w:r>
            <w:r>
              <w:rPr>
                <w:noProof/>
              </w:rPr>
              <w:t>isesta kokonaistalousarviosta vähintään 359000000 eurolla edistetään ilmastonmuutostavoitteiden saavuttamista 100 prosentin ilmastokertoimella ja vähintään 519000000 eurolla 40 prosentin ilmastokertoimella elpymis- ja palautumistukivälinettä koskevan asetu</w:t>
            </w:r>
            <w:r>
              <w:rPr>
                <w:noProof/>
              </w:rPr>
              <w:t>ksen (EU) 2021/241 liitteen VI mukaisesti. Vaihtoehtoisesti valintaperusteilla on varmistettava, että vähintään 1 788,6 miljoonalla eurolla edistetään ilmastonmuutostavoitteiden saavuttamista siten, että keskimääräinen ilmastokerroin on vähintään 31,7 pros</w:t>
            </w:r>
            <w:r>
              <w:rPr>
                <w:noProof/>
              </w:rPr>
              <w:t>enttia Euroopan parlamentin ja neuvoston asetuksen (EU) 2021/241 liitteen VI mukaisesti. Tämä keskimääräinen rahoitusosuus voidaan saavuttaa asetuksen (EU) 2021/241 liitteessä VI esitettyjen tukitoimialojen perusteella.</w:t>
            </w:r>
          </w:p>
        </w:tc>
      </w:tr>
      <w:tr w:rsidR="000E48CE" w14:paraId="12DD52FC" w14:textId="77777777">
        <w:trPr>
          <w:trHeight w:val="881"/>
        </w:trPr>
        <w:tc>
          <w:tcPr>
            <w:tcW w:w="709" w:type="dxa"/>
            <w:shd w:val="clear" w:color="auto" w:fill="C6EFCE"/>
            <w:noWrap/>
          </w:tcPr>
          <w:p w14:paraId="7AAF69D2" w14:textId="77777777" w:rsidR="000E48CE" w:rsidRDefault="00FF4C4E">
            <w:pPr>
              <w:pStyle w:val="P68B1DB1-Normal13"/>
              <w:spacing w:after="0" w:line="240" w:lineRule="auto"/>
              <w:jc w:val="center"/>
              <w:rPr>
                <w:rFonts w:cs="Times New Roman"/>
                <w:noProof/>
              </w:rPr>
            </w:pPr>
            <w:r>
              <w:rPr>
                <w:noProof/>
              </w:rPr>
              <w:t>220</w:t>
            </w:r>
          </w:p>
        </w:tc>
        <w:tc>
          <w:tcPr>
            <w:tcW w:w="851" w:type="dxa"/>
            <w:shd w:val="clear" w:color="auto" w:fill="C6EFCE"/>
            <w:noWrap/>
          </w:tcPr>
          <w:p w14:paraId="367BA7AF" w14:textId="77777777" w:rsidR="000E48CE" w:rsidRDefault="00FF4C4E">
            <w:pPr>
              <w:pStyle w:val="P68B1DB1-Normal13"/>
              <w:spacing w:after="0" w:line="240" w:lineRule="auto"/>
              <w:jc w:val="center"/>
              <w:rPr>
                <w:rFonts w:cs="Times New Roman"/>
                <w:noProof/>
              </w:rPr>
            </w:pPr>
            <w:r>
              <w:rPr>
                <w:noProof/>
              </w:rPr>
              <w:t>C14.I1</w:t>
            </w:r>
          </w:p>
        </w:tc>
        <w:tc>
          <w:tcPr>
            <w:tcW w:w="850" w:type="dxa"/>
            <w:shd w:val="clear" w:color="auto" w:fill="C6EFCE"/>
            <w:noWrap/>
          </w:tcPr>
          <w:p w14:paraId="40DCAAEF" w14:textId="77777777" w:rsidR="000E48CE" w:rsidRDefault="00FF4C4E">
            <w:pPr>
              <w:pStyle w:val="P68B1DB1-Normal13"/>
              <w:spacing w:after="0" w:line="240" w:lineRule="auto"/>
              <w:jc w:val="center"/>
              <w:rPr>
                <w:rFonts w:cs="Times New Roman"/>
                <w:noProof/>
              </w:rPr>
            </w:pPr>
            <w:r>
              <w:rPr>
                <w:noProof/>
              </w:rPr>
              <w:t>M</w:t>
            </w:r>
          </w:p>
        </w:tc>
        <w:tc>
          <w:tcPr>
            <w:tcW w:w="1418" w:type="dxa"/>
            <w:shd w:val="clear" w:color="auto" w:fill="C6EFCE"/>
            <w:noWrap/>
          </w:tcPr>
          <w:p w14:paraId="6C965BCD" w14:textId="77777777" w:rsidR="000E48CE" w:rsidRDefault="00FF4C4E">
            <w:pPr>
              <w:pStyle w:val="P68B1DB1-Normal13"/>
              <w:spacing w:after="0" w:line="240" w:lineRule="auto"/>
              <w:rPr>
                <w:rFonts w:cs="Times New Roman"/>
                <w:noProof/>
              </w:rPr>
            </w:pPr>
            <w:r>
              <w:rPr>
                <w:noProof/>
              </w:rPr>
              <w:t xml:space="preserve">Matkailun kestävyyttä </w:t>
            </w:r>
            <w:r>
              <w:rPr>
                <w:noProof/>
              </w:rPr>
              <w:t>matkakohteessa edistävien suunnitelmien loppuun saattaminen</w:t>
            </w:r>
          </w:p>
        </w:tc>
        <w:tc>
          <w:tcPr>
            <w:tcW w:w="1276" w:type="dxa"/>
            <w:shd w:val="clear" w:color="auto" w:fill="C6EFCE"/>
            <w:noWrap/>
          </w:tcPr>
          <w:p w14:paraId="5F4CC487" w14:textId="77777777" w:rsidR="000E48CE" w:rsidRDefault="00FF4C4E">
            <w:pPr>
              <w:pStyle w:val="P68B1DB1-Normal13"/>
              <w:spacing w:after="0" w:line="240" w:lineRule="auto"/>
              <w:jc w:val="center"/>
              <w:rPr>
                <w:rFonts w:cs="Times New Roman"/>
                <w:noProof/>
              </w:rPr>
            </w:pPr>
            <w:r>
              <w:rPr>
                <w:noProof/>
              </w:rPr>
              <w:t>Seurantakomission kertomus edistymiskynnyksen vahvistamisesta</w:t>
            </w:r>
          </w:p>
        </w:tc>
        <w:tc>
          <w:tcPr>
            <w:tcW w:w="850" w:type="dxa"/>
            <w:shd w:val="clear" w:color="auto" w:fill="C6EFCE"/>
            <w:noWrap/>
          </w:tcPr>
          <w:p w14:paraId="1F1C4F07" w14:textId="77777777" w:rsidR="000E48CE" w:rsidRDefault="00FF4C4E">
            <w:pPr>
              <w:pStyle w:val="P68B1DB1-Normal13"/>
              <w:spacing w:after="0" w:line="240" w:lineRule="auto"/>
              <w:jc w:val="right"/>
              <w:rPr>
                <w:rFonts w:cs="Times New Roman"/>
                <w:noProof/>
              </w:rPr>
            </w:pPr>
            <w:r>
              <w:rPr>
                <w:noProof/>
              </w:rPr>
              <w:t> </w:t>
            </w:r>
          </w:p>
        </w:tc>
        <w:tc>
          <w:tcPr>
            <w:tcW w:w="992" w:type="dxa"/>
            <w:shd w:val="clear" w:color="auto" w:fill="C6EFCE"/>
            <w:noWrap/>
          </w:tcPr>
          <w:p w14:paraId="1C108D2C" w14:textId="77777777" w:rsidR="000E48CE" w:rsidRDefault="00FF4C4E">
            <w:pPr>
              <w:pStyle w:val="P68B1DB1-Normal13"/>
              <w:spacing w:after="0" w:line="240" w:lineRule="auto"/>
              <w:jc w:val="right"/>
              <w:rPr>
                <w:rFonts w:cs="Times New Roman"/>
                <w:noProof/>
              </w:rPr>
            </w:pPr>
            <w:r>
              <w:rPr>
                <w:noProof/>
              </w:rPr>
              <w:t> </w:t>
            </w:r>
          </w:p>
        </w:tc>
        <w:tc>
          <w:tcPr>
            <w:tcW w:w="567" w:type="dxa"/>
            <w:shd w:val="clear" w:color="auto" w:fill="C6EFCE"/>
            <w:noWrap/>
          </w:tcPr>
          <w:p w14:paraId="42048B5B" w14:textId="77777777" w:rsidR="000E48CE" w:rsidRDefault="00FF4C4E">
            <w:pPr>
              <w:pStyle w:val="P68B1DB1-Normal13"/>
              <w:spacing w:after="0" w:line="240" w:lineRule="auto"/>
              <w:jc w:val="right"/>
              <w:rPr>
                <w:rFonts w:cs="Times New Roman"/>
                <w:noProof/>
              </w:rPr>
            </w:pPr>
            <w:r>
              <w:rPr>
                <w:noProof/>
              </w:rPr>
              <w:t> </w:t>
            </w:r>
          </w:p>
        </w:tc>
        <w:tc>
          <w:tcPr>
            <w:tcW w:w="426" w:type="dxa"/>
            <w:shd w:val="clear" w:color="auto" w:fill="C6EFCE"/>
            <w:noWrap/>
          </w:tcPr>
          <w:p w14:paraId="4362E8A4" w14:textId="77777777" w:rsidR="000E48CE" w:rsidRDefault="00FF4C4E">
            <w:pPr>
              <w:pStyle w:val="P68B1DB1-Normal13"/>
              <w:spacing w:after="0" w:line="240" w:lineRule="auto"/>
              <w:jc w:val="center"/>
              <w:rPr>
                <w:rFonts w:cs="Times New Roman"/>
                <w:noProof/>
              </w:rPr>
            </w:pPr>
            <w:r>
              <w:rPr>
                <w:noProof/>
              </w:rPr>
              <w:t>Q4</w:t>
            </w:r>
          </w:p>
        </w:tc>
        <w:tc>
          <w:tcPr>
            <w:tcW w:w="708" w:type="dxa"/>
            <w:shd w:val="clear" w:color="auto" w:fill="C6EFCE"/>
            <w:noWrap/>
          </w:tcPr>
          <w:p w14:paraId="4483B977" w14:textId="77777777" w:rsidR="000E48CE" w:rsidRDefault="00FF4C4E">
            <w:pPr>
              <w:pStyle w:val="P68B1DB1-Normal13"/>
              <w:spacing w:after="0" w:line="240" w:lineRule="auto"/>
              <w:jc w:val="center"/>
              <w:rPr>
                <w:rFonts w:cs="Times New Roman"/>
                <w:noProof/>
              </w:rPr>
            </w:pPr>
            <w:r>
              <w:rPr>
                <w:noProof/>
              </w:rPr>
              <w:t>2024</w:t>
            </w:r>
          </w:p>
        </w:tc>
        <w:tc>
          <w:tcPr>
            <w:tcW w:w="6237" w:type="dxa"/>
            <w:shd w:val="clear" w:color="auto" w:fill="C6EFCE"/>
            <w:noWrap/>
          </w:tcPr>
          <w:p w14:paraId="0C6ED490" w14:textId="44A442C3" w:rsidR="000E48CE" w:rsidRDefault="00FF4C4E">
            <w:pPr>
              <w:pStyle w:val="P68B1DB1-Normal13"/>
              <w:spacing w:after="0" w:line="240" w:lineRule="auto"/>
              <w:rPr>
                <w:rFonts w:cs="Times New Roman"/>
                <w:noProof/>
              </w:rPr>
            </w:pPr>
            <w:r>
              <w:rPr>
                <w:noProof/>
              </w:rPr>
              <w:t>Seurantakomission on varmistettava, että kaikki valitut matkakohteet täyttävät vähintään seuraavan prosenttiosuuden kunk</w:t>
            </w:r>
            <w:r>
              <w:rPr>
                <w:noProof/>
              </w:rPr>
              <w:t>in matkailun kestävyyssuunnitelman toteutusasteista:</w:t>
            </w:r>
            <w:r>
              <w:rPr>
                <w:noProof/>
              </w:rPr>
              <w:br/>
            </w:r>
            <w:bookmarkStart w:id="49" w:name="_Hlk139826696"/>
            <w:r>
              <w:rPr>
                <w:noProof/>
              </w:rPr>
              <w:t>— 50 prosenttia vuonna 2021 myönnetyistä määräkohteista suoritetuista suorituksista.</w:t>
            </w:r>
            <w:r>
              <w:rPr>
                <w:noProof/>
              </w:rPr>
              <w:br/>
              <w:t xml:space="preserve">— 30 prosenttia suorituksista vuonna 2022 myönnettyjen määräpaikkojen osalta. </w:t>
            </w:r>
            <w:r>
              <w:rPr>
                <w:noProof/>
              </w:rPr>
              <w:br/>
              <w:t>— 15 % vuonna 2023 myönnetyistä määräpa</w:t>
            </w:r>
            <w:r>
              <w:rPr>
                <w:noProof/>
              </w:rPr>
              <w:t xml:space="preserve">ikoista. </w:t>
            </w:r>
            <w:bookmarkEnd w:id="49"/>
          </w:p>
        </w:tc>
      </w:tr>
      <w:tr w:rsidR="000E48CE" w14:paraId="0501667D" w14:textId="77777777">
        <w:trPr>
          <w:trHeight w:val="881"/>
        </w:trPr>
        <w:tc>
          <w:tcPr>
            <w:tcW w:w="709" w:type="dxa"/>
            <w:shd w:val="clear" w:color="auto" w:fill="C6EFCE"/>
            <w:noWrap/>
          </w:tcPr>
          <w:p w14:paraId="4FC549A4" w14:textId="77777777" w:rsidR="000E48CE" w:rsidRDefault="00FF4C4E">
            <w:pPr>
              <w:pStyle w:val="P68B1DB1-Normal13"/>
              <w:spacing w:after="0" w:line="240" w:lineRule="auto"/>
              <w:jc w:val="center"/>
              <w:rPr>
                <w:rFonts w:cs="Times New Roman"/>
                <w:noProof/>
              </w:rPr>
            </w:pPr>
            <w:r>
              <w:rPr>
                <w:noProof/>
              </w:rPr>
              <w:t>221</w:t>
            </w:r>
          </w:p>
        </w:tc>
        <w:tc>
          <w:tcPr>
            <w:tcW w:w="851" w:type="dxa"/>
            <w:shd w:val="clear" w:color="auto" w:fill="C6EFCE"/>
            <w:noWrap/>
          </w:tcPr>
          <w:p w14:paraId="5EA6E5FA" w14:textId="77777777" w:rsidR="000E48CE" w:rsidRDefault="00FF4C4E">
            <w:pPr>
              <w:pStyle w:val="P68B1DB1-Normal13"/>
              <w:spacing w:after="0" w:line="240" w:lineRule="auto"/>
              <w:jc w:val="center"/>
              <w:rPr>
                <w:rFonts w:cs="Times New Roman"/>
                <w:noProof/>
              </w:rPr>
            </w:pPr>
            <w:r>
              <w:rPr>
                <w:noProof/>
              </w:rPr>
              <w:t>C14.I1</w:t>
            </w:r>
          </w:p>
        </w:tc>
        <w:tc>
          <w:tcPr>
            <w:tcW w:w="850" w:type="dxa"/>
            <w:shd w:val="clear" w:color="auto" w:fill="C6EFCE"/>
            <w:noWrap/>
          </w:tcPr>
          <w:p w14:paraId="43D19A03" w14:textId="77777777" w:rsidR="000E48CE" w:rsidRDefault="00FF4C4E">
            <w:pPr>
              <w:pStyle w:val="P68B1DB1-Normal13"/>
              <w:spacing w:after="0" w:line="240" w:lineRule="auto"/>
              <w:jc w:val="center"/>
              <w:rPr>
                <w:rFonts w:cs="Times New Roman"/>
                <w:noProof/>
              </w:rPr>
            </w:pPr>
            <w:r>
              <w:rPr>
                <w:noProof/>
              </w:rPr>
              <w:t>M</w:t>
            </w:r>
          </w:p>
        </w:tc>
        <w:tc>
          <w:tcPr>
            <w:tcW w:w="1418" w:type="dxa"/>
            <w:shd w:val="clear" w:color="auto" w:fill="C6EFCE"/>
            <w:noWrap/>
          </w:tcPr>
          <w:p w14:paraId="5B0E3809" w14:textId="77777777" w:rsidR="000E48CE" w:rsidRDefault="00FF4C4E">
            <w:pPr>
              <w:pStyle w:val="P68B1DB1-Normal13"/>
              <w:spacing w:after="0" w:line="240" w:lineRule="auto"/>
              <w:rPr>
                <w:rFonts w:cs="Times New Roman"/>
                <w:noProof/>
              </w:rPr>
            </w:pPr>
            <w:r>
              <w:rPr>
                <w:noProof/>
              </w:rPr>
              <w:t xml:space="preserve">Matkailukohteiden kestävyyttä edistävien hankkeiden loppuun saattaminen </w:t>
            </w:r>
          </w:p>
        </w:tc>
        <w:tc>
          <w:tcPr>
            <w:tcW w:w="1276" w:type="dxa"/>
            <w:shd w:val="clear" w:color="auto" w:fill="C6EFCE"/>
            <w:noWrap/>
          </w:tcPr>
          <w:p w14:paraId="4B888E08" w14:textId="77777777" w:rsidR="000E48CE" w:rsidRDefault="00FF4C4E">
            <w:pPr>
              <w:pStyle w:val="P68B1DB1-Normal13"/>
              <w:spacing w:after="0" w:line="240" w:lineRule="auto"/>
              <w:jc w:val="center"/>
              <w:rPr>
                <w:rFonts w:cs="Times New Roman"/>
                <w:noProof/>
              </w:rPr>
            </w:pPr>
            <w:r>
              <w:rPr>
                <w:noProof/>
              </w:rPr>
              <w:t>Täyttötodistus</w:t>
            </w:r>
          </w:p>
        </w:tc>
        <w:tc>
          <w:tcPr>
            <w:tcW w:w="850" w:type="dxa"/>
            <w:shd w:val="clear" w:color="auto" w:fill="C6EFCE"/>
            <w:noWrap/>
          </w:tcPr>
          <w:p w14:paraId="50BD9DCD" w14:textId="77777777" w:rsidR="000E48CE" w:rsidRDefault="00FF4C4E">
            <w:pPr>
              <w:pStyle w:val="P68B1DB1-Normal13"/>
              <w:spacing w:after="0" w:line="240" w:lineRule="auto"/>
              <w:jc w:val="right"/>
              <w:rPr>
                <w:rFonts w:cs="Times New Roman"/>
                <w:noProof/>
              </w:rPr>
            </w:pPr>
            <w:r>
              <w:rPr>
                <w:noProof/>
              </w:rPr>
              <w:t> </w:t>
            </w:r>
          </w:p>
        </w:tc>
        <w:tc>
          <w:tcPr>
            <w:tcW w:w="992" w:type="dxa"/>
            <w:shd w:val="clear" w:color="auto" w:fill="C6EFCE"/>
            <w:noWrap/>
          </w:tcPr>
          <w:p w14:paraId="155B9399" w14:textId="77777777" w:rsidR="000E48CE" w:rsidRDefault="00FF4C4E">
            <w:pPr>
              <w:pStyle w:val="P68B1DB1-Normal13"/>
              <w:spacing w:after="0" w:line="240" w:lineRule="auto"/>
              <w:jc w:val="right"/>
              <w:rPr>
                <w:rFonts w:cs="Times New Roman"/>
                <w:noProof/>
              </w:rPr>
            </w:pPr>
            <w:r>
              <w:rPr>
                <w:noProof/>
              </w:rPr>
              <w:t> </w:t>
            </w:r>
          </w:p>
        </w:tc>
        <w:tc>
          <w:tcPr>
            <w:tcW w:w="567" w:type="dxa"/>
            <w:shd w:val="clear" w:color="auto" w:fill="C6EFCE"/>
            <w:noWrap/>
          </w:tcPr>
          <w:p w14:paraId="753A0B0D" w14:textId="77777777" w:rsidR="000E48CE" w:rsidRDefault="00FF4C4E">
            <w:pPr>
              <w:pStyle w:val="P68B1DB1-Normal13"/>
              <w:spacing w:after="0" w:line="240" w:lineRule="auto"/>
              <w:jc w:val="right"/>
              <w:rPr>
                <w:rFonts w:cs="Times New Roman"/>
                <w:noProof/>
              </w:rPr>
            </w:pPr>
            <w:r>
              <w:rPr>
                <w:noProof/>
              </w:rPr>
              <w:t> </w:t>
            </w:r>
          </w:p>
        </w:tc>
        <w:tc>
          <w:tcPr>
            <w:tcW w:w="426" w:type="dxa"/>
            <w:shd w:val="clear" w:color="auto" w:fill="C6EFCE"/>
            <w:noWrap/>
          </w:tcPr>
          <w:p w14:paraId="4EC6F3F3" w14:textId="77777777" w:rsidR="000E48CE" w:rsidRDefault="00FF4C4E">
            <w:pPr>
              <w:pStyle w:val="P68B1DB1-Normal13"/>
              <w:spacing w:after="0" w:line="240" w:lineRule="auto"/>
              <w:jc w:val="center"/>
              <w:rPr>
                <w:rFonts w:cs="Times New Roman"/>
                <w:noProof/>
              </w:rPr>
            </w:pPr>
            <w:r>
              <w:rPr>
                <w:noProof/>
              </w:rPr>
              <w:t>Q2</w:t>
            </w:r>
          </w:p>
        </w:tc>
        <w:tc>
          <w:tcPr>
            <w:tcW w:w="708" w:type="dxa"/>
            <w:shd w:val="clear" w:color="auto" w:fill="C6EFCE"/>
            <w:noWrap/>
          </w:tcPr>
          <w:p w14:paraId="41897F6E" w14:textId="77777777" w:rsidR="000E48CE" w:rsidRDefault="00FF4C4E">
            <w:pPr>
              <w:pStyle w:val="P68B1DB1-Normal13"/>
              <w:spacing w:after="0" w:line="240" w:lineRule="auto"/>
              <w:jc w:val="center"/>
              <w:rPr>
                <w:rFonts w:cs="Times New Roman"/>
                <w:noProof/>
              </w:rPr>
            </w:pPr>
            <w:r>
              <w:rPr>
                <w:noProof/>
              </w:rPr>
              <w:t>2026</w:t>
            </w:r>
          </w:p>
        </w:tc>
        <w:tc>
          <w:tcPr>
            <w:tcW w:w="6237" w:type="dxa"/>
            <w:shd w:val="clear" w:color="auto" w:fill="C6EFCE"/>
            <w:noWrap/>
          </w:tcPr>
          <w:p w14:paraId="52EA63BF" w14:textId="2DB8A0CF" w:rsidR="000E48CE" w:rsidRDefault="00FF4C4E">
            <w:pPr>
              <w:pStyle w:val="P68B1DB1-Normal13"/>
              <w:spacing w:after="0" w:line="240" w:lineRule="auto"/>
              <w:rPr>
                <w:rFonts w:cs="Times New Roman"/>
                <w:noProof/>
              </w:rPr>
            </w:pPr>
            <w:r>
              <w:rPr>
                <w:noProof/>
              </w:rPr>
              <w:t>Saatetaan päätökseen kaikki matkailun kestävyyttä määräpaikassa koskeviin alueellisiin suunnitelmiin sisältyvät hankkeet, jotka on</w:t>
            </w:r>
            <w:r>
              <w:rPr>
                <w:noProof/>
              </w:rPr>
              <w:t xml:space="preserve"> myönnetty tavoitteiden 217, 218 ja 219 mukaisesti siten, että 35 prosenttia varoista käytetään vihreään siirtymään, kestävyyteen ja energiatehokkuuteen/sähköiseen liikkuvuuteen matkailukohteissa liittyviin toimenpiteisiin, ”ei merkittävää haittaa” -ohjelm</w:t>
            </w:r>
            <w:r>
              <w:rPr>
                <w:noProof/>
              </w:rPr>
              <w:t>an teknisten ohjeiden (2021/C58/01) mukaisesti käyttämällä poissulkemisluetteloa ja asiaankuuluvan EU:n ja kansallisen ympäristölainsäädännön noudattamista koskevaa vaatimusta.</w:t>
            </w:r>
          </w:p>
        </w:tc>
      </w:tr>
      <w:tr w:rsidR="000E48CE" w14:paraId="7C571586" w14:textId="77777777">
        <w:trPr>
          <w:trHeight w:val="881"/>
        </w:trPr>
        <w:tc>
          <w:tcPr>
            <w:tcW w:w="709" w:type="dxa"/>
            <w:shd w:val="clear" w:color="auto" w:fill="C6EFCE"/>
            <w:noWrap/>
          </w:tcPr>
          <w:p w14:paraId="21C5838F" w14:textId="77777777" w:rsidR="000E48CE" w:rsidRDefault="00FF4C4E">
            <w:pPr>
              <w:pStyle w:val="P68B1DB1-Normal13"/>
              <w:spacing w:after="0" w:line="240" w:lineRule="auto"/>
              <w:jc w:val="center"/>
              <w:rPr>
                <w:rFonts w:cs="Times New Roman"/>
                <w:noProof/>
              </w:rPr>
            </w:pPr>
            <w:r>
              <w:rPr>
                <w:noProof/>
              </w:rPr>
              <w:t>222</w:t>
            </w:r>
          </w:p>
        </w:tc>
        <w:tc>
          <w:tcPr>
            <w:tcW w:w="851" w:type="dxa"/>
            <w:shd w:val="clear" w:color="auto" w:fill="C6EFCE"/>
            <w:noWrap/>
          </w:tcPr>
          <w:p w14:paraId="3154B6A1" w14:textId="77777777" w:rsidR="000E48CE" w:rsidRDefault="00FF4C4E">
            <w:pPr>
              <w:pStyle w:val="P68B1DB1-Normal13"/>
              <w:spacing w:after="0" w:line="240" w:lineRule="auto"/>
              <w:jc w:val="center"/>
              <w:rPr>
                <w:rFonts w:cs="Times New Roman"/>
                <w:noProof/>
              </w:rPr>
            </w:pPr>
            <w:r>
              <w:rPr>
                <w:noProof/>
              </w:rPr>
              <w:t>C14.I2</w:t>
            </w:r>
          </w:p>
        </w:tc>
        <w:tc>
          <w:tcPr>
            <w:tcW w:w="850" w:type="dxa"/>
            <w:shd w:val="clear" w:color="auto" w:fill="C6EFCE"/>
            <w:noWrap/>
          </w:tcPr>
          <w:p w14:paraId="19EF0260" w14:textId="77777777" w:rsidR="000E48CE" w:rsidRDefault="00FF4C4E">
            <w:pPr>
              <w:pStyle w:val="P68B1DB1-Normal13"/>
              <w:spacing w:after="0" w:line="240" w:lineRule="auto"/>
              <w:jc w:val="center"/>
              <w:rPr>
                <w:rFonts w:cs="Times New Roman"/>
                <w:noProof/>
              </w:rPr>
            </w:pPr>
            <w:r>
              <w:rPr>
                <w:noProof/>
              </w:rPr>
              <w:t>M</w:t>
            </w:r>
          </w:p>
        </w:tc>
        <w:tc>
          <w:tcPr>
            <w:tcW w:w="1418" w:type="dxa"/>
            <w:shd w:val="clear" w:color="auto" w:fill="C6EFCE"/>
            <w:noWrap/>
          </w:tcPr>
          <w:p w14:paraId="013AE616" w14:textId="77777777" w:rsidR="000E48CE" w:rsidRDefault="00FF4C4E">
            <w:pPr>
              <w:pStyle w:val="P68B1DB1-Normal13"/>
              <w:spacing w:after="0" w:line="240" w:lineRule="auto"/>
              <w:rPr>
                <w:rFonts w:cs="Times New Roman"/>
                <w:noProof/>
              </w:rPr>
            </w:pPr>
            <w:r>
              <w:rPr>
                <w:noProof/>
              </w:rPr>
              <w:t xml:space="preserve">Matkailualan älykkäiden matkailukohteiden foorumin </w:t>
            </w:r>
            <w:r>
              <w:rPr>
                <w:noProof/>
              </w:rPr>
              <w:t>käynnistäminen.</w:t>
            </w:r>
          </w:p>
        </w:tc>
        <w:tc>
          <w:tcPr>
            <w:tcW w:w="1276" w:type="dxa"/>
            <w:shd w:val="clear" w:color="auto" w:fill="C6EFCE"/>
            <w:noWrap/>
          </w:tcPr>
          <w:p w14:paraId="4B9978DD" w14:textId="77777777" w:rsidR="000E48CE" w:rsidRDefault="00FF4C4E">
            <w:pPr>
              <w:pStyle w:val="P68B1DB1-Normal13"/>
              <w:spacing w:after="0" w:line="240" w:lineRule="auto"/>
              <w:jc w:val="center"/>
              <w:rPr>
                <w:rFonts w:cs="Times New Roman"/>
                <w:noProof/>
              </w:rPr>
            </w:pPr>
            <w:r>
              <w:rPr>
                <w:noProof/>
              </w:rPr>
              <w:t>Linkki foorumiin</w:t>
            </w:r>
          </w:p>
        </w:tc>
        <w:tc>
          <w:tcPr>
            <w:tcW w:w="850" w:type="dxa"/>
            <w:shd w:val="clear" w:color="auto" w:fill="C6EFCE"/>
            <w:noWrap/>
          </w:tcPr>
          <w:p w14:paraId="59BE89D5" w14:textId="77777777" w:rsidR="000E48CE" w:rsidRDefault="00FF4C4E">
            <w:pPr>
              <w:pStyle w:val="P68B1DB1-Normal13"/>
              <w:spacing w:after="0" w:line="240" w:lineRule="auto"/>
              <w:jc w:val="right"/>
              <w:rPr>
                <w:rFonts w:cs="Times New Roman"/>
                <w:noProof/>
              </w:rPr>
            </w:pPr>
            <w:r>
              <w:rPr>
                <w:noProof/>
              </w:rPr>
              <w:t> </w:t>
            </w:r>
          </w:p>
        </w:tc>
        <w:tc>
          <w:tcPr>
            <w:tcW w:w="992" w:type="dxa"/>
            <w:shd w:val="clear" w:color="auto" w:fill="C6EFCE"/>
            <w:noWrap/>
          </w:tcPr>
          <w:p w14:paraId="7DBA839F" w14:textId="77777777" w:rsidR="000E48CE" w:rsidRDefault="00FF4C4E">
            <w:pPr>
              <w:pStyle w:val="P68B1DB1-Normal13"/>
              <w:spacing w:after="0" w:line="240" w:lineRule="auto"/>
              <w:jc w:val="right"/>
              <w:rPr>
                <w:rFonts w:cs="Times New Roman"/>
                <w:noProof/>
              </w:rPr>
            </w:pPr>
            <w:r>
              <w:rPr>
                <w:noProof/>
              </w:rPr>
              <w:t> </w:t>
            </w:r>
          </w:p>
        </w:tc>
        <w:tc>
          <w:tcPr>
            <w:tcW w:w="567" w:type="dxa"/>
            <w:shd w:val="clear" w:color="auto" w:fill="C6EFCE"/>
            <w:noWrap/>
          </w:tcPr>
          <w:p w14:paraId="77586365" w14:textId="77777777" w:rsidR="000E48CE" w:rsidRDefault="00FF4C4E">
            <w:pPr>
              <w:pStyle w:val="P68B1DB1-Normal13"/>
              <w:spacing w:after="0" w:line="240" w:lineRule="auto"/>
              <w:jc w:val="right"/>
              <w:rPr>
                <w:rFonts w:cs="Times New Roman"/>
                <w:noProof/>
              </w:rPr>
            </w:pPr>
            <w:r>
              <w:rPr>
                <w:noProof/>
              </w:rPr>
              <w:t> </w:t>
            </w:r>
          </w:p>
        </w:tc>
        <w:tc>
          <w:tcPr>
            <w:tcW w:w="426" w:type="dxa"/>
            <w:shd w:val="clear" w:color="auto" w:fill="C6EFCE"/>
            <w:noWrap/>
          </w:tcPr>
          <w:p w14:paraId="14EA049E" w14:textId="77777777" w:rsidR="000E48CE" w:rsidRDefault="00FF4C4E">
            <w:pPr>
              <w:pStyle w:val="P68B1DB1-Normal13"/>
              <w:spacing w:after="0" w:line="240" w:lineRule="auto"/>
              <w:jc w:val="center"/>
              <w:rPr>
                <w:rFonts w:cs="Times New Roman"/>
                <w:noProof/>
              </w:rPr>
            </w:pPr>
            <w:r>
              <w:rPr>
                <w:noProof/>
              </w:rPr>
              <w:t>Q2</w:t>
            </w:r>
          </w:p>
        </w:tc>
        <w:tc>
          <w:tcPr>
            <w:tcW w:w="708" w:type="dxa"/>
            <w:shd w:val="clear" w:color="auto" w:fill="C6EFCE"/>
            <w:noWrap/>
          </w:tcPr>
          <w:p w14:paraId="70BFDCAA" w14:textId="77777777" w:rsidR="000E48CE" w:rsidRDefault="00FF4C4E">
            <w:pPr>
              <w:pStyle w:val="P68B1DB1-Normal13"/>
              <w:spacing w:after="0" w:line="240" w:lineRule="auto"/>
              <w:jc w:val="center"/>
              <w:rPr>
                <w:rFonts w:cs="Times New Roman"/>
                <w:noProof/>
              </w:rPr>
            </w:pPr>
            <w:r>
              <w:rPr>
                <w:noProof/>
              </w:rPr>
              <w:t>2025</w:t>
            </w:r>
          </w:p>
        </w:tc>
        <w:tc>
          <w:tcPr>
            <w:tcW w:w="6237" w:type="dxa"/>
            <w:shd w:val="clear" w:color="auto" w:fill="C6EFCE"/>
            <w:noWrap/>
          </w:tcPr>
          <w:p w14:paraId="0B81599A" w14:textId="77777777" w:rsidR="000E48CE" w:rsidRDefault="00FF4C4E">
            <w:pPr>
              <w:pStyle w:val="P68B1DB1-Normal13"/>
              <w:spacing w:after="0" w:line="240" w:lineRule="auto"/>
              <w:rPr>
                <w:rFonts w:cs="Times New Roman"/>
                <w:noProof/>
              </w:rPr>
            </w:pPr>
            <w:r>
              <w:rPr>
                <w:noProof/>
              </w:rPr>
              <w:t>Täysin toimivan älykkäiden matkailukohteiden foorumin toteuttaminen ja käynnistäminen. Alustan on tarjottava yhteentoimivia julkisia ja yksityisiä palveluja matkailijoille.</w:t>
            </w:r>
          </w:p>
        </w:tc>
      </w:tr>
      <w:tr w:rsidR="000E48CE" w14:paraId="4C4443DE" w14:textId="77777777">
        <w:trPr>
          <w:trHeight w:val="171"/>
        </w:trPr>
        <w:tc>
          <w:tcPr>
            <w:tcW w:w="709" w:type="dxa"/>
            <w:shd w:val="clear" w:color="auto" w:fill="C6EFCE"/>
            <w:noWrap/>
          </w:tcPr>
          <w:p w14:paraId="33E1B8CE" w14:textId="77777777" w:rsidR="000E48CE" w:rsidRDefault="00FF4C4E">
            <w:pPr>
              <w:pStyle w:val="P68B1DB1-Normal13"/>
              <w:spacing w:after="0" w:line="240" w:lineRule="auto"/>
              <w:jc w:val="center"/>
              <w:rPr>
                <w:rFonts w:cs="Times New Roman"/>
                <w:noProof/>
              </w:rPr>
            </w:pPr>
            <w:r>
              <w:rPr>
                <w:noProof/>
              </w:rPr>
              <w:t>223</w:t>
            </w:r>
          </w:p>
        </w:tc>
        <w:tc>
          <w:tcPr>
            <w:tcW w:w="851" w:type="dxa"/>
            <w:shd w:val="clear" w:color="auto" w:fill="C6EFCE"/>
            <w:noWrap/>
          </w:tcPr>
          <w:p w14:paraId="757B8BE0" w14:textId="77777777" w:rsidR="000E48CE" w:rsidRDefault="00FF4C4E">
            <w:pPr>
              <w:pStyle w:val="P68B1DB1-Normal13"/>
              <w:spacing w:after="0" w:line="240" w:lineRule="auto"/>
              <w:jc w:val="center"/>
              <w:rPr>
                <w:rFonts w:cs="Times New Roman"/>
                <w:noProof/>
              </w:rPr>
            </w:pPr>
            <w:r>
              <w:rPr>
                <w:noProof/>
              </w:rPr>
              <w:t>C14.I2</w:t>
            </w:r>
          </w:p>
        </w:tc>
        <w:tc>
          <w:tcPr>
            <w:tcW w:w="850" w:type="dxa"/>
            <w:shd w:val="clear" w:color="auto" w:fill="C6EFCE"/>
            <w:noWrap/>
          </w:tcPr>
          <w:p w14:paraId="1FB216CC" w14:textId="77777777" w:rsidR="000E48CE" w:rsidRDefault="00FF4C4E">
            <w:pPr>
              <w:pStyle w:val="P68B1DB1-Normal13"/>
              <w:spacing w:after="0" w:line="240" w:lineRule="auto"/>
              <w:jc w:val="center"/>
              <w:rPr>
                <w:rFonts w:cs="Times New Roman"/>
                <w:noProof/>
              </w:rPr>
            </w:pPr>
            <w:r>
              <w:rPr>
                <w:noProof/>
              </w:rPr>
              <w:t>T</w:t>
            </w:r>
          </w:p>
        </w:tc>
        <w:tc>
          <w:tcPr>
            <w:tcW w:w="1418" w:type="dxa"/>
            <w:shd w:val="clear" w:color="auto" w:fill="C6EFCE"/>
            <w:noWrap/>
          </w:tcPr>
          <w:p w14:paraId="0E2164DB" w14:textId="77777777" w:rsidR="000E48CE" w:rsidRDefault="00FF4C4E">
            <w:pPr>
              <w:pStyle w:val="P68B1DB1-Normal13"/>
              <w:spacing w:after="0" w:line="240" w:lineRule="auto"/>
              <w:rPr>
                <w:rFonts w:cs="Times New Roman"/>
                <w:noProof/>
              </w:rPr>
            </w:pPr>
            <w:r>
              <w:rPr>
                <w:noProof/>
              </w:rPr>
              <w:t>Tekoälyyn ja muihin mahdollistaviin teknologioihin liittyvien innovatiivisten teknologiapohjaisten hankkeiden tuensaajat</w:t>
            </w:r>
          </w:p>
        </w:tc>
        <w:tc>
          <w:tcPr>
            <w:tcW w:w="1276" w:type="dxa"/>
            <w:shd w:val="clear" w:color="auto" w:fill="C6EFCE"/>
            <w:noWrap/>
          </w:tcPr>
          <w:p w14:paraId="3226E9BF"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19E2031B" w14:textId="77777777" w:rsidR="000E48CE" w:rsidRDefault="00FF4C4E">
            <w:pPr>
              <w:pStyle w:val="P68B1DB1-Normal13"/>
              <w:spacing w:after="0" w:line="240" w:lineRule="auto"/>
              <w:jc w:val="right"/>
              <w:rPr>
                <w:rFonts w:cs="Times New Roman"/>
                <w:noProof/>
              </w:rPr>
            </w:pPr>
            <w:r>
              <w:rPr>
                <w:noProof/>
              </w:rPr>
              <w:t>Määrä</w:t>
            </w:r>
          </w:p>
        </w:tc>
        <w:tc>
          <w:tcPr>
            <w:tcW w:w="992" w:type="dxa"/>
            <w:shd w:val="clear" w:color="auto" w:fill="C6EFCE"/>
            <w:noWrap/>
          </w:tcPr>
          <w:p w14:paraId="0E9DD790"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58635DFE" w14:textId="77777777" w:rsidR="000E48CE" w:rsidRDefault="00FF4C4E">
            <w:pPr>
              <w:pStyle w:val="P68B1DB1-Normal13"/>
              <w:spacing w:after="0" w:line="240" w:lineRule="auto"/>
              <w:jc w:val="right"/>
              <w:rPr>
                <w:rFonts w:cs="Times New Roman"/>
                <w:noProof/>
              </w:rPr>
            </w:pPr>
            <w:r>
              <w:rPr>
                <w:noProof/>
              </w:rPr>
              <w:t>1 000</w:t>
            </w:r>
          </w:p>
        </w:tc>
        <w:tc>
          <w:tcPr>
            <w:tcW w:w="426" w:type="dxa"/>
            <w:shd w:val="clear" w:color="auto" w:fill="C6EFCE"/>
            <w:noWrap/>
          </w:tcPr>
          <w:p w14:paraId="7719B954" w14:textId="77777777" w:rsidR="000E48CE" w:rsidRDefault="00FF4C4E">
            <w:pPr>
              <w:pStyle w:val="P68B1DB1-Normal13"/>
              <w:spacing w:after="0" w:line="240" w:lineRule="auto"/>
              <w:jc w:val="center"/>
              <w:rPr>
                <w:rFonts w:cs="Times New Roman"/>
                <w:noProof/>
              </w:rPr>
            </w:pPr>
            <w:r>
              <w:rPr>
                <w:noProof/>
              </w:rPr>
              <w:t>Q2</w:t>
            </w:r>
          </w:p>
        </w:tc>
        <w:tc>
          <w:tcPr>
            <w:tcW w:w="708" w:type="dxa"/>
            <w:shd w:val="clear" w:color="auto" w:fill="C6EFCE"/>
            <w:noWrap/>
          </w:tcPr>
          <w:p w14:paraId="30E7C679" w14:textId="77777777" w:rsidR="000E48CE" w:rsidRDefault="00FF4C4E">
            <w:pPr>
              <w:pStyle w:val="P68B1DB1-Normal13"/>
              <w:spacing w:after="0" w:line="240" w:lineRule="auto"/>
              <w:jc w:val="center"/>
              <w:rPr>
                <w:rFonts w:cs="Times New Roman"/>
                <w:noProof/>
              </w:rPr>
            </w:pPr>
            <w:r>
              <w:rPr>
                <w:noProof/>
              </w:rPr>
              <w:t>2025</w:t>
            </w:r>
          </w:p>
        </w:tc>
        <w:tc>
          <w:tcPr>
            <w:tcW w:w="6237" w:type="dxa"/>
            <w:shd w:val="clear" w:color="auto" w:fill="C6EFCE"/>
            <w:noWrap/>
          </w:tcPr>
          <w:p w14:paraId="46B5ECA5" w14:textId="77777777" w:rsidR="000E48CE" w:rsidRDefault="00FF4C4E">
            <w:pPr>
              <w:pStyle w:val="P68B1DB1-Normal13"/>
              <w:spacing w:after="0" w:line="240" w:lineRule="auto"/>
              <w:rPr>
                <w:rFonts w:cs="Times New Roman"/>
                <w:noProof/>
              </w:rPr>
            </w:pPr>
            <w:r>
              <w:rPr>
                <w:noProof/>
              </w:rPr>
              <w:t>Vähintään 1000 edunsaajaa (yritystä tai klusteria), jotka ovat saattaneet päätökseen matkailualan innovatiivisi</w:t>
            </w:r>
            <w:r>
              <w:rPr>
                <w:noProof/>
              </w:rPr>
              <w:t xml:space="preserve">a teknologiahankkeita, jotka liittyvät tekoälyyn ja muihin mahdollistaviin teknologioihin, kuten esineiden internetiin, 5G:hen, massadataan, kyberturvallisuuteen ja mobiilisovelluksiin. </w:t>
            </w:r>
          </w:p>
        </w:tc>
      </w:tr>
      <w:tr w:rsidR="000E48CE" w14:paraId="0767E8E7" w14:textId="77777777">
        <w:trPr>
          <w:trHeight w:val="881"/>
        </w:trPr>
        <w:tc>
          <w:tcPr>
            <w:tcW w:w="709" w:type="dxa"/>
            <w:shd w:val="clear" w:color="auto" w:fill="C6EFCE"/>
            <w:noWrap/>
          </w:tcPr>
          <w:p w14:paraId="71EC71E3" w14:textId="77777777" w:rsidR="000E48CE" w:rsidRDefault="00FF4C4E">
            <w:pPr>
              <w:pStyle w:val="P68B1DB1-Normal13"/>
              <w:spacing w:after="0" w:line="240" w:lineRule="auto"/>
              <w:jc w:val="center"/>
              <w:rPr>
                <w:rFonts w:cs="Times New Roman"/>
                <w:noProof/>
              </w:rPr>
            </w:pPr>
            <w:r>
              <w:rPr>
                <w:noProof/>
              </w:rPr>
              <w:t>224</w:t>
            </w:r>
          </w:p>
        </w:tc>
        <w:tc>
          <w:tcPr>
            <w:tcW w:w="851" w:type="dxa"/>
            <w:shd w:val="clear" w:color="auto" w:fill="C6EFCE"/>
            <w:noWrap/>
          </w:tcPr>
          <w:p w14:paraId="16DA144B" w14:textId="77777777" w:rsidR="000E48CE" w:rsidRDefault="00FF4C4E">
            <w:pPr>
              <w:pStyle w:val="P68B1DB1-Normal13"/>
              <w:spacing w:after="0" w:line="240" w:lineRule="auto"/>
              <w:jc w:val="center"/>
              <w:rPr>
                <w:rFonts w:cs="Times New Roman"/>
                <w:noProof/>
              </w:rPr>
            </w:pPr>
            <w:r>
              <w:rPr>
                <w:noProof/>
              </w:rPr>
              <w:t>C14.I3</w:t>
            </w:r>
          </w:p>
        </w:tc>
        <w:tc>
          <w:tcPr>
            <w:tcW w:w="850" w:type="dxa"/>
            <w:shd w:val="clear" w:color="auto" w:fill="C6EFCE"/>
            <w:noWrap/>
          </w:tcPr>
          <w:p w14:paraId="47493A6B" w14:textId="77777777" w:rsidR="000E48CE" w:rsidRDefault="00FF4C4E">
            <w:pPr>
              <w:pStyle w:val="P68B1DB1-Normal13"/>
              <w:spacing w:after="0" w:line="240" w:lineRule="auto"/>
              <w:jc w:val="center"/>
              <w:rPr>
                <w:rFonts w:cs="Times New Roman"/>
                <w:noProof/>
              </w:rPr>
            </w:pPr>
            <w:r>
              <w:rPr>
                <w:noProof/>
              </w:rPr>
              <w:t>T</w:t>
            </w:r>
          </w:p>
        </w:tc>
        <w:tc>
          <w:tcPr>
            <w:tcW w:w="1418" w:type="dxa"/>
            <w:shd w:val="clear" w:color="auto" w:fill="C6EFCE"/>
            <w:noWrap/>
          </w:tcPr>
          <w:p w14:paraId="5F52E50C" w14:textId="77777777" w:rsidR="000E48CE" w:rsidRDefault="00FF4C4E">
            <w:pPr>
              <w:pStyle w:val="P68B1DB1-Normal13"/>
              <w:spacing w:after="0" w:line="240" w:lineRule="auto"/>
              <w:rPr>
                <w:rFonts w:cs="Times New Roman"/>
                <w:noProof/>
              </w:rPr>
            </w:pPr>
            <w:r>
              <w:rPr>
                <w:noProof/>
              </w:rPr>
              <w:t xml:space="preserve">Saarialueiden tuensaajat, jotka ovat saattaneet </w:t>
            </w:r>
            <w:r>
              <w:rPr>
                <w:noProof/>
              </w:rPr>
              <w:t>päätökseen hankkeita parantaakseen kilpailukykyään ja kykyään sopeutua kansainvälisten markkinoiden muutoksiin</w:t>
            </w:r>
          </w:p>
        </w:tc>
        <w:tc>
          <w:tcPr>
            <w:tcW w:w="1276" w:type="dxa"/>
            <w:shd w:val="clear" w:color="auto" w:fill="C6EFCE"/>
            <w:noWrap/>
          </w:tcPr>
          <w:p w14:paraId="0A29F6D2"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06EE9AA1" w14:textId="77777777" w:rsidR="000E48CE" w:rsidRDefault="00FF4C4E">
            <w:pPr>
              <w:pStyle w:val="P68B1DB1-Normal13"/>
              <w:spacing w:after="0" w:line="240" w:lineRule="auto"/>
              <w:jc w:val="right"/>
              <w:rPr>
                <w:rFonts w:cs="Times New Roman"/>
                <w:noProof/>
              </w:rPr>
            </w:pPr>
            <w:r>
              <w:rPr>
                <w:noProof/>
              </w:rPr>
              <w:t>Määrä</w:t>
            </w:r>
          </w:p>
        </w:tc>
        <w:tc>
          <w:tcPr>
            <w:tcW w:w="992" w:type="dxa"/>
            <w:shd w:val="clear" w:color="auto" w:fill="C6EFCE"/>
            <w:noWrap/>
          </w:tcPr>
          <w:p w14:paraId="0AAEB8C8"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6BF37D29" w14:textId="77777777" w:rsidR="000E48CE" w:rsidRDefault="00FF4C4E">
            <w:pPr>
              <w:pStyle w:val="P68B1DB1-Normal13"/>
              <w:spacing w:after="0" w:line="240" w:lineRule="auto"/>
              <w:jc w:val="right"/>
              <w:rPr>
                <w:rFonts w:cs="Times New Roman"/>
                <w:noProof/>
              </w:rPr>
            </w:pPr>
            <w:r>
              <w:rPr>
                <w:noProof/>
              </w:rPr>
              <w:t>400</w:t>
            </w:r>
          </w:p>
        </w:tc>
        <w:tc>
          <w:tcPr>
            <w:tcW w:w="426" w:type="dxa"/>
            <w:shd w:val="clear" w:color="auto" w:fill="C6EFCE"/>
            <w:noWrap/>
          </w:tcPr>
          <w:p w14:paraId="77158A0C" w14:textId="77777777" w:rsidR="000E48CE" w:rsidRDefault="00FF4C4E">
            <w:pPr>
              <w:pStyle w:val="P68B1DB1-Normal13"/>
              <w:spacing w:after="0" w:line="240" w:lineRule="auto"/>
              <w:jc w:val="center"/>
              <w:rPr>
                <w:rFonts w:cs="Times New Roman"/>
                <w:noProof/>
              </w:rPr>
            </w:pPr>
            <w:r>
              <w:rPr>
                <w:noProof/>
              </w:rPr>
              <w:t>Q2</w:t>
            </w:r>
          </w:p>
        </w:tc>
        <w:tc>
          <w:tcPr>
            <w:tcW w:w="708" w:type="dxa"/>
            <w:shd w:val="clear" w:color="auto" w:fill="C6EFCE"/>
            <w:noWrap/>
          </w:tcPr>
          <w:p w14:paraId="105DEDD1" w14:textId="77777777" w:rsidR="000E48CE" w:rsidRDefault="00FF4C4E">
            <w:pPr>
              <w:pStyle w:val="P68B1DB1-Normal13"/>
              <w:spacing w:after="0" w:line="240" w:lineRule="auto"/>
              <w:jc w:val="center"/>
              <w:rPr>
                <w:rFonts w:cs="Times New Roman"/>
                <w:noProof/>
              </w:rPr>
            </w:pPr>
            <w:r>
              <w:rPr>
                <w:noProof/>
              </w:rPr>
              <w:t>2025</w:t>
            </w:r>
          </w:p>
        </w:tc>
        <w:tc>
          <w:tcPr>
            <w:tcW w:w="6237" w:type="dxa"/>
            <w:shd w:val="clear" w:color="auto" w:fill="C6EFCE"/>
            <w:noWrap/>
          </w:tcPr>
          <w:p w14:paraId="7E791D59" w14:textId="77777777" w:rsidR="000E48CE" w:rsidRDefault="00FF4C4E">
            <w:pPr>
              <w:pStyle w:val="P68B1DB1-Normal13"/>
              <w:spacing w:after="0" w:line="240" w:lineRule="auto"/>
              <w:rPr>
                <w:rFonts w:cs="Times New Roman"/>
                <w:noProof/>
              </w:rPr>
            </w:pPr>
            <w:r>
              <w:rPr>
                <w:noProof/>
              </w:rPr>
              <w:t>Vähintään 400 tuensaajaa niemimaan ulkopuolisilla alueilla (Baleaarit, Kanariansaaret, Ceuta ja Melilla), jotka ovat saatta</w:t>
            </w:r>
            <w:r>
              <w:rPr>
                <w:noProof/>
              </w:rPr>
              <w:t>neet päätökseen hankkeet parantaakseen kilpailukykyään ja kykyään sopeutua kansainvälisten markkinoiden muutoksiin.</w:t>
            </w:r>
          </w:p>
        </w:tc>
      </w:tr>
      <w:tr w:rsidR="000E48CE" w14:paraId="7F8EA3C9" w14:textId="77777777">
        <w:trPr>
          <w:trHeight w:val="881"/>
        </w:trPr>
        <w:tc>
          <w:tcPr>
            <w:tcW w:w="709" w:type="dxa"/>
            <w:shd w:val="clear" w:color="auto" w:fill="C6EFCE"/>
            <w:noWrap/>
          </w:tcPr>
          <w:p w14:paraId="385EAC47" w14:textId="77777777" w:rsidR="000E48CE" w:rsidRDefault="00FF4C4E">
            <w:pPr>
              <w:pStyle w:val="P68B1DB1-Normal13"/>
              <w:spacing w:after="0" w:line="240" w:lineRule="auto"/>
              <w:jc w:val="center"/>
              <w:rPr>
                <w:rFonts w:cs="Times New Roman"/>
                <w:noProof/>
              </w:rPr>
            </w:pPr>
            <w:r>
              <w:rPr>
                <w:noProof/>
              </w:rPr>
              <w:t>225</w:t>
            </w:r>
          </w:p>
        </w:tc>
        <w:tc>
          <w:tcPr>
            <w:tcW w:w="851" w:type="dxa"/>
            <w:shd w:val="clear" w:color="auto" w:fill="C6EFCE"/>
            <w:noWrap/>
          </w:tcPr>
          <w:p w14:paraId="2303E8C6" w14:textId="77777777" w:rsidR="000E48CE" w:rsidRDefault="00FF4C4E">
            <w:pPr>
              <w:pStyle w:val="P68B1DB1-Normal13"/>
              <w:spacing w:after="0" w:line="240" w:lineRule="auto"/>
              <w:jc w:val="center"/>
              <w:rPr>
                <w:rFonts w:cs="Times New Roman"/>
                <w:noProof/>
              </w:rPr>
            </w:pPr>
            <w:r>
              <w:rPr>
                <w:noProof/>
              </w:rPr>
              <w:t>C14.I4</w:t>
            </w:r>
          </w:p>
        </w:tc>
        <w:tc>
          <w:tcPr>
            <w:tcW w:w="850" w:type="dxa"/>
            <w:shd w:val="clear" w:color="auto" w:fill="C6EFCE"/>
            <w:noWrap/>
          </w:tcPr>
          <w:p w14:paraId="6805CA9F" w14:textId="77777777" w:rsidR="000E48CE" w:rsidRDefault="00FF4C4E">
            <w:pPr>
              <w:pStyle w:val="P68B1DB1-Normal13"/>
              <w:spacing w:after="0" w:line="240" w:lineRule="auto"/>
              <w:jc w:val="center"/>
              <w:rPr>
                <w:rFonts w:cs="Times New Roman"/>
                <w:noProof/>
              </w:rPr>
            </w:pPr>
            <w:r>
              <w:rPr>
                <w:noProof/>
              </w:rPr>
              <w:t>T</w:t>
            </w:r>
          </w:p>
        </w:tc>
        <w:tc>
          <w:tcPr>
            <w:tcW w:w="1418" w:type="dxa"/>
            <w:shd w:val="clear" w:color="auto" w:fill="C6EFCE"/>
            <w:noWrap/>
          </w:tcPr>
          <w:p w14:paraId="413B15AC" w14:textId="77777777" w:rsidR="000E48CE" w:rsidRDefault="00FF4C4E">
            <w:pPr>
              <w:pStyle w:val="P68B1DB1-Normal13"/>
              <w:spacing w:after="0" w:line="240" w:lineRule="auto"/>
              <w:rPr>
                <w:rFonts w:cs="Times New Roman"/>
                <w:noProof/>
              </w:rPr>
            </w:pPr>
            <w:r>
              <w:rPr>
                <w:noProof/>
              </w:rPr>
              <w:t>Hankkeet, jotka on suunnattu kaupallisille alueille, joilla on paljon matkailijoita</w:t>
            </w:r>
          </w:p>
        </w:tc>
        <w:tc>
          <w:tcPr>
            <w:tcW w:w="1276" w:type="dxa"/>
            <w:shd w:val="clear" w:color="auto" w:fill="C6EFCE"/>
            <w:noWrap/>
          </w:tcPr>
          <w:p w14:paraId="12BB2E25"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31E5FFEF" w14:textId="77777777" w:rsidR="000E48CE" w:rsidRDefault="00FF4C4E">
            <w:pPr>
              <w:pStyle w:val="P68B1DB1-Normal13"/>
              <w:spacing w:after="0" w:line="240" w:lineRule="auto"/>
              <w:jc w:val="right"/>
              <w:rPr>
                <w:rFonts w:cs="Times New Roman"/>
                <w:noProof/>
              </w:rPr>
            </w:pPr>
            <w:r>
              <w:rPr>
                <w:noProof/>
              </w:rPr>
              <w:t>Määrä</w:t>
            </w:r>
          </w:p>
        </w:tc>
        <w:tc>
          <w:tcPr>
            <w:tcW w:w="992" w:type="dxa"/>
            <w:shd w:val="clear" w:color="auto" w:fill="C6EFCE"/>
            <w:noWrap/>
          </w:tcPr>
          <w:p w14:paraId="5F983A08"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6DF72650" w14:textId="77777777" w:rsidR="000E48CE" w:rsidRDefault="00FF4C4E">
            <w:pPr>
              <w:pStyle w:val="P68B1DB1-Normal13"/>
              <w:spacing w:after="0" w:line="240" w:lineRule="auto"/>
              <w:jc w:val="right"/>
              <w:rPr>
                <w:rFonts w:cs="Times New Roman"/>
                <w:noProof/>
              </w:rPr>
            </w:pPr>
            <w:r>
              <w:rPr>
                <w:noProof/>
              </w:rPr>
              <w:t>60</w:t>
            </w:r>
          </w:p>
        </w:tc>
        <w:tc>
          <w:tcPr>
            <w:tcW w:w="426" w:type="dxa"/>
            <w:shd w:val="clear" w:color="auto" w:fill="C6EFCE"/>
            <w:noWrap/>
          </w:tcPr>
          <w:p w14:paraId="3D85A9FF" w14:textId="77777777" w:rsidR="000E48CE" w:rsidRDefault="00FF4C4E">
            <w:pPr>
              <w:pStyle w:val="P68B1DB1-Normal13"/>
              <w:spacing w:after="0" w:line="240" w:lineRule="auto"/>
              <w:jc w:val="center"/>
              <w:rPr>
                <w:rFonts w:cs="Times New Roman"/>
                <w:noProof/>
              </w:rPr>
            </w:pPr>
            <w:r>
              <w:rPr>
                <w:noProof/>
              </w:rPr>
              <w:t>Q4</w:t>
            </w:r>
          </w:p>
        </w:tc>
        <w:tc>
          <w:tcPr>
            <w:tcW w:w="708" w:type="dxa"/>
            <w:shd w:val="clear" w:color="auto" w:fill="C6EFCE"/>
            <w:noWrap/>
          </w:tcPr>
          <w:p w14:paraId="4BD77ADF" w14:textId="77777777" w:rsidR="000E48CE" w:rsidRDefault="00FF4C4E">
            <w:pPr>
              <w:pStyle w:val="P68B1DB1-Normal13"/>
              <w:spacing w:after="0" w:line="240" w:lineRule="auto"/>
              <w:jc w:val="center"/>
              <w:rPr>
                <w:rFonts w:cs="Times New Roman"/>
                <w:noProof/>
              </w:rPr>
            </w:pPr>
            <w:r>
              <w:rPr>
                <w:noProof/>
              </w:rPr>
              <w:t>2024</w:t>
            </w:r>
          </w:p>
        </w:tc>
        <w:tc>
          <w:tcPr>
            <w:tcW w:w="6237" w:type="dxa"/>
            <w:shd w:val="clear" w:color="auto" w:fill="C6EFCE"/>
            <w:noWrap/>
          </w:tcPr>
          <w:p w14:paraId="249191AF" w14:textId="77777777" w:rsidR="000E48CE" w:rsidRDefault="00FF4C4E">
            <w:pPr>
              <w:pStyle w:val="P68B1DB1-Normal13"/>
              <w:spacing w:after="0" w:line="240" w:lineRule="auto"/>
              <w:rPr>
                <w:rFonts w:cs="Times New Roman"/>
                <w:noProof/>
              </w:rPr>
            </w:pPr>
            <w:r>
              <w:rPr>
                <w:noProof/>
              </w:rPr>
              <w:t xml:space="preserve">Vähintään 60 </w:t>
            </w:r>
            <w:r>
              <w:rPr>
                <w:noProof/>
              </w:rPr>
              <w:t>hanketta, jotka on suunnattu kaupallisille alueille, jotka sijaitsevat sellaisilla paikallisilla alueilla, joille matkailijoiden määrä on suuri, on saatettu päätökseen ”ei merkittävää haittaa” -asiakirjan (2021/C58/01) mukaisesti käyttämällä poissulkemislu</w:t>
            </w:r>
            <w:r>
              <w:rPr>
                <w:noProof/>
              </w:rPr>
              <w:t>etteloa ja asiaa koskevan EU:n ja kansallisen ympäristölainsäädännön noudattamista koskevaa vaatimusta.</w:t>
            </w:r>
          </w:p>
        </w:tc>
      </w:tr>
      <w:tr w:rsidR="000E48CE" w14:paraId="16C4192C" w14:textId="77777777">
        <w:trPr>
          <w:trHeight w:val="881"/>
        </w:trPr>
        <w:tc>
          <w:tcPr>
            <w:tcW w:w="709" w:type="dxa"/>
            <w:shd w:val="clear" w:color="auto" w:fill="C6EFCE"/>
            <w:noWrap/>
          </w:tcPr>
          <w:p w14:paraId="1E2E6596" w14:textId="77777777" w:rsidR="000E48CE" w:rsidRDefault="00FF4C4E">
            <w:pPr>
              <w:pStyle w:val="P68B1DB1-Normal13"/>
              <w:spacing w:after="0" w:line="240" w:lineRule="auto"/>
              <w:jc w:val="center"/>
              <w:rPr>
                <w:rFonts w:cs="Times New Roman"/>
                <w:noProof/>
              </w:rPr>
            </w:pPr>
            <w:r>
              <w:rPr>
                <w:noProof/>
              </w:rPr>
              <w:t>226</w:t>
            </w:r>
          </w:p>
        </w:tc>
        <w:tc>
          <w:tcPr>
            <w:tcW w:w="851" w:type="dxa"/>
            <w:shd w:val="clear" w:color="auto" w:fill="C6EFCE"/>
            <w:noWrap/>
          </w:tcPr>
          <w:p w14:paraId="74FBDFDD" w14:textId="77777777" w:rsidR="000E48CE" w:rsidRDefault="00FF4C4E">
            <w:pPr>
              <w:pStyle w:val="P68B1DB1-Normal13"/>
              <w:spacing w:after="0" w:line="240" w:lineRule="auto"/>
              <w:jc w:val="center"/>
              <w:rPr>
                <w:rFonts w:cs="Times New Roman"/>
                <w:noProof/>
              </w:rPr>
            </w:pPr>
            <w:r>
              <w:rPr>
                <w:noProof/>
              </w:rPr>
              <w:t>C14.I4</w:t>
            </w:r>
          </w:p>
        </w:tc>
        <w:tc>
          <w:tcPr>
            <w:tcW w:w="850" w:type="dxa"/>
            <w:shd w:val="clear" w:color="auto" w:fill="C6EFCE"/>
            <w:noWrap/>
          </w:tcPr>
          <w:p w14:paraId="7DC82036" w14:textId="77777777" w:rsidR="000E48CE" w:rsidRDefault="00FF4C4E">
            <w:pPr>
              <w:pStyle w:val="P68B1DB1-Normal13"/>
              <w:spacing w:after="0" w:line="240" w:lineRule="auto"/>
              <w:jc w:val="center"/>
              <w:rPr>
                <w:rFonts w:cs="Times New Roman"/>
                <w:noProof/>
              </w:rPr>
            </w:pPr>
            <w:r>
              <w:rPr>
                <w:noProof/>
              </w:rPr>
              <w:t>T</w:t>
            </w:r>
          </w:p>
        </w:tc>
        <w:tc>
          <w:tcPr>
            <w:tcW w:w="1418" w:type="dxa"/>
            <w:shd w:val="clear" w:color="auto" w:fill="C6EFCE"/>
            <w:noWrap/>
          </w:tcPr>
          <w:p w14:paraId="0188AC6F" w14:textId="77777777" w:rsidR="000E48CE" w:rsidRDefault="00FF4C4E">
            <w:pPr>
              <w:pStyle w:val="P68B1DB1-Normal13"/>
              <w:spacing w:after="0" w:line="240" w:lineRule="auto"/>
              <w:rPr>
                <w:rFonts w:cs="Times New Roman"/>
                <w:noProof/>
              </w:rPr>
            </w:pPr>
            <w:r>
              <w:rPr>
                <w:noProof/>
              </w:rPr>
              <w:t xml:space="preserve">Matkailustrategian mukaisesti toimitetut matkailutuotteet </w:t>
            </w:r>
          </w:p>
        </w:tc>
        <w:tc>
          <w:tcPr>
            <w:tcW w:w="1276" w:type="dxa"/>
            <w:shd w:val="clear" w:color="auto" w:fill="C6EFCE"/>
            <w:noWrap/>
          </w:tcPr>
          <w:p w14:paraId="734BD8B1"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3FC4EB3F" w14:textId="77777777" w:rsidR="000E48CE" w:rsidRDefault="00FF4C4E">
            <w:pPr>
              <w:pStyle w:val="P68B1DB1-Normal13"/>
              <w:spacing w:after="0" w:line="240" w:lineRule="auto"/>
              <w:jc w:val="right"/>
              <w:rPr>
                <w:rFonts w:cs="Times New Roman"/>
                <w:noProof/>
              </w:rPr>
            </w:pPr>
            <w:r>
              <w:rPr>
                <w:noProof/>
              </w:rPr>
              <w:t>Määrä</w:t>
            </w:r>
          </w:p>
        </w:tc>
        <w:tc>
          <w:tcPr>
            <w:tcW w:w="992" w:type="dxa"/>
            <w:shd w:val="clear" w:color="auto" w:fill="C6EFCE"/>
            <w:noWrap/>
          </w:tcPr>
          <w:p w14:paraId="0081B951"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0BAEFB59" w14:textId="77777777" w:rsidR="000E48CE" w:rsidRDefault="00FF4C4E">
            <w:pPr>
              <w:pStyle w:val="P68B1DB1-Normal13"/>
              <w:spacing w:after="0" w:line="240" w:lineRule="auto"/>
              <w:jc w:val="right"/>
              <w:rPr>
                <w:rFonts w:cs="Times New Roman"/>
                <w:noProof/>
              </w:rPr>
            </w:pPr>
            <w:r>
              <w:rPr>
                <w:noProof/>
              </w:rPr>
              <w:t>45</w:t>
            </w:r>
          </w:p>
        </w:tc>
        <w:tc>
          <w:tcPr>
            <w:tcW w:w="426" w:type="dxa"/>
            <w:shd w:val="clear" w:color="auto" w:fill="C6EFCE"/>
            <w:noWrap/>
          </w:tcPr>
          <w:p w14:paraId="52ED2B2C" w14:textId="77777777" w:rsidR="000E48CE" w:rsidRDefault="00FF4C4E">
            <w:pPr>
              <w:pStyle w:val="P68B1DB1-Normal13"/>
              <w:spacing w:after="0" w:line="240" w:lineRule="auto"/>
              <w:jc w:val="center"/>
              <w:rPr>
                <w:rFonts w:cs="Times New Roman"/>
                <w:noProof/>
              </w:rPr>
            </w:pPr>
            <w:r>
              <w:rPr>
                <w:noProof/>
              </w:rPr>
              <w:t>Q2</w:t>
            </w:r>
          </w:p>
        </w:tc>
        <w:tc>
          <w:tcPr>
            <w:tcW w:w="708" w:type="dxa"/>
            <w:shd w:val="clear" w:color="auto" w:fill="C6EFCE"/>
            <w:noWrap/>
          </w:tcPr>
          <w:p w14:paraId="6F9E11E8" w14:textId="77777777" w:rsidR="000E48CE" w:rsidRDefault="00FF4C4E">
            <w:pPr>
              <w:pStyle w:val="P68B1DB1-Normal13"/>
              <w:spacing w:after="0" w:line="240" w:lineRule="auto"/>
              <w:jc w:val="center"/>
              <w:rPr>
                <w:rFonts w:cs="Times New Roman"/>
                <w:noProof/>
              </w:rPr>
            </w:pPr>
            <w:r>
              <w:rPr>
                <w:noProof/>
              </w:rPr>
              <w:t>2025</w:t>
            </w:r>
          </w:p>
        </w:tc>
        <w:tc>
          <w:tcPr>
            <w:tcW w:w="6237" w:type="dxa"/>
            <w:shd w:val="clear" w:color="auto" w:fill="C6EFCE"/>
            <w:noWrap/>
          </w:tcPr>
          <w:p w14:paraId="1E21EE6A" w14:textId="77777777" w:rsidR="000E48CE" w:rsidRDefault="00FF4C4E">
            <w:pPr>
              <w:pStyle w:val="P68B1DB1-Normal13"/>
              <w:spacing w:after="0" w:line="240" w:lineRule="auto"/>
              <w:rPr>
                <w:rFonts w:cs="Times New Roman"/>
                <w:noProof/>
              </w:rPr>
            </w:pPr>
            <w:r>
              <w:rPr>
                <w:noProof/>
              </w:rPr>
              <w:t>Vähintään 45 uutta matkailutuotetta, jotka toimitetaan kestävän matkailun tuotteiden kehittämisstrategian mukaisesti, noudattaen ”ei merkittävää haittaa” -periaatetta koskevia teknisiä ohjeita (2021/C58/01) käyttämällä poissulkemisluetteloa ja asiaankuuluv</w:t>
            </w:r>
            <w:r>
              <w:rPr>
                <w:noProof/>
              </w:rPr>
              <w:t xml:space="preserve">an EU:n ja kansallisen ympäristölainsäädännön noudattamista koskevaa vaatimusta. </w:t>
            </w:r>
          </w:p>
        </w:tc>
      </w:tr>
      <w:tr w:rsidR="000E48CE" w14:paraId="1C686068" w14:textId="77777777">
        <w:trPr>
          <w:trHeight w:val="881"/>
        </w:trPr>
        <w:tc>
          <w:tcPr>
            <w:tcW w:w="709" w:type="dxa"/>
            <w:shd w:val="clear" w:color="auto" w:fill="C6EFCE"/>
            <w:noWrap/>
          </w:tcPr>
          <w:p w14:paraId="7C067D74" w14:textId="77777777" w:rsidR="000E48CE" w:rsidRDefault="00FF4C4E">
            <w:pPr>
              <w:pStyle w:val="P68B1DB1-Normal13"/>
              <w:spacing w:after="0" w:line="240" w:lineRule="auto"/>
              <w:jc w:val="center"/>
              <w:rPr>
                <w:rFonts w:cs="Times New Roman"/>
                <w:noProof/>
              </w:rPr>
            </w:pPr>
            <w:r>
              <w:rPr>
                <w:noProof/>
              </w:rPr>
              <w:t>227</w:t>
            </w:r>
          </w:p>
        </w:tc>
        <w:tc>
          <w:tcPr>
            <w:tcW w:w="851" w:type="dxa"/>
            <w:shd w:val="clear" w:color="auto" w:fill="C6EFCE"/>
            <w:noWrap/>
          </w:tcPr>
          <w:p w14:paraId="2007CE7E" w14:textId="77777777" w:rsidR="000E48CE" w:rsidRDefault="00FF4C4E">
            <w:pPr>
              <w:pStyle w:val="P68B1DB1-Normal13"/>
              <w:spacing w:after="0" w:line="240" w:lineRule="auto"/>
              <w:jc w:val="center"/>
              <w:rPr>
                <w:rFonts w:cs="Times New Roman"/>
                <w:noProof/>
              </w:rPr>
            </w:pPr>
            <w:r>
              <w:rPr>
                <w:noProof/>
              </w:rPr>
              <w:t>C14.I4</w:t>
            </w:r>
          </w:p>
        </w:tc>
        <w:tc>
          <w:tcPr>
            <w:tcW w:w="850" w:type="dxa"/>
            <w:shd w:val="clear" w:color="auto" w:fill="C6EFCE"/>
            <w:noWrap/>
          </w:tcPr>
          <w:p w14:paraId="66897B48" w14:textId="77777777" w:rsidR="000E48CE" w:rsidRDefault="00FF4C4E">
            <w:pPr>
              <w:pStyle w:val="P68B1DB1-Normal13"/>
              <w:spacing w:after="0" w:line="240" w:lineRule="auto"/>
              <w:jc w:val="center"/>
              <w:rPr>
                <w:rFonts w:cs="Times New Roman"/>
                <w:noProof/>
              </w:rPr>
            </w:pPr>
            <w:r>
              <w:rPr>
                <w:noProof/>
              </w:rPr>
              <w:t>T</w:t>
            </w:r>
          </w:p>
        </w:tc>
        <w:tc>
          <w:tcPr>
            <w:tcW w:w="1418" w:type="dxa"/>
            <w:shd w:val="clear" w:color="auto" w:fill="C6EFCE"/>
            <w:noWrap/>
          </w:tcPr>
          <w:p w14:paraId="434B6C3F" w14:textId="77777777" w:rsidR="000E48CE" w:rsidRDefault="00FF4C4E">
            <w:pPr>
              <w:pStyle w:val="P68B1DB1-Normal13"/>
              <w:spacing w:after="0" w:line="240" w:lineRule="auto"/>
              <w:rPr>
                <w:rFonts w:cs="Times New Roman"/>
                <w:noProof/>
              </w:rPr>
            </w:pPr>
            <w:r>
              <w:rPr>
                <w:noProof/>
              </w:rPr>
              <w:t>Matkailulaitokset, jotka vähentävät vuotuista jätettään tai energiankulutustaan</w:t>
            </w:r>
          </w:p>
        </w:tc>
        <w:tc>
          <w:tcPr>
            <w:tcW w:w="1276" w:type="dxa"/>
            <w:shd w:val="clear" w:color="auto" w:fill="C6EFCE"/>
            <w:noWrap/>
          </w:tcPr>
          <w:p w14:paraId="3F8486BA"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5A315F3E" w14:textId="77777777" w:rsidR="000E48CE" w:rsidRDefault="00FF4C4E">
            <w:pPr>
              <w:pStyle w:val="P68B1DB1-Normal13"/>
              <w:spacing w:after="0" w:line="240" w:lineRule="auto"/>
              <w:jc w:val="right"/>
              <w:rPr>
                <w:rFonts w:cs="Times New Roman"/>
                <w:noProof/>
              </w:rPr>
            </w:pPr>
            <w:r>
              <w:rPr>
                <w:noProof/>
              </w:rPr>
              <w:t>Määrä</w:t>
            </w:r>
          </w:p>
        </w:tc>
        <w:tc>
          <w:tcPr>
            <w:tcW w:w="992" w:type="dxa"/>
            <w:shd w:val="clear" w:color="auto" w:fill="C6EFCE"/>
            <w:noWrap/>
          </w:tcPr>
          <w:p w14:paraId="331FA6EA"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60532D3B" w14:textId="77777777" w:rsidR="000E48CE" w:rsidRDefault="00FF4C4E">
            <w:pPr>
              <w:pStyle w:val="P68B1DB1-Normal13"/>
              <w:spacing w:after="0" w:line="240" w:lineRule="auto"/>
              <w:jc w:val="right"/>
              <w:rPr>
                <w:rFonts w:cs="Times New Roman"/>
                <w:noProof/>
              </w:rPr>
            </w:pPr>
            <w:r>
              <w:rPr>
                <w:noProof/>
              </w:rPr>
              <w:t>3 400</w:t>
            </w:r>
          </w:p>
        </w:tc>
        <w:tc>
          <w:tcPr>
            <w:tcW w:w="426" w:type="dxa"/>
            <w:shd w:val="clear" w:color="auto" w:fill="C6EFCE"/>
            <w:noWrap/>
          </w:tcPr>
          <w:p w14:paraId="71FB228C" w14:textId="77777777" w:rsidR="000E48CE" w:rsidRDefault="00FF4C4E">
            <w:pPr>
              <w:pStyle w:val="P68B1DB1-Normal13"/>
              <w:spacing w:after="0" w:line="240" w:lineRule="auto"/>
              <w:jc w:val="center"/>
              <w:rPr>
                <w:rFonts w:cs="Times New Roman"/>
                <w:noProof/>
              </w:rPr>
            </w:pPr>
            <w:r>
              <w:rPr>
                <w:noProof/>
              </w:rPr>
              <w:t>Q2</w:t>
            </w:r>
          </w:p>
        </w:tc>
        <w:tc>
          <w:tcPr>
            <w:tcW w:w="708" w:type="dxa"/>
            <w:shd w:val="clear" w:color="auto" w:fill="C6EFCE"/>
            <w:noWrap/>
          </w:tcPr>
          <w:p w14:paraId="4A694733" w14:textId="77777777" w:rsidR="000E48CE" w:rsidRDefault="00FF4C4E">
            <w:pPr>
              <w:pStyle w:val="P68B1DB1-Normal13"/>
              <w:spacing w:after="0" w:line="240" w:lineRule="auto"/>
              <w:jc w:val="center"/>
              <w:rPr>
                <w:rFonts w:cs="Times New Roman"/>
                <w:noProof/>
              </w:rPr>
            </w:pPr>
            <w:r>
              <w:rPr>
                <w:noProof/>
              </w:rPr>
              <w:t>2025</w:t>
            </w:r>
          </w:p>
        </w:tc>
        <w:tc>
          <w:tcPr>
            <w:tcW w:w="6237" w:type="dxa"/>
            <w:shd w:val="clear" w:color="auto" w:fill="C6EFCE"/>
            <w:noWrap/>
          </w:tcPr>
          <w:p w14:paraId="43DD508F" w14:textId="77777777" w:rsidR="000E48CE" w:rsidRDefault="00FF4C4E">
            <w:pPr>
              <w:pStyle w:val="P68B1DB1-Normal13"/>
              <w:spacing w:after="0" w:line="240" w:lineRule="auto"/>
              <w:rPr>
                <w:rFonts w:cs="Times New Roman"/>
                <w:noProof/>
              </w:rPr>
            </w:pPr>
            <w:r>
              <w:rPr>
                <w:noProof/>
              </w:rPr>
              <w:t xml:space="preserve">Vähintään 3400 matkailuyritystä on saattanut päätökseen </w:t>
            </w:r>
            <w:r>
              <w:rPr>
                <w:noProof/>
              </w:rPr>
              <w:t>hankkeita, joilla pyritään vähentämään niiden vuotuista jätettä tai energiankulutusta ”ei merkittävää haittaa” -ohjelman teknisten ohjeiden (2021/C58/01) mukaisesti käyttämällä poissulkemisluetteloa ja asiaankuuluvan EU:n ja kansallisen ympäristölainsäädän</w:t>
            </w:r>
            <w:r>
              <w:rPr>
                <w:noProof/>
              </w:rPr>
              <w:t>nön noudattamista koskevaa vaatimusta.</w:t>
            </w:r>
          </w:p>
        </w:tc>
      </w:tr>
      <w:tr w:rsidR="000E48CE" w14:paraId="5599F7AA" w14:textId="77777777">
        <w:trPr>
          <w:trHeight w:val="881"/>
        </w:trPr>
        <w:tc>
          <w:tcPr>
            <w:tcW w:w="709" w:type="dxa"/>
            <w:shd w:val="clear" w:color="auto" w:fill="C6EFCE"/>
            <w:noWrap/>
          </w:tcPr>
          <w:p w14:paraId="6B47432E" w14:textId="77777777" w:rsidR="000E48CE" w:rsidRDefault="00FF4C4E">
            <w:pPr>
              <w:pStyle w:val="P68B1DB1-Normal13"/>
              <w:spacing w:after="0" w:line="240" w:lineRule="auto"/>
              <w:jc w:val="center"/>
              <w:rPr>
                <w:rFonts w:cs="Times New Roman"/>
                <w:noProof/>
              </w:rPr>
            </w:pPr>
            <w:r>
              <w:rPr>
                <w:noProof/>
              </w:rPr>
              <w:t>228</w:t>
            </w:r>
          </w:p>
        </w:tc>
        <w:tc>
          <w:tcPr>
            <w:tcW w:w="851" w:type="dxa"/>
            <w:shd w:val="clear" w:color="auto" w:fill="C6EFCE"/>
            <w:noWrap/>
          </w:tcPr>
          <w:p w14:paraId="27E92DE7" w14:textId="77777777" w:rsidR="000E48CE" w:rsidRDefault="00FF4C4E">
            <w:pPr>
              <w:pStyle w:val="P68B1DB1-Normal13"/>
              <w:spacing w:after="0" w:line="240" w:lineRule="auto"/>
              <w:jc w:val="center"/>
              <w:rPr>
                <w:rFonts w:cs="Times New Roman"/>
                <w:noProof/>
              </w:rPr>
            </w:pPr>
            <w:r>
              <w:rPr>
                <w:noProof/>
              </w:rPr>
              <w:t>C14.I4</w:t>
            </w:r>
          </w:p>
        </w:tc>
        <w:tc>
          <w:tcPr>
            <w:tcW w:w="850" w:type="dxa"/>
            <w:shd w:val="clear" w:color="auto" w:fill="C6EFCE"/>
            <w:noWrap/>
          </w:tcPr>
          <w:p w14:paraId="3792C9DD" w14:textId="77777777" w:rsidR="000E48CE" w:rsidRDefault="00FF4C4E">
            <w:pPr>
              <w:pStyle w:val="P68B1DB1-Normal13"/>
              <w:spacing w:after="0" w:line="240" w:lineRule="auto"/>
              <w:jc w:val="center"/>
              <w:rPr>
                <w:rFonts w:cs="Times New Roman"/>
                <w:noProof/>
              </w:rPr>
            </w:pPr>
            <w:r>
              <w:rPr>
                <w:noProof/>
              </w:rPr>
              <w:t>T</w:t>
            </w:r>
          </w:p>
        </w:tc>
        <w:tc>
          <w:tcPr>
            <w:tcW w:w="1418" w:type="dxa"/>
            <w:shd w:val="clear" w:color="auto" w:fill="C6EFCE"/>
            <w:noWrap/>
          </w:tcPr>
          <w:p w14:paraId="1557000D" w14:textId="77777777" w:rsidR="000E48CE" w:rsidRDefault="00FF4C4E">
            <w:pPr>
              <w:pStyle w:val="P68B1DB1-Normal13"/>
              <w:spacing w:after="0" w:line="240" w:lineRule="auto"/>
              <w:rPr>
                <w:rFonts w:cs="Times New Roman"/>
                <w:noProof/>
              </w:rPr>
            </w:pPr>
            <w:r>
              <w:rPr>
                <w:noProof/>
              </w:rPr>
              <w:t>Hankkeet, joissa uudistetaan historiallisia kulttuuriperintökohteita, joilla on nykyistä tai tulevaa matkailukäyttöä</w:t>
            </w:r>
          </w:p>
        </w:tc>
        <w:tc>
          <w:tcPr>
            <w:tcW w:w="1276" w:type="dxa"/>
            <w:shd w:val="clear" w:color="auto" w:fill="C6EFCE"/>
            <w:noWrap/>
          </w:tcPr>
          <w:p w14:paraId="45A9A141"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179C0CBD" w14:textId="77777777" w:rsidR="000E48CE" w:rsidRDefault="00FF4C4E">
            <w:pPr>
              <w:pStyle w:val="P68B1DB1-Normal13"/>
              <w:spacing w:after="0" w:line="240" w:lineRule="auto"/>
              <w:jc w:val="right"/>
              <w:rPr>
                <w:rFonts w:cs="Times New Roman"/>
                <w:noProof/>
              </w:rPr>
            </w:pPr>
            <w:r>
              <w:rPr>
                <w:noProof/>
              </w:rPr>
              <w:t>Määrä</w:t>
            </w:r>
          </w:p>
        </w:tc>
        <w:tc>
          <w:tcPr>
            <w:tcW w:w="992" w:type="dxa"/>
            <w:shd w:val="clear" w:color="auto" w:fill="C6EFCE"/>
            <w:noWrap/>
          </w:tcPr>
          <w:p w14:paraId="58A16522"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42B1A537" w14:textId="77777777" w:rsidR="000E48CE" w:rsidRDefault="00FF4C4E">
            <w:pPr>
              <w:pStyle w:val="P68B1DB1-Normal13"/>
              <w:spacing w:after="0" w:line="240" w:lineRule="auto"/>
              <w:jc w:val="right"/>
              <w:rPr>
                <w:rFonts w:cs="Times New Roman"/>
                <w:noProof/>
              </w:rPr>
            </w:pPr>
            <w:r>
              <w:rPr>
                <w:noProof/>
              </w:rPr>
              <w:t>50</w:t>
            </w:r>
          </w:p>
        </w:tc>
        <w:tc>
          <w:tcPr>
            <w:tcW w:w="426" w:type="dxa"/>
            <w:shd w:val="clear" w:color="auto" w:fill="C6EFCE"/>
            <w:noWrap/>
          </w:tcPr>
          <w:p w14:paraId="341BFCFB" w14:textId="77777777" w:rsidR="000E48CE" w:rsidRDefault="00FF4C4E">
            <w:pPr>
              <w:pStyle w:val="P68B1DB1-Normal13"/>
              <w:spacing w:after="0" w:line="240" w:lineRule="auto"/>
              <w:jc w:val="center"/>
              <w:rPr>
                <w:rFonts w:cs="Times New Roman"/>
                <w:noProof/>
              </w:rPr>
            </w:pPr>
            <w:r>
              <w:rPr>
                <w:noProof/>
              </w:rPr>
              <w:t>Q2</w:t>
            </w:r>
          </w:p>
        </w:tc>
        <w:tc>
          <w:tcPr>
            <w:tcW w:w="708" w:type="dxa"/>
            <w:shd w:val="clear" w:color="auto" w:fill="C6EFCE"/>
            <w:noWrap/>
          </w:tcPr>
          <w:p w14:paraId="30C50665" w14:textId="77777777" w:rsidR="000E48CE" w:rsidRDefault="00FF4C4E">
            <w:pPr>
              <w:pStyle w:val="P68B1DB1-Normal13"/>
              <w:spacing w:after="0" w:line="240" w:lineRule="auto"/>
              <w:jc w:val="center"/>
              <w:rPr>
                <w:rFonts w:cs="Times New Roman"/>
                <w:noProof/>
              </w:rPr>
            </w:pPr>
            <w:r>
              <w:rPr>
                <w:noProof/>
              </w:rPr>
              <w:t>2026</w:t>
            </w:r>
          </w:p>
        </w:tc>
        <w:tc>
          <w:tcPr>
            <w:tcW w:w="6237" w:type="dxa"/>
            <w:shd w:val="clear" w:color="auto" w:fill="C6EFCE"/>
            <w:noWrap/>
          </w:tcPr>
          <w:p w14:paraId="11932909" w14:textId="77777777" w:rsidR="000E48CE" w:rsidRDefault="00FF4C4E">
            <w:pPr>
              <w:pStyle w:val="P68B1DB1-Normal13"/>
              <w:spacing w:after="0" w:line="240" w:lineRule="auto"/>
              <w:rPr>
                <w:rFonts w:cs="Times New Roman"/>
                <w:noProof/>
              </w:rPr>
            </w:pPr>
            <w:r>
              <w:rPr>
                <w:noProof/>
              </w:rPr>
              <w:t>Vähintään 50 historiallisten kulttuuriperintökohteiden elvyttämistä koskevaa toimea on saatettu päätökseen ”ei merkittävää haittaa” -asiakirjan (2021/C58/01) mukaisesti käyttämällä poissulkemisluetteloa ja vaatimusta asiaa koskevan EU:n ja kansallisen ympä</w:t>
            </w:r>
            <w:r>
              <w:rPr>
                <w:noProof/>
              </w:rPr>
              <w:t xml:space="preserve">ristölainsäädännön noudattamisesta. </w:t>
            </w:r>
          </w:p>
        </w:tc>
      </w:tr>
    </w:tbl>
    <w:p w14:paraId="0EBF13D8" w14:textId="77777777" w:rsidR="000E48CE" w:rsidRDefault="000E48CE">
      <w:pPr>
        <w:spacing w:before="120" w:after="120" w:line="240" w:lineRule="auto"/>
        <w:ind w:left="709"/>
        <w:jc w:val="both"/>
        <w:rPr>
          <w:rFonts w:ascii="Times New Roman" w:hAnsi="Times New Roman" w:cs="Times New Roman"/>
          <w:noProof/>
          <w:sz w:val="24"/>
        </w:rPr>
      </w:pPr>
    </w:p>
    <w:p w14:paraId="53690C33" w14:textId="77777777" w:rsidR="000E48CE" w:rsidRDefault="000E48CE">
      <w:pPr>
        <w:spacing w:before="120" w:after="120" w:line="240" w:lineRule="auto"/>
        <w:jc w:val="both"/>
        <w:rPr>
          <w:rFonts w:ascii="Times New Roman" w:hAnsi="Times New Roman" w:cs="Times New Roman"/>
          <w:noProof/>
          <w:sz w:val="24"/>
        </w:rPr>
        <w:sectPr w:rsidR="000E48CE" w:rsidSect="00EB7CC8">
          <w:headerReference w:type="even" r:id="rId300"/>
          <w:headerReference w:type="default" r:id="rId301"/>
          <w:footerReference w:type="even" r:id="rId302"/>
          <w:footerReference w:type="default" r:id="rId303"/>
          <w:headerReference w:type="first" r:id="rId304"/>
          <w:footerReference w:type="first" r:id="rId305"/>
          <w:pgSz w:w="16839" w:h="11907" w:orient="landscape"/>
          <w:pgMar w:top="1417" w:right="1134" w:bottom="1417" w:left="1134" w:header="709" w:footer="709" w:gutter="0"/>
          <w:cols w:space="720"/>
          <w:docGrid w:linePitch="360"/>
        </w:sectPr>
      </w:pPr>
    </w:p>
    <w:p w14:paraId="0005EC5A" w14:textId="77777777" w:rsidR="000E48CE" w:rsidRDefault="00FF4C4E">
      <w:pPr>
        <w:pStyle w:val="P68B1DB1-Heading12"/>
        <w:rPr>
          <w:rFonts w:cs="Times New Roman"/>
          <w:noProof/>
        </w:rPr>
      </w:pPr>
      <w:r>
        <w:rPr>
          <w:noProof/>
        </w:rPr>
        <w:t>O. OSA 15: Digitaaliset yhteydet</w:t>
      </w:r>
    </w:p>
    <w:p w14:paraId="7E48FAC7" w14:textId="77777777" w:rsidR="000E48CE" w:rsidRDefault="00FF4C4E">
      <w:pPr>
        <w:pStyle w:val="P68B1DB1-Normal4"/>
        <w:spacing w:before="120" w:after="120" w:line="240" w:lineRule="auto"/>
        <w:jc w:val="both"/>
        <w:rPr>
          <w:rFonts w:cs="Times New Roman"/>
          <w:noProof/>
        </w:rPr>
      </w:pPr>
      <w:r>
        <w:rPr>
          <w:noProof/>
        </w:rPr>
        <w:t xml:space="preserve">Digitaaliset yhteydet ovat keskeinen tekijä taloudellisen toiminnan kehittämisessä, tuottavuuden lisäämisessä, </w:t>
      </w:r>
      <w:r>
        <w:rPr>
          <w:noProof/>
        </w:rPr>
        <w:t>innovoinnin edistämisessä sekä alueellisessa ja sosiaalisessa yhteenkuuluvuudessa. Pääsy digitaalisiin verkkoihin on yhä tärkeämpää, jotta voidaan käyttää julkisia palveluja, kehittää taloudellista toimintaa ja osallistua aktiivisesti yhteiskunnan toiminta</w:t>
      </w:r>
      <w:r>
        <w:rPr>
          <w:noProof/>
        </w:rPr>
        <w:t>an.</w:t>
      </w:r>
    </w:p>
    <w:p w14:paraId="50C9AC70" w14:textId="77777777" w:rsidR="000E48CE" w:rsidRDefault="00FF4C4E">
      <w:pPr>
        <w:pStyle w:val="P68B1DB1-Normal4"/>
        <w:spacing w:before="120" w:after="120" w:line="240" w:lineRule="auto"/>
        <w:jc w:val="both"/>
        <w:rPr>
          <w:rFonts w:eastAsia="Calibri" w:cs="Times New Roman"/>
          <w:noProof/>
        </w:rPr>
      </w:pPr>
      <w:r>
        <w:rPr>
          <w:noProof/>
        </w:rPr>
        <w:t>Tämä Espanjan elpymis- ja palautumissuunnitelman osa-alue vastaa yhteenliitettävyyteen liittyviin haasteisiin, jotka liittyvät ultranopeiden kiinteiden verkkojen (yli 100 Mbit/s/s) ja 5G:n kattavuuteen Espanjassa ja erityisesti maaseutualueilla ja kesk</w:t>
      </w:r>
      <w:r>
        <w:rPr>
          <w:noProof/>
        </w:rPr>
        <w:t>eisissä rajat ylittävissä liikennekäytävissä. Kyberturvallisuuden kannalta suurin haaste, johon komponentilla vastataan, on luoda luotettava ja turvallinen ympäristö, jonka avulla kansalaiset ja yritykset voivat edistää 5G:n käyttöönottoon liittyvää digita</w:t>
      </w:r>
      <w:r>
        <w:rPr>
          <w:noProof/>
        </w:rPr>
        <w:t>lisaatio- ja hyperyhteenliitettävyyttä ja tämän teknologian tarjoamia palveluja, kuten esineiden internetsovelluksia.</w:t>
      </w:r>
    </w:p>
    <w:p w14:paraId="63E92DF6" w14:textId="77777777" w:rsidR="000E48CE" w:rsidRDefault="00FF4C4E">
      <w:pPr>
        <w:pStyle w:val="P68B1DB1-Normal4"/>
        <w:spacing w:before="120" w:after="120" w:line="240" w:lineRule="auto"/>
        <w:jc w:val="both"/>
        <w:rPr>
          <w:rFonts w:eastAsia="Calibri" w:cs="Times New Roman"/>
          <w:noProof/>
        </w:rPr>
      </w:pPr>
      <w:r>
        <w:rPr>
          <w:noProof/>
        </w:rPr>
        <w:t>Tämän osa-alueen tavoitteena on saattaa televiestintäala vastaamaan Euroopan digitaalistrategian vaatimuksia ja vahvistaa taloudellista, s</w:t>
      </w:r>
      <w:r>
        <w:rPr>
          <w:noProof/>
        </w:rPr>
        <w:t>osiaalista ja alueellista yhteenkuuluvuutta kuromalla umpeen digitaalisia eroja ja parantamalla ultranopean kattavuuden saatavuutta koko maan alueella. Komponentilla tuetaan 5G-teknologian käyttöönoton nopeuttamista seuraavin keinoin: 1) tarvittavien taaju</w:t>
      </w:r>
      <w:r>
        <w:rPr>
          <w:noProof/>
        </w:rPr>
        <w:t>usresurssien asettaminen saataville 5G-prioriteettikaistoilla; 2) luotettavan ja turvallisen käyttöönottoympäristön kehittäminen ja 3) 5G-teknologiasovellusten kehittämisen edistäminen. Sen tavoitteena on myös tukea kestävää kyberturvallisuuskulttuuria kan</w:t>
      </w:r>
      <w:r>
        <w:rPr>
          <w:noProof/>
        </w:rPr>
        <w:t>salaisille ja yrityksille.</w:t>
      </w:r>
    </w:p>
    <w:p w14:paraId="03951814" w14:textId="76FFEAA9" w:rsidR="000E48CE" w:rsidRDefault="00FF4C4E">
      <w:pPr>
        <w:pStyle w:val="P68B1DB1-Normal4"/>
        <w:spacing w:before="120" w:after="120" w:line="240" w:lineRule="auto"/>
        <w:jc w:val="both"/>
        <w:rPr>
          <w:rFonts w:eastAsia="Calibri" w:cs="Times New Roman"/>
          <w:noProof/>
        </w:rPr>
      </w:pPr>
      <w:r>
        <w:rPr>
          <w:noProof/>
        </w:rPr>
        <w:t>Osa-alueella käsitellään maakohtaisia suosituksia, jotka koskevat investointien talouspolitiikan keskittämistä innovoinnin edistämiseen (maakohtainen suositus 3 2019) ja toteutusvalmiiden julkisten investointihankkeiden aikaistam</w:t>
      </w:r>
      <w:r>
        <w:rPr>
          <w:noProof/>
        </w:rPr>
        <w:t>ista ja investointien keskittämistä digitaaliseen siirtymään (maakohtaiset suositukset 3 2020, 1 2022, 1 2023).</w:t>
      </w:r>
    </w:p>
    <w:p w14:paraId="09C9655A" w14:textId="77777777" w:rsidR="000E48CE" w:rsidRDefault="00FF4C4E">
      <w:pPr>
        <w:pStyle w:val="P68B1DB1-Normal4"/>
        <w:spacing w:before="120" w:after="120" w:line="240" w:lineRule="auto"/>
        <w:jc w:val="both"/>
        <w:rPr>
          <w:rFonts w:eastAsia="Calibri" w:cs="Times New Roman"/>
          <w:noProof/>
        </w:rPr>
      </w:pPr>
      <w:r>
        <w:rPr>
          <w:noProof/>
        </w:rPr>
        <w:t>Minkään tämän komponentin toimenpiteen ei odoteta aiheuttavan asetuksen (EU) 2020/852 17 artiklassa tarkoitettua merkittävää haittaa ympäristöta</w:t>
      </w:r>
      <w:r>
        <w:rPr>
          <w:noProof/>
        </w:rPr>
        <w:t>voitteille, kun otetaan huomioon ”ei merkittävää haittaa” -periaatteen soveltamista koskevien teknisten ohjeiden (2021/C58/01) mukaiset elpymis- ja palautumissuunnitelmassa esitettyjen toimenpiteiden kuvaus ja lieventävät toimet.</w:t>
      </w:r>
    </w:p>
    <w:p w14:paraId="0E41D603" w14:textId="77777777" w:rsidR="000E48CE" w:rsidRDefault="00FF4C4E">
      <w:pPr>
        <w:pStyle w:val="P68B1DB1-Normal33"/>
        <w:ind w:left="720"/>
        <w:rPr>
          <w:rFonts w:cs="Times New Roman"/>
          <w:noProof/>
        </w:rPr>
      </w:pPr>
      <w:r>
        <w:rPr>
          <w:noProof/>
        </w:rPr>
        <w:t>O</w:t>
      </w:r>
      <w:r>
        <w:rPr>
          <w:noProof/>
          <w:sz w:val="24"/>
        </w:rPr>
        <w:t xml:space="preserve">.1. </w:t>
      </w:r>
      <w:r>
        <w:rPr>
          <w:noProof/>
          <w:sz w:val="24"/>
        </w:rPr>
        <w:tab/>
        <w:t>Kuvaus uudistuksista</w:t>
      </w:r>
      <w:r>
        <w:rPr>
          <w:noProof/>
          <w:sz w:val="24"/>
        </w:rPr>
        <w:t xml:space="preserve"> ja investoinneista, joita rahoitetaan rahoitustuella, jota ei makseta takaisin</w:t>
      </w:r>
    </w:p>
    <w:p w14:paraId="0EBBD9EE" w14:textId="77777777" w:rsidR="000E48CE" w:rsidRDefault="00FF4C4E">
      <w:pPr>
        <w:pStyle w:val="P68B1DB1-Normal6"/>
        <w:spacing w:before="120" w:after="120" w:line="240" w:lineRule="auto"/>
        <w:jc w:val="both"/>
        <w:rPr>
          <w:rFonts w:cs="Times New Roman"/>
          <w:noProof/>
        </w:rPr>
      </w:pPr>
      <w:r>
        <w:rPr>
          <w:noProof/>
        </w:rPr>
        <w:t>Uudistus 1 (C15.R1) – Televiestintäalan sääntelyjärjestelmän uudistus: Yleinen oikeus, sääntelyvälineet ja täytäntöönpanovälineet</w:t>
      </w:r>
    </w:p>
    <w:p w14:paraId="57A432B6" w14:textId="77777777" w:rsidR="000E48CE" w:rsidRDefault="00FF4C4E">
      <w:pPr>
        <w:pStyle w:val="P68B1DB1-Normal4"/>
        <w:spacing w:before="120" w:after="120" w:line="240" w:lineRule="auto"/>
        <w:jc w:val="both"/>
        <w:rPr>
          <w:rFonts w:cs="Times New Roman"/>
          <w:noProof/>
        </w:rPr>
      </w:pPr>
      <w:r>
        <w:rPr>
          <w:noProof/>
        </w:rPr>
        <w:t>Toimenpiteen tavoitteena on saattaa eurooppala</w:t>
      </w:r>
      <w:r>
        <w:rPr>
          <w:noProof/>
        </w:rPr>
        <w:t>isesta sähköisen viestinnän säännöstöstä annettu direktiivi 2018/1972 osaksi kansallista lainsäädäntöä, kehittää parhaita käytäntöjä suuren kapasiteetin verkkojen ja 5G-verkkojen käyttöönottoa varten sekä kehittää tarvittavat toimet verkkoyhteyksistä annet</w:t>
      </w:r>
      <w:r>
        <w:rPr>
          <w:noProof/>
        </w:rPr>
        <w:t>tuun Euroopan komission suositukseen C(2020) 6270 perustuvan välineistön täytäntöönpanemiseksi kansallisessa kehyksessä.</w:t>
      </w:r>
    </w:p>
    <w:p w14:paraId="513A533F" w14:textId="77777777" w:rsidR="000E48CE" w:rsidRDefault="00FF4C4E">
      <w:pPr>
        <w:pStyle w:val="P68B1DB1-Normal4"/>
        <w:spacing w:before="120" w:after="120" w:line="240" w:lineRule="auto"/>
        <w:jc w:val="both"/>
        <w:rPr>
          <w:rFonts w:eastAsia="Calibri" w:cs="Times New Roman"/>
          <w:noProof/>
        </w:rPr>
      </w:pPr>
      <w:r>
        <w:rPr>
          <w:noProof/>
        </w:rPr>
        <w:t>Yhteyksiä koskevan Euroopan komission suosituksen C(2020) 6270 täytäntöönpanosta seuraava välineistö sisällytetään Espanjan yleiseen te</w:t>
      </w:r>
      <w:r>
        <w:rPr>
          <w:noProof/>
        </w:rPr>
        <w:t xml:space="preserve">leviestintälainsäädäntöön niiden seikkojen osalta, jotka edellyttävät lain asemaa. </w:t>
      </w:r>
    </w:p>
    <w:p w14:paraId="45987DA4" w14:textId="77777777" w:rsidR="000E48CE" w:rsidRDefault="00FF4C4E">
      <w:pPr>
        <w:pStyle w:val="P68B1DB1-Normal8"/>
        <w:autoSpaceDE w:val="0"/>
        <w:autoSpaceDN w:val="0"/>
        <w:spacing w:before="40" w:after="40" w:line="240" w:lineRule="auto"/>
        <w:jc w:val="both"/>
        <w:rPr>
          <w:rFonts w:eastAsia="Calibri" w:cs="Times New Roman"/>
          <w:noProof/>
        </w:rPr>
      </w:pPr>
      <w:r>
        <w:rPr>
          <w:noProof/>
          <w:sz w:val="24"/>
        </w:rPr>
        <w:t>Toimenpiteen täytäntöönpano on saatettava päätökseen viimeistään 30 päivänä kesäkuuta 2022.</w:t>
      </w:r>
      <w:r>
        <w:rPr>
          <w:noProof/>
          <w:sz w:val="20"/>
        </w:rPr>
        <w:t xml:space="preserve"> </w:t>
      </w:r>
    </w:p>
    <w:p w14:paraId="0618C9AF" w14:textId="77777777" w:rsidR="000E48CE" w:rsidRDefault="00FF4C4E">
      <w:pPr>
        <w:pStyle w:val="P68B1DB1-Normal6"/>
        <w:keepNext/>
        <w:spacing w:before="120" w:after="120" w:line="240" w:lineRule="auto"/>
        <w:jc w:val="both"/>
        <w:rPr>
          <w:rFonts w:cs="Times New Roman"/>
          <w:noProof/>
        </w:rPr>
      </w:pPr>
      <w:r>
        <w:rPr>
          <w:noProof/>
        </w:rPr>
        <w:t>Uudistus 2 (C15.R2) – Etenemissuunnitelma 5G: Taajuuksien hallinnointi ja myönt</w:t>
      </w:r>
      <w:r>
        <w:rPr>
          <w:noProof/>
        </w:rPr>
        <w:t>äminen, käyttöönottotaakan keventäminen, kyberturvallisuusasetus 5G ja tuki paikallisviranomaisille</w:t>
      </w:r>
    </w:p>
    <w:p w14:paraId="7FFDEE86" w14:textId="77777777" w:rsidR="000E48CE" w:rsidRDefault="00FF4C4E">
      <w:pPr>
        <w:pStyle w:val="P68B1DB1-Normal4"/>
        <w:keepNext/>
        <w:spacing w:before="120" w:after="120" w:line="240" w:lineRule="auto"/>
        <w:jc w:val="both"/>
        <w:rPr>
          <w:rFonts w:cs="Times New Roman"/>
          <w:noProof/>
        </w:rPr>
      </w:pPr>
      <w:r>
        <w:rPr>
          <w:noProof/>
        </w:rPr>
        <w:t>Toimenpiteen tavoitteena on 1) saattaa päätökseen toisen taajuusylijäämän ja huutokauppamenettelyn 700 MHz:n ja 26 GHz:n taajuusalueen osalta; 2) alennetaan</w:t>
      </w:r>
      <w:r>
        <w:rPr>
          <w:noProof/>
        </w:rPr>
        <w:t xml:space="preserve"> väliaikaisesti televiestintäoperaattoreiden taajuusverotusta vuosina 2022 ja 2023 5G:n käyttöönoton nopeuttamiseksi; Sisällytetään 5G-kyberturvallisuutta koskeva EU:n välineistö kansalliseen lainsäädäntöön; ja 4) levitetään paikallisille julkishallinnoill</w:t>
      </w:r>
      <w:r>
        <w:rPr>
          <w:noProof/>
        </w:rPr>
        <w:t>e televiestintää ja kaupunkisuunnittelua koskevia hyviä käytäntöjä.</w:t>
      </w:r>
    </w:p>
    <w:p w14:paraId="4BB49479" w14:textId="77777777" w:rsidR="000E48CE" w:rsidRDefault="00FF4C4E">
      <w:pPr>
        <w:pStyle w:val="P68B1DB1-Normal4"/>
        <w:spacing w:before="120" w:after="120" w:line="240" w:lineRule="auto"/>
        <w:jc w:val="both"/>
        <w:rPr>
          <w:rFonts w:cs="Times New Roman"/>
          <w:noProof/>
        </w:rPr>
      </w:pPr>
      <w:r>
        <w:rPr>
          <w:noProof/>
        </w:rPr>
        <w:t>Täytäntöönpanon osalta yksilöidään seuraavat vaiheet:</w:t>
      </w:r>
    </w:p>
    <w:p w14:paraId="69B0C14B" w14:textId="77777777" w:rsidR="000E48CE" w:rsidRDefault="00FF4C4E">
      <w:pPr>
        <w:pStyle w:val="P68B1DB1-Normal4"/>
        <w:numPr>
          <w:ilvl w:val="0"/>
          <w:numId w:val="724"/>
        </w:numPr>
        <w:spacing w:before="120" w:after="160" w:line="256" w:lineRule="auto"/>
        <w:contextualSpacing/>
        <w:jc w:val="both"/>
        <w:rPr>
          <w:rFonts w:cs="Times New Roman"/>
          <w:noProof/>
        </w:rPr>
      </w:pPr>
      <w:r>
        <w:rPr>
          <w:noProof/>
        </w:rPr>
        <w:t>Toisen taajuusylijäämän loppuun saattaminen</w:t>
      </w:r>
    </w:p>
    <w:p w14:paraId="3CF44432" w14:textId="77777777" w:rsidR="000E48CE" w:rsidRDefault="00FF4C4E">
      <w:pPr>
        <w:pStyle w:val="P68B1DB1-Normal4"/>
        <w:numPr>
          <w:ilvl w:val="0"/>
          <w:numId w:val="724"/>
        </w:numPr>
        <w:spacing w:before="120" w:after="160" w:line="256" w:lineRule="auto"/>
        <w:contextualSpacing/>
        <w:jc w:val="both"/>
        <w:rPr>
          <w:rFonts w:cs="Times New Roman"/>
          <w:noProof/>
        </w:rPr>
      </w:pPr>
      <w:r>
        <w:rPr>
          <w:noProof/>
        </w:rPr>
        <w:t>Strategia 5G-teknologian edistämiseksi</w:t>
      </w:r>
    </w:p>
    <w:p w14:paraId="01E905DD" w14:textId="77777777" w:rsidR="000E48CE" w:rsidRDefault="00FF4C4E">
      <w:pPr>
        <w:pStyle w:val="P68B1DB1-Normal4"/>
        <w:numPr>
          <w:ilvl w:val="0"/>
          <w:numId w:val="724"/>
        </w:numPr>
        <w:spacing w:before="120" w:after="160" w:line="256" w:lineRule="auto"/>
        <w:contextualSpacing/>
        <w:jc w:val="both"/>
        <w:rPr>
          <w:rFonts w:cs="Times New Roman"/>
          <w:noProof/>
        </w:rPr>
      </w:pPr>
      <w:r>
        <w:rPr>
          <w:noProof/>
        </w:rPr>
        <w:t xml:space="preserve">Huutokauppa 700 MHz:n taajuusalueella </w:t>
      </w:r>
    </w:p>
    <w:p w14:paraId="63929EA3" w14:textId="77777777" w:rsidR="000E48CE" w:rsidRDefault="00FF4C4E">
      <w:pPr>
        <w:pStyle w:val="P68B1DB1-Normal4"/>
        <w:numPr>
          <w:ilvl w:val="0"/>
          <w:numId w:val="724"/>
        </w:numPr>
        <w:spacing w:before="120" w:after="160" w:line="256" w:lineRule="auto"/>
        <w:contextualSpacing/>
        <w:jc w:val="both"/>
        <w:rPr>
          <w:rFonts w:cs="Times New Roman"/>
          <w:noProof/>
        </w:rPr>
      </w:pPr>
      <w:r>
        <w:rPr>
          <w:noProof/>
        </w:rPr>
        <w:t>26 GHz:n taa</w:t>
      </w:r>
      <w:r>
        <w:rPr>
          <w:noProof/>
        </w:rPr>
        <w:t>juusaluetta koskeva tarjouspyyntö</w:t>
      </w:r>
    </w:p>
    <w:p w14:paraId="0ADCCBA1" w14:textId="77777777" w:rsidR="000E48CE" w:rsidRDefault="00FF4C4E">
      <w:pPr>
        <w:pStyle w:val="P68B1DB1-Normal4"/>
        <w:numPr>
          <w:ilvl w:val="0"/>
          <w:numId w:val="724"/>
        </w:numPr>
        <w:spacing w:before="120" w:after="160" w:line="256" w:lineRule="auto"/>
        <w:contextualSpacing/>
        <w:jc w:val="both"/>
        <w:rPr>
          <w:rFonts w:cs="Times New Roman"/>
          <w:noProof/>
        </w:rPr>
      </w:pPr>
      <w:r>
        <w:rPr>
          <w:noProof/>
        </w:rPr>
        <w:t>Taajuusverotuksen väliaikainen alentaminen</w:t>
      </w:r>
    </w:p>
    <w:p w14:paraId="537CA5FF" w14:textId="77777777" w:rsidR="000E48CE" w:rsidRDefault="00FF4C4E">
      <w:pPr>
        <w:pStyle w:val="P68B1DB1-Normal4"/>
        <w:numPr>
          <w:ilvl w:val="0"/>
          <w:numId w:val="724"/>
        </w:numPr>
        <w:spacing w:before="120" w:after="160" w:line="256" w:lineRule="auto"/>
        <w:contextualSpacing/>
        <w:jc w:val="both"/>
        <w:rPr>
          <w:rFonts w:cs="Times New Roman"/>
          <w:noProof/>
        </w:rPr>
      </w:pPr>
      <w:r>
        <w:rPr>
          <w:noProof/>
        </w:rPr>
        <w:t>Kyberturvallisuussäädös 5G</w:t>
      </w:r>
    </w:p>
    <w:p w14:paraId="6FF8FE8D" w14:textId="77777777" w:rsidR="000E48CE" w:rsidRDefault="00FF4C4E">
      <w:pPr>
        <w:pStyle w:val="P68B1DB1-Normal8"/>
        <w:autoSpaceDE w:val="0"/>
        <w:autoSpaceDN w:val="0"/>
        <w:spacing w:before="40" w:after="40" w:line="240" w:lineRule="auto"/>
        <w:jc w:val="both"/>
        <w:rPr>
          <w:rFonts w:eastAsia="Calibri" w:cs="Times New Roman"/>
          <w:noProof/>
        </w:rPr>
      </w:pPr>
      <w:r>
        <w:rPr>
          <w:noProof/>
          <w:sz w:val="24"/>
        </w:rPr>
        <w:t>Toimenpiteen täytäntöönpano on saatettava päätökseen 31 päivään joulukuuta 2022 mennessä.</w:t>
      </w:r>
      <w:r>
        <w:rPr>
          <w:noProof/>
          <w:sz w:val="20"/>
        </w:rPr>
        <w:t xml:space="preserve"> </w:t>
      </w:r>
    </w:p>
    <w:p w14:paraId="3E4A5C09" w14:textId="77777777" w:rsidR="000E48CE" w:rsidRDefault="00FF4C4E">
      <w:pPr>
        <w:pStyle w:val="P68B1DB1-Normal6"/>
        <w:spacing w:before="120" w:after="120" w:line="240" w:lineRule="auto"/>
        <w:jc w:val="both"/>
        <w:rPr>
          <w:rFonts w:cs="Times New Roman"/>
          <w:noProof/>
        </w:rPr>
      </w:pPr>
      <w:r>
        <w:rPr>
          <w:noProof/>
        </w:rPr>
        <w:t>Investointi 1 (C15.I1) – Alueellisen yhteenkuuluvuuden edistä</w:t>
      </w:r>
      <w:r>
        <w:rPr>
          <w:noProof/>
        </w:rPr>
        <w:t>minen verkkojen käyttöönoton avulla: Ultranopean laajakaistan laajentaminen</w:t>
      </w:r>
    </w:p>
    <w:p w14:paraId="45B9A600" w14:textId="77777777" w:rsidR="000E48CE" w:rsidRDefault="00FF4C4E">
      <w:pPr>
        <w:pStyle w:val="P68B1DB1-Normal4"/>
        <w:spacing w:before="120" w:after="120" w:line="240" w:lineRule="auto"/>
        <w:jc w:val="both"/>
        <w:rPr>
          <w:rFonts w:cs="Times New Roman"/>
          <w:noProof/>
        </w:rPr>
      </w:pPr>
      <w:r>
        <w:rPr>
          <w:noProof/>
        </w:rPr>
        <w:t>Toimenpiteen tavoitteena on 1) syvennetään ultranopeiden laajakaistaliityntäverkkojen kattavuutta alueilla, joilla sitä ei ole, tavoitteena saavuttaa 100 prosenttia väestöstä; ja 2</w:t>
      </w:r>
      <w:r>
        <w:rPr>
          <w:noProof/>
        </w:rPr>
        <w:t xml:space="preserve">) toteutetaan erityistoimia kattavuuden laajentamiseksi historiallisissa kaupunkikeskuksissa, joissa on valkoisen alueen asema. </w:t>
      </w:r>
    </w:p>
    <w:p w14:paraId="7E223AF1" w14:textId="77777777" w:rsidR="000E48CE" w:rsidRDefault="00FF4C4E">
      <w:pPr>
        <w:pStyle w:val="P68B1DB1-Normal4"/>
        <w:spacing w:before="120" w:after="120" w:line="240" w:lineRule="auto"/>
        <w:jc w:val="both"/>
        <w:rPr>
          <w:rFonts w:cs="Times New Roman"/>
          <w:noProof/>
        </w:rPr>
      </w:pPr>
      <w:r>
        <w:rPr>
          <w:noProof/>
        </w:rPr>
        <w:t>Investointi koostuu ultranopeiden (yli 100 Mbit/s) laajakaistayhteyksien tarjoamisesta niille alueille, pääasiassa maaseutualue</w:t>
      </w:r>
      <w:r>
        <w:rPr>
          <w:noProof/>
        </w:rPr>
        <w:t>ille ja historiallisesti arvokkaille alueille, joilla ei tällä hetkellä ole tällaisia yhteyksiä. Yksityiskohtainen toteuttamissuunnitelma hyväksytään vuoden 2021 loppuun mennessä, ja 100 prosenttia talousarviosta myönnetään vuoden 2023 loppuun mennessä. Su</w:t>
      </w:r>
      <w:r>
        <w:rPr>
          <w:noProof/>
        </w:rPr>
        <w:t>unnitelmassa on myös asetettava lopulliset tavoitteet (jotka koskevat kattavuuden lisäämistä yksikköinä), jotka on saavutettava, ja varmistettava teknologianeutraalius sekä markkinakilpailumekanismien ylläpitäminen ja kaikkien toimijoiden pääsy käyttöön ot</w:t>
      </w:r>
      <w:r>
        <w:rPr>
          <w:noProof/>
        </w:rPr>
        <w:t>ettuun infrastruktuuriin. Interventioalueet on määriteltävä tällaisessa suunnitelmassa. Täytäntöönpanosuunnitelmassa on myös esitettävä tarvittavat oikeudelliset ja sääntelytoimet, mukaan lukien toimet, jotka on toteutettava asiaankuuluvien EU:n valtiontuk</w:t>
      </w:r>
      <w:r>
        <w:rPr>
          <w:noProof/>
        </w:rPr>
        <w:t>isääntöjen noudattamisen varmistamiseksi. Tavoitteena on varmistaa symmetriset 300 Mbit/s nopeudet, joita voidaan nostaa symmetriseen 1 Gbit/s:iin (gigabittiä sekunnissa) valkoisilla alueilla ja harmaalla alueella.</w:t>
      </w:r>
    </w:p>
    <w:p w14:paraId="023C33CE" w14:textId="77777777" w:rsidR="000E48CE" w:rsidRDefault="00FF4C4E">
      <w:pPr>
        <w:pStyle w:val="P68B1DB1-Normal4"/>
        <w:spacing w:before="120" w:after="120" w:line="240" w:lineRule="auto"/>
        <w:jc w:val="both"/>
        <w:rPr>
          <w:rFonts w:cs="Times New Roman"/>
          <w:noProof/>
        </w:rPr>
      </w:pPr>
      <w:r>
        <w:rPr>
          <w:noProof/>
        </w:rPr>
        <w:t>Investoinnin toteutus saatetaan päätöksee</w:t>
      </w:r>
      <w:r>
        <w:rPr>
          <w:noProof/>
        </w:rPr>
        <w:t xml:space="preserve">n viimeistään 31. joulukuuta 2025. </w:t>
      </w:r>
    </w:p>
    <w:p w14:paraId="5A9C09E0" w14:textId="77777777" w:rsidR="000E48CE" w:rsidRDefault="00FF4C4E">
      <w:pPr>
        <w:pStyle w:val="P68B1DB1-Normal6"/>
        <w:spacing w:before="120" w:after="120" w:line="240" w:lineRule="auto"/>
        <w:jc w:val="both"/>
        <w:rPr>
          <w:rFonts w:cs="Times New Roman"/>
          <w:noProof/>
        </w:rPr>
      </w:pPr>
      <w:r>
        <w:rPr>
          <w:noProof/>
        </w:rPr>
        <w:t>Investointi 2 (C15.I2) Yhteenliitettävyyden vahvistaminen vertailukeskuksissa, sosioekonomisissa vaikuttajissa ja alakohtaisissa digitalisaatiohankkeissa</w:t>
      </w:r>
    </w:p>
    <w:p w14:paraId="2F33BE61" w14:textId="77777777" w:rsidR="000E48CE" w:rsidRDefault="00FF4C4E">
      <w:pPr>
        <w:pStyle w:val="P68B1DB1-Normal4"/>
        <w:spacing w:before="120" w:after="120" w:line="240" w:lineRule="auto"/>
        <w:jc w:val="both"/>
        <w:rPr>
          <w:rFonts w:cs="Times New Roman"/>
          <w:noProof/>
        </w:rPr>
      </w:pPr>
      <w:r>
        <w:rPr>
          <w:noProof/>
        </w:rPr>
        <w:t>Toimenpiteen tavoitteena on 1) parantaa keskeisten hoito- ja sosia</w:t>
      </w:r>
      <w:r>
        <w:rPr>
          <w:noProof/>
        </w:rPr>
        <w:t>alipalvelujen saatavuutta tarjoavien keskusten, kuten sairaaloiden, terveyskeskusten ja koulutuskeskusten, yhteenliitettävyyttä ja laitteistoja; ja 2) tarjota erittäin yhteenliitettävyyttä maan tärkeimmissä sosioekonomisissa vaikuttajissa ja alueilla, joil</w:t>
      </w:r>
      <w:r>
        <w:rPr>
          <w:noProof/>
        </w:rPr>
        <w:t>la kapasiteetin kysyntä on suurta (teknologiset saaret).</w:t>
      </w:r>
    </w:p>
    <w:p w14:paraId="6F1B5E36" w14:textId="77777777" w:rsidR="000E48CE" w:rsidRDefault="00FF4C4E">
      <w:pPr>
        <w:pStyle w:val="P68B1DB1-Normal4"/>
        <w:spacing w:before="120" w:after="120" w:line="240" w:lineRule="auto"/>
        <w:jc w:val="both"/>
        <w:rPr>
          <w:rFonts w:cs="Times New Roman"/>
          <w:noProof/>
        </w:rPr>
      </w:pPr>
      <w:r>
        <w:rPr>
          <w:noProof/>
        </w:rPr>
        <w:t>Investointi koostuu yhden gigabittiyhteyden laajentamisesta tärkeimpiin sosiaalisen ja taloudellisen toiminnan keskuksiin koko maassa. Valittuihin kohteisiin on kuuluttava teollisuuslaitoksia, datake</w:t>
      </w:r>
      <w:r>
        <w:rPr>
          <w:noProof/>
        </w:rPr>
        <w:t>skuksia, maatalousteollisuuden toimipaikkoja, tutkimuskeskuksia, kuljetussolmukohtia, logistiikkasolmukohtia tai dataintensiivisiä yrityksiä sekä terveyskeskuksia, kuten sairaaloita, koulutuskeskuksia ja terveyskeskuksia.</w:t>
      </w:r>
    </w:p>
    <w:p w14:paraId="07FA28B2" w14:textId="77777777" w:rsidR="000E48CE" w:rsidRDefault="00FF4C4E">
      <w:pPr>
        <w:pStyle w:val="P68B1DB1-Normal4"/>
        <w:spacing w:before="120" w:after="120" w:line="240" w:lineRule="auto"/>
        <w:jc w:val="both"/>
        <w:rPr>
          <w:rFonts w:eastAsia="Calibri" w:cs="Times New Roman"/>
          <w:noProof/>
        </w:rPr>
      </w:pPr>
      <w:r>
        <w:rPr>
          <w:noProof/>
        </w:rPr>
        <w:t>Erityistoimiin kuuluvat seuraavat:</w:t>
      </w:r>
      <w:r>
        <w:rPr>
          <w:noProof/>
        </w:rPr>
        <w:t xml:space="preserve"> hankkeet, joilla vahvistetaan yhteyksiä yhteyspisteissä ja julkisissa palveluissa; b) hankkeet, jotka koskevat 1-Gabitt-yhteyksiä ja keskeisten alojen tukemista, mukaan lukien innovatiiviset alakohtaiset digitalisointihankkeet (terveys, maatalouselintarvi</w:t>
      </w:r>
      <w:r>
        <w:rPr>
          <w:noProof/>
        </w:rPr>
        <w:t>kkeet, liikkuvuus, matkailu, teollisuus, kauppa jne.) sekä teollisuus- ja liiketilojen yhteenliitettävyyshankkeet valkoisilla/harmailla alueilla.</w:t>
      </w:r>
    </w:p>
    <w:p w14:paraId="22F7D782" w14:textId="0C2BEDFD" w:rsidR="000E48CE" w:rsidRDefault="00FF4C4E">
      <w:pPr>
        <w:pStyle w:val="P68B1DB1-Normal4"/>
        <w:spacing w:before="120" w:after="120" w:line="240" w:lineRule="auto"/>
        <w:jc w:val="both"/>
        <w:rPr>
          <w:rFonts w:eastAsia="Calibri" w:cs="Times New Roman"/>
          <w:noProof/>
        </w:rPr>
      </w:pPr>
      <w:r>
        <w:rPr>
          <w:noProof/>
        </w:rPr>
        <w:t>Investointi on saatava päätökseen viimeistään 31 päivänä joulukuuta 2024.</w:t>
      </w:r>
    </w:p>
    <w:p w14:paraId="19135B77" w14:textId="77777777" w:rsidR="000E48CE" w:rsidRDefault="00FF4C4E">
      <w:pPr>
        <w:pStyle w:val="P68B1DB1-Normal6"/>
        <w:spacing w:before="120" w:after="120" w:line="240" w:lineRule="auto"/>
        <w:jc w:val="both"/>
        <w:rPr>
          <w:rFonts w:cs="Times New Roman"/>
          <w:noProof/>
        </w:rPr>
      </w:pPr>
      <w:r>
        <w:rPr>
          <w:noProof/>
        </w:rPr>
        <w:t>Investointi 3 (C15.I3) – Yhteyssetel</w:t>
      </w:r>
      <w:r>
        <w:rPr>
          <w:noProof/>
        </w:rPr>
        <w:t>it pk-yrityksille ja heikossa asemassa oleville ryhmille</w:t>
      </w:r>
    </w:p>
    <w:p w14:paraId="16A8916A" w14:textId="77777777" w:rsidR="000E48CE" w:rsidRDefault="00FF4C4E">
      <w:pPr>
        <w:pStyle w:val="P68B1DB1-Normal4"/>
        <w:spacing w:before="120" w:after="120" w:line="240" w:lineRule="auto"/>
        <w:jc w:val="both"/>
        <w:rPr>
          <w:rFonts w:cs="Times New Roman"/>
          <w:noProof/>
        </w:rPr>
      </w:pPr>
      <w:r>
        <w:rPr>
          <w:noProof/>
        </w:rPr>
        <w:t xml:space="preserve">Investoinnin on koostuttava seuraavista: </w:t>
      </w:r>
    </w:p>
    <w:p w14:paraId="5BDF574A" w14:textId="77777777" w:rsidR="000E48CE" w:rsidRDefault="00FF4C4E">
      <w:pPr>
        <w:pStyle w:val="P68B1DB1-Normal4"/>
        <w:numPr>
          <w:ilvl w:val="0"/>
          <w:numId w:val="725"/>
        </w:numPr>
        <w:spacing w:before="120" w:after="120" w:line="240" w:lineRule="auto"/>
        <w:jc w:val="both"/>
        <w:rPr>
          <w:rFonts w:cs="Times New Roman"/>
          <w:noProof/>
        </w:rPr>
      </w:pPr>
      <w:r>
        <w:rPr>
          <w:noProof/>
        </w:rPr>
        <w:t xml:space="preserve">Arvosetelit pk-yrityksille liitettävyysinvestointien rahoittamiseksi (mukaan lukien vähintään 100 Mbit/s:n perusyhteydet ja lisäarvopalvelut, kuten VPN ja </w:t>
      </w:r>
      <w:r>
        <w:rPr>
          <w:noProof/>
        </w:rPr>
        <w:t>kyberturvallisuus); ja</w:t>
      </w:r>
    </w:p>
    <w:p w14:paraId="22248C2C" w14:textId="77777777" w:rsidR="000E48CE" w:rsidRDefault="00FF4C4E">
      <w:pPr>
        <w:pStyle w:val="P68B1DB1-Normal4"/>
        <w:numPr>
          <w:ilvl w:val="0"/>
          <w:numId w:val="725"/>
        </w:numPr>
        <w:spacing w:before="120" w:after="120" w:line="240" w:lineRule="auto"/>
        <w:jc w:val="both"/>
        <w:rPr>
          <w:rFonts w:cs="Times New Roman"/>
          <w:noProof/>
        </w:rPr>
      </w:pPr>
      <w:r>
        <w:rPr>
          <w:noProof/>
        </w:rPr>
        <w:t xml:space="preserve">Muita heikommassa asemassa oleville henkilöille tai perheille tarkoitetut arvosetelit, joilla rahoitetaan laajakaistayhteyspaketteja sopivimmalla teknologialla. </w:t>
      </w:r>
    </w:p>
    <w:p w14:paraId="6F22491A" w14:textId="4EAD4C5C" w:rsidR="000E48CE" w:rsidRDefault="00FF4C4E">
      <w:pPr>
        <w:pStyle w:val="P68B1DB1-Normal4"/>
        <w:spacing w:before="120" w:after="120" w:line="240" w:lineRule="auto"/>
        <w:jc w:val="both"/>
        <w:rPr>
          <w:rFonts w:cs="Times New Roman"/>
          <w:noProof/>
        </w:rPr>
      </w:pPr>
      <w:r>
        <w:rPr>
          <w:noProof/>
        </w:rPr>
        <w:t>Investointi on saatava päätökseen viimeistään 31 päivänä joulukuuta 202</w:t>
      </w:r>
      <w:r>
        <w:rPr>
          <w:noProof/>
        </w:rPr>
        <w:t xml:space="preserve">4. </w:t>
      </w:r>
    </w:p>
    <w:p w14:paraId="115B517A" w14:textId="77777777" w:rsidR="000E48CE" w:rsidRDefault="00FF4C4E">
      <w:pPr>
        <w:pStyle w:val="P68B1DB1-Normal6"/>
        <w:spacing w:before="120" w:after="120" w:line="240" w:lineRule="auto"/>
        <w:jc w:val="both"/>
        <w:rPr>
          <w:rFonts w:cs="Times New Roman"/>
          <w:noProof/>
        </w:rPr>
      </w:pPr>
      <w:r>
        <w:rPr>
          <w:noProof/>
        </w:rPr>
        <w:t>Investointi 4 (C15.I4) – Infrastruktuurin uudistaminen ja kestävyys</w:t>
      </w:r>
    </w:p>
    <w:p w14:paraId="07C9BBD2" w14:textId="1BE44B56" w:rsidR="000E48CE" w:rsidRDefault="00FF4C4E">
      <w:pPr>
        <w:pStyle w:val="P68B1DB1-Normal4"/>
        <w:spacing w:before="120" w:after="120" w:line="240" w:lineRule="auto"/>
        <w:jc w:val="both"/>
        <w:rPr>
          <w:rFonts w:eastAsia="Calibri" w:cs="Times New Roman"/>
          <w:noProof/>
        </w:rPr>
      </w:pPr>
      <w:r>
        <w:rPr>
          <w:noProof/>
        </w:rPr>
        <w:t xml:space="preserve">Investointi koostuu siitä, että osa olemassa olevasta rakennuskannasta varustetaan infrastruktuurilla, jolla helpotetaan erittäin suuren kapasiteetin verkkojen optimaalista </w:t>
      </w:r>
      <w:r>
        <w:rPr>
          <w:noProof/>
        </w:rPr>
        <w:t xml:space="preserve">käyttöönottoa viimeisellä käyttöosuudella. Tämän investoinnin, jolla koordinoidaan ja optimoidaan seuraavan sukupolven liityntäverkkojen käyttöönottoa kestävällä tavalla, odotetaan optimoivan käyttöön otettujen verkkojen energiankulutuksen. Investointi on </w:t>
      </w:r>
      <w:r>
        <w:rPr>
          <w:noProof/>
        </w:rPr>
        <w:t>saatava päätökseen viimeistään 31 päivänä joulukuuta 2024.</w:t>
      </w:r>
    </w:p>
    <w:p w14:paraId="613726C0" w14:textId="77777777" w:rsidR="000E48CE" w:rsidRDefault="00FF4C4E">
      <w:pPr>
        <w:pStyle w:val="P68B1DB1-Normal6"/>
        <w:spacing w:before="120" w:after="120" w:line="240" w:lineRule="auto"/>
        <w:jc w:val="both"/>
        <w:rPr>
          <w:rFonts w:cs="Times New Roman"/>
          <w:noProof/>
        </w:rPr>
      </w:pPr>
      <w:r>
        <w:rPr>
          <w:noProof/>
        </w:rPr>
        <w:t>Investointi 5 (C15.I5) – Rajat ylittävän digitaalisen infrastruktuurin käyttöönotto</w:t>
      </w:r>
    </w:p>
    <w:p w14:paraId="1BD68E2F" w14:textId="77777777" w:rsidR="000E48CE" w:rsidRDefault="00FF4C4E">
      <w:pPr>
        <w:pStyle w:val="P68B1DB1-Normal4"/>
        <w:spacing w:before="120" w:after="120" w:line="240" w:lineRule="auto"/>
        <w:jc w:val="both"/>
        <w:rPr>
          <w:rFonts w:cs="Times New Roman"/>
          <w:noProof/>
        </w:rPr>
      </w:pPr>
      <w:r>
        <w:rPr>
          <w:noProof/>
        </w:rPr>
        <w:t>Investointi koostuu kolmesta hankkeesta.</w:t>
      </w:r>
    </w:p>
    <w:p w14:paraId="11197346" w14:textId="77777777" w:rsidR="000E48CE" w:rsidRDefault="00FF4C4E">
      <w:pPr>
        <w:pStyle w:val="P68B1DB1-Normal4"/>
        <w:spacing w:before="120" w:after="120" w:line="240" w:lineRule="auto"/>
        <w:ind w:left="709"/>
        <w:jc w:val="both"/>
        <w:rPr>
          <w:rFonts w:cs="Times New Roman"/>
          <w:noProof/>
        </w:rPr>
      </w:pPr>
      <w:r>
        <w:rPr>
          <w:noProof/>
        </w:rPr>
        <w:t>1) Rajatylittävän digitaalisen infrastruktuurin yhteyksien parantaminen:</w:t>
      </w:r>
      <w:r>
        <w:rPr>
          <w:noProof/>
        </w:rPr>
        <w:t xml:space="preserve"> Tämä merkitsisi espanjalaisten yritysten osallistumista yritysten yhteenliittymiin Verkkojen Eurooppa -välineen (CEF2 Digital) ja uuden yleisen ryhmäpoikkeusasetuksen datainfrastruktuurin yhteenliittämistä ja merenalaisia kaapeleita koskeviin hankkeisiin.</w:t>
      </w:r>
      <w:r>
        <w:rPr>
          <w:noProof/>
        </w:rPr>
        <w:t xml:space="preserve"> </w:t>
      </w:r>
    </w:p>
    <w:p w14:paraId="186801E0" w14:textId="08BEAE9C" w:rsidR="000E48CE" w:rsidRDefault="00FF4C4E">
      <w:pPr>
        <w:pStyle w:val="P68B1DB1-Normal4"/>
        <w:spacing w:before="120" w:after="120" w:line="240" w:lineRule="auto"/>
        <w:ind w:left="709"/>
        <w:jc w:val="both"/>
        <w:rPr>
          <w:rFonts w:cs="Times New Roman"/>
          <w:noProof/>
        </w:rPr>
      </w:pPr>
      <w:r>
        <w:rPr>
          <w:noProof/>
        </w:rPr>
        <w:t xml:space="preserve">2) Osallistuminen digitaalisen infrastruktuurin hankkeisiin:  ehdolla olevat hankkeet liittyvät uuden sukupolven pilvipalveluihin ja reunainfrastruktuuriin ja -palveluihin; sekä kehittynyt prosessori ja puolijohteet. </w:t>
      </w:r>
    </w:p>
    <w:p w14:paraId="691C9FC0" w14:textId="77777777" w:rsidR="000E48CE" w:rsidRDefault="00FF4C4E">
      <w:pPr>
        <w:pStyle w:val="P68B1DB1-Normal4"/>
        <w:spacing w:before="120" w:after="120" w:line="240" w:lineRule="auto"/>
        <w:ind w:left="709"/>
        <w:jc w:val="both"/>
        <w:rPr>
          <w:rFonts w:cs="Times New Roman"/>
          <w:noProof/>
        </w:rPr>
      </w:pPr>
      <w:r>
        <w:rPr>
          <w:noProof/>
        </w:rPr>
        <w:t>Muut rajatylittävät digitaalisen inf</w:t>
      </w:r>
      <w:r>
        <w:rPr>
          <w:noProof/>
        </w:rPr>
        <w:t xml:space="preserve">rastruktuurin T &amp; K &amp; I-hankkeet, mukaan lukien investoinnit satelliittivälitteiseen suojattuun viestintäjärjestelmään ja kvanttiviestintävalmiuksien kehittäminen. </w:t>
      </w:r>
    </w:p>
    <w:p w14:paraId="0A297D7E" w14:textId="7EC24370" w:rsidR="000E48CE" w:rsidRDefault="00FF4C4E">
      <w:pPr>
        <w:pStyle w:val="P68B1DB1-Normal4"/>
        <w:spacing w:before="120" w:after="120" w:line="240" w:lineRule="auto"/>
        <w:jc w:val="both"/>
        <w:rPr>
          <w:rFonts w:eastAsia="Calibri" w:cs="Times New Roman"/>
          <w:noProof/>
        </w:rPr>
      </w:pPr>
      <w:r>
        <w:rPr>
          <w:noProof/>
        </w:rPr>
        <w:t>Näitä investointeja koskeva yksityiskohtainen toteutussuunnitelma on toimitettava 31 päivää</w:t>
      </w:r>
      <w:r>
        <w:rPr>
          <w:noProof/>
        </w:rPr>
        <w:t xml:space="preserve">n joulukuuta 2022 mennessä, jotta valitut hankkeet voidaan määritellä selkeästi.  </w:t>
      </w:r>
    </w:p>
    <w:p w14:paraId="0483EF2F" w14:textId="5CBEDFBF" w:rsidR="000E48CE" w:rsidRDefault="00FF4C4E">
      <w:pPr>
        <w:pStyle w:val="P68B1DB1-Normal4"/>
        <w:spacing w:before="120" w:after="120" w:line="240" w:lineRule="auto"/>
        <w:jc w:val="both"/>
        <w:rPr>
          <w:rFonts w:cs="Times New Roman"/>
          <w:noProof/>
        </w:rPr>
      </w:pPr>
      <w:r>
        <w:rPr>
          <w:noProof/>
        </w:rPr>
        <w:t>Suunnitelmassa on esitettävä tekniset perusteet (hankkeiden ja tuensaajien keskeiset piirteet) sekä vaadittavat oikeudelliset ja sääntelytoimet, mukaan lukien tarvittavat to</w:t>
      </w:r>
      <w:r>
        <w:rPr>
          <w:noProof/>
        </w:rPr>
        <w:t xml:space="preserve">imenpiteet valtiontukien valvonnan noudattamiseksi. Investointi on saatettava päätökseen viimeistään 30 päivänä kesäkuuta 2026. </w:t>
      </w:r>
    </w:p>
    <w:p w14:paraId="547B9957" w14:textId="77777777" w:rsidR="000E48CE" w:rsidRDefault="00FF4C4E">
      <w:pPr>
        <w:pStyle w:val="P68B1DB1-Normal6"/>
        <w:spacing w:before="120" w:after="120" w:line="240" w:lineRule="auto"/>
        <w:jc w:val="both"/>
        <w:rPr>
          <w:rFonts w:cs="Times New Roman"/>
          <w:noProof/>
        </w:rPr>
      </w:pPr>
      <w:r>
        <w:rPr>
          <w:noProof/>
        </w:rPr>
        <w:t>Investointi 6 (C15.I6) – 5G:n käyttöönotto: verkot, teknologinen muutos ja innovointi</w:t>
      </w:r>
    </w:p>
    <w:p w14:paraId="24B69272" w14:textId="77777777" w:rsidR="000E48CE" w:rsidRDefault="00FF4C4E">
      <w:pPr>
        <w:pStyle w:val="P68B1DB1-Normal4"/>
        <w:spacing w:before="120" w:after="120" w:line="240" w:lineRule="auto"/>
        <w:jc w:val="both"/>
        <w:rPr>
          <w:rFonts w:cs="Times New Roman"/>
          <w:noProof/>
        </w:rPr>
      </w:pPr>
      <w:r>
        <w:rPr>
          <w:noProof/>
        </w:rPr>
        <w:t>Investointi koostuu neljästä eri alahankk</w:t>
      </w:r>
      <w:r>
        <w:rPr>
          <w:noProof/>
        </w:rPr>
        <w:t>eesta:</w:t>
      </w:r>
    </w:p>
    <w:p w14:paraId="0B1CF237" w14:textId="0C6641AD" w:rsidR="000E48CE" w:rsidRDefault="00FF4C4E">
      <w:pPr>
        <w:pStyle w:val="P68B1DB1-Normal4"/>
        <w:spacing w:before="120" w:after="120" w:line="240" w:lineRule="auto"/>
        <w:ind w:left="709"/>
        <w:jc w:val="both"/>
        <w:rPr>
          <w:rFonts w:eastAsia="Calibri" w:cs="Times New Roman"/>
          <w:noProof/>
        </w:rPr>
      </w:pPr>
      <w:r>
        <w:rPr>
          <w:noProof/>
        </w:rPr>
        <w:t>1) 5G:n käyttöönottoa tehostetaan ja nopeutetaan tärkeimmillä liikennekäytävillä (tiet ja rautatiet) sekä kansallisilla (toissijaisilla liikennekäytävillä tietyillä alueilla) että rajat ylittävillä (ensisijaiset käytävät). Tämä aloite on linjassa Eu</w:t>
      </w:r>
      <w:r>
        <w:rPr>
          <w:noProof/>
        </w:rPr>
        <w:t>roopan komission määrittelemien 5G-käytävien kanssa, ja sillä edistetään Espanjan ja Portugalin sekä Espanjan ja Ranskan välisiä käytäviä yhteensä vähintään 4000 alueella runkoliityntäyhteydet mukaan luettuina. Tämä toimenpide koskee toissijaisia reittejä,</w:t>
      </w:r>
      <w:r>
        <w:rPr>
          <w:noProof/>
        </w:rPr>
        <w:t xml:space="preserve"> jotka eivät kuulu taajuuksia koskevissa tarjouskilpailuissa asetettujen velvoitteiden piiriin.</w:t>
      </w:r>
    </w:p>
    <w:p w14:paraId="7084D070" w14:textId="3F4BE6DB" w:rsidR="000E48CE" w:rsidRDefault="00FF4C4E">
      <w:pPr>
        <w:pStyle w:val="P68B1DB1-Normal4"/>
        <w:spacing w:before="120" w:after="120" w:line="240" w:lineRule="auto"/>
        <w:ind w:left="709"/>
        <w:jc w:val="both"/>
        <w:rPr>
          <w:rFonts w:cs="Times New Roman"/>
          <w:noProof/>
        </w:rPr>
      </w:pPr>
      <w:r>
        <w:rPr>
          <w:noProof/>
        </w:rPr>
        <w:t>2) 5G:n käyttöönotto tietyillä alueilla tavoitteena saavuttaa 75 prosentin väestökattavuus 31 päivään joulukuuta 2025 mennessä 5G-etuusalueilla. Tämän käyttööno</w:t>
      </w:r>
      <w:r>
        <w:rPr>
          <w:noProof/>
        </w:rPr>
        <w:t>ton helpottamiseksi on myös toteutettava toimia, joilla lisätään olemassa olevan verkon kapasiteettia, jotta se voi vastata kaistanleveyden suureen kysyntään ja tukiasemien tiheyteen, joka edellyttää 5G:n käyttöönottoa (vähintään 7000 uutta tai olemassa ol</w:t>
      </w:r>
      <w:r>
        <w:rPr>
          <w:noProof/>
        </w:rPr>
        <w:t>evaa paikkaa, joissa on uusia 5G-laitteita; ja vähintään 4000 olemassa olevaa toimipaikkaa, joilla on toimia runkoliityntäverkon kapasiteetin lisäämiseksi). Tämä toimenpide kattaa alueet, jotka eivät kuulu taajuuksia koskevissa tarjouskilpailuissa asetettu</w:t>
      </w:r>
      <w:r>
        <w:rPr>
          <w:noProof/>
        </w:rPr>
        <w:t>jen velvoitteiden piiriin.</w:t>
      </w:r>
    </w:p>
    <w:p w14:paraId="323D5C30" w14:textId="77777777" w:rsidR="000E48CE" w:rsidRDefault="00FF4C4E">
      <w:pPr>
        <w:pStyle w:val="P68B1DB1-Normal4"/>
        <w:spacing w:before="120" w:after="120" w:line="240" w:lineRule="auto"/>
        <w:ind w:left="709"/>
        <w:jc w:val="both"/>
        <w:rPr>
          <w:rFonts w:cs="Times New Roman"/>
          <w:noProof/>
        </w:rPr>
      </w:pPr>
      <w:r>
        <w:rPr>
          <w:noProof/>
        </w:rPr>
        <w:t>5G:n käyttöönotto keskeisissä taloudellisissa toiminnoissa (teolliset tuotantoympäristöt strategisissa yrityksissä tietyillä keskeisillä ja vaikutuksiltaan merkittävillä tuotantoaloilla) ja keskeisissä palveluissa (tuotantoympäri</w:t>
      </w:r>
      <w:r>
        <w:rPr>
          <w:noProof/>
        </w:rPr>
        <w:t>stöt koulutus-, hoito- ja terveysalalla). Odotettavissa on vähintään 43 yhteenliitettävyyshanketta.</w:t>
      </w:r>
    </w:p>
    <w:p w14:paraId="77066EE2" w14:textId="77777777" w:rsidR="000E48CE" w:rsidRDefault="00FF4C4E">
      <w:pPr>
        <w:pStyle w:val="P68B1DB1-Normal4"/>
        <w:spacing w:before="120" w:after="120" w:line="240" w:lineRule="auto"/>
        <w:ind w:left="709"/>
        <w:jc w:val="both"/>
        <w:rPr>
          <w:rFonts w:cs="Times New Roman"/>
          <w:noProof/>
        </w:rPr>
      </w:pPr>
      <w:r>
        <w:rPr>
          <w:noProof/>
        </w:rPr>
        <w:t>4) Tuki 5G- ja 6G-verkkoihin liittyvälle tutkimus- ja kehittämistoiminnalle innovaatioekosysteemeille (vähintään 200 hanketta) ja 5G-kyberturvallisuusekosys</w:t>
      </w:r>
      <w:r>
        <w:rPr>
          <w:noProof/>
        </w:rPr>
        <w:t>teemeille (keskuksen perustaminen, jonka kapasiteetti on noin 300 insinööriä, 5G-kyberturvallisuutta varten, lukuun ottamatta rakennus- ja kunnostustöihin liittyviä kustannuksia).</w:t>
      </w:r>
    </w:p>
    <w:p w14:paraId="4CD8BEF3" w14:textId="53DF9795" w:rsidR="000E48CE" w:rsidRDefault="00FF4C4E">
      <w:pPr>
        <w:pStyle w:val="P68B1DB1-Normal4"/>
        <w:spacing w:before="120" w:after="120" w:line="240" w:lineRule="auto"/>
        <w:jc w:val="both"/>
        <w:rPr>
          <w:rFonts w:eastAsia="Calibri" w:cs="Times New Roman"/>
          <w:noProof/>
        </w:rPr>
      </w:pPr>
      <w:r>
        <w:rPr>
          <w:noProof/>
        </w:rPr>
        <w:t xml:space="preserve">Kaikista edellä mainituista hankkeista on toimitettava 30 päivään kesäkuuta </w:t>
      </w:r>
      <w:r>
        <w:rPr>
          <w:noProof/>
        </w:rPr>
        <w:t>2022 mennessä yksityiskohtainen toteuttamissuunnitelma, jonka tavoitteena on määritellä selkeästi valitut hankkeet ja myöntää 100 prosenttia talousarviosta 31 päivään joulukuuta 2024 mennessä ja saada hanke päätökseen viimeistään 30 päivänä kesäkuuta 2025.</w:t>
      </w:r>
      <w:r>
        <w:rPr>
          <w:noProof/>
        </w:rPr>
        <w:t xml:space="preserve"> </w:t>
      </w:r>
    </w:p>
    <w:p w14:paraId="32224B04" w14:textId="77777777" w:rsidR="000E48CE" w:rsidRDefault="00FF4C4E">
      <w:pPr>
        <w:pStyle w:val="P68B1DB1-Normal4"/>
        <w:spacing w:before="120" w:after="120" w:line="240" w:lineRule="auto"/>
        <w:jc w:val="both"/>
        <w:rPr>
          <w:rFonts w:eastAsia="Calibri" w:cs="Times New Roman"/>
          <w:noProof/>
        </w:rPr>
      </w:pPr>
      <w:r>
        <w:rPr>
          <w:noProof/>
        </w:rPr>
        <w:t>Suunnitelman on sisällettävä 5G:n käyttöönottoa koskeva täytäntöönpanosuunnitelma, johon sisältyy toimia seuraavilla aloilla: 1) 5G-käytävät; 2) 5G-liityntäverkkojen ja mobiilirunkoliityntäverkkojen käyttöönotto muilla tietyillä alueilla; 5G:n käyttöönot</w:t>
      </w:r>
      <w:r>
        <w:rPr>
          <w:noProof/>
        </w:rPr>
        <w:t xml:space="preserve">tohankkeet keskeisten taloudellisten toimintojen ja keskeisten palvelujen yhteenliitettävyyttä ja digitalisointia varten; ja 4) tuki 5G- ja 6G-ekosysteemin innovatiivisille sovelluksille. Suunnitelmassa on myös esitettävä tekniset kriteerit (hankkeiden ja </w:t>
      </w:r>
      <w:r>
        <w:rPr>
          <w:noProof/>
        </w:rPr>
        <w:t xml:space="preserve">tarvittaessa niiden kattamien alojen keskeiset piirteet) sekä tarvittavat oikeudelliset ja sääntelytoimet, mukaan lukien tarvittavat toimet asiaankuuluvien EU:n valtiontukisääntöjen noudattamiseksi. Suunnitelmassa on myös asetettava lopulliset tavoitteet, </w:t>
      </w:r>
      <w:r>
        <w:rPr>
          <w:noProof/>
        </w:rPr>
        <w:t xml:space="preserve">jotka on saavutettava 31 päivään joulukuuta 2025 mennessä. </w:t>
      </w:r>
    </w:p>
    <w:p w14:paraId="68A4B104" w14:textId="1F2FF1E5" w:rsidR="000E48CE" w:rsidRDefault="00FF4C4E">
      <w:pPr>
        <w:pStyle w:val="P68B1DB1-Normal4"/>
        <w:spacing w:before="120" w:after="120" w:line="240" w:lineRule="auto"/>
        <w:jc w:val="both"/>
        <w:rPr>
          <w:rFonts w:eastAsia="Calibri" w:cs="Times New Roman"/>
          <w:noProof/>
        </w:rPr>
      </w:pPr>
      <w:r>
        <w:rPr>
          <w:noProof/>
        </w:rPr>
        <w:t>Investointi on saatettava päätökseen viimeistään 30 päivänä kesäkuuta 2026.</w:t>
      </w:r>
    </w:p>
    <w:p w14:paraId="1127DB1F" w14:textId="77777777" w:rsidR="000E48CE" w:rsidRDefault="00FF4C4E">
      <w:pPr>
        <w:pStyle w:val="P68B1DB1-Normal6"/>
        <w:spacing w:before="120" w:after="120" w:line="240" w:lineRule="auto"/>
        <w:jc w:val="both"/>
        <w:rPr>
          <w:rFonts w:cs="Times New Roman"/>
          <w:noProof/>
        </w:rPr>
      </w:pPr>
      <w:r>
        <w:rPr>
          <w:noProof/>
        </w:rPr>
        <w:t>Investointi 7 (C15.I7) Kyberturvallisuus: Kansalaisten, pk-yritysten ja ammattilaisten valmiuksien vahvistaminen; alan e</w:t>
      </w:r>
      <w:r>
        <w:rPr>
          <w:noProof/>
        </w:rPr>
        <w:t>kosysteemin parantaminen</w:t>
      </w:r>
    </w:p>
    <w:p w14:paraId="410DE09F" w14:textId="77777777" w:rsidR="000E48CE" w:rsidRDefault="00FF4C4E">
      <w:pPr>
        <w:pStyle w:val="P68B1DB1-Normal4"/>
        <w:spacing w:before="120" w:after="120" w:line="240" w:lineRule="auto"/>
        <w:jc w:val="both"/>
        <w:rPr>
          <w:rFonts w:cs="Times New Roman"/>
          <w:noProof/>
        </w:rPr>
      </w:pPr>
      <w:r>
        <w:rPr>
          <w:noProof/>
        </w:rPr>
        <w:t xml:space="preserve">Investointi koostuu useista toimista, joilla pyritään kehittämään sekä kansalaisten että yritysten kyberturvallisuusvalmiuksia ja edistämään Espanjan kyberturvallisuusekosysteemiä. Toimet jakautuvat kolmeen toimintalinjaan: </w:t>
      </w:r>
    </w:p>
    <w:p w14:paraId="4C6EFB9E" w14:textId="77777777" w:rsidR="000E48CE" w:rsidRDefault="00FF4C4E">
      <w:pPr>
        <w:pStyle w:val="P68B1DB1-Normal4"/>
        <w:spacing w:before="120" w:after="120" w:line="240" w:lineRule="auto"/>
        <w:ind w:left="709"/>
        <w:jc w:val="both"/>
        <w:rPr>
          <w:rFonts w:cs="Times New Roman"/>
          <w:noProof/>
        </w:rPr>
      </w:pPr>
      <w:r>
        <w:rPr>
          <w:noProof/>
        </w:rPr>
        <w:t xml:space="preserve">1) </w:t>
      </w:r>
      <w:r>
        <w:rPr>
          <w:noProof/>
        </w:rPr>
        <w:t>kansalaisten, pk-yritysten ja ammattilaisten kyberturvallisuusvalmiuksien vahvistaminen. Kansalaisten ja yritysten, erityisesti pk-yritysten, varustaminen digitaaliteknologian jokapäiväiseen käyttöön liittyvien riskien tunnistamiseksi. Tämän alan ohjelmiin</w:t>
      </w:r>
      <w:r>
        <w:rPr>
          <w:noProof/>
        </w:rPr>
        <w:t xml:space="preserve"> sisältyy tiedotuskampanja, jonka odotetaan tavoittavan mahdollisimman monet ihmiset viestintäkampanjoiden, läheisyystoimien ja erityisresurssien kehittämisen avulla. Tähän sisältyy myös reagointimekanismien lisääminen koordinoiduilla reagointipalveluilla </w:t>
      </w:r>
      <w:r>
        <w:rPr>
          <w:noProof/>
        </w:rPr>
        <w:t>ja toimilla, kuten kyberturvallisuusneuvontapalvelulla, jonka avulla sen kapasiteetti nostetaan 20000 puheluun kuukaudessa.</w:t>
      </w:r>
    </w:p>
    <w:p w14:paraId="58B7BDA7" w14:textId="77777777" w:rsidR="000E48CE" w:rsidRDefault="00FF4C4E">
      <w:pPr>
        <w:pStyle w:val="P68B1DB1-Normal4"/>
        <w:spacing w:before="120" w:after="120" w:line="240" w:lineRule="auto"/>
        <w:ind w:left="709"/>
        <w:jc w:val="both"/>
        <w:rPr>
          <w:rFonts w:eastAsia="Calibri" w:cs="Times New Roman"/>
          <w:noProof/>
        </w:rPr>
      </w:pPr>
      <w:r>
        <w:rPr>
          <w:noProof/>
        </w:rPr>
        <w:t>2) kyberturvallisuuden teollisen ekosysteemin edistäminen. Tämä osa toimenpiteestä sisältää erityistoimia, jotka koskevat kansalline</w:t>
      </w:r>
      <w:r>
        <w:rPr>
          <w:noProof/>
        </w:rPr>
        <w:t>n kyberturvallisuusala alan uusien yritysten perustamiseksi, kasvattamiseksi ja kehittämiseksi; kyberturvallisuusalan T &amp; K &amp; I-toiminta, joka mahdollistaa korkean lisäarvon ratkaisujen ja palvelujen kehittämisen; koulutetaan ja kehitetään lahjakkuuksia al</w:t>
      </w:r>
      <w:r>
        <w:rPr>
          <w:noProof/>
        </w:rPr>
        <w:t>an ammattilaisten täyttämättömään kysyntään vastaamiseksi. Lisäksi siinä säädetään kyberturvallisuusinfrastruktuurin kehittämisen demonstraatiokeskuksen perustamisesta ja uusien kyberturvallisuuspalvelujen, kuten testauslaboratorioiden ja kyberturvallisuus</w:t>
      </w:r>
      <w:r>
        <w:rPr>
          <w:noProof/>
        </w:rPr>
        <w:t>hyökkäysten simulaattoreiden, perustamisesta sekä kyberturvallisuusmerkkisertifikaattien kehittämisestä. 3)Kansainvälisen kyberturvallisuuskeskuksen perustaminen alan vauhdittamiseksi Euroopassa osallistumalla aktiivisesti kyberturvallisuuskeskusten euroop</w:t>
      </w:r>
      <w:r>
        <w:rPr>
          <w:noProof/>
        </w:rPr>
        <w:t>palaiseen verkostoon. Tähän sisältyy eurooppalaisen osaamiskeskuksen peilikeskuksen (ERCC) peilikeskuksen käynnistäminen.</w:t>
      </w:r>
    </w:p>
    <w:p w14:paraId="1BF3A708" w14:textId="77777777" w:rsidR="000E48CE" w:rsidRDefault="00FF4C4E">
      <w:pPr>
        <w:pStyle w:val="P68B1DB1-Normal4"/>
        <w:spacing w:after="0" w:line="240" w:lineRule="auto"/>
        <w:rPr>
          <w:rFonts w:eastAsia="Calibri" w:cs="Times New Roman"/>
          <w:noProof/>
        </w:rPr>
      </w:pPr>
      <w:r>
        <w:rPr>
          <w:noProof/>
        </w:rPr>
        <w:t xml:space="preserve">Investoinnin toteutus saatetaan päätökseen viimeistään 30. kesäkuuta 2026. </w:t>
      </w:r>
    </w:p>
    <w:p w14:paraId="6EED76DD" w14:textId="77777777" w:rsidR="000E48CE" w:rsidRDefault="00FF4C4E">
      <w:pPr>
        <w:pStyle w:val="P68B1DB1-Normal6"/>
        <w:spacing w:before="120" w:after="120" w:line="240" w:lineRule="auto"/>
        <w:jc w:val="both"/>
        <w:rPr>
          <w:rFonts w:cs="Times New Roman"/>
          <w:noProof/>
        </w:rPr>
      </w:pPr>
      <w:r>
        <w:rPr>
          <w:noProof/>
        </w:rPr>
        <w:t>Investointi 8 (C15.I8) – PERTE-siru: Tieteellisen ja tekno</w:t>
      </w:r>
      <w:r>
        <w:rPr>
          <w:noProof/>
        </w:rPr>
        <w:t>logisen ekosysteemin vahvistaminen. Paremmat suunnitteluvalmiudet</w:t>
      </w:r>
    </w:p>
    <w:p w14:paraId="26F5EB1B" w14:textId="137DA6B5" w:rsidR="000E48CE" w:rsidRDefault="00FF4C4E">
      <w:pPr>
        <w:pStyle w:val="P68B1DB1-Normal4"/>
        <w:spacing w:before="120" w:after="120" w:line="240" w:lineRule="auto"/>
        <w:jc w:val="both"/>
        <w:rPr>
          <w:rFonts w:cs="Times New Roman"/>
          <w:noProof/>
        </w:rPr>
      </w:pPr>
      <w:r>
        <w:rPr>
          <w:noProof/>
        </w:rPr>
        <w:t>Toimenpide on osa PERTE-sirua, joka on strateginen aloite, jonka tavoitteena on kehittää mikroelektroniikka- ja puolijohdeteollisuuden tieteellisiä, suunnittelu- ja tuotantovalmiuksia Espanj</w:t>
      </w:r>
      <w:r>
        <w:rPr>
          <w:noProof/>
        </w:rPr>
        <w:t>assa. Näillä investoinneilla vahvistetaan puolijohdeteollisuuden tieteellistä ja teknologista ekosysteemiä keskittymällä tutkimuksen, kehittämisen ja innovoinnin kehittämiseen koko alalla, mukaan lukien puhtaan tilan infrastruktuurin luominen ja parantamin</w:t>
      </w:r>
      <w:r>
        <w:rPr>
          <w:noProof/>
        </w:rPr>
        <w:t>en, lahjakkuuksien luominen ja houkutteleminen tai tiettyjen alojen, kuten integroidun fotoniikka- ja RISC-V-teknologian, vahvistaminen.</w:t>
      </w:r>
    </w:p>
    <w:p w14:paraId="43493729" w14:textId="52D4B4C3" w:rsidR="000E48CE" w:rsidRDefault="00FF4C4E">
      <w:pPr>
        <w:pStyle w:val="P68B1DB1-Normal4"/>
        <w:spacing w:before="120" w:after="120" w:line="240" w:lineRule="auto"/>
        <w:jc w:val="both"/>
        <w:rPr>
          <w:rFonts w:cs="Times New Roman"/>
          <w:noProof/>
        </w:rPr>
      </w:pPr>
      <w:r>
        <w:rPr>
          <w:noProof/>
        </w:rPr>
        <w:t>Tästä investoinnista tuettavilla hankkeilla on edistettävä ainakin osittain yhtä tai useampaa seuraavista toimintalinjo</w:t>
      </w:r>
      <w:r>
        <w:rPr>
          <w:noProof/>
        </w:rPr>
        <w:t>ista:</w:t>
      </w:r>
    </w:p>
    <w:p w14:paraId="6AD5FD41" w14:textId="77777777" w:rsidR="000E48CE" w:rsidRDefault="00FF4C4E">
      <w:pPr>
        <w:pStyle w:val="P68B1DB1-ListParagraph7"/>
        <w:numPr>
          <w:ilvl w:val="0"/>
          <w:numId w:val="631"/>
        </w:numPr>
        <w:spacing w:before="120" w:after="120" w:line="240" w:lineRule="auto"/>
        <w:rPr>
          <w:rFonts w:cs="Times New Roman"/>
          <w:noProof/>
        </w:rPr>
      </w:pPr>
      <w:r>
        <w:rPr>
          <w:noProof/>
        </w:rPr>
        <w:t>Toimi 1. Huipputason mikroprosessoreja ja vaihtoehtoisia arkkitehtuureja koskevan T &amp; K &amp; I-toiminnan kehittäminen.</w:t>
      </w:r>
    </w:p>
    <w:p w14:paraId="2E618CE4" w14:textId="77777777" w:rsidR="000E48CE" w:rsidRDefault="00FF4C4E">
      <w:pPr>
        <w:pStyle w:val="P68B1DB1-ListParagraph7"/>
        <w:numPr>
          <w:ilvl w:val="0"/>
          <w:numId w:val="631"/>
        </w:numPr>
        <w:spacing w:before="120" w:after="120" w:line="240" w:lineRule="auto"/>
        <w:rPr>
          <w:rFonts w:cs="Times New Roman"/>
          <w:noProof/>
        </w:rPr>
      </w:pPr>
      <w:r>
        <w:rPr>
          <w:noProof/>
        </w:rPr>
        <w:t>Toimi 2. Fotoniikan T &amp; K &amp; I-toiminnan kehittäminen</w:t>
      </w:r>
    </w:p>
    <w:p w14:paraId="6F66DE6B" w14:textId="77777777" w:rsidR="000E48CE" w:rsidRDefault="00FF4C4E">
      <w:pPr>
        <w:pStyle w:val="P68B1DB1-ListParagraph7"/>
        <w:numPr>
          <w:ilvl w:val="0"/>
          <w:numId w:val="631"/>
        </w:numPr>
        <w:spacing w:before="120" w:after="120" w:line="240" w:lineRule="auto"/>
        <w:rPr>
          <w:rFonts w:cs="Times New Roman"/>
          <w:noProof/>
        </w:rPr>
      </w:pPr>
      <w:r>
        <w:rPr>
          <w:noProof/>
        </w:rPr>
        <w:t xml:space="preserve">Toimi 3. Mikroelektroniikkaa ja viestintäteknologiaa koskevalle lPCEI:lle (IPCEI </w:t>
      </w:r>
      <w:r>
        <w:rPr>
          <w:noProof/>
        </w:rPr>
        <w:t>ME-TC) myönnettävä rahoitus</w:t>
      </w:r>
    </w:p>
    <w:p w14:paraId="586F95AC" w14:textId="77777777" w:rsidR="000E48CE" w:rsidRDefault="00FF4C4E">
      <w:pPr>
        <w:pStyle w:val="P68B1DB1-ListParagraph7"/>
        <w:numPr>
          <w:ilvl w:val="0"/>
          <w:numId w:val="631"/>
        </w:numPr>
        <w:spacing w:before="120" w:after="120" w:line="240" w:lineRule="auto"/>
        <w:rPr>
          <w:rFonts w:cs="Times New Roman"/>
          <w:noProof/>
        </w:rPr>
      </w:pPr>
      <w:r>
        <w:rPr>
          <w:noProof/>
        </w:rPr>
        <w:t>Toimi 4. Yritysten perustaminen huipputason mikroprosessorien ja vaihtoehtoisten arkkitehtuurien suunnittelua varten.</w:t>
      </w:r>
    </w:p>
    <w:p w14:paraId="4BCDC96A" w14:textId="77777777" w:rsidR="000E48CE" w:rsidRDefault="00FF4C4E">
      <w:pPr>
        <w:pStyle w:val="P68B1DB1-ListParagraph7"/>
        <w:numPr>
          <w:ilvl w:val="0"/>
          <w:numId w:val="631"/>
        </w:numPr>
        <w:spacing w:before="120" w:after="120" w:line="240" w:lineRule="auto"/>
        <w:rPr>
          <w:rFonts w:cs="Times New Roman"/>
          <w:noProof/>
        </w:rPr>
      </w:pPr>
      <w:r>
        <w:rPr>
          <w:noProof/>
        </w:rPr>
        <w:t>Toimi 5. Pilottitestauslinjojen luominen.</w:t>
      </w:r>
    </w:p>
    <w:p w14:paraId="30B4D0DC" w14:textId="77777777" w:rsidR="000E48CE" w:rsidRDefault="00FF4C4E">
      <w:pPr>
        <w:pStyle w:val="P68B1DB1-ListParagraph7"/>
        <w:numPr>
          <w:ilvl w:val="0"/>
          <w:numId w:val="631"/>
        </w:numPr>
        <w:spacing w:before="120" w:after="120" w:line="240" w:lineRule="auto"/>
        <w:rPr>
          <w:rFonts w:cs="Times New Roman"/>
          <w:noProof/>
        </w:rPr>
      </w:pPr>
      <w:r>
        <w:rPr>
          <w:noProof/>
        </w:rPr>
        <w:t>Toimi 6. Puolijohteita käsittelevän koulutusverkoston perustaminen</w:t>
      </w:r>
    </w:p>
    <w:p w14:paraId="23BD4A3C" w14:textId="77777777" w:rsidR="000E48CE" w:rsidRDefault="00FF4C4E">
      <w:pPr>
        <w:pStyle w:val="P68B1DB1-ListParagraph7"/>
        <w:numPr>
          <w:ilvl w:val="0"/>
          <w:numId w:val="631"/>
        </w:numPr>
        <w:spacing w:before="120" w:after="120" w:line="240" w:lineRule="auto"/>
        <w:rPr>
          <w:rFonts w:cs="Times New Roman"/>
          <w:noProof/>
        </w:rPr>
      </w:pPr>
      <w:r>
        <w:rPr>
          <w:noProof/>
        </w:rPr>
        <w:t>T</w:t>
      </w:r>
      <w:r>
        <w:rPr>
          <w:noProof/>
        </w:rPr>
        <w:t xml:space="preserve">oimi 7. Niiden valmistuskapasiteetti on alle 5 nm </w:t>
      </w:r>
    </w:p>
    <w:p w14:paraId="2FD5B01F" w14:textId="77777777" w:rsidR="000E48CE" w:rsidRDefault="00FF4C4E">
      <w:pPr>
        <w:pStyle w:val="P68B1DB1-ListParagraph7"/>
        <w:numPr>
          <w:ilvl w:val="0"/>
          <w:numId w:val="631"/>
        </w:numPr>
        <w:spacing w:before="120" w:after="120" w:line="240" w:lineRule="auto"/>
        <w:rPr>
          <w:rFonts w:cs="Times New Roman"/>
          <w:noProof/>
        </w:rPr>
      </w:pPr>
      <w:r>
        <w:rPr>
          <w:noProof/>
        </w:rPr>
        <w:t xml:space="preserve">Toimi 8. Niiden valmistuskapasiteetti on yli 5 nm </w:t>
      </w:r>
    </w:p>
    <w:p w14:paraId="33D26450" w14:textId="77777777" w:rsidR="000E48CE" w:rsidRDefault="00FF4C4E">
      <w:pPr>
        <w:pStyle w:val="P68B1DB1-ListParagraph7"/>
        <w:numPr>
          <w:ilvl w:val="0"/>
          <w:numId w:val="631"/>
        </w:numPr>
        <w:spacing w:before="120" w:after="120" w:line="240" w:lineRule="auto"/>
        <w:rPr>
          <w:rFonts w:cs="Times New Roman"/>
          <w:noProof/>
        </w:rPr>
      </w:pPr>
      <w:r>
        <w:rPr>
          <w:noProof/>
        </w:rPr>
        <w:t>Toimi 9. Tieto- ja viestintätekniikan valmistuksen kannustinjärjestelmä</w:t>
      </w:r>
    </w:p>
    <w:p w14:paraId="40DE6A08" w14:textId="77777777" w:rsidR="000E48CE" w:rsidRDefault="00FF4C4E">
      <w:pPr>
        <w:pStyle w:val="P68B1DB1-Normal4"/>
        <w:spacing w:before="120" w:after="120" w:line="240" w:lineRule="auto"/>
        <w:rPr>
          <w:rFonts w:cs="Times New Roman"/>
          <w:noProof/>
        </w:rPr>
      </w:pPr>
      <w:r>
        <w:rPr>
          <w:noProof/>
        </w:rPr>
        <w:t xml:space="preserve">Investoinnin toteutus saatetaan päätökseen viimeistään 30. kesäkuuta 2026. </w:t>
      </w:r>
    </w:p>
    <w:p w14:paraId="2F9699E9" w14:textId="5DE423BE" w:rsidR="000E48CE" w:rsidRDefault="00FF4C4E">
      <w:pPr>
        <w:pStyle w:val="P68B1DB1-Normal5"/>
        <w:ind w:left="720"/>
        <w:rPr>
          <w:rFonts w:cs="Times New Roman"/>
          <w:noProof/>
        </w:rPr>
      </w:pPr>
      <w:r>
        <w:rPr>
          <w:noProof/>
        </w:rPr>
        <w:t xml:space="preserve">O.2 </w:t>
      </w:r>
      <w:r>
        <w:rPr>
          <w:noProof/>
        </w:rPr>
        <w:tab/>
        <w:t>S</w:t>
      </w:r>
      <w:r>
        <w:rPr>
          <w:noProof/>
        </w:rPr>
        <w:t>eurantaa ja täytäntöönpanoa koskevat välitavoitteet, tavoitteet, indikaattorit ja aikataulu – rahoitustuki, jota ei makseta takaisin</w:t>
      </w:r>
    </w:p>
    <w:p w14:paraId="3F9B53CA"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 on 1. helmikuuta 2020, ellei toimen kuvauksessa toisin ilmoite</w:t>
      </w:r>
      <w:r>
        <w:rPr>
          <w:i/>
          <w:noProof/>
        </w:rPr>
        <w:t>ta. Taulukossa esitetyt määrät eivät sisällä arvonlisäveroa.</w:t>
      </w:r>
    </w:p>
    <w:p w14:paraId="44EA458C" w14:textId="77777777" w:rsidR="000E48CE" w:rsidRDefault="000E48CE">
      <w:pPr>
        <w:spacing w:before="120" w:after="120" w:line="240" w:lineRule="auto"/>
        <w:jc w:val="both"/>
        <w:rPr>
          <w:rFonts w:ascii="Times New Roman" w:hAnsi="Times New Roman" w:cs="Times New Roman"/>
          <w:b/>
          <w:noProof/>
          <w:sz w:val="24"/>
          <w:u w:val="single"/>
        </w:rPr>
      </w:pPr>
    </w:p>
    <w:p w14:paraId="6A7AEB8A" w14:textId="77777777" w:rsidR="000E48CE" w:rsidRDefault="000E48CE">
      <w:pPr>
        <w:spacing w:before="120" w:after="120" w:line="240" w:lineRule="auto"/>
        <w:ind w:left="709"/>
        <w:jc w:val="both"/>
        <w:rPr>
          <w:rFonts w:ascii="Times New Roman" w:hAnsi="Times New Roman" w:cs="Times New Roman"/>
          <w:noProof/>
          <w:sz w:val="24"/>
        </w:rPr>
      </w:pPr>
    </w:p>
    <w:p w14:paraId="08AB0B9E"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306"/>
          <w:headerReference w:type="default" r:id="rId307"/>
          <w:footerReference w:type="even" r:id="rId308"/>
          <w:footerReference w:type="default" r:id="rId309"/>
          <w:headerReference w:type="first" r:id="rId310"/>
          <w:footerReference w:type="first" r:id="rId311"/>
          <w:pgSz w:w="11907" w:h="16839"/>
          <w:pgMar w:top="1134" w:right="1417" w:bottom="1134" w:left="1417" w:header="709" w:footer="709" w:gutter="0"/>
          <w:cols w:space="720"/>
          <w:docGrid w:linePitch="360"/>
        </w:sectPr>
      </w:pPr>
    </w:p>
    <w:tbl>
      <w:tblPr>
        <w:tblpPr w:leftFromText="180" w:rightFromText="180" w:vertAnchor="text" w:tblpXSpec="right"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969"/>
        <w:gridCol w:w="833"/>
        <w:gridCol w:w="2451"/>
        <w:gridCol w:w="1275"/>
        <w:gridCol w:w="709"/>
        <w:gridCol w:w="709"/>
        <w:gridCol w:w="776"/>
        <w:gridCol w:w="500"/>
        <w:gridCol w:w="708"/>
        <w:gridCol w:w="5670"/>
        <w:gridCol w:w="6"/>
      </w:tblGrid>
      <w:tr w:rsidR="000E48CE" w14:paraId="7A0188BB" w14:textId="77777777">
        <w:trPr>
          <w:trHeight w:val="309"/>
          <w:tblHeader/>
        </w:trPr>
        <w:tc>
          <w:tcPr>
            <w:tcW w:w="704"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4E950E4" w14:textId="77777777" w:rsidR="000E48CE" w:rsidRDefault="00FF4C4E">
            <w:pPr>
              <w:pStyle w:val="P68B1DB1-Normal12"/>
              <w:spacing w:after="0"/>
              <w:jc w:val="center"/>
              <w:rPr>
                <w:rFonts w:cs="Times New Roman"/>
                <w:noProof/>
              </w:rPr>
            </w:pPr>
            <w:r>
              <w:rPr>
                <w:noProof/>
              </w:rPr>
              <w:t>Määrä</w:t>
            </w:r>
          </w:p>
        </w:tc>
        <w:tc>
          <w:tcPr>
            <w:tcW w:w="969"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5D0FFEA" w14:textId="77777777" w:rsidR="000E48CE" w:rsidRDefault="00FF4C4E">
            <w:pPr>
              <w:pStyle w:val="P68B1DB1-Normal12"/>
              <w:spacing w:after="0"/>
              <w:jc w:val="center"/>
              <w:rPr>
                <w:rFonts w:cs="Times New Roman"/>
                <w:noProof/>
              </w:rPr>
            </w:pPr>
            <w:r>
              <w:rPr>
                <w:noProof/>
              </w:rPr>
              <w:t>Toimenpide</w:t>
            </w:r>
          </w:p>
        </w:tc>
        <w:tc>
          <w:tcPr>
            <w:tcW w:w="833"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DF6799D" w14:textId="77777777" w:rsidR="000E48CE" w:rsidRDefault="00FF4C4E">
            <w:pPr>
              <w:pStyle w:val="P68B1DB1-Normal13"/>
              <w:spacing w:after="0"/>
              <w:jc w:val="center"/>
              <w:rPr>
                <w:rFonts w:cs="Times New Roman"/>
                <w:b/>
                <w:noProof/>
              </w:rPr>
            </w:pPr>
            <w:r>
              <w:rPr>
                <w:b/>
                <w:noProof/>
              </w:rPr>
              <w:t>Välitavoite</w:t>
            </w:r>
            <w:r>
              <w:rPr>
                <w:noProof/>
              </w:rPr>
              <w:br/>
            </w:r>
            <w:r>
              <w:rPr>
                <w:b/>
                <w:noProof/>
              </w:rPr>
              <w:t xml:space="preserve"> /Kohde</w:t>
            </w:r>
          </w:p>
        </w:tc>
        <w:tc>
          <w:tcPr>
            <w:tcW w:w="2451"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3A4726C" w14:textId="77777777" w:rsidR="000E48CE" w:rsidRDefault="00FF4C4E">
            <w:pPr>
              <w:pStyle w:val="P68B1DB1-Normal12"/>
              <w:spacing w:after="0"/>
              <w:jc w:val="center"/>
              <w:rPr>
                <w:rFonts w:cs="Times New Roman"/>
                <w:noProof/>
              </w:rPr>
            </w:pPr>
            <w:r>
              <w:rPr>
                <w:noProof/>
              </w:rPr>
              <w:t>Nimi</w:t>
            </w:r>
          </w:p>
        </w:tc>
        <w:tc>
          <w:tcPr>
            <w:tcW w:w="1275"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66C672C6" w14:textId="77777777" w:rsidR="000E48CE" w:rsidRDefault="00FF4C4E">
            <w:pPr>
              <w:pStyle w:val="P68B1DB1-Normal12"/>
              <w:spacing w:after="0"/>
              <w:jc w:val="center"/>
              <w:rPr>
                <w:rFonts w:cs="Times New Roman"/>
                <w:noProof/>
              </w:rPr>
            </w:pPr>
            <w:r>
              <w:rPr>
                <w:noProof/>
              </w:rPr>
              <w:t>Välitavoitteiden laadullinen indikaattori</w:t>
            </w:r>
          </w:p>
        </w:tc>
        <w:tc>
          <w:tcPr>
            <w:tcW w:w="219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2DF217" w14:textId="77777777" w:rsidR="000E48CE" w:rsidRDefault="00FF4C4E">
            <w:pPr>
              <w:pStyle w:val="P68B1DB1-Normal12"/>
              <w:spacing w:after="0"/>
              <w:jc w:val="center"/>
              <w:rPr>
                <w:rFonts w:cs="Times New Roman"/>
                <w:noProof/>
              </w:rPr>
            </w:pPr>
            <w:r>
              <w:rPr>
                <w:noProof/>
              </w:rPr>
              <w:t>Määrällinen indikaattori tavoitteelle</w:t>
            </w:r>
          </w:p>
        </w:tc>
        <w:tc>
          <w:tcPr>
            <w:tcW w:w="120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AD463C" w14:textId="77777777" w:rsidR="000E48CE" w:rsidRDefault="00FF4C4E">
            <w:pPr>
              <w:pStyle w:val="P68B1DB1-Normal12"/>
              <w:spacing w:after="0"/>
              <w:jc w:val="center"/>
              <w:rPr>
                <w:rFonts w:cs="Times New Roman"/>
                <w:noProof/>
              </w:rPr>
            </w:pPr>
            <w:r>
              <w:rPr>
                <w:noProof/>
              </w:rPr>
              <w:t>Aika</w:t>
            </w:r>
          </w:p>
        </w:tc>
        <w:tc>
          <w:tcPr>
            <w:tcW w:w="5676" w:type="dxa"/>
            <w:gridSpan w:val="2"/>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116C122A" w14:textId="77777777" w:rsidR="000E48CE" w:rsidRDefault="00FF4C4E">
            <w:pPr>
              <w:pStyle w:val="P68B1DB1-Normal12"/>
              <w:spacing w:after="0"/>
              <w:jc w:val="center"/>
              <w:rPr>
                <w:rFonts w:cs="Times New Roman"/>
                <w:noProof/>
              </w:rPr>
            </w:pPr>
            <w:r>
              <w:rPr>
                <w:noProof/>
              </w:rPr>
              <w:t>Kunkin välitavoitteen ja tavoitteen kuvaus</w:t>
            </w:r>
          </w:p>
        </w:tc>
      </w:tr>
      <w:tr w:rsidR="000E48CE" w14:paraId="4067725C" w14:textId="77777777">
        <w:trPr>
          <w:trHeight w:val="309"/>
          <w:tblHeader/>
        </w:trPr>
        <w:tc>
          <w:tcPr>
            <w:tcW w:w="704" w:type="dxa"/>
            <w:tcBorders>
              <w:top w:val="nil"/>
              <w:left w:val="single" w:sz="4" w:space="0" w:color="auto"/>
              <w:bottom w:val="single" w:sz="4" w:space="0" w:color="auto"/>
              <w:right w:val="single" w:sz="4" w:space="0" w:color="auto"/>
            </w:tcBorders>
            <w:shd w:val="clear" w:color="auto" w:fill="C6D9F1" w:themeFill="text2" w:themeFillTint="33"/>
            <w:noWrap/>
          </w:tcPr>
          <w:p w14:paraId="27E765F8" w14:textId="77777777" w:rsidR="000E48CE" w:rsidRDefault="000E48CE">
            <w:pPr>
              <w:spacing w:after="0"/>
              <w:jc w:val="center"/>
              <w:rPr>
                <w:rFonts w:ascii="Times New Roman" w:hAnsi="Times New Roman" w:cs="Times New Roman"/>
                <w:b/>
                <w:noProof/>
                <w:sz w:val="18"/>
              </w:rPr>
            </w:pPr>
          </w:p>
        </w:tc>
        <w:tc>
          <w:tcPr>
            <w:tcW w:w="969" w:type="dxa"/>
            <w:tcBorders>
              <w:top w:val="nil"/>
              <w:left w:val="single" w:sz="4" w:space="0" w:color="auto"/>
              <w:bottom w:val="single" w:sz="4" w:space="0" w:color="auto"/>
              <w:right w:val="single" w:sz="4" w:space="0" w:color="auto"/>
            </w:tcBorders>
            <w:shd w:val="clear" w:color="auto" w:fill="C6D9F1" w:themeFill="text2" w:themeFillTint="33"/>
            <w:noWrap/>
          </w:tcPr>
          <w:p w14:paraId="733FB4A1" w14:textId="77777777" w:rsidR="000E48CE" w:rsidRDefault="000E48CE">
            <w:pPr>
              <w:spacing w:after="0"/>
              <w:jc w:val="center"/>
              <w:rPr>
                <w:rFonts w:ascii="Times New Roman" w:hAnsi="Times New Roman" w:cs="Times New Roman"/>
                <w:b/>
                <w:noProof/>
                <w:sz w:val="18"/>
              </w:rPr>
            </w:pPr>
          </w:p>
        </w:tc>
        <w:tc>
          <w:tcPr>
            <w:tcW w:w="833" w:type="dxa"/>
            <w:tcBorders>
              <w:top w:val="nil"/>
              <w:left w:val="single" w:sz="4" w:space="0" w:color="auto"/>
              <w:bottom w:val="single" w:sz="4" w:space="0" w:color="auto"/>
              <w:right w:val="single" w:sz="4" w:space="0" w:color="auto"/>
            </w:tcBorders>
            <w:shd w:val="clear" w:color="auto" w:fill="C6D9F1" w:themeFill="text2" w:themeFillTint="33"/>
            <w:noWrap/>
          </w:tcPr>
          <w:p w14:paraId="6E018703" w14:textId="77777777" w:rsidR="000E48CE" w:rsidRDefault="000E48CE">
            <w:pPr>
              <w:spacing w:after="0"/>
              <w:jc w:val="center"/>
              <w:rPr>
                <w:rFonts w:ascii="Times New Roman" w:hAnsi="Times New Roman" w:cs="Times New Roman"/>
                <w:b/>
                <w:noProof/>
                <w:sz w:val="18"/>
              </w:rPr>
            </w:pPr>
          </w:p>
        </w:tc>
        <w:tc>
          <w:tcPr>
            <w:tcW w:w="2451" w:type="dxa"/>
            <w:tcBorders>
              <w:top w:val="nil"/>
              <w:left w:val="single" w:sz="4" w:space="0" w:color="auto"/>
              <w:bottom w:val="single" w:sz="4" w:space="0" w:color="auto"/>
              <w:right w:val="single" w:sz="4" w:space="0" w:color="auto"/>
            </w:tcBorders>
            <w:shd w:val="clear" w:color="auto" w:fill="C6D9F1" w:themeFill="text2" w:themeFillTint="33"/>
            <w:noWrap/>
          </w:tcPr>
          <w:p w14:paraId="4BA5681D" w14:textId="77777777" w:rsidR="000E48CE" w:rsidRDefault="000E48CE">
            <w:pPr>
              <w:spacing w:after="0"/>
              <w:rPr>
                <w:rFonts w:ascii="Times New Roman" w:hAnsi="Times New Roman" w:cs="Times New Roman"/>
                <w:b/>
                <w:noProof/>
                <w:sz w:val="18"/>
              </w:rPr>
            </w:pPr>
          </w:p>
        </w:tc>
        <w:tc>
          <w:tcPr>
            <w:tcW w:w="1275" w:type="dxa"/>
            <w:tcBorders>
              <w:top w:val="nil"/>
              <w:left w:val="single" w:sz="4" w:space="0" w:color="auto"/>
              <w:bottom w:val="single" w:sz="4" w:space="0" w:color="auto"/>
              <w:right w:val="single" w:sz="4" w:space="0" w:color="auto"/>
            </w:tcBorders>
            <w:shd w:val="clear" w:color="auto" w:fill="C6D9F1" w:themeFill="text2" w:themeFillTint="33"/>
            <w:noWrap/>
          </w:tcPr>
          <w:p w14:paraId="2397FB46" w14:textId="77777777" w:rsidR="000E48CE" w:rsidRDefault="000E48CE">
            <w:pPr>
              <w:spacing w:after="0"/>
              <w:jc w:val="center"/>
              <w:rPr>
                <w:rFonts w:ascii="Times New Roman" w:hAnsi="Times New Roman" w:cs="Times New Roman"/>
                <w:b/>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188F84FF" w14:textId="77777777" w:rsidR="000E48CE" w:rsidRDefault="00FF4C4E">
            <w:pPr>
              <w:pStyle w:val="P68B1DB1-Normal12"/>
              <w:spacing w:after="0"/>
              <w:jc w:val="center"/>
              <w:rPr>
                <w:rFonts w:cs="Times New Roman"/>
                <w:noProof/>
              </w:rPr>
            </w:pPr>
            <w:r>
              <w:rPr>
                <w:noProof/>
              </w:rPr>
              <w:t>Yksikkö</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4EDF8F0" w14:textId="77777777" w:rsidR="000E48CE" w:rsidRDefault="00FF4C4E">
            <w:pPr>
              <w:pStyle w:val="P68B1DB1-Normal12"/>
              <w:spacing w:after="0"/>
              <w:jc w:val="center"/>
              <w:rPr>
                <w:rFonts w:cs="Times New Roman"/>
                <w:noProof/>
              </w:rPr>
            </w:pPr>
            <w:r>
              <w:rPr>
                <w:noProof/>
              </w:rPr>
              <w:t>Perusviiva</w:t>
            </w:r>
          </w:p>
        </w:tc>
        <w:tc>
          <w:tcPr>
            <w:tcW w:w="7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873E1E8" w14:textId="77777777" w:rsidR="000E48CE" w:rsidRDefault="00FF4C4E">
            <w:pPr>
              <w:pStyle w:val="P68B1DB1-Normal12"/>
              <w:spacing w:after="0"/>
              <w:jc w:val="center"/>
              <w:rPr>
                <w:rFonts w:cs="Times New Roman"/>
                <w:noProof/>
              </w:rPr>
            </w:pPr>
            <w:r>
              <w:rPr>
                <w:noProof/>
              </w:rPr>
              <w:t>Päämäärä</w:t>
            </w:r>
          </w:p>
        </w:tc>
        <w:tc>
          <w:tcPr>
            <w:tcW w:w="5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20AE6F81" w14:textId="77777777" w:rsidR="000E48CE" w:rsidRDefault="00FF4C4E">
            <w:pPr>
              <w:pStyle w:val="P68B1DB1-Normal12"/>
              <w:spacing w:after="0"/>
              <w:jc w:val="center"/>
              <w:rPr>
                <w:rFonts w:cs="Times New Roman"/>
                <w:noProof/>
              </w:rPr>
            </w:pPr>
            <w:r>
              <w:rPr>
                <w:noProof/>
              </w:rPr>
              <w:t>Q</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EF862C1" w14:textId="77777777" w:rsidR="000E48CE" w:rsidRDefault="00FF4C4E">
            <w:pPr>
              <w:pStyle w:val="P68B1DB1-Normal12"/>
              <w:spacing w:after="0"/>
              <w:jc w:val="center"/>
              <w:rPr>
                <w:rFonts w:cs="Times New Roman"/>
                <w:noProof/>
              </w:rPr>
            </w:pPr>
            <w:r>
              <w:rPr>
                <w:noProof/>
              </w:rPr>
              <w:t>Vuosi</w:t>
            </w:r>
          </w:p>
        </w:tc>
        <w:tc>
          <w:tcPr>
            <w:tcW w:w="5676" w:type="dxa"/>
            <w:gridSpan w:val="2"/>
            <w:tcBorders>
              <w:top w:val="nil"/>
              <w:left w:val="single" w:sz="4" w:space="0" w:color="auto"/>
              <w:bottom w:val="single" w:sz="4" w:space="0" w:color="auto"/>
              <w:right w:val="single" w:sz="4" w:space="0" w:color="auto"/>
            </w:tcBorders>
            <w:shd w:val="clear" w:color="auto" w:fill="C6D9F1" w:themeFill="text2" w:themeFillTint="33"/>
            <w:noWrap/>
          </w:tcPr>
          <w:p w14:paraId="79F17D79" w14:textId="77777777" w:rsidR="000E48CE" w:rsidRDefault="000E48CE">
            <w:pPr>
              <w:spacing w:after="0"/>
              <w:rPr>
                <w:rFonts w:ascii="Times New Roman" w:hAnsi="Times New Roman" w:cs="Times New Roman"/>
                <w:b/>
                <w:noProof/>
                <w:sz w:val="18"/>
              </w:rPr>
            </w:pPr>
          </w:p>
        </w:tc>
      </w:tr>
      <w:tr w:rsidR="000E48CE" w14:paraId="1A64BBD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B9B005F" w14:textId="77777777" w:rsidR="000E48CE" w:rsidRDefault="00FF4C4E">
            <w:pPr>
              <w:pStyle w:val="P68B1DB1-Normal13"/>
              <w:spacing w:after="0"/>
              <w:jc w:val="center"/>
              <w:rPr>
                <w:rFonts w:eastAsia="Times New Roman" w:cs="Times New Roman"/>
                <w:noProof/>
              </w:rPr>
            </w:pPr>
            <w:r>
              <w:rPr>
                <w:noProof/>
              </w:rPr>
              <w:t>229</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46A2B41" w14:textId="77777777" w:rsidR="000E48CE" w:rsidRDefault="00FF4C4E">
            <w:pPr>
              <w:pStyle w:val="P68B1DB1-Normal13"/>
              <w:spacing w:after="0"/>
              <w:jc w:val="center"/>
              <w:rPr>
                <w:rFonts w:eastAsia="Times New Roman" w:cs="Times New Roman"/>
                <w:noProof/>
              </w:rPr>
            </w:pPr>
            <w:r>
              <w:rPr>
                <w:noProof/>
              </w:rPr>
              <w:t>C15</w:t>
            </w:r>
            <w:r>
              <w:rPr>
                <w:noProof/>
              </w:rPr>
              <w:t>.R1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80A4849" w14:textId="77777777" w:rsidR="000E48CE" w:rsidRDefault="00FF4C4E">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D83F309" w14:textId="77777777" w:rsidR="000E48CE" w:rsidRDefault="00FF4C4E">
            <w:pPr>
              <w:pStyle w:val="P68B1DB1-Normal13"/>
              <w:spacing w:after="0"/>
              <w:rPr>
                <w:rFonts w:eastAsia="Times New Roman" w:cs="Times New Roman"/>
                <w:noProof/>
              </w:rPr>
            </w:pPr>
            <w:r>
              <w:rPr>
                <w:noProof/>
              </w:rPr>
              <w:t>Televiestintälain voimaantulo</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A0F63ED" w14:textId="77777777" w:rsidR="000E48CE" w:rsidRDefault="00FF4C4E">
            <w:pPr>
              <w:pStyle w:val="P68B1DB1-Normal13"/>
              <w:spacing w:after="0"/>
              <w:jc w:val="center"/>
              <w:rPr>
                <w:rFonts w:eastAsia="Times New Roman" w:cs="Times New Roman"/>
                <w:noProof/>
              </w:rPr>
            </w:pPr>
            <w:r>
              <w:rPr>
                <w:noProof/>
              </w:rPr>
              <w:t xml:space="preserve">Lain voimaantulon osoittava lain säännös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B797C1F" w14:textId="77777777" w:rsidR="000E48CE" w:rsidRDefault="00FF4C4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E9BA939" w14:textId="77777777" w:rsidR="000E48CE" w:rsidRDefault="00FF4C4E">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24B7C234" w14:textId="77777777" w:rsidR="000E48CE" w:rsidRDefault="00FF4C4E">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8A21E35" w14:textId="77777777" w:rsidR="000E48CE" w:rsidRDefault="00FF4C4E">
            <w:pPr>
              <w:pStyle w:val="P68B1DB1-Normal13"/>
              <w:spacing w:after="0"/>
              <w:jc w:val="center"/>
              <w:rPr>
                <w:rFonts w:eastAsia="Times New Roman" w:cs="Times New Roman"/>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E6D9E83" w14:textId="77777777" w:rsidR="000E48CE" w:rsidRDefault="00FF4C4E">
            <w:pPr>
              <w:pStyle w:val="P68B1DB1-Normal13"/>
              <w:spacing w:after="0"/>
              <w:jc w:val="center"/>
              <w:rPr>
                <w:rFonts w:eastAsia="Times New Roman"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0E66D777" w14:textId="77777777" w:rsidR="000E48CE" w:rsidRDefault="00FF4C4E">
            <w:pPr>
              <w:pStyle w:val="P68B1DB1-Normal13"/>
              <w:spacing w:after="0"/>
              <w:rPr>
                <w:rFonts w:eastAsia="Times New Roman" w:cs="Times New Roman"/>
                <w:noProof/>
              </w:rPr>
            </w:pPr>
            <w:r>
              <w:rPr>
                <w:noProof/>
              </w:rPr>
              <w:t xml:space="preserve">Televiestintälailla on myös saatettava osaksi kansallista lainsäädäntöä eurooppalaisesta sähköisen viestinnän säännöstöstä annettu direktiivi 2018/1972.  Lakiin on </w:t>
            </w:r>
            <w:r>
              <w:rPr>
                <w:noProof/>
              </w:rPr>
              <w:t>sisällytettävä myös EU:n yhteenliitettävyysvälineistöä koskevat suositukset, jotka on sisällytettävä Espanjan oikeudellisen kehyksen mukaiseen lakiin. Sen jälkeen, kun eurooppalaisesta sähköisen viestinnän säännöstöstä annettu direktiivi 2018/1972 on saate</w:t>
            </w:r>
            <w:r>
              <w:rPr>
                <w:noProof/>
              </w:rPr>
              <w:t>ttu osaksi kansallista lainsäädäntöä, lakiin on sisällyttävä merenalaisten kaapeleiden ja IXP/datakeskusten inventaariota koskevat määräykset; sekä yksinkertaistettu verojärjestelmä verkon käyttöönottoa koskevia paikallisia veroja varten; ja iii) keskitety</w:t>
            </w:r>
            <w:r>
              <w:rPr>
                <w:noProof/>
              </w:rPr>
              <w:t>n yhteyspisteen perustaminen eri hallintotasojen myöntämien toimilupien ja lupien soveltamiseksi verkkojen käyttöönottoa varten.</w:t>
            </w:r>
          </w:p>
        </w:tc>
      </w:tr>
      <w:tr w:rsidR="000E48CE" w14:paraId="7BB81DD8"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586BEC9" w14:textId="77777777" w:rsidR="000E48CE" w:rsidRDefault="00FF4C4E">
            <w:pPr>
              <w:pStyle w:val="P68B1DB1-Normal13"/>
              <w:spacing w:after="0"/>
              <w:jc w:val="center"/>
              <w:rPr>
                <w:rFonts w:eastAsia="Times New Roman" w:cs="Times New Roman"/>
                <w:noProof/>
              </w:rPr>
            </w:pPr>
            <w:r>
              <w:rPr>
                <w:noProof/>
              </w:rPr>
              <w:t>230</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D51E7C8" w14:textId="77777777" w:rsidR="000E48CE" w:rsidRDefault="00FF4C4E">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A35B76E" w14:textId="77777777" w:rsidR="000E48CE" w:rsidRDefault="00FF4C4E">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9CAAD49" w14:textId="77777777" w:rsidR="000E48CE" w:rsidRDefault="00FF4C4E">
            <w:pPr>
              <w:pStyle w:val="P68B1DB1-Normal13"/>
              <w:spacing w:after="0"/>
              <w:rPr>
                <w:rFonts w:eastAsia="Times New Roman" w:cs="Times New Roman"/>
                <w:noProof/>
              </w:rPr>
            </w:pPr>
            <w:r>
              <w:rPr>
                <w:noProof/>
              </w:rPr>
              <w:t>Vuoden 2025 digitaalinen Espanjan suunnitelma ja strategia 5G-teknologian edistämiseksi</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F669771" w14:textId="77777777" w:rsidR="000E48CE" w:rsidRDefault="00FF4C4E">
            <w:pPr>
              <w:pStyle w:val="P68B1DB1-Normal13"/>
              <w:spacing w:after="0"/>
              <w:jc w:val="center"/>
              <w:rPr>
                <w:rFonts w:eastAsia="Times New Roman" w:cs="Times New Roman"/>
                <w:noProof/>
              </w:rPr>
            </w:pPr>
            <w:r>
              <w:rPr>
                <w:noProof/>
              </w:rPr>
              <w:t>Julkaiseminen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DCCC6A9" w14:textId="77777777" w:rsidR="000E48CE" w:rsidRDefault="00FF4C4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3EDF791" w14:textId="77777777" w:rsidR="000E48CE" w:rsidRDefault="00FF4C4E">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B3F5C07" w14:textId="77777777" w:rsidR="000E48CE" w:rsidRDefault="00FF4C4E">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8BA5706" w14:textId="77777777" w:rsidR="000E48CE" w:rsidRDefault="00FF4C4E">
            <w:pPr>
              <w:pStyle w:val="P68B1DB1-Normal13"/>
              <w:spacing w:after="0"/>
              <w:jc w:val="center"/>
              <w:rPr>
                <w:rFonts w:eastAsia="Times New Roman"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FA98355" w14:textId="77777777" w:rsidR="000E48CE" w:rsidRDefault="00FF4C4E">
            <w:pPr>
              <w:pStyle w:val="P68B1DB1-Normal13"/>
              <w:spacing w:after="0"/>
              <w:jc w:val="center"/>
              <w:rPr>
                <w:rFonts w:eastAsia="Times New Roman" w:cs="Times New Roman"/>
                <w:noProof/>
              </w:rPr>
            </w:pPr>
            <w:r>
              <w:rPr>
                <w:noProof/>
              </w:rPr>
              <w:t>2020</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5201AFC" w14:textId="49F236F4" w:rsidR="000E48CE" w:rsidRDefault="00FF4C4E">
            <w:pPr>
              <w:pStyle w:val="P68B1DB1-Normal13"/>
              <w:spacing w:after="0"/>
              <w:rPr>
                <w:rFonts w:eastAsia="Times New Roman" w:cs="Times New Roman"/>
                <w:noProof/>
              </w:rPr>
            </w:pPr>
            <w:r>
              <w:rPr>
                <w:noProof/>
              </w:rPr>
              <w:t>Vuoden 2025 digitaalinen Espanja -suunnitelman julkaiseminen ja ministerineuvoston hyväksyntä 5G-teknologian edistämisstrategialle</w:t>
            </w:r>
          </w:p>
        </w:tc>
      </w:tr>
      <w:tr w:rsidR="000E48CE" w14:paraId="36906E2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15DE1AD" w14:textId="77777777" w:rsidR="000E48CE" w:rsidRDefault="00FF4C4E">
            <w:pPr>
              <w:pStyle w:val="P68B1DB1-Normal13"/>
              <w:spacing w:after="0"/>
              <w:jc w:val="center"/>
              <w:rPr>
                <w:rFonts w:eastAsia="Times New Roman" w:cs="Times New Roman"/>
                <w:noProof/>
              </w:rPr>
            </w:pPr>
            <w:r>
              <w:rPr>
                <w:noProof/>
              </w:rPr>
              <w:t>231</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9A78D93" w14:textId="77777777" w:rsidR="000E48CE" w:rsidRDefault="00FF4C4E">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BEF3789" w14:textId="77777777" w:rsidR="000E48CE" w:rsidRDefault="00FF4C4E">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3327BA2" w14:textId="77777777" w:rsidR="000E48CE" w:rsidRDefault="00FF4C4E">
            <w:pPr>
              <w:pStyle w:val="P68B1DB1-Normal13"/>
              <w:spacing w:after="0"/>
              <w:rPr>
                <w:rFonts w:eastAsia="Times New Roman" w:cs="Times New Roman"/>
                <w:noProof/>
              </w:rPr>
            </w:pPr>
            <w:r>
              <w:rPr>
                <w:noProof/>
              </w:rPr>
              <w:t>700 MHz:n taajuusalueen vapauttaminen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2BDA8CE" w14:textId="77777777" w:rsidR="000E48CE" w:rsidRDefault="00FF4C4E">
            <w:pPr>
              <w:pStyle w:val="P68B1DB1-Normal13"/>
              <w:spacing w:after="0"/>
              <w:jc w:val="center"/>
              <w:rPr>
                <w:rFonts w:eastAsia="Times New Roman" w:cs="Times New Roman"/>
                <w:noProof/>
              </w:rPr>
            </w:pPr>
            <w:r>
              <w:rPr>
                <w:noProof/>
              </w:rPr>
              <w:t>Ilmoitus Euroopan komissiolle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101AE19" w14:textId="77777777" w:rsidR="000E48CE" w:rsidRDefault="00FF4C4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880B599" w14:textId="77777777" w:rsidR="000E48CE" w:rsidRDefault="00FF4C4E">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3CC3711F" w14:textId="77777777" w:rsidR="000E48CE" w:rsidRDefault="00FF4C4E">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0D77C98" w14:textId="77777777" w:rsidR="000E48CE" w:rsidRDefault="00FF4C4E">
            <w:pPr>
              <w:pStyle w:val="P68B1DB1-Normal13"/>
              <w:spacing w:after="0"/>
              <w:jc w:val="center"/>
              <w:rPr>
                <w:rFonts w:eastAsia="Times New Roman"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5D38DE3" w14:textId="77777777" w:rsidR="000E48CE" w:rsidRDefault="00FF4C4E">
            <w:pPr>
              <w:pStyle w:val="P68B1DB1-Normal13"/>
              <w:spacing w:after="0"/>
              <w:jc w:val="center"/>
              <w:rPr>
                <w:rFonts w:eastAsia="Times New Roman" w:cs="Times New Roman"/>
                <w:noProof/>
              </w:rPr>
            </w:pPr>
            <w:r>
              <w:rPr>
                <w:noProof/>
              </w:rPr>
              <w:t>2020</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F71FEC" w14:textId="77777777" w:rsidR="000E48CE" w:rsidRDefault="00FF4C4E">
            <w:pPr>
              <w:pStyle w:val="P68B1DB1-Normal13"/>
              <w:spacing w:after="0"/>
              <w:rPr>
                <w:rFonts w:eastAsia="Times New Roman" w:cs="Times New Roman"/>
                <w:noProof/>
              </w:rPr>
            </w:pPr>
            <w:r>
              <w:rPr>
                <w:noProof/>
              </w:rPr>
              <w:t xml:space="preserve">700 MHz:n taajuusalueen </w:t>
            </w:r>
            <w:r>
              <w:rPr>
                <w:noProof/>
              </w:rPr>
              <w:t>vapauttamisprosessin loppuun saattaminen 470–790 MHz:n taajuusalueen käytöstä unionissa 17 päivänä toukokuuta 2017 annetun Euroopan parlamentin ja neuvoston päätöksen (EU) 2017/899 mukaisesti</w:t>
            </w:r>
          </w:p>
        </w:tc>
      </w:tr>
      <w:tr w:rsidR="000E48CE" w14:paraId="07A1718C"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DDE008A" w14:textId="77777777" w:rsidR="000E48CE" w:rsidRDefault="00FF4C4E">
            <w:pPr>
              <w:pStyle w:val="P68B1DB1-Normal13"/>
              <w:spacing w:after="0"/>
              <w:jc w:val="center"/>
              <w:rPr>
                <w:rFonts w:eastAsia="Times New Roman" w:cs="Times New Roman"/>
                <w:noProof/>
              </w:rPr>
            </w:pPr>
            <w:r>
              <w:rPr>
                <w:noProof/>
              </w:rPr>
              <w:t>232</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8C7A772" w14:textId="77777777" w:rsidR="000E48CE" w:rsidRDefault="00FF4C4E">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E6F76D1" w14:textId="77777777" w:rsidR="000E48CE" w:rsidRDefault="00FF4C4E">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52DDE74" w14:textId="77777777" w:rsidR="000E48CE" w:rsidRDefault="00FF4C4E">
            <w:pPr>
              <w:pStyle w:val="P68B1DB1-Normal13"/>
              <w:spacing w:after="0"/>
              <w:rPr>
                <w:rFonts w:eastAsia="Times New Roman" w:cs="Times New Roman"/>
                <w:noProof/>
              </w:rPr>
            </w:pPr>
            <w:r>
              <w:rPr>
                <w:noProof/>
              </w:rPr>
              <w:t>700 MHz:n taajuusalueen osoittaminen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2BBC00A0" w14:textId="77777777" w:rsidR="000E48CE" w:rsidRDefault="00FF4C4E">
            <w:pPr>
              <w:pStyle w:val="P68B1DB1-Normal13"/>
              <w:spacing w:after="0"/>
              <w:jc w:val="center"/>
              <w:rPr>
                <w:rFonts w:eastAsia="Times New Roman" w:cs="Times New Roman"/>
                <w:noProof/>
              </w:rPr>
            </w:pPr>
            <w:r>
              <w:rPr>
                <w:noProof/>
              </w:rPr>
              <w:t>Julkaiseminen</w:t>
            </w:r>
            <w:r>
              <w:rPr>
                <w:noProof/>
              </w:rPr>
              <w:t xml:space="preserve"> virallisessa lehdessä</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670D6F6" w14:textId="77777777" w:rsidR="000E48CE" w:rsidRDefault="00FF4C4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1F3773B" w14:textId="77777777" w:rsidR="000E48CE" w:rsidRDefault="00FF4C4E">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431E06F" w14:textId="77777777" w:rsidR="000E48CE" w:rsidRDefault="00FF4C4E">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87BDF89" w14:textId="77777777" w:rsidR="000E48CE" w:rsidRDefault="00FF4C4E">
            <w:pPr>
              <w:pStyle w:val="P68B1DB1-Normal13"/>
              <w:spacing w:after="0"/>
              <w:jc w:val="center"/>
              <w:rPr>
                <w:rFonts w:eastAsia="Times New Roman"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33B631C" w14:textId="77777777" w:rsidR="000E48CE" w:rsidRDefault="00FF4C4E">
            <w:pPr>
              <w:pStyle w:val="P68B1DB1-Normal13"/>
              <w:spacing w:after="0"/>
              <w:jc w:val="center"/>
              <w:rPr>
                <w:rFonts w:eastAsia="Times New Roman" w:cs="Times New Roman"/>
                <w:noProof/>
              </w:rPr>
            </w:pPr>
            <w:r>
              <w:rPr>
                <w:noProof/>
              </w:rPr>
              <w:t>2021</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85608EF" w14:textId="77777777" w:rsidR="000E48CE" w:rsidRDefault="00FF4C4E">
            <w:pPr>
              <w:pStyle w:val="P68B1DB1-Normal13"/>
              <w:spacing w:after="0"/>
              <w:rPr>
                <w:rFonts w:eastAsia="Times New Roman" w:cs="Times New Roman"/>
                <w:noProof/>
              </w:rPr>
            </w:pPr>
            <w:r>
              <w:rPr>
                <w:noProof/>
              </w:rPr>
              <w:t xml:space="preserve">700 MHz:n taajuusalueen myöntämisen julkaiseminen Euroopan unionin virallisessa lehdessä huutokaupan tuloksena </w:t>
            </w:r>
          </w:p>
        </w:tc>
      </w:tr>
      <w:tr w:rsidR="000E48CE" w14:paraId="0983D9D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78DCE97" w14:textId="77777777" w:rsidR="000E48CE" w:rsidRDefault="00FF4C4E">
            <w:pPr>
              <w:pStyle w:val="P68B1DB1-Normal13"/>
              <w:spacing w:after="0"/>
              <w:jc w:val="center"/>
              <w:rPr>
                <w:rFonts w:eastAsia="Times New Roman" w:cs="Times New Roman"/>
                <w:noProof/>
              </w:rPr>
            </w:pPr>
            <w:r>
              <w:rPr>
                <w:noProof/>
              </w:rPr>
              <w:t>233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763B62AD" w14:textId="77777777" w:rsidR="000E48CE" w:rsidRDefault="00FF4C4E">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F456F4C" w14:textId="77777777" w:rsidR="000E48CE" w:rsidRDefault="00FF4C4E">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5CB988B" w14:textId="77777777" w:rsidR="000E48CE" w:rsidRDefault="00FF4C4E">
            <w:pPr>
              <w:pStyle w:val="P68B1DB1-Normal13"/>
              <w:spacing w:after="0"/>
              <w:rPr>
                <w:rFonts w:eastAsia="Times New Roman" w:cs="Times New Roman"/>
                <w:noProof/>
              </w:rPr>
            </w:pPr>
            <w:r>
              <w:rPr>
                <w:noProof/>
              </w:rPr>
              <w:t>5G-taajuuksien verotuksen keventämistä koskevan säädöksen voimaantulo</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EA7CF7B" w14:textId="77777777" w:rsidR="000E48CE" w:rsidRDefault="00FF4C4E">
            <w:pPr>
              <w:pStyle w:val="P68B1DB1-Normal13"/>
              <w:spacing w:after="0"/>
              <w:jc w:val="center"/>
              <w:rPr>
                <w:rFonts w:eastAsia="Times New Roman" w:cs="Times New Roman"/>
                <w:noProof/>
              </w:rPr>
            </w:pPr>
            <w:r>
              <w:rPr>
                <w:noProof/>
              </w:rPr>
              <w:t xml:space="preserve">Säädöksen </w:t>
            </w:r>
            <w:r>
              <w:rPr>
                <w:noProof/>
              </w:rPr>
              <w:t>voimaantulosäännös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6CF8A5C" w14:textId="77777777" w:rsidR="000E48CE" w:rsidRDefault="00FF4C4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2FBBBD2" w14:textId="77777777" w:rsidR="000E48CE" w:rsidRDefault="00FF4C4E">
            <w:pPr>
              <w:pStyle w:val="P68B1DB1-Normal13"/>
              <w:spacing w:after="0"/>
              <w:jc w:val="right"/>
              <w:rPr>
                <w:rFonts w:eastAsia="Times New Roman" w:cs="Times New Roman"/>
                <w:noProof/>
              </w:rPr>
            </w:pPr>
            <w:r>
              <w:rPr>
                <w:noProof/>
              </w:rPr>
              <w:t>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E613D4F" w14:textId="77777777" w:rsidR="000E48CE" w:rsidRDefault="00FF4C4E">
            <w:pPr>
              <w:pStyle w:val="P68B1DB1-Normal13"/>
              <w:spacing w:after="0"/>
              <w:jc w:val="right"/>
              <w:rPr>
                <w:rFonts w:eastAsia="Times New Roman" w:cs="Times New Roman"/>
                <w:noProof/>
              </w:rPr>
            </w:pPr>
            <w:r>
              <w:rPr>
                <w:noProof/>
              </w:rPr>
              <w:t>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1379C742" w14:textId="77777777" w:rsidR="000E48CE" w:rsidRDefault="00FF4C4E">
            <w:pPr>
              <w:pStyle w:val="P68B1DB1-Normal13"/>
              <w:spacing w:after="0"/>
              <w:jc w:val="center"/>
              <w:rPr>
                <w:rFonts w:eastAsia="Times New Roman"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1DDF45C" w14:textId="77777777" w:rsidR="000E48CE" w:rsidRDefault="00FF4C4E">
            <w:pPr>
              <w:pStyle w:val="P68B1DB1-Normal13"/>
              <w:spacing w:after="0"/>
              <w:jc w:val="center"/>
              <w:rPr>
                <w:rFonts w:eastAsia="Times New Roman" w:cs="Times New Roman"/>
                <w:noProof/>
              </w:rPr>
            </w:pPr>
            <w:r>
              <w:rPr>
                <w:noProof/>
              </w:rPr>
              <w:t>2021</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AF44EE6" w14:textId="77777777" w:rsidR="000E48CE" w:rsidRDefault="00FF4C4E">
            <w:pPr>
              <w:pStyle w:val="P68B1DB1-Normal13"/>
              <w:spacing w:after="0"/>
              <w:rPr>
                <w:rFonts w:eastAsia="Times New Roman" w:cs="Times New Roman"/>
                <w:noProof/>
              </w:rPr>
            </w:pPr>
            <w:r>
              <w:rPr>
                <w:noProof/>
              </w:rPr>
              <w:t>Hyväksytään 5G-taajuuksien verotuksen keventämistä koskeva säädös 5G:n käyttöönoton nopeuttamiseksi ja määritellään 5G:n käyttöönoton vastaava nopeuttaminen kunkin edunsaajan osalta. Säädöksessä on vahvistettava hankkeen to</w:t>
            </w:r>
            <w:r>
              <w:rPr>
                <w:noProof/>
              </w:rPr>
              <w:t>teuttamista varten vaadittavat oikeudelliset ja sääntelyvaiheet. </w:t>
            </w:r>
          </w:p>
        </w:tc>
      </w:tr>
      <w:tr w:rsidR="000E48CE" w14:paraId="63723CF5"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2482854" w14:textId="77777777" w:rsidR="000E48CE" w:rsidRDefault="00FF4C4E">
            <w:pPr>
              <w:pStyle w:val="P68B1DB1-Normal13"/>
              <w:spacing w:after="0"/>
              <w:jc w:val="center"/>
              <w:rPr>
                <w:rFonts w:cs="Times New Roman"/>
                <w:noProof/>
              </w:rPr>
            </w:pPr>
            <w:r>
              <w:rPr>
                <w:noProof/>
              </w:rPr>
              <w:t>234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53FEC97" w14:textId="77777777" w:rsidR="000E48CE" w:rsidRDefault="00FF4C4E">
            <w:pPr>
              <w:pStyle w:val="P68B1DB1-Normal13"/>
              <w:spacing w:after="0"/>
              <w:jc w:val="center"/>
              <w:rPr>
                <w:rFonts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0644109" w14:textId="77777777" w:rsidR="000E48CE" w:rsidRDefault="00FF4C4E">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11FCA7D" w14:textId="77777777" w:rsidR="000E48CE" w:rsidRDefault="00FF4C4E">
            <w:pPr>
              <w:pStyle w:val="P68B1DB1-Normal13"/>
              <w:spacing w:after="0"/>
              <w:rPr>
                <w:rFonts w:cs="Times New Roman"/>
                <w:noProof/>
              </w:rPr>
            </w:pPr>
            <w:r>
              <w:rPr>
                <w:noProof/>
              </w:rPr>
              <w:t>26 GHz:n taajuusalueen osoittaminen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BA7FD8C" w14:textId="77777777" w:rsidR="000E48CE" w:rsidRDefault="00FF4C4E">
            <w:pPr>
              <w:pStyle w:val="P68B1DB1-Normal13"/>
              <w:spacing w:after="0"/>
              <w:jc w:val="center"/>
              <w:rPr>
                <w:rFonts w:cs="Times New Roman"/>
                <w:noProof/>
              </w:rPr>
            </w:pPr>
            <w:r>
              <w:rPr>
                <w:noProof/>
              </w:rPr>
              <w:t>Julkaiseminen virallisessa lehdessä</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6B69910" w14:textId="77777777" w:rsidR="000E48CE" w:rsidRDefault="00FF4C4E">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61AACF0" w14:textId="77777777" w:rsidR="000E48CE" w:rsidRDefault="00FF4C4E">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86960E1" w14:textId="77777777" w:rsidR="000E48CE" w:rsidRDefault="00FF4C4E">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DB694F1" w14:textId="77777777" w:rsidR="000E48CE" w:rsidRDefault="00FF4C4E">
            <w:pPr>
              <w:pStyle w:val="P68B1DB1-Normal13"/>
              <w:spacing w:after="0"/>
              <w:jc w:val="center"/>
              <w:rPr>
                <w:rFonts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07CCF78" w14:textId="77777777" w:rsidR="000E48CE" w:rsidRDefault="00FF4C4E">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301A6B" w14:textId="77777777" w:rsidR="000E48CE" w:rsidRDefault="00FF4C4E">
            <w:pPr>
              <w:pStyle w:val="P68B1DB1-Normal13"/>
              <w:spacing w:after="0" w:line="256" w:lineRule="auto"/>
              <w:rPr>
                <w:rFonts w:cs="Times New Roman"/>
                <w:noProof/>
              </w:rPr>
            </w:pPr>
            <w:r>
              <w:rPr>
                <w:noProof/>
              </w:rPr>
              <w:t xml:space="preserve">26 GHz:n taajuusalueen käyttöoikeuden julkaiseminen Euroopan unionin virallisessa lehdessä huutokaupan tuloksena </w:t>
            </w:r>
          </w:p>
        </w:tc>
      </w:tr>
      <w:tr w:rsidR="000E48CE" w14:paraId="63A9F23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309964C9" w14:textId="77777777" w:rsidR="000E48CE" w:rsidRDefault="00FF4C4E">
            <w:pPr>
              <w:pStyle w:val="P68B1DB1-Normal13"/>
              <w:spacing w:after="0"/>
              <w:jc w:val="center"/>
              <w:rPr>
                <w:rFonts w:cs="Times New Roman"/>
                <w:noProof/>
              </w:rPr>
            </w:pPr>
            <w:r>
              <w:rPr>
                <w:noProof/>
              </w:rPr>
              <w:t>235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07BC4E70" w14:textId="77777777" w:rsidR="000E48CE" w:rsidRDefault="00FF4C4E">
            <w:pPr>
              <w:pStyle w:val="P68B1DB1-Normal13"/>
              <w:spacing w:after="0"/>
              <w:jc w:val="center"/>
              <w:rPr>
                <w:rFonts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E19C2E0" w14:textId="77777777" w:rsidR="000E48CE" w:rsidRDefault="00FF4C4E">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D560151" w14:textId="77777777" w:rsidR="000E48CE" w:rsidRDefault="00FF4C4E">
            <w:pPr>
              <w:pStyle w:val="P68B1DB1-Normal13"/>
              <w:spacing w:after="0"/>
              <w:rPr>
                <w:rFonts w:cs="Times New Roman"/>
                <w:noProof/>
              </w:rPr>
            </w:pPr>
            <w:r>
              <w:rPr>
                <w:noProof/>
              </w:rPr>
              <w:t xml:space="preserve">5G-kyberturvallisuuslain voimaantulo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77D3029" w14:textId="77777777" w:rsidR="000E48CE" w:rsidRDefault="00FF4C4E">
            <w:pPr>
              <w:pStyle w:val="P68B1DB1-Normal13"/>
              <w:spacing w:after="0"/>
              <w:jc w:val="center"/>
              <w:rPr>
                <w:rFonts w:cs="Times New Roman"/>
                <w:noProof/>
              </w:rPr>
            </w:pPr>
            <w:r>
              <w:rPr>
                <w:noProof/>
              </w:rPr>
              <w:t xml:space="preserve">5G-kyberturvallisuuslain voimaantulo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8AD3D0E" w14:textId="77777777" w:rsidR="000E48CE" w:rsidRDefault="00FF4C4E">
            <w:pPr>
              <w:pStyle w:val="P68B1DB1-Normal13"/>
              <w:spacing w:after="0"/>
              <w:jc w:val="center"/>
              <w:rPr>
                <w:rFonts w:cs="Times New Roman"/>
                <w:noProof/>
              </w:rPr>
            </w:pPr>
            <w:r>
              <w:rPr>
                <w:noProof/>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90C29B6" w14:textId="77777777" w:rsidR="000E48CE" w:rsidRDefault="00FF4C4E">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2A90CF9" w14:textId="77777777" w:rsidR="000E48CE" w:rsidRDefault="00FF4C4E">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A638ED6" w14:textId="77777777" w:rsidR="000E48CE" w:rsidRDefault="00FF4C4E">
            <w:pPr>
              <w:pStyle w:val="P68B1DB1-Normal13"/>
              <w:spacing w:after="0"/>
              <w:jc w:val="center"/>
              <w:rPr>
                <w:rFonts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86B948B" w14:textId="77777777" w:rsidR="000E48CE" w:rsidRDefault="00FF4C4E">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22E4215" w14:textId="77777777" w:rsidR="000E48CE" w:rsidRDefault="00FF4C4E">
            <w:pPr>
              <w:pStyle w:val="P68B1DB1-Normal13"/>
              <w:spacing w:after="0" w:line="256" w:lineRule="auto"/>
              <w:rPr>
                <w:rFonts w:cs="Times New Roman"/>
                <w:noProof/>
              </w:rPr>
            </w:pPr>
            <w:r>
              <w:rPr>
                <w:noProof/>
              </w:rPr>
              <w:t xml:space="preserve">5G-kyberturvallisuuslakiin on </w:t>
            </w:r>
            <w:r>
              <w:rPr>
                <w:noProof/>
              </w:rPr>
              <w:t>sisällytetty suositus 5G-kyberturvallisuutta koskevasta EU:n välineistöstä ja pannaan se täytäntöön.</w:t>
            </w:r>
          </w:p>
        </w:tc>
      </w:tr>
      <w:tr w:rsidR="000E48CE" w14:paraId="5E7774A0"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9BD6ED0" w14:textId="77777777" w:rsidR="000E48CE" w:rsidRDefault="00FF4C4E">
            <w:pPr>
              <w:pStyle w:val="P68B1DB1-Normal13"/>
              <w:spacing w:after="0"/>
              <w:jc w:val="center"/>
              <w:rPr>
                <w:rFonts w:cs="Times New Roman"/>
                <w:noProof/>
              </w:rPr>
            </w:pPr>
            <w:r>
              <w:rPr>
                <w:noProof/>
              </w:rPr>
              <w:t>236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350E4B3" w14:textId="77777777" w:rsidR="000E48CE" w:rsidRDefault="00FF4C4E">
            <w:pPr>
              <w:pStyle w:val="P68B1DB1-Normal13"/>
              <w:spacing w:after="0"/>
              <w:jc w:val="center"/>
              <w:rPr>
                <w:rFonts w:cs="Times New Roman"/>
                <w:noProof/>
              </w:rPr>
            </w:pPr>
            <w:r>
              <w:rPr>
                <w:noProof/>
              </w:rPr>
              <w:t>C15.I1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1627747" w14:textId="77777777" w:rsidR="000E48CE" w:rsidRDefault="00FF4C4E">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986A6E1" w14:textId="77777777" w:rsidR="000E48CE" w:rsidRDefault="00FF4C4E">
            <w:pPr>
              <w:pStyle w:val="P68B1DB1-Normal13"/>
              <w:spacing w:after="0"/>
              <w:rPr>
                <w:rFonts w:cs="Times New Roman"/>
                <w:noProof/>
              </w:rPr>
            </w:pPr>
            <w:r>
              <w:rPr>
                <w:noProof/>
              </w:rPr>
              <w:t>Ultranopean laajakaistan käyttöönotto: palkinto</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DBCAF2D" w14:textId="77777777" w:rsidR="000E48CE" w:rsidRDefault="00FF4C4E">
            <w:pPr>
              <w:pStyle w:val="P68B1DB1-Normal13"/>
              <w:spacing w:after="0"/>
              <w:jc w:val="center"/>
              <w:rPr>
                <w:rFonts w:cs="Times New Roman"/>
                <w:noProof/>
              </w:rPr>
            </w:pPr>
            <w:r>
              <w:rPr>
                <w:noProof/>
              </w:rPr>
              <w:t>Hankkeiden myöntäminen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A9915FC" w14:textId="77777777" w:rsidR="000E48CE" w:rsidRDefault="00FF4C4E">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DED26B5" w14:textId="77777777" w:rsidR="000E48CE" w:rsidRDefault="00FF4C4E">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0DF2D682" w14:textId="77777777" w:rsidR="000E48CE" w:rsidRDefault="00FF4C4E">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81BEA4E" w14:textId="77777777" w:rsidR="000E48CE" w:rsidRDefault="00FF4C4E">
            <w:pPr>
              <w:pStyle w:val="P68B1DB1-Normal13"/>
              <w:spacing w:after="0"/>
              <w:jc w:val="center"/>
              <w:rPr>
                <w:rFonts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1F88B34" w14:textId="77777777" w:rsidR="000E48CE" w:rsidRDefault="00FF4C4E">
            <w:pPr>
              <w:pStyle w:val="P68B1DB1-Normal13"/>
              <w:spacing w:after="0"/>
              <w:jc w:val="center"/>
              <w:rPr>
                <w:rFonts w:cs="Times New Roman"/>
                <w:noProof/>
              </w:rPr>
            </w:pPr>
            <w:r>
              <w:rPr>
                <w:noProof/>
              </w:rPr>
              <w:t>2023</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7010DB3" w14:textId="45276CA3" w:rsidR="000E48CE" w:rsidRDefault="00FF4C4E">
            <w:pPr>
              <w:pStyle w:val="P68B1DB1-Normal13"/>
              <w:spacing w:after="0" w:line="256" w:lineRule="auto"/>
              <w:rPr>
                <w:rFonts w:cs="Times New Roman"/>
                <w:noProof/>
              </w:rPr>
            </w:pPr>
            <w:r>
              <w:rPr>
                <w:noProof/>
              </w:rPr>
              <w:t xml:space="preserve">Kaikkien sopimusten ja avustusten myöntäminen </w:t>
            </w:r>
            <w:r>
              <w:rPr>
                <w:noProof/>
              </w:rPr>
              <w:t>(kokonaisbudjetti 752000000 euroa) ja varojen siirto</w:t>
            </w:r>
            <w:r>
              <w:rPr>
                <w:noProof/>
                <w:shd w:val="clear" w:color="auto" w:fill="E6E6E6"/>
              </w:rPr>
              <w:t xml:space="preserve"> </w:t>
            </w:r>
            <w:r>
              <w:rPr>
                <w:noProof/>
              </w:rPr>
              <w:t>sellaisten toimien toteuttamiseksi, joilla tarjotaan ultranopeita laajakaistayhteyksiä valkoisella ja harmaalla alueella, jonka symmetrinen nopeus on 300 Mbit/s ja joka voidaan päivittää symmetriseen 1 G</w:t>
            </w:r>
            <w:r>
              <w:rPr>
                <w:noProof/>
              </w:rPr>
              <w:t>bit/s:iin, lukuun ottamatta syrjäisiä maaseutualueita, jotka tarvitsevat erityishankkeita ja joilla taataan vähintään 100 Mbit/s.</w:t>
            </w:r>
          </w:p>
        </w:tc>
      </w:tr>
      <w:tr w:rsidR="000E48CE" w14:paraId="4B8434B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7C20DD8" w14:textId="77777777" w:rsidR="000E48CE" w:rsidRDefault="00FF4C4E">
            <w:pPr>
              <w:pStyle w:val="P68B1DB1-Normal13"/>
              <w:spacing w:after="0"/>
              <w:jc w:val="center"/>
              <w:rPr>
                <w:rFonts w:cs="Times New Roman"/>
                <w:noProof/>
              </w:rPr>
            </w:pPr>
            <w:r>
              <w:rPr>
                <w:noProof/>
              </w:rPr>
              <w:t>237</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A99EAA3" w14:textId="77777777" w:rsidR="000E48CE" w:rsidRDefault="00FF4C4E">
            <w:pPr>
              <w:pStyle w:val="P68B1DB1-Normal13"/>
              <w:spacing w:after="0"/>
              <w:jc w:val="center"/>
              <w:rPr>
                <w:rFonts w:cs="Times New Roman"/>
                <w:noProof/>
              </w:rPr>
            </w:pPr>
            <w:r>
              <w:rPr>
                <w:noProof/>
              </w:rPr>
              <w:t>C15.I1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DCB60E1" w14:textId="77777777" w:rsidR="000E48CE" w:rsidRDefault="00FF4C4E">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5E5086A1" w14:textId="77777777" w:rsidR="000E48CE" w:rsidRDefault="00FF4C4E">
            <w:pPr>
              <w:pStyle w:val="P68B1DB1-Normal13"/>
              <w:spacing w:after="0"/>
              <w:rPr>
                <w:rFonts w:cs="Times New Roman"/>
                <w:noProof/>
              </w:rPr>
            </w:pPr>
            <w:r>
              <w:rPr>
                <w:noProof/>
              </w:rPr>
              <w:t>Ultranopean laajakaistan käyttöönotto: Hankkeen loppuun saattaminen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249C819" w14:textId="77777777" w:rsidR="000E48CE" w:rsidRDefault="00FF4C4E">
            <w:pPr>
              <w:pStyle w:val="P68B1DB1-Normal13"/>
              <w:spacing w:after="0"/>
              <w:jc w:val="center"/>
              <w:rPr>
                <w:rFonts w:cs="Times New Roman"/>
                <w:noProof/>
              </w:rPr>
            </w:pPr>
            <w:r>
              <w:rPr>
                <w:noProof/>
              </w:rPr>
              <w:t>Hyväksyttyjen hankkeiden loppuun saattaminen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38E395A" w14:textId="77777777" w:rsidR="000E48CE" w:rsidRDefault="00FF4C4E">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23B1C78" w14:textId="77777777" w:rsidR="000E48CE" w:rsidRDefault="00FF4C4E">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20BFFB4A" w14:textId="77777777" w:rsidR="000E48CE" w:rsidRDefault="00FF4C4E">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00181B9B" w14:textId="77777777" w:rsidR="000E48CE" w:rsidRDefault="00FF4C4E">
            <w:pPr>
              <w:pStyle w:val="P68B1DB1-Normal13"/>
              <w:spacing w:after="0"/>
              <w:jc w:val="center"/>
              <w:rPr>
                <w:rFonts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7E7B4FE" w14:textId="77777777" w:rsidR="000E48CE" w:rsidRDefault="00FF4C4E">
            <w:pPr>
              <w:pStyle w:val="P68B1DB1-Normal13"/>
              <w:spacing w:after="0"/>
              <w:jc w:val="center"/>
              <w:rPr>
                <w:rFonts w:cs="Times New Roman"/>
                <w:noProof/>
              </w:rPr>
            </w:pPr>
            <w:r>
              <w:rPr>
                <w:noProof/>
              </w:rPr>
              <w:t>2025</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F174A24" w14:textId="77777777" w:rsidR="000E48CE" w:rsidRDefault="00FF4C4E">
            <w:pPr>
              <w:pStyle w:val="P68B1DB1-Normal13"/>
              <w:spacing w:after="0" w:line="256" w:lineRule="auto"/>
              <w:rPr>
                <w:rFonts w:cs="Times New Roman"/>
                <w:noProof/>
              </w:rPr>
            </w:pPr>
            <w:r>
              <w:rPr>
                <w:noProof/>
              </w:rPr>
              <w:t>Ultranopean laajakaistan käyttöönottoa koskevien hankkeiden loppuun saattaminen ohjelman myöntämisessä vahvistettujen kriteerien mukaisesti (Milestone #236).</w:t>
            </w:r>
          </w:p>
        </w:tc>
      </w:tr>
      <w:tr w:rsidR="000E48CE" w14:paraId="11EB6E5C"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9E686E7" w14:textId="77777777" w:rsidR="000E48CE" w:rsidRDefault="00FF4C4E">
            <w:pPr>
              <w:pStyle w:val="P68B1DB1-Normal13"/>
              <w:spacing w:after="0" w:line="256" w:lineRule="auto"/>
              <w:jc w:val="center"/>
              <w:rPr>
                <w:rFonts w:cs="Times New Roman"/>
                <w:noProof/>
              </w:rPr>
            </w:pPr>
            <w:r>
              <w:rPr>
                <w:noProof/>
              </w:rPr>
              <w:t>238</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0BD21786" w14:textId="77777777" w:rsidR="000E48CE" w:rsidRDefault="00FF4C4E">
            <w:pPr>
              <w:pStyle w:val="P68B1DB1-Normal13"/>
              <w:spacing w:after="0" w:line="256" w:lineRule="auto"/>
              <w:jc w:val="center"/>
              <w:rPr>
                <w:rFonts w:cs="Times New Roman"/>
                <w:noProof/>
              </w:rPr>
            </w:pPr>
            <w:r>
              <w:rPr>
                <w:noProof/>
              </w:rPr>
              <w:t>C15.I2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5DD2DB9" w14:textId="77777777" w:rsidR="000E48CE" w:rsidRDefault="00FF4C4E">
            <w:pPr>
              <w:pStyle w:val="P68B1DB1-Normal13"/>
              <w:spacing w:after="0" w:line="256" w:lineRule="auto"/>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12FD4F7" w14:textId="77777777" w:rsidR="000E48CE" w:rsidRDefault="00FF4C4E">
            <w:pPr>
              <w:pStyle w:val="P68B1DB1-Normal13"/>
              <w:spacing w:after="0" w:line="256" w:lineRule="auto"/>
              <w:rPr>
                <w:rFonts w:cs="Times New Roman"/>
                <w:noProof/>
              </w:rPr>
            </w:pPr>
            <w:r>
              <w:rPr>
                <w:noProof/>
              </w:rPr>
              <w:t xml:space="preserve">Yhteyksien parantaminen keskeisissä keskuksissa ja keskeisillä aloilla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30A01DE" w14:textId="77777777" w:rsidR="000E48CE" w:rsidRDefault="00FF4C4E">
            <w:pPr>
              <w:pStyle w:val="P68B1DB1-Normal13"/>
              <w:spacing w:after="0" w:line="256" w:lineRule="auto"/>
              <w:jc w:val="center"/>
              <w:rPr>
                <w:rFonts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1F657F9" w14:textId="77777777" w:rsidR="000E48CE" w:rsidRDefault="00FF4C4E">
            <w:pPr>
              <w:pStyle w:val="P68B1DB1-Normal13"/>
              <w:spacing w:after="0" w:line="256" w:lineRule="auto"/>
              <w:jc w:val="center"/>
              <w:rPr>
                <w:rFonts w:cs="Times New Roman"/>
                <w:noProof/>
              </w:rPr>
            </w:pPr>
            <w:r>
              <w:rPr>
                <w:noProof/>
              </w:rPr>
              <w:t>Määrä</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299B962" w14:textId="77777777" w:rsidR="000E48CE" w:rsidRDefault="00FF4C4E">
            <w:pPr>
              <w:pStyle w:val="P68B1DB1-Normal13"/>
              <w:spacing w:after="0" w:line="256" w:lineRule="auto"/>
              <w:jc w:val="center"/>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E69D1D8" w14:textId="77777777" w:rsidR="000E48CE" w:rsidRDefault="00FF4C4E">
            <w:pPr>
              <w:pStyle w:val="P68B1DB1-Normal13"/>
              <w:spacing w:after="0" w:line="256" w:lineRule="auto"/>
              <w:jc w:val="center"/>
              <w:rPr>
                <w:rFonts w:cs="Times New Roman"/>
                <w:noProof/>
              </w:rPr>
            </w:pPr>
            <w:r>
              <w:rPr>
                <w:noProof/>
              </w:rPr>
              <w:t>16 100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CA4453A" w14:textId="77777777" w:rsidR="000E48CE" w:rsidRDefault="00FF4C4E">
            <w:pPr>
              <w:pStyle w:val="P68B1DB1-Normal13"/>
              <w:spacing w:after="0" w:line="256" w:lineRule="auto"/>
              <w:jc w:val="center"/>
              <w:rPr>
                <w:rFonts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500A25A" w14:textId="77777777" w:rsidR="000E48CE" w:rsidRDefault="00FF4C4E">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34614045" w14:textId="147F9437" w:rsidR="000E48CE" w:rsidRDefault="00FF4C4E">
            <w:pPr>
              <w:pStyle w:val="P68B1DB1-Normal13"/>
              <w:spacing w:after="0" w:line="256" w:lineRule="auto"/>
              <w:rPr>
                <w:rFonts w:cs="Times New Roman"/>
                <w:noProof/>
              </w:rPr>
            </w:pPr>
            <w:r>
              <w:rPr>
                <w:noProof/>
              </w:rPr>
              <w:t>Niiden yhteisöjen lukumäärä, jotka on päivitetty 1-Gabitt-yhteysnopeuteen:</w:t>
            </w:r>
            <w:r>
              <w:rPr>
                <w:noProof/>
              </w:rPr>
              <w:br/>
              <w:t xml:space="preserve">vähintään 9000 julkisia keskuksia ja palveluja, kuten julkisia terveyskeskuksia, </w:t>
            </w:r>
            <w:r>
              <w:rPr>
                <w:noProof/>
              </w:rPr>
              <w:t>koulutuskeskuksia ja T &amp; K-keskuksia;</w:t>
            </w:r>
            <w:r>
              <w:rPr>
                <w:noProof/>
              </w:rPr>
              <w:br/>
              <w:t>— vähintään 1600 pientä teollisuus- ja liikealuetta;</w:t>
            </w:r>
            <w:r>
              <w:rPr>
                <w:noProof/>
              </w:rPr>
              <w:br/>
              <w:t>— vähintään 5500 yhteyttä digitointihankkeisiin (terveys, maatalouselintarvikkeet, liikkuvuus, matkailu, teollisuus, kauppa jne.).</w:t>
            </w:r>
          </w:p>
        </w:tc>
      </w:tr>
      <w:tr w:rsidR="000E48CE" w14:paraId="411FCCE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FF58A5A" w14:textId="77777777" w:rsidR="000E48CE" w:rsidRDefault="00FF4C4E">
            <w:pPr>
              <w:pStyle w:val="P68B1DB1-Normal13"/>
              <w:spacing w:after="0" w:line="256" w:lineRule="auto"/>
              <w:jc w:val="center"/>
              <w:rPr>
                <w:rFonts w:cs="Times New Roman"/>
                <w:noProof/>
              </w:rPr>
            </w:pPr>
            <w:r>
              <w:rPr>
                <w:noProof/>
              </w:rPr>
              <w:t>239</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9C96ABF" w14:textId="77777777" w:rsidR="000E48CE" w:rsidRDefault="00FF4C4E">
            <w:pPr>
              <w:pStyle w:val="P68B1DB1-Normal13"/>
              <w:spacing w:after="0" w:line="256" w:lineRule="auto"/>
              <w:jc w:val="center"/>
              <w:rPr>
                <w:rFonts w:cs="Times New Roman"/>
                <w:noProof/>
              </w:rPr>
            </w:pPr>
            <w:r>
              <w:rPr>
                <w:noProof/>
              </w:rPr>
              <w:t>C15.I3</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F11093D" w14:textId="77777777" w:rsidR="000E48CE" w:rsidRDefault="00FF4C4E">
            <w:pPr>
              <w:pStyle w:val="P68B1DB1-Normal13"/>
              <w:spacing w:after="0" w:line="256" w:lineRule="auto"/>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B9C398E" w14:textId="77777777" w:rsidR="000E48CE" w:rsidRDefault="00FF4C4E">
            <w:pPr>
              <w:pStyle w:val="P68B1DB1-Normal13"/>
              <w:spacing w:after="0" w:line="256" w:lineRule="auto"/>
              <w:rPr>
                <w:rFonts w:cs="Times New Roman"/>
                <w:noProof/>
              </w:rPr>
            </w:pPr>
            <w:r>
              <w:rPr>
                <w:noProof/>
              </w:rPr>
              <w:t xml:space="preserve">Verkkoyhteyssetelit pk-yrityksille ja heikossa asemassa oleville ryhmille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358F8F7" w14:textId="77777777" w:rsidR="000E48CE" w:rsidRDefault="00FF4C4E">
            <w:pPr>
              <w:pStyle w:val="P68B1DB1-Normal13"/>
              <w:spacing w:after="0" w:line="256" w:lineRule="auto"/>
              <w:jc w:val="center"/>
              <w:rPr>
                <w:rFonts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75409A6" w14:textId="77777777" w:rsidR="000E48CE" w:rsidRDefault="00FF4C4E">
            <w:pPr>
              <w:pStyle w:val="P68B1DB1-Normal13"/>
              <w:spacing w:after="0" w:line="256" w:lineRule="auto"/>
              <w:rPr>
                <w:rFonts w:cs="Times New Roman"/>
                <w:noProof/>
              </w:rPr>
            </w:pPr>
            <w:r>
              <w:rPr>
                <w:noProof/>
              </w:rPr>
              <w:t>Määrä</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03110E" w14:textId="77777777" w:rsidR="000E48CE" w:rsidRDefault="00FF4C4E">
            <w:pPr>
              <w:pStyle w:val="P68B1DB1-Normal13"/>
              <w:spacing w:after="0" w:line="256" w:lineRule="auto"/>
              <w:jc w:val="center"/>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6B20134" w14:textId="77777777" w:rsidR="000E48CE" w:rsidRDefault="00FF4C4E">
            <w:pPr>
              <w:pStyle w:val="P68B1DB1-Normal13"/>
              <w:spacing w:after="0" w:line="256" w:lineRule="auto"/>
              <w:jc w:val="center"/>
              <w:rPr>
                <w:rFonts w:cs="Times New Roman"/>
                <w:noProof/>
              </w:rPr>
            </w:pPr>
            <w:r>
              <w:rPr>
                <w:noProof/>
              </w:rPr>
              <w:t>136 000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25E50DCC" w14:textId="77777777" w:rsidR="000E48CE" w:rsidRDefault="00FF4C4E">
            <w:pPr>
              <w:pStyle w:val="P68B1DB1-Normal13"/>
              <w:spacing w:after="0" w:line="256" w:lineRule="auto"/>
              <w:jc w:val="center"/>
              <w:rPr>
                <w:rFonts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F4EFFC8" w14:textId="583E4ACB" w:rsidR="000E48CE" w:rsidRDefault="00FF4C4E">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4B79018" w14:textId="77777777" w:rsidR="000E48CE" w:rsidRDefault="00FF4C4E">
            <w:pPr>
              <w:pStyle w:val="P68B1DB1-Normal13"/>
              <w:spacing w:after="0" w:line="256" w:lineRule="auto"/>
              <w:rPr>
                <w:rFonts w:cs="Times New Roman"/>
                <w:noProof/>
              </w:rPr>
            </w:pPr>
            <w:r>
              <w:rPr>
                <w:noProof/>
              </w:rPr>
              <w:t>Vähintään 125000 liityntäseteliä henkilöille tai perheille, jotka on määritelty ”haavoittuviksi” (jotta voidaan hankkia laajakaistayhteyspaketti sopivimmal</w:t>
            </w:r>
            <w:r>
              <w:rPr>
                <w:noProof/>
              </w:rPr>
              <w:t>la teknologialla) ja pk-yrityksille vähintään 11000 liityntäseteliä (setelien on koostuttava kahdesta erillisestä elementistä, 100 Mbit/s:n yhteydestä ja lisäarvopalveluista, VPN, kyberturvallisuus).</w:t>
            </w:r>
          </w:p>
        </w:tc>
      </w:tr>
      <w:tr w:rsidR="000E48CE" w14:paraId="7635A7D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7C0467D8" w14:textId="77777777" w:rsidR="000E48CE" w:rsidRDefault="00FF4C4E">
            <w:pPr>
              <w:pStyle w:val="P68B1DB1-Normal13"/>
              <w:jc w:val="center"/>
              <w:rPr>
                <w:rFonts w:cs="Times New Roman"/>
                <w:noProof/>
              </w:rPr>
            </w:pPr>
            <w:r>
              <w:rPr>
                <w:noProof/>
              </w:rPr>
              <w:t>240</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010D6EF" w14:textId="77777777" w:rsidR="000E48CE" w:rsidRDefault="00FF4C4E">
            <w:pPr>
              <w:pStyle w:val="P68B1DB1-Normal13"/>
              <w:jc w:val="center"/>
              <w:rPr>
                <w:rFonts w:cs="Times New Roman"/>
                <w:noProof/>
              </w:rPr>
            </w:pPr>
            <w:r>
              <w:rPr>
                <w:noProof/>
              </w:rPr>
              <w:t>C15.I4</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31126644" w14:textId="77777777" w:rsidR="000E48CE" w:rsidRDefault="00FF4C4E">
            <w:pPr>
              <w:pStyle w:val="P68B1DB1-Normal13"/>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29EA1792" w14:textId="77777777" w:rsidR="000E48CE" w:rsidRDefault="00FF4C4E">
            <w:pPr>
              <w:pStyle w:val="P68B1DB1-Normal13"/>
              <w:rPr>
                <w:rFonts w:cs="Times New Roman"/>
                <w:noProof/>
              </w:rPr>
            </w:pPr>
            <w:r>
              <w:rPr>
                <w:noProof/>
              </w:rPr>
              <w:t xml:space="preserve">Rakennusten televiestintäinfrastruktuurin </w:t>
            </w:r>
            <w:r>
              <w:rPr>
                <w:noProof/>
              </w:rPr>
              <w:t>mukauttaminen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496FFDA" w14:textId="77777777" w:rsidR="000E48CE" w:rsidRDefault="00FF4C4E">
            <w:pPr>
              <w:pStyle w:val="P68B1DB1-Normal13"/>
              <w:jc w:val="center"/>
              <w:rPr>
                <w:rFonts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FE2106E" w14:textId="77777777" w:rsidR="000E48CE" w:rsidRDefault="00FF4C4E">
            <w:pPr>
              <w:pStyle w:val="P68B1DB1-Normal13"/>
              <w:rPr>
                <w:rFonts w:cs="Times New Roman"/>
                <w:noProof/>
              </w:rPr>
            </w:pPr>
            <w:r>
              <w:rPr>
                <w:noProof/>
              </w:rPr>
              <w:t>Määrä</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9D3BAE" w14:textId="77777777" w:rsidR="000E48CE" w:rsidRDefault="00FF4C4E">
            <w:pPr>
              <w:pStyle w:val="P68B1DB1-Normal13"/>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1075576" w14:textId="442281D4" w:rsidR="000E48CE" w:rsidRDefault="00FF4C4E">
            <w:pPr>
              <w:pStyle w:val="P68B1DB1-Normal13"/>
              <w:rPr>
                <w:rFonts w:cs="Times New Roman"/>
                <w:noProof/>
              </w:rPr>
            </w:pPr>
            <w:r>
              <w:rPr>
                <w:noProof/>
              </w:rPr>
              <w:t>7 700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1663BC6" w14:textId="77777777" w:rsidR="000E48CE" w:rsidRDefault="00FF4C4E">
            <w:pPr>
              <w:pStyle w:val="P68B1DB1-Normal13"/>
              <w:jc w:val="center"/>
              <w:rPr>
                <w:rFonts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A1005B4" w14:textId="7ADB7974" w:rsidR="000E48CE" w:rsidRDefault="00FF4C4E">
            <w:pPr>
              <w:pStyle w:val="P68B1DB1-Normal13"/>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3B79E03" w14:textId="0D0A6210" w:rsidR="000E48CE" w:rsidRDefault="00FF4C4E">
            <w:pPr>
              <w:pStyle w:val="P68B1DB1-Normal13"/>
              <w:rPr>
                <w:rFonts w:cs="Times New Roman"/>
                <w:noProof/>
              </w:rPr>
            </w:pPr>
            <w:r>
              <w:rPr>
                <w:noProof/>
              </w:rPr>
              <w:t>Rakennustyöt on saatu päätökseen vähintään 7700 rakennuksessa niiden yhteisen yhteysverkkoinfrastruktuurin parantamiseksi erittäin suuren kapasiteetin verkkojen tasolla.</w:t>
            </w:r>
          </w:p>
        </w:tc>
      </w:tr>
      <w:tr w:rsidR="000E48CE" w14:paraId="6882667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374B947" w14:textId="77777777" w:rsidR="000E48CE" w:rsidRDefault="00FF4C4E">
            <w:pPr>
              <w:pStyle w:val="P68B1DB1-Normal13"/>
              <w:spacing w:after="0" w:line="256" w:lineRule="auto"/>
              <w:jc w:val="center"/>
              <w:rPr>
                <w:rFonts w:cs="Times New Roman"/>
                <w:noProof/>
              </w:rPr>
            </w:pPr>
            <w:r>
              <w:rPr>
                <w:noProof/>
              </w:rPr>
              <w:t>241</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FF48813" w14:textId="77777777" w:rsidR="000E48CE" w:rsidRDefault="00FF4C4E">
            <w:pPr>
              <w:pStyle w:val="P68B1DB1-Normal13"/>
              <w:spacing w:after="0" w:line="256" w:lineRule="auto"/>
              <w:jc w:val="center"/>
              <w:rPr>
                <w:rFonts w:cs="Times New Roman"/>
                <w:noProof/>
              </w:rPr>
            </w:pPr>
            <w:r>
              <w:rPr>
                <w:noProof/>
              </w:rPr>
              <w:t>C15.I5</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3150BFB" w14:textId="77777777" w:rsidR="000E48CE" w:rsidRDefault="00FF4C4E">
            <w:pPr>
              <w:pStyle w:val="P68B1DB1-Normal13"/>
              <w:spacing w:after="0" w:line="256" w:lineRule="auto"/>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979762C" w14:textId="77777777" w:rsidR="000E48CE" w:rsidRDefault="00FF4C4E">
            <w:pPr>
              <w:pStyle w:val="P68B1DB1-Normal13"/>
              <w:spacing w:after="0" w:line="256" w:lineRule="auto"/>
              <w:rPr>
                <w:rFonts w:cs="Times New Roman"/>
                <w:noProof/>
              </w:rPr>
            </w:pPr>
            <w:r>
              <w:rPr>
                <w:noProof/>
              </w:rPr>
              <w:t xml:space="preserve">Rajatylittävän digitaalisen </w:t>
            </w:r>
            <w:r>
              <w:rPr>
                <w:noProof/>
              </w:rPr>
              <w:t>infrastruktuurin parantaminen: palkinto</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3B75597" w14:textId="77777777" w:rsidR="000E48CE" w:rsidRDefault="00FF4C4E">
            <w:pPr>
              <w:pStyle w:val="P68B1DB1-Normal13"/>
              <w:spacing w:after="0" w:line="256" w:lineRule="auto"/>
              <w:rPr>
                <w:rFonts w:cs="Times New Roman"/>
                <w:noProof/>
              </w:rPr>
            </w:pPr>
            <w:r>
              <w:rPr>
                <w:noProof/>
              </w:rPr>
              <w:t xml:space="preserve">Hankkeiden avustusten virallinen julkaiseminen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B5B795D" w14:textId="77777777" w:rsidR="000E48CE" w:rsidRDefault="00FF4C4E">
            <w:pPr>
              <w:pStyle w:val="P68B1DB1-Normal13"/>
              <w:spacing w:after="0" w:line="256" w:lineRule="auto"/>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F4BDA32" w14:textId="77777777" w:rsidR="000E48CE" w:rsidRDefault="00FF4C4E">
            <w:pPr>
              <w:pStyle w:val="P68B1DB1-Normal13"/>
              <w:spacing w:after="0" w:line="256" w:lineRule="auto"/>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BFEA234" w14:textId="77777777" w:rsidR="000E48CE" w:rsidRDefault="00FF4C4E">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2A19043" w14:textId="77777777" w:rsidR="000E48CE" w:rsidRDefault="00FF4C4E">
            <w:pPr>
              <w:pStyle w:val="P68B1DB1-Normal13"/>
              <w:spacing w:after="0" w:line="256" w:lineRule="auto"/>
              <w:jc w:val="center"/>
              <w:rPr>
                <w:rFonts w:cs="Times New Roman"/>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B283F6B" w14:textId="3D313E79" w:rsidR="000E48CE" w:rsidRDefault="00FF4C4E">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1215C710" w14:textId="77777777" w:rsidR="000E48CE" w:rsidRDefault="00FF4C4E">
            <w:pPr>
              <w:pStyle w:val="P68B1DB1-Normal13"/>
              <w:spacing w:after="0" w:line="256" w:lineRule="auto"/>
              <w:rPr>
                <w:rFonts w:cs="Times New Roman"/>
                <w:noProof/>
              </w:rPr>
            </w:pPr>
            <w:r>
              <w:rPr>
                <w:noProof/>
              </w:rPr>
              <w:t>Hankkeita koskevat sopimukset ja avustukset (hankkeiden kokonaisbudjetti 500000000 euroa) ja varojen siirto seuraavien toimien toteuttamiseksi: merenalai</w:t>
            </w:r>
            <w:r>
              <w:rPr>
                <w:noProof/>
              </w:rPr>
              <w:t>set kaapelit ja pilvi-/datainfrastruktuurin yhteenliittäminen; hankkeet, jotka koskevat uuden sukupolven pilvipalvelu- ja reunainfrastruktuuria ja -palveluja; kehittyneitä prosessoreja ja puolijohteita koskevat hankkeet; ja d) T &amp; K &amp; I-hankkeista kvanttiv</w:t>
            </w:r>
            <w:r>
              <w:rPr>
                <w:noProof/>
              </w:rPr>
              <w:t xml:space="preserve">iestintään ja suojattuun satelliittiviestintään liittyvien valmiuksien vahvistamiseksi </w:t>
            </w:r>
          </w:p>
        </w:tc>
      </w:tr>
      <w:tr w:rsidR="000E48CE" w14:paraId="2CC6FE17"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DA198CD" w14:textId="77777777" w:rsidR="000E48CE" w:rsidRDefault="00FF4C4E">
            <w:pPr>
              <w:pStyle w:val="P68B1DB1-Normal13"/>
              <w:spacing w:after="0" w:line="256" w:lineRule="auto"/>
              <w:jc w:val="center"/>
              <w:rPr>
                <w:rFonts w:cs="Times New Roman"/>
                <w:noProof/>
              </w:rPr>
            </w:pPr>
            <w:r>
              <w:rPr>
                <w:noProof/>
              </w:rPr>
              <w:t>242</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B6FEBCD" w14:textId="77777777" w:rsidR="000E48CE" w:rsidRDefault="00FF4C4E">
            <w:pPr>
              <w:pStyle w:val="P68B1DB1-Normal13"/>
              <w:spacing w:after="0" w:line="256" w:lineRule="auto"/>
              <w:jc w:val="center"/>
              <w:rPr>
                <w:rFonts w:cs="Times New Roman"/>
                <w:noProof/>
              </w:rPr>
            </w:pPr>
            <w:r>
              <w:rPr>
                <w:noProof/>
              </w:rPr>
              <w:t>C15.I5</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3FB61713" w14:textId="77777777" w:rsidR="000E48CE" w:rsidRDefault="00FF4C4E">
            <w:pPr>
              <w:pStyle w:val="P68B1DB1-Normal13"/>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7A01AA1" w14:textId="77777777" w:rsidR="000E48CE" w:rsidRDefault="00FF4C4E">
            <w:pPr>
              <w:pStyle w:val="P68B1DB1-Normal13"/>
              <w:rPr>
                <w:rFonts w:cs="Times New Roman"/>
                <w:noProof/>
              </w:rPr>
            </w:pPr>
            <w:r>
              <w:rPr>
                <w:noProof/>
              </w:rPr>
              <w:t>Rajatylittävän digitaalisen infrastruktuurin parantaminen: hankkeen loppuun saattaminen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42A6D73" w14:textId="77777777" w:rsidR="000E48CE" w:rsidRDefault="00FF4C4E">
            <w:pPr>
              <w:pStyle w:val="P68B1DB1-Normal13"/>
              <w:rPr>
                <w:rFonts w:cs="Times New Roman"/>
                <w:noProof/>
              </w:rPr>
            </w:pPr>
            <w:r>
              <w:rPr>
                <w:noProof/>
              </w:rPr>
              <w:t>Hyväksyttyjen hankkeiden loppuun saattaminen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AB5C23F" w14:textId="77777777" w:rsidR="000E48CE" w:rsidRDefault="00FF4C4E">
            <w:pPr>
              <w:pStyle w:val="P68B1DB1-Normal13"/>
              <w:spacing w:after="0" w:line="256" w:lineRule="auto"/>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9E9D330" w14:textId="77777777" w:rsidR="000E48CE" w:rsidRDefault="00FF4C4E">
            <w:pPr>
              <w:pStyle w:val="P68B1DB1-Normal13"/>
              <w:spacing w:after="0" w:line="256" w:lineRule="auto"/>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A57AC48" w14:textId="77777777" w:rsidR="000E48CE" w:rsidRDefault="00FF4C4E">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07929CF" w14:textId="22707EA9" w:rsidR="000E48CE" w:rsidRDefault="00FF4C4E">
            <w:pPr>
              <w:pStyle w:val="P68B1DB1-Normal13"/>
              <w:spacing w:after="0" w:line="256" w:lineRule="auto"/>
              <w:jc w:val="center"/>
              <w:rPr>
                <w:rFonts w:cs="Times New Roman"/>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345DA5D" w14:textId="35AB7177" w:rsidR="000E48CE" w:rsidRDefault="00FF4C4E">
            <w:pPr>
              <w:pStyle w:val="P68B1DB1-Normal13"/>
              <w:spacing w:after="0" w:line="256" w:lineRule="auto"/>
              <w:jc w:val="center"/>
              <w:rPr>
                <w:rFonts w:cs="Times New Roman"/>
                <w:noProof/>
              </w:rPr>
            </w:pPr>
            <w:r>
              <w:rPr>
                <w:noProof/>
              </w:rPr>
              <w:t xml:space="preserve">2026 </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D71ED7" w14:textId="77777777" w:rsidR="000E48CE" w:rsidRDefault="00FF4C4E">
            <w:pPr>
              <w:pStyle w:val="P68B1DB1-Normal13"/>
              <w:spacing w:after="0" w:line="256" w:lineRule="auto"/>
              <w:rPr>
                <w:rFonts w:cs="Times New Roman"/>
                <w:noProof/>
              </w:rPr>
            </w:pPr>
            <w:r>
              <w:rPr>
                <w:noProof/>
              </w:rPr>
              <w:t>Merenalaisia kaapeleita ja pilvi-/datainfrastruktuurin yhteenliittämistä koskevien hankkeiden (jotka on myönnetty välitilassa nro #241) loppuun saattaminen; (b) hankkeista, jotka koskevat uuden sukupolven pilvipalvelu- ja reunainfrastruktuuria ja -palveluj</w:t>
            </w:r>
            <w:r>
              <w:rPr>
                <w:noProof/>
              </w:rPr>
              <w:t xml:space="preserve">a; kehittyneitä prosessoreja ja puolijohteita koskevat hankkeet; ja d) T &amp; K &amp; I-hankkeista kvanttiviestintään ja suojattuun satelliittiviestintään liittyvien valmiuksien vahvistamiseksi </w:t>
            </w:r>
          </w:p>
        </w:tc>
      </w:tr>
      <w:tr w:rsidR="000E48CE" w14:paraId="4F590BBC"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90E85FB" w14:textId="77777777" w:rsidR="000E48CE" w:rsidRDefault="00FF4C4E">
            <w:pPr>
              <w:pStyle w:val="P68B1DB1-Normal13"/>
              <w:jc w:val="center"/>
              <w:rPr>
                <w:rFonts w:cs="Times New Roman"/>
                <w:noProof/>
              </w:rPr>
            </w:pPr>
            <w:r>
              <w:rPr>
                <w:noProof/>
              </w:rPr>
              <w:t>243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D36CEEA" w14:textId="77777777" w:rsidR="000E48CE" w:rsidRDefault="00FF4C4E">
            <w:pPr>
              <w:pStyle w:val="P68B1DB1-Normal13"/>
              <w:jc w:val="center"/>
              <w:rPr>
                <w:rFonts w:cs="Times New Roman"/>
                <w:noProof/>
              </w:rPr>
            </w:pPr>
            <w:r>
              <w:rPr>
                <w:noProof/>
              </w:rPr>
              <w:t>C15.I6</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6AACD3F4" w14:textId="77777777" w:rsidR="000E48CE" w:rsidRDefault="00FF4C4E">
            <w:pPr>
              <w:pStyle w:val="P68B1DB1-Normal13"/>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34C15AE" w14:textId="77777777" w:rsidR="000E48CE" w:rsidRDefault="00FF4C4E">
            <w:pPr>
              <w:pStyle w:val="P68B1DB1-Normal13"/>
              <w:rPr>
                <w:rFonts w:cs="Times New Roman"/>
                <w:noProof/>
              </w:rPr>
            </w:pPr>
            <w:r>
              <w:rPr>
                <w:noProof/>
              </w:rPr>
              <w:t>5G-teknologian käyttöönotto: palkinto</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8E8661E" w14:textId="77777777" w:rsidR="000E48CE" w:rsidRDefault="00FF4C4E">
            <w:pPr>
              <w:pStyle w:val="P68B1DB1-Normal13"/>
              <w:rPr>
                <w:rFonts w:cs="Times New Roman"/>
                <w:noProof/>
              </w:rPr>
            </w:pPr>
            <w:r>
              <w:rPr>
                <w:noProof/>
              </w:rPr>
              <w:t xml:space="preserve">Hankkeiden </w:t>
            </w:r>
            <w:r>
              <w:rPr>
                <w:noProof/>
              </w:rPr>
              <w:t>avustusten virallinen julkaiseminen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6A23F54" w14:textId="77777777" w:rsidR="000E48CE" w:rsidRDefault="00FF4C4E">
            <w:pPr>
              <w:pStyle w:val="P68B1DB1-Normal13"/>
              <w:spacing w:after="0" w:line="256" w:lineRule="auto"/>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9644D5C" w14:textId="77777777" w:rsidR="000E48CE" w:rsidRDefault="00FF4C4E">
            <w:pPr>
              <w:pStyle w:val="P68B1DB1-Normal13"/>
              <w:spacing w:after="0" w:line="256" w:lineRule="auto"/>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7F8A613" w14:textId="77777777" w:rsidR="000E48CE" w:rsidRDefault="00FF4C4E">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9081711" w14:textId="77777777" w:rsidR="000E48CE" w:rsidRDefault="00FF4C4E">
            <w:pPr>
              <w:pStyle w:val="P68B1DB1-Normal13"/>
              <w:spacing w:after="0" w:line="256" w:lineRule="auto"/>
              <w:jc w:val="center"/>
              <w:rPr>
                <w:rFonts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669E428" w14:textId="50B7EAD7" w:rsidR="000E48CE" w:rsidRDefault="00FF4C4E">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762AB78" w14:textId="5FF2B9CD" w:rsidR="000E48CE" w:rsidRDefault="00FF4C4E">
            <w:pPr>
              <w:pStyle w:val="P68B1DB1-Normal13"/>
              <w:spacing w:after="0" w:line="256" w:lineRule="auto"/>
              <w:rPr>
                <w:rFonts w:cs="Times New Roman"/>
                <w:noProof/>
              </w:rPr>
            </w:pPr>
            <w:r>
              <w:rPr>
                <w:noProof/>
              </w:rPr>
              <w:t>Hankkeita koskevat sopimukset ja avustukset (hankkeiden kokonaisbudjetti 1465000000 euroa) ja varojen siirto seuraavien toimien toteuttamiseksi: 5G:n käyttöönotto tärkeimmillä kansallisilla (tietyillä aluei</w:t>
            </w:r>
            <w:r>
              <w:rPr>
                <w:noProof/>
              </w:rPr>
              <w:t>lla) ja rajat ylittävillä liikennekäytävillä (4000 paikkaa); b) 5G:n käyttöönotto tietyillä alueilla tavoitteena saavuttaa 75 prosentin väestökattavuus vuoteen 2025 mennessä 5G-etuusalueilla (vähintään 7000 uutta tai olemassa olevaa paikkaa, joissa on uusi</w:t>
            </w:r>
            <w:r>
              <w:rPr>
                <w:noProof/>
              </w:rPr>
              <w:t>a 5G-laitteita; ja vähintään 4000 olemassa olevaa toimipaikkaa, joilla on toimia runkoliityntäverkon kapasiteetin lisäämiseksi); 5G:n käyttöönotto keskeisissä taloudellisissa toiminnoissa keskeiset palvelut (43 liitettävyyshanketta); ja d) tuki 5G:hen ja 6</w:t>
            </w:r>
            <w:r>
              <w:rPr>
                <w:noProof/>
              </w:rPr>
              <w:t xml:space="preserve">G:hen liittyvälle tutkimus- ja kehittämistoiminnalle innovaatioekosysteemejä (200 hanketta) ja 5G-kyberturvallisuusekosysteemejä varten. </w:t>
            </w:r>
          </w:p>
        </w:tc>
      </w:tr>
      <w:tr w:rsidR="000E48CE" w14:paraId="39769899"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6240FC7" w14:textId="77777777" w:rsidR="000E48CE" w:rsidRDefault="00FF4C4E">
            <w:pPr>
              <w:pStyle w:val="P68B1DB1-Normal13"/>
              <w:spacing w:after="0" w:line="256" w:lineRule="auto"/>
              <w:jc w:val="center"/>
              <w:rPr>
                <w:rFonts w:cs="Times New Roman"/>
                <w:noProof/>
              </w:rPr>
            </w:pPr>
            <w:r>
              <w:rPr>
                <w:noProof/>
              </w:rPr>
              <w:t>244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07E0F06" w14:textId="77777777" w:rsidR="000E48CE" w:rsidRDefault="00FF4C4E">
            <w:pPr>
              <w:pStyle w:val="P68B1DB1-Normal13"/>
              <w:spacing w:after="0" w:line="256" w:lineRule="auto"/>
              <w:jc w:val="center"/>
              <w:rPr>
                <w:rFonts w:cs="Times New Roman"/>
                <w:noProof/>
              </w:rPr>
            </w:pPr>
            <w:r>
              <w:rPr>
                <w:noProof/>
              </w:rPr>
              <w:t>C15.I6</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F1328D5" w14:textId="77777777" w:rsidR="000E48CE" w:rsidRDefault="00FF4C4E">
            <w:pPr>
              <w:pStyle w:val="P68B1DB1-Normal13"/>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D122A13" w14:textId="77777777" w:rsidR="000E48CE" w:rsidRDefault="00FF4C4E">
            <w:pPr>
              <w:pStyle w:val="P68B1DB1-Normal13"/>
              <w:rPr>
                <w:rFonts w:cs="Times New Roman"/>
                <w:noProof/>
              </w:rPr>
            </w:pPr>
            <w:r>
              <w:rPr>
                <w:noProof/>
              </w:rPr>
              <w:t>5G-teknologian käyttöönotto: Hankkeen loppuun saattaminen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CE50BAB" w14:textId="77777777" w:rsidR="000E48CE" w:rsidRDefault="00FF4C4E">
            <w:pPr>
              <w:pStyle w:val="P68B1DB1-Normal13"/>
              <w:rPr>
                <w:rFonts w:cs="Times New Roman"/>
                <w:noProof/>
              </w:rPr>
            </w:pPr>
            <w:r>
              <w:rPr>
                <w:noProof/>
              </w:rPr>
              <w:t>Hyväksyttyjen hankkeiden loppuun saattaminen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9FD8733" w14:textId="77777777" w:rsidR="000E48CE" w:rsidRDefault="00FF4C4E">
            <w:pPr>
              <w:pStyle w:val="P68B1DB1-Normal34"/>
              <w:rPr>
                <w:rFonts w:cs="Times New Roman"/>
                <w:noProof/>
              </w:rPr>
            </w:pPr>
            <w:r>
              <w:rPr>
                <w:noProof/>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E386E8A" w14:textId="77777777" w:rsidR="000E48CE" w:rsidRDefault="00FF4C4E">
            <w:pPr>
              <w:pStyle w:val="P68B1DB1-Normal34"/>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5F59B1E" w14:textId="77777777" w:rsidR="000E48CE" w:rsidRDefault="00FF4C4E">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A4CB8D2" w14:textId="3AB924F4" w:rsidR="000E48CE" w:rsidRDefault="00FF4C4E">
            <w:pPr>
              <w:pStyle w:val="P68B1DB1-Normal13"/>
              <w:spacing w:after="0" w:line="256" w:lineRule="auto"/>
              <w:jc w:val="center"/>
              <w:rPr>
                <w:rFonts w:cs="Times New Roman"/>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C5B31D8" w14:textId="6BCB7F3A" w:rsidR="000E48CE" w:rsidRDefault="00FF4C4E">
            <w:pPr>
              <w:pStyle w:val="P68B1DB1-Normal13"/>
              <w:spacing w:after="0" w:line="256" w:lineRule="auto"/>
              <w:jc w:val="center"/>
              <w:rPr>
                <w:rFonts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1941857" w14:textId="143C151B" w:rsidR="000E48CE" w:rsidRDefault="00FF4C4E">
            <w:pPr>
              <w:pStyle w:val="P68B1DB1-Normal13"/>
              <w:spacing w:after="0" w:line="256" w:lineRule="auto"/>
              <w:rPr>
                <w:rFonts w:cs="Times New Roman"/>
                <w:noProof/>
              </w:rPr>
            </w:pPr>
            <w:r>
              <w:rPr>
                <w:noProof/>
              </w:rPr>
              <w:t>5G:n käyttöönottoa kansallisella pääalueella (tietyillä alueilla) ja rajat ylittävillä liikennekäytävillä (4000 paikkaa) koskevien hankkeiden loppuun saattaminen; b) 5G:n käyttöönotto tietyillä alueilla tavoitteena saavuttaa 75 prosentin väest</w:t>
            </w:r>
            <w:r>
              <w:rPr>
                <w:noProof/>
              </w:rPr>
              <w:t>ökattavuus vuoteen 2025 mennessä 5G-suosituskaistoilla (vähintään 7000 uutta tai olemassa olevaa paikkaa, joissa on uusia 5G-laitteita, ja vähintään 4000 olemassa olevaa paikkaa, joilla toteutetaan toimia runkoliityntäverkon kapasiteetin lisäämiseksi); 5G:</w:t>
            </w:r>
            <w:r>
              <w:rPr>
                <w:noProof/>
              </w:rPr>
              <w:t>n käyttöönotto keskeisissä taloudellisissa toiminnoissa keskeiset palvelut (43 liitettävyyshanketta); ja d) tuki 5G:hen ja 6G:hen liittyvälle tutkimus- ja kehittämistoiminnalle innovaatioekosysteemejä (200 hanketta) ja 5G-kyberturvallisuusekosysteemejä var</w:t>
            </w:r>
            <w:r>
              <w:rPr>
                <w:noProof/>
              </w:rPr>
              <w:t>ten. Hankkeet saatetaan päätökseen ohjelman myöntämisperusteiden mukaisesti (Milestone 243).</w:t>
            </w:r>
          </w:p>
        </w:tc>
      </w:tr>
      <w:tr w:rsidR="000E48CE" w14:paraId="2FEA3BFE"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15C8FB01" w14:textId="77777777" w:rsidR="000E48CE" w:rsidRDefault="00FF4C4E">
            <w:pPr>
              <w:pStyle w:val="P68B1DB1-Normal13"/>
              <w:spacing w:after="0"/>
              <w:jc w:val="center"/>
              <w:rPr>
                <w:rFonts w:eastAsia="Times New Roman" w:cs="Times New Roman"/>
                <w:noProof/>
              </w:rPr>
            </w:pPr>
            <w:r>
              <w:rPr>
                <w:noProof/>
              </w:rPr>
              <w:t>245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A520B89" w14:textId="77777777" w:rsidR="000E48CE" w:rsidRDefault="00FF4C4E">
            <w:pPr>
              <w:pStyle w:val="P68B1DB1-Normal13"/>
              <w:spacing w:after="0"/>
              <w:jc w:val="center"/>
              <w:rPr>
                <w:rFonts w:eastAsia="Times New Roman"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8916D20" w14:textId="21FC535D" w:rsidR="000E48CE" w:rsidRDefault="00FF4C4E">
            <w:pPr>
              <w:pStyle w:val="P68B1DB1-Normal13"/>
              <w:spacing w:after="0"/>
              <w:jc w:val="center"/>
              <w:rPr>
                <w:rFonts w:eastAsia="Times New Roman"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E141CC0" w14:textId="77777777" w:rsidR="000E48CE" w:rsidRDefault="00FF4C4E">
            <w:pPr>
              <w:pStyle w:val="P68B1DB1-Normal13"/>
              <w:spacing w:after="0"/>
              <w:rPr>
                <w:rFonts w:eastAsia="Times New Roman" w:cs="Times New Roman"/>
                <w:noProof/>
              </w:rPr>
            </w:pPr>
            <w:r>
              <w:rPr>
                <w:noProof/>
              </w:rPr>
              <w:t>Kansallisen kyberturvallisuusteollisuuden tukiohjelman, maailmanlaajuisen turvallisuusinnovointiohjelman ja siihen liittyvien toimien käynnistäminen.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49FA71A" w14:textId="77777777" w:rsidR="000E48CE" w:rsidRDefault="00FF4C4E">
            <w:pPr>
              <w:pStyle w:val="P68B1DB1-Normal13"/>
              <w:spacing w:after="0"/>
              <w:jc w:val="center"/>
              <w:rPr>
                <w:rFonts w:eastAsia="Times New Roman" w:cs="Times New Roman"/>
                <w:noProof/>
              </w:rPr>
            </w:pPr>
            <w:r>
              <w:rPr>
                <w:noProof/>
              </w:rPr>
              <w:t>Ohjelmien julkaiseminen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BDA5081" w14:textId="584E8150" w:rsidR="000E48CE" w:rsidRDefault="000E48CE">
            <w:pPr>
              <w:spacing w:after="0"/>
              <w:jc w:val="center"/>
              <w:rPr>
                <w:rFonts w:ascii="Times New Roman" w:eastAsia="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14F70AF" w14:textId="1268178A" w:rsidR="000E48CE" w:rsidRDefault="000E48CE">
            <w:pPr>
              <w:spacing w:after="0"/>
              <w:jc w:val="center"/>
              <w:rPr>
                <w:rFonts w:ascii="Times New Roman" w:eastAsia="Times New Roman" w:hAnsi="Times New Roman" w:cs="Times New Roman"/>
                <w:noProof/>
                <w:sz w:val="18"/>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FA29AF3" w14:textId="088F2FA0" w:rsidR="000E48CE" w:rsidRDefault="00FF4C4E">
            <w:pPr>
              <w:pStyle w:val="P68B1DB1-Normal13"/>
              <w:spacing w:after="0"/>
              <w:jc w:val="center"/>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C1F5103" w14:textId="77777777" w:rsidR="000E48CE" w:rsidRDefault="00FF4C4E">
            <w:pPr>
              <w:pStyle w:val="P68B1DB1-Normal13"/>
              <w:spacing w:after="0"/>
              <w:jc w:val="center"/>
              <w:rPr>
                <w:rFonts w:eastAsia="Times New Roman"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873EB9B" w14:textId="1A6BD0A3" w:rsidR="000E48CE" w:rsidRDefault="00FF4C4E">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227B89" w14:textId="1476068F" w:rsidR="000E48CE" w:rsidRDefault="00FF4C4E">
            <w:pPr>
              <w:spacing w:after="0"/>
              <w:rPr>
                <w:rFonts w:ascii="Times New Roman" w:eastAsia="Times New Roman" w:hAnsi="Times New Roman" w:cs="Times New Roman"/>
                <w:noProof/>
                <w:sz w:val="18"/>
              </w:rPr>
            </w:pPr>
            <w:r>
              <w:rPr>
                <w:rFonts w:ascii="Times New Roman" w:hAnsi="Times New Roman"/>
                <w:noProof/>
                <w:sz w:val="18"/>
              </w:rPr>
              <w:t>Käynnistetään kansallinen kyberturvallisuusteollisuuden tukiohjelma ja maailmanlaajuinen turvallisuusinnovointiohjelma ja muut siihen liittyvät toimet</w:t>
            </w:r>
            <w:r>
              <w:rPr>
                <w:noProof/>
              </w:rPr>
              <w:t xml:space="preserve"> </w:t>
            </w:r>
            <w:r>
              <w:rPr>
                <w:rFonts w:ascii="Times New Roman" w:hAnsi="Times New Roman"/>
                <w:noProof/>
                <w:sz w:val="18"/>
              </w:rPr>
              <w:t>(joiden talousarvio on 311000000 euroa), jotka koskevat keskeisiä te</w:t>
            </w:r>
            <w:r>
              <w:rPr>
                <w:rFonts w:ascii="Times New Roman" w:hAnsi="Times New Roman"/>
                <w:noProof/>
                <w:sz w:val="18"/>
              </w:rPr>
              <w:t>ollisuuden näkökohtia, kuten</w:t>
            </w:r>
            <w:r>
              <w:rPr>
                <w:rFonts w:ascii="Times New Roman" w:hAnsi="Times New Roman"/>
                <w:noProof/>
                <w:sz w:val="18"/>
              </w:rPr>
              <w:br/>
              <w:t xml:space="preserve">kansallisen kyberturvallisuusteollisuuden tukeminen alan yritysten syntymisen, kasvun ja kehityksen edistämiseksi </w:t>
            </w:r>
            <w:r>
              <w:rPr>
                <w:rFonts w:ascii="Times New Roman" w:hAnsi="Times New Roman"/>
                <w:noProof/>
                <w:sz w:val="18"/>
              </w:rPr>
              <w:br/>
              <w:t xml:space="preserve">korkean lisäarvon ratkaisujen ja palvelujen kehittäminen kyberturvallisuuden alalla </w:t>
            </w:r>
            <w:r>
              <w:rPr>
                <w:rFonts w:ascii="Times New Roman" w:hAnsi="Times New Roman"/>
                <w:noProof/>
                <w:sz w:val="18"/>
              </w:rPr>
              <w:br/>
              <w:t>koulutetaan ja kehitetään k</w:t>
            </w:r>
            <w:r>
              <w:rPr>
                <w:rFonts w:ascii="Times New Roman" w:hAnsi="Times New Roman"/>
                <w:noProof/>
                <w:sz w:val="18"/>
              </w:rPr>
              <w:t xml:space="preserve">yberturvallisuuteen erikoistuneita lahjakkuuksia </w:t>
            </w:r>
            <w:r>
              <w:rPr>
                <w:rFonts w:ascii="Times New Roman" w:hAnsi="Times New Roman"/>
                <w:noProof/>
                <w:sz w:val="18"/>
              </w:rPr>
              <w:br/>
              <w:t xml:space="preserve">Kansainvälistymistoimet kyberturvallisuuden alalla </w:t>
            </w:r>
            <w:r>
              <w:rPr>
                <w:rFonts w:ascii="Times New Roman" w:hAnsi="Times New Roman"/>
                <w:noProof/>
                <w:sz w:val="18"/>
              </w:rPr>
              <w:br/>
              <w:t>—demonstraatiokeskuksen perustaminen kyberturvallisuusinfrastruktuurin kehittämistä varten ja uusien kyberturvallisuuspalvelujen, kuten testilaboratorioid</w:t>
            </w:r>
            <w:r>
              <w:rPr>
                <w:rFonts w:ascii="Times New Roman" w:hAnsi="Times New Roman"/>
                <w:noProof/>
                <w:sz w:val="18"/>
              </w:rPr>
              <w:t xml:space="preserve">en ja kyberturvallisuushyökkäysten simulaattoreiden, perustaminen </w:t>
            </w:r>
            <w:r>
              <w:rPr>
                <w:rFonts w:ascii="Times New Roman" w:hAnsi="Times New Roman"/>
                <w:noProof/>
                <w:sz w:val="18"/>
              </w:rPr>
              <w:br/>
              <w:t>— kyberturvallisuusmerkintöjen sertifiointien kehittäminen.</w:t>
            </w:r>
          </w:p>
        </w:tc>
      </w:tr>
      <w:tr w:rsidR="000E48CE" w14:paraId="2558A584" w14:textId="77777777">
        <w:trPr>
          <w:gridAfter w:val="1"/>
          <w:wAfter w:w="6" w:type="dxa"/>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480C579D" w14:textId="50B8C22D" w:rsidR="000E48CE" w:rsidRDefault="00FF4C4E">
            <w:pPr>
              <w:pStyle w:val="P68B1DB1-Normal13"/>
              <w:spacing w:after="0"/>
              <w:jc w:val="center"/>
              <w:rPr>
                <w:rFonts w:cs="Times New Roman"/>
                <w:noProof/>
              </w:rPr>
            </w:pPr>
            <w:r>
              <w:rPr>
                <w:noProof/>
              </w:rPr>
              <w:t>453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1C8A01CC" w14:textId="56657FFE" w:rsidR="000E48CE" w:rsidRDefault="00FF4C4E">
            <w:pPr>
              <w:pStyle w:val="P68B1DB1-Normal13"/>
              <w:spacing w:after="0"/>
              <w:jc w:val="center"/>
              <w:rPr>
                <w:rFonts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7573A7D4" w14:textId="19BE73E8" w:rsidR="000E48CE" w:rsidRDefault="00FF4C4E">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70FA5D1C" w14:textId="77777777" w:rsidR="000E48CE" w:rsidRDefault="00FF4C4E">
            <w:pPr>
              <w:pStyle w:val="P68B1DB1-Normal13"/>
              <w:spacing w:after="0"/>
              <w:rPr>
                <w:rFonts w:cs="Times New Roman"/>
                <w:noProof/>
              </w:rPr>
            </w:pPr>
            <w:r>
              <w:rPr>
                <w:noProof/>
              </w:rPr>
              <w:t xml:space="preserve">Kansallisen kyberturvallisuusteollisuuden tukiohjelman, maailmanlaajuisen turvallisuusinnovointiohjelman ja siihen </w:t>
            </w:r>
            <w:r>
              <w:rPr>
                <w:noProof/>
              </w:rPr>
              <w:t>liittyvien toimien käynnistäminen.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FD2E6FE" w14:textId="77777777" w:rsidR="000E48CE" w:rsidRDefault="00FF4C4E">
            <w:pPr>
              <w:pStyle w:val="P68B1DB1-Normal13"/>
              <w:spacing w:after="0"/>
              <w:jc w:val="center"/>
              <w:rPr>
                <w:rFonts w:cs="Times New Roman"/>
                <w:noProof/>
              </w:rPr>
            </w:pPr>
            <w:r>
              <w:rPr>
                <w:noProof/>
              </w:rPr>
              <w:t>Ohjelmien julkaiseminen</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8F486CC" w14:textId="7A1F42A4" w:rsidR="000E48CE" w:rsidRDefault="000E48CE">
            <w:pPr>
              <w:spacing w:after="0"/>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7E428DD" w14:textId="3CD1FCF6" w:rsidR="000E48CE" w:rsidRDefault="000E48CE">
            <w:pPr>
              <w:spacing w:after="0"/>
              <w:jc w:val="center"/>
              <w:rPr>
                <w:rFonts w:ascii="Times New Roman" w:hAnsi="Times New Roman" w:cs="Times New Roman"/>
                <w:noProof/>
                <w:sz w:val="18"/>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7005736" w14:textId="42F6C17F" w:rsidR="000E48CE" w:rsidRDefault="000E48CE">
            <w:pPr>
              <w:spacing w:after="0"/>
              <w:jc w:val="center"/>
              <w:rPr>
                <w:rFonts w:ascii="Times New Roman" w:hAnsi="Times New Roman" w:cs="Times New Roman"/>
                <w:noProof/>
                <w:sz w:val="18"/>
              </w:rPr>
            </w:pP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31EA3E9" w14:textId="77777777" w:rsidR="000E48CE" w:rsidRDefault="00FF4C4E">
            <w:pPr>
              <w:pStyle w:val="P68B1DB1-Normal13"/>
              <w:spacing w:after="0"/>
              <w:jc w:val="center"/>
              <w:rPr>
                <w:rFonts w:cs="Times New Roman"/>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982EDB3" w14:textId="3540BD27" w:rsidR="000E48CE" w:rsidRDefault="00FF4C4E">
            <w:pPr>
              <w:pStyle w:val="P68B1DB1-Normal13"/>
              <w:spacing w:after="0"/>
              <w:jc w:val="center"/>
              <w:rPr>
                <w:rFonts w:cs="Times New Roman"/>
                <w:noProof/>
              </w:rPr>
            </w:pPr>
            <w:r>
              <w:rPr>
                <w:noProof/>
              </w:rPr>
              <w:t>2023</w:t>
            </w:r>
          </w:p>
        </w:tc>
        <w:tc>
          <w:tcPr>
            <w:tcW w:w="5670" w:type="dxa"/>
            <w:tcBorders>
              <w:top w:val="single" w:sz="4" w:space="0" w:color="auto"/>
              <w:left w:val="single" w:sz="4" w:space="0" w:color="auto"/>
              <w:bottom w:val="single" w:sz="4" w:space="0" w:color="auto"/>
              <w:right w:val="single" w:sz="4" w:space="0" w:color="auto"/>
            </w:tcBorders>
            <w:shd w:val="clear" w:color="auto" w:fill="C6EFCE"/>
            <w:noWrap/>
          </w:tcPr>
          <w:p w14:paraId="7EE5AD83" w14:textId="402D3BA8" w:rsidR="000E48CE" w:rsidRDefault="00FF4C4E">
            <w:pPr>
              <w:spacing w:after="0"/>
              <w:rPr>
                <w:rFonts w:ascii="Times New Roman" w:hAnsi="Times New Roman" w:cs="Times New Roman"/>
                <w:noProof/>
                <w:sz w:val="18"/>
              </w:rPr>
            </w:pPr>
            <w:r>
              <w:rPr>
                <w:rFonts w:ascii="Times New Roman" w:hAnsi="Times New Roman"/>
                <w:noProof/>
                <w:sz w:val="18"/>
              </w:rPr>
              <w:t>Jatketaan 245-ohjelmasta kansallisen kyberteollisuuden tukiohjelman ja maailmanlaajuisen turvallisuusinnovointiohjelman ja muiden niihin liittyvien toimien käyttöönottoa</w:t>
            </w:r>
            <w:r>
              <w:rPr>
                <w:noProof/>
              </w:rPr>
              <w:t xml:space="preserve"> </w:t>
            </w:r>
            <w:r>
              <w:rPr>
                <w:rFonts w:ascii="Times New Roman" w:hAnsi="Times New Roman"/>
                <w:noProof/>
                <w:sz w:val="18"/>
              </w:rPr>
              <w:t xml:space="preserve">(budjetti on </w:t>
            </w:r>
            <w:r>
              <w:rPr>
                <w:rFonts w:ascii="Times New Roman" w:hAnsi="Times New Roman"/>
                <w:noProof/>
                <w:sz w:val="18"/>
              </w:rPr>
              <w:t xml:space="preserve">107000000 euroa ja välitavoite 245 -ohjelman 311000000 euron lisäksi yhteensä 418000000 euroa), joka koskee keskeisiä teollisuuden näkökohtia, kuten </w:t>
            </w:r>
          </w:p>
          <w:p w14:paraId="4C3E715A" w14:textId="77777777" w:rsidR="000E48CE" w:rsidRDefault="00FF4C4E">
            <w:pPr>
              <w:pStyle w:val="P68B1DB1-Normal13"/>
              <w:spacing w:after="0"/>
              <w:rPr>
                <w:rFonts w:cs="Times New Roman"/>
                <w:noProof/>
              </w:rPr>
            </w:pPr>
            <w:r>
              <w:rPr>
                <w:noProof/>
              </w:rPr>
              <w:t>—kansallisen kyberturvallisuusteollisuuden tukeminen alan yritysten syntymisen, kasvun ja kehityksen edist</w:t>
            </w:r>
            <w:r>
              <w:rPr>
                <w:noProof/>
              </w:rPr>
              <w:t xml:space="preserve">ämiseksi; </w:t>
            </w:r>
          </w:p>
          <w:p w14:paraId="128F5FCB" w14:textId="77777777" w:rsidR="000E48CE" w:rsidRDefault="00FF4C4E">
            <w:pPr>
              <w:pStyle w:val="P68B1DB1-Normal13"/>
              <w:spacing w:after="0"/>
              <w:rPr>
                <w:rFonts w:cs="Times New Roman"/>
                <w:noProof/>
              </w:rPr>
            </w:pPr>
            <w:r>
              <w:rPr>
                <w:noProof/>
              </w:rPr>
              <w:t xml:space="preserve">korkean lisäarvon ratkaisujen ja palvelujen kehittäminen kyberturvallisuuden alalla </w:t>
            </w:r>
          </w:p>
          <w:p w14:paraId="215A96E9" w14:textId="77777777" w:rsidR="000E48CE" w:rsidRDefault="00FF4C4E">
            <w:pPr>
              <w:pStyle w:val="P68B1DB1-Normal13"/>
              <w:spacing w:after="0"/>
              <w:rPr>
                <w:rFonts w:cs="Times New Roman"/>
                <w:noProof/>
              </w:rPr>
            </w:pPr>
            <w:r>
              <w:rPr>
                <w:noProof/>
              </w:rPr>
              <w:t xml:space="preserve">koulutetaan ja kehitetään kyberturvallisuuteen erikoistuneita lahjakkuuksia </w:t>
            </w:r>
          </w:p>
          <w:p w14:paraId="2B5C29E9" w14:textId="77777777" w:rsidR="000E48CE" w:rsidRDefault="00FF4C4E">
            <w:pPr>
              <w:pStyle w:val="P68B1DB1-Normal13"/>
              <w:spacing w:after="0"/>
              <w:rPr>
                <w:rFonts w:cs="Times New Roman"/>
                <w:noProof/>
              </w:rPr>
            </w:pPr>
            <w:r>
              <w:rPr>
                <w:noProof/>
              </w:rPr>
              <w:t xml:space="preserve">— kansainvälistymistoimet kyberturvallisuuden alalla; </w:t>
            </w:r>
          </w:p>
          <w:p w14:paraId="09C08B24" w14:textId="77777777" w:rsidR="000E48CE" w:rsidRDefault="00FF4C4E">
            <w:pPr>
              <w:pStyle w:val="P68B1DB1-Normal13"/>
              <w:spacing w:after="0"/>
              <w:rPr>
                <w:rFonts w:cs="Times New Roman"/>
                <w:noProof/>
              </w:rPr>
            </w:pPr>
            <w:r>
              <w:rPr>
                <w:noProof/>
              </w:rPr>
              <w:t>—demonstraatiokeskuksen peru</w:t>
            </w:r>
            <w:r>
              <w:rPr>
                <w:noProof/>
              </w:rPr>
              <w:t xml:space="preserve">staminen kyberturvallisuusinfrastruktuurin kehittämistä varten ja uusien kyberturvallisuuspalvelujen, kuten testilaboratorioiden ja kyberturvallisuushyökkäysten simulaattoreiden, perustaminen </w:t>
            </w:r>
          </w:p>
          <w:p w14:paraId="38430699" w14:textId="77777777" w:rsidR="000E48CE" w:rsidRDefault="00FF4C4E">
            <w:pPr>
              <w:pStyle w:val="P68B1DB1-Normal13"/>
              <w:spacing w:after="0"/>
              <w:rPr>
                <w:rFonts w:cs="Times New Roman"/>
                <w:noProof/>
              </w:rPr>
            </w:pPr>
            <w:r>
              <w:rPr>
                <w:noProof/>
              </w:rPr>
              <w:t>— kyberturvallisuusmerkintöjen sertifiointien kehittäminen.</w:t>
            </w:r>
          </w:p>
          <w:p w14:paraId="3AA6A019" w14:textId="6030CD96" w:rsidR="000E48CE" w:rsidRDefault="00FF4C4E">
            <w:pPr>
              <w:pStyle w:val="P68B1DB1-Normal13"/>
              <w:spacing w:after="0"/>
              <w:rPr>
                <w:rFonts w:cs="Times New Roman"/>
                <w:noProof/>
              </w:rPr>
            </w:pPr>
            <w:r>
              <w:rPr>
                <w:noProof/>
              </w:rPr>
              <w:t>(Pe</w:t>
            </w:r>
            <w:r>
              <w:rPr>
                <w:noProof/>
              </w:rPr>
              <w:t>russkenaarion päivämäärä: Joulukuu 2022)</w:t>
            </w:r>
          </w:p>
        </w:tc>
      </w:tr>
      <w:tr w:rsidR="000E48CE" w14:paraId="499C6D84"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4D288E7" w14:textId="77777777" w:rsidR="000E48CE" w:rsidRDefault="00FF4C4E">
            <w:pPr>
              <w:pStyle w:val="P68B1DB1-Normal13"/>
              <w:spacing w:after="0"/>
              <w:jc w:val="center"/>
              <w:rPr>
                <w:rFonts w:eastAsia="Times New Roman" w:cs="Times New Roman"/>
                <w:noProof/>
              </w:rPr>
            </w:pPr>
            <w:r>
              <w:rPr>
                <w:noProof/>
              </w:rPr>
              <w:t>246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BDAD87E" w14:textId="77777777" w:rsidR="000E48CE" w:rsidRDefault="00FF4C4E">
            <w:pPr>
              <w:pStyle w:val="P68B1DB1-Normal13"/>
              <w:spacing w:after="0"/>
              <w:jc w:val="center"/>
              <w:rPr>
                <w:rFonts w:eastAsia="Times New Roman"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5B013B2" w14:textId="77777777" w:rsidR="000E48CE" w:rsidRDefault="00FF4C4E">
            <w:pPr>
              <w:pStyle w:val="P68B1DB1-Normal13"/>
              <w:spacing w:after="0"/>
              <w:jc w:val="center"/>
              <w:rPr>
                <w:rFonts w:eastAsia="Times New Roman"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EF056CD" w14:textId="77777777" w:rsidR="000E48CE" w:rsidRDefault="00FF4C4E">
            <w:pPr>
              <w:pStyle w:val="P68B1DB1-Normal13"/>
              <w:spacing w:after="0"/>
              <w:rPr>
                <w:rFonts w:eastAsia="Times New Roman" w:cs="Times New Roman"/>
                <w:noProof/>
              </w:rPr>
            </w:pPr>
            <w:r>
              <w:rPr>
                <w:noProof/>
              </w:rPr>
              <w:t>Kyberturvallisuusvalmiuksien vahvistaminen ja parantaminen: Resurssit</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53EC6B8" w14:textId="77777777" w:rsidR="000E48CE" w:rsidRDefault="00FF4C4E">
            <w:pPr>
              <w:pStyle w:val="P68B1DB1-Normal13"/>
              <w:spacing w:after="0"/>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45A6F4B" w14:textId="77777777" w:rsidR="000E48CE" w:rsidRDefault="00FF4C4E">
            <w:pPr>
              <w:pStyle w:val="P68B1DB1-Normal13"/>
              <w:spacing w:after="0"/>
              <w:jc w:val="right"/>
              <w:rPr>
                <w:rFonts w:eastAsia="Times New Roman" w:cs="Times New Roman"/>
                <w:noProof/>
              </w:rPr>
            </w:pPr>
            <w:r>
              <w:rPr>
                <w:noProof/>
              </w:rPr>
              <w:t>Määrä</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C6C39D5" w14:textId="77777777" w:rsidR="000E48CE" w:rsidRDefault="00FF4C4E">
            <w:pPr>
              <w:pStyle w:val="P68B1DB1-Normal13"/>
              <w:spacing w:after="0"/>
              <w:jc w:val="right"/>
              <w:rPr>
                <w:rFonts w:eastAsia="Times New Roman"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EF372F2" w14:textId="77777777" w:rsidR="000E48CE" w:rsidRDefault="00FF4C4E">
            <w:pPr>
              <w:pStyle w:val="P68B1DB1-Normal13"/>
              <w:spacing w:after="0"/>
              <w:jc w:val="right"/>
              <w:rPr>
                <w:rFonts w:eastAsia="Times New Roman" w:cs="Times New Roman"/>
                <w:noProof/>
              </w:rPr>
            </w:pPr>
            <w:r>
              <w:rPr>
                <w:noProof/>
              </w:rPr>
              <w:t>100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5C8DB48F" w14:textId="77777777" w:rsidR="000E48CE" w:rsidRDefault="00FF4C4E">
            <w:pPr>
              <w:pStyle w:val="P68B1DB1-Normal13"/>
              <w:spacing w:after="0"/>
              <w:jc w:val="center"/>
              <w:rPr>
                <w:rFonts w:eastAsia="Times New Roman"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354BB86" w14:textId="77777777" w:rsidR="000E48CE" w:rsidRDefault="00FF4C4E">
            <w:pPr>
              <w:pStyle w:val="P68B1DB1-Normal13"/>
              <w:spacing w:after="0"/>
              <w:jc w:val="center"/>
              <w:rPr>
                <w:rFonts w:eastAsia="Times New Roman" w:cs="Times New Roman"/>
                <w:noProof/>
              </w:rPr>
            </w:pPr>
            <w:r>
              <w:rPr>
                <w:noProof/>
              </w:rPr>
              <w:t>2023</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4AADAE6" w14:textId="77777777" w:rsidR="000E48CE" w:rsidRDefault="00FF4C4E">
            <w:pPr>
              <w:pStyle w:val="P68B1DB1-Normal13"/>
              <w:spacing w:after="0"/>
              <w:rPr>
                <w:rFonts w:eastAsia="Times New Roman" w:cs="Times New Roman"/>
                <w:noProof/>
              </w:rPr>
            </w:pPr>
            <w:r>
              <w:rPr>
                <w:noProof/>
              </w:rPr>
              <w:t xml:space="preserve">Vahvistetaan ja parannetaan kyberturvallisuusvalmiuksia osoittamalla vähintään 100 resurssia </w:t>
            </w:r>
            <w:r>
              <w:rPr>
                <w:noProof/>
              </w:rPr>
              <w:t>kyberturvallisuuden alan tiedotus- ja viestintätoimiin. Kyberturvallisuuteen liittyviä digitaalisia taitoja on kehitettävä kaikilla koulutustasoilla kehittämällä erityisiä resursseja, välineitä ja materiaaleja. Lisäksi perustetaan kyberturvallisuuskeskuste</w:t>
            </w:r>
            <w:r>
              <w:rPr>
                <w:noProof/>
              </w:rPr>
              <w:t>n eurooppalaiseen verkostoon osallistuva kansainvälinen kyberturvallisuuskeskus.</w:t>
            </w:r>
          </w:p>
        </w:tc>
      </w:tr>
      <w:tr w:rsidR="000E48CE" w14:paraId="5AE9C9F7"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11223121" w14:textId="77777777" w:rsidR="000E48CE" w:rsidRDefault="00FF4C4E">
            <w:pPr>
              <w:pStyle w:val="P68B1DB1-Normal13"/>
              <w:spacing w:after="0"/>
              <w:jc w:val="center"/>
              <w:rPr>
                <w:rFonts w:cs="Times New Roman"/>
                <w:noProof/>
              </w:rPr>
            </w:pPr>
            <w:r>
              <w:rPr>
                <w:noProof/>
              </w:rPr>
              <w:t>247</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7C38019" w14:textId="77777777" w:rsidR="000E48CE" w:rsidRDefault="00FF4C4E">
            <w:pPr>
              <w:pStyle w:val="P68B1DB1-Normal13"/>
              <w:spacing w:after="0"/>
              <w:jc w:val="center"/>
              <w:rPr>
                <w:rFonts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216395D" w14:textId="77777777" w:rsidR="000E48CE" w:rsidRDefault="00FF4C4E">
            <w:pPr>
              <w:pStyle w:val="P68B1DB1-Normal13"/>
              <w:spacing w:after="0"/>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39A38F69" w14:textId="77777777" w:rsidR="000E48CE" w:rsidRDefault="00FF4C4E">
            <w:pPr>
              <w:pStyle w:val="P68B1DB1-Normal13"/>
              <w:spacing w:after="0"/>
              <w:rPr>
                <w:rFonts w:cs="Times New Roman"/>
                <w:noProof/>
              </w:rPr>
            </w:pPr>
            <w:r>
              <w:rPr>
                <w:noProof/>
              </w:rPr>
              <w:t>Kyberturvallisuusvalmiuksien vahvistaminen ja parantaminen: Kyberturvallisuuden tukilinja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2C174D4" w14:textId="77777777" w:rsidR="000E48CE" w:rsidRDefault="00FF4C4E">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2ABC001" w14:textId="77777777" w:rsidR="000E48CE" w:rsidRDefault="00FF4C4E">
            <w:pPr>
              <w:pStyle w:val="P68B1DB1-Normal13"/>
              <w:spacing w:after="0"/>
              <w:jc w:val="right"/>
              <w:rPr>
                <w:rFonts w:cs="Times New Roman"/>
                <w:noProof/>
              </w:rPr>
            </w:pPr>
            <w:r>
              <w:rPr>
                <w:noProof/>
              </w:rPr>
              <w:t>Määrä</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1F1E224" w14:textId="77777777" w:rsidR="000E48CE" w:rsidRDefault="00FF4C4E">
            <w:pPr>
              <w:pStyle w:val="P68B1DB1-Normal13"/>
              <w:spacing w:after="0"/>
              <w:jc w:val="right"/>
              <w:rPr>
                <w:rFonts w:cs="Times New Roman"/>
                <w:noProof/>
              </w:rPr>
            </w:pPr>
            <w:r>
              <w:rPr>
                <w:noProof/>
              </w:rPr>
              <w:t>5 000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77D81FA" w14:textId="77777777" w:rsidR="000E48CE" w:rsidRDefault="00FF4C4E">
            <w:pPr>
              <w:pStyle w:val="P68B1DB1-Normal13"/>
              <w:spacing w:after="0"/>
              <w:jc w:val="right"/>
              <w:rPr>
                <w:rFonts w:cs="Times New Roman"/>
                <w:noProof/>
              </w:rPr>
            </w:pPr>
            <w:r>
              <w:rPr>
                <w:noProof/>
              </w:rPr>
              <w:t>20 000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54F03A3F" w14:textId="77777777" w:rsidR="000E48CE" w:rsidRDefault="00FF4C4E">
            <w:pPr>
              <w:pStyle w:val="P68B1DB1-Normal13"/>
              <w:spacing w:after="0"/>
              <w:jc w:val="center"/>
              <w:rPr>
                <w:rFonts w:cs="Times New Roman"/>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EF76858" w14:textId="0FA55558" w:rsidR="000E48CE" w:rsidRDefault="00FF4C4E">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146AA933" w14:textId="77777777" w:rsidR="000E48CE" w:rsidRDefault="00FF4C4E">
            <w:pPr>
              <w:pStyle w:val="P68B1DB1-Normal13"/>
              <w:spacing w:after="0"/>
              <w:rPr>
                <w:rFonts w:cs="Times New Roman"/>
                <w:noProof/>
              </w:rPr>
            </w:pPr>
            <w:r>
              <w:rPr>
                <w:noProof/>
              </w:rPr>
              <w:t>Kyberturvallisuusvalmiuksien vahvistaminen</w:t>
            </w:r>
            <w:r>
              <w:rPr>
                <w:noProof/>
              </w:rPr>
              <w:t xml:space="preserve"> parantamalla kansallisen kyberturvallisuusinstituutin (INCIBE) kyberturvallisuustukilinjaa, jonka kuukausittainen kapasiteetti on vähintään 20000 kertaa kuukaudessa. Tällä puhelinpalvelulla tuetaan myös lasten seksuaaliseen hyväksikäyttöön liittyvän mater</w:t>
            </w:r>
            <w:r>
              <w:rPr>
                <w:noProof/>
              </w:rPr>
              <w:t>iaalin poistamista verkkoresursseista (CSAM).</w:t>
            </w:r>
          </w:p>
        </w:tc>
      </w:tr>
      <w:tr w:rsidR="000E48CE" w14:paraId="30A996CB"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5F5EAA9" w14:textId="77777777" w:rsidR="000E48CE" w:rsidRDefault="00FF4C4E">
            <w:pPr>
              <w:pStyle w:val="P68B1DB1-Normal13"/>
              <w:spacing w:after="0"/>
              <w:jc w:val="center"/>
              <w:rPr>
                <w:rFonts w:cs="Times New Roman"/>
                <w:noProof/>
                <w:highlight w:val="yellow"/>
              </w:rPr>
            </w:pPr>
            <w:r>
              <w:rPr>
                <w:noProof/>
              </w:rPr>
              <w:t>248</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6383EBE" w14:textId="77777777" w:rsidR="000E48CE" w:rsidRDefault="00FF4C4E">
            <w:pPr>
              <w:pStyle w:val="P68B1DB1-Normal13"/>
              <w:spacing w:after="0"/>
              <w:jc w:val="center"/>
              <w:rPr>
                <w:rFonts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6CBE7B3" w14:textId="77777777" w:rsidR="000E48CE" w:rsidRDefault="00FF4C4E">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7848E5A" w14:textId="77777777" w:rsidR="000E48CE" w:rsidRDefault="00FF4C4E">
            <w:pPr>
              <w:pStyle w:val="P68B1DB1-Normal13"/>
              <w:spacing w:after="0"/>
              <w:rPr>
                <w:rFonts w:cs="Times New Roman"/>
                <w:noProof/>
              </w:rPr>
            </w:pPr>
            <w:r>
              <w:rPr>
                <w:noProof/>
              </w:rPr>
              <w:t>Kansallisen kyberturvallisuusteollisuuden tukiohjelman, maailmanlaajuisen turvallisuusinnovointiohjelman ja niihin liittyvien toimien hankkeiden loppuun saattaminen.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355E1BE" w14:textId="77777777" w:rsidR="000E48CE" w:rsidRDefault="00FF4C4E">
            <w:pPr>
              <w:pStyle w:val="P68B1DB1-Normal13"/>
              <w:spacing w:after="0"/>
              <w:jc w:val="center"/>
              <w:rPr>
                <w:rFonts w:cs="Times New Roman"/>
                <w:noProof/>
              </w:rPr>
            </w:pPr>
            <w:r>
              <w:rPr>
                <w:noProof/>
              </w:rPr>
              <w:t>Ilmoitus investointihankkeiden</w:t>
            </w:r>
            <w:r>
              <w:rPr>
                <w:noProof/>
              </w:rPr>
              <w:t xml:space="preserve"> loppuun saattamisesta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0C22811" w14:textId="77777777" w:rsidR="000E48CE" w:rsidRDefault="00FF4C4E">
            <w:pPr>
              <w:pStyle w:val="P68B1DB1-Normal13"/>
              <w:spacing w:after="0"/>
              <w:jc w:val="right"/>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387D92F" w14:textId="77777777" w:rsidR="000E48CE" w:rsidRDefault="00FF4C4E">
            <w:pPr>
              <w:pStyle w:val="P68B1DB1-Normal13"/>
              <w:spacing w:after="0"/>
              <w:jc w:val="right"/>
              <w:rPr>
                <w:rFonts w:cs="Times New Roman"/>
                <w:noProof/>
              </w:rPr>
            </w:pPr>
            <w:r>
              <w:rPr>
                <w:noProof/>
              </w:rPr>
              <w:t>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DA3C514" w14:textId="77777777" w:rsidR="000E48CE" w:rsidRDefault="00FF4C4E">
            <w:pPr>
              <w:pStyle w:val="P68B1DB1-Normal13"/>
              <w:spacing w:after="0"/>
              <w:jc w:val="right"/>
              <w:rPr>
                <w:rFonts w:cs="Times New Roman"/>
                <w:noProof/>
              </w:rPr>
            </w:pPr>
            <w:r>
              <w:rPr>
                <w:noProof/>
              </w:rPr>
              <w:t>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2ECC6469" w14:textId="77777777" w:rsidR="000E48CE" w:rsidRDefault="00FF4C4E">
            <w:pPr>
              <w:pStyle w:val="P68B1DB1-Normal13"/>
              <w:spacing w:after="0"/>
              <w:jc w:val="center"/>
              <w:rPr>
                <w:rFonts w:cs="Times New Roman"/>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234E94E" w14:textId="77777777" w:rsidR="000E48CE" w:rsidRDefault="00FF4C4E">
            <w:pPr>
              <w:pStyle w:val="P68B1DB1-Normal13"/>
              <w:spacing w:after="0"/>
              <w:jc w:val="center"/>
              <w:rPr>
                <w:rFonts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E75B61" w14:textId="77777777" w:rsidR="000E48CE" w:rsidRDefault="00FF4C4E">
            <w:pPr>
              <w:pStyle w:val="P68B1DB1-Normal13"/>
              <w:spacing w:after="0"/>
              <w:rPr>
                <w:rFonts w:cs="Times New Roman"/>
                <w:noProof/>
              </w:rPr>
            </w:pPr>
            <w:r>
              <w:rPr>
                <w:noProof/>
              </w:rPr>
              <w:t xml:space="preserve">Kansalliseen kyberturvallisuusteollisuuden tukiohjelmaan ja maailmanlaajuiseen turvallisuusinnovointiohjelmaan sisältyvien hankkeiden ja muiden asiaan liittyvien toimien loppuun saattaminen seuraavilla aloilla </w:t>
            </w:r>
            <w:r>
              <w:rPr>
                <w:noProof/>
              </w:rPr>
              <w:t>(toteutettu välitilassa 245):</w:t>
            </w:r>
            <w:r>
              <w:rPr>
                <w:noProof/>
              </w:rPr>
              <w:br/>
              <w:t xml:space="preserve">kansallisen kyberturvallisuusteollisuuden tukeminen alan yritysten syntymisen, kasvun ja kehityksen edistämiseksi </w:t>
            </w:r>
            <w:r>
              <w:rPr>
                <w:noProof/>
              </w:rPr>
              <w:br/>
              <w:t xml:space="preserve">korkean lisäarvon ratkaisujen ja palvelujen kehittäminen kyberturvallisuuden alalla </w:t>
            </w:r>
            <w:r>
              <w:rPr>
                <w:noProof/>
              </w:rPr>
              <w:br/>
              <w:t xml:space="preserve">koulutetaan ja kehitetään </w:t>
            </w:r>
            <w:r>
              <w:rPr>
                <w:noProof/>
              </w:rPr>
              <w:t xml:space="preserve">lahjakkuuksia kyberturvallisuuden alalla, </w:t>
            </w:r>
            <w:r>
              <w:rPr>
                <w:noProof/>
              </w:rPr>
              <w:br/>
              <w:t xml:space="preserve">Kansainvälistymistoimet kyberturvallisuuden alalla </w:t>
            </w:r>
            <w:r>
              <w:rPr>
                <w:noProof/>
              </w:rPr>
              <w:br/>
              <w:t>—demonstraatiokeskuksen perustaminen kyberturvallisuusinfrastruktuurin kehittämistä varten ja uusien kyberturvallisuuspalvelujen, kuten testilaboratorioiden ja k</w:t>
            </w:r>
            <w:r>
              <w:rPr>
                <w:noProof/>
              </w:rPr>
              <w:t xml:space="preserve">yberturvallisuushyökkäysten simulaattoreiden, perustaminen </w:t>
            </w:r>
            <w:r>
              <w:rPr>
                <w:noProof/>
              </w:rPr>
              <w:br/>
              <w:t>kyberturvallisuusmerkintöjen sertifiointien kehittäminen</w:t>
            </w:r>
          </w:p>
        </w:tc>
      </w:tr>
      <w:tr w:rsidR="000E48CE" w14:paraId="50CCF006" w14:textId="77777777">
        <w:trPr>
          <w:gridAfter w:val="1"/>
          <w:wAfter w:w="6" w:type="dxa"/>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750ABBA4" w14:textId="5A246F5F" w:rsidR="000E48CE" w:rsidRDefault="00FF4C4E">
            <w:pPr>
              <w:pStyle w:val="P68B1DB1-Normal13"/>
              <w:spacing w:after="0"/>
              <w:jc w:val="center"/>
              <w:rPr>
                <w:rFonts w:cs="Times New Roman"/>
                <w:noProof/>
                <w:shd w:val="clear" w:color="auto" w:fill="E6E6E6"/>
              </w:rPr>
            </w:pPr>
            <w:r>
              <w:rPr>
                <w:noProof/>
              </w:rPr>
              <w:t>454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7CD70E0" w14:textId="77777777" w:rsidR="000E48CE" w:rsidRDefault="00FF4C4E">
            <w:pPr>
              <w:pStyle w:val="P68B1DB1-Normal13"/>
              <w:spacing w:after="0"/>
              <w:jc w:val="center"/>
              <w:rPr>
                <w:rFonts w:cs="Times New Roman"/>
                <w:noProof/>
                <w:shd w:val="clear" w:color="auto" w:fill="E6E6E6"/>
              </w:rPr>
            </w:pPr>
            <w:r>
              <w:rPr>
                <w:noProof/>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F70033C" w14:textId="77777777" w:rsidR="000E48CE" w:rsidRDefault="00FF4C4E">
            <w:pPr>
              <w:pStyle w:val="P68B1DB1-Normal13"/>
              <w:spacing w:after="0"/>
              <w:jc w:val="center"/>
              <w:rPr>
                <w:rFonts w:cs="Times New Roman"/>
                <w:noProof/>
              </w:rPr>
            </w:pPr>
            <w:r>
              <w:rPr>
                <w:noProof/>
              </w:rPr>
              <w:t>M</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7390809" w14:textId="77777777" w:rsidR="000E48CE" w:rsidRDefault="00FF4C4E">
            <w:pPr>
              <w:pStyle w:val="P68B1DB1-Normal13"/>
              <w:spacing w:after="0"/>
              <w:rPr>
                <w:rFonts w:eastAsia="Times New Roman" w:cs="Times New Roman"/>
                <w:noProof/>
              </w:rPr>
            </w:pPr>
            <w:r>
              <w:rPr>
                <w:noProof/>
              </w:rPr>
              <w:t>PERTE-SIRU. Tieteellisten valmiuksien, suunnittelun ja innovatiivisen valmistuksen vahvistaminen: palkinto</w:t>
            </w:r>
          </w:p>
          <w:p w14:paraId="11F6290C" w14:textId="77777777" w:rsidR="000E48CE" w:rsidRDefault="000E48CE">
            <w:pPr>
              <w:spacing w:after="0"/>
              <w:rPr>
                <w:rFonts w:ascii="Times New Roman" w:hAnsi="Times New Roman" w:cs="Times New Roman"/>
                <w:noProof/>
                <w:sz w:val="18"/>
                <w:shd w:val="clear" w:color="auto" w:fill="E6E6E6"/>
              </w:rPr>
            </w:pP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2B917ACA" w14:textId="77777777" w:rsidR="000E48CE" w:rsidRDefault="00FF4C4E">
            <w:pPr>
              <w:pStyle w:val="P68B1DB1-Normal13"/>
              <w:spacing w:after="0"/>
              <w:jc w:val="center"/>
              <w:rPr>
                <w:rFonts w:eastAsia="Times New Roman" w:cs="Times New Roman"/>
                <w:noProof/>
              </w:rPr>
            </w:pPr>
            <w:r>
              <w:rPr>
                <w:noProof/>
              </w:rPr>
              <w:t xml:space="preserve">Hankkeiden </w:t>
            </w:r>
            <w:r>
              <w:rPr>
                <w:noProof/>
              </w:rPr>
              <w:t>avustusten virallinen julkaiseminen</w:t>
            </w:r>
          </w:p>
          <w:p w14:paraId="07207186" w14:textId="77777777" w:rsidR="000E48CE" w:rsidRDefault="000E48CE">
            <w:pPr>
              <w:spacing w:after="0"/>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2AFE8DE" w14:textId="77777777" w:rsidR="000E48CE" w:rsidRDefault="000E48CE">
            <w:pPr>
              <w:spacing w:after="0"/>
              <w:jc w:val="right"/>
              <w:rPr>
                <w:rFonts w:ascii="Times New Roman" w:hAnsi="Times New Roman" w:cs="Times New Roman"/>
                <w:noProof/>
                <w:sz w:val="18"/>
                <w:shd w:val="clear" w:color="auto" w:fill="E6E6E6"/>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1852F31" w14:textId="77777777" w:rsidR="000E48CE" w:rsidRDefault="000E48CE">
            <w:pPr>
              <w:spacing w:after="0"/>
              <w:jc w:val="right"/>
              <w:rPr>
                <w:rFonts w:ascii="Times New Roman" w:hAnsi="Times New Roman" w:cs="Times New Roman"/>
                <w:noProof/>
                <w:sz w:val="18"/>
                <w:shd w:val="clear" w:color="auto" w:fill="E6E6E6"/>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D703A86" w14:textId="77777777" w:rsidR="000E48CE" w:rsidRDefault="000E48CE">
            <w:pPr>
              <w:spacing w:after="0"/>
              <w:jc w:val="right"/>
              <w:rPr>
                <w:rFonts w:ascii="Times New Roman" w:hAnsi="Times New Roman" w:cs="Times New Roman"/>
                <w:noProof/>
                <w:sz w:val="18"/>
                <w:shd w:val="clear" w:color="auto" w:fill="E6E6E6"/>
              </w:rPr>
            </w:pP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58221B7" w14:textId="54C7CB30" w:rsidR="000E48CE" w:rsidRDefault="00FF4C4E">
            <w:pPr>
              <w:pStyle w:val="P68B1DB1-Normal13"/>
              <w:spacing w:after="0"/>
              <w:jc w:val="center"/>
              <w:rPr>
                <w:rFonts w:cs="Times New Roman"/>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C5426B2" w14:textId="0FCACF73" w:rsidR="000E48CE" w:rsidRDefault="00FF4C4E">
            <w:pPr>
              <w:pStyle w:val="P68B1DB1-Normal13"/>
              <w:spacing w:after="0"/>
              <w:jc w:val="center"/>
              <w:rPr>
                <w:rFonts w:cs="Times New Roman"/>
                <w:noProof/>
                <w:shd w:val="clear" w:color="auto" w:fill="E6E6E6"/>
              </w:rPr>
            </w:pPr>
            <w:r>
              <w:rPr>
                <w:noProof/>
              </w:rPr>
              <w:t>2025</w:t>
            </w:r>
          </w:p>
        </w:tc>
        <w:tc>
          <w:tcPr>
            <w:tcW w:w="5670" w:type="dxa"/>
            <w:tcBorders>
              <w:top w:val="single" w:sz="4" w:space="0" w:color="auto"/>
              <w:left w:val="single" w:sz="4" w:space="0" w:color="auto"/>
              <w:bottom w:val="single" w:sz="4" w:space="0" w:color="auto"/>
              <w:right w:val="single" w:sz="4" w:space="0" w:color="auto"/>
            </w:tcBorders>
            <w:shd w:val="clear" w:color="auto" w:fill="C6EFCE"/>
            <w:noWrap/>
          </w:tcPr>
          <w:p w14:paraId="235D63DE" w14:textId="7A575413" w:rsidR="000E48CE" w:rsidRDefault="00FF4C4E">
            <w:pPr>
              <w:pStyle w:val="P68B1DB1-Normal13"/>
              <w:spacing w:after="0"/>
              <w:rPr>
                <w:rFonts w:cs="Times New Roman"/>
                <w:noProof/>
                <w:shd w:val="clear" w:color="auto" w:fill="E6E6E6"/>
              </w:rPr>
            </w:pPr>
            <w:r>
              <w:rPr>
                <w:noProof/>
              </w:rPr>
              <w:t>Vähintään 540900000 euroa myönnetään mikroelektroniikan ja puolijohteiden alan T &amp; K &amp; I-hankkeisiin, mukaan lukien valkohuoneinfrastruktuurin luominen ja parantaminen, lahjakkuuksien tai innovatiivisen valmi</w:t>
            </w:r>
            <w:r>
              <w:rPr>
                <w:noProof/>
              </w:rPr>
              <w:t>stusteollisuuden suunnittelu, tuottaminen ja houkutteleminen.</w:t>
            </w:r>
          </w:p>
        </w:tc>
      </w:tr>
      <w:tr w:rsidR="000E48CE" w14:paraId="261D3CE2"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120EEBE" w14:textId="5DB6BB3E" w:rsidR="000E48CE" w:rsidRDefault="00FF4C4E">
            <w:pPr>
              <w:pStyle w:val="P68B1DB1-Normal13"/>
              <w:spacing w:after="0"/>
              <w:jc w:val="center"/>
              <w:rPr>
                <w:rFonts w:cs="Times New Roman"/>
                <w:noProof/>
              </w:rPr>
            </w:pPr>
            <w:r>
              <w:rPr>
                <w:noProof/>
              </w:rPr>
              <w:t>455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773E3B0" w14:textId="77777777" w:rsidR="000E48CE" w:rsidRDefault="00FF4C4E">
            <w:pPr>
              <w:pStyle w:val="P68B1DB1-Normal13"/>
              <w:spacing w:after="0"/>
              <w:jc w:val="center"/>
              <w:rPr>
                <w:rFonts w:cs="Times New Roman"/>
                <w:noProof/>
              </w:rPr>
            </w:pPr>
            <w:r>
              <w:rPr>
                <w:noProof/>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3F2A9A9" w14:textId="77777777" w:rsidR="000E48CE" w:rsidRDefault="00FF4C4E">
            <w:pPr>
              <w:pStyle w:val="P68B1DB1-Normal34"/>
              <w:spacing w:after="0"/>
              <w:jc w:val="center"/>
              <w:rPr>
                <w:rFonts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F638040" w14:textId="2DF44A7E" w:rsidR="000E48CE" w:rsidRDefault="00FF4C4E">
            <w:pPr>
              <w:pStyle w:val="P68B1DB1-Normal13"/>
              <w:spacing w:after="0"/>
              <w:rPr>
                <w:rFonts w:cs="Times New Roman"/>
                <w:noProof/>
              </w:rPr>
            </w:pPr>
            <w:r>
              <w:rPr>
                <w:noProof/>
              </w:rPr>
              <w:t>PERTE-SIRU. Tieteellisten valmiuksien, suunnittelun ja innovatiivisen valmistuksen vahvistaminen: maksatus.</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373BF882" w14:textId="77777777" w:rsidR="000E48CE" w:rsidRDefault="000E48CE">
            <w:pPr>
              <w:spacing w:after="0"/>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2B9643A" w14:textId="47AD25FF" w:rsidR="000E48CE" w:rsidRDefault="00FF4C4E">
            <w:pPr>
              <w:pStyle w:val="P68B1DB1-Normal13"/>
              <w:spacing w:after="0"/>
              <w:jc w:val="right"/>
              <w:rPr>
                <w:rFonts w:cs="Times New Roman"/>
                <w:noProof/>
              </w:rPr>
            </w:pPr>
            <w:r>
              <w:rPr>
                <w:noProof/>
              </w:rPr>
              <w:t>Miljoonaa euroa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D46C61B" w14:textId="03414522" w:rsidR="000E48CE" w:rsidRDefault="00FF4C4E">
            <w:pPr>
              <w:pStyle w:val="P68B1DB1-Normal13"/>
              <w:spacing w:after="0"/>
              <w:jc w:val="right"/>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F2AED1F" w14:textId="77777777" w:rsidR="000E48CE" w:rsidRDefault="00FF4C4E">
            <w:pPr>
              <w:pStyle w:val="P68B1DB1-Normal13"/>
              <w:spacing w:after="0"/>
              <w:jc w:val="right"/>
              <w:rPr>
                <w:rFonts w:cs="Times New Roman"/>
                <w:noProof/>
              </w:rPr>
            </w:pPr>
            <w:r>
              <w:rPr>
                <w:noProof/>
              </w:rPr>
              <w:t>486,81</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CD7AD15" w14:textId="77777777" w:rsidR="000E48CE" w:rsidRDefault="00FF4C4E">
            <w:pPr>
              <w:pStyle w:val="P68B1DB1-Normal13"/>
              <w:spacing w:after="0"/>
              <w:jc w:val="center"/>
              <w:rPr>
                <w:rFonts w:cs="Times New Roman"/>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917CAE8" w14:textId="7A05CFF0" w:rsidR="000E48CE" w:rsidRDefault="00FF4C4E">
            <w:pPr>
              <w:pStyle w:val="P68B1DB1-Normal13"/>
              <w:spacing w:after="0"/>
              <w:jc w:val="center"/>
              <w:rPr>
                <w:rFonts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0CFFCAC" w14:textId="590C5059" w:rsidR="000E48CE" w:rsidRDefault="00FF4C4E">
            <w:pPr>
              <w:pStyle w:val="P68B1DB1-Normal13"/>
              <w:spacing w:after="0"/>
              <w:rPr>
                <w:rFonts w:cs="Times New Roman"/>
                <w:noProof/>
              </w:rPr>
            </w:pPr>
            <w:r>
              <w:rPr>
                <w:noProof/>
              </w:rPr>
              <w:t>Vähintään 486810000 euron maksu mikroelektroniikan ja puolijohteiden alan T &amp; K &amp; I-hankkeisiin, mukaan lukien valkohuoneinfrastruktuurin luominen ja parantaminen, lahjakkuuksien tai innovatiivisen valmistusteollisuuden suunnittelu, tuottaminen ja houkutte</w:t>
            </w:r>
            <w:r>
              <w:rPr>
                <w:noProof/>
              </w:rPr>
              <w:t xml:space="preserve">leminen. </w:t>
            </w:r>
          </w:p>
        </w:tc>
      </w:tr>
      <w:tr w:rsidR="000E48CE" w14:paraId="241EC10F"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4AB5813E" w14:textId="1C0E1E87" w:rsidR="000E48CE" w:rsidRDefault="00FF4C4E">
            <w:pPr>
              <w:pStyle w:val="P68B1DB1-Normal13"/>
              <w:spacing w:after="0"/>
              <w:jc w:val="center"/>
              <w:rPr>
                <w:rFonts w:eastAsia="Times New Roman" w:cs="Times New Roman"/>
                <w:noProof/>
              </w:rPr>
            </w:pPr>
            <w:r>
              <w:rPr>
                <w:noProof/>
              </w:rPr>
              <w:t>456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02C0AE1" w14:textId="58978213" w:rsidR="000E48CE" w:rsidRDefault="00FF4C4E">
            <w:pPr>
              <w:pStyle w:val="P68B1DB1-Normal13"/>
              <w:spacing w:after="0"/>
              <w:jc w:val="center"/>
              <w:rPr>
                <w:rFonts w:eastAsia="Times New Roman" w:cs="Times New Roman"/>
                <w:noProof/>
              </w:rPr>
            </w:pPr>
            <w:r>
              <w:rPr>
                <w:noProof/>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24AA2E09" w14:textId="77777777" w:rsidR="000E48CE" w:rsidRDefault="00FF4C4E">
            <w:pPr>
              <w:pStyle w:val="P68B1DB1-Normal13"/>
              <w:spacing w:after="0"/>
              <w:jc w:val="both"/>
              <w:rPr>
                <w:rFonts w:eastAsia="Times New Roman" w:cs="Times New Roman"/>
                <w:noProof/>
              </w:rPr>
            </w:pPr>
            <w:r>
              <w:rPr>
                <w:noProof/>
              </w:rPr>
              <w:t>T</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2FB4D002" w14:textId="77777777" w:rsidR="000E48CE" w:rsidRDefault="00FF4C4E">
            <w:pPr>
              <w:pStyle w:val="P68B1DB1-Normal13"/>
              <w:spacing w:after="0"/>
              <w:rPr>
                <w:rFonts w:eastAsia="Times New Roman" w:cs="Times New Roman"/>
                <w:noProof/>
              </w:rPr>
            </w:pPr>
            <w:r>
              <w:rPr>
                <w:noProof/>
              </w:rPr>
              <w:t>PERTE-SIRU. Tuolit ja mikroelektroniikan osaaminen</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69CB42B" w14:textId="77777777" w:rsidR="000E48CE" w:rsidRDefault="000E48CE">
            <w:pPr>
              <w:spacing w:after="0"/>
              <w:rPr>
                <w:rFonts w:ascii="Times New Roman" w:eastAsia="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4B8AE7D" w14:textId="77777777" w:rsidR="000E48CE" w:rsidRDefault="00FF4C4E">
            <w:pPr>
              <w:pStyle w:val="P68B1DB1-Normal13"/>
              <w:spacing w:after="0"/>
              <w:jc w:val="both"/>
              <w:rPr>
                <w:rFonts w:eastAsia="Times New Roman" w:cs="Times New Roman"/>
                <w:noProof/>
              </w:rPr>
            </w:pPr>
            <w:r>
              <w:rPr>
                <w:noProof/>
              </w:rPr>
              <w:t>Määrä</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C0AB539" w14:textId="77777777" w:rsidR="000E48CE" w:rsidRDefault="00FF4C4E">
            <w:pPr>
              <w:pStyle w:val="P68B1DB1-Normal13"/>
              <w:spacing w:after="0"/>
              <w:jc w:val="right"/>
              <w:rPr>
                <w:rFonts w:eastAsia="Times New Roman"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01D70DF3" w14:textId="0BBBA109" w:rsidR="000E48CE" w:rsidRDefault="00FF4C4E">
            <w:pPr>
              <w:pStyle w:val="P68B1DB1-Normal13"/>
              <w:spacing w:after="0"/>
              <w:jc w:val="right"/>
              <w:rPr>
                <w:rFonts w:eastAsia="Times New Roman" w:cs="Times New Roman"/>
                <w:noProof/>
              </w:rPr>
            </w:pPr>
            <w:r>
              <w:rPr>
                <w:noProof/>
              </w:rPr>
              <w:t>13</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23EC645" w14:textId="77777777" w:rsidR="000E48CE" w:rsidRDefault="00FF4C4E">
            <w:pPr>
              <w:pStyle w:val="P68B1DB1-Normal13"/>
              <w:spacing w:after="0"/>
              <w:jc w:val="center"/>
              <w:rPr>
                <w:rFonts w:eastAsia="Times New Roman" w:cs="Times New Roman"/>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D49183E" w14:textId="77777777" w:rsidR="000E48CE" w:rsidRDefault="00FF4C4E">
            <w:pPr>
              <w:pStyle w:val="P68B1DB1-Normal13"/>
              <w:spacing w:after="0"/>
              <w:jc w:val="center"/>
              <w:rPr>
                <w:rFonts w:eastAsia="Times New Roman"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833BE77" w14:textId="4B87DC08" w:rsidR="000E48CE" w:rsidRDefault="00FF4C4E">
            <w:pPr>
              <w:pStyle w:val="P68B1DB1-Normal13"/>
              <w:spacing w:after="0"/>
              <w:rPr>
                <w:rFonts w:cs="Times New Roman"/>
                <w:noProof/>
              </w:rPr>
            </w:pPr>
            <w:r>
              <w:rPr>
                <w:noProof/>
              </w:rPr>
              <w:t xml:space="preserve">Perustetaan ja rahoitetaan vähintään 13 yliopistoprofessoria, joista kukin kestää kolme vuotta ja joita rahoitetaan elpymis- ja palautumistukivälineestä ja </w:t>
            </w:r>
            <w:r>
              <w:rPr>
                <w:noProof/>
              </w:rPr>
              <w:t>joissa keskitytään mikroelektroniikkaan puolijohteiden suunnitteluun ja valmistukseen liittyvien lahjakkuuksien lisäämiseksi Espanjassa.</w:t>
            </w:r>
          </w:p>
        </w:tc>
      </w:tr>
    </w:tbl>
    <w:p w14:paraId="3535129C" w14:textId="77777777" w:rsidR="000E48CE" w:rsidRDefault="00FF4C4E">
      <w:pPr>
        <w:rPr>
          <w:rFonts w:ascii="Times New Roman" w:hAnsi="Times New Roman" w:cs="Times New Roman"/>
          <w:noProof/>
        </w:rPr>
        <w:sectPr w:rsidR="000E48CE" w:rsidSect="00EB7CC8">
          <w:headerReference w:type="even" r:id="rId312"/>
          <w:headerReference w:type="default" r:id="rId313"/>
          <w:footerReference w:type="even" r:id="rId314"/>
          <w:footerReference w:type="default" r:id="rId315"/>
          <w:headerReference w:type="first" r:id="rId316"/>
          <w:footerReference w:type="first" r:id="rId317"/>
          <w:pgSz w:w="16839" w:h="11907" w:orient="landscape"/>
          <w:pgMar w:top="1417" w:right="1134" w:bottom="1417" w:left="1134" w:header="709" w:footer="709" w:gutter="0"/>
          <w:cols w:space="720"/>
          <w:docGrid w:linePitch="360"/>
        </w:sectPr>
      </w:pPr>
      <w:r>
        <w:rPr>
          <w:noProof/>
        </w:rPr>
        <w:br/>
      </w:r>
    </w:p>
    <w:p w14:paraId="2DC4F565" w14:textId="77777777" w:rsidR="000E48CE" w:rsidRDefault="000E48CE">
      <w:pPr>
        <w:spacing w:before="120" w:after="120" w:line="240" w:lineRule="auto"/>
        <w:jc w:val="both"/>
        <w:rPr>
          <w:rFonts w:ascii="Times New Roman" w:hAnsi="Times New Roman" w:cs="Times New Roman"/>
          <w:noProof/>
          <w:sz w:val="24"/>
        </w:rPr>
        <w:sectPr w:rsidR="000E48CE" w:rsidSect="00EB7CC8">
          <w:headerReference w:type="even" r:id="rId318"/>
          <w:headerReference w:type="default" r:id="rId319"/>
          <w:footerReference w:type="even" r:id="rId320"/>
          <w:footerReference w:type="default" r:id="rId321"/>
          <w:headerReference w:type="first" r:id="rId322"/>
          <w:footerReference w:type="first" r:id="rId323"/>
          <w:type w:val="continuous"/>
          <w:pgSz w:w="16839" w:h="11907" w:orient="landscape"/>
          <w:pgMar w:top="1417" w:right="1134" w:bottom="1417" w:left="1134" w:header="709" w:footer="709" w:gutter="0"/>
          <w:cols w:space="720"/>
          <w:docGrid w:linePitch="360"/>
        </w:sectPr>
      </w:pPr>
    </w:p>
    <w:p w14:paraId="7806FB6E" w14:textId="464E5019" w:rsidR="000E48CE" w:rsidRDefault="00FF4C4E">
      <w:pPr>
        <w:pStyle w:val="P68B1DB1-Heading2blue35"/>
        <w:rPr>
          <w:noProof/>
        </w:rPr>
      </w:pPr>
      <w:r>
        <w:rPr>
          <w:noProof/>
        </w:rPr>
        <w:t xml:space="preserve">O.3 </w:t>
      </w:r>
      <w:r>
        <w:rPr>
          <w:noProof/>
        </w:rPr>
        <w:tab/>
        <w:t>Kuvaus lainatukeen liittyvistä uudistuksista ja investoinneista</w:t>
      </w:r>
    </w:p>
    <w:p w14:paraId="3EE89FB3" w14:textId="77777777" w:rsidR="000E48CE" w:rsidRDefault="00FF4C4E">
      <w:pPr>
        <w:pStyle w:val="P68B1DB1-Heading3blue36"/>
        <w:rPr>
          <w:noProof/>
          <w:shd w:val="clear" w:color="auto" w:fill="E6E6E6"/>
        </w:rPr>
      </w:pPr>
      <w:r>
        <w:rPr>
          <w:noProof/>
        </w:rPr>
        <w:t xml:space="preserve">Investointi </w:t>
      </w:r>
      <w:bookmarkStart w:id="50" w:name="_Hlk141289400"/>
      <w:r>
        <w:rPr>
          <w:noProof/>
        </w:rPr>
        <w:t>9 (C15.I9) – CHIP-rahoitusjärjestely</w:t>
      </w:r>
      <w:bookmarkEnd w:id="50"/>
    </w:p>
    <w:p w14:paraId="7D436FDD" w14:textId="6E835E48" w:rsidR="000E48CE" w:rsidRDefault="00FF4C4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Tämä toimenpide koostuu julkisesta investoinnista välineeseen, CHIP-rahoitusvälineeseen, jotta voidaan kannusta</w:t>
      </w:r>
      <w:r>
        <w:rPr>
          <w:rStyle w:val="normaltextrun"/>
          <w:rFonts w:ascii="Times New Roman" w:hAnsi="Times New Roman"/>
          <w:noProof/>
          <w:sz w:val="24"/>
          <w:shd w:val="clear" w:color="auto" w:fill="FFFFFF"/>
        </w:rPr>
        <w:t xml:space="preserve">a yksityisiin investointeihin ja parantaa rahoituksen saantia </w:t>
      </w:r>
      <w:r>
        <w:rPr>
          <w:rFonts w:ascii="Times New Roman" w:hAnsi="Times New Roman"/>
          <w:noProof/>
          <w:sz w:val="24"/>
        </w:rPr>
        <w:t>Espanjan puolijohdealalla, mukaan lukien laajamittaiset valmistuslaitokset</w:t>
      </w:r>
      <w:r>
        <w:rPr>
          <w:rStyle w:val="normaltextrun"/>
          <w:rFonts w:ascii="Times New Roman" w:hAnsi="Times New Roman"/>
          <w:noProof/>
          <w:sz w:val="24"/>
          <w:shd w:val="clear" w:color="auto" w:fill="FFFFFF"/>
        </w:rPr>
        <w:t xml:space="preserve">. Investointikehys toimii tarjoamalla lainoja, oman pääoman ehtoisia ja oman pääoman luonteisia sijoituksia (tai niiden </w:t>
      </w:r>
      <w:r>
        <w:rPr>
          <w:rStyle w:val="normaltextrun"/>
          <w:rFonts w:ascii="Times New Roman" w:hAnsi="Times New Roman"/>
          <w:noProof/>
          <w:sz w:val="24"/>
          <w:shd w:val="clear" w:color="auto" w:fill="FFFFFF"/>
        </w:rPr>
        <w:t>yhdistelmiä) yksityiselle sektorille sekä vastaavaa toimintaa harjoittaville julkisyhteisöille ja julkisoikeudellisille laitoksille. Elpymis- ja palautumistukivälineen investointien perusteella tukivälineestä on alun perin tarkoitus myöntää rahoitusta vähi</w:t>
      </w:r>
      <w:r>
        <w:rPr>
          <w:rStyle w:val="normaltextrun"/>
          <w:rFonts w:ascii="Times New Roman" w:hAnsi="Times New Roman"/>
          <w:noProof/>
          <w:sz w:val="24"/>
          <w:shd w:val="clear" w:color="auto" w:fill="FFFFFF"/>
        </w:rPr>
        <w:t>ntään 10750000000 euroa.</w:t>
      </w:r>
    </w:p>
    <w:p w14:paraId="1F276953" w14:textId="0D09D759" w:rsidR="000E48CE" w:rsidRDefault="00FF4C4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Rahoitusvälinettä hallinnoi toteutuskumppanina </w:t>
      </w:r>
      <w:r>
        <w:rPr>
          <w:rFonts w:ascii="Times New Roman" w:hAnsi="Times New Roman"/>
          <w:noProof/>
          <w:sz w:val="24"/>
        </w:rPr>
        <w:t xml:space="preserve">Sociedad Estatal de Microelectrónica y Semiconductores ( </w:t>
      </w:r>
      <w:r>
        <w:rPr>
          <w:rStyle w:val="normaltextrun"/>
          <w:rFonts w:ascii="Times New Roman" w:hAnsi="Times New Roman"/>
          <w:noProof/>
          <w:sz w:val="24"/>
          <w:shd w:val="clear" w:color="auto" w:fill="FFFFFF"/>
        </w:rPr>
        <w:t xml:space="preserve">SEMyS). Rahasto koostuu seuraavista budjettikohdista: </w:t>
      </w:r>
    </w:p>
    <w:p w14:paraId="46004854" w14:textId="1F2B9830" w:rsidR="000E48CE" w:rsidRDefault="00FF4C4E">
      <w:pPr>
        <w:pStyle w:val="ListParagraph"/>
        <w:numPr>
          <w:ilvl w:val="0"/>
          <w:numId w:val="551"/>
        </w:numPr>
        <w:spacing w:line="240" w:lineRule="auto"/>
        <w:jc w:val="both"/>
        <w:rPr>
          <w:rStyle w:val="eop"/>
          <w:rFonts w:ascii="Times New Roman" w:hAnsi="Times New Roman" w:cs="Times New Roman"/>
          <w:noProof/>
          <w:sz w:val="24"/>
        </w:rPr>
      </w:pPr>
      <w:r>
        <w:rPr>
          <w:rStyle w:val="normaltextrun"/>
          <w:rFonts w:ascii="Times New Roman" w:hAnsi="Times New Roman"/>
          <w:noProof/>
          <w:sz w:val="24"/>
        </w:rPr>
        <w:t>Ohivalinta: Suorat sijoitukset tavanomaisia lainoja ja osakkuuslainoja k</w:t>
      </w:r>
      <w:r>
        <w:rPr>
          <w:rStyle w:val="normaltextrun"/>
          <w:rFonts w:ascii="Times New Roman" w:hAnsi="Times New Roman"/>
          <w:noProof/>
          <w:sz w:val="24"/>
        </w:rPr>
        <w:t>äyttäviin yrityksiin sekä osallistuminen tilapäiseen pääomaan ja vähemmistöpääomaan. Rahaston pääomasijoitukset eivät saa johtaa siihen, että julkisessa omistuksessa olevan oman pääoman osuus lopullisesta tuensaajasta ylittää 49:ää prosenttia kokonaispääom</w:t>
      </w:r>
      <w:r>
        <w:rPr>
          <w:rStyle w:val="normaltextrun"/>
          <w:rFonts w:ascii="Times New Roman" w:hAnsi="Times New Roman"/>
          <w:noProof/>
          <w:sz w:val="24"/>
        </w:rPr>
        <w:t>asta.</w:t>
      </w:r>
    </w:p>
    <w:p w14:paraId="27E92ACA" w14:textId="4D972568" w:rsidR="000E48CE" w:rsidRDefault="00FF4C4E">
      <w:pPr>
        <w:pStyle w:val="ListParagraph"/>
        <w:numPr>
          <w:ilvl w:val="0"/>
          <w:numId w:val="550"/>
        </w:numPr>
        <w:spacing w:line="240" w:lineRule="auto"/>
        <w:jc w:val="both"/>
        <w:rPr>
          <w:rStyle w:val="eop"/>
          <w:rFonts w:ascii="Times New Roman" w:eastAsia="Times New Roman" w:hAnsi="Times New Roman" w:cs="Times New Roman"/>
          <w:noProof/>
          <w:sz w:val="24"/>
          <w:shd w:val="clear" w:color="auto" w:fill="FFFFFF"/>
        </w:rPr>
      </w:pPr>
      <w:r>
        <w:rPr>
          <w:rStyle w:val="eop"/>
          <w:rFonts w:ascii="Times New Roman" w:hAnsi="Times New Roman"/>
          <w:noProof/>
          <w:sz w:val="24"/>
          <w:shd w:val="clear" w:color="auto" w:fill="FFFFFF"/>
        </w:rPr>
        <w:t>Yhteisinvestoinnit ”EU:n avoimiin tilausyrityksiin” ja ”integroituihin tuotantolaitoksiin”: Espanjan puolijohteiden valmistusteollisuuden</w:t>
      </w:r>
      <w:r>
        <w:rPr>
          <w:rStyle w:val="eop"/>
          <w:rFonts w:ascii="Times New Roman" w:hAnsi="Times New Roman"/>
          <w:noProof/>
          <w:sz w:val="24"/>
        </w:rPr>
        <w:t>tukemiseksi rahastosta voidaan myöntää tukea sekamuotoisille rahoitusvälineille lainojen, oman pääoman ja oman pääoman luonteisen rahoituksen (tai niiden yhdistelmän) muodossa, joihin yhdistetään yksityistä ja julkista pääomaa koordinoidusti julkisten tuki</w:t>
      </w:r>
      <w:r>
        <w:rPr>
          <w:rStyle w:val="eop"/>
          <w:rFonts w:ascii="Times New Roman" w:hAnsi="Times New Roman"/>
          <w:noProof/>
          <w:sz w:val="24"/>
        </w:rPr>
        <w:t xml:space="preserve">ohjelmien kanssa jäljempänä esitettyjen hallintovaatimusten mukaisesti. </w:t>
      </w:r>
    </w:p>
    <w:p w14:paraId="3C3BF76C" w14:textId="0BD71608" w:rsidR="000E48CE" w:rsidRDefault="00FF4C4E">
      <w:pPr>
        <w:pStyle w:val="P68B1DB1-Normal4"/>
        <w:spacing w:line="240" w:lineRule="auto"/>
        <w:jc w:val="both"/>
        <w:rPr>
          <w:rFonts w:eastAsia="Times New Roman" w:cs="Times New Roman"/>
          <w:noProof/>
        </w:rPr>
      </w:pPr>
      <w:r>
        <w:rPr>
          <w:noProof/>
        </w:rPr>
        <w:t>Investointijärjestelyyn tehtävän investoinnin toteuttamiseksi Espanjan ja SEMyS:n on allekirjoitettava täytäntöönpanosopimus tai Espanjan on hyväksyttävä vastaava oikeudellinen väline</w:t>
      </w:r>
      <w:r>
        <w:rPr>
          <w:noProof/>
        </w:rPr>
        <w:t xml:space="preserve"> ja siihen liittyvät asiakirjat, joiden sisältö on seuraava: </w:t>
      </w:r>
    </w:p>
    <w:p w14:paraId="638FB3BD" w14:textId="77777777" w:rsidR="000E48CE" w:rsidRDefault="00FF4C4E">
      <w:pPr>
        <w:pStyle w:val="P68B1DB1-ListParagraph7"/>
        <w:numPr>
          <w:ilvl w:val="0"/>
          <w:numId w:val="761"/>
        </w:numPr>
        <w:spacing w:line="240" w:lineRule="auto"/>
        <w:contextualSpacing w:val="0"/>
        <w:jc w:val="both"/>
        <w:rPr>
          <w:rFonts w:eastAsia="Times New Roman" w:cs="Times New Roman"/>
          <w:noProof/>
        </w:rPr>
      </w:pPr>
      <w:r>
        <w:rPr>
          <w:noProof/>
        </w:rPr>
        <w:t>Kuvaus tukivälineen päätöksentekoprosessista:  Investointirahaston alkuinvestointipäätöksen tekee investointikomitea tai muu vastaava hallintoelin, ja se hyväksytään äänten enemmistöllä Espanjan</w:t>
      </w:r>
      <w:r>
        <w:rPr>
          <w:noProof/>
        </w:rPr>
        <w:t xml:space="preserve"> hallituksesta riippumattomilta jäseniltä. Investointikehyksen lopullinen investointipäätös rajoitetaan investointikomitean tai vastaavan hallintoelimen ehdottaman investointipäätöksen hyväksymiseen (muutoksitta) tai veto-oikeuden käyttämiseen.</w:t>
      </w:r>
    </w:p>
    <w:p w14:paraId="1AEF3AC5" w14:textId="77777777" w:rsidR="000E48CE" w:rsidRDefault="00FF4C4E">
      <w:pPr>
        <w:pStyle w:val="P68B1DB1-ListParagraph7"/>
        <w:numPr>
          <w:ilvl w:val="0"/>
          <w:numId w:val="761"/>
        </w:numPr>
        <w:spacing w:line="240" w:lineRule="auto"/>
        <w:jc w:val="both"/>
        <w:rPr>
          <w:rFonts w:eastAsia="Times New Roman" w:cs="Times New Roman"/>
          <w:noProof/>
        </w:rPr>
      </w:pPr>
      <w:r>
        <w:rPr>
          <w:noProof/>
        </w:rPr>
        <w:t>Asiaan liit</w:t>
      </w:r>
      <w:r>
        <w:rPr>
          <w:noProof/>
        </w:rPr>
        <w:t>tyvän sijoituspolitiikan keskeiset vaatimukset, joita ovat muun muassa seuraavat:</w:t>
      </w:r>
    </w:p>
    <w:p w14:paraId="66AE5AA0" w14:textId="29EBD758" w:rsidR="000E48CE" w:rsidRDefault="00FF4C4E">
      <w:pPr>
        <w:pStyle w:val="P68B1DB1-ListParagraph7"/>
        <w:numPr>
          <w:ilvl w:val="1"/>
          <w:numId w:val="761"/>
        </w:numPr>
        <w:spacing w:line="240" w:lineRule="auto"/>
        <w:jc w:val="both"/>
        <w:rPr>
          <w:rFonts w:eastAsia="Times New Roman" w:cs="Times New Roman"/>
          <w:noProof/>
        </w:rPr>
      </w:pPr>
      <w:r>
        <w:rPr>
          <w:noProof/>
        </w:rPr>
        <w:t xml:space="preserve">Rahoitustuotteiden ja tukikelpoisten lopullisten tuensaajien kuvaus toimenpiteen kuvauksen mukaisesti.  </w:t>
      </w:r>
    </w:p>
    <w:p w14:paraId="49D79BC5" w14:textId="77777777" w:rsidR="000E48CE" w:rsidRDefault="00FF4C4E">
      <w:pPr>
        <w:pStyle w:val="P68B1DB1-ListParagraph7"/>
        <w:numPr>
          <w:ilvl w:val="1"/>
          <w:numId w:val="761"/>
        </w:numPr>
        <w:spacing w:line="240" w:lineRule="auto"/>
        <w:jc w:val="both"/>
        <w:rPr>
          <w:rFonts w:eastAsia="Times New Roman" w:cs="Times New Roman"/>
          <w:noProof/>
        </w:rPr>
      </w:pPr>
      <w:r>
        <w:rPr>
          <w:noProof/>
        </w:rPr>
        <w:t>Kaikkien tuettujen investointien on oltava taloudellisesti kannattavi</w:t>
      </w:r>
      <w:r>
        <w:rPr>
          <w:noProof/>
        </w:rPr>
        <w:t>a.</w:t>
      </w:r>
    </w:p>
    <w:p w14:paraId="6F7FA0C4" w14:textId="77777777" w:rsidR="000E48CE" w:rsidRDefault="00FF4C4E">
      <w:pPr>
        <w:pStyle w:val="P68B1DB1-ListParagraph7"/>
        <w:numPr>
          <w:ilvl w:val="1"/>
          <w:numId w:val="761"/>
        </w:numPr>
        <w:spacing w:line="240" w:lineRule="auto"/>
        <w:jc w:val="both"/>
        <w:rPr>
          <w:rFonts w:eastAsia="Times New Roman" w:cs="Times New Roman"/>
          <w:noProof/>
        </w:rPr>
      </w:pPr>
      <w:r>
        <w:rPr>
          <w:noProof/>
        </w:rPr>
        <w:t xml:space="preserve">Kielto jälleenrahoittaa jäljellä olevia lainoja.  </w:t>
      </w:r>
    </w:p>
    <w:p w14:paraId="11646C73" w14:textId="7329574C" w:rsidR="000E48CE" w:rsidRDefault="00FF4C4E">
      <w:pPr>
        <w:pStyle w:val="P68B1DB1-ListParagraph7"/>
        <w:numPr>
          <w:ilvl w:val="1"/>
          <w:numId w:val="761"/>
        </w:numPr>
        <w:spacing w:line="240" w:lineRule="auto"/>
        <w:jc w:val="both"/>
        <w:rPr>
          <w:rFonts w:eastAsia="Times New Roman" w:cs="Times New Roman"/>
          <w:noProof/>
        </w:rPr>
      </w:pPr>
      <w:r>
        <w:rPr>
          <w:noProof/>
        </w:rPr>
        <w:t>”Ei merkittävää haittaa” -periaatteen noudattamista koskevassa vaatimuksessa, joka on vahvistettu ”ei merkittävää haittaa” -periaatteen noudattamisessa (2021/C58/01) ja erityisesti uusiin laitoksiin teh</w:t>
      </w:r>
      <w:r>
        <w:rPr>
          <w:noProof/>
        </w:rPr>
        <w:t>tävissä investoinneissa on käytettävä parasta saatavilla olevaa teknologiaa, jonka ympäristövaikutukset alalla ovat vähäisimmät. Lisäksi investointipolitiikassa on edellytettävä tukivälineen lopullisten edunsaajien asiaankuuluvan EU:n ja kansallisen ympäri</w:t>
      </w:r>
      <w:r>
        <w:rPr>
          <w:noProof/>
        </w:rPr>
        <w:t>stölainsäädännön noudattamista.</w:t>
      </w:r>
    </w:p>
    <w:p w14:paraId="54A13A50" w14:textId="77777777" w:rsidR="000E48CE" w:rsidRDefault="00FF4C4E">
      <w:pPr>
        <w:pStyle w:val="P68B1DB1-ListParagraph7"/>
        <w:numPr>
          <w:ilvl w:val="1"/>
          <w:numId w:val="761"/>
        </w:numPr>
        <w:rPr>
          <w:rFonts w:eastAsia="Times New Roman" w:cs="Times New Roman"/>
          <w:noProof/>
        </w:rPr>
      </w:pPr>
      <w:r>
        <w:rPr>
          <w:noProof/>
        </w:rPr>
        <w:t>Vaatimus, jonka mukaan lainajärjestelyn lopulliset edunsaajat eivät saa tukea muista unionin välineistä samojen kustannusten kattamiseksi.</w:t>
      </w:r>
    </w:p>
    <w:p w14:paraId="4846F44A" w14:textId="05D03274" w:rsidR="000E48CE" w:rsidRDefault="00FF4C4E">
      <w:pPr>
        <w:pStyle w:val="P68B1DB1-ListParagraph7"/>
        <w:numPr>
          <w:ilvl w:val="0"/>
          <w:numId w:val="761"/>
        </w:numPr>
        <w:jc w:val="both"/>
        <w:rPr>
          <w:rFonts w:eastAsia="Times New Roman" w:cs="Times New Roman"/>
          <w:noProof/>
        </w:rPr>
      </w:pPr>
      <w:r>
        <w:rPr>
          <w:noProof/>
        </w:rPr>
        <w:t>Tukivälineen perustamista koskevan oikeudellisen välineen ja siihen liittyvien asiaki</w:t>
      </w:r>
      <w:r>
        <w:rPr>
          <w:noProof/>
        </w:rPr>
        <w:t>rjojen kattama määrä, toteutuskumppanin maksurakenne ja vaatimus sijoittaa takaisin saadut varat tukivälineen investointipolitiikan mukaisesti, paitsi jos niitä käytetään elpymis- ja palautumistukivälineen lainojen takaisinmaksujen hoitamiseen.</w:t>
      </w:r>
    </w:p>
    <w:p w14:paraId="6516A3EE" w14:textId="77777777" w:rsidR="000E48CE" w:rsidRDefault="00FF4C4E">
      <w:pPr>
        <w:pStyle w:val="P68B1DB1-ListParagraph7"/>
        <w:numPr>
          <w:ilvl w:val="0"/>
          <w:numId w:val="761"/>
        </w:numPr>
        <w:jc w:val="both"/>
        <w:rPr>
          <w:rFonts w:eastAsia="Times New Roman" w:cs="Times New Roman"/>
          <w:noProof/>
        </w:rPr>
      </w:pPr>
      <w:r>
        <w:rPr>
          <w:noProof/>
        </w:rPr>
        <w:t xml:space="preserve">Seuranta-, </w:t>
      </w:r>
      <w:r>
        <w:rPr>
          <w:noProof/>
        </w:rPr>
        <w:t>auditointi- ja valvontavaatimukset, mukaan lukien</w:t>
      </w:r>
    </w:p>
    <w:p w14:paraId="309BD4A1" w14:textId="77777777" w:rsidR="000E48CE" w:rsidRDefault="00FF4C4E">
      <w:pPr>
        <w:pStyle w:val="P68B1DB1-ListParagraph7"/>
        <w:numPr>
          <w:ilvl w:val="1"/>
          <w:numId w:val="761"/>
        </w:numPr>
        <w:jc w:val="both"/>
        <w:rPr>
          <w:rFonts w:eastAsia="Times New Roman" w:cs="Times New Roman"/>
          <w:noProof/>
        </w:rPr>
      </w:pPr>
      <w:r>
        <w:rPr>
          <w:noProof/>
        </w:rPr>
        <w:t>Kuvaus toteutuskumppanin seurantajärjestelmästä, jolla raportoidaan liikkeelle saaduista investoinneista.</w:t>
      </w:r>
    </w:p>
    <w:p w14:paraId="6538DEEE" w14:textId="77777777" w:rsidR="000E48CE" w:rsidRDefault="00FF4C4E">
      <w:pPr>
        <w:pStyle w:val="P68B1DB1-ListParagraph7"/>
        <w:numPr>
          <w:ilvl w:val="1"/>
          <w:numId w:val="761"/>
        </w:numPr>
        <w:jc w:val="both"/>
        <w:rPr>
          <w:rFonts w:eastAsia="Times New Roman" w:cs="Times New Roman"/>
          <w:noProof/>
        </w:rPr>
      </w:pPr>
      <w:r>
        <w:rPr>
          <w:noProof/>
        </w:rPr>
        <w:t xml:space="preserve">Kuvaus toteutuskumppanin menettelyistä, joilla varmistetaan petosten, lahjonnan ja eturistiriitojen </w:t>
      </w:r>
      <w:r>
        <w:rPr>
          <w:noProof/>
        </w:rPr>
        <w:t xml:space="preserve">ehkäiseminen, havaitseminen ja korjaaminen. </w:t>
      </w:r>
    </w:p>
    <w:p w14:paraId="51CD4460" w14:textId="2CEB35A9" w:rsidR="000E48CE" w:rsidRDefault="00FF4C4E">
      <w:pPr>
        <w:pStyle w:val="P68B1DB1-ListParagraph7"/>
        <w:numPr>
          <w:ilvl w:val="1"/>
          <w:numId w:val="761"/>
        </w:numPr>
        <w:jc w:val="both"/>
        <w:rPr>
          <w:rFonts w:eastAsia="Times New Roman" w:cs="Times New Roman"/>
          <w:noProof/>
        </w:rPr>
      </w:pPr>
      <w:r>
        <w:rPr>
          <w:noProof/>
        </w:rPr>
        <w:t>Velvollisuus tarkistaa kunkin toimen tukikelpoisuus rahaston perustamisasetuksissa vahvistettujen vaatimusten mukaisesti ennen kuin se sitoutuu rahoittamaan toimea.</w:t>
      </w:r>
    </w:p>
    <w:p w14:paraId="4AC4F0A4" w14:textId="3406215D" w:rsidR="000E48CE" w:rsidRDefault="00FF4C4E">
      <w:pPr>
        <w:pStyle w:val="P68B1DB1-ListParagraph7"/>
        <w:numPr>
          <w:ilvl w:val="1"/>
          <w:numId w:val="761"/>
        </w:numPr>
        <w:jc w:val="both"/>
        <w:rPr>
          <w:rFonts w:eastAsia="Times New Roman" w:cs="Times New Roman"/>
          <w:noProof/>
        </w:rPr>
      </w:pPr>
      <w:r>
        <w:rPr>
          <w:noProof/>
        </w:rPr>
        <w:t>Velvollisuus suorittaa riskiperusteisia jälkit</w:t>
      </w:r>
      <w:r>
        <w:rPr>
          <w:noProof/>
        </w:rPr>
        <w:t>arkastuksia SEMyS:n tarkastussuunnitelman mukaisesti. Näillä tarkastuksilla on varmistettava i) valvontajärjestelmien tehokkuus, mukaan lukien petosten, lahjonnan ja eturistiriitojen havaitseminen; ”ei merkittävää haittaa” -periaatteen, valtiontukisääntöje</w:t>
      </w:r>
      <w:r>
        <w:rPr>
          <w:noProof/>
        </w:rPr>
        <w:t>n sekä ilmastotavoitteita ja digitaalisia tavoitteita koskevien vaatimusten noudattaminen; ja iii) että noudatetaan vaatimusta, jonka mukaan välittäjän on todennettava, että lopullinen tuensaaja esittää vastuullisen ilmoituksen sen valvomiseksi, katetaanko</w:t>
      </w:r>
      <w:r>
        <w:rPr>
          <w:noProof/>
        </w:rPr>
        <w:t xml:space="preserve"> samat kustannukset toisesta unionin välineestä.   Tarkastuksissa on myös varmistettava tapahtumien laillisuus ja se, että sovellettavan täytäntöönpanosopimuksen, tukivälineen perustamisesta annetun asetuksen ja siihen liittyvien asiakirjojen sekä rahoitus</w:t>
      </w:r>
      <w:r>
        <w:rPr>
          <w:noProof/>
        </w:rPr>
        <w:t xml:space="preserve">sopimusten ehtoja noudatetaan. </w:t>
      </w:r>
    </w:p>
    <w:p w14:paraId="49750047" w14:textId="57E4284F" w:rsidR="000E48CE" w:rsidRDefault="00FF4C4E">
      <w:pPr>
        <w:pStyle w:val="ListParagraph"/>
        <w:numPr>
          <w:ilvl w:val="0"/>
          <w:numId w:val="761"/>
        </w:numPr>
        <w:spacing w:line="240" w:lineRule="auto"/>
        <w:jc w:val="both"/>
        <w:rPr>
          <w:rFonts w:ascii="Times New Roman" w:eastAsia="Times New Roman" w:hAnsi="Times New Roman" w:cs="Times New Roman"/>
          <w:noProof/>
          <w:sz w:val="24"/>
          <w:shd w:val="clear" w:color="auto" w:fill="FFFFFF"/>
        </w:rPr>
      </w:pPr>
      <w:r>
        <w:rPr>
          <w:rFonts w:ascii="Times New Roman" w:hAnsi="Times New Roman"/>
          <w:noProof/>
          <w:sz w:val="24"/>
        </w:rPr>
        <w:t>Toteutuskumppanin tekemiä digitaalisia investointeja koskevat vaatimukset: vähintään 10750000000 eurolla elpymis- ja palautumistukivälineen investoinneista tukivälineeseen edistetään digitaalisen siirtymän tavoitteita elpymi</w:t>
      </w:r>
      <w:r>
        <w:rPr>
          <w:rFonts w:ascii="Times New Roman" w:hAnsi="Times New Roman"/>
          <w:noProof/>
          <w:sz w:val="24"/>
        </w:rPr>
        <w:t>s- ja palautumistukivälinettä koskevan asetuksen liitteen VII mukaisesti.</w:t>
      </w:r>
      <w:r>
        <w:rPr>
          <w:rStyle w:val="FootnoteReference"/>
          <w:rFonts w:ascii="Times New Roman" w:eastAsia="Times New Roman" w:hAnsi="Times New Roman" w:cs="Times New Roman"/>
          <w:noProof/>
          <w:sz w:val="24"/>
        </w:rPr>
        <w:footnoteReference w:id="160"/>
      </w:r>
      <w:r>
        <w:rPr>
          <w:rFonts w:ascii="Times New Roman" w:hAnsi="Times New Roman"/>
          <w:noProof/>
          <w:sz w:val="24"/>
        </w:rPr>
        <w:t xml:space="preserve"> </w:t>
      </w:r>
    </w:p>
    <w:p w14:paraId="26E1CE06" w14:textId="77777777" w:rsidR="000E48CE" w:rsidRDefault="00FF4C4E">
      <w:pPr>
        <w:pStyle w:val="maintext"/>
        <w:rPr>
          <w:noProof/>
        </w:rPr>
      </w:pPr>
      <w:r>
        <w:rPr>
          <w:noProof/>
        </w:rPr>
        <w:t>Toimenpiteen täytäntöönpano on saatettava päätökseen viimeistään 31 päivänä elokuuta 2026.</w:t>
      </w:r>
    </w:p>
    <w:p w14:paraId="3FA97640" w14:textId="77777777" w:rsidR="000E48CE" w:rsidRDefault="00FF4C4E">
      <w:pPr>
        <w:pStyle w:val="P68B1DB1-Normal5"/>
        <w:ind w:left="720"/>
        <w:rPr>
          <w:rFonts w:cs="Times New Roman"/>
          <w:noProof/>
        </w:rPr>
      </w:pPr>
      <w:r>
        <w:rPr>
          <w:noProof/>
        </w:rPr>
        <w:t xml:space="preserve">O.4 </w:t>
      </w:r>
      <w:r>
        <w:rPr>
          <w:noProof/>
        </w:rPr>
        <w:tab/>
        <w:t>Takaisinmaksettavan rahoitustuen seurannan ja täytäntöönpanon välitavoitteet, tavoit</w:t>
      </w:r>
      <w:r>
        <w:rPr>
          <w:noProof/>
        </w:rPr>
        <w:t>teet, indikaattorit ja aikataulu</w:t>
      </w:r>
    </w:p>
    <w:p w14:paraId="632A4652" w14:textId="4B519587" w:rsidR="000E48CE" w:rsidRDefault="00FF4C4E">
      <w:pPr>
        <w:pStyle w:val="P68B1DB1-Normal18"/>
        <w:rPr>
          <w:rFonts w:cs="Times New Roman"/>
          <w:noProof/>
        </w:rPr>
      </w:pPr>
      <w:r>
        <w:rPr>
          <w:noProof/>
        </w:rPr>
        <w:t xml:space="preserve">Ks. taulukko jäljempänä. Kaikkien indikaattoreiden perustaso on 1. helmikuuta 2020, ellei toimen kuvauksessa toisin ilmoiteta. </w:t>
      </w:r>
    </w:p>
    <w:p w14:paraId="67D8A628" w14:textId="77777777" w:rsidR="000E48CE" w:rsidRDefault="000E48CE">
      <w:pPr>
        <w:spacing w:line="240" w:lineRule="auto"/>
        <w:rPr>
          <w:rFonts w:ascii="Times New Roman" w:hAnsi="Times New Roman" w:cs="Times New Roman"/>
          <w:noProof/>
        </w:rPr>
      </w:pPr>
    </w:p>
    <w:p w14:paraId="7D6B3BB9"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324"/>
          <w:headerReference w:type="default" r:id="rId325"/>
          <w:footerReference w:type="even" r:id="rId326"/>
          <w:footerReference w:type="default" r:id="rId327"/>
          <w:headerReference w:type="first" r:id="rId328"/>
          <w:footerReference w:type="first" r:id="rId329"/>
          <w:pgSz w:w="11907" w:h="16839"/>
          <w:pgMar w:top="1134" w:right="1417" w:bottom="1134" w:left="1417" w:header="709" w:footer="709" w:gutter="0"/>
          <w:cols w:space="720"/>
          <w:docGrid w:linePitch="360"/>
        </w:sectPr>
      </w:pPr>
    </w:p>
    <w:tbl>
      <w:tblP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992"/>
        <w:gridCol w:w="992"/>
        <w:gridCol w:w="1701"/>
        <w:gridCol w:w="1276"/>
        <w:gridCol w:w="709"/>
        <w:gridCol w:w="709"/>
        <w:gridCol w:w="708"/>
        <w:gridCol w:w="426"/>
        <w:gridCol w:w="567"/>
        <w:gridCol w:w="4958"/>
      </w:tblGrid>
      <w:tr w:rsidR="000E48CE" w14:paraId="43963385" w14:textId="77777777">
        <w:trPr>
          <w:trHeight w:val="300"/>
          <w:tblHeader/>
        </w:trPr>
        <w:tc>
          <w:tcPr>
            <w:tcW w:w="846" w:type="dxa"/>
            <w:vMerge w:val="restart"/>
            <w:shd w:val="clear" w:color="auto" w:fill="BDD7EE"/>
            <w:vAlign w:val="center"/>
            <w:hideMark/>
          </w:tcPr>
          <w:p w14:paraId="15DF1754" w14:textId="77777777" w:rsidR="000E48CE" w:rsidRDefault="00FF4C4E">
            <w:pPr>
              <w:pStyle w:val="P68B1DB1-Normal12"/>
              <w:jc w:val="center"/>
              <w:rPr>
                <w:rFonts w:eastAsia="Times New Roman" w:cs="Times New Roman"/>
                <w:noProof/>
              </w:rPr>
            </w:pPr>
            <w:r>
              <w:rPr>
                <w:noProof/>
              </w:rPr>
              <w:t>Määrä</w:t>
            </w:r>
          </w:p>
        </w:tc>
        <w:tc>
          <w:tcPr>
            <w:tcW w:w="992" w:type="dxa"/>
            <w:vMerge w:val="restart"/>
            <w:shd w:val="clear" w:color="auto" w:fill="BDD7EE"/>
            <w:vAlign w:val="center"/>
            <w:hideMark/>
          </w:tcPr>
          <w:p w14:paraId="2A8EB361" w14:textId="77777777" w:rsidR="000E48CE" w:rsidRDefault="00FF4C4E">
            <w:pPr>
              <w:pStyle w:val="P68B1DB1-Normal12"/>
              <w:jc w:val="center"/>
              <w:rPr>
                <w:rFonts w:eastAsia="Times New Roman" w:cs="Times New Roman"/>
                <w:noProof/>
              </w:rPr>
            </w:pPr>
            <w:r>
              <w:rPr>
                <w:noProof/>
              </w:rPr>
              <w:t>Toimenpide</w:t>
            </w:r>
          </w:p>
        </w:tc>
        <w:tc>
          <w:tcPr>
            <w:tcW w:w="992" w:type="dxa"/>
            <w:vMerge w:val="restart"/>
            <w:shd w:val="clear" w:color="auto" w:fill="BDD7EE"/>
            <w:vAlign w:val="center"/>
            <w:hideMark/>
          </w:tcPr>
          <w:p w14:paraId="3F845D1D" w14:textId="77777777" w:rsidR="000E48CE" w:rsidRDefault="00FF4C4E">
            <w:pPr>
              <w:pStyle w:val="P68B1DB1-Normal13"/>
              <w:jc w:val="center"/>
              <w:rPr>
                <w:rFonts w:eastAsia="Times New Roman" w:cs="Times New Roman"/>
                <w:b/>
                <w:noProof/>
              </w:rPr>
            </w:pPr>
            <w:r>
              <w:rPr>
                <w:b/>
                <w:noProof/>
              </w:rPr>
              <w:t>Välitavoite</w:t>
            </w:r>
            <w:r>
              <w:rPr>
                <w:noProof/>
              </w:rPr>
              <w:br/>
            </w:r>
            <w:r>
              <w:rPr>
                <w:b/>
                <w:noProof/>
              </w:rPr>
              <w:t xml:space="preserve"> /Kohde</w:t>
            </w:r>
          </w:p>
        </w:tc>
        <w:tc>
          <w:tcPr>
            <w:tcW w:w="1701" w:type="dxa"/>
            <w:vMerge w:val="restart"/>
            <w:shd w:val="clear" w:color="auto" w:fill="BDD7EE"/>
            <w:vAlign w:val="center"/>
            <w:hideMark/>
          </w:tcPr>
          <w:p w14:paraId="53F5094F" w14:textId="77777777" w:rsidR="000E48CE" w:rsidRDefault="00FF4C4E">
            <w:pPr>
              <w:pStyle w:val="P68B1DB1-Normal12"/>
              <w:jc w:val="center"/>
              <w:rPr>
                <w:rFonts w:eastAsia="Times New Roman" w:cs="Times New Roman"/>
                <w:noProof/>
              </w:rPr>
            </w:pPr>
            <w:r>
              <w:rPr>
                <w:noProof/>
              </w:rPr>
              <w:t>Nimi</w:t>
            </w:r>
          </w:p>
        </w:tc>
        <w:tc>
          <w:tcPr>
            <w:tcW w:w="1276" w:type="dxa"/>
            <w:vMerge w:val="restart"/>
            <w:shd w:val="clear" w:color="auto" w:fill="BDD7EE"/>
            <w:vAlign w:val="center"/>
            <w:hideMark/>
          </w:tcPr>
          <w:p w14:paraId="7A730B7D" w14:textId="77777777" w:rsidR="000E48CE" w:rsidRDefault="00FF4C4E">
            <w:pPr>
              <w:pStyle w:val="P68B1DB1-Normal12"/>
              <w:jc w:val="center"/>
              <w:rPr>
                <w:rFonts w:eastAsia="Times New Roman" w:cs="Times New Roman"/>
                <w:noProof/>
              </w:rPr>
            </w:pPr>
            <w:r>
              <w:rPr>
                <w:noProof/>
              </w:rPr>
              <w:t>Välitavoitteiden laadullinen indikaattori</w:t>
            </w:r>
          </w:p>
        </w:tc>
        <w:tc>
          <w:tcPr>
            <w:tcW w:w="2126" w:type="dxa"/>
            <w:gridSpan w:val="3"/>
            <w:shd w:val="clear" w:color="auto" w:fill="BDD7EE"/>
            <w:vAlign w:val="center"/>
            <w:hideMark/>
          </w:tcPr>
          <w:p w14:paraId="2A8CBAEA" w14:textId="77777777" w:rsidR="000E48CE" w:rsidRDefault="00FF4C4E">
            <w:pPr>
              <w:pStyle w:val="P68B1DB1-Normal12"/>
              <w:jc w:val="center"/>
              <w:rPr>
                <w:rFonts w:eastAsia="Times New Roman" w:cs="Times New Roman"/>
                <w:noProof/>
              </w:rPr>
            </w:pPr>
            <w:r>
              <w:rPr>
                <w:noProof/>
              </w:rPr>
              <w:t>Määrällinen indikaattori tavoitteelle</w:t>
            </w:r>
          </w:p>
        </w:tc>
        <w:tc>
          <w:tcPr>
            <w:tcW w:w="993" w:type="dxa"/>
            <w:gridSpan w:val="2"/>
            <w:shd w:val="clear" w:color="auto" w:fill="BDD7EE"/>
            <w:vAlign w:val="center"/>
            <w:hideMark/>
          </w:tcPr>
          <w:p w14:paraId="73EB6A43" w14:textId="77777777" w:rsidR="000E48CE" w:rsidRDefault="00FF4C4E">
            <w:pPr>
              <w:pStyle w:val="P68B1DB1-Normal12"/>
              <w:jc w:val="center"/>
              <w:rPr>
                <w:rFonts w:eastAsia="Times New Roman" w:cs="Times New Roman"/>
                <w:noProof/>
              </w:rPr>
            </w:pPr>
            <w:r>
              <w:rPr>
                <w:noProof/>
              </w:rPr>
              <w:t>Aika</w:t>
            </w:r>
          </w:p>
        </w:tc>
        <w:tc>
          <w:tcPr>
            <w:tcW w:w="4958" w:type="dxa"/>
            <w:vMerge w:val="restart"/>
            <w:shd w:val="clear" w:color="auto" w:fill="BDD7EE"/>
            <w:vAlign w:val="center"/>
            <w:hideMark/>
          </w:tcPr>
          <w:p w14:paraId="29588294" w14:textId="77777777" w:rsidR="000E48CE" w:rsidRDefault="00FF4C4E">
            <w:pPr>
              <w:pStyle w:val="P68B1DB1-Normal12"/>
              <w:jc w:val="center"/>
              <w:rPr>
                <w:rFonts w:eastAsia="Times New Roman" w:cs="Times New Roman"/>
                <w:noProof/>
              </w:rPr>
            </w:pPr>
            <w:r>
              <w:rPr>
                <w:noProof/>
              </w:rPr>
              <w:t>Kunkin välitavoitteen ja tavoitteen kuvaus</w:t>
            </w:r>
          </w:p>
        </w:tc>
      </w:tr>
      <w:tr w:rsidR="000E48CE" w14:paraId="5C2B87F9" w14:textId="77777777">
        <w:trPr>
          <w:trHeight w:val="495"/>
        </w:trPr>
        <w:tc>
          <w:tcPr>
            <w:tcW w:w="846" w:type="dxa"/>
            <w:vMerge/>
            <w:shd w:val="clear" w:color="auto" w:fill="BDD7EE"/>
            <w:hideMark/>
          </w:tcPr>
          <w:p w14:paraId="7443414A" w14:textId="77777777" w:rsidR="000E48CE" w:rsidRDefault="000E48CE">
            <w:pPr>
              <w:jc w:val="center"/>
              <w:rPr>
                <w:rFonts w:ascii="Times New Roman" w:eastAsia="Times New Roman" w:hAnsi="Times New Roman" w:cs="Times New Roman"/>
                <w:b/>
                <w:noProof/>
                <w:sz w:val="18"/>
              </w:rPr>
            </w:pPr>
          </w:p>
        </w:tc>
        <w:tc>
          <w:tcPr>
            <w:tcW w:w="992" w:type="dxa"/>
            <w:vMerge/>
            <w:shd w:val="clear" w:color="auto" w:fill="BDD7EE"/>
            <w:hideMark/>
          </w:tcPr>
          <w:p w14:paraId="532CBB21" w14:textId="77777777" w:rsidR="000E48CE" w:rsidRDefault="000E48CE">
            <w:pPr>
              <w:jc w:val="center"/>
              <w:rPr>
                <w:rFonts w:ascii="Times New Roman" w:eastAsia="Times New Roman" w:hAnsi="Times New Roman" w:cs="Times New Roman"/>
                <w:b/>
                <w:noProof/>
                <w:sz w:val="18"/>
              </w:rPr>
            </w:pPr>
          </w:p>
        </w:tc>
        <w:tc>
          <w:tcPr>
            <w:tcW w:w="992" w:type="dxa"/>
            <w:vMerge/>
            <w:shd w:val="clear" w:color="auto" w:fill="BDD7EE"/>
            <w:hideMark/>
          </w:tcPr>
          <w:p w14:paraId="7613B594" w14:textId="77777777" w:rsidR="000E48CE" w:rsidRDefault="000E48CE">
            <w:pPr>
              <w:jc w:val="center"/>
              <w:rPr>
                <w:rFonts w:ascii="Times New Roman" w:eastAsia="Times New Roman" w:hAnsi="Times New Roman" w:cs="Times New Roman"/>
                <w:b/>
                <w:noProof/>
                <w:sz w:val="18"/>
              </w:rPr>
            </w:pPr>
          </w:p>
        </w:tc>
        <w:tc>
          <w:tcPr>
            <w:tcW w:w="1701" w:type="dxa"/>
            <w:vMerge/>
            <w:shd w:val="clear" w:color="auto" w:fill="BDD7EE"/>
            <w:hideMark/>
          </w:tcPr>
          <w:p w14:paraId="6D29F1BD" w14:textId="77777777" w:rsidR="000E48CE" w:rsidRDefault="000E48CE">
            <w:pPr>
              <w:jc w:val="center"/>
              <w:rPr>
                <w:rFonts w:ascii="Times New Roman" w:eastAsia="Times New Roman" w:hAnsi="Times New Roman" w:cs="Times New Roman"/>
                <w:b/>
                <w:noProof/>
                <w:sz w:val="18"/>
              </w:rPr>
            </w:pPr>
          </w:p>
        </w:tc>
        <w:tc>
          <w:tcPr>
            <w:tcW w:w="1276" w:type="dxa"/>
            <w:vMerge/>
            <w:shd w:val="clear" w:color="auto" w:fill="BDD7EE"/>
            <w:hideMark/>
          </w:tcPr>
          <w:p w14:paraId="7D2BCCFA" w14:textId="77777777" w:rsidR="000E48CE" w:rsidRDefault="000E48CE">
            <w:pPr>
              <w:jc w:val="center"/>
              <w:rPr>
                <w:rFonts w:ascii="Times New Roman" w:eastAsia="Times New Roman" w:hAnsi="Times New Roman" w:cs="Times New Roman"/>
                <w:b/>
                <w:noProof/>
                <w:sz w:val="18"/>
              </w:rPr>
            </w:pPr>
          </w:p>
        </w:tc>
        <w:tc>
          <w:tcPr>
            <w:tcW w:w="709" w:type="dxa"/>
            <w:shd w:val="clear" w:color="auto" w:fill="BDD7EE"/>
            <w:hideMark/>
          </w:tcPr>
          <w:p w14:paraId="146393A0" w14:textId="77777777" w:rsidR="000E48CE" w:rsidRDefault="00FF4C4E">
            <w:pPr>
              <w:pStyle w:val="P68B1DB1-Normal12"/>
              <w:jc w:val="center"/>
              <w:rPr>
                <w:rFonts w:eastAsia="Times New Roman" w:cs="Times New Roman"/>
                <w:noProof/>
              </w:rPr>
            </w:pPr>
            <w:r>
              <w:rPr>
                <w:noProof/>
              </w:rPr>
              <w:t>Yksikkö</w:t>
            </w:r>
          </w:p>
        </w:tc>
        <w:tc>
          <w:tcPr>
            <w:tcW w:w="709" w:type="dxa"/>
            <w:shd w:val="clear" w:color="auto" w:fill="BDD7EE"/>
            <w:hideMark/>
          </w:tcPr>
          <w:p w14:paraId="4B231DE4" w14:textId="77777777" w:rsidR="000E48CE" w:rsidRDefault="00FF4C4E">
            <w:pPr>
              <w:pStyle w:val="P68B1DB1-Normal12"/>
              <w:jc w:val="center"/>
              <w:rPr>
                <w:rFonts w:eastAsia="Times New Roman" w:cs="Times New Roman"/>
                <w:noProof/>
              </w:rPr>
            </w:pPr>
            <w:r>
              <w:rPr>
                <w:noProof/>
              </w:rPr>
              <w:t>Perusviiva</w:t>
            </w:r>
          </w:p>
        </w:tc>
        <w:tc>
          <w:tcPr>
            <w:tcW w:w="708" w:type="dxa"/>
            <w:shd w:val="clear" w:color="auto" w:fill="BDD7EE"/>
            <w:hideMark/>
          </w:tcPr>
          <w:p w14:paraId="1D3E9995" w14:textId="77777777" w:rsidR="000E48CE" w:rsidRDefault="00FF4C4E">
            <w:pPr>
              <w:pStyle w:val="P68B1DB1-Normal12"/>
              <w:jc w:val="center"/>
              <w:rPr>
                <w:rFonts w:eastAsia="Times New Roman" w:cs="Times New Roman"/>
                <w:noProof/>
              </w:rPr>
            </w:pPr>
            <w:r>
              <w:rPr>
                <w:noProof/>
              </w:rPr>
              <w:t>Päämäärä</w:t>
            </w:r>
          </w:p>
        </w:tc>
        <w:tc>
          <w:tcPr>
            <w:tcW w:w="426" w:type="dxa"/>
            <w:shd w:val="clear" w:color="auto" w:fill="BDD7EE"/>
            <w:hideMark/>
          </w:tcPr>
          <w:p w14:paraId="0596B63C" w14:textId="4DF0A5B8" w:rsidR="000E48CE" w:rsidRDefault="00FF4C4E">
            <w:pPr>
              <w:pStyle w:val="P68B1DB1-Normal12"/>
              <w:jc w:val="center"/>
              <w:rPr>
                <w:rFonts w:eastAsia="Times New Roman" w:cs="Times New Roman"/>
                <w:noProof/>
              </w:rPr>
            </w:pPr>
            <w:r>
              <w:rPr>
                <w:noProof/>
              </w:rPr>
              <w:t>Q</w:t>
            </w:r>
          </w:p>
        </w:tc>
        <w:tc>
          <w:tcPr>
            <w:tcW w:w="567" w:type="dxa"/>
            <w:shd w:val="clear" w:color="auto" w:fill="BDD7EE"/>
            <w:hideMark/>
          </w:tcPr>
          <w:p w14:paraId="207A5044" w14:textId="7406E71C" w:rsidR="000E48CE" w:rsidRDefault="00FF4C4E">
            <w:pPr>
              <w:pStyle w:val="P68B1DB1-Normal12"/>
              <w:jc w:val="center"/>
              <w:rPr>
                <w:rFonts w:eastAsia="Times New Roman" w:cs="Times New Roman"/>
                <w:noProof/>
              </w:rPr>
            </w:pPr>
            <w:r>
              <w:rPr>
                <w:noProof/>
              </w:rPr>
              <w:t>Vuosi</w:t>
            </w:r>
          </w:p>
          <w:p w14:paraId="01D9CBC1" w14:textId="77EB7F29" w:rsidR="000E48CE" w:rsidRDefault="000E48CE">
            <w:pPr>
              <w:rPr>
                <w:rFonts w:ascii="Times New Roman" w:eastAsia="Times New Roman" w:hAnsi="Times New Roman" w:cs="Times New Roman"/>
                <w:noProof/>
                <w:sz w:val="18"/>
              </w:rPr>
            </w:pPr>
          </w:p>
        </w:tc>
        <w:tc>
          <w:tcPr>
            <w:tcW w:w="4958" w:type="dxa"/>
            <w:vMerge/>
            <w:shd w:val="clear" w:color="auto" w:fill="BDD7EE"/>
            <w:hideMark/>
          </w:tcPr>
          <w:p w14:paraId="1B6A682F" w14:textId="77777777" w:rsidR="000E48CE" w:rsidRDefault="000E48CE">
            <w:pPr>
              <w:jc w:val="center"/>
              <w:rPr>
                <w:rFonts w:ascii="Times New Roman" w:eastAsia="Times New Roman" w:hAnsi="Times New Roman" w:cs="Times New Roman"/>
                <w:b/>
                <w:noProof/>
                <w:sz w:val="18"/>
              </w:rPr>
            </w:pPr>
          </w:p>
        </w:tc>
      </w:tr>
      <w:tr w:rsidR="000E48CE" w14:paraId="7D05D04F" w14:textId="77777777">
        <w:trPr>
          <w:trHeight w:val="300"/>
        </w:trPr>
        <w:tc>
          <w:tcPr>
            <w:tcW w:w="846" w:type="dxa"/>
            <w:shd w:val="clear" w:color="auto" w:fill="C6EFCE"/>
            <w:hideMark/>
          </w:tcPr>
          <w:p w14:paraId="0D0C5572" w14:textId="280387A3" w:rsidR="000E48CE" w:rsidRDefault="00FF4C4E">
            <w:pPr>
              <w:pStyle w:val="P68B1DB1-Normal13"/>
              <w:jc w:val="center"/>
              <w:rPr>
                <w:rFonts w:cs="Times New Roman"/>
                <w:noProof/>
              </w:rPr>
            </w:pPr>
            <w:r>
              <w:rPr>
                <w:noProof/>
              </w:rPr>
              <w:t>L63</w:t>
            </w:r>
          </w:p>
        </w:tc>
        <w:tc>
          <w:tcPr>
            <w:tcW w:w="992" w:type="dxa"/>
            <w:shd w:val="clear" w:color="auto" w:fill="C6EFCE"/>
            <w:hideMark/>
          </w:tcPr>
          <w:p w14:paraId="2D369ECD" w14:textId="348F3DBF" w:rsidR="000E48CE" w:rsidRDefault="00FF4C4E">
            <w:pPr>
              <w:pStyle w:val="P68B1DB1-Normal13"/>
              <w:jc w:val="center"/>
              <w:rPr>
                <w:rFonts w:cs="Times New Roman"/>
                <w:noProof/>
              </w:rPr>
            </w:pPr>
            <w:r>
              <w:rPr>
                <w:noProof/>
              </w:rPr>
              <w:t>C15.I9</w:t>
            </w:r>
          </w:p>
        </w:tc>
        <w:tc>
          <w:tcPr>
            <w:tcW w:w="992" w:type="dxa"/>
            <w:shd w:val="clear" w:color="auto" w:fill="C6EFCE"/>
            <w:hideMark/>
          </w:tcPr>
          <w:p w14:paraId="2376F4A4" w14:textId="29A95FDB" w:rsidR="000E48CE" w:rsidRDefault="00FF4C4E">
            <w:pPr>
              <w:pStyle w:val="P68B1DB1-Normal13"/>
              <w:jc w:val="center"/>
              <w:rPr>
                <w:rFonts w:cs="Times New Roman"/>
                <w:noProof/>
              </w:rPr>
            </w:pPr>
            <w:r>
              <w:rPr>
                <w:noProof/>
              </w:rPr>
              <w:t>M</w:t>
            </w:r>
          </w:p>
        </w:tc>
        <w:tc>
          <w:tcPr>
            <w:tcW w:w="1701" w:type="dxa"/>
            <w:shd w:val="clear" w:color="auto" w:fill="C6EFCE"/>
            <w:hideMark/>
          </w:tcPr>
          <w:p w14:paraId="25940D13" w14:textId="53DD0140" w:rsidR="000E48CE" w:rsidRDefault="00FF4C4E">
            <w:pPr>
              <w:pStyle w:val="P68B1DB1-Normal13"/>
              <w:rPr>
                <w:rFonts w:cs="Times New Roman"/>
                <w:noProof/>
              </w:rPr>
            </w:pPr>
            <w:r>
              <w:rPr>
                <w:noProof/>
              </w:rPr>
              <w:t xml:space="preserve">Sirurahoitusjärjestely: Rahoitusmekanismin virallinen </w:t>
            </w:r>
            <w:r>
              <w:rPr>
                <w:noProof/>
              </w:rPr>
              <w:t>hyväksyminen</w:t>
            </w:r>
          </w:p>
        </w:tc>
        <w:tc>
          <w:tcPr>
            <w:tcW w:w="1276" w:type="dxa"/>
            <w:shd w:val="clear" w:color="auto" w:fill="C6EFCE"/>
            <w:hideMark/>
          </w:tcPr>
          <w:p w14:paraId="3BC64F0B" w14:textId="77777777" w:rsidR="000E48CE" w:rsidRDefault="00FF4C4E">
            <w:pPr>
              <w:pStyle w:val="P68B1DB1-Normal13"/>
              <w:rPr>
                <w:rFonts w:cs="Times New Roman"/>
                <w:noProof/>
              </w:rPr>
            </w:pPr>
            <w:r>
              <w:rPr>
                <w:noProof/>
              </w:rPr>
              <w:t>Täytäntöönpanosopimuksen allekirjoittaminen </w:t>
            </w:r>
          </w:p>
        </w:tc>
        <w:tc>
          <w:tcPr>
            <w:tcW w:w="709" w:type="dxa"/>
            <w:shd w:val="clear" w:color="auto" w:fill="C6EFCE"/>
            <w:hideMark/>
          </w:tcPr>
          <w:p w14:paraId="41D33B3A" w14:textId="77777777" w:rsidR="000E48CE" w:rsidRDefault="00FF4C4E">
            <w:pPr>
              <w:pStyle w:val="P68B1DB1-Normal13"/>
              <w:rPr>
                <w:rFonts w:cs="Times New Roman"/>
                <w:noProof/>
              </w:rPr>
            </w:pPr>
            <w:r>
              <w:rPr>
                <w:noProof/>
              </w:rPr>
              <w:t>  </w:t>
            </w:r>
          </w:p>
        </w:tc>
        <w:tc>
          <w:tcPr>
            <w:tcW w:w="709" w:type="dxa"/>
            <w:shd w:val="clear" w:color="auto" w:fill="C6EFCE"/>
            <w:hideMark/>
          </w:tcPr>
          <w:p w14:paraId="5F93FEEE" w14:textId="77777777" w:rsidR="000E48CE" w:rsidRDefault="00FF4C4E">
            <w:pPr>
              <w:pStyle w:val="P68B1DB1-Normal13"/>
              <w:rPr>
                <w:rFonts w:cs="Times New Roman"/>
                <w:noProof/>
              </w:rPr>
            </w:pPr>
            <w:r>
              <w:rPr>
                <w:noProof/>
              </w:rPr>
              <w:t>  </w:t>
            </w:r>
          </w:p>
        </w:tc>
        <w:tc>
          <w:tcPr>
            <w:tcW w:w="708" w:type="dxa"/>
            <w:shd w:val="clear" w:color="auto" w:fill="C6EFCE"/>
            <w:hideMark/>
          </w:tcPr>
          <w:p w14:paraId="4BA7C8A7" w14:textId="77777777" w:rsidR="000E48CE" w:rsidRDefault="00FF4C4E">
            <w:pPr>
              <w:pStyle w:val="P68B1DB1-Normal13"/>
              <w:rPr>
                <w:rFonts w:cs="Times New Roman"/>
                <w:noProof/>
              </w:rPr>
            </w:pPr>
            <w:r>
              <w:rPr>
                <w:noProof/>
              </w:rPr>
              <w:t>  </w:t>
            </w:r>
          </w:p>
        </w:tc>
        <w:tc>
          <w:tcPr>
            <w:tcW w:w="426" w:type="dxa"/>
            <w:shd w:val="clear" w:color="auto" w:fill="C6EFCE"/>
            <w:hideMark/>
          </w:tcPr>
          <w:p w14:paraId="7EC9807C" w14:textId="5C54D2D9" w:rsidR="000E48CE" w:rsidRDefault="00FF4C4E">
            <w:pPr>
              <w:pStyle w:val="P68B1DB1-Normal13"/>
              <w:jc w:val="center"/>
              <w:rPr>
                <w:rFonts w:cs="Times New Roman"/>
                <w:noProof/>
              </w:rPr>
            </w:pPr>
            <w:r>
              <w:rPr>
                <w:noProof/>
              </w:rPr>
              <w:t>Q4</w:t>
            </w:r>
          </w:p>
        </w:tc>
        <w:tc>
          <w:tcPr>
            <w:tcW w:w="567" w:type="dxa"/>
            <w:shd w:val="clear" w:color="auto" w:fill="C6EFCE"/>
            <w:hideMark/>
          </w:tcPr>
          <w:p w14:paraId="135322BD" w14:textId="77777777" w:rsidR="000E48CE" w:rsidRDefault="00FF4C4E">
            <w:pPr>
              <w:pStyle w:val="P68B1DB1-Normal13"/>
              <w:jc w:val="center"/>
              <w:rPr>
                <w:rFonts w:eastAsia="Times New Roman" w:cs="Times New Roman"/>
                <w:noProof/>
              </w:rPr>
            </w:pPr>
            <w:r>
              <w:rPr>
                <w:noProof/>
              </w:rPr>
              <w:t>2023</w:t>
            </w:r>
          </w:p>
        </w:tc>
        <w:tc>
          <w:tcPr>
            <w:tcW w:w="4958" w:type="dxa"/>
            <w:shd w:val="clear" w:color="auto" w:fill="C6EFCE"/>
            <w:hideMark/>
          </w:tcPr>
          <w:p w14:paraId="776872B7" w14:textId="13E22D45" w:rsidR="000E48CE" w:rsidRDefault="00FF4C4E">
            <w:pPr>
              <w:pStyle w:val="P68B1DB1-Normal13"/>
              <w:rPr>
                <w:rFonts w:cs="Times New Roman"/>
                <w:noProof/>
              </w:rPr>
            </w:pPr>
            <w:r>
              <w:rPr>
                <w:noProof/>
              </w:rPr>
              <w:t>Ministeriön ja SEMyS:n allekirjoittama täytäntöönpanosopimus tai asetuksen voimaantulo sekä kaikki siihen liittyvät asiakirjat, joilla koordinointiväline perustetaan.</w:t>
            </w:r>
          </w:p>
        </w:tc>
      </w:tr>
      <w:tr w:rsidR="000E48CE" w14:paraId="1CB13C5D" w14:textId="77777777">
        <w:trPr>
          <w:trHeight w:val="300"/>
        </w:trPr>
        <w:tc>
          <w:tcPr>
            <w:tcW w:w="846" w:type="dxa"/>
            <w:shd w:val="clear" w:color="auto" w:fill="C6EFCE"/>
          </w:tcPr>
          <w:p w14:paraId="63157463" w14:textId="6C136408" w:rsidR="000E48CE" w:rsidRDefault="00FF4C4E">
            <w:pPr>
              <w:pStyle w:val="P68B1DB1-Normal13"/>
              <w:jc w:val="center"/>
              <w:rPr>
                <w:rFonts w:cs="Times New Roman"/>
                <w:noProof/>
              </w:rPr>
            </w:pPr>
            <w:r>
              <w:rPr>
                <w:noProof/>
              </w:rPr>
              <w:t>L64</w:t>
            </w:r>
          </w:p>
        </w:tc>
        <w:tc>
          <w:tcPr>
            <w:tcW w:w="992" w:type="dxa"/>
            <w:shd w:val="clear" w:color="auto" w:fill="C6EFCE"/>
          </w:tcPr>
          <w:p w14:paraId="491EE663" w14:textId="7BDE6061" w:rsidR="000E48CE" w:rsidRDefault="00FF4C4E">
            <w:pPr>
              <w:pStyle w:val="P68B1DB1-Normal13"/>
              <w:jc w:val="center"/>
              <w:rPr>
                <w:rFonts w:cs="Times New Roman"/>
                <w:noProof/>
              </w:rPr>
            </w:pPr>
            <w:r>
              <w:rPr>
                <w:noProof/>
              </w:rPr>
              <w:t>C15.I9</w:t>
            </w:r>
          </w:p>
        </w:tc>
        <w:tc>
          <w:tcPr>
            <w:tcW w:w="992" w:type="dxa"/>
            <w:shd w:val="clear" w:color="auto" w:fill="C6EFCE"/>
          </w:tcPr>
          <w:p w14:paraId="4179376F" w14:textId="05FC026A" w:rsidR="000E48CE" w:rsidRDefault="00FF4C4E">
            <w:pPr>
              <w:pStyle w:val="P68B1DB1-Normal13"/>
              <w:jc w:val="center"/>
              <w:rPr>
                <w:rFonts w:cs="Times New Roman"/>
                <w:noProof/>
              </w:rPr>
            </w:pPr>
            <w:r>
              <w:rPr>
                <w:noProof/>
              </w:rPr>
              <w:t>T</w:t>
            </w:r>
          </w:p>
        </w:tc>
        <w:tc>
          <w:tcPr>
            <w:tcW w:w="1701" w:type="dxa"/>
            <w:shd w:val="clear" w:color="auto" w:fill="C6EFCE"/>
          </w:tcPr>
          <w:p w14:paraId="62508480" w14:textId="5A6F9073" w:rsidR="000E48CE" w:rsidRDefault="00FF4C4E">
            <w:pPr>
              <w:pStyle w:val="P68B1DB1-Normal13"/>
              <w:rPr>
                <w:rFonts w:cs="Times New Roman"/>
                <w:noProof/>
              </w:rPr>
            </w:pPr>
            <w:r>
              <w:rPr>
                <w:noProof/>
              </w:rPr>
              <w:t>Sirurahoitusjärjestely: Lopullisten edunsaajien kanssa allekirjoitetut oikeudelliset sopimukset (I)</w:t>
            </w:r>
          </w:p>
        </w:tc>
        <w:tc>
          <w:tcPr>
            <w:tcW w:w="1276" w:type="dxa"/>
            <w:shd w:val="clear" w:color="auto" w:fill="C6EFCE"/>
          </w:tcPr>
          <w:p w14:paraId="45F800E9" w14:textId="77777777" w:rsidR="000E48CE" w:rsidRDefault="000E48CE">
            <w:pPr>
              <w:rPr>
                <w:rFonts w:ascii="Times New Roman" w:hAnsi="Times New Roman" w:cs="Times New Roman"/>
                <w:noProof/>
                <w:sz w:val="18"/>
              </w:rPr>
            </w:pPr>
          </w:p>
        </w:tc>
        <w:tc>
          <w:tcPr>
            <w:tcW w:w="709" w:type="dxa"/>
            <w:shd w:val="clear" w:color="auto" w:fill="C6EFCE"/>
          </w:tcPr>
          <w:p w14:paraId="5647BF63" w14:textId="66EF5FA5" w:rsidR="000E48CE" w:rsidRDefault="000E48CE">
            <w:pPr>
              <w:rPr>
                <w:rFonts w:ascii="Times New Roman" w:hAnsi="Times New Roman" w:cs="Times New Roman"/>
                <w:noProof/>
                <w:sz w:val="18"/>
              </w:rPr>
            </w:pPr>
          </w:p>
        </w:tc>
        <w:tc>
          <w:tcPr>
            <w:tcW w:w="709" w:type="dxa"/>
            <w:shd w:val="clear" w:color="auto" w:fill="C6EFCE"/>
          </w:tcPr>
          <w:p w14:paraId="19862384" w14:textId="77777777" w:rsidR="000E48CE" w:rsidRDefault="00FF4C4E">
            <w:pPr>
              <w:pStyle w:val="P68B1DB1-Normal13"/>
              <w:jc w:val="center"/>
              <w:rPr>
                <w:rFonts w:cs="Times New Roman"/>
                <w:noProof/>
              </w:rPr>
            </w:pPr>
            <w:r>
              <w:rPr>
                <w:noProof/>
              </w:rPr>
              <w:t>0</w:t>
            </w:r>
          </w:p>
        </w:tc>
        <w:tc>
          <w:tcPr>
            <w:tcW w:w="708" w:type="dxa"/>
            <w:shd w:val="clear" w:color="auto" w:fill="C6EFCE"/>
          </w:tcPr>
          <w:p w14:paraId="4A0D3DAB" w14:textId="083523E6" w:rsidR="000E48CE" w:rsidRDefault="00FF4C4E">
            <w:pPr>
              <w:pStyle w:val="P68B1DB1-Normal13"/>
              <w:jc w:val="center"/>
              <w:rPr>
                <w:rFonts w:cs="Times New Roman"/>
                <w:noProof/>
              </w:rPr>
            </w:pPr>
            <w:r>
              <w:rPr>
                <w:noProof/>
              </w:rPr>
              <w:t>25 %</w:t>
            </w:r>
          </w:p>
        </w:tc>
        <w:tc>
          <w:tcPr>
            <w:tcW w:w="426" w:type="dxa"/>
            <w:shd w:val="clear" w:color="auto" w:fill="C6EFCE"/>
          </w:tcPr>
          <w:p w14:paraId="7903A43B" w14:textId="77777777" w:rsidR="000E48CE" w:rsidRDefault="00FF4C4E">
            <w:pPr>
              <w:pStyle w:val="P68B1DB1-Normal13"/>
              <w:jc w:val="center"/>
              <w:rPr>
                <w:rFonts w:cs="Times New Roman"/>
                <w:noProof/>
              </w:rPr>
            </w:pPr>
            <w:r>
              <w:rPr>
                <w:noProof/>
              </w:rPr>
              <w:t>Q2</w:t>
            </w:r>
          </w:p>
        </w:tc>
        <w:tc>
          <w:tcPr>
            <w:tcW w:w="567" w:type="dxa"/>
            <w:shd w:val="clear" w:color="auto" w:fill="C6EFCE"/>
          </w:tcPr>
          <w:p w14:paraId="1BC066D8" w14:textId="77777777" w:rsidR="000E48CE" w:rsidRDefault="00FF4C4E">
            <w:pPr>
              <w:pStyle w:val="P68B1DB1-Normal13"/>
              <w:jc w:val="center"/>
              <w:rPr>
                <w:rFonts w:eastAsia="Times New Roman" w:cs="Times New Roman"/>
                <w:noProof/>
              </w:rPr>
            </w:pPr>
            <w:r>
              <w:rPr>
                <w:noProof/>
              </w:rPr>
              <w:t>2025</w:t>
            </w:r>
          </w:p>
        </w:tc>
        <w:tc>
          <w:tcPr>
            <w:tcW w:w="4958" w:type="dxa"/>
            <w:shd w:val="clear" w:color="auto" w:fill="C6EFCE"/>
          </w:tcPr>
          <w:p w14:paraId="3F36263D" w14:textId="2DAFEEE7" w:rsidR="000E48CE" w:rsidRDefault="00FF4C4E">
            <w:pPr>
              <w:pStyle w:val="P68B1DB1-Normal13"/>
              <w:rPr>
                <w:rFonts w:cs="Times New Roman"/>
                <w:noProof/>
              </w:rPr>
            </w:pPr>
            <w:r>
              <w:rPr>
                <w:noProof/>
              </w:rPr>
              <w:t xml:space="preserve">Tukiväline on tehnyt lopullisten edunsaajien kanssa oikeudellisia rahoitussopimuksia, joiden määrä on tarpeen, jotta vähintään 25 </w:t>
            </w:r>
            <w:r>
              <w:rPr>
                <w:noProof/>
              </w:rPr>
              <w:t>prosenttia elpymis- ja palautumistukivälineen investoinneista voidaan käyttää tukivälineeseen (hallinnolliset maksut huomioon ottaen).</w:t>
            </w:r>
          </w:p>
          <w:p w14:paraId="1B65CDBA" w14:textId="543E1CFB" w:rsidR="000E48CE" w:rsidRDefault="00FF4C4E">
            <w:pPr>
              <w:pStyle w:val="P68B1DB1-Normal13"/>
              <w:rPr>
                <w:rFonts w:cs="Times New Roman"/>
                <w:noProof/>
              </w:rPr>
            </w:pPr>
            <w:r>
              <w:rPr>
                <w:noProof/>
              </w:rPr>
              <w:t>Espanjan hallituksen ja hakijan on myös allekirjoitettava Espanjan kansallisessa lainsäädännössä kuvattu yleinen toiminta</w:t>
            </w:r>
            <w:r>
              <w:rPr>
                <w:noProof/>
              </w:rPr>
              <w:t>pöytäkirja tai vastaava diplomaattinen asiakirja, joka koskee vähintään yhtä puolijohteiden valmistuslaitosta (joko etu- tai takapäätä) EU:n avoimen tilausvalmistajan tai integroidun tuotantolaitoksen muodossa, joka on ensimmäinen laatuaan eurooppalaisessa</w:t>
            </w:r>
            <w:r>
              <w:rPr>
                <w:noProof/>
              </w:rPr>
              <w:t xml:space="preserve"> sirusäädöksessä vahvistettujen määritelmien mukaisesti. </w:t>
            </w:r>
          </w:p>
          <w:p w14:paraId="2B920AB3" w14:textId="684AAF71" w:rsidR="000E48CE" w:rsidRDefault="00FF4C4E">
            <w:pPr>
              <w:pStyle w:val="P68B1DB1-Normal13"/>
              <w:rPr>
                <w:rFonts w:cs="Times New Roman"/>
                <w:noProof/>
              </w:rPr>
            </w:pPr>
            <w:r>
              <w:rPr>
                <w:noProof/>
              </w:rPr>
              <w:t>SEMyS laatii raportin, jossa esitetään yksityiskohtaisesti, että vähintään 100 prosenttia tästä rahoituksesta edistää digitaalisen siirtymän tavoitteita, käyttäen elpymis- ja palautumistukivälinettä</w:t>
            </w:r>
            <w:r>
              <w:rPr>
                <w:noProof/>
              </w:rPr>
              <w:t xml:space="preserve"> koskevan asetuksen liitteessä VII esitettyä menetelmää.</w:t>
            </w:r>
          </w:p>
        </w:tc>
      </w:tr>
      <w:tr w:rsidR="000E48CE" w14:paraId="2EA593B6" w14:textId="77777777">
        <w:trPr>
          <w:trHeight w:val="300"/>
        </w:trPr>
        <w:tc>
          <w:tcPr>
            <w:tcW w:w="846" w:type="dxa"/>
            <w:shd w:val="clear" w:color="auto" w:fill="C6EFCE"/>
          </w:tcPr>
          <w:p w14:paraId="56656C43" w14:textId="02454E2D" w:rsidR="000E48CE" w:rsidRDefault="00FF4C4E">
            <w:pPr>
              <w:pStyle w:val="P68B1DB1-Normal13"/>
              <w:jc w:val="center"/>
              <w:rPr>
                <w:rFonts w:cs="Times New Roman"/>
                <w:noProof/>
              </w:rPr>
            </w:pPr>
            <w:r>
              <w:rPr>
                <w:noProof/>
              </w:rPr>
              <w:t>L65</w:t>
            </w:r>
          </w:p>
        </w:tc>
        <w:tc>
          <w:tcPr>
            <w:tcW w:w="992" w:type="dxa"/>
            <w:shd w:val="clear" w:color="auto" w:fill="C6EFCE"/>
          </w:tcPr>
          <w:p w14:paraId="0BF73430" w14:textId="17653A36" w:rsidR="000E48CE" w:rsidRDefault="00FF4C4E">
            <w:pPr>
              <w:pStyle w:val="P68B1DB1-Normal13"/>
              <w:jc w:val="center"/>
              <w:rPr>
                <w:rFonts w:cs="Times New Roman"/>
                <w:noProof/>
              </w:rPr>
            </w:pPr>
            <w:r>
              <w:rPr>
                <w:noProof/>
              </w:rPr>
              <w:t>C15.I9</w:t>
            </w:r>
          </w:p>
        </w:tc>
        <w:tc>
          <w:tcPr>
            <w:tcW w:w="992" w:type="dxa"/>
            <w:shd w:val="clear" w:color="auto" w:fill="C6EFCE"/>
          </w:tcPr>
          <w:p w14:paraId="2599D3DB" w14:textId="753CD061" w:rsidR="000E48CE" w:rsidRDefault="00FF4C4E">
            <w:pPr>
              <w:pStyle w:val="P68B1DB1-Normal13"/>
              <w:jc w:val="center"/>
              <w:rPr>
                <w:rFonts w:eastAsia="Times New Roman" w:cs="Times New Roman"/>
                <w:noProof/>
              </w:rPr>
            </w:pPr>
            <w:r>
              <w:rPr>
                <w:noProof/>
              </w:rPr>
              <w:t>T</w:t>
            </w:r>
          </w:p>
        </w:tc>
        <w:tc>
          <w:tcPr>
            <w:tcW w:w="1701" w:type="dxa"/>
            <w:shd w:val="clear" w:color="auto" w:fill="C6EFCE"/>
          </w:tcPr>
          <w:p w14:paraId="196137CD" w14:textId="141A95CC" w:rsidR="000E48CE" w:rsidRDefault="00FF4C4E">
            <w:pPr>
              <w:pStyle w:val="P68B1DB1-Normal13"/>
              <w:rPr>
                <w:rFonts w:eastAsia="Times New Roman" w:cs="Times New Roman"/>
                <w:noProof/>
              </w:rPr>
            </w:pPr>
            <w:r>
              <w:rPr>
                <w:noProof/>
              </w:rPr>
              <w:t>Sirurahoitusjärjestely: Lopullisten edunsaajien kanssa allekirjoitetut oikeudelliset sopimukset (II)</w:t>
            </w:r>
          </w:p>
        </w:tc>
        <w:tc>
          <w:tcPr>
            <w:tcW w:w="1276" w:type="dxa"/>
            <w:shd w:val="clear" w:color="auto" w:fill="C6EFCE"/>
          </w:tcPr>
          <w:p w14:paraId="41A672A3" w14:textId="77777777" w:rsidR="000E48CE" w:rsidRDefault="000E48CE">
            <w:pPr>
              <w:rPr>
                <w:rFonts w:ascii="Times New Roman" w:eastAsia="Times New Roman" w:hAnsi="Times New Roman" w:cs="Times New Roman"/>
                <w:noProof/>
                <w:sz w:val="18"/>
              </w:rPr>
            </w:pPr>
          </w:p>
        </w:tc>
        <w:tc>
          <w:tcPr>
            <w:tcW w:w="709" w:type="dxa"/>
            <w:shd w:val="clear" w:color="auto" w:fill="C6EFCE"/>
          </w:tcPr>
          <w:p w14:paraId="2988B5C7" w14:textId="14397A8A" w:rsidR="000E48CE" w:rsidRDefault="000E48CE">
            <w:pPr>
              <w:rPr>
                <w:rFonts w:ascii="Times New Roman" w:hAnsi="Times New Roman" w:cs="Times New Roman"/>
                <w:noProof/>
                <w:sz w:val="18"/>
              </w:rPr>
            </w:pPr>
          </w:p>
        </w:tc>
        <w:tc>
          <w:tcPr>
            <w:tcW w:w="709" w:type="dxa"/>
            <w:shd w:val="clear" w:color="auto" w:fill="C6EFCE"/>
          </w:tcPr>
          <w:p w14:paraId="7CB24F9B" w14:textId="7C1EB69A" w:rsidR="000E48CE" w:rsidRDefault="00FF4C4E">
            <w:pPr>
              <w:pStyle w:val="P68B1DB1-Normal13"/>
              <w:jc w:val="center"/>
              <w:rPr>
                <w:rFonts w:eastAsia="Times New Roman" w:cs="Times New Roman"/>
                <w:noProof/>
              </w:rPr>
            </w:pPr>
            <w:r>
              <w:rPr>
                <w:noProof/>
              </w:rPr>
              <w:t>25 %</w:t>
            </w:r>
          </w:p>
        </w:tc>
        <w:tc>
          <w:tcPr>
            <w:tcW w:w="708" w:type="dxa"/>
            <w:shd w:val="clear" w:color="auto" w:fill="C6EFCE"/>
          </w:tcPr>
          <w:p w14:paraId="5FA4F5FA" w14:textId="4150342C" w:rsidR="000E48CE" w:rsidRDefault="00FF4C4E">
            <w:pPr>
              <w:pStyle w:val="P68B1DB1-Normal13"/>
              <w:jc w:val="center"/>
              <w:rPr>
                <w:rFonts w:eastAsia="Times New Roman" w:cs="Times New Roman"/>
                <w:noProof/>
              </w:rPr>
            </w:pPr>
            <w:r>
              <w:rPr>
                <w:noProof/>
              </w:rPr>
              <w:t>100 %</w:t>
            </w:r>
          </w:p>
        </w:tc>
        <w:tc>
          <w:tcPr>
            <w:tcW w:w="426" w:type="dxa"/>
            <w:shd w:val="clear" w:color="auto" w:fill="C6EFCE"/>
          </w:tcPr>
          <w:p w14:paraId="567D5DA6" w14:textId="3494F4C6" w:rsidR="000E48CE" w:rsidRDefault="00FF4C4E">
            <w:pPr>
              <w:pStyle w:val="P68B1DB1-Normal13"/>
              <w:jc w:val="center"/>
              <w:rPr>
                <w:rFonts w:cs="Times New Roman"/>
                <w:noProof/>
              </w:rPr>
            </w:pPr>
            <w:r>
              <w:rPr>
                <w:noProof/>
              </w:rPr>
              <w:t>KOLMAS VUOSINELJÄNNES</w:t>
            </w:r>
          </w:p>
        </w:tc>
        <w:tc>
          <w:tcPr>
            <w:tcW w:w="567" w:type="dxa"/>
            <w:shd w:val="clear" w:color="auto" w:fill="C6EFCE"/>
          </w:tcPr>
          <w:p w14:paraId="227E7D60" w14:textId="32174019" w:rsidR="000E48CE" w:rsidRDefault="00FF4C4E">
            <w:pPr>
              <w:pStyle w:val="P68B1DB1-Normal13"/>
              <w:jc w:val="center"/>
              <w:rPr>
                <w:rFonts w:cs="Times New Roman"/>
                <w:noProof/>
              </w:rPr>
            </w:pPr>
            <w:r>
              <w:rPr>
                <w:noProof/>
              </w:rPr>
              <w:t>2026</w:t>
            </w:r>
          </w:p>
        </w:tc>
        <w:tc>
          <w:tcPr>
            <w:tcW w:w="4958" w:type="dxa"/>
            <w:shd w:val="clear" w:color="auto" w:fill="C6EFCE"/>
          </w:tcPr>
          <w:p w14:paraId="78AE8FD0" w14:textId="6A3AB5B0" w:rsidR="000E48CE" w:rsidRDefault="00FF4C4E">
            <w:pPr>
              <w:pStyle w:val="P68B1DB1-Normal13"/>
              <w:rPr>
                <w:rFonts w:cs="Times New Roman"/>
                <w:noProof/>
              </w:rPr>
            </w:pPr>
            <w:r>
              <w:rPr>
                <w:noProof/>
              </w:rPr>
              <w:t>Tukiväline on tehnyt lopullisten edunsaajien</w:t>
            </w:r>
            <w:r>
              <w:rPr>
                <w:noProof/>
              </w:rPr>
              <w:t xml:space="preserve"> kanssa oikeudellisia rahoitussopimuksia, joiden määrä on tarpeen, jotta elpymis- ja palautumistukivälineen investoinneista voidaan käyttää 100 prosenttia tukivälineeseen (hallinnolliset maksut huomioon ottaen).</w:t>
            </w:r>
          </w:p>
          <w:p w14:paraId="3868FC58" w14:textId="70DB73BF" w:rsidR="000E48CE" w:rsidRDefault="00FF4C4E">
            <w:pPr>
              <w:pStyle w:val="P68B1DB1-Normal13"/>
              <w:rPr>
                <w:rFonts w:cs="Times New Roman"/>
                <w:noProof/>
              </w:rPr>
            </w:pPr>
            <w:r>
              <w:rPr>
                <w:noProof/>
              </w:rPr>
              <w:t>SEMyS laatii raportin, jossa esitetään yksit</w:t>
            </w:r>
            <w:r>
              <w:rPr>
                <w:noProof/>
              </w:rPr>
              <w:t>yiskohtaisesti, että vähintään 100 prosenttia tästä rahoituksesta edistää digitaalisen siirtymän tavoitteita, käyttäen elpymis- ja palautumistukivälinettä koskevan asetuksen liitteessä VII esitettyä menetelmää.</w:t>
            </w:r>
          </w:p>
        </w:tc>
      </w:tr>
      <w:tr w:rsidR="000E48CE" w14:paraId="7FA53FE6" w14:textId="77777777">
        <w:trPr>
          <w:trHeight w:val="300"/>
        </w:trPr>
        <w:tc>
          <w:tcPr>
            <w:tcW w:w="846" w:type="dxa"/>
            <w:shd w:val="clear" w:color="auto" w:fill="C6EFCE"/>
          </w:tcPr>
          <w:p w14:paraId="052B4093" w14:textId="43FB1F02" w:rsidR="000E48CE" w:rsidRDefault="00FF4C4E">
            <w:pPr>
              <w:pStyle w:val="P68B1DB1-Normal13"/>
              <w:jc w:val="center"/>
              <w:rPr>
                <w:rFonts w:cs="Times New Roman"/>
                <w:noProof/>
              </w:rPr>
            </w:pPr>
            <w:r>
              <w:rPr>
                <w:noProof/>
              </w:rPr>
              <w:t>L66</w:t>
            </w:r>
          </w:p>
        </w:tc>
        <w:tc>
          <w:tcPr>
            <w:tcW w:w="992" w:type="dxa"/>
            <w:shd w:val="clear" w:color="auto" w:fill="C6EFCE"/>
          </w:tcPr>
          <w:p w14:paraId="6758F82E" w14:textId="4102C823" w:rsidR="000E48CE" w:rsidRDefault="00FF4C4E">
            <w:pPr>
              <w:pStyle w:val="P68B1DB1-Normal13"/>
              <w:jc w:val="center"/>
              <w:rPr>
                <w:rFonts w:cs="Times New Roman"/>
                <w:noProof/>
              </w:rPr>
            </w:pPr>
            <w:r>
              <w:rPr>
                <w:noProof/>
              </w:rPr>
              <w:t>C15.I9</w:t>
            </w:r>
          </w:p>
        </w:tc>
        <w:tc>
          <w:tcPr>
            <w:tcW w:w="992" w:type="dxa"/>
            <w:shd w:val="clear" w:color="auto" w:fill="C6EFCE"/>
          </w:tcPr>
          <w:p w14:paraId="5B35E011" w14:textId="53EBF650" w:rsidR="000E48CE" w:rsidRDefault="00FF4C4E">
            <w:pPr>
              <w:pStyle w:val="P68B1DB1-Normal13"/>
              <w:jc w:val="center"/>
              <w:rPr>
                <w:rFonts w:cs="Times New Roman"/>
                <w:noProof/>
              </w:rPr>
            </w:pPr>
            <w:r>
              <w:rPr>
                <w:noProof/>
              </w:rPr>
              <w:t>M</w:t>
            </w:r>
          </w:p>
        </w:tc>
        <w:tc>
          <w:tcPr>
            <w:tcW w:w="1701" w:type="dxa"/>
            <w:shd w:val="clear" w:color="auto" w:fill="C6EFCE"/>
          </w:tcPr>
          <w:p w14:paraId="3CE1C078" w14:textId="5849E117" w:rsidR="000E48CE" w:rsidRDefault="00FF4C4E">
            <w:pPr>
              <w:pStyle w:val="P68B1DB1-Normal13"/>
              <w:rPr>
                <w:rFonts w:cs="Times New Roman"/>
                <w:noProof/>
              </w:rPr>
            </w:pPr>
            <w:r>
              <w:rPr>
                <w:noProof/>
              </w:rPr>
              <w:t xml:space="preserve">Sirurahoitusjärjestely: Ministeriö on saattanut investoinnin päätökseen. </w:t>
            </w:r>
          </w:p>
        </w:tc>
        <w:tc>
          <w:tcPr>
            <w:tcW w:w="1276" w:type="dxa"/>
            <w:shd w:val="clear" w:color="auto" w:fill="C6EFCE"/>
          </w:tcPr>
          <w:p w14:paraId="3BA1A2B2" w14:textId="172197F1" w:rsidR="000E48CE" w:rsidRDefault="00FF4C4E">
            <w:pPr>
              <w:pStyle w:val="P68B1DB1-Normal13"/>
              <w:rPr>
                <w:rFonts w:cs="Times New Roman"/>
                <w:noProof/>
              </w:rPr>
            </w:pPr>
            <w:r>
              <w:rPr>
                <w:noProof/>
              </w:rPr>
              <w:t xml:space="preserve">Siirtotodistus </w:t>
            </w:r>
          </w:p>
        </w:tc>
        <w:tc>
          <w:tcPr>
            <w:tcW w:w="709" w:type="dxa"/>
            <w:shd w:val="clear" w:color="auto" w:fill="C6EFCE"/>
          </w:tcPr>
          <w:p w14:paraId="42EB5E1B" w14:textId="1E55410B" w:rsidR="000E48CE" w:rsidRDefault="000E48CE">
            <w:pPr>
              <w:jc w:val="center"/>
              <w:rPr>
                <w:rFonts w:ascii="Times New Roman" w:hAnsi="Times New Roman" w:cs="Times New Roman"/>
                <w:noProof/>
                <w:sz w:val="18"/>
              </w:rPr>
            </w:pPr>
          </w:p>
        </w:tc>
        <w:tc>
          <w:tcPr>
            <w:tcW w:w="709" w:type="dxa"/>
            <w:shd w:val="clear" w:color="auto" w:fill="C6EFCE"/>
          </w:tcPr>
          <w:p w14:paraId="5A860AAC" w14:textId="47ACFEA4" w:rsidR="000E48CE" w:rsidRDefault="000E48CE">
            <w:pPr>
              <w:rPr>
                <w:rFonts w:ascii="Times New Roman" w:hAnsi="Times New Roman" w:cs="Times New Roman"/>
                <w:noProof/>
                <w:sz w:val="18"/>
              </w:rPr>
            </w:pPr>
          </w:p>
        </w:tc>
        <w:tc>
          <w:tcPr>
            <w:tcW w:w="708" w:type="dxa"/>
            <w:shd w:val="clear" w:color="auto" w:fill="C6EFCE"/>
          </w:tcPr>
          <w:p w14:paraId="635452A8" w14:textId="52B1A388" w:rsidR="000E48CE" w:rsidRDefault="000E48CE">
            <w:pPr>
              <w:rPr>
                <w:rFonts w:ascii="Times New Roman" w:hAnsi="Times New Roman" w:cs="Times New Roman"/>
                <w:noProof/>
                <w:sz w:val="18"/>
              </w:rPr>
            </w:pPr>
          </w:p>
        </w:tc>
        <w:tc>
          <w:tcPr>
            <w:tcW w:w="426" w:type="dxa"/>
            <w:shd w:val="clear" w:color="auto" w:fill="C6EFCE"/>
          </w:tcPr>
          <w:p w14:paraId="34F3DFA2" w14:textId="0B501E19" w:rsidR="000E48CE" w:rsidRDefault="00FF4C4E">
            <w:pPr>
              <w:pStyle w:val="P68B1DB1-Normal13"/>
              <w:jc w:val="center"/>
              <w:rPr>
                <w:rFonts w:cs="Times New Roman"/>
                <w:noProof/>
              </w:rPr>
            </w:pPr>
            <w:r>
              <w:rPr>
                <w:noProof/>
              </w:rPr>
              <w:t>KOLMAS VUOSINELJÄNNES</w:t>
            </w:r>
          </w:p>
        </w:tc>
        <w:tc>
          <w:tcPr>
            <w:tcW w:w="567" w:type="dxa"/>
            <w:shd w:val="clear" w:color="auto" w:fill="C6EFCE"/>
          </w:tcPr>
          <w:p w14:paraId="0AD71336" w14:textId="77777777" w:rsidR="000E48CE" w:rsidRDefault="00FF4C4E">
            <w:pPr>
              <w:pStyle w:val="P68B1DB1-Normal13"/>
              <w:jc w:val="center"/>
              <w:rPr>
                <w:rFonts w:cs="Times New Roman"/>
                <w:noProof/>
              </w:rPr>
            </w:pPr>
            <w:r>
              <w:rPr>
                <w:noProof/>
              </w:rPr>
              <w:t>2026</w:t>
            </w:r>
          </w:p>
        </w:tc>
        <w:tc>
          <w:tcPr>
            <w:tcW w:w="4958" w:type="dxa"/>
            <w:shd w:val="clear" w:color="auto" w:fill="C6EFCE"/>
          </w:tcPr>
          <w:p w14:paraId="7808AB6C" w14:textId="5CEBF4B5" w:rsidR="000E48CE" w:rsidRDefault="00FF4C4E">
            <w:pPr>
              <w:pStyle w:val="P68B1DB1-Normal13"/>
              <w:rPr>
                <w:rFonts w:cs="Times New Roman"/>
                <w:noProof/>
              </w:rPr>
            </w:pPr>
            <w:r>
              <w:rPr>
                <w:noProof/>
              </w:rPr>
              <w:t>Espanja siirtää 10750000000 euroa SEMyS:lle tukivälinettä varten.</w:t>
            </w:r>
          </w:p>
        </w:tc>
      </w:tr>
    </w:tbl>
    <w:p w14:paraId="01914987" w14:textId="77777777" w:rsidR="000E48CE" w:rsidRDefault="000E48CE">
      <w:pPr>
        <w:spacing w:before="120" w:after="120" w:line="240" w:lineRule="auto"/>
        <w:ind w:left="709"/>
        <w:jc w:val="both"/>
        <w:rPr>
          <w:rFonts w:ascii="Times New Roman" w:hAnsi="Times New Roman" w:cs="Times New Roman"/>
          <w:noProof/>
          <w:sz w:val="24"/>
        </w:rPr>
      </w:pPr>
    </w:p>
    <w:p w14:paraId="3DBE73F8"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330"/>
          <w:headerReference w:type="default" r:id="rId331"/>
          <w:footerReference w:type="even" r:id="rId332"/>
          <w:footerReference w:type="default" r:id="rId333"/>
          <w:headerReference w:type="first" r:id="rId334"/>
          <w:footerReference w:type="first" r:id="rId335"/>
          <w:pgSz w:w="16839" w:h="11907" w:orient="landscape"/>
          <w:pgMar w:top="1417" w:right="1134" w:bottom="1417" w:left="1134" w:header="709" w:footer="709" w:gutter="0"/>
          <w:cols w:space="720"/>
          <w:docGrid w:linePitch="360"/>
        </w:sectPr>
      </w:pPr>
    </w:p>
    <w:p w14:paraId="4E73C637" w14:textId="77777777" w:rsidR="000E48CE" w:rsidRDefault="00FF4C4E">
      <w:pPr>
        <w:pStyle w:val="P68B1DB1-Heading12"/>
        <w:rPr>
          <w:rFonts w:cs="Times New Roman"/>
          <w:noProof/>
        </w:rPr>
      </w:pPr>
      <w:r>
        <w:rPr>
          <w:noProof/>
        </w:rPr>
        <w:t xml:space="preserve">P. </w:t>
      </w:r>
      <w:r>
        <w:rPr>
          <w:noProof/>
        </w:rPr>
        <w:t>OSA 16: Tekoäly</w:t>
      </w:r>
    </w:p>
    <w:p w14:paraId="4A87F81B" w14:textId="77777777" w:rsidR="000E48CE" w:rsidRDefault="00FF4C4E">
      <w:pPr>
        <w:pStyle w:val="P68B1DB1-Normal4"/>
        <w:spacing w:before="120" w:after="120" w:line="240" w:lineRule="auto"/>
        <w:jc w:val="both"/>
        <w:rPr>
          <w:rFonts w:cs="Times New Roman"/>
          <w:noProof/>
        </w:rPr>
      </w:pPr>
      <w:r>
        <w:rPr>
          <w:noProof/>
        </w:rPr>
        <w:t>Tekoälyllä on teknologiselta, taloudelliselta ja sosiaaliselta kannalta merkittäviä muutosmahdollisuuksia, kun otetaan huomioon sen monialainen levinneisyys, suuri vaikutus, nopea kasvu ja se osaltaan parantaa tuottavuutta ja kilpailukykyä.</w:t>
      </w:r>
      <w:r>
        <w:rPr>
          <w:noProof/>
        </w:rPr>
        <w:t xml:space="preserve"> </w:t>
      </w:r>
    </w:p>
    <w:p w14:paraId="5D4612A0" w14:textId="77777777" w:rsidR="000E48CE" w:rsidRDefault="00FF4C4E">
      <w:pPr>
        <w:pStyle w:val="P68B1DB1-Normal4"/>
        <w:spacing w:before="120" w:after="120" w:line="240" w:lineRule="auto"/>
        <w:jc w:val="both"/>
        <w:rPr>
          <w:rFonts w:cs="Times New Roman"/>
          <w:noProof/>
        </w:rPr>
      </w:pPr>
      <w:r>
        <w:rPr>
          <w:noProof/>
        </w:rPr>
        <w:t xml:space="preserve">Tärkeimmät haasteet, joihin tällä Espanjan elpymis- ja palautumissuunnitelman osa-alueella vastataan, liittyvät seuraaviin seikkoihin: tekoälyn vähäinen käyttö yrityksissä, erityisesti pk-yrityksissä, ii) laajalti saatavilla olevien tietovarastojen </w:t>
      </w:r>
      <w:r>
        <w:rPr>
          <w:noProof/>
        </w:rPr>
        <w:t>luominen ja iii) julkisten ja yksityisten investointien edistäminen tekoälyyn liittyvään innovointiin. Osa rakentuu kansallisen tekoälystrategian (ENIA) ympärille, joka on yksi Espanjan hallituksen digitaalistrategian (</w:t>
      </w:r>
      <w:r>
        <w:rPr>
          <w:i/>
          <w:noProof/>
        </w:rPr>
        <w:t>España Digital 2025</w:t>
      </w:r>
      <w:r>
        <w:rPr>
          <w:noProof/>
        </w:rPr>
        <w:t>) tärkeimmistä suu</w:t>
      </w:r>
      <w:r>
        <w:rPr>
          <w:noProof/>
        </w:rPr>
        <w:t xml:space="preserve">nnitelmista. Tällä osa-alueella edistetään myös yhteiskunnan haasteisiin vastaamista, erityisesti sukupuolten välisen kuilun kaventamista (naisiin kohdistettujen toimien avulla), digitaalista kuilua, ekologista siirtymää ja alueellista yhteenkuuluvuutta. </w:t>
      </w:r>
    </w:p>
    <w:p w14:paraId="644576C3" w14:textId="77777777" w:rsidR="000E48CE" w:rsidRDefault="00FF4C4E">
      <w:pPr>
        <w:pStyle w:val="P68B1DB1-Normal4"/>
        <w:spacing w:before="120" w:after="120" w:line="240" w:lineRule="auto"/>
        <w:jc w:val="both"/>
        <w:rPr>
          <w:rFonts w:cs="Times New Roman"/>
          <w:noProof/>
        </w:rPr>
      </w:pPr>
      <w:r>
        <w:rPr>
          <w:noProof/>
        </w:rPr>
        <w:t xml:space="preserve">Tästä näkökulmasta tarkasteltuna tämän osa-alueen tavoitteena on </w:t>
      </w:r>
    </w:p>
    <w:p w14:paraId="57EA1398" w14:textId="77777777" w:rsidR="000E48CE" w:rsidRDefault="00FF4C4E">
      <w:pPr>
        <w:pStyle w:val="P68B1DB1-Normal4"/>
        <w:numPr>
          <w:ilvl w:val="0"/>
          <w:numId w:val="127"/>
        </w:numPr>
        <w:spacing w:before="120" w:after="120" w:line="240" w:lineRule="auto"/>
        <w:ind w:left="426" w:hanging="426"/>
        <w:jc w:val="both"/>
        <w:rPr>
          <w:rFonts w:cs="Times New Roman"/>
          <w:noProof/>
        </w:rPr>
      </w:pPr>
      <w:r>
        <w:rPr>
          <w:noProof/>
        </w:rPr>
        <w:t>asetetaan Espanja johtavaksi maaksi tekoälyn tieteellisen huippuosaamisen ja innovoinnin alalla tieteidenvälisellä tavalla;</w:t>
      </w:r>
    </w:p>
    <w:p w14:paraId="49FE989E" w14:textId="77777777" w:rsidR="000E48CE" w:rsidRDefault="00FF4C4E">
      <w:pPr>
        <w:pStyle w:val="P68B1DB1-Normal4"/>
        <w:numPr>
          <w:ilvl w:val="0"/>
          <w:numId w:val="127"/>
        </w:numPr>
        <w:spacing w:before="120" w:after="120" w:line="240" w:lineRule="auto"/>
        <w:ind w:left="426" w:hanging="426"/>
        <w:jc w:val="both"/>
        <w:rPr>
          <w:rFonts w:cs="Times New Roman"/>
          <w:noProof/>
        </w:rPr>
      </w:pPr>
      <w:r>
        <w:rPr>
          <w:noProof/>
        </w:rPr>
        <w:t>johtaa maailmanlaajuisesti espanjan kielen projisointia ja käyttöä</w:t>
      </w:r>
      <w:r>
        <w:rPr>
          <w:noProof/>
        </w:rPr>
        <w:t xml:space="preserve"> tekoälyssä koskevien välineiden, teknologioiden ja sovellusten kehittämisessä;</w:t>
      </w:r>
    </w:p>
    <w:p w14:paraId="4731BC8A" w14:textId="77777777" w:rsidR="000E48CE" w:rsidRDefault="00FF4C4E">
      <w:pPr>
        <w:pStyle w:val="P68B1DB1-Normal4"/>
        <w:numPr>
          <w:ilvl w:val="0"/>
          <w:numId w:val="127"/>
        </w:numPr>
        <w:spacing w:before="120" w:after="120" w:line="240" w:lineRule="auto"/>
        <w:ind w:left="426" w:hanging="426"/>
        <w:jc w:val="both"/>
        <w:rPr>
          <w:rFonts w:cs="Times New Roman"/>
          <w:noProof/>
        </w:rPr>
      </w:pPr>
      <w:r>
        <w:rPr>
          <w:noProof/>
        </w:rPr>
        <w:t>edistetään ammattitaitoa vaativien työpaikkojen luomista, edistetään koulutusta, kannustetaan espanjalaisia lahjakkuuksia ja houkutellaan lahjakkuuksia maailmanlaajuisesti;</w:t>
      </w:r>
    </w:p>
    <w:p w14:paraId="5A1ADD7D" w14:textId="77777777" w:rsidR="000E48CE" w:rsidRDefault="00FF4C4E">
      <w:pPr>
        <w:pStyle w:val="P68B1DB1-Normal4"/>
        <w:numPr>
          <w:ilvl w:val="0"/>
          <w:numId w:val="127"/>
        </w:numPr>
        <w:spacing w:before="120" w:after="120" w:line="240" w:lineRule="auto"/>
        <w:ind w:left="426" w:hanging="426"/>
        <w:jc w:val="both"/>
        <w:rPr>
          <w:rFonts w:cs="Times New Roman"/>
          <w:noProof/>
        </w:rPr>
      </w:pPr>
      <w:r>
        <w:rPr>
          <w:noProof/>
        </w:rPr>
        <w:t>sis</w:t>
      </w:r>
      <w:r>
        <w:rPr>
          <w:noProof/>
        </w:rPr>
        <w:t>ällytetään tekoäly Espanjan yksityisen sektorin tuottavuutta, julkishallinnon tehokkuutta ja kestävää ja osallistavaa talouskasvua edistävänä tekijänä;</w:t>
      </w:r>
    </w:p>
    <w:p w14:paraId="53AFD8B4" w14:textId="77777777" w:rsidR="000E48CE" w:rsidRDefault="00FF4C4E">
      <w:pPr>
        <w:pStyle w:val="P68B1DB1-Normal4"/>
        <w:numPr>
          <w:ilvl w:val="0"/>
          <w:numId w:val="127"/>
        </w:numPr>
        <w:spacing w:before="120" w:after="120" w:line="240" w:lineRule="auto"/>
        <w:ind w:left="426" w:hanging="426"/>
        <w:jc w:val="both"/>
        <w:rPr>
          <w:rFonts w:cs="Times New Roman"/>
          <w:noProof/>
        </w:rPr>
      </w:pPr>
      <w:r>
        <w:rPr>
          <w:noProof/>
        </w:rPr>
        <w:t>luoda tekoälyyn liittyvä luottamusympäristö sekä teknologisen kehityksen, sääntelyn että sosiaalisten va</w:t>
      </w:r>
      <w:r>
        <w:rPr>
          <w:noProof/>
        </w:rPr>
        <w:t>ikutusten osalta;</w:t>
      </w:r>
    </w:p>
    <w:p w14:paraId="1C19587F" w14:textId="77777777" w:rsidR="000E48CE" w:rsidRDefault="00FF4C4E">
      <w:pPr>
        <w:pStyle w:val="P68B1DB1-Normal4"/>
        <w:numPr>
          <w:ilvl w:val="0"/>
          <w:numId w:val="127"/>
        </w:numPr>
        <w:spacing w:before="120" w:after="120" w:line="240" w:lineRule="auto"/>
        <w:ind w:left="426" w:hanging="426"/>
        <w:jc w:val="both"/>
        <w:rPr>
          <w:rFonts w:cs="Times New Roman"/>
          <w:noProof/>
        </w:rPr>
      </w:pPr>
      <w:r>
        <w:rPr>
          <w:noProof/>
        </w:rPr>
        <w:t>vauhditetaan maailmanlaajuista keskustelua teknologisesta humanismista luomalla foorumeja ja tiedotustoimia, joilla pyritään kehittämään eettiset puitteet, joilla taataan kansalaisten yksilölliset ja kollektiiviset oikeudet, ja osallistum</w:t>
      </w:r>
      <w:r>
        <w:rPr>
          <w:noProof/>
        </w:rPr>
        <w:t>alla niihin;</w:t>
      </w:r>
    </w:p>
    <w:p w14:paraId="1364B138" w14:textId="77777777" w:rsidR="000E48CE" w:rsidRDefault="00FF4C4E">
      <w:pPr>
        <w:pStyle w:val="P68B1DB1-Normal4"/>
        <w:numPr>
          <w:ilvl w:val="0"/>
          <w:numId w:val="127"/>
        </w:numPr>
        <w:spacing w:before="120" w:after="120" w:line="240" w:lineRule="auto"/>
        <w:ind w:left="426" w:hanging="426"/>
        <w:jc w:val="both"/>
        <w:rPr>
          <w:rFonts w:cs="Times New Roman"/>
          <w:noProof/>
        </w:rPr>
      </w:pPr>
      <w:r>
        <w:rPr>
          <w:noProof/>
        </w:rPr>
        <w:t>voimaannutetaan tekoälyä monialaisena tekijänä, jolla voidaan vastata yhteiskunnan suuriin haasteisiin ja erityisesti kaventaa sukupuolten välistä kuilua ja digitaalista kuilua sekä tukea ekologista siirtymää ja alueellista yhteenkuuluvuutta.</w:t>
      </w:r>
    </w:p>
    <w:p w14:paraId="18EF63D9" w14:textId="77777777" w:rsidR="000E48CE" w:rsidRDefault="00FF4C4E">
      <w:pPr>
        <w:pStyle w:val="P68B1DB1-Normal4"/>
        <w:spacing w:before="120" w:after="120" w:line="240" w:lineRule="auto"/>
        <w:jc w:val="both"/>
        <w:rPr>
          <w:rFonts w:cs="Times New Roman"/>
          <w:noProof/>
        </w:rPr>
      </w:pPr>
      <w:r>
        <w:rPr>
          <w:noProof/>
        </w:rPr>
        <w:t xml:space="preserve">Tässä osassa käsitellään maakohtaisia suosituksia, jotka koskevat innovointiin tehtävien investointien edistämistä (maakohtainen suositus 3 2019), digitaalisen oppimisen saatavuuden parantamista (maakohtainen suositus 2 2020) sekä julkisten ja yksityisten </w:t>
      </w:r>
      <w:r>
        <w:rPr>
          <w:noProof/>
        </w:rPr>
        <w:t>investointien edistämistä ja digitaalisen siirtymän edistämistä (maakohtainen suositus 3 2020).</w:t>
      </w:r>
    </w:p>
    <w:p w14:paraId="32D63FA5" w14:textId="77777777" w:rsidR="000E48CE" w:rsidRDefault="00FF4C4E">
      <w:pPr>
        <w:pStyle w:val="P68B1DB1-Normal4"/>
        <w:spacing w:before="120" w:after="120" w:line="240" w:lineRule="auto"/>
        <w:jc w:val="both"/>
        <w:rPr>
          <w:rFonts w:cs="Times New Roman"/>
          <w:noProof/>
        </w:rPr>
      </w:pPr>
      <w:r>
        <w:rPr>
          <w:noProof/>
        </w:rPr>
        <w:t xml:space="preserve">Minkään tämän komponentin toimenpiteen ei odoteta aiheuttavan asetuksen (EU) 2020/852 17 artiklassa tarkoitettua merkittävää haittaa ympäristötavoitteille, kun </w:t>
      </w:r>
      <w:r>
        <w:rPr>
          <w:noProof/>
        </w:rPr>
        <w:t xml:space="preserve">otetaan huomioon ”ei merkittävää haittaa” -periaatteen soveltamista koskevien teknisten ohjeiden (2021/C58/01) mukaiset elpymis- ja palautumissuunnitelmassa esitettyjen toimenpiteiden kuvaus ja lieventävät toimet. </w:t>
      </w:r>
    </w:p>
    <w:p w14:paraId="60545F2D" w14:textId="77777777" w:rsidR="000E48CE" w:rsidRDefault="00FF4C4E">
      <w:pPr>
        <w:pStyle w:val="P68B1DB1-Heading227"/>
        <w:numPr>
          <w:ilvl w:val="0"/>
          <w:numId w:val="0"/>
        </w:numPr>
        <w:ind w:left="850"/>
        <w:rPr>
          <w:rFonts w:cs="Times New Roman"/>
          <w:b w:val="0"/>
          <w:noProof/>
        </w:rPr>
      </w:pPr>
      <w:r>
        <w:rPr>
          <w:noProof/>
        </w:rPr>
        <w:t xml:space="preserve">P.1. </w:t>
      </w:r>
      <w:r>
        <w:rPr>
          <w:noProof/>
        </w:rPr>
        <w:tab/>
        <w:t>Kuvaus uudistuksista ja investoinne</w:t>
      </w:r>
      <w:r>
        <w:rPr>
          <w:noProof/>
        </w:rPr>
        <w:t>ista, joita rahoitetaan rahoitustuella, jota ei makseta takaisin</w:t>
      </w:r>
    </w:p>
    <w:p w14:paraId="1FD43111" w14:textId="77777777" w:rsidR="000E48CE" w:rsidRDefault="00FF4C4E">
      <w:pPr>
        <w:pStyle w:val="P68B1DB1-Heading337"/>
        <w:numPr>
          <w:ilvl w:val="0"/>
          <w:numId w:val="0"/>
        </w:numPr>
        <w:ind w:left="850" w:hanging="850"/>
        <w:rPr>
          <w:rFonts w:cs="Times New Roman"/>
          <w:noProof/>
        </w:rPr>
      </w:pPr>
      <w:r>
        <w:rPr>
          <w:noProof/>
        </w:rPr>
        <w:t>Uudistus 1 (C16.R1) – Kansallinen tekoälystrategia</w:t>
      </w:r>
    </w:p>
    <w:p w14:paraId="2A6B2C59" w14:textId="77777777" w:rsidR="000E48CE" w:rsidRDefault="00FF4C4E">
      <w:pPr>
        <w:pStyle w:val="P68B1DB1-Normal4"/>
        <w:keepNext/>
        <w:spacing w:before="120" w:after="120" w:line="240" w:lineRule="auto"/>
        <w:jc w:val="both"/>
        <w:rPr>
          <w:rFonts w:cs="Times New Roman"/>
          <w:noProof/>
        </w:rPr>
      </w:pPr>
      <w:r>
        <w:rPr>
          <w:noProof/>
        </w:rPr>
        <w:t>Tämän kattavan toimenpiteen tavoitteena on luoda puitteet sellaisen luotettavan, avoimen ja osallistavan kansallisen tekoälystrategian täytäntöönpanolle, jolla varmistetaan perusperiaatteiden ja -arvojen noudattaminen ja jossa otetaan huomioon kansalaisten</w:t>
      </w:r>
      <w:r>
        <w:rPr>
          <w:noProof/>
        </w:rPr>
        <w:t xml:space="preserve"> yhteiset pyrkimykset. Tätä varten toimenpiteeseen sisältyy kolme lainsäädäntöuudistusta, joilla vahvistetaan tekoälyä koskeva sääntely- ja eettinen kehys, ja yhdeksän investointihanketta, joilla tuetaan tekoälyyn perustuvien teknologioiden kehittämistä ja</w:t>
      </w:r>
      <w:r>
        <w:rPr>
          <w:noProof/>
        </w:rPr>
        <w:t xml:space="preserve"> käyttöönottoa Espanjan taloudessa ja yhteiskunnassa, kuten taitoja, lahjakkuuksia ja infrastruktuureja koskevia hankkeita. </w:t>
      </w:r>
    </w:p>
    <w:p w14:paraId="6C911DA2" w14:textId="77777777" w:rsidR="000E48CE" w:rsidRDefault="00FF4C4E">
      <w:pPr>
        <w:pStyle w:val="P68B1DB1-Normal4"/>
        <w:spacing w:before="120" w:after="120" w:line="240" w:lineRule="auto"/>
        <w:jc w:val="both"/>
        <w:rPr>
          <w:rFonts w:cs="Times New Roman"/>
          <w:noProof/>
        </w:rPr>
      </w:pPr>
      <w:r>
        <w:rPr>
          <w:noProof/>
        </w:rPr>
        <w:t>Nämä toimet on ryhmitelty viiteen politiikan viputekijään:</w:t>
      </w:r>
    </w:p>
    <w:p w14:paraId="162ABEC0" w14:textId="77777777" w:rsidR="000E48CE" w:rsidRDefault="00FF4C4E">
      <w:pPr>
        <w:pStyle w:val="P68B1DB1-ListParagraph7"/>
        <w:numPr>
          <w:ilvl w:val="0"/>
          <w:numId w:val="550"/>
        </w:numPr>
        <w:spacing w:before="120" w:after="120" w:line="240" w:lineRule="auto"/>
        <w:jc w:val="both"/>
        <w:rPr>
          <w:rFonts w:cs="Times New Roman"/>
          <w:noProof/>
        </w:rPr>
      </w:pPr>
      <w:r>
        <w:rPr>
          <w:noProof/>
        </w:rPr>
        <w:t xml:space="preserve">Sääntely- ja eettinen kehys (säädökset): </w:t>
      </w:r>
    </w:p>
    <w:p w14:paraId="00E478A3"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kansallinen tekoälystrategia (</w:t>
      </w:r>
      <w:r>
        <w:rPr>
          <w:noProof/>
        </w:rPr>
        <w:t>ENIA): kansallinen toiminta- ja uudistussuunnitelma tekoälyyn perustuvien teknologioiden käyttöönottamiseksi ja laajentamiseksi Espanjan taloudessa ja yhteiskunnassa perustamalla tekoälyä käsittelevä neuvoa-antava toimikunta;</w:t>
      </w:r>
    </w:p>
    <w:p w14:paraId="57F4B11F"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sääntelyn testiympäristöt: laa</w:t>
      </w:r>
      <w:r>
        <w:rPr>
          <w:noProof/>
        </w:rPr>
        <w:t>ditaan tarvittavat säädökset, jotta tekoälyn soveltamiseen voidaan soveltaa sääntelyn testiympäristöjä. Turvallisia ympäristöjä tai testiympäristöjä on käytettävä uusien dataan perustuvien prosessien ja palvelujen käyttöönottoon sekä julkisella että yksity</w:t>
      </w:r>
      <w:r>
        <w:rPr>
          <w:noProof/>
        </w:rPr>
        <w:t>isellä sektorilla. Valtion virastot, tekoälyn käyttäjät ja datavarastojen luojat voivat hyödyntää turvallisia ympäristöjä ja testiympäristöjä, mahdollisesti osana digitaali-innovointikeskittymien verkostoa uusien tuotteiden ja sovellusten käyttöönottamisek</w:t>
      </w:r>
      <w:r>
        <w:rPr>
          <w:noProof/>
        </w:rPr>
        <w:t>si ja sääntelemiseksi.</w:t>
      </w:r>
    </w:p>
    <w:p w14:paraId="613BDD09"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Tekoälyn seurantakeskus ja luottamussertifiointi: mukaan lukien i) tekoälyyn liittyvien haavoittuvien ryhmien suojelusuunnitelma, mukaan lukien työntekijöiden oikeudet ja sosiaaliset oikeudet ja naisten tarpeet, ii) suunnitelma tieto</w:t>
      </w:r>
      <w:r>
        <w:rPr>
          <w:noProof/>
        </w:rPr>
        <w:t>isuuden ja luottamuksen lisäämiseksi tekoälyyn, iii) tekoälyä sisältävien algoritmien eettisiä ja sääntelyllisiä vaikutuksia käsittelevät seurantaryhmät, iv) tekoälytuotteiden ja -palvelujen luotettava tekoälysertifiointi ja -sinettiarkkitehtuuri sekä v) d</w:t>
      </w:r>
      <w:r>
        <w:rPr>
          <w:noProof/>
        </w:rPr>
        <w:t>igitaalisten oikeuksien peruskirjan laatiminen ja edistäminen.</w:t>
      </w:r>
    </w:p>
    <w:p w14:paraId="509B815A"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Espanjan viraston (AESIA) perustaminen valvomaan tekoälyjärjestelmiä, joita käytetään sekä julkisella että yksityisellä sektorilla. Viraston on erityisesti vähintään valvottava ja edistettävä t</w:t>
      </w:r>
      <w:r>
        <w:rPr>
          <w:noProof/>
        </w:rPr>
        <w:t xml:space="preserve">ekoälyyn liittyvien oikeuksien takaamista, tulkittava sääntelyn testiympäristöjen kehittämisen tuloksia ja tehtävä arviointeja tekoälyn kehittämisestä tekoälyä koskevan sääntelyn ja ohjeiden kehittämiseksi edelleen. </w:t>
      </w:r>
    </w:p>
    <w:p w14:paraId="78BE46CA" w14:textId="77777777" w:rsidR="000E48CE" w:rsidRDefault="00FF4C4E">
      <w:pPr>
        <w:pStyle w:val="P68B1DB1-ListParagraph7"/>
        <w:numPr>
          <w:ilvl w:val="0"/>
          <w:numId w:val="550"/>
        </w:numPr>
        <w:spacing w:before="120" w:after="120" w:line="240" w:lineRule="auto"/>
        <w:jc w:val="both"/>
        <w:rPr>
          <w:rFonts w:cs="Times New Roman"/>
          <w:noProof/>
        </w:rPr>
      </w:pPr>
      <w:r>
        <w:rPr>
          <w:noProof/>
        </w:rPr>
        <w:t>T &amp; K &amp; I-toiminnan edistäminen tekoäly</w:t>
      </w:r>
      <w:r>
        <w:rPr>
          <w:noProof/>
        </w:rPr>
        <w:t xml:space="preserve">n alalla (hankkeet): </w:t>
      </w:r>
    </w:p>
    <w:p w14:paraId="36AE9F35"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T &amp; K &amp; I-tehtävät: teollisen tutkimuksen tai kokeellisen kehittämisen hankkeiden rahoittaminen tekoälyn alalla, jotta voidaan vastata ENIAssa tarkoitettuihin suuriin yhteiskunnallisiin haasteisiin tai maakohtaisiin missioihin (eli su</w:t>
      </w:r>
      <w:r>
        <w:rPr>
          <w:noProof/>
        </w:rPr>
        <w:t>kupuolten väliseen kuiluun, ekologiseen siirtymään, alueelliseen rakenteeseen ja digitaaliseen kuiluun) aloilla, jotka ovat erittäin merkityksellisiä ja joilla on hyvät valmiudet häiriöiden ja vaikutusten ilmenemiseen (esim. energia, liikkuvuus, biolääketi</w:t>
      </w:r>
      <w:r>
        <w:rPr>
          <w:noProof/>
        </w:rPr>
        <w:t>ede, ilmasto, maatalouselintarvikkeet, terveys, matkailu ja vieraanvaraisuus);</w:t>
      </w:r>
    </w:p>
    <w:p w14:paraId="641E766A"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monialainen tekoälyinstituutti: sellaisen monialaisen tutkimuskeskuksen perustaminen, joka yhdistää tekoälyn muiden tieteenalojen kanssa keskittyen erityisesti neuroteknologioih</w:t>
      </w:r>
      <w:r>
        <w:rPr>
          <w:noProof/>
        </w:rPr>
        <w:t>in;</w:t>
      </w:r>
    </w:p>
    <w:p w14:paraId="7FB1A941"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tekoälyn huippuosaamisen verkosto: perustetaan espanjalainen tekoälyalan huippuosaamisen verkosto, johon kuuluu monialaista koulutusta ja korkean erikoistumisen ohjelmia ja mekanismeja sellaisten lahjakkuuksien rekrytoimiseksi ja säilyttämiseksi, jotka</w:t>
      </w:r>
      <w:r>
        <w:rPr>
          <w:noProof/>
        </w:rPr>
        <w:t xml:space="preserve"> toimivat integroidusti tutkimuksen koordinoimiseksi kansallisella tasolla.</w:t>
      </w:r>
    </w:p>
    <w:p w14:paraId="5DB72044" w14:textId="77777777" w:rsidR="000E48CE" w:rsidRDefault="00FF4C4E">
      <w:pPr>
        <w:pStyle w:val="P68B1DB1-ListParagraph7"/>
        <w:numPr>
          <w:ilvl w:val="0"/>
          <w:numId w:val="550"/>
        </w:numPr>
        <w:spacing w:before="120" w:after="120" w:line="240" w:lineRule="auto"/>
        <w:jc w:val="both"/>
        <w:rPr>
          <w:rFonts w:cs="Times New Roman"/>
          <w:noProof/>
        </w:rPr>
      </w:pPr>
      <w:r>
        <w:rPr>
          <w:noProof/>
        </w:rPr>
        <w:t xml:space="preserve">Lahjakkuuksien houkutteleminen (hankkeet): </w:t>
      </w:r>
    </w:p>
    <w:p w14:paraId="555DC212" w14:textId="77777777" w:rsidR="000E48CE" w:rsidRDefault="00FF4C4E">
      <w:pPr>
        <w:pStyle w:val="P68B1DB1-Normal4"/>
        <w:numPr>
          <w:ilvl w:val="0"/>
          <w:numId w:val="124"/>
        </w:numPr>
        <w:spacing w:before="120" w:after="120" w:line="240" w:lineRule="auto"/>
        <w:ind w:left="851" w:hanging="426"/>
        <w:contextualSpacing/>
        <w:jc w:val="both"/>
        <w:rPr>
          <w:rFonts w:cs="Times New Roman"/>
          <w:noProof/>
        </w:rPr>
      </w:pPr>
      <w:r>
        <w:rPr>
          <w:noProof/>
        </w:rPr>
        <w:t>Espanja Talent Hub: tietosolmun luominen lahjakkuuksien houkuttelemiseksi ja säilyttämiseksi tekoälyn alalla, Espanjan osaamiskeskus, jo</w:t>
      </w:r>
      <w:r>
        <w:rPr>
          <w:noProof/>
        </w:rPr>
        <w:t>nka odotetaan toimivan yhteyspisteenä lahjakkuuksien ja ulkomaisten investointien rekrytoinnissa ja tehostamisessa kiinnittäen erityistä huomiota naisten tarpeisiin, sekä yhteiskunnallisiin vaikutuksiin liittyviin investointeihin;</w:t>
      </w:r>
    </w:p>
    <w:p w14:paraId="08EAFF90" w14:textId="77777777" w:rsidR="000E48CE" w:rsidRDefault="00FF4C4E">
      <w:pPr>
        <w:pStyle w:val="P68B1DB1-Normal4"/>
        <w:numPr>
          <w:ilvl w:val="0"/>
          <w:numId w:val="124"/>
        </w:numPr>
        <w:spacing w:before="120" w:after="120" w:line="240" w:lineRule="auto"/>
        <w:ind w:left="851" w:hanging="426"/>
        <w:contextualSpacing/>
        <w:jc w:val="both"/>
        <w:rPr>
          <w:rFonts w:cs="Times New Roman"/>
          <w:noProof/>
        </w:rPr>
      </w:pPr>
      <w:r>
        <w:rPr>
          <w:noProof/>
        </w:rPr>
        <w:t>Akateemiset oppilaat: rah</w:t>
      </w:r>
      <w:r>
        <w:rPr>
          <w:noProof/>
        </w:rPr>
        <w:t>oitetaan 10–15 väliaikaisen akateemisen puheenjohtajan perustamista 1. tammikuuta 2021 ja 31. joulukuuta 2023 välisenä aikana keskittyen keskeisiin aiheisiin, kuten tekoälyn vaikutukseen demokratiaan, tekoälyn kehittymässä oleviin suuntauksiin, tekoälyjärj</w:t>
      </w:r>
      <w:r>
        <w:rPr>
          <w:noProof/>
        </w:rPr>
        <w:t>estelmien arviointeihin, aivojen tekoälyhybridisaatioon ja biolääketieteelliseen tekoälyyn.</w:t>
      </w:r>
    </w:p>
    <w:p w14:paraId="3A5AF4AE" w14:textId="77777777" w:rsidR="000E48CE" w:rsidRDefault="00FF4C4E">
      <w:pPr>
        <w:pStyle w:val="P68B1DB1-ListParagraph7"/>
        <w:numPr>
          <w:ilvl w:val="0"/>
          <w:numId w:val="550"/>
        </w:numPr>
        <w:spacing w:before="120" w:after="120" w:line="240" w:lineRule="auto"/>
        <w:jc w:val="both"/>
        <w:rPr>
          <w:rFonts w:cs="Times New Roman"/>
          <w:noProof/>
        </w:rPr>
      </w:pPr>
      <w:r>
        <w:rPr>
          <w:noProof/>
        </w:rPr>
        <w:t xml:space="preserve">Tieto- ja teknologiainfrastruktuurit (hankkeet): </w:t>
      </w:r>
    </w:p>
    <w:p w14:paraId="4E6987FC"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Luonnonkielen teknologiasuunnitelma: tavoitteena on kehittää luonnollista kielenkäsittelyteollisuutta sekä konekää</w:t>
      </w:r>
      <w:r>
        <w:rPr>
          <w:noProof/>
        </w:rPr>
        <w:t>nnös- ja keskustelujärjestelmiä Espanjassa, erityisesti espanjankielillä ja muilla virallisilla kielillä.</w:t>
      </w:r>
    </w:p>
    <w:p w14:paraId="4192A10B"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suurteholaskennan strategisten valmiuksien vahvistaminen: kehitetään ohjelma, jolla helpotetaan eri alueiden (kuten Extremaduran, Galician ja Aragonia</w:t>
      </w:r>
      <w:r>
        <w:rPr>
          <w:noProof/>
        </w:rPr>
        <w:t>n) suurteholaskentakeskusten saatavuutta ja käyttöä sekä kvanttilaskennan käyttöönottoa eri aihepiireissä, kuten liikkuvuus ja ilmastonmuutos. Lisäksi PERTE-sirujen osalta kvanttisirujen kehittämistä on vahvistettava tukemalla tutkimusta, kehitystä ja inno</w:t>
      </w:r>
      <w:r>
        <w:rPr>
          <w:noProof/>
        </w:rPr>
        <w:t>vointia uuden sukupolven kvanttisiruteknologioiden kehittämisessä.</w:t>
      </w:r>
    </w:p>
    <w:p w14:paraId="3138FC50" w14:textId="77777777" w:rsidR="000E48CE" w:rsidRDefault="00FF4C4E">
      <w:pPr>
        <w:pStyle w:val="P68B1DB1-ListParagraph7"/>
        <w:numPr>
          <w:ilvl w:val="0"/>
          <w:numId w:val="550"/>
        </w:numPr>
        <w:spacing w:before="120" w:after="120" w:line="240" w:lineRule="auto"/>
        <w:jc w:val="both"/>
        <w:rPr>
          <w:rFonts w:cs="Times New Roman"/>
          <w:noProof/>
        </w:rPr>
      </w:pPr>
      <w:r>
        <w:rPr>
          <w:noProof/>
        </w:rPr>
        <w:t>Tekoälyn sisällyttäminen arvoketjuihin (hankkeisiin):</w:t>
      </w:r>
    </w:p>
    <w:p w14:paraId="72345051"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ehdotuspyyntö tekoälyn integroimiseksi arvoketjuihin: tukiohjelmasta rahoitetaan kokeellisia kehittämishankkeita, joiden teknologinen k</w:t>
      </w:r>
      <w:r>
        <w:rPr>
          <w:noProof/>
        </w:rPr>
        <w:t>ypsyys vastaa teknologisen valmiuden tasoa 6, 7 ja 8. Hankkeiden rahoittaminen näillä teknologisen kypsyystason tasoilla on vahva tuki tuotteille, jotka voisivat olla lähellä markkinoille saattamista ja jotka voitaisiin näin ollen siirtää arvoketjuun.</w:t>
      </w:r>
    </w:p>
    <w:p w14:paraId="5BFA29A9" w14:textId="77777777" w:rsidR="000E48CE" w:rsidRDefault="00FF4C4E">
      <w:pPr>
        <w:pStyle w:val="P68B1DB1-Normal4"/>
        <w:numPr>
          <w:ilvl w:val="0"/>
          <w:numId w:val="124"/>
        </w:numPr>
        <w:spacing w:before="120" w:after="120" w:line="240" w:lineRule="auto"/>
        <w:ind w:left="851" w:hanging="425"/>
        <w:contextualSpacing/>
        <w:jc w:val="both"/>
        <w:rPr>
          <w:rFonts w:cs="Times New Roman"/>
          <w:noProof/>
        </w:rPr>
      </w:pPr>
      <w:r>
        <w:rPr>
          <w:noProof/>
        </w:rPr>
        <w:t>Kansallinen vihreiden algoritmien ohjelma: tukiohjelma vihreiden algoritmien kehittämiseksi energiatehokkuuden maksimoimiseksi ja tekoälymallien ympäristövaikutusten vähentämiseksi samalla kun tuetaan tämän teknologian käyttöä erilaisiin ympäristöhaasteisi</w:t>
      </w:r>
      <w:r>
        <w:rPr>
          <w:noProof/>
        </w:rPr>
        <w:t>in vastaamiseksi.</w:t>
      </w:r>
    </w:p>
    <w:p w14:paraId="271D2A83" w14:textId="77777777" w:rsidR="000E48CE" w:rsidRDefault="00FF4C4E">
      <w:pPr>
        <w:pStyle w:val="P68B1DB1-Normal4"/>
        <w:spacing w:before="120" w:after="120" w:line="240" w:lineRule="auto"/>
        <w:jc w:val="both"/>
        <w:rPr>
          <w:rFonts w:cs="Times New Roman"/>
          <w:noProof/>
        </w:rPr>
      </w:pPr>
      <w:r>
        <w:rPr>
          <w:noProof/>
        </w:rPr>
        <w:t>Uudistukset ja investoinnit toteutetaan i) ehdotuspyyntöjen kautta, jotka koskevat T &amp; K &amp; I-hankkeita, tekoälyn integroimista arvoketjuihin ja uuden sukupolven kvanttisiruteknologioiden kehittämistä; II) data- ja teknologiainfrastruktuur</w:t>
      </w:r>
      <w:r>
        <w:rPr>
          <w:noProof/>
        </w:rPr>
        <w:t xml:space="preserve">eja koskevat yleissopimukset; sääntely- ja eettisiä puitteita, kansallista vihreiden algoritmien ohjelmaa ja luonnonkielisuunnitelmaa koskevat hankinnat; ja iv) monialaisen tekoälyinstituutin yhteenliittymät. </w:t>
      </w:r>
    </w:p>
    <w:p w14:paraId="24F4AF92" w14:textId="2D9996CA" w:rsidR="000E48CE" w:rsidRDefault="00FF4C4E">
      <w:pPr>
        <w:pStyle w:val="P68B1DB1-Normal4"/>
        <w:spacing w:before="120" w:after="120" w:line="240" w:lineRule="auto"/>
        <w:jc w:val="both"/>
        <w:rPr>
          <w:rFonts w:cs="Times New Roman"/>
          <w:noProof/>
        </w:rPr>
      </w:pPr>
      <w:r>
        <w:rPr>
          <w:noProof/>
        </w:rPr>
        <w:t>Uudistuksen toteutus on määrä saattaa päätökse</w:t>
      </w:r>
      <w:r>
        <w:rPr>
          <w:noProof/>
        </w:rPr>
        <w:t xml:space="preserve">en 30. kesäkuuta 2026 mennessä. </w:t>
      </w:r>
    </w:p>
    <w:p w14:paraId="5406F878" w14:textId="77777777" w:rsidR="000E48CE" w:rsidRDefault="00FF4C4E">
      <w:pPr>
        <w:pStyle w:val="P68B1DB1-Normal5"/>
        <w:ind w:left="720"/>
        <w:rPr>
          <w:rFonts w:cs="Times New Roman"/>
          <w:noProof/>
        </w:rPr>
      </w:pPr>
      <w:r>
        <w:rPr>
          <w:noProof/>
        </w:rPr>
        <w:t xml:space="preserve">P.2 </w:t>
      </w:r>
      <w:r>
        <w:rPr>
          <w:noProof/>
        </w:rPr>
        <w:tab/>
        <w:t>Seurantaa ja täytäntöönpanoa koskevat välitavoitteet, tavoitteet, indikaattorit ja aikataulu – rahoitustuki, jota ei makseta takaisin</w:t>
      </w:r>
    </w:p>
    <w:p w14:paraId="2A76E93D"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 xml:space="preserve">Kaikkien indikaattoreiden perustaso on 1. helmikuuta 2020, </w:t>
      </w:r>
      <w:r>
        <w:rPr>
          <w:i/>
          <w:noProof/>
        </w:rPr>
        <w:t>ellei toimen kuvauksessa toisin ilmoiteta. Taulukossa esitetyt määrät eivät sisällä arvonlisäveroa.</w:t>
      </w:r>
    </w:p>
    <w:p w14:paraId="2EDE943D" w14:textId="77777777" w:rsidR="000E48CE" w:rsidRDefault="000E48CE">
      <w:pPr>
        <w:spacing w:before="120" w:after="120" w:line="240" w:lineRule="auto"/>
        <w:jc w:val="both"/>
        <w:rPr>
          <w:rFonts w:ascii="Times New Roman" w:hAnsi="Times New Roman" w:cs="Times New Roman"/>
          <w:b/>
          <w:noProof/>
          <w:sz w:val="24"/>
          <w:u w:val="single"/>
        </w:rPr>
      </w:pPr>
    </w:p>
    <w:p w14:paraId="2BE9C227"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336"/>
          <w:headerReference w:type="default" r:id="rId337"/>
          <w:footerReference w:type="even" r:id="rId338"/>
          <w:footerReference w:type="default" r:id="rId339"/>
          <w:headerReference w:type="first" r:id="rId340"/>
          <w:footerReference w:type="first" r:id="rId34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694"/>
        <w:gridCol w:w="1275"/>
        <w:gridCol w:w="851"/>
        <w:gridCol w:w="567"/>
        <w:gridCol w:w="567"/>
        <w:gridCol w:w="567"/>
        <w:gridCol w:w="567"/>
        <w:gridCol w:w="5812"/>
      </w:tblGrid>
      <w:tr w:rsidR="000E48CE" w14:paraId="18F62D71" w14:textId="77777777">
        <w:trPr>
          <w:trHeight w:val="309"/>
          <w:tblHeader/>
        </w:trPr>
        <w:tc>
          <w:tcPr>
            <w:tcW w:w="709" w:type="dxa"/>
            <w:tcBorders>
              <w:bottom w:val="nil"/>
            </w:tcBorders>
            <w:shd w:val="clear" w:color="auto" w:fill="C6D9F1" w:themeFill="text2" w:themeFillTint="33"/>
            <w:noWrap/>
          </w:tcPr>
          <w:p w14:paraId="41CA0B6A"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tcPr>
          <w:p w14:paraId="7F24B2A7"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tcPr>
          <w:p w14:paraId="3DE6A602"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694" w:type="dxa"/>
            <w:tcBorders>
              <w:bottom w:val="nil"/>
            </w:tcBorders>
            <w:shd w:val="clear" w:color="auto" w:fill="C6D9F1" w:themeFill="text2" w:themeFillTint="33"/>
            <w:noWrap/>
          </w:tcPr>
          <w:p w14:paraId="547B5F96" w14:textId="77777777" w:rsidR="000E48CE" w:rsidRDefault="00FF4C4E">
            <w:pPr>
              <w:pStyle w:val="P68B1DB1-Normal12"/>
              <w:spacing w:after="0" w:line="240" w:lineRule="auto"/>
              <w:jc w:val="center"/>
              <w:rPr>
                <w:rFonts w:cs="Times New Roman"/>
                <w:noProof/>
              </w:rPr>
            </w:pPr>
            <w:r>
              <w:rPr>
                <w:noProof/>
              </w:rPr>
              <w:t>Nimi</w:t>
            </w:r>
          </w:p>
        </w:tc>
        <w:tc>
          <w:tcPr>
            <w:tcW w:w="1275" w:type="dxa"/>
            <w:tcBorders>
              <w:bottom w:val="nil"/>
            </w:tcBorders>
            <w:shd w:val="clear" w:color="auto" w:fill="C6D9F1" w:themeFill="text2" w:themeFillTint="33"/>
            <w:noWrap/>
          </w:tcPr>
          <w:p w14:paraId="1C0ED490"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5" w:type="dxa"/>
            <w:gridSpan w:val="3"/>
            <w:shd w:val="clear" w:color="auto" w:fill="C6D9F1" w:themeFill="text2" w:themeFillTint="33"/>
            <w:noWrap/>
          </w:tcPr>
          <w:p w14:paraId="7FFD4E55"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134" w:type="dxa"/>
            <w:gridSpan w:val="2"/>
            <w:shd w:val="clear" w:color="auto" w:fill="C6D9F1" w:themeFill="text2" w:themeFillTint="33"/>
            <w:noWrap/>
          </w:tcPr>
          <w:p w14:paraId="33B311A9" w14:textId="77777777" w:rsidR="000E48CE" w:rsidRDefault="00FF4C4E">
            <w:pPr>
              <w:pStyle w:val="P68B1DB1-Normal12"/>
              <w:spacing w:after="0" w:line="240" w:lineRule="auto"/>
              <w:jc w:val="center"/>
              <w:rPr>
                <w:rFonts w:cs="Times New Roman"/>
                <w:noProof/>
              </w:rPr>
            </w:pPr>
            <w:r>
              <w:rPr>
                <w:noProof/>
              </w:rPr>
              <w:t>Aika</w:t>
            </w:r>
          </w:p>
        </w:tc>
        <w:tc>
          <w:tcPr>
            <w:tcW w:w="5812" w:type="dxa"/>
            <w:tcBorders>
              <w:bottom w:val="nil"/>
            </w:tcBorders>
            <w:shd w:val="clear" w:color="auto" w:fill="C6D9F1" w:themeFill="text2" w:themeFillTint="33"/>
            <w:noWrap/>
          </w:tcPr>
          <w:p w14:paraId="77B940C1"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21CB8188" w14:textId="77777777">
        <w:trPr>
          <w:trHeight w:val="309"/>
          <w:tblHeader/>
        </w:trPr>
        <w:tc>
          <w:tcPr>
            <w:tcW w:w="709" w:type="dxa"/>
            <w:tcBorders>
              <w:top w:val="nil"/>
            </w:tcBorders>
            <w:shd w:val="clear" w:color="auto" w:fill="C6D9F1" w:themeFill="text2" w:themeFillTint="33"/>
            <w:noWrap/>
          </w:tcPr>
          <w:p w14:paraId="373A0F4F"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96A1993"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663E802" w14:textId="77777777" w:rsidR="000E48CE" w:rsidRDefault="000E48CE">
            <w:pPr>
              <w:spacing w:after="0" w:line="240" w:lineRule="auto"/>
              <w:jc w:val="center"/>
              <w:rPr>
                <w:rFonts w:ascii="Times New Roman" w:hAnsi="Times New Roman" w:cs="Times New Roman"/>
                <w:b/>
                <w:noProof/>
                <w:sz w:val="18"/>
              </w:rPr>
            </w:pPr>
          </w:p>
        </w:tc>
        <w:tc>
          <w:tcPr>
            <w:tcW w:w="2694" w:type="dxa"/>
            <w:tcBorders>
              <w:top w:val="nil"/>
            </w:tcBorders>
            <w:shd w:val="clear" w:color="auto" w:fill="C6D9F1" w:themeFill="text2" w:themeFillTint="33"/>
            <w:noWrap/>
          </w:tcPr>
          <w:p w14:paraId="41C852C4" w14:textId="77777777" w:rsidR="000E48CE" w:rsidRDefault="000E48CE">
            <w:pPr>
              <w:spacing w:after="0" w:line="240" w:lineRule="auto"/>
              <w:rPr>
                <w:rFonts w:ascii="Times New Roman" w:hAnsi="Times New Roman" w:cs="Times New Roman"/>
                <w:b/>
                <w:noProof/>
                <w:sz w:val="18"/>
              </w:rPr>
            </w:pPr>
          </w:p>
        </w:tc>
        <w:tc>
          <w:tcPr>
            <w:tcW w:w="1275" w:type="dxa"/>
            <w:tcBorders>
              <w:top w:val="nil"/>
            </w:tcBorders>
            <w:shd w:val="clear" w:color="auto" w:fill="C6D9F1" w:themeFill="text2" w:themeFillTint="33"/>
            <w:noWrap/>
          </w:tcPr>
          <w:p w14:paraId="3D1C1254" w14:textId="77777777" w:rsidR="000E48CE" w:rsidRDefault="000E48CE">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78F7F448"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tcPr>
          <w:p w14:paraId="5B637134" w14:textId="77777777" w:rsidR="000E48CE" w:rsidRDefault="00FF4C4E">
            <w:pPr>
              <w:pStyle w:val="P68B1DB1-Normal12"/>
              <w:spacing w:after="0" w:line="240" w:lineRule="auto"/>
              <w:jc w:val="center"/>
              <w:rPr>
                <w:rFonts w:cs="Times New Roman"/>
                <w:noProof/>
              </w:rPr>
            </w:pPr>
            <w:r>
              <w:rPr>
                <w:noProof/>
              </w:rPr>
              <w:t>Perusviiva</w:t>
            </w:r>
          </w:p>
        </w:tc>
        <w:tc>
          <w:tcPr>
            <w:tcW w:w="567" w:type="dxa"/>
            <w:shd w:val="clear" w:color="auto" w:fill="C6D9F1" w:themeFill="text2" w:themeFillTint="33"/>
            <w:noWrap/>
          </w:tcPr>
          <w:p w14:paraId="10FACC42" w14:textId="77777777" w:rsidR="000E48CE" w:rsidRDefault="00FF4C4E">
            <w:pPr>
              <w:pStyle w:val="P68B1DB1-Normal12"/>
              <w:spacing w:after="0" w:line="240" w:lineRule="auto"/>
              <w:jc w:val="center"/>
              <w:rPr>
                <w:rFonts w:cs="Times New Roman"/>
                <w:noProof/>
              </w:rPr>
            </w:pPr>
            <w:r>
              <w:rPr>
                <w:noProof/>
              </w:rPr>
              <w:t>Päämäärä</w:t>
            </w:r>
          </w:p>
        </w:tc>
        <w:tc>
          <w:tcPr>
            <w:tcW w:w="567" w:type="dxa"/>
            <w:shd w:val="clear" w:color="auto" w:fill="C6D9F1" w:themeFill="text2" w:themeFillTint="33"/>
            <w:noWrap/>
          </w:tcPr>
          <w:p w14:paraId="007AB6D4"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7EC494FD" w14:textId="77777777" w:rsidR="000E48CE" w:rsidRDefault="00FF4C4E">
            <w:pPr>
              <w:pStyle w:val="P68B1DB1-Normal12"/>
              <w:spacing w:after="0" w:line="240" w:lineRule="auto"/>
              <w:jc w:val="center"/>
              <w:rPr>
                <w:rFonts w:cs="Times New Roman"/>
                <w:noProof/>
              </w:rPr>
            </w:pPr>
            <w:r>
              <w:rPr>
                <w:noProof/>
              </w:rPr>
              <w:t>Vuosi</w:t>
            </w:r>
          </w:p>
        </w:tc>
        <w:tc>
          <w:tcPr>
            <w:tcW w:w="5812" w:type="dxa"/>
            <w:tcBorders>
              <w:top w:val="nil"/>
            </w:tcBorders>
            <w:shd w:val="clear" w:color="auto" w:fill="C6D9F1" w:themeFill="text2" w:themeFillTint="33"/>
            <w:noWrap/>
          </w:tcPr>
          <w:p w14:paraId="5694B408" w14:textId="77777777" w:rsidR="000E48CE" w:rsidRDefault="000E48CE">
            <w:pPr>
              <w:spacing w:after="0" w:line="240" w:lineRule="auto"/>
              <w:rPr>
                <w:rFonts w:ascii="Times New Roman" w:hAnsi="Times New Roman" w:cs="Times New Roman"/>
                <w:b/>
                <w:noProof/>
                <w:sz w:val="18"/>
              </w:rPr>
            </w:pPr>
          </w:p>
        </w:tc>
      </w:tr>
      <w:tr w:rsidR="000E48CE" w14:paraId="36F932E5" w14:textId="77777777">
        <w:trPr>
          <w:trHeight w:val="309"/>
        </w:trPr>
        <w:tc>
          <w:tcPr>
            <w:tcW w:w="709" w:type="dxa"/>
            <w:shd w:val="clear" w:color="auto" w:fill="C6EFCE"/>
            <w:noWrap/>
          </w:tcPr>
          <w:p w14:paraId="17350418" w14:textId="77777777" w:rsidR="000E48CE" w:rsidRDefault="00FF4C4E">
            <w:pPr>
              <w:pStyle w:val="P68B1DB1-Normal13"/>
              <w:spacing w:after="0" w:line="240" w:lineRule="auto"/>
              <w:jc w:val="center"/>
              <w:rPr>
                <w:rFonts w:eastAsia="Times New Roman" w:cs="Times New Roman"/>
                <w:noProof/>
              </w:rPr>
            </w:pPr>
            <w:r>
              <w:rPr>
                <w:noProof/>
              </w:rPr>
              <w:t>249</w:t>
            </w:r>
          </w:p>
        </w:tc>
        <w:tc>
          <w:tcPr>
            <w:tcW w:w="851" w:type="dxa"/>
            <w:shd w:val="clear" w:color="auto" w:fill="C6EFCE"/>
            <w:noWrap/>
          </w:tcPr>
          <w:p w14:paraId="67EABD58" w14:textId="77777777" w:rsidR="000E48CE" w:rsidRDefault="00FF4C4E">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336ED4C0" w14:textId="77777777" w:rsidR="000E48CE" w:rsidRDefault="00FF4C4E">
            <w:pPr>
              <w:pStyle w:val="P68B1DB1-Normal13"/>
              <w:spacing w:after="0" w:line="240" w:lineRule="auto"/>
              <w:jc w:val="center"/>
              <w:rPr>
                <w:rFonts w:eastAsia="Times New Roman" w:cs="Times New Roman"/>
                <w:noProof/>
              </w:rPr>
            </w:pPr>
            <w:r>
              <w:rPr>
                <w:noProof/>
              </w:rPr>
              <w:t>M</w:t>
            </w:r>
          </w:p>
        </w:tc>
        <w:tc>
          <w:tcPr>
            <w:tcW w:w="2694" w:type="dxa"/>
            <w:shd w:val="clear" w:color="auto" w:fill="C6EFCE"/>
            <w:noWrap/>
          </w:tcPr>
          <w:p w14:paraId="3DE4A649" w14:textId="77777777" w:rsidR="000E48CE" w:rsidRDefault="00FF4C4E">
            <w:pPr>
              <w:pStyle w:val="P68B1DB1-Normal13"/>
              <w:spacing w:after="0" w:line="240" w:lineRule="auto"/>
              <w:rPr>
                <w:rFonts w:eastAsia="Times New Roman" w:cs="Times New Roman"/>
                <w:noProof/>
              </w:rPr>
            </w:pPr>
            <w:r>
              <w:rPr>
                <w:noProof/>
              </w:rPr>
              <w:t xml:space="preserve">Kansallinen tekoälystrategia </w:t>
            </w:r>
          </w:p>
        </w:tc>
        <w:tc>
          <w:tcPr>
            <w:tcW w:w="1275" w:type="dxa"/>
            <w:shd w:val="clear" w:color="auto" w:fill="C6EFCE"/>
            <w:noWrap/>
          </w:tcPr>
          <w:p w14:paraId="07CC24E0" w14:textId="77777777" w:rsidR="000E48CE" w:rsidRDefault="00FF4C4E">
            <w:pPr>
              <w:pStyle w:val="P68B1DB1-Normal13"/>
              <w:spacing w:after="0" w:line="240" w:lineRule="auto"/>
              <w:jc w:val="center"/>
              <w:rPr>
                <w:rFonts w:eastAsia="Times New Roman" w:cs="Times New Roman"/>
                <w:noProof/>
              </w:rPr>
            </w:pPr>
            <w:r>
              <w:rPr>
                <w:noProof/>
              </w:rPr>
              <w:t>Julkaiseminen EUVL:ssä</w:t>
            </w:r>
          </w:p>
        </w:tc>
        <w:tc>
          <w:tcPr>
            <w:tcW w:w="851" w:type="dxa"/>
            <w:shd w:val="clear" w:color="auto" w:fill="C6EFCE"/>
            <w:noWrap/>
          </w:tcPr>
          <w:p w14:paraId="3DAF5D7F"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0BA2ACDA"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ACDE741"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82DB46E" w14:textId="77777777" w:rsidR="000E48CE" w:rsidRDefault="00FF4C4E">
            <w:pPr>
              <w:pStyle w:val="P68B1DB1-Normal13"/>
              <w:spacing w:after="0" w:line="240" w:lineRule="auto"/>
              <w:jc w:val="center"/>
              <w:rPr>
                <w:rFonts w:eastAsia="Times New Roman" w:cs="Times New Roman"/>
                <w:noProof/>
              </w:rPr>
            </w:pPr>
            <w:r>
              <w:rPr>
                <w:noProof/>
              </w:rPr>
              <w:t>KOLMAS VUOSINELJÄNNES</w:t>
            </w:r>
          </w:p>
        </w:tc>
        <w:tc>
          <w:tcPr>
            <w:tcW w:w="567" w:type="dxa"/>
            <w:shd w:val="clear" w:color="auto" w:fill="C6EFCE"/>
            <w:noWrap/>
          </w:tcPr>
          <w:p w14:paraId="1C6FB7B4" w14:textId="77777777" w:rsidR="000E48CE" w:rsidRDefault="00FF4C4E">
            <w:pPr>
              <w:pStyle w:val="P68B1DB1-Normal13"/>
              <w:spacing w:after="0" w:line="240" w:lineRule="auto"/>
              <w:jc w:val="center"/>
              <w:rPr>
                <w:rFonts w:eastAsia="Times New Roman" w:cs="Times New Roman"/>
                <w:noProof/>
              </w:rPr>
            </w:pPr>
            <w:r>
              <w:rPr>
                <w:noProof/>
              </w:rPr>
              <w:t>2020</w:t>
            </w:r>
          </w:p>
        </w:tc>
        <w:tc>
          <w:tcPr>
            <w:tcW w:w="5812" w:type="dxa"/>
            <w:shd w:val="clear" w:color="auto" w:fill="C6EFCE"/>
            <w:noWrap/>
          </w:tcPr>
          <w:p w14:paraId="04E742C5" w14:textId="77777777" w:rsidR="000E48CE" w:rsidRDefault="00FF4C4E">
            <w:pPr>
              <w:pStyle w:val="P68B1DB1-Normal13"/>
              <w:spacing w:after="0" w:line="240" w:lineRule="auto"/>
              <w:rPr>
                <w:rFonts w:eastAsia="Times New Roman" w:cs="Times New Roman"/>
                <w:noProof/>
              </w:rPr>
            </w:pPr>
            <w:r>
              <w:rPr>
                <w:noProof/>
              </w:rPr>
              <w:t xml:space="preserve">Kansallisen tekoälystrategian julkaiseminen. Strategian tavoitteena on </w:t>
            </w:r>
            <w:r>
              <w:rPr>
                <w:noProof/>
              </w:rPr>
              <w:br/>
              <w:t>1. Espanjan asema maana, joka on sitoutunut edistämään tieteellistä huippuosaamista ja innovointia tekoälyn alalla.</w:t>
            </w:r>
            <w:r>
              <w:rPr>
                <w:noProof/>
              </w:rPr>
              <w:br/>
              <w:t xml:space="preserve">2. Espanjan kielen projisointi tekoälyssä. </w:t>
            </w:r>
            <w:r>
              <w:rPr>
                <w:noProof/>
              </w:rPr>
              <w:br/>
              <w:t>3. Ammattitaitoa vaativi</w:t>
            </w:r>
            <w:r>
              <w:rPr>
                <w:noProof/>
              </w:rPr>
              <w:t>en työpaikkojen luominen, lahjakkuuksien kannustaminen ja houkutteleminen kiinnittäen erityistä huomiota naisiin.</w:t>
            </w:r>
            <w:r>
              <w:rPr>
                <w:noProof/>
              </w:rPr>
              <w:br/>
              <w:t>4. Tekoälyn sisällyttäminen tuotantojärjestelmään espanjalaisten yritysten tuottavuuden parantamiseksi.</w:t>
            </w:r>
            <w:r>
              <w:rPr>
                <w:noProof/>
              </w:rPr>
              <w:br/>
              <w:t>5. Tekoälyyn liittyvän luotettavan ymp</w:t>
            </w:r>
            <w:r>
              <w:rPr>
                <w:noProof/>
              </w:rPr>
              <w:t>äristön luominen.</w:t>
            </w:r>
            <w:r>
              <w:rPr>
                <w:noProof/>
              </w:rPr>
              <w:br/>
              <w:t>6. Sellaisen eettisen kehyksen kehittäminen, joka takaa kansalaisten yksilölliset ja kollektiiviset oikeudet tekoälyyn.</w:t>
            </w:r>
            <w:r>
              <w:rPr>
                <w:noProof/>
              </w:rPr>
              <w:br/>
              <w:t>7. Osallistavan ja kestävän tekoälyn vahvistaminen; erityisesti sukupuolten välisen kuilun ja digitaalisen kuilun kave</w:t>
            </w:r>
            <w:r>
              <w:rPr>
                <w:noProof/>
              </w:rPr>
              <w:t>ntamiseksi sekä ekologisen siirtymän ja alueellisen yhteenkuuluvuuden tukemiseksi.</w:t>
            </w:r>
          </w:p>
        </w:tc>
      </w:tr>
      <w:tr w:rsidR="000E48CE" w14:paraId="2FFA111E" w14:textId="77777777">
        <w:trPr>
          <w:trHeight w:val="309"/>
        </w:trPr>
        <w:tc>
          <w:tcPr>
            <w:tcW w:w="709" w:type="dxa"/>
            <w:shd w:val="clear" w:color="auto" w:fill="C6EFCE"/>
            <w:noWrap/>
          </w:tcPr>
          <w:p w14:paraId="11223EEE" w14:textId="77777777" w:rsidR="000E48CE" w:rsidRDefault="00FF4C4E">
            <w:pPr>
              <w:pStyle w:val="P68B1DB1-Normal13"/>
              <w:spacing w:after="0" w:line="240" w:lineRule="auto"/>
              <w:jc w:val="center"/>
              <w:rPr>
                <w:rFonts w:eastAsia="Times New Roman" w:cs="Times New Roman"/>
                <w:noProof/>
              </w:rPr>
            </w:pPr>
            <w:r>
              <w:rPr>
                <w:noProof/>
              </w:rPr>
              <w:t>250</w:t>
            </w:r>
          </w:p>
        </w:tc>
        <w:tc>
          <w:tcPr>
            <w:tcW w:w="851" w:type="dxa"/>
            <w:shd w:val="clear" w:color="auto" w:fill="C6EFCE"/>
            <w:noWrap/>
          </w:tcPr>
          <w:p w14:paraId="69D4EBBA" w14:textId="77777777" w:rsidR="000E48CE" w:rsidRDefault="00FF4C4E">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28643269" w14:textId="77777777" w:rsidR="000E48CE" w:rsidRDefault="00FF4C4E">
            <w:pPr>
              <w:pStyle w:val="P68B1DB1-Normal13"/>
              <w:spacing w:after="0" w:line="240" w:lineRule="auto"/>
              <w:jc w:val="center"/>
              <w:rPr>
                <w:rFonts w:eastAsia="Times New Roman" w:cs="Times New Roman"/>
                <w:noProof/>
              </w:rPr>
            </w:pPr>
            <w:r>
              <w:rPr>
                <w:noProof/>
              </w:rPr>
              <w:t>M</w:t>
            </w:r>
          </w:p>
        </w:tc>
        <w:tc>
          <w:tcPr>
            <w:tcW w:w="2694" w:type="dxa"/>
            <w:shd w:val="clear" w:color="auto" w:fill="C6EFCE"/>
            <w:noWrap/>
          </w:tcPr>
          <w:p w14:paraId="26EEB8F1" w14:textId="77777777" w:rsidR="000E48CE" w:rsidRDefault="00FF4C4E">
            <w:pPr>
              <w:pStyle w:val="P68B1DB1-Normal13"/>
              <w:spacing w:after="0" w:line="240" w:lineRule="auto"/>
              <w:rPr>
                <w:rFonts w:eastAsia="Times New Roman" w:cs="Times New Roman"/>
                <w:noProof/>
              </w:rPr>
            </w:pPr>
            <w:r>
              <w:rPr>
                <w:noProof/>
              </w:rPr>
              <w:t>Digitaalisten oikeuksien peruskirja</w:t>
            </w:r>
          </w:p>
        </w:tc>
        <w:tc>
          <w:tcPr>
            <w:tcW w:w="1275" w:type="dxa"/>
            <w:shd w:val="clear" w:color="auto" w:fill="C6EFCE"/>
            <w:noWrap/>
          </w:tcPr>
          <w:p w14:paraId="2F39C460" w14:textId="77777777" w:rsidR="000E48CE" w:rsidRDefault="00FF4C4E">
            <w:pPr>
              <w:pStyle w:val="P68B1DB1-Normal13"/>
              <w:spacing w:after="0" w:line="240" w:lineRule="auto"/>
              <w:jc w:val="center"/>
              <w:rPr>
                <w:rFonts w:eastAsia="Times New Roman" w:cs="Times New Roman"/>
                <w:noProof/>
              </w:rPr>
            </w:pPr>
            <w:r>
              <w:rPr>
                <w:noProof/>
              </w:rPr>
              <w:t>Julkaiseminen EUVL:ssä</w:t>
            </w:r>
          </w:p>
        </w:tc>
        <w:tc>
          <w:tcPr>
            <w:tcW w:w="851" w:type="dxa"/>
            <w:shd w:val="clear" w:color="auto" w:fill="C6EFCE"/>
            <w:noWrap/>
          </w:tcPr>
          <w:p w14:paraId="562F7403"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75826876"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6EE5AC0"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11C302C"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5170D935"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812" w:type="dxa"/>
            <w:shd w:val="clear" w:color="auto" w:fill="C6EFCE"/>
            <w:noWrap/>
          </w:tcPr>
          <w:p w14:paraId="71499C32" w14:textId="77777777" w:rsidR="000E48CE" w:rsidRDefault="00FF4C4E">
            <w:pPr>
              <w:pStyle w:val="P68B1DB1-Normal13"/>
              <w:spacing w:after="0" w:line="240" w:lineRule="auto"/>
              <w:rPr>
                <w:rFonts w:eastAsia="Times New Roman" w:cs="Times New Roman"/>
                <w:noProof/>
              </w:rPr>
            </w:pPr>
            <w:r>
              <w:rPr>
                <w:noProof/>
              </w:rPr>
              <w:t>Espanjan hallitus hyväksyy ja se julkaistaan digitaalisten oikeuksien peruskirjan virallisella verkkosivustolla. Perusoikeuskirja ei ole luonteeltaan normatiivinen, vaan sillä pyritään tunnustamaan uudet soveltamis- ja tulkintahaasteet, joita oikeuksien mu</w:t>
            </w:r>
            <w:r>
              <w:rPr>
                <w:noProof/>
              </w:rPr>
              <w:t>kauttaminen digitaaliseen ympäristöön aiheuttaa, ja ehdottamaan tähän liittyviä periaatteita ja toimintalinjoja tässä yhteydessä. Tämän lisäksi se ehdottaa viitekehystä viranomaisten toiminnalle hyödyntäen ja kehittämällä kaikkia nykyisen digitaalisen ympä</w:t>
            </w:r>
            <w:r>
              <w:rPr>
                <w:noProof/>
              </w:rPr>
              <w:t xml:space="preserve">ristön mahdollisuuksia ja mahdollisuuksia ja torjuen samalla sen riskejä. </w:t>
            </w:r>
          </w:p>
        </w:tc>
      </w:tr>
      <w:tr w:rsidR="000E48CE" w14:paraId="029A96F6" w14:textId="77777777">
        <w:trPr>
          <w:trHeight w:val="309"/>
        </w:trPr>
        <w:tc>
          <w:tcPr>
            <w:tcW w:w="709" w:type="dxa"/>
            <w:shd w:val="clear" w:color="auto" w:fill="C6EFCE"/>
            <w:noWrap/>
          </w:tcPr>
          <w:p w14:paraId="276F758E" w14:textId="77777777" w:rsidR="000E48CE" w:rsidRDefault="00FF4C4E">
            <w:pPr>
              <w:pStyle w:val="P68B1DB1-Normal13"/>
              <w:spacing w:after="0" w:line="240" w:lineRule="auto"/>
              <w:jc w:val="center"/>
              <w:rPr>
                <w:rFonts w:eastAsia="Times New Roman" w:cs="Times New Roman"/>
                <w:noProof/>
              </w:rPr>
            </w:pPr>
            <w:r>
              <w:rPr>
                <w:noProof/>
              </w:rPr>
              <w:t>251</w:t>
            </w:r>
          </w:p>
        </w:tc>
        <w:tc>
          <w:tcPr>
            <w:tcW w:w="851" w:type="dxa"/>
            <w:shd w:val="clear" w:color="auto" w:fill="C6EFCE"/>
            <w:noWrap/>
          </w:tcPr>
          <w:p w14:paraId="79FD9143" w14:textId="77777777" w:rsidR="000E48CE" w:rsidRDefault="00FF4C4E">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0FBABEE3" w14:textId="77777777" w:rsidR="000E48CE" w:rsidRDefault="00FF4C4E">
            <w:pPr>
              <w:pStyle w:val="P68B1DB1-Normal13"/>
              <w:spacing w:after="0" w:line="240" w:lineRule="auto"/>
              <w:jc w:val="center"/>
              <w:rPr>
                <w:rFonts w:eastAsia="Times New Roman" w:cs="Times New Roman"/>
                <w:noProof/>
              </w:rPr>
            </w:pPr>
            <w:r>
              <w:rPr>
                <w:noProof/>
              </w:rPr>
              <w:t>M</w:t>
            </w:r>
          </w:p>
        </w:tc>
        <w:tc>
          <w:tcPr>
            <w:tcW w:w="2694" w:type="dxa"/>
            <w:shd w:val="clear" w:color="auto" w:fill="C6EFCE"/>
            <w:noWrap/>
          </w:tcPr>
          <w:p w14:paraId="0A39D493" w14:textId="77777777" w:rsidR="000E48CE" w:rsidRDefault="00FF4C4E">
            <w:pPr>
              <w:pStyle w:val="P68B1DB1-Normal13"/>
              <w:spacing w:after="0" w:line="240" w:lineRule="auto"/>
              <w:rPr>
                <w:rFonts w:eastAsia="Times New Roman" w:cs="Times New Roman"/>
                <w:noProof/>
              </w:rPr>
            </w:pPr>
            <w:r>
              <w:rPr>
                <w:noProof/>
              </w:rPr>
              <w:t xml:space="preserve">Tekoälyhankkeiden tukeminen </w:t>
            </w:r>
          </w:p>
        </w:tc>
        <w:tc>
          <w:tcPr>
            <w:tcW w:w="1275" w:type="dxa"/>
            <w:shd w:val="clear" w:color="auto" w:fill="C6EFCE"/>
            <w:noWrap/>
          </w:tcPr>
          <w:p w14:paraId="679CB12A" w14:textId="77777777" w:rsidR="000E48CE" w:rsidRDefault="00FF4C4E">
            <w:pPr>
              <w:pStyle w:val="P68B1DB1-Normal13"/>
              <w:spacing w:after="0" w:line="240" w:lineRule="auto"/>
              <w:jc w:val="center"/>
              <w:rPr>
                <w:rFonts w:eastAsia="Times New Roman" w:cs="Times New Roman"/>
                <w:noProof/>
              </w:rPr>
            </w:pPr>
            <w:r>
              <w:rPr>
                <w:noProof/>
              </w:rPr>
              <w:t>Ohjelma-avustusten julkaiseminen ja rahoitus</w:t>
            </w:r>
          </w:p>
        </w:tc>
        <w:tc>
          <w:tcPr>
            <w:tcW w:w="851" w:type="dxa"/>
            <w:shd w:val="clear" w:color="auto" w:fill="C6EFCE"/>
            <w:noWrap/>
          </w:tcPr>
          <w:p w14:paraId="01458715" w14:textId="77777777" w:rsidR="000E48CE" w:rsidRDefault="00FF4C4E">
            <w:pPr>
              <w:pStyle w:val="P68B1DB1-Normal13"/>
              <w:spacing w:after="0" w:line="240" w:lineRule="auto"/>
              <w:jc w:val="center"/>
              <w:rPr>
                <w:rFonts w:eastAsia="Times New Roman" w:cs="Times New Roman"/>
                <w:noProof/>
              </w:rPr>
            </w:pPr>
            <w:r>
              <w:rPr>
                <w:noProof/>
              </w:rPr>
              <w:t> </w:t>
            </w:r>
          </w:p>
        </w:tc>
        <w:tc>
          <w:tcPr>
            <w:tcW w:w="567" w:type="dxa"/>
            <w:shd w:val="clear" w:color="auto" w:fill="C6EFCE"/>
            <w:noWrap/>
          </w:tcPr>
          <w:p w14:paraId="635BD68A" w14:textId="77777777" w:rsidR="000E48CE" w:rsidRDefault="00FF4C4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554268E3" w14:textId="77777777" w:rsidR="000E48CE" w:rsidRDefault="00FF4C4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6FBEC253"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0431DFA5"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812" w:type="dxa"/>
            <w:shd w:val="clear" w:color="auto" w:fill="C6EFCE"/>
            <w:noWrap/>
          </w:tcPr>
          <w:p w14:paraId="085D693A" w14:textId="69591706" w:rsidR="000E48CE" w:rsidRDefault="00FF4C4E">
            <w:pPr>
              <w:pStyle w:val="P68B1DB1-Normal13"/>
              <w:spacing w:after="0" w:line="240" w:lineRule="auto"/>
              <w:rPr>
                <w:rFonts w:eastAsia="Times New Roman" w:cs="Times New Roman"/>
                <w:noProof/>
              </w:rPr>
            </w:pPr>
            <w:r>
              <w:rPr>
                <w:noProof/>
              </w:rPr>
              <w:t xml:space="preserve">Vähintään 500000000 euroa on sidottu avustuksiin hankkeisiin, jotka koskevat </w:t>
            </w:r>
            <w:r>
              <w:rPr>
                <w:noProof/>
              </w:rPr>
              <w:t xml:space="preserve">tekoälyä koskevia tutkimus- ja kehittämishankkeita, Espanjan tekoälyosaamiskeskusta, tekoälyä käsittelevää monitieteistä instituuttia, tekoälyn huippuosaamisverkostoa, luonnonkielten teknologiasuunnitelmaa, akateemisia tuoleja, seurantaryhmiä, luotettavaa </w:t>
            </w:r>
            <w:r>
              <w:rPr>
                <w:noProof/>
              </w:rPr>
              <w:t>tekoälysertifiointia ja -sinettiä, haavoittuvassa asemassa olevien ryhmien suojelusuunnitelmaa tekoälyn alalla, tekoälytietoisuutta ja -luottamusta, kvanttilaskentaa ja vihreitä algoritmeja koskevaa kansallista ohjelmaa. Avustukset myönnetään tarjouskilpai</w:t>
            </w:r>
            <w:r>
              <w:rPr>
                <w:noProof/>
              </w:rPr>
              <w:t>lulla.</w:t>
            </w:r>
          </w:p>
        </w:tc>
      </w:tr>
      <w:tr w:rsidR="000E48CE" w14:paraId="3AD21B9A" w14:textId="77777777">
        <w:trPr>
          <w:trHeight w:val="309"/>
        </w:trPr>
        <w:tc>
          <w:tcPr>
            <w:tcW w:w="709" w:type="dxa"/>
            <w:shd w:val="clear" w:color="auto" w:fill="C6EFCE"/>
            <w:noWrap/>
          </w:tcPr>
          <w:p w14:paraId="5EC72927" w14:textId="617BAA48" w:rsidR="000E48CE" w:rsidRDefault="00FF4C4E">
            <w:pPr>
              <w:pStyle w:val="P68B1DB1-Normal13"/>
              <w:spacing w:after="0" w:line="240" w:lineRule="auto"/>
              <w:jc w:val="center"/>
              <w:rPr>
                <w:rFonts w:cs="Times New Roman"/>
                <w:noProof/>
              </w:rPr>
            </w:pPr>
            <w:r>
              <w:rPr>
                <w:noProof/>
              </w:rPr>
              <w:t>458</w:t>
            </w:r>
          </w:p>
        </w:tc>
        <w:tc>
          <w:tcPr>
            <w:tcW w:w="851" w:type="dxa"/>
            <w:shd w:val="clear" w:color="auto" w:fill="C6EFCE"/>
            <w:noWrap/>
          </w:tcPr>
          <w:p w14:paraId="19829B5B" w14:textId="6040864A" w:rsidR="000E48CE" w:rsidRDefault="00FF4C4E">
            <w:pPr>
              <w:pStyle w:val="P68B1DB1-Normal13"/>
              <w:spacing w:after="0" w:line="240" w:lineRule="auto"/>
              <w:jc w:val="center"/>
              <w:rPr>
                <w:rFonts w:cs="Times New Roman"/>
                <w:noProof/>
              </w:rPr>
            </w:pPr>
            <w:r>
              <w:rPr>
                <w:noProof/>
              </w:rPr>
              <w:t>C16.R1</w:t>
            </w:r>
          </w:p>
        </w:tc>
        <w:tc>
          <w:tcPr>
            <w:tcW w:w="850" w:type="dxa"/>
            <w:shd w:val="clear" w:color="auto" w:fill="C6EFCE"/>
            <w:noWrap/>
          </w:tcPr>
          <w:p w14:paraId="428EB1E6" w14:textId="266CA192" w:rsidR="000E48CE" w:rsidRDefault="00FF4C4E">
            <w:pPr>
              <w:pStyle w:val="P68B1DB1-Normal13"/>
              <w:spacing w:after="0" w:line="240" w:lineRule="auto"/>
              <w:jc w:val="center"/>
              <w:rPr>
                <w:rFonts w:cs="Times New Roman"/>
                <w:noProof/>
              </w:rPr>
            </w:pPr>
            <w:r>
              <w:rPr>
                <w:noProof/>
              </w:rPr>
              <w:t>M</w:t>
            </w:r>
          </w:p>
        </w:tc>
        <w:tc>
          <w:tcPr>
            <w:tcW w:w="2694" w:type="dxa"/>
            <w:shd w:val="clear" w:color="auto" w:fill="C6EFCE"/>
            <w:noWrap/>
          </w:tcPr>
          <w:p w14:paraId="774B9519" w14:textId="307F2BF7" w:rsidR="000E48CE" w:rsidRDefault="00FF4C4E">
            <w:pPr>
              <w:pStyle w:val="P68B1DB1-Normal13"/>
              <w:spacing w:after="0" w:line="240" w:lineRule="auto"/>
              <w:rPr>
                <w:rFonts w:cs="Times New Roman"/>
                <w:noProof/>
              </w:rPr>
            </w:pPr>
            <w:r>
              <w:rPr>
                <w:noProof/>
              </w:rPr>
              <w:t>Sääntelyn testiympäristöt ja Espanjan tekoälyvalvontavirasto (AESIA)</w:t>
            </w:r>
          </w:p>
        </w:tc>
        <w:tc>
          <w:tcPr>
            <w:tcW w:w="1275" w:type="dxa"/>
            <w:shd w:val="clear" w:color="auto" w:fill="C6EFCE"/>
            <w:noWrap/>
          </w:tcPr>
          <w:p w14:paraId="29A3EA67" w14:textId="19C678FA" w:rsidR="000E48CE" w:rsidRDefault="00FF4C4E">
            <w:pPr>
              <w:pStyle w:val="P68B1DB1-Normal13"/>
              <w:spacing w:after="0" w:line="240" w:lineRule="auto"/>
              <w:jc w:val="center"/>
              <w:rPr>
                <w:rFonts w:cs="Times New Roman"/>
                <w:noProof/>
              </w:rPr>
            </w:pPr>
            <w:r>
              <w:rPr>
                <w:noProof/>
              </w:rPr>
              <w:t>Julkaiseminen EUVL:ssä</w:t>
            </w:r>
          </w:p>
        </w:tc>
        <w:tc>
          <w:tcPr>
            <w:tcW w:w="851" w:type="dxa"/>
            <w:shd w:val="clear" w:color="auto" w:fill="C6EFCE"/>
            <w:noWrap/>
          </w:tcPr>
          <w:p w14:paraId="106430E3" w14:textId="77777777"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tcPr>
          <w:p w14:paraId="6EB4222B" w14:textId="77777777" w:rsidR="000E48CE" w:rsidRDefault="000E48CE">
            <w:pPr>
              <w:spacing w:after="0" w:line="240" w:lineRule="auto"/>
              <w:jc w:val="right"/>
              <w:rPr>
                <w:rFonts w:ascii="Times New Roman" w:hAnsi="Times New Roman" w:cs="Times New Roman"/>
                <w:noProof/>
                <w:sz w:val="18"/>
              </w:rPr>
            </w:pPr>
          </w:p>
        </w:tc>
        <w:tc>
          <w:tcPr>
            <w:tcW w:w="567" w:type="dxa"/>
            <w:shd w:val="clear" w:color="auto" w:fill="C6EFCE"/>
            <w:noWrap/>
          </w:tcPr>
          <w:p w14:paraId="0F8FC42F" w14:textId="77777777" w:rsidR="000E48CE" w:rsidRDefault="000E48CE">
            <w:pPr>
              <w:spacing w:after="0" w:line="240" w:lineRule="auto"/>
              <w:jc w:val="right"/>
              <w:rPr>
                <w:rFonts w:ascii="Times New Roman" w:hAnsi="Times New Roman" w:cs="Times New Roman"/>
                <w:noProof/>
                <w:sz w:val="18"/>
              </w:rPr>
            </w:pPr>
          </w:p>
        </w:tc>
        <w:tc>
          <w:tcPr>
            <w:tcW w:w="567" w:type="dxa"/>
            <w:shd w:val="clear" w:color="auto" w:fill="C6EFCE"/>
            <w:noWrap/>
          </w:tcPr>
          <w:p w14:paraId="1965FC98" w14:textId="6E1BC4EB"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78980B90" w14:textId="3A5E4AC1" w:rsidR="000E48CE" w:rsidRDefault="00FF4C4E">
            <w:pPr>
              <w:pStyle w:val="P68B1DB1-Normal13"/>
              <w:spacing w:after="0" w:line="240" w:lineRule="auto"/>
              <w:jc w:val="center"/>
              <w:rPr>
                <w:rFonts w:cs="Times New Roman"/>
                <w:noProof/>
              </w:rPr>
            </w:pPr>
            <w:r>
              <w:rPr>
                <w:noProof/>
              </w:rPr>
              <w:t>2024</w:t>
            </w:r>
          </w:p>
        </w:tc>
        <w:tc>
          <w:tcPr>
            <w:tcW w:w="5812" w:type="dxa"/>
            <w:shd w:val="clear" w:color="auto" w:fill="C6EFCE"/>
            <w:noWrap/>
          </w:tcPr>
          <w:p w14:paraId="7C0083ED" w14:textId="4E66B0CB" w:rsidR="000E48CE" w:rsidRDefault="00FF4C4E">
            <w:pPr>
              <w:pStyle w:val="P68B1DB1-Normal13"/>
              <w:spacing w:after="0" w:line="240" w:lineRule="auto"/>
              <w:rPr>
                <w:rFonts w:cs="Times New Roman"/>
                <w:noProof/>
              </w:rPr>
            </w:pPr>
            <w:r>
              <w:rPr>
                <w:noProof/>
              </w:rPr>
              <w:t>Julkaistaan EUVL:ssä tarvittavat säädökset, jotta tekoälyn soveltamiseen voidaan soveltaa sääntelyn testiympäristöjä, ja kuninkaallinen asetus, jolla hyväksytään Espanjan tekoälyviraston sisäinen perussääntö. Viimeksi mainittuihin kuuluvat: viraston luonne</w:t>
            </w:r>
            <w:r>
              <w:rPr>
                <w:noProof/>
              </w:rPr>
              <w:t xml:space="preserve"> ja oikeudellinen järjestelmä (julkisen oikeushenkilön aseman myöntäminen, omat varat ja hallinnon riippumattomuus); sen tarkoitus, tarkoitus ja pätevyys; orgaaninen rakenne ja sen valintaprosessi; sen omaisuudenhoito-, rahoitus- ja sopimusjärjestelmä; sek</w:t>
            </w:r>
            <w:r>
              <w:rPr>
                <w:noProof/>
              </w:rPr>
              <w:t>ä talous- ja budjettihallinto ja sen valvonta.</w:t>
            </w:r>
          </w:p>
        </w:tc>
      </w:tr>
      <w:tr w:rsidR="000E48CE" w14:paraId="4B1423DB" w14:textId="77777777">
        <w:trPr>
          <w:trHeight w:val="309"/>
        </w:trPr>
        <w:tc>
          <w:tcPr>
            <w:tcW w:w="709" w:type="dxa"/>
            <w:shd w:val="clear" w:color="auto" w:fill="C6EFCE"/>
            <w:noWrap/>
          </w:tcPr>
          <w:p w14:paraId="7F9E1A61" w14:textId="77777777" w:rsidR="000E48CE" w:rsidRDefault="00FF4C4E">
            <w:pPr>
              <w:pStyle w:val="P68B1DB1-Normal13"/>
              <w:spacing w:after="0" w:line="240" w:lineRule="auto"/>
              <w:jc w:val="center"/>
              <w:rPr>
                <w:rFonts w:eastAsia="Times New Roman" w:cs="Times New Roman"/>
                <w:noProof/>
              </w:rPr>
            </w:pPr>
            <w:r>
              <w:rPr>
                <w:noProof/>
              </w:rPr>
              <w:t>252</w:t>
            </w:r>
          </w:p>
        </w:tc>
        <w:tc>
          <w:tcPr>
            <w:tcW w:w="851" w:type="dxa"/>
            <w:shd w:val="clear" w:color="auto" w:fill="C6EFCE"/>
            <w:noWrap/>
          </w:tcPr>
          <w:p w14:paraId="6F66F239" w14:textId="77777777" w:rsidR="000E48CE" w:rsidRDefault="00FF4C4E">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5B6776B5" w14:textId="77777777" w:rsidR="000E48CE" w:rsidRDefault="00FF4C4E">
            <w:pPr>
              <w:pStyle w:val="P68B1DB1-Normal13"/>
              <w:spacing w:after="0" w:line="240" w:lineRule="auto"/>
              <w:jc w:val="center"/>
              <w:rPr>
                <w:rFonts w:eastAsia="Times New Roman" w:cs="Times New Roman"/>
                <w:noProof/>
              </w:rPr>
            </w:pPr>
            <w:r>
              <w:rPr>
                <w:noProof/>
              </w:rPr>
              <w:t>T</w:t>
            </w:r>
          </w:p>
        </w:tc>
        <w:tc>
          <w:tcPr>
            <w:tcW w:w="2694" w:type="dxa"/>
            <w:shd w:val="clear" w:color="auto" w:fill="C6EFCE"/>
            <w:noWrap/>
          </w:tcPr>
          <w:p w14:paraId="2B41DD4A" w14:textId="77777777" w:rsidR="000E48CE" w:rsidRDefault="00FF4C4E">
            <w:pPr>
              <w:pStyle w:val="P68B1DB1-Normal13"/>
              <w:spacing w:after="0" w:line="240" w:lineRule="auto"/>
              <w:rPr>
                <w:rFonts w:eastAsia="Times New Roman" w:cs="Times New Roman"/>
                <w:noProof/>
              </w:rPr>
            </w:pPr>
            <w:r>
              <w:rPr>
                <w:noProof/>
              </w:rPr>
              <w:t xml:space="preserve">Maakohtaiset vierailut </w:t>
            </w:r>
          </w:p>
        </w:tc>
        <w:tc>
          <w:tcPr>
            <w:tcW w:w="1275" w:type="dxa"/>
            <w:shd w:val="clear" w:color="auto" w:fill="C6EFCE"/>
            <w:noWrap/>
          </w:tcPr>
          <w:p w14:paraId="18D32A11" w14:textId="77777777" w:rsidR="000E48CE" w:rsidRDefault="00FF4C4E">
            <w:pPr>
              <w:pStyle w:val="P68B1DB1-Normal13"/>
              <w:spacing w:after="0" w:line="240" w:lineRule="auto"/>
              <w:jc w:val="center"/>
              <w:rPr>
                <w:rFonts w:eastAsia="Times New Roman" w:cs="Times New Roman"/>
                <w:noProof/>
              </w:rPr>
            </w:pPr>
            <w:r>
              <w:rPr>
                <w:noProof/>
              </w:rPr>
              <w:t>—</w:t>
            </w:r>
          </w:p>
        </w:tc>
        <w:tc>
          <w:tcPr>
            <w:tcW w:w="851" w:type="dxa"/>
            <w:shd w:val="clear" w:color="auto" w:fill="C6EFCE"/>
            <w:noWrap/>
          </w:tcPr>
          <w:p w14:paraId="78017AE8"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shd w:val="clear" w:color="auto" w:fill="C6EFCE"/>
            <w:noWrap/>
          </w:tcPr>
          <w:p w14:paraId="6BD500FA" w14:textId="77777777" w:rsidR="000E48CE" w:rsidRDefault="00FF4C4E">
            <w:pPr>
              <w:pStyle w:val="P68B1DB1-Normal13"/>
              <w:spacing w:after="0" w:line="240" w:lineRule="auto"/>
              <w:jc w:val="right"/>
              <w:rPr>
                <w:rFonts w:eastAsia="Times New Roman" w:cs="Times New Roman"/>
                <w:noProof/>
              </w:rPr>
            </w:pPr>
            <w:r>
              <w:rPr>
                <w:noProof/>
              </w:rPr>
              <w:t>0</w:t>
            </w:r>
          </w:p>
        </w:tc>
        <w:tc>
          <w:tcPr>
            <w:tcW w:w="567" w:type="dxa"/>
            <w:shd w:val="clear" w:color="auto" w:fill="C6EFCE"/>
            <w:noWrap/>
          </w:tcPr>
          <w:p w14:paraId="659369D5" w14:textId="77777777" w:rsidR="000E48CE" w:rsidRDefault="00FF4C4E">
            <w:pPr>
              <w:pStyle w:val="P68B1DB1-Normal13"/>
              <w:spacing w:after="0" w:line="240" w:lineRule="auto"/>
              <w:jc w:val="right"/>
              <w:rPr>
                <w:rFonts w:eastAsia="Times New Roman" w:cs="Times New Roman"/>
                <w:noProof/>
              </w:rPr>
            </w:pPr>
            <w:r>
              <w:rPr>
                <w:noProof/>
              </w:rPr>
              <w:t>7</w:t>
            </w:r>
          </w:p>
        </w:tc>
        <w:tc>
          <w:tcPr>
            <w:tcW w:w="567" w:type="dxa"/>
            <w:shd w:val="clear" w:color="auto" w:fill="C6EFCE"/>
            <w:noWrap/>
          </w:tcPr>
          <w:p w14:paraId="635009B0" w14:textId="77777777" w:rsidR="000E48CE" w:rsidRDefault="00FF4C4E">
            <w:pPr>
              <w:pStyle w:val="P68B1DB1-Normal13"/>
              <w:spacing w:after="0" w:line="240" w:lineRule="auto"/>
              <w:jc w:val="center"/>
              <w:rPr>
                <w:rFonts w:eastAsia="Times New Roman" w:cs="Times New Roman"/>
                <w:noProof/>
              </w:rPr>
            </w:pPr>
            <w:r>
              <w:rPr>
                <w:noProof/>
              </w:rPr>
              <w:t>Q1</w:t>
            </w:r>
          </w:p>
        </w:tc>
        <w:tc>
          <w:tcPr>
            <w:tcW w:w="567" w:type="dxa"/>
            <w:shd w:val="clear" w:color="auto" w:fill="C6EFCE"/>
            <w:noWrap/>
          </w:tcPr>
          <w:p w14:paraId="109081B4" w14:textId="77777777" w:rsidR="000E48CE" w:rsidRDefault="00FF4C4E">
            <w:pPr>
              <w:pStyle w:val="P68B1DB1-Normal13"/>
              <w:spacing w:after="0" w:line="240" w:lineRule="auto"/>
              <w:jc w:val="center"/>
              <w:rPr>
                <w:rFonts w:eastAsia="Times New Roman" w:cs="Times New Roman"/>
                <w:noProof/>
              </w:rPr>
            </w:pPr>
            <w:r>
              <w:rPr>
                <w:noProof/>
              </w:rPr>
              <w:t>2026</w:t>
            </w:r>
          </w:p>
        </w:tc>
        <w:tc>
          <w:tcPr>
            <w:tcW w:w="5812" w:type="dxa"/>
            <w:shd w:val="clear" w:color="auto" w:fill="C6EFCE"/>
            <w:noWrap/>
          </w:tcPr>
          <w:p w14:paraId="12CC84ED" w14:textId="77777777" w:rsidR="000E48CE" w:rsidRDefault="00FF4C4E">
            <w:pPr>
              <w:pStyle w:val="P68B1DB1-Normal13"/>
              <w:spacing w:after="0" w:line="240" w:lineRule="auto"/>
              <w:rPr>
                <w:rFonts w:eastAsia="Times New Roman" w:cs="Times New Roman"/>
                <w:noProof/>
              </w:rPr>
            </w:pPr>
            <w:r>
              <w:rPr>
                <w:noProof/>
              </w:rPr>
              <w:t xml:space="preserve">Vähintään seitsemän hanketta, joita rahoitetaan sellaisten maakohtaisten missioiden toteuttamiseksi, joilla on innovatiivisia tekoälyvetoisia </w:t>
            </w:r>
            <w:r>
              <w:rPr>
                <w:noProof/>
              </w:rPr>
              <w:t>ratkaisuja näissä missioissa havaittujen ongelmien ratkaisemiseksi: terveys, teollisuus, ympäristö, yhteiskunta, energia, maatalous ja talous. Hankkeet pannaan täytäntöön rahoittamalla yhteistyöhankkeita noin 10000000–15000000 euroa.</w:t>
            </w:r>
          </w:p>
        </w:tc>
      </w:tr>
      <w:tr w:rsidR="000E48CE" w14:paraId="62777899" w14:textId="77777777">
        <w:trPr>
          <w:trHeight w:val="309"/>
        </w:trPr>
        <w:tc>
          <w:tcPr>
            <w:tcW w:w="709" w:type="dxa"/>
            <w:shd w:val="clear" w:color="auto" w:fill="C6EFCE"/>
            <w:noWrap/>
          </w:tcPr>
          <w:p w14:paraId="5EB06565" w14:textId="77777777" w:rsidR="000E48CE" w:rsidRDefault="00FF4C4E">
            <w:pPr>
              <w:pStyle w:val="P68B1DB1-Normal13"/>
              <w:spacing w:after="0" w:line="240" w:lineRule="auto"/>
              <w:jc w:val="center"/>
              <w:rPr>
                <w:rFonts w:cs="Times New Roman"/>
                <w:noProof/>
              </w:rPr>
            </w:pPr>
            <w:r>
              <w:rPr>
                <w:noProof/>
              </w:rPr>
              <w:t>253</w:t>
            </w:r>
          </w:p>
        </w:tc>
        <w:tc>
          <w:tcPr>
            <w:tcW w:w="851" w:type="dxa"/>
            <w:shd w:val="clear" w:color="auto" w:fill="C6EFCE"/>
            <w:noWrap/>
          </w:tcPr>
          <w:p w14:paraId="302EAF8E" w14:textId="77777777" w:rsidR="000E48CE" w:rsidRDefault="00FF4C4E">
            <w:pPr>
              <w:pStyle w:val="P68B1DB1-Normal13"/>
              <w:spacing w:after="0" w:line="240" w:lineRule="auto"/>
              <w:jc w:val="center"/>
              <w:rPr>
                <w:rFonts w:cs="Times New Roman"/>
                <w:noProof/>
              </w:rPr>
            </w:pPr>
            <w:r>
              <w:rPr>
                <w:noProof/>
              </w:rPr>
              <w:t>C16.R1</w:t>
            </w:r>
          </w:p>
        </w:tc>
        <w:tc>
          <w:tcPr>
            <w:tcW w:w="850" w:type="dxa"/>
            <w:shd w:val="clear" w:color="auto" w:fill="C6EFCE"/>
            <w:noWrap/>
          </w:tcPr>
          <w:p w14:paraId="0A11A897" w14:textId="77777777" w:rsidR="000E48CE" w:rsidRDefault="00FF4C4E">
            <w:pPr>
              <w:pStyle w:val="P68B1DB1-Normal13"/>
              <w:spacing w:after="0" w:line="240" w:lineRule="auto"/>
              <w:jc w:val="center"/>
              <w:rPr>
                <w:rFonts w:cs="Times New Roman"/>
                <w:noProof/>
              </w:rPr>
            </w:pPr>
            <w:r>
              <w:rPr>
                <w:noProof/>
              </w:rPr>
              <w:t>M</w:t>
            </w:r>
          </w:p>
        </w:tc>
        <w:tc>
          <w:tcPr>
            <w:tcW w:w="2694" w:type="dxa"/>
            <w:shd w:val="clear" w:color="auto" w:fill="C6EFCE"/>
            <w:noWrap/>
          </w:tcPr>
          <w:p w14:paraId="627D5FB4" w14:textId="77777777" w:rsidR="000E48CE" w:rsidRDefault="00FF4C4E">
            <w:pPr>
              <w:pStyle w:val="P68B1DB1-Normal13"/>
              <w:spacing w:after="0" w:line="240" w:lineRule="auto"/>
              <w:rPr>
                <w:rFonts w:cs="Times New Roman"/>
                <w:noProof/>
              </w:rPr>
            </w:pPr>
            <w:r>
              <w:rPr>
                <w:noProof/>
              </w:rPr>
              <w:t xml:space="preserve">Tekoälyä koskevien hankkeiden loppuun saattaminen </w:t>
            </w:r>
          </w:p>
        </w:tc>
        <w:tc>
          <w:tcPr>
            <w:tcW w:w="1275" w:type="dxa"/>
            <w:shd w:val="clear" w:color="auto" w:fill="C6EFCE"/>
            <w:noWrap/>
          </w:tcPr>
          <w:p w14:paraId="7ECD54BA" w14:textId="77777777" w:rsidR="000E48CE" w:rsidRDefault="00FF4C4E">
            <w:pPr>
              <w:pStyle w:val="P68B1DB1-Normal13"/>
              <w:spacing w:after="0" w:line="240" w:lineRule="auto"/>
              <w:jc w:val="center"/>
              <w:rPr>
                <w:rFonts w:cs="Times New Roman"/>
                <w:noProof/>
              </w:rPr>
            </w:pPr>
            <w:r>
              <w:rPr>
                <w:noProof/>
              </w:rPr>
              <w:t>Ilmoitus investointihankkeiden loppuun saattamisesta</w:t>
            </w:r>
          </w:p>
        </w:tc>
        <w:tc>
          <w:tcPr>
            <w:tcW w:w="851" w:type="dxa"/>
            <w:shd w:val="clear" w:color="auto" w:fill="C6EFCE"/>
            <w:noWrap/>
          </w:tcPr>
          <w:p w14:paraId="263869B2" w14:textId="77777777" w:rsidR="000E48CE" w:rsidRDefault="00FF4C4E">
            <w:pPr>
              <w:pStyle w:val="P68B1DB1-Normal13"/>
              <w:spacing w:after="0" w:line="240" w:lineRule="auto"/>
              <w:jc w:val="center"/>
              <w:rPr>
                <w:rFonts w:cs="Times New Roman"/>
                <w:noProof/>
              </w:rPr>
            </w:pPr>
            <w:r>
              <w:rPr>
                <w:noProof/>
              </w:rPr>
              <w:t xml:space="preserve"> </w:t>
            </w:r>
          </w:p>
        </w:tc>
        <w:tc>
          <w:tcPr>
            <w:tcW w:w="567" w:type="dxa"/>
            <w:shd w:val="clear" w:color="auto" w:fill="C6EFCE"/>
            <w:noWrap/>
          </w:tcPr>
          <w:p w14:paraId="5D3B8A88" w14:textId="77777777" w:rsidR="000E48CE" w:rsidRDefault="00FF4C4E">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503E7E70" w14:textId="77777777" w:rsidR="000E48CE" w:rsidRDefault="00FF4C4E">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08857245" w14:textId="77777777" w:rsidR="000E48CE" w:rsidRDefault="00FF4C4E">
            <w:pPr>
              <w:pStyle w:val="P68B1DB1-Normal13"/>
              <w:spacing w:after="0" w:line="240" w:lineRule="auto"/>
              <w:jc w:val="center"/>
              <w:rPr>
                <w:rFonts w:cs="Times New Roman"/>
                <w:noProof/>
              </w:rPr>
            </w:pPr>
            <w:r>
              <w:rPr>
                <w:noProof/>
              </w:rPr>
              <w:t>Q1</w:t>
            </w:r>
          </w:p>
        </w:tc>
        <w:tc>
          <w:tcPr>
            <w:tcW w:w="567" w:type="dxa"/>
            <w:shd w:val="clear" w:color="auto" w:fill="C6EFCE"/>
            <w:noWrap/>
          </w:tcPr>
          <w:p w14:paraId="027D83E8" w14:textId="77777777" w:rsidR="000E48CE" w:rsidRDefault="00FF4C4E">
            <w:pPr>
              <w:pStyle w:val="P68B1DB1-Normal13"/>
              <w:spacing w:after="0" w:line="240" w:lineRule="auto"/>
              <w:jc w:val="center"/>
              <w:rPr>
                <w:rFonts w:cs="Times New Roman"/>
                <w:noProof/>
              </w:rPr>
            </w:pPr>
            <w:r>
              <w:rPr>
                <w:noProof/>
              </w:rPr>
              <w:t>2026</w:t>
            </w:r>
          </w:p>
        </w:tc>
        <w:tc>
          <w:tcPr>
            <w:tcW w:w="5812" w:type="dxa"/>
            <w:shd w:val="clear" w:color="auto" w:fill="C6EFCE"/>
            <w:noWrap/>
          </w:tcPr>
          <w:p w14:paraId="243A0FA8" w14:textId="1655BA11" w:rsidR="000E48CE" w:rsidRDefault="00FF4C4E">
            <w:pPr>
              <w:pStyle w:val="P68B1DB1-Normal13"/>
              <w:spacing w:after="0" w:line="240" w:lineRule="auto"/>
              <w:rPr>
                <w:rFonts w:cs="Times New Roman"/>
                <w:noProof/>
              </w:rPr>
            </w:pPr>
            <w:r>
              <w:rPr>
                <w:noProof/>
              </w:rPr>
              <w:t xml:space="preserve">Tekoälyn tutkimus- ja kehittämishankkeiden loppuun saattaminen, Espanjan tekoälyosaamiskeskus, tekoälyä käsittelevä monialainen </w:t>
            </w:r>
            <w:r>
              <w:rPr>
                <w:noProof/>
              </w:rPr>
              <w:t>instituutti, tekoälyn huippuosaamisen verkosto, luonnonkielen teknologiasuunnitelma, akateemiset oppituolit, seurantaryhmät, luotettava tekoälysertifiointi ja -sinetti, tekoälyä koskeva suojasuunnitelma, tekoälytietoisuutta ja -luottamusta koskeva suunnite</w:t>
            </w:r>
            <w:r>
              <w:rPr>
                <w:noProof/>
              </w:rPr>
              <w:t>lma, kvanttilaskenta ja vihreitä algoritmeja koskeva kansallinen ohjelma tarjouspyynnöissä esitettyjen kriteerien mukaisesti (Milestone #251).</w:t>
            </w:r>
          </w:p>
        </w:tc>
      </w:tr>
      <w:tr w:rsidR="000E48CE" w14:paraId="092CBB81" w14:textId="77777777">
        <w:trPr>
          <w:trHeight w:val="309"/>
        </w:trPr>
        <w:tc>
          <w:tcPr>
            <w:tcW w:w="709" w:type="dxa"/>
            <w:shd w:val="clear" w:color="auto" w:fill="C6EFCE"/>
            <w:noWrap/>
          </w:tcPr>
          <w:p w14:paraId="1C5A6AE3" w14:textId="61F1C44E" w:rsidR="000E48CE" w:rsidRDefault="00FF4C4E">
            <w:pPr>
              <w:pStyle w:val="P68B1DB1-Normal13"/>
              <w:spacing w:after="0" w:line="240" w:lineRule="auto"/>
              <w:jc w:val="center"/>
              <w:rPr>
                <w:rFonts w:cs="Times New Roman"/>
                <w:noProof/>
              </w:rPr>
            </w:pPr>
            <w:r>
              <w:rPr>
                <w:noProof/>
              </w:rPr>
              <w:t>457</w:t>
            </w:r>
          </w:p>
        </w:tc>
        <w:tc>
          <w:tcPr>
            <w:tcW w:w="851" w:type="dxa"/>
            <w:shd w:val="clear" w:color="auto" w:fill="C6EFCE"/>
            <w:noWrap/>
          </w:tcPr>
          <w:p w14:paraId="53C3501E" w14:textId="77777777" w:rsidR="000E48CE" w:rsidRDefault="00FF4C4E">
            <w:pPr>
              <w:pStyle w:val="P68B1DB1-Normal13"/>
              <w:spacing w:after="0" w:line="240" w:lineRule="auto"/>
              <w:jc w:val="center"/>
              <w:rPr>
                <w:rFonts w:cs="Times New Roman"/>
                <w:noProof/>
              </w:rPr>
            </w:pPr>
            <w:r>
              <w:rPr>
                <w:noProof/>
              </w:rPr>
              <w:t>C16.R1</w:t>
            </w:r>
          </w:p>
        </w:tc>
        <w:tc>
          <w:tcPr>
            <w:tcW w:w="850" w:type="dxa"/>
            <w:shd w:val="clear" w:color="auto" w:fill="C6EFCE"/>
            <w:noWrap/>
          </w:tcPr>
          <w:p w14:paraId="06E57DF2" w14:textId="77777777" w:rsidR="000E48CE" w:rsidRDefault="00FF4C4E">
            <w:pPr>
              <w:pStyle w:val="P68B1DB1-Normal13"/>
              <w:jc w:val="center"/>
              <w:rPr>
                <w:rFonts w:cs="Times New Roman"/>
                <w:noProof/>
              </w:rPr>
            </w:pPr>
            <w:r>
              <w:rPr>
                <w:noProof/>
              </w:rPr>
              <w:t>T</w:t>
            </w:r>
          </w:p>
        </w:tc>
        <w:tc>
          <w:tcPr>
            <w:tcW w:w="2694" w:type="dxa"/>
            <w:shd w:val="clear" w:color="auto" w:fill="C6EFCE"/>
            <w:noWrap/>
          </w:tcPr>
          <w:p w14:paraId="2D1D67BC" w14:textId="77777777" w:rsidR="000E48CE" w:rsidRDefault="00FF4C4E">
            <w:pPr>
              <w:pStyle w:val="P68B1DB1-Normal13"/>
              <w:spacing w:after="0" w:line="240" w:lineRule="auto"/>
              <w:rPr>
                <w:rFonts w:cs="Times New Roman"/>
                <w:noProof/>
              </w:rPr>
            </w:pPr>
            <w:r>
              <w:rPr>
                <w:noProof/>
              </w:rPr>
              <w:t>PERTE-SIRU. Kvanttiekosysteemin vahvistaminen.</w:t>
            </w:r>
          </w:p>
        </w:tc>
        <w:tc>
          <w:tcPr>
            <w:tcW w:w="1275" w:type="dxa"/>
            <w:shd w:val="clear" w:color="auto" w:fill="C6EFCE"/>
            <w:noWrap/>
          </w:tcPr>
          <w:p w14:paraId="5C216153" w14:textId="77777777" w:rsidR="000E48CE" w:rsidRDefault="000E48CE">
            <w:pPr>
              <w:spacing w:after="0" w:line="240" w:lineRule="auto"/>
              <w:jc w:val="center"/>
              <w:rPr>
                <w:rFonts w:ascii="Times New Roman" w:hAnsi="Times New Roman" w:cs="Times New Roman"/>
                <w:noProof/>
                <w:sz w:val="18"/>
              </w:rPr>
            </w:pPr>
          </w:p>
        </w:tc>
        <w:tc>
          <w:tcPr>
            <w:tcW w:w="851" w:type="dxa"/>
            <w:shd w:val="clear" w:color="auto" w:fill="C6EFCE"/>
            <w:noWrap/>
          </w:tcPr>
          <w:p w14:paraId="079F98AE" w14:textId="77777777" w:rsidR="000E48CE" w:rsidRDefault="00FF4C4E">
            <w:pPr>
              <w:pStyle w:val="P68B1DB1-Normal13"/>
              <w:spacing w:after="0" w:line="240" w:lineRule="auto"/>
              <w:jc w:val="center"/>
              <w:rPr>
                <w:rFonts w:cs="Times New Roman"/>
                <w:noProof/>
              </w:rPr>
            </w:pPr>
            <w:r>
              <w:rPr>
                <w:noProof/>
              </w:rPr>
              <w:t>Miljoonaa euroa</w:t>
            </w:r>
          </w:p>
        </w:tc>
        <w:tc>
          <w:tcPr>
            <w:tcW w:w="567" w:type="dxa"/>
            <w:shd w:val="clear" w:color="auto" w:fill="C6EFCE"/>
            <w:noWrap/>
          </w:tcPr>
          <w:p w14:paraId="10B0F16D" w14:textId="77777777" w:rsidR="000E48CE" w:rsidRDefault="00FF4C4E">
            <w:pPr>
              <w:pStyle w:val="P68B1DB1-Normal13"/>
              <w:spacing w:after="0" w:line="240" w:lineRule="auto"/>
              <w:jc w:val="center"/>
              <w:rPr>
                <w:rFonts w:cs="Times New Roman"/>
                <w:noProof/>
              </w:rPr>
            </w:pPr>
            <w:r>
              <w:rPr>
                <w:noProof/>
              </w:rPr>
              <w:t>0</w:t>
            </w:r>
          </w:p>
        </w:tc>
        <w:tc>
          <w:tcPr>
            <w:tcW w:w="567" w:type="dxa"/>
            <w:shd w:val="clear" w:color="auto" w:fill="C6EFCE"/>
            <w:noWrap/>
          </w:tcPr>
          <w:p w14:paraId="6F2AAE7F" w14:textId="77777777" w:rsidR="000E48CE" w:rsidRDefault="00FF4C4E">
            <w:pPr>
              <w:pStyle w:val="P68B1DB1-Normal13"/>
              <w:spacing w:after="0" w:line="240" w:lineRule="auto"/>
              <w:jc w:val="center"/>
              <w:rPr>
                <w:rFonts w:cs="Times New Roman"/>
                <w:noProof/>
              </w:rPr>
            </w:pPr>
            <w:r>
              <w:rPr>
                <w:noProof/>
              </w:rPr>
              <w:t>36</w:t>
            </w:r>
          </w:p>
        </w:tc>
        <w:tc>
          <w:tcPr>
            <w:tcW w:w="567" w:type="dxa"/>
            <w:shd w:val="clear" w:color="auto" w:fill="C6EFCE"/>
            <w:noWrap/>
          </w:tcPr>
          <w:p w14:paraId="53753E6A" w14:textId="7777777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53E84126" w14:textId="77777777" w:rsidR="000E48CE" w:rsidRDefault="00FF4C4E">
            <w:pPr>
              <w:pStyle w:val="P68B1DB1-Normal13"/>
              <w:spacing w:after="0" w:line="240" w:lineRule="auto"/>
              <w:jc w:val="center"/>
              <w:rPr>
                <w:rFonts w:cs="Times New Roman"/>
                <w:noProof/>
              </w:rPr>
            </w:pPr>
            <w:r>
              <w:rPr>
                <w:noProof/>
              </w:rPr>
              <w:t>2026</w:t>
            </w:r>
          </w:p>
        </w:tc>
        <w:tc>
          <w:tcPr>
            <w:tcW w:w="5812" w:type="dxa"/>
            <w:shd w:val="clear" w:color="auto" w:fill="C6EFCE"/>
            <w:noWrap/>
          </w:tcPr>
          <w:p w14:paraId="10182414" w14:textId="783A949A" w:rsidR="000E48CE" w:rsidRDefault="00FF4C4E">
            <w:pPr>
              <w:pStyle w:val="P68B1DB1-Normal13"/>
              <w:spacing w:after="0" w:line="240" w:lineRule="auto"/>
              <w:rPr>
                <w:rFonts w:cs="Times New Roman"/>
                <w:noProof/>
              </w:rPr>
            </w:pPr>
            <w:r>
              <w:rPr>
                <w:noProof/>
              </w:rPr>
              <w:t xml:space="preserve">Vähintään 36000000 </w:t>
            </w:r>
            <w:r>
              <w:rPr>
                <w:noProof/>
              </w:rPr>
              <w:t>euron maksu uuden sukupolven kvanttiteknologioiden alan T &amp; K &amp; I-hankkeisiin, mukaan lukien tuki kvanttilaitteistojen, ohjelmistojen ja kvanttiväliohjelmistojen kehittämiseen, vaihtoehtoisten kuutioiden ja niihin liittyvien tarvittavien pilottituotantolin</w:t>
            </w:r>
            <w:r>
              <w:rPr>
                <w:noProof/>
              </w:rPr>
              <w:t>jojen kehittämiseen, kvanttiviestintään ja salaustekniikkaan, kvanttiinternetteknologiaan, metrologiaan ja kvanttianturiin.</w:t>
            </w:r>
          </w:p>
        </w:tc>
      </w:tr>
    </w:tbl>
    <w:p w14:paraId="66F97877" w14:textId="77777777" w:rsidR="000E48CE" w:rsidRDefault="000E48CE">
      <w:pPr>
        <w:spacing w:before="120" w:after="120" w:line="240" w:lineRule="auto"/>
        <w:jc w:val="both"/>
        <w:rPr>
          <w:rFonts w:ascii="Times New Roman" w:hAnsi="Times New Roman" w:cs="Times New Roman"/>
          <w:b/>
          <w:noProof/>
          <w:sz w:val="24"/>
          <w:u w:val="single"/>
        </w:rPr>
      </w:pPr>
    </w:p>
    <w:p w14:paraId="0B8F6066" w14:textId="77777777" w:rsidR="000E48CE" w:rsidRDefault="000E48CE">
      <w:pPr>
        <w:spacing w:before="120" w:after="120" w:line="240" w:lineRule="auto"/>
        <w:ind w:left="709"/>
        <w:jc w:val="both"/>
        <w:rPr>
          <w:rFonts w:ascii="Times New Roman" w:hAnsi="Times New Roman" w:cs="Times New Roman"/>
          <w:noProof/>
          <w:sz w:val="24"/>
        </w:rPr>
        <w:sectPr w:rsidR="000E48CE" w:rsidSect="00EB7CC8">
          <w:headerReference w:type="even" r:id="rId342"/>
          <w:headerReference w:type="default" r:id="rId343"/>
          <w:footerReference w:type="even" r:id="rId344"/>
          <w:footerReference w:type="default" r:id="rId345"/>
          <w:headerReference w:type="first" r:id="rId346"/>
          <w:footerReference w:type="first" r:id="rId347"/>
          <w:pgSz w:w="16839" w:h="11907" w:orient="landscape"/>
          <w:pgMar w:top="1417" w:right="1134" w:bottom="1417" w:left="1134" w:header="709" w:footer="709" w:gutter="0"/>
          <w:cols w:space="720"/>
          <w:docGrid w:linePitch="360"/>
        </w:sectPr>
      </w:pPr>
    </w:p>
    <w:p w14:paraId="1671E380" w14:textId="77777777" w:rsidR="000E48CE" w:rsidRDefault="00FF4C4E">
      <w:pPr>
        <w:pStyle w:val="P68B1DB1-Heading12"/>
        <w:rPr>
          <w:rFonts w:cs="Times New Roman"/>
          <w:noProof/>
        </w:rPr>
      </w:pPr>
      <w:r>
        <w:rPr>
          <w:noProof/>
        </w:rPr>
        <w:t xml:space="preserve">Q. OSA 17: Tiede, teknologia ja innovointi </w:t>
      </w:r>
    </w:p>
    <w:p w14:paraId="2A31730D" w14:textId="77777777" w:rsidR="000E48CE" w:rsidRDefault="00FF4C4E">
      <w:pPr>
        <w:pStyle w:val="P68B1DB1-Normal4"/>
        <w:spacing w:before="120" w:after="120" w:line="240" w:lineRule="auto"/>
        <w:jc w:val="both"/>
        <w:rPr>
          <w:rFonts w:cs="Times New Roman"/>
          <w:noProof/>
        </w:rPr>
      </w:pPr>
      <w:r>
        <w:rPr>
          <w:noProof/>
        </w:rPr>
        <w:t>Espanjan tiede-, teknologia- ja innovointistrategiassa vuosiksi 2021–2027 ennustetaan, että investoinnit tutkimukseen, kehittämiseen ja innovointiin kasvavat merkittävästi Espanjassa 2,12 prosenttiin suhteessa BKT:hen vuonna 2027. Espanjan elpymis- ja pala</w:t>
      </w:r>
      <w:r>
        <w:rPr>
          <w:noProof/>
        </w:rPr>
        <w:t xml:space="preserve">utumissuunnitelman tämän osion päätavoitteena on </w:t>
      </w:r>
      <w:r>
        <w:rPr>
          <w:noProof/>
          <w:shd w:val="clear" w:color="auto" w:fill="FFFFFF"/>
        </w:rPr>
        <w:t xml:space="preserve">parantaa Espanjan tiede-, teknologia- ja innovointijärjestelmää </w:t>
      </w:r>
      <w:r>
        <w:rPr>
          <w:noProof/>
        </w:rPr>
        <w:t>uudistamalla sen hallintoa, parantamalla toimijoiden välistä koordinointia, tehostamalla sen vaikuttavuutta ja nopeuttamalla T &amp; K &amp; I-investoi</w:t>
      </w:r>
      <w:r>
        <w:rPr>
          <w:noProof/>
        </w:rPr>
        <w:t xml:space="preserve">nteja seuraavilla osatekijöillä: </w:t>
      </w:r>
    </w:p>
    <w:p w14:paraId="4617937D" w14:textId="77777777" w:rsidR="000E48CE" w:rsidRDefault="00FF4C4E">
      <w:pPr>
        <w:pStyle w:val="P68B1DB1-Normal4"/>
        <w:numPr>
          <w:ilvl w:val="0"/>
          <w:numId w:val="63"/>
        </w:numPr>
        <w:spacing w:before="120" w:after="120" w:line="240" w:lineRule="auto"/>
        <w:jc w:val="both"/>
        <w:rPr>
          <w:rFonts w:cs="Times New Roman"/>
          <w:noProof/>
        </w:rPr>
      </w:pPr>
      <w:r>
        <w:rPr>
          <w:noProof/>
        </w:rPr>
        <w:t xml:space="preserve">Sellaisen selkeän ja ennakoitavan sääntelykehyksen kehittäminen, jolla parannetaan alan hallintoa, tehostetaan julkista T &amp; K &amp; I-politiikkaa, parannetaan tietämyksen siirtoa ja edistetään T &amp; K &amp; I-investointeja; </w:t>
      </w:r>
    </w:p>
    <w:p w14:paraId="1181ED1E" w14:textId="77777777" w:rsidR="000E48CE" w:rsidRDefault="00FF4C4E">
      <w:pPr>
        <w:pStyle w:val="P68B1DB1-Normal4"/>
        <w:numPr>
          <w:ilvl w:val="0"/>
          <w:numId w:val="63"/>
        </w:numPr>
        <w:spacing w:before="120" w:after="120" w:line="240" w:lineRule="auto"/>
        <w:jc w:val="both"/>
        <w:rPr>
          <w:rFonts w:cs="Times New Roman"/>
          <w:noProof/>
        </w:rPr>
      </w:pPr>
      <w:r>
        <w:rPr>
          <w:noProof/>
        </w:rPr>
        <w:t>investo</w:t>
      </w:r>
      <w:r>
        <w:rPr>
          <w:noProof/>
        </w:rPr>
        <w:t xml:space="preserve">innit infrastruktuuriin, laitteisiin ja inhimilliseen pääomaan; </w:t>
      </w:r>
    </w:p>
    <w:p w14:paraId="40724F0C" w14:textId="77777777" w:rsidR="000E48CE" w:rsidRDefault="00FF4C4E">
      <w:pPr>
        <w:pStyle w:val="P68B1DB1-Normal4"/>
        <w:numPr>
          <w:ilvl w:val="0"/>
          <w:numId w:val="63"/>
        </w:numPr>
        <w:spacing w:before="120" w:after="120" w:line="240" w:lineRule="auto"/>
        <w:jc w:val="both"/>
        <w:rPr>
          <w:rFonts w:cs="Times New Roman"/>
          <w:noProof/>
        </w:rPr>
      </w:pPr>
      <w:r>
        <w:rPr>
          <w:noProof/>
        </w:rPr>
        <w:t xml:space="preserve">investoinnit tietämyksen siirtoon, alueellisiin T &amp; K &amp; I-hankkeisiin, kansallisiin T &amp; K &amp; I-hankkeisiin sekä julkisen ja yksityisen sektorin kumppanuuksiin; ja </w:t>
      </w:r>
    </w:p>
    <w:p w14:paraId="7C4F4D35" w14:textId="77777777" w:rsidR="000E48CE" w:rsidRDefault="00FF4C4E">
      <w:pPr>
        <w:pStyle w:val="P68B1DB1-Normal4"/>
        <w:numPr>
          <w:ilvl w:val="0"/>
          <w:numId w:val="63"/>
        </w:numPr>
        <w:spacing w:before="120" w:after="120" w:line="240" w:lineRule="auto"/>
        <w:jc w:val="both"/>
        <w:rPr>
          <w:rFonts w:cs="Times New Roman"/>
          <w:noProof/>
        </w:rPr>
      </w:pPr>
      <w:r>
        <w:rPr>
          <w:noProof/>
        </w:rPr>
        <w:t>investoinnit T &amp; K &amp; I-toimi</w:t>
      </w:r>
      <w:r>
        <w:rPr>
          <w:noProof/>
        </w:rPr>
        <w:t xml:space="preserve">ntaan strategisilla aloilla, joita ovat terveys, ympäristö, ilmastonmuutos ja energia, mikroelektroniikka ja puolijohteet, kestävä autoteollisuus sekä ilmailu- ja avaruusala. </w:t>
      </w:r>
    </w:p>
    <w:p w14:paraId="0951DFE5" w14:textId="50457BD3" w:rsidR="000E48CE" w:rsidRDefault="00FF4C4E">
      <w:pPr>
        <w:pStyle w:val="P68B1DB1-Normal4"/>
        <w:spacing w:before="120" w:after="0" w:line="240" w:lineRule="auto"/>
        <w:jc w:val="both"/>
        <w:rPr>
          <w:rFonts w:cs="Times New Roman"/>
          <w:noProof/>
        </w:rPr>
      </w:pPr>
      <w:r>
        <w:rPr>
          <w:noProof/>
        </w:rPr>
        <w:t>Tässä osassa käsitellään maakohtaisia suosituksia innovointiin ja energiatehokku</w:t>
      </w:r>
      <w:r>
        <w:rPr>
          <w:noProof/>
        </w:rPr>
        <w:t xml:space="preserve">uteen tehtävien investointien edistämisestä sekä tutkimusta ja innovointia tukevien politiikkojen vaikuttavuuden lisäämisestä (maakohtainen suositus 3 2019), </w:t>
      </w:r>
      <w:r>
        <w:rPr>
          <w:noProof/>
          <w:shd w:val="clear" w:color="auto" w:fill="FFFFFF"/>
        </w:rPr>
        <w:t xml:space="preserve">julkisten ja yksityisten investointien sekä tutkimuksen ja innovoinnin edistämisestä ( </w:t>
      </w:r>
      <w:r>
        <w:rPr>
          <w:noProof/>
        </w:rPr>
        <w:t>maakohtaine</w:t>
      </w:r>
      <w:r>
        <w:rPr>
          <w:noProof/>
        </w:rPr>
        <w:t xml:space="preserve">n suositus 3 2020), </w:t>
      </w:r>
      <w:r>
        <w:rPr>
          <w:noProof/>
          <w:shd w:val="clear" w:color="auto" w:fill="FFFFFF"/>
        </w:rPr>
        <w:t xml:space="preserve">hallinnon kaikkien tasojen koordinoinnin parantamisesta (maakohtainen </w:t>
      </w:r>
      <w:r>
        <w:rPr>
          <w:noProof/>
        </w:rPr>
        <w:t>suositus 4 2020) ja investointien keskittämisestä vihreään siirtymään ja digitaaliseen muutokseen, erityisesti tutkimuksen ja innovoinnin edistämiseen (maakohtainen s</w:t>
      </w:r>
      <w:r>
        <w:rPr>
          <w:noProof/>
        </w:rPr>
        <w:t>uositus 3 2021).</w:t>
      </w:r>
    </w:p>
    <w:p w14:paraId="25070E90" w14:textId="77777777" w:rsidR="000E48CE" w:rsidRDefault="00FF4C4E">
      <w:pPr>
        <w:pStyle w:val="P68B1DB1-Normal4"/>
        <w:spacing w:before="120" w:after="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w:t>
      </w:r>
      <w:r>
        <w:rPr>
          <w:noProof/>
        </w:rPr>
        <w:t xml:space="preserve">eknisten ohjeiden (2021/C58/01) mukaiset elpymis- ja palautumissuunnitelmassa esitettyjen toimenpiteiden kuvaus ja lieventävät toimet. </w:t>
      </w:r>
    </w:p>
    <w:p w14:paraId="1AC670E6" w14:textId="77777777" w:rsidR="000E48CE" w:rsidRDefault="00FF4C4E">
      <w:pPr>
        <w:pStyle w:val="P68B1DB1-Normal5"/>
        <w:spacing w:before="120" w:after="120" w:line="240" w:lineRule="auto"/>
        <w:ind w:left="709"/>
        <w:jc w:val="both"/>
        <w:rPr>
          <w:rFonts w:cs="Times New Roman"/>
          <w:i/>
          <w:noProof/>
        </w:rPr>
      </w:pPr>
      <w:r>
        <w:rPr>
          <w:noProof/>
        </w:rPr>
        <w:t xml:space="preserve">Q.1. </w:t>
      </w:r>
      <w:r>
        <w:rPr>
          <w:noProof/>
        </w:rPr>
        <w:tab/>
        <w:t>Kuvaus uudistuksista ja investoinneista, joita rahoitetaan rahoitustuella, jota ei makseta takaisin</w:t>
      </w:r>
    </w:p>
    <w:p w14:paraId="49E5DF14" w14:textId="77777777" w:rsidR="000E48CE" w:rsidRDefault="00FF4C4E">
      <w:pPr>
        <w:pStyle w:val="P68B1DB1-Normal6"/>
        <w:spacing w:before="120" w:after="120" w:line="240" w:lineRule="auto"/>
        <w:jc w:val="both"/>
        <w:rPr>
          <w:rFonts w:cs="Times New Roman"/>
          <w:noProof/>
        </w:rPr>
      </w:pPr>
      <w:r>
        <w:rPr>
          <w:noProof/>
        </w:rPr>
        <w:t>Uudistus 1 (C1</w:t>
      </w:r>
      <w:r>
        <w:rPr>
          <w:noProof/>
        </w:rPr>
        <w:t xml:space="preserve">7.R1): Tiede-, teknologia- ja innovaatiolain uudistus </w:t>
      </w:r>
    </w:p>
    <w:p w14:paraId="12ABCC99" w14:textId="77777777" w:rsidR="000E48CE" w:rsidRDefault="00FF4C4E">
      <w:pPr>
        <w:pStyle w:val="P68B1DB1-Normal4"/>
        <w:spacing w:before="120" w:after="120" w:line="240" w:lineRule="auto"/>
        <w:jc w:val="both"/>
        <w:rPr>
          <w:rFonts w:cs="Times New Roman"/>
          <w:noProof/>
        </w:rPr>
      </w:pPr>
      <w:r>
        <w:rPr>
          <w:noProof/>
        </w:rPr>
        <w:t>Toimenpiteen tavoitteena on vahvistaa tieteen, teknologian ja innovoinnin sääntelykehystä, jotta voidaan tehostaa alan hallintoa ja koordinointia, luoda houkutteleva tieteellinen ura ja parantaa tietäm</w:t>
      </w:r>
      <w:r>
        <w:rPr>
          <w:noProof/>
        </w:rPr>
        <w:t>yksen siirtoa tutkimuksesta soveltavaan tuotteeseen/palveluun yhteiskunnan hyväksi. Espanjan on erityisesti päivitettävä tiedettä, teknologiaa ja innovointia koskevaa lakia 14/2011, parannettava tiede-, tutkimus- ja innovointipolitiikkojen koordinointia, p</w:t>
      </w:r>
      <w:r>
        <w:rPr>
          <w:noProof/>
        </w:rPr>
        <w:t xml:space="preserve">arannettava Espanjan tiedeteknologia- ja innovointijärjestelmän hallinnointia ja koordinointia, otettava käyttöön uusi tieteellinen ura ja tehostettava tietämyksen siirtoa. </w:t>
      </w:r>
    </w:p>
    <w:p w14:paraId="63D4C440" w14:textId="77777777" w:rsidR="000E48CE" w:rsidRDefault="00FF4C4E">
      <w:pPr>
        <w:pStyle w:val="P68B1DB1-Normal4"/>
        <w:spacing w:before="120" w:after="120" w:line="240" w:lineRule="auto"/>
        <w:jc w:val="both"/>
        <w:rPr>
          <w:rFonts w:cs="Times New Roman"/>
          <w:noProof/>
        </w:rPr>
      </w:pPr>
      <w:r>
        <w:rPr>
          <w:noProof/>
        </w:rPr>
        <w:t>Tämä toimenpide liittyy jäljempänä kuvattuihin kohtiin C17.I1, C17.I4 ja C17.I5 si</w:t>
      </w:r>
      <w:r>
        <w:rPr>
          <w:noProof/>
        </w:rPr>
        <w:t>sältyviin investointeihin.</w:t>
      </w:r>
    </w:p>
    <w:p w14:paraId="7479ADB4" w14:textId="77777777" w:rsidR="000E48CE" w:rsidRDefault="00FF4C4E">
      <w:pPr>
        <w:pStyle w:val="P68B1DB1-Normal4"/>
        <w:autoSpaceDE w:val="0"/>
        <w:autoSpaceDN w:val="0"/>
        <w:spacing w:before="40" w:after="40"/>
        <w:rPr>
          <w:rFonts w:cs="Times New Roman"/>
          <w:noProof/>
        </w:rPr>
      </w:pPr>
      <w:r>
        <w:rPr>
          <w:noProof/>
        </w:rPr>
        <w:t xml:space="preserve">Toimenpiteen täytäntöönpano on saatettava päätökseen viimeistään 30 päivänä kesäkuuta 2022. </w:t>
      </w:r>
    </w:p>
    <w:p w14:paraId="7B09C627" w14:textId="77777777" w:rsidR="000E48CE" w:rsidRDefault="00FF4C4E">
      <w:pPr>
        <w:pStyle w:val="P68B1DB1-Normal6"/>
        <w:spacing w:before="120" w:after="120" w:line="240" w:lineRule="auto"/>
        <w:jc w:val="both"/>
        <w:rPr>
          <w:rFonts w:cs="Times New Roman"/>
          <w:noProof/>
        </w:rPr>
      </w:pPr>
      <w:r>
        <w:rPr>
          <w:noProof/>
        </w:rPr>
        <w:t xml:space="preserve">Uudistus 2 (C17.R2): </w:t>
      </w:r>
      <w:bookmarkStart w:id="51" w:name="_Hlk60056026"/>
      <w:r>
        <w:rPr>
          <w:noProof/>
        </w:rPr>
        <w:t>Espanjan tiede-, teknologia- ja innovaatiostrategia 2021–2027</w:t>
      </w:r>
      <w:bookmarkEnd w:id="51"/>
      <w:r>
        <w:rPr>
          <w:noProof/>
        </w:rPr>
        <w:t xml:space="preserve"> ja tieteen, teknologian ja innovoinnin tietojärjestelmän</w:t>
      </w:r>
      <w:r>
        <w:rPr>
          <w:b/>
          <w:noProof/>
        </w:rPr>
        <w:t xml:space="preserve"> </w:t>
      </w:r>
      <w:r>
        <w:rPr>
          <w:noProof/>
        </w:rPr>
        <w:t>kehittynyt kehittäminen</w:t>
      </w:r>
    </w:p>
    <w:p w14:paraId="4103B86F" w14:textId="77777777" w:rsidR="000E48CE" w:rsidRDefault="00FF4C4E">
      <w:pPr>
        <w:pStyle w:val="P68B1DB1-Normal4"/>
        <w:spacing w:before="120" w:after="120" w:line="240" w:lineRule="auto"/>
        <w:jc w:val="both"/>
        <w:rPr>
          <w:rFonts w:cs="Times New Roman"/>
          <w:noProof/>
        </w:rPr>
      </w:pPr>
      <w:r>
        <w:rPr>
          <w:noProof/>
        </w:rPr>
        <w:t>Toimenpiteeseen sisältyy Espanjan hallituksen hyväksymä Espanjan tiede-, teknologia- ja innovaatiostrategia vuosiksi 2021–2027. Strategiassa vahvistetaan alan yleiset tavoitteet vuosiksi 2021–2027. Tietämyksen siirron tehostamiseksi strategiassa on yhdiste</w:t>
      </w:r>
      <w:r>
        <w:rPr>
          <w:noProof/>
        </w:rPr>
        <w:t>tty aiemmin erilliset tiede- ja teknologiastrategiat ja innovaatiostrategiat. Strategia tarjoaa puitteet sekä kansallisille että alueellisille T &amp; K &amp; I-suunnitelmille. Tätä varten Espanja on hyväksynyt Euroopan aluekehitysrahaston (EAKR) puitteissa Espanj</w:t>
      </w:r>
      <w:r>
        <w:rPr>
          <w:noProof/>
        </w:rPr>
        <w:t xml:space="preserve">an älykkään erikoistumisen strategiaa koskevan strategian, joka tarjoaa rakenteen tuleville alueellisille älykkään erikoistumisen strategioille. </w:t>
      </w:r>
    </w:p>
    <w:p w14:paraId="46C75450" w14:textId="19D52536" w:rsidR="000E48CE" w:rsidRDefault="00FF4C4E">
      <w:pPr>
        <w:pStyle w:val="P68B1DB1-Normal4"/>
        <w:spacing w:before="120" w:after="120" w:line="240" w:lineRule="auto"/>
        <w:jc w:val="both"/>
        <w:rPr>
          <w:rFonts w:cs="Times New Roman"/>
          <w:noProof/>
        </w:rPr>
      </w:pPr>
      <w:r>
        <w:rPr>
          <w:noProof/>
        </w:rPr>
        <w:t>Tiede-, teknologia- ja innovaatiopolitiikan neuvosto, jonka puheenjohtajana toimii tiede- ja innovaatioministe</w:t>
      </w:r>
      <w:r>
        <w:rPr>
          <w:noProof/>
        </w:rPr>
        <w:t>riö ja jossa edustivat keskeisiä ministeriöitä ja alueita, kehitti strategian. Strategiasta on kuultu keskeisiä sidosryhmiä, kuten yksityistä sektoria, julkisia tutkimusorganisaatioita ja kansalaisyhteiskuntaa. Strategian seurantaa ja arviointia varten per</w:t>
      </w:r>
      <w:r>
        <w:rPr>
          <w:noProof/>
        </w:rPr>
        <w:t xml:space="preserve">ustettiin komitea, jossa ovat edustettuina valtio, alueet, talous- ja yhteiskuntaelämän toimijat, tiedeyhteisö ja innovatiivinen yhteisö sekä kansalaisyhteiskunta. </w:t>
      </w:r>
    </w:p>
    <w:p w14:paraId="67FA60AB" w14:textId="77777777" w:rsidR="000E48CE" w:rsidRDefault="00FF4C4E">
      <w:pPr>
        <w:pStyle w:val="P68B1DB1-Normal4"/>
        <w:spacing w:before="120" w:after="120" w:line="240" w:lineRule="auto"/>
        <w:jc w:val="both"/>
        <w:rPr>
          <w:rFonts w:cs="Times New Roman"/>
          <w:noProof/>
        </w:rPr>
      </w:pPr>
      <w:r>
        <w:rPr>
          <w:noProof/>
        </w:rPr>
        <w:t>Strategiassa on esitettävä vuotuiset seurantakertomukset, väliarviointi (joulukuuhun 2023 m</w:t>
      </w:r>
      <w:r>
        <w:rPr>
          <w:noProof/>
        </w:rPr>
        <w:t>ennessä) ja strategian loppuarviointi on julkistettava. Arvioinneissa tarkastellaan myös edistymistä Espanjalle annettujen tutkimus- ja kehitystyötä koskevien maakohtaisten suositusten noudattamisessa. Lisäksi tällä toimenpiteellä pyritään erityisesti para</w:t>
      </w:r>
      <w:r>
        <w:rPr>
          <w:noProof/>
        </w:rPr>
        <w:t>ntamaan tieteen, teknologian ja innovoinnin tietojärjestelmää sekä parantamaan tietojen keruuta ja analysointia Espanjan tiede-, teknologia- ja innovaatiostrategian seurantaa varten.</w:t>
      </w:r>
    </w:p>
    <w:p w14:paraId="0B5B77A3" w14:textId="77777777" w:rsidR="000E48CE" w:rsidRDefault="00FF4C4E">
      <w:pPr>
        <w:pStyle w:val="P68B1DB1-Normal4"/>
        <w:autoSpaceDE w:val="0"/>
        <w:autoSpaceDN w:val="0"/>
        <w:spacing w:before="40" w:after="40"/>
        <w:rPr>
          <w:rFonts w:cs="Times New Roman"/>
          <w:noProof/>
        </w:rPr>
      </w:pPr>
      <w:r>
        <w:rPr>
          <w:noProof/>
        </w:rPr>
        <w:t>Toimenpiteen täytäntöönpano on saatettava päätökseen viimeistään 31 päivä</w:t>
      </w:r>
      <w:r>
        <w:rPr>
          <w:noProof/>
        </w:rPr>
        <w:t xml:space="preserve">nä joulukuuta 2023. </w:t>
      </w:r>
    </w:p>
    <w:p w14:paraId="4F0950D3" w14:textId="77777777" w:rsidR="000E48CE" w:rsidRDefault="00FF4C4E">
      <w:pPr>
        <w:pStyle w:val="P68B1DB1-Normal6"/>
        <w:spacing w:before="120" w:after="120" w:line="240" w:lineRule="auto"/>
        <w:jc w:val="both"/>
        <w:rPr>
          <w:rFonts w:cs="Times New Roman"/>
          <w:noProof/>
        </w:rPr>
      </w:pPr>
      <w:r>
        <w:rPr>
          <w:noProof/>
        </w:rPr>
        <w:t xml:space="preserve">Uudistus 3 (C17.R3): Julkisten tutkimusorganisaatioiden </w:t>
      </w:r>
      <w:bookmarkStart w:id="52" w:name="_Hlk60056040"/>
      <w:r>
        <w:rPr>
          <w:noProof/>
        </w:rPr>
        <w:t xml:space="preserve">uudelleenorganisointi </w:t>
      </w:r>
      <w:bookmarkEnd w:id="52"/>
      <w:r>
        <w:rPr>
          <w:noProof/>
        </w:rPr>
        <w:t>ja niiden rakenteen ja toiminnan järkeistäminen</w:t>
      </w:r>
    </w:p>
    <w:p w14:paraId="336E99BA" w14:textId="77777777" w:rsidR="000E48CE" w:rsidRDefault="00FF4C4E">
      <w:pPr>
        <w:pStyle w:val="P68B1DB1-Normal4"/>
        <w:spacing w:before="120" w:after="120" w:line="240" w:lineRule="auto"/>
        <w:jc w:val="both"/>
        <w:rPr>
          <w:rFonts w:cs="Times New Roman"/>
          <w:noProof/>
        </w:rPr>
      </w:pPr>
      <w:r>
        <w:rPr>
          <w:noProof/>
        </w:rPr>
        <w:t>Tämän toimenpiteen tavoitteena on lisätä julkisten tutkimusorganisaatioiden tehokkuutta haasteiden analysoinn</w:t>
      </w:r>
      <w:r>
        <w:rPr>
          <w:noProof/>
        </w:rPr>
        <w:t>in jälkeen organisoimalla uudelleen tutkimusorganisaatiot ja niiden hallintorakenne. Vuoden 2021 alussa asiantuntijakomitea teki analyysin tutkimusorganisaatioista ja totesi, että suuremmilla, riippumattomilla ja joustavilla tutkimusvirastoilla on paremmat</w:t>
      </w:r>
      <w:r>
        <w:rPr>
          <w:noProof/>
        </w:rPr>
        <w:t xml:space="preserve"> rakenteet kilpailla. </w:t>
      </w:r>
    </w:p>
    <w:p w14:paraId="350C3DB4" w14:textId="21014EE7" w:rsidR="000E48CE" w:rsidRDefault="00FF4C4E">
      <w:pPr>
        <w:pStyle w:val="P68B1DB1-Normal4"/>
        <w:spacing w:before="120" w:after="120" w:line="240" w:lineRule="auto"/>
        <w:jc w:val="both"/>
        <w:rPr>
          <w:rFonts w:cs="Times New Roman"/>
          <w:noProof/>
        </w:rPr>
      </w:pPr>
      <w:r>
        <w:rPr>
          <w:noProof/>
        </w:rPr>
        <w:t>Tämän analyysin perusteella Espanja sisällyttää Espanjan kansalliseen tutkimusneuvostoon (</w:t>
      </w:r>
      <w:r>
        <w:rPr>
          <w:i/>
          <w:noProof/>
        </w:rPr>
        <w:t>Centro Superior de Investigaciones Científicas</w:t>
      </w:r>
      <w:r>
        <w:rPr>
          <w:noProof/>
        </w:rPr>
        <w:t>, CSIC) kolme tutkimusorganisaatiota: Maatalous- ja elintarviketutkimuslaitos (</w:t>
      </w:r>
      <w:r>
        <w:rPr>
          <w:i/>
          <w:noProof/>
        </w:rPr>
        <w:t>Instituto Nacional</w:t>
      </w:r>
      <w:r>
        <w:rPr>
          <w:i/>
          <w:noProof/>
        </w:rPr>
        <w:t xml:space="preserve"> de Investigación y Tecnología Agraria</w:t>
      </w:r>
      <w:r>
        <w:rPr>
          <w:noProof/>
        </w:rPr>
        <w:t>, INIA), Espanjan merentutkimuslaitos (</w:t>
      </w:r>
      <w:r>
        <w:rPr>
          <w:i/>
          <w:noProof/>
        </w:rPr>
        <w:t>Instituto Español de Oceanografía</w:t>
      </w:r>
      <w:r>
        <w:rPr>
          <w:noProof/>
        </w:rPr>
        <w:t>,</w:t>
      </w:r>
      <w:r>
        <w:rPr>
          <w:noProof/>
          <w:shd w:val="clear" w:color="auto" w:fill="E6E6E6"/>
        </w:rPr>
        <w:t xml:space="preserve"> </w:t>
      </w:r>
      <w:r>
        <w:rPr>
          <w:noProof/>
        </w:rPr>
        <w:t>IEO) ja Espanjan geologinen ja kaivoslaitos (</w:t>
      </w:r>
      <w:r>
        <w:rPr>
          <w:i/>
          <w:noProof/>
        </w:rPr>
        <w:t>Instituto Geológico Minero de España</w:t>
      </w:r>
      <w:r>
        <w:rPr>
          <w:noProof/>
        </w:rPr>
        <w:t>, IGME). Uudelleenjärjestelyllä vahvistetaan Espanjan kalastusp</w:t>
      </w:r>
      <w:r>
        <w:rPr>
          <w:noProof/>
        </w:rPr>
        <w:t>olitiikan, maatalouselintarvikkeiden ja ekologisen siirtymän asiantuntijakapasiteettia. Kolmella Progress-organisaatiolla on oltava valtion viraston oikeudellinen järjestelmä, joka tarjoaa enemmän joustavuutta ja tulosperusteisen kehyksen, joka on vahviste</w:t>
      </w:r>
      <w:r>
        <w:rPr>
          <w:noProof/>
        </w:rPr>
        <w:t xml:space="preserve">ttu monivuotisessa hallinnointisopimuksessa. Lisäksi Espanjan on otettava käyttöön tulosbudjetointi. Uudistuksella vahvistetaan tuloksena olevan yhteisön hallintoa, suorituskyvyn arviointia ja valvontaa. </w:t>
      </w:r>
    </w:p>
    <w:p w14:paraId="31A7E0A8" w14:textId="77777777" w:rsidR="000E48CE" w:rsidRDefault="00FF4C4E">
      <w:pPr>
        <w:pStyle w:val="P68B1DB1-Text119"/>
        <w:ind w:left="0"/>
        <w:rPr>
          <w:rFonts w:cs="Times New Roman"/>
          <w:noProof/>
        </w:rPr>
      </w:pPr>
      <w:r>
        <w:rPr>
          <w:noProof/>
        </w:rPr>
        <w:t>Toimenpiteen täytäntöönpano on saatettava päätöksee</w:t>
      </w:r>
      <w:r>
        <w:rPr>
          <w:noProof/>
        </w:rPr>
        <w:t xml:space="preserve">n 31 päivään joulukuuta 2022 mennessä. </w:t>
      </w:r>
    </w:p>
    <w:p w14:paraId="106264B3" w14:textId="16AD2061" w:rsidR="000E48CE" w:rsidRDefault="00FF4C4E">
      <w:pPr>
        <w:pStyle w:val="P68B1DB1-Normal6"/>
        <w:keepNext/>
        <w:spacing w:before="120" w:after="120" w:line="240" w:lineRule="auto"/>
        <w:jc w:val="both"/>
        <w:rPr>
          <w:rFonts w:cs="Times New Roman"/>
          <w:noProof/>
        </w:rPr>
      </w:pPr>
      <w:r>
        <w:rPr>
          <w:noProof/>
        </w:rPr>
        <w:t>Sijoitus 1 (C17.I1): Täydentävät tutkimus- ja kehityssuunnitelmat itsehallintoalueiden kanssa</w:t>
      </w:r>
    </w:p>
    <w:p w14:paraId="29BDEE70" w14:textId="0ABFE5C9" w:rsidR="000E48CE" w:rsidRDefault="00FF4C4E">
      <w:pPr>
        <w:pStyle w:val="P68B1DB1-Normal4"/>
        <w:keepNext/>
        <w:spacing w:before="120" w:after="120" w:line="240" w:lineRule="auto"/>
        <w:jc w:val="both"/>
        <w:rPr>
          <w:rFonts w:cs="Times New Roman"/>
          <w:noProof/>
        </w:rPr>
      </w:pPr>
      <w:r>
        <w:rPr>
          <w:noProof/>
        </w:rPr>
        <w:t>Tämän toimenpiteen tavoitteena on edistää valtiotason koordinointia T &amp; K &amp; I-alueiden kanssa laatimalla täydentäviä T &amp; K</w:t>
      </w:r>
      <w:r>
        <w:rPr>
          <w:noProof/>
        </w:rPr>
        <w:t xml:space="preserve"> &amp; I-suunnitelmia, joita osarahoitetaan elpymis- ja palautumistukivälineestä ja alueista. Uudella välineellä lisätään myös alueiden välistä yhteistyötä, sillä ne määrittävät yhteisiä painopisteitä alueellisissa älykkään erikoistumisen strategioissaan (RIS3</w:t>
      </w:r>
      <w:r>
        <w:rPr>
          <w:noProof/>
        </w:rPr>
        <w:t xml:space="preserve">). </w:t>
      </w:r>
    </w:p>
    <w:p w14:paraId="7670F622" w14:textId="4B3D0054" w:rsidR="000E48CE" w:rsidRDefault="00FF4C4E">
      <w:pPr>
        <w:pStyle w:val="P68B1DB1-Normal4"/>
        <w:spacing w:before="120" w:after="120" w:line="240" w:lineRule="auto"/>
        <w:jc w:val="both"/>
        <w:rPr>
          <w:rFonts w:cs="Times New Roman"/>
          <w:noProof/>
        </w:rPr>
      </w:pPr>
      <w:r>
        <w:rPr>
          <w:noProof/>
        </w:rPr>
        <w:t>Espanjan tiede-, teknologia- ja innovaatiostrategian 2021–2027 mukaisesti täydentävillä suunnitelmilla on parannettava tietämyksen tuottamista ja teknologista innovointia, hallinnon eri tasojen koordinointia ja vauhditettava alueellista taloudellista m</w:t>
      </w:r>
      <w:r>
        <w:rPr>
          <w:noProof/>
        </w:rPr>
        <w:t>uutosta seuraavilla strategisilla aloilla: kvanttiviestintä, energia ja vihreä vety, maatalouselintarvikkeet, biologinen monimuotoisuus, astrofysiikka ja suurenergiafysiikka, meritiede, materiaalitiede ja biotekniikka, joita sovelletaan terveyteen. Alueell</w:t>
      </w:r>
      <w:r>
        <w:rPr>
          <w:noProof/>
        </w:rPr>
        <w:t>isten synergioiden luomiseksi täydentävissä suunnitelmissa harkitaan useiden alueiden osallistumista ohjelmaan ja mahdollisuutta osallistua useisiin ohjelmiin. Näin ollen on mahdollista sisällyttää tiettyihin alueellisiin valmiuksiin ja hyödyntää niitä use</w:t>
      </w:r>
      <w:r>
        <w:rPr>
          <w:noProof/>
        </w:rPr>
        <w:t>issa suunnitelmissa. Suunnitelmien on kestettävä kaksi tai kolme vuotta, ja niissä edellytetään alueiden yhteisrahoitussitoumuksia.</w:t>
      </w:r>
    </w:p>
    <w:p w14:paraId="669F6013" w14:textId="77777777" w:rsidR="000E48CE" w:rsidRDefault="00FF4C4E">
      <w:pPr>
        <w:pStyle w:val="P68B1DB1-Normal4"/>
        <w:spacing w:before="120" w:after="120" w:line="240" w:lineRule="auto"/>
        <w:jc w:val="both"/>
        <w:rPr>
          <w:rFonts w:cs="Times New Roman"/>
          <w:noProof/>
        </w:rPr>
      </w:pPr>
      <w:r>
        <w:rPr>
          <w:noProof/>
        </w:rPr>
        <w:t>Tämän investoinnin puitteissa toteutettaviin toimiin kuuluu kahdeksan rahoitussopimuksen allekirjoittaminen tiede- ja innova</w:t>
      </w:r>
      <w:r>
        <w:rPr>
          <w:noProof/>
        </w:rPr>
        <w:t xml:space="preserve">atioministeriön ja alueiden välillä. </w:t>
      </w:r>
    </w:p>
    <w:p w14:paraId="0B359E22" w14:textId="77777777" w:rsidR="000E48CE" w:rsidRDefault="00FF4C4E">
      <w:pPr>
        <w:pStyle w:val="P68B1DB1-Text119"/>
        <w:ind w:left="0"/>
        <w:rPr>
          <w:rFonts w:cs="Times New Roman"/>
          <w:noProof/>
        </w:rPr>
      </w:pPr>
      <w:r>
        <w:rPr>
          <w:noProof/>
        </w:rPr>
        <w:t xml:space="preserve">Investoinnin toteutus saatetaan päätökseen viimeistään 31. joulukuuta 2025. </w:t>
      </w:r>
    </w:p>
    <w:p w14:paraId="2300410A" w14:textId="77777777" w:rsidR="000E48CE" w:rsidRDefault="00FF4C4E">
      <w:pPr>
        <w:pStyle w:val="P68B1DB1-Normal6"/>
        <w:spacing w:before="120" w:after="120" w:line="240" w:lineRule="auto"/>
        <w:jc w:val="both"/>
        <w:rPr>
          <w:rFonts w:cs="Times New Roman"/>
          <w:noProof/>
        </w:rPr>
      </w:pPr>
      <w:r>
        <w:rPr>
          <w:noProof/>
        </w:rPr>
        <w:t xml:space="preserve">Sijoitus 2 (C17.I2): Valtion tiede-, teknologia- ja innovaatiojärjestelmän valmiuksien, infrastruktuurin ja laitteistojen vahvistaminen </w:t>
      </w:r>
    </w:p>
    <w:p w14:paraId="5BCBE96F" w14:textId="77777777" w:rsidR="000E48CE" w:rsidRDefault="00FF4C4E">
      <w:pPr>
        <w:pStyle w:val="P68B1DB1-Normal4"/>
        <w:spacing w:before="120" w:after="120" w:line="240" w:lineRule="auto"/>
        <w:jc w:val="both"/>
        <w:rPr>
          <w:rFonts w:cs="Times New Roman"/>
          <w:noProof/>
        </w:rPr>
      </w:pPr>
      <w:r>
        <w:rPr>
          <w:noProof/>
        </w:rPr>
        <w:t>Näis</w:t>
      </w:r>
      <w:r>
        <w:rPr>
          <w:noProof/>
        </w:rPr>
        <w:t xml:space="preserve">sä investoinneissa keskitytään T &amp; K &amp; I-järjestelmän teknisten tieteellisten laitteiden ja infrastruktuurin tarjoamiseen, parantamiseen ja päivittämiseen huipputason tutkimuksen helpottamiseksi ja järjestelmän kilpailukyvyn parantamiseksi. </w:t>
      </w:r>
    </w:p>
    <w:p w14:paraId="38C72822" w14:textId="77777777" w:rsidR="000E48CE" w:rsidRDefault="00FF4C4E">
      <w:pPr>
        <w:pStyle w:val="P68B1DB1-Normal4"/>
        <w:spacing w:before="120" w:after="120" w:line="240" w:lineRule="auto"/>
        <w:jc w:val="both"/>
        <w:rPr>
          <w:rFonts w:cs="Times New Roman"/>
          <w:noProof/>
        </w:rPr>
      </w:pPr>
      <w:r>
        <w:rPr>
          <w:noProof/>
        </w:rPr>
        <w:t>Tällä investoi</w:t>
      </w:r>
      <w:r>
        <w:rPr>
          <w:noProof/>
        </w:rPr>
        <w:t>nnilla tuetaan tieteen, teknologian ja innovoinnin alan infrastruktuuria ja laitteistoja ehdotuspyyntöjen avulla. Investoinnilla on myös rahoitettava kansallisen strategisen infrastruktuurin, kuten seuraavien, ennallistamista, päivittämistä tai uutta kansa</w:t>
      </w:r>
      <w:r>
        <w:rPr>
          <w:noProof/>
        </w:rPr>
        <w:t xml:space="preserve">llista infrastruktuuria: bioturvallisuustason 3 laitosinfrastruktuuri tarttuvien taudinaiheuttajien uusiin haasteisiin vastaamiseksi, uuden fytogeneettisen laitoksen rakentaminen, uuden kehittyneen optiikan keskuksen perustaminen ja </w:t>
      </w:r>
      <w:r>
        <w:rPr>
          <w:i/>
          <w:noProof/>
        </w:rPr>
        <w:t>Centro de Investigacion</w:t>
      </w:r>
      <w:r>
        <w:rPr>
          <w:i/>
          <w:noProof/>
        </w:rPr>
        <w:t>es Energéticas, Medioambientales y Tecnológicasin (</w:t>
      </w:r>
      <w:r>
        <w:rPr>
          <w:noProof/>
        </w:rPr>
        <w:t xml:space="preserve"> CIEMAT) infrastruktuurin parantaminen uusiutuvan energian tutkimuksen toteuttamiseksi. Tämän investoinnin yhteydessä toteutettavia erityistoimia ovat Espanjassa sijaitsevat suuret tieteelliset infrastrukt</w:t>
      </w:r>
      <w:r>
        <w:rPr>
          <w:noProof/>
        </w:rPr>
        <w:t>uurit, erityisesti ne, jotka sisältyvät ”Map of Unique Scientific and Technical Infrastructures” (ICTS) -ohjelmaan (Mapa</w:t>
      </w:r>
      <w:r>
        <w:rPr>
          <w:i/>
          <w:noProof/>
        </w:rPr>
        <w:t>de Infraestructuras Científicas y Técnicas Singulares</w:t>
      </w:r>
      <w:r>
        <w:rPr>
          <w:noProof/>
        </w:rPr>
        <w:t>). Lisäksi investoinnilla tuetaan muun muassa eurooppalaisia ja kansainvälisiä infr</w:t>
      </w:r>
      <w:r>
        <w:rPr>
          <w:noProof/>
        </w:rPr>
        <w:t xml:space="preserve">astruktuureja, kuten CERN-verkostoa ja syvän maanalaista Neutrino-kokeilua. </w:t>
      </w:r>
    </w:p>
    <w:p w14:paraId="4B5B6DE7" w14:textId="77777777" w:rsidR="000E48CE" w:rsidRDefault="00FF4C4E">
      <w:pPr>
        <w:pStyle w:val="P68B1DB1-Normal4"/>
        <w:spacing w:before="120" w:after="120" w:line="240" w:lineRule="auto"/>
        <w:jc w:val="both"/>
        <w:rPr>
          <w:rFonts w:cs="Times New Roman"/>
          <w:noProof/>
        </w:rPr>
      </w:pPr>
      <w:r>
        <w:rPr>
          <w:noProof/>
        </w:rPr>
        <w:t>Lisäksi investointiin sisältyy joukko avustuspyyntöjä Espanjan T &amp; K &amp; I-järjestelmän kansainvälistymisvalmiuksien parantamiseksi, mukaan lukien seuraavat: European Project Manage</w:t>
      </w:r>
      <w:r>
        <w:rPr>
          <w:noProof/>
        </w:rPr>
        <w:t xml:space="preserve">ment Call for European Project Management, ehdotuspyyntö: Europe Research 2020, Euroopan huippuosaamista koskeva ehdotuspyyntö 2020, 2022 ja 2023. Investointiin sisältyy myös T &amp; K-hallinnon digitalisointi. </w:t>
      </w:r>
    </w:p>
    <w:p w14:paraId="0D9410AF" w14:textId="4E6478F4" w:rsidR="000E48CE" w:rsidRDefault="00FF4C4E">
      <w:pPr>
        <w:pStyle w:val="P68B1DB1-Normal4"/>
        <w:spacing w:before="120" w:after="120" w:line="240" w:lineRule="auto"/>
        <w:jc w:val="both"/>
        <w:rPr>
          <w:rFonts w:cs="Times New Roman"/>
          <w:noProof/>
        </w:rPr>
      </w:pPr>
      <w:r>
        <w:rPr>
          <w:noProof/>
        </w:rPr>
        <w:t xml:space="preserve"> Tämän investoinnin puitteissa toteutettavat toi</w:t>
      </w:r>
      <w:r>
        <w:rPr>
          <w:noProof/>
        </w:rPr>
        <w:t xml:space="preserve">met toteutetaan ehdotuspyyntöjen ja suorien julkisten investointien avulla. </w:t>
      </w:r>
    </w:p>
    <w:p w14:paraId="0450D448" w14:textId="650D5B3C" w:rsidR="000E48CE" w:rsidRDefault="00FF4C4E">
      <w:pPr>
        <w:pStyle w:val="P68B1DB1-Normal4"/>
        <w:spacing w:before="120" w:after="120" w:line="240" w:lineRule="auto"/>
        <w:jc w:val="both"/>
        <w:rPr>
          <w:rFonts w:cs="Times New Roman"/>
          <w:noProof/>
        </w:rPr>
      </w:pPr>
      <w:r>
        <w:rPr>
          <w:noProof/>
        </w:rPr>
        <w:t xml:space="preserve">Lisäksi investoinneilla tuetaan puolijohde- </w:t>
      </w:r>
      <w:r>
        <w:rPr>
          <w:i/>
          <w:noProof/>
        </w:rPr>
        <w:t>ja mikroelektroniikka-alan arvoketjuun liittyviä tutkimus- ja innovointihankkeita osana talouden elvytys- ja muutossirua (</w:t>
      </w:r>
      <w:r>
        <w:rPr>
          <w:noProof/>
        </w:rPr>
        <w:t xml:space="preserve"> PERTE Chip).</w:t>
      </w:r>
      <w:r>
        <w:rPr>
          <w:noProof/>
        </w:rPr>
        <w:t xml:space="preserve"> Erityisesti on investoitava rakentamiseen, pinta-alan kasvattamiseen, olemassa olevan infrastruktuurin ja laitteiden vahvistamiseen puhtaiden tilojen alalla (CSIC:n kansallinen mikroelektroniikkakeskus ja ICSTS:n hajautettu MICRONANOFABS) sekä toimiin suu</w:t>
      </w:r>
      <w:r>
        <w:rPr>
          <w:noProof/>
        </w:rPr>
        <w:t>rteholaskentaan liittyvien puolijohteiden alan valmiuksien vahvistamiseksi (Mare Nostrum 5, Espanjan supertietokoneiden verkosto (RES) ja kansallinen koulutus- ja tutkimusalan viestintäverkosto (RedIRIS), sekä Espanjan osallistuminen RISC-V-pohjaiseen suur</w:t>
      </w:r>
      <w:r>
        <w:rPr>
          <w:noProof/>
        </w:rPr>
        <w:t xml:space="preserve">teholaskentaa koskevan laaja-alaisen eurooppalaisen aloitteen kehittämiseen tähtäävää kumppanuutta koskevan puitesopimuksen yhteisyritykselle. </w:t>
      </w:r>
    </w:p>
    <w:p w14:paraId="2BC2CF30" w14:textId="39A6DA18" w:rsidR="000E48CE" w:rsidRDefault="00FF4C4E">
      <w:pPr>
        <w:pStyle w:val="P68B1DB1-Text119"/>
        <w:ind w:left="0"/>
        <w:rPr>
          <w:rFonts w:cs="Times New Roman"/>
          <w:noProof/>
        </w:rPr>
      </w:pPr>
      <w:r>
        <w:rPr>
          <w:noProof/>
        </w:rPr>
        <w:t xml:space="preserve">Investoinnin toteuttaminen on saatettava päätökseen viimeistään 31 </w:t>
      </w:r>
      <w:r>
        <w:rPr>
          <w:noProof/>
          <w:shd w:val="clear" w:color="auto" w:fill="FFFFFF" w:themeFill="background1"/>
        </w:rPr>
        <w:t>päivänä elokuuta</w:t>
      </w:r>
      <w:r>
        <w:rPr>
          <w:noProof/>
        </w:rPr>
        <w:t xml:space="preserve"> 2026.</w:t>
      </w:r>
      <w:r>
        <w:rPr>
          <w:noProof/>
          <w:shd w:val="clear" w:color="auto" w:fill="E6E6E6"/>
        </w:rPr>
        <w:t xml:space="preserve"> </w:t>
      </w:r>
    </w:p>
    <w:p w14:paraId="6B9333B6" w14:textId="77777777" w:rsidR="000E48CE" w:rsidRDefault="00FF4C4E">
      <w:pPr>
        <w:pStyle w:val="P68B1DB1-Normal6"/>
        <w:spacing w:before="120" w:after="120" w:line="240" w:lineRule="auto"/>
        <w:jc w:val="both"/>
        <w:rPr>
          <w:rFonts w:cs="Times New Roman"/>
          <w:noProof/>
        </w:rPr>
      </w:pPr>
      <w:r>
        <w:rPr>
          <w:noProof/>
        </w:rPr>
        <w:t xml:space="preserve">Sijoitus 3 (C17.I3): </w:t>
      </w:r>
      <w:r>
        <w:rPr>
          <w:noProof/>
        </w:rPr>
        <w:t>Uudet yksityiset, monitieteelliset, julkiset T &amp; K &amp; I-hankkeet, konseptikokeet ja tuen myöntäminen kansainvälisten tarjouskilpailujen perusteella. Huipputason t &amp; k-toiminta yhteiskunnallisiin haasteisiin. Esikaupalliset julkiset hankinnat</w:t>
      </w:r>
    </w:p>
    <w:p w14:paraId="0933ADB4" w14:textId="4A3CB5EE" w:rsidR="000E48CE" w:rsidRDefault="00FF4C4E">
      <w:pPr>
        <w:pStyle w:val="P68B1DB1-Normal4"/>
        <w:spacing w:before="120" w:after="120" w:line="240" w:lineRule="auto"/>
        <w:jc w:val="both"/>
        <w:rPr>
          <w:rFonts w:cs="Times New Roman"/>
          <w:noProof/>
        </w:rPr>
      </w:pPr>
      <w:r>
        <w:rPr>
          <w:noProof/>
        </w:rPr>
        <w:t>Tämän investoinnin puitteissa toteutettavien toimien tavoitteena on vahvistaa tietämyksen tuottamista, tietämyksen siirtoa sekä julkisen ja yksityisen sektorin kumppanuuksia T &amp; K &amp; I-alalla. Tämän investoinnin puitteissa toteutettavien toimien avulla lisä</w:t>
      </w:r>
      <w:r>
        <w:rPr>
          <w:noProof/>
        </w:rPr>
        <w:t>tään yksityisen sektorin tutkimus- ja innovointitoimintaa ja vahvistetaan julkisten tutkimusorganisaatioiden ja yksityisen sektorin välistä yhteistyötä. Toimenpiteellä pyritään myös lisäämään T &amp; K &amp; I-toimintaa strategisilla aloilla, kuten vihreässä ja di</w:t>
      </w:r>
      <w:r>
        <w:rPr>
          <w:noProof/>
        </w:rPr>
        <w:t xml:space="preserve">gitaalisessa siirtymässä, sekä lisäämään espanjalaisten tutkimusryhmien kansainvälistymistä. </w:t>
      </w:r>
    </w:p>
    <w:p w14:paraId="1E9B8B1D" w14:textId="0DF6FB71" w:rsidR="000E48CE" w:rsidRDefault="00FF4C4E">
      <w:pPr>
        <w:pStyle w:val="P68B1DB1-Normal4"/>
        <w:spacing w:before="120" w:after="120" w:line="240" w:lineRule="auto"/>
        <w:jc w:val="both"/>
        <w:rPr>
          <w:rFonts w:cs="Times New Roman"/>
          <w:noProof/>
        </w:rPr>
      </w:pPr>
      <w:r>
        <w:rPr>
          <w:noProof/>
        </w:rPr>
        <w:t xml:space="preserve">Tähän investointiin sisältyy yhdeksän ehdotuspyyntöä: 1) </w:t>
      </w:r>
      <w:r>
        <w:rPr>
          <w:i/>
          <w:noProof/>
        </w:rPr>
        <w:t>konseptin toimivuuden osoittamista koskevalla ehdotuspyynnöllä rahoitetaan</w:t>
      </w:r>
      <w:r>
        <w:rPr>
          <w:noProof/>
        </w:rPr>
        <w:t xml:space="preserve"> kilpailua edeltävän kehityksen</w:t>
      </w:r>
      <w:r>
        <w:rPr>
          <w:noProof/>
        </w:rPr>
        <w:t xml:space="preserve"> alkuvaiheissa olevia hankkeita, joilla nopeutetaan tieteellisen tiedon muuntamista tuotteiksi tai palveluiksi, 2) tieteidenvälisiä hankkeita koskevasta ehdotuspyynnöstä rahoitetaan julkisen ja yksityisen sektorin yhteenliittymien hankkeita, jotka parantav</w:t>
      </w:r>
      <w:r>
        <w:rPr>
          <w:noProof/>
        </w:rPr>
        <w:t xml:space="preserve">at Espanjan T &amp; K &amp; I-kilpailukykyä, 3) vihreään ja digitaaliseen siirtymään liittyviä T &amp; </w:t>
      </w:r>
      <w:r>
        <w:rPr>
          <w:i/>
          <w:noProof/>
        </w:rPr>
        <w:t>K &amp; I -hankkeita koskeva ehdotuspyyntö 4) julkisen ja yksityisen sektorin yhteistyöhankkeita koskevasta ehdotuspyynnöstä sellaisten hankkeiden rahoittamiseksi</w:t>
      </w:r>
      <w:r>
        <w:rPr>
          <w:noProof/>
        </w:rPr>
        <w:t>, joide</w:t>
      </w:r>
      <w:r>
        <w:rPr>
          <w:noProof/>
        </w:rPr>
        <w:t xml:space="preserve">n teknologiavalmiustaso </w:t>
      </w:r>
      <w:r>
        <w:rPr>
          <w:i/>
          <w:noProof/>
        </w:rPr>
        <w:t>on</w:t>
      </w:r>
      <w:r>
        <w:rPr>
          <w:noProof/>
        </w:rPr>
        <w:t xml:space="preserve"> korkeampi ja joilla pyritään saavuttamaan markkinaläheiset tulokset, 5) ehdotuspyyntö </w:t>
      </w:r>
      <w:r>
        <w:rPr>
          <w:i/>
          <w:noProof/>
        </w:rPr>
        <w:t>kansainvälisistä yhteistyöhankkeista, joilla rahoitetaan</w:t>
      </w:r>
      <w:r>
        <w:rPr>
          <w:noProof/>
        </w:rPr>
        <w:t xml:space="preserve"> espanjalaisten julkisten tutkijoiden hankkeita, jotka ovat osa Horisontti 2020- ja Hor</w:t>
      </w:r>
      <w:r>
        <w:rPr>
          <w:noProof/>
        </w:rPr>
        <w:t>isontti Eurooppa -kumppanuuksista rahoitettaviksi valittuja hankkeita, 6) t &amp; k-ehdotuspyyntö yhteiskunnallisiin haasteisiin, kuten turvalliseen, tehokkaaseen ja puhtaaseen energiaan tai kyberturvallisuuteen, 7) ehdotuspyyntö esikaupallisten julkisten hank</w:t>
      </w:r>
      <w:r>
        <w:rPr>
          <w:noProof/>
        </w:rPr>
        <w:t xml:space="preserve">intojen rahoittamiseksi nimeltä ”Innovaatio </w:t>
      </w:r>
      <w:r>
        <w:rPr>
          <w:i/>
          <w:noProof/>
        </w:rPr>
        <w:t>Alliance for Innovation”, 8</w:t>
      </w:r>
      <w:r>
        <w:rPr>
          <w:noProof/>
        </w:rPr>
        <w:t>) ehdotuspyyntö puolijohteiden alan tutkimus-, kehitys- ja innovointihankkeista (”PERTE-siruon liittyvät tieteen ja innovoinnin missiot”) ja 9) puolijohteiden alan konseptin todistamist</w:t>
      </w:r>
      <w:r>
        <w:rPr>
          <w:noProof/>
        </w:rPr>
        <w:t>a koskeva ehdotuspyyntö.</w:t>
      </w:r>
    </w:p>
    <w:p w14:paraId="50349E44" w14:textId="4E3B3581" w:rsidR="000E48CE" w:rsidRDefault="00FF4C4E">
      <w:pPr>
        <w:pStyle w:val="P68B1DB1-Normal4"/>
        <w:spacing w:before="120" w:after="120" w:line="240" w:lineRule="auto"/>
        <w:jc w:val="both"/>
        <w:rPr>
          <w:rFonts w:cs="Times New Roman"/>
          <w:noProof/>
        </w:rPr>
      </w:pPr>
      <w:r>
        <w:rPr>
          <w:noProof/>
        </w:rPr>
        <w:t>Tämän toimenpiteen mukaiset investoinnit toteutetaan vuosina 2020–2026, ja ehdotuspyynnöt ja esikaupalliset julkiset hankinnat keskitetään kaudelle 2020–2025 ja toteutetaan joitakin monimutkaisempia investointeja vuoteen 2026 saakk</w:t>
      </w:r>
      <w:r>
        <w:rPr>
          <w:noProof/>
        </w:rPr>
        <w:t xml:space="preserve">a.   </w:t>
      </w:r>
    </w:p>
    <w:p w14:paraId="0DA88287" w14:textId="161C4647" w:rsidR="000E48CE" w:rsidRDefault="00FF4C4E">
      <w:pPr>
        <w:pStyle w:val="Text1"/>
        <w:ind w:left="0"/>
        <w:rPr>
          <w:rFonts w:ascii="Times New Roman" w:hAnsi="Times New Roman" w:cs="Times New Roman"/>
          <w:noProof/>
        </w:rPr>
      </w:pPr>
      <w:r>
        <w:rPr>
          <w:rFonts w:ascii="Times New Roman" w:hAnsi="Times New Roman"/>
          <w:noProof/>
        </w:rPr>
        <w:t xml:space="preserve">Sen varmistamiseksi, että toimenpide noudattaa ”ei merkittävää haittaa” -periaatetta koskevaa teknistä ohjetta (2021/C58/01), tulevien hankepyyntöjen tehtävänmääritykseen sisältyviin tukikelpoisuusperusteisiin ei lueta seuraavia toimia: fossiilisiin </w:t>
      </w:r>
      <w:r>
        <w:rPr>
          <w:rFonts w:ascii="Times New Roman" w:hAnsi="Times New Roman"/>
          <w:noProof/>
        </w:rPr>
        <w:t>polttoaineisiin liittyvät toiminnot, mukaan lukien käyttö loppupäässä</w:t>
      </w:r>
      <w:r>
        <w:rPr>
          <w:rStyle w:val="FootnoteReference"/>
          <w:rFonts w:ascii="Times New Roman" w:hAnsi="Times New Roman" w:cs="Times New Roman"/>
          <w:noProof/>
        </w:rPr>
        <w:footnoteReference w:id="161"/>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162"/>
      </w:r>
      <w:r>
        <w:rPr>
          <w:rFonts w:ascii="Times New Roman" w:hAnsi="Times New Roman"/>
          <w:noProof/>
        </w:rPr>
        <w:t xml:space="preserve">; jätteiden kaatopaikkoihin, </w:t>
      </w:r>
      <w:r>
        <w:rPr>
          <w:rFonts w:ascii="Times New Roman" w:hAnsi="Times New Roman"/>
          <w:noProof/>
        </w:rPr>
        <w:t>polttolaitoksiin</w:t>
      </w:r>
      <w:r>
        <w:rPr>
          <w:rStyle w:val="FootnoteReference"/>
          <w:rFonts w:ascii="Times New Roman" w:hAnsi="Times New Roman" w:cs="Times New Roman"/>
          <w:noProof/>
        </w:rPr>
        <w:footnoteReference w:id="163"/>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164"/>
      </w:r>
      <w:r>
        <w:rPr>
          <w:rFonts w:ascii="Times New Roman" w:hAnsi="Times New Roman"/>
          <w:noProof/>
        </w:rPr>
        <w:t>; ja iv) toiminnot, joissa jätteiden pitkän aikavälin loppukäsittely voi aiheuttaa haittaa ympäristölle. Tehtävänmäärityksessä on lisäksi edellytettävä, että ainoastaan asiaa</w:t>
      </w:r>
      <w:r>
        <w:rPr>
          <w:rFonts w:ascii="Times New Roman" w:hAnsi="Times New Roman"/>
          <w:noProof/>
        </w:rPr>
        <w:t xml:space="preserve"> koskevan EU:n ja kansallisen ympäristölainsäädännön mukaisia toimintoja voidaan valita.</w:t>
      </w:r>
    </w:p>
    <w:p w14:paraId="14A43722" w14:textId="77777777" w:rsidR="000E48CE" w:rsidRDefault="00FF4C4E">
      <w:pPr>
        <w:pStyle w:val="P68B1DB1-Normal4"/>
        <w:spacing w:before="120" w:after="120" w:line="240" w:lineRule="auto"/>
        <w:jc w:val="both"/>
        <w:rPr>
          <w:rFonts w:cs="Times New Roman"/>
          <w:noProof/>
        </w:rPr>
      </w:pPr>
      <w:r>
        <w:rPr>
          <w:noProof/>
        </w:rPr>
        <w:t xml:space="preserve">Seuraavien tämän investoinnin mukaisten T &amp; K &amp; I-toimien katsotaan olevan ”ei merkittävää haittaa” -periaatteen mukaisia (2021/C58/01): tämän investoinnin mukaiset T </w:t>
      </w:r>
      <w:r>
        <w:rPr>
          <w:noProof/>
        </w:rPr>
        <w:t>&amp; K &amp; I-toimet, jotka johtavat teknologianeutraaleihin tuloksiin niiden soveltamistasolla; II) ne tämän investoinnin mukaiset T &amp; K &amp; I-toimet, joilla tuetaan sellaisia vaihtoehtoja, joiden ympäristövaikutukset ovat vähäiset ja joita varten niitä on olemas</w:t>
      </w:r>
      <w:r>
        <w:rPr>
          <w:noProof/>
        </w:rPr>
        <w:t>sa; tai iii) ne tämän investoinnin mukaiset T &amp; K &amp; I-toimet, joissa keskitytään ensisijaisesti sellaisten vaihtoehtojen kehittämiseen, joilla on mahdollisimman vähän ympäristövaikutuksia alalla sellaisia toimia varten, joille ei ole teknisesti ja taloudel</w:t>
      </w:r>
      <w:r>
        <w:rPr>
          <w:noProof/>
        </w:rPr>
        <w:t>lisesti toteuttamiskelpoista vähävaikutteista vaihtoehtoa.</w:t>
      </w:r>
    </w:p>
    <w:p w14:paraId="7AE3CEC4" w14:textId="50808402" w:rsidR="000E48CE" w:rsidRDefault="00FF4C4E">
      <w:pPr>
        <w:pStyle w:val="P68B1DB1-Normal4"/>
        <w:autoSpaceDE w:val="0"/>
        <w:autoSpaceDN w:val="0"/>
        <w:spacing w:before="40" w:after="40"/>
        <w:rPr>
          <w:rFonts w:cs="Times New Roman"/>
          <w:noProof/>
        </w:rPr>
      </w:pPr>
      <w:r>
        <w:rPr>
          <w:noProof/>
        </w:rPr>
        <w:t xml:space="preserve">Investoinnin toteuttaminen on saatettava päätökseen viimeistään </w:t>
      </w:r>
      <w:r>
        <w:rPr>
          <w:noProof/>
          <w:shd w:val="clear" w:color="auto" w:fill="FFFFFF" w:themeFill="background1"/>
        </w:rPr>
        <w:t>31 päivänä elokuuta</w:t>
      </w:r>
      <w:r>
        <w:rPr>
          <w:noProof/>
        </w:rPr>
        <w:t xml:space="preserve"> 2026. </w:t>
      </w:r>
    </w:p>
    <w:p w14:paraId="108036FB" w14:textId="608E2A3D" w:rsidR="000E48CE" w:rsidRDefault="00FF4C4E">
      <w:pPr>
        <w:pStyle w:val="P68B1DB1-Normal6"/>
        <w:keepNext/>
        <w:spacing w:before="120" w:after="120" w:line="240" w:lineRule="auto"/>
        <w:jc w:val="both"/>
        <w:rPr>
          <w:rFonts w:cs="Times New Roman"/>
          <w:noProof/>
        </w:rPr>
      </w:pPr>
      <w:r>
        <w:rPr>
          <w:noProof/>
        </w:rPr>
        <w:t>Investointi 4 (C17.I4): Uusi tieteellinen ura</w:t>
      </w:r>
    </w:p>
    <w:p w14:paraId="21CA05BD" w14:textId="7BA824F6" w:rsidR="000E48CE" w:rsidRDefault="00FF4C4E">
      <w:pPr>
        <w:pStyle w:val="P68B1DB1-Normal4"/>
        <w:spacing w:before="120" w:after="120" w:line="240" w:lineRule="auto"/>
        <w:jc w:val="both"/>
        <w:rPr>
          <w:rFonts w:cs="Times New Roman"/>
          <w:noProof/>
        </w:rPr>
      </w:pPr>
      <w:r>
        <w:rPr>
          <w:noProof/>
        </w:rPr>
        <w:t>Investoinnin tavoitteena on edistää vakaata tieteellistä ura</w:t>
      </w:r>
      <w:r>
        <w:rPr>
          <w:noProof/>
        </w:rPr>
        <w:t>a. Se liittyy C17.R1:een. Päivitettyyn tiedelakiin sisällytetään Espanjassa uusi tieteellinen ura, joka tarjoaa puitteet koko tutkimushenkilöstölle, myös korkeakoulujen henkilöstölle. Järjestelmän on tarjottava avoimuutta henkilöstön nimittämisessä, jousta</w:t>
      </w:r>
      <w:r>
        <w:rPr>
          <w:noProof/>
        </w:rPr>
        <w:t xml:space="preserve">vuutta, liikkuvuutta ja vakautta tutkijanuralla. </w:t>
      </w:r>
    </w:p>
    <w:p w14:paraId="7C621AE3" w14:textId="55C0CAF6" w:rsidR="000E48CE" w:rsidRDefault="00FF4C4E">
      <w:pPr>
        <w:pStyle w:val="P68B1DB1-Text119"/>
        <w:ind w:left="0"/>
        <w:rPr>
          <w:rFonts w:cs="Times New Roman"/>
          <w:noProof/>
        </w:rPr>
      </w:pPr>
      <w:r>
        <w:rPr>
          <w:noProof/>
        </w:rPr>
        <w:t xml:space="preserve">Tuki myönnetään avustuksina, jotka myönnetään kilpailuun perustuvien ehdotuspyyntöjen kautta seuraavissa ohjelmissa: 1) Doctores </w:t>
      </w:r>
      <w:r>
        <w:rPr>
          <w:i/>
          <w:noProof/>
        </w:rPr>
        <w:t>Industriales</w:t>
      </w:r>
      <w:r>
        <w:rPr>
          <w:noProof/>
        </w:rPr>
        <w:t xml:space="preserve"> -apuraha, nelivuotinen ohjelma tohtorintutkinnon suorittaneille </w:t>
      </w:r>
      <w:r>
        <w:rPr>
          <w:noProof/>
        </w:rPr>
        <w:t xml:space="preserve">opiskelijoille yrityksessä (50 paikkaa), 2) </w:t>
      </w:r>
      <w:r>
        <w:rPr>
          <w:i/>
          <w:noProof/>
        </w:rPr>
        <w:t>Torres Quevedo</w:t>
      </w:r>
      <w:r>
        <w:rPr>
          <w:noProof/>
        </w:rPr>
        <w:t xml:space="preserve"> -apuraha, kolmivuotinen ohjelma tohtorintutkinnon tutkijoille yrityksessä (170 paikkaa), 3) </w:t>
      </w:r>
      <w:r>
        <w:rPr>
          <w:i/>
          <w:noProof/>
        </w:rPr>
        <w:t>Juan de la Cierva Training</w:t>
      </w:r>
      <w:r>
        <w:rPr>
          <w:noProof/>
        </w:rPr>
        <w:t xml:space="preserve"> -apuraha, kaksivuotinen tohtorintutkinto-ohjelma akateemisissa oppilaitoksissa</w:t>
      </w:r>
      <w:r>
        <w:rPr>
          <w:noProof/>
        </w:rPr>
        <w:t xml:space="preserve">, siihen sisältyy liikkuvuusapuraha (1,200 paikkaa) ja 4) </w:t>
      </w:r>
      <w:r>
        <w:rPr>
          <w:i/>
          <w:noProof/>
        </w:rPr>
        <w:t>Juan de la Cierva Incorporation</w:t>
      </w:r>
      <w:r>
        <w:rPr>
          <w:noProof/>
        </w:rPr>
        <w:t xml:space="preserve"> -apuraha, joka on kolmivuotinen tohtorintutkinto-ohjelma korkeakouluissa, sisältää tutkimusapurahan (650 paikkaa). Tähän toimenpiteeseen sisältyy myös tutkimustoiminn</w:t>
      </w:r>
      <w:r>
        <w:rPr>
          <w:noProof/>
        </w:rPr>
        <w:t>an käynnistämispaketti 750 tutkijalle, joilla on vakaat työsopimukset akateemisissa laitoksissa tai julkisissa tutkimusorganisaatioissa, sekä erityinen tutkimuksen käynnistämispaketti 25 tutkijalle mikroelektroniikan ja puolijohteiden alalla. Tämän investo</w:t>
      </w:r>
      <w:r>
        <w:rPr>
          <w:noProof/>
        </w:rPr>
        <w:t xml:space="preserve">innin puitteissa toteutettavat toimet toteutetaan kilpailuun perustuvien avustuspyyntöjen perusteella. </w:t>
      </w:r>
    </w:p>
    <w:p w14:paraId="5AAE6B5A" w14:textId="3F18F111" w:rsidR="000E48CE" w:rsidRDefault="00FF4C4E">
      <w:pPr>
        <w:pStyle w:val="P68B1DB1-Text119"/>
        <w:ind w:left="0"/>
        <w:rPr>
          <w:rFonts w:cs="Times New Roman"/>
          <w:noProof/>
        </w:rPr>
      </w:pPr>
      <w:r>
        <w:rPr>
          <w:noProof/>
        </w:rPr>
        <w:t xml:space="preserve">Investoinnin toteuttaminen on saatettava päätökseen viimeistään </w:t>
      </w:r>
      <w:r>
        <w:rPr>
          <w:noProof/>
          <w:shd w:val="clear" w:color="auto" w:fill="FFFFFF" w:themeFill="background1"/>
        </w:rPr>
        <w:t>31 päivänä elokuuta</w:t>
      </w:r>
      <w:r>
        <w:rPr>
          <w:noProof/>
        </w:rPr>
        <w:t xml:space="preserve"> 2026.</w:t>
      </w:r>
      <w:r>
        <w:rPr>
          <w:noProof/>
          <w:shd w:val="clear" w:color="auto" w:fill="E6E6E6"/>
        </w:rPr>
        <w:t xml:space="preserve"> </w:t>
      </w:r>
    </w:p>
    <w:p w14:paraId="70594352" w14:textId="77777777" w:rsidR="000E48CE" w:rsidRDefault="00FF4C4E">
      <w:pPr>
        <w:pStyle w:val="P68B1DB1-Normal6"/>
        <w:spacing w:before="120" w:after="120" w:line="240" w:lineRule="auto"/>
        <w:jc w:val="both"/>
        <w:rPr>
          <w:rFonts w:cs="Times New Roman"/>
          <w:noProof/>
        </w:rPr>
      </w:pPr>
      <w:r>
        <w:rPr>
          <w:noProof/>
        </w:rPr>
        <w:t>Investointi 5 (C17.I5): Tietämyksen siirto</w:t>
      </w:r>
    </w:p>
    <w:p w14:paraId="2B7882A6" w14:textId="77777777" w:rsidR="000E48CE" w:rsidRDefault="00FF4C4E">
      <w:pPr>
        <w:pStyle w:val="P68B1DB1-Normal4"/>
        <w:spacing w:before="120" w:after="120" w:line="240" w:lineRule="auto"/>
        <w:jc w:val="both"/>
        <w:rPr>
          <w:rFonts w:cs="Times New Roman"/>
          <w:noProof/>
        </w:rPr>
      </w:pPr>
      <w:r>
        <w:rPr>
          <w:noProof/>
        </w:rPr>
        <w:t>Investoinnin tavoi</w:t>
      </w:r>
      <w:r>
        <w:rPr>
          <w:noProof/>
        </w:rPr>
        <w:t>tteena on edistää teknologian siirtoa ja tukea innovatiivisia teknologioita koskevien tutkimustulosten siirtämistä. Tämä investointi liittyy uudistukseen C17.R1; päivitetyllä tiedelailla tuetaan tietämyksen siirtoa edistämällä tutkijoiden liikkuvuutta, luo</w:t>
      </w:r>
      <w:r>
        <w:rPr>
          <w:noProof/>
        </w:rPr>
        <w:t>malla joustava oikeudellinen väline teknologia-alan startup-yrityksiin tehtäviin yhteisinvestointeihin ja muotoilemalla kannustinrakenne uudelleen niin, että tietämyksen siirto tunnustetaan asianmukaisesti tutkijan palkkauksessa sekä perinteisessä tutkimus</w:t>
      </w:r>
      <w:r>
        <w:rPr>
          <w:noProof/>
        </w:rPr>
        <w:t xml:space="preserve">toiminnassa. </w:t>
      </w:r>
    </w:p>
    <w:p w14:paraId="4938D679" w14:textId="77777777" w:rsidR="000E48CE" w:rsidRDefault="00FF4C4E">
      <w:pPr>
        <w:pStyle w:val="P68B1DB1-Normal4"/>
        <w:spacing w:before="120" w:after="120" w:line="240" w:lineRule="auto"/>
        <w:jc w:val="both"/>
        <w:rPr>
          <w:rFonts w:cs="Times New Roman"/>
          <w:noProof/>
        </w:rPr>
      </w:pPr>
      <w:r>
        <w:rPr>
          <w:noProof/>
        </w:rPr>
        <w:t xml:space="preserve">Näihin toimenpiteisiin sisältyy kuusi erityistoimea tietämyksen siirron tehostamiseksi: 1) ehdotuspyyntö ” </w:t>
      </w:r>
      <w:r>
        <w:rPr>
          <w:i/>
          <w:noProof/>
        </w:rPr>
        <w:t>Cervera</w:t>
      </w:r>
      <w:r>
        <w:rPr>
          <w:noProof/>
        </w:rPr>
        <w:t xml:space="preserve"> -osaamisverkostoihin perustuvat innovaatioekosysteemit”, 2) tutkimustuloksia siirtävien toimistojen valmiuksien ja suuntautumis</w:t>
      </w:r>
      <w:r>
        <w:rPr>
          <w:noProof/>
        </w:rPr>
        <w:t xml:space="preserve">en parantaminen, 3) </w:t>
      </w:r>
      <w:r>
        <w:rPr>
          <w:i/>
          <w:noProof/>
        </w:rPr>
        <w:t>Cervera</w:t>
      </w:r>
      <w:r>
        <w:rPr>
          <w:noProof/>
        </w:rPr>
        <w:t xml:space="preserve"> -apurahoja teknologiakeskuksille, tutkimuskeskuksille, pk-yrityksille ja midcap-yrityksille T &amp; K-toiminnan toteuttamiseksi ensisijaisissa teknologioissa, 4) espanjalaisille pk-yrityksille annettavaa tukea eurooppalaisella huipp</w:t>
      </w:r>
      <w:r>
        <w:rPr>
          <w:noProof/>
        </w:rPr>
        <w:t>uosaamismerkillä, 5) riskipääoman tukeminen yhteisinvestointeihin ja investointeihin strategisesti strategisia teknologioita käyttäviin yrityksiin investoimiseksi ja niihin investoimiseksi teknologiansiirtorahaston kautta ja 6) tuki NEOTECille, joka on men</w:t>
      </w:r>
      <w:r>
        <w:rPr>
          <w:noProof/>
        </w:rPr>
        <w:t xml:space="preserve">eillään oleva T &amp; K-puiteohjelma, jolla tuetaan teknologiapohjaisten yritysten perustamista ja vakiinnuttamista. </w:t>
      </w:r>
    </w:p>
    <w:p w14:paraId="2488B454" w14:textId="77777777" w:rsidR="000E48CE" w:rsidRDefault="00FF4C4E">
      <w:pPr>
        <w:pStyle w:val="P68B1DB1-Normal4"/>
        <w:spacing w:before="120" w:after="120" w:line="240" w:lineRule="auto"/>
        <w:jc w:val="both"/>
        <w:rPr>
          <w:rFonts w:cs="Times New Roman"/>
          <w:noProof/>
        </w:rPr>
      </w:pPr>
      <w:r>
        <w:rPr>
          <w:noProof/>
        </w:rPr>
        <w:t xml:space="preserve">Tämän investoinnin puitteissa toteutettavat toimet toteutetaan pääasiassa ehdotuspyyntöjen avulla.  </w:t>
      </w:r>
    </w:p>
    <w:p w14:paraId="2B7AC239" w14:textId="4035D0BE"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noud</w:t>
      </w:r>
      <w:r>
        <w:rPr>
          <w:rFonts w:ascii="Times New Roman" w:hAnsi="Times New Roman"/>
          <w:noProof/>
        </w:rPr>
        <w:t>attaa ”ei merkittävää haittaa” -periaatetta koskevaa teknistä ohjetta (2021/C58/01), tulevien hankepyyntöjen tehtävänmääritykseen sisältyviin tukikelpoisuusperusteisiin ei lueta seuraavia toimia: fossiilisiin polttoaineisiin liittyvät toiminnot, mukaan luk</w:t>
      </w:r>
      <w:r>
        <w:rPr>
          <w:rFonts w:ascii="Times New Roman" w:hAnsi="Times New Roman"/>
          <w:noProof/>
        </w:rPr>
        <w:t>ien käyttö loppupäässä</w:t>
      </w:r>
      <w:r>
        <w:rPr>
          <w:rStyle w:val="FootnoteReference"/>
          <w:rFonts w:ascii="Times New Roman" w:hAnsi="Times New Roman" w:cs="Times New Roman"/>
          <w:noProof/>
        </w:rPr>
        <w:footnoteReference w:id="165"/>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166"/>
      </w:r>
      <w:r>
        <w:rPr>
          <w:rFonts w:ascii="Times New Roman" w:hAnsi="Times New Roman"/>
          <w:noProof/>
        </w:rPr>
        <w:t>; jätteiden kaatopaikkoihin, polttolaitoksiin</w:t>
      </w:r>
      <w:r>
        <w:rPr>
          <w:rStyle w:val="FootnoteReference"/>
          <w:rFonts w:ascii="Times New Roman" w:hAnsi="Times New Roman" w:cs="Times New Roman"/>
          <w:noProof/>
        </w:rPr>
        <w:footnoteReference w:id="167"/>
      </w:r>
      <w:r>
        <w:rPr>
          <w:rFonts w:ascii="Times New Roman" w:hAnsi="Times New Roman"/>
          <w:noProof/>
        </w:rPr>
        <w:t xml:space="preserve"> ja mekaanisiin biologisiin käs</w:t>
      </w:r>
      <w:r>
        <w:rPr>
          <w:rFonts w:ascii="Times New Roman" w:hAnsi="Times New Roman"/>
          <w:noProof/>
        </w:rPr>
        <w:t>ittelylaitoksiin liittyvät toimet</w:t>
      </w:r>
      <w:r>
        <w:rPr>
          <w:rStyle w:val="FootnoteReference"/>
          <w:rFonts w:ascii="Times New Roman" w:hAnsi="Times New Roman" w:cs="Times New Roman"/>
          <w:noProof/>
        </w:rPr>
        <w:footnoteReference w:id="168"/>
      </w:r>
      <w:r>
        <w:rPr>
          <w:rFonts w:ascii="Times New Roman" w:hAnsi="Times New Roman"/>
          <w:noProof/>
        </w:rPr>
        <w:t>; ja iv) toiminnot, joissa jätteiden pitkän aikavälin loppukäsittely voi aiheuttaa haittaa ympäristölle. Tehtävänmäärityksessä on lisäksi edellytettävä, että ainoastaan asiaa koskevan EU:n ja kansallisen ympäristölainsäädä</w:t>
      </w:r>
      <w:r>
        <w:rPr>
          <w:rFonts w:ascii="Times New Roman" w:hAnsi="Times New Roman"/>
          <w:noProof/>
        </w:rPr>
        <w:t>nnön mukaisia toimintoja voidaan valita.</w:t>
      </w:r>
    </w:p>
    <w:p w14:paraId="1F79D808" w14:textId="77777777" w:rsidR="000E48CE" w:rsidRDefault="00FF4C4E">
      <w:pPr>
        <w:pStyle w:val="P68B1DB1-Normal4"/>
        <w:spacing w:before="120" w:after="120" w:line="240" w:lineRule="auto"/>
        <w:jc w:val="both"/>
        <w:rPr>
          <w:rFonts w:cs="Times New Roman"/>
          <w:noProof/>
        </w:rPr>
      </w:pPr>
      <w:r>
        <w:rPr>
          <w:noProof/>
        </w:rPr>
        <w:t>Seuraavien tämän investoinnin mukaisten T &amp; K &amp; I-toimien katsotaan olevan ”ei merkittävää haittaa” -periaatteen mukaisia (2021/C58/01): tämän investoinnin mukaiset T &amp; K &amp; I-toimet, jotka johtavat teknologianeutraa</w:t>
      </w:r>
      <w:r>
        <w:rPr>
          <w:noProof/>
        </w:rPr>
        <w:t xml:space="preserve">leihin tuloksiin niiden soveltamistasolla; II) ne tämän investoinnin mukaiset T &amp; K &amp; I-toimet, joilla tuetaan sellaisia vaihtoehtoja, joiden ympäristövaikutukset ovat vähäiset ja joita varten niitä on olemassa; tai iii) ne tämän investoinnin mukaiset T &amp; </w:t>
      </w:r>
      <w:r>
        <w:rPr>
          <w:noProof/>
        </w:rPr>
        <w:t>K &amp; I-toimet, joissa keskitytään ensisijaisesti sellaisten vaihtoehtojen kehittämiseen, joilla on mahdollisimman vähän ympäristövaikutuksia alalla sellaisia toimia varten, joille ei ole teknisesti ja taloudellisesti toteuttamiskelpoista vähävaikutteista va</w:t>
      </w:r>
      <w:r>
        <w:rPr>
          <w:noProof/>
        </w:rPr>
        <w:t>ihtoehtoa.</w:t>
      </w:r>
    </w:p>
    <w:p w14:paraId="20615DC9" w14:textId="77777777" w:rsidR="000E48CE" w:rsidRDefault="00FF4C4E">
      <w:pPr>
        <w:pStyle w:val="P68B1DB1-Normal4"/>
        <w:spacing w:before="120" w:after="120" w:line="240" w:lineRule="auto"/>
        <w:jc w:val="both"/>
        <w:rPr>
          <w:rFonts w:cs="Times New Roman"/>
          <w:noProof/>
        </w:rPr>
      </w:pPr>
      <w:r>
        <w:rPr>
          <w:noProof/>
        </w:rPr>
        <w:t>Investoinnin toteutus saatetaan päätökseen viimeistään 30. kesäkuuta 2026.</w:t>
      </w:r>
    </w:p>
    <w:p w14:paraId="07E0B2B3" w14:textId="77777777" w:rsidR="000E48CE" w:rsidRDefault="00FF4C4E">
      <w:pPr>
        <w:pStyle w:val="P68B1DB1-Normal6"/>
        <w:spacing w:before="120" w:after="120" w:line="240" w:lineRule="auto"/>
        <w:jc w:val="both"/>
        <w:rPr>
          <w:rFonts w:cs="Times New Roman"/>
          <w:noProof/>
        </w:rPr>
      </w:pPr>
      <w:r>
        <w:rPr>
          <w:noProof/>
        </w:rPr>
        <w:t>Investointi 6 (C17.I6): Terveys</w:t>
      </w:r>
    </w:p>
    <w:p w14:paraId="523421E4" w14:textId="7AE74228" w:rsidR="000E48CE" w:rsidRDefault="00FF4C4E">
      <w:pPr>
        <w:pStyle w:val="P68B1DB1-Normal4"/>
        <w:spacing w:before="120" w:after="120" w:line="240" w:lineRule="auto"/>
        <w:jc w:val="both"/>
        <w:rPr>
          <w:rFonts w:cs="Times New Roman"/>
          <w:noProof/>
        </w:rPr>
      </w:pPr>
      <w:r>
        <w:rPr>
          <w:noProof/>
        </w:rPr>
        <w:t xml:space="preserve">Investoinnin tavoitteena on edistää terveydenhuoltoalan tutkimus- ja innovointitoimintaa. Toimenpide sisältää seuraavat toimintalinjat: </w:t>
      </w:r>
    </w:p>
    <w:p w14:paraId="35050FC1" w14:textId="77777777" w:rsidR="000E48CE" w:rsidRDefault="00FF4C4E">
      <w:pPr>
        <w:pStyle w:val="P68B1DB1-Normal4"/>
        <w:spacing w:before="120" w:after="120" w:line="240" w:lineRule="auto"/>
        <w:ind w:left="720"/>
        <w:jc w:val="both"/>
        <w:rPr>
          <w:rFonts w:cs="Times New Roman"/>
          <w:noProof/>
        </w:rPr>
      </w:pPr>
      <w:r>
        <w:rPr>
          <w:noProof/>
        </w:rPr>
        <w:t>1</w:t>
      </w:r>
      <w:r>
        <w:rPr>
          <w:noProof/>
        </w:rPr>
        <w:t xml:space="preserve">) investoinnit pitkälle kehitettyihin hoitomuotoihin, uusiin lääkkeisiin ja yksilöllistettyyn lääketieteeseen, </w:t>
      </w:r>
    </w:p>
    <w:p w14:paraId="1E3A367B" w14:textId="77777777" w:rsidR="000E48CE" w:rsidRDefault="00FF4C4E">
      <w:pPr>
        <w:pStyle w:val="P68B1DB1-Normal4"/>
        <w:spacing w:before="120" w:after="120" w:line="240" w:lineRule="auto"/>
        <w:ind w:left="720"/>
        <w:jc w:val="both"/>
        <w:rPr>
          <w:rFonts w:cs="Times New Roman"/>
          <w:noProof/>
        </w:rPr>
      </w:pPr>
      <w:r>
        <w:rPr>
          <w:noProof/>
        </w:rPr>
        <w:t xml:space="preserve">2) toimenpiteet kansallisen terveydenhuoltojärjestelmän strategisten valmiuksien ja kansainvälistymisen vahvistamiseksi, </w:t>
      </w:r>
    </w:p>
    <w:p w14:paraId="3A48DE95" w14:textId="77777777" w:rsidR="000E48CE" w:rsidRDefault="00FF4C4E">
      <w:pPr>
        <w:pStyle w:val="P68B1DB1-Normal4"/>
        <w:spacing w:before="120" w:after="120" w:line="240" w:lineRule="auto"/>
        <w:ind w:left="720"/>
        <w:jc w:val="both"/>
        <w:rPr>
          <w:rFonts w:cs="Times New Roman"/>
          <w:noProof/>
        </w:rPr>
      </w:pPr>
      <w:r>
        <w:rPr>
          <w:noProof/>
        </w:rPr>
        <w:t xml:space="preserve">Toimet, joilla tuetaan tartuntatautien ja maailmanlaajuisten uhkien torjuntavalmiuksia </w:t>
      </w:r>
      <w:r>
        <w:rPr>
          <w:i/>
          <w:noProof/>
        </w:rPr>
        <w:t>Instituto de Salud Carlos III:n, erityisesti</w:t>
      </w:r>
      <w:r>
        <w:rPr>
          <w:noProof/>
        </w:rPr>
        <w:t xml:space="preserve"> kansallisen mikrobiologian keskuksen, epidemiologian kansallisen keskuksen sekä ammattilääketieteen ja kansallisen terveysko</w:t>
      </w:r>
      <w:r>
        <w:rPr>
          <w:noProof/>
        </w:rPr>
        <w:t xml:space="preserve">rkeakoulun, </w:t>
      </w:r>
    </w:p>
    <w:p w14:paraId="188FC210" w14:textId="3DD6419C" w:rsidR="000E48CE" w:rsidRDefault="00FF4C4E">
      <w:pPr>
        <w:pStyle w:val="P68B1DB1-Normal4"/>
        <w:spacing w:before="120" w:after="120" w:line="240" w:lineRule="auto"/>
        <w:ind w:left="720"/>
        <w:jc w:val="both"/>
        <w:rPr>
          <w:rFonts w:cs="Times New Roman"/>
          <w:noProof/>
        </w:rPr>
      </w:pPr>
      <w:r>
        <w:rPr>
          <w:noProof/>
        </w:rPr>
        <w:t xml:space="preserve">Osallistuminen ”1 Million Genomes” -aloitteeseen kuuluvaan useita maita kattavaan hankkeeseen ”The Genome of Europe”, </w:t>
      </w:r>
    </w:p>
    <w:p w14:paraId="5E14A1AC" w14:textId="77777777" w:rsidR="000E48CE" w:rsidRDefault="00FF4C4E">
      <w:pPr>
        <w:pStyle w:val="P68B1DB1-Normal4"/>
        <w:spacing w:before="120" w:after="120" w:line="240" w:lineRule="auto"/>
        <w:ind w:left="720"/>
        <w:jc w:val="both"/>
        <w:rPr>
          <w:rFonts w:cs="Times New Roman"/>
          <w:noProof/>
        </w:rPr>
      </w:pPr>
      <w:r>
        <w:rPr>
          <w:noProof/>
        </w:rPr>
        <w:t>5) tartuntatautien tutkimukseen, muihin maailmanlaajuisiin terveysuhkiin ja ikääntymiseen liittyvät valmiuksien kehittämisto</w:t>
      </w:r>
      <w:r>
        <w:rPr>
          <w:noProof/>
        </w:rPr>
        <w:t xml:space="preserve">imenpiteet, </w:t>
      </w:r>
    </w:p>
    <w:p w14:paraId="588B36B9" w14:textId="47F540B0" w:rsidR="000E48CE" w:rsidRDefault="00FF4C4E">
      <w:pPr>
        <w:pStyle w:val="P68B1DB1-Normal4"/>
        <w:spacing w:before="120" w:after="120" w:line="240" w:lineRule="auto"/>
        <w:ind w:left="720"/>
        <w:jc w:val="both"/>
        <w:rPr>
          <w:rFonts w:eastAsia="Times New Roman" w:cs="Times New Roman"/>
          <w:noProof/>
        </w:rPr>
      </w:pPr>
      <w:r>
        <w:rPr>
          <w:noProof/>
        </w:rPr>
        <w:t>6) Vanguard Health -ohjelman toimet, joilla vahvistetaan ja kansainvälistetään terveysalan teollisia valmiuksia tukemalla Espanjan osallistumista useita maita koskeviin T &amp; K &amp; I-hankkeisiin, ii) tuki harvinaisten sairauksien diagnosointiin li</w:t>
      </w:r>
      <w:r>
        <w:rPr>
          <w:noProof/>
        </w:rPr>
        <w:t>ittyvään tutkimukseen ja kehittämiseen, iii) T &amp; K &amp; I-toiminnan tukeminen yksilöllisen täsmälääketieteen alalla, iv) proteomiikka- ja metabolomics-alustan kehittäminen Instituto de Salud Carlos III -instituutissa (ISCIII), v) ISCIII:n ihmisen biomonitoroi</w:t>
      </w:r>
      <w:r>
        <w:rPr>
          <w:noProof/>
        </w:rPr>
        <w:t>nti-infrastruktuurin päivittäminen, laajentaminen ja parantaminen, ja vi) potilaslähtöisen kliinisen tutkimuksen yksiköiden kehittäminen ja parantaminen, ja</w:t>
      </w:r>
    </w:p>
    <w:p w14:paraId="6FBF3EFB" w14:textId="4BC853A3" w:rsidR="000E48CE" w:rsidRDefault="00FF4C4E">
      <w:pPr>
        <w:pStyle w:val="P68B1DB1-Normal4"/>
        <w:spacing w:before="120" w:after="120" w:line="240" w:lineRule="auto"/>
        <w:ind w:left="720"/>
        <w:jc w:val="both"/>
        <w:rPr>
          <w:rFonts w:eastAsia="Times New Roman" w:cs="Times New Roman"/>
          <w:noProof/>
        </w:rPr>
      </w:pPr>
      <w:r>
        <w:rPr>
          <w:noProof/>
        </w:rPr>
        <w:t>7) terveydenhuoltoalalle myönnettyjen lainojen korvaamaton osa, joka täydentää investointia C17.I10</w:t>
      </w:r>
      <w:r>
        <w:rPr>
          <w:noProof/>
        </w:rPr>
        <w:t xml:space="preserve"> (Terveydenhuolto- ja avaruusteollisuuden lainat). </w:t>
      </w:r>
    </w:p>
    <w:p w14:paraId="16E012FB" w14:textId="77777777" w:rsidR="000E48CE" w:rsidRDefault="00FF4C4E">
      <w:pPr>
        <w:pStyle w:val="P68B1DB1-Normal4"/>
        <w:spacing w:before="120" w:after="120" w:line="240" w:lineRule="auto"/>
        <w:jc w:val="both"/>
        <w:rPr>
          <w:rFonts w:cs="Times New Roman"/>
          <w:noProof/>
        </w:rPr>
      </w:pPr>
      <w:r>
        <w:rPr>
          <w:noProof/>
        </w:rPr>
        <w:t>Tähän investointiin liittyvät toimet toteutetaan ehdotuspyyntöjen, julkisten ja yksityisten riskipääomasijoitusten ja suorien julkisten investointien avulla.</w:t>
      </w:r>
    </w:p>
    <w:p w14:paraId="2D44DAF6" w14:textId="5F3D8162" w:rsidR="000E48CE" w:rsidRDefault="00FF4C4E">
      <w:pPr>
        <w:pStyle w:val="P68B1DB1-Normal4"/>
        <w:spacing w:before="120" w:after="120" w:line="240" w:lineRule="auto"/>
        <w:jc w:val="both"/>
        <w:rPr>
          <w:rFonts w:cs="Times New Roman"/>
          <w:noProof/>
        </w:rPr>
      </w:pPr>
      <w:r>
        <w:rPr>
          <w:noProof/>
        </w:rPr>
        <w:t xml:space="preserve">Investoinnin toteuttaminen on saatettava päätökseen viimeistään </w:t>
      </w:r>
      <w:r>
        <w:rPr>
          <w:noProof/>
          <w:shd w:val="clear" w:color="auto" w:fill="FFFFFF" w:themeFill="background1"/>
        </w:rPr>
        <w:t>31 päivänä elokuuta</w:t>
      </w:r>
      <w:r>
        <w:rPr>
          <w:noProof/>
        </w:rPr>
        <w:t xml:space="preserve"> 2026. </w:t>
      </w:r>
    </w:p>
    <w:p w14:paraId="4590D68D" w14:textId="77777777" w:rsidR="000E48CE" w:rsidRDefault="00FF4C4E">
      <w:pPr>
        <w:pStyle w:val="P68B1DB1-Normal6"/>
        <w:spacing w:before="120" w:after="120" w:line="240" w:lineRule="auto"/>
        <w:jc w:val="both"/>
        <w:rPr>
          <w:rFonts w:cs="Times New Roman"/>
          <w:noProof/>
        </w:rPr>
      </w:pPr>
      <w:r>
        <w:rPr>
          <w:noProof/>
        </w:rPr>
        <w:t>Investointi 7 (C17.I7): Ympäristö, ilmastonmuutos ja energia</w:t>
      </w:r>
    </w:p>
    <w:p w14:paraId="6083A820" w14:textId="77777777" w:rsidR="000E48CE" w:rsidRDefault="00FF4C4E">
      <w:pPr>
        <w:pStyle w:val="P68B1DB1-Normal4"/>
        <w:spacing w:before="120" w:after="120" w:line="240" w:lineRule="auto"/>
        <w:jc w:val="both"/>
        <w:rPr>
          <w:rFonts w:cs="Times New Roman"/>
          <w:noProof/>
        </w:rPr>
      </w:pPr>
      <w:r>
        <w:rPr>
          <w:noProof/>
        </w:rPr>
        <w:t>Tämän toimenpiteen tavoitteena on edistää tutkimusta ja innovointia ympäristö-, ilmastonmuutos- ja energ</w:t>
      </w:r>
      <w:r>
        <w:rPr>
          <w:noProof/>
        </w:rPr>
        <w:t>ia-alalla. Toimenpiteellä tuetaan 1) T &amp; K &amp; I-hankkeet, jotka liittyvät kestävään muoviin kiertotaloudessa, vaihtoehtoisten muovien tuotantoon ja muovijätteen kestävään huoltoon, 2) ilmastonmuutokseen ja vesivarantoihin kohdistuvaan vaikutukseen, 3) energ</w:t>
      </w:r>
      <w:r>
        <w:rPr>
          <w:noProof/>
        </w:rPr>
        <w:t>iasiirtymän huipputeknologian komponentteja koskeva hanke, jossa tarkastellaan erityisesti energian varastointia ja prototyyppilaitosten kehittämistä teollisuuden prosessipäästöistä peräisin olevan hiilidioksidin talteenottoon energiaintensiivisillä teolli</w:t>
      </w:r>
      <w:r>
        <w:rPr>
          <w:noProof/>
        </w:rPr>
        <w:t xml:space="preserve">suudenaloilla, joita </w:t>
      </w:r>
      <w:r>
        <w:rPr>
          <w:i/>
          <w:noProof/>
        </w:rPr>
        <w:t>Consejo Superior de Investigaciones Científicas</w:t>
      </w:r>
      <w:r>
        <w:rPr>
          <w:noProof/>
        </w:rPr>
        <w:t xml:space="preserve"> (CSIC). Jos mukana on EU:n päästökauppajärjestelmään kuuluvia laitoksia, niiden on saavutettava ennustetut kasvihuonekaasupäästöt, jotka ovat vähintään asiaankuuluvien vertailuarvojen ala</w:t>
      </w:r>
      <w:r>
        <w:rPr>
          <w:noProof/>
        </w:rPr>
        <w:t>puolella,</w:t>
      </w:r>
      <w:r>
        <w:rPr>
          <w:noProof/>
        </w:rPr>
        <w:footnoteReference w:id="169"/>
      </w:r>
      <w:r>
        <w:rPr>
          <w:noProof/>
        </w:rPr>
        <w:t>ja fossiilisiin polttoaineisiin liittyvät toiminnot, mukaan lukien jatkokäyttö, jätetään soveltamisalan ulkopuolelle</w:t>
      </w:r>
      <w:r>
        <w:rPr>
          <w:noProof/>
        </w:rPr>
        <w:footnoteReference w:id="170"/>
      </w:r>
      <w:r>
        <w:rPr>
          <w:noProof/>
        </w:rPr>
        <w:t>, 4) strategisia metalleja koskeva tutkimushanke energiasiirtymää varten ja 5) energian varastointi-, tutkimus- ja kehityskeskuks</w:t>
      </w:r>
      <w:r>
        <w:rPr>
          <w:noProof/>
        </w:rPr>
        <w:t>en perustaminen Extremaduuraan, jotta vihreän energian tuotannon hallintaa, erityisesti teollisia vetysovelluksia, sekä vihreän vedyn tuotantoa, varastointia ja kuljetusta koskevia teknisiä ja tieteellisiä vastauksia voidaan vauhdittaa. Toimenpiteellä tuet</w:t>
      </w:r>
      <w:r>
        <w:rPr>
          <w:noProof/>
        </w:rPr>
        <w:t xml:space="preserve">aan myös valmiuksien kehittämistä, joka toteutetaan keskuksessa, jotta voidaan kouluttaa tutkijoita ja tutkijoita energian ja energian varastoinnin alalla. </w:t>
      </w:r>
    </w:p>
    <w:p w14:paraId="35D5C9B7" w14:textId="55997F64" w:rsidR="000E48CE" w:rsidRDefault="00FF4C4E">
      <w:pPr>
        <w:pStyle w:val="P68B1DB1-Normal4"/>
        <w:spacing w:before="120" w:after="120" w:line="240" w:lineRule="auto"/>
        <w:jc w:val="both"/>
        <w:rPr>
          <w:rFonts w:cs="Times New Roman"/>
          <w:noProof/>
        </w:rPr>
      </w:pPr>
      <w:r>
        <w:rPr>
          <w:noProof/>
        </w:rPr>
        <w:t>Investointiin liittyvät toimet toteutetaan tarjouspyyntöinä.</w:t>
      </w:r>
    </w:p>
    <w:p w14:paraId="65A82F25" w14:textId="6CF40F12" w:rsidR="000E48CE" w:rsidRDefault="00FF4C4E">
      <w:pPr>
        <w:pStyle w:val="Text1"/>
        <w:ind w:left="0"/>
        <w:rPr>
          <w:rFonts w:ascii="Times New Roman" w:hAnsi="Times New Roman" w:cs="Times New Roman"/>
          <w:noProof/>
          <w:highlight w:val="yellow"/>
        </w:rPr>
      </w:pPr>
      <w:r>
        <w:rPr>
          <w:rFonts w:ascii="Times New Roman" w:hAnsi="Times New Roman"/>
          <w:noProof/>
        </w:rPr>
        <w:t>Sen varmistamiseksi, että toimenpide n</w:t>
      </w:r>
      <w:r>
        <w:rPr>
          <w:rFonts w:ascii="Times New Roman" w:hAnsi="Times New Roman"/>
          <w:noProof/>
        </w:rPr>
        <w:t xml:space="preserve">oudattaa ”ei merkittävää haittaa” -periaatetta koskevaa teknistä ohjetta (2021/C58/01), tulevien hankepyyntöjen tehtävänmääritykseen sisältyviin tukikelpoisuusperusteisiin ei lueta seuraavia toimia: fossiilisiin polttoaineisiin liittyvät toiminnot, mukaan </w:t>
      </w:r>
      <w:r>
        <w:rPr>
          <w:rFonts w:ascii="Times New Roman" w:hAnsi="Times New Roman"/>
          <w:noProof/>
        </w:rPr>
        <w:t>lukien käyttö loppupäässä</w:t>
      </w:r>
      <w:r>
        <w:rPr>
          <w:rStyle w:val="FootnoteReference"/>
          <w:rFonts w:ascii="Times New Roman" w:hAnsi="Times New Roman" w:cs="Times New Roman"/>
          <w:noProof/>
        </w:rPr>
        <w:footnoteReference w:id="171"/>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172"/>
      </w:r>
      <w:r>
        <w:rPr>
          <w:rFonts w:ascii="Times New Roman" w:hAnsi="Times New Roman"/>
          <w:noProof/>
        </w:rPr>
        <w:t>; jätteiden kaatopaikkoihin, polttolaitoksiin</w:t>
      </w:r>
      <w:r>
        <w:rPr>
          <w:rStyle w:val="FootnoteReference"/>
          <w:rFonts w:ascii="Times New Roman" w:hAnsi="Times New Roman" w:cs="Times New Roman"/>
          <w:noProof/>
        </w:rPr>
        <w:footnoteReference w:id="173"/>
      </w:r>
      <w:r>
        <w:rPr>
          <w:rFonts w:ascii="Times New Roman" w:hAnsi="Times New Roman"/>
          <w:noProof/>
        </w:rPr>
        <w:t xml:space="preserve"> ja mekaanisiin biologisiin </w:t>
      </w:r>
      <w:r>
        <w:rPr>
          <w:rFonts w:ascii="Times New Roman" w:hAnsi="Times New Roman"/>
          <w:noProof/>
        </w:rPr>
        <w:t>käsittelylaitoksiin liittyvät toimet</w:t>
      </w:r>
      <w:r>
        <w:rPr>
          <w:rStyle w:val="FootnoteReference"/>
          <w:rFonts w:ascii="Times New Roman" w:hAnsi="Times New Roman" w:cs="Times New Roman"/>
          <w:noProof/>
        </w:rPr>
        <w:footnoteReference w:id="174"/>
      </w:r>
      <w:r>
        <w:rPr>
          <w:rFonts w:ascii="Times New Roman" w:hAnsi="Times New Roman"/>
          <w:noProof/>
        </w:rPr>
        <w:t>; ja iv) toiminnot, joissa jätteiden pitkän aikavälin loppukäsittely voi aiheuttaa haittaa ympäristölle. Tehtävänmäärityksessä on lisäksi edellytettävä, että ainoastaan asiaa koskevan EU:n ja kansallisen ympäristölainsä</w:t>
      </w:r>
      <w:r>
        <w:rPr>
          <w:rFonts w:ascii="Times New Roman" w:hAnsi="Times New Roman"/>
          <w:noProof/>
        </w:rPr>
        <w:t>ädännön mukaisia toimintoja voidaan valita.</w:t>
      </w:r>
    </w:p>
    <w:p w14:paraId="00258B17" w14:textId="77777777" w:rsidR="000E48CE" w:rsidRDefault="00FF4C4E">
      <w:pPr>
        <w:pStyle w:val="P68B1DB1-Normal4"/>
        <w:spacing w:before="120" w:after="120" w:line="240" w:lineRule="auto"/>
        <w:jc w:val="both"/>
        <w:rPr>
          <w:rFonts w:cs="Times New Roman"/>
          <w:noProof/>
        </w:rPr>
      </w:pPr>
      <w:r>
        <w:rPr>
          <w:noProof/>
        </w:rPr>
        <w:t>Seuraavien tämän investoinnin mukaisten T &amp; K &amp; I-toimien katsotaan olevan ”ei merkittävää haittaa” -periaatteen mukaisia (2021/C58/01): tämän investoinnin mukaiset T &amp; K &amp; I-toimet, jotka johtavat teknologianeut</w:t>
      </w:r>
      <w:r>
        <w:rPr>
          <w:noProof/>
        </w:rPr>
        <w:t>raaleihin tuloksiin niiden soveltamistasolla; II) ne tämän investoinnin mukaiset T &amp; K &amp; I-toimet, joilla tuetaan sellaisia vaihtoehtoja, joiden ympäristövaikutukset ovat vähäiset ja joita varten niitä on olemassa; tai iii) ne tämän investoinnin mukaiset T</w:t>
      </w:r>
      <w:r>
        <w:rPr>
          <w:noProof/>
        </w:rPr>
        <w:t xml:space="preserve"> &amp; K &amp; I-toimet, joissa keskitytään ensisijaisesti sellaisten vaihtoehtojen kehittämiseen, joilla on mahdollisimman vähän ympäristövaikutuksia alalla sellaisia toimia varten, joille ei ole teknisesti ja taloudellisesti toteuttamiskelpoista vähävaikutteista</w:t>
      </w:r>
      <w:r>
        <w:rPr>
          <w:noProof/>
        </w:rPr>
        <w:t xml:space="preserve"> vaihtoehtoa.</w:t>
      </w:r>
    </w:p>
    <w:p w14:paraId="3B55B35E" w14:textId="77777777" w:rsidR="000E48CE" w:rsidRDefault="00FF4C4E">
      <w:pPr>
        <w:pStyle w:val="P68B1DB1-Normal4"/>
        <w:autoSpaceDE w:val="0"/>
        <w:autoSpaceDN w:val="0"/>
        <w:spacing w:before="40" w:after="40"/>
        <w:rPr>
          <w:rFonts w:cs="Times New Roman"/>
          <w:noProof/>
        </w:rPr>
      </w:pPr>
      <w:r>
        <w:rPr>
          <w:noProof/>
        </w:rPr>
        <w:t xml:space="preserve">Investoinnin toteutus saatetaan päätökseen viimeistään 30. kesäkuuta 2026. </w:t>
      </w:r>
    </w:p>
    <w:p w14:paraId="61CEF7F6" w14:textId="1EFAA33F" w:rsidR="000E48CE" w:rsidRDefault="00FF4C4E">
      <w:pPr>
        <w:pStyle w:val="P68B1DB1-Normal6"/>
        <w:keepNext/>
        <w:spacing w:before="120" w:after="120" w:line="240" w:lineRule="auto"/>
        <w:jc w:val="both"/>
        <w:rPr>
          <w:rFonts w:cs="Times New Roman"/>
          <w:noProof/>
        </w:rPr>
      </w:pPr>
      <w:r>
        <w:rPr>
          <w:noProof/>
        </w:rPr>
        <w:t xml:space="preserve">Investointi 8 (C17.I8): Kestävä autoteollisuuden T &amp; K &amp; I-toiminta  </w:t>
      </w:r>
    </w:p>
    <w:p w14:paraId="5C0B8649" w14:textId="77777777" w:rsidR="000E48CE" w:rsidRDefault="00FF4C4E">
      <w:pPr>
        <w:pStyle w:val="P68B1DB1-Normal4"/>
        <w:keepNext/>
        <w:spacing w:before="120" w:after="120" w:line="240" w:lineRule="auto"/>
        <w:jc w:val="both"/>
        <w:rPr>
          <w:rFonts w:cs="Times New Roman"/>
          <w:noProof/>
        </w:rPr>
      </w:pPr>
      <w:r>
        <w:rPr>
          <w:noProof/>
        </w:rPr>
        <w:t>Tämän toimenpiteen tavoitteena on edistää tutkimusta ja innovointia kestävän autoteollisuuden al</w:t>
      </w:r>
      <w:r>
        <w:rPr>
          <w:noProof/>
        </w:rPr>
        <w:t>alla. Toimenpiteellä pyritään erityisesti 1) tuetaan komponenttien ja alustojen kehittämistä yksinomaan sähköisiä, ladattavia hybridi- ja vetyajoneuvoja varten, 2) edistetään autonomisen ajamisen ja verkottuneen liikkuvuuden tutkimusta ja kehittämistä kehi</w:t>
      </w:r>
      <w:r>
        <w:rPr>
          <w:noProof/>
        </w:rPr>
        <w:t>ttämällä uusia laitteisto- ja ohjelmistoajoneuvoarkkitehtuuria ja 3) mukauttamalla komponenttien ja järjestelmien tuotantoalueita yksinomaan sähkökäyttöisiä, ladattavia hybridiajoneuvoja ja vetyajoneuvoja varten. Hankkeiden toteuttamisesta vastaavat yritys</w:t>
      </w:r>
      <w:r>
        <w:rPr>
          <w:noProof/>
        </w:rPr>
        <w:t xml:space="preserve">ten yhteenliittymät, joissa on 3–8 yritystä (vähintään yhden on oltava pk-yritys), enintään kolme vuotta. </w:t>
      </w:r>
    </w:p>
    <w:p w14:paraId="412B8A44" w14:textId="77777777" w:rsidR="000E48CE" w:rsidRDefault="00FF4C4E">
      <w:pPr>
        <w:pStyle w:val="P68B1DB1-Normal4"/>
        <w:spacing w:before="120" w:after="120" w:line="240" w:lineRule="auto"/>
        <w:jc w:val="both"/>
        <w:rPr>
          <w:rFonts w:cs="Times New Roman"/>
          <w:noProof/>
        </w:rPr>
      </w:pPr>
      <w:r>
        <w:rPr>
          <w:noProof/>
        </w:rPr>
        <w:t xml:space="preserve">Tämän investoinnin puitteissa toteutettavat toimet toteutetaan ehdotuspyyntöjen perusteella. </w:t>
      </w:r>
    </w:p>
    <w:p w14:paraId="3E64342F"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noudattaa ”ei merk</w:t>
      </w:r>
      <w:r>
        <w:rPr>
          <w:rFonts w:ascii="Times New Roman" w:hAnsi="Times New Roman"/>
          <w:noProof/>
        </w:rPr>
        <w:t>ittävää haittaa” -periaatetta koskevaa teknistä ohjetta (2021/C58/01), tulevien hankepyyntöjen tehtävänmääritykseen sisältyviin tukikelpoisuusperusteisiin ei lueta seuraavia toimia: fossiilisiin polttoaineisiin liittyvät toiminnot, mukaan lukien käyttö lop</w:t>
      </w:r>
      <w:r>
        <w:rPr>
          <w:rFonts w:ascii="Times New Roman" w:hAnsi="Times New Roman"/>
          <w:noProof/>
        </w:rPr>
        <w:t>pupäässä</w:t>
      </w:r>
      <w:r>
        <w:rPr>
          <w:rStyle w:val="FootnoteReference"/>
          <w:rFonts w:ascii="Times New Roman" w:hAnsi="Times New Roman" w:cs="Times New Roman"/>
          <w:noProof/>
        </w:rPr>
        <w:footnoteReference w:id="175"/>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176"/>
      </w:r>
      <w:r>
        <w:rPr>
          <w:rFonts w:ascii="Times New Roman" w:hAnsi="Times New Roman"/>
          <w:noProof/>
        </w:rPr>
        <w:t>; jätteiden kaatopaikkoihin, polttolaitoksiin</w:t>
      </w:r>
      <w:r>
        <w:rPr>
          <w:rStyle w:val="FootnoteReference"/>
          <w:rFonts w:ascii="Times New Roman" w:hAnsi="Times New Roman" w:cs="Times New Roman"/>
          <w:noProof/>
        </w:rPr>
        <w:footnoteReference w:id="177"/>
      </w:r>
      <w:r>
        <w:rPr>
          <w:rFonts w:ascii="Times New Roman" w:hAnsi="Times New Roman"/>
          <w:noProof/>
        </w:rPr>
        <w:t xml:space="preserve"> ja mekaanisiin biologisiin käsittelylaitoksi</w:t>
      </w:r>
      <w:r>
        <w:rPr>
          <w:rFonts w:ascii="Times New Roman" w:hAnsi="Times New Roman"/>
          <w:noProof/>
        </w:rPr>
        <w:t>in liittyvät toimet</w:t>
      </w:r>
      <w:r>
        <w:rPr>
          <w:rStyle w:val="FootnoteReference"/>
          <w:rFonts w:ascii="Times New Roman" w:hAnsi="Times New Roman" w:cs="Times New Roman"/>
          <w:noProof/>
        </w:rPr>
        <w:footnoteReference w:id="178"/>
      </w:r>
      <w:r>
        <w:rPr>
          <w:rFonts w:ascii="Times New Roman" w:hAnsi="Times New Roman"/>
          <w:noProof/>
        </w:rPr>
        <w:t xml:space="preserve">; ja iv) toiminnot, joissa jätteiden pitkän aikavälin loppukäsittely voi aiheuttaa haittaa ympäristölle. Tehtävänmäärityksessä on lisäksi edellytettävä, että ainoastaan asiaa koskevan EU:n ja kansallisen ympäristölainsäädännön mukaisia </w:t>
      </w:r>
      <w:r>
        <w:rPr>
          <w:rFonts w:ascii="Times New Roman" w:hAnsi="Times New Roman"/>
          <w:noProof/>
        </w:rPr>
        <w:t>toimintoja voidaan valita.</w:t>
      </w:r>
    </w:p>
    <w:p w14:paraId="2532D4FB" w14:textId="77777777" w:rsidR="000E48CE" w:rsidRDefault="00FF4C4E">
      <w:pPr>
        <w:pStyle w:val="P68B1DB1-Normal4"/>
        <w:spacing w:before="120" w:after="120" w:line="240" w:lineRule="auto"/>
        <w:jc w:val="both"/>
        <w:rPr>
          <w:rFonts w:cs="Times New Roman"/>
          <w:noProof/>
        </w:rPr>
      </w:pPr>
      <w:r>
        <w:rPr>
          <w:noProof/>
        </w:rPr>
        <w:t>Seuraavien tämän investoinnin mukaisten T &amp; K &amp; I-toimien katsotaan olevan ”ei merkittävää haittaa” -periaatteen mukaisia (2021/C58/01): tämän investoinnin mukaiset T &amp; K &amp; I-toimet, jotka johtavat teknologianeutraaleihin tuloksi</w:t>
      </w:r>
      <w:r>
        <w:rPr>
          <w:noProof/>
        </w:rPr>
        <w:t xml:space="preserve">in niiden soveltamistasolla; II) ne tämän investoinnin mukaiset T &amp; K &amp; I-toimet, joilla tuetaan sellaisia vaihtoehtoja, joiden ympäristövaikutukset ovat vähäiset ja joita varten niitä on olemassa; tai iii) ne tämän investoinnin mukaiset T &amp; K &amp; I-toimet, </w:t>
      </w:r>
      <w:r>
        <w:rPr>
          <w:noProof/>
        </w:rPr>
        <w:t>joissa keskitytään ensisijaisesti sellaisten vaihtoehtojen kehittämiseen, joilla on mahdollisimman vähän ympäristövaikutuksia alalla sellaisia toimia varten, joille ei ole teknisesti ja taloudellisesti toteuttamiskelpoista vähävaikutteista vaihtoehtoa.</w:t>
      </w:r>
    </w:p>
    <w:p w14:paraId="2A2155DC" w14:textId="77777777" w:rsidR="000E48CE" w:rsidRDefault="00FF4C4E">
      <w:pPr>
        <w:pStyle w:val="P68B1DB1-Normal4"/>
        <w:autoSpaceDE w:val="0"/>
        <w:autoSpaceDN w:val="0"/>
        <w:spacing w:before="40" w:after="40"/>
        <w:rPr>
          <w:rFonts w:cs="Times New Roman"/>
          <w:noProof/>
        </w:rPr>
      </w:pPr>
      <w:r>
        <w:rPr>
          <w:noProof/>
        </w:rPr>
        <w:t>Inv</w:t>
      </w:r>
      <w:r>
        <w:rPr>
          <w:noProof/>
        </w:rPr>
        <w:t xml:space="preserve">estoinnin toteuttaminen on saatettava päätökseen viimeistään 30 päivänä kesäkuuta 2024. </w:t>
      </w:r>
    </w:p>
    <w:p w14:paraId="5BE7A6FF" w14:textId="77777777" w:rsidR="000E48CE" w:rsidRDefault="00FF4C4E">
      <w:pPr>
        <w:pStyle w:val="P68B1DB1-Normal6"/>
        <w:spacing w:before="120" w:after="120" w:line="240" w:lineRule="auto"/>
        <w:jc w:val="both"/>
        <w:rPr>
          <w:rFonts w:cs="Times New Roman"/>
          <w:noProof/>
        </w:rPr>
      </w:pPr>
      <w:r>
        <w:rPr>
          <w:noProof/>
        </w:rPr>
        <w:t>Investointi 9 (C17.I9): Aerospace</w:t>
      </w:r>
    </w:p>
    <w:p w14:paraId="1B07EE26" w14:textId="01F78A81" w:rsidR="000E48CE" w:rsidRDefault="00FF4C4E">
      <w:pPr>
        <w:pStyle w:val="P68B1DB1-Normal4"/>
        <w:spacing w:before="120" w:after="120" w:line="240" w:lineRule="auto"/>
        <w:jc w:val="both"/>
        <w:rPr>
          <w:rFonts w:cs="Times New Roman"/>
          <w:noProof/>
        </w:rPr>
      </w:pPr>
      <w:r>
        <w:rPr>
          <w:noProof/>
        </w:rPr>
        <w:t xml:space="preserve">Tämän toimenpiteen tavoitteena on edistää ilmailu- ja avaruusalan tutkimusta ja innovointia keskittyen ensisijaisesti tämän investoinnin toimiin, jotka liittyvät vähähiilisiin tai hiilettömiin ilmailu- ja avaruusteknologioihin ja ilmailuun. Toimenpiteellä </w:t>
      </w:r>
      <w:bookmarkStart w:id="53" w:name="_Hlk70075465"/>
      <w:r>
        <w:rPr>
          <w:noProof/>
        </w:rPr>
        <w:t>pyritään parantamaan teollista kapasiteettia, joka liittyy tuleviin vähäpäästöisiin ja päästöttömiin ilma-aluksiin, miehittämättömiin ilma-aluksiin, ilma-aluksiin nouseviin järjestelmiin, monikäyttöisiin ilma-aluksiin ja kehittyneisiin valmistusjärjestelmi</w:t>
      </w:r>
      <w:r>
        <w:rPr>
          <w:noProof/>
        </w:rPr>
        <w:t>in, joihin sisältyy digitaalisten kaksosten luominen, tehokkuuden edistäminen, resurssien kulutuksen vähentäminen tai ympäristövaikutusten vähentäminen. Kansallisen avaruusteknologiaohjelman</w:t>
      </w:r>
      <w:bookmarkEnd w:id="53"/>
      <w:r>
        <w:rPr>
          <w:noProof/>
        </w:rPr>
        <w:t>puitteissa toimenpiteellä tuetaan myös ilmailu- ja avaruusteollisu</w:t>
      </w:r>
      <w:r>
        <w:rPr>
          <w:noProof/>
        </w:rPr>
        <w:t>utta rahoittamalla T &amp; K &amp; I-toimintaa, tuotantokapasiteetin päivittämistä, digitalisaatiota ja teknologiaa sekä alan kestävyyttä edistävien vihreiden teknologioiden kehittämistä ja käyttöönottoa. Kiinnostavia aloja ovat muun muassa pääsy avaruuteen, maanh</w:t>
      </w:r>
      <w:r>
        <w:rPr>
          <w:noProof/>
        </w:rPr>
        <w:t xml:space="preserve">avainnointi, optiset ja turvalliset viestintäjärjestelmät sekä satelliittijärjestelmät. Tämän investoinnin puitteissa toteutettavat toimet toteutetaan ehdotuspyyntöjen ja julkisten hankintojen avulla. </w:t>
      </w:r>
    </w:p>
    <w:p w14:paraId="1A47E194" w14:textId="496E8A72" w:rsidR="000E48CE" w:rsidRDefault="00FF4C4E">
      <w:pPr>
        <w:pStyle w:val="P68B1DB1-Normal4"/>
        <w:spacing w:before="120" w:after="120" w:line="240" w:lineRule="auto"/>
        <w:jc w:val="both"/>
        <w:rPr>
          <w:rFonts w:cs="Times New Roman"/>
          <w:noProof/>
        </w:rPr>
      </w:pPr>
      <w:r>
        <w:rPr>
          <w:noProof/>
        </w:rPr>
        <w:t>Lisäksi investoinnin C17.I10 (Terveydenhuolto- ja avar</w:t>
      </w:r>
      <w:r>
        <w:rPr>
          <w:noProof/>
        </w:rPr>
        <w:t>uusteollisuuden lainat) täydentämiseksi ilmailu- ja avaruusteollisuudelle myönnettyjen lainojen korvaamaton osa sisällytetään tähän investointiin.</w:t>
      </w:r>
    </w:p>
    <w:p w14:paraId="36F69F39" w14:textId="3A6D00AD"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on ”ei merkittävää haittaa” -periaatetta koskevien teknisten ohjeiden (2</w:t>
      </w:r>
      <w:r>
        <w:rPr>
          <w:rFonts w:ascii="Times New Roman" w:hAnsi="Times New Roman"/>
          <w:noProof/>
        </w:rPr>
        <w:t>021/C58/01) mukainen, tulevien hanke- tai julkisia hankintoja koskevien tarjouskilpailujen tarjouseritelmään sisältyvissä kelpoisuuskriteereissä on suljettava pois seuraava toimintaluettelo: fossiilisiin polttoaineisiin liittyvät toiminnot, mukaan lukien k</w:t>
      </w:r>
      <w:r>
        <w:rPr>
          <w:rFonts w:ascii="Times New Roman" w:hAnsi="Times New Roman"/>
          <w:noProof/>
        </w:rPr>
        <w:t>äyttö loppupäässä</w:t>
      </w:r>
      <w:r>
        <w:rPr>
          <w:rStyle w:val="FootnoteReference"/>
          <w:rFonts w:ascii="Times New Roman" w:hAnsi="Times New Roman" w:cs="Times New Roman"/>
          <w:noProof/>
        </w:rPr>
        <w:footnoteReference w:id="179"/>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180"/>
      </w:r>
      <w:r>
        <w:rPr>
          <w:rFonts w:ascii="Times New Roman" w:hAnsi="Times New Roman"/>
          <w:noProof/>
        </w:rPr>
        <w:t>; jätteiden kaatopaikkoihin, polttolaitoksiin</w:t>
      </w:r>
      <w:r>
        <w:rPr>
          <w:rStyle w:val="FootnoteReference"/>
          <w:rFonts w:ascii="Times New Roman" w:hAnsi="Times New Roman" w:cs="Times New Roman"/>
          <w:noProof/>
        </w:rPr>
        <w:footnoteReference w:id="181"/>
      </w:r>
      <w:r>
        <w:rPr>
          <w:rFonts w:ascii="Times New Roman" w:hAnsi="Times New Roman"/>
          <w:noProof/>
        </w:rPr>
        <w:t xml:space="preserve"> ja mekaanisiin biologisiin käsittel</w:t>
      </w:r>
      <w:r>
        <w:rPr>
          <w:rFonts w:ascii="Times New Roman" w:hAnsi="Times New Roman"/>
          <w:noProof/>
        </w:rPr>
        <w:t>ylaitoksiin liittyvät toimet</w:t>
      </w:r>
      <w:r>
        <w:rPr>
          <w:rStyle w:val="FootnoteReference"/>
          <w:rFonts w:ascii="Times New Roman" w:hAnsi="Times New Roman" w:cs="Times New Roman"/>
          <w:noProof/>
        </w:rPr>
        <w:footnoteReference w:id="182"/>
      </w:r>
      <w:r>
        <w:rPr>
          <w:rFonts w:ascii="Times New Roman" w:hAnsi="Times New Roman"/>
          <w:noProof/>
        </w:rPr>
        <w:t>; ja iv) toiminnot, joissa jätteiden pitkän aikavälin loppukäsittely voi aiheuttaa haittaa ympäristölle. . Tehtävänmäärityksessä on lisäksi edellytettävä, että ainoastaan asiaa koskevan EU:n ja kansallisen ympäristölainsäädännö</w:t>
      </w:r>
      <w:r>
        <w:rPr>
          <w:rFonts w:ascii="Times New Roman" w:hAnsi="Times New Roman"/>
          <w:noProof/>
        </w:rPr>
        <w:t>n mukaisia toimintoja voidaan valita.</w:t>
      </w:r>
    </w:p>
    <w:p w14:paraId="2E47150A" w14:textId="02BFC0D9" w:rsidR="000E48CE" w:rsidRDefault="00FF4C4E">
      <w:pPr>
        <w:pStyle w:val="P68B1DB1-Normal4"/>
        <w:spacing w:before="120" w:after="120" w:line="240" w:lineRule="auto"/>
        <w:jc w:val="both"/>
        <w:rPr>
          <w:rFonts w:cs="Times New Roman"/>
          <w:noProof/>
        </w:rPr>
      </w:pPr>
      <w:r>
        <w:rPr>
          <w:noProof/>
        </w:rPr>
        <w:t>Seuraavien tämän investoinnin mukaisten T &amp; K &amp; I-toimien katsotaan olevan ”ei merkittävää haittaa” -periaatteen mukaisia (2021/C58/01): tämän investoinnin mukaiset T &amp; K &amp; I-toimet, jotka johtavat teknologianeutraalei</w:t>
      </w:r>
      <w:r>
        <w:rPr>
          <w:noProof/>
        </w:rPr>
        <w:t>hin tuloksiin niiden soveltamistasolla; II) ne tämän investoinnin mukaiset T &amp; K &amp; I-toimet, joilla tuetaan sellaisia vaihtoehtoja, joiden ympäristövaikutukset ovat vähäiset ja joita varten niitä on olemassa; tai iii) ne tämän investoinnin mukaiset T &amp; K &amp;</w:t>
      </w:r>
      <w:r>
        <w:rPr>
          <w:noProof/>
        </w:rPr>
        <w:t xml:space="preserve"> I-toimet, joissa keskitytään ensisijaisesti sellaisten vaihtoehtojen kehittämiseen, joilla on mahdollisimman vähän ympäristövaikutuksia alalla sellaisia toimia varten, joille ei ole teknisesti ja taloudellisesti toteuttamiskelpoista vähävaikutteista vaiht</w:t>
      </w:r>
      <w:r>
        <w:rPr>
          <w:noProof/>
        </w:rPr>
        <w:t>oehtoa.</w:t>
      </w:r>
    </w:p>
    <w:p w14:paraId="77FEF779" w14:textId="468A384D" w:rsidR="000E48CE" w:rsidRDefault="00FF4C4E">
      <w:pPr>
        <w:pStyle w:val="P68B1DB1-Normal4"/>
        <w:autoSpaceDE w:val="0"/>
        <w:autoSpaceDN w:val="0"/>
        <w:spacing w:before="40" w:after="40"/>
        <w:rPr>
          <w:rFonts w:cs="Times New Roman"/>
          <w:noProof/>
        </w:rPr>
      </w:pPr>
      <w:r>
        <w:rPr>
          <w:noProof/>
        </w:rPr>
        <w:t xml:space="preserve">Investoinnin toteuttaminen on saatettava päätökseen viimeistään </w:t>
      </w:r>
      <w:r>
        <w:rPr>
          <w:noProof/>
          <w:shd w:val="clear" w:color="auto" w:fill="FFFFFF" w:themeFill="background1"/>
        </w:rPr>
        <w:t>31 päivänä elokuuta</w:t>
      </w:r>
      <w:r>
        <w:rPr>
          <w:noProof/>
        </w:rPr>
        <w:t xml:space="preserve"> 2026. </w:t>
      </w:r>
    </w:p>
    <w:p w14:paraId="0B68CACE" w14:textId="77777777" w:rsidR="000E48CE" w:rsidRDefault="00FF4C4E">
      <w:pPr>
        <w:pStyle w:val="P68B1DB1-Normal5"/>
        <w:spacing w:before="120" w:after="120" w:line="240" w:lineRule="auto"/>
        <w:ind w:left="720"/>
        <w:jc w:val="both"/>
        <w:rPr>
          <w:rFonts w:cs="Times New Roman"/>
          <w:noProof/>
        </w:rPr>
      </w:pPr>
      <w:r>
        <w:rPr>
          <w:noProof/>
        </w:rPr>
        <w:t xml:space="preserve">KYSYMYS 2 </w:t>
      </w:r>
      <w:r>
        <w:rPr>
          <w:noProof/>
        </w:rPr>
        <w:tab/>
        <w:t>Seurantaa ja täytäntöönpanoa koskevat välitavoitteet, tavoitteet, indikaattorit ja aikataulu – rahoitustuki, jota ei makseta takaisin</w:t>
      </w:r>
    </w:p>
    <w:p w14:paraId="4E38FF67" w14:textId="77777777" w:rsidR="000E48CE" w:rsidRDefault="00FF4C4E">
      <w:pPr>
        <w:pStyle w:val="P68B1DB1-Normal4"/>
        <w:spacing w:before="120" w:after="120" w:line="240" w:lineRule="auto"/>
        <w:jc w:val="both"/>
        <w:rPr>
          <w:rFonts w:cs="Times New Roman"/>
          <w:noProof/>
        </w:rPr>
        <w:sectPr w:rsidR="000E48CE" w:rsidSect="00EB7CC8">
          <w:headerReference w:type="even" r:id="rId348"/>
          <w:headerReference w:type="default" r:id="rId349"/>
          <w:footerReference w:type="even" r:id="rId350"/>
          <w:footerReference w:type="default" r:id="rId351"/>
          <w:headerReference w:type="first" r:id="rId352"/>
          <w:footerReference w:type="first" r:id="rId353"/>
          <w:pgSz w:w="11907" w:h="16839"/>
          <w:pgMar w:top="1134" w:right="1417" w:bottom="1134" w:left="1417" w:header="709" w:footer="709" w:gutter="0"/>
          <w:cols w:space="720"/>
          <w:docGrid w:linePitch="360"/>
        </w:sectPr>
      </w:pPr>
      <w:r>
        <w:rPr>
          <w:i/>
          <w:noProof/>
        </w:rPr>
        <w:t>Ks. taulukko jäljempänä.</w:t>
      </w:r>
      <w:r>
        <w:rPr>
          <w:noProof/>
        </w:rPr>
        <w:t xml:space="preserve"> </w:t>
      </w:r>
      <w:r>
        <w:rPr>
          <w:i/>
          <w:noProof/>
        </w:rPr>
        <w:t>Kaikkien indikaattoreiden perustaso on 1. helmikuuta 2020, ellei toimen kuvauksessa toisin ilmoiteta. Taulukossa esitetyt määrät eivät sisällä arvonlisäveroa.</w:t>
      </w:r>
    </w:p>
    <w:tbl>
      <w:tblPr>
        <w:tblW w:w="1442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1"/>
        <w:gridCol w:w="729"/>
        <w:gridCol w:w="609"/>
        <w:gridCol w:w="2039"/>
        <w:gridCol w:w="993"/>
        <w:gridCol w:w="850"/>
        <w:gridCol w:w="709"/>
        <w:gridCol w:w="850"/>
        <w:gridCol w:w="567"/>
        <w:gridCol w:w="567"/>
        <w:gridCol w:w="5812"/>
      </w:tblGrid>
      <w:tr w:rsidR="000E48CE" w14:paraId="2C5D1B51" w14:textId="77777777">
        <w:trPr>
          <w:trHeight w:val="309"/>
          <w:tblHeader/>
        </w:trPr>
        <w:tc>
          <w:tcPr>
            <w:tcW w:w="701" w:type="dxa"/>
            <w:vMerge w:val="restart"/>
            <w:tcBorders>
              <w:top w:val="single" w:sz="4" w:space="0" w:color="auto"/>
            </w:tcBorders>
            <w:shd w:val="clear" w:color="auto" w:fill="C6D9F1" w:themeFill="text2" w:themeFillTint="33"/>
            <w:noWrap/>
            <w:vAlign w:val="center"/>
          </w:tcPr>
          <w:p w14:paraId="19543CA2" w14:textId="54313E3B" w:rsidR="000E48CE" w:rsidRDefault="00FF4C4E">
            <w:pPr>
              <w:pStyle w:val="P68B1DB1-Normal12"/>
              <w:spacing w:after="0" w:line="240" w:lineRule="auto"/>
              <w:jc w:val="center"/>
              <w:rPr>
                <w:rFonts w:cs="Times New Roman"/>
                <w:noProof/>
              </w:rPr>
            </w:pPr>
            <w:r>
              <w:rPr>
                <w:noProof/>
              </w:rPr>
              <w:t>Määrä</w:t>
            </w:r>
          </w:p>
        </w:tc>
        <w:tc>
          <w:tcPr>
            <w:tcW w:w="729" w:type="dxa"/>
            <w:vMerge w:val="restart"/>
            <w:tcBorders>
              <w:top w:val="single" w:sz="4" w:space="0" w:color="auto"/>
            </w:tcBorders>
            <w:shd w:val="clear" w:color="auto" w:fill="C6D9F1" w:themeFill="text2" w:themeFillTint="33"/>
            <w:noWrap/>
            <w:vAlign w:val="center"/>
          </w:tcPr>
          <w:p w14:paraId="4FA6DF0E" w14:textId="475F1FD5" w:rsidR="000E48CE" w:rsidRDefault="00FF4C4E">
            <w:pPr>
              <w:pStyle w:val="P68B1DB1-Normal12"/>
              <w:spacing w:after="0" w:line="240" w:lineRule="auto"/>
              <w:jc w:val="center"/>
              <w:rPr>
                <w:rFonts w:cs="Times New Roman"/>
                <w:noProof/>
              </w:rPr>
            </w:pPr>
            <w:r>
              <w:rPr>
                <w:noProof/>
              </w:rPr>
              <w:t>Toimenpide</w:t>
            </w:r>
          </w:p>
        </w:tc>
        <w:tc>
          <w:tcPr>
            <w:tcW w:w="609" w:type="dxa"/>
            <w:vMerge w:val="restart"/>
            <w:tcBorders>
              <w:top w:val="single" w:sz="4" w:space="0" w:color="auto"/>
            </w:tcBorders>
            <w:shd w:val="clear" w:color="auto" w:fill="C6D9F1" w:themeFill="text2" w:themeFillTint="33"/>
            <w:noWrap/>
            <w:vAlign w:val="center"/>
          </w:tcPr>
          <w:p w14:paraId="4FC7EB82" w14:textId="02E2B431"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039" w:type="dxa"/>
            <w:vMerge w:val="restart"/>
            <w:tcBorders>
              <w:top w:val="single" w:sz="4" w:space="0" w:color="auto"/>
            </w:tcBorders>
            <w:shd w:val="clear" w:color="auto" w:fill="C6D9F1" w:themeFill="text2" w:themeFillTint="33"/>
            <w:noWrap/>
            <w:vAlign w:val="center"/>
          </w:tcPr>
          <w:p w14:paraId="43A2C8BF" w14:textId="7068F93C" w:rsidR="000E48CE" w:rsidRDefault="00FF4C4E">
            <w:pPr>
              <w:pStyle w:val="P68B1DB1-Normal12"/>
              <w:spacing w:after="0" w:line="240" w:lineRule="auto"/>
              <w:jc w:val="center"/>
              <w:rPr>
                <w:rFonts w:cs="Times New Roman"/>
                <w:noProof/>
              </w:rPr>
            </w:pPr>
            <w:r>
              <w:rPr>
                <w:noProof/>
              </w:rPr>
              <w:t>Nimi</w:t>
            </w:r>
          </w:p>
        </w:tc>
        <w:tc>
          <w:tcPr>
            <w:tcW w:w="993" w:type="dxa"/>
            <w:vMerge w:val="restart"/>
            <w:tcBorders>
              <w:top w:val="single" w:sz="4" w:space="0" w:color="auto"/>
            </w:tcBorders>
            <w:shd w:val="clear" w:color="auto" w:fill="C6D9F1" w:themeFill="text2" w:themeFillTint="33"/>
            <w:noWrap/>
            <w:vAlign w:val="center"/>
          </w:tcPr>
          <w:p w14:paraId="56FC1E27" w14:textId="5621B9A1" w:rsidR="000E48CE" w:rsidRDefault="00FF4C4E">
            <w:pPr>
              <w:pStyle w:val="P68B1DB1-Normal12"/>
              <w:spacing w:after="0" w:line="240" w:lineRule="auto"/>
              <w:jc w:val="center"/>
              <w:rPr>
                <w:rFonts w:cs="Times New Roman"/>
                <w:noProof/>
              </w:rPr>
            </w:pPr>
            <w:r>
              <w:rPr>
                <w:noProof/>
              </w:rPr>
              <w:t>Välitavoitteiden laadullinen indikaattori</w:t>
            </w:r>
          </w:p>
        </w:tc>
        <w:tc>
          <w:tcPr>
            <w:tcW w:w="2409" w:type="dxa"/>
            <w:gridSpan w:val="3"/>
            <w:tcBorders>
              <w:top w:val="single" w:sz="4" w:space="0" w:color="auto"/>
            </w:tcBorders>
            <w:shd w:val="clear" w:color="auto" w:fill="C6D9F1" w:themeFill="text2" w:themeFillTint="33"/>
            <w:noWrap/>
            <w:vAlign w:val="center"/>
          </w:tcPr>
          <w:p w14:paraId="38B08711" w14:textId="57CDA850" w:rsidR="000E48CE" w:rsidRDefault="00FF4C4E">
            <w:pPr>
              <w:pStyle w:val="P68B1DB1-Normal12"/>
              <w:spacing w:after="0" w:line="240" w:lineRule="auto"/>
              <w:jc w:val="center"/>
              <w:rPr>
                <w:rFonts w:cs="Times New Roman"/>
                <w:noProof/>
              </w:rPr>
            </w:pPr>
            <w:r>
              <w:rPr>
                <w:noProof/>
              </w:rPr>
              <w:t>Määrällinen indikaattori tavoitteelle</w:t>
            </w:r>
          </w:p>
        </w:tc>
        <w:tc>
          <w:tcPr>
            <w:tcW w:w="1134" w:type="dxa"/>
            <w:gridSpan w:val="2"/>
            <w:tcBorders>
              <w:top w:val="single" w:sz="4" w:space="0" w:color="auto"/>
            </w:tcBorders>
            <w:shd w:val="clear" w:color="auto" w:fill="C6D9F1" w:themeFill="text2" w:themeFillTint="33"/>
            <w:vAlign w:val="center"/>
          </w:tcPr>
          <w:p w14:paraId="4ED2EEB3" w14:textId="03DAD0E8" w:rsidR="000E48CE" w:rsidRDefault="00FF4C4E">
            <w:pPr>
              <w:pStyle w:val="P68B1DB1-Normal12"/>
              <w:spacing w:after="0" w:line="240" w:lineRule="auto"/>
              <w:jc w:val="center"/>
              <w:rPr>
                <w:rFonts w:cs="Times New Roman"/>
                <w:noProof/>
              </w:rPr>
            </w:pPr>
            <w:r>
              <w:rPr>
                <w:noProof/>
              </w:rPr>
              <w:t>Aika</w:t>
            </w:r>
          </w:p>
        </w:tc>
        <w:tc>
          <w:tcPr>
            <w:tcW w:w="5812" w:type="dxa"/>
            <w:vMerge w:val="restart"/>
            <w:tcBorders>
              <w:top w:val="single" w:sz="4" w:space="0" w:color="auto"/>
            </w:tcBorders>
            <w:shd w:val="clear" w:color="auto" w:fill="C6D9F1" w:themeFill="text2" w:themeFillTint="33"/>
            <w:noWrap/>
            <w:vAlign w:val="center"/>
          </w:tcPr>
          <w:p w14:paraId="4A40A094" w14:textId="64A0D489"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158A3BCC" w14:textId="77777777">
        <w:trPr>
          <w:trHeight w:val="309"/>
          <w:tblHeader/>
        </w:trPr>
        <w:tc>
          <w:tcPr>
            <w:tcW w:w="701" w:type="dxa"/>
            <w:vMerge/>
            <w:noWrap/>
            <w:vAlign w:val="center"/>
          </w:tcPr>
          <w:p w14:paraId="6F5EBF30" w14:textId="78FB1A6A" w:rsidR="000E48CE" w:rsidRDefault="000E48CE">
            <w:pPr>
              <w:spacing w:after="0" w:line="240" w:lineRule="auto"/>
              <w:jc w:val="center"/>
              <w:rPr>
                <w:rFonts w:ascii="Times New Roman" w:hAnsi="Times New Roman" w:cs="Times New Roman"/>
                <w:b/>
                <w:noProof/>
                <w:sz w:val="18"/>
              </w:rPr>
            </w:pPr>
          </w:p>
        </w:tc>
        <w:tc>
          <w:tcPr>
            <w:tcW w:w="729" w:type="dxa"/>
            <w:vMerge/>
            <w:noWrap/>
            <w:vAlign w:val="center"/>
          </w:tcPr>
          <w:p w14:paraId="20D980C9" w14:textId="57CF50E4" w:rsidR="000E48CE" w:rsidRDefault="000E48CE">
            <w:pPr>
              <w:spacing w:after="0" w:line="240" w:lineRule="auto"/>
              <w:jc w:val="center"/>
              <w:rPr>
                <w:rFonts w:ascii="Times New Roman" w:hAnsi="Times New Roman" w:cs="Times New Roman"/>
                <w:b/>
                <w:noProof/>
                <w:sz w:val="18"/>
              </w:rPr>
            </w:pPr>
          </w:p>
        </w:tc>
        <w:tc>
          <w:tcPr>
            <w:tcW w:w="609" w:type="dxa"/>
            <w:vMerge/>
            <w:noWrap/>
            <w:vAlign w:val="center"/>
          </w:tcPr>
          <w:p w14:paraId="532E6BAC" w14:textId="2177902C" w:rsidR="000E48CE" w:rsidRDefault="000E48CE">
            <w:pPr>
              <w:spacing w:after="0" w:line="240" w:lineRule="auto"/>
              <w:jc w:val="center"/>
              <w:rPr>
                <w:rFonts w:ascii="Times New Roman" w:hAnsi="Times New Roman" w:cs="Times New Roman"/>
                <w:b/>
                <w:noProof/>
                <w:sz w:val="18"/>
              </w:rPr>
            </w:pPr>
          </w:p>
        </w:tc>
        <w:tc>
          <w:tcPr>
            <w:tcW w:w="2039" w:type="dxa"/>
            <w:vMerge/>
            <w:noWrap/>
            <w:vAlign w:val="center"/>
          </w:tcPr>
          <w:p w14:paraId="36E5785B" w14:textId="5A9A66DC" w:rsidR="000E48CE" w:rsidRDefault="000E48CE">
            <w:pPr>
              <w:spacing w:after="0" w:line="240" w:lineRule="auto"/>
              <w:rPr>
                <w:rFonts w:ascii="Times New Roman" w:hAnsi="Times New Roman" w:cs="Times New Roman"/>
                <w:b/>
                <w:noProof/>
                <w:sz w:val="18"/>
              </w:rPr>
            </w:pPr>
          </w:p>
        </w:tc>
        <w:tc>
          <w:tcPr>
            <w:tcW w:w="993" w:type="dxa"/>
            <w:vMerge/>
            <w:noWrap/>
            <w:vAlign w:val="center"/>
          </w:tcPr>
          <w:p w14:paraId="1C4710DB" w14:textId="4DB5E512"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6D5E5435" w14:textId="2523BC26" w:rsidR="000E48CE" w:rsidRDefault="00FF4C4E">
            <w:pPr>
              <w:pStyle w:val="P68B1DB1-Normal12"/>
              <w:spacing w:after="0" w:line="240" w:lineRule="auto"/>
              <w:jc w:val="center"/>
              <w:rPr>
                <w:rFonts w:cs="Times New Roman"/>
                <w:noProof/>
              </w:rPr>
            </w:pPr>
            <w:r>
              <w:rPr>
                <w:noProof/>
              </w:rPr>
              <w:t>Yksikkö</w:t>
            </w:r>
          </w:p>
        </w:tc>
        <w:tc>
          <w:tcPr>
            <w:tcW w:w="709" w:type="dxa"/>
            <w:shd w:val="clear" w:color="auto" w:fill="C6D9F1" w:themeFill="text2" w:themeFillTint="33"/>
            <w:vAlign w:val="center"/>
          </w:tcPr>
          <w:p w14:paraId="56D16D5D" w14:textId="66F5C835" w:rsidR="000E48CE" w:rsidRDefault="00FF4C4E">
            <w:pPr>
              <w:pStyle w:val="P68B1DB1-Normal12"/>
              <w:spacing w:after="0" w:line="240" w:lineRule="auto"/>
              <w:jc w:val="center"/>
              <w:rPr>
                <w:rFonts w:eastAsia="Times New Roman" w:cs="Times New Roman"/>
                <w:noProof/>
              </w:rPr>
            </w:pPr>
            <w:r>
              <w:rPr>
                <w:noProof/>
              </w:rPr>
              <w:t xml:space="preserve">Perusviiva </w:t>
            </w:r>
          </w:p>
        </w:tc>
        <w:tc>
          <w:tcPr>
            <w:tcW w:w="850" w:type="dxa"/>
            <w:shd w:val="clear" w:color="auto" w:fill="C6D9F1" w:themeFill="text2" w:themeFillTint="33"/>
            <w:vAlign w:val="center"/>
          </w:tcPr>
          <w:p w14:paraId="3B5D6938" w14:textId="7E0E8140" w:rsidR="000E48CE" w:rsidRDefault="00FF4C4E">
            <w:pPr>
              <w:pStyle w:val="P68B1DB1-Normal12"/>
              <w:spacing w:after="0" w:line="240" w:lineRule="auto"/>
              <w:rPr>
                <w:rFonts w:cs="Times New Roman"/>
                <w:noProof/>
              </w:rPr>
            </w:pPr>
            <w:r>
              <w:rPr>
                <w:noProof/>
              </w:rPr>
              <w:t>Päämäärä</w:t>
            </w:r>
          </w:p>
        </w:tc>
        <w:tc>
          <w:tcPr>
            <w:tcW w:w="567" w:type="dxa"/>
            <w:shd w:val="clear" w:color="auto" w:fill="C6D9F1" w:themeFill="text2" w:themeFillTint="33"/>
            <w:vAlign w:val="center"/>
          </w:tcPr>
          <w:p w14:paraId="099A5A6B" w14:textId="0D8178F4"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vAlign w:val="center"/>
          </w:tcPr>
          <w:p w14:paraId="018B82E2" w14:textId="3B09D021" w:rsidR="000E48CE" w:rsidRDefault="00FF4C4E">
            <w:pPr>
              <w:pStyle w:val="P68B1DB1-Normal12"/>
              <w:spacing w:after="0" w:line="240" w:lineRule="auto"/>
              <w:jc w:val="center"/>
              <w:rPr>
                <w:rFonts w:cs="Times New Roman"/>
                <w:noProof/>
              </w:rPr>
            </w:pPr>
            <w:r>
              <w:rPr>
                <w:noProof/>
              </w:rPr>
              <w:t>Vuosi</w:t>
            </w:r>
          </w:p>
        </w:tc>
        <w:tc>
          <w:tcPr>
            <w:tcW w:w="5812" w:type="dxa"/>
            <w:vMerge/>
            <w:noWrap/>
            <w:vAlign w:val="center"/>
          </w:tcPr>
          <w:p w14:paraId="6028BA91" w14:textId="6495DF35" w:rsidR="000E48CE" w:rsidRDefault="000E48CE">
            <w:pPr>
              <w:spacing w:after="0" w:line="240" w:lineRule="auto"/>
              <w:rPr>
                <w:rFonts w:ascii="Times New Roman" w:eastAsia="Times New Roman" w:hAnsi="Times New Roman" w:cs="Times New Roman"/>
                <w:b/>
                <w:noProof/>
                <w:sz w:val="18"/>
              </w:rPr>
            </w:pPr>
          </w:p>
        </w:tc>
      </w:tr>
      <w:tr w:rsidR="000E48CE" w14:paraId="1FA893DD" w14:textId="77777777">
        <w:trPr>
          <w:trHeight w:val="309"/>
        </w:trPr>
        <w:tc>
          <w:tcPr>
            <w:tcW w:w="701" w:type="dxa"/>
            <w:shd w:val="clear" w:color="auto" w:fill="C6EFCE"/>
            <w:noWrap/>
          </w:tcPr>
          <w:p w14:paraId="0AEDCC32" w14:textId="77777777" w:rsidR="000E48CE" w:rsidRDefault="00FF4C4E">
            <w:pPr>
              <w:pStyle w:val="P68B1DB1-Normal13"/>
              <w:spacing w:after="0" w:line="240" w:lineRule="auto"/>
              <w:jc w:val="center"/>
              <w:rPr>
                <w:rFonts w:eastAsia="Times New Roman" w:cs="Times New Roman"/>
                <w:noProof/>
              </w:rPr>
            </w:pPr>
            <w:r>
              <w:rPr>
                <w:noProof/>
              </w:rPr>
              <w:t>254</w:t>
            </w:r>
          </w:p>
        </w:tc>
        <w:tc>
          <w:tcPr>
            <w:tcW w:w="729" w:type="dxa"/>
            <w:shd w:val="clear" w:color="auto" w:fill="C6EFCE"/>
            <w:noWrap/>
          </w:tcPr>
          <w:p w14:paraId="5FBF3E81" w14:textId="77777777" w:rsidR="000E48CE" w:rsidRDefault="00FF4C4E">
            <w:pPr>
              <w:pStyle w:val="P68B1DB1-Normal13"/>
              <w:spacing w:after="0" w:line="240" w:lineRule="auto"/>
              <w:jc w:val="center"/>
              <w:rPr>
                <w:rFonts w:eastAsia="Times New Roman" w:cs="Times New Roman"/>
                <w:noProof/>
              </w:rPr>
            </w:pPr>
            <w:r>
              <w:rPr>
                <w:noProof/>
              </w:rPr>
              <w:t>C17.R1</w:t>
            </w:r>
          </w:p>
        </w:tc>
        <w:tc>
          <w:tcPr>
            <w:tcW w:w="609" w:type="dxa"/>
            <w:shd w:val="clear" w:color="auto" w:fill="C6EFCE"/>
            <w:noWrap/>
          </w:tcPr>
          <w:p w14:paraId="46CDB860" w14:textId="77777777" w:rsidR="000E48CE" w:rsidRDefault="00FF4C4E">
            <w:pPr>
              <w:pStyle w:val="P68B1DB1-Normal13"/>
              <w:spacing w:after="0" w:line="240" w:lineRule="auto"/>
              <w:jc w:val="center"/>
              <w:rPr>
                <w:rFonts w:eastAsia="Times New Roman" w:cs="Times New Roman"/>
                <w:noProof/>
              </w:rPr>
            </w:pPr>
            <w:r>
              <w:rPr>
                <w:noProof/>
              </w:rPr>
              <w:t>M</w:t>
            </w:r>
          </w:p>
        </w:tc>
        <w:tc>
          <w:tcPr>
            <w:tcW w:w="2039" w:type="dxa"/>
            <w:shd w:val="clear" w:color="auto" w:fill="C6EFCE"/>
            <w:noWrap/>
          </w:tcPr>
          <w:p w14:paraId="5D2708B9" w14:textId="77777777" w:rsidR="000E48CE" w:rsidRDefault="00FF4C4E">
            <w:pPr>
              <w:pStyle w:val="P68B1DB1-Normal13"/>
              <w:spacing w:after="0" w:line="240" w:lineRule="auto"/>
              <w:rPr>
                <w:rFonts w:eastAsia="Times New Roman" w:cs="Times New Roman"/>
                <w:noProof/>
              </w:rPr>
            </w:pPr>
            <w:r>
              <w:rPr>
                <w:noProof/>
              </w:rPr>
              <w:t xml:space="preserve">Tieteestä, teknologiasta ja innovoinnista 1. </w:t>
            </w:r>
            <w:r>
              <w:rPr>
                <w:noProof/>
              </w:rPr>
              <w:t>kesäkuuta annetun lain 14/2011 muutoksen voimaantulo.</w:t>
            </w:r>
          </w:p>
        </w:tc>
        <w:tc>
          <w:tcPr>
            <w:tcW w:w="993" w:type="dxa"/>
            <w:shd w:val="clear" w:color="auto" w:fill="C6EFCE"/>
            <w:noWrap/>
          </w:tcPr>
          <w:p w14:paraId="3D8696D8" w14:textId="77777777" w:rsidR="000E48CE" w:rsidRDefault="00FF4C4E">
            <w:pPr>
              <w:pStyle w:val="P68B1DB1-Normal13"/>
              <w:spacing w:after="0" w:line="240" w:lineRule="auto"/>
              <w:jc w:val="center"/>
              <w:rPr>
                <w:rFonts w:eastAsia="Times New Roman" w:cs="Times New Roman"/>
                <w:noProof/>
              </w:rPr>
            </w:pPr>
            <w:r>
              <w:rPr>
                <w:noProof/>
              </w:rPr>
              <w:t xml:space="preserve"> Lain voimaantuloa koskeva säännös</w:t>
            </w:r>
          </w:p>
        </w:tc>
        <w:tc>
          <w:tcPr>
            <w:tcW w:w="850" w:type="dxa"/>
            <w:shd w:val="clear" w:color="auto" w:fill="C6EFCE"/>
            <w:noWrap/>
          </w:tcPr>
          <w:p w14:paraId="6F55BD0C"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2E7611B6"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17BDBD32" w14:textId="6EC248F7"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tcPr>
          <w:p w14:paraId="39A299FC" w14:textId="0C00DA27"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tcPr>
          <w:p w14:paraId="11C93FFC" w14:textId="30FDDC17" w:rsidR="000E48CE" w:rsidRDefault="00FF4C4E">
            <w:pPr>
              <w:pStyle w:val="P68B1DB1-Normal13"/>
              <w:spacing w:after="0" w:line="240" w:lineRule="auto"/>
              <w:jc w:val="center"/>
              <w:rPr>
                <w:rFonts w:cs="Times New Roman"/>
                <w:noProof/>
              </w:rPr>
            </w:pPr>
            <w:r>
              <w:rPr>
                <w:noProof/>
              </w:rPr>
              <w:t>2022</w:t>
            </w:r>
          </w:p>
        </w:tc>
        <w:tc>
          <w:tcPr>
            <w:tcW w:w="5812" w:type="dxa"/>
            <w:shd w:val="clear" w:color="auto" w:fill="C6EFCE"/>
            <w:noWrap/>
          </w:tcPr>
          <w:p w14:paraId="4E3D45B8" w14:textId="77777777" w:rsidR="000E48CE" w:rsidRDefault="00FF4C4E">
            <w:pPr>
              <w:pStyle w:val="P68B1DB1-Normal13"/>
              <w:spacing w:after="0" w:line="240" w:lineRule="auto"/>
              <w:rPr>
                <w:rFonts w:cs="Times New Roman"/>
                <w:noProof/>
              </w:rPr>
            </w:pPr>
            <w:r>
              <w:rPr>
                <w:noProof/>
              </w:rPr>
              <w:t xml:space="preserve">Tieteestä, teknologiasta ja innovoinnista annetun lain muutoksen voimaantulo, jolla parannetaan tiede-, tutkimus- ja innovointipolitiikkojen koordinointia </w:t>
            </w:r>
            <w:r>
              <w:rPr>
                <w:noProof/>
              </w:rPr>
              <w:t xml:space="preserve">hallinnon eri tasojen välillä, tehostetaan Espanjan tiede-, teknologia- ja innovointijärjestelmän hallintoa ja koordinointia, otetaan käyttöön uusi tieteellinen ura ja parannetaan tietämyksen siirtoa. </w:t>
            </w:r>
          </w:p>
        </w:tc>
      </w:tr>
      <w:tr w:rsidR="000E48CE" w14:paraId="1FEA383B" w14:textId="77777777">
        <w:trPr>
          <w:trHeight w:val="309"/>
        </w:trPr>
        <w:tc>
          <w:tcPr>
            <w:tcW w:w="701" w:type="dxa"/>
            <w:shd w:val="clear" w:color="auto" w:fill="C6EFCE"/>
            <w:noWrap/>
          </w:tcPr>
          <w:p w14:paraId="213D4DF8" w14:textId="77777777" w:rsidR="000E48CE" w:rsidRDefault="00FF4C4E">
            <w:pPr>
              <w:pStyle w:val="P68B1DB1-Normal13"/>
              <w:jc w:val="center"/>
              <w:rPr>
                <w:rFonts w:cs="Times New Roman"/>
                <w:noProof/>
              </w:rPr>
            </w:pPr>
            <w:r>
              <w:rPr>
                <w:noProof/>
              </w:rPr>
              <w:t>255</w:t>
            </w:r>
          </w:p>
        </w:tc>
        <w:tc>
          <w:tcPr>
            <w:tcW w:w="729" w:type="dxa"/>
            <w:shd w:val="clear" w:color="auto" w:fill="C6EFCE"/>
            <w:noWrap/>
          </w:tcPr>
          <w:p w14:paraId="47E4DDEA" w14:textId="77777777" w:rsidR="000E48CE" w:rsidRDefault="00FF4C4E">
            <w:pPr>
              <w:pStyle w:val="P68B1DB1-Normal13"/>
              <w:jc w:val="center"/>
              <w:rPr>
                <w:rFonts w:cs="Times New Roman"/>
                <w:noProof/>
              </w:rPr>
            </w:pPr>
            <w:r>
              <w:rPr>
                <w:noProof/>
              </w:rPr>
              <w:t>C17.R2</w:t>
            </w:r>
          </w:p>
        </w:tc>
        <w:tc>
          <w:tcPr>
            <w:tcW w:w="609" w:type="dxa"/>
            <w:shd w:val="clear" w:color="auto" w:fill="C6EFCE"/>
            <w:noWrap/>
          </w:tcPr>
          <w:p w14:paraId="3222240A" w14:textId="77777777" w:rsidR="000E48CE" w:rsidRDefault="00FF4C4E">
            <w:pPr>
              <w:pStyle w:val="P68B1DB1-Normal13"/>
              <w:jc w:val="center"/>
              <w:rPr>
                <w:rFonts w:cs="Times New Roman"/>
                <w:noProof/>
              </w:rPr>
            </w:pPr>
            <w:r>
              <w:rPr>
                <w:noProof/>
              </w:rPr>
              <w:t>M</w:t>
            </w:r>
          </w:p>
        </w:tc>
        <w:tc>
          <w:tcPr>
            <w:tcW w:w="2039" w:type="dxa"/>
            <w:shd w:val="clear" w:color="auto" w:fill="C6EFCE"/>
            <w:noWrap/>
          </w:tcPr>
          <w:p w14:paraId="62CD58CA" w14:textId="77777777" w:rsidR="000E48CE" w:rsidRDefault="00FF4C4E">
            <w:pPr>
              <w:pStyle w:val="P68B1DB1-Normal13"/>
              <w:rPr>
                <w:rFonts w:cs="Times New Roman"/>
                <w:noProof/>
              </w:rPr>
            </w:pPr>
            <w:r>
              <w:rPr>
                <w:noProof/>
              </w:rPr>
              <w:t xml:space="preserve">Espanjan tiede-, teknologia- ja </w:t>
            </w:r>
            <w:r>
              <w:rPr>
                <w:noProof/>
              </w:rPr>
              <w:t>innovaatiostrategian 2021–2027 julkaiseminen</w:t>
            </w:r>
          </w:p>
        </w:tc>
        <w:tc>
          <w:tcPr>
            <w:tcW w:w="993" w:type="dxa"/>
            <w:shd w:val="clear" w:color="auto" w:fill="C6EFCE"/>
            <w:noWrap/>
          </w:tcPr>
          <w:p w14:paraId="7AD43052" w14:textId="77777777" w:rsidR="000E48CE" w:rsidRDefault="00FF4C4E">
            <w:pPr>
              <w:pStyle w:val="P68B1DB1-Normal13"/>
              <w:rPr>
                <w:rFonts w:cs="Times New Roman"/>
                <w:noProof/>
              </w:rPr>
            </w:pPr>
            <w:r>
              <w:rPr>
                <w:noProof/>
              </w:rPr>
              <w:t>Espanjan tiede-, teknologia- ja innovaatiostrategian 2021–2027 julkaiseminen</w:t>
            </w:r>
          </w:p>
        </w:tc>
        <w:tc>
          <w:tcPr>
            <w:tcW w:w="850" w:type="dxa"/>
            <w:shd w:val="clear" w:color="auto" w:fill="C6EFCE"/>
            <w:noWrap/>
          </w:tcPr>
          <w:p w14:paraId="394EAC0E" w14:textId="77777777" w:rsidR="000E48CE" w:rsidRDefault="00FF4C4E">
            <w:pPr>
              <w:pStyle w:val="P68B1DB1-Normal13"/>
              <w:rPr>
                <w:rFonts w:cs="Times New Roman"/>
                <w:noProof/>
              </w:rPr>
            </w:pPr>
            <w:r>
              <w:rPr>
                <w:noProof/>
              </w:rPr>
              <w:t xml:space="preserve"> </w:t>
            </w:r>
          </w:p>
        </w:tc>
        <w:tc>
          <w:tcPr>
            <w:tcW w:w="709" w:type="dxa"/>
            <w:shd w:val="clear" w:color="auto" w:fill="C6EFCE"/>
          </w:tcPr>
          <w:p w14:paraId="5C7927EC" w14:textId="77777777" w:rsidR="000E48CE" w:rsidRDefault="000E48CE">
            <w:pPr>
              <w:rPr>
                <w:rFonts w:ascii="Times New Roman" w:hAnsi="Times New Roman" w:cs="Times New Roman"/>
                <w:noProof/>
                <w:sz w:val="18"/>
              </w:rPr>
            </w:pPr>
          </w:p>
        </w:tc>
        <w:tc>
          <w:tcPr>
            <w:tcW w:w="850" w:type="dxa"/>
            <w:shd w:val="clear" w:color="auto" w:fill="C6EFCE"/>
          </w:tcPr>
          <w:p w14:paraId="30E47931" w14:textId="36E724BD" w:rsidR="000E48CE" w:rsidRDefault="000E48CE">
            <w:pPr>
              <w:jc w:val="center"/>
              <w:rPr>
                <w:rFonts w:ascii="Times New Roman" w:hAnsi="Times New Roman" w:cs="Times New Roman"/>
                <w:noProof/>
                <w:sz w:val="18"/>
              </w:rPr>
            </w:pPr>
          </w:p>
        </w:tc>
        <w:tc>
          <w:tcPr>
            <w:tcW w:w="567" w:type="dxa"/>
            <w:shd w:val="clear" w:color="auto" w:fill="C6EFCE"/>
          </w:tcPr>
          <w:p w14:paraId="21F37CD3" w14:textId="003FF69C" w:rsidR="000E48CE" w:rsidRDefault="00FF4C4E">
            <w:pPr>
              <w:pStyle w:val="P68B1DB1-Normal13"/>
              <w:jc w:val="center"/>
              <w:rPr>
                <w:rFonts w:cs="Times New Roman"/>
                <w:noProof/>
              </w:rPr>
            </w:pPr>
            <w:r>
              <w:rPr>
                <w:noProof/>
              </w:rPr>
              <w:t>Q4</w:t>
            </w:r>
          </w:p>
        </w:tc>
        <w:tc>
          <w:tcPr>
            <w:tcW w:w="567" w:type="dxa"/>
            <w:shd w:val="clear" w:color="auto" w:fill="C6EFCE"/>
          </w:tcPr>
          <w:p w14:paraId="1130D534" w14:textId="6205A7D6" w:rsidR="000E48CE" w:rsidRDefault="00FF4C4E">
            <w:pPr>
              <w:pStyle w:val="P68B1DB1-Normal13"/>
              <w:jc w:val="center"/>
              <w:rPr>
                <w:rFonts w:cs="Times New Roman"/>
                <w:noProof/>
              </w:rPr>
            </w:pPr>
            <w:r>
              <w:rPr>
                <w:noProof/>
              </w:rPr>
              <w:t>2020</w:t>
            </w:r>
          </w:p>
        </w:tc>
        <w:tc>
          <w:tcPr>
            <w:tcW w:w="5812" w:type="dxa"/>
            <w:shd w:val="clear" w:color="auto" w:fill="C6EFCE"/>
            <w:noWrap/>
          </w:tcPr>
          <w:p w14:paraId="10CCE7ED" w14:textId="77777777" w:rsidR="000E48CE" w:rsidRDefault="00FF4C4E">
            <w:pPr>
              <w:pStyle w:val="P68B1DB1-Normal13"/>
              <w:spacing w:line="240" w:lineRule="auto"/>
              <w:rPr>
                <w:rFonts w:cs="Times New Roman"/>
                <w:noProof/>
              </w:rPr>
            </w:pPr>
            <w:r>
              <w:rPr>
                <w:noProof/>
              </w:rPr>
              <w:t>Espanjan tiede-, teknologia- ja innovaatiostrategiassa (EECTI) esitetään kokonaisstrategia, jota kaikkien julkishallintoje</w:t>
            </w:r>
            <w:r>
              <w:rPr>
                <w:noProof/>
              </w:rPr>
              <w:t>n, myös alue- ja paikallistason, on noudatettava tutkimuksen kehittämisen ja innovoinnin alalla. Strategia on Espanjan älykkään erikoistumisen strategia.  Strategiaa varten perustetaan seurantakomitea, johon kuuluu valtion, alueiden, talous- ja yhteiskunta</w:t>
            </w:r>
            <w:r>
              <w:rPr>
                <w:noProof/>
              </w:rPr>
              <w:t>elämän sidosryhmien ja tiedeyhteisön edustajia. Strategia perustuu hallinnon eri tasojen koordinointiperiaatteeseen, ja sen tarkoituksena on varmistaa sukupuolinäkökulma T &amp; I-toiminnassa. Sen tavoitteena on vahvistaa julkisen ja yksityisen sektorin yhteis</w:t>
            </w:r>
            <w:r>
              <w:rPr>
                <w:noProof/>
              </w:rPr>
              <w:t xml:space="preserve">työtä, edistää tietämyksen siirtoa, säilyttää tieteellinen osaaminen ja kehittää tieteellistä uraa, varmistaa riittävät verokannustimet tutkimuksen, kehityksen ja innovoinnin tukemiseksi yksityisellä sektorilla ja sisällyttää siihen sukupuolinäkökulma. </w:t>
            </w:r>
          </w:p>
        </w:tc>
      </w:tr>
      <w:tr w:rsidR="000E48CE" w14:paraId="5CCF5445" w14:textId="77777777">
        <w:trPr>
          <w:trHeight w:val="309"/>
        </w:trPr>
        <w:tc>
          <w:tcPr>
            <w:tcW w:w="701" w:type="dxa"/>
            <w:shd w:val="clear" w:color="auto" w:fill="C6EFCE"/>
            <w:noWrap/>
          </w:tcPr>
          <w:p w14:paraId="777BEDB2" w14:textId="77777777" w:rsidR="000E48CE" w:rsidRDefault="00FF4C4E">
            <w:pPr>
              <w:pStyle w:val="P68B1DB1-Normal13"/>
              <w:spacing w:after="0" w:line="240" w:lineRule="auto"/>
              <w:jc w:val="center"/>
              <w:rPr>
                <w:rFonts w:eastAsia="Times New Roman" w:cs="Times New Roman"/>
                <w:noProof/>
              </w:rPr>
            </w:pPr>
            <w:r>
              <w:rPr>
                <w:noProof/>
              </w:rPr>
              <w:t>256</w:t>
            </w:r>
          </w:p>
        </w:tc>
        <w:tc>
          <w:tcPr>
            <w:tcW w:w="729" w:type="dxa"/>
            <w:shd w:val="clear" w:color="auto" w:fill="C6EFCE"/>
            <w:noWrap/>
          </w:tcPr>
          <w:p w14:paraId="685AC3B1" w14:textId="77777777" w:rsidR="000E48CE" w:rsidRDefault="00FF4C4E">
            <w:pPr>
              <w:pStyle w:val="P68B1DB1-Normal13"/>
              <w:spacing w:after="0" w:line="240" w:lineRule="auto"/>
              <w:jc w:val="center"/>
              <w:rPr>
                <w:rFonts w:eastAsia="Times New Roman" w:cs="Times New Roman"/>
                <w:noProof/>
              </w:rPr>
            </w:pPr>
            <w:r>
              <w:rPr>
                <w:noProof/>
              </w:rPr>
              <w:t>C17.R2</w:t>
            </w:r>
          </w:p>
        </w:tc>
        <w:tc>
          <w:tcPr>
            <w:tcW w:w="609" w:type="dxa"/>
            <w:shd w:val="clear" w:color="auto" w:fill="C6EFCE"/>
            <w:noWrap/>
          </w:tcPr>
          <w:p w14:paraId="7D124B38" w14:textId="77777777" w:rsidR="000E48CE" w:rsidRDefault="00FF4C4E">
            <w:pPr>
              <w:pStyle w:val="P68B1DB1-Normal13"/>
              <w:spacing w:after="0" w:line="240" w:lineRule="auto"/>
              <w:jc w:val="center"/>
              <w:rPr>
                <w:rFonts w:eastAsia="Times New Roman" w:cs="Times New Roman"/>
                <w:noProof/>
              </w:rPr>
            </w:pPr>
            <w:r>
              <w:rPr>
                <w:noProof/>
              </w:rPr>
              <w:t>M</w:t>
            </w:r>
          </w:p>
        </w:tc>
        <w:tc>
          <w:tcPr>
            <w:tcW w:w="2039" w:type="dxa"/>
            <w:shd w:val="clear" w:color="auto" w:fill="C6EFCE"/>
            <w:noWrap/>
          </w:tcPr>
          <w:p w14:paraId="41DC8F17" w14:textId="77777777" w:rsidR="000E48CE" w:rsidRDefault="00FF4C4E">
            <w:pPr>
              <w:pStyle w:val="P68B1DB1-Normal13"/>
              <w:spacing w:after="0" w:line="240" w:lineRule="auto"/>
              <w:rPr>
                <w:rFonts w:eastAsia="Times New Roman" w:cs="Times New Roman"/>
                <w:noProof/>
              </w:rPr>
            </w:pPr>
            <w:r>
              <w:rPr>
                <w:noProof/>
              </w:rPr>
              <w:t xml:space="preserve">Espanjan tiede-, teknologia- ja innovaatiostrategian 2021–2027 väliarviointi </w:t>
            </w:r>
          </w:p>
        </w:tc>
        <w:tc>
          <w:tcPr>
            <w:tcW w:w="993" w:type="dxa"/>
            <w:shd w:val="clear" w:color="auto" w:fill="C6EFCE"/>
            <w:noWrap/>
          </w:tcPr>
          <w:p w14:paraId="456A46FD" w14:textId="77777777" w:rsidR="000E48CE" w:rsidRDefault="00FF4C4E">
            <w:pPr>
              <w:pStyle w:val="P68B1DB1-Normal13"/>
              <w:spacing w:after="0" w:line="240" w:lineRule="auto"/>
              <w:jc w:val="center"/>
              <w:rPr>
                <w:rFonts w:eastAsia="Times New Roman" w:cs="Times New Roman"/>
                <w:noProof/>
              </w:rPr>
            </w:pPr>
            <w:r>
              <w:rPr>
                <w:noProof/>
              </w:rPr>
              <w:t xml:space="preserve">Sopimus Consejo de </w:t>
            </w:r>
            <w:r>
              <w:rPr>
                <w:i/>
                <w:noProof/>
              </w:rPr>
              <w:t>Política Científicassa Tecnológica y de</w:t>
            </w:r>
            <w:r>
              <w:rPr>
                <w:noProof/>
              </w:rPr>
              <w:t xml:space="preserve"> Innovaciónissa ja arvioinnin julkaiseminen tiede- ja innovaatioministeriön verkkosivuilla.  </w:t>
            </w:r>
          </w:p>
        </w:tc>
        <w:tc>
          <w:tcPr>
            <w:tcW w:w="850" w:type="dxa"/>
            <w:shd w:val="clear" w:color="auto" w:fill="C6EFCE"/>
            <w:noWrap/>
          </w:tcPr>
          <w:p w14:paraId="19322564"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3A31862B"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0061496B" w14:textId="4EA8BB98"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tcPr>
          <w:p w14:paraId="6DA9F107" w14:textId="59508092"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tcPr>
          <w:p w14:paraId="0D5454B8" w14:textId="61006493" w:rsidR="000E48CE" w:rsidRDefault="00FF4C4E">
            <w:pPr>
              <w:pStyle w:val="P68B1DB1-Normal13"/>
              <w:spacing w:after="0" w:line="240" w:lineRule="auto"/>
              <w:jc w:val="center"/>
              <w:rPr>
                <w:rFonts w:cs="Times New Roman"/>
                <w:noProof/>
              </w:rPr>
            </w:pPr>
            <w:r>
              <w:rPr>
                <w:noProof/>
              </w:rPr>
              <w:t>2023</w:t>
            </w:r>
          </w:p>
        </w:tc>
        <w:tc>
          <w:tcPr>
            <w:tcW w:w="5812" w:type="dxa"/>
            <w:shd w:val="clear" w:color="auto" w:fill="C6EFCE"/>
            <w:noWrap/>
          </w:tcPr>
          <w:p w14:paraId="73F6C422" w14:textId="77777777" w:rsidR="000E48CE" w:rsidRDefault="00FF4C4E">
            <w:pPr>
              <w:pStyle w:val="P68B1DB1-Normal13"/>
              <w:spacing w:after="0" w:line="240" w:lineRule="auto"/>
              <w:rPr>
                <w:rFonts w:eastAsia="Times New Roman" w:cs="Times New Roman"/>
                <w:noProof/>
              </w:rPr>
            </w:pPr>
            <w:r>
              <w:rPr>
                <w:noProof/>
              </w:rPr>
              <w:t xml:space="preserve">Espanjan tiede-, teknologia- ja innovaatiostrategian 2021–2027 seurantakomitean tekemä väliarviointi julkaistaan joulukuussa 2023. Arvioinnissa käytettävistä indikaattoreista on sovittu </w:t>
            </w:r>
            <w:r>
              <w:rPr>
                <w:i/>
                <w:noProof/>
              </w:rPr>
              <w:t>Consejo de Política Científicassa, Tecnológica y de Innovaciónissa</w:t>
            </w:r>
            <w:r>
              <w:rPr>
                <w:noProof/>
              </w:rPr>
              <w:t xml:space="preserve"> (jo</w:t>
            </w:r>
            <w:r>
              <w:rPr>
                <w:noProof/>
              </w:rPr>
              <w:t>ssa 17 itsehallintoaluetta on edustettuna). Näistä indikaattoreista ja tiedonhaku on vahvistettu Espanjan tiede-, teknologia- ja innovaatiostrategiassa 2021–2027. Tiede-, teknologia- ja innovaatiojärjestelmää käytetään tietojen keräämiseen strategian täytä</w:t>
            </w:r>
            <w:r>
              <w:rPr>
                <w:noProof/>
              </w:rPr>
              <w:t xml:space="preserve">ntöönpanon edistymisestä. </w:t>
            </w:r>
          </w:p>
        </w:tc>
      </w:tr>
      <w:tr w:rsidR="000E48CE" w14:paraId="068EE29A" w14:textId="77777777">
        <w:trPr>
          <w:trHeight w:val="309"/>
        </w:trPr>
        <w:tc>
          <w:tcPr>
            <w:tcW w:w="701" w:type="dxa"/>
            <w:shd w:val="clear" w:color="auto" w:fill="C6EFCE"/>
            <w:noWrap/>
          </w:tcPr>
          <w:p w14:paraId="18E0C817" w14:textId="77777777" w:rsidR="000E48CE" w:rsidRDefault="00FF4C4E">
            <w:pPr>
              <w:pStyle w:val="P68B1DB1-Normal13"/>
              <w:spacing w:after="0" w:line="240" w:lineRule="auto"/>
              <w:jc w:val="center"/>
              <w:rPr>
                <w:rFonts w:eastAsia="Times New Roman" w:cs="Times New Roman"/>
                <w:noProof/>
              </w:rPr>
            </w:pPr>
            <w:r>
              <w:rPr>
                <w:noProof/>
              </w:rPr>
              <w:t>257</w:t>
            </w:r>
          </w:p>
        </w:tc>
        <w:tc>
          <w:tcPr>
            <w:tcW w:w="729" w:type="dxa"/>
            <w:shd w:val="clear" w:color="auto" w:fill="C6EFCE"/>
            <w:noWrap/>
          </w:tcPr>
          <w:p w14:paraId="0268D8DA" w14:textId="77777777" w:rsidR="000E48CE" w:rsidRDefault="00FF4C4E">
            <w:pPr>
              <w:pStyle w:val="P68B1DB1-Normal13"/>
              <w:spacing w:after="0" w:line="240" w:lineRule="auto"/>
              <w:jc w:val="center"/>
              <w:rPr>
                <w:rFonts w:eastAsia="Times New Roman" w:cs="Times New Roman"/>
                <w:noProof/>
              </w:rPr>
            </w:pPr>
            <w:r>
              <w:rPr>
                <w:noProof/>
              </w:rPr>
              <w:t>C17.R3</w:t>
            </w:r>
          </w:p>
        </w:tc>
        <w:tc>
          <w:tcPr>
            <w:tcW w:w="609" w:type="dxa"/>
            <w:shd w:val="clear" w:color="auto" w:fill="C6EFCE"/>
            <w:noWrap/>
          </w:tcPr>
          <w:p w14:paraId="0B53C30B" w14:textId="77777777" w:rsidR="000E48CE" w:rsidRDefault="00FF4C4E">
            <w:pPr>
              <w:pStyle w:val="P68B1DB1-Normal13"/>
              <w:spacing w:after="0" w:line="240" w:lineRule="auto"/>
              <w:jc w:val="center"/>
              <w:rPr>
                <w:rFonts w:eastAsia="Times New Roman" w:cs="Times New Roman"/>
                <w:noProof/>
              </w:rPr>
            </w:pPr>
            <w:r>
              <w:rPr>
                <w:noProof/>
              </w:rPr>
              <w:t>M</w:t>
            </w:r>
          </w:p>
        </w:tc>
        <w:tc>
          <w:tcPr>
            <w:tcW w:w="2039" w:type="dxa"/>
            <w:shd w:val="clear" w:color="auto" w:fill="C6EFCE"/>
            <w:noWrap/>
          </w:tcPr>
          <w:p w14:paraId="276E380B" w14:textId="77777777" w:rsidR="000E48CE" w:rsidRDefault="00FF4C4E">
            <w:pPr>
              <w:pStyle w:val="P68B1DB1-Normal13"/>
              <w:spacing w:after="0" w:line="240" w:lineRule="auto"/>
              <w:rPr>
                <w:rFonts w:eastAsia="Times New Roman" w:cs="Times New Roman"/>
                <w:noProof/>
              </w:rPr>
            </w:pPr>
            <w:r>
              <w:rPr>
                <w:noProof/>
              </w:rPr>
              <w:t xml:space="preserve">Julkisten tutkimusorganisaatioiden uudelleenjärjestelystä annetun kuninkaallisen asetuksen voimaantulo. </w:t>
            </w:r>
          </w:p>
        </w:tc>
        <w:tc>
          <w:tcPr>
            <w:tcW w:w="993" w:type="dxa"/>
            <w:shd w:val="clear" w:color="auto" w:fill="C6EFCE"/>
            <w:noWrap/>
          </w:tcPr>
          <w:p w14:paraId="4A68CD8F" w14:textId="77777777" w:rsidR="000E48CE" w:rsidRDefault="00FF4C4E">
            <w:pPr>
              <w:pStyle w:val="P68B1DB1-Normal13"/>
              <w:spacing w:after="0" w:line="240" w:lineRule="auto"/>
              <w:jc w:val="center"/>
              <w:rPr>
                <w:rFonts w:eastAsia="Times New Roman" w:cs="Times New Roman"/>
                <w:noProof/>
              </w:rPr>
            </w:pPr>
            <w:r>
              <w:rPr>
                <w:noProof/>
              </w:rPr>
              <w:t xml:space="preserve"> Voimaantuloa koskevan kuninkaan asetuksen säännös</w:t>
            </w:r>
          </w:p>
        </w:tc>
        <w:tc>
          <w:tcPr>
            <w:tcW w:w="850" w:type="dxa"/>
            <w:shd w:val="clear" w:color="auto" w:fill="C6EFCE"/>
            <w:noWrap/>
          </w:tcPr>
          <w:p w14:paraId="31A2D429"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1A31E73D"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7B110424" w14:textId="6EB46920"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tcPr>
          <w:p w14:paraId="5172323B" w14:textId="615AFFB7" w:rsidR="000E48CE" w:rsidRDefault="00FF4C4E">
            <w:pPr>
              <w:pStyle w:val="P68B1DB1-Normal13"/>
              <w:spacing w:after="0" w:line="240" w:lineRule="auto"/>
              <w:jc w:val="center"/>
              <w:rPr>
                <w:rFonts w:cs="Times New Roman"/>
                <w:noProof/>
              </w:rPr>
            </w:pPr>
            <w:r>
              <w:rPr>
                <w:noProof/>
              </w:rPr>
              <w:t>Q1</w:t>
            </w:r>
          </w:p>
        </w:tc>
        <w:tc>
          <w:tcPr>
            <w:tcW w:w="567" w:type="dxa"/>
            <w:shd w:val="clear" w:color="auto" w:fill="C6EFCE"/>
          </w:tcPr>
          <w:p w14:paraId="25087A98" w14:textId="36EDB34B" w:rsidR="000E48CE" w:rsidRDefault="00FF4C4E">
            <w:pPr>
              <w:pStyle w:val="P68B1DB1-Normal13"/>
              <w:spacing w:after="0" w:line="240" w:lineRule="auto"/>
              <w:jc w:val="center"/>
              <w:rPr>
                <w:rFonts w:cs="Times New Roman"/>
                <w:noProof/>
              </w:rPr>
            </w:pPr>
            <w:r>
              <w:rPr>
                <w:noProof/>
              </w:rPr>
              <w:t>2021</w:t>
            </w:r>
          </w:p>
        </w:tc>
        <w:tc>
          <w:tcPr>
            <w:tcW w:w="5812" w:type="dxa"/>
            <w:shd w:val="clear" w:color="auto" w:fill="C6EFCE"/>
            <w:noWrap/>
          </w:tcPr>
          <w:p w14:paraId="41DAEBA5" w14:textId="49CD5202" w:rsidR="000E48CE" w:rsidRDefault="00FF4C4E">
            <w:pPr>
              <w:pStyle w:val="P68B1DB1-Normal13"/>
              <w:spacing w:after="0" w:line="240" w:lineRule="auto"/>
              <w:rPr>
                <w:rFonts w:eastAsia="Times New Roman" w:cs="Times New Roman"/>
                <w:noProof/>
              </w:rPr>
            </w:pPr>
            <w:r>
              <w:rPr>
                <w:noProof/>
              </w:rPr>
              <w:t xml:space="preserve">Julkisten tutkimusorganisaatioiden </w:t>
            </w:r>
            <w:r>
              <w:rPr>
                <w:noProof/>
              </w:rPr>
              <w:t>uudelleenjärjestelystä annetun kuninkaallisen asetuksen voimaantulo. Tavoitteena on parantaa niiden kolmen PRO:n hallinto- ja tiedeneuvontavalmiuksia, joiden kriittinen massa on pienempi, integroimalla ne laajempaan PROon seuraavasti: tuloksena olevan henk</w:t>
            </w:r>
            <w:r>
              <w:rPr>
                <w:noProof/>
              </w:rPr>
              <w:t>ilöstöorganisaation kilpailuaseman parantaminen, ii) niiden tehokkuuden parantaminen ja iii) hallinnollisen joustavuuden lisääminen.</w:t>
            </w:r>
          </w:p>
        </w:tc>
      </w:tr>
      <w:tr w:rsidR="000E48CE" w14:paraId="49F7AE4E" w14:textId="77777777">
        <w:trPr>
          <w:trHeight w:val="309"/>
        </w:trPr>
        <w:tc>
          <w:tcPr>
            <w:tcW w:w="701" w:type="dxa"/>
            <w:shd w:val="clear" w:color="auto" w:fill="C6EFCE"/>
            <w:noWrap/>
          </w:tcPr>
          <w:p w14:paraId="3297D043" w14:textId="77777777" w:rsidR="000E48CE" w:rsidRDefault="00FF4C4E">
            <w:pPr>
              <w:pStyle w:val="P68B1DB1-Normal13"/>
              <w:spacing w:after="0" w:line="240" w:lineRule="auto"/>
              <w:jc w:val="center"/>
              <w:rPr>
                <w:rFonts w:eastAsia="Times New Roman" w:cs="Times New Roman"/>
                <w:noProof/>
              </w:rPr>
            </w:pPr>
            <w:r>
              <w:rPr>
                <w:noProof/>
              </w:rPr>
              <w:t>258</w:t>
            </w:r>
          </w:p>
        </w:tc>
        <w:tc>
          <w:tcPr>
            <w:tcW w:w="729" w:type="dxa"/>
            <w:shd w:val="clear" w:color="auto" w:fill="C6EFCE"/>
            <w:noWrap/>
          </w:tcPr>
          <w:p w14:paraId="051D7B87" w14:textId="77777777" w:rsidR="000E48CE" w:rsidRDefault="00FF4C4E">
            <w:pPr>
              <w:pStyle w:val="P68B1DB1-Normal13"/>
              <w:spacing w:after="0" w:line="240" w:lineRule="auto"/>
              <w:jc w:val="center"/>
              <w:rPr>
                <w:rFonts w:eastAsia="Times New Roman" w:cs="Times New Roman"/>
                <w:noProof/>
              </w:rPr>
            </w:pPr>
            <w:r>
              <w:rPr>
                <w:noProof/>
              </w:rPr>
              <w:t>C17.I1</w:t>
            </w:r>
          </w:p>
        </w:tc>
        <w:tc>
          <w:tcPr>
            <w:tcW w:w="609" w:type="dxa"/>
            <w:shd w:val="clear" w:color="auto" w:fill="C6EFCE"/>
            <w:noWrap/>
          </w:tcPr>
          <w:p w14:paraId="57188DB5"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64014446" w14:textId="77777777" w:rsidR="000E48CE" w:rsidRDefault="00FF4C4E">
            <w:pPr>
              <w:pStyle w:val="P68B1DB1-Normal13"/>
              <w:spacing w:after="0" w:line="240" w:lineRule="auto"/>
              <w:rPr>
                <w:rFonts w:eastAsia="Times New Roman" w:cs="Times New Roman"/>
                <w:noProof/>
              </w:rPr>
            </w:pPr>
            <w:r>
              <w:rPr>
                <w:noProof/>
              </w:rPr>
              <w:t xml:space="preserve">Tiede- ja innovaatioministeriön itsehallintoalueiden kanssa allekirjoittamat sopimukset täydentävien T &amp; K-suunnitelmien täytäntöönpanosta. </w:t>
            </w:r>
          </w:p>
        </w:tc>
        <w:tc>
          <w:tcPr>
            <w:tcW w:w="993" w:type="dxa"/>
            <w:shd w:val="clear" w:color="auto" w:fill="C6EFCE"/>
            <w:noWrap/>
          </w:tcPr>
          <w:p w14:paraId="1FA5245F"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1D711C6B"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tcPr>
          <w:p w14:paraId="325FD8D3"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2F2FF6BF" w14:textId="017F2239" w:rsidR="000E48CE" w:rsidRDefault="00FF4C4E">
            <w:pPr>
              <w:pStyle w:val="P68B1DB1-Normal13"/>
              <w:spacing w:after="0" w:line="240" w:lineRule="auto"/>
              <w:jc w:val="center"/>
              <w:rPr>
                <w:rFonts w:cs="Times New Roman"/>
                <w:noProof/>
              </w:rPr>
            </w:pPr>
            <w:r>
              <w:rPr>
                <w:noProof/>
              </w:rPr>
              <w:t>4</w:t>
            </w:r>
          </w:p>
        </w:tc>
        <w:tc>
          <w:tcPr>
            <w:tcW w:w="567" w:type="dxa"/>
            <w:shd w:val="clear" w:color="auto" w:fill="C6EFCE"/>
          </w:tcPr>
          <w:p w14:paraId="7821A49C" w14:textId="371802CB"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tcPr>
          <w:p w14:paraId="35111DCE" w14:textId="32113782" w:rsidR="000E48CE" w:rsidRDefault="00FF4C4E">
            <w:pPr>
              <w:pStyle w:val="P68B1DB1-Normal13"/>
              <w:spacing w:after="0" w:line="240" w:lineRule="auto"/>
              <w:jc w:val="center"/>
              <w:rPr>
                <w:rFonts w:cs="Times New Roman"/>
                <w:noProof/>
              </w:rPr>
            </w:pPr>
            <w:r>
              <w:rPr>
                <w:noProof/>
              </w:rPr>
              <w:t>2021</w:t>
            </w:r>
          </w:p>
        </w:tc>
        <w:tc>
          <w:tcPr>
            <w:tcW w:w="5812" w:type="dxa"/>
            <w:shd w:val="clear" w:color="auto" w:fill="C6EFCE"/>
            <w:noWrap/>
          </w:tcPr>
          <w:p w14:paraId="4319A5BA" w14:textId="77777777" w:rsidR="000E48CE" w:rsidRDefault="00FF4C4E">
            <w:pPr>
              <w:pStyle w:val="P68B1DB1-Normal13"/>
              <w:spacing w:after="0" w:line="240" w:lineRule="auto"/>
              <w:rPr>
                <w:rFonts w:eastAsia="Times New Roman" w:cs="Times New Roman"/>
                <w:noProof/>
              </w:rPr>
            </w:pPr>
            <w:r>
              <w:rPr>
                <w:noProof/>
              </w:rPr>
              <w:t>Tiede- ja innovaatioministeriön autonomisten alueiden kanssa allekirjoittamat neljä sopimusta tä</w:t>
            </w:r>
            <w:r>
              <w:rPr>
                <w:noProof/>
              </w:rPr>
              <w:t xml:space="preserve">ydentävien T &amp; K-suunnitelmien täytäntöönpanosta, joiden arvo on vähintään 140000000 euroa. Sopimusten on mahdollistettava strateginen koordinointi ja synergia alueellisten ja kansallisten älykkään erikoistumisen strategioiden välillä. </w:t>
            </w:r>
          </w:p>
        </w:tc>
      </w:tr>
      <w:tr w:rsidR="000E48CE" w14:paraId="5E5DAD9C" w14:textId="77777777">
        <w:trPr>
          <w:trHeight w:val="309"/>
        </w:trPr>
        <w:tc>
          <w:tcPr>
            <w:tcW w:w="701" w:type="dxa"/>
            <w:shd w:val="clear" w:color="auto" w:fill="C6EFCE"/>
            <w:noWrap/>
          </w:tcPr>
          <w:p w14:paraId="3DE6C918" w14:textId="77777777" w:rsidR="000E48CE" w:rsidRDefault="00FF4C4E">
            <w:pPr>
              <w:pStyle w:val="P68B1DB1-Normal13"/>
              <w:spacing w:after="0" w:line="240" w:lineRule="auto"/>
              <w:jc w:val="center"/>
              <w:rPr>
                <w:rFonts w:eastAsia="Times New Roman" w:cs="Times New Roman"/>
                <w:noProof/>
              </w:rPr>
            </w:pPr>
            <w:r>
              <w:rPr>
                <w:noProof/>
              </w:rPr>
              <w:t>259</w:t>
            </w:r>
          </w:p>
        </w:tc>
        <w:tc>
          <w:tcPr>
            <w:tcW w:w="729" w:type="dxa"/>
            <w:shd w:val="clear" w:color="auto" w:fill="C6EFCE"/>
            <w:noWrap/>
          </w:tcPr>
          <w:p w14:paraId="59BD60A1" w14:textId="77777777" w:rsidR="000E48CE" w:rsidRDefault="00FF4C4E">
            <w:pPr>
              <w:pStyle w:val="P68B1DB1-Normal13"/>
              <w:spacing w:after="0" w:line="240" w:lineRule="auto"/>
              <w:jc w:val="center"/>
              <w:rPr>
                <w:rFonts w:eastAsia="Times New Roman" w:cs="Times New Roman"/>
                <w:noProof/>
              </w:rPr>
            </w:pPr>
            <w:r>
              <w:rPr>
                <w:noProof/>
              </w:rPr>
              <w:t>C17.I2</w:t>
            </w:r>
          </w:p>
        </w:tc>
        <w:tc>
          <w:tcPr>
            <w:tcW w:w="609" w:type="dxa"/>
            <w:shd w:val="clear" w:color="auto" w:fill="C6EFCE"/>
            <w:noWrap/>
          </w:tcPr>
          <w:p w14:paraId="5130E232"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5B626C9B" w14:textId="77777777" w:rsidR="000E48CE" w:rsidRDefault="00FF4C4E">
            <w:pPr>
              <w:pStyle w:val="P68B1DB1-Normal13"/>
              <w:spacing w:after="0" w:line="240" w:lineRule="auto"/>
              <w:rPr>
                <w:rFonts w:eastAsia="Times New Roman" w:cs="Times New Roman"/>
                <w:noProof/>
              </w:rPr>
            </w:pPr>
            <w:r>
              <w:rPr>
                <w:noProof/>
              </w:rPr>
              <w:t>Palkinnot hankkeille, joilla parannetaan Espanjan tiedeteknologia- ja innovointijärjestelmän kansallisia tieteellisiä infrastruktuureja ja valmiuksia, sekä kansainvälisten yhteisöjen ja muiden välineiden kanssa allekirjoitetut kahdenväliset sopimukset euro</w:t>
            </w:r>
            <w:r>
              <w:rPr>
                <w:noProof/>
              </w:rPr>
              <w:t xml:space="preserve">oppalaisten ja kansainvälisten infrastruktuurihankkeiden rahoittamiseksi. </w:t>
            </w:r>
          </w:p>
        </w:tc>
        <w:tc>
          <w:tcPr>
            <w:tcW w:w="993" w:type="dxa"/>
            <w:shd w:val="clear" w:color="auto" w:fill="C6EFCE"/>
            <w:noWrap/>
          </w:tcPr>
          <w:p w14:paraId="69ED6B58"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43C0488" w14:textId="77777777" w:rsidR="000E48CE" w:rsidRDefault="00FF4C4E">
            <w:pPr>
              <w:pStyle w:val="P68B1DB1-Normal13"/>
              <w:spacing w:after="0" w:line="240" w:lineRule="auto"/>
              <w:jc w:val="center"/>
              <w:rPr>
                <w:rFonts w:eastAsia="Times New Roman" w:cs="Times New Roman"/>
                <w:noProof/>
              </w:rPr>
            </w:pPr>
            <w:r>
              <w:rPr>
                <w:noProof/>
              </w:rPr>
              <w:t>Miljoonaa euroa</w:t>
            </w:r>
          </w:p>
        </w:tc>
        <w:tc>
          <w:tcPr>
            <w:tcW w:w="709" w:type="dxa"/>
            <w:shd w:val="clear" w:color="auto" w:fill="C6EFCE"/>
          </w:tcPr>
          <w:p w14:paraId="1397B7ED"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35F60C9E" w14:textId="51D3B5C0" w:rsidR="000E48CE" w:rsidRDefault="00FF4C4E">
            <w:pPr>
              <w:pStyle w:val="P68B1DB1-Normal13"/>
              <w:spacing w:after="0" w:line="240" w:lineRule="auto"/>
              <w:jc w:val="center"/>
              <w:rPr>
                <w:rFonts w:cs="Times New Roman"/>
                <w:noProof/>
              </w:rPr>
            </w:pPr>
            <w:r>
              <w:rPr>
                <w:noProof/>
              </w:rPr>
              <w:t>300,2</w:t>
            </w:r>
          </w:p>
        </w:tc>
        <w:tc>
          <w:tcPr>
            <w:tcW w:w="567" w:type="dxa"/>
            <w:shd w:val="clear" w:color="auto" w:fill="C6EFCE"/>
          </w:tcPr>
          <w:p w14:paraId="474984C4" w14:textId="6D3F719A"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tcPr>
          <w:p w14:paraId="1C6A5AF1" w14:textId="4FEA7517" w:rsidR="000E48CE" w:rsidRDefault="00FF4C4E">
            <w:pPr>
              <w:pStyle w:val="P68B1DB1-Normal13"/>
              <w:spacing w:after="0" w:line="240" w:lineRule="auto"/>
              <w:jc w:val="center"/>
              <w:rPr>
                <w:rFonts w:cs="Times New Roman"/>
                <w:noProof/>
              </w:rPr>
            </w:pPr>
            <w:r>
              <w:rPr>
                <w:noProof/>
              </w:rPr>
              <w:t>2022</w:t>
            </w:r>
          </w:p>
        </w:tc>
        <w:tc>
          <w:tcPr>
            <w:tcW w:w="5812" w:type="dxa"/>
            <w:shd w:val="clear" w:color="auto" w:fill="C6EFCE"/>
            <w:noWrap/>
          </w:tcPr>
          <w:p w14:paraId="47493406" w14:textId="77777777" w:rsidR="000E48CE" w:rsidRDefault="00FF4C4E">
            <w:pPr>
              <w:pStyle w:val="P68B1DB1-Normal13"/>
              <w:spacing w:after="0" w:line="240" w:lineRule="auto"/>
              <w:rPr>
                <w:rFonts w:cs="Times New Roman"/>
                <w:noProof/>
              </w:rPr>
            </w:pPr>
            <w:r>
              <w:rPr>
                <w:noProof/>
              </w:rPr>
              <w:t xml:space="preserve">Vähintään 255155000 euron julkaiseminen kansallisessa tukitietokannassa hankkeille, joilla parannetaan kansallisia tieteellisiä infrastruktuureja, </w:t>
            </w:r>
            <w:r>
              <w:rPr>
                <w:noProof/>
              </w:rPr>
              <w:t>Espanjan tiedeteknologia- ja innovointijärjestelmän kapasiteettia sekä kansainvälisten yhteisöjen kanssa allekirjoitettuja sopimuksia ja muita välineitä, joilla rahoitetaan vähintään 45000000 euron suuruisia hankkeita eurooppalaisissa ja kansainvälisissä i</w:t>
            </w:r>
            <w:r>
              <w:rPr>
                <w:noProof/>
              </w:rPr>
              <w:t>nfrastruktuureissa (CERN, dyyni, HKK, ESS-lund, Harmony ja SKA).</w:t>
            </w:r>
          </w:p>
        </w:tc>
      </w:tr>
      <w:tr w:rsidR="000E48CE" w14:paraId="554E50C8" w14:textId="77777777">
        <w:trPr>
          <w:trHeight w:val="309"/>
        </w:trPr>
        <w:tc>
          <w:tcPr>
            <w:tcW w:w="701" w:type="dxa"/>
            <w:shd w:val="clear" w:color="auto" w:fill="C6EFCE"/>
            <w:noWrap/>
          </w:tcPr>
          <w:p w14:paraId="4ADA14EF" w14:textId="77777777" w:rsidR="000E48CE" w:rsidRDefault="00FF4C4E">
            <w:pPr>
              <w:pStyle w:val="P68B1DB1-Normal13"/>
              <w:spacing w:after="0" w:line="240" w:lineRule="auto"/>
              <w:jc w:val="center"/>
              <w:rPr>
                <w:rFonts w:eastAsia="Times New Roman" w:cs="Times New Roman"/>
                <w:noProof/>
              </w:rPr>
            </w:pPr>
            <w:r>
              <w:rPr>
                <w:noProof/>
              </w:rPr>
              <w:t>260</w:t>
            </w:r>
          </w:p>
        </w:tc>
        <w:tc>
          <w:tcPr>
            <w:tcW w:w="729" w:type="dxa"/>
            <w:shd w:val="clear" w:color="auto" w:fill="C6EFCE"/>
            <w:noWrap/>
          </w:tcPr>
          <w:p w14:paraId="2B61F7CE" w14:textId="77777777" w:rsidR="000E48CE" w:rsidRDefault="00FF4C4E">
            <w:pPr>
              <w:pStyle w:val="P68B1DB1-Normal13"/>
              <w:spacing w:after="0" w:line="240" w:lineRule="auto"/>
              <w:jc w:val="center"/>
              <w:rPr>
                <w:rFonts w:eastAsia="Times New Roman" w:cs="Times New Roman"/>
                <w:noProof/>
              </w:rPr>
            </w:pPr>
            <w:r>
              <w:rPr>
                <w:noProof/>
              </w:rPr>
              <w:t>C17.I2</w:t>
            </w:r>
          </w:p>
        </w:tc>
        <w:tc>
          <w:tcPr>
            <w:tcW w:w="609" w:type="dxa"/>
            <w:shd w:val="clear" w:color="auto" w:fill="C6EFCE"/>
            <w:noWrap/>
          </w:tcPr>
          <w:p w14:paraId="686C71A6"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2350E903" w14:textId="77777777" w:rsidR="000E48CE" w:rsidRDefault="00FF4C4E">
            <w:pPr>
              <w:pStyle w:val="P68B1DB1-Normal13"/>
              <w:spacing w:after="0" w:line="240" w:lineRule="auto"/>
              <w:rPr>
                <w:rFonts w:eastAsia="Times New Roman" w:cs="Times New Roman"/>
                <w:noProof/>
              </w:rPr>
            </w:pPr>
            <w:r>
              <w:rPr>
                <w:noProof/>
              </w:rPr>
              <w:t xml:space="preserve">Kaikkien sellaisten hankkeiden loppuun saattaminen, joilla parannetaan Espanjan tiedeteknologia- ja innovointijärjestelmän tieteellisiä infrastruktuureja ja kapasiteettia, </w:t>
            </w:r>
            <w:r>
              <w:rPr>
                <w:noProof/>
              </w:rPr>
              <w:t>mukaan lukien eurooppalaista ja kansainvälistä infrastruktuuria koskevat hankkeet.</w:t>
            </w:r>
          </w:p>
        </w:tc>
        <w:tc>
          <w:tcPr>
            <w:tcW w:w="993" w:type="dxa"/>
            <w:shd w:val="clear" w:color="auto" w:fill="C6EFCE"/>
            <w:noWrap/>
          </w:tcPr>
          <w:p w14:paraId="7207EDA8"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35353081"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15F26F47"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688175D1" w14:textId="46E5AF65" w:rsidR="000E48CE" w:rsidRDefault="00FF4C4E">
            <w:pPr>
              <w:pStyle w:val="P68B1DB1-Normal13"/>
              <w:spacing w:after="0" w:line="240" w:lineRule="auto"/>
              <w:jc w:val="center"/>
              <w:rPr>
                <w:rFonts w:cs="Times New Roman"/>
                <w:noProof/>
              </w:rPr>
            </w:pPr>
            <w:r>
              <w:rPr>
                <w:noProof/>
              </w:rPr>
              <w:t>100</w:t>
            </w:r>
          </w:p>
        </w:tc>
        <w:tc>
          <w:tcPr>
            <w:tcW w:w="567" w:type="dxa"/>
            <w:shd w:val="clear" w:color="auto" w:fill="C6EFCE"/>
          </w:tcPr>
          <w:p w14:paraId="13C1BAB3" w14:textId="2ECC23AD"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tcPr>
          <w:p w14:paraId="5F29CAD9" w14:textId="53C98133" w:rsidR="000E48CE" w:rsidRDefault="00FF4C4E">
            <w:pPr>
              <w:pStyle w:val="P68B1DB1-Normal13"/>
              <w:spacing w:after="0" w:line="240" w:lineRule="auto"/>
              <w:jc w:val="center"/>
              <w:rPr>
                <w:rFonts w:cs="Times New Roman"/>
                <w:noProof/>
              </w:rPr>
            </w:pPr>
            <w:r>
              <w:rPr>
                <w:noProof/>
              </w:rPr>
              <w:t>2026</w:t>
            </w:r>
          </w:p>
        </w:tc>
        <w:tc>
          <w:tcPr>
            <w:tcW w:w="5812" w:type="dxa"/>
            <w:shd w:val="clear" w:color="auto" w:fill="C6EFCE"/>
            <w:noWrap/>
          </w:tcPr>
          <w:p w14:paraId="4F283A38" w14:textId="5A20DFA9" w:rsidR="000E48CE" w:rsidRDefault="00FF4C4E">
            <w:pPr>
              <w:pStyle w:val="P68B1DB1-Normal13"/>
              <w:spacing w:after="0" w:line="240" w:lineRule="auto"/>
              <w:rPr>
                <w:rFonts w:eastAsia="Times New Roman" w:cs="Times New Roman"/>
                <w:noProof/>
              </w:rPr>
            </w:pPr>
            <w:r>
              <w:rPr>
                <w:noProof/>
              </w:rPr>
              <w:t>100 prosenttia päätökseen saatetuista tutkimus- ja innovointihankkeista (vähintään 676000000 euroa), mikä vastaa tavoitetta parantaa Esp</w:t>
            </w:r>
            <w:r>
              <w:rPr>
                <w:noProof/>
              </w:rPr>
              <w:t>anjan tiedeteknologia- ja innovointijärjestelmän tieteellisiä infrastruktuureja ja kapasiteettia uudistamalla tieteellisiä laitteita, nykyaikaistamalla BSL3-laitteistoa, luomalla uusi fytogeeninen infrastruktuuri ja varustamalla CIEMAT (Centro de</w:t>
            </w:r>
            <w:r>
              <w:rPr>
                <w:i/>
                <w:noProof/>
              </w:rPr>
              <w:t>Investigac</w:t>
            </w:r>
            <w:r>
              <w:rPr>
                <w:i/>
                <w:noProof/>
              </w:rPr>
              <w:t>iones Energéticas, Medioambientales y Tecnológicas) tarvittava</w:t>
            </w:r>
            <w:r>
              <w:rPr>
                <w:noProof/>
              </w:rPr>
              <w:t>infrastruktuuri uusiutuvaa energiaa (mukaan lukien vety ja varastointi) koskevan tutkimuksen toteuttamiseksi, kehittyneen optiikan sekä T &amp; K-infrastruktuurin keskuksen perustaminen Planes Estra</w:t>
            </w:r>
            <w:r>
              <w:rPr>
                <w:noProof/>
              </w:rPr>
              <w:t>tégicos</w:t>
            </w:r>
            <w:r>
              <w:rPr>
                <w:i/>
                <w:noProof/>
              </w:rPr>
              <w:t>de Infrastructuras científicas y Técnicas Singulares -ohjelman mukaisesti, hankkeet</w:t>
            </w:r>
            <w:r>
              <w:rPr>
                <w:noProof/>
              </w:rPr>
              <w:t>eurooppalaisen ja kansainvälisen infrastruktuurin (CERN, dyyni, HKK, ESS-lund, Harmony ja SKA) tukemiseksi ja investoinnein, kuten tieteellisten laitteiden hankinta j</w:t>
            </w:r>
            <w:r>
              <w:rPr>
                <w:noProof/>
              </w:rPr>
              <w:t>a uudistaminen, puhtaiden tilojen rakentaminen puolijohteiden ja mikronanoteknologian alalla sekä valmiuksien vahvistaminen suurteholaskennan ja viestinnän aloilla.</w:t>
            </w:r>
          </w:p>
        </w:tc>
      </w:tr>
      <w:tr w:rsidR="000E48CE" w14:paraId="15B94FC3" w14:textId="77777777">
        <w:trPr>
          <w:trHeight w:val="309"/>
        </w:trPr>
        <w:tc>
          <w:tcPr>
            <w:tcW w:w="701" w:type="dxa"/>
            <w:shd w:val="clear" w:color="auto" w:fill="C6EFCE"/>
            <w:noWrap/>
          </w:tcPr>
          <w:p w14:paraId="387DEBB6" w14:textId="77777777" w:rsidR="000E48CE" w:rsidRDefault="00FF4C4E">
            <w:pPr>
              <w:pStyle w:val="P68B1DB1-Normal13"/>
              <w:spacing w:after="0" w:line="240" w:lineRule="auto"/>
              <w:jc w:val="center"/>
              <w:rPr>
                <w:rFonts w:eastAsia="Times New Roman" w:cs="Times New Roman"/>
                <w:noProof/>
              </w:rPr>
            </w:pPr>
            <w:r>
              <w:rPr>
                <w:noProof/>
              </w:rPr>
              <w:t>261</w:t>
            </w:r>
          </w:p>
        </w:tc>
        <w:tc>
          <w:tcPr>
            <w:tcW w:w="729" w:type="dxa"/>
            <w:shd w:val="clear" w:color="auto" w:fill="C6EFCE"/>
            <w:noWrap/>
          </w:tcPr>
          <w:p w14:paraId="51C883E7" w14:textId="77777777" w:rsidR="000E48CE" w:rsidRDefault="00FF4C4E">
            <w:pPr>
              <w:pStyle w:val="P68B1DB1-Normal13"/>
              <w:spacing w:after="0" w:line="240" w:lineRule="auto"/>
              <w:jc w:val="center"/>
              <w:rPr>
                <w:rFonts w:eastAsia="Times New Roman" w:cs="Times New Roman"/>
                <w:noProof/>
              </w:rPr>
            </w:pPr>
            <w:r>
              <w:rPr>
                <w:noProof/>
              </w:rPr>
              <w:t>C17.I3</w:t>
            </w:r>
          </w:p>
        </w:tc>
        <w:tc>
          <w:tcPr>
            <w:tcW w:w="609" w:type="dxa"/>
            <w:shd w:val="clear" w:color="auto" w:fill="C6EFCE"/>
            <w:noWrap/>
          </w:tcPr>
          <w:p w14:paraId="14790625"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01ED6906" w14:textId="77777777" w:rsidR="000E48CE" w:rsidRDefault="00FF4C4E">
            <w:pPr>
              <w:pStyle w:val="P68B1DB1-Normal13"/>
              <w:spacing w:after="0" w:line="240" w:lineRule="auto"/>
              <w:rPr>
                <w:rFonts w:eastAsia="Times New Roman" w:cs="Times New Roman"/>
                <w:noProof/>
              </w:rPr>
            </w:pPr>
            <w:r>
              <w:rPr>
                <w:noProof/>
              </w:rPr>
              <w:t xml:space="preserve">Uusien yksityisten, tieteidenvälisten, julkisten T &amp; K &amp; I-hankkeiden, konseptitestien, kansainvälisten kilpailuun perustuvien ehdotuspyyntöjen ja sosiaalisiin haasteisiin keskittyvän huipputason T &amp; K-hankkeiden myöntäminen </w:t>
            </w:r>
          </w:p>
        </w:tc>
        <w:tc>
          <w:tcPr>
            <w:tcW w:w="993" w:type="dxa"/>
            <w:shd w:val="clear" w:color="auto" w:fill="C6EFCE"/>
            <w:noWrap/>
          </w:tcPr>
          <w:p w14:paraId="0BE2CBC5" w14:textId="77777777" w:rsidR="000E48CE" w:rsidRDefault="000E48CE">
            <w:pPr>
              <w:spacing w:after="0" w:line="240" w:lineRule="auto"/>
              <w:jc w:val="center"/>
              <w:rPr>
                <w:rFonts w:ascii="Times New Roman" w:eastAsia="Times New Roman" w:hAnsi="Times New Roman" w:cs="Times New Roman"/>
                <w:noProof/>
                <w:sz w:val="18"/>
              </w:rPr>
            </w:pPr>
          </w:p>
        </w:tc>
        <w:tc>
          <w:tcPr>
            <w:tcW w:w="850" w:type="dxa"/>
            <w:shd w:val="clear" w:color="auto" w:fill="C6EFCE"/>
            <w:noWrap/>
          </w:tcPr>
          <w:p w14:paraId="16B00E14" w14:textId="77777777" w:rsidR="000E48CE" w:rsidRDefault="00FF4C4E">
            <w:pPr>
              <w:pStyle w:val="P68B1DB1-Normal13"/>
              <w:spacing w:after="0" w:line="240" w:lineRule="auto"/>
              <w:jc w:val="center"/>
              <w:rPr>
                <w:rFonts w:eastAsia="Times New Roman" w:cs="Times New Roman"/>
                <w:noProof/>
              </w:rPr>
            </w:pPr>
            <w:r>
              <w:rPr>
                <w:noProof/>
              </w:rPr>
              <w:t>Miljoonaa euroa</w:t>
            </w:r>
          </w:p>
        </w:tc>
        <w:tc>
          <w:tcPr>
            <w:tcW w:w="709" w:type="dxa"/>
            <w:shd w:val="clear" w:color="auto" w:fill="C6EFCE"/>
          </w:tcPr>
          <w:p w14:paraId="25D58001"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61A565B7" w14:textId="4FA03F49" w:rsidR="000E48CE" w:rsidRDefault="00FF4C4E">
            <w:pPr>
              <w:pStyle w:val="P68B1DB1-Normal13"/>
              <w:spacing w:after="0" w:line="240" w:lineRule="auto"/>
              <w:jc w:val="center"/>
              <w:rPr>
                <w:rFonts w:cs="Times New Roman"/>
                <w:noProof/>
              </w:rPr>
            </w:pPr>
            <w:r>
              <w:rPr>
                <w:noProof/>
              </w:rPr>
              <w:t>897</w:t>
            </w:r>
          </w:p>
        </w:tc>
        <w:tc>
          <w:tcPr>
            <w:tcW w:w="567" w:type="dxa"/>
            <w:shd w:val="clear" w:color="auto" w:fill="C6EFCE"/>
          </w:tcPr>
          <w:p w14:paraId="6598F3AB" w14:textId="08A94AC0"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tcPr>
          <w:p w14:paraId="67381AFA" w14:textId="4C62CC67" w:rsidR="000E48CE" w:rsidRDefault="00FF4C4E">
            <w:pPr>
              <w:pStyle w:val="P68B1DB1-Normal13"/>
              <w:spacing w:after="0" w:line="240" w:lineRule="auto"/>
              <w:jc w:val="center"/>
              <w:rPr>
                <w:rFonts w:cs="Times New Roman"/>
                <w:noProof/>
              </w:rPr>
            </w:pPr>
            <w:r>
              <w:rPr>
                <w:noProof/>
              </w:rPr>
              <w:t>2022</w:t>
            </w:r>
          </w:p>
        </w:tc>
        <w:tc>
          <w:tcPr>
            <w:tcW w:w="5812" w:type="dxa"/>
            <w:shd w:val="clear" w:color="auto" w:fill="C6EFCE"/>
            <w:noWrap/>
          </w:tcPr>
          <w:p w14:paraId="283BB5C7" w14:textId="6E45DA6A" w:rsidR="000E48CE" w:rsidRDefault="00FF4C4E">
            <w:pPr>
              <w:pStyle w:val="P68B1DB1-Normal13"/>
              <w:spacing w:after="0" w:line="240" w:lineRule="auto"/>
              <w:jc w:val="both"/>
              <w:rPr>
                <w:rFonts w:eastAsia="Times New Roman" w:cs="Times New Roman"/>
                <w:noProof/>
              </w:rPr>
            </w:pPr>
            <w:r>
              <w:rPr>
                <w:noProof/>
              </w:rPr>
              <w:t>Euroopan unionin virallisessa lehdessä julkaistaan vähintään 897000000 euron avustus seuraavien ehdotuspyyntöjen perusteella: ehdotuspyynnöt konseptin toimivuuden osoittamisesta (80000000 euroa), tieteidenvälisiä hankkeita strategisissa budjettikohdissa (7</w:t>
            </w:r>
            <w:r>
              <w:rPr>
                <w:noProof/>
              </w:rPr>
              <w:t>3000000 euroa), vihreään ja digitaaliseen siirtymään liittyviä tutkimus- ja kehityshankkeita koskeva ehdotuspyyntö (296000000 euroa), julkisen ja yksityisen sektorin yhteistyöhankkeita koskeva ehdotuspyyntö (140000000 euroa), tutkimus- ja kehitystyötä kosk</w:t>
            </w:r>
            <w:r>
              <w:rPr>
                <w:noProof/>
              </w:rPr>
              <w:t>eva ehdotuspyyntö yhteiskunnallisiin haasteisiin vastaamiseksi (230000000 euroa) ja kansainvälisiä yhteistyöhankkeita koskeva ehdotuspyyntö (78000000 euroa). Tähän investointiin liittyvien hankkeiden arvioinnissa on varmistettava, että noudatetaan toimenpi</w:t>
            </w:r>
            <w:r>
              <w:rPr>
                <w:noProof/>
              </w:rPr>
              <w:t>teen kuvauksessa esitettyjä teknisiä ohjeita ”ei merkittävää haittaa” (2021/C58/01).</w:t>
            </w:r>
          </w:p>
        </w:tc>
      </w:tr>
      <w:tr w:rsidR="000E48CE" w14:paraId="26C43207" w14:textId="77777777">
        <w:trPr>
          <w:trHeight w:val="309"/>
        </w:trPr>
        <w:tc>
          <w:tcPr>
            <w:tcW w:w="701" w:type="dxa"/>
            <w:shd w:val="clear" w:color="auto" w:fill="C6EFCE"/>
            <w:noWrap/>
          </w:tcPr>
          <w:p w14:paraId="0135B5B9" w14:textId="77777777" w:rsidR="000E48CE" w:rsidRDefault="00FF4C4E">
            <w:pPr>
              <w:pStyle w:val="P68B1DB1-Normal13"/>
              <w:spacing w:after="0" w:line="240" w:lineRule="auto"/>
              <w:jc w:val="center"/>
              <w:rPr>
                <w:rFonts w:eastAsia="Times New Roman" w:cs="Times New Roman"/>
                <w:noProof/>
              </w:rPr>
            </w:pPr>
            <w:r>
              <w:rPr>
                <w:noProof/>
              </w:rPr>
              <w:t>262</w:t>
            </w:r>
          </w:p>
        </w:tc>
        <w:tc>
          <w:tcPr>
            <w:tcW w:w="729" w:type="dxa"/>
            <w:shd w:val="clear" w:color="auto" w:fill="C6EFCE"/>
            <w:noWrap/>
          </w:tcPr>
          <w:p w14:paraId="0489316F" w14:textId="77777777" w:rsidR="000E48CE" w:rsidRDefault="00FF4C4E">
            <w:pPr>
              <w:pStyle w:val="P68B1DB1-Normal13"/>
              <w:spacing w:after="0" w:line="240" w:lineRule="auto"/>
              <w:jc w:val="center"/>
              <w:rPr>
                <w:rFonts w:eastAsia="Times New Roman" w:cs="Times New Roman"/>
                <w:noProof/>
              </w:rPr>
            </w:pPr>
            <w:r>
              <w:rPr>
                <w:noProof/>
              </w:rPr>
              <w:t>C17.I3</w:t>
            </w:r>
          </w:p>
        </w:tc>
        <w:tc>
          <w:tcPr>
            <w:tcW w:w="609" w:type="dxa"/>
            <w:shd w:val="clear" w:color="auto" w:fill="C6EFCE"/>
            <w:noWrap/>
          </w:tcPr>
          <w:p w14:paraId="1E3A1DC9"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3695584F" w14:textId="77777777" w:rsidR="000E48CE" w:rsidRDefault="00FF4C4E">
            <w:pPr>
              <w:pStyle w:val="P68B1DB1-Normal13"/>
              <w:spacing w:after="0" w:line="240" w:lineRule="auto"/>
              <w:rPr>
                <w:rFonts w:eastAsia="Times New Roman" w:cs="Times New Roman"/>
                <w:noProof/>
              </w:rPr>
            </w:pPr>
            <w:r>
              <w:rPr>
                <w:noProof/>
              </w:rPr>
              <w:t>Sellaisten T &amp; I-hankkeiden hyväksyminen, joissa vähintään 35 prosenttia liittyy vihreään ja digitaaliseen siirtymään</w:t>
            </w:r>
          </w:p>
        </w:tc>
        <w:tc>
          <w:tcPr>
            <w:tcW w:w="993" w:type="dxa"/>
            <w:shd w:val="clear" w:color="auto" w:fill="C6EFCE"/>
            <w:noWrap/>
          </w:tcPr>
          <w:p w14:paraId="1A69904D"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ED1A19A"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tcPr>
          <w:p w14:paraId="32857A7F"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743DE6B5" w14:textId="17721044" w:rsidR="000E48CE" w:rsidRDefault="00FF4C4E">
            <w:pPr>
              <w:pStyle w:val="P68B1DB1-Normal13"/>
              <w:spacing w:after="0" w:line="240" w:lineRule="auto"/>
              <w:jc w:val="center"/>
              <w:rPr>
                <w:rFonts w:cs="Times New Roman"/>
                <w:noProof/>
              </w:rPr>
            </w:pPr>
            <w:r>
              <w:rPr>
                <w:noProof/>
              </w:rPr>
              <w:t>3 110</w:t>
            </w:r>
          </w:p>
        </w:tc>
        <w:tc>
          <w:tcPr>
            <w:tcW w:w="567" w:type="dxa"/>
            <w:shd w:val="clear" w:color="auto" w:fill="C6EFCE"/>
          </w:tcPr>
          <w:p w14:paraId="5142FFD0" w14:textId="2437301F"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tcPr>
          <w:p w14:paraId="7602444A" w14:textId="43FCF6AF" w:rsidR="000E48CE" w:rsidRDefault="00FF4C4E">
            <w:pPr>
              <w:pStyle w:val="P68B1DB1-Normal13"/>
              <w:spacing w:after="0" w:line="240" w:lineRule="auto"/>
              <w:jc w:val="center"/>
              <w:rPr>
                <w:rFonts w:cs="Times New Roman"/>
                <w:noProof/>
              </w:rPr>
            </w:pPr>
            <w:r>
              <w:rPr>
                <w:noProof/>
              </w:rPr>
              <w:t>2024</w:t>
            </w:r>
          </w:p>
        </w:tc>
        <w:tc>
          <w:tcPr>
            <w:tcW w:w="5812" w:type="dxa"/>
            <w:shd w:val="clear" w:color="auto" w:fill="C6EFCE"/>
            <w:noWrap/>
          </w:tcPr>
          <w:p w14:paraId="73DAAA4D" w14:textId="5C50FA90" w:rsidR="000E48CE" w:rsidRDefault="00FF4C4E">
            <w:pPr>
              <w:pStyle w:val="P68B1DB1-Normal13"/>
              <w:spacing w:after="0" w:line="240" w:lineRule="auto"/>
              <w:jc w:val="both"/>
              <w:rPr>
                <w:rFonts w:cs="Times New Roman"/>
                <w:noProof/>
              </w:rPr>
            </w:pPr>
            <w:r>
              <w:rPr>
                <w:noProof/>
              </w:rPr>
              <w:t>Vähintään 3110 T &amp; I-hanketta on hyväksytty siten, että vähintään 35 prosenttia liittyy vihreään ja digitaaliseen siirtymään, mukaan lukien 110 PERTE-siruon liittyvää hanketta. Tähän investointiin liittyvien hankkeiden arvioinnissa on varmistettava, että n</w:t>
            </w:r>
            <w:r>
              <w:rPr>
                <w:noProof/>
              </w:rPr>
              <w:t xml:space="preserve">oudatetaan toimenpiteen kuvauksessa esitettyjä teknisiä ohjeita ”ei merkittävää haittaa” (2021/C58/01). </w:t>
            </w:r>
          </w:p>
        </w:tc>
      </w:tr>
      <w:tr w:rsidR="000E48CE" w14:paraId="56BAA5EA" w14:textId="77777777">
        <w:trPr>
          <w:trHeight w:val="309"/>
        </w:trPr>
        <w:tc>
          <w:tcPr>
            <w:tcW w:w="701" w:type="dxa"/>
            <w:shd w:val="clear" w:color="auto" w:fill="C6EFCE"/>
            <w:noWrap/>
          </w:tcPr>
          <w:p w14:paraId="4FC0078A" w14:textId="77777777" w:rsidR="000E48CE" w:rsidRDefault="00FF4C4E">
            <w:pPr>
              <w:pStyle w:val="P68B1DB1-Normal13"/>
              <w:spacing w:after="0" w:line="240" w:lineRule="auto"/>
              <w:jc w:val="center"/>
              <w:rPr>
                <w:rFonts w:eastAsia="Times New Roman" w:cs="Times New Roman"/>
                <w:noProof/>
              </w:rPr>
            </w:pPr>
            <w:r>
              <w:rPr>
                <w:noProof/>
              </w:rPr>
              <w:t>263</w:t>
            </w:r>
          </w:p>
        </w:tc>
        <w:tc>
          <w:tcPr>
            <w:tcW w:w="729" w:type="dxa"/>
            <w:shd w:val="clear" w:color="auto" w:fill="C6EFCE"/>
            <w:noWrap/>
          </w:tcPr>
          <w:p w14:paraId="14EE2089" w14:textId="77777777" w:rsidR="000E48CE" w:rsidRDefault="00FF4C4E">
            <w:pPr>
              <w:pStyle w:val="P68B1DB1-Normal13"/>
              <w:spacing w:after="0" w:line="240" w:lineRule="auto"/>
              <w:jc w:val="center"/>
              <w:rPr>
                <w:rFonts w:eastAsia="Times New Roman" w:cs="Times New Roman"/>
                <w:noProof/>
              </w:rPr>
            </w:pPr>
            <w:r>
              <w:rPr>
                <w:noProof/>
              </w:rPr>
              <w:t>C17.I4</w:t>
            </w:r>
          </w:p>
        </w:tc>
        <w:tc>
          <w:tcPr>
            <w:tcW w:w="609" w:type="dxa"/>
            <w:shd w:val="clear" w:color="auto" w:fill="C6EFCE"/>
            <w:noWrap/>
          </w:tcPr>
          <w:p w14:paraId="0E62F4B9"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05532597" w14:textId="77777777" w:rsidR="000E48CE" w:rsidRDefault="00FF4C4E">
            <w:pPr>
              <w:pStyle w:val="P68B1DB1-Normal13"/>
              <w:spacing w:after="0" w:line="240" w:lineRule="auto"/>
              <w:rPr>
                <w:rFonts w:eastAsia="Times New Roman" w:cs="Times New Roman"/>
                <w:noProof/>
              </w:rPr>
            </w:pPr>
            <w:r>
              <w:rPr>
                <w:noProof/>
              </w:rPr>
              <w:t xml:space="preserve">Tieteellisen tutkijanuran tukeminen apurahojen ja apurahojen avulla </w:t>
            </w:r>
          </w:p>
        </w:tc>
        <w:tc>
          <w:tcPr>
            <w:tcW w:w="993" w:type="dxa"/>
            <w:shd w:val="clear" w:color="auto" w:fill="C6EFCE"/>
            <w:noWrap/>
          </w:tcPr>
          <w:p w14:paraId="61D5D72A"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63AC40C5"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tcPr>
          <w:p w14:paraId="328A2BD1"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48869387" w14:textId="594FE145" w:rsidR="000E48CE" w:rsidRDefault="00FF4C4E">
            <w:pPr>
              <w:pStyle w:val="P68B1DB1-Normal13"/>
              <w:spacing w:after="0" w:line="240" w:lineRule="auto"/>
              <w:jc w:val="center"/>
              <w:rPr>
                <w:rFonts w:cs="Times New Roman"/>
                <w:noProof/>
              </w:rPr>
            </w:pPr>
            <w:r>
              <w:rPr>
                <w:noProof/>
              </w:rPr>
              <w:t>2 070</w:t>
            </w:r>
          </w:p>
        </w:tc>
        <w:tc>
          <w:tcPr>
            <w:tcW w:w="567" w:type="dxa"/>
            <w:shd w:val="clear" w:color="auto" w:fill="C6EFCE"/>
          </w:tcPr>
          <w:p w14:paraId="0A9B41BF" w14:textId="573FE023"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tcPr>
          <w:p w14:paraId="25BDE876" w14:textId="7421ECBE" w:rsidR="000E48CE" w:rsidRDefault="00FF4C4E">
            <w:pPr>
              <w:pStyle w:val="P68B1DB1-Normal13"/>
              <w:spacing w:after="0" w:line="240" w:lineRule="auto"/>
              <w:jc w:val="center"/>
              <w:rPr>
                <w:rFonts w:cs="Times New Roman"/>
                <w:noProof/>
              </w:rPr>
            </w:pPr>
            <w:r>
              <w:rPr>
                <w:noProof/>
              </w:rPr>
              <w:t>2024</w:t>
            </w:r>
          </w:p>
        </w:tc>
        <w:tc>
          <w:tcPr>
            <w:tcW w:w="5812" w:type="dxa"/>
            <w:shd w:val="clear" w:color="auto" w:fill="C6EFCE"/>
            <w:noWrap/>
          </w:tcPr>
          <w:p w14:paraId="187EE241" w14:textId="29A9476C" w:rsidR="000E48CE" w:rsidRDefault="00FF4C4E">
            <w:pPr>
              <w:pStyle w:val="P68B1DB1-Normal13"/>
              <w:spacing w:after="0" w:line="240" w:lineRule="auto"/>
              <w:rPr>
                <w:rFonts w:cs="Times New Roman"/>
                <w:noProof/>
              </w:rPr>
            </w:pPr>
            <w:r>
              <w:rPr>
                <w:noProof/>
              </w:rPr>
              <w:t>Espanjan tieteellisen tutkijanuraa tukee vähintään 2070 tutkijaa Juan de la Cierva Incorporation -ohjelmasta, Juan de la Cierva -koulutusohjelmasta, teollisuuden tohtoriohjelmasta ja Torres Quevedo -ohjelmasta. Lisäksi ainakin 775 tutkijaa, jotka ovat saan</w:t>
            </w:r>
            <w:r>
              <w:rPr>
                <w:noProof/>
              </w:rPr>
              <w:t xml:space="preserve">eet Tenure Trackin kaltaiseen pysyvään sopimukseen sisältyvän ”tutkimuksen käynnistämispaketin”, josta 25 tutkijaa on saanut CHIP:n käynnistystutkimuspaketin. </w:t>
            </w:r>
          </w:p>
        </w:tc>
      </w:tr>
      <w:tr w:rsidR="000E48CE" w14:paraId="23DFE650" w14:textId="77777777">
        <w:trPr>
          <w:trHeight w:val="309"/>
        </w:trPr>
        <w:tc>
          <w:tcPr>
            <w:tcW w:w="701" w:type="dxa"/>
            <w:shd w:val="clear" w:color="auto" w:fill="C6EFCE"/>
            <w:noWrap/>
          </w:tcPr>
          <w:p w14:paraId="517BD4BA" w14:textId="77777777" w:rsidR="000E48CE" w:rsidRDefault="00FF4C4E">
            <w:pPr>
              <w:pStyle w:val="P68B1DB1-Normal13"/>
              <w:spacing w:after="0" w:line="240" w:lineRule="auto"/>
              <w:jc w:val="center"/>
              <w:rPr>
                <w:rFonts w:eastAsia="Times New Roman" w:cs="Times New Roman"/>
                <w:noProof/>
              </w:rPr>
            </w:pPr>
            <w:r>
              <w:rPr>
                <w:noProof/>
              </w:rPr>
              <w:t>264</w:t>
            </w:r>
          </w:p>
        </w:tc>
        <w:tc>
          <w:tcPr>
            <w:tcW w:w="729" w:type="dxa"/>
            <w:shd w:val="clear" w:color="auto" w:fill="C6EFCE"/>
            <w:noWrap/>
          </w:tcPr>
          <w:p w14:paraId="169CD1CB" w14:textId="77777777" w:rsidR="000E48CE" w:rsidRDefault="00FF4C4E">
            <w:pPr>
              <w:pStyle w:val="P68B1DB1-Normal13"/>
              <w:spacing w:after="0" w:line="240" w:lineRule="auto"/>
              <w:jc w:val="center"/>
              <w:rPr>
                <w:rFonts w:eastAsia="Times New Roman" w:cs="Times New Roman"/>
                <w:noProof/>
              </w:rPr>
            </w:pPr>
            <w:r>
              <w:rPr>
                <w:noProof/>
              </w:rPr>
              <w:t>C17.I4</w:t>
            </w:r>
          </w:p>
        </w:tc>
        <w:tc>
          <w:tcPr>
            <w:tcW w:w="609" w:type="dxa"/>
            <w:shd w:val="clear" w:color="auto" w:fill="C6EFCE"/>
            <w:noWrap/>
          </w:tcPr>
          <w:p w14:paraId="192913A4"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57E34B93" w14:textId="77777777" w:rsidR="000E48CE" w:rsidRDefault="00FF4C4E">
            <w:pPr>
              <w:pStyle w:val="P68B1DB1-Normal13"/>
              <w:spacing w:after="0" w:line="240" w:lineRule="auto"/>
              <w:rPr>
                <w:rFonts w:eastAsia="Times New Roman" w:cs="Times New Roman"/>
                <w:noProof/>
              </w:rPr>
            </w:pPr>
            <w:r>
              <w:rPr>
                <w:noProof/>
              </w:rPr>
              <w:t xml:space="preserve">Apurahan ja apurahan loppuun saattaminen Espanjan tieteellisen tutkijanuran tukemiseksi </w:t>
            </w:r>
          </w:p>
        </w:tc>
        <w:tc>
          <w:tcPr>
            <w:tcW w:w="993" w:type="dxa"/>
            <w:shd w:val="clear" w:color="auto" w:fill="C6EFCE"/>
            <w:noWrap/>
          </w:tcPr>
          <w:p w14:paraId="45D72DCE"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6B0504C9"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tcPr>
          <w:p w14:paraId="4F3DF13E" w14:textId="77777777" w:rsidR="000E48CE" w:rsidRDefault="000E48CE">
            <w:pPr>
              <w:spacing w:after="0" w:line="240" w:lineRule="auto"/>
              <w:jc w:val="both"/>
              <w:rPr>
                <w:rFonts w:ascii="Times New Roman" w:hAnsi="Times New Roman" w:cs="Times New Roman"/>
                <w:noProof/>
                <w:sz w:val="18"/>
              </w:rPr>
            </w:pPr>
          </w:p>
        </w:tc>
        <w:tc>
          <w:tcPr>
            <w:tcW w:w="850" w:type="dxa"/>
            <w:shd w:val="clear" w:color="auto" w:fill="C6EFCE"/>
          </w:tcPr>
          <w:p w14:paraId="6B8F9956" w14:textId="0CF29B72" w:rsidR="000E48CE" w:rsidRDefault="00FF4C4E">
            <w:pPr>
              <w:pStyle w:val="P68B1DB1-Normal13"/>
              <w:spacing w:after="0" w:line="240" w:lineRule="auto"/>
              <w:jc w:val="center"/>
              <w:rPr>
                <w:rFonts w:cs="Times New Roman"/>
                <w:noProof/>
              </w:rPr>
            </w:pPr>
            <w:r>
              <w:rPr>
                <w:noProof/>
              </w:rPr>
              <w:t>2 070</w:t>
            </w:r>
          </w:p>
        </w:tc>
        <w:tc>
          <w:tcPr>
            <w:tcW w:w="567" w:type="dxa"/>
            <w:shd w:val="clear" w:color="auto" w:fill="C6EFCE"/>
          </w:tcPr>
          <w:p w14:paraId="2A94C885" w14:textId="77574F71"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tcPr>
          <w:p w14:paraId="5F928F85" w14:textId="6F11C2C8" w:rsidR="000E48CE" w:rsidRDefault="00FF4C4E">
            <w:pPr>
              <w:pStyle w:val="P68B1DB1-Normal13"/>
              <w:spacing w:after="0" w:line="240" w:lineRule="auto"/>
              <w:jc w:val="center"/>
              <w:rPr>
                <w:rFonts w:cs="Times New Roman"/>
                <w:noProof/>
              </w:rPr>
            </w:pPr>
            <w:r>
              <w:rPr>
                <w:noProof/>
              </w:rPr>
              <w:t>2026</w:t>
            </w:r>
          </w:p>
        </w:tc>
        <w:tc>
          <w:tcPr>
            <w:tcW w:w="5812" w:type="dxa"/>
            <w:shd w:val="clear" w:color="auto" w:fill="C6EFCE"/>
            <w:noWrap/>
          </w:tcPr>
          <w:p w14:paraId="7C820AA9" w14:textId="77777777" w:rsidR="000E48CE" w:rsidRDefault="00FF4C4E">
            <w:pPr>
              <w:pStyle w:val="P68B1DB1-Normal13"/>
              <w:spacing w:after="0" w:line="240" w:lineRule="auto"/>
              <w:jc w:val="both"/>
              <w:rPr>
                <w:rFonts w:eastAsia="Times New Roman" w:cs="Times New Roman"/>
                <w:noProof/>
              </w:rPr>
            </w:pPr>
            <w:r>
              <w:rPr>
                <w:noProof/>
              </w:rPr>
              <w:t xml:space="preserve">Espanjan tieteellisen tutkijanuraa tukee vähintään 2070 tutkijaa, jotka ovat suorittaneet Juan de la Cierva Incorporation -ohjelman, Juan de la </w:t>
            </w:r>
            <w:r>
              <w:rPr>
                <w:noProof/>
              </w:rPr>
              <w:t xml:space="preserve">Cierva -koulutusohjelman, teollisuuden tohtoriohjelman ja Torres Quevedo -ohjelman. </w:t>
            </w:r>
          </w:p>
        </w:tc>
      </w:tr>
      <w:tr w:rsidR="000E48CE" w14:paraId="66E00197" w14:textId="77777777">
        <w:trPr>
          <w:trHeight w:val="309"/>
        </w:trPr>
        <w:tc>
          <w:tcPr>
            <w:tcW w:w="701" w:type="dxa"/>
            <w:shd w:val="clear" w:color="auto" w:fill="C6EFCE"/>
            <w:noWrap/>
          </w:tcPr>
          <w:p w14:paraId="5F935AB6" w14:textId="77777777" w:rsidR="000E48CE" w:rsidRDefault="00FF4C4E">
            <w:pPr>
              <w:pStyle w:val="P68B1DB1-Normal13"/>
              <w:spacing w:after="0" w:line="240" w:lineRule="auto"/>
              <w:jc w:val="center"/>
              <w:rPr>
                <w:rFonts w:eastAsia="Times New Roman" w:cs="Times New Roman"/>
                <w:noProof/>
              </w:rPr>
            </w:pPr>
            <w:r>
              <w:rPr>
                <w:noProof/>
              </w:rPr>
              <w:t>265</w:t>
            </w:r>
          </w:p>
        </w:tc>
        <w:tc>
          <w:tcPr>
            <w:tcW w:w="729" w:type="dxa"/>
            <w:shd w:val="clear" w:color="auto" w:fill="C6EFCE"/>
            <w:noWrap/>
          </w:tcPr>
          <w:p w14:paraId="330BD52E" w14:textId="77777777" w:rsidR="000E48CE" w:rsidRDefault="00FF4C4E">
            <w:pPr>
              <w:pStyle w:val="P68B1DB1-Normal13"/>
              <w:spacing w:after="0" w:line="240" w:lineRule="auto"/>
              <w:jc w:val="center"/>
              <w:rPr>
                <w:rFonts w:eastAsia="Times New Roman" w:cs="Times New Roman"/>
                <w:noProof/>
              </w:rPr>
            </w:pPr>
            <w:r>
              <w:rPr>
                <w:noProof/>
              </w:rPr>
              <w:t>C17.I5</w:t>
            </w:r>
          </w:p>
        </w:tc>
        <w:tc>
          <w:tcPr>
            <w:tcW w:w="609" w:type="dxa"/>
            <w:shd w:val="clear" w:color="auto" w:fill="C6EFCE"/>
            <w:noWrap/>
          </w:tcPr>
          <w:p w14:paraId="67FE101D"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18BD108A" w14:textId="77777777" w:rsidR="000E48CE" w:rsidRDefault="00FF4C4E">
            <w:pPr>
              <w:pStyle w:val="P68B1DB1-Normal13"/>
              <w:spacing w:after="0" w:line="240" w:lineRule="auto"/>
              <w:rPr>
                <w:rFonts w:eastAsia="Times New Roman" w:cs="Times New Roman"/>
                <w:noProof/>
              </w:rPr>
            </w:pPr>
            <w:r>
              <w:rPr>
                <w:noProof/>
              </w:rPr>
              <w:t xml:space="preserve">Innovatiiviset ja teknologiapohjaiset yritykset ovat saaneet pääomaa Innvierte-ohjelmasta vahvistaakseen tutkimustoimintaansa varhaisessa vaiheessa. </w:t>
            </w:r>
          </w:p>
        </w:tc>
        <w:tc>
          <w:tcPr>
            <w:tcW w:w="993" w:type="dxa"/>
            <w:shd w:val="clear" w:color="auto" w:fill="C6EFCE"/>
            <w:noWrap/>
          </w:tcPr>
          <w:p w14:paraId="2830361B"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C987795"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tcPr>
          <w:p w14:paraId="172177B1"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1505199E" w14:textId="2DC4C9A5" w:rsidR="000E48CE" w:rsidRDefault="00FF4C4E">
            <w:pPr>
              <w:pStyle w:val="P68B1DB1-Normal13"/>
              <w:spacing w:after="0" w:line="240" w:lineRule="auto"/>
              <w:jc w:val="center"/>
              <w:rPr>
                <w:rFonts w:cs="Times New Roman"/>
                <w:noProof/>
              </w:rPr>
            </w:pPr>
            <w:r>
              <w:rPr>
                <w:noProof/>
              </w:rPr>
              <w:t>45</w:t>
            </w:r>
          </w:p>
        </w:tc>
        <w:tc>
          <w:tcPr>
            <w:tcW w:w="567" w:type="dxa"/>
            <w:shd w:val="clear" w:color="auto" w:fill="C6EFCE"/>
          </w:tcPr>
          <w:p w14:paraId="2198998B" w14:textId="65DAC6AF"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tcPr>
          <w:p w14:paraId="68A86E05" w14:textId="65CE8165" w:rsidR="000E48CE" w:rsidRDefault="00FF4C4E">
            <w:pPr>
              <w:pStyle w:val="P68B1DB1-Normal13"/>
              <w:spacing w:after="0" w:line="240" w:lineRule="auto"/>
              <w:jc w:val="center"/>
              <w:rPr>
                <w:rFonts w:cs="Times New Roman"/>
                <w:noProof/>
              </w:rPr>
            </w:pPr>
            <w:r>
              <w:rPr>
                <w:noProof/>
              </w:rPr>
              <w:t>2023</w:t>
            </w:r>
          </w:p>
        </w:tc>
        <w:tc>
          <w:tcPr>
            <w:tcW w:w="5812" w:type="dxa"/>
            <w:shd w:val="clear" w:color="auto" w:fill="C6EFCE"/>
            <w:noWrap/>
          </w:tcPr>
          <w:p w14:paraId="2FBFA9C0" w14:textId="4C99CB1C" w:rsidR="000E48CE" w:rsidRDefault="00FF4C4E">
            <w:pPr>
              <w:pStyle w:val="P68B1DB1-Normal13"/>
              <w:spacing w:after="0" w:line="240" w:lineRule="auto"/>
              <w:jc w:val="both"/>
              <w:rPr>
                <w:rFonts w:eastAsia="Times New Roman" w:cs="Times New Roman"/>
                <w:noProof/>
              </w:rPr>
            </w:pPr>
            <w:r>
              <w:rPr>
                <w:noProof/>
              </w:rPr>
              <w:t>Teknologian siirron edistämiseksi ja innovatiivisiin teknologioihin perustuvan innovatiivisen liiketoimintarakenteen luomiseksi vähintään 45 innovatiivista ja teknologiapohjaista yritystä on saanut pääomaa Innvierte-ohjelmasta tutkimustoiminna</w:t>
            </w:r>
            <w:r>
              <w:rPr>
                <w:noProof/>
              </w:rPr>
              <w:t>n vahvistamiseksi varhaisessa vaiheessa. Kaikki nämä yritykset ovat saaneet investointeja myös yksityiseltä sektorilta. Tähän investointiin liittyvien hankkeiden arvioinnissa on varmistettava, että noudatetaan toimenpiteen kuvauksessa esitettyjä teknisiä o</w:t>
            </w:r>
            <w:r>
              <w:rPr>
                <w:noProof/>
              </w:rPr>
              <w:t xml:space="preserve">hjeita ”ei merkittävää haittaa” (2021/C58/01). </w:t>
            </w:r>
          </w:p>
        </w:tc>
      </w:tr>
      <w:tr w:rsidR="000E48CE" w14:paraId="3868A5CA" w14:textId="77777777">
        <w:trPr>
          <w:trHeight w:val="309"/>
        </w:trPr>
        <w:tc>
          <w:tcPr>
            <w:tcW w:w="701" w:type="dxa"/>
            <w:shd w:val="clear" w:color="auto" w:fill="C6EFCE"/>
            <w:noWrap/>
          </w:tcPr>
          <w:p w14:paraId="3AA9EBB3" w14:textId="77777777" w:rsidR="000E48CE" w:rsidRDefault="00FF4C4E">
            <w:pPr>
              <w:pStyle w:val="P68B1DB1-Normal13"/>
              <w:spacing w:after="0" w:line="240" w:lineRule="auto"/>
              <w:jc w:val="center"/>
              <w:rPr>
                <w:rFonts w:eastAsia="Times New Roman" w:cs="Times New Roman"/>
                <w:noProof/>
              </w:rPr>
            </w:pPr>
            <w:r>
              <w:rPr>
                <w:noProof/>
              </w:rPr>
              <w:t>266</w:t>
            </w:r>
          </w:p>
        </w:tc>
        <w:tc>
          <w:tcPr>
            <w:tcW w:w="729" w:type="dxa"/>
            <w:shd w:val="clear" w:color="auto" w:fill="C6EFCE"/>
            <w:noWrap/>
          </w:tcPr>
          <w:p w14:paraId="23C416CF" w14:textId="77777777" w:rsidR="000E48CE" w:rsidRDefault="00FF4C4E">
            <w:pPr>
              <w:pStyle w:val="P68B1DB1-Normal13"/>
              <w:spacing w:after="0" w:line="240" w:lineRule="auto"/>
              <w:jc w:val="center"/>
              <w:rPr>
                <w:rFonts w:eastAsia="Times New Roman" w:cs="Times New Roman"/>
                <w:noProof/>
              </w:rPr>
            </w:pPr>
            <w:r>
              <w:rPr>
                <w:noProof/>
              </w:rPr>
              <w:t>C17.I5</w:t>
            </w:r>
          </w:p>
        </w:tc>
        <w:tc>
          <w:tcPr>
            <w:tcW w:w="609" w:type="dxa"/>
            <w:shd w:val="clear" w:color="auto" w:fill="C6EFCE"/>
            <w:noWrap/>
          </w:tcPr>
          <w:p w14:paraId="34ABC271"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3C4F2837" w14:textId="77777777" w:rsidR="000E48CE" w:rsidRDefault="00FF4C4E">
            <w:pPr>
              <w:pStyle w:val="P68B1DB1-Normal13"/>
              <w:spacing w:after="0" w:line="240" w:lineRule="auto"/>
              <w:rPr>
                <w:rFonts w:eastAsia="Times New Roman" w:cs="Times New Roman"/>
                <w:noProof/>
              </w:rPr>
            </w:pPr>
            <w:r>
              <w:rPr>
                <w:noProof/>
              </w:rPr>
              <w:t>Tuetaan nuoria teknologiayrityksiä liiketoimintasuunnitelmansa toteuttamisessa.</w:t>
            </w:r>
          </w:p>
        </w:tc>
        <w:tc>
          <w:tcPr>
            <w:tcW w:w="993" w:type="dxa"/>
            <w:shd w:val="clear" w:color="auto" w:fill="C6EFCE"/>
            <w:noWrap/>
          </w:tcPr>
          <w:p w14:paraId="43C6A48A"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36A324D0"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tcPr>
          <w:p w14:paraId="3C75576E"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7C2BD86B" w14:textId="1DAD3CA5" w:rsidR="000E48CE" w:rsidRDefault="00FF4C4E">
            <w:pPr>
              <w:pStyle w:val="P68B1DB1-Normal13"/>
              <w:spacing w:after="0" w:line="240" w:lineRule="auto"/>
              <w:jc w:val="center"/>
              <w:rPr>
                <w:rFonts w:cs="Times New Roman"/>
                <w:noProof/>
              </w:rPr>
            </w:pPr>
            <w:r>
              <w:rPr>
                <w:noProof/>
              </w:rPr>
              <w:t>348</w:t>
            </w:r>
          </w:p>
        </w:tc>
        <w:tc>
          <w:tcPr>
            <w:tcW w:w="567" w:type="dxa"/>
            <w:shd w:val="clear" w:color="auto" w:fill="C6EFCE"/>
          </w:tcPr>
          <w:p w14:paraId="2FFFD9F5" w14:textId="74084429"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tcPr>
          <w:p w14:paraId="35565D59" w14:textId="40A3961A" w:rsidR="000E48CE" w:rsidRDefault="00FF4C4E">
            <w:pPr>
              <w:pStyle w:val="P68B1DB1-Normal13"/>
              <w:spacing w:after="0" w:line="240" w:lineRule="auto"/>
              <w:jc w:val="center"/>
              <w:rPr>
                <w:rFonts w:cs="Times New Roman"/>
                <w:noProof/>
              </w:rPr>
            </w:pPr>
            <w:r>
              <w:rPr>
                <w:noProof/>
              </w:rPr>
              <w:t>2024</w:t>
            </w:r>
          </w:p>
        </w:tc>
        <w:tc>
          <w:tcPr>
            <w:tcW w:w="5812" w:type="dxa"/>
            <w:shd w:val="clear" w:color="auto" w:fill="C6EFCE"/>
            <w:noWrap/>
          </w:tcPr>
          <w:p w14:paraId="56488D7C" w14:textId="68BB7485" w:rsidR="000E48CE" w:rsidRDefault="00FF4C4E">
            <w:pPr>
              <w:pStyle w:val="P68B1DB1-Normal13"/>
              <w:spacing w:after="0" w:line="240" w:lineRule="auto"/>
              <w:jc w:val="both"/>
              <w:rPr>
                <w:rFonts w:eastAsia="Times New Roman" w:cs="Times New Roman"/>
                <w:noProof/>
              </w:rPr>
            </w:pPr>
            <w:r>
              <w:rPr>
                <w:noProof/>
              </w:rPr>
              <w:t xml:space="preserve">NEOTEC-avustusten avulla edistetään teknologian siirtoa ja autetaan perustamaan </w:t>
            </w:r>
            <w:r>
              <w:rPr>
                <w:noProof/>
              </w:rPr>
              <w:t>innovatiivisia teknologioita hyödyntäviä uusia yrityksiä:  Liiketoimintasuunnitelman toteuttamista varten on myönnetty vähintään 348 uutta teknologiayritystä. Näiden yritysten olisi oltava enintään kolme vuotta vanhoja, ja niiden olisi oltava yleisessä ryh</w:t>
            </w:r>
            <w:r>
              <w:rPr>
                <w:noProof/>
              </w:rPr>
              <w:t>mäpoikkeusasetuksessa määriteltyjä innovatiivisia yrityksiä. Tähän investointiin liittyvien hankkeiden arvioinnissa on varmistettava, että noudatetaan toimenpiteen kuvauksessa esitettyjä teknisiä ohjeita ”ei merkittävää haittaa” (2021/C58/01).</w:t>
            </w:r>
          </w:p>
        </w:tc>
      </w:tr>
      <w:tr w:rsidR="000E48CE" w14:paraId="50F6ED81" w14:textId="77777777">
        <w:trPr>
          <w:trHeight w:val="309"/>
        </w:trPr>
        <w:tc>
          <w:tcPr>
            <w:tcW w:w="701" w:type="dxa"/>
            <w:shd w:val="clear" w:color="auto" w:fill="C6EFCE"/>
            <w:noWrap/>
          </w:tcPr>
          <w:p w14:paraId="6124DB9E" w14:textId="7ADA6A8E" w:rsidR="000E48CE" w:rsidRDefault="00FF4C4E">
            <w:pPr>
              <w:pStyle w:val="P68B1DB1-Normal13"/>
              <w:spacing w:after="0" w:line="240" w:lineRule="auto"/>
              <w:jc w:val="center"/>
              <w:rPr>
                <w:rFonts w:cs="Times New Roman"/>
                <w:noProof/>
              </w:rPr>
            </w:pPr>
            <w:r>
              <w:rPr>
                <w:noProof/>
              </w:rPr>
              <w:t>459</w:t>
            </w:r>
          </w:p>
        </w:tc>
        <w:tc>
          <w:tcPr>
            <w:tcW w:w="729" w:type="dxa"/>
            <w:shd w:val="clear" w:color="auto" w:fill="C6EFCE"/>
            <w:noWrap/>
          </w:tcPr>
          <w:p w14:paraId="5E0A2E70" w14:textId="2836B5B6" w:rsidR="000E48CE" w:rsidRDefault="00FF4C4E">
            <w:pPr>
              <w:pStyle w:val="P68B1DB1-Normal13"/>
              <w:spacing w:after="0" w:line="240" w:lineRule="auto"/>
              <w:jc w:val="center"/>
              <w:rPr>
                <w:rFonts w:cs="Times New Roman"/>
                <w:noProof/>
              </w:rPr>
            </w:pPr>
            <w:r>
              <w:rPr>
                <w:noProof/>
              </w:rPr>
              <w:t>C17.I5</w:t>
            </w:r>
          </w:p>
        </w:tc>
        <w:tc>
          <w:tcPr>
            <w:tcW w:w="609" w:type="dxa"/>
            <w:shd w:val="clear" w:color="auto" w:fill="C6EFCE"/>
            <w:noWrap/>
          </w:tcPr>
          <w:p w14:paraId="47A46A0F" w14:textId="55E5BECA" w:rsidR="000E48CE" w:rsidRDefault="00FF4C4E">
            <w:pPr>
              <w:pStyle w:val="P68B1DB1-Normal13"/>
              <w:spacing w:after="0" w:line="240" w:lineRule="auto"/>
              <w:jc w:val="center"/>
              <w:rPr>
                <w:rFonts w:cs="Times New Roman"/>
                <w:noProof/>
              </w:rPr>
            </w:pPr>
            <w:r>
              <w:rPr>
                <w:noProof/>
              </w:rPr>
              <w:t>T</w:t>
            </w:r>
          </w:p>
        </w:tc>
        <w:tc>
          <w:tcPr>
            <w:tcW w:w="2039" w:type="dxa"/>
            <w:shd w:val="clear" w:color="auto" w:fill="C6EFCE"/>
            <w:noWrap/>
          </w:tcPr>
          <w:p w14:paraId="0985A675" w14:textId="69D523A5" w:rsidR="000E48CE" w:rsidRDefault="00FF4C4E">
            <w:pPr>
              <w:pStyle w:val="P68B1DB1-Normal13"/>
              <w:spacing w:after="0" w:line="240" w:lineRule="auto"/>
              <w:rPr>
                <w:rFonts w:cs="Times New Roman"/>
                <w:noProof/>
              </w:rPr>
            </w:pPr>
            <w:r>
              <w:rPr>
                <w:noProof/>
              </w:rPr>
              <w:t>Teknologian siirtoa ja innovatiivisia teknologioita koskevien tutkimustulosten siirtoa tukevien hankkeiden loppuun saattaminen</w:t>
            </w:r>
          </w:p>
        </w:tc>
        <w:tc>
          <w:tcPr>
            <w:tcW w:w="993" w:type="dxa"/>
            <w:shd w:val="clear" w:color="auto" w:fill="C6EFCE"/>
            <w:noWrap/>
          </w:tcPr>
          <w:p w14:paraId="674F8448" w14:textId="30C57019"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7092BDAE" w14:textId="216A2BED" w:rsidR="000E48CE" w:rsidRDefault="00FF4C4E">
            <w:pPr>
              <w:pStyle w:val="P68B1DB1-Normal13"/>
              <w:spacing w:after="0" w:line="240" w:lineRule="auto"/>
              <w:jc w:val="center"/>
              <w:rPr>
                <w:rFonts w:cs="Times New Roman"/>
                <w:noProof/>
              </w:rPr>
            </w:pPr>
            <w:r>
              <w:rPr>
                <w:noProof/>
              </w:rPr>
              <w:t>Miljoonaa euroa</w:t>
            </w:r>
          </w:p>
        </w:tc>
        <w:tc>
          <w:tcPr>
            <w:tcW w:w="709" w:type="dxa"/>
            <w:shd w:val="clear" w:color="auto" w:fill="C6EFCE"/>
          </w:tcPr>
          <w:p w14:paraId="4883C242"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01C0362C" w14:textId="1155E9B3" w:rsidR="000E48CE" w:rsidRDefault="00FF4C4E">
            <w:pPr>
              <w:pStyle w:val="P68B1DB1-Normal13"/>
              <w:spacing w:after="0" w:line="240" w:lineRule="auto"/>
              <w:jc w:val="center"/>
              <w:rPr>
                <w:rFonts w:cs="Times New Roman"/>
                <w:noProof/>
              </w:rPr>
            </w:pPr>
            <w:r>
              <w:rPr>
                <w:noProof/>
              </w:rPr>
              <w:t>118.8</w:t>
            </w:r>
          </w:p>
        </w:tc>
        <w:tc>
          <w:tcPr>
            <w:tcW w:w="567" w:type="dxa"/>
            <w:shd w:val="clear" w:color="auto" w:fill="C6EFCE"/>
          </w:tcPr>
          <w:p w14:paraId="45EAE171" w14:textId="59BFF67C"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tcPr>
          <w:p w14:paraId="5ED79361" w14:textId="345FC9BE" w:rsidR="000E48CE" w:rsidRDefault="00FF4C4E">
            <w:pPr>
              <w:pStyle w:val="P68B1DB1-Normal13"/>
              <w:spacing w:after="0" w:line="240" w:lineRule="auto"/>
              <w:jc w:val="center"/>
              <w:rPr>
                <w:rFonts w:cs="Times New Roman"/>
                <w:noProof/>
              </w:rPr>
            </w:pPr>
            <w:r>
              <w:rPr>
                <w:noProof/>
              </w:rPr>
              <w:t>2026</w:t>
            </w:r>
          </w:p>
        </w:tc>
        <w:tc>
          <w:tcPr>
            <w:tcW w:w="5812" w:type="dxa"/>
            <w:shd w:val="clear" w:color="auto" w:fill="C6EFCE"/>
            <w:noWrap/>
          </w:tcPr>
          <w:p w14:paraId="59CB4308" w14:textId="77777777" w:rsidR="000E48CE" w:rsidRDefault="00FF4C4E">
            <w:pPr>
              <w:pStyle w:val="P68B1DB1-Normal13"/>
              <w:spacing w:after="0" w:line="240" w:lineRule="auto"/>
              <w:rPr>
                <w:rFonts w:eastAsia="Times New Roman" w:cs="Times New Roman"/>
                <w:noProof/>
              </w:rPr>
            </w:pPr>
            <w:r>
              <w:rPr>
                <w:noProof/>
              </w:rPr>
              <w:t>Seuraavien hankkeiden loppuun saattaminen: yhteensä 118800000 euroa.</w:t>
            </w:r>
          </w:p>
          <w:p w14:paraId="65D76EE8" w14:textId="38F5443A" w:rsidR="000E48CE" w:rsidRDefault="00FF4C4E">
            <w:pPr>
              <w:pStyle w:val="P68B1DB1-Normal13"/>
              <w:spacing w:after="0" w:line="240" w:lineRule="auto"/>
              <w:rPr>
                <w:rFonts w:eastAsia="Times New Roman" w:cs="Times New Roman"/>
                <w:noProof/>
              </w:rPr>
            </w:pPr>
            <w:r>
              <w:rPr>
                <w:noProof/>
              </w:rPr>
              <w:t xml:space="preserve">Tukea </w:t>
            </w:r>
            <w:r>
              <w:rPr>
                <w:noProof/>
              </w:rPr>
              <w:t>saavien hankkeiden on sisällettävä seuraavat:</w:t>
            </w:r>
          </w:p>
          <w:p w14:paraId="14C6B4CB" w14:textId="77777777" w:rsidR="000E48CE" w:rsidRDefault="00FF4C4E">
            <w:pPr>
              <w:pStyle w:val="P68B1DB1-Normal13"/>
              <w:spacing w:after="0" w:line="240" w:lineRule="auto"/>
              <w:rPr>
                <w:rFonts w:eastAsia="Times New Roman" w:cs="Times New Roman"/>
                <w:noProof/>
              </w:rPr>
            </w:pPr>
            <w:r>
              <w:rPr>
                <w:noProof/>
              </w:rPr>
              <w:t>Kiinnostuksenilmaisupyyntö Cerveran huippuosaamisen verkostoihin perustuvista innovaatioekosysteemeistä</w:t>
            </w:r>
          </w:p>
          <w:p w14:paraId="2612828D" w14:textId="34472DE7" w:rsidR="000E48CE" w:rsidRDefault="00FF4C4E">
            <w:pPr>
              <w:pStyle w:val="P68B1DB1-Normal13"/>
              <w:spacing w:after="0" w:line="240" w:lineRule="auto"/>
              <w:rPr>
                <w:rFonts w:eastAsia="Times New Roman" w:cs="Times New Roman"/>
                <w:noProof/>
              </w:rPr>
            </w:pPr>
            <w:r>
              <w:rPr>
                <w:noProof/>
              </w:rPr>
              <w:t>Tutkimustuloksia siirtävien toimistojen valmiuksien ja suuntautumisen parantaminen</w:t>
            </w:r>
          </w:p>
          <w:p w14:paraId="2F27148B" w14:textId="29B8BFAD" w:rsidR="000E48CE" w:rsidRDefault="00FF4C4E">
            <w:pPr>
              <w:pStyle w:val="P68B1DB1-Normal13"/>
              <w:spacing w:after="0" w:line="240" w:lineRule="auto"/>
              <w:rPr>
                <w:rFonts w:eastAsia="Times New Roman" w:cs="Times New Roman"/>
                <w:noProof/>
              </w:rPr>
            </w:pPr>
            <w:r>
              <w:rPr>
                <w:noProof/>
              </w:rPr>
              <w:t>Ehdotuspyyntö Cervera-a</w:t>
            </w:r>
            <w:r>
              <w:rPr>
                <w:noProof/>
              </w:rPr>
              <w:t>purahoista teknologiakeskuksille, tutkimuskeskuksille, pk-yrityksille ja midcap-yrityksille T &amp; K-toiminnan toteuttamiseksi ensisijaisissa teknologioissa</w:t>
            </w:r>
          </w:p>
          <w:p w14:paraId="0F3DCD3A" w14:textId="094BF09E" w:rsidR="000E48CE" w:rsidRDefault="00FF4C4E">
            <w:pPr>
              <w:pStyle w:val="P68B1DB1-Normal13"/>
              <w:spacing w:after="0" w:line="240" w:lineRule="auto"/>
              <w:jc w:val="both"/>
              <w:rPr>
                <w:rFonts w:cs="Times New Roman"/>
                <w:noProof/>
              </w:rPr>
            </w:pPr>
            <w:r>
              <w:rPr>
                <w:noProof/>
              </w:rPr>
              <w:t>Kehotus tukea espanjalaisille pk-yrityksille eurooppalaisen huippuosaamismerkin avulla</w:t>
            </w:r>
          </w:p>
        </w:tc>
      </w:tr>
      <w:tr w:rsidR="000E48CE" w14:paraId="28CC9AE4" w14:textId="77777777">
        <w:trPr>
          <w:trHeight w:val="309"/>
        </w:trPr>
        <w:tc>
          <w:tcPr>
            <w:tcW w:w="701" w:type="dxa"/>
            <w:shd w:val="clear" w:color="auto" w:fill="C6EFCE"/>
            <w:noWrap/>
          </w:tcPr>
          <w:p w14:paraId="21AD04C3" w14:textId="77777777" w:rsidR="000E48CE" w:rsidRDefault="00FF4C4E">
            <w:pPr>
              <w:pStyle w:val="P68B1DB1-Normal13"/>
              <w:spacing w:after="0" w:line="240" w:lineRule="auto"/>
              <w:jc w:val="center"/>
              <w:rPr>
                <w:rFonts w:eastAsia="Times New Roman" w:cs="Times New Roman"/>
                <w:noProof/>
              </w:rPr>
            </w:pPr>
            <w:r>
              <w:rPr>
                <w:noProof/>
              </w:rPr>
              <w:t>267</w:t>
            </w:r>
          </w:p>
        </w:tc>
        <w:tc>
          <w:tcPr>
            <w:tcW w:w="729" w:type="dxa"/>
            <w:shd w:val="clear" w:color="auto" w:fill="C6EFCE"/>
            <w:noWrap/>
          </w:tcPr>
          <w:p w14:paraId="059C602B" w14:textId="77777777" w:rsidR="000E48CE" w:rsidRDefault="00FF4C4E">
            <w:pPr>
              <w:pStyle w:val="P68B1DB1-Normal13"/>
              <w:spacing w:after="0" w:line="240" w:lineRule="auto"/>
              <w:jc w:val="center"/>
              <w:rPr>
                <w:rFonts w:eastAsia="Times New Roman" w:cs="Times New Roman"/>
                <w:noProof/>
              </w:rPr>
            </w:pPr>
            <w:r>
              <w:rPr>
                <w:noProof/>
              </w:rPr>
              <w:t>C17.I6</w:t>
            </w:r>
          </w:p>
        </w:tc>
        <w:tc>
          <w:tcPr>
            <w:tcW w:w="609" w:type="dxa"/>
            <w:shd w:val="clear" w:color="auto" w:fill="C6EFCE"/>
            <w:noWrap/>
          </w:tcPr>
          <w:p w14:paraId="5B22155B"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459A25B1" w14:textId="77777777" w:rsidR="000E48CE" w:rsidRDefault="00FF4C4E">
            <w:pPr>
              <w:pStyle w:val="P68B1DB1-Normal13"/>
              <w:spacing w:after="0" w:line="240" w:lineRule="auto"/>
              <w:rPr>
                <w:rFonts w:eastAsia="Times New Roman" w:cs="Times New Roman"/>
                <w:noProof/>
              </w:rPr>
            </w:pPr>
            <w:r>
              <w:rPr>
                <w:noProof/>
              </w:rPr>
              <w:t>Tuki hankkeille, joilla vahvistetaan kansallisen terveydenhuoltojärjestelmän strategisia valmiuksia ja kansainvälistymistä, hankkeet, jotka liittyvät täsmälääketiedettä koskevaan strategiaan, ja tuki julkiselle ja yksityiselle investointivälineelle kehitty</w:t>
            </w:r>
            <w:r>
              <w:rPr>
                <w:noProof/>
              </w:rPr>
              <w:t>neissä hoitomuodoissa.</w:t>
            </w:r>
          </w:p>
        </w:tc>
        <w:tc>
          <w:tcPr>
            <w:tcW w:w="993" w:type="dxa"/>
            <w:shd w:val="clear" w:color="auto" w:fill="C6EFCE"/>
            <w:noWrap/>
          </w:tcPr>
          <w:p w14:paraId="45A4C4C7"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D1DD916" w14:textId="77777777" w:rsidR="000E48CE" w:rsidRDefault="00FF4C4E">
            <w:pPr>
              <w:pStyle w:val="P68B1DB1-Normal13"/>
              <w:spacing w:after="0" w:line="240" w:lineRule="auto"/>
              <w:jc w:val="center"/>
              <w:rPr>
                <w:rFonts w:eastAsia="Times New Roman" w:cs="Times New Roman"/>
                <w:noProof/>
              </w:rPr>
            </w:pPr>
            <w:r>
              <w:rPr>
                <w:noProof/>
              </w:rPr>
              <w:t>Miljoonaa euroa</w:t>
            </w:r>
          </w:p>
        </w:tc>
        <w:tc>
          <w:tcPr>
            <w:tcW w:w="709" w:type="dxa"/>
            <w:shd w:val="clear" w:color="auto" w:fill="C6EFCE"/>
          </w:tcPr>
          <w:p w14:paraId="46CB8396"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65511315" w14:textId="7F0B684E" w:rsidR="000E48CE" w:rsidRDefault="00FF4C4E">
            <w:pPr>
              <w:pStyle w:val="P68B1DB1-Normal13"/>
              <w:spacing w:after="0" w:line="240" w:lineRule="auto"/>
              <w:jc w:val="center"/>
              <w:rPr>
                <w:rFonts w:cs="Times New Roman"/>
                <w:noProof/>
              </w:rPr>
            </w:pPr>
            <w:r>
              <w:rPr>
                <w:noProof/>
              </w:rPr>
              <w:t>436.2</w:t>
            </w:r>
          </w:p>
        </w:tc>
        <w:tc>
          <w:tcPr>
            <w:tcW w:w="567" w:type="dxa"/>
            <w:shd w:val="clear" w:color="auto" w:fill="C6EFCE"/>
          </w:tcPr>
          <w:p w14:paraId="4B134831" w14:textId="5F1FE2EA" w:rsidR="000E48CE" w:rsidRDefault="00FF4C4E">
            <w:pPr>
              <w:pStyle w:val="P68B1DB1-Normal13"/>
              <w:spacing w:after="0" w:line="240" w:lineRule="auto"/>
              <w:jc w:val="center"/>
              <w:rPr>
                <w:rFonts w:cs="Times New Roman"/>
                <w:noProof/>
              </w:rPr>
            </w:pPr>
            <w:r>
              <w:rPr>
                <w:noProof/>
              </w:rPr>
              <w:t>Q1</w:t>
            </w:r>
          </w:p>
        </w:tc>
        <w:tc>
          <w:tcPr>
            <w:tcW w:w="567" w:type="dxa"/>
            <w:shd w:val="clear" w:color="auto" w:fill="C6EFCE"/>
          </w:tcPr>
          <w:p w14:paraId="5316A6CE" w14:textId="5D094771" w:rsidR="000E48CE" w:rsidRDefault="00FF4C4E">
            <w:pPr>
              <w:pStyle w:val="P68B1DB1-Normal13"/>
              <w:spacing w:after="0" w:line="240" w:lineRule="auto"/>
              <w:jc w:val="center"/>
              <w:rPr>
                <w:rFonts w:cs="Times New Roman"/>
                <w:noProof/>
              </w:rPr>
            </w:pPr>
            <w:r>
              <w:rPr>
                <w:noProof/>
              </w:rPr>
              <w:t>2024</w:t>
            </w:r>
          </w:p>
        </w:tc>
        <w:tc>
          <w:tcPr>
            <w:tcW w:w="5812" w:type="dxa"/>
            <w:shd w:val="clear" w:color="auto" w:fill="C6EFCE"/>
            <w:noWrap/>
          </w:tcPr>
          <w:p w14:paraId="662CDB46" w14:textId="64C5C285" w:rsidR="000E48CE" w:rsidRDefault="00FF4C4E">
            <w:pPr>
              <w:pStyle w:val="P68B1DB1-Normal13"/>
              <w:spacing w:after="0" w:line="240" w:lineRule="auto"/>
              <w:rPr>
                <w:rFonts w:cs="Times New Roman"/>
                <w:noProof/>
              </w:rPr>
            </w:pPr>
            <w:r>
              <w:rPr>
                <w:noProof/>
              </w:rPr>
              <w:t>Euroopan unionin virallisessa lehdessä julkaistaan vähintään 436185000 euroa:</w:t>
            </w:r>
            <w:r>
              <w:rPr>
                <w:noProof/>
                <w:shd w:val="clear" w:color="auto" w:fill="E6E6E6"/>
              </w:rPr>
              <w:br/>
            </w:r>
            <w:r>
              <w:rPr>
                <w:noProof/>
              </w:rPr>
              <w:t>* 174000000 euroa hankkeisiin, joilla vahvistetaan kansallisen terveydenhuoltojärjestelmän strategisia valmiuksia ja kansa</w:t>
            </w:r>
            <w:r>
              <w:rPr>
                <w:noProof/>
              </w:rPr>
              <w:t xml:space="preserve">invälistymistä, mukaan lukien  </w:t>
            </w:r>
            <w:r>
              <w:rPr>
                <w:noProof/>
                <w:shd w:val="clear" w:color="auto" w:fill="E6E6E6"/>
              </w:rPr>
              <w:br/>
            </w:r>
            <w:r>
              <w:rPr>
                <w:noProof/>
              </w:rPr>
              <w:t xml:space="preserve">— 80000000 euroa terveysalan strategisen toimen myöntämiseen </w:t>
            </w:r>
            <w:r>
              <w:rPr>
                <w:noProof/>
                <w:shd w:val="clear" w:color="auto" w:fill="E6E6E6"/>
              </w:rPr>
              <w:br/>
              <w:t xml:space="preserve"> </w:t>
            </w:r>
            <w:r>
              <w:rPr>
                <w:noProof/>
              </w:rPr>
              <w:t>— 75000000 euron avustukset kansalliseen terveydenhuoltojärjestelmään liittyvien tutkimuskeskusten tieteellisen kapasiteetin lisäämiseksi ja avustukset ehdotuksi</w:t>
            </w:r>
            <w:r>
              <w:rPr>
                <w:noProof/>
              </w:rPr>
              <w:t xml:space="preserve">lle, jotka liittyvät tieteellisen ja teknisen laitteiston rahoittamiseen, mukaan lukien vanhentuneiden tieteellisten ja teknisten laitteiden uusiminen, </w:t>
            </w:r>
            <w:r>
              <w:rPr>
                <w:noProof/>
                <w:shd w:val="clear" w:color="auto" w:fill="E6E6E6"/>
              </w:rPr>
              <w:br/>
              <w:t xml:space="preserve"> </w:t>
            </w:r>
            <w:r>
              <w:rPr>
                <w:noProof/>
              </w:rPr>
              <w:t>— 6000000 euroa avustuksiin huippuosaamismerkille Instituto de Salud Carlos III;</w:t>
            </w:r>
            <w:r>
              <w:rPr>
                <w:noProof/>
                <w:shd w:val="clear" w:color="auto" w:fill="E6E6E6"/>
              </w:rPr>
              <w:br/>
            </w:r>
            <w:r>
              <w:rPr>
                <w:noProof/>
              </w:rPr>
              <w:t>— 13000000 euron avus</w:t>
            </w:r>
            <w:r>
              <w:rPr>
                <w:noProof/>
              </w:rPr>
              <w:t>tukset julkisen ja yksityisen sektorin kumppanuuksille GMP/LPG-ympäristön sisällyttämiseksi SNS-tutkimusryhmiin eli kansallisen terveydenhuoltojärjestelmän kansainvälistymiseen.</w:t>
            </w:r>
            <w:r>
              <w:rPr>
                <w:noProof/>
                <w:shd w:val="clear" w:color="auto" w:fill="E6E6E6"/>
              </w:rPr>
              <w:br/>
              <w:t xml:space="preserve"> </w:t>
            </w:r>
            <w:r>
              <w:rPr>
                <w:noProof/>
              </w:rPr>
              <w:t>* 140500000 euroa yksilöllistettyä lääketieteen strategiaan liittyviin hankke</w:t>
            </w:r>
            <w:r>
              <w:rPr>
                <w:noProof/>
              </w:rPr>
              <w:t>isiin, mukaan lukien seuraavat:</w:t>
            </w:r>
            <w:r>
              <w:rPr>
                <w:noProof/>
                <w:shd w:val="clear" w:color="auto" w:fill="E6E6E6"/>
              </w:rPr>
              <w:br/>
            </w:r>
            <w:r>
              <w:rPr>
                <w:noProof/>
              </w:rPr>
              <w:t>—Yksilöllistä lääketietä koskeva yleinen ehdotuspyyntö 29500000 euroa</w:t>
            </w:r>
            <w:r>
              <w:rPr>
                <w:noProof/>
                <w:shd w:val="clear" w:color="auto" w:fill="E6E6E6"/>
              </w:rPr>
              <w:br/>
              <w:t xml:space="preserve"> </w:t>
            </w:r>
            <w:r>
              <w:rPr>
                <w:noProof/>
              </w:rPr>
              <w:t>— 91500000 euron ehdotuspyyntö yksilöllistettyjä lääkkeitä koskeviin erityisohjelmiin</w:t>
            </w:r>
            <w:r>
              <w:rPr>
                <w:noProof/>
                <w:shd w:val="clear" w:color="auto" w:fill="E6E6E6"/>
              </w:rPr>
              <w:br/>
              <w:t xml:space="preserve"> </w:t>
            </w:r>
            <w:r>
              <w:rPr>
                <w:noProof/>
              </w:rPr>
              <w:t>15000000 euron ehdotuspyyntö yksilöllistettyjä ja pitkälle kehitet</w:t>
            </w:r>
            <w:r>
              <w:rPr>
                <w:noProof/>
              </w:rPr>
              <w:t>tyjä terapioita koskevaan suunnitelmaan</w:t>
            </w:r>
            <w:r>
              <w:rPr>
                <w:noProof/>
                <w:shd w:val="clear" w:color="auto" w:fill="E6E6E6"/>
              </w:rPr>
              <w:br/>
              <w:t xml:space="preserve"> </w:t>
            </w:r>
            <w:r>
              <w:rPr>
                <w:noProof/>
              </w:rPr>
              <w:t>— 4500000 euron ehdotuspyyntö yksilöllistetyn lääketieteen kansainvälistymiseen Espanjassa</w:t>
            </w:r>
            <w:r>
              <w:rPr>
                <w:noProof/>
                <w:shd w:val="clear" w:color="auto" w:fill="E6E6E6"/>
              </w:rPr>
              <w:br/>
              <w:t xml:space="preserve"> </w:t>
            </w:r>
            <w:r>
              <w:rPr>
                <w:noProof/>
              </w:rPr>
              <w:t>Terveydenhuoltojärjestelmän kansainvälistymistä koskevilla toimenpiteillä tuetaan Espanjan asemaa Euroopan terveydenhuoltoa</w:t>
            </w:r>
            <w:r>
              <w:rPr>
                <w:noProof/>
              </w:rPr>
              <w:t>lalla kannustamalla Espanjaa osallistumaan EU:n HEALTH-ohjelmaan ja Horisontti Eurooppa -puiteohjelmaan. Sen avulla voidaan rahoittaa tutkimus- ja innovointiklustereita, jotka ovat osa Horisontti Eurooppa- ja Horisontti 2020 -kumppanuuksista rahoitettaviks</w:t>
            </w:r>
            <w:r>
              <w:rPr>
                <w:noProof/>
              </w:rPr>
              <w:t>i valittuja yhteistä rajatylittävää ohjelmasuunnittelua koskevia hankkeita, kuten ERA-Net-yhteisrahoitusta, eurooppalaisia yhteisiä ohjelma-aloitteita tai kansainvälisiä yhteisiä ohjelma-aloitteita, Euroopan unionin toiminnasta tehdyn sopimuksen (SEUT) 187</w:t>
            </w:r>
            <w:r>
              <w:rPr>
                <w:noProof/>
              </w:rPr>
              <w:t xml:space="preserve"> ja 185 artiklan nojalla perustettuja aloitteita ja Horisontti Eurooppa -puiteohjelmassa perustettuja kumppanuuksia.</w:t>
            </w:r>
            <w:r>
              <w:rPr>
                <w:noProof/>
                <w:shd w:val="clear" w:color="auto" w:fill="E6E6E6"/>
              </w:rPr>
              <w:br/>
            </w:r>
            <w:r>
              <w:rPr>
                <w:noProof/>
              </w:rPr>
              <w:t>*Ja vähintään yksi 36685000 euron rahoitusosuus julkisen ja yksityisen sektorin sijoitusvälineeseen kehittyneissä hoitomuodoissa.</w:t>
            </w:r>
          </w:p>
          <w:p w14:paraId="61E4FD0C" w14:textId="77777777" w:rsidR="000E48CE" w:rsidRDefault="00FF4C4E">
            <w:pPr>
              <w:pStyle w:val="P68B1DB1-Normal13"/>
              <w:spacing w:after="0" w:line="240" w:lineRule="auto"/>
              <w:rPr>
                <w:rFonts w:eastAsia="Times New Roman" w:cs="Times New Roman"/>
                <w:noProof/>
              </w:rPr>
            </w:pPr>
            <w:r>
              <w:rPr>
                <w:noProof/>
              </w:rPr>
              <w:t>* 8500000</w:t>
            </w:r>
            <w:r>
              <w:rPr>
                <w:noProof/>
              </w:rPr>
              <w:t>0 euroa PERTE-ohjelman toimiin, joilla tuetaan ensivaiheen terveydenhuoltoa: kehotus terveysministeriön ja harvinaisten sairauksien tiede- ja innovointiministeriön yhteisiin missioihin. ii) kehotus terveysministeriön ja tiede- ja innovaatioministeriön yhte</w:t>
            </w:r>
            <w:r>
              <w:rPr>
                <w:noProof/>
              </w:rPr>
              <w:t>isiin operaatioihin täsmälääketieteen täytäntöönpanossa; iii) kehotus investoida potilaslähtöisen kliinisen tutkimuksen yksiköiden koulutukseen, infrastruktuurin parantamiseen, suunnitteluun ja välineistöön.</w:t>
            </w:r>
            <w:r>
              <w:rPr>
                <w:noProof/>
                <w:shd w:val="clear" w:color="auto" w:fill="E6E6E6"/>
              </w:rPr>
              <w:t xml:space="preserve"> </w:t>
            </w:r>
          </w:p>
        </w:tc>
      </w:tr>
      <w:tr w:rsidR="000E48CE" w14:paraId="6A9143EA" w14:textId="77777777">
        <w:trPr>
          <w:trHeight w:val="309"/>
        </w:trPr>
        <w:tc>
          <w:tcPr>
            <w:tcW w:w="701" w:type="dxa"/>
            <w:shd w:val="clear" w:color="auto" w:fill="C6EFCE"/>
            <w:noWrap/>
          </w:tcPr>
          <w:p w14:paraId="4C5ED506" w14:textId="77777777" w:rsidR="000E48CE" w:rsidRDefault="00FF4C4E">
            <w:pPr>
              <w:pStyle w:val="P68B1DB1-Normal13"/>
              <w:spacing w:after="0" w:line="240" w:lineRule="auto"/>
              <w:jc w:val="center"/>
              <w:rPr>
                <w:rFonts w:eastAsia="Times New Roman" w:cs="Times New Roman"/>
                <w:noProof/>
              </w:rPr>
            </w:pPr>
            <w:r>
              <w:rPr>
                <w:noProof/>
              </w:rPr>
              <w:t>268</w:t>
            </w:r>
          </w:p>
        </w:tc>
        <w:tc>
          <w:tcPr>
            <w:tcW w:w="729" w:type="dxa"/>
            <w:shd w:val="clear" w:color="auto" w:fill="C6EFCE"/>
            <w:noWrap/>
          </w:tcPr>
          <w:p w14:paraId="6D1F29DC" w14:textId="77777777" w:rsidR="000E48CE" w:rsidRDefault="00FF4C4E">
            <w:pPr>
              <w:pStyle w:val="P68B1DB1-Normal13"/>
              <w:spacing w:after="0" w:line="240" w:lineRule="auto"/>
              <w:jc w:val="center"/>
              <w:rPr>
                <w:rFonts w:eastAsia="Times New Roman" w:cs="Times New Roman"/>
                <w:noProof/>
              </w:rPr>
            </w:pPr>
            <w:r>
              <w:rPr>
                <w:noProof/>
              </w:rPr>
              <w:t>C17.I6</w:t>
            </w:r>
          </w:p>
        </w:tc>
        <w:tc>
          <w:tcPr>
            <w:tcW w:w="609" w:type="dxa"/>
            <w:shd w:val="clear" w:color="auto" w:fill="C6EFCE"/>
            <w:noWrap/>
          </w:tcPr>
          <w:p w14:paraId="5F95BF3A"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0ED5F9E7" w14:textId="77777777" w:rsidR="000E48CE" w:rsidRDefault="00FF4C4E">
            <w:pPr>
              <w:pStyle w:val="P68B1DB1-Normal13"/>
              <w:spacing w:after="0" w:line="240" w:lineRule="auto"/>
              <w:rPr>
                <w:rFonts w:eastAsia="Times New Roman" w:cs="Times New Roman"/>
                <w:noProof/>
              </w:rPr>
            </w:pPr>
            <w:r>
              <w:rPr>
                <w:noProof/>
              </w:rPr>
              <w:t xml:space="preserve">Kaikkien terveydenhuoltoalan tutkimuksen ja innovoinnin vahvistamiseen tähtäävien hankkeiden loppuun saattaminen. </w:t>
            </w:r>
          </w:p>
        </w:tc>
        <w:tc>
          <w:tcPr>
            <w:tcW w:w="993" w:type="dxa"/>
            <w:shd w:val="clear" w:color="auto" w:fill="C6EFCE"/>
            <w:noWrap/>
          </w:tcPr>
          <w:p w14:paraId="41E0C0A0"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664A8C52"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0515E4BE"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3B6F4AD7" w14:textId="29C5D2B2" w:rsidR="000E48CE" w:rsidRDefault="00FF4C4E">
            <w:pPr>
              <w:pStyle w:val="P68B1DB1-Normal13"/>
              <w:spacing w:after="0" w:line="240" w:lineRule="auto"/>
              <w:jc w:val="center"/>
              <w:rPr>
                <w:rFonts w:cs="Times New Roman"/>
                <w:noProof/>
              </w:rPr>
            </w:pPr>
            <w:r>
              <w:rPr>
                <w:noProof/>
              </w:rPr>
              <w:t>100</w:t>
            </w:r>
          </w:p>
        </w:tc>
        <w:tc>
          <w:tcPr>
            <w:tcW w:w="567" w:type="dxa"/>
            <w:shd w:val="clear" w:color="auto" w:fill="C6EFCE"/>
          </w:tcPr>
          <w:p w14:paraId="60466CD6" w14:textId="3A0A6271"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tcPr>
          <w:p w14:paraId="0F1A0D18" w14:textId="14C1893B" w:rsidR="000E48CE" w:rsidRDefault="00FF4C4E">
            <w:pPr>
              <w:pStyle w:val="P68B1DB1-Normal13"/>
              <w:spacing w:after="0" w:line="240" w:lineRule="auto"/>
              <w:jc w:val="center"/>
              <w:rPr>
                <w:rFonts w:cs="Times New Roman"/>
                <w:noProof/>
              </w:rPr>
            </w:pPr>
            <w:r>
              <w:rPr>
                <w:noProof/>
              </w:rPr>
              <w:t>2026</w:t>
            </w:r>
          </w:p>
        </w:tc>
        <w:tc>
          <w:tcPr>
            <w:tcW w:w="5812" w:type="dxa"/>
            <w:shd w:val="clear" w:color="auto" w:fill="C6EFCE"/>
            <w:noWrap/>
          </w:tcPr>
          <w:p w14:paraId="45396BF5" w14:textId="77777777" w:rsidR="000E48CE" w:rsidRDefault="00FF4C4E">
            <w:pPr>
              <w:pStyle w:val="P68B1DB1-Normal8"/>
              <w:spacing w:after="0" w:line="240" w:lineRule="auto"/>
              <w:rPr>
                <w:rFonts w:eastAsia="Times New Roman" w:cs="Times New Roman"/>
                <w:noProof/>
                <w:sz w:val="18"/>
              </w:rPr>
            </w:pPr>
            <w:r>
              <w:rPr>
                <w:noProof/>
                <w:sz w:val="18"/>
              </w:rPr>
              <w:t>Kaikkien hankkeiden loppuun saattaminen, yhteensä 527126000 euroa.</w:t>
            </w:r>
            <w:r>
              <w:rPr>
                <w:noProof/>
              </w:rPr>
              <w:br/>
            </w:r>
            <w:r>
              <w:rPr>
                <w:noProof/>
                <w:sz w:val="18"/>
              </w:rPr>
              <w:t>Hankkeet, joille on myönnetty seuraavat ehdotuspyynnöt:</w:t>
            </w:r>
            <w:r>
              <w:rPr>
                <w:noProof/>
              </w:rPr>
              <w:br/>
            </w:r>
            <w:r>
              <w:rPr>
                <w:noProof/>
                <w:sz w:val="18"/>
              </w:rPr>
              <w:t xml:space="preserve">* Kansallisen terveydenhuoltojärjestelmän strategisten valmiuksien ja kansainvälistymisen vahvistamisen osalta: </w:t>
            </w:r>
            <w:r>
              <w:rPr>
                <w:noProof/>
              </w:rPr>
              <w:br/>
            </w:r>
            <w:r>
              <w:rPr>
                <w:noProof/>
                <w:sz w:val="18"/>
              </w:rPr>
              <w:t xml:space="preserve"> — Terveysalan strateginen toimi </w:t>
            </w:r>
            <w:r>
              <w:rPr>
                <w:noProof/>
              </w:rPr>
              <w:br/>
              <w:t xml:space="preserve"> </w:t>
            </w:r>
            <w:r>
              <w:rPr>
                <w:noProof/>
                <w:sz w:val="18"/>
              </w:rPr>
              <w:t xml:space="preserve"> hankkeet, joilla lisätään kansalliseen terveydenhuoltojärjestelmään liittyvien tutkimuskeskusten tieteellis</w:t>
            </w:r>
            <w:r>
              <w:rPr>
                <w:noProof/>
                <w:sz w:val="18"/>
              </w:rPr>
              <w:t xml:space="preserve">tä kapasiteettia, </w:t>
            </w:r>
            <w:r>
              <w:rPr>
                <w:noProof/>
              </w:rPr>
              <w:br/>
              <w:t xml:space="preserve"> </w:t>
            </w:r>
            <w:r>
              <w:rPr>
                <w:noProof/>
                <w:sz w:val="18"/>
              </w:rPr>
              <w:t xml:space="preserve"> ehdotukset, jotka liittyvät tieteellisen ja teknisen laitteiston rahoittamiseen, mukaan lukien vanhentuneiden tieteellisten teknisten laitteiden uusiminen, </w:t>
            </w:r>
            <w:r>
              <w:rPr>
                <w:noProof/>
              </w:rPr>
              <w:br/>
              <w:t xml:space="preserve"> </w:t>
            </w:r>
            <w:r>
              <w:rPr>
                <w:noProof/>
                <w:sz w:val="18"/>
              </w:rPr>
              <w:t xml:space="preserve"> huippuosaamismerkkiä koskevat hankkeet Instituto de Salud Carlos III; ja </w:t>
            </w:r>
            <w:r>
              <w:rPr>
                <w:noProof/>
              </w:rPr>
              <w:br/>
              <w:t xml:space="preserve"> </w:t>
            </w:r>
            <w:r>
              <w:rPr>
                <w:noProof/>
                <w:sz w:val="18"/>
              </w:rPr>
              <w:t xml:space="preserve"> </w:t>
            </w:r>
            <w:r>
              <w:rPr>
                <w:noProof/>
                <w:sz w:val="18"/>
              </w:rPr>
              <w:t>julkisen ja yksityisen sektorin kumppanuudet hyvän tuotantotavan/nestekaasuympäristön sisällyttämiseksi SNS-tutkimusryhmiin.</w:t>
            </w:r>
            <w:r>
              <w:rPr>
                <w:noProof/>
              </w:rPr>
              <w:br/>
            </w:r>
            <w:r>
              <w:rPr>
                <w:noProof/>
                <w:sz w:val="18"/>
              </w:rPr>
              <w:t>* Yksilöllistettyä lääkehuoltoa koskevan strategian osalta:</w:t>
            </w:r>
            <w:r>
              <w:rPr>
                <w:noProof/>
              </w:rPr>
              <w:br/>
            </w:r>
            <w:r>
              <w:rPr>
                <w:noProof/>
                <w:sz w:val="18"/>
              </w:rPr>
              <w:t xml:space="preserve"> henkilökohtaisen lääketieteen yleisen ehdotuspyynnön hankkeet</w:t>
            </w:r>
            <w:r>
              <w:rPr>
                <w:noProof/>
              </w:rPr>
              <w:br/>
              <w:t xml:space="preserve"> </w:t>
            </w:r>
            <w:r>
              <w:rPr>
                <w:noProof/>
                <w:sz w:val="18"/>
              </w:rPr>
              <w:t xml:space="preserve"> yksilö</w:t>
            </w:r>
            <w:r>
              <w:rPr>
                <w:noProof/>
                <w:sz w:val="18"/>
              </w:rPr>
              <w:t>llisiä ja pitkälle kehitettyjä terapioita koskevaan suunnitelmaan liittyvät hankkeet</w:t>
            </w:r>
            <w:r>
              <w:rPr>
                <w:noProof/>
              </w:rPr>
              <w:br/>
              <w:t xml:space="preserve"> </w:t>
            </w:r>
            <w:r>
              <w:rPr>
                <w:noProof/>
                <w:sz w:val="18"/>
              </w:rPr>
              <w:t xml:space="preserve"> yksilöllisen lääketieteen kansainvälistymistä Espanjassa koskevan ehdotuspyynnön hankkeet</w:t>
            </w:r>
            <w:r>
              <w:rPr>
                <w:noProof/>
              </w:rPr>
              <w:br/>
              <w:t xml:space="preserve"> </w:t>
            </w:r>
            <w:r>
              <w:rPr>
                <w:noProof/>
                <w:sz w:val="18"/>
              </w:rPr>
              <w:t>* Vähintään 2 pääomankorotus kliinisten tutkimusten (vaiheet II ja III) suorit</w:t>
            </w:r>
            <w:r>
              <w:rPr>
                <w:noProof/>
                <w:sz w:val="18"/>
              </w:rPr>
              <w:t>tamiseksi pitkälle kehitettyjä hoitoja varten tarkoitetuilla lääkkeillä</w:t>
            </w:r>
          </w:p>
          <w:p w14:paraId="46EF6F65" w14:textId="77777777" w:rsidR="000E48CE" w:rsidRDefault="000E48CE">
            <w:pPr>
              <w:spacing w:after="0" w:line="240" w:lineRule="auto"/>
              <w:rPr>
                <w:rFonts w:ascii="Times New Roman" w:hAnsi="Times New Roman" w:cs="Times New Roman"/>
                <w:noProof/>
                <w:sz w:val="18"/>
              </w:rPr>
            </w:pPr>
          </w:p>
        </w:tc>
      </w:tr>
      <w:tr w:rsidR="000E48CE" w14:paraId="7DE39A3A" w14:textId="77777777">
        <w:trPr>
          <w:trHeight w:val="309"/>
        </w:trPr>
        <w:tc>
          <w:tcPr>
            <w:tcW w:w="701" w:type="dxa"/>
            <w:shd w:val="clear" w:color="auto" w:fill="C6EFCE"/>
            <w:noWrap/>
          </w:tcPr>
          <w:p w14:paraId="3CCF428E" w14:textId="0B61B297" w:rsidR="000E48CE" w:rsidRDefault="00FF4C4E">
            <w:pPr>
              <w:pStyle w:val="P68B1DB1-Normal13"/>
              <w:spacing w:after="0" w:line="240" w:lineRule="auto"/>
              <w:jc w:val="center"/>
              <w:rPr>
                <w:rFonts w:cs="Times New Roman"/>
                <w:noProof/>
              </w:rPr>
            </w:pPr>
            <w:r>
              <w:rPr>
                <w:noProof/>
              </w:rPr>
              <w:t>460</w:t>
            </w:r>
          </w:p>
        </w:tc>
        <w:tc>
          <w:tcPr>
            <w:tcW w:w="729" w:type="dxa"/>
            <w:shd w:val="clear" w:color="auto" w:fill="C6EFCE"/>
            <w:noWrap/>
          </w:tcPr>
          <w:p w14:paraId="76390B63" w14:textId="3E0CF364" w:rsidR="000E48CE" w:rsidRDefault="00FF4C4E">
            <w:pPr>
              <w:pStyle w:val="P68B1DB1-Normal13"/>
              <w:spacing w:after="0" w:line="240" w:lineRule="auto"/>
              <w:jc w:val="center"/>
              <w:rPr>
                <w:rFonts w:cs="Times New Roman"/>
                <w:noProof/>
              </w:rPr>
            </w:pPr>
            <w:r>
              <w:rPr>
                <w:noProof/>
              </w:rPr>
              <w:t>C17.I6</w:t>
            </w:r>
          </w:p>
        </w:tc>
        <w:tc>
          <w:tcPr>
            <w:tcW w:w="609" w:type="dxa"/>
            <w:shd w:val="clear" w:color="auto" w:fill="C6EFCE"/>
            <w:noWrap/>
          </w:tcPr>
          <w:p w14:paraId="0576D1F3" w14:textId="11E2276F" w:rsidR="000E48CE" w:rsidRDefault="00FF4C4E">
            <w:pPr>
              <w:pStyle w:val="P68B1DB1-Normal13"/>
              <w:spacing w:after="0" w:line="240" w:lineRule="auto"/>
              <w:jc w:val="center"/>
              <w:rPr>
                <w:rFonts w:cs="Times New Roman"/>
                <w:noProof/>
              </w:rPr>
            </w:pPr>
            <w:r>
              <w:rPr>
                <w:noProof/>
              </w:rPr>
              <w:t>T</w:t>
            </w:r>
          </w:p>
        </w:tc>
        <w:tc>
          <w:tcPr>
            <w:tcW w:w="2039" w:type="dxa"/>
            <w:shd w:val="clear" w:color="auto" w:fill="C6EFCE"/>
            <w:noWrap/>
          </w:tcPr>
          <w:p w14:paraId="3A6109DB" w14:textId="2C0F9A94" w:rsidR="000E48CE" w:rsidRDefault="00FF4C4E">
            <w:pPr>
              <w:pStyle w:val="P68B1DB1-Normal13"/>
              <w:spacing w:after="0" w:line="240" w:lineRule="auto"/>
              <w:rPr>
                <w:rFonts w:cs="Times New Roman"/>
                <w:noProof/>
              </w:rPr>
            </w:pPr>
            <w:r>
              <w:rPr>
                <w:noProof/>
              </w:rPr>
              <w:t xml:space="preserve">Varojen maksaminen PERTE Health -ohjelman T &amp; K-hankkeisiin  </w:t>
            </w:r>
          </w:p>
        </w:tc>
        <w:tc>
          <w:tcPr>
            <w:tcW w:w="993" w:type="dxa"/>
            <w:shd w:val="clear" w:color="auto" w:fill="C6EFCE"/>
            <w:noWrap/>
          </w:tcPr>
          <w:p w14:paraId="37C3E156" w14:textId="6DA9DDA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70A884B8" w14:textId="28A95139" w:rsidR="000E48CE" w:rsidRDefault="00FF4C4E">
            <w:pPr>
              <w:pStyle w:val="P68B1DB1-Normal13"/>
              <w:spacing w:after="0" w:line="240" w:lineRule="auto"/>
              <w:jc w:val="center"/>
              <w:rPr>
                <w:rFonts w:cs="Times New Roman"/>
                <w:noProof/>
              </w:rPr>
            </w:pPr>
            <w:r>
              <w:rPr>
                <w:noProof/>
              </w:rPr>
              <w:t>Miljoonaa euroa</w:t>
            </w:r>
          </w:p>
        </w:tc>
        <w:tc>
          <w:tcPr>
            <w:tcW w:w="709" w:type="dxa"/>
            <w:shd w:val="clear" w:color="auto" w:fill="C6EFCE"/>
          </w:tcPr>
          <w:p w14:paraId="0BF876F1"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55F7A4D6" w14:textId="029DAD6F" w:rsidR="000E48CE" w:rsidRDefault="00FF4C4E">
            <w:pPr>
              <w:pStyle w:val="P68B1DB1-Normal13"/>
              <w:spacing w:after="0" w:line="240" w:lineRule="auto"/>
              <w:jc w:val="center"/>
              <w:rPr>
                <w:rFonts w:cs="Times New Roman"/>
                <w:noProof/>
              </w:rPr>
            </w:pPr>
            <w:r>
              <w:rPr>
                <w:noProof/>
              </w:rPr>
              <w:t>243</w:t>
            </w:r>
          </w:p>
        </w:tc>
        <w:tc>
          <w:tcPr>
            <w:tcW w:w="567" w:type="dxa"/>
            <w:shd w:val="clear" w:color="auto" w:fill="C6EFCE"/>
          </w:tcPr>
          <w:p w14:paraId="187B82CE" w14:textId="761337DD"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tcPr>
          <w:p w14:paraId="5555E33D" w14:textId="5A53107F" w:rsidR="000E48CE" w:rsidRDefault="00FF4C4E">
            <w:pPr>
              <w:pStyle w:val="P68B1DB1-Normal13"/>
              <w:spacing w:after="0" w:line="240" w:lineRule="auto"/>
              <w:jc w:val="center"/>
              <w:rPr>
                <w:rFonts w:cs="Times New Roman"/>
                <w:noProof/>
              </w:rPr>
            </w:pPr>
            <w:r>
              <w:rPr>
                <w:noProof/>
              </w:rPr>
              <w:t>2026</w:t>
            </w:r>
          </w:p>
        </w:tc>
        <w:tc>
          <w:tcPr>
            <w:tcW w:w="5812" w:type="dxa"/>
            <w:shd w:val="clear" w:color="auto" w:fill="C6EFCE"/>
            <w:noWrap/>
          </w:tcPr>
          <w:p w14:paraId="3FACC89B" w14:textId="77777777" w:rsidR="000E48CE" w:rsidRDefault="00FF4C4E">
            <w:pPr>
              <w:pStyle w:val="P68B1DB1-Normal13"/>
              <w:spacing w:after="0" w:line="240" w:lineRule="auto"/>
              <w:rPr>
                <w:rFonts w:eastAsia="Times New Roman" w:cs="Times New Roman"/>
                <w:noProof/>
              </w:rPr>
            </w:pPr>
            <w:r>
              <w:rPr>
                <w:noProof/>
              </w:rPr>
              <w:t xml:space="preserve">PERTE Health -ohjelmasta on maksettu 243000000 euroa seuraaviin T &amp; K-hankkeisiin: </w:t>
            </w:r>
          </w:p>
          <w:p w14:paraId="6298AE6F" w14:textId="77777777" w:rsidR="000E48CE" w:rsidRDefault="00FF4C4E">
            <w:pPr>
              <w:pStyle w:val="P68B1DB1-Normal13"/>
              <w:spacing w:after="0" w:line="240" w:lineRule="auto"/>
              <w:rPr>
                <w:rFonts w:eastAsia="Times New Roman" w:cs="Times New Roman"/>
                <w:noProof/>
              </w:rPr>
            </w:pPr>
            <w:r>
              <w:rPr>
                <w:noProof/>
              </w:rPr>
              <w:t xml:space="preserve">terveydenhuoltoalan teollisten valmiuksien vahvistamiseen ja kansainvälistymiseen tähtäävät hankkeet, </w:t>
            </w:r>
          </w:p>
          <w:p w14:paraId="1668C725" w14:textId="77777777" w:rsidR="000E48CE" w:rsidRDefault="00FF4C4E">
            <w:pPr>
              <w:pStyle w:val="P68B1DB1-Normal13"/>
              <w:spacing w:after="0" w:line="240" w:lineRule="auto"/>
              <w:rPr>
                <w:rFonts w:eastAsia="Times New Roman" w:cs="Times New Roman"/>
                <w:noProof/>
              </w:rPr>
            </w:pPr>
            <w:r>
              <w:rPr>
                <w:noProof/>
              </w:rPr>
              <w:t>hankkeet harvinaisten sairauksien, kuten ALS:n ja neuromuskulaaristen</w:t>
            </w:r>
            <w:r>
              <w:rPr>
                <w:noProof/>
              </w:rPr>
              <w:t xml:space="preserve"> sairauksien, yhteistä missiota varten, </w:t>
            </w:r>
          </w:p>
          <w:p w14:paraId="4CACA2B8" w14:textId="77777777" w:rsidR="000E48CE" w:rsidRDefault="00FF4C4E">
            <w:pPr>
              <w:pStyle w:val="P68B1DB1-Normal13"/>
              <w:spacing w:after="0" w:line="240" w:lineRule="auto"/>
              <w:rPr>
                <w:rFonts w:eastAsia="Times New Roman" w:cs="Times New Roman"/>
                <w:noProof/>
              </w:rPr>
            </w:pPr>
            <w:r>
              <w:rPr>
                <w:noProof/>
              </w:rPr>
              <w:t xml:space="preserve">— täsmälääketiedettä koskevat yhteiset missiot, </w:t>
            </w:r>
          </w:p>
          <w:p w14:paraId="15EB433D" w14:textId="77777777" w:rsidR="000E48CE" w:rsidRDefault="00FF4C4E">
            <w:pPr>
              <w:pStyle w:val="P68B1DB1-Normal13"/>
              <w:spacing w:after="0" w:line="240" w:lineRule="auto"/>
              <w:rPr>
                <w:rFonts w:eastAsia="Times New Roman" w:cs="Times New Roman"/>
                <w:noProof/>
              </w:rPr>
            </w:pPr>
            <w:r>
              <w:rPr>
                <w:noProof/>
              </w:rPr>
              <w:t xml:space="preserve">— Proteomiikka- ja Metabolomics-foorumin perustaminen Instituto de Salud Carlos III:een (ISCIII), </w:t>
            </w:r>
          </w:p>
          <w:p w14:paraId="7D7F3F31" w14:textId="77777777" w:rsidR="000E48CE" w:rsidRDefault="00FF4C4E">
            <w:pPr>
              <w:pStyle w:val="P68B1DB1-Normal13"/>
              <w:spacing w:after="0" w:line="240" w:lineRule="auto"/>
              <w:rPr>
                <w:rFonts w:eastAsia="Times New Roman" w:cs="Times New Roman"/>
                <w:noProof/>
              </w:rPr>
            </w:pPr>
            <w:r>
              <w:rPr>
                <w:noProof/>
              </w:rPr>
              <w:t>hankkeet ISCIII:n ihmisen biomonitoroinnin infrastruktuurin päivitt</w:t>
            </w:r>
            <w:r>
              <w:rPr>
                <w:noProof/>
              </w:rPr>
              <w:t>ämiseksi; ja</w:t>
            </w:r>
          </w:p>
          <w:p w14:paraId="5AFB8329" w14:textId="15A8384F" w:rsidR="000E48CE" w:rsidRDefault="00FF4C4E">
            <w:pPr>
              <w:pStyle w:val="P68B1DB1-Normal13"/>
              <w:spacing w:after="0" w:line="240" w:lineRule="auto"/>
              <w:rPr>
                <w:rFonts w:cs="Times New Roman"/>
                <w:noProof/>
              </w:rPr>
            </w:pPr>
            <w:r>
              <w:rPr>
                <w:noProof/>
              </w:rPr>
              <w:t>— hankkeet, joilla parannetaan potilaslähtöisen kliinisen tutkimuksen yksikköjä niiden infrastruktuurin, suunnittelun tai laitteiston parantamiseksi niiden tutkimusvalmiuksia varten, kliinistä tutkimusta koskeva koulutus tai kliinisen tutkimuk</w:t>
            </w:r>
            <w:r>
              <w:rPr>
                <w:noProof/>
              </w:rPr>
              <w:t>sen valvontatoimistojen kehittäminen.</w:t>
            </w:r>
          </w:p>
        </w:tc>
      </w:tr>
      <w:tr w:rsidR="000E48CE" w14:paraId="4F8BD98F" w14:textId="77777777">
        <w:trPr>
          <w:trHeight w:val="309"/>
        </w:trPr>
        <w:tc>
          <w:tcPr>
            <w:tcW w:w="701" w:type="dxa"/>
            <w:shd w:val="clear" w:color="auto" w:fill="C6EFCE"/>
            <w:noWrap/>
          </w:tcPr>
          <w:p w14:paraId="61E75A1F" w14:textId="77777777" w:rsidR="000E48CE" w:rsidRDefault="00FF4C4E">
            <w:pPr>
              <w:pStyle w:val="P68B1DB1-Normal13"/>
              <w:spacing w:after="0" w:line="240" w:lineRule="auto"/>
              <w:jc w:val="center"/>
              <w:rPr>
                <w:rFonts w:eastAsia="Times New Roman" w:cs="Times New Roman"/>
                <w:noProof/>
              </w:rPr>
            </w:pPr>
            <w:r>
              <w:rPr>
                <w:noProof/>
              </w:rPr>
              <w:t>269</w:t>
            </w:r>
          </w:p>
        </w:tc>
        <w:tc>
          <w:tcPr>
            <w:tcW w:w="729" w:type="dxa"/>
            <w:shd w:val="clear" w:color="auto" w:fill="C6EFCE"/>
            <w:noWrap/>
          </w:tcPr>
          <w:p w14:paraId="0379499B" w14:textId="77777777" w:rsidR="000E48CE" w:rsidRDefault="00FF4C4E">
            <w:pPr>
              <w:pStyle w:val="P68B1DB1-Normal13"/>
              <w:spacing w:after="0" w:line="240" w:lineRule="auto"/>
              <w:jc w:val="center"/>
              <w:rPr>
                <w:rFonts w:eastAsia="Times New Roman" w:cs="Times New Roman"/>
                <w:noProof/>
              </w:rPr>
            </w:pPr>
            <w:r>
              <w:rPr>
                <w:noProof/>
              </w:rPr>
              <w:t>C17.I7</w:t>
            </w:r>
          </w:p>
        </w:tc>
        <w:tc>
          <w:tcPr>
            <w:tcW w:w="609" w:type="dxa"/>
            <w:shd w:val="clear" w:color="auto" w:fill="C6EFCE"/>
            <w:noWrap/>
          </w:tcPr>
          <w:p w14:paraId="5F0979D3" w14:textId="77777777" w:rsidR="000E48CE" w:rsidRDefault="00FF4C4E">
            <w:pPr>
              <w:pStyle w:val="P68B1DB1-Normal13"/>
              <w:spacing w:after="0" w:line="240" w:lineRule="auto"/>
              <w:jc w:val="center"/>
              <w:rPr>
                <w:rFonts w:eastAsia="Times New Roman" w:cs="Times New Roman"/>
                <w:noProof/>
              </w:rPr>
            </w:pPr>
            <w:r>
              <w:rPr>
                <w:noProof/>
              </w:rPr>
              <w:t>M</w:t>
            </w:r>
          </w:p>
        </w:tc>
        <w:tc>
          <w:tcPr>
            <w:tcW w:w="2039" w:type="dxa"/>
            <w:shd w:val="clear" w:color="auto" w:fill="C6EFCE"/>
            <w:noWrap/>
          </w:tcPr>
          <w:p w14:paraId="09938E8A" w14:textId="77777777" w:rsidR="000E48CE" w:rsidRDefault="00FF4C4E">
            <w:pPr>
              <w:pStyle w:val="P68B1DB1-Normal13"/>
              <w:spacing w:after="0" w:line="240" w:lineRule="auto"/>
              <w:rPr>
                <w:rFonts w:eastAsia="Times New Roman" w:cs="Times New Roman"/>
                <w:noProof/>
              </w:rPr>
            </w:pPr>
            <w:r>
              <w:rPr>
                <w:noProof/>
              </w:rPr>
              <w:t xml:space="preserve">Energian varastoinnin T &amp; K-keskus </w:t>
            </w:r>
          </w:p>
        </w:tc>
        <w:tc>
          <w:tcPr>
            <w:tcW w:w="993" w:type="dxa"/>
            <w:shd w:val="clear" w:color="auto" w:fill="C6EFCE"/>
            <w:noWrap/>
          </w:tcPr>
          <w:p w14:paraId="7CCFF369" w14:textId="77777777" w:rsidR="000E48CE" w:rsidRDefault="00FF4C4E">
            <w:pPr>
              <w:pStyle w:val="P68B1DB1-Normal13"/>
              <w:spacing w:after="0" w:line="240" w:lineRule="auto"/>
              <w:jc w:val="center"/>
              <w:rPr>
                <w:rFonts w:eastAsia="Times New Roman" w:cs="Times New Roman"/>
                <w:noProof/>
              </w:rPr>
            </w:pPr>
            <w:r>
              <w:rPr>
                <w:noProof/>
              </w:rPr>
              <w:t>Keskus rakennettu ja varustettu</w:t>
            </w:r>
          </w:p>
        </w:tc>
        <w:tc>
          <w:tcPr>
            <w:tcW w:w="850" w:type="dxa"/>
            <w:shd w:val="clear" w:color="auto" w:fill="C6EFCE"/>
            <w:noWrap/>
          </w:tcPr>
          <w:p w14:paraId="50B9F496"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06C75B4D"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55DFB964" w14:textId="69AC01A1"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tcPr>
          <w:p w14:paraId="08EEE167" w14:textId="13D7B8F8"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tcPr>
          <w:p w14:paraId="6BCAE143" w14:textId="28E2E7BE" w:rsidR="000E48CE" w:rsidRDefault="00FF4C4E">
            <w:pPr>
              <w:pStyle w:val="P68B1DB1-Normal13"/>
              <w:spacing w:after="0" w:line="240" w:lineRule="auto"/>
              <w:jc w:val="center"/>
              <w:rPr>
                <w:rFonts w:cs="Times New Roman"/>
                <w:noProof/>
              </w:rPr>
            </w:pPr>
            <w:r>
              <w:rPr>
                <w:noProof/>
              </w:rPr>
              <w:t>2026</w:t>
            </w:r>
          </w:p>
        </w:tc>
        <w:tc>
          <w:tcPr>
            <w:tcW w:w="5812" w:type="dxa"/>
            <w:shd w:val="clear" w:color="auto" w:fill="C6EFCE"/>
            <w:noWrap/>
          </w:tcPr>
          <w:p w14:paraId="6A177C83" w14:textId="77777777" w:rsidR="000E48CE" w:rsidRDefault="00FF4C4E">
            <w:pPr>
              <w:pStyle w:val="P68B1DB1-Normal13"/>
              <w:spacing w:after="0" w:line="240" w:lineRule="auto"/>
              <w:rPr>
                <w:rFonts w:cs="Times New Roman"/>
                <w:noProof/>
              </w:rPr>
            </w:pPr>
            <w:r>
              <w:rPr>
                <w:noProof/>
              </w:rPr>
              <w:t>Extremaduuraan rakennetaan ja varustetaan energian varastoinnin T &amp; K-keskus, jonka tavoitteena on edistää teknologista ja tieteellistä reagointia vihreän energian tuotannon hallintaan, erityisesti teollisiin vetysovelluksiin, sekä vihreän vedyn tuotantoon</w:t>
            </w:r>
            <w:r>
              <w:rPr>
                <w:noProof/>
              </w:rPr>
              <w:t xml:space="preserve">, varastointiin ja kuljetukseen. Keskuksessa on oltava kokeellisia demonstrointilaitteistoja energian varastointiratkaisujen testaamista ja validointia varten. Siinä on oltava tarvittavat tieteelliset ja tekniset laitteet. </w:t>
            </w:r>
          </w:p>
          <w:p w14:paraId="22109D16" w14:textId="77777777" w:rsidR="000E48CE" w:rsidRDefault="000E48CE">
            <w:pPr>
              <w:spacing w:after="0" w:line="240" w:lineRule="auto"/>
              <w:rPr>
                <w:rFonts w:ascii="Times New Roman" w:hAnsi="Times New Roman" w:cs="Times New Roman"/>
                <w:noProof/>
                <w:sz w:val="18"/>
              </w:rPr>
            </w:pPr>
          </w:p>
          <w:p w14:paraId="72671341" w14:textId="77777777" w:rsidR="000E48CE" w:rsidRDefault="00FF4C4E">
            <w:pPr>
              <w:pStyle w:val="P68B1DB1-Normal13"/>
              <w:spacing w:after="0" w:line="240" w:lineRule="auto"/>
              <w:rPr>
                <w:rFonts w:cs="Times New Roman"/>
                <w:noProof/>
              </w:rPr>
            </w:pPr>
            <w:r>
              <w:rPr>
                <w:noProof/>
              </w:rPr>
              <w:t>Consejo Superior de Investigaci</w:t>
            </w:r>
            <w:r>
              <w:rPr>
                <w:noProof/>
              </w:rPr>
              <w:t>ones Científicasin on täytynyt tehdä seuraavat investoinnit:</w:t>
            </w:r>
          </w:p>
          <w:p w14:paraId="775AA2A4" w14:textId="77777777" w:rsidR="000E48CE" w:rsidRDefault="00FF4C4E">
            <w:pPr>
              <w:pStyle w:val="P68B1DB1-Normal13"/>
              <w:spacing w:after="0" w:line="240" w:lineRule="auto"/>
              <w:rPr>
                <w:rFonts w:cs="Times New Roman"/>
                <w:noProof/>
              </w:rPr>
            </w:pPr>
            <w:r>
              <w:rPr>
                <w:noProof/>
              </w:rPr>
              <w:t xml:space="preserve">T &amp; K &amp; I-hankkeet, jotka liittyvät kestävään muoviin kiertotaloudessa, tuotantoon </w:t>
            </w:r>
            <w:r>
              <w:rPr>
                <w:noProof/>
              </w:rPr>
              <w:br/>
              <w:t xml:space="preserve">  vaihtoehtoisista muoveista ja kestävästä muovijätteestä </w:t>
            </w:r>
          </w:p>
          <w:p w14:paraId="6B1E5B7F" w14:textId="77777777" w:rsidR="000E48CE" w:rsidRDefault="00FF4C4E">
            <w:pPr>
              <w:pStyle w:val="P68B1DB1-Normal13"/>
              <w:spacing w:after="0" w:line="240" w:lineRule="auto"/>
              <w:rPr>
                <w:rFonts w:cs="Times New Roman"/>
                <w:noProof/>
              </w:rPr>
            </w:pPr>
            <w:r>
              <w:rPr>
                <w:noProof/>
              </w:rPr>
              <w:t>ilmastonmuutokseen ja vesivarantoihin kohdistuvia va</w:t>
            </w:r>
            <w:r>
              <w:rPr>
                <w:noProof/>
              </w:rPr>
              <w:t xml:space="preserve">ikutuksia koskeva hanke </w:t>
            </w:r>
          </w:p>
          <w:p w14:paraId="06A902F6" w14:textId="5E17601F" w:rsidR="000E48CE" w:rsidRDefault="00FF4C4E">
            <w:pPr>
              <w:pStyle w:val="P68B1DB1-Normal13"/>
              <w:spacing w:after="0" w:line="240" w:lineRule="auto"/>
              <w:rPr>
                <w:rFonts w:cs="Times New Roman"/>
                <w:noProof/>
              </w:rPr>
            </w:pPr>
            <w:r>
              <w:rPr>
                <w:noProof/>
              </w:rPr>
              <w:t>korkean teknologian komponentteja energiasiirtymässä koskeva hanke, jossa tarkastellaan erityisesti energian varastointia ja prototyyppilaitosten kehittämistä teollisuuden prosessipäästöistä peräisin olevan hiilidioksidin talteenot</w:t>
            </w:r>
            <w:r>
              <w:rPr>
                <w:noProof/>
              </w:rPr>
              <w:t>toon energiaintensiivisillä teollisuudenaloilla.</w:t>
            </w:r>
          </w:p>
          <w:p w14:paraId="1CE35988" w14:textId="77777777" w:rsidR="000E48CE" w:rsidRDefault="00FF4C4E">
            <w:pPr>
              <w:pStyle w:val="P68B1DB1-Normal13"/>
              <w:spacing w:after="0" w:line="240" w:lineRule="auto"/>
              <w:rPr>
                <w:rFonts w:cs="Times New Roman"/>
                <w:noProof/>
              </w:rPr>
            </w:pPr>
            <w:r>
              <w:rPr>
                <w:noProof/>
              </w:rPr>
              <w:t>tutkimushanke strategisista metalleista energiasiirtymää varten</w:t>
            </w:r>
          </w:p>
          <w:p w14:paraId="58EE78CB" w14:textId="77777777" w:rsidR="000E48CE" w:rsidRDefault="000E48CE">
            <w:pPr>
              <w:spacing w:after="0" w:line="240" w:lineRule="auto"/>
              <w:rPr>
                <w:rFonts w:ascii="Times New Roman" w:hAnsi="Times New Roman" w:cs="Times New Roman"/>
                <w:noProof/>
                <w:sz w:val="18"/>
              </w:rPr>
            </w:pPr>
          </w:p>
          <w:p w14:paraId="4F9CDB09" w14:textId="2CFBF02D" w:rsidR="000E48CE" w:rsidRDefault="00FF4C4E">
            <w:pPr>
              <w:pStyle w:val="P68B1DB1-Normal13"/>
              <w:spacing w:after="0" w:line="240" w:lineRule="auto"/>
              <w:rPr>
                <w:rFonts w:eastAsia="Times New Roman" w:cs="Times New Roman"/>
                <w:noProof/>
              </w:rPr>
            </w:pPr>
            <w:r>
              <w:rPr>
                <w:noProof/>
              </w:rPr>
              <w:t>Tähän investointiin liittyvien hankkeiden arvioinnissa on varmistettava, että noudatetaan toimenpiteen kuvauksessa esitettyjä teknisiä ohjeita</w:t>
            </w:r>
            <w:r>
              <w:rPr>
                <w:noProof/>
              </w:rPr>
              <w:t xml:space="preserve"> ”ei merkittävää haittaa” (2021/C58/01). </w:t>
            </w:r>
          </w:p>
        </w:tc>
      </w:tr>
      <w:tr w:rsidR="000E48CE" w14:paraId="22A99613" w14:textId="77777777">
        <w:trPr>
          <w:trHeight w:val="309"/>
        </w:trPr>
        <w:tc>
          <w:tcPr>
            <w:tcW w:w="701" w:type="dxa"/>
            <w:shd w:val="clear" w:color="auto" w:fill="C6EFCE"/>
            <w:noWrap/>
          </w:tcPr>
          <w:p w14:paraId="4326355D" w14:textId="77777777" w:rsidR="000E48CE" w:rsidRDefault="00FF4C4E">
            <w:pPr>
              <w:pStyle w:val="P68B1DB1-Normal13"/>
              <w:spacing w:after="0" w:line="240" w:lineRule="auto"/>
              <w:jc w:val="center"/>
              <w:rPr>
                <w:rFonts w:eastAsia="Times New Roman" w:cs="Times New Roman"/>
                <w:noProof/>
              </w:rPr>
            </w:pPr>
            <w:r>
              <w:rPr>
                <w:noProof/>
              </w:rPr>
              <w:t>270</w:t>
            </w:r>
          </w:p>
        </w:tc>
        <w:tc>
          <w:tcPr>
            <w:tcW w:w="729" w:type="dxa"/>
            <w:shd w:val="clear" w:color="auto" w:fill="C6EFCE"/>
            <w:noWrap/>
          </w:tcPr>
          <w:p w14:paraId="2BDA18A3" w14:textId="77777777" w:rsidR="000E48CE" w:rsidRDefault="00FF4C4E">
            <w:pPr>
              <w:pStyle w:val="P68B1DB1-Normal13"/>
              <w:spacing w:after="0" w:line="240" w:lineRule="auto"/>
              <w:jc w:val="center"/>
              <w:rPr>
                <w:rFonts w:eastAsia="Times New Roman" w:cs="Times New Roman"/>
                <w:noProof/>
              </w:rPr>
            </w:pPr>
            <w:r>
              <w:rPr>
                <w:noProof/>
              </w:rPr>
              <w:t>C17.I8</w:t>
            </w:r>
          </w:p>
        </w:tc>
        <w:tc>
          <w:tcPr>
            <w:tcW w:w="609" w:type="dxa"/>
            <w:shd w:val="clear" w:color="auto" w:fill="C6EFCE"/>
            <w:noWrap/>
          </w:tcPr>
          <w:p w14:paraId="68EFF59C"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58AE5E0D" w14:textId="77777777" w:rsidR="000E48CE" w:rsidRDefault="00FF4C4E">
            <w:pPr>
              <w:pStyle w:val="P68B1DB1-Normal13"/>
              <w:spacing w:after="0" w:line="240" w:lineRule="auto"/>
              <w:rPr>
                <w:rFonts w:eastAsia="Times New Roman" w:cs="Times New Roman"/>
                <w:noProof/>
              </w:rPr>
            </w:pPr>
            <w:r>
              <w:rPr>
                <w:noProof/>
              </w:rPr>
              <w:t xml:space="preserve">Tuki kestävää autoteollisuutta koskeville T &amp; K &amp; I-hankkeille </w:t>
            </w:r>
          </w:p>
        </w:tc>
        <w:tc>
          <w:tcPr>
            <w:tcW w:w="993" w:type="dxa"/>
            <w:shd w:val="clear" w:color="auto" w:fill="C6EFCE"/>
            <w:noWrap/>
          </w:tcPr>
          <w:p w14:paraId="345B06A5"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231AAD54"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tcPr>
          <w:p w14:paraId="3101FCE9"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3B5047B7" w14:textId="34861055" w:rsidR="000E48CE" w:rsidRDefault="00FF4C4E">
            <w:pPr>
              <w:pStyle w:val="P68B1DB1-Normal13"/>
              <w:spacing w:after="0" w:line="240" w:lineRule="auto"/>
              <w:jc w:val="center"/>
              <w:rPr>
                <w:rFonts w:cs="Times New Roman"/>
                <w:noProof/>
              </w:rPr>
            </w:pPr>
            <w:r>
              <w:rPr>
                <w:noProof/>
              </w:rPr>
              <w:t>35</w:t>
            </w:r>
          </w:p>
        </w:tc>
        <w:tc>
          <w:tcPr>
            <w:tcW w:w="567" w:type="dxa"/>
            <w:shd w:val="clear" w:color="auto" w:fill="C6EFCE"/>
          </w:tcPr>
          <w:p w14:paraId="61C962B4" w14:textId="70EFD1CB"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tcPr>
          <w:p w14:paraId="55FD75BF" w14:textId="3E51702F" w:rsidR="000E48CE" w:rsidRDefault="00FF4C4E">
            <w:pPr>
              <w:pStyle w:val="P68B1DB1-Normal13"/>
              <w:spacing w:after="0" w:line="240" w:lineRule="auto"/>
              <w:jc w:val="center"/>
              <w:rPr>
                <w:rFonts w:cs="Times New Roman"/>
                <w:noProof/>
              </w:rPr>
            </w:pPr>
            <w:r>
              <w:rPr>
                <w:noProof/>
              </w:rPr>
              <w:t>2022</w:t>
            </w:r>
          </w:p>
        </w:tc>
        <w:tc>
          <w:tcPr>
            <w:tcW w:w="5812" w:type="dxa"/>
            <w:shd w:val="clear" w:color="auto" w:fill="C6EFCE"/>
            <w:noWrap/>
          </w:tcPr>
          <w:p w14:paraId="4C52E1B4" w14:textId="77777777" w:rsidR="000E48CE" w:rsidRDefault="00FF4C4E">
            <w:pPr>
              <w:pStyle w:val="P68B1DB1-Normal13"/>
              <w:spacing w:after="0" w:line="240" w:lineRule="auto"/>
              <w:rPr>
                <w:rFonts w:eastAsia="Times New Roman" w:cs="Times New Roman"/>
                <w:noProof/>
              </w:rPr>
            </w:pPr>
            <w:r>
              <w:rPr>
                <w:noProof/>
              </w:rPr>
              <w:t>Vähintään 35 yritystä, joille on myönnetty T &amp; K &amp; I-hankkeita kestävän autoteollisuuden alalla. Tarkoituksena on lisätä yritysten teknologisia valmiuksia aloilla, jotka liittyvät erittäin vähäpäästöisten ja erittäin kierrätettävyyden omaavien energian var</w:t>
            </w:r>
            <w:r>
              <w:rPr>
                <w:noProof/>
              </w:rPr>
              <w:t>astointijärjestelmien kehittämiseen, erittäin tehokkaisiin vetyliikennejärjestelmiin, autonomiseen ajamiseen ja verkotettuun liikkuvuuteen tai tuotantoympäristöjen mukauttamiseen turvallisilla ja vakailla järjestelmillä ihmisten ja laitteiden välistä vuoro</w:t>
            </w:r>
            <w:r>
              <w:rPr>
                <w:noProof/>
              </w:rPr>
              <w:t>vaikutusta varten älykkäässä tuotantoympäristössä. Hankkeissa on varmistettava, että noudatetaan teknisiä ohjeita ”ei merkittävää haittaa” (2021/C58/01), valitsemattomia ja rahoittamattomia toimia sekä asiaankuuluvaa EU:n ja kansallista ympäristölainsäädän</w:t>
            </w:r>
            <w:r>
              <w:rPr>
                <w:noProof/>
              </w:rPr>
              <w:t>töä. Hankkeet koskevat:</w:t>
            </w:r>
            <w:r>
              <w:rPr>
                <w:noProof/>
                <w:shd w:val="clear" w:color="auto" w:fill="E6E6E6"/>
              </w:rPr>
              <w:br/>
            </w:r>
            <w:r>
              <w:rPr>
                <w:noProof/>
              </w:rPr>
              <w:t>komponenttien ja alustojen kehittäminen sähköajoneuvoja, ladattavia hybridiajoneuvoja ja vetyajoneuvoja varten</w:t>
            </w:r>
            <w:r>
              <w:rPr>
                <w:noProof/>
                <w:shd w:val="clear" w:color="auto" w:fill="E6E6E6"/>
              </w:rPr>
              <w:br/>
              <w:t xml:space="preserve"> </w:t>
            </w:r>
            <w:r>
              <w:rPr>
                <w:noProof/>
              </w:rPr>
              <w:t xml:space="preserve">autonominen ajaminen ja verkottunut liikkuvuus, uusien laitteistojen ja ohjelmistojen arkkitehtuurin kehittäminen </w:t>
            </w:r>
            <w:r>
              <w:rPr>
                <w:noProof/>
                <w:shd w:val="clear" w:color="auto" w:fill="E6E6E6"/>
              </w:rPr>
              <w:br/>
              <w:t xml:space="preserve"> </w:t>
            </w:r>
            <w:r>
              <w:rPr>
                <w:noProof/>
              </w:rPr>
              <w:t>— sä</w:t>
            </w:r>
            <w:r>
              <w:rPr>
                <w:noProof/>
              </w:rPr>
              <w:t>hköajoneuvojen, ladattavien hybridiajoneuvojen ja vetyajoneuvojen komponenttien ja järjestelmien tuotantoalueiden mukauttaminen.</w:t>
            </w:r>
            <w:r>
              <w:rPr>
                <w:noProof/>
                <w:shd w:val="clear" w:color="auto" w:fill="E6E6E6"/>
              </w:rPr>
              <w:br/>
            </w:r>
            <w:r>
              <w:rPr>
                <w:noProof/>
              </w:rPr>
              <w:t>Hankkeita toteuttavat 3–8 yrityksen yhteenliittymät (vähintään yhden on oltava pk-yritys), joiden kesto on enintään kolme vuott</w:t>
            </w:r>
            <w:r>
              <w:rPr>
                <w:noProof/>
              </w:rPr>
              <w:t>a ja joiden budjetti on vähintään 5000000 euroa.</w:t>
            </w:r>
          </w:p>
        </w:tc>
      </w:tr>
      <w:tr w:rsidR="000E48CE" w14:paraId="7E794B6F" w14:textId="77777777">
        <w:trPr>
          <w:trHeight w:val="309"/>
        </w:trPr>
        <w:tc>
          <w:tcPr>
            <w:tcW w:w="701" w:type="dxa"/>
            <w:shd w:val="clear" w:color="auto" w:fill="C6EFCE"/>
            <w:noWrap/>
          </w:tcPr>
          <w:p w14:paraId="44CD1635" w14:textId="370ADEC1" w:rsidR="000E48CE" w:rsidRDefault="00FF4C4E">
            <w:pPr>
              <w:pStyle w:val="P68B1DB1-Normal13"/>
              <w:spacing w:after="0" w:line="240" w:lineRule="auto"/>
              <w:jc w:val="center"/>
              <w:rPr>
                <w:rFonts w:cs="Times New Roman"/>
                <w:noProof/>
              </w:rPr>
            </w:pPr>
            <w:r>
              <w:rPr>
                <w:noProof/>
              </w:rPr>
              <w:t>461</w:t>
            </w:r>
          </w:p>
        </w:tc>
        <w:tc>
          <w:tcPr>
            <w:tcW w:w="729" w:type="dxa"/>
            <w:shd w:val="clear" w:color="auto" w:fill="C6EFCE"/>
            <w:noWrap/>
          </w:tcPr>
          <w:p w14:paraId="0AD9C0DB" w14:textId="371062F6" w:rsidR="000E48CE" w:rsidRDefault="00FF4C4E">
            <w:pPr>
              <w:pStyle w:val="P68B1DB1-Normal13"/>
              <w:spacing w:after="0" w:line="240" w:lineRule="auto"/>
              <w:jc w:val="center"/>
              <w:rPr>
                <w:rFonts w:cs="Times New Roman"/>
                <w:noProof/>
              </w:rPr>
            </w:pPr>
            <w:r>
              <w:rPr>
                <w:noProof/>
              </w:rPr>
              <w:t>C17.I9</w:t>
            </w:r>
          </w:p>
        </w:tc>
        <w:tc>
          <w:tcPr>
            <w:tcW w:w="609" w:type="dxa"/>
            <w:shd w:val="clear" w:color="auto" w:fill="C6EFCE"/>
            <w:noWrap/>
          </w:tcPr>
          <w:p w14:paraId="5EC83D9D" w14:textId="0AB150D6" w:rsidR="000E48CE" w:rsidRDefault="00FF4C4E">
            <w:pPr>
              <w:pStyle w:val="P68B1DB1-Normal13"/>
              <w:spacing w:after="0" w:line="240" w:lineRule="auto"/>
              <w:jc w:val="center"/>
              <w:rPr>
                <w:rFonts w:cs="Times New Roman"/>
                <w:noProof/>
              </w:rPr>
            </w:pPr>
            <w:r>
              <w:rPr>
                <w:noProof/>
              </w:rPr>
              <w:t>M</w:t>
            </w:r>
          </w:p>
        </w:tc>
        <w:tc>
          <w:tcPr>
            <w:tcW w:w="2039" w:type="dxa"/>
            <w:shd w:val="clear" w:color="auto" w:fill="C6EFCE"/>
            <w:noWrap/>
          </w:tcPr>
          <w:p w14:paraId="42F0A8BF" w14:textId="4F76D092" w:rsidR="000E48CE" w:rsidRDefault="00FF4C4E">
            <w:pPr>
              <w:pStyle w:val="P68B1DB1-Normal13"/>
              <w:spacing w:after="0" w:line="240" w:lineRule="auto"/>
              <w:rPr>
                <w:rFonts w:cs="Times New Roman"/>
                <w:noProof/>
              </w:rPr>
            </w:pPr>
            <w:r>
              <w:rPr>
                <w:noProof/>
              </w:rPr>
              <w:t xml:space="preserve">Ilmailu- ja avaruusalan T &amp; K &amp; I-kilpailujen palkintojen julkaiseminen. </w:t>
            </w:r>
          </w:p>
        </w:tc>
        <w:tc>
          <w:tcPr>
            <w:tcW w:w="993" w:type="dxa"/>
            <w:shd w:val="clear" w:color="auto" w:fill="C6EFCE"/>
            <w:noWrap/>
          </w:tcPr>
          <w:p w14:paraId="258672C4" w14:textId="1C2C5F09" w:rsidR="000E48CE" w:rsidRDefault="00FF4C4E">
            <w:pPr>
              <w:pStyle w:val="P68B1DB1-Normal13"/>
              <w:spacing w:after="0" w:line="240" w:lineRule="auto"/>
              <w:jc w:val="center"/>
              <w:rPr>
                <w:rFonts w:cs="Times New Roman"/>
                <w:noProof/>
              </w:rPr>
            </w:pPr>
            <w:r>
              <w:rPr>
                <w:noProof/>
              </w:rPr>
              <w:t>Julkaiseminen EUVL:ssä</w:t>
            </w:r>
          </w:p>
        </w:tc>
        <w:tc>
          <w:tcPr>
            <w:tcW w:w="850" w:type="dxa"/>
            <w:shd w:val="clear" w:color="auto" w:fill="C6EFCE"/>
            <w:noWrap/>
          </w:tcPr>
          <w:p w14:paraId="31ED98B4" w14:textId="77777777" w:rsidR="000E48CE" w:rsidRDefault="000E48CE">
            <w:pPr>
              <w:spacing w:after="0" w:line="240" w:lineRule="auto"/>
              <w:jc w:val="center"/>
              <w:rPr>
                <w:rFonts w:ascii="Times New Roman" w:hAnsi="Times New Roman" w:cs="Times New Roman"/>
                <w:noProof/>
                <w:sz w:val="18"/>
              </w:rPr>
            </w:pPr>
          </w:p>
        </w:tc>
        <w:tc>
          <w:tcPr>
            <w:tcW w:w="709" w:type="dxa"/>
            <w:shd w:val="clear" w:color="auto" w:fill="C6EFCE"/>
          </w:tcPr>
          <w:p w14:paraId="03080085"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65089A99" w14:textId="77777777"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tcPr>
          <w:p w14:paraId="161FC6D7" w14:textId="6D46A89E"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tcPr>
          <w:p w14:paraId="5C1BD5C2" w14:textId="4ABFB91F" w:rsidR="000E48CE" w:rsidRDefault="00FF4C4E">
            <w:pPr>
              <w:pStyle w:val="P68B1DB1-Normal13"/>
              <w:spacing w:after="0" w:line="240" w:lineRule="auto"/>
              <w:jc w:val="center"/>
              <w:rPr>
                <w:rFonts w:cs="Times New Roman"/>
                <w:noProof/>
              </w:rPr>
            </w:pPr>
            <w:r>
              <w:rPr>
                <w:noProof/>
              </w:rPr>
              <w:t>2024</w:t>
            </w:r>
          </w:p>
        </w:tc>
        <w:tc>
          <w:tcPr>
            <w:tcW w:w="5812" w:type="dxa"/>
            <w:shd w:val="clear" w:color="auto" w:fill="C6EFCE"/>
            <w:noWrap/>
          </w:tcPr>
          <w:p w14:paraId="32E46166" w14:textId="03DCF3FE" w:rsidR="000E48CE" w:rsidRDefault="00FF4C4E">
            <w:pPr>
              <w:pStyle w:val="P68B1DB1-Normal13"/>
              <w:spacing w:after="0" w:line="240" w:lineRule="auto"/>
              <w:rPr>
                <w:rFonts w:cs="Times New Roman"/>
                <w:noProof/>
              </w:rPr>
            </w:pPr>
            <w:r>
              <w:rPr>
                <w:noProof/>
              </w:rPr>
              <w:t xml:space="preserve">Euroopan unionin virallisessa lehdessä julkaistaan 70000000 euron avustus, joka </w:t>
            </w:r>
            <w:r>
              <w:rPr>
                <w:noProof/>
              </w:rPr>
              <w:t>liittyy avaruusteknologiasuunnitelmaan kuuluviin ilmailu- ja avaruusalan T &amp; K &amp; I-hankkeisiin. Tähän investointiin liittyvien hankkeiden arvioinnissa on varmistettava, että noudatetaan toimenpiteen kuvauksessa esitettyjä teknisiä ohjeita ”ei merkittävää h</w:t>
            </w:r>
            <w:r>
              <w:rPr>
                <w:noProof/>
              </w:rPr>
              <w:t>aittaa” (2021/C58/01).</w:t>
            </w:r>
          </w:p>
        </w:tc>
      </w:tr>
      <w:tr w:rsidR="000E48CE" w14:paraId="4C91D304" w14:textId="77777777">
        <w:trPr>
          <w:trHeight w:val="309"/>
        </w:trPr>
        <w:tc>
          <w:tcPr>
            <w:tcW w:w="701" w:type="dxa"/>
            <w:shd w:val="clear" w:color="auto" w:fill="C6EFCE"/>
            <w:noWrap/>
          </w:tcPr>
          <w:p w14:paraId="5EEF2F04" w14:textId="77777777" w:rsidR="000E48CE" w:rsidRDefault="00FF4C4E">
            <w:pPr>
              <w:pStyle w:val="P68B1DB1-Normal13"/>
              <w:spacing w:after="0" w:line="240" w:lineRule="auto"/>
              <w:jc w:val="center"/>
              <w:rPr>
                <w:rFonts w:eastAsia="Times New Roman" w:cs="Times New Roman"/>
                <w:noProof/>
              </w:rPr>
            </w:pPr>
            <w:r>
              <w:rPr>
                <w:noProof/>
              </w:rPr>
              <w:t>271</w:t>
            </w:r>
          </w:p>
        </w:tc>
        <w:tc>
          <w:tcPr>
            <w:tcW w:w="729" w:type="dxa"/>
            <w:shd w:val="clear" w:color="auto" w:fill="C6EFCE"/>
            <w:noWrap/>
          </w:tcPr>
          <w:p w14:paraId="18EB9DAC" w14:textId="77777777" w:rsidR="000E48CE" w:rsidRDefault="00FF4C4E">
            <w:pPr>
              <w:pStyle w:val="P68B1DB1-Normal13"/>
              <w:spacing w:after="0" w:line="240" w:lineRule="auto"/>
              <w:jc w:val="center"/>
              <w:rPr>
                <w:rFonts w:eastAsia="Times New Roman" w:cs="Times New Roman"/>
                <w:noProof/>
              </w:rPr>
            </w:pPr>
            <w:r>
              <w:rPr>
                <w:noProof/>
              </w:rPr>
              <w:t>C17.I9</w:t>
            </w:r>
          </w:p>
        </w:tc>
        <w:tc>
          <w:tcPr>
            <w:tcW w:w="609" w:type="dxa"/>
            <w:shd w:val="clear" w:color="auto" w:fill="C6EFCE"/>
            <w:noWrap/>
          </w:tcPr>
          <w:p w14:paraId="220C9492"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57AC6AA5" w14:textId="77777777" w:rsidR="000E48CE" w:rsidRDefault="00FF4C4E">
            <w:pPr>
              <w:pStyle w:val="P68B1DB1-Normal13"/>
              <w:spacing w:after="0" w:line="240" w:lineRule="auto"/>
              <w:rPr>
                <w:rFonts w:eastAsia="Times New Roman" w:cs="Times New Roman"/>
                <w:noProof/>
              </w:rPr>
            </w:pPr>
            <w:r>
              <w:rPr>
                <w:noProof/>
              </w:rPr>
              <w:t xml:space="preserve">Tuki ilmailu- ja avaruusalan T &amp; K &amp; Innovaatiohankkeille, joissa keskitytään vähäpäästöisiin ja päästöttömiin päästöihin  </w:t>
            </w:r>
          </w:p>
        </w:tc>
        <w:tc>
          <w:tcPr>
            <w:tcW w:w="993" w:type="dxa"/>
            <w:shd w:val="clear" w:color="auto" w:fill="C6EFCE"/>
            <w:noWrap/>
          </w:tcPr>
          <w:p w14:paraId="0C843255"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468B9A0E"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tcPr>
          <w:p w14:paraId="7D27FAE7"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4F61836B" w14:textId="08600B21" w:rsidR="000E48CE" w:rsidRDefault="00FF4C4E">
            <w:pPr>
              <w:pStyle w:val="P68B1DB1-Normal13"/>
              <w:spacing w:after="0" w:line="240" w:lineRule="auto"/>
              <w:jc w:val="center"/>
              <w:rPr>
                <w:rFonts w:cs="Times New Roman"/>
                <w:noProof/>
              </w:rPr>
            </w:pPr>
            <w:r>
              <w:rPr>
                <w:noProof/>
              </w:rPr>
              <w:t>65</w:t>
            </w:r>
          </w:p>
        </w:tc>
        <w:tc>
          <w:tcPr>
            <w:tcW w:w="567" w:type="dxa"/>
            <w:shd w:val="clear" w:color="auto" w:fill="C6EFCE"/>
          </w:tcPr>
          <w:p w14:paraId="04249646" w14:textId="703C2B99"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tcPr>
          <w:p w14:paraId="62B80835" w14:textId="02A36987" w:rsidR="000E48CE" w:rsidRDefault="00FF4C4E">
            <w:pPr>
              <w:pStyle w:val="P68B1DB1-Normal13"/>
              <w:spacing w:after="0" w:line="240" w:lineRule="auto"/>
              <w:jc w:val="center"/>
              <w:rPr>
                <w:rFonts w:cs="Times New Roman"/>
                <w:noProof/>
              </w:rPr>
            </w:pPr>
            <w:r>
              <w:rPr>
                <w:noProof/>
              </w:rPr>
              <w:t>2023</w:t>
            </w:r>
          </w:p>
        </w:tc>
        <w:tc>
          <w:tcPr>
            <w:tcW w:w="5812" w:type="dxa"/>
            <w:shd w:val="clear" w:color="auto" w:fill="C6EFCE"/>
            <w:noWrap/>
          </w:tcPr>
          <w:p w14:paraId="037C2486" w14:textId="3C2608BA" w:rsidR="000E48CE" w:rsidRDefault="00FF4C4E">
            <w:pPr>
              <w:pStyle w:val="P68B1DB1-Normal13"/>
              <w:spacing w:after="0" w:line="240" w:lineRule="auto"/>
              <w:rPr>
                <w:rFonts w:eastAsia="Times New Roman" w:cs="Times New Roman"/>
                <w:noProof/>
              </w:rPr>
            </w:pPr>
            <w:r>
              <w:rPr>
                <w:noProof/>
              </w:rPr>
              <w:t xml:space="preserve">Vähintään 65 yritykselle on myönnetty ilmailu- ja avaruusalan T &amp; K &amp; I-hankkeita, joissa keskitytään vähäpäästöisiin ja päästöttömiin päästöihin, mukaan lukien ilmailu- ja avaruusteknologiaan ja ilmailuun liittyvät investoinnit, </w:t>
            </w:r>
            <w:r>
              <w:rPr>
                <w:i/>
                <w:noProof/>
              </w:rPr>
              <w:t>Aeronáutica</w:t>
            </w:r>
            <w:r>
              <w:rPr>
                <w:noProof/>
              </w:rPr>
              <w:t xml:space="preserve"> -suunnitelman </w:t>
            </w:r>
            <w:r>
              <w:rPr>
                <w:noProof/>
              </w:rPr>
              <w:t xml:space="preserve">tuella. Hankkeiden toteuttamisesta vastaavat 3–6 yrityksen yhteenliittymät (vähintään yhden on oltava pk-yritys), joiden kesto on enintään kolme vuotta. Tähän investointiin liittyvien hankkeiden arvioinnissa on varmistettava, että noudatetaan toimenpiteen </w:t>
            </w:r>
            <w:r>
              <w:rPr>
                <w:noProof/>
              </w:rPr>
              <w:t>kuvauksessa esitettyjä teknisiä ohjeita ”ei merkittävää haittaa” (2021/C58/01).</w:t>
            </w:r>
          </w:p>
        </w:tc>
      </w:tr>
      <w:tr w:rsidR="000E48CE" w14:paraId="3331D4F9" w14:textId="77777777">
        <w:trPr>
          <w:trHeight w:val="309"/>
        </w:trPr>
        <w:tc>
          <w:tcPr>
            <w:tcW w:w="701" w:type="dxa"/>
            <w:shd w:val="clear" w:color="auto" w:fill="C6EFCE"/>
            <w:noWrap/>
          </w:tcPr>
          <w:p w14:paraId="11590BFC" w14:textId="77777777" w:rsidR="000E48CE" w:rsidRDefault="00FF4C4E">
            <w:pPr>
              <w:pStyle w:val="P68B1DB1-Normal13"/>
              <w:spacing w:after="0" w:line="240" w:lineRule="auto"/>
              <w:jc w:val="center"/>
              <w:rPr>
                <w:rFonts w:eastAsia="Times New Roman" w:cs="Times New Roman"/>
                <w:noProof/>
              </w:rPr>
            </w:pPr>
            <w:r>
              <w:rPr>
                <w:noProof/>
              </w:rPr>
              <w:t>272</w:t>
            </w:r>
          </w:p>
        </w:tc>
        <w:tc>
          <w:tcPr>
            <w:tcW w:w="729" w:type="dxa"/>
            <w:shd w:val="clear" w:color="auto" w:fill="C6EFCE"/>
            <w:noWrap/>
          </w:tcPr>
          <w:p w14:paraId="202D799F" w14:textId="77777777" w:rsidR="000E48CE" w:rsidRDefault="00FF4C4E">
            <w:pPr>
              <w:pStyle w:val="P68B1DB1-Normal13"/>
              <w:spacing w:after="0" w:line="240" w:lineRule="auto"/>
              <w:jc w:val="center"/>
              <w:rPr>
                <w:rFonts w:eastAsia="Times New Roman" w:cs="Times New Roman"/>
                <w:noProof/>
              </w:rPr>
            </w:pPr>
            <w:r>
              <w:rPr>
                <w:noProof/>
              </w:rPr>
              <w:t>C17.I9</w:t>
            </w:r>
          </w:p>
        </w:tc>
        <w:tc>
          <w:tcPr>
            <w:tcW w:w="609" w:type="dxa"/>
            <w:shd w:val="clear" w:color="auto" w:fill="C6EFCE"/>
            <w:noWrap/>
          </w:tcPr>
          <w:p w14:paraId="0B9F8FA6" w14:textId="77777777" w:rsidR="000E48CE" w:rsidRDefault="00FF4C4E">
            <w:pPr>
              <w:pStyle w:val="P68B1DB1-Normal13"/>
              <w:spacing w:after="0" w:line="240" w:lineRule="auto"/>
              <w:jc w:val="center"/>
              <w:rPr>
                <w:rFonts w:eastAsia="Times New Roman" w:cs="Times New Roman"/>
                <w:noProof/>
              </w:rPr>
            </w:pPr>
            <w:r>
              <w:rPr>
                <w:noProof/>
              </w:rPr>
              <w:t>T</w:t>
            </w:r>
          </w:p>
        </w:tc>
        <w:tc>
          <w:tcPr>
            <w:tcW w:w="2039" w:type="dxa"/>
            <w:shd w:val="clear" w:color="auto" w:fill="C6EFCE"/>
            <w:noWrap/>
          </w:tcPr>
          <w:p w14:paraId="03568057" w14:textId="77777777" w:rsidR="000E48CE" w:rsidRDefault="00FF4C4E">
            <w:pPr>
              <w:pStyle w:val="P68B1DB1-Normal13"/>
              <w:spacing w:after="0" w:line="240" w:lineRule="auto"/>
              <w:rPr>
                <w:rFonts w:cs="Times New Roman"/>
                <w:noProof/>
              </w:rPr>
            </w:pPr>
            <w:r>
              <w:rPr>
                <w:noProof/>
              </w:rPr>
              <w:t xml:space="preserve">Ilmailu- ja avaruusalan T &amp; K &amp; Innovaatiohankkeiden loppuun saattaminen keskittyen vähäpäästöisiin ja päästöttömiin </w:t>
            </w:r>
          </w:p>
        </w:tc>
        <w:tc>
          <w:tcPr>
            <w:tcW w:w="993" w:type="dxa"/>
            <w:shd w:val="clear" w:color="auto" w:fill="C6EFCE"/>
            <w:noWrap/>
          </w:tcPr>
          <w:p w14:paraId="28864374"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41D6754F"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tcPr>
          <w:p w14:paraId="7A188D08"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4E5254D1" w14:textId="1DEAB3CF" w:rsidR="000E48CE" w:rsidRDefault="00FF4C4E">
            <w:pPr>
              <w:pStyle w:val="P68B1DB1-Normal13"/>
              <w:spacing w:after="0" w:line="240" w:lineRule="auto"/>
              <w:jc w:val="center"/>
              <w:rPr>
                <w:rFonts w:cs="Times New Roman"/>
                <w:noProof/>
              </w:rPr>
            </w:pPr>
            <w:r>
              <w:rPr>
                <w:noProof/>
              </w:rPr>
              <w:t>81</w:t>
            </w:r>
          </w:p>
        </w:tc>
        <w:tc>
          <w:tcPr>
            <w:tcW w:w="567" w:type="dxa"/>
            <w:shd w:val="clear" w:color="auto" w:fill="C6EFCE"/>
          </w:tcPr>
          <w:p w14:paraId="5BA7434F" w14:textId="4F06AE1C" w:rsidR="000E48CE" w:rsidRDefault="00FF4C4E">
            <w:pPr>
              <w:pStyle w:val="P68B1DB1-Normal13"/>
              <w:spacing w:after="0" w:line="240" w:lineRule="auto"/>
              <w:jc w:val="center"/>
              <w:rPr>
                <w:rFonts w:cs="Times New Roman"/>
                <w:noProof/>
              </w:rPr>
            </w:pPr>
            <w:r>
              <w:rPr>
                <w:noProof/>
              </w:rPr>
              <w:t>KOLMAS VUOSINELJÄNNES</w:t>
            </w:r>
          </w:p>
        </w:tc>
        <w:tc>
          <w:tcPr>
            <w:tcW w:w="567" w:type="dxa"/>
            <w:shd w:val="clear" w:color="auto" w:fill="C6EFCE"/>
          </w:tcPr>
          <w:p w14:paraId="1B7F1029" w14:textId="69430FB6" w:rsidR="000E48CE" w:rsidRDefault="00FF4C4E">
            <w:pPr>
              <w:pStyle w:val="P68B1DB1-Normal13"/>
              <w:spacing w:after="0" w:line="240" w:lineRule="auto"/>
              <w:jc w:val="center"/>
              <w:rPr>
                <w:rFonts w:cs="Times New Roman"/>
                <w:noProof/>
              </w:rPr>
            </w:pPr>
            <w:r>
              <w:rPr>
                <w:noProof/>
              </w:rPr>
              <w:t>2026</w:t>
            </w:r>
          </w:p>
        </w:tc>
        <w:tc>
          <w:tcPr>
            <w:tcW w:w="5812" w:type="dxa"/>
            <w:shd w:val="clear" w:color="auto" w:fill="C6EFCE"/>
            <w:noWrap/>
          </w:tcPr>
          <w:p w14:paraId="30908457" w14:textId="40DCAE57" w:rsidR="000E48CE" w:rsidRDefault="00FF4C4E">
            <w:pPr>
              <w:pStyle w:val="P68B1DB1-Normal13"/>
              <w:spacing w:after="0" w:line="240" w:lineRule="auto"/>
              <w:rPr>
                <w:rFonts w:eastAsia="Times New Roman" w:cs="Times New Roman"/>
                <w:noProof/>
              </w:rPr>
            </w:pPr>
            <w:r>
              <w:rPr>
                <w:noProof/>
              </w:rPr>
              <w:t xml:space="preserve">Vähintään 81 yritystä on saattanut päätökseen ilmailu- ja avaruusalan T &amp; K &amp; I-hankkeensa, joissa keskitytään vähäpäästöisiin ja päästöttömiin päästöihin, mukaan lukien investoinnit ilmailu- ja avaruusteknologioihin ja ilmailuun, </w:t>
            </w:r>
            <w:r>
              <w:rPr>
                <w:i/>
                <w:noProof/>
              </w:rPr>
              <w:t>Aeronáutica</w:t>
            </w:r>
            <w:r>
              <w:rPr>
                <w:noProof/>
              </w:rPr>
              <w:t xml:space="preserve"> -suunnitelman</w:t>
            </w:r>
            <w:r>
              <w:rPr>
                <w:noProof/>
              </w:rPr>
              <w:t xml:space="preserve"> tuella ja toteuttamaan esikaupallisia julkisia hankintoja teknologian ja innovoinnin kehittämiseksi maanhavainnointisatelliittien alalla. Tähän investointiin liittyvien hankkeiden arvioinnissa on varmistettava, että noudatetaan toimenpiteen kuvauksessa es</w:t>
            </w:r>
            <w:r>
              <w:rPr>
                <w:noProof/>
              </w:rPr>
              <w:t>itettyjä teknisiä ohjeita ”ei merkittävää haittaa” (2021/C58/01).</w:t>
            </w:r>
          </w:p>
        </w:tc>
      </w:tr>
      <w:tr w:rsidR="000E48CE" w14:paraId="4BB88DF9" w14:textId="77777777">
        <w:trPr>
          <w:trHeight w:val="309"/>
        </w:trPr>
        <w:tc>
          <w:tcPr>
            <w:tcW w:w="701" w:type="dxa"/>
            <w:shd w:val="clear" w:color="auto" w:fill="C6EFCE"/>
            <w:noWrap/>
          </w:tcPr>
          <w:p w14:paraId="48198A8D" w14:textId="16E612B0" w:rsidR="000E48CE" w:rsidRDefault="00FF4C4E">
            <w:pPr>
              <w:pStyle w:val="P68B1DB1-Normal13"/>
              <w:spacing w:after="0" w:line="240" w:lineRule="auto"/>
              <w:jc w:val="center"/>
              <w:rPr>
                <w:rFonts w:cs="Times New Roman"/>
                <w:noProof/>
              </w:rPr>
            </w:pPr>
            <w:r>
              <w:rPr>
                <w:noProof/>
              </w:rPr>
              <w:t>462</w:t>
            </w:r>
          </w:p>
        </w:tc>
        <w:tc>
          <w:tcPr>
            <w:tcW w:w="729" w:type="dxa"/>
            <w:shd w:val="clear" w:color="auto" w:fill="C6EFCE"/>
            <w:noWrap/>
          </w:tcPr>
          <w:p w14:paraId="16E5289A" w14:textId="77777777" w:rsidR="000E48CE" w:rsidRDefault="00FF4C4E">
            <w:pPr>
              <w:pStyle w:val="P68B1DB1-Normal13"/>
              <w:spacing w:after="0" w:line="240" w:lineRule="auto"/>
              <w:jc w:val="center"/>
              <w:rPr>
                <w:rFonts w:cs="Times New Roman"/>
                <w:noProof/>
              </w:rPr>
            </w:pPr>
            <w:r>
              <w:rPr>
                <w:noProof/>
              </w:rPr>
              <w:t>C17.I9</w:t>
            </w:r>
          </w:p>
        </w:tc>
        <w:tc>
          <w:tcPr>
            <w:tcW w:w="609" w:type="dxa"/>
            <w:shd w:val="clear" w:color="auto" w:fill="C6EFCE"/>
            <w:noWrap/>
          </w:tcPr>
          <w:p w14:paraId="70536C91" w14:textId="77777777" w:rsidR="000E48CE" w:rsidRDefault="00FF4C4E">
            <w:pPr>
              <w:pStyle w:val="P68B1DB1-Normal13"/>
              <w:spacing w:after="0" w:line="240" w:lineRule="auto"/>
              <w:jc w:val="center"/>
              <w:rPr>
                <w:rFonts w:cs="Times New Roman"/>
                <w:noProof/>
              </w:rPr>
            </w:pPr>
            <w:r>
              <w:rPr>
                <w:noProof/>
              </w:rPr>
              <w:t>T</w:t>
            </w:r>
          </w:p>
        </w:tc>
        <w:tc>
          <w:tcPr>
            <w:tcW w:w="2039" w:type="dxa"/>
            <w:shd w:val="clear" w:color="auto" w:fill="C6EFCE"/>
            <w:noWrap/>
          </w:tcPr>
          <w:p w14:paraId="4B78E199" w14:textId="77777777" w:rsidR="000E48CE" w:rsidRDefault="00FF4C4E">
            <w:pPr>
              <w:pStyle w:val="P68B1DB1-Normal13"/>
              <w:spacing w:after="0" w:line="240" w:lineRule="auto"/>
              <w:rPr>
                <w:rFonts w:cs="Times New Roman"/>
                <w:noProof/>
              </w:rPr>
            </w:pPr>
            <w:r>
              <w:rPr>
                <w:noProof/>
              </w:rPr>
              <w:t>Varojen maksaminen PERTE Aerospace -ohjelman hankkeille.</w:t>
            </w:r>
          </w:p>
        </w:tc>
        <w:tc>
          <w:tcPr>
            <w:tcW w:w="993" w:type="dxa"/>
            <w:shd w:val="clear" w:color="auto" w:fill="C6EFCE"/>
            <w:noWrap/>
          </w:tcPr>
          <w:p w14:paraId="77738C36" w14:textId="77777777" w:rsidR="000E48CE" w:rsidRDefault="00FF4C4E">
            <w:pPr>
              <w:pStyle w:val="P68B1DB1-Normal13"/>
              <w:spacing w:after="0" w:line="240" w:lineRule="auto"/>
              <w:jc w:val="center"/>
              <w:rPr>
                <w:rFonts w:cs="Times New Roman"/>
                <w:noProof/>
              </w:rPr>
            </w:pPr>
            <w:r>
              <w:rPr>
                <w:noProof/>
              </w:rPr>
              <w:t>—</w:t>
            </w:r>
          </w:p>
        </w:tc>
        <w:tc>
          <w:tcPr>
            <w:tcW w:w="850" w:type="dxa"/>
            <w:shd w:val="clear" w:color="auto" w:fill="C6EFCE"/>
            <w:noWrap/>
          </w:tcPr>
          <w:p w14:paraId="26D6E775" w14:textId="77777777" w:rsidR="000E48CE" w:rsidRDefault="00FF4C4E">
            <w:pPr>
              <w:pStyle w:val="P68B1DB1-Normal13"/>
              <w:spacing w:after="0" w:line="240" w:lineRule="auto"/>
              <w:jc w:val="center"/>
              <w:rPr>
                <w:rFonts w:cs="Times New Roman"/>
                <w:noProof/>
              </w:rPr>
            </w:pPr>
            <w:r>
              <w:rPr>
                <w:noProof/>
              </w:rPr>
              <w:t>Miljoonaa euroa</w:t>
            </w:r>
          </w:p>
        </w:tc>
        <w:tc>
          <w:tcPr>
            <w:tcW w:w="709" w:type="dxa"/>
            <w:shd w:val="clear" w:color="auto" w:fill="C6EFCE"/>
          </w:tcPr>
          <w:p w14:paraId="17EB82ED" w14:textId="77777777" w:rsidR="000E48CE" w:rsidRDefault="000E48CE">
            <w:pPr>
              <w:spacing w:after="0" w:line="240" w:lineRule="auto"/>
              <w:rPr>
                <w:rFonts w:ascii="Times New Roman" w:hAnsi="Times New Roman" w:cs="Times New Roman"/>
                <w:noProof/>
                <w:sz w:val="18"/>
              </w:rPr>
            </w:pPr>
          </w:p>
        </w:tc>
        <w:tc>
          <w:tcPr>
            <w:tcW w:w="850" w:type="dxa"/>
            <w:shd w:val="clear" w:color="auto" w:fill="C6EFCE"/>
          </w:tcPr>
          <w:p w14:paraId="53D0F647" w14:textId="4568353C" w:rsidR="000E48CE" w:rsidRDefault="00FF4C4E">
            <w:pPr>
              <w:pStyle w:val="P68B1DB1-Normal13"/>
              <w:spacing w:after="0" w:line="240" w:lineRule="auto"/>
              <w:jc w:val="center"/>
              <w:rPr>
                <w:rFonts w:cs="Times New Roman"/>
                <w:noProof/>
              </w:rPr>
            </w:pPr>
            <w:r>
              <w:rPr>
                <w:noProof/>
              </w:rPr>
              <w:t>90</w:t>
            </w:r>
          </w:p>
        </w:tc>
        <w:tc>
          <w:tcPr>
            <w:tcW w:w="567" w:type="dxa"/>
            <w:shd w:val="clear" w:color="auto" w:fill="C6EFCE"/>
          </w:tcPr>
          <w:p w14:paraId="4F60E5C8" w14:textId="09105D1E" w:rsidR="000E48CE" w:rsidRDefault="00FF4C4E">
            <w:pPr>
              <w:pStyle w:val="P68B1DB1-Normal13"/>
              <w:spacing w:after="0" w:line="240" w:lineRule="auto"/>
              <w:jc w:val="center"/>
              <w:rPr>
                <w:rFonts w:eastAsia="Times New Roman" w:cs="Times New Roman"/>
                <w:noProof/>
              </w:rPr>
            </w:pPr>
            <w:r>
              <w:rPr>
                <w:noProof/>
              </w:rPr>
              <w:t>KOLMAS VUOSINELJÄNNES</w:t>
            </w:r>
          </w:p>
        </w:tc>
        <w:tc>
          <w:tcPr>
            <w:tcW w:w="567" w:type="dxa"/>
            <w:shd w:val="clear" w:color="auto" w:fill="C6EFCE"/>
          </w:tcPr>
          <w:p w14:paraId="7B76BA95" w14:textId="326D268E" w:rsidR="000E48CE" w:rsidRDefault="00FF4C4E">
            <w:pPr>
              <w:pStyle w:val="P68B1DB1-Normal13"/>
              <w:spacing w:after="0" w:line="240" w:lineRule="auto"/>
              <w:jc w:val="center"/>
              <w:rPr>
                <w:rFonts w:eastAsia="Times New Roman" w:cs="Times New Roman"/>
                <w:noProof/>
              </w:rPr>
            </w:pPr>
            <w:r>
              <w:rPr>
                <w:noProof/>
              </w:rPr>
              <w:t>2026</w:t>
            </w:r>
          </w:p>
        </w:tc>
        <w:tc>
          <w:tcPr>
            <w:tcW w:w="5812" w:type="dxa"/>
            <w:shd w:val="clear" w:color="auto" w:fill="C6EFCE"/>
            <w:noWrap/>
          </w:tcPr>
          <w:p w14:paraId="1B815578" w14:textId="3E1966CD" w:rsidR="000E48CE" w:rsidRDefault="00FF4C4E">
            <w:pPr>
              <w:pStyle w:val="P68B1DB1-Normal13"/>
              <w:spacing w:after="0" w:line="240" w:lineRule="auto"/>
              <w:rPr>
                <w:rFonts w:eastAsia="Times New Roman" w:cs="Times New Roman"/>
                <w:noProof/>
              </w:rPr>
            </w:pPr>
            <w:r>
              <w:rPr>
                <w:noProof/>
              </w:rPr>
              <w:t xml:space="preserve">Avaruusteknologiaohjelmasta maksetaan vähintään 90000000 euroa </w:t>
            </w:r>
            <w:r>
              <w:rPr>
                <w:noProof/>
              </w:rPr>
              <w:t>avustuksina ja lainoina, joita ei tarvitse maksaa takaisin T &amp; K &amp; Innovaatiohankkeisiin. Tähän investointiin liittyvien hankkeiden arvioinnissa on varmistettava, että noudatetaan toimenpiteen kuvauksessa esitettyjä teknisiä ohjeita ”ei merkittävää haittaa</w:t>
            </w:r>
            <w:r>
              <w:rPr>
                <w:noProof/>
              </w:rPr>
              <w:t>” (2021/C58/01).</w:t>
            </w:r>
          </w:p>
        </w:tc>
      </w:tr>
    </w:tbl>
    <w:p w14:paraId="022B57D6" w14:textId="77777777" w:rsidR="000E48CE" w:rsidRDefault="000E48CE">
      <w:pPr>
        <w:rPr>
          <w:rFonts w:ascii="Times New Roman" w:hAnsi="Times New Roman" w:cs="Times New Roman"/>
          <w:noProof/>
        </w:rPr>
        <w:sectPr w:rsidR="000E48CE" w:rsidSect="00EB7CC8">
          <w:headerReference w:type="even" r:id="rId354"/>
          <w:headerReference w:type="default" r:id="rId355"/>
          <w:footerReference w:type="even" r:id="rId356"/>
          <w:footerReference w:type="default" r:id="rId357"/>
          <w:headerReference w:type="first" r:id="rId358"/>
          <w:footerReference w:type="first" r:id="rId359"/>
          <w:pgSz w:w="16839" w:h="11907" w:orient="landscape"/>
          <w:pgMar w:top="1417" w:right="1134" w:bottom="1417" w:left="1134" w:header="709" w:footer="709" w:gutter="0"/>
          <w:cols w:space="720"/>
          <w:docGrid w:linePitch="360"/>
        </w:sectPr>
      </w:pPr>
    </w:p>
    <w:p w14:paraId="53D56011" w14:textId="77777777" w:rsidR="000E48CE" w:rsidRDefault="000E48CE">
      <w:pPr>
        <w:tabs>
          <w:tab w:val="left" w:pos="3733"/>
        </w:tabs>
        <w:rPr>
          <w:rFonts w:ascii="Times New Roman" w:hAnsi="Times New Roman" w:cs="Times New Roman"/>
          <w:noProof/>
        </w:rPr>
      </w:pPr>
    </w:p>
    <w:p w14:paraId="3BD35647" w14:textId="77777777" w:rsidR="000E48CE" w:rsidRDefault="00FF4C4E">
      <w:pPr>
        <w:pStyle w:val="P68B1DB1-Normal4"/>
        <w:ind w:firstLine="720"/>
        <w:rPr>
          <w:rFonts w:eastAsia="Times New Roman" w:cs="Times New Roman"/>
          <w:noProof/>
        </w:rPr>
      </w:pPr>
      <w:r>
        <w:rPr>
          <w:b/>
          <w:noProof/>
          <w:u w:val="single"/>
        </w:rPr>
        <w:t>Q.3</w:t>
      </w:r>
      <w:r>
        <w:rPr>
          <w:b/>
          <w:noProof/>
          <w:u w:val="single"/>
        </w:rPr>
        <w:tab/>
        <w:t>Lainatukeen tarkoitettujen investointien kuvaus</w:t>
      </w:r>
      <w:r>
        <w:rPr>
          <w:b/>
          <w:noProof/>
        </w:rPr>
        <w:t xml:space="preserve"> </w:t>
      </w:r>
      <w:r>
        <w:rPr>
          <w:noProof/>
        </w:rPr>
        <w:t xml:space="preserve"> </w:t>
      </w:r>
    </w:p>
    <w:p w14:paraId="35A1B411" w14:textId="16BD840E" w:rsidR="000E48CE" w:rsidRDefault="00FF4C4E">
      <w:pPr>
        <w:pStyle w:val="P68B1DB1-Normal6"/>
        <w:spacing w:before="120" w:after="120" w:line="240" w:lineRule="auto"/>
        <w:jc w:val="both"/>
        <w:rPr>
          <w:rFonts w:eastAsia="Times New Roman" w:cs="Times New Roman"/>
          <w:noProof/>
        </w:rPr>
      </w:pPr>
      <w:r>
        <w:rPr>
          <w:noProof/>
        </w:rPr>
        <w:t>Investointi 10 (C17.I10) – PERTE Health ja PERTE Aerospace -ohjelman lainatuki</w:t>
      </w:r>
    </w:p>
    <w:p w14:paraId="1785B497" w14:textId="77777777" w:rsidR="000E48CE" w:rsidRDefault="00FF4C4E">
      <w:pPr>
        <w:pStyle w:val="P68B1DB1-Normal4"/>
        <w:spacing w:after="0" w:line="240" w:lineRule="auto"/>
        <w:jc w:val="both"/>
        <w:rPr>
          <w:rFonts w:eastAsia="Times New Roman" w:cs="Times New Roman"/>
          <w:noProof/>
        </w:rPr>
      </w:pPr>
      <w:r>
        <w:rPr>
          <w:noProof/>
        </w:rPr>
        <w:t xml:space="preserve">Investointi koskee elpymis- ja </w:t>
      </w:r>
      <w:r>
        <w:rPr>
          <w:noProof/>
        </w:rPr>
        <w:t>palautumistukivälineen lainatuen käyttöä yksityisten investointien edistämiseen terveys- ja ilmailualalla PERTE Health- ja PERTE Aerospace -ohjelmien puitteissa.</w:t>
      </w:r>
    </w:p>
    <w:p w14:paraId="7F6DB21C" w14:textId="77777777" w:rsidR="000E48CE" w:rsidRDefault="000E48CE">
      <w:pPr>
        <w:spacing w:after="0" w:line="240" w:lineRule="auto"/>
        <w:jc w:val="both"/>
        <w:rPr>
          <w:rFonts w:ascii="Times New Roman" w:eastAsia="Times New Roman" w:hAnsi="Times New Roman" w:cs="Times New Roman"/>
          <w:noProof/>
          <w:sz w:val="24"/>
        </w:rPr>
      </w:pPr>
    </w:p>
    <w:p w14:paraId="2E56D149" w14:textId="3F173DF2" w:rsidR="000E48CE" w:rsidRDefault="00FF4C4E">
      <w:pPr>
        <w:pStyle w:val="P68B1DB1-Normal4"/>
        <w:spacing w:after="0" w:line="240" w:lineRule="auto"/>
        <w:jc w:val="both"/>
        <w:rPr>
          <w:rFonts w:eastAsia="Times New Roman" w:cs="Times New Roman"/>
          <w:noProof/>
        </w:rPr>
      </w:pPr>
      <w:r>
        <w:rPr>
          <w:noProof/>
        </w:rPr>
        <w:t xml:space="preserve">Terveyttä koskevan PERTE-ohjelman tavoitteena on vahvistaa terveysalan tieteellisiä, </w:t>
      </w:r>
      <w:r>
        <w:rPr>
          <w:noProof/>
        </w:rPr>
        <w:t>teknologisia ja innovointivalmiuksia. Toimenpiteellä tuetaan investointeja erityisesti seuraavin keinoin: 1) lainat terveydenhuoltoalan yrityksille T &amp; K &amp; I-toiminnan, teollisuuden laajentamisen, valmistusprosessien nykyaikaistamisen ja päivittämisen sekä</w:t>
      </w:r>
      <w:r>
        <w:rPr>
          <w:noProof/>
        </w:rPr>
        <w:t xml:space="preserve"> kestävien prosessien kehittämisen ja täytäntöönpanon tukemiseksi; 2) Innvierten investoinnit espanjalaisiin teknologisiin ja innovatiivisiin terveysalan yrityksiin; ja 3) lainat kansallisen terveydenhuoltojärjestelmän tutkimuskeskuksille niiden tutkimus- </w:t>
      </w:r>
      <w:r>
        <w:rPr>
          <w:noProof/>
        </w:rPr>
        <w:t>ja teknologian kehittämisvalmiuksien laajentamiseksi.</w:t>
      </w:r>
    </w:p>
    <w:p w14:paraId="53A7B3C3" w14:textId="77777777" w:rsidR="000E48CE" w:rsidRDefault="000E48CE">
      <w:pPr>
        <w:spacing w:after="0" w:line="240" w:lineRule="auto"/>
        <w:jc w:val="both"/>
        <w:rPr>
          <w:rFonts w:ascii="Times New Roman" w:eastAsia="Times New Roman" w:hAnsi="Times New Roman" w:cs="Times New Roman"/>
          <w:noProof/>
          <w:sz w:val="24"/>
        </w:rPr>
      </w:pPr>
    </w:p>
    <w:p w14:paraId="63A81C4D" w14:textId="77777777" w:rsidR="000E48CE" w:rsidRDefault="00FF4C4E">
      <w:pPr>
        <w:pStyle w:val="P68B1DB1-Normal4"/>
        <w:spacing w:after="0" w:line="240" w:lineRule="auto"/>
        <w:jc w:val="both"/>
        <w:rPr>
          <w:rFonts w:eastAsia="Times New Roman" w:cs="Times New Roman"/>
          <w:noProof/>
        </w:rPr>
      </w:pPr>
      <w:r>
        <w:rPr>
          <w:noProof/>
        </w:rPr>
        <w:t>PERTE Aerospace -ohjelman tavoitteena on vahvistaa ilmailu- ja avaruusalan tieteellisiä, teknologisia ja innovointivalmiuksia. Toimenpiteellä tuetaan investointeja ilmailu- ja avaruusalan yrityksille e</w:t>
      </w:r>
      <w:r>
        <w:rPr>
          <w:noProof/>
        </w:rPr>
        <w:t xml:space="preserve">simerkiksi T &amp; K &amp; I-toiminnassa, teollisessa mittakaavassa, valmistusprosessien nykyaikaistamisessa ja päivittämisessä, digitalisaatiossa ja teknologian parantamisessa sekä kestävien prosessien kehittämisessä ja täytäntöönpanossa. </w:t>
      </w:r>
    </w:p>
    <w:p w14:paraId="4352955B" w14:textId="77777777" w:rsidR="000E48CE" w:rsidRDefault="000E48CE">
      <w:pPr>
        <w:spacing w:after="0" w:line="240" w:lineRule="auto"/>
        <w:jc w:val="both"/>
        <w:rPr>
          <w:rFonts w:ascii="Times New Roman" w:eastAsia="Times New Roman" w:hAnsi="Times New Roman" w:cs="Times New Roman"/>
          <w:noProof/>
          <w:sz w:val="24"/>
        </w:rPr>
      </w:pPr>
    </w:p>
    <w:p w14:paraId="5238A6AA" w14:textId="33555794" w:rsidR="000E48CE" w:rsidRDefault="00FF4C4E">
      <w:pPr>
        <w:pStyle w:val="P68B1DB1-Normal4"/>
        <w:spacing w:after="0" w:line="240" w:lineRule="auto"/>
        <w:jc w:val="both"/>
        <w:rPr>
          <w:rFonts w:eastAsia="Times New Roman" w:cs="Times New Roman"/>
          <w:noProof/>
        </w:rPr>
      </w:pPr>
      <w:bookmarkStart w:id="54" w:name="_Hlk145665981"/>
      <w:r>
        <w:rPr>
          <w:noProof/>
        </w:rPr>
        <w:t>Rahoitustoimiin mahdol</w:t>
      </w:r>
      <w:r>
        <w:rPr>
          <w:noProof/>
        </w:rPr>
        <w:t xml:space="preserve">lisesti liittyvät takaisin saatavat varat on käytettävä elpymis- ja palautumistukivälineen lainan takaisinmaksujen hoitamiseen. </w:t>
      </w:r>
    </w:p>
    <w:bookmarkEnd w:id="54"/>
    <w:p w14:paraId="625EA318" w14:textId="77777777" w:rsidR="000E48CE" w:rsidRDefault="000E48CE">
      <w:pPr>
        <w:spacing w:after="0" w:line="240" w:lineRule="auto"/>
        <w:jc w:val="both"/>
        <w:rPr>
          <w:rFonts w:ascii="Times New Roman" w:eastAsia="Times New Roman" w:hAnsi="Times New Roman" w:cs="Times New Roman"/>
          <w:noProof/>
          <w:sz w:val="24"/>
        </w:rPr>
      </w:pPr>
    </w:p>
    <w:p w14:paraId="63A3B9AA" w14:textId="77777777" w:rsidR="000E48CE" w:rsidRDefault="00FF4C4E">
      <w:pPr>
        <w:pStyle w:val="P68B1DB1-Normal4"/>
        <w:spacing w:after="0" w:line="240" w:lineRule="auto"/>
        <w:jc w:val="both"/>
        <w:rPr>
          <w:rFonts w:eastAsia="Times New Roman" w:cs="Times New Roman"/>
          <w:noProof/>
        </w:rPr>
      </w:pPr>
      <w:r>
        <w:rPr>
          <w:noProof/>
        </w:rPr>
        <w:t>Sen varmistamiseksi, että toimenpide on elpymis- ja palautumistukivälineen ”ei merkittävää haittaa” -periaatteen mukainen, sel</w:t>
      </w:r>
      <w:r>
        <w:rPr>
          <w:noProof/>
        </w:rPr>
        <w:t>laisena kuin se on vahvistettu ”ei merkittävää haittaa” -periaatetta koskevissa teknisissä ohjeissa (2021/C58/01), täytäntöönpanevan yksikön ja avustuksen saavan yhteisön välisessä oikeudellisessa sopimuksessa tai sopimuksissa ja rahoitusvälineen myöhemmis</w:t>
      </w:r>
      <w:r>
        <w:rPr>
          <w:noProof/>
        </w:rPr>
        <w:t>sä investointiperiaatteissa on </w:t>
      </w:r>
    </w:p>
    <w:p w14:paraId="5ECB9EFD" w14:textId="3C9AD75A" w:rsidR="000E48CE" w:rsidRDefault="00FF4C4E">
      <w:pPr>
        <w:pStyle w:val="ListParagraph"/>
        <w:numPr>
          <w:ilvl w:val="0"/>
          <w:numId w:val="338"/>
        </w:num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Lainojen ja takausten osalta: jättää tukikelpoisuuden ulkopuolelle seuraavan luettelon toiminnoista ja omaisuuseristä: fossiilisiin polttoaineisiin liittyvät toiminnot ja omaisuuserät, mukaan lukien käyttö tuotantoketjun lop</w:t>
      </w:r>
      <w:r>
        <w:rPr>
          <w:rFonts w:ascii="Times New Roman" w:hAnsi="Times New Roman"/>
          <w:noProof/>
          <w:sz w:val="24"/>
        </w:rPr>
        <w:t>pupäässä</w:t>
      </w:r>
      <w:r>
        <w:rPr>
          <w:rStyle w:val="FootnoteReference"/>
          <w:rFonts w:ascii="Times New Roman" w:hAnsi="Times New Roman" w:cs="Times New Roman"/>
          <w:noProof/>
          <w:sz w:val="24"/>
        </w:rPr>
        <w:footnoteReference w:id="183"/>
      </w:r>
      <w:r>
        <w:rPr>
          <w:rStyle w:val="normaltextrun"/>
          <w:rFonts w:ascii="Times New Roman" w:hAnsi="Times New Roman"/>
          <w:noProof/>
          <w:sz w:val="24"/>
        </w:rPr>
        <w:t>; II) EU:n päästökauppajärjestelmään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84"/>
      </w:r>
      <w:r>
        <w:rPr>
          <w:rStyle w:val="normaltextrun"/>
          <w:rFonts w:ascii="Times New Roman" w:hAnsi="Times New Roman"/>
          <w:noProof/>
          <w:sz w:val="24"/>
        </w:rPr>
        <w:t>; jätteiden kaatopaikkoihin, polttolaitoksiin ja mekaanisiin biologisiin</w:t>
      </w:r>
      <w:r>
        <w:rPr>
          <w:rStyle w:val="normaltextrun"/>
          <w:rFonts w:ascii="Times New Roman" w:hAnsi="Times New Roman"/>
          <w:noProof/>
          <w:sz w:val="24"/>
        </w:rPr>
        <w:t xml:space="preserve"> käsittelylaitoksiin liittyvät toiminnot</w:t>
      </w:r>
      <w:hyperlink r:id="rId360" w:anchor="_ftn3" w:tgtFrame="_blank" w:history="1">
        <w:r>
          <w:rPr>
            <w:rStyle w:val="FootnoteReference"/>
            <w:rFonts w:ascii="Times New Roman" w:hAnsi="Times New Roman" w:cs="Times New Roman"/>
            <w:noProof/>
            <w:sz w:val="24"/>
          </w:rPr>
          <w:footnoteReference w:id="185"/>
        </w:r>
        <w:r>
          <w:rPr>
            <w:rStyle w:val="normaltextrun"/>
            <w:rFonts w:ascii="Times New Roman" w:hAnsi="Times New Roman"/>
            <w:b/>
            <w:noProof/>
            <w:sz w:val="24"/>
            <w:vertAlign w:val="superscript"/>
          </w:rPr>
          <w:t>ja</w:t>
        </w:r>
      </w:hyperlink>
      <w:r>
        <w:rPr>
          <w:rStyle w:val="normaltextrun"/>
          <w:rFonts w:ascii="Times New Roman" w:hAnsi="Times New Roman"/>
          <w:noProof/>
          <w:sz w:val="24"/>
        </w:rPr>
        <w:t xml:space="preserve"> omaisuus.</w:t>
      </w:r>
      <w:r>
        <w:rPr>
          <w:rStyle w:val="FootnoteReference"/>
          <w:rFonts w:ascii="Times New Roman" w:hAnsi="Times New Roman" w:cs="Times New Roman"/>
          <w:noProof/>
          <w:sz w:val="24"/>
        </w:rPr>
        <w:footnoteReference w:id="186"/>
      </w:r>
      <w:r>
        <w:rPr>
          <w:rStyle w:val="eop"/>
          <w:rFonts w:ascii="Times New Roman" w:hAnsi="Times New Roman"/>
          <w:noProof/>
          <w:sz w:val="24"/>
        </w:rPr>
        <w:t xml:space="preserve"> Seuraavien tämän investoinnin mukaisten T &amp; K &amp; I-toimien katsotaan oleva</w:t>
      </w:r>
      <w:r>
        <w:rPr>
          <w:rStyle w:val="eop"/>
          <w:rFonts w:ascii="Times New Roman" w:hAnsi="Times New Roman"/>
          <w:noProof/>
          <w:sz w:val="24"/>
        </w:rPr>
        <w:t>n ”ei merkittävää haittaa” -periaatteen mukaisia (2021/C58/01): tämän investoinnin mukaiset T &amp; K &amp; I-toimet, jotka johtavat teknologianeutraaleihin tuloksiin niiden soveltamistasolla; II) ne tämän investoinnin mukaiset T &amp; K &amp; I-toimet, joilla tuetaan sel</w:t>
      </w:r>
      <w:r>
        <w:rPr>
          <w:rStyle w:val="eop"/>
          <w:rFonts w:ascii="Times New Roman" w:hAnsi="Times New Roman"/>
          <w:noProof/>
          <w:sz w:val="24"/>
        </w:rPr>
        <w:t>laisia vaihtoehtoja, joiden ympäristövaikutukset ovat vähäiset ja joita varten niitä on olemassa; tai iii) ne tämän investoinnin mukaiset T &amp; K &amp; I-toimet, joissa keskitytään ensisijaisesti sellaisten vaihtoehtojen kehittämiseen, joilla on mahdollisimman v</w:t>
      </w:r>
      <w:r>
        <w:rPr>
          <w:rStyle w:val="eop"/>
          <w:rFonts w:ascii="Times New Roman" w:hAnsi="Times New Roman"/>
          <w:noProof/>
          <w:sz w:val="24"/>
        </w:rPr>
        <w:t>ähän ympäristövaikutuksia alalla sellaisia toimia varten, joille ei ole teknisesti ja taloudellisesti toteuttamiskelpoista vähävaikutteista vaihtoehtoa.</w:t>
      </w:r>
    </w:p>
    <w:p w14:paraId="449F25C7" w14:textId="2EB9D432" w:rsidR="000E48CE" w:rsidRDefault="00FF4C4E">
      <w:pPr>
        <w:pStyle w:val="ListParagraph"/>
        <w:numPr>
          <w:ilvl w:val="0"/>
          <w:numId w:val="338"/>
        </w:num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Riskipääomainstrumenttien osalta: vaatia yrityksiä hyväksymään vihreän siirtymän suunnitelmat direktiiv</w:t>
      </w:r>
      <w:r>
        <w:rPr>
          <w:rFonts w:ascii="Times New Roman" w:hAnsi="Times New Roman"/>
          <w:noProof/>
          <w:sz w:val="24"/>
        </w:rPr>
        <w:t>in 2013/34/EU (muutettu direktiivillä (EU) 2022/2464) 19 a artiklan 2 kohdan a alakohdan iii alakohdan määritelmän mukaisesti, jos yli 50 prosenttia niiden edellisen tilikauden suorista tuloista on peräisin seuraavasta toimintojen ja varojen luettelosta: f</w:t>
      </w:r>
      <w:r>
        <w:rPr>
          <w:rFonts w:ascii="Times New Roman" w:hAnsi="Times New Roman"/>
          <w:noProof/>
          <w:sz w:val="24"/>
        </w:rPr>
        <w:t>ossiilisiin polttoaineisiin liittyvät toiminnot ja omaisuuserät, mukaan lukien käyttö tuotantoketjun loppupäässä</w:t>
      </w:r>
      <w:hyperlink r:id="rId361" w:anchor="_ftn1" w:tgtFrame="_blank" w:history="1">
        <w:r>
          <w:rPr>
            <w:rStyle w:val="normaltextrun"/>
            <w:rFonts w:ascii="Times New Roman" w:hAnsi="Times New Roman"/>
            <w:b/>
            <w:noProof/>
            <w:sz w:val="24"/>
            <w:vertAlign w:val="superscript"/>
          </w:rPr>
          <w:t>]</w:t>
        </w:r>
      </w:hyperlink>
      <w:r>
        <w:rPr>
          <w:rStyle w:val="FootnoteReference"/>
          <w:rFonts w:ascii="Times New Roman" w:hAnsi="Times New Roman" w:cs="Times New Roman"/>
          <w:noProof/>
          <w:sz w:val="24"/>
        </w:rPr>
        <w:footnoteReference w:id="187"/>
      </w:r>
      <w:r>
        <w:rPr>
          <w:rStyle w:val="normaltextrun"/>
          <w:rFonts w:ascii="Times New Roman" w:hAnsi="Times New Roman"/>
          <w:noProof/>
          <w:sz w:val="24"/>
        </w:rPr>
        <w:t>; II) EU:n pää</w:t>
      </w:r>
      <w:r>
        <w:rPr>
          <w:rStyle w:val="normaltextrun"/>
          <w:rFonts w:ascii="Times New Roman" w:hAnsi="Times New Roman"/>
          <w:noProof/>
          <w:sz w:val="24"/>
        </w:rPr>
        <w:t>stökauppajärjestelmään kuuluvat toiminnot ja omaisuuserät, joilla saavutetaan ennustetut kasvihuonekaasupäästöt, jotka eivät alita asiaankuuluvia vertailuarvoja</w:t>
      </w:r>
      <w:r>
        <w:rPr>
          <w:rStyle w:val="FootnoteReference"/>
          <w:rFonts w:ascii="Times New Roman" w:hAnsi="Times New Roman" w:cs="Times New Roman"/>
          <w:noProof/>
          <w:sz w:val="24"/>
        </w:rPr>
        <w:footnoteReference w:id="188"/>
      </w:r>
      <w:r>
        <w:rPr>
          <w:rStyle w:val="normaltextrun"/>
          <w:rFonts w:ascii="Times New Roman" w:hAnsi="Times New Roman"/>
          <w:noProof/>
          <w:sz w:val="24"/>
        </w:rPr>
        <w:t>; jätteiden kaatopaikkoihin, polttolaitoksiin ja mekaanisiin biologisiin käsittelylaitoksiin li</w:t>
      </w:r>
      <w:r>
        <w:rPr>
          <w:rStyle w:val="normaltextrun"/>
          <w:rFonts w:ascii="Times New Roman" w:hAnsi="Times New Roman"/>
          <w:noProof/>
          <w:sz w:val="24"/>
        </w:rPr>
        <w:t>ittyvät toiminnot</w:t>
      </w:r>
      <w:hyperlink r:id="rId362" w:anchor="_ftn3" w:tgtFrame="_blank" w:history="1">
        <w:r>
          <w:rPr>
            <w:rStyle w:val="FootnoteReference"/>
            <w:rFonts w:ascii="Times New Roman" w:hAnsi="Times New Roman" w:cs="Times New Roman"/>
            <w:noProof/>
            <w:sz w:val="24"/>
          </w:rPr>
          <w:footnoteReference w:id="189"/>
        </w:r>
        <w:r>
          <w:rPr>
            <w:rStyle w:val="normaltextrun"/>
            <w:rFonts w:ascii="Times New Roman" w:hAnsi="Times New Roman"/>
            <w:b/>
            <w:noProof/>
            <w:sz w:val="24"/>
            <w:vertAlign w:val="superscript"/>
          </w:rPr>
          <w:t>ja</w:t>
        </w:r>
      </w:hyperlink>
      <w:r>
        <w:rPr>
          <w:rStyle w:val="normaltextrun"/>
          <w:rFonts w:ascii="Times New Roman" w:hAnsi="Times New Roman"/>
          <w:noProof/>
          <w:sz w:val="24"/>
        </w:rPr>
        <w:t xml:space="preserve"> omaisuus.</w:t>
      </w:r>
      <w:r>
        <w:rPr>
          <w:rStyle w:val="FootnoteReference"/>
          <w:rFonts w:ascii="Times New Roman" w:hAnsi="Times New Roman" w:cs="Times New Roman"/>
          <w:noProof/>
          <w:sz w:val="24"/>
        </w:rPr>
        <w:footnoteReference w:id="190"/>
      </w:r>
    </w:p>
    <w:p w14:paraId="28792347" w14:textId="77777777" w:rsidR="000E48CE" w:rsidRDefault="00FF4C4E">
      <w:pPr>
        <w:pStyle w:val="P68B1DB1-ListParagraph7"/>
        <w:numPr>
          <w:ilvl w:val="0"/>
          <w:numId w:val="338"/>
        </w:numPr>
        <w:spacing w:before="120" w:after="120" w:line="240" w:lineRule="auto"/>
        <w:jc w:val="both"/>
        <w:rPr>
          <w:rFonts w:eastAsia="Times New Roman" w:cs="Times New Roman"/>
          <w:noProof/>
        </w:rPr>
      </w:pPr>
      <w:r>
        <w:rPr>
          <w:noProof/>
        </w:rPr>
        <w:t>Edellytetään, että täytäntöönpaneva taho noudattaa tuensaajan asiaankuuluvaa EU:n ja kansallista</w:t>
      </w:r>
      <w:r>
        <w:rPr>
          <w:noProof/>
        </w:rPr>
        <w:t xml:space="preserve"> ympäristölainsäädäntöä.</w:t>
      </w:r>
    </w:p>
    <w:p w14:paraId="68C50DE4" w14:textId="36854A44" w:rsidR="000E48CE" w:rsidRDefault="00FF4C4E">
      <w:pPr>
        <w:pStyle w:val="P68B1DB1-Normal4"/>
        <w:spacing w:before="120" w:after="120" w:line="240" w:lineRule="auto"/>
        <w:jc w:val="both"/>
        <w:rPr>
          <w:rFonts w:eastAsia="Times New Roman" w:cs="Times New Roman"/>
          <w:noProof/>
        </w:rPr>
      </w:pPr>
      <w:r>
        <w:rPr>
          <w:noProof/>
        </w:rPr>
        <w:t>Toimenpiteen täytäntöönpano on saatettava päätökseen viimeistään 31 päivänä elokuuta 2026.</w:t>
      </w:r>
    </w:p>
    <w:p w14:paraId="248959D3" w14:textId="41CF7129" w:rsidR="000E48CE" w:rsidRDefault="00FF4C4E">
      <w:pPr>
        <w:pStyle w:val="P68B1DB1-Normal4"/>
        <w:ind w:left="720"/>
        <w:rPr>
          <w:rFonts w:eastAsia="Times New Roman" w:cs="Times New Roman"/>
          <w:noProof/>
        </w:rPr>
      </w:pPr>
      <w:r>
        <w:rPr>
          <w:b/>
          <w:noProof/>
          <w:u w:val="single"/>
        </w:rPr>
        <w:t>Q.4</w:t>
      </w:r>
      <w:r>
        <w:rPr>
          <w:b/>
          <w:noProof/>
          <w:u w:val="single"/>
        </w:rPr>
        <w:tab/>
        <w:t>Lainatuen seurannan ja täytäntöönpanon välitavoitteet, tavoitteet, indikaattorit ja aikataulu</w:t>
      </w:r>
      <w:r>
        <w:rPr>
          <w:b/>
          <w:noProof/>
        </w:rPr>
        <w:t xml:space="preserve"> </w:t>
      </w:r>
      <w:r>
        <w:rPr>
          <w:noProof/>
        </w:rPr>
        <w:t xml:space="preserve"> </w:t>
      </w:r>
    </w:p>
    <w:p w14:paraId="7D98F7ED" w14:textId="27FDC719" w:rsidR="000E48CE" w:rsidRDefault="00FF4C4E">
      <w:pPr>
        <w:pStyle w:val="P68B1DB1-Normal18"/>
        <w:rPr>
          <w:rFonts w:cs="Times New Roman"/>
          <w:noProof/>
        </w:rPr>
      </w:pPr>
      <w:r>
        <w:rPr>
          <w:noProof/>
        </w:rPr>
        <w:t xml:space="preserve">Ks. taulukko jäljempänä. Kaikkien </w:t>
      </w:r>
      <w:r>
        <w:rPr>
          <w:noProof/>
        </w:rPr>
        <w:t>indikaattorien lähtötilanne on toimen alkamisajankohta, ellei toimen kuvauksessa toisin ilmoiteta. Taulukossa esitetyt määrät eivät sisällä arvonlisäveroa.</w:t>
      </w:r>
    </w:p>
    <w:p w14:paraId="6AB2C1B6" w14:textId="77777777" w:rsidR="000E48CE" w:rsidRDefault="000E48CE">
      <w:pPr>
        <w:spacing w:before="120" w:after="120" w:line="240" w:lineRule="auto"/>
        <w:rPr>
          <w:rFonts w:ascii="Times New Roman" w:hAnsi="Times New Roman" w:cs="Times New Roman"/>
          <w:noProof/>
        </w:rPr>
        <w:sectPr w:rsidR="000E48CE" w:rsidSect="00C94F66">
          <w:headerReference w:type="even" r:id="rId363"/>
          <w:headerReference w:type="default" r:id="rId364"/>
          <w:footerReference w:type="even" r:id="rId365"/>
          <w:footerReference w:type="default" r:id="rId366"/>
          <w:headerReference w:type="first" r:id="rId367"/>
          <w:footerReference w:type="first" r:id="rId368"/>
          <w:pgSz w:w="11907" w:h="16839"/>
          <w:pgMar w:top="1134" w:right="1418" w:bottom="1134" w:left="1418" w:header="709" w:footer="709" w:gutter="0"/>
          <w:cols w:space="720"/>
          <w:docGrid w:linePitch="360"/>
        </w:sectPr>
      </w:pPr>
    </w:p>
    <w:tbl>
      <w:tblPr>
        <w:tblW w:w="1467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137"/>
        <w:gridCol w:w="1056"/>
        <w:gridCol w:w="2266"/>
        <w:gridCol w:w="1446"/>
        <w:gridCol w:w="956"/>
        <w:gridCol w:w="1026"/>
        <w:gridCol w:w="1006"/>
        <w:gridCol w:w="1786"/>
        <w:gridCol w:w="662"/>
        <w:gridCol w:w="2585"/>
      </w:tblGrid>
      <w:tr w:rsidR="000E48CE" w14:paraId="756B1323" w14:textId="77777777">
        <w:trPr>
          <w:trHeight w:val="309"/>
          <w:tblHeader/>
        </w:trPr>
        <w:tc>
          <w:tcPr>
            <w:tcW w:w="857" w:type="dxa"/>
            <w:tcBorders>
              <w:bottom w:val="nil"/>
            </w:tcBorders>
            <w:shd w:val="clear" w:color="auto" w:fill="C6D9F1" w:themeFill="text2" w:themeFillTint="33"/>
          </w:tcPr>
          <w:p w14:paraId="66BE53CF" w14:textId="77777777" w:rsidR="000E48CE" w:rsidRDefault="00FF4C4E">
            <w:pPr>
              <w:pStyle w:val="P68B1DB1-Normal12"/>
              <w:spacing w:after="0" w:line="240" w:lineRule="auto"/>
              <w:jc w:val="center"/>
              <w:rPr>
                <w:rFonts w:cs="Times New Roman"/>
                <w:noProof/>
              </w:rPr>
            </w:pPr>
            <w:r>
              <w:rPr>
                <w:noProof/>
              </w:rPr>
              <w:t>Määrä</w:t>
            </w:r>
          </w:p>
        </w:tc>
        <w:tc>
          <w:tcPr>
            <w:tcW w:w="886" w:type="dxa"/>
            <w:tcBorders>
              <w:bottom w:val="nil"/>
            </w:tcBorders>
            <w:shd w:val="clear" w:color="auto" w:fill="C6D9F1" w:themeFill="text2" w:themeFillTint="33"/>
          </w:tcPr>
          <w:p w14:paraId="2EA20D3C" w14:textId="77777777" w:rsidR="000E48CE" w:rsidRDefault="00FF4C4E">
            <w:pPr>
              <w:pStyle w:val="P68B1DB1-Normal12"/>
              <w:spacing w:after="0" w:line="240" w:lineRule="auto"/>
              <w:jc w:val="center"/>
              <w:rPr>
                <w:rFonts w:cs="Times New Roman"/>
                <w:noProof/>
              </w:rPr>
            </w:pPr>
            <w:r>
              <w:rPr>
                <w:noProof/>
              </w:rPr>
              <w:t>Toimenpide</w:t>
            </w:r>
          </w:p>
        </w:tc>
        <w:tc>
          <w:tcPr>
            <w:tcW w:w="966" w:type="dxa"/>
            <w:tcBorders>
              <w:bottom w:val="nil"/>
            </w:tcBorders>
            <w:shd w:val="clear" w:color="auto" w:fill="C6D9F1" w:themeFill="text2" w:themeFillTint="33"/>
          </w:tcPr>
          <w:p w14:paraId="19E272E4" w14:textId="77777777" w:rsidR="000E48CE" w:rsidRDefault="00FF4C4E">
            <w:pPr>
              <w:pStyle w:val="P68B1DB1-Normal8"/>
              <w:spacing w:after="0" w:line="240" w:lineRule="auto"/>
              <w:jc w:val="center"/>
              <w:rPr>
                <w:rFonts w:cs="Times New Roman"/>
                <w:b/>
                <w:noProof/>
                <w:sz w:val="18"/>
              </w:rPr>
            </w:pPr>
            <w:r>
              <w:rPr>
                <w:b/>
                <w:noProof/>
                <w:sz w:val="18"/>
              </w:rPr>
              <w:t>Välitavoite</w:t>
            </w:r>
            <w:r>
              <w:rPr>
                <w:noProof/>
                <w:shd w:val="clear" w:color="auto" w:fill="E6E6E6"/>
              </w:rPr>
              <w:br/>
            </w:r>
            <w:r>
              <w:rPr>
                <w:b/>
                <w:noProof/>
                <w:sz w:val="18"/>
              </w:rPr>
              <w:t xml:space="preserve"> /Kohde</w:t>
            </w:r>
          </w:p>
        </w:tc>
        <w:tc>
          <w:tcPr>
            <w:tcW w:w="2227" w:type="dxa"/>
            <w:tcBorders>
              <w:bottom w:val="nil"/>
            </w:tcBorders>
            <w:shd w:val="clear" w:color="auto" w:fill="C6D9F1" w:themeFill="text2" w:themeFillTint="33"/>
          </w:tcPr>
          <w:p w14:paraId="1F5E623B" w14:textId="77777777" w:rsidR="000E48CE" w:rsidRDefault="00FF4C4E">
            <w:pPr>
              <w:pStyle w:val="P68B1DB1-Normal12"/>
              <w:spacing w:after="0" w:line="240" w:lineRule="auto"/>
              <w:jc w:val="center"/>
              <w:rPr>
                <w:rFonts w:cs="Times New Roman"/>
                <w:noProof/>
              </w:rPr>
            </w:pPr>
            <w:r>
              <w:rPr>
                <w:noProof/>
              </w:rPr>
              <w:t>Nimi</w:t>
            </w:r>
          </w:p>
        </w:tc>
        <w:tc>
          <w:tcPr>
            <w:tcW w:w="1226" w:type="dxa"/>
            <w:tcBorders>
              <w:bottom w:val="nil"/>
            </w:tcBorders>
            <w:shd w:val="clear" w:color="auto" w:fill="C6D9F1" w:themeFill="text2" w:themeFillTint="33"/>
          </w:tcPr>
          <w:p w14:paraId="02EB3D44"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173" w:type="dxa"/>
            <w:gridSpan w:val="3"/>
            <w:shd w:val="clear" w:color="auto" w:fill="C6D9F1" w:themeFill="text2" w:themeFillTint="33"/>
          </w:tcPr>
          <w:p w14:paraId="159A064A"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226" w:type="dxa"/>
            <w:gridSpan w:val="2"/>
            <w:shd w:val="clear" w:color="auto" w:fill="C6D9F1" w:themeFill="text2" w:themeFillTint="33"/>
          </w:tcPr>
          <w:p w14:paraId="50EFFB48" w14:textId="77777777" w:rsidR="000E48CE" w:rsidRDefault="00FF4C4E">
            <w:pPr>
              <w:pStyle w:val="P68B1DB1-Normal12"/>
              <w:spacing w:after="0" w:line="240" w:lineRule="auto"/>
              <w:jc w:val="center"/>
              <w:rPr>
                <w:rFonts w:cs="Times New Roman"/>
                <w:noProof/>
              </w:rPr>
            </w:pPr>
            <w:r>
              <w:rPr>
                <w:noProof/>
              </w:rPr>
              <w:t>Aika</w:t>
            </w:r>
          </w:p>
        </w:tc>
        <w:tc>
          <w:tcPr>
            <w:tcW w:w="5114" w:type="dxa"/>
            <w:tcBorders>
              <w:bottom w:val="nil"/>
            </w:tcBorders>
            <w:shd w:val="clear" w:color="auto" w:fill="C6D9F1" w:themeFill="text2" w:themeFillTint="33"/>
          </w:tcPr>
          <w:p w14:paraId="2187E50E"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6F872CCE" w14:textId="77777777">
        <w:trPr>
          <w:trHeight w:val="309"/>
          <w:tblHeader/>
        </w:trPr>
        <w:tc>
          <w:tcPr>
            <w:tcW w:w="857" w:type="dxa"/>
            <w:tcBorders>
              <w:top w:val="nil"/>
            </w:tcBorders>
            <w:shd w:val="clear" w:color="auto" w:fill="C6D9F1" w:themeFill="text2" w:themeFillTint="33"/>
          </w:tcPr>
          <w:p w14:paraId="27CA29BE" w14:textId="77777777" w:rsidR="000E48CE" w:rsidRDefault="000E48CE">
            <w:pPr>
              <w:spacing w:after="0" w:line="240" w:lineRule="auto"/>
              <w:jc w:val="center"/>
              <w:rPr>
                <w:rFonts w:ascii="Times New Roman" w:hAnsi="Times New Roman" w:cs="Times New Roman"/>
                <w:b/>
                <w:noProof/>
                <w:sz w:val="18"/>
              </w:rPr>
            </w:pPr>
          </w:p>
        </w:tc>
        <w:tc>
          <w:tcPr>
            <w:tcW w:w="886" w:type="dxa"/>
            <w:tcBorders>
              <w:top w:val="nil"/>
            </w:tcBorders>
            <w:shd w:val="clear" w:color="auto" w:fill="C6D9F1" w:themeFill="text2" w:themeFillTint="33"/>
          </w:tcPr>
          <w:p w14:paraId="11B0139A" w14:textId="77777777" w:rsidR="000E48CE" w:rsidRDefault="000E48CE">
            <w:pPr>
              <w:spacing w:after="0" w:line="240" w:lineRule="auto"/>
              <w:jc w:val="center"/>
              <w:rPr>
                <w:rFonts w:ascii="Times New Roman" w:hAnsi="Times New Roman" w:cs="Times New Roman"/>
                <w:b/>
                <w:noProof/>
                <w:sz w:val="18"/>
              </w:rPr>
            </w:pPr>
          </w:p>
        </w:tc>
        <w:tc>
          <w:tcPr>
            <w:tcW w:w="966" w:type="dxa"/>
            <w:tcBorders>
              <w:top w:val="nil"/>
            </w:tcBorders>
            <w:shd w:val="clear" w:color="auto" w:fill="C6D9F1" w:themeFill="text2" w:themeFillTint="33"/>
          </w:tcPr>
          <w:p w14:paraId="2AECA98D" w14:textId="77777777" w:rsidR="000E48CE" w:rsidRDefault="000E48CE">
            <w:pPr>
              <w:spacing w:after="0" w:line="240" w:lineRule="auto"/>
              <w:jc w:val="center"/>
              <w:rPr>
                <w:rFonts w:ascii="Times New Roman" w:hAnsi="Times New Roman" w:cs="Times New Roman"/>
                <w:b/>
                <w:noProof/>
                <w:sz w:val="18"/>
              </w:rPr>
            </w:pPr>
          </w:p>
        </w:tc>
        <w:tc>
          <w:tcPr>
            <w:tcW w:w="2227" w:type="dxa"/>
            <w:tcBorders>
              <w:top w:val="nil"/>
            </w:tcBorders>
            <w:shd w:val="clear" w:color="auto" w:fill="C6D9F1" w:themeFill="text2" w:themeFillTint="33"/>
          </w:tcPr>
          <w:p w14:paraId="54315F50" w14:textId="77777777" w:rsidR="000E48CE" w:rsidRDefault="000E48CE">
            <w:pPr>
              <w:spacing w:after="0" w:line="240" w:lineRule="auto"/>
              <w:rPr>
                <w:rFonts w:ascii="Times New Roman" w:hAnsi="Times New Roman" w:cs="Times New Roman"/>
                <w:b/>
                <w:noProof/>
                <w:sz w:val="18"/>
              </w:rPr>
            </w:pPr>
          </w:p>
        </w:tc>
        <w:tc>
          <w:tcPr>
            <w:tcW w:w="1226" w:type="dxa"/>
            <w:tcBorders>
              <w:top w:val="nil"/>
            </w:tcBorders>
            <w:shd w:val="clear" w:color="auto" w:fill="C6D9F1" w:themeFill="text2" w:themeFillTint="33"/>
          </w:tcPr>
          <w:p w14:paraId="052258C8" w14:textId="77777777" w:rsidR="000E48CE" w:rsidRDefault="000E48CE">
            <w:pPr>
              <w:spacing w:after="0" w:line="240" w:lineRule="auto"/>
              <w:jc w:val="center"/>
              <w:rPr>
                <w:rFonts w:ascii="Times New Roman" w:hAnsi="Times New Roman" w:cs="Times New Roman"/>
                <w:b/>
                <w:noProof/>
                <w:sz w:val="18"/>
              </w:rPr>
            </w:pPr>
          </w:p>
        </w:tc>
        <w:tc>
          <w:tcPr>
            <w:tcW w:w="896" w:type="dxa"/>
            <w:shd w:val="clear" w:color="auto" w:fill="C6D9F1" w:themeFill="text2" w:themeFillTint="33"/>
          </w:tcPr>
          <w:p w14:paraId="11B4A688" w14:textId="77777777" w:rsidR="000E48CE" w:rsidRDefault="00FF4C4E">
            <w:pPr>
              <w:pStyle w:val="P68B1DB1-Normal12"/>
              <w:spacing w:after="0" w:line="240" w:lineRule="auto"/>
              <w:jc w:val="center"/>
              <w:rPr>
                <w:rFonts w:cs="Times New Roman"/>
                <w:noProof/>
              </w:rPr>
            </w:pPr>
            <w:r>
              <w:rPr>
                <w:noProof/>
              </w:rPr>
              <w:t>Yksikkö</w:t>
            </w:r>
          </w:p>
        </w:tc>
        <w:tc>
          <w:tcPr>
            <w:tcW w:w="636" w:type="dxa"/>
            <w:shd w:val="clear" w:color="auto" w:fill="C6D9F1" w:themeFill="text2" w:themeFillTint="33"/>
          </w:tcPr>
          <w:p w14:paraId="5A6579E2" w14:textId="77777777" w:rsidR="000E48CE" w:rsidRDefault="00FF4C4E">
            <w:pPr>
              <w:pStyle w:val="P68B1DB1-Normal12"/>
              <w:spacing w:after="0" w:line="240" w:lineRule="auto"/>
              <w:jc w:val="center"/>
              <w:rPr>
                <w:rFonts w:cs="Times New Roman"/>
                <w:noProof/>
              </w:rPr>
            </w:pPr>
            <w:r>
              <w:rPr>
                <w:noProof/>
              </w:rPr>
              <w:t>Perusviiva</w:t>
            </w:r>
          </w:p>
        </w:tc>
        <w:tc>
          <w:tcPr>
            <w:tcW w:w="641" w:type="dxa"/>
            <w:shd w:val="clear" w:color="auto" w:fill="C6D9F1" w:themeFill="text2" w:themeFillTint="33"/>
          </w:tcPr>
          <w:p w14:paraId="0201C213" w14:textId="77777777" w:rsidR="000E48CE" w:rsidRDefault="00FF4C4E">
            <w:pPr>
              <w:pStyle w:val="P68B1DB1-Normal12"/>
              <w:spacing w:after="0" w:line="240" w:lineRule="auto"/>
              <w:jc w:val="center"/>
              <w:rPr>
                <w:rFonts w:cs="Times New Roman"/>
                <w:noProof/>
              </w:rPr>
            </w:pPr>
            <w:r>
              <w:rPr>
                <w:noProof/>
              </w:rPr>
              <w:t>Päämäärä</w:t>
            </w:r>
          </w:p>
        </w:tc>
        <w:tc>
          <w:tcPr>
            <w:tcW w:w="526" w:type="dxa"/>
            <w:shd w:val="clear" w:color="auto" w:fill="C6D9F1" w:themeFill="text2" w:themeFillTint="33"/>
          </w:tcPr>
          <w:p w14:paraId="187F06C1" w14:textId="77777777" w:rsidR="000E48CE" w:rsidRDefault="00FF4C4E">
            <w:pPr>
              <w:pStyle w:val="P68B1DB1-Normal12"/>
              <w:spacing w:after="0" w:line="240" w:lineRule="auto"/>
              <w:jc w:val="center"/>
              <w:rPr>
                <w:rFonts w:cs="Times New Roman"/>
                <w:noProof/>
              </w:rPr>
            </w:pPr>
            <w:r>
              <w:rPr>
                <w:noProof/>
              </w:rPr>
              <w:t>Q</w:t>
            </w:r>
          </w:p>
        </w:tc>
        <w:tc>
          <w:tcPr>
            <w:tcW w:w="700" w:type="dxa"/>
            <w:shd w:val="clear" w:color="auto" w:fill="C6D9F1" w:themeFill="text2" w:themeFillTint="33"/>
          </w:tcPr>
          <w:p w14:paraId="5C32E844" w14:textId="77777777" w:rsidR="000E48CE" w:rsidRDefault="00FF4C4E">
            <w:pPr>
              <w:pStyle w:val="P68B1DB1-Normal12"/>
              <w:spacing w:after="0" w:line="240" w:lineRule="auto"/>
              <w:jc w:val="center"/>
              <w:rPr>
                <w:rFonts w:cs="Times New Roman"/>
                <w:noProof/>
              </w:rPr>
            </w:pPr>
            <w:r>
              <w:rPr>
                <w:noProof/>
              </w:rPr>
              <w:t>Vuosi</w:t>
            </w:r>
          </w:p>
        </w:tc>
        <w:tc>
          <w:tcPr>
            <w:tcW w:w="5114" w:type="dxa"/>
            <w:tcBorders>
              <w:top w:val="nil"/>
            </w:tcBorders>
            <w:shd w:val="clear" w:color="auto" w:fill="C6D9F1" w:themeFill="text2" w:themeFillTint="33"/>
          </w:tcPr>
          <w:p w14:paraId="2805547E" w14:textId="77777777" w:rsidR="000E48CE" w:rsidRDefault="000E48CE">
            <w:pPr>
              <w:spacing w:after="0" w:line="240" w:lineRule="auto"/>
              <w:rPr>
                <w:rFonts w:ascii="Times New Roman" w:hAnsi="Times New Roman" w:cs="Times New Roman"/>
                <w:b/>
                <w:noProof/>
                <w:sz w:val="18"/>
              </w:rPr>
            </w:pPr>
          </w:p>
        </w:tc>
      </w:tr>
      <w:tr w:rsidR="000E48CE" w14:paraId="40CAD2F4" w14:textId="77777777">
        <w:trPr>
          <w:trHeight w:val="309"/>
        </w:trPr>
        <w:tc>
          <w:tcPr>
            <w:tcW w:w="857" w:type="dxa"/>
            <w:shd w:val="clear" w:color="auto" w:fill="C6EFCE"/>
          </w:tcPr>
          <w:p w14:paraId="2FCEBC2B" w14:textId="24EC0CB9" w:rsidR="000E48CE" w:rsidRDefault="00FF4C4E">
            <w:pPr>
              <w:pStyle w:val="P68B1DB1-Normal13"/>
              <w:spacing w:after="0" w:line="240" w:lineRule="auto"/>
              <w:jc w:val="center"/>
              <w:rPr>
                <w:rFonts w:cs="Times New Roman"/>
                <w:noProof/>
              </w:rPr>
            </w:pPr>
            <w:r>
              <w:rPr>
                <w:noProof/>
              </w:rPr>
              <w:t>L67</w:t>
            </w:r>
          </w:p>
        </w:tc>
        <w:tc>
          <w:tcPr>
            <w:tcW w:w="886" w:type="dxa"/>
            <w:shd w:val="clear" w:color="auto" w:fill="C6EFCE"/>
          </w:tcPr>
          <w:p w14:paraId="291595AA" w14:textId="77777777" w:rsidR="000E48CE" w:rsidRDefault="00FF4C4E">
            <w:pPr>
              <w:pStyle w:val="P68B1DB1-Normal13"/>
              <w:spacing w:after="0" w:line="240" w:lineRule="auto"/>
              <w:jc w:val="center"/>
              <w:rPr>
                <w:rFonts w:cs="Times New Roman"/>
                <w:noProof/>
              </w:rPr>
            </w:pPr>
            <w:r>
              <w:rPr>
                <w:noProof/>
              </w:rPr>
              <w:t>C17.I10</w:t>
            </w:r>
          </w:p>
        </w:tc>
        <w:tc>
          <w:tcPr>
            <w:tcW w:w="966" w:type="dxa"/>
            <w:shd w:val="clear" w:color="auto" w:fill="C6EFCE"/>
          </w:tcPr>
          <w:p w14:paraId="3C1B5EA5" w14:textId="77777777" w:rsidR="000E48CE" w:rsidRDefault="00FF4C4E">
            <w:pPr>
              <w:pStyle w:val="P68B1DB1-Normal13"/>
              <w:spacing w:after="0" w:line="240" w:lineRule="auto"/>
              <w:jc w:val="center"/>
              <w:rPr>
                <w:rFonts w:cs="Times New Roman"/>
                <w:noProof/>
              </w:rPr>
            </w:pPr>
            <w:r>
              <w:rPr>
                <w:noProof/>
              </w:rPr>
              <w:t>T</w:t>
            </w:r>
          </w:p>
        </w:tc>
        <w:tc>
          <w:tcPr>
            <w:tcW w:w="2227" w:type="dxa"/>
            <w:shd w:val="clear" w:color="auto" w:fill="C6EFCE"/>
          </w:tcPr>
          <w:p w14:paraId="010AA927" w14:textId="77777777" w:rsidR="000E48CE" w:rsidRDefault="00FF4C4E">
            <w:pPr>
              <w:pStyle w:val="P68B1DB1-Normal13"/>
              <w:spacing w:after="0" w:line="240" w:lineRule="auto"/>
              <w:rPr>
                <w:rFonts w:cs="Times New Roman"/>
                <w:noProof/>
              </w:rPr>
            </w:pPr>
            <w:r>
              <w:rPr>
                <w:noProof/>
              </w:rPr>
              <w:t>Investoinnit oman pääoman ehtoiseen tukeen terveydenhuoltoalalla</w:t>
            </w:r>
          </w:p>
        </w:tc>
        <w:tc>
          <w:tcPr>
            <w:tcW w:w="1226" w:type="dxa"/>
            <w:shd w:val="clear" w:color="auto" w:fill="C6EFCE"/>
          </w:tcPr>
          <w:p w14:paraId="1107DC0B" w14:textId="77777777" w:rsidR="000E48CE" w:rsidRDefault="000E48CE">
            <w:pPr>
              <w:spacing w:after="0" w:line="240" w:lineRule="auto"/>
              <w:jc w:val="center"/>
              <w:rPr>
                <w:rFonts w:ascii="Times New Roman" w:hAnsi="Times New Roman" w:cs="Times New Roman"/>
                <w:noProof/>
                <w:sz w:val="18"/>
              </w:rPr>
            </w:pPr>
          </w:p>
        </w:tc>
        <w:tc>
          <w:tcPr>
            <w:tcW w:w="896" w:type="dxa"/>
            <w:shd w:val="clear" w:color="auto" w:fill="C6EFCE"/>
          </w:tcPr>
          <w:p w14:paraId="75913F2D" w14:textId="77777777" w:rsidR="000E48CE" w:rsidRDefault="00FF4C4E">
            <w:pPr>
              <w:pStyle w:val="P68B1DB1-Normal13"/>
              <w:spacing w:after="0" w:line="240" w:lineRule="auto"/>
              <w:jc w:val="center"/>
              <w:rPr>
                <w:rFonts w:cs="Times New Roman"/>
                <w:noProof/>
              </w:rPr>
            </w:pPr>
            <w:r>
              <w:rPr>
                <w:noProof/>
              </w:rPr>
              <w:t>Miljoonaa euroa</w:t>
            </w:r>
          </w:p>
          <w:p w14:paraId="60319AFE" w14:textId="77777777" w:rsidR="000E48CE" w:rsidRDefault="000E48CE">
            <w:pPr>
              <w:spacing w:after="0" w:line="240" w:lineRule="auto"/>
              <w:jc w:val="center"/>
              <w:rPr>
                <w:rFonts w:ascii="Times New Roman" w:hAnsi="Times New Roman" w:cs="Times New Roman"/>
                <w:noProof/>
                <w:sz w:val="18"/>
              </w:rPr>
            </w:pPr>
          </w:p>
        </w:tc>
        <w:tc>
          <w:tcPr>
            <w:tcW w:w="636" w:type="dxa"/>
            <w:shd w:val="clear" w:color="auto" w:fill="C6EFCE"/>
          </w:tcPr>
          <w:p w14:paraId="6A13EB3F" w14:textId="77777777" w:rsidR="000E48CE" w:rsidRDefault="00FF4C4E">
            <w:pPr>
              <w:pStyle w:val="P68B1DB1-Normal13"/>
              <w:spacing w:after="0" w:line="240" w:lineRule="auto"/>
              <w:jc w:val="right"/>
              <w:rPr>
                <w:rFonts w:cs="Times New Roman"/>
                <w:noProof/>
              </w:rPr>
            </w:pPr>
            <w:r>
              <w:rPr>
                <w:noProof/>
              </w:rPr>
              <w:t>0</w:t>
            </w:r>
          </w:p>
        </w:tc>
        <w:tc>
          <w:tcPr>
            <w:tcW w:w="641" w:type="dxa"/>
            <w:shd w:val="clear" w:color="auto" w:fill="C6EFCE"/>
          </w:tcPr>
          <w:p w14:paraId="1934BC16" w14:textId="77777777" w:rsidR="000E48CE" w:rsidRDefault="00FF4C4E">
            <w:pPr>
              <w:pStyle w:val="P68B1DB1-Normal13"/>
              <w:spacing w:after="0" w:line="240" w:lineRule="auto"/>
              <w:jc w:val="right"/>
              <w:rPr>
                <w:rFonts w:eastAsia="Times New Roman" w:cs="Times New Roman"/>
                <w:noProof/>
              </w:rPr>
            </w:pPr>
            <w:r>
              <w:rPr>
                <w:noProof/>
              </w:rPr>
              <w:t>27</w:t>
            </w:r>
          </w:p>
        </w:tc>
        <w:tc>
          <w:tcPr>
            <w:tcW w:w="526" w:type="dxa"/>
            <w:shd w:val="clear" w:color="auto" w:fill="C6EFCE"/>
          </w:tcPr>
          <w:p w14:paraId="1720568F" w14:textId="61FE3413" w:rsidR="000E48CE" w:rsidRDefault="00FF4C4E">
            <w:pPr>
              <w:pStyle w:val="P68B1DB1-Normal13"/>
              <w:spacing w:after="0" w:line="240" w:lineRule="auto"/>
              <w:jc w:val="center"/>
              <w:rPr>
                <w:rFonts w:cs="Times New Roman"/>
                <w:noProof/>
              </w:rPr>
            </w:pPr>
            <w:r>
              <w:rPr>
                <w:noProof/>
              </w:rPr>
              <w:t xml:space="preserve">KOLMAS VUOSINELJÄNNES </w:t>
            </w:r>
          </w:p>
        </w:tc>
        <w:tc>
          <w:tcPr>
            <w:tcW w:w="700" w:type="dxa"/>
            <w:shd w:val="clear" w:color="auto" w:fill="C6EFCE"/>
          </w:tcPr>
          <w:p w14:paraId="4EA57920" w14:textId="77777777" w:rsidR="000E48CE" w:rsidRDefault="00FF4C4E">
            <w:pPr>
              <w:pStyle w:val="P68B1DB1-Normal13"/>
              <w:spacing w:after="0" w:line="240" w:lineRule="auto"/>
              <w:jc w:val="center"/>
              <w:rPr>
                <w:rFonts w:cs="Times New Roman"/>
                <w:noProof/>
              </w:rPr>
            </w:pPr>
            <w:r>
              <w:rPr>
                <w:noProof/>
              </w:rPr>
              <w:t>2026</w:t>
            </w:r>
          </w:p>
        </w:tc>
        <w:tc>
          <w:tcPr>
            <w:tcW w:w="5114" w:type="dxa"/>
            <w:shd w:val="clear" w:color="auto" w:fill="C6EFCE"/>
          </w:tcPr>
          <w:p w14:paraId="3D249DE9" w14:textId="4E34FAF3" w:rsidR="000E48CE" w:rsidRDefault="00FF4C4E">
            <w:pPr>
              <w:pStyle w:val="P68B1DB1-Normal13"/>
              <w:spacing w:after="0" w:line="240" w:lineRule="auto"/>
              <w:rPr>
                <w:rFonts w:eastAsia="Times New Roman" w:cs="Times New Roman"/>
                <w:noProof/>
              </w:rPr>
            </w:pPr>
            <w:r>
              <w:rPr>
                <w:noProof/>
              </w:rPr>
              <w:t>Innvierte maksoi 27000000 euroa terveydenhuoltoalan innovatiivisille ja teknologisille yrityksille oman pääoman ehtoisena tai luonteisena pääomana. Tähän investointiin liittyvien hankkeiden arvioinnissa on</w:t>
            </w:r>
            <w:r>
              <w:rPr>
                <w:noProof/>
              </w:rPr>
              <w:t xml:space="preserve"> varmistettava, että noudatetaan toimenpiteen kuvauksessa esitettyjä teknisiä ohjeita ”ei merkittävää haittaa” (2021/C58/01).</w:t>
            </w:r>
          </w:p>
        </w:tc>
      </w:tr>
      <w:tr w:rsidR="000E48CE" w14:paraId="1F35E81E" w14:textId="77777777">
        <w:trPr>
          <w:trHeight w:val="309"/>
        </w:trPr>
        <w:tc>
          <w:tcPr>
            <w:tcW w:w="857" w:type="dxa"/>
            <w:shd w:val="clear" w:color="auto" w:fill="C6EFCE"/>
          </w:tcPr>
          <w:p w14:paraId="400BB647" w14:textId="559EBCA0" w:rsidR="000E48CE" w:rsidRDefault="00FF4C4E">
            <w:pPr>
              <w:pStyle w:val="P68B1DB1-Normal13"/>
              <w:spacing w:after="0" w:line="240" w:lineRule="auto"/>
              <w:jc w:val="center"/>
              <w:rPr>
                <w:rFonts w:cs="Times New Roman"/>
                <w:noProof/>
              </w:rPr>
            </w:pPr>
            <w:r>
              <w:rPr>
                <w:noProof/>
              </w:rPr>
              <w:t>L68</w:t>
            </w:r>
          </w:p>
        </w:tc>
        <w:tc>
          <w:tcPr>
            <w:tcW w:w="886" w:type="dxa"/>
            <w:shd w:val="clear" w:color="auto" w:fill="C6EFCE"/>
          </w:tcPr>
          <w:p w14:paraId="1C5CA141" w14:textId="77777777" w:rsidR="000E48CE" w:rsidRDefault="00FF4C4E">
            <w:pPr>
              <w:pStyle w:val="P68B1DB1-Normal13"/>
              <w:spacing w:after="0" w:line="240" w:lineRule="auto"/>
              <w:jc w:val="center"/>
              <w:rPr>
                <w:rFonts w:cs="Times New Roman"/>
                <w:noProof/>
              </w:rPr>
            </w:pPr>
            <w:r>
              <w:rPr>
                <w:noProof/>
              </w:rPr>
              <w:t>C17.I10</w:t>
            </w:r>
          </w:p>
        </w:tc>
        <w:tc>
          <w:tcPr>
            <w:tcW w:w="966" w:type="dxa"/>
            <w:shd w:val="clear" w:color="auto" w:fill="C6EFCE"/>
          </w:tcPr>
          <w:p w14:paraId="28A2FDD3" w14:textId="77777777" w:rsidR="000E48CE" w:rsidRDefault="00FF4C4E">
            <w:pPr>
              <w:pStyle w:val="P68B1DB1-Normal13"/>
              <w:spacing w:after="0" w:line="240" w:lineRule="auto"/>
              <w:jc w:val="center"/>
              <w:rPr>
                <w:rFonts w:eastAsia="Times New Roman" w:cs="Times New Roman"/>
                <w:noProof/>
              </w:rPr>
            </w:pPr>
            <w:r>
              <w:rPr>
                <w:noProof/>
              </w:rPr>
              <w:t>T</w:t>
            </w:r>
          </w:p>
        </w:tc>
        <w:tc>
          <w:tcPr>
            <w:tcW w:w="2227" w:type="dxa"/>
            <w:shd w:val="clear" w:color="auto" w:fill="C6EFCE"/>
          </w:tcPr>
          <w:p w14:paraId="0FF05EDF" w14:textId="327EDD1C" w:rsidR="000E48CE" w:rsidRDefault="00FF4C4E">
            <w:pPr>
              <w:pStyle w:val="P68B1DB1-Normal13"/>
              <w:spacing w:after="0" w:line="240" w:lineRule="auto"/>
              <w:rPr>
                <w:rFonts w:cs="Times New Roman"/>
                <w:noProof/>
              </w:rPr>
            </w:pPr>
            <w:r>
              <w:rPr>
                <w:noProof/>
              </w:rPr>
              <w:t>Varojen sitominen lainoina terveysalan sekä ilmailu- ja avaruusalan tukemiseen</w:t>
            </w:r>
          </w:p>
        </w:tc>
        <w:tc>
          <w:tcPr>
            <w:tcW w:w="1226" w:type="dxa"/>
            <w:shd w:val="clear" w:color="auto" w:fill="C6EFCE"/>
          </w:tcPr>
          <w:p w14:paraId="137454FA" w14:textId="77777777" w:rsidR="000E48CE" w:rsidRDefault="000E48CE">
            <w:pPr>
              <w:spacing w:after="0" w:line="240" w:lineRule="auto"/>
              <w:jc w:val="center"/>
              <w:rPr>
                <w:rFonts w:ascii="Times New Roman" w:hAnsi="Times New Roman" w:cs="Times New Roman"/>
                <w:noProof/>
                <w:sz w:val="18"/>
              </w:rPr>
            </w:pPr>
          </w:p>
        </w:tc>
        <w:tc>
          <w:tcPr>
            <w:tcW w:w="896" w:type="dxa"/>
            <w:shd w:val="clear" w:color="auto" w:fill="C6EFCE"/>
          </w:tcPr>
          <w:p w14:paraId="70ECA4A1" w14:textId="77777777" w:rsidR="000E48CE" w:rsidRDefault="00FF4C4E">
            <w:pPr>
              <w:pStyle w:val="P68B1DB1-Normal13"/>
              <w:spacing w:after="0" w:line="240" w:lineRule="auto"/>
              <w:jc w:val="center"/>
              <w:rPr>
                <w:rFonts w:cs="Times New Roman"/>
                <w:noProof/>
              </w:rPr>
            </w:pPr>
            <w:r>
              <w:rPr>
                <w:noProof/>
              </w:rPr>
              <w:t>Miljoonaa euroa</w:t>
            </w:r>
          </w:p>
        </w:tc>
        <w:tc>
          <w:tcPr>
            <w:tcW w:w="636" w:type="dxa"/>
            <w:shd w:val="clear" w:color="auto" w:fill="C6EFCE"/>
          </w:tcPr>
          <w:p w14:paraId="41749BF7" w14:textId="77777777" w:rsidR="000E48CE" w:rsidRDefault="00FF4C4E">
            <w:pPr>
              <w:pStyle w:val="P68B1DB1-Normal13"/>
              <w:spacing w:after="0" w:line="240" w:lineRule="auto"/>
              <w:jc w:val="right"/>
              <w:rPr>
                <w:rFonts w:cs="Times New Roman"/>
                <w:noProof/>
              </w:rPr>
            </w:pPr>
            <w:r>
              <w:rPr>
                <w:noProof/>
              </w:rPr>
              <w:t>0</w:t>
            </w:r>
          </w:p>
        </w:tc>
        <w:tc>
          <w:tcPr>
            <w:tcW w:w="641" w:type="dxa"/>
            <w:shd w:val="clear" w:color="auto" w:fill="C6EFCE"/>
          </w:tcPr>
          <w:p w14:paraId="319026BA" w14:textId="7020A308" w:rsidR="000E48CE" w:rsidRDefault="00FF4C4E">
            <w:pPr>
              <w:pStyle w:val="P68B1DB1-Normal13"/>
              <w:spacing w:after="0" w:line="240" w:lineRule="auto"/>
              <w:jc w:val="right"/>
              <w:rPr>
                <w:rFonts w:cs="Times New Roman"/>
                <w:noProof/>
              </w:rPr>
            </w:pPr>
            <w:r>
              <w:rPr>
                <w:noProof/>
              </w:rPr>
              <w:t>181.6</w:t>
            </w:r>
          </w:p>
        </w:tc>
        <w:tc>
          <w:tcPr>
            <w:tcW w:w="526" w:type="dxa"/>
            <w:shd w:val="clear" w:color="auto" w:fill="C6EFCE"/>
          </w:tcPr>
          <w:p w14:paraId="022A78CD" w14:textId="77777777" w:rsidR="000E48CE" w:rsidRDefault="00FF4C4E">
            <w:pPr>
              <w:pStyle w:val="P68B1DB1-Normal13"/>
              <w:spacing w:after="0" w:line="240" w:lineRule="auto"/>
              <w:jc w:val="center"/>
              <w:rPr>
                <w:rFonts w:cs="Times New Roman"/>
                <w:noProof/>
              </w:rPr>
            </w:pPr>
            <w:r>
              <w:rPr>
                <w:noProof/>
              </w:rPr>
              <w:t>Q4</w:t>
            </w:r>
          </w:p>
        </w:tc>
        <w:tc>
          <w:tcPr>
            <w:tcW w:w="700" w:type="dxa"/>
            <w:shd w:val="clear" w:color="auto" w:fill="C6EFCE"/>
          </w:tcPr>
          <w:p w14:paraId="32691209" w14:textId="77777777" w:rsidR="000E48CE" w:rsidRDefault="00FF4C4E">
            <w:pPr>
              <w:pStyle w:val="P68B1DB1-Normal13"/>
              <w:spacing w:after="0" w:line="240" w:lineRule="auto"/>
              <w:jc w:val="center"/>
              <w:rPr>
                <w:rFonts w:cs="Times New Roman"/>
                <w:noProof/>
              </w:rPr>
            </w:pPr>
            <w:r>
              <w:rPr>
                <w:noProof/>
              </w:rPr>
              <w:t>2024</w:t>
            </w:r>
          </w:p>
        </w:tc>
        <w:tc>
          <w:tcPr>
            <w:tcW w:w="5114" w:type="dxa"/>
            <w:shd w:val="clear" w:color="auto" w:fill="C6EFCE"/>
          </w:tcPr>
          <w:p w14:paraId="03E5BAA4" w14:textId="2BC9BC85" w:rsidR="000E48CE" w:rsidRDefault="00FF4C4E">
            <w:pPr>
              <w:pStyle w:val="P68B1DB1-Normal13"/>
              <w:spacing w:after="0" w:line="240" w:lineRule="auto"/>
              <w:rPr>
                <w:rFonts w:cs="Times New Roman"/>
                <w:noProof/>
              </w:rPr>
            </w:pPr>
            <w:r>
              <w:rPr>
                <w:noProof/>
              </w:rPr>
              <w:t>CDTI:n 181600000 euron lainaus T &amp; K &amp; I-investointeihin, teollisuuden laajentamiseen, valmistusprosessien nykyaikaistamiseen sekä vihreän teknologian käyttöönottoon terveys- ja avaruusalalla.</w:t>
            </w:r>
          </w:p>
        </w:tc>
      </w:tr>
      <w:tr w:rsidR="000E48CE" w14:paraId="7D44448D" w14:textId="77777777">
        <w:trPr>
          <w:trHeight w:val="309"/>
        </w:trPr>
        <w:tc>
          <w:tcPr>
            <w:tcW w:w="857" w:type="dxa"/>
            <w:shd w:val="clear" w:color="auto" w:fill="C6EFCE"/>
          </w:tcPr>
          <w:p w14:paraId="721685C3" w14:textId="1D1E5160" w:rsidR="000E48CE" w:rsidRDefault="00FF4C4E">
            <w:pPr>
              <w:pStyle w:val="P68B1DB1-Normal13"/>
              <w:spacing w:after="0" w:line="240" w:lineRule="auto"/>
              <w:jc w:val="center"/>
              <w:rPr>
                <w:rFonts w:cs="Times New Roman"/>
                <w:noProof/>
              </w:rPr>
            </w:pPr>
            <w:r>
              <w:rPr>
                <w:noProof/>
              </w:rPr>
              <w:t>L69</w:t>
            </w:r>
          </w:p>
        </w:tc>
        <w:tc>
          <w:tcPr>
            <w:tcW w:w="886" w:type="dxa"/>
            <w:shd w:val="clear" w:color="auto" w:fill="C6EFCE"/>
          </w:tcPr>
          <w:p w14:paraId="651672E3" w14:textId="77777777" w:rsidR="000E48CE" w:rsidRDefault="00FF4C4E">
            <w:pPr>
              <w:pStyle w:val="P68B1DB1-Normal13"/>
              <w:spacing w:after="0" w:line="240" w:lineRule="auto"/>
              <w:jc w:val="center"/>
              <w:rPr>
                <w:rFonts w:cs="Times New Roman"/>
                <w:noProof/>
              </w:rPr>
            </w:pPr>
            <w:r>
              <w:rPr>
                <w:noProof/>
              </w:rPr>
              <w:t>C17.I10</w:t>
            </w:r>
          </w:p>
        </w:tc>
        <w:tc>
          <w:tcPr>
            <w:tcW w:w="966" w:type="dxa"/>
            <w:shd w:val="clear" w:color="auto" w:fill="C6EFCE"/>
          </w:tcPr>
          <w:p w14:paraId="294261C8" w14:textId="77777777" w:rsidR="000E48CE" w:rsidRDefault="00FF4C4E">
            <w:pPr>
              <w:pStyle w:val="P68B1DB1-Normal13"/>
              <w:spacing w:after="0" w:line="240" w:lineRule="auto"/>
              <w:jc w:val="center"/>
              <w:rPr>
                <w:rFonts w:cs="Times New Roman"/>
                <w:noProof/>
              </w:rPr>
            </w:pPr>
            <w:r>
              <w:rPr>
                <w:noProof/>
              </w:rPr>
              <w:t>T</w:t>
            </w:r>
          </w:p>
        </w:tc>
        <w:tc>
          <w:tcPr>
            <w:tcW w:w="2227" w:type="dxa"/>
            <w:shd w:val="clear" w:color="auto" w:fill="C6EFCE"/>
          </w:tcPr>
          <w:p w14:paraId="72ADFE09" w14:textId="77777777" w:rsidR="000E48CE" w:rsidRDefault="00FF4C4E">
            <w:pPr>
              <w:pStyle w:val="P68B1DB1-Normal13"/>
              <w:spacing w:after="0" w:line="240" w:lineRule="auto"/>
              <w:rPr>
                <w:rFonts w:cs="Times New Roman"/>
                <w:noProof/>
              </w:rPr>
            </w:pPr>
            <w:r>
              <w:rPr>
                <w:noProof/>
              </w:rPr>
              <w:t xml:space="preserve">Varojen maksaminen lainoina terveydenhuollon </w:t>
            </w:r>
            <w:r>
              <w:rPr>
                <w:noProof/>
              </w:rPr>
              <w:t>sekä ilmailu- ja avaruusalan tukemiseksi</w:t>
            </w:r>
          </w:p>
        </w:tc>
        <w:tc>
          <w:tcPr>
            <w:tcW w:w="1226" w:type="dxa"/>
            <w:shd w:val="clear" w:color="auto" w:fill="C6EFCE"/>
          </w:tcPr>
          <w:p w14:paraId="17F78AF2" w14:textId="77777777" w:rsidR="000E48CE" w:rsidRDefault="000E48CE">
            <w:pPr>
              <w:spacing w:after="0" w:line="240" w:lineRule="auto"/>
              <w:jc w:val="center"/>
              <w:rPr>
                <w:rFonts w:ascii="Times New Roman" w:hAnsi="Times New Roman" w:cs="Times New Roman"/>
                <w:noProof/>
                <w:sz w:val="18"/>
              </w:rPr>
            </w:pPr>
          </w:p>
        </w:tc>
        <w:tc>
          <w:tcPr>
            <w:tcW w:w="896" w:type="dxa"/>
            <w:shd w:val="clear" w:color="auto" w:fill="C6EFCE"/>
          </w:tcPr>
          <w:p w14:paraId="0E9A1A24" w14:textId="77777777" w:rsidR="000E48CE" w:rsidRDefault="00FF4C4E">
            <w:pPr>
              <w:pStyle w:val="P68B1DB1-Normal13"/>
              <w:spacing w:after="0" w:line="240" w:lineRule="auto"/>
              <w:jc w:val="center"/>
              <w:rPr>
                <w:rFonts w:cs="Times New Roman"/>
                <w:noProof/>
              </w:rPr>
            </w:pPr>
            <w:r>
              <w:rPr>
                <w:noProof/>
              </w:rPr>
              <w:t>Miljoonaa euroa</w:t>
            </w:r>
          </w:p>
        </w:tc>
        <w:tc>
          <w:tcPr>
            <w:tcW w:w="636" w:type="dxa"/>
            <w:shd w:val="clear" w:color="auto" w:fill="C6EFCE"/>
          </w:tcPr>
          <w:p w14:paraId="48E9A1B5" w14:textId="77777777" w:rsidR="000E48CE" w:rsidRDefault="00FF4C4E">
            <w:pPr>
              <w:pStyle w:val="P68B1DB1-Normal13"/>
              <w:spacing w:after="0" w:line="240" w:lineRule="auto"/>
              <w:jc w:val="right"/>
              <w:rPr>
                <w:rFonts w:cs="Times New Roman"/>
                <w:noProof/>
              </w:rPr>
            </w:pPr>
            <w:r>
              <w:rPr>
                <w:noProof/>
              </w:rPr>
              <w:t>0</w:t>
            </w:r>
          </w:p>
        </w:tc>
        <w:tc>
          <w:tcPr>
            <w:tcW w:w="641" w:type="dxa"/>
            <w:shd w:val="clear" w:color="auto" w:fill="C6EFCE"/>
          </w:tcPr>
          <w:p w14:paraId="45ED734C" w14:textId="7E85DADE" w:rsidR="000E48CE" w:rsidRDefault="00FF4C4E">
            <w:pPr>
              <w:pStyle w:val="P68B1DB1-Normal13"/>
              <w:spacing w:after="0" w:line="240" w:lineRule="auto"/>
              <w:jc w:val="right"/>
              <w:rPr>
                <w:rFonts w:cs="Times New Roman"/>
                <w:noProof/>
              </w:rPr>
            </w:pPr>
            <w:r>
              <w:rPr>
                <w:noProof/>
              </w:rPr>
              <w:t>461.7</w:t>
            </w:r>
          </w:p>
        </w:tc>
        <w:tc>
          <w:tcPr>
            <w:tcW w:w="526" w:type="dxa"/>
            <w:shd w:val="clear" w:color="auto" w:fill="C6EFCE"/>
          </w:tcPr>
          <w:p w14:paraId="416CFC95" w14:textId="702A6278" w:rsidR="000E48CE" w:rsidRDefault="00FF4C4E">
            <w:pPr>
              <w:pStyle w:val="P68B1DB1-Normal13"/>
              <w:spacing w:after="0" w:line="240" w:lineRule="auto"/>
              <w:jc w:val="center"/>
              <w:rPr>
                <w:rFonts w:cs="Times New Roman"/>
                <w:noProof/>
              </w:rPr>
            </w:pPr>
            <w:r>
              <w:rPr>
                <w:noProof/>
              </w:rPr>
              <w:t>KOLMAS VUOSINELJÄNNES</w:t>
            </w:r>
          </w:p>
        </w:tc>
        <w:tc>
          <w:tcPr>
            <w:tcW w:w="700" w:type="dxa"/>
            <w:shd w:val="clear" w:color="auto" w:fill="C6EFCE"/>
          </w:tcPr>
          <w:p w14:paraId="0D22AF08" w14:textId="77777777" w:rsidR="000E48CE" w:rsidRDefault="00FF4C4E">
            <w:pPr>
              <w:pStyle w:val="P68B1DB1-Normal13"/>
              <w:spacing w:after="0" w:line="240" w:lineRule="auto"/>
              <w:jc w:val="center"/>
              <w:rPr>
                <w:rFonts w:cs="Times New Roman"/>
                <w:noProof/>
              </w:rPr>
            </w:pPr>
            <w:r>
              <w:rPr>
                <w:noProof/>
              </w:rPr>
              <w:t>2026</w:t>
            </w:r>
          </w:p>
        </w:tc>
        <w:tc>
          <w:tcPr>
            <w:tcW w:w="5114" w:type="dxa"/>
            <w:shd w:val="clear" w:color="auto" w:fill="C6EFCE"/>
          </w:tcPr>
          <w:p w14:paraId="06A183A7" w14:textId="5AE6F075" w:rsidR="000E48CE" w:rsidRDefault="00FF4C4E">
            <w:pPr>
              <w:pStyle w:val="P68B1DB1-Normal13"/>
              <w:spacing w:after="0" w:line="240" w:lineRule="auto"/>
              <w:rPr>
                <w:rFonts w:cs="Times New Roman"/>
                <w:noProof/>
              </w:rPr>
            </w:pPr>
            <w:r>
              <w:rPr>
                <w:noProof/>
              </w:rPr>
              <w:t>CDTI maksaa 461700000 euroa lainoina T &amp; K &amp; I-investointeihin, teollisuuden laajentamiseen, valmistusprosessien nykyaikaistamiseen sekä vihreän teknologian käyttö</w:t>
            </w:r>
            <w:r>
              <w:rPr>
                <w:noProof/>
              </w:rPr>
              <w:t>önottoon terveys- ja avaruusalalla.</w:t>
            </w:r>
          </w:p>
        </w:tc>
      </w:tr>
      <w:tr w:rsidR="000E48CE" w14:paraId="3E768C38" w14:textId="77777777">
        <w:trPr>
          <w:trHeight w:val="309"/>
        </w:trPr>
        <w:tc>
          <w:tcPr>
            <w:tcW w:w="857" w:type="dxa"/>
            <w:shd w:val="clear" w:color="auto" w:fill="C6EFCE"/>
          </w:tcPr>
          <w:p w14:paraId="3F06DFD7" w14:textId="3E8A1D3E" w:rsidR="000E48CE" w:rsidRDefault="00FF4C4E">
            <w:pPr>
              <w:pStyle w:val="P68B1DB1-Normal13"/>
              <w:spacing w:after="0" w:line="240" w:lineRule="auto"/>
              <w:jc w:val="center"/>
              <w:rPr>
                <w:rFonts w:cs="Times New Roman"/>
                <w:noProof/>
              </w:rPr>
            </w:pPr>
            <w:r>
              <w:rPr>
                <w:noProof/>
              </w:rPr>
              <w:t>L70</w:t>
            </w:r>
          </w:p>
        </w:tc>
        <w:tc>
          <w:tcPr>
            <w:tcW w:w="886" w:type="dxa"/>
            <w:shd w:val="clear" w:color="auto" w:fill="C6EFCE"/>
          </w:tcPr>
          <w:p w14:paraId="05C61672" w14:textId="77777777" w:rsidR="000E48CE" w:rsidRDefault="00FF4C4E">
            <w:pPr>
              <w:pStyle w:val="P68B1DB1-Normal13"/>
              <w:spacing w:after="0" w:line="240" w:lineRule="auto"/>
              <w:jc w:val="center"/>
              <w:rPr>
                <w:rFonts w:cs="Times New Roman"/>
                <w:noProof/>
              </w:rPr>
            </w:pPr>
            <w:r>
              <w:rPr>
                <w:noProof/>
              </w:rPr>
              <w:t>C17.I10</w:t>
            </w:r>
          </w:p>
        </w:tc>
        <w:tc>
          <w:tcPr>
            <w:tcW w:w="966" w:type="dxa"/>
            <w:shd w:val="clear" w:color="auto" w:fill="C6EFCE"/>
          </w:tcPr>
          <w:p w14:paraId="1B57D700" w14:textId="77777777" w:rsidR="000E48CE" w:rsidRDefault="00FF4C4E">
            <w:pPr>
              <w:pStyle w:val="P68B1DB1-Normal13"/>
              <w:spacing w:after="0" w:line="240" w:lineRule="auto"/>
              <w:jc w:val="center"/>
              <w:rPr>
                <w:rFonts w:cs="Times New Roman"/>
                <w:noProof/>
              </w:rPr>
            </w:pPr>
            <w:r>
              <w:rPr>
                <w:noProof/>
              </w:rPr>
              <w:t>T</w:t>
            </w:r>
          </w:p>
        </w:tc>
        <w:tc>
          <w:tcPr>
            <w:tcW w:w="2227" w:type="dxa"/>
            <w:shd w:val="clear" w:color="auto" w:fill="C6EFCE"/>
          </w:tcPr>
          <w:p w14:paraId="13DFEEB3" w14:textId="77777777" w:rsidR="000E48CE" w:rsidRDefault="00FF4C4E">
            <w:pPr>
              <w:pStyle w:val="P68B1DB1-Normal13"/>
              <w:spacing w:after="0" w:line="240" w:lineRule="auto"/>
              <w:rPr>
                <w:rFonts w:cs="Times New Roman"/>
                <w:noProof/>
              </w:rPr>
            </w:pPr>
            <w:r>
              <w:rPr>
                <w:noProof/>
              </w:rPr>
              <w:t>Kansallisen terveydenhuoltojärjestelmän T &amp; K-valmiuksien parantaminen.</w:t>
            </w:r>
          </w:p>
        </w:tc>
        <w:tc>
          <w:tcPr>
            <w:tcW w:w="1226" w:type="dxa"/>
            <w:shd w:val="clear" w:color="auto" w:fill="C6EFCE"/>
          </w:tcPr>
          <w:p w14:paraId="10D4F863" w14:textId="77777777" w:rsidR="000E48CE" w:rsidRDefault="000E48CE">
            <w:pPr>
              <w:spacing w:after="0" w:line="240" w:lineRule="auto"/>
              <w:jc w:val="center"/>
              <w:rPr>
                <w:rFonts w:ascii="Times New Roman" w:hAnsi="Times New Roman" w:cs="Times New Roman"/>
                <w:noProof/>
                <w:sz w:val="18"/>
              </w:rPr>
            </w:pPr>
          </w:p>
        </w:tc>
        <w:tc>
          <w:tcPr>
            <w:tcW w:w="896" w:type="dxa"/>
            <w:shd w:val="clear" w:color="auto" w:fill="C6EFCE"/>
          </w:tcPr>
          <w:p w14:paraId="554999A6"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636" w:type="dxa"/>
            <w:shd w:val="clear" w:color="auto" w:fill="C6EFCE"/>
          </w:tcPr>
          <w:p w14:paraId="03984B2D" w14:textId="77777777" w:rsidR="000E48CE" w:rsidRDefault="00FF4C4E">
            <w:pPr>
              <w:pStyle w:val="P68B1DB1-Normal13"/>
              <w:spacing w:after="0" w:line="240" w:lineRule="auto"/>
              <w:jc w:val="right"/>
              <w:rPr>
                <w:rFonts w:cs="Times New Roman"/>
                <w:noProof/>
              </w:rPr>
            </w:pPr>
            <w:r>
              <w:rPr>
                <w:noProof/>
              </w:rPr>
              <w:t>0</w:t>
            </w:r>
          </w:p>
        </w:tc>
        <w:tc>
          <w:tcPr>
            <w:tcW w:w="641" w:type="dxa"/>
            <w:shd w:val="clear" w:color="auto" w:fill="C6EFCE"/>
          </w:tcPr>
          <w:p w14:paraId="0488B6F9" w14:textId="77777777" w:rsidR="000E48CE" w:rsidRDefault="00FF4C4E">
            <w:pPr>
              <w:pStyle w:val="P68B1DB1-Normal13"/>
              <w:spacing w:after="0" w:line="240" w:lineRule="auto"/>
              <w:jc w:val="right"/>
              <w:rPr>
                <w:rFonts w:eastAsia="Times New Roman" w:cs="Times New Roman"/>
                <w:noProof/>
              </w:rPr>
            </w:pPr>
            <w:r>
              <w:rPr>
                <w:noProof/>
              </w:rPr>
              <w:t>4</w:t>
            </w:r>
          </w:p>
        </w:tc>
        <w:tc>
          <w:tcPr>
            <w:tcW w:w="526" w:type="dxa"/>
            <w:shd w:val="clear" w:color="auto" w:fill="C6EFCE"/>
          </w:tcPr>
          <w:p w14:paraId="0BE015B9" w14:textId="25107E1F" w:rsidR="000E48CE" w:rsidRDefault="00FF4C4E">
            <w:pPr>
              <w:pStyle w:val="P68B1DB1-Normal13"/>
              <w:spacing w:after="0" w:line="240" w:lineRule="auto"/>
              <w:jc w:val="center"/>
              <w:rPr>
                <w:rFonts w:cs="Times New Roman"/>
                <w:noProof/>
              </w:rPr>
            </w:pPr>
            <w:r>
              <w:rPr>
                <w:noProof/>
              </w:rPr>
              <w:t>KOLMAS VUOSINELJÄNNES</w:t>
            </w:r>
          </w:p>
        </w:tc>
        <w:tc>
          <w:tcPr>
            <w:tcW w:w="700" w:type="dxa"/>
            <w:shd w:val="clear" w:color="auto" w:fill="C6EFCE"/>
          </w:tcPr>
          <w:p w14:paraId="2EAE1494" w14:textId="77777777" w:rsidR="000E48CE" w:rsidRDefault="00FF4C4E">
            <w:pPr>
              <w:pStyle w:val="P68B1DB1-Normal13"/>
              <w:spacing w:after="0" w:line="240" w:lineRule="auto"/>
              <w:jc w:val="center"/>
              <w:rPr>
                <w:rFonts w:cs="Times New Roman"/>
                <w:noProof/>
              </w:rPr>
            </w:pPr>
            <w:r>
              <w:rPr>
                <w:noProof/>
              </w:rPr>
              <w:t>2026</w:t>
            </w:r>
          </w:p>
        </w:tc>
        <w:tc>
          <w:tcPr>
            <w:tcW w:w="5114" w:type="dxa"/>
            <w:shd w:val="clear" w:color="auto" w:fill="C6EFCE"/>
          </w:tcPr>
          <w:p w14:paraId="67583859" w14:textId="77777777" w:rsidR="000E48CE" w:rsidRDefault="00FF4C4E">
            <w:pPr>
              <w:pStyle w:val="P68B1DB1-Normal13"/>
              <w:spacing w:after="0" w:line="240" w:lineRule="auto"/>
              <w:rPr>
                <w:rFonts w:cs="Times New Roman"/>
                <w:noProof/>
              </w:rPr>
            </w:pPr>
            <w:r>
              <w:rPr>
                <w:noProof/>
              </w:rPr>
              <w:t>Investointihankkeiden loppuun saattaminen vähintään neljän kansallisen terveydenhuoltojärjestelmän tutkimuskeskuksen tutkimuksen ja teknologisen kehittämisen valmiuksien parantamiseksi.</w:t>
            </w:r>
          </w:p>
        </w:tc>
      </w:tr>
    </w:tbl>
    <w:p w14:paraId="64EE0AAC" w14:textId="77777777" w:rsidR="000E48CE" w:rsidRDefault="000E48CE">
      <w:pPr>
        <w:spacing w:before="120" w:after="120" w:line="240" w:lineRule="auto"/>
        <w:rPr>
          <w:rFonts w:ascii="Times New Roman" w:hAnsi="Times New Roman" w:cs="Times New Roman"/>
          <w:noProof/>
        </w:rPr>
        <w:sectPr w:rsidR="000E48CE" w:rsidSect="00C94F66">
          <w:headerReference w:type="even" r:id="rId369"/>
          <w:headerReference w:type="default" r:id="rId370"/>
          <w:footerReference w:type="even" r:id="rId371"/>
          <w:footerReference w:type="default" r:id="rId372"/>
          <w:headerReference w:type="first" r:id="rId373"/>
          <w:footerReference w:type="first" r:id="rId374"/>
          <w:pgSz w:w="16839" w:h="11907" w:orient="landscape"/>
          <w:pgMar w:top="1417" w:right="1134" w:bottom="1417" w:left="1134" w:header="709" w:footer="709" w:gutter="0"/>
          <w:cols w:space="720"/>
          <w:docGrid w:linePitch="360"/>
        </w:sectPr>
      </w:pPr>
    </w:p>
    <w:p w14:paraId="1B1C4985" w14:textId="77777777" w:rsidR="000E48CE" w:rsidRDefault="00FF4C4E">
      <w:pPr>
        <w:pStyle w:val="P68B1DB1-Heading12"/>
        <w:rPr>
          <w:rFonts w:cs="Times New Roman"/>
          <w:noProof/>
        </w:rPr>
      </w:pPr>
      <w:r>
        <w:rPr>
          <w:noProof/>
        </w:rPr>
        <w:t>R. OSA</w:t>
      </w:r>
      <w:r>
        <w:rPr>
          <w:noProof/>
        </w:rPr>
        <w:t xml:space="preserve"> 18: Kansallisen terveydenhuoltojärjestelmän kunnostaminen ja laajentaminen</w:t>
      </w:r>
    </w:p>
    <w:p w14:paraId="273D2F69" w14:textId="77777777" w:rsidR="000E48CE" w:rsidRDefault="00FF4C4E">
      <w:pPr>
        <w:pStyle w:val="P68B1DB1-Normal4"/>
        <w:spacing w:before="120" w:after="120" w:line="240" w:lineRule="auto"/>
        <w:jc w:val="both"/>
        <w:rPr>
          <w:rFonts w:cs="Times New Roman"/>
          <w:noProof/>
        </w:rPr>
      </w:pPr>
      <w:r>
        <w:rPr>
          <w:noProof/>
        </w:rPr>
        <w:t>Terveyskriisi on osoittanut Espanjan kansallisen terveydenhuoltojärjestelmän vahvuuden, mutta se on myös paljastanut vaikeudet, joita sillä on tilanteissa, jotka edellyttävät ennak</w:t>
      </w:r>
      <w:r>
        <w:rPr>
          <w:noProof/>
        </w:rPr>
        <w:t>ointia, nopeaa reagointia ja koordinointia, sekä tarpeen korjata nykyiset rakenteelliset ongelmat, jotka liittyvät väestökehitykseen, yhteiskuntaan, teknologiaan tai talouteen. Espanjan elpymis- ja palautumissuunnitelman tällä osa-alueella on vastattava se</w:t>
      </w:r>
      <w:r>
        <w:rPr>
          <w:noProof/>
        </w:rPr>
        <w:t>uraaviin haasteisiin: alttius maailmanlaajuiselle terveyskriisille, ii) väestön ikääntymisestä johtuva terveydenhuoltojärjestelmän muutos, iii) sukupuolten tasa-arvo ja iv) järjestelmän pitkän aikavälin kestävyys ja selviytymiskyky.</w:t>
      </w:r>
    </w:p>
    <w:p w14:paraId="71509C8B" w14:textId="77777777" w:rsidR="000E48CE" w:rsidRDefault="00FF4C4E">
      <w:pPr>
        <w:pStyle w:val="P68B1DB1-Normal4"/>
        <w:spacing w:before="120" w:after="120" w:line="240" w:lineRule="auto"/>
        <w:jc w:val="both"/>
        <w:rPr>
          <w:rFonts w:cs="Times New Roman"/>
          <w:noProof/>
        </w:rPr>
      </w:pPr>
      <w:r>
        <w:rPr>
          <w:noProof/>
        </w:rPr>
        <w:t>Tämän osa-alueen tavoit</w:t>
      </w:r>
      <w:r>
        <w:rPr>
          <w:noProof/>
        </w:rPr>
        <w:t xml:space="preserve">teet ovat seuraavat: </w:t>
      </w:r>
    </w:p>
    <w:p w14:paraId="3C9272B0" w14:textId="77777777" w:rsidR="000E48CE" w:rsidRDefault="00FF4C4E">
      <w:pPr>
        <w:pStyle w:val="P68B1DB1-Normal4"/>
        <w:numPr>
          <w:ilvl w:val="0"/>
          <w:numId w:val="66"/>
        </w:numPr>
        <w:spacing w:before="120" w:after="120" w:line="240" w:lineRule="auto"/>
        <w:ind w:left="993" w:hanging="284"/>
        <w:jc w:val="both"/>
        <w:rPr>
          <w:rFonts w:cs="Times New Roman"/>
          <w:noProof/>
        </w:rPr>
      </w:pPr>
      <w:r>
        <w:rPr>
          <w:noProof/>
        </w:rPr>
        <w:t>Valmistellaan terveydenhuoltojärjestelmää mahdollisten maailmanlaajuisten terveysuhkien, kuten nykyisen covid-19-pandemian, ehkäisemiseksi ja niihin puuttumiseksi lisäämällä kansanterveysvalmiuksia ja epidemiologisia seurantajärjestel</w:t>
      </w:r>
      <w:r>
        <w:rPr>
          <w:noProof/>
        </w:rPr>
        <w:t>miä.</w:t>
      </w:r>
    </w:p>
    <w:p w14:paraId="59469CE2" w14:textId="77777777" w:rsidR="000E48CE" w:rsidRDefault="00FF4C4E">
      <w:pPr>
        <w:pStyle w:val="P68B1DB1-Normal4"/>
        <w:numPr>
          <w:ilvl w:val="0"/>
          <w:numId w:val="66"/>
        </w:numPr>
        <w:spacing w:before="120" w:after="120" w:line="240" w:lineRule="auto"/>
        <w:ind w:left="993" w:hanging="284"/>
        <w:jc w:val="both"/>
        <w:rPr>
          <w:rFonts w:cs="Times New Roman"/>
          <w:noProof/>
        </w:rPr>
      </w:pPr>
      <w:r>
        <w:rPr>
          <w:noProof/>
        </w:rPr>
        <w:t>Tarjota mahdollisimman nopeaa, laadukasta ja turvallista terveydenhuoltoa potilaiden resursseista, asuinpaikasta, sukupuolesta, alkuperästä tai iästä riippumatta.</w:t>
      </w:r>
    </w:p>
    <w:p w14:paraId="04FD66DE" w14:textId="77777777" w:rsidR="000E48CE" w:rsidRDefault="00FF4C4E">
      <w:pPr>
        <w:pStyle w:val="P68B1DB1-Normal4"/>
        <w:numPr>
          <w:ilvl w:val="0"/>
          <w:numId w:val="66"/>
        </w:numPr>
        <w:spacing w:before="120" w:after="120" w:line="240" w:lineRule="auto"/>
        <w:ind w:left="993" w:hanging="284"/>
        <w:jc w:val="both"/>
        <w:rPr>
          <w:rFonts w:cs="Times New Roman"/>
          <w:noProof/>
        </w:rPr>
      </w:pPr>
      <w:r>
        <w:rPr>
          <w:noProof/>
        </w:rPr>
        <w:t>Pidetään ihmiset terveydenhuoltojärjestelmän keskiössä, parannetaan heidän osallistumist</w:t>
      </w:r>
      <w:r>
        <w:rPr>
          <w:noProof/>
        </w:rPr>
        <w:t xml:space="preserve">aan ja suunnitellaan terveydenhuolto uudelleen ihmisten ja yhteisöjen tarpeisiin. </w:t>
      </w:r>
    </w:p>
    <w:p w14:paraId="0860012F" w14:textId="77777777" w:rsidR="000E48CE" w:rsidRDefault="00FF4C4E">
      <w:pPr>
        <w:pStyle w:val="P68B1DB1-Normal4"/>
        <w:numPr>
          <w:ilvl w:val="0"/>
          <w:numId w:val="66"/>
        </w:numPr>
        <w:spacing w:before="120" w:after="120" w:line="240" w:lineRule="auto"/>
        <w:ind w:left="993" w:hanging="284"/>
        <w:jc w:val="both"/>
        <w:rPr>
          <w:rFonts w:cs="Times New Roman"/>
          <w:noProof/>
        </w:rPr>
      </w:pPr>
      <w:r>
        <w:rPr>
          <w:noProof/>
        </w:rPr>
        <w:t>Varmistetaan tietojärjestelmät, jotka mittaavat paitsi toimintaa myös lopullisia terveystuloksia.</w:t>
      </w:r>
    </w:p>
    <w:p w14:paraId="661A13D5" w14:textId="77777777" w:rsidR="000E48CE" w:rsidRDefault="00FF4C4E">
      <w:pPr>
        <w:pStyle w:val="P68B1DB1-Normal4"/>
        <w:numPr>
          <w:ilvl w:val="0"/>
          <w:numId w:val="66"/>
        </w:numPr>
        <w:spacing w:before="120" w:after="120" w:line="240" w:lineRule="auto"/>
        <w:ind w:left="993" w:hanging="284"/>
        <w:jc w:val="both"/>
        <w:rPr>
          <w:rFonts w:cs="Times New Roman"/>
          <w:noProof/>
        </w:rPr>
      </w:pPr>
      <w:r>
        <w:rPr>
          <w:noProof/>
        </w:rPr>
        <w:t xml:space="preserve">Edistetään aktiivisesti terveyttä ja hyvinvointia ja ehkäistään sairauksia </w:t>
      </w:r>
      <w:r>
        <w:rPr>
          <w:noProof/>
        </w:rPr>
        <w:t>ja riippuvuutta koko elämän ajan.</w:t>
      </w:r>
    </w:p>
    <w:p w14:paraId="1177AF38" w14:textId="77777777" w:rsidR="000E48CE" w:rsidRDefault="00FF4C4E">
      <w:pPr>
        <w:pStyle w:val="P68B1DB1-Normal4"/>
        <w:numPr>
          <w:ilvl w:val="0"/>
          <w:numId w:val="66"/>
        </w:numPr>
        <w:spacing w:before="120" w:after="120" w:line="240" w:lineRule="auto"/>
        <w:ind w:left="993" w:hanging="284"/>
        <w:jc w:val="both"/>
        <w:rPr>
          <w:rFonts w:cs="Times New Roman"/>
          <w:noProof/>
        </w:rPr>
      </w:pPr>
      <w:r>
        <w:rPr>
          <w:noProof/>
        </w:rPr>
        <w:t>Houkutellaan ja pidetään palveluksessa parhaita ammattilaisia, jotka tarjoavat heille yksilöllisiä ja kollektiivisia kehitysmahdollisuuksia.</w:t>
      </w:r>
    </w:p>
    <w:p w14:paraId="3789ACD8" w14:textId="77777777" w:rsidR="000E48CE" w:rsidRDefault="00FF4C4E">
      <w:pPr>
        <w:pStyle w:val="P68B1DB1-Normal4"/>
        <w:numPr>
          <w:ilvl w:val="0"/>
          <w:numId w:val="66"/>
        </w:numPr>
        <w:spacing w:before="120" w:after="120" w:line="240" w:lineRule="auto"/>
        <w:ind w:left="993" w:hanging="284"/>
        <w:jc w:val="both"/>
        <w:rPr>
          <w:rFonts w:cs="Times New Roman"/>
          <w:noProof/>
        </w:rPr>
      </w:pPr>
      <w:r>
        <w:rPr>
          <w:noProof/>
        </w:rPr>
        <w:t xml:space="preserve">Siirrytään kohti digitalisoitua kansallista terveydenhuoltojärjestelmää, joka </w:t>
      </w:r>
      <w:r>
        <w:rPr>
          <w:noProof/>
        </w:rPr>
        <w:t>tuottaa tietoa ja tietämystä ja edistää terveysalan tutkimusta ja innovointia työpaikkojen, kasvun, tuottavuuden ja innovoinnin edistäjänä.</w:t>
      </w:r>
    </w:p>
    <w:p w14:paraId="37B8A878" w14:textId="77777777" w:rsidR="000E48CE" w:rsidRDefault="00FF4C4E">
      <w:pPr>
        <w:pStyle w:val="P68B1DB1-Normal4"/>
        <w:numPr>
          <w:ilvl w:val="0"/>
          <w:numId w:val="66"/>
        </w:numPr>
        <w:spacing w:before="120" w:after="120" w:line="240" w:lineRule="auto"/>
        <w:ind w:left="993" w:hanging="284"/>
        <w:jc w:val="both"/>
        <w:rPr>
          <w:rFonts w:cs="Times New Roman"/>
          <w:noProof/>
        </w:rPr>
      </w:pPr>
      <w:r>
        <w:rPr>
          <w:noProof/>
        </w:rPr>
        <w:t>Varmistetaan riittävä ja kestävä rahoitus, jotta voidaan vastata nykyaikaisen ja kehittyneen yhteiskunnan uusiin ter</w:t>
      </w:r>
      <w:r>
        <w:rPr>
          <w:noProof/>
        </w:rPr>
        <w:t>veyshaasteisiin, ja varmistaa myös varainkäytön tehokkuus.</w:t>
      </w:r>
    </w:p>
    <w:p w14:paraId="4223E0CE" w14:textId="77777777" w:rsidR="000E48CE" w:rsidRDefault="00FF4C4E">
      <w:pPr>
        <w:pStyle w:val="P68B1DB1-Normal4"/>
        <w:numPr>
          <w:ilvl w:val="0"/>
          <w:numId w:val="66"/>
        </w:numPr>
        <w:spacing w:before="120" w:after="120" w:line="240" w:lineRule="auto"/>
        <w:ind w:left="993" w:hanging="284"/>
        <w:jc w:val="both"/>
        <w:rPr>
          <w:rFonts w:cs="Times New Roman"/>
          <w:noProof/>
        </w:rPr>
      </w:pPr>
      <w:r>
        <w:rPr>
          <w:noProof/>
        </w:rPr>
        <w:t>Vahvistetaan ja kehitetään koordinointia ja monitasoista hallintoa kansallisen terveydenhuoltojärjestelmän hallinnoinnissa ja lisätään alueellista yhteenkuuluvuutta. Edistämään aktiivisesti strateg</w:t>
      </w:r>
      <w:r>
        <w:rPr>
          <w:noProof/>
        </w:rPr>
        <w:t>ioita sukupuolten tasa-arvon saavuttamiseksi terveydenhuoltojärjestelmässä.</w:t>
      </w:r>
    </w:p>
    <w:p w14:paraId="7574172C" w14:textId="77777777" w:rsidR="000E48CE" w:rsidRDefault="00FF4C4E">
      <w:pPr>
        <w:pStyle w:val="P68B1DB1-Normal4"/>
        <w:spacing w:before="120" w:after="120" w:line="240" w:lineRule="auto"/>
        <w:jc w:val="both"/>
        <w:rPr>
          <w:rFonts w:cs="Times New Roman"/>
          <w:noProof/>
        </w:rPr>
      </w:pPr>
      <w:r>
        <w:rPr>
          <w:noProof/>
        </w:rPr>
        <w:t>Espanjan elpymis- ja palautumissuunnitelman tällä osa-alueella tuetaan sellaisten maakohtaisten suositusten noudattamista, jotka koskevat pandemian tehokasta torjumista ja terveyde</w:t>
      </w:r>
      <w:r>
        <w:rPr>
          <w:noProof/>
        </w:rPr>
        <w:t>nhuoltojärjestelmän valmiuksien ja häiriönsietokyvyn vahvistamista terveydenhuollon työntekijöiden ja välttämättömien lääkinnällisten tuotteiden ja infrastruktuurin osalta (maakohtainen suositus 1 2020), ja työllisyyden tukemista toimenpiteillä, joilla säi</w:t>
      </w:r>
      <w:r>
        <w:rPr>
          <w:noProof/>
        </w:rPr>
        <w:t>lytetään työpaikat, tehokkaat työhönottokannustimet ja osaamisen kehittäminen (maakohtainen suositus 2 2020).</w:t>
      </w:r>
    </w:p>
    <w:p w14:paraId="01A9F91C" w14:textId="77777777" w:rsidR="000E48CE" w:rsidRDefault="00FF4C4E">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w:t>
      </w:r>
      <w:r>
        <w:rPr>
          <w:noProof/>
        </w:rPr>
        <w:t>itteille, kun otetaan huomioon ”ei merkittävää haittaa” -periaatteen soveltamista koskevien teknisten ohjeiden (2021/C58/01) mukaiset elpymis- ja palautumissuunnitelmassa esitettyjen toimenpiteiden kuvaus ja lieventävät toimet.</w:t>
      </w:r>
    </w:p>
    <w:p w14:paraId="70C6600A" w14:textId="77777777" w:rsidR="000E48CE" w:rsidRDefault="00FF4C4E">
      <w:pPr>
        <w:pStyle w:val="P68B1DB1-Normal5"/>
        <w:keepNext/>
        <w:spacing w:before="120" w:after="120" w:line="240" w:lineRule="auto"/>
        <w:jc w:val="both"/>
        <w:rPr>
          <w:rFonts w:cs="Times New Roman"/>
          <w:i/>
          <w:noProof/>
        </w:rPr>
      </w:pPr>
      <w:r>
        <w:rPr>
          <w:noProof/>
        </w:rPr>
        <w:t xml:space="preserve">R.1 </w:t>
      </w:r>
      <w:r>
        <w:rPr>
          <w:noProof/>
        </w:rPr>
        <w:tab/>
        <w:t>Kuvaus uudistuksista ja</w:t>
      </w:r>
      <w:r>
        <w:rPr>
          <w:noProof/>
        </w:rPr>
        <w:t xml:space="preserve"> investoinneista, joita rahoitetaan rahoitustuella, jota ei makseta takaisin</w:t>
      </w:r>
    </w:p>
    <w:p w14:paraId="055F5AAC" w14:textId="77777777" w:rsidR="000E48CE" w:rsidRDefault="00FF4C4E">
      <w:pPr>
        <w:pStyle w:val="P68B1DB1-Normal6"/>
        <w:keepNext/>
        <w:spacing w:before="120" w:after="120" w:line="240" w:lineRule="auto"/>
        <w:jc w:val="both"/>
        <w:rPr>
          <w:rFonts w:cs="Times New Roman"/>
          <w:noProof/>
        </w:rPr>
      </w:pPr>
      <w:r>
        <w:rPr>
          <w:noProof/>
        </w:rPr>
        <w:t>Uudistus 1 (C18.R1) – Perus- ja yhteisöterveydenhuollon vahvistaminen</w:t>
      </w:r>
    </w:p>
    <w:p w14:paraId="36261AE1" w14:textId="77777777" w:rsidR="000E48CE" w:rsidRDefault="00FF4C4E">
      <w:pPr>
        <w:pStyle w:val="P68B1DB1-Normal4"/>
        <w:keepNext/>
        <w:spacing w:before="120" w:after="120" w:line="240" w:lineRule="auto"/>
        <w:jc w:val="both"/>
        <w:rPr>
          <w:rFonts w:cs="Times New Roman"/>
          <w:noProof/>
        </w:rPr>
      </w:pPr>
      <w:r>
        <w:rPr>
          <w:noProof/>
        </w:rPr>
        <w:t xml:space="preserve">Perusterveydenhuollon vahvistaminen on yksi Espanjan suurimmista terveyshaasteista tulevina vuosina. </w:t>
      </w:r>
      <w:r>
        <w:rPr>
          <w:noProof/>
        </w:rPr>
        <w:t>Uudistuksen tavoitteena on tarjota parempia ratkaisuja uusiin terveysongelmiin, parantaa henkilökohtaista kokemusta kaikkien hoidosta, ehkäistä sairauksia ja lisätä perusterveydenhuollon roolia.</w:t>
      </w:r>
    </w:p>
    <w:p w14:paraId="6EE1EB86" w14:textId="77777777" w:rsidR="000E48CE" w:rsidRDefault="00FF4C4E">
      <w:pPr>
        <w:pStyle w:val="P68B1DB1-Normal4"/>
        <w:spacing w:before="120" w:after="120" w:line="240" w:lineRule="auto"/>
        <w:jc w:val="both"/>
        <w:rPr>
          <w:rFonts w:cs="Times New Roman"/>
          <w:noProof/>
        </w:rPr>
      </w:pPr>
      <w:r>
        <w:rPr>
          <w:noProof/>
        </w:rPr>
        <w:t xml:space="preserve">Uudistuksessa valmistellaan ja pannaan täytäntöön valtion ja </w:t>
      </w:r>
      <w:r>
        <w:rPr>
          <w:noProof/>
        </w:rPr>
        <w:t>itsehallintoalueiden vuonna 2019 hyväksymä toimintasuunnitelma perus- ja yhteisöterveydenhuollon vahvistamista koskevan strategisen kehyksen kehittämiseksi. Toimintasuunnitelma rakentuu toimintalinjoille, joissa hankkeiden alueellinen toteutus on määritelt</w:t>
      </w:r>
      <w:r>
        <w:rPr>
          <w:noProof/>
        </w:rPr>
        <w:t>ävä. Tähän sisältyy kliinisten hallintaprosessien parantaminen, diagnostisten laitteiden laajentaminen ja uusiminen terveyskeskuksissa, tietotekniikan kehittäminen, ammattilaisten kouluttaminen tai terveyskeskusten sekä terveys- ja pelastuspalvelujen infra</w:t>
      </w:r>
      <w:r>
        <w:rPr>
          <w:noProof/>
        </w:rPr>
        <w:t xml:space="preserve">struktuurien parantaminen.  Kansainvälinen alueneuvosto hyväksyy toimintasuunnitelman. Sen täytäntöönpanoa ei rahoiteta elpymis- ja palautumissuunnitelmasta. </w:t>
      </w:r>
    </w:p>
    <w:p w14:paraId="6C155FF3" w14:textId="77777777" w:rsidR="000E48CE" w:rsidRDefault="00FF4C4E">
      <w:pPr>
        <w:pStyle w:val="P68B1DB1-Normal4"/>
        <w:spacing w:before="120" w:after="120" w:line="240" w:lineRule="auto"/>
        <w:jc w:val="both"/>
        <w:rPr>
          <w:rFonts w:cs="Times New Roman"/>
          <w:noProof/>
        </w:rPr>
      </w:pPr>
      <w:r>
        <w:rPr>
          <w:noProof/>
        </w:rPr>
        <w:t xml:space="preserve">Toimenpiteen täytäntöönpano on saatettava päätökseen viimeistään 31 päivänä joulukuuta 2023. </w:t>
      </w:r>
    </w:p>
    <w:p w14:paraId="0B0ED941" w14:textId="77777777" w:rsidR="000E48CE" w:rsidRDefault="00FF4C4E">
      <w:pPr>
        <w:pStyle w:val="P68B1DB1-Normal6"/>
        <w:spacing w:before="120" w:after="120" w:line="240" w:lineRule="auto"/>
        <w:jc w:val="both"/>
        <w:rPr>
          <w:rFonts w:cs="Times New Roman"/>
          <w:noProof/>
        </w:rPr>
      </w:pPr>
      <w:r>
        <w:rPr>
          <w:noProof/>
        </w:rPr>
        <w:t>Uud</w:t>
      </w:r>
      <w:r>
        <w:rPr>
          <w:noProof/>
        </w:rPr>
        <w:t>istus 2 (C18.R2) – Julkisen terveydenhuoltojärjestelmän uudistus</w:t>
      </w:r>
    </w:p>
    <w:p w14:paraId="53B13C59" w14:textId="77777777" w:rsidR="000E48CE" w:rsidRDefault="00FF4C4E">
      <w:pPr>
        <w:pStyle w:val="P68B1DB1-Normal4"/>
        <w:spacing w:before="120" w:after="120" w:line="240" w:lineRule="auto"/>
        <w:jc w:val="both"/>
        <w:rPr>
          <w:rFonts w:cs="Times New Roman"/>
          <w:noProof/>
        </w:rPr>
      </w:pPr>
      <w:r>
        <w:rPr>
          <w:noProof/>
        </w:rPr>
        <w:t>Uudistuksen tavoitteena on luoda yleiset ja yhdennetyt puitteet kansanterveyden tarjonnalle. Siinä kehitetään kunnianhimoisempi, yhdennetympi ja paremmin jäsennetty julkinen terveydenhuoltojä</w:t>
      </w:r>
      <w:r>
        <w:rPr>
          <w:noProof/>
        </w:rPr>
        <w:t>rjestelmä seuraavien toimien avulla:</w:t>
      </w:r>
    </w:p>
    <w:p w14:paraId="516502D7" w14:textId="77777777" w:rsidR="000E48CE" w:rsidRDefault="00FF4C4E">
      <w:pPr>
        <w:pStyle w:val="P68B1DB1-Normal8"/>
        <w:spacing w:before="120" w:after="120" w:line="240" w:lineRule="auto"/>
        <w:ind w:left="850" w:hanging="425"/>
        <w:jc w:val="both"/>
        <w:rPr>
          <w:rFonts w:cs="Times New Roman"/>
          <w:noProof/>
          <w:sz w:val="24"/>
        </w:rPr>
      </w:pPr>
      <w:r>
        <w:rPr>
          <w:noProof/>
          <w:sz w:val="24"/>
        </w:rPr>
        <w:t>-</w:t>
      </w:r>
      <w:r>
        <w:rPr>
          <w:noProof/>
        </w:rPr>
        <w:tab/>
      </w:r>
      <w:r>
        <w:rPr>
          <w:noProof/>
          <w:sz w:val="24"/>
        </w:rPr>
        <w:t>Kansanterveysstrategia, jossa vahvistetaan yleiset ja yhdennetyt puitteet, jotka otetaan huomioon kaikissa kansanterveyspolitiikoissa ja jotka kestävät viisi vuotta ja joihin sisältyy joka toinen vuosi väliarviointeja</w:t>
      </w:r>
      <w:r>
        <w:rPr>
          <w:noProof/>
          <w:sz w:val="24"/>
        </w:rPr>
        <w:t>, joissa analysoidaan täytäntöönpanon astetta.</w:t>
      </w:r>
      <w:r>
        <w:rPr>
          <w:noProof/>
          <w:sz w:val="18"/>
        </w:rPr>
        <w:t xml:space="preserve"> </w:t>
      </w:r>
      <w:r>
        <w:rPr>
          <w:noProof/>
          <w:sz w:val="24"/>
        </w:rPr>
        <w:t>Strategia hyväksytään kansallisen terveydenhuoltojärjestelmän alueidenvälisen neuvoston suostumuksella.</w:t>
      </w:r>
    </w:p>
    <w:p w14:paraId="2B2ACA26" w14:textId="77777777" w:rsidR="000E48CE" w:rsidRDefault="00FF4C4E">
      <w:pPr>
        <w:pStyle w:val="P68B1DB1-Normal4"/>
        <w:spacing w:before="120" w:after="120" w:line="240" w:lineRule="auto"/>
        <w:ind w:left="850" w:hanging="425"/>
        <w:jc w:val="both"/>
        <w:rPr>
          <w:rFonts w:cs="Times New Roman"/>
          <w:noProof/>
        </w:rPr>
      </w:pPr>
      <w:r>
        <w:rPr>
          <w:noProof/>
        </w:rPr>
        <w:t>—</w:t>
      </w:r>
      <w:r>
        <w:rPr>
          <w:noProof/>
        </w:rPr>
        <w:tab/>
        <w:t>Kansanterveysalan seurantaverkosto ja uusi valtion kansanterveyskeskus, joka perustetaan lailla tai hal</w:t>
      </w:r>
      <w:r>
        <w:rPr>
          <w:noProof/>
        </w:rPr>
        <w:t>lituksen kuninkaan asetuksella.</w:t>
      </w:r>
    </w:p>
    <w:p w14:paraId="2399D7B1"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päivänä joulukuuta 2023.</w:t>
      </w:r>
    </w:p>
    <w:p w14:paraId="5FF46A81" w14:textId="77777777" w:rsidR="000E48CE" w:rsidRDefault="00FF4C4E">
      <w:pPr>
        <w:pStyle w:val="P68B1DB1-Normal6"/>
        <w:spacing w:before="120" w:after="120" w:line="240" w:lineRule="auto"/>
        <w:jc w:val="both"/>
        <w:rPr>
          <w:rFonts w:cs="Times New Roman"/>
          <w:noProof/>
        </w:rPr>
      </w:pPr>
      <w:r>
        <w:rPr>
          <w:noProof/>
        </w:rPr>
        <w:t>Uudistus 3 (C18. R3) – Yhtenäisyyden, tasapuolisuuden ja yleiskatteisuuden vahvistaminen</w:t>
      </w:r>
    </w:p>
    <w:p w14:paraId="3EA6C276" w14:textId="77777777" w:rsidR="000E48CE" w:rsidRDefault="00FF4C4E">
      <w:pPr>
        <w:pStyle w:val="P68B1DB1-Normal4"/>
        <w:spacing w:before="120" w:after="120" w:line="240" w:lineRule="auto"/>
        <w:jc w:val="both"/>
        <w:rPr>
          <w:rFonts w:cs="Times New Roman"/>
          <w:noProof/>
        </w:rPr>
      </w:pPr>
      <w:r>
        <w:rPr>
          <w:noProof/>
        </w:rPr>
        <w:t>Tämän uudistuksen tavoitteena on vahvistaa</w:t>
      </w:r>
      <w:r>
        <w:rPr>
          <w:noProof/>
        </w:rPr>
        <w:t xml:space="preserve"> edelleen yleisen terveydenhuollon saatavuutta Espanjassa, tasa-arvoa terveydenhuollon saatavuudessa ja terveydenhuollon yhteenkuuluvuutta maan eri alueiden välillä. Uudistus koostuu kolmesta pilarista:</w:t>
      </w:r>
    </w:p>
    <w:p w14:paraId="1E7EFC6A" w14:textId="77777777" w:rsidR="000E48CE" w:rsidRDefault="00FF4C4E">
      <w:pPr>
        <w:pStyle w:val="P68B1DB1-Normal4"/>
        <w:spacing w:before="120" w:after="120" w:line="240" w:lineRule="auto"/>
        <w:ind w:left="850" w:hanging="425"/>
        <w:jc w:val="both"/>
        <w:rPr>
          <w:rFonts w:cs="Times New Roman"/>
          <w:noProof/>
        </w:rPr>
      </w:pPr>
      <w:r>
        <w:rPr>
          <w:noProof/>
        </w:rPr>
        <w:t>—</w:t>
      </w:r>
      <w:r>
        <w:rPr>
          <w:noProof/>
        </w:rPr>
        <w:tab/>
        <w:t>Laki kansallisen terveydenhuoltojärjestelmän tasapu</w:t>
      </w:r>
      <w:r>
        <w:rPr>
          <w:noProof/>
        </w:rPr>
        <w:t>olisuudesta, yleismaailmallisuudesta ja yhteenkuuluvuudesta. Lain tavoitteet ovat seuraavat: varmistaa terveydenhuollon saatavuus kaikille, ii) sisällyttää potilaiden edustajat Espanjan kansallisen terveydenhuoltojärjestelmän hallintoelimiin, iii) rajoitta</w:t>
      </w:r>
      <w:r>
        <w:rPr>
          <w:noProof/>
        </w:rPr>
        <w:t>a uusien omavastuumaksujen käyttöä, iv) muuttaa sosiaali- ja terveysetuuksien määritelmää kansallisen terveydenhuoltojärjestelmän palveluvalikoimassa, v) varmistaa terveys- ja sosiaaliviranomaisten välinen koordinointi, vi) ottaa käyttöön vaikutustenarvioi</w:t>
      </w:r>
      <w:r>
        <w:rPr>
          <w:noProof/>
        </w:rPr>
        <w:t>nnin kaikista alan sääntelymuutoksista ja vii) uudistaa lääkkeiden käyttöä kansallisessa terveydenhuoltojärjestelmässä. Tähän lakiin on liitettävä perusteellinen vaikutustenarviointi, jossa tarkastellaan myös sen vaikutuksia julkisen talouden pitkän aikavä</w:t>
      </w:r>
      <w:r>
        <w:rPr>
          <w:noProof/>
        </w:rPr>
        <w:t>lin kestävyyteen, ja se on julkistettava.</w:t>
      </w:r>
    </w:p>
    <w:p w14:paraId="08A6364B" w14:textId="77777777" w:rsidR="000E48CE" w:rsidRDefault="00FF4C4E">
      <w:pPr>
        <w:pStyle w:val="P68B1DB1-Normal4"/>
        <w:spacing w:before="120" w:after="120" w:line="240" w:lineRule="auto"/>
        <w:ind w:left="850" w:hanging="425"/>
        <w:jc w:val="both"/>
        <w:rPr>
          <w:rFonts w:cs="Times New Roman"/>
          <w:noProof/>
        </w:rPr>
      </w:pPr>
      <w:r>
        <w:rPr>
          <w:noProof/>
        </w:rPr>
        <w:t>—</w:t>
      </w:r>
      <w:r>
        <w:rPr>
          <w:noProof/>
        </w:rPr>
        <w:tab/>
        <w:t xml:space="preserve">Terveydenhuoltojärjestelmän erittäin monimutkaisen hoidon uudelleensuuntaaminen lujittamalla ja kehittämällä yhteyspisteiden verkostoa ja järjestelemällä uudelleen erittäin monimutkaista muuta kuin CSUR-hoitoa. </w:t>
      </w:r>
    </w:p>
    <w:p w14:paraId="6B7D8F2B" w14:textId="77777777" w:rsidR="000E48CE" w:rsidRDefault="00FF4C4E">
      <w:pPr>
        <w:pStyle w:val="P68B1DB1-Normal4"/>
        <w:spacing w:before="120" w:after="120" w:line="240" w:lineRule="auto"/>
        <w:ind w:left="850" w:hanging="425"/>
        <w:jc w:val="both"/>
        <w:rPr>
          <w:rFonts w:cs="Times New Roman"/>
          <w:noProof/>
        </w:rPr>
      </w:pPr>
      <w:r>
        <w:rPr>
          <w:noProof/>
        </w:rPr>
        <w:t>—</w:t>
      </w:r>
      <w:r>
        <w:rPr>
          <w:noProof/>
        </w:rPr>
        <w:tab/>
        <w:t>Lisätään julkisten terveyspalvelujen yhteistä valikoimaa. Uudistuksella laajennetaan ja parannetaan yhteisen palveluvalikoiman palveluja hammas-, genomi-, ortopedisen ja proteesihoidon sekä ennaltaehkäisevän hoidon avulla.</w:t>
      </w:r>
    </w:p>
    <w:p w14:paraId="4AEA601A" w14:textId="77777777" w:rsidR="000E48CE" w:rsidRDefault="00FF4C4E">
      <w:pPr>
        <w:pStyle w:val="P68B1DB1-Normal4"/>
        <w:spacing w:before="120" w:after="120" w:line="240" w:lineRule="auto"/>
        <w:jc w:val="both"/>
        <w:rPr>
          <w:rFonts w:cs="Times New Roman"/>
          <w:noProof/>
        </w:rPr>
      </w:pPr>
      <w:r>
        <w:rPr>
          <w:noProof/>
        </w:rPr>
        <w:t xml:space="preserve">Toimenpiteen täytäntöönpano on </w:t>
      </w:r>
      <w:r>
        <w:rPr>
          <w:noProof/>
        </w:rPr>
        <w:t xml:space="preserve">saatettava päätökseen viimeistään 31 päivänä joulukuuta 2023. </w:t>
      </w:r>
    </w:p>
    <w:p w14:paraId="1C75AC79" w14:textId="77777777" w:rsidR="000E48CE" w:rsidRDefault="00FF4C4E">
      <w:pPr>
        <w:pStyle w:val="P68B1DB1-Normal6"/>
        <w:spacing w:before="120" w:after="120" w:line="240" w:lineRule="auto"/>
        <w:jc w:val="both"/>
        <w:rPr>
          <w:rFonts w:cs="Times New Roman"/>
          <w:noProof/>
        </w:rPr>
      </w:pPr>
      <w:r>
        <w:rPr>
          <w:noProof/>
        </w:rPr>
        <w:t>Uudistus 4 (C18. R4) – Ammatillisten taitojen vahvistaminen ja tilapäisten työsuhteiden vähentäminen</w:t>
      </w:r>
    </w:p>
    <w:p w14:paraId="69666E6E" w14:textId="77777777" w:rsidR="000E48CE" w:rsidRDefault="00FF4C4E">
      <w:pPr>
        <w:pStyle w:val="P68B1DB1-Normal4"/>
        <w:spacing w:before="120" w:after="120" w:line="240" w:lineRule="auto"/>
        <w:jc w:val="both"/>
        <w:rPr>
          <w:rFonts w:cs="Times New Roman"/>
          <w:noProof/>
        </w:rPr>
      </w:pPr>
      <w:r>
        <w:rPr>
          <w:noProof/>
        </w:rPr>
        <w:t>Uudistuksen tarkoituksena on puuttua sairaanhoitajien ja lääkäreiden pulaan, vähentää määräa</w:t>
      </w:r>
      <w:r>
        <w:rPr>
          <w:noProof/>
        </w:rPr>
        <w:t xml:space="preserve">ikaisten työsopimusten käyttöä, parantaa työoloja ja parantaa koulutusta ja ammatillista kehitystä. </w:t>
      </w:r>
    </w:p>
    <w:p w14:paraId="19A74EF3" w14:textId="77777777" w:rsidR="000E48CE" w:rsidRDefault="00FF4C4E">
      <w:pPr>
        <w:pStyle w:val="P68B1DB1-Normal4"/>
        <w:spacing w:before="120" w:after="120" w:line="240" w:lineRule="auto"/>
        <w:jc w:val="both"/>
        <w:rPr>
          <w:rFonts w:cs="Times New Roman"/>
          <w:noProof/>
        </w:rPr>
      </w:pPr>
      <w:r>
        <w:rPr>
          <w:noProof/>
        </w:rPr>
        <w:t>Uudistus kattaa kaksi alaa:</w:t>
      </w:r>
    </w:p>
    <w:p w14:paraId="428C83B7" w14:textId="77777777" w:rsidR="000E48CE" w:rsidRDefault="00FF4C4E">
      <w:pPr>
        <w:pStyle w:val="P68B1DB1-Normal4"/>
        <w:numPr>
          <w:ilvl w:val="0"/>
          <w:numId w:val="130"/>
        </w:numPr>
        <w:spacing w:before="120" w:after="160" w:line="259" w:lineRule="auto"/>
        <w:ind w:left="1134" w:hanging="425"/>
        <w:jc w:val="both"/>
        <w:rPr>
          <w:rFonts w:cs="Times New Roman"/>
          <w:noProof/>
        </w:rPr>
      </w:pPr>
      <w:r>
        <w:rPr>
          <w:noProof/>
        </w:rPr>
        <w:t>Espanjan terveydenhuollon työntekijöitä koskevan lain (puitesääntö) muuttaminen, jolla pyritään vähentämään tilapäisiä työsuhte</w:t>
      </w:r>
      <w:r>
        <w:rPr>
          <w:noProof/>
        </w:rPr>
        <w:t>ita, varmistamaan työpaikkojen täyttäminen tietyillä maantieteellisillä alueilla, joita kannustintoimet eivät riittävästi palvele, sekä parantaa ympäristöä ja työoloja toimenpiteillä, joilla edistetään ammatillista kehitystä ja säilytetään lahjakkuus Espan</w:t>
      </w:r>
      <w:r>
        <w:rPr>
          <w:noProof/>
        </w:rPr>
        <w:t>jan järjestelmässä, sekä parantamalla paitsi taloudellisia olosuhteita myös avaamalla mahdollisuuksia opetukseen ja tutkimukseen. Lain muuttamisen yhteydessä on laadittava kertomuksia sen taloudellisista vaikutuksista ja erityisesti julkisen talouden kestä</w:t>
      </w:r>
      <w:r>
        <w:rPr>
          <w:noProof/>
        </w:rPr>
        <w:t>vyydestä annetun lain pitkän aikavälin vaikutuksista.</w:t>
      </w:r>
    </w:p>
    <w:p w14:paraId="23A5C93E" w14:textId="77777777" w:rsidR="000E48CE" w:rsidRDefault="00FF4C4E">
      <w:pPr>
        <w:pStyle w:val="P68B1DB1-Normal4"/>
        <w:numPr>
          <w:ilvl w:val="0"/>
          <w:numId w:val="130"/>
        </w:numPr>
        <w:spacing w:before="120" w:after="160" w:line="259" w:lineRule="auto"/>
        <w:ind w:left="1134" w:hanging="425"/>
        <w:contextualSpacing/>
        <w:jc w:val="both"/>
        <w:rPr>
          <w:rFonts w:cs="Times New Roman"/>
          <w:noProof/>
        </w:rPr>
      </w:pPr>
      <w:r>
        <w:rPr>
          <w:noProof/>
        </w:rPr>
        <w:t xml:space="preserve">Kuninkaallisen asetuksen voimaantulo erikoistuneen terveydenhuollon koulutusjärjestelmän parantamiseksi. Laissa säädetään terveystieteiden erikoistumista koskevasta monialaisesta koulutuksesta, </w:t>
      </w:r>
      <w:r>
        <w:rPr>
          <w:noProof/>
        </w:rPr>
        <w:t>erityisistä koulutusaloista sekä terveystieteiden erikoisalojen pätevyyksien validointi- ja tunnustamismenettelystä.</w:t>
      </w:r>
    </w:p>
    <w:p w14:paraId="2A26071F" w14:textId="77777777" w:rsidR="000E48CE" w:rsidRDefault="000E48CE">
      <w:pPr>
        <w:spacing w:before="120" w:after="160" w:line="259" w:lineRule="auto"/>
        <w:ind w:left="1134"/>
        <w:contextualSpacing/>
        <w:jc w:val="both"/>
        <w:rPr>
          <w:rFonts w:ascii="Times New Roman" w:hAnsi="Times New Roman" w:cs="Times New Roman"/>
          <w:noProof/>
        </w:rPr>
      </w:pPr>
    </w:p>
    <w:p w14:paraId="0FEC0190" w14:textId="77777777" w:rsidR="000E48CE" w:rsidRDefault="00FF4C4E">
      <w:pPr>
        <w:pStyle w:val="P68B1DB1-Normal4"/>
        <w:spacing w:before="120" w:after="120" w:line="240" w:lineRule="auto"/>
        <w:jc w:val="both"/>
        <w:rPr>
          <w:rFonts w:cs="Times New Roman"/>
          <w:noProof/>
        </w:rPr>
      </w:pPr>
      <w:r>
        <w:rPr>
          <w:noProof/>
        </w:rPr>
        <w:t xml:space="preserve">Uudistus liittyy osa-alueen 11 uudistukseen 1 (C11.R1). </w:t>
      </w:r>
    </w:p>
    <w:p w14:paraId="6C04A7DC"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päivänä joulu</w:t>
      </w:r>
      <w:r>
        <w:rPr>
          <w:noProof/>
        </w:rPr>
        <w:t>kuuta 2023.</w:t>
      </w:r>
    </w:p>
    <w:p w14:paraId="09A885C2" w14:textId="77777777" w:rsidR="000E48CE" w:rsidRDefault="00FF4C4E">
      <w:pPr>
        <w:pStyle w:val="P68B1DB1-Normal6"/>
        <w:spacing w:before="120" w:after="120" w:line="240" w:lineRule="auto"/>
        <w:jc w:val="both"/>
        <w:rPr>
          <w:rFonts w:cs="Times New Roman"/>
          <w:noProof/>
        </w:rPr>
      </w:pPr>
      <w:r>
        <w:rPr>
          <w:noProof/>
        </w:rPr>
        <w:t>Uudistus 5 (C18.R5) – Lääkesääntelyn uudistaminen ja lääkkeiden saatavuuden parantaminen</w:t>
      </w:r>
    </w:p>
    <w:p w14:paraId="21200712" w14:textId="77777777" w:rsidR="000E48CE" w:rsidRDefault="00FF4C4E">
      <w:pPr>
        <w:pStyle w:val="P68B1DB1-Normal4"/>
        <w:spacing w:before="120" w:after="120" w:line="240" w:lineRule="auto"/>
        <w:jc w:val="both"/>
        <w:rPr>
          <w:rFonts w:cs="Times New Roman"/>
          <w:noProof/>
        </w:rPr>
      </w:pPr>
      <w:r>
        <w:rPr>
          <w:noProof/>
        </w:rPr>
        <w:t>Uudistuksen päätavoitteena on saattaa lääkkeitä ja lääkinnällisiä laitteita koskeva Espanjan sääntelykehys ajan tasalle muuttamalla lääkkeiden ja lääkinnäl</w:t>
      </w:r>
      <w:r>
        <w:rPr>
          <w:noProof/>
        </w:rPr>
        <w:t>listen laitteiden takuita ja järkiperäistä käyttöä koskevaa lakia (24. heinäkuuta 2015 annettu kuninkaallinen asetus 1/2015), joka on lainsäädäntö, jolla tällä hetkellä vahvistetaan asiaa koskeva sääntelykehys Espanjassa.  Järjestelmää on erityisesti mukau</w:t>
      </w:r>
      <w:r>
        <w:rPr>
          <w:noProof/>
        </w:rPr>
        <w:t>tettava siten, että se pystyy selviytymään uudesta häiritsevästä tieteellisestä kehityksestä, syventämään toimenpiteitä lääkemenojen järkeistämiseksi, kannustamaan lääkkeiden järkevään käyttöön ja tekemään muutoksia pandemian aikana saatujen kokemusten per</w:t>
      </w:r>
      <w:r>
        <w:rPr>
          <w:noProof/>
        </w:rPr>
        <w:t xml:space="preserve">usteella. Lakia laadittaessa on laadittava kertomuksia sen taloudellisista vaikutuksista ja erityisesti julkisen talouden kestävyydestä annetun lain pitkän aikavälin vaikutuksista. </w:t>
      </w:r>
    </w:p>
    <w:p w14:paraId="64BBFBBA" w14:textId="04C32DBA"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w:t>
      </w:r>
      <w:r>
        <w:rPr>
          <w:noProof/>
        </w:rPr>
        <w:t>ä joulukuuta 2023.</w:t>
      </w:r>
    </w:p>
    <w:p w14:paraId="1AB505A2" w14:textId="77777777" w:rsidR="000E48CE" w:rsidRDefault="00FF4C4E">
      <w:pPr>
        <w:pStyle w:val="P68B1DB1-Normal6"/>
        <w:keepNext/>
        <w:spacing w:before="120" w:after="120" w:line="240" w:lineRule="auto"/>
        <w:jc w:val="both"/>
        <w:rPr>
          <w:rFonts w:cs="Times New Roman"/>
          <w:noProof/>
        </w:rPr>
      </w:pPr>
      <w:r>
        <w:rPr>
          <w:noProof/>
        </w:rPr>
        <w:t>Investointi 1 (C18.I1) – Kansallisen terveydenhuoltojärjestelmän huipputeknologian laitteita koskeva investointiohjelma</w:t>
      </w:r>
    </w:p>
    <w:p w14:paraId="2DA5E361" w14:textId="77777777" w:rsidR="000E48CE" w:rsidRDefault="00FF4C4E">
      <w:pPr>
        <w:pStyle w:val="P68B1DB1-Normal4"/>
        <w:keepNext/>
        <w:spacing w:before="120" w:after="120" w:line="240" w:lineRule="auto"/>
        <w:jc w:val="both"/>
        <w:rPr>
          <w:rFonts w:cs="Times New Roman"/>
          <w:noProof/>
        </w:rPr>
      </w:pPr>
      <w:r>
        <w:rPr>
          <w:noProof/>
        </w:rPr>
        <w:t>Espanjassa laitteiden vanheneminen on korkeampi kuin Euroopassa keskimäärin ja laitteiden keskimääräinen tiheys asuka</w:t>
      </w:r>
      <w:r>
        <w:rPr>
          <w:noProof/>
        </w:rPr>
        <w:t>sta kohti on alhaisempi, mutta joitakin poikkeuksia, kuten magneettikuvausskannereita, lukuun ottamatta. Laitteiden maantieteellinen jakautuminen on myös epätasapainoista. Investoinnin tavoitteena on uudistaa olemassa olevia laitteita ja toimittaa Espanjal</w:t>
      </w:r>
      <w:r>
        <w:rPr>
          <w:noProof/>
        </w:rPr>
        <w:t>le lisää korkean teknologian lääkinnällisiä laitteita.</w:t>
      </w:r>
    </w:p>
    <w:p w14:paraId="5010DDAC" w14:textId="77777777" w:rsidR="000E48CE" w:rsidRDefault="00FF4C4E">
      <w:pPr>
        <w:pStyle w:val="P68B1DB1-Normal4"/>
        <w:spacing w:before="120" w:after="120" w:line="240" w:lineRule="auto"/>
        <w:jc w:val="both"/>
        <w:rPr>
          <w:rFonts w:cs="Times New Roman"/>
          <w:noProof/>
        </w:rPr>
      </w:pPr>
      <w:r>
        <w:rPr>
          <w:noProof/>
        </w:rPr>
        <w:t>Investoinnin on katettava:</w:t>
      </w:r>
    </w:p>
    <w:p w14:paraId="3214FCBB" w14:textId="77777777" w:rsidR="000E48CE" w:rsidRDefault="00FF4C4E">
      <w:pPr>
        <w:pStyle w:val="P68B1DB1-Normal4"/>
        <w:spacing w:before="120" w:after="120" w:line="240" w:lineRule="auto"/>
        <w:ind w:left="709"/>
        <w:jc w:val="both"/>
        <w:rPr>
          <w:rFonts w:cs="Times New Roman"/>
          <w:noProof/>
        </w:rPr>
      </w:pPr>
      <w:r>
        <w:rPr>
          <w:noProof/>
        </w:rPr>
        <w:t>—</w:t>
      </w:r>
      <w:r>
        <w:rPr>
          <w:noProof/>
        </w:rPr>
        <w:tab/>
        <w:t>Laitteiden uudistaminen vanhenemisen vuoksi.</w:t>
      </w:r>
    </w:p>
    <w:p w14:paraId="6A306554" w14:textId="77777777" w:rsidR="000E48CE" w:rsidRDefault="00FF4C4E">
      <w:pPr>
        <w:pStyle w:val="P68B1DB1-Normal4"/>
        <w:spacing w:before="120" w:after="120" w:line="240" w:lineRule="auto"/>
        <w:ind w:left="1418" w:hanging="709"/>
        <w:jc w:val="both"/>
        <w:rPr>
          <w:rFonts w:cs="Times New Roman"/>
          <w:noProof/>
        </w:rPr>
      </w:pPr>
      <w:r>
        <w:rPr>
          <w:noProof/>
        </w:rPr>
        <w:t>—</w:t>
      </w:r>
      <w:r>
        <w:rPr>
          <w:noProof/>
        </w:rPr>
        <w:tab/>
        <w:t>Laitekannan laajentaminen alueiden välisten erojen tasapainottamiseksi ja Euroopan unionin keskiarvon saavuttamiseksi (miljoo</w:t>
      </w:r>
      <w:r>
        <w:rPr>
          <w:noProof/>
        </w:rPr>
        <w:t>naa asukasta kohti). Erityistä huomiota kiinnitetään Espanjan alueisiin, joilla asukaskohtainen palvelutaso on alhainen kansalliseen keskiarvoon verrattuna.</w:t>
      </w:r>
    </w:p>
    <w:p w14:paraId="5DAC27B9" w14:textId="618C19F0" w:rsidR="000E48CE" w:rsidRDefault="00FF4C4E">
      <w:pPr>
        <w:pStyle w:val="P68B1DB1-Normal4"/>
        <w:spacing w:before="120" w:after="120" w:line="240" w:lineRule="auto"/>
        <w:jc w:val="both"/>
        <w:rPr>
          <w:rFonts w:cs="Times New Roman"/>
          <w:noProof/>
        </w:rPr>
      </w:pPr>
      <w:r>
        <w:rPr>
          <w:noProof/>
        </w:rPr>
        <w:t>Suunnitelman on sisällettävä seuraavantyyppiset laitteet: lineaariset kiihdyttimet, tietokoneavuste</w:t>
      </w:r>
      <w:r>
        <w:rPr>
          <w:noProof/>
        </w:rPr>
        <w:t>iset aksiaalitomografiat (CAT), mukaan lukien suunnittelukiihdyttimet; magneettiresonanssi, positroniemissiotografia (PET), positroniemissiotografia ja CAT (PET-CAT), gammakammio, digitaaliset brakinoterapialaitteet, verisuoniangigrafia, neurorradiologinen</w:t>
      </w:r>
      <w:r>
        <w:rPr>
          <w:noProof/>
        </w:rPr>
        <w:t xml:space="preserve"> angiografia ja hemodynaamiset huoneet.</w:t>
      </w:r>
    </w:p>
    <w:p w14:paraId="307CC6BD" w14:textId="77777777" w:rsidR="000E48CE" w:rsidRDefault="00FF4C4E">
      <w:pPr>
        <w:pStyle w:val="P68B1DB1-Normal4"/>
        <w:spacing w:before="120" w:after="120" w:line="240" w:lineRule="auto"/>
        <w:jc w:val="both"/>
        <w:rPr>
          <w:rFonts w:cs="Times New Roman"/>
          <w:noProof/>
        </w:rPr>
      </w:pPr>
      <w:r>
        <w:rPr>
          <w:noProof/>
        </w:rPr>
        <w:t>Investoinnin toteuttaminen on saatettava päätökseen 31 päivään joulukuuta 2023 mennessä.</w:t>
      </w:r>
    </w:p>
    <w:p w14:paraId="3DE11508" w14:textId="77777777" w:rsidR="000E48CE" w:rsidRDefault="00FF4C4E">
      <w:pPr>
        <w:pStyle w:val="P68B1DB1-Normal6"/>
        <w:spacing w:before="120" w:after="120" w:line="240" w:lineRule="auto"/>
        <w:jc w:val="both"/>
        <w:rPr>
          <w:rFonts w:cs="Times New Roman"/>
          <w:noProof/>
        </w:rPr>
      </w:pPr>
      <w:r>
        <w:rPr>
          <w:noProof/>
        </w:rPr>
        <w:t>Investointi 2 (C18.I2) – Toimet ennaltaehkäisyn ja terveyden edistämisen tehostamiseksi</w:t>
      </w:r>
    </w:p>
    <w:p w14:paraId="7EF09B9C" w14:textId="77777777" w:rsidR="000E48CE" w:rsidRDefault="00FF4C4E">
      <w:pPr>
        <w:pStyle w:val="P68B1DB1-Normal4"/>
        <w:spacing w:before="120" w:after="120" w:line="240" w:lineRule="auto"/>
        <w:jc w:val="both"/>
        <w:rPr>
          <w:rFonts w:cs="Times New Roman"/>
          <w:noProof/>
        </w:rPr>
      </w:pPr>
      <w:r>
        <w:rPr>
          <w:noProof/>
        </w:rPr>
        <w:t xml:space="preserve">Tällä investoinnilla pyritään </w:t>
      </w:r>
      <w:r>
        <w:rPr>
          <w:noProof/>
        </w:rPr>
        <w:t>vahvistamaan ennaltaehkäisevää hoitoa. Siinä keskitytään erityisesti terveellisten elintapojen ja ympäristöjen edistämiseen. Se kattaa muun muassa seuraavat alat: tupakoinnin torjunta, alkoholinkäytön ehkäiseminen, mielenterveyden edistäminen, terveelliste</w:t>
      </w:r>
      <w:r>
        <w:rPr>
          <w:noProof/>
        </w:rPr>
        <w:t>n elinympäristöjen ja elämäntapojen edistäminen, mikrobilääkeresistenssisuunnitelma ja syövän ehkäisy, mukaan lukien syövän torjuntaa koskevien eurooppalaisten sääntöjen levittäminen.</w:t>
      </w:r>
    </w:p>
    <w:p w14:paraId="6F8EA95A" w14:textId="77777777" w:rsidR="000E48CE" w:rsidRDefault="00FF4C4E">
      <w:pPr>
        <w:pStyle w:val="P68B1DB1-Normal4"/>
        <w:spacing w:before="120" w:after="120" w:line="240" w:lineRule="auto"/>
        <w:jc w:val="both"/>
        <w:rPr>
          <w:rFonts w:cs="Times New Roman"/>
          <w:noProof/>
        </w:rPr>
      </w:pPr>
      <w:r>
        <w:rPr>
          <w:noProof/>
        </w:rPr>
        <w:t>Investoinnin toteuttaminen on saatettava päätökseen 31 päivään joulukuut</w:t>
      </w:r>
      <w:r>
        <w:rPr>
          <w:noProof/>
        </w:rPr>
        <w:t>a 2023 mennessä.</w:t>
      </w:r>
    </w:p>
    <w:p w14:paraId="4F03E14C" w14:textId="77777777" w:rsidR="000E48CE" w:rsidRDefault="00FF4C4E">
      <w:pPr>
        <w:pStyle w:val="P68B1DB1-Normal6"/>
        <w:spacing w:before="120" w:after="120" w:line="240" w:lineRule="auto"/>
        <w:jc w:val="both"/>
        <w:rPr>
          <w:rFonts w:cs="Times New Roman"/>
          <w:noProof/>
        </w:rPr>
      </w:pPr>
      <w:r>
        <w:rPr>
          <w:noProof/>
        </w:rPr>
        <w:t>Investointi 3 (C18.I3) – Lisätään valmiuksia reagoida terveyskriiseihin</w:t>
      </w:r>
    </w:p>
    <w:p w14:paraId="62E70756" w14:textId="77777777" w:rsidR="000E48CE" w:rsidRDefault="00FF4C4E">
      <w:pPr>
        <w:pStyle w:val="P68B1DB1-Normal4"/>
        <w:spacing w:before="120" w:after="120" w:line="240" w:lineRule="auto"/>
        <w:jc w:val="both"/>
        <w:rPr>
          <w:rFonts w:cs="Times New Roman"/>
          <w:noProof/>
        </w:rPr>
      </w:pPr>
      <w:r>
        <w:rPr>
          <w:noProof/>
        </w:rPr>
        <w:t>Pandemia on korostanut tarvetta vahvistaa valvontavalmiuksia, varhaista havaitsemista ja nopeaa reagointia kriittisiin tilanteisiin sekä tarvetta vahvistaa laboratorio</w:t>
      </w:r>
      <w:r>
        <w:rPr>
          <w:noProof/>
        </w:rPr>
        <w:t>iden ja terveydenhuollon yksiköiden valmiuksia. Investointi koostuu joukosta toimia, joilla pyritään lisäämään valmiuksia vastata tuleviin terveyskriiseihin:</w:t>
      </w:r>
    </w:p>
    <w:p w14:paraId="54114934" w14:textId="77777777" w:rsidR="000E48CE" w:rsidRDefault="00FF4C4E">
      <w:pPr>
        <w:pStyle w:val="P68B1DB1-Normal4"/>
        <w:spacing w:before="120" w:after="120" w:line="240" w:lineRule="auto"/>
        <w:ind w:left="720"/>
        <w:jc w:val="both"/>
        <w:rPr>
          <w:rFonts w:cs="Times New Roman"/>
          <w:noProof/>
        </w:rPr>
      </w:pPr>
      <w:r>
        <w:rPr>
          <w:noProof/>
        </w:rPr>
        <w:t>1. Uuden valtion kansanterveyskeskuksen laitteet;</w:t>
      </w:r>
    </w:p>
    <w:p w14:paraId="36323D5D" w14:textId="77777777" w:rsidR="000E48CE" w:rsidRDefault="00FF4C4E">
      <w:pPr>
        <w:pStyle w:val="P68B1DB1-Normal4"/>
        <w:spacing w:before="120" w:after="120" w:line="240" w:lineRule="auto"/>
        <w:ind w:left="720"/>
        <w:jc w:val="both"/>
        <w:rPr>
          <w:rFonts w:cs="Times New Roman"/>
          <w:noProof/>
        </w:rPr>
      </w:pPr>
      <w:r>
        <w:rPr>
          <w:noProof/>
        </w:rPr>
        <w:t>2. Kansanterveyden seurannan tietojärjestelmä, j</w:t>
      </w:r>
      <w:r>
        <w:rPr>
          <w:noProof/>
        </w:rPr>
        <w:t>olla laajennetaan, parannetaan ja integroidaan tartuntatauteja ja ei-tarttuvia tauteja koskevia nykyisiä tietojärjestelmiä Espanjassa;</w:t>
      </w:r>
    </w:p>
    <w:p w14:paraId="4068DAB9" w14:textId="77777777" w:rsidR="000E48CE" w:rsidRDefault="00FF4C4E">
      <w:pPr>
        <w:pStyle w:val="P68B1DB1-Normal4"/>
        <w:spacing w:before="120" w:after="120" w:line="240" w:lineRule="auto"/>
        <w:ind w:left="720"/>
        <w:jc w:val="both"/>
        <w:rPr>
          <w:rFonts w:cs="Times New Roman"/>
          <w:noProof/>
        </w:rPr>
      </w:pPr>
      <w:r>
        <w:rPr>
          <w:noProof/>
        </w:rPr>
        <w:t>3. Melillan yliopistollisen sairaalan valmistuminen ja kansallisen dosimetriakeskuksen uuden rakennuksen rakentaminen;</w:t>
      </w:r>
    </w:p>
    <w:p w14:paraId="119BBF0E" w14:textId="56CBE7F9" w:rsidR="000E48CE" w:rsidRDefault="00FF4C4E">
      <w:pPr>
        <w:pStyle w:val="P68B1DB1-Normal4"/>
        <w:spacing w:before="120" w:after="120" w:line="240" w:lineRule="auto"/>
        <w:ind w:left="720"/>
        <w:jc w:val="both"/>
        <w:rPr>
          <w:rFonts w:cs="Times New Roman"/>
          <w:noProof/>
        </w:rPr>
      </w:pPr>
      <w:r>
        <w:rPr>
          <w:noProof/>
        </w:rPr>
        <w:t>4.</w:t>
      </w:r>
      <w:r>
        <w:rPr>
          <w:noProof/>
        </w:rPr>
        <w:t xml:space="preserve"> Kansallisen työterveys- ja työturvallisuusinstituutin henkilökohtaisten suojavarusteiden testauslaboratorion kapasiteetin lisääminen;</w:t>
      </w:r>
    </w:p>
    <w:p w14:paraId="1EFD3961" w14:textId="4EBDF077" w:rsidR="000E48CE" w:rsidRDefault="00FF4C4E">
      <w:pPr>
        <w:pStyle w:val="P68B1DB1-Normal4"/>
        <w:spacing w:before="120" w:after="120" w:line="240" w:lineRule="auto"/>
        <w:ind w:left="720"/>
        <w:jc w:val="both"/>
        <w:rPr>
          <w:rFonts w:cs="Times New Roman"/>
          <w:noProof/>
        </w:rPr>
      </w:pPr>
      <w:r>
        <w:rPr>
          <w:noProof/>
        </w:rPr>
        <w:t>5. Kansallisen elintarvikekeskuksen vahvistaminen;</w:t>
      </w:r>
    </w:p>
    <w:p w14:paraId="738F080A" w14:textId="77777777" w:rsidR="000E48CE" w:rsidRDefault="00FF4C4E">
      <w:pPr>
        <w:pStyle w:val="P68B1DB1-Normal4"/>
        <w:spacing w:before="120" w:after="120" w:line="240" w:lineRule="auto"/>
        <w:ind w:left="720"/>
        <w:jc w:val="both"/>
        <w:rPr>
          <w:rFonts w:cs="Times New Roman"/>
          <w:noProof/>
        </w:rPr>
      </w:pPr>
      <w:r>
        <w:rPr>
          <w:noProof/>
        </w:rPr>
        <w:t>6. Teknologiset investoinnit lääkevirastoon ja kansalliseen elinsiirto</w:t>
      </w:r>
      <w:r>
        <w:rPr>
          <w:noProof/>
        </w:rPr>
        <w:t>järjestöön;</w:t>
      </w:r>
    </w:p>
    <w:p w14:paraId="5134649D" w14:textId="77777777" w:rsidR="000E48CE" w:rsidRDefault="00FF4C4E">
      <w:pPr>
        <w:pStyle w:val="P68B1DB1-Normal4"/>
        <w:spacing w:before="120" w:after="120" w:line="240" w:lineRule="auto"/>
        <w:ind w:left="720"/>
        <w:jc w:val="both"/>
        <w:rPr>
          <w:rFonts w:cs="Times New Roman"/>
          <w:noProof/>
        </w:rPr>
      </w:pPr>
      <w:r>
        <w:rPr>
          <w:noProof/>
        </w:rPr>
        <w:t>7. Kansallisen terveydenhuoltojärjestelmän suorituskyvyn arviointi pandemian aikana.</w:t>
      </w:r>
    </w:p>
    <w:p w14:paraId="69794899" w14:textId="236625D9" w:rsidR="000E48CE" w:rsidRDefault="00FF4C4E">
      <w:pPr>
        <w:pStyle w:val="P68B1DB1-Normal4"/>
        <w:spacing w:before="120" w:after="120" w:line="240" w:lineRule="auto"/>
        <w:jc w:val="both"/>
        <w:rPr>
          <w:rFonts w:cs="Times New Roman"/>
          <w:noProof/>
        </w:rPr>
      </w:pPr>
      <w:r>
        <w:rPr>
          <w:noProof/>
        </w:rPr>
        <w:t xml:space="preserve">Investoinnin toteutus saatetaan päätökseen viimeistään 31. joulukuuta 2025. </w:t>
      </w:r>
    </w:p>
    <w:p w14:paraId="6CE2FA0F" w14:textId="77777777" w:rsidR="000E48CE" w:rsidRDefault="00FF4C4E">
      <w:pPr>
        <w:keepNext/>
        <w:spacing w:before="120" w:after="120" w:line="240" w:lineRule="auto"/>
        <w:jc w:val="both"/>
        <w:rPr>
          <w:rFonts w:ascii="Times New Roman" w:hAnsi="Times New Roman" w:cs="Times New Roman"/>
          <w:noProof/>
          <w:sz w:val="24"/>
          <w:u w:val="single"/>
        </w:rPr>
      </w:pPr>
      <w:r>
        <w:rPr>
          <w:rFonts w:ascii="Times New Roman" w:hAnsi="Times New Roman"/>
          <w:noProof/>
          <w:sz w:val="24"/>
          <w:u w:val="single"/>
        </w:rPr>
        <w:t>Investointi 4 (C18.I4) – Terveydenhuollon ammattilaisten koulutus ja resurssit tie</w:t>
      </w:r>
      <w:r>
        <w:rPr>
          <w:rFonts w:ascii="Times New Roman" w:hAnsi="Times New Roman"/>
          <w:noProof/>
          <w:sz w:val="24"/>
          <w:u w:val="single"/>
        </w:rPr>
        <w:t>tämyksen jakamiseksi ja</w:t>
      </w:r>
      <w:r>
        <w:rPr>
          <w:noProof/>
        </w:rPr>
        <w:t xml:space="preserve"> </w:t>
      </w:r>
      <w:r>
        <w:rPr>
          <w:rFonts w:ascii="Times New Roman" w:hAnsi="Times New Roman"/>
          <w:noProof/>
          <w:sz w:val="24"/>
          <w:u w:val="single"/>
        </w:rPr>
        <w:t>harvinaisia sairauksia sairastavien potilaiden hoidon parantamiseksi</w:t>
      </w:r>
    </w:p>
    <w:p w14:paraId="5AA0018A" w14:textId="77777777" w:rsidR="000E48CE" w:rsidRDefault="00FF4C4E">
      <w:pPr>
        <w:pStyle w:val="P68B1DB1-Normal4"/>
        <w:keepNext/>
        <w:tabs>
          <w:tab w:val="left" w:pos="1560"/>
        </w:tabs>
        <w:spacing w:before="120" w:after="120" w:line="240" w:lineRule="auto"/>
        <w:jc w:val="both"/>
        <w:rPr>
          <w:rFonts w:cs="Times New Roman"/>
          <w:noProof/>
        </w:rPr>
      </w:pPr>
      <w:r>
        <w:rPr>
          <w:noProof/>
        </w:rPr>
        <w:t>Investoinnilla pyritään vahvistamaan terveydenhuollon ammattilaisten taitoja ja osaamista keskittyen erityisesti koulutukseen, joka liittyy Espanjan elpymis- ja pa</w:t>
      </w:r>
      <w:r>
        <w:rPr>
          <w:noProof/>
        </w:rPr>
        <w:t>lautumissuunnitelman tämän osion uudistuksiin ja investointeihin. Sillä pyritään myös edistämään välineitä, joiden avulla terveydenhuollon ammattilaiset voivat jakaa tietoa terveydenhuollon koordinoinnin ja laadun parantamiseksi, myös tämän osa-alueen ensi</w:t>
      </w:r>
      <w:r>
        <w:rPr>
          <w:noProof/>
        </w:rPr>
        <w:t xml:space="preserve">sijaisilla aloilla. Lisäksi sillä pyritään parantamaan harvinaisia sairauksia sairastavien potilaiden hoitoa. </w:t>
      </w:r>
    </w:p>
    <w:p w14:paraId="47680125" w14:textId="20C6B3CD" w:rsidR="000E48CE" w:rsidRDefault="00FF4C4E">
      <w:pPr>
        <w:pStyle w:val="P68B1DB1-Normal4"/>
        <w:keepNext/>
        <w:tabs>
          <w:tab w:val="left" w:pos="1560"/>
        </w:tabs>
        <w:spacing w:before="120" w:after="120" w:line="240" w:lineRule="auto"/>
        <w:jc w:val="both"/>
        <w:rPr>
          <w:rFonts w:cs="Times New Roman"/>
          <w:noProof/>
        </w:rPr>
      </w:pPr>
      <w:r>
        <w:rPr>
          <w:noProof/>
        </w:rPr>
        <w:t>Investoinnin on katettava viisi alaa:</w:t>
      </w:r>
    </w:p>
    <w:p w14:paraId="7C00C580" w14:textId="77777777" w:rsidR="000E48CE" w:rsidRDefault="00FF4C4E">
      <w:pPr>
        <w:pStyle w:val="P68B1DB1-Normal4"/>
        <w:numPr>
          <w:ilvl w:val="0"/>
          <w:numId w:val="131"/>
        </w:numPr>
        <w:spacing w:before="120" w:after="160" w:line="259" w:lineRule="auto"/>
        <w:contextualSpacing/>
        <w:jc w:val="both"/>
        <w:rPr>
          <w:rFonts w:cs="Times New Roman"/>
          <w:noProof/>
        </w:rPr>
      </w:pPr>
      <w:r>
        <w:rPr>
          <w:noProof/>
        </w:rPr>
        <w:t>Jatkokoulutus seuraavilla aloilla: terveysteknologian ja tietojärjestelmien käyttö, kansanterveyden ja epid</w:t>
      </w:r>
      <w:r>
        <w:rPr>
          <w:noProof/>
        </w:rPr>
        <w:t>emiologian seuranta, potilas- ja ammattiturvallisuus, diagnostisten ja hoitoresurssien järkevä käyttö, syövän varhainen havaitseminen, mielenterveys, ympäristöterveys, riskitekijöiden ehkäiseminen, sukupuoleen perustuvan väkivallan varhainen havaitseminen,</w:t>
      </w:r>
      <w:r>
        <w:rPr>
          <w:noProof/>
        </w:rPr>
        <w:t xml:space="preserve"> lasten hyväksikäytön varhainen havaitseminen, bioetiikka, elämän loppuhoito, kliininen viestintä, näyttöön perustuva lääketiede, ryhmätyö, tutkimusmenetelmät, terveyskeskuksista vastaavien henkilöiden johtamistaitojen kehittäminen, erikoisterveydenhuollon</w:t>
      </w:r>
      <w:r>
        <w:rPr>
          <w:noProof/>
        </w:rPr>
        <w:t xml:space="preserve"> ohjaajien koulutus ja jatkokoulutuksen arvioijien koulutus.</w:t>
      </w:r>
    </w:p>
    <w:p w14:paraId="44A5B044" w14:textId="77777777" w:rsidR="000E48CE" w:rsidRDefault="00FF4C4E">
      <w:pPr>
        <w:pStyle w:val="P68B1DB1-Normal4"/>
        <w:numPr>
          <w:ilvl w:val="0"/>
          <w:numId w:val="131"/>
        </w:numPr>
        <w:spacing w:before="120" w:after="160" w:line="259" w:lineRule="auto"/>
        <w:contextualSpacing/>
        <w:jc w:val="both"/>
        <w:rPr>
          <w:rFonts w:cs="Times New Roman"/>
          <w:noProof/>
        </w:rPr>
      </w:pPr>
      <w:r>
        <w:rPr>
          <w:noProof/>
        </w:rPr>
        <w:t>Järjestelmän perustaminen kansallisen terveydenhuoltojärjestelmän ammattilaisten hankkimien sääntelemättömien taitojen arvioimiseksi ja hyväksymiseksi</w:t>
      </w:r>
    </w:p>
    <w:p w14:paraId="69259F98" w14:textId="01EC7B45" w:rsidR="000E48CE" w:rsidRDefault="00FF4C4E">
      <w:pPr>
        <w:pStyle w:val="P68B1DB1-Normal4"/>
        <w:numPr>
          <w:ilvl w:val="0"/>
          <w:numId w:val="131"/>
        </w:numPr>
        <w:spacing w:before="120" w:after="160" w:line="259" w:lineRule="auto"/>
        <w:contextualSpacing/>
        <w:jc w:val="both"/>
        <w:rPr>
          <w:rFonts w:cs="Times New Roman"/>
          <w:noProof/>
        </w:rPr>
      </w:pPr>
      <w:r>
        <w:rPr>
          <w:noProof/>
        </w:rPr>
        <w:t>Yhteistyövälineet erittäin monimutkaisten ol</w:t>
      </w:r>
      <w:r>
        <w:rPr>
          <w:noProof/>
        </w:rPr>
        <w:t xml:space="preserve">osuhteiden käsittelemiseksi. </w:t>
      </w:r>
    </w:p>
    <w:p w14:paraId="3A263ED7" w14:textId="3C2D1E89" w:rsidR="000E48CE" w:rsidRDefault="00FF4C4E">
      <w:pPr>
        <w:pStyle w:val="P68B1DB1-Normal4"/>
        <w:numPr>
          <w:ilvl w:val="0"/>
          <w:numId w:val="131"/>
        </w:numPr>
        <w:spacing w:before="120" w:after="160" w:line="259" w:lineRule="auto"/>
        <w:contextualSpacing/>
        <w:jc w:val="both"/>
        <w:rPr>
          <w:rFonts w:cs="Times New Roman"/>
          <w:noProof/>
        </w:rPr>
      </w:pPr>
      <w:r>
        <w:rPr>
          <w:noProof/>
        </w:rPr>
        <w:t xml:space="preserve">Tietokoneistetun kartoituksen kehittäminen varhaishoidon ja genomilääketieteen yhteisten resurssien ja palvelujen visualisoimiseksi Espanjassa. </w:t>
      </w:r>
    </w:p>
    <w:p w14:paraId="68459F49" w14:textId="652616A6" w:rsidR="000E48CE" w:rsidRDefault="00FF4C4E">
      <w:pPr>
        <w:pStyle w:val="P68B1DB1-Normal4"/>
        <w:numPr>
          <w:ilvl w:val="0"/>
          <w:numId w:val="131"/>
        </w:numPr>
        <w:spacing w:before="120" w:after="160" w:line="259" w:lineRule="auto"/>
        <w:contextualSpacing/>
        <w:jc w:val="both"/>
        <w:rPr>
          <w:rFonts w:cs="Times New Roman"/>
          <w:noProof/>
        </w:rPr>
      </w:pPr>
      <w:r>
        <w:rPr>
          <w:noProof/>
        </w:rPr>
        <w:t xml:space="preserve">Sellaisten pilottihankkeiden loppuun saattaminen, joiden tarkoituksena on </w:t>
      </w:r>
      <w:r>
        <w:rPr>
          <w:noProof/>
        </w:rPr>
        <w:t>varustaa kansallinen terveydenhuoltojärjestelmä yhteentoimivilla valmiuksilla, infrastruktuurilla, laitteilla ja tietojärjestelmillä, joilla helpotetaan harvinaisia sairauksia sairastavien potilaiden terveydenhuollon parantamista.</w:t>
      </w:r>
    </w:p>
    <w:p w14:paraId="64290D2A" w14:textId="77777777" w:rsidR="000E48CE" w:rsidRDefault="000E48CE">
      <w:pPr>
        <w:spacing w:before="120" w:after="160" w:line="259" w:lineRule="auto"/>
        <w:ind w:left="720"/>
        <w:contextualSpacing/>
        <w:jc w:val="both"/>
        <w:rPr>
          <w:rFonts w:ascii="Times New Roman" w:hAnsi="Times New Roman" w:cs="Times New Roman"/>
          <w:noProof/>
          <w:sz w:val="24"/>
        </w:rPr>
      </w:pPr>
    </w:p>
    <w:p w14:paraId="15EAF733" w14:textId="2E759F62" w:rsidR="000E48CE" w:rsidRDefault="00FF4C4E">
      <w:pPr>
        <w:pStyle w:val="P68B1DB1-Normal4"/>
        <w:spacing w:before="120" w:after="120" w:line="240" w:lineRule="auto"/>
        <w:jc w:val="both"/>
        <w:rPr>
          <w:rFonts w:cs="Times New Roman"/>
          <w:noProof/>
        </w:rPr>
      </w:pPr>
      <w:r>
        <w:rPr>
          <w:noProof/>
        </w:rPr>
        <w:t>Investoinnin toteutus sa</w:t>
      </w:r>
      <w:r>
        <w:rPr>
          <w:noProof/>
        </w:rPr>
        <w:t xml:space="preserve">atetaan päätökseen viimeistään 30. kesäkuuta 2026. </w:t>
      </w:r>
    </w:p>
    <w:p w14:paraId="721A2B6D" w14:textId="76DB5867" w:rsidR="000E48CE" w:rsidRDefault="00FF4C4E">
      <w:pPr>
        <w:pStyle w:val="P68B1DB1-Normal6"/>
        <w:spacing w:before="120" w:after="120" w:line="240" w:lineRule="auto"/>
        <w:jc w:val="both"/>
        <w:rPr>
          <w:rFonts w:cs="Times New Roman"/>
          <w:noProof/>
        </w:rPr>
      </w:pPr>
      <w:r>
        <w:rPr>
          <w:noProof/>
        </w:rPr>
        <w:t>Investointi 5 (C18.I5) – Suunnitelma lääkkeiden kulutuksen järkeistämiseksi ja kestävyyden edistämiseksi sekä genomipalvelujen valikoiman laajentamiseksi kansallisessa terveydenhuoltojärjestelmässä</w:t>
      </w:r>
    </w:p>
    <w:p w14:paraId="7100F4DF" w14:textId="77777777" w:rsidR="000E48CE" w:rsidRDefault="00FF4C4E">
      <w:pPr>
        <w:pStyle w:val="P68B1DB1-Normal4"/>
        <w:spacing w:before="120" w:after="120" w:line="240" w:lineRule="auto"/>
        <w:jc w:val="both"/>
        <w:rPr>
          <w:rFonts w:cs="Times New Roman"/>
          <w:noProof/>
        </w:rPr>
      </w:pPr>
      <w:r>
        <w:rPr>
          <w:noProof/>
        </w:rPr>
        <w:t>Invest</w:t>
      </w:r>
      <w:r>
        <w:rPr>
          <w:noProof/>
        </w:rPr>
        <w:t>ointi koostuu lääkkeiden ja lääkinnällisten laitteiden käytön järkeistämistä koskevan suunnitelman täytäntöönpanosta. Suunnitelmalla pyritään saavuttamaan seuraavat tavoitteet:</w:t>
      </w:r>
    </w:p>
    <w:p w14:paraId="4CBF0E04" w14:textId="77777777" w:rsidR="000E48CE" w:rsidRDefault="00FF4C4E">
      <w:pPr>
        <w:pStyle w:val="P68B1DB1-Normal4"/>
        <w:numPr>
          <w:ilvl w:val="0"/>
          <w:numId w:val="132"/>
        </w:numPr>
        <w:spacing w:before="120" w:after="120" w:line="259" w:lineRule="auto"/>
        <w:ind w:left="714" w:hanging="357"/>
        <w:contextualSpacing/>
        <w:jc w:val="both"/>
        <w:rPr>
          <w:rFonts w:cs="Times New Roman"/>
          <w:noProof/>
        </w:rPr>
      </w:pPr>
      <w:r>
        <w:rPr>
          <w:noProof/>
        </w:rPr>
        <w:t>käyttää lääkinnällisiä tuotteita vain silloin, kun ne ovat välttämättömiä, ja j</w:t>
      </w:r>
      <w:r>
        <w:rPr>
          <w:noProof/>
        </w:rPr>
        <w:t>os niitä käytetään, käyttää kustannustehokkaimpia lääkkeitä;</w:t>
      </w:r>
    </w:p>
    <w:p w14:paraId="2EB85BAE" w14:textId="71704731" w:rsidR="000E48CE" w:rsidRDefault="00FF4C4E">
      <w:pPr>
        <w:pStyle w:val="P68B1DB1-Normal4"/>
        <w:numPr>
          <w:ilvl w:val="0"/>
          <w:numId w:val="132"/>
        </w:numPr>
        <w:spacing w:before="120" w:after="120" w:line="259" w:lineRule="auto"/>
        <w:ind w:left="714" w:hanging="357"/>
        <w:contextualSpacing/>
        <w:jc w:val="both"/>
        <w:rPr>
          <w:rFonts w:cs="Times New Roman"/>
          <w:noProof/>
        </w:rPr>
      </w:pPr>
      <w:r>
        <w:rPr>
          <w:noProof/>
        </w:rPr>
        <w:t xml:space="preserve">vähennetään polyapteekkia (yli viisi lääkettä) ja lääkkeiden tarpeetonta käyttöä;  </w:t>
      </w:r>
    </w:p>
    <w:p w14:paraId="6B0DB5E6" w14:textId="7B6825C6" w:rsidR="000E48CE" w:rsidRDefault="00FF4C4E">
      <w:pPr>
        <w:pStyle w:val="P68B1DB1-Normal4"/>
        <w:numPr>
          <w:ilvl w:val="0"/>
          <w:numId w:val="132"/>
        </w:numPr>
        <w:spacing w:before="120" w:after="120" w:line="259" w:lineRule="auto"/>
        <w:ind w:left="714" w:hanging="357"/>
        <w:contextualSpacing/>
        <w:jc w:val="both"/>
        <w:rPr>
          <w:rFonts w:cs="Times New Roman"/>
          <w:noProof/>
        </w:rPr>
      </w:pPr>
      <w:r>
        <w:rPr>
          <w:noProof/>
        </w:rPr>
        <w:t>vähentää uusiin lääkkeisiin liittyvää kliinistä epävarmuutta lisäämällä tieteellistä tietämystä, parantamalla s</w:t>
      </w:r>
      <w:r>
        <w:rPr>
          <w:noProof/>
        </w:rPr>
        <w:t>aatavilla olevaa tietoa ja vähentämällä taloudellista epävarmuutta.</w:t>
      </w:r>
    </w:p>
    <w:p w14:paraId="0DB07811" w14:textId="2250D2DE" w:rsidR="000E48CE" w:rsidRDefault="00FF4C4E">
      <w:pPr>
        <w:pStyle w:val="P68B1DB1-ListParagraph7"/>
        <w:numPr>
          <w:ilvl w:val="0"/>
          <w:numId w:val="132"/>
        </w:numPr>
        <w:spacing w:before="120" w:after="120"/>
        <w:ind w:left="714" w:hanging="357"/>
        <w:jc w:val="both"/>
        <w:rPr>
          <w:rFonts w:cs="Times New Roman"/>
          <w:noProof/>
        </w:rPr>
      </w:pPr>
      <w:r>
        <w:rPr>
          <w:noProof/>
        </w:rPr>
        <w:t>laajennetaan genomipalvelujen valikoimaa kansallisessa terveydenhuoltojärjestelmässä</w:t>
      </w:r>
    </w:p>
    <w:p w14:paraId="45FAD8ED" w14:textId="77777777" w:rsidR="000E48CE" w:rsidRDefault="00FF4C4E">
      <w:pPr>
        <w:pStyle w:val="P68B1DB1-Normal4"/>
        <w:spacing w:before="120" w:after="120" w:line="240" w:lineRule="auto"/>
        <w:jc w:val="both"/>
        <w:rPr>
          <w:rFonts w:cs="Times New Roman"/>
          <w:noProof/>
        </w:rPr>
      </w:pPr>
      <w:r>
        <w:rPr>
          <w:noProof/>
        </w:rPr>
        <w:t>Suunnitelmaan sisältyy kolmen järjestelmän luominen tai kehittäminen edelleen huumausaineiden ja tervey</w:t>
      </w:r>
      <w:r>
        <w:rPr>
          <w:noProof/>
        </w:rPr>
        <w:t>steknologian arvioinnin parantamiseksi Espanjassa:</w:t>
      </w:r>
    </w:p>
    <w:p w14:paraId="4360D124" w14:textId="77777777" w:rsidR="000E48CE" w:rsidRDefault="00FF4C4E">
      <w:pPr>
        <w:pStyle w:val="P68B1DB1-Normal4"/>
        <w:numPr>
          <w:ilvl w:val="0"/>
          <w:numId w:val="134"/>
        </w:numPr>
        <w:spacing w:before="120" w:after="160" w:line="259" w:lineRule="auto"/>
        <w:contextualSpacing/>
        <w:jc w:val="both"/>
        <w:rPr>
          <w:rFonts w:cs="Times New Roman"/>
          <w:noProof/>
        </w:rPr>
      </w:pPr>
      <w:r>
        <w:rPr>
          <w:noProof/>
        </w:rPr>
        <w:t>Lääkkeiden arviointiverkoston perustaminen kansallisessa terveydenhuoltojärjestelmässä: On kehitettävä tekninen alusta lääkkeiden arviointi- ja paikannusraporttien (joissa analysoidaan uusien lääkkeiden li</w:t>
      </w:r>
      <w:r>
        <w:rPr>
          <w:noProof/>
        </w:rPr>
        <w:t>säarvoa niiden kustannustehokkuuden perusteella) hallinnoimiseksi ja jakamiseksi niiden eri kehitysvaiheissa.</w:t>
      </w:r>
    </w:p>
    <w:p w14:paraId="74443222" w14:textId="77777777" w:rsidR="000E48CE" w:rsidRDefault="00FF4C4E">
      <w:pPr>
        <w:pStyle w:val="P68B1DB1-Normal4"/>
        <w:numPr>
          <w:ilvl w:val="0"/>
          <w:numId w:val="134"/>
        </w:numPr>
        <w:spacing w:before="120" w:after="160" w:line="259" w:lineRule="auto"/>
        <w:contextualSpacing/>
        <w:jc w:val="both"/>
        <w:rPr>
          <w:rFonts w:cs="Times New Roman"/>
          <w:noProof/>
        </w:rPr>
      </w:pPr>
      <w:r>
        <w:rPr>
          <w:noProof/>
        </w:rPr>
        <w:t>Suurivaikutteisten lääkkeiden järjestelmän laajentaminen (Valtermed). Väline perustuu hallinnollisten, kliinisten ja hoitotietojen rekisteriin, jo</w:t>
      </w:r>
      <w:r>
        <w:rPr>
          <w:noProof/>
        </w:rPr>
        <w:t>nka avulla voidaan seurata ja analysoida potilaiden alkuperäistä tilaa ja kehitystä farmakologisen hoidon aloittamisen jälkeen. Tämän uuden välineen tavoite on integroitava itsehallintoalueiden tietojärjestelmiin, ja siihen on sisällytettävä tietoa lääkkei</w:t>
      </w:r>
      <w:r>
        <w:rPr>
          <w:noProof/>
        </w:rPr>
        <w:t>den vaikutuksesta potilaiden elämänlaatuun.</w:t>
      </w:r>
    </w:p>
    <w:p w14:paraId="77443D4E" w14:textId="77777777" w:rsidR="000E48CE" w:rsidRDefault="00FF4C4E">
      <w:pPr>
        <w:pStyle w:val="P68B1DB1-Normal4"/>
        <w:numPr>
          <w:ilvl w:val="0"/>
          <w:numId w:val="134"/>
        </w:numPr>
        <w:spacing w:before="120" w:after="160" w:line="240" w:lineRule="auto"/>
        <w:contextualSpacing/>
        <w:jc w:val="both"/>
        <w:rPr>
          <w:rFonts w:cs="Times New Roman"/>
          <w:noProof/>
        </w:rPr>
      </w:pPr>
      <w:r>
        <w:rPr>
          <w:noProof/>
        </w:rPr>
        <w:t xml:space="preserve">Perustetaan Espanjan terveysteknologian ja -hoidon verkosto (REDETS). Verkostolla on keskeinen rooli tieteellisen ja teknisen neuvonnan antamisessa päätöksentekoa varten terveysteknologian ja -palvelujen </w:t>
      </w:r>
      <w:r>
        <w:rPr>
          <w:noProof/>
        </w:rPr>
        <w:t>sisällyttämisestä julkiseen rahoitukseen. Teknologisen alustan on mahdollistettava REDETS-tuotteiden hallinta ja jakaminen niiden eri kehitysvaiheissa verkoston virastojen/yksiköiden kesken sekä kullekin vaiheelle määriteltyjen määräaikojen noudattamisen s</w:t>
      </w:r>
      <w:r>
        <w:rPr>
          <w:noProof/>
        </w:rPr>
        <w:t>euranta.</w:t>
      </w:r>
    </w:p>
    <w:p w14:paraId="26438FF8" w14:textId="2197C04D" w:rsidR="000E48CE" w:rsidRDefault="00FF4C4E">
      <w:pPr>
        <w:spacing w:before="120" w:after="120" w:line="240" w:lineRule="auto"/>
        <w:contextualSpacing/>
        <w:jc w:val="both"/>
        <w:rPr>
          <w:rFonts w:ascii="Times New Roman" w:hAnsi="Times New Roman" w:cs="Times New Roman"/>
          <w:noProof/>
          <w:sz w:val="24"/>
        </w:rPr>
      </w:pPr>
      <w:r>
        <w:rPr>
          <w:rFonts w:ascii="Times New Roman" w:hAnsi="Times New Roman"/>
          <w:noProof/>
          <w:sz w:val="24"/>
        </w:rPr>
        <w:t xml:space="preserve">Investoinnin on </w:t>
      </w:r>
      <w:r>
        <w:rPr>
          <w:noProof/>
        </w:rPr>
        <w:t>katettava</w:t>
      </w:r>
      <w:r>
        <w:rPr>
          <w:rFonts w:ascii="Times New Roman" w:hAnsi="Times New Roman"/>
          <w:noProof/>
          <w:sz w:val="24"/>
        </w:rPr>
        <w:t>hankkeet, jotka liittyvät rinnakkais- ja biosimilaarilääkkeiden käytön edistäminen, ortopedisten ja prosteettisten palvelujen ja tuotteiden kehittäminen ja nykyaikaistaminen, terveydenhuollon ammattilaisten kouluttaminen l</w:t>
      </w:r>
      <w:r>
        <w:rPr>
          <w:rFonts w:ascii="Times New Roman" w:hAnsi="Times New Roman"/>
          <w:noProof/>
          <w:sz w:val="24"/>
        </w:rPr>
        <w:t>ääkkeiden järkevästä käytöstä ja ratkaisut, joilla edistetään lääkkeiden innovointia.</w:t>
      </w:r>
    </w:p>
    <w:p w14:paraId="08F6D3F2" w14:textId="77C6FB3F" w:rsidR="000E48CE" w:rsidRDefault="00FF4C4E">
      <w:pPr>
        <w:pStyle w:val="ListParagraph"/>
        <w:spacing w:before="120" w:after="120" w:line="240" w:lineRule="auto"/>
        <w:ind w:left="0"/>
        <w:jc w:val="both"/>
        <w:rPr>
          <w:rFonts w:ascii="Times New Roman" w:hAnsi="Times New Roman" w:cs="Times New Roman"/>
          <w:noProof/>
          <w:sz w:val="24"/>
        </w:rPr>
      </w:pPr>
      <w:r>
        <w:rPr>
          <w:rFonts w:ascii="Times New Roman" w:hAnsi="Times New Roman"/>
          <w:noProof/>
          <w:sz w:val="24"/>
        </w:rPr>
        <w:t>Investoinnilla laajennetaan</w:t>
      </w:r>
      <w:r>
        <w:rPr>
          <w:noProof/>
        </w:rPr>
        <w:t xml:space="preserve"> </w:t>
      </w:r>
      <w:r>
        <w:rPr>
          <w:rFonts w:ascii="Times New Roman" w:hAnsi="Times New Roman"/>
          <w:noProof/>
          <w:sz w:val="24"/>
        </w:rPr>
        <w:t>myös kansallisen terveydenhuoltojärjestelmän geneettisen testauksen luetteloa hankkimalla tarvittavat laitteet ja luomalla tietojärjestelmä ge</w:t>
      </w:r>
      <w:r>
        <w:rPr>
          <w:rFonts w:ascii="Times New Roman" w:hAnsi="Times New Roman"/>
          <w:noProof/>
          <w:sz w:val="24"/>
        </w:rPr>
        <w:t xml:space="preserve">nomitiedon integroimiseksi kansallisella tasolla. </w:t>
      </w:r>
    </w:p>
    <w:p w14:paraId="002D9CE5" w14:textId="77777777" w:rsidR="000E48CE" w:rsidRDefault="000E48CE">
      <w:pPr>
        <w:pStyle w:val="ListParagraph"/>
        <w:spacing w:before="120" w:after="120" w:line="240" w:lineRule="auto"/>
        <w:ind w:left="0"/>
        <w:jc w:val="both"/>
        <w:rPr>
          <w:rFonts w:ascii="Times New Roman" w:hAnsi="Times New Roman" w:cs="Times New Roman"/>
          <w:noProof/>
          <w:sz w:val="24"/>
        </w:rPr>
      </w:pPr>
    </w:p>
    <w:p w14:paraId="70E8B695" w14:textId="7AD8693D" w:rsidR="000E48CE" w:rsidRDefault="00FF4C4E">
      <w:pPr>
        <w:pStyle w:val="P68B1DB1-ListParagraph7"/>
        <w:spacing w:before="120" w:after="120" w:line="240" w:lineRule="auto"/>
        <w:ind w:left="0"/>
        <w:jc w:val="both"/>
        <w:rPr>
          <w:rFonts w:cs="Times New Roman"/>
          <w:noProof/>
        </w:rPr>
      </w:pPr>
      <w:r>
        <w:rPr>
          <w:noProof/>
        </w:rPr>
        <w:t>Investoinnin toteutus saatetaan päätökseen viimeistään 30. kesäkuuta 2026.</w:t>
      </w:r>
    </w:p>
    <w:p w14:paraId="2AB17794" w14:textId="77777777" w:rsidR="000E48CE" w:rsidRDefault="00FF4C4E">
      <w:pPr>
        <w:pStyle w:val="P68B1DB1-Normal6"/>
        <w:spacing w:before="120" w:after="120" w:line="240" w:lineRule="auto"/>
        <w:jc w:val="both"/>
        <w:rPr>
          <w:rFonts w:cs="Times New Roman"/>
          <w:noProof/>
        </w:rPr>
      </w:pPr>
      <w:r>
        <w:rPr>
          <w:noProof/>
        </w:rPr>
        <w:t>Investointi 6 (C18.I6) – Terveystietojärvi</w:t>
      </w:r>
    </w:p>
    <w:p w14:paraId="75453DF5" w14:textId="678F28DA" w:rsidR="000E48CE" w:rsidRDefault="00FF4C4E">
      <w:pPr>
        <w:pStyle w:val="P68B1DB1-Normal4"/>
        <w:spacing w:before="120" w:after="120" w:line="240" w:lineRule="auto"/>
        <w:jc w:val="both"/>
        <w:rPr>
          <w:rFonts w:cs="Times New Roman"/>
          <w:noProof/>
        </w:rPr>
      </w:pPr>
      <w:r>
        <w:rPr>
          <w:noProof/>
        </w:rPr>
        <w:t>Investointi koostuu terveystietojärven luomisesta, joka kerää tietoa eri tietojärjeste</w:t>
      </w:r>
      <w:r>
        <w:rPr>
          <w:noProof/>
        </w:rPr>
        <w:t>lmistä, myös alueellisista järjestelmistä, jotta voidaan helpottaa verilöyllyä reaaliaikaisesti diagnostiikan ja hoidon tukemiseksi ja parantamiseksi, riskitekijöiden tunnistaminen, kehityssuuntien analysointi, mallien tunnistaminen, terveysriskitilanteide</w:t>
      </w:r>
      <w:r>
        <w:rPr>
          <w:noProof/>
        </w:rPr>
        <w:t>n ennustaminen ja niihin liittyvien resurssien ohjelmointi, mukaan lukien tekoälyalgoritmien käyttö, sekä uudet skaalautuvat järjestelmäarkkitehtuurit ja uudet välineet mallien käsittelyä ja tunnistamista varten.</w:t>
      </w:r>
    </w:p>
    <w:p w14:paraId="7C66CDFF" w14:textId="7BFFB978" w:rsidR="000E48CE" w:rsidRDefault="00FF4C4E">
      <w:pPr>
        <w:pStyle w:val="P68B1DB1-Normal4"/>
        <w:spacing w:before="120" w:after="120" w:line="240" w:lineRule="auto"/>
        <w:jc w:val="both"/>
        <w:rPr>
          <w:rFonts w:cs="Times New Roman"/>
          <w:noProof/>
        </w:rPr>
      </w:pPr>
      <w:r>
        <w:rPr>
          <w:noProof/>
        </w:rPr>
        <w:t xml:space="preserve">Investoinnin toteutus saatetaan päätökseen </w:t>
      </w:r>
      <w:r>
        <w:rPr>
          <w:noProof/>
        </w:rPr>
        <w:t>viimeistään 31. joulukuuta 2025.</w:t>
      </w:r>
    </w:p>
    <w:p w14:paraId="0EF9A25B" w14:textId="77777777" w:rsidR="000E48CE" w:rsidRDefault="00FF4C4E">
      <w:pPr>
        <w:pStyle w:val="P68B1DB1-Normal5"/>
        <w:spacing w:before="120" w:after="120" w:line="240" w:lineRule="auto"/>
        <w:ind w:left="709"/>
        <w:jc w:val="both"/>
        <w:rPr>
          <w:rFonts w:cs="Times New Roman"/>
          <w:noProof/>
        </w:rPr>
      </w:pPr>
      <w:r>
        <w:rPr>
          <w:noProof/>
        </w:rPr>
        <w:t xml:space="preserve">R.2 </w:t>
      </w:r>
      <w:r>
        <w:rPr>
          <w:noProof/>
        </w:rPr>
        <w:tab/>
        <w:t>Seurantaa ja täytäntöönpanoa koskevat välitavoitteet, tavoitteet, indikaattorit ja aikataulu – rahoitustuki, jota ei makseta takaisin</w:t>
      </w:r>
    </w:p>
    <w:p w14:paraId="19D63422"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peruspäivä on 1. helmikuuta 2020,</w:t>
      </w:r>
      <w:r>
        <w:rPr>
          <w:i/>
          <w:noProof/>
        </w:rPr>
        <w:t xml:space="preserve"> ellei toimen kuvauksessa toisin mainita. Taulukossa esitetyt määrät eivät sisällä arvonlisäveroa.</w:t>
      </w:r>
    </w:p>
    <w:p w14:paraId="499AC33C" w14:textId="77777777" w:rsidR="000E48CE" w:rsidRDefault="000E48CE">
      <w:pPr>
        <w:spacing w:before="120" w:after="120" w:line="240" w:lineRule="auto"/>
        <w:jc w:val="both"/>
        <w:rPr>
          <w:rFonts w:ascii="Times New Roman" w:hAnsi="Times New Roman" w:cs="Times New Roman"/>
          <w:noProof/>
          <w:sz w:val="24"/>
        </w:rPr>
        <w:sectPr w:rsidR="000E48CE" w:rsidSect="00C94F66">
          <w:headerReference w:type="even" r:id="rId375"/>
          <w:headerReference w:type="default" r:id="rId376"/>
          <w:footerReference w:type="even" r:id="rId377"/>
          <w:footerReference w:type="default" r:id="rId378"/>
          <w:headerReference w:type="first" r:id="rId379"/>
          <w:footerReference w:type="first" r:id="rId380"/>
          <w:pgSz w:w="11907" w:h="16839"/>
          <w:pgMar w:top="1134" w:right="1417" w:bottom="1134" w:left="1417" w:header="709" w:footer="709" w:gutter="0"/>
          <w:cols w:space="720"/>
          <w:docGrid w:linePitch="360"/>
        </w:sectPr>
      </w:pPr>
    </w:p>
    <w:tbl>
      <w:tblPr>
        <w:tblW w:w="15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8"/>
        <w:gridCol w:w="850"/>
        <w:gridCol w:w="836"/>
        <w:gridCol w:w="2812"/>
        <w:gridCol w:w="1276"/>
        <w:gridCol w:w="709"/>
        <w:gridCol w:w="567"/>
        <w:gridCol w:w="567"/>
        <w:gridCol w:w="567"/>
        <w:gridCol w:w="567"/>
        <w:gridCol w:w="5679"/>
      </w:tblGrid>
      <w:tr w:rsidR="000E48CE" w14:paraId="62D43E99" w14:textId="77777777">
        <w:trPr>
          <w:trHeight w:val="309"/>
          <w:tblHeader/>
        </w:trPr>
        <w:tc>
          <w:tcPr>
            <w:tcW w:w="708" w:type="dxa"/>
            <w:tcBorders>
              <w:bottom w:val="nil"/>
            </w:tcBorders>
            <w:shd w:val="clear" w:color="auto" w:fill="C6D9F1" w:themeFill="text2" w:themeFillTint="33"/>
            <w:noWrap/>
          </w:tcPr>
          <w:p w14:paraId="5140A831" w14:textId="4C2C83B0" w:rsidR="000E48CE" w:rsidRDefault="00FF4C4E">
            <w:pPr>
              <w:pStyle w:val="P68B1DB1-Normal12"/>
              <w:spacing w:after="0" w:line="240" w:lineRule="auto"/>
              <w:jc w:val="center"/>
              <w:rPr>
                <w:rFonts w:cs="Times New Roman"/>
                <w:noProof/>
              </w:rPr>
            </w:pPr>
            <w:r>
              <w:rPr>
                <w:noProof/>
              </w:rPr>
              <w:t>Määrä</w:t>
            </w:r>
          </w:p>
        </w:tc>
        <w:tc>
          <w:tcPr>
            <w:tcW w:w="850" w:type="dxa"/>
            <w:tcBorders>
              <w:bottom w:val="nil"/>
            </w:tcBorders>
            <w:shd w:val="clear" w:color="auto" w:fill="C6D9F1" w:themeFill="text2" w:themeFillTint="33"/>
            <w:noWrap/>
          </w:tcPr>
          <w:p w14:paraId="38814002" w14:textId="62C4C95B" w:rsidR="000E48CE" w:rsidRDefault="00FF4C4E">
            <w:pPr>
              <w:pStyle w:val="P68B1DB1-Normal12"/>
              <w:spacing w:after="0" w:line="240" w:lineRule="auto"/>
              <w:jc w:val="center"/>
              <w:rPr>
                <w:rFonts w:cs="Times New Roman"/>
                <w:noProof/>
              </w:rPr>
            </w:pPr>
            <w:r>
              <w:rPr>
                <w:noProof/>
              </w:rPr>
              <w:t>Toimenpide</w:t>
            </w:r>
          </w:p>
        </w:tc>
        <w:tc>
          <w:tcPr>
            <w:tcW w:w="836" w:type="dxa"/>
            <w:tcBorders>
              <w:bottom w:val="nil"/>
            </w:tcBorders>
            <w:shd w:val="clear" w:color="auto" w:fill="C6D9F1" w:themeFill="text2" w:themeFillTint="33"/>
            <w:noWrap/>
          </w:tcPr>
          <w:p w14:paraId="51816F42" w14:textId="326DA0C5"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812" w:type="dxa"/>
            <w:tcBorders>
              <w:bottom w:val="nil"/>
            </w:tcBorders>
            <w:shd w:val="clear" w:color="auto" w:fill="C6D9F1" w:themeFill="text2" w:themeFillTint="33"/>
            <w:noWrap/>
          </w:tcPr>
          <w:p w14:paraId="6D960B58" w14:textId="32BD70F2" w:rsidR="000E48CE" w:rsidRDefault="00FF4C4E">
            <w:pPr>
              <w:pStyle w:val="P68B1DB1-Normal12"/>
              <w:spacing w:after="0" w:line="240" w:lineRule="auto"/>
              <w:jc w:val="center"/>
              <w:rPr>
                <w:rFonts w:cs="Times New Roman"/>
                <w:noProof/>
              </w:rPr>
            </w:pPr>
            <w:r>
              <w:rPr>
                <w:noProof/>
              </w:rPr>
              <w:t>Nimi</w:t>
            </w:r>
          </w:p>
        </w:tc>
        <w:tc>
          <w:tcPr>
            <w:tcW w:w="1276" w:type="dxa"/>
            <w:tcBorders>
              <w:bottom w:val="nil"/>
            </w:tcBorders>
            <w:shd w:val="clear" w:color="auto" w:fill="C6D9F1" w:themeFill="text2" w:themeFillTint="33"/>
            <w:noWrap/>
          </w:tcPr>
          <w:p w14:paraId="303E1D0A" w14:textId="28A2C36A" w:rsidR="000E48CE" w:rsidRDefault="00FF4C4E">
            <w:pPr>
              <w:pStyle w:val="P68B1DB1-Normal12"/>
              <w:spacing w:after="0" w:line="240" w:lineRule="auto"/>
              <w:jc w:val="center"/>
              <w:rPr>
                <w:rFonts w:cs="Times New Roman"/>
                <w:noProof/>
              </w:rPr>
            </w:pPr>
            <w:r>
              <w:rPr>
                <w:noProof/>
              </w:rPr>
              <w:t>Välitavoitteiden laadullinen indikaattori</w:t>
            </w:r>
          </w:p>
        </w:tc>
        <w:tc>
          <w:tcPr>
            <w:tcW w:w="1843" w:type="dxa"/>
            <w:gridSpan w:val="3"/>
            <w:shd w:val="clear" w:color="auto" w:fill="C6D9F1" w:themeFill="text2" w:themeFillTint="33"/>
            <w:noWrap/>
          </w:tcPr>
          <w:p w14:paraId="59ECDC07" w14:textId="072F88A3" w:rsidR="000E48CE" w:rsidRDefault="00FF4C4E">
            <w:pPr>
              <w:pStyle w:val="P68B1DB1-Normal12"/>
              <w:spacing w:after="0" w:line="240" w:lineRule="auto"/>
              <w:jc w:val="center"/>
              <w:rPr>
                <w:rFonts w:cs="Times New Roman"/>
                <w:noProof/>
              </w:rPr>
            </w:pPr>
            <w:r>
              <w:rPr>
                <w:noProof/>
              </w:rPr>
              <w:t>Määrällinen</w:t>
            </w:r>
            <w:r>
              <w:rPr>
                <w:noProof/>
              </w:rPr>
              <w:t xml:space="preserve"> indikaattori tavoitteelle</w:t>
            </w:r>
          </w:p>
        </w:tc>
        <w:tc>
          <w:tcPr>
            <w:tcW w:w="1134" w:type="dxa"/>
            <w:gridSpan w:val="2"/>
            <w:shd w:val="clear" w:color="auto" w:fill="C6D9F1" w:themeFill="text2" w:themeFillTint="33"/>
            <w:noWrap/>
          </w:tcPr>
          <w:p w14:paraId="6EC1D8C0" w14:textId="4599817F" w:rsidR="000E48CE" w:rsidRDefault="00FF4C4E">
            <w:pPr>
              <w:pStyle w:val="P68B1DB1-Normal12"/>
              <w:spacing w:after="0" w:line="240" w:lineRule="auto"/>
              <w:jc w:val="center"/>
              <w:rPr>
                <w:rFonts w:cs="Times New Roman"/>
                <w:noProof/>
              </w:rPr>
            </w:pPr>
            <w:r>
              <w:rPr>
                <w:noProof/>
              </w:rPr>
              <w:t>Aika</w:t>
            </w:r>
          </w:p>
        </w:tc>
        <w:tc>
          <w:tcPr>
            <w:tcW w:w="5679" w:type="dxa"/>
            <w:tcBorders>
              <w:bottom w:val="nil"/>
            </w:tcBorders>
            <w:shd w:val="clear" w:color="auto" w:fill="C6D9F1" w:themeFill="text2" w:themeFillTint="33"/>
            <w:noWrap/>
          </w:tcPr>
          <w:p w14:paraId="1DA52048" w14:textId="2D09CC64"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612D5620" w14:textId="77777777">
        <w:trPr>
          <w:trHeight w:val="309"/>
          <w:tblHeader/>
        </w:trPr>
        <w:tc>
          <w:tcPr>
            <w:tcW w:w="708" w:type="dxa"/>
            <w:tcBorders>
              <w:top w:val="nil"/>
              <w:left w:val="single" w:sz="4" w:space="0" w:color="auto"/>
              <w:bottom w:val="single" w:sz="4" w:space="0" w:color="auto"/>
              <w:right w:val="single" w:sz="4" w:space="0" w:color="auto"/>
            </w:tcBorders>
            <w:shd w:val="clear" w:color="auto" w:fill="C6D9F1" w:themeFill="text2" w:themeFillTint="33"/>
            <w:noWrap/>
          </w:tcPr>
          <w:p w14:paraId="037268A0"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left w:val="single" w:sz="4" w:space="0" w:color="auto"/>
              <w:bottom w:val="single" w:sz="4" w:space="0" w:color="auto"/>
              <w:right w:val="single" w:sz="4" w:space="0" w:color="auto"/>
            </w:tcBorders>
            <w:shd w:val="clear" w:color="auto" w:fill="C6D9F1" w:themeFill="text2" w:themeFillTint="33"/>
            <w:noWrap/>
          </w:tcPr>
          <w:p w14:paraId="57246AF6" w14:textId="77777777" w:rsidR="000E48CE" w:rsidRDefault="000E48CE">
            <w:pPr>
              <w:spacing w:after="0" w:line="240" w:lineRule="auto"/>
              <w:jc w:val="center"/>
              <w:rPr>
                <w:rFonts w:ascii="Times New Roman" w:hAnsi="Times New Roman" w:cs="Times New Roman"/>
                <w:b/>
                <w:noProof/>
                <w:sz w:val="18"/>
              </w:rPr>
            </w:pPr>
          </w:p>
        </w:tc>
        <w:tc>
          <w:tcPr>
            <w:tcW w:w="836" w:type="dxa"/>
            <w:tcBorders>
              <w:top w:val="nil"/>
              <w:left w:val="single" w:sz="4" w:space="0" w:color="auto"/>
              <w:bottom w:val="single" w:sz="4" w:space="0" w:color="auto"/>
              <w:right w:val="single" w:sz="4" w:space="0" w:color="auto"/>
            </w:tcBorders>
            <w:shd w:val="clear" w:color="auto" w:fill="C6D9F1" w:themeFill="text2" w:themeFillTint="33"/>
            <w:noWrap/>
          </w:tcPr>
          <w:p w14:paraId="2B2838FC" w14:textId="77777777" w:rsidR="000E48CE" w:rsidRDefault="000E48CE">
            <w:pPr>
              <w:spacing w:after="0" w:line="240" w:lineRule="auto"/>
              <w:jc w:val="center"/>
              <w:rPr>
                <w:rFonts w:ascii="Times New Roman" w:hAnsi="Times New Roman" w:cs="Times New Roman"/>
                <w:b/>
                <w:noProof/>
                <w:sz w:val="18"/>
              </w:rPr>
            </w:pPr>
          </w:p>
        </w:tc>
        <w:tc>
          <w:tcPr>
            <w:tcW w:w="2812" w:type="dxa"/>
            <w:tcBorders>
              <w:top w:val="nil"/>
              <w:left w:val="single" w:sz="4" w:space="0" w:color="auto"/>
              <w:bottom w:val="single" w:sz="4" w:space="0" w:color="auto"/>
              <w:right w:val="single" w:sz="4" w:space="0" w:color="auto"/>
            </w:tcBorders>
            <w:shd w:val="clear" w:color="auto" w:fill="C6D9F1" w:themeFill="text2" w:themeFillTint="33"/>
            <w:noWrap/>
          </w:tcPr>
          <w:p w14:paraId="411ED850" w14:textId="77777777" w:rsidR="000E48CE" w:rsidRDefault="000E48CE">
            <w:pPr>
              <w:spacing w:after="0" w:line="240" w:lineRule="auto"/>
              <w:rPr>
                <w:rFonts w:ascii="Times New Roman" w:hAnsi="Times New Roman" w:cs="Times New Roman"/>
                <w:b/>
                <w:noProof/>
                <w:sz w:val="18"/>
              </w:rPr>
            </w:pPr>
          </w:p>
        </w:tc>
        <w:tc>
          <w:tcPr>
            <w:tcW w:w="1276" w:type="dxa"/>
            <w:tcBorders>
              <w:top w:val="nil"/>
              <w:left w:val="single" w:sz="4" w:space="0" w:color="auto"/>
              <w:bottom w:val="single" w:sz="4" w:space="0" w:color="auto"/>
              <w:right w:val="single" w:sz="4" w:space="0" w:color="auto"/>
            </w:tcBorders>
            <w:shd w:val="clear" w:color="auto" w:fill="C6D9F1" w:themeFill="text2" w:themeFillTint="33"/>
            <w:noWrap/>
          </w:tcPr>
          <w:p w14:paraId="575D5AD0" w14:textId="77777777" w:rsidR="000E48CE" w:rsidRDefault="000E48CE">
            <w:pPr>
              <w:spacing w:after="0" w:line="240" w:lineRule="auto"/>
              <w:jc w:val="center"/>
              <w:rPr>
                <w:rFonts w:ascii="Times New Roman" w:hAnsi="Times New Roman" w:cs="Times New Roman"/>
                <w:b/>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371D107" w14:textId="6BF2D757" w:rsidR="000E48CE" w:rsidRDefault="00FF4C4E">
            <w:pPr>
              <w:pStyle w:val="P68B1DB1-Normal12"/>
              <w:spacing w:after="0" w:line="240" w:lineRule="auto"/>
              <w:jc w:val="center"/>
              <w:rPr>
                <w:rFonts w:cs="Times New Roman"/>
                <w:noProof/>
              </w:rPr>
            </w:pPr>
            <w:r>
              <w:rPr>
                <w:noProof/>
              </w:rPr>
              <w:t>Yksikkö</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06CCFDD" w14:textId="5E3C1B97" w:rsidR="000E48CE" w:rsidRDefault="00FF4C4E">
            <w:pPr>
              <w:pStyle w:val="P68B1DB1-Normal12"/>
              <w:spacing w:after="0" w:line="240" w:lineRule="auto"/>
              <w:jc w:val="center"/>
              <w:rPr>
                <w:rFonts w:cs="Times New Roman"/>
                <w:noProof/>
              </w:rPr>
            </w:pPr>
            <w:r>
              <w:rPr>
                <w:noProof/>
              </w:rPr>
              <w:t>Perusviiva</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596F0E5A" w14:textId="42FB5AC7" w:rsidR="000E48CE" w:rsidRDefault="00FF4C4E">
            <w:pPr>
              <w:pStyle w:val="P68B1DB1-Normal12"/>
              <w:spacing w:after="0" w:line="240" w:lineRule="auto"/>
              <w:jc w:val="center"/>
              <w:rPr>
                <w:rFonts w:cs="Times New Roman"/>
                <w:noProof/>
              </w:rPr>
            </w:pPr>
            <w:r>
              <w:rPr>
                <w:noProof/>
              </w:rPr>
              <w:t>Päämäärä</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14866DF6" w14:textId="3FD665DA" w:rsidR="000E48CE" w:rsidRDefault="000E48CE">
            <w:pPr>
              <w:spacing w:after="0" w:line="240" w:lineRule="auto"/>
              <w:jc w:val="center"/>
              <w:rPr>
                <w:rFonts w:ascii="Times New Roman" w:hAnsi="Times New Roman" w:cs="Times New Roman"/>
                <w:b/>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043532FD" w14:textId="1F0E22B5" w:rsidR="000E48CE" w:rsidRDefault="000E48CE">
            <w:pPr>
              <w:spacing w:after="0" w:line="240" w:lineRule="auto"/>
              <w:jc w:val="center"/>
              <w:rPr>
                <w:rFonts w:ascii="Times New Roman" w:hAnsi="Times New Roman" w:cs="Times New Roman"/>
                <w:b/>
                <w:noProof/>
                <w:sz w:val="18"/>
              </w:rPr>
            </w:pPr>
          </w:p>
        </w:tc>
        <w:tc>
          <w:tcPr>
            <w:tcW w:w="5679" w:type="dxa"/>
            <w:tcBorders>
              <w:top w:val="nil"/>
              <w:left w:val="single" w:sz="4" w:space="0" w:color="auto"/>
              <w:bottom w:val="single" w:sz="4" w:space="0" w:color="auto"/>
              <w:right w:val="single" w:sz="4" w:space="0" w:color="auto"/>
            </w:tcBorders>
            <w:shd w:val="clear" w:color="auto" w:fill="C6D9F1" w:themeFill="text2" w:themeFillTint="33"/>
            <w:noWrap/>
          </w:tcPr>
          <w:p w14:paraId="07F1C55E" w14:textId="77777777" w:rsidR="000E48CE" w:rsidRDefault="000E48CE">
            <w:pPr>
              <w:spacing w:after="0" w:line="240" w:lineRule="auto"/>
              <w:rPr>
                <w:rFonts w:ascii="Times New Roman" w:hAnsi="Times New Roman" w:cs="Times New Roman"/>
                <w:b/>
                <w:noProof/>
                <w:sz w:val="18"/>
              </w:rPr>
            </w:pPr>
          </w:p>
        </w:tc>
      </w:tr>
      <w:tr w:rsidR="000E48CE" w14:paraId="16052931"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34E058F" w14:textId="77777777" w:rsidR="000E48CE" w:rsidRDefault="00FF4C4E">
            <w:pPr>
              <w:pStyle w:val="P68B1DB1-Normal13"/>
              <w:spacing w:after="0" w:line="240" w:lineRule="auto"/>
              <w:jc w:val="center"/>
              <w:rPr>
                <w:rFonts w:eastAsia="Times New Roman" w:cs="Times New Roman"/>
                <w:noProof/>
              </w:rPr>
            </w:pPr>
            <w:r>
              <w:rPr>
                <w:noProof/>
              </w:rPr>
              <w:t>273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3380310" w14:textId="77777777" w:rsidR="000E48CE" w:rsidRDefault="00FF4C4E">
            <w:pPr>
              <w:pStyle w:val="P68B1DB1-Normal13"/>
              <w:spacing w:after="0" w:line="240" w:lineRule="auto"/>
              <w:jc w:val="center"/>
              <w:rPr>
                <w:rFonts w:eastAsia="Times New Roman" w:cs="Times New Roman"/>
                <w:noProof/>
              </w:rPr>
            </w:pPr>
            <w:r>
              <w:rPr>
                <w:noProof/>
              </w:rPr>
              <w:t>C18.R1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6DA3490" w14:textId="77777777" w:rsidR="000E48CE" w:rsidRDefault="00FF4C4E">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C1F312F" w14:textId="77777777" w:rsidR="000E48CE" w:rsidRDefault="00FF4C4E">
            <w:pPr>
              <w:pStyle w:val="P68B1DB1-Normal13"/>
              <w:spacing w:after="0" w:line="240" w:lineRule="auto"/>
              <w:rPr>
                <w:rFonts w:cs="Times New Roman"/>
                <w:noProof/>
              </w:rPr>
            </w:pPr>
            <w:r>
              <w:rPr>
                <w:noProof/>
              </w:rPr>
              <w:t>Perusterveydenhuoltoa ja yhteisöhoitoa koskeva toimintasuunnitelma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3AEC3BF" w14:textId="77777777" w:rsidR="000E48CE" w:rsidRDefault="00FF4C4E">
            <w:pPr>
              <w:pStyle w:val="P68B1DB1-Normal13"/>
              <w:spacing w:after="0" w:line="240" w:lineRule="auto"/>
              <w:jc w:val="center"/>
              <w:rPr>
                <w:rFonts w:eastAsia="Times New Roman" w:cs="Times New Roman"/>
                <w:noProof/>
              </w:rPr>
            </w:pPr>
            <w:r>
              <w:rPr>
                <w:noProof/>
              </w:rPr>
              <w:t xml:space="preserve">Consejo Interterritorion hyväksyntä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29850E6"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864719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066156D"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750EE90"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6DCB673"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2C500CBB" w14:textId="77777777" w:rsidR="000E48CE" w:rsidRDefault="00FF4C4E">
            <w:pPr>
              <w:pStyle w:val="P68B1DB1-Normal13"/>
              <w:spacing w:after="0" w:line="240" w:lineRule="auto"/>
              <w:rPr>
                <w:rFonts w:eastAsia="Times New Roman" w:cs="Times New Roman"/>
                <w:noProof/>
              </w:rPr>
            </w:pPr>
            <w:r>
              <w:rPr>
                <w:noProof/>
              </w:rPr>
              <w:t>Toimintasuunnitelman päätavoitteena on vahvistaa perusterveydenhuoltoa kansallisessa terveydenhuoltojärjestelmässä, jotta voidaan vastata paremmin uusiin terveysongelmiin, parantaa henkilökohtaista kokemusta kaikkien hoidosta, ehkäistä sairauksia ja parant</w:t>
            </w:r>
            <w:r>
              <w:rPr>
                <w:noProof/>
              </w:rPr>
              <w:t>aa perusterveydenhuollon valmiuksia ratkaista terveysongelmia.</w:t>
            </w:r>
          </w:p>
        </w:tc>
      </w:tr>
      <w:tr w:rsidR="000E48CE" w14:paraId="311F85DC"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F0A0CAC" w14:textId="77777777" w:rsidR="000E48CE" w:rsidRDefault="00FF4C4E">
            <w:pPr>
              <w:pStyle w:val="P68B1DB1-Normal13"/>
              <w:spacing w:after="0" w:line="240" w:lineRule="auto"/>
              <w:jc w:val="center"/>
              <w:rPr>
                <w:rFonts w:eastAsia="Times New Roman" w:cs="Times New Roman"/>
                <w:noProof/>
              </w:rPr>
            </w:pPr>
            <w:r>
              <w:rPr>
                <w:noProof/>
              </w:rPr>
              <w:t>274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F951474" w14:textId="77777777" w:rsidR="000E48CE" w:rsidRDefault="00FF4C4E">
            <w:pPr>
              <w:pStyle w:val="P68B1DB1-Normal13"/>
              <w:spacing w:after="0" w:line="240" w:lineRule="auto"/>
              <w:jc w:val="center"/>
              <w:rPr>
                <w:rFonts w:eastAsia="Times New Roman" w:cs="Times New Roman"/>
                <w:noProof/>
              </w:rPr>
            </w:pPr>
            <w:r>
              <w:rPr>
                <w:noProof/>
              </w:rPr>
              <w:t>C18.R2</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353E642F" w14:textId="77777777" w:rsidR="000E48CE" w:rsidRDefault="00FF4C4E">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59621D6" w14:textId="77777777" w:rsidR="000E48CE" w:rsidRDefault="00FF4C4E">
            <w:pPr>
              <w:pStyle w:val="P68B1DB1-Normal13"/>
              <w:spacing w:after="0" w:line="240" w:lineRule="auto"/>
              <w:rPr>
                <w:rFonts w:eastAsia="Times New Roman" w:cs="Times New Roman"/>
                <w:noProof/>
              </w:rPr>
            </w:pPr>
            <w:r>
              <w:rPr>
                <w:noProof/>
              </w:rPr>
              <w:t xml:space="preserve">Espanjan kansanterveysstrategian hyväksyminen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B9CE283" w14:textId="77777777" w:rsidR="000E48CE" w:rsidRDefault="00FF4C4E">
            <w:pPr>
              <w:pStyle w:val="P68B1DB1-Normal13"/>
              <w:spacing w:after="0" w:line="240" w:lineRule="auto"/>
              <w:jc w:val="center"/>
              <w:rPr>
                <w:rFonts w:eastAsia="Times New Roman" w:cs="Times New Roman"/>
                <w:noProof/>
              </w:rPr>
            </w:pPr>
            <w:r>
              <w:rPr>
                <w:noProof/>
              </w:rPr>
              <w:t xml:space="preserve">Consejo Interterritorial Sanidadin hyväksyntä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CAA9847"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7A0A9B8"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99BCE16"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93DFE74" w14:textId="77777777" w:rsidR="000E48CE" w:rsidRDefault="00FF4C4E">
            <w:pPr>
              <w:pStyle w:val="P68B1DB1-Normal13"/>
              <w:spacing w:after="0" w:line="240" w:lineRule="auto"/>
              <w:jc w:val="center"/>
              <w:rPr>
                <w:rFonts w:eastAsia="Times New Roman" w:cs="Times New Roman"/>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A578786" w14:textId="77777777" w:rsidR="000E48CE" w:rsidRDefault="00FF4C4E">
            <w:pPr>
              <w:pStyle w:val="P68B1DB1-Normal13"/>
              <w:spacing w:after="0" w:line="240" w:lineRule="auto"/>
              <w:jc w:val="center"/>
              <w:rPr>
                <w:rFonts w:eastAsia="Times New Roman" w:cs="Times New Roman"/>
                <w:noProof/>
              </w:rPr>
            </w:pPr>
            <w:r>
              <w:rPr>
                <w:noProof/>
              </w:rPr>
              <w:t>2022</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3AF70249" w14:textId="77777777" w:rsidR="000E48CE" w:rsidRDefault="00FF4C4E">
            <w:pPr>
              <w:pStyle w:val="P68B1DB1-Normal13"/>
              <w:spacing w:after="0" w:line="240" w:lineRule="auto"/>
              <w:rPr>
                <w:rFonts w:eastAsia="Times New Roman" w:cs="Times New Roman"/>
                <w:noProof/>
              </w:rPr>
            </w:pPr>
            <w:r>
              <w:rPr>
                <w:noProof/>
              </w:rPr>
              <w:t xml:space="preserve">Kansanterveysstrategiassa vahvistetaan kansanterveystoimia koskevat strategiset suuntaviivat koko Espanjassa. Strategian tavoitteena on parantaa Espanjan väestön terveyttä määrittelemällä keskeiset linjat ja painopisteet, joita kaikkien terveyshallintojen </w:t>
            </w:r>
            <w:r>
              <w:rPr>
                <w:noProof/>
              </w:rPr>
              <w:t>on noudatettava kansanterveyden edistämis-, ennaltaehkäisy- ja suojelupolitiikoissaan, kohdeväestöä koskevissa toimissa, kansalaisille tiedottamisessa, ammattilaisten kouluttamisessa ja heidän tarpeidensa täyttämisessä. Strategialla varmistetaan, että kans</w:t>
            </w:r>
            <w:r>
              <w:rPr>
                <w:noProof/>
              </w:rPr>
              <w:t>anterveys ja terveydenhuollon yhtäläinen saatavuus otetaan huomioon kaikissa julkisissa politiikoissa, ja helpotetaan alojen välistä toimintaa tällä alalla. Sen kesto on viisi vuotta, ja sen toteutusastetta analysoidaan kahden vuoden välein väliarvioinneil</w:t>
            </w:r>
            <w:r>
              <w:rPr>
                <w:noProof/>
              </w:rPr>
              <w:t>la. Se sisältää kaikkia kansanterveyden osa-alueita koskevia toimenpiteitä ja toimia, jotka on toteutettava Espanjan kaikkien terveyshallintojen politiikoissa, suunnitelmissa ja ohjelmissa strategian voimassaoloaikana strategiassa vahvistetuissa määräajois</w:t>
            </w:r>
            <w:r>
              <w:rPr>
                <w:noProof/>
              </w:rPr>
              <w:t xml:space="preserve">sa.  </w:t>
            </w:r>
          </w:p>
        </w:tc>
      </w:tr>
      <w:tr w:rsidR="000E48CE" w14:paraId="3EB075B5"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15F0C82" w14:textId="77777777" w:rsidR="000E48CE" w:rsidRDefault="00FF4C4E">
            <w:pPr>
              <w:pStyle w:val="P68B1DB1-Normal13"/>
              <w:spacing w:after="0" w:line="240" w:lineRule="auto"/>
              <w:jc w:val="center"/>
              <w:rPr>
                <w:rFonts w:eastAsia="Times New Roman" w:cs="Times New Roman"/>
                <w:noProof/>
              </w:rPr>
            </w:pPr>
            <w:r>
              <w:rPr>
                <w:noProof/>
              </w:rPr>
              <w:t>275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66FAAEC" w14:textId="77777777" w:rsidR="000E48CE" w:rsidRDefault="00FF4C4E">
            <w:pPr>
              <w:pStyle w:val="P68B1DB1-Normal13"/>
              <w:spacing w:after="0" w:line="240" w:lineRule="auto"/>
              <w:jc w:val="center"/>
              <w:rPr>
                <w:rFonts w:eastAsia="Times New Roman" w:cs="Times New Roman"/>
                <w:noProof/>
              </w:rPr>
            </w:pPr>
            <w:r>
              <w:rPr>
                <w:noProof/>
              </w:rPr>
              <w:t>C18.R3</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4FCF575" w14:textId="77777777" w:rsidR="000E48CE" w:rsidRDefault="00FF4C4E">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7613530" w14:textId="77777777" w:rsidR="000E48CE" w:rsidRDefault="00FF4C4E">
            <w:pPr>
              <w:pStyle w:val="P68B1DB1-Normal13"/>
              <w:spacing w:after="0" w:line="240" w:lineRule="auto"/>
              <w:rPr>
                <w:rFonts w:eastAsia="Times New Roman" w:cs="Times New Roman"/>
                <w:noProof/>
              </w:rPr>
            </w:pPr>
            <w:r>
              <w:rPr>
                <w:noProof/>
              </w:rPr>
              <w:t>Laki kansallisen terveydenhuoltojärjestelmän tasapuolisuudesta, yleismaailmallisuudesta ja yhteenkuuluvuudesta, erittäin monimutkaisen hoidon uudelleensuuntaamisesta ja yhteisen palveluvalikoiman lisäämisestä</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742484D" w14:textId="77777777" w:rsidR="000E48CE" w:rsidRDefault="00FF4C4E">
            <w:pPr>
              <w:pStyle w:val="P68B1DB1-Normal13"/>
              <w:spacing w:after="0" w:line="240" w:lineRule="auto"/>
              <w:jc w:val="center"/>
              <w:rPr>
                <w:rFonts w:eastAsia="Times New Roman" w:cs="Times New Roman"/>
                <w:noProof/>
              </w:rPr>
            </w:pPr>
            <w:r>
              <w:rPr>
                <w:noProof/>
              </w:rPr>
              <w:t xml:space="preserve">Lain voimaantulo ja Consejo Interterritorial Sanidadin antamat hyväksynnät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4DCB852"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297EF7D"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9CB761C"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7EF900"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B232CF8"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F811A3B" w14:textId="77777777" w:rsidR="000E48CE" w:rsidRDefault="00FF4C4E">
            <w:pPr>
              <w:pStyle w:val="P68B1DB1-Normal13"/>
              <w:spacing w:after="0" w:line="240" w:lineRule="auto"/>
              <w:rPr>
                <w:rFonts w:cs="Times New Roman"/>
                <w:noProof/>
              </w:rPr>
            </w:pPr>
            <w:r>
              <w:rPr>
                <w:noProof/>
              </w:rPr>
              <w:t>Lain ja rakenneosien tavoitteet ovat seuraavat: Varmistetaan terveydenhuollon saatavuus kaikille, otetaan potilaiden edustajat mukaan Espanjan kansallisen terveydenh</w:t>
            </w:r>
            <w:r>
              <w:rPr>
                <w:noProof/>
              </w:rPr>
              <w:t>uoltojärjestelmän hallintoelimiin, rajoitetaan uusien omavastuumaksujen käyttöä, muutetaan sosiaali- ja terveysetuuksien määritelmää kansallisessa terveydenhuoltojärjestelmässä, varmistetaan terveys- ja sosiaaliviranomaisten välinen koordinointi, otetaan k</w:t>
            </w:r>
            <w:r>
              <w:rPr>
                <w:noProof/>
              </w:rPr>
              <w:t>äyttöön vaikutustenarviointi kaikista alan sääntelymuutoksista ja lopuksi uudistetaan lääkkeiden käyttöä kansallisessa terveydenhuoltojärjestelmässä. Tähän lakiin on liitettävä myös julkinen perusteellinen vaikutustenarviointi, jossa tarkastellaan myös sen</w:t>
            </w:r>
            <w:r>
              <w:rPr>
                <w:noProof/>
              </w:rPr>
              <w:t xml:space="preserve"> vaikutuksia julkisen talouden pitkän aikavälin kestävyyteen. </w:t>
            </w:r>
          </w:p>
          <w:p w14:paraId="46D8381A" w14:textId="77777777" w:rsidR="000E48CE" w:rsidRDefault="000E48CE">
            <w:pPr>
              <w:spacing w:after="0" w:line="240" w:lineRule="auto"/>
              <w:rPr>
                <w:rFonts w:ascii="Times New Roman" w:hAnsi="Times New Roman" w:cs="Times New Roman"/>
                <w:noProof/>
                <w:sz w:val="18"/>
              </w:rPr>
            </w:pPr>
          </w:p>
          <w:p w14:paraId="6FED2239" w14:textId="5AFA5792" w:rsidR="000E48CE" w:rsidRDefault="00FF4C4E">
            <w:pPr>
              <w:pStyle w:val="P68B1DB1-Normal13"/>
              <w:spacing w:after="0" w:line="240" w:lineRule="auto"/>
              <w:rPr>
                <w:rFonts w:cs="Times New Roman"/>
                <w:noProof/>
              </w:rPr>
            </w:pPr>
            <w:r>
              <w:rPr>
                <w:i/>
                <w:noProof/>
              </w:rPr>
              <w:t>Consejo Interterritorial Sanidadin suostumuksella tuli voimaan</w:t>
            </w:r>
            <w:r>
              <w:rPr>
                <w:noProof/>
              </w:rPr>
              <w:t xml:space="preserve"> ministeriön päätös, jolla lisätään julkisten terveyspalvelujen yhteistä valikoimaa ainakin laajentamalla ja parantamalla hammasho</w:t>
            </w:r>
            <w:r>
              <w:rPr>
                <w:noProof/>
              </w:rPr>
              <w:t xml:space="preserve">itoon, genomilääketieteeseen, ortopediseen hoitoon ja proteesiin sekä ennaltaehkäisevään hoitoon liittyviä palveluja. </w:t>
            </w:r>
          </w:p>
          <w:p w14:paraId="7746CA4F" w14:textId="77777777" w:rsidR="000E48CE" w:rsidRDefault="000E48CE">
            <w:pPr>
              <w:spacing w:after="0" w:line="240" w:lineRule="auto"/>
              <w:rPr>
                <w:rFonts w:ascii="Times New Roman" w:hAnsi="Times New Roman" w:cs="Times New Roman"/>
                <w:noProof/>
                <w:sz w:val="18"/>
              </w:rPr>
            </w:pPr>
          </w:p>
          <w:p w14:paraId="71CC1E39" w14:textId="7C562A4E" w:rsidR="000E48CE" w:rsidRDefault="00FF4C4E">
            <w:pPr>
              <w:pStyle w:val="P68B1DB1-Normal13"/>
              <w:spacing w:after="0" w:line="240" w:lineRule="auto"/>
              <w:rPr>
                <w:rFonts w:eastAsia="Times New Roman" w:cs="Times New Roman"/>
                <w:noProof/>
              </w:rPr>
            </w:pPr>
            <w:r>
              <w:rPr>
                <w:i/>
                <w:noProof/>
              </w:rPr>
              <w:t>Consejo Interterritorial Sanidad</w:t>
            </w:r>
            <w:r>
              <w:rPr>
                <w:noProof/>
              </w:rPr>
              <w:t xml:space="preserve"> hyväksyy yhteyskeskusten verkoston vahvistamisen ja kehittämisen sekä niiden hoitopalvelujen uudelleenj</w:t>
            </w:r>
            <w:r>
              <w:rPr>
                <w:noProof/>
              </w:rPr>
              <w:t>ärjestämisen, joita kyseiset keskukset, yksiköt ja viiteyksiköt eivät hallinnoi (CSUR)</w:t>
            </w:r>
          </w:p>
        </w:tc>
      </w:tr>
      <w:tr w:rsidR="000E48CE" w14:paraId="2A694D2D"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2A0641E" w14:textId="77777777" w:rsidR="000E48CE" w:rsidRDefault="00FF4C4E">
            <w:pPr>
              <w:pStyle w:val="P68B1DB1-Normal13"/>
              <w:spacing w:after="0" w:line="240" w:lineRule="auto"/>
              <w:jc w:val="center"/>
              <w:rPr>
                <w:rFonts w:eastAsia="Times New Roman" w:cs="Times New Roman"/>
                <w:noProof/>
              </w:rPr>
            </w:pPr>
            <w:r>
              <w:rPr>
                <w:noProof/>
              </w:rPr>
              <w:t>276</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2E2D91B1" w14:textId="77777777" w:rsidR="000E48CE" w:rsidRDefault="00FF4C4E">
            <w:pPr>
              <w:pStyle w:val="P68B1DB1-Normal13"/>
              <w:spacing w:after="0" w:line="240" w:lineRule="auto"/>
              <w:jc w:val="center"/>
              <w:rPr>
                <w:rFonts w:eastAsia="Times New Roman" w:cs="Times New Roman"/>
                <w:noProof/>
              </w:rPr>
            </w:pPr>
            <w:r>
              <w:rPr>
                <w:noProof/>
              </w:rPr>
              <w:t>C18.R4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253AEF05" w14:textId="77777777" w:rsidR="000E48CE" w:rsidRDefault="00FF4C4E">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60F063BD" w14:textId="10A1E727" w:rsidR="000E48CE" w:rsidRDefault="00FF4C4E">
            <w:pPr>
              <w:pStyle w:val="P68B1DB1-Normal13"/>
              <w:spacing w:after="0" w:line="240" w:lineRule="auto"/>
              <w:rPr>
                <w:rFonts w:eastAsia="Times New Roman" w:cs="Times New Roman"/>
                <w:noProof/>
              </w:rPr>
            </w:pPr>
            <w:r>
              <w:rPr>
                <w:noProof/>
              </w:rPr>
              <w:t>Laki lakisääteisen terveydenhuoltohenkilöstön perussäännöstä ja erikoistuneen terveydenhuollon koulutusjärjestelmän parantamisesta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12F2A19" w14:textId="77777777" w:rsidR="000E48CE" w:rsidRDefault="00FF4C4E">
            <w:pPr>
              <w:pStyle w:val="P68B1DB1-Normal13"/>
              <w:spacing w:after="0" w:line="240" w:lineRule="auto"/>
              <w:jc w:val="center"/>
              <w:rPr>
                <w:rFonts w:eastAsia="Times New Roman" w:cs="Times New Roman"/>
                <w:noProof/>
              </w:rPr>
            </w:pPr>
            <w:r>
              <w:rPr>
                <w:noProof/>
              </w:rPr>
              <w:t xml:space="preserve">Lainmuutoksen </w:t>
            </w:r>
            <w:r>
              <w:rPr>
                <w:noProof/>
              </w:rPr>
              <w:t>voimaantulo ja kuninkaan asetuksen voimaantulo</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96EABCB"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5C152C0"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4908A7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81C0EDC"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72C06D"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484CD968" w14:textId="77777777" w:rsidR="000E48CE" w:rsidRDefault="00FF4C4E">
            <w:pPr>
              <w:pStyle w:val="P68B1DB1-Normal13"/>
              <w:spacing w:after="0" w:line="240" w:lineRule="auto"/>
              <w:rPr>
                <w:rFonts w:cs="Times New Roman"/>
                <w:noProof/>
              </w:rPr>
            </w:pPr>
            <w:r>
              <w:rPr>
                <w:noProof/>
              </w:rPr>
              <w:t xml:space="preserve">Perussääntö on perussääntö, jolla säännellään terveydenhuollon virkamiehen asemaa sekä virkojen tarjoamista, ylennyksiä ja liikkuvuutta sekä työoloja. Tarkistuksella on seuraavat tavoitteet: </w:t>
            </w:r>
            <w:r>
              <w:rPr>
                <w:noProof/>
              </w:rPr>
              <w:br/>
              <w:t>— M</w:t>
            </w:r>
            <w:r>
              <w:rPr>
                <w:noProof/>
              </w:rPr>
              <w:t xml:space="preserve">ääräaikaisten työsopimusten vähentäminen. </w:t>
            </w:r>
            <w:r>
              <w:rPr>
                <w:noProof/>
              </w:rPr>
              <w:br/>
              <w:t xml:space="preserve">— Varmistetaan ammattilaisten lähettäminen tietyille maantieteellisille alueille, joita kannustintoimenpiteillä ei ole riittävästi hyödynnetty. </w:t>
            </w:r>
            <w:r>
              <w:rPr>
                <w:noProof/>
              </w:rPr>
              <w:br/>
              <w:t>— Parannetaan ympäristöä ja työoloja toimenpiteillä, joilla edistetä</w:t>
            </w:r>
            <w:r>
              <w:rPr>
                <w:noProof/>
              </w:rPr>
              <w:t xml:space="preserve">än ammatillista kehitystä ja säilytetään lahjakkuus Espanjan järjestelmässä, ja parannetaan taloudellisten olosuhteiden lisäksi myös terveydenhuoltoon, opetukseen ja tutkimukseen liittyviä mahdollisuuksia. </w:t>
            </w:r>
            <w:r>
              <w:rPr>
                <w:noProof/>
              </w:rPr>
              <w:br/>
              <w:t>Tähän lakiin on liitettävä perusteellinen vaikutu</w:t>
            </w:r>
            <w:r>
              <w:rPr>
                <w:noProof/>
              </w:rPr>
              <w:t>stenarviointi, jossa tarkastellaan myös sen vaikutuksia julkisen talouden pitkän aikavälin kestävyyteen.</w:t>
            </w:r>
          </w:p>
          <w:p w14:paraId="473D5362" w14:textId="77777777" w:rsidR="000E48CE" w:rsidRDefault="000E48CE">
            <w:pPr>
              <w:spacing w:after="0" w:line="240" w:lineRule="auto"/>
              <w:rPr>
                <w:rFonts w:ascii="Times New Roman" w:hAnsi="Times New Roman" w:cs="Times New Roman"/>
                <w:noProof/>
                <w:sz w:val="18"/>
              </w:rPr>
            </w:pPr>
          </w:p>
          <w:p w14:paraId="16B49FF6" w14:textId="77777777" w:rsidR="000E48CE" w:rsidRDefault="00FF4C4E">
            <w:pPr>
              <w:pStyle w:val="P68B1DB1-Normal13"/>
              <w:spacing w:after="0" w:line="240" w:lineRule="auto"/>
              <w:rPr>
                <w:rFonts w:eastAsia="Times New Roman" w:cs="Times New Roman"/>
                <w:noProof/>
              </w:rPr>
            </w:pPr>
            <w:r>
              <w:rPr>
                <w:noProof/>
              </w:rPr>
              <w:t>Terveydenhoitoalan koulutusjärjestelmän parantamisesta annetun kuninkaallisen asetuksen voimaantulo</w:t>
            </w:r>
          </w:p>
        </w:tc>
      </w:tr>
      <w:tr w:rsidR="000E48CE" w14:paraId="573ABAC6"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4C282A7" w14:textId="77777777" w:rsidR="000E48CE" w:rsidRDefault="00FF4C4E">
            <w:pPr>
              <w:pStyle w:val="P68B1DB1-Normal13"/>
              <w:spacing w:after="0" w:line="240" w:lineRule="auto"/>
              <w:jc w:val="center"/>
              <w:rPr>
                <w:rFonts w:eastAsia="Times New Roman" w:cs="Times New Roman"/>
                <w:noProof/>
              </w:rPr>
            </w:pPr>
            <w:r>
              <w:rPr>
                <w:noProof/>
              </w:rPr>
              <w:t>277</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51B0933" w14:textId="77777777" w:rsidR="000E48CE" w:rsidRDefault="00FF4C4E">
            <w:pPr>
              <w:pStyle w:val="P68B1DB1-Normal13"/>
              <w:spacing w:after="0" w:line="240" w:lineRule="auto"/>
              <w:jc w:val="center"/>
              <w:rPr>
                <w:rFonts w:eastAsia="Times New Roman" w:cs="Times New Roman"/>
                <w:noProof/>
              </w:rPr>
            </w:pPr>
            <w:r>
              <w:rPr>
                <w:noProof/>
              </w:rPr>
              <w:t>C18.R5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093CBCC7" w14:textId="77777777" w:rsidR="000E48CE" w:rsidRDefault="00FF4C4E">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A22CA33" w14:textId="77777777" w:rsidR="000E48CE" w:rsidRDefault="00FF4C4E">
            <w:pPr>
              <w:pStyle w:val="P68B1DB1-Normal13"/>
              <w:spacing w:after="0" w:line="240" w:lineRule="auto"/>
              <w:rPr>
                <w:rFonts w:cs="Times New Roman"/>
                <w:noProof/>
              </w:rPr>
            </w:pPr>
            <w:r>
              <w:rPr>
                <w:noProof/>
              </w:rPr>
              <w:t xml:space="preserve">Laki lääkkeiden takuista ja järkevästä käytöstä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3B3F14D" w14:textId="77777777" w:rsidR="000E48CE" w:rsidRDefault="00FF4C4E">
            <w:pPr>
              <w:pStyle w:val="P68B1DB1-Normal13"/>
              <w:spacing w:after="0" w:line="240" w:lineRule="auto"/>
              <w:jc w:val="center"/>
              <w:rPr>
                <w:rFonts w:eastAsia="Times New Roman" w:cs="Times New Roman"/>
                <w:noProof/>
              </w:rPr>
            </w:pPr>
            <w:r>
              <w:rPr>
                <w:noProof/>
              </w:rPr>
              <w:t>Lain voimaantulo</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93CEAAB"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10377D7"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D194527"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7EBF0A"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2739C40"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383E373D" w14:textId="77777777" w:rsidR="000E48CE" w:rsidRDefault="00FF4C4E">
            <w:pPr>
              <w:pStyle w:val="P68B1DB1-Normal8"/>
              <w:spacing w:after="0" w:line="240" w:lineRule="auto"/>
              <w:rPr>
                <w:rFonts w:eastAsia="Times New Roman" w:cs="Times New Roman"/>
                <w:noProof/>
                <w:sz w:val="18"/>
              </w:rPr>
            </w:pPr>
            <w:r>
              <w:rPr>
                <w:noProof/>
                <w:sz w:val="18"/>
              </w:rPr>
              <w:t>Lääkkeiden takuita ja järkiperäistä käyttöä koskevan lain voimaantulo. Tämän lainsäädäntöuudistuksen päätavoitteet ovat seuraavat:</w:t>
            </w:r>
            <w:r>
              <w:rPr>
                <w:noProof/>
                <w:shd w:val="clear" w:color="auto" w:fill="E6E6E6"/>
              </w:rPr>
              <w:br/>
            </w:r>
            <w:r>
              <w:rPr>
                <w:noProof/>
                <w:sz w:val="18"/>
              </w:rPr>
              <w:t xml:space="preserve">— Muutetaan viitehintajärjestelmää ottamalla käyttöön tekijöitä, jotka lisäävät kilpailua. </w:t>
            </w:r>
            <w:r>
              <w:rPr>
                <w:noProof/>
                <w:shd w:val="clear" w:color="auto" w:fill="E6E6E6"/>
              </w:rPr>
              <w:br/>
            </w:r>
            <w:r>
              <w:rPr>
                <w:noProof/>
                <w:sz w:val="18"/>
              </w:rPr>
              <w:t xml:space="preserve">— Vahvistetaan lääkkeiden etämyyntiä. </w:t>
            </w:r>
            <w:r>
              <w:rPr>
                <w:noProof/>
                <w:shd w:val="clear" w:color="auto" w:fill="E6E6E6"/>
              </w:rPr>
              <w:br/>
            </w:r>
            <w:r>
              <w:rPr>
                <w:noProof/>
                <w:sz w:val="18"/>
              </w:rPr>
              <w:t xml:space="preserve">— Sallia sosiaali- ja terveyskeskusten lääkevarastojen kytkeminen perusterveydenhuollon apteekkipalveluihin. </w:t>
            </w:r>
            <w:r>
              <w:rPr>
                <w:noProof/>
                <w:shd w:val="clear" w:color="auto" w:fill="E6E6E6"/>
              </w:rPr>
              <w:br/>
            </w:r>
            <w:r>
              <w:rPr>
                <w:noProof/>
                <w:sz w:val="18"/>
              </w:rPr>
              <w:t>— Muutetaan jär</w:t>
            </w:r>
            <w:r>
              <w:rPr>
                <w:noProof/>
                <w:sz w:val="18"/>
              </w:rPr>
              <w:t>jestelmää siten, että lasketaan julkisista varoista rahoitettujen lääkkeiden ja terveystuotteiden valmistajien, maahantuojien ja toimittajien neljännesvuosittainen maksuosuus kansalliseen terveydenhuoltojärjestelmään.</w:t>
            </w:r>
            <w:r>
              <w:rPr>
                <w:noProof/>
                <w:shd w:val="clear" w:color="auto" w:fill="E6E6E6"/>
              </w:rPr>
              <w:br/>
            </w:r>
            <w:r>
              <w:rPr>
                <w:noProof/>
                <w:sz w:val="18"/>
              </w:rPr>
              <w:t xml:space="preserve"> Selvennetään lääkemainonnan valvontaa</w:t>
            </w:r>
            <w:r>
              <w:rPr>
                <w:noProof/>
                <w:sz w:val="18"/>
              </w:rPr>
              <w:t>n liittyvää toimivaltaa.</w:t>
            </w:r>
            <w:r>
              <w:rPr>
                <w:noProof/>
                <w:shd w:val="clear" w:color="auto" w:fill="E6E6E6"/>
              </w:rPr>
              <w:br/>
            </w:r>
            <w:r>
              <w:rPr>
                <w:noProof/>
                <w:sz w:val="18"/>
              </w:rPr>
              <w:t xml:space="preserve"> — Muutetaan lääkeviraston soveltamia palkkioita. </w:t>
            </w:r>
            <w:r>
              <w:rPr>
                <w:noProof/>
                <w:shd w:val="clear" w:color="auto" w:fill="E6E6E6"/>
              </w:rPr>
              <w:br/>
            </w:r>
            <w:r>
              <w:rPr>
                <w:noProof/>
                <w:sz w:val="18"/>
              </w:rPr>
              <w:t xml:space="preserve">— Muutetaan ja päivitetään seuraamusmenettelyä ja rikkomisia. </w:t>
            </w:r>
          </w:p>
          <w:p w14:paraId="45D9FFE4" w14:textId="2E2D7D8A" w:rsidR="000E48CE" w:rsidRDefault="00FF4C4E">
            <w:pPr>
              <w:pStyle w:val="P68B1DB1-Normal8"/>
              <w:spacing w:after="0" w:line="240" w:lineRule="auto"/>
              <w:rPr>
                <w:rFonts w:eastAsia="Times New Roman" w:cs="Times New Roman"/>
                <w:noProof/>
                <w:sz w:val="18"/>
              </w:rPr>
            </w:pPr>
            <w:r>
              <w:rPr>
                <w:noProof/>
                <w:shd w:val="clear" w:color="auto" w:fill="E6E6E6"/>
              </w:rPr>
              <w:br/>
            </w:r>
            <w:r>
              <w:rPr>
                <w:noProof/>
                <w:sz w:val="18"/>
              </w:rPr>
              <w:t>Tähän lakiin on liitettävä perusteellinen vaikutustenarviointi, jossa tarkastellaan myös sen vaikutuksia julkisen ta</w:t>
            </w:r>
            <w:r>
              <w:rPr>
                <w:noProof/>
                <w:sz w:val="18"/>
              </w:rPr>
              <w:t>louden pitkän aikavälin kestävyyteen.</w:t>
            </w:r>
          </w:p>
        </w:tc>
      </w:tr>
      <w:tr w:rsidR="000E48CE" w14:paraId="19EFCCE4"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31C1BD2" w14:textId="77777777" w:rsidR="000E48CE" w:rsidRDefault="00FF4C4E">
            <w:pPr>
              <w:pStyle w:val="P68B1DB1-Normal13"/>
              <w:spacing w:after="0" w:line="240" w:lineRule="auto"/>
              <w:jc w:val="center"/>
              <w:rPr>
                <w:rFonts w:eastAsia="Times New Roman" w:cs="Times New Roman"/>
                <w:noProof/>
              </w:rPr>
            </w:pPr>
            <w:r>
              <w:rPr>
                <w:noProof/>
              </w:rPr>
              <w:t>278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863EB41" w14:textId="77777777" w:rsidR="000E48CE" w:rsidRDefault="00FF4C4E">
            <w:pPr>
              <w:pStyle w:val="P68B1DB1-Normal13"/>
              <w:spacing w:after="0" w:line="240" w:lineRule="auto"/>
              <w:jc w:val="center"/>
              <w:rPr>
                <w:rFonts w:eastAsia="Times New Roman" w:cs="Times New Roman"/>
                <w:noProof/>
              </w:rPr>
            </w:pPr>
            <w:r>
              <w:rPr>
                <w:noProof/>
              </w:rPr>
              <w:t>C18.I1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C44FDA5" w14:textId="77777777" w:rsidR="000E48CE" w:rsidRDefault="00FF4C4E">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5DC39C66" w14:textId="77777777" w:rsidR="000E48CE" w:rsidRDefault="00FF4C4E">
            <w:pPr>
              <w:pStyle w:val="P68B1DB1-Normal13"/>
              <w:spacing w:after="0" w:line="240" w:lineRule="auto"/>
              <w:rPr>
                <w:rFonts w:eastAsia="Times New Roman" w:cs="Times New Roman"/>
                <w:noProof/>
              </w:rPr>
            </w:pPr>
            <w:r>
              <w:rPr>
                <w:noProof/>
              </w:rPr>
              <w:t xml:space="preserve">Laiteinvestointisuunnitelman hyväksyminen ja varojen jakaminen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453DFC1" w14:textId="77777777" w:rsidR="000E48CE" w:rsidRDefault="00FF4C4E">
            <w:pPr>
              <w:pStyle w:val="P68B1DB1-Normal13"/>
              <w:spacing w:after="0" w:line="240" w:lineRule="auto"/>
              <w:jc w:val="center"/>
              <w:rPr>
                <w:rFonts w:eastAsia="Times New Roman" w:cs="Times New Roman"/>
                <w:noProof/>
              </w:rPr>
            </w:pPr>
            <w:r>
              <w:rPr>
                <w:noProof/>
              </w:rPr>
              <w:t xml:space="preserve">Consejo Interterritorial Sanidadin hyväksyntä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0BBBBC5"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1F211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E44ABB1"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B7BA4AE"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16978F5"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06522F5E" w14:textId="77777777" w:rsidR="000E48CE" w:rsidRDefault="00FF4C4E">
            <w:pPr>
              <w:pStyle w:val="P68B1DB1-Normal13"/>
              <w:spacing w:after="0" w:line="240" w:lineRule="auto"/>
              <w:rPr>
                <w:rFonts w:cs="Times New Roman"/>
                <w:noProof/>
              </w:rPr>
            </w:pPr>
            <w:r>
              <w:rPr>
                <w:i/>
                <w:noProof/>
              </w:rPr>
              <w:t>Consejo Interterritorion hyväksyntä suunnitelmalle</w:t>
            </w:r>
            <w:r>
              <w:rPr>
                <w:noProof/>
              </w:rPr>
              <w:t xml:space="preserve"> ja varojen jakamiselle, jossa vahvistetaan mekanismit 796100000 euron avustusten myöntämiseksi. </w:t>
            </w:r>
          </w:p>
        </w:tc>
      </w:tr>
      <w:tr w:rsidR="000E48CE" w14:paraId="42CB8BE0"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F9412F5" w14:textId="77777777" w:rsidR="000E48CE" w:rsidRDefault="00FF4C4E">
            <w:pPr>
              <w:pStyle w:val="P68B1DB1-Normal13"/>
              <w:spacing w:after="0" w:line="240" w:lineRule="auto"/>
              <w:jc w:val="center"/>
              <w:rPr>
                <w:rFonts w:eastAsia="Times New Roman" w:cs="Times New Roman"/>
                <w:noProof/>
              </w:rPr>
            </w:pPr>
            <w:r>
              <w:rPr>
                <w:noProof/>
              </w:rPr>
              <w:t>279</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EA80977" w14:textId="77777777" w:rsidR="000E48CE" w:rsidRDefault="00FF4C4E">
            <w:pPr>
              <w:pStyle w:val="P68B1DB1-Normal13"/>
              <w:spacing w:after="0" w:line="240" w:lineRule="auto"/>
              <w:jc w:val="center"/>
              <w:rPr>
                <w:rFonts w:eastAsia="Times New Roman" w:cs="Times New Roman"/>
                <w:noProof/>
              </w:rPr>
            </w:pPr>
            <w:r>
              <w:rPr>
                <w:noProof/>
              </w:rPr>
              <w:t>C18.I1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F7FC025" w14:textId="77777777" w:rsidR="000E48CE" w:rsidRDefault="00FF4C4E">
            <w:pPr>
              <w:pStyle w:val="P68B1DB1-Normal13"/>
              <w:spacing w:after="0" w:line="240" w:lineRule="auto"/>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2FB21D5" w14:textId="77777777" w:rsidR="000E48CE" w:rsidRDefault="00FF4C4E">
            <w:pPr>
              <w:pStyle w:val="P68B1DB1-Normal13"/>
              <w:spacing w:after="0" w:line="240" w:lineRule="auto"/>
              <w:rPr>
                <w:rFonts w:eastAsia="Times New Roman" w:cs="Times New Roman"/>
                <w:noProof/>
              </w:rPr>
            </w:pPr>
            <w:r>
              <w:rPr>
                <w:noProof/>
              </w:rPr>
              <w:t xml:space="preserve">Laitteiden asennus/uusiminen/laajentaminen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74DD2C7"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F9BF36F"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CD6CCAD" w14:textId="77777777" w:rsidR="000E48CE" w:rsidRDefault="00FF4C4E">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770382" w14:textId="77777777" w:rsidR="000E48CE" w:rsidRDefault="00FF4C4E">
            <w:pPr>
              <w:pStyle w:val="P68B1DB1-Normal13"/>
              <w:spacing w:after="0" w:line="240" w:lineRule="auto"/>
              <w:jc w:val="right"/>
              <w:rPr>
                <w:rFonts w:eastAsia="Times New Roman" w:cs="Times New Roman"/>
                <w:noProof/>
              </w:rPr>
            </w:pPr>
            <w:r>
              <w:rPr>
                <w:noProof/>
              </w:rPr>
              <w:t>750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BCE52F6"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551A52B"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083A61EE" w14:textId="77777777" w:rsidR="000E48CE" w:rsidRDefault="00FF4C4E">
            <w:pPr>
              <w:pStyle w:val="P68B1DB1-Normal13"/>
              <w:spacing w:after="0" w:line="240" w:lineRule="auto"/>
              <w:rPr>
                <w:rFonts w:eastAsia="Times New Roman" w:cs="Times New Roman"/>
                <w:noProof/>
              </w:rPr>
            </w:pPr>
            <w:r>
              <w:rPr>
                <w:noProof/>
              </w:rPr>
              <w:t xml:space="preserve">Otetaan käyttöön vähintään 750 uutta laitetta uudistamalla, laajentamalla tai </w:t>
            </w:r>
            <w:r>
              <w:rPr>
                <w:noProof/>
              </w:rPr>
              <w:t>ottamalla käyttöön uusia laitteistoja koko maassa.</w:t>
            </w:r>
          </w:p>
        </w:tc>
      </w:tr>
      <w:tr w:rsidR="000E48CE" w14:paraId="3164ED5A"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5C1F4DB" w14:textId="77777777" w:rsidR="000E48CE" w:rsidRDefault="00FF4C4E">
            <w:pPr>
              <w:pStyle w:val="P68B1DB1-Normal13"/>
              <w:spacing w:after="0" w:line="240" w:lineRule="auto"/>
              <w:jc w:val="center"/>
              <w:rPr>
                <w:rFonts w:eastAsia="Times New Roman" w:cs="Times New Roman"/>
                <w:noProof/>
              </w:rPr>
            </w:pPr>
            <w:r>
              <w:rPr>
                <w:noProof/>
              </w:rPr>
              <w:t>280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CDB3F4A" w14:textId="77777777" w:rsidR="000E48CE" w:rsidRDefault="00FF4C4E">
            <w:pPr>
              <w:pStyle w:val="P68B1DB1-Normal13"/>
              <w:spacing w:after="0" w:line="240" w:lineRule="auto"/>
              <w:jc w:val="center"/>
              <w:rPr>
                <w:rFonts w:eastAsia="Times New Roman" w:cs="Times New Roman"/>
                <w:noProof/>
              </w:rPr>
            </w:pPr>
            <w:r>
              <w:rPr>
                <w:noProof/>
              </w:rPr>
              <w:t>C18.I2</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217C989" w14:textId="77777777" w:rsidR="000E48CE" w:rsidRDefault="00FF4C4E">
            <w:pPr>
              <w:pStyle w:val="P68B1DB1-Normal13"/>
              <w:spacing w:after="0" w:line="240" w:lineRule="auto"/>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59B4378" w14:textId="77777777" w:rsidR="000E48CE" w:rsidRDefault="00FF4C4E">
            <w:pPr>
              <w:pStyle w:val="P68B1DB1-Normal13"/>
              <w:spacing w:after="0" w:line="240" w:lineRule="auto"/>
              <w:rPr>
                <w:rFonts w:eastAsia="Times New Roman" w:cs="Times New Roman"/>
                <w:noProof/>
              </w:rPr>
            </w:pPr>
            <w:r>
              <w:rPr>
                <w:noProof/>
              </w:rPr>
              <w:t>Kansanterveyskampanjat ja -toimet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0781D00"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AFD4AA3"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2252D8D" w14:textId="77777777" w:rsidR="000E48CE" w:rsidRDefault="00FF4C4E">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7514801" w14:textId="77777777" w:rsidR="000E48CE" w:rsidRDefault="00FF4C4E">
            <w:pPr>
              <w:pStyle w:val="P68B1DB1-Normal13"/>
              <w:spacing w:after="0" w:line="240" w:lineRule="auto"/>
              <w:jc w:val="right"/>
              <w:rPr>
                <w:rFonts w:eastAsia="Times New Roman" w:cs="Times New Roman"/>
                <w:noProof/>
              </w:rPr>
            </w:pPr>
            <w:r>
              <w:rPr>
                <w:noProof/>
              </w:rPr>
              <w:t>11</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443F04E"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D66C50A"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7AA1EF44" w14:textId="77777777" w:rsidR="000E48CE" w:rsidRDefault="00FF4C4E">
            <w:pPr>
              <w:pStyle w:val="P68B1DB1-Normal13"/>
              <w:spacing w:after="0" w:line="240" w:lineRule="auto"/>
              <w:rPr>
                <w:rFonts w:eastAsia="Times New Roman" w:cs="Times New Roman"/>
                <w:noProof/>
              </w:rPr>
            </w:pPr>
            <w:r>
              <w:rPr>
                <w:noProof/>
              </w:rPr>
              <w:t xml:space="preserve">Kansanterveysalalla on toteutettu vähintään 11 tiedotus- tai seulontakampanjaa muun muassa seuraavilla aloilla: tupakoinnin torjunta, </w:t>
            </w:r>
            <w:r>
              <w:rPr>
                <w:noProof/>
              </w:rPr>
              <w:t xml:space="preserve">alkoholinkäytön ehkäiseminen, mielenterveyden edistäminen, terveellisten elinympäristöjen ja elämäntapojen edistäminen, mikrobilääkeresistenssisuunnitelma ja syövän ehkäisy, mukaan lukien syövän torjuntaa koskevien eurooppalaisten sääntöjen levittäminen.  </w:t>
            </w:r>
            <w:r>
              <w:rPr>
                <w:noProof/>
              </w:rPr>
              <w:t>Kampanjat ovat valtakunnallisia. Levitys tapahtuu radion, painetun median, internetin, suoramarkkinoinnin ja ulkona toteutettavien toimien avulla.</w:t>
            </w:r>
          </w:p>
        </w:tc>
      </w:tr>
      <w:tr w:rsidR="000E48CE" w14:paraId="09954089"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7F27409" w14:textId="77777777" w:rsidR="000E48CE" w:rsidRDefault="00FF4C4E">
            <w:pPr>
              <w:pStyle w:val="P68B1DB1-Normal13"/>
              <w:spacing w:after="0" w:line="240" w:lineRule="auto"/>
              <w:jc w:val="center"/>
              <w:rPr>
                <w:rFonts w:eastAsia="Times New Roman" w:cs="Times New Roman"/>
                <w:noProof/>
              </w:rPr>
            </w:pPr>
            <w:r>
              <w:rPr>
                <w:noProof/>
              </w:rPr>
              <w:t>281</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7B5A24AE" w14:textId="77777777" w:rsidR="000E48CE" w:rsidRDefault="00FF4C4E">
            <w:pPr>
              <w:pStyle w:val="P68B1DB1-Normal13"/>
              <w:spacing w:after="0" w:line="240" w:lineRule="auto"/>
              <w:jc w:val="center"/>
              <w:rPr>
                <w:rFonts w:eastAsia="Times New Roman" w:cs="Times New Roman"/>
                <w:noProof/>
              </w:rPr>
            </w:pPr>
            <w:r>
              <w:rPr>
                <w:noProof/>
              </w:rPr>
              <w:t>C18.I3</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4C3E15E1" w14:textId="77777777" w:rsidR="000E48CE" w:rsidRDefault="00FF4C4E">
            <w:pPr>
              <w:pStyle w:val="P68B1DB1-Normal13"/>
              <w:spacing w:after="0" w:line="240" w:lineRule="auto"/>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04DA3D85" w14:textId="77777777" w:rsidR="000E48CE" w:rsidRDefault="00FF4C4E">
            <w:pPr>
              <w:pStyle w:val="P68B1DB1-Normal13"/>
              <w:spacing w:after="0" w:line="240" w:lineRule="auto"/>
              <w:rPr>
                <w:rFonts w:eastAsia="Times New Roman" w:cs="Times New Roman"/>
                <w:noProof/>
              </w:rPr>
            </w:pPr>
            <w:r>
              <w:rPr>
                <w:noProof/>
              </w:rPr>
              <w:t>Kansanterveyden seurantaverkoston tietojärjestelmä</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376D68E" w14:textId="77777777" w:rsidR="000E48CE" w:rsidRDefault="00FF4C4E">
            <w:pPr>
              <w:pStyle w:val="P68B1DB1-Normal13"/>
              <w:spacing w:after="0" w:line="240" w:lineRule="auto"/>
              <w:jc w:val="center"/>
              <w:rPr>
                <w:rFonts w:eastAsia="Times New Roman" w:cs="Times New Roman"/>
                <w:noProof/>
              </w:rPr>
            </w:pPr>
            <w:r>
              <w:rPr>
                <w:noProof/>
              </w:rPr>
              <w:t>Käyttöönottotodistus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111EB1D"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7759618"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50BF967"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76BA05C"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6F3CF40" w14:textId="2235DDB8" w:rsidR="000E48CE" w:rsidRDefault="00FF4C4E">
            <w:pPr>
              <w:pStyle w:val="P68B1DB1-Normal13"/>
              <w:spacing w:after="0" w:line="240" w:lineRule="auto"/>
              <w:rPr>
                <w:rFonts w:eastAsia="Times New Roman" w:cs="Times New Roman"/>
                <w:noProof/>
              </w:rPr>
            </w:pPr>
            <w:r>
              <w:rPr>
                <w:noProof/>
              </w:rPr>
              <w:t>2025</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2629E51" w14:textId="77777777" w:rsidR="000E48CE" w:rsidRDefault="00FF4C4E">
            <w:pPr>
              <w:pStyle w:val="P68B1DB1-Normal13"/>
              <w:spacing w:after="0" w:line="240" w:lineRule="auto"/>
              <w:rPr>
                <w:rFonts w:cs="Times New Roman"/>
                <w:noProof/>
              </w:rPr>
            </w:pPr>
            <w:r>
              <w:rPr>
                <w:noProof/>
              </w:rPr>
              <w:t xml:space="preserve">Valtion </w:t>
            </w:r>
            <w:r>
              <w:rPr>
                <w:noProof/>
              </w:rPr>
              <w:t xml:space="preserve">ja itsehallintoalueiden seurantajärjestelmän (kansanterveyden seurantaverkoston tietojärjestelmä) on oltava toiminnassa varhaisvaroitusten ja nopean reagoinnin mahdollistamiseksi, jotta voidaan havaita terveysriskejä aiheuttavat ongelmat, levittää tietoja </w:t>
            </w:r>
            <w:r>
              <w:rPr>
                <w:noProof/>
              </w:rPr>
              <w:t>toimivaltaisilta viranomaisilta ja helpottaa valvontatoimenpiteiden toteuttamista.</w:t>
            </w:r>
          </w:p>
          <w:p w14:paraId="7C6081FB" w14:textId="77777777" w:rsidR="000E48CE" w:rsidRDefault="000E48CE">
            <w:pPr>
              <w:spacing w:after="0" w:line="240" w:lineRule="auto"/>
              <w:rPr>
                <w:rFonts w:ascii="Times New Roman" w:hAnsi="Times New Roman" w:cs="Times New Roman"/>
                <w:noProof/>
                <w:sz w:val="18"/>
              </w:rPr>
            </w:pPr>
          </w:p>
          <w:p w14:paraId="1D67845B" w14:textId="7A1F1486" w:rsidR="000E48CE" w:rsidRDefault="00FF4C4E">
            <w:pPr>
              <w:pStyle w:val="P68B1DB1-Normal13"/>
              <w:spacing w:after="0" w:line="240" w:lineRule="auto"/>
              <w:rPr>
                <w:rFonts w:cs="Times New Roman"/>
                <w:noProof/>
              </w:rPr>
            </w:pPr>
            <w:r>
              <w:rPr>
                <w:noProof/>
              </w:rPr>
              <w:t>Uutta valtion kansanterveyskeskusta varten hankitaan laitteita, joiden kokonaisarvo on vähintään 9,45 miljoonaa euroa.</w:t>
            </w:r>
          </w:p>
          <w:p w14:paraId="5AE0BF10" w14:textId="77777777" w:rsidR="000E48CE" w:rsidRDefault="000E48CE">
            <w:pPr>
              <w:spacing w:after="0" w:line="240" w:lineRule="auto"/>
              <w:rPr>
                <w:rFonts w:ascii="Times New Roman" w:hAnsi="Times New Roman" w:cs="Times New Roman"/>
                <w:noProof/>
                <w:sz w:val="18"/>
              </w:rPr>
            </w:pPr>
          </w:p>
          <w:p w14:paraId="7B0EA280" w14:textId="6F3798CB" w:rsidR="000E48CE" w:rsidRDefault="00FF4C4E">
            <w:pPr>
              <w:pStyle w:val="P68B1DB1-Normal13"/>
              <w:spacing w:after="0" w:line="240" w:lineRule="auto"/>
              <w:rPr>
                <w:rFonts w:cs="Times New Roman"/>
                <w:noProof/>
              </w:rPr>
            </w:pPr>
            <w:r>
              <w:rPr>
                <w:noProof/>
              </w:rPr>
              <w:t>Melillan yliopistollisen sairaalan laitteiden hankin</w:t>
            </w:r>
            <w:r>
              <w:rPr>
                <w:noProof/>
              </w:rPr>
              <w:t>ta ja kansallisen dosimetriakeskuksen uuden rakennuksen rakentaminen sekä laitteistojen ja infrastruktuurien hankinta ja käyttöönotto kansallisen työterveys- ja työturvallisuusinstituutin, kansallisen elintarvikekeskuksen, lääke- ja terveysviraston ja kans</w:t>
            </w:r>
            <w:r>
              <w:rPr>
                <w:noProof/>
              </w:rPr>
              <w:t>allisen elinsiirto-organisaation testauslaboratorion kapasiteetin lisäämiseksi. Niiden kokonaisarvo on vähintään 44 miljoonaa euroa.</w:t>
            </w:r>
          </w:p>
          <w:p w14:paraId="7B7CF298" w14:textId="77777777" w:rsidR="000E48CE" w:rsidRDefault="000E48CE">
            <w:pPr>
              <w:spacing w:after="0" w:line="240" w:lineRule="auto"/>
              <w:rPr>
                <w:rFonts w:ascii="Times New Roman" w:hAnsi="Times New Roman" w:cs="Times New Roman"/>
                <w:noProof/>
                <w:sz w:val="18"/>
              </w:rPr>
            </w:pPr>
          </w:p>
          <w:p w14:paraId="0373B938" w14:textId="77777777" w:rsidR="000E48CE" w:rsidRDefault="00FF4C4E">
            <w:pPr>
              <w:pStyle w:val="P68B1DB1-Normal13"/>
              <w:spacing w:after="0" w:line="240" w:lineRule="auto"/>
              <w:rPr>
                <w:rFonts w:eastAsia="Times New Roman" w:cs="Times New Roman"/>
                <w:noProof/>
              </w:rPr>
            </w:pPr>
            <w:r>
              <w:rPr>
                <w:noProof/>
              </w:rPr>
              <w:t>Kansallisen terveydenhuoltojärjestelmän suorituskyvyn arviointi pandemian aikana on saatettava päätökseen ja julkaistava.</w:t>
            </w:r>
          </w:p>
        </w:tc>
      </w:tr>
      <w:tr w:rsidR="000E48CE" w14:paraId="7B849F40"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DD97B2C" w14:textId="77777777" w:rsidR="000E48CE" w:rsidRDefault="00FF4C4E">
            <w:pPr>
              <w:pStyle w:val="P68B1DB1-Normal13"/>
              <w:spacing w:after="0" w:line="240" w:lineRule="auto"/>
              <w:jc w:val="center"/>
              <w:rPr>
                <w:rFonts w:eastAsia="Times New Roman" w:cs="Times New Roman"/>
                <w:noProof/>
              </w:rPr>
            </w:pPr>
            <w:r>
              <w:rPr>
                <w:noProof/>
              </w:rPr>
              <w:t>282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B5711B0" w14:textId="77777777" w:rsidR="000E48CE" w:rsidRDefault="00FF4C4E">
            <w:pPr>
              <w:pStyle w:val="P68B1DB1-Normal13"/>
              <w:spacing w:after="0" w:line="240" w:lineRule="auto"/>
              <w:jc w:val="center"/>
              <w:rPr>
                <w:rFonts w:eastAsia="Times New Roman" w:cs="Times New Roman"/>
                <w:noProof/>
              </w:rPr>
            </w:pPr>
            <w:r>
              <w:rPr>
                <w:noProof/>
              </w:rPr>
              <w:t>C18.I4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364E6A73" w14:textId="77777777" w:rsidR="000E48CE" w:rsidRDefault="00FF4C4E">
            <w:pPr>
              <w:pStyle w:val="P68B1DB1-Normal13"/>
              <w:spacing w:after="0" w:line="240" w:lineRule="auto"/>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9568BA0" w14:textId="77777777" w:rsidR="000E48CE" w:rsidRDefault="00FF4C4E">
            <w:pPr>
              <w:pStyle w:val="P68B1DB1-Normal13"/>
              <w:spacing w:after="0" w:line="240" w:lineRule="auto"/>
              <w:rPr>
                <w:rFonts w:eastAsia="Times New Roman" w:cs="Times New Roman"/>
                <w:noProof/>
              </w:rPr>
            </w:pPr>
            <w:r>
              <w:rPr>
                <w:noProof/>
              </w:rPr>
              <w:t xml:space="preserve">Jatkokoulutussuunnitelmien puitteissa koulutetut terveydenhuollon ammattilaiset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8376EC4"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1A10F92"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ADF40FD" w14:textId="77777777" w:rsidR="000E48CE" w:rsidRDefault="00FF4C4E">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1CCE16E" w14:textId="77777777" w:rsidR="000E48CE" w:rsidRDefault="00FF4C4E">
            <w:pPr>
              <w:pStyle w:val="P68B1DB1-Normal13"/>
              <w:spacing w:after="0" w:line="240" w:lineRule="auto"/>
              <w:jc w:val="right"/>
              <w:rPr>
                <w:rFonts w:eastAsia="Times New Roman" w:cs="Times New Roman"/>
                <w:noProof/>
              </w:rPr>
            </w:pPr>
            <w:r>
              <w:rPr>
                <w:noProof/>
              </w:rPr>
              <w:t>90 000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BF129A7"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DD7CCB4"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C75BA9A" w14:textId="51F87FE8" w:rsidR="000E48CE" w:rsidRDefault="00FF4C4E">
            <w:pPr>
              <w:pStyle w:val="P68B1DB1-Normal13"/>
              <w:spacing w:after="0" w:line="240" w:lineRule="auto"/>
              <w:rPr>
                <w:rFonts w:cs="Times New Roman"/>
                <w:noProof/>
              </w:rPr>
            </w:pPr>
            <w:r>
              <w:rPr>
                <w:noProof/>
              </w:rPr>
              <w:t xml:space="preserve">Vähintään 90000 terveydenhuollon ammattilaista on suorittanut yhteensä 360000 opintopistettä, mikä vastaa yhteensä 3,6 miljoonaa tuntia </w:t>
            </w:r>
            <w:r>
              <w:rPr>
                <w:noProof/>
              </w:rPr>
              <w:t xml:space="preserve">jatkokoulutussuunnitelmien puitteissa, jotka on suunniteltu C18.I4-määritelmän painopisteiden mukaisesti. Koulutuksen on katettava Terveysteknologian ja tietojärjestelmien käyttö, kansanterveyden seuranta ja epidemiologia, potilas- ja ammattiturvallisuus, </w:t>
            </w:r>
            <w:r>
              <w:rPr>
                <w:noProof/>
              </w:rPr>
              <w:t>diagnoosi- ja hoitoresurssien järkiperäinen käyttö, syövän varhainen havaitseminen, mielenterveys, ympäristöterveys, riskitekijöiden ehkäiseminen, sukupuoleen perustuvan väkivallan varhainen havaitseminen, lasten hyväksikäytön varhainen havaitseminen, bioe</w:t>
            </w:r>
            <w:r>
              <w:rPr>
                <w:noProof/>
              </w:rPr>
              <w:t>tiikka, kliininen viestintä, näyttöön perustuva lääketiede, yhteistyö muiden kanssa, tutkimusmenetelmät, terveydenhuoltolaitosten johtajien johtamistaitojen kehittäminen ja ohjaajien kouluttaminen terveysalan erityiskoulutukseen. Koulutus on järjestetty lu</w:t>
            </w:r>
            <w:r>
              <w:rPr>
                <w:noProof/>
              </w:rPr>
              <w:t>okkahuoneessa sekä verkko- ja monimuoto-oppimismuotona, ja sitä ovat suorittaneet terveydenhuollon pätevät ammattilaiset ja terveydenhuollon ammattilaiset.</w:t>
            </w:r>
          </w:p>
        </w:tc>
      </w:tr>
      <w:tr w:rsidR="000E48CE" w14:paraId="1FDFAA19"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9DE5D73" w14:textId="4A62D41B" w:rsidR="000E48CE" w:rsidRDefault="00FF4C4E">
            <w:pPr>
              <w:pStyle w:val="P68B1DB1-Normal13"/>
              <w:spacing w:after="0" w:line="240" w:lineRule="auto"/>
              <w:jc w:val="center"/>
              <w:rPr>
                <w:rFonts w:cs="Times New Roman"/>
                <w:noProof/>
              </w:rPr>
            </w:pPr>
            <w:r>
              <w:rPr>
                <w:noProof/>
              </w:rPr>
              <w:t>463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2B3E0B7" w14:textId="77777777" w:rsidR="000E48CE" w:rsidRDefault="00FF4C4E">
            <w:pPr>
              <w:pStyle w:val="P68B1DB1-Normal13"/>
              <w:spacing w:after="0" w:line="240" w:lineRule="auto"/>
              <w:jc w:val="center"/>
              <w:rPr>
                <w:rFonts w:cs="Times New Roman"/>
                <w:noProof/>
              </w:rPr>
            </w:pPr>
            <w:r>
              <w:rPr>
                <w:noProof/>
              </w:rPr>
              <w:t>C18.I4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9C0A173" w14:textId="77777777" w:rsidR="000E48CE" w:rsidRDefault="00FF4C4E">
            <w:pPr>
              <w:pStyle w:val="P68B1DB1-Normal13"/>
              <w:spacing w:after="0" w:line="240" w:lineRule="auto"/>
              <w:jc w:val="center"/>
              <w:rPr>
                <w:rFonts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DFE91DE" w14:textId="77777777" w:rsidR="000E48CE" w:rsidRDefault="00FF4C4E">
            <w:pPr>
              <w:pStyle w:val="P68B1DB1-Normal13"/>
              <w:spacing w:after="0" w:line="240" w:lineRule="auto"/>
              <w:rPr>
                <w:rFonts w:cs="Times New Roman"/>
                <w:noProof/>
              </w:rPr>
            </w:pPr>
            <w:r>
              <w:rPr>
                <w:noProof/>
              </w:rPr>
              <w:t>Terveydenhuollon ammattilaisten koulutus ja resurssit tietämyksen jakamiseksi</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A2ECA5D" w14:textId="77777777" w:rsidR="000E48CE" w:rsidRDefault="000E48CE">
            <w:pPr>
              <w:spacing w:after="0" w:line="240" w:lineRule="auto"/>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0162E06" w14:textId="77777777" w:rsidR="000E48CE" w:rsidRDefault="000E48CE">
            <w:pPr>
              <w:spacing w:after="0" w:line="240" w:lineRule="auto"/>
              <w:jc w:val="center"/>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DF066A8" w14:textId="77777777" w:rsidR="000E48CE" w:rsidRDefault="000E48CE">
            <w:pPr>
              <w:spacing w:after="0"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A9F29FF" w14:textId="77777777" w:rsidR="000E48CE" w:rsidRDefault="000E48CE">
            <w:pPr>
              <w:spacing w:after="0"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71B1C36" w14:textId="77777777" w:rsidR="000E48CE" w:rsidRDefault="00FF4C4E">
            <w:pPr>
              <w:pStyle w:val="P68B1DB1-Normal13"/>
              <w:spacing w:after="0" w:line="240" w:lineRule="auto"/>
              <w:jc w:val="center"/>
              <w:rPr>
                <w:rFonts w:cs="Times New Roman"/>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6163821" w14:textId="77777777" w:rsidR="000E48CE" w:rsidRDefault="00FF4C4E">
            <w:pPr>
              <w:pStyle w:val="P68B1DB1-Normal13"/>
              <w:spacing w:after="0" w:line="240" w:lineRule="auto"/>
              <w:jc w:val="center"/>
              <w:rPr>
                <w:rFonts w:cs="Times New Roman"/>
                <w:noProof/>
              </w:rPr>
            </w:pPr>
            <w:r>
              <w:rPr>
                <w:noProof/>
              </w:rPr>
              <w:t>2026</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7D743535" w14:textId="2FE0690C" w:rsidR="000E48CE" w:rsidRDefault="00FF4C4E">
            <w:pPr>
              <w:pStyle w:val="P68B1DB1-Normal13"/>
              <w:spacing w:after="0" w:line="240" w:lineRule="auto"/>
              <w:rPr>
                <w:rFonts w:cs="Times New Roman"/>
                <w:noProof/>
              </w:rPr>
            </w:pPr>
            <w:r>
              <w:rPr>
                <w:noProof/>
              </w:rPr>
              <w:t>Vähintään 1300 terveydenhuoltoa on koulutettava kansainvälisistä malleista, joilla arvioidaan ja akkreditoidaan terveydenhuollon ammattitaitoa (terveydenhuollon ammattihenkilöiden uudelleensertifiointimallit). Lisäksi on kehitettävä seuraavat tietotek</w:t>
            </w:r>
            <w:r>
              <w:rPr>
                <w:noProof/>
              </w:rPr>
              <w:t>niset sovellukset sääntelemättömien taitojen arviointia ja hyväksymistä varten:</w:t>
            </w:r>
          </w:p>
          <w:p w14:paraId="6E2A2FAE" w14:textId="77777777" w:rsidR="000E48CE" w:rsidRDefault="00FF4C4E">
            <w:pPr>
              <w:pStyle w:val="P68B1DB1-ListParagraph14"/>
              <w:numPr>
                <w:ilvl w:val="0"/>
                <w:numId w:val="625"/>
              </w:numPr>
              <w:spacing w:after="0" w:line="240" w:lineRule="auto"/>
              <w:rPr>
                <w:rFonts w:eastAsia="Times New Roman" w:cs="Times New Roman"/>
                <w:noProof/>
              </w:rPr>
            </w:pPr>
            <w:r>
              <w:rPr>
                <w:noProof/>
              </w:rPr>
              <w:t xml:space="preserve">Verkkosovellus uudelleensertifiointia varten </w:t>
            </w:r>
          </w:p>
          <w:p w14:paraId="6374291C" w14:textId="77777777" w:rsidR="000E48CE" w:rsidRDefault="00FF4C4E">
            <w:pPr>
              <w:pStyle w:val="P68B1DB1-ListParagraph14"/>
              <w:numPr>
                <w:ilvl w:val="0"/>
                <w:numId w:val="625"/>
              </w:numPr>
              <w:spacing w:after="0" w:line="240" w:lineRule="auto"/>
              <w:rPr>
                <w:rFonts w:eastAsia="Times New Roman" w:cs="Times New Roman"/>
                <w:noProof/>
              </w:rPr>
            </w:pPr>
            <w:r>
              <w:rPr>
                <w:noProof/>
              </w:rPr>
              <w:t>Ammatillisten uudelleensertifiointitietojen sisällyttäminen REPS-portaaliin</w:t>
            </w:r>
          </w:p>
          <w:p w14:paraId="7A59FD98" w14:textId="77777777" w:rsidR="000E48CE" w:rsidRDefault="000E48CE">
            <w:pPr>
              <w:spacing w:after="0" w:line="240" w:lineRule="auto"/>
              <w:rPr>
                <w:rFonts w:ascii="Times New Roman" w:eastAsia="Times New Roman" w:hAnsi="Times New Roman" w:cs="Times New Roman"/>
                <w:noProof/>
                <w:sz w:val="18"/>
              </w:rPr>
            </w:pPr>
          </w:p>
          <w:p w14:paraId="6962BC08" w14:textId="77777777" w:rsidR="000E48CE" w:rsidRDefault="00FF4C4E">
            <w:pPr>
              <w:pStyle w:val="P68B1DB1-Normal13"/>
              <w:spacing w:after="0" w:line="240" w:lineRule="auto"/>
              <w:rPr>
                <w:rFonts w:cs="Times New Roman"/>
                <w:noProof/>
              </w:rPr>
            </w:pPr>
            <w:r>
              <w:rPr>
                <w:noProof/>
              </w:rPr>
              <w:t>Erittäin monimutkaisten olosuhteiden hoitamiseen tark</w:t>
            </w:r>
            <w:r>
              <w:rPr>
                <w:noProof/>
              </w:rPr>
              <w:t>oitettuja yhteistyövälineitä on ostettava tai kehitettävä. Yhteistyövälineisiin on sisällyttävä vähintään seuraavat toiminnot:</w:t>
            </w:r>
          </w:p>
          <w:p w14:paraId="0BD47D04" w14:textId="77777777" w:rsidR="000E48CE" w:rsidRDefault="00FF4C4E">
            <w:pPr>
              <w:pStyle w:val="P68B1DB1-ListParagraph14"/>
              <w:numPr>
                <w:ilvl w:val="0"/>
                <w:numId w:val="632"/>
              </w:numPr>
              <w:spacing w:after="0" w:line="240" w:lineRule="auto"/>
              <w:rPr>
                <w:rFonts w:cs="Times New Roman"/>
                <w:noProof/>
              </w:rPr>
            </w:pPr>
            <w:r>
              <w:rPr>
                <w:noProof/>
              </w:rPr>
              <w:t>Potilashoidon yhteiset kliiniset prosessit.</w:t>
            </w:r>
          </w:p>
          <w:p w14:paraId="71CCAA76" w14:textId="77777777" w:rsidR="000E48CE" w:rsidRDefault="00FF4C4E">
            <w:pPr>
              <w:pStyle w:val="P68B1DB1-ListParagraph14"/>
              <w:numPr>
                <w:ilvl w:val="0"/>
                <w:numId w:val="632"/>
              </w:numPr>
              <w:spacing w:after="0" w:line="240" w:lineRule="auto"/>
              <w:rPr>
                <w:rFonts w:cs="Times New Roman"/>
                <w:noProof/>
              </w:rPr>
            </w:pPr>
            <w:r>
              <w:rPr>
                <w:noProof/>
              </w:rPr>
              <w:t xml:space="preserve">Ammattilaisten välinen viestintä. </w:t>
            </w:r>
          </w:p>
          <w:p w14:paraId="53B470EB" w14:textId="77777777" w:rsidR="000E48CE" w:rsidRDefault="000E48CE">
            <w:pPr>
              <w:spacing w:after="0" w:line="240" w:lineRule="auto"/>
              <w:rPr>
                <w:rFonts w:ascii="Times New Roman" w:hAnsi="Times New Roman" w:cs="Times New Roman"/>
                <w:noProof/>
                <w:sz w:val="18"/>
              </w:rPr>
            </w:pPr>
          </w:p>
          <w:p w14:paraId="4C5CD18B" w14:textId="77777777" w:rsidR="000E48CE" w:rsidRDefault="00FF4C4E">
            <w:pPr>
              <w:pStyle w:val="P68B1DB1-Normal13"/>
              <w:spacing w:after="0" w:line="240" w:lineRule="auto"/>
              <w:rPr>
                <w:rFonts w:cs="Times New Roman"/>
                <w:noProof/>
              </w:rPr>
            </w:pPr>
            <w:r>
              <w:rPr>
                <w:noProof/>
              </w:rPr>
              <w:t xml:space="preserve">Tietokoneistettu kartoitus varhaiskasvatuksen ja </w:t>
            </w:r>
            <w:r>
              <w:rPr>
                <w:noProof/>
              </w:rPr>
              <w:t>genomilääketieteen yhteisten resurssien ja palvelujen visualisoimiseksi on saatettava päätökseen.</w:t>
            </w:r>
          </w:p>
        </w:tc>
      </w:tr>
      <w:tr w:rsidR="000E48CE" w14:paraId="7C41C0DC"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16F2368" w14:textId="77777777" w:rsidR="000E48CE" w:rsidRDefault="00FF4C4E">
            <w:pPr>
              <w:pStyle w:val="P68B1DB1-Normal13"/>
              <w:jc w:val="center"/>
              <w:rPr>
                <w:rFonts w:eastAsia="Times New Roman" w:cs="Times New Roman"/>
                <w:noProof/>
              </w:rPr>
            </w:pPr>
            <w:r>
              <w:rPr>
                <w:noProof/>
              </w:rPr>
              <w:t>283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FADF40C" w14:textId="77777777" w:rsidR="000E48CE" w:rsidRDefault="00FF4C4E">
            <w:pPr>
              <w:pStyle w:val="P68B1DB1-Normal13"/>
              <w:jc w:val="center"/>
              <w:rPr>
                <w:rFonts w:eastAsia="Times New Roman" w:cs="Times New Roman"/>
                <w:noProof/>
              </w:rPr>
            </w:pPr>
            <w:r>
              <w:rPr>
                <w:noProof/>
              </w:rPr>
              <w:t>C18.I5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6F782ABA" w14:textId="77777777" w:rsidR="000E48CE" w:rsidRDefault="00FF4C4E">
            <w:pPr>
              <w:pStyle w:val="P68B1DB1-Normal13"/>
              <w:jc w:val="center"/>
              <w:rPr>
                <w:rFonts w:eastAsia="Times New Roman" w:cs="Times New Roman"/>
                <w:noProof/>
              </w:rPr>
            </w:pPr>
            <w:r>
              <w:rPr>
                <w:noProof/>
              </w:rPr>
              <w:t>M</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00C1A04" w14:textId="77777777" w:rsidR="000E48CE" w:rsidRDefault="00FF4C4E">
            <w:pPr>
              <w:pStyle w:val="P68B1DB1-Normal13"/>
              <w:rPr>
                <w:rFonts w:eastAsia="Times New Roman" w:cs="Times New Roman"/>
                <w:noProof/>
              </w:rPr>
            </w:pPr>
            <w:r>
              <w:rPr>
                <w:noProof/>
              </w:rPr>
              <w:t>VALTERM ED -järjestelmä ja kansallisen terveydenhuoltojärjestelmän terveysteknologioiden ja -etujen arviointifoorumi</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B4EF807" w14:textId="77777777" w:rsidR="000E48CE" w:rsidRDefault="00FF4C4E">
            <w:pPr>
              <w:pStyle w:val="P68B1DB1-Normal13"/>
              <w:jc w:val="center"/>
              <w:rPr>
                <w:rFonts w:eastAsia="Times New Roman" w:cs="Times New Roman"/>
                <w:noProof/>
              </w:rPr>
            </w:pPr>
            <w:r>
              <w:rPr>
                <w:noProof/>
              </w:rPr>
              <w:t>Käyttöönottotodistus</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F8DDFA9" w14:textId="77777777" w:rsidR="000E48CE" w:rsidRDefault="000E48CE">
            <w:pPr>
              <w:jc w:val="center"/>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0CA3C4C" w14:textId="77777777" w:rsidR="000E48CE" w:rsidRDefault="000E48CE">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9780AA6" w14:textId="77777777" w:rsidR="000E48CE" w:rsidRDefault="000E48CE">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D3D5060" w14:textId="77777777" w:rsidR="000E48CE" w:rsidRDefault="00FF4C4E">
            <w:pPr>
              <w:pStyle w:val="P68B1DB1-Normal13"/>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4417D6B" w14:textId="77777777" w:rsidR="000E48CE" w:rsidRDefault="00FF4C4E">
            <w:pPr>
              <w:pStyle w:val="P68B1DB1-Normal13"/>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4F75462A" w14:textId="77777777" w:rsidR="000E48CE" w:rsidRDefault="00FF4C4E">
            <w:pPr>
              <w:pStyle w:val="P68B1DB1-Normal13"/>
              <w:rPr>
                <w:rFonts w:eastAsia="Times New Roman" w:cs="Times New Roman"/>
                <w:noProof/>
              </w:rPr>
            </w:pPr>
            <w:r>
              <w:rPr>
                <w:noProof/>
              </w:rPr>
              <w:t>Terveysministeriön ja autonomisten alueiden välinen lääkkeiden arviointiverkosto on toiminnassa, VALTERM ED -järjestelmä on toiminnassa ja Espanjan kansallisen terveydenhuoltojärjestelmän terveysteknologian ja hyötyjen arvioinnista vastaavien virastoj</w:t>
            </w:r>
            <w:r>
              <w:rPr>
                <w:noProof/>
              </w:rPr>
              <w:t>en verkostolle (SNS REDETS) on perustettu foorumi.</w:t>
            </w:r>
          </w:p>
          <w:p w14:paraId="6111A05C" w14:textId="77777777" w:rsidR="000E48CE" w:rsidRDefault="000E48CE">
            <w:pPr>
              <w:rPr>
                <w:rFonts w:ascii="Times New Roman" w:eastAsia="Times New Roman" w:hAnsi="Times New Roman" w:cs="Times New Roman"/>
                <w:noProof/>
                <w:sz w:val="18"/>
              </w:rPr>
            </w:pPr>
          </w:p>
        </w:tc>
      </w:tr>
      <w:tr w:rsidR="000E48CE" w14:paraId="2A1543F9"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190B727" w14:textId="6F94BB42" w:rsidR="000E48CE" w:rsidRDefault="00FF4C4E">
            <w:pPr>
              <w:pStyle w:val="P68B1DB1-Normal13"/>
              <w:jc w:val="center"/>
              <w:rPr>
                <w:rFonts w:eastAsia="Times New Roman" w:cs="Times New Roman"/>
                <w:noProof/>
              </w:rPr>
            </w:pPr>
            <w:r>
              <w:rPr>
                <w:noProof/>
              </w:rPr>
              <w:t>464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27CF1721" w14:textId="77777777" w:rsidR="000E48CE" w:rsidRDefault="00FF4C4E">
            <w:pPr>
              <w:pStyle w:val="P68B1DB1-Normal13"/>
              <w:jc w:val="center"/>
              <w:rPr>
                <w:rFonts w:eastAsia="Times New Roman" w:cs="Times New Roman"/>
                <w:noProof/>
              </w:rPr>
            </w:pPr>
            <w:r>
              <w:rPr>
                <w:noProof/>
              </w:rPr>
              <w:t>C18.I5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4EB71D2A" w14:textId="77777777" w:rsidR="000E48CE" w:rsidRDefault="00FF4C4E">
            <w:pPr>
              <w:pStyle w:val="P68B1DB1-Normal13"/>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61E6A0DF" w14:textId="77777777" w:rsidR="000E48CE" w:rsidRDefault="00FF4C4E">
            <w:pPr>
              <w:pStyle w:val="P68B1DB1-Normal13"/>
              <w:rPr>
                <w:rFonts w:eastAsia="Times New Roman" w:cs="Times New Roman"/>
                <w:noProof/>
              </w:rPr>
            </w:pPr>
            <w:r>
              <w:rPr>
                <w:noProof/>
              </w:rPr>
              <w:t>Suunnitelma lääkkeiden kulutuksen järkeistämiseksi ja kestävyyden edistämiseksi</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7B66D9E" w14:textId="77777777" w:rsidR="000E48CE" w:rsidRDefault="000E48CE">
            <w:pPr>
              <w:jc w:val="center"/>
              <w:rPr>
                <w:rFonts w:ascii="Times New Roman" w:eastAsia="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C9821BC" w14:textId="77777777" w:rsidR="000E48CE" w:rsidRDefault="000E48CE">
            <w:pPr>
              <w:jc w:val="center"/>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353133F" w14:textId="77777777" w:rsidR="000E48CE" w:rsidRDefault="000E48CE">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5162B95" w14:textId="77777777" w:rsidR="000E48CE" w:rsidRDefault="000E48CE">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E92C8D9" w14:textId="77777777" w:rsidR="000E48CE" w:rsidRDefault="00FF4C4E">
            <w:pPr>
              <w:pStyle w:val="P68B1DB1-Normal13"/>
              <w:jc w:val="center"/>
              <w:rPr>
                <w:rFonts w:eastAsia="Times New Roman" w:cs="Times New Roman"/>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02FFEE1" w14:textId="77777777" w:rsidR="000E48CE" w:rsidRDefault="00FF4C4E">
            <w:pPr>
              <w:pStyle w:val="P68B1DB1-Normal13"/>
              <w:jc w:val="center"/>
              <w:rPr>
                <w:rFonts w:eastAsia="Times New Roman" w:cs="Times New Roman"/>
                <w:noProof/>
              </w:rPr>
            </w:pPr>
            <w:r>
              <w:rPr>
                <w:noProof/>
              </w:rPr>
              <w:t>2026</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5C51D39B" w14:textId="77777777" w:rsidR="000E48CE" w:rsidRDefault="00FF4C4E">
            <w:pPr>
              <w:pStyle w:val="P68B1DB1-Normal13"/>
              <w:rPr>
                <w:rFonts w:eastAsia="Times New Roman" w:cs="Times New Roman"/>
                <w:noProof/>
              </w:rPr>
            </w:pPr>
            <w:r>
              <w:rPr>
                <w:noProof/>
              </w:rPr>
              <w:t>Rinnakkais- ja biosimilaarilääkkeiden käytön edistämiseksi on toteutettava kampanja.</w:t>
            </w:r>
          </w:p>
          <w:p w14:paraId="4A2FC14B" w14:textId="42ED86BA" w:rsidR="000E48CE" w:rsidRDefault="00FF4C4E">
            <w:pPr>
              <w:pStyle w:val="P68B1DB1-Normal13"/>
              <w:rPr>
                <w:rFonts w:eastAsia="Times New Roman" w:cs="Times New Roman"/>
                <w:noProof/>
              </w:rPr>
            </w:pPr>
            <w:r>
              <w:rPr>
                <w:noProof/>
              </w:rPr>
              <w:t xml:space="preserve">Ortopedisten </w:t>
            </w:r>
            <w:r>
              <w:rPr>
                <w:noProof/>
              </w:rPr>
              <w:t>ja proteesien määräämisen hallinnointia varten on otettava käyttöön tietojärjestelmä.</w:t>
            </w:r>
          </w:p>
          <w:p w14:paraId="251727E0" w14:textId="2D566576" w:rsidR="000E48CE" w:rsidRDefault="00FF4C4E">
            <w:pPr>
              <w:pStyle w:val="P68B1DB1-Normal13"/>
              <w:rPr>
                <w:rFonts w:eastAsia="Times New Roman" w:cs="Times New Roman"/>
                <w:noProof/>
              </w:rPr>
            </w:pPr>
            <w:r>
              <w:rPr>
                <w:noProof/>
              </w:rPr>
              <w:t>Vähintään 46300 terveydenhuollon ammattihenkilön on saatava koulutusta lääkkeiden järkevästä käytöstä, tieteellisen tiedon käytöstä kliinisissä toimissa ja tieteellisen k</w:t>
            </w:r>
            <w:r>
              <w:rPr>
                <w:noProof/>
              </w:rPr>
              <w:t>irjallisuuden kriittisen lukemisen taitojen kehittämisestä.</w:t>
            </w:r>
          </w:p>
          <w:p w14:paraId="046176C0" w14:textId="77777777" w:rsidR="000E48CE" w:rsidRDefault="00FF4C4E">
            <w:pPr>
              <w:pStyle w:val="P68B1DB1-Normal13"/>
              <w:rPr>
                <w:rFonts w:eastAsia="Times New Roman" w:cs="Times New Roman"/>
                <w:noProof/>
              </w:rPr>
            </w:pPr>
            <w:r>
              <w:rPr>
                <w:noProof/>
              </w:rPr>
              <w:t>Lääkkeiden ja terveysteknologian arvioinnin arviointia varten perustetaan tutkintotodistuskurssi.</w:t>
            </w:r>
          </w:p>
        </w:tc>
      </w:tr>
      <w:tr w:rsidR="000E48CE" w14:paraId="69CDC385"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687D722" w14:textId="77777777" w:rsidR="000E48CE" w:rsidRDefault="00FF4C4E">
            <w:pPr>
              <w:pStyle w:val="P68B1DB1-Normal13"/>
              <w:spacing w:after="0" w:line="240" w:lineRule="auto"/>
              <w:jc w:val="center"/>
              <w:rPr>
                <w:rFonts w:eastAsia="Times New Roman" w:cs="Times New Roman"/>
                <w:noProof/>
              </w:rPr>
            </w:pPr>
            <w:r>
              <w:rPr>
                <w:noProof/>
              </w:rPr>
              <w:t>284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4552E50" w14:textId="77777777" w:rsidR="000E48CE" w:rsidRDefault="00FF4C4E">
            <w:pPr>
              <w:pStyle w:val="P68B1DB1-Normal13"/>
              <w:spacing w:after="0" w:line="240" w:lineRule="auto"/>
              <w:jc w:val="center"/>
              <w:rPr>
                <w:rFonts w:eastAsia="Times New Roman" w:cs="Times New Roman"/>
                <w:noProof/>
              </w:rPr>
            </w:pPr>
            <w:r>
              <w:rPr>
                <w:noProof/>
              </w:rPr>
              <w:t>C18.I6</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2DE694F" w14:textId="77777777" w:rsidR="000E48CE" w:rsidRDefault="00FF4C4E">
            <w:pPr>
              <w:pStyle w:val="P68B1DB1-Normal13"/>
              <w:spacing w:after="0" w:line="240" w:lineRule="auto"/>
              <w:jc w:val="center"/>
              <w:rPr>
                <w:rFonts w:eastAsia="Times New Roman" w:cs="Times New Roman"/>
                <w:noProof/>
              </w:rPr>
            </w:pPr>
            <w:r>
              <w:rPr>
                <w:noProof/>
              </w:rPr>
              <w:t>T</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97AE905" w14:textId="77777777" w:rsidR="000E48CE" w:rsidRDefault="00FF4C4E">
            <w:pPr>
              <w:pStyle w:val="P68B1DB1-Normal13"/>
              <w:spacing w:after="0" w:line="240" w:lineRule="auto"/>
              <w:rPr>
                <w:rFonts w:eastAsia="Times New Roman" w:cs="Times New Roman"/>
                <w:noProof/>
              </w:rPr>
            </w:pPr>
            <w:r>
              <w:rPr>
                <w:noProof/>
              </w:rPr>
              <w:t xml:space="preserve">Terveystietojärven toimintakunnossa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B4A3F2E"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A66A3CD"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EA6AC04" w14:textId="77777777" w:rsidR="000E48CE" w:rsidRDefault="00FF4C4E">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B21E64E" w14:textId="77777777" w:rsidR="000E48CE" w:rsidRDefault="00FF4C4E">
            <w:pPr>
              <w:pStyle w:val="P68B1DB1-Normal13"/>
              <w:spacing w:after="0" w:line="240" w:lineRule="auto"/>
              <w:jc w:val="right"/>
              <w:rPr>
                <w:rFonts w:eastAsia="Times New Roman" w:cs="Times New Roman"/>
                <w:noProof/>
              </w:rPr>
            </w:pPr>
            <w:r>
              <w:rPr>
                <w:noProof/>
              </w:rPr>
              <w:t>17</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E8CF16F"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0172AE3"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13D4E7D0" w14:textId="77777777" w:rsidR="000E48CE" w:rsidRDefault="00FF4C4E">
            <w:pPr>
              <w:pStyle w:val="P68B1DB1-Normal13"/>
              <w:spacing w:after="0" w:line="240" w:lineRule="auto"/>
              <w:rPr>
                <w:rFonts w:eastAsia="Times New Roman" w:cs="Times New Roman"/>
                <w:noProof/>
              </w:rPr>
            </w:pPr>
            <w:r>
              <w:rPr>
                <w:noProof/>
              </w:rPr>
              <w:t xml:space="preserve">Terveystietojärven on </w:t>
            </w:r>
            <w:r>
              <w:rPr>
                <w:noProof/>
              </w:rPr>
              <w:t>oltava valtion käytössä, ja siihen on kuuluttava vähintään 17 autonomista aluetta tai kaupunkia, joiden tavoitteena on mahdollistaa laajamittainen data-analyysi diagnoosien ja hoitojen tunnistamista ja parantamista varten.</w:t>
            </w:r>
          </w:p>
        </w:tc>
      </w:tr>
      <w:tr w:rsidR="000E48CE" w14:paraId="36323961" w14:textId="77777777">
        <w:trPr>
          <w:trHeight w:val="309"/>
        </w:trPr>
        <w:tc>
          <w:tcPr>
            <w:tcW w:w="708" w:type="dxa"/>
            <w:shd w:val="clear" w:color="auto" w:fill="C6EFCE"/>
            <w:noWrap/>
          </w:tcPr>
          <w:p w14:paraId="15D2AC37" w14:textId="5B8A585D" w:rsidR="000E48CE" w:rsidRDefault="00FF4C4E">
            <w:pPr>
              <w:pStyle w:val="P68B1DB1-Normal13"/>
              <w:spacing w:after="0" w:line="240" w:lineRule="auto"/>
              <w:jc w:val="center"/>
              <w:rPr>
                <w:rFonts w:cs="Times New Roman"/>
                <w:noProof/>
              </w:rPr>
            </w:pPr>
            <w:r>
              <w:rPr>
                <w:noProof/>
              </w:rPr>
              <w:t>465</w:t>
            </w:r>
          </w:p>
        </w:tc>
        <w:tc>
          <w:tcPr>
            <w:tcW w:w="850" w:type="dxa"/>
            <w:shd w:val="clear" w:color="auto" w:fill="C6EFCE"/>
            <w:noWrap/>
          </w:tcPr>
          <w:p w14:paraId="4E2574A6" w14:textId="77777777" w:rsidR="000E48CE" w:rsidRDefault="00FF4C4E">
            <w:pPr>
              <w:pStyle w:val="P68B1DB1-Normal13"/>
              <w:spacing w:after="0" w:line="240" w:lineRule="auto"/>
              <w:jc w:val="center"/>
              <w:rPr>
                <w:rFonts w:cs="Times New Roman"/>
                <w:noProof/>
              </w:rPr>
            </w:pPr>
            <w:r>
              <w:rPr>
                <w:noProof/>
              </w:rPr>
              <w:t>C18.I4</w:t>
            </w:r>
          </w:p>
        </w:tc>
        <w:tc>
          <w:tcPr>
            <w:tcW w:w="836" w:type="dxa"/>
            <w:shd w:val="clear" w:color="auto" w:fill="C6EFCE"/>
            <w:noWrap/>
          </w:tcPr>
          <w:p w14:paraId="0DF8E6C4" w14:textId="77777777" w:rsidR="000E48CE" w:rsidRDefault="00FF4C4E">
            <w:pPr>
              <w:pStyle w:val="P68B1DB1-Normal13"/>
              <w:spacing w:after="0" w:line="240" w:lineRule="auto"/>
              <w:jc w:val="center"/>
              <w:rPr>
                <w:rFonts w:cs="Times New Roman"/>
                <w:noProof/>
              </w:rPr>
            </w:pPr>
            <w:r>
              <w:rPr>
                <w:noProof/>
              </w:rPr>
              <w:t>T</w:t>
            </w:r>
          </w:p>
        </w:tc>
        <w:tc>
          <w:tcPr>
            <w:tcW w:w="2812" w:type="dxa"/>
            <w:shd w:val="clear" w:color="auto" w:fill="C6EFCE"/>
            <w:noWrap/>
          </w:tcPr>
          <w:p w14:paraId="20B9943E" w14:textId="6C3315D1" w:rsidR="000E48CE" w:rsidRDefault="00FF4C4E">
            <w:pPr>
              <w:pStyle w:val="P68B1DB1-Normal13"/>
              <w:spacing w:after="0" w:line="240" w:lineRule="auto"/>
              <w:rPr>
                <w:rFonts w:eastAsia="Times New Roman" w:cs="Times New Roman"/>
                <w:noProof/>
              </w:rPr>
            </w:pPr>
            <w:r>
              <w:rPr>
                <w:noProof/>
              </w:rPr>
              <w:t xml:space="preserve">Harvinaisia sairauksia sairastavien potilaiden terveydenhuollon parantamiseen tähtäävien hankkeiden loppuun saattaminen </w:t>
            </w:r>
          </w:p>
        </w:tc>
        <w:tc>
          <w:tcPr>
            <w:tcW w:w="1276" w:type="dxa"/>
            <w:shd w:val="clear" w:color="auto" w:fill="C6EFCE"/>
            <w:noWrap/>
          </w:tcPr>
          <w:p w14:paraId="0A78DA5B" w14:textId="77777777" w:rsidR="000E48CE" w:rsidRDefault="000E48CE">
            <w:pPr>
              <w:spacing w:after="0" w:line="240" w:lineRule="auto"/>
              <w:jc w:val="center"/>
              <w:rPr>
                <w:rFonts w:ascii="Times New Roman" w:hAnsi="Times New Roman" w:cs="Times New Roman"/>
                <w:noProof/>
                <w:sz w:val="18"/>
              </w:rPr>
            </w:pPr>
          </w:p>
        </w:tc>
        <w:tc>
          <w:tcPr>
            <w:tcW w:w="709" w:type="dxa"/>
            <w:shd w:val="clear" w:color="auto" w:fill="C6EFCE"/>
            <w:noWrap/>
          </w:tcPr>
          <w:p w14:paraId="595D81A4" w14:textId="79DA9C70" w:rsidR="000E48CE" w:rsidRDefault="00FF4C4E">
            <w:pPr>
              <w:pStyle w:val="P68B1DB1-Normal13"/>
              <w:spacing w:after="0" w:line="240" w:lineRule="auto"/>
              <w:jc w:val="center"/>
              <w:rPr>
                <w:rFonts w:cs="Times New Roman"/>
                <w:noProof/>
              </w:rPr>
            </w:pPr>
            <w:r>
              <w:rPr>
                <w:noProof/>
              </w:rPr>
              <w:t xml:space="preserve">Miljoonaa euroa </w:t>
            </w:r>
          </w:p>
        </w:tc>
        <w:tc>
          <w:tcPr>
            <w:tcW w:w="567" w:type="dxa"/>
            <w:shd w:val="clear" w:color="auto" w:fill="C6EFCE"/>
            <w:noWrap/>
          </w:tcPr>
          <w:p w14:paraId="73434D56"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77FAD77F" w14:textId="77777777" w:rsidR="000E48CE" w:rsidRDefault="00FF4C4E">
            <w:pPr>
              <w:pStyle w:val="P68B1DB1-Normal13"/>
              <w:spacing w:after="0" w:line="240" w:lineRule="auto"/>
              <w:jc w:val="right"/>
              <w:rPr>
                <w:rFonts w:eastAsia="Times New Roman" w:cs="Times New Roman"/>
                <w:noProof/>
              </w:rPr>
            </w:pPr>
            <w:r>
              <w:rPr>
                <w:noProof/>
              </w:rPr>
              <w:t>50</w:t>
            </w:r>
          </w:p>
        </w:tc>
        <w:tc>
          <w:tcPr>
            <w:tcW w:w="567" w:type="dxa"/>
            <w:shd w:val="clear" w:color="auto" w:fill="C6EFCE"/>
            <w:noWrap/>
          </w:tcPr>
          <w:p w14:paraId="6D2A1BB2" w14:textId="52B062C2"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03755F8C" w14:textId="743B6E37" w:rsidR="000E48CE" w:rsidRDefault="00FF4C4E">
            <w:pPr>
              <w:pStyle w:val="P68B1DB1-Normal13"/>
              <w:spacing w:after="0" w:line="240" w:lineRule="auto"/>
              <w:jc w:val="center"/>
              <w:rPr>
                <w:rFonts w:cs="Times New Roman"/>
                <w:noProof/>
              </w:rPr>
            </w:pPr>
            <w:r>
              <w:rPr>
                <w:noProof/>
              </w:rPr>
              <w:t>2026</w:t>
            </w:r>
          </w:p>
        </w:tc>
        <w:tc>
          <w:tcPr>
            <w:tcW w:w="5679" w:type="dxa"/>
            <w:shd w:val="clear" w:color="auto" w:fill="C6EFCE"/>
            <w:noWrap/>
          </w:tcPr>
          <w:p w14:paraId="48DF3648" w14:textId="4F2C31D2" w:rsidR="000E48CE" w:rsidRDefault="00FF4C4E">
            <w:pPr>
              <w:pStyle w:val="P68B1DB1-Normal13"/>
              <w:spacing w:after="0" w:line="240" w:lineRule="auto"/>
              <w:rPr>
                <w:rFonts w:eastAsia="Times New Roman" w:cs="Times New Roman"/>
                <w:noProof/>
              </w:rPr>
            </w:pPr>
            <w:r>
              <w:rPr>
                <w:noProof/>
              </w:rPr>
              <w:t xml:space="preserve">Vähintään 50 miljoonan euron pilottihankkeiden loppuun saattaminen kansallisen </w:t>
            </w:r>
            <w:r>
              <w:rPr>
                <w:noProof/>
              </w:rPr>
              <w:t>terveydenhuoltojärjestelmän varustamiseksi yhteentoimivilla valmiuksilla, infrastruktuurilla, laitteilla ja tietojärjestelmillä, joilla helpotetaan harvinaisia sairauksia sairastavien potilaiden terveydenhuollon parantamista</w:t>
            </w:r>
          </w:p>
        </w:tc>
      </w:tr>
      <w:tr w:rsidR="000E48CE" w14:paraId="0A1EAE17" w14:textId="77777777">
        <w:trPr>
          <w:trHeight w:val="309"/>
        </w:trPr>
        <w:tc>
          <w:tcPr>
            <w:tcW w:w="708" w:type="dxa"/>
            <w:shd w:val="clear" w:color="auto" w:fill="C6EFCE"/>
            <w:noWrap/>
          </w:tcPr>
          <w:p w14:paraId="48D0ABBD" w14:textId="3408C95B" w:rsidR="000E48CE" w:rsidRDefault="00FF4C4E">
            <w:pPr>
              <w:pStyle w:val="P68B1DB1-Normal13"/>
              <w:spacing w:after="0" w:line="240" w:lineRule="auto"/>
              <w:jc w:val="center"/>
              <w:rPr>
                <w:rFonts w:eastAsia="Times New Roman" w:cs="Times New Roman"/>
                <w:noProof/>
              </w:rPr>
            </w:pPr>
            <w:r>
              <w:rPr>
                <w:noProof/>
              </w:rPr>
              <w:t>466</w:t>
            </w:r>
          </w:p>
        </w:tc>
        <w:tc>
          <w:tcPr>
            <w:tcW w:w="850" w:type="dxa"/>
            <w:shd w:val="clear" w:color="auto" w:fill="C6EFCE"/>
            <w:noWrap/>
          </w:tcPr>
          <w:p w14:paraId="08593F24" w14:textId="50218951" w:rsidR="000E48CE" w:rsidRDefault="00FF4C4E">
            <w:pPr>
              <w:pStyle w:val="P68B1DB1-Normal13"/>
              <w:spacing w:after="0" w:line="240" w:lineRule="auto"/>
              <w:jc w:val="center"/>
              <w:rPr>
                <w:rFonts w:eastAsia="Times New Roman" w:cs="Times New Roman"/>
                <w:noProof/>
              </w:rPr>
            </w:pPr>
            <w:r>
              <w:rPr>
                <w:noProof/>
              </w:rPr>
              <w:t>C18.I5</w:t>
            </w:r>
          </w:p>
        </w:tc>
        <w:tc>
          <w:tcPr>
            <w:tcW w:w="836" w:type="dxa"/>
            <w:shd w:val="clear" w:color="auto" w:fill="C6EFCE"/>
            <w:noWrap/>
          </w:tcPr>
          <w:p w14:paraId="62D7F482" w14:textId="319DB96D" w:rsidR="000E48CE" w:rsidRDefault="00FF4C4E">
            <w:pPr>
              <w:pStyle w:val="P68B1DB1-Normal13"/>
              <w:spacing w:after="0" w:line="240" w:lineRule="auto"/>
              <w:jc w:val="center"/>
              <w:rPr>
                <w:rFonts w:eastAsia="Times New Roman" w:cs="Times New Roman"/>
                <w:noProof/>
              </w:rPr>
            </w:pPr>
            <w:r>
              <w:rPr>
                <w:noProof/>
              </w:rPr>
              <w:t>T</w:t>
            </w:r>
          </w:p>
        </w:tc>
        <w:tc>
          <w:tcPr>
            <w:tcW w:w="2812" w:type="dxa"/>
            <w:shd w:val="clear" w:color="auto" w:fill="C6EFCE"/>
            <w:noWrap/>
          </w:tcPr>
          <w:p w14:paraId="11CC146B" w14:textId="0ADF4BA4" w:rsidR="000E48CE" w:rsidRDefault="00FF4C4E">
            <w:pPr>
              <w:pStyle w:val="P68B1DB1-Normal13"/>
              <w:spacing w:after="0" w:line="240" w:lineRule="auto"/>
              <w:rPr>
                <w:rFonts w:eastAsia="Times New Roman" w:cs="Times New Roman"/>
                <w:noProof/>
              </w:rPr>
            </w:pPr>
            <w:r>
              <w:rPr>
                <w:noProof/>
              </w:rPr>
              <w:t xml:space="preserve">Kansallisen </w:t>
            </w:r>
            <w:r>
              <w:rPr>
                <w:noProof/>
              </w:rPr>
              <w:t>terveydenhuoltojärjestelmän genomipalvelujen laajentaminen</w:t>
            </w:r>
          </w:p>
        </w:tc>
        <w:tc>
          <w:tcPr>
            <w:tcW w:w="1276" w:type="dxa"/>
            <w:shd w:val="clear" w:color="auto" w:fill="C6EFCE"/>
            <w:noWrap/>
          </w:tcPr>
          <w:p w14:paraId="5D3803A4" w14:textId="3365792B" w:rsidR="000E48CE" w:rsidRDefault="00FF4C4E">
            <w:pPr>
              <w:pStyle w:val="P68B1DB1-Normal13"/>
              <w:spacing w:after="0" w:line="240" w:lineRule="auto"/>
              <w:jc w:val="center"/>
              <w:rPr>
                <w:rFonts w:cs="Times New Roman"/>
                <w:noProof/>
              </w:rPr>
            </w:pPr>
            <w:r>
              <w:rPr>
                <w:noProof/>
              </w:rPr>
              <w:t xml:space="preserve"> </w:t>
            </w:r>
          </w:p>
        </w:tc>
        <w:tc>
          <w:tcPr>
            <w:tcW w:w="709" w:type="dxa"/>
            <w:shd w:val="clear" w:color="auto" w:fill="C6EFCE"/>
            <w:noWrap/>
          </w:tcPr>
          <w:p w14:paraId="48F0A250" w14:textId="56E62F00" w:rsidR="000E48CE" w:rsidRDefault="00FF4C4E">
            <w:pPr>
              <w:pStyle w:val="P68B1DB1-Normal13"/>
              <w:spacing w:after="0" w:line="240" w:lineRule="auto"/>
              <w:jc w:val="center"/>
              <w:rPr>
                <w:rFonts w:eastAsia="Times New Roman" w:cs="Times New Roman"/>
                <w:noProof/>
              </w:rPr>
            </w:pPr>
            <w:r>
              <w:rPr>
                <w:noProof/>
              </w:rPr>
              <w:t xml:space="preserve">Miljoonaa euroa </w:t>
            </w:r>
          </w:p>
        </w:tc>
        <w:tc>
          <w:tcPr>
            <w:tcW w:w="567" w:type="dxa"/>
            <w:shd w:val="clear" w:color="auto" w:fill="C6EFCE"/>
            <w:noWrap/>
          </w:tcPr>
          <w:p w14:paraId="528FBAF1" w14:textId="153C087C" w:rsidR="000E48CE" w:rsidRDefault="00FF4C4E">
            <w:pPr>
              <w:pStyle w:val="P68B1DB1-Normal13"/>
              <w:spacing w:after="0" w:line="240" w:lineRule="auto"/>
              <w:jc w:val="right"/>
              <w:rPr>
                <w:rFonts w:eastAsia="Times New Roman" w:cs="Times New Roman"/>
                <w:noProof/>
              </w:rPr>
            </w:pPr>
            <w:r>
              <w:rPr>
                <w:noProof/>
              </w:rPr>
              <w:t>0</w:t>
            </w:r>
          </w:p>
        </w:tc>
        <w:tc>
          <w:tcPr>
            <w:tcW w:w="567" w:type="dxa"/>
            <w:shd w:val="clear" w:color="auto" w:fill="C6EFCE"/>
            <w:noWrap/>
          </w:tcPr>
          <w:p w14:paraId="6F038E42" w14:textId="3B1E3DA3" w:rsidR="000E48CE" w:rsidRDefault="00FF4C4E">
            <w:pPr>
              <w:pStyle w:val="P68B1DB1-Normal13"/>
              <w:spacing w:after="0" w:line="240" w:lineRule="auto"/>
              <w:jc w:val="right"/>
              <w:rPr>
                <w:rFonts w:eastAsia="Times New Roman" w:cs="Times New Roman"/>
                <w:noProof/>
              </w:rPr>
            </w:pPr>
            <w:r>
              <w:rPr>
                <w:noProof/>
              </w:rPr>
              <w:t>23</w:t>
            </w:r>
          </w:p>
        </w:tc>
        <w:tc>
          <w:tcPr>
            <w:tcW w:w="567" w:type="dxa"/>
            <w:shd w:val="clear" w:color="auto" w:fill="C6EFCE"/>
            <w:noWrap/>
          </w:tcPr>
          <w:p w14:paraId="76756A97" w14:textId="122F5FB9" w:rsidR="000E48CE" w:rsidRDefault="00FF4C4E">
            <w:pPr>
              <w:pStyle w:val="P68B1DB1-Normal13"/>
              <w:spacing w:after="0" w:line="240" w:lineRule="auto"/>
              <w:jc w:val="center"/>
              <w:rPr>
                <w:rFonts w:eastAsia="Times New Roman" w:cs="Times New Roman"/>
                <w:noProof/>
              </w:rPr>
            </w:pPr>
            <w:r>
              <w:rPr>
                <w:noProof/>
              </w:rPr>
              <w:t>Q2</w:t>
            </w:r>
          </w:p>
        </w:tc>
        <w:tc>
          <w:tcPr>
            <w:tcW w:w="567" w:type="dxa"/>
            <w:shd w:val="clear" w:color="auto" w:fill="C6EFCE"/>
            <w:noWrap/>
          </w:tcPr>
          <w:p w14:paraId="1187235C" w14:textId="3E77F6F4" w:rsidR="000E48CE" w:rsidRDefault="00FF4C4E">
            <w:pPr>
              <w:pStyle w:val="P68B1DB1-Normal13"/>
              <w:spacing w:after="0" w:line="240" w:lineRule="auto"/>
              <w:jc w:val="center"/>
              <w:rPr>
                <w:rFonts w:eastAsia="Times New Roman" w:cs="Times New Roman"/>
                <w:noProof/>
              </w:rPr>
            </w:pPr>
            <w:r>
              <w:rPr>
                <w:noProof/>
              </w:rPr>
              <w:t>2026</w:t>
            </w:r>
          </w:p>
        </w:tc>
        <w:tc>
          <w:tcPr>
            <w:tcW w:w="5679" w:type="dxa"/>
            <w:shd w:val="clear" w:color="auto" w:fill="C6EFCE"/>
            <w:noWrap/>
          </w:tcPr>
          <w:p w14:paraId="086447AF" w14:textId="1B49B1B4" w:rsidR="000E48CE" w:rsidRDefault="00FF4C4E">
            <w:pPr>
              <w:pStyle w:val="P68B1DB1-Normal13"/>
              <w:spacing w:after="0" w:line="240" w:lineRule="auto"/>
              <w:rPr>
                <w:rFonts w:eastAsia="Times New Roman" w:cs="Times New Roman"/>
                <w:noProof/>
              </w:rPr>
            </w:pPr>
            <w:r>
              <w:rPr>
                <w:noProof/>
              </w:rPr>
              <w:t xml:space="preserve">Geenitestauksen laajennetun luettelon toteuttamiseksi tarvittavat laitteet, joiden arvo on vähintään 23000000 euroa, on ostettava, ja on otettava käyttöön </w:t>
            </w:r>
            <w:r>
              <w:rPr>
                <w:noProof/>
              </w:rPr>
              <w:t>tietojärjestelmä genomitietojen integroimiseksi kansallisella tasolla.</w:t>
            </w:r>
          </w:p>
        </w:tc>
      </w:tr>
      <w:tr w:rsidR="000E48CE" w14:paraId="0BAA2D52" w14:textId="77777777">
        <w:trPr>
          <w:trHeight w:val="309"/>
        </w:trPr>
        <w:tc>
          <w:tcPr>
            <w:tcW w:w="708" w:type="dxa"/>
            <w:shd w:val="clear" w:color="auto" w:fill="C6EFCE"/>
            <w:noWrap/>
          </w:tcPr>
          <w:p w14:paraId="3FD0142E" w14:textId="04899C00" w:rsidR="000E48CE" w:rsidRDefault="00FF4C4E">
            <w:pPr>
              <w:pStyle w:val="P68B1DB1-Normal13"/>
              <w:spacing w:after="0" w:line="240" w:lineRule="auto"/>
              <w:jc w:val="center"/>
              <w:rPr>
                <w:rFonts w:cs="Times New Roman"/>
                <w:noProof/>
              </w:rPr>
            </w:pPr>
            <w:r>
              <w:rPr>
                <w:noProof/>
              </w:rPr>
              <w:t>466a</w:t>
            </w:r>
          </w:p>
        </w:tc>
        <w:tc>
          <w:tcPr>
            <w:tcW w:w="850" w:type="dxa"/>
            <w:shd w:val="clear" w:color="auto" w:fill="C6EFCE"/>
            <w:noWrap/>
          </w:tcPr>
          <w:p w14:paraId="2CA30FAA" w14:textId="667F3C2D" w:rsidR="000E48CE" w:rsidRDefault="00FF4C4E">
            <w:pPr>
              <w:pStyle w:val="P68B1DB1-Normal13"/>
              <w:spacing w:after="0" w:line="240" w:lineRule="auto"/>
              <w:jc w:val="center"/>
              <w:rPr>
                <w:rFonts w:cs="Times New Roman"/>
                <w:noProof/>
              </w:rPr>
            </w:pPr>
            <w:r>
              <w:rPr>
                <w:noProof/>
              </w:rPr>
              <w:t>C18.I6</w:t>
            </w:r>
          </w:p>
        </w:tc>
        <w:tc>
          <w:tcPr>
            <w:tcW w:w="836" w:type="dxa"/>
            <w:shd w:val="clear" w:color="auto" w:fill="C6EFCE"/>
            <w:noWrap/>
          </w:tcPr>
          <w:p w14:paraId="069CB644" w14:textId="294A3F74" w:rsidR="000E48CE" w:rsidRDefault="00FF4C4E">
            <w:pPr>
              <w:pStyle w:val="P68B1DB1-Normal13"/>
              <w:spacing w:after="0" w:line="240" w:lineRule="auto"/>
              <w:jc w:val="center"/>
              <w:rPr>
                <w:rFonts w:cs="Times New Roman"/>
                <w:noProof/>
              </w:rPr>
            </w:pPr>
            <w:r>
              <w:rPr>
                <w:noProof/>
              </w:rPr>
              <w:t>T</w:t>
            </w:r>
          </w:p>
        </w:tc>
        <w:tc>
          <w:tcPr>
            <w:tcW w:w="2812" w:type="dxa"/>
            <w:shd w:val="clear" w:color="auto" w:fill="C6EFCE"/>
            <w:noWrap/>
          </w:tcPr>
          <w:p w14:paraId="45090972" w14:textId="62CF638A" w:rsidR="000E48CE" w:rsidRDefault="00FF4C4E">
            <w:pPr>
              <w:pStyle w:val="P68B1DB1-Normal13"/>
              <w:spacing w:after="0" w:line="240" w:lineRule="auto"/>
              <w:rPr>
                <w:rFonts w:eastAsia="Times New Roman" w:cs="Times New Roman"/>
                <w:noProof/>
              </w:rPr>
            </w:pPr>
            <w:r>
              <w:rPr>
                <w:noProof/>
              </w:rPr>
              <w:t>Massadatan käsittelyhankkeet</w:t>
            </w:r>
          </w:p>
        </w:tc>
        <w:tc>
          <w:tcPr>
            <w:tcW w:w="1276" w:type="dxa"/>
            <w:shd w:val="clear" w:color="auto" w:fill="C6EFCE"/>
            <w:noWrap/>
          </w:tcPr>
          <w:p w14:paraId="06BC43D8" w14:textId="6C040902" w:rsidR="000E48CE" w:rsidRDefault="000E48CE">
            <w:pPr>
              <w:spacing w:after="0" w:line="240" w:lineRule="auto"/>
              <w:jc w:val="center"/>
              <w:rPr>
                <w:rFonts w:ascii="Times New Roman" w:hAnsi="Times New Roman" w:cs="Times New Roman"/>
                <w:noProof/>
                <w:sz w:val="18"/>
              </w:rPr>
            </w:pPr>
          </w:p>
        </w:tc>
        <w:tc>
          <w:tcPr>
            <w:tcW w:w="709" w:type="dxa"/>
            <w:shd w:val="clear" w:color="auto" w:fill="C6EFCE"/>
            <w:noWrap/>
          </w:tcPr>
          <w:p w14:paraId="7F835862" w14:textId="0F05C931"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tcPr>
          <w:p w14:paraId="6CE29A2A" w14:textId="420D3061" w:rsidR="000E48CE" w:rsidRDefault="000E48CE">
            <w:pPr>
              <w:spacing w:after="0" w:line="240" w:lineRule="auto"/>
              <w:jc w:val="right"/>
              <w:rPr>
                <w:rFonts w:ascii="Times New Roman" w:hAnsi="Times New Roman" w:cs="Times New Roman"/>
                <w:noProof/>
                <w:sz w:val="18"/>
              </w:rPr>
            </w:pPr>
          </w:p>
        </w:tc>
        <w:tc>
          <w:tcPr>
            <w:tcW w:w="567" w:type="dxa"/>
            <w:shd w:val="clear" w:color="auto" w:fill="C6EFCE"/>
            <w:noWrap/>
          </w:tcPr>
          <w:p w14:paraId="4C41331F" w14:textId="4EEBA05E" w:rsidR="000E48CE" w:rsidRDefault="00FF4C4E">
            <w:pPr>
              <w:pStyle w:val="P68B1DB1-Normal13"/>
              <w:spacing w:after="0" w:line="240" w:lineRule="auto"/>
              <w:jc w:val="right"/>
              <w:rPr>
                <w:rFonts w:cs="Times New Roman"/>
                <w:noProof/>
              </w:rPr>
            </w:pPr>
            <w:r>
              <w:rPr>
                <w:noProof/>
              </w:rPr>
              <w:t>2</w:t>
            </w:r>
          </w:p>
        </w:tc>
        <w:tc>
          <w:tcPr>
            <w:tcW w:w="567" w:type="dxa"/>
            <w:shd w:val="clear" w:color="auto" w:fill="C6EFCE"/>
            <w:noWrap/>
          </w:tcPr>
          <w:p w14:paraId="7C52FB75" w14:textId="58DE1D6F"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1685B77C" w14:textId="415DF8CE" w:rsidR="000E48CE" w:rsidRDefault="00FF4C4E">
            <w:pPr>
              <w:pStyle w:val="P68B1DB1-Normal13"/>
              <w:spacing w:after="0" w:line="240" w:lineRule="auto"/>
              <w:jc w:val="center"/>
              <w:rPr>
                <w:rFonts w:cs="Times New Roman"/>
                <w:noProof/>
              </w:rPr>
            </w:pPr>
            <w:r>
              <w:rPr>
                <w:noProof/>
              </w:rPr>
              <w:t>2025</w:t>
            </w:r>
          </w:p>
        </w:tc>
        <w:tc>
          <w:tcPr>
            <w:tcW w:w="5679" w:type="dxa"/>
            <w:shd w:val="clear" w:color="auto" w:fill="C6EFCE"/>
            <w:noWrap/>
          </w:tcPr>
          <w:p w14:paraId="22DCCCD1" w14:textId="28DF8296" w:rsidR="000E48CE" w:rsidRDefault="00FF4C4E">
            <w:pPr>
              <w:pStyle w:val="P68B1DB1-Normal13"/>
              <w:spacing w:after="0" w:line="240" w:lineRule="auto"/>
              <w:rPr>
                <w:rFonts w:eastAsia="Times New Roman" w:cs="Times New Roman"/>
                <w:noProof/>
              </w:rPr>
            </w:pPr>
            <w:r>
              <w:rPr>
                <w:noProof/>
              </w:rPr>
              <w:t>Terveystietojärveen tehtävän investoinnin yhteydessä on toteutettava vähintään kaksi massadatankäsittelyhanketta.</w:t>
            </w:r>
          </w:p>
        </w:tc>
      </w:tr>
    </w:tbl>
    <w:p w14:paraId="6CEA137B" w14:textId="77777777" w:rsidR="000E48CE" w:rsidRDefault="000E48CE">
      <w:pPr>
        <w:rPr>
          <w:rFonts w:ascii="Times New Roman" w:hAnsi="Times New Roman" w:cs="Times New Roman"/>
          <w:noProof/>
        </w:rPr>
      </w:pPr>
    </w:p>
    <w:p w14:paraId="6AFA53DC" w14:textId="77777777" w:rsidR="000E48CE" w:rsidRDefault="000E48CE">
      <w:pPr>
        <w:spacing w:before="120" w:after="120" w:line="240" w:lineRule="auto"/>
        <w:ind w:left="709"/>
        <w:jc w:val="both"/>
        <w:rPr>
          <w:rFonts w:ascii="Times New Roman" w:hAnsi="Times New Roman" w:cs="Times New Roman"/>
          <w:noProof/>
          <w:sz w:val="24"/>
        </w:rPr>
        <w:sectPr w:rsidR="000E48CE" w:rsidSect="00C94F66">
          <w:headerReference w:type="even" r:id="rId381"/>
          <w:headerReference w:type="default" r:id="rId382"/>
          <w:footerReference w:type="even" r:id="rId383"/>
          <w:footerReference w:type="default" r:id="rId384"/>
          <w:headerReference w:type="first" r:id="rId385"/>
          <w:footerReference w:type="first" r:id="rId386"/>
          <w:pgSz w:w="16839" w:h="11907" w:orient="landscape"/>
          <w:pgMar w:top="1417" w:right="1134" w:bottom="1417" w:left="1134" w:header="709" w:footer="709" w:gutter="0"/>
          <w:cols w:space="720"/>
          <w:docGrid w:linePitch="360"/>
        </w:sectPr>
      </w:pPr>
    </w:p>
    <w:p w14:paraId="20701AA1" w14:textId="77777777" w:rsidR="000E48CE" w:rsidRDefault="00FF4C4E">
      <w:pPr>
        <w:pStyle w:val="P68B1DB1-Heading12"/>
        <w:rPr>
          <w:rFonts w:cs="Times New Roman"/>
          <w:noProof/>
        </w:rPr>
      </w:pPr>
      <w:r>
        <w:rPr>
          <w:noProof/>
        </w:rPr>
        <w:t>S. OSA 19: Digitaaliset taidot</w:t>
      </w:r>
    </w:p>
    <w:p w14:paraId="07BA6823" w14:textId="77777777" w:rsidR="000E48CE" w:rsidRDefault="00FF4C4E">
      <w:pPr>
        <w:pStyle w:val="P68B1DB1-Normal4"/>
        <w:spacing w:before="120" w:after="120" w:line="240" w:lineRule="auto"/>
        <w:jc w:val="both"/>
        <w:rPr>
          <w:rFonts w:cs="Times New Roman"/>
          <w:noProof/>
        </w:rPr>
      </w:pPr>
      <w:r>
        <w:rPr>
          <w:noProof/>
        </w:rPr>
        <w:t>Espanjan elpymis- ja palautumissuunnitelman tämän osion päätavoitteena on parantaa (perus- ja edistyneiden) digitaalisten taitojen tasoa eri väestöryhmille suunnatuilla toimilla. Näiden taitojen hankkiminen on keskeistä, jotta Espanja voi hyödyntää taloude</w:t>
      </w:r>
      <w:r>
        <w:rPr>
          <w:noProof/>
        </w:rPr>
        <w:t xml:space="preserve">n ja yhteiskunnan lisääntyvän digitalisaation tarjoamia mahdollisuuksia. </w:t>
      </w:r>
    </w:p>
    <w:p w14:paraId="1539AB6F" w14:textId="77777777" w:rsidR="000E48CE" w:rsidRDefault="00FF4C4E">
      <w:pPr>
        <w:pStyle w:val="P68B1DB1-Normal4"/>
        <w:spacing w:before="120" w:after="120" w:line="240" w:lineRule="auto"/>
        <w:jc w:val="both"/>
        <w:rPr>
          <w:rFonts w:cs="Times New Roman"/>
          <w:noProof/>
        </w:rPr>
      </w:pPr>
      <w:r>
        <w:rPr>
          <w:noProof/>
        </w:rPr>
        <w:t>Pk-yritysten digitalisointia koskevat kohdennetut toimet täydentävät suunnitelman osa-alueeseen 13 (Pk-yritysten tukeminen) sisältyviä toimenpiteitä. Toimet, joilla lisätään tieto- j</w:t>
      </w:r>
      <w:r>
        <w:rPr>
          <w:noProof/>
        </w:rPr>
        <w:t>a viestintätekniikan alan korkeasti koulutettujen määrää, täydentävät osa-alueen 15 (Digitaaliset yhteydet) toimia. Lisäksi koulujen digitalisointia koskevilla toimilla olisi vahvistettava osa-alueen 21 (Koulutus) toimenpiteitä ja lisättävä osa-alueeseen 2</w:t>
      </w:r>
      <w:r>
        <w:rPr>
          <w:noProof/>
        </w:rPr>
        <w:t xml:space="preserve">3 (Työmarkkinat) kuuluvien toimien vaikutusta. </w:t>
      </w:r>
    </w:p>
    <w:p w14:paraId="607274F3" w14:textId="77777777" w:rsidR="000E48CE" w:rsidRDefault="00FF4C4E">
      <w:pPr>
        <w:pStyle w:val="P68B1DB1-Normal4"/>
        <w:spacing w:before="120" w:after="120" w:line="240" w:lineRule="auto"/>
        <w:jc w:val="both"/>
        <w:rPr>
          <w:rFonts w:cs="Times New Roman"/>
          <w:noProof/>
        </w:rPr>
      </w:pPr>
      <w:r>
        <w:rPr>
          <w:noProof/>
        </w:rPr>
        <w:t>Osa-alueella käsitellään maakohtaisia suosituksia, jotka koskevat innovoinnin edistämistä (maakohtainen suositus 3 2019), digitaalisen oppimisen saatavuutta (maakohtainen suositus 2 2020) ja toteutusvalmiiden</w:t>
      </w:r>
      <w:r>
        <w:rPr>
          <w:noProof/>
        </w:rPr>
        <w:t xml:space="preserve"> julkisten investointihankkeiden aikaistamista, yksityisten investointien edistämistä talouden elpymisen edistämiseksi ja investointien keskittämistä vihreään ja digitaaliseen siirtymään (maakohtainen suositus 3 2020).</w:t>
      </w:r>
    </w:p>
    <w:p w14:paraId="21FD6DE3" w14:textId="77777777" w:rsidR="000E48CE" w:rsidRDefault="00FF4C4E">
      <w:pPr>
        <w:pStyle w:val="P68B1DB1-Normal4"/>
        <w:spacing w:before="120" w:after="120" w:line="240" w:lineRule="auto"/>
        <w:jc w:val="both"/>
        <w:rPr>
          <w:rFonts w:cs="Times New Roman"/>
          <w:noProof/>
        </w:rPr>
      </w:pPr>
      <w:r>
        <w:rPr>
          <w:noProof/>
        </w:rPr>
        <w:t xml:space="preserve">Minkään tämän komponentin </w:t>
      </w:r>
      <w:r>
        <w:rPr>
          <w:noProof/>
        </w:rPr>
        <w:t>toimenpiteen ei odoteta aiheuttavan asetuksen (EU) 2020/852 17 artiklassa tarkoitettua merkittävää haittaa ympäristötavoitteille, kun otetaan huomioon ”ei merkittävää haittaa” -periaatteen soveltamista koskevien teknisten ohjeiden (2021/C58/01) mukaiset el</w:t>
      </w:r>
      <w:r>
        <w:rPr>
          <w:noProof/>
        </w:rPr>
        <w:t>pymis- ja palautumissuunnitelmassa esitettyjen toimenpiteiden kuvaus ja lieventävät toimet.</w:t>
      </w:r>
    </w:p>
    <w:p w14:paraId="126D6E9E" w14:textId="77777777" w:rsidR="000E48CE" w:rsidRDefault="00FF4C4E">
      <w:pPr>
        <w:pStyle w:val="P68B1DB1-Normal5"/>
        <w:spacing w:before="120" w:after="120" w:line="240" w:lineRule="auto"/>
        <w:ind w:left="709"/>
        <w:jc w:val="both"/>
        <w:rPr>
          <w:rFonts w:cs="Times New Roman"/>
          <w:i/>
          <w:noProof/>
        </w:rPr>
      </w:pPr>
      <w:r>
        <w:rPr>
          <w:noProof/>
        </w:rPr>
        <w:t xml:space="preserve">S.1 </w:t>
      </w:r>
      <w:r>
        <w:rPr>
          <w:noProof/>
        </w:rPr>
        <w:tab/>
        <w:t>Kuvaus uudistuksista ja investoinneista, joita rahoitetaan rahoitustuella, jota ei makseta takaisin</w:t>
      </w:r>
    </w:p>
    <w:p w14:paraId="0B394C03" w14:textId="77777777" w:rsidR="000E48CE" w:rsidRDefault="00FF4C4E">
      <w:pPr>
        <w:pStyle w:val="P68B1DB1-Normal6"/>
        <w:spacing w:before="120" w:after="120" w:line="240" w:lineRule="auto"/>
        <w:jc w:val="both"/>
        <w:rPr>
          <w:rFonts w:cs="Times New Roman"/>
          <w:noProof/>
        </w:rPr>
      </w:pPr>
      <w:r>
        <w:rPr>
          <w:noProof/>
        </w:rPr>
        <w:t>Uudistus 1 (C19.R1) – Kansallisten digitaalisten taitojen s</w:t>
      </w:r>
      <w:r>
        <w:rPr>
          <w:noProof/>
        </w:rPr>
        <w:t>uunnitelma</w:t>
      </w:r>
    </w:p>
    <w:p w14:paraId="3025D3CD" w14:textId="77777777" w:rsidR="000E48CE" w:rsidRDefault="00FF4C4E">
      <w:pPr>
        <w:pStyle w:val="P68B1DB1-Normal4"/>
        <w:spacing w:before="120" w:after="120" w:line="240" w:lineRule="auto"/>
        <w:jc w:val="both"/>
        <w:rPr>
          <w:rFonts w:cs="Times New Roman"/>
          <w:noProof/>
        </w:rPr>
      </w:pPr>
      <w:r>
        <w:rPr>
          <w:noProof/>
        </w:rPr>
        <w:t>Toimenpide koostuu strategisesta suunnitelmasta, jonka tavoitteena on tarjotaan digitaalisia taitoja koskevaa koulutusta koko väestölle; sukupuolten välisen digitaalisen kuilun kaventaminen; koulutusjärjestelmän digitalisointi ja digitaalisten t</w:t>
      </w:r>
      <w:r>
        <w:rPr>
          <w:noProof/>
        </w:rPr>
        <w:t>aitojen kehittäminen oppimista varten; digitaalisten taitojen tarjoaminen yksityisten työntekijöiden ja työttömien työllistettävyyden parantamiseksi, v) julkisten työntekijöiden digitaalisten taitojen tukeminen; digitaalisten taitojen kehittäminen pk-yrity</w:t>
      </w:r>
      <w:r>
        <w:rPr>
          <w:noProof/>
        </w:rPr>
        <w:t>ksissä; ja vii) tieto- ja viestintätekniikan asiantuntijoiden määrän lisääminen. Osa-alueeseen tehtävien investointien on autettava saavuttamaan strategisen suunnitelman tavoitteet.</w:t>
      </w:r>
    </w:p>
    <w:p w14:paraId="363B289B"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w:t>
      </w:r>
      <w:r>
        <w:rPr>
          <w:noProof/>
        </w:rPr>
        <w:t>ä tammikuuta 2021.</w:t>
      </w:r>
    </w:p>
    <w:p w14:paraId="16918094" w14:textId="77777777" w:rsidR="000E48CE" w:rsidRDefault="00FF4C4E">
      <w:pPr>
        <w:pStyle w:val="P68B1DB1-Normal6"/>
        <w:spacing w:before="120" w:after="120" w:line="240" w:lineRule="auto"/>
        <w:jc w:val="both"/>
        <w:rPr>
          <w:rFonts w:cs="Times New Roman"/>
          <w:noProof/>
        </w:rPr>
      </w:pPr>
      <w:r>
        <w:rPr>
          <w:noProof/>
        </w:rPr>
        <w:t xml:space="preserve">Investointi 1 (C19. I1) – monialaiset digitaaliset taidot </w:t>
      </w:r>
    </w:p>
    <w:p w14:paraId="66FE5F11" w14:textId="77777777" w:rsidR="000E48CE" w:rsidRDefault="00FF4C4E">
      <w:pPr>
        <w:pStyle w:val="P68B1DB1-Normal4"/>
        <w:spacing w:before="120" w:after="120" w:line="240" w:lineRule="auto"/>
        <w:jc w:val="both"/>
        <w:rPr>
          <w:rFonts w:cs="Times New Roman"/>
          <w:noProof/>
        </w:rPr>
      </w:pPr>
      <w:r>
        <w:rPr>
          <w:noProof/>
        </w:rPr>
        <w:t>Toimenpiteen tavoitteena on parantaa väestön digitaalisten taitojen tasoa. Toimenpiteen tarkoituksena on a) tukikeskusten verkoston kehittäminen perustason ja kehittyneiden digit</w:t>
      </w:r>
      <w:r>
        <w:rPr>
          <w:noProof/>
        </w:rPr>
        <w:t>aalisten taitojen koulutusta varten, b) tietoyhteiskuntaan osallistamiseen tähtäävät toimet ikääntyneiden vaikutusmahdollisuuksien lisäämiseksi tai haavoittuvassa asemassa olevien lasten koulutuksen helpottamiseksi, c) erilaiset tiedotuskampanjat, d) toime</w:t>
      </w:r>
      <w:r>
        <w:rPr>
          <w:noProof/>
        </w:rPr>
        <w:t>t väestön digitaalisten valmiuksien parantamiseksi ja e) digitaalisten resurssien kehittäminen espanjan kielen levittämistä ja opetusta varten. Toimenpiteellä edistetään myös naisten digitaalista voimaannuttamista ja tieteellistä ja teknologista tahtoa kou</w:t>
      </w:r>
      <w:r>
        <w:rPr>
          <w:noProof/>
        </w:rPr>
        <w:t xml:space="preserve">luissa. </w:t>
      </w:r>
    </w:p>
    <w:p w14:paraId="4791FCF2" w14:textId="3534EE53" w:rsidR="000E48CE" w:rsidRDefault="00FF4C4E">
      <w:pPr>
        <w:pStyle w:val="P68B1DB1-Normal4"/>
        <w:spacing w:before="120" w:after="120" w:line="240" w:lineRule="auto"/>
        <w:jc w:val="both"/>
        <w:rPr>
          <w:rFonts w:cs="Times New Roman"/>
          <w:noProof/>
          <w:u w:val="single"/>
        </w:rPr>
      </w:pPr>
      <w:r>
        <w:rPr>
          <w:noProof/>
        </w:rPr>
        <w:t xml:space="preserve">Toimenpiteen täytäntöönpano on määrä saattaa päätökseen 30. kesäkuuta 2026 mennessä. </w:t>
      </w:r>
    </w:p>
    <w:p w14:paraId="46A1ADB9" w14:textId="77777777" w:rsidR="000E48CE" w:rsidRDefault="00FF4C4E">
      <w:pPr>
        <w:pStyle w:val="P68B1DB1-Normal6"/>
        <w:spacing w:before="120" w:after="120" w:line="240" w:lineRule="auto"/>
        <w:jc w:val="both"/>
        <w:rPr>
          <w:rFonts w:cs="Times New Roman"/>
          <w:noProof/>
        </w:rPr>
      </w:pPr>
      <w:r>
        <w:rPr>
          <w:noProof/>
        </w:rPr>
        <w:t>Investointi 2 (C19. I2) – Koulutuksen digitalisaatio</w:t>
      </w:r>
    </w:p>
    <w:p w14:paraId="43927BEE" w14:textId="77777777" w:rsidR="000E48CE" w:rsidRDefault="00FF4C4E">
      <w:pPr>
        <w:pStyle w:val="P68B1DB1-Normal4"/>
        <w:spacing w:before="120" w:after="120" w:line="240" w:lineRule="auto"/>
        <w:jc w:val="both"/>
        <w:rPr>
          <w:rFonts w:cs="Times New Roman"/>
          <w:noProof/>
        </w:rPr>
      </w:pPr>
      <w:r>
        <w:rPr>
          <w:noProof/>
        </w:rPr>
        <w:t>Tämän toimenpiteen tavoitteena on parantaa digitaalisen oppimisen saatavuutta tarjoamalla kannettavia laitte</w:t>
      </w:r>
      <w:r>
        <w:rPr>
          <w:noProof/>
        </w:rPr>
        <w:t>ita vähintään 300000 haavoittuvassa asemassa oleviin ryhmiin kuuluvalle opiskelijalle julkisissa tai julkisesti tuetuissa kouluissa. Sen on myös asennettava, päivitettävä ja ylläpidettävä interaktiivisia digitaalisia järjestelmiä vähintään 240000 luokkahuo</w:t>
      </w:r>
      <w:r>
        <w:rPr>
          <w:noProof/>
        </w:rPr>
        <w:t>neessa julkisissa ja julkisesti tuetuissa kouluissa etä- ja monimuoto-oppimisen mahdollistamiseksi. Toimenpiteellä on myös tuettava digitaalistrategian valmistelua tai tarkistamista vähintään 22000 julkisessa ja julkisesti tuetussa koulukeskuksessa, ja sii</w:t>
      </w:r>
      <w:r>
        <w:rPr>
          <w:noProof/>
        </w:rPr>
        <w:t>hen on sisällyttävä 700000 opettajan digitaalinen koulutus.</w:t>
      </w:r>
    </w:p>
    <w:p w14:paraId="65A93E9D" w14:textId="4AA7B068" w:rsidR="000E48CE" w:rsidRDefault="00FF4C4E">
      <w:pPr>
        <w:pStyle w:val="P68B1DB1-Normal4"/>
        <w:spacing w:before="120" w:after="120" w:line="240" w:lineRule="auto"/>
        <w:jc w:val="both"/>
        <w:rPr>
          <w:rFonts w:cs="Times New Roman"/>
          <w:noProof/>
        </w:rPr>
      </w:pPr>
      <w:r>
        <w:rPr>
          <w:noProof/>
        </w:rPr>
        <w:t>Tällä toimenpiteellä tuetaan myös digitaalisen ammatillisen koulutuksen suunnitelman täytäntöönpanoa. Tämä saavutetaan digitaalisen akkreditoinnin hallintavälineen avulla työkokemuksen kautta hank</w:t>
      </w:r>
      <w:r>
        <w:rPr>
          <w:noProof/>
        </w:rPr>
        <w:t>ittujen ammatillisten taitojen osalta ja luomalla työllistymiseen tarkoitettuja digitaalisia ammatillisen koulutuksen hallinnointivälineitä kansallisen tutkintojen luettelon ja ammatillisen koulutuselämän rekisterin mukaisesti. Lisäksi toimenpiteellä tueta</w:t>
      </w:r>
      <w:r>
        <w:rPr>
          <w:noProof/>
        </w:rPr>
        <w:t>an simulaattoreiden, digitaalisten kaksosten ja teknologisten keskittymien luomista.</w:t>
      </w:r>
    </w:p>
    <w:p w14:paraId="28D3EF1E" w14:textId="77777777" w:rsidR="000E48CE" w:rsidRDefault="00FF4C4E">
      <w:pPr>
        <w:pStyle w:val="P68B1DB1-Normal4"/>
        <w:spacing w:before="120" w:after="120" w:line="240" w:lineRule="auto"/>
        <w:jc w:val="both"/>
        <w:rPr>
          <w:rFonts w:cs="Times New Roman"/>
          <w:noProof/>
          <w:u w:val="single"/>
        </w:rPr>
      </w:pPr>
      <w:r>
        <w:rPr>
          <w:noProof/>
        </w:rPr>
        <w:t xml:space="preserve">Toimenpiteen täytäntöönpano on määrä saattaa päätökseen 31. joulukuuta 2025 mennessä. </w:t>
      </w:r>
    </w:p>
    <w:p w14:paraId="658922D2" w14:textId="77777777" w:rsidR="000E48CE" w:rsidRDefault="00FF4C4E">
      <w:pPr>
        <w:pStyle w:val="P68B1DB1-Normal6"/>
        <w:spacing w:before="120" w:after="120" w:line="240" w:lineRule="auto"/>
        <w:jc w:val="both"/>
        <w:rPr>
          <w:rFonts w:cs="Times New Roman"/>
          <w:noProof/>
        </w:rPr>
      </w:pPr>
      <w:r>
        <w:rPr>
          <w:noProof/>
        </w:rPr>
        <w:t>Investointi 3 (C19. I3) – Työllisyyden edellyttämät digitaaliset taidot</w:t>
      </w:r>
    </w:p>
    <w:p w14:paraId="5909B2B8" w14:textId="77777777" w:rsidR="000E48CE" w:rsidRDefault="00FF4C4E">
      <w:pPr>
        <w:pStyle w:val="P68B1DB1-Normal4"/>
        <w:spacing w:before="120" w:after="120" w:line="240" w:lineRule="auto"/>
        <w:jc w:val="both"/>
        <w:rPr>
          <w:rFonts w:cs="Times New Roman"/>
          <w:noProof/>
        </w:rPr>
      </w:pPr>
      <w:r>
        <w:rPr>
          <w:noProof/>
        </w:rPr>
        <w:t>Toimenpiteen</w:t>
      </w:r>
      <w:r>
        <w:rPr>
          <w:noProof/>
        </w:rPr>
        <w:t xml:space="preserve"> tavoitteena on vahvistaa työssäkäyvien ja työttömien – erityisesti nuorten – digitaalisia taitoja heidän työllistettävyytensä parantamiseksi. Koulutus on suunnattava myös julkishallinnolle (muun muassa terveydenhuollon ammattilaisille, asevoimien joukoill</w:t>
      </w:r>
      <w:r>
        <w:rPr>
          <w:noProof/>
        </w:rPr>
        <w:t>e ja merenkulkijoille, erityisen käytettävissä oleville reserviläisille sekä sosiaaliturva- ja rahoitusalalla työskentelevälle henkilöstölle). Lisäksi toimenpiteellä tuetaan pk-yritysten digitalisointia toimilla, jotka on suunnattu tietyille talouden aloil</w:t>
      </w:r>
      <w:r>
        <w:rPr>
          <w:noProof/>
        </w:rPr>
        <w:t xml:space="preserve">le, ja koulutusta henkilöille, jotka voivat toimia muutoksen edistäjinä, mukaan lukien asiantuntijat ja yritysten johtajat. </w:t>
      </w:r>
    </w:p>
    <w:p w14:paraId="5C547629" w14:textId="5534DE9D" w:rsidR="000E48CE" w:rsidRDefault="00FF4C4E">
      <w:pPr>
        <w:pStyle w:val="P68B1DB1-Normal4"/>
        <w:spacing w:before="120" w:after="120" w:line="240" w:lineRule="auto"/>
        <w:jc w:val="both"/>
        <w:rPr>
          <w:rFonts w:cs="Times New Roman"/>
          <w:noProof/>
        </w:rPr>
      </w:pPr>
      <w:r>
        <w:rPr>
          <w:noProof/>
        </w:rPr>
        <w:t xml:space="preserve">Toimenpiteen täytäntöönpano on määrä saattaa päätökseen 30. kesäkuuta 2026 mennessä. </w:t>
      </w:r>
    </w:p>
    <w:p w14:paraId="2F45F217" w14:textId="77777777" w:rsidR="000E48CE" w:rsidRDefault="00FF4C4E">
      <w:pPr>
        <w:pStyle w:val="P68B1DB1-Normal6"/>
        <w:spacing w:before="120" w:after="120" w:line="240" w:lineRule="auto"/>
        <w:jc w:val="both"/>
        <w:rPr>
          <w:rFonts w:cs="Times New Roman"/>
          <w:noProof/>
        </w:rPr>
      </w:pPr>
      <w:r>
        <w:rPr>
          <w:noProof/>
        </w:rPr>
        <w:t xml:space="preserve">Investointi 4 (C19. I4) – Digitaalialan </w:t>
      </w:r>
      <w:r>
        <w:rPr>
          <w:noProof/>
        </w:rPr>
        <w:t>ammattilaiset</w:t>
      </w:r>
    </w:p>
    <w:p w14:paraId="2965251D" w14:textId="77777777" w:rsidR="000E48CE" w:rsidRDefault="00FF4C4E">
      <w:pPr>
        <w:pStyle w:val="P68B1DB1-Normal4"/>
        <w:spacing w:before="120" w:after="120" w:line="240" w:lineRule="auto"/>
        <w:jc w:val="both"/>
        <w:rPr>
          <w:rFonts w:cs="Times New Roman"/>
          <w:noProof/>
        </w:rPr>
      </w:pPr>
      <w:r>
        <w:rPr>
          <w:noProof/>
        </w:rPr>
        <w:t>Tämän toimenpiteen tavoitteena on mukauttaa pitkälle vietyä digitaalista osaamista koskevaa nykyistä ammatillisen koulutuksen tarjontaa ja houkutella lahjakkuuksia näille aloille ja pitää heidät siellä. Se luo myös avoimia oppimisresursseja t</w:t>
      </w:r>
      <w:r>
        <w:rPr>
          <w:noProof/>
        </w:rPr>
        <w:t>ekoälyä ja kyberturvallisuutta koskevaa digitaalista opetusta varten eri tasoilla.</w:t>
      </w:r>
    </w:p>
    <w:p w14:paraId="284D8B53" w14:textId="77777777" w:rsidR="000E48CE" w:rsidRDefault="00FF4C4E">
      <w:pPr>
        <w:pStyle w:val="P68B1DB1-Normal4"/>
        <w:spacing w:before="120" w:after="120" w:line="240" w:lineRule="auto"/>
        <w:jc w:val="both"/>
        <w:rPr>
          <w:rFonts w:cs="Times New Roman"/>
          <w:noProof/>
        </w:rPr>
      </w:pPr>
      <w:r>
        <w:rPr>
          <w:noProof/>
        </w:rPr>
        <w:t>Toimenpiteeseen sisältyy noin 20000 tietotekniikka-asiantuntijalle annettavaa erityiskoulutusta, jossa keskitytään kyberturvallisuuteen, sekä nelivuotisten apurahojen rahoit</w:t>
      </w:r>
      <w:r>
        <w:rPr>
          <w:noProof/>
        </w:rPr>
        <w:t xml:space="preserve">taminen lahjakkuuksien houkuttelemiseksi pitkälle edistyneeseen digitaaliseen osaamiseen ja pysymiseksi siellä. </w:t>
      </w:r>
    </w:p>
    <w:p w14:paraId="41E6B510" w14:textId="77777777" w:rsidR="000E48CE" w:rsidRDefault="00FF4C4E">
      <w:pPr>
        <w:pStyle w:val="P68B1DB1-Normal4"/>
        <w:spacing w:before="120" w:after="120" w:line="240" w:lineRule="auto"/>
        <w:jc w:val="both"/>
        <w:rPr>
          <w:rFonts w:cs="Times New Roman"/>
          <w:b/>
          <w:noProof/>
          <w:u w:val="single"/>
        </w:rPr>
      </w:pPr>
      <w:r>
        <w:rPr>
          <w:noProof/>
        </w:rPr>
        <w:t xml:space="preserve">Toimenpiteen täytäntöönpano on määrä saattaa päätökseen 31. joulukuuta 2025 mennessä. </w:t>
      </w:r>
    </w:p>
    <w:p w14:paraId="4ABCEC58" w14:textId="77777777" w:rsidR="000E48CE" w:rsidRDefault="00FF4C4E">
      <w:pPr>
        <w:pStyle w:val="P68B1DB1-Normal5"/>
        <w:spacing w:before="120" w:after="120" w:line="240" w:lineRule="auto"/>
        <w:jc w:val="both"/>
        <w:rPr>
          <w:rFonts w:cs="Times New Roman"/>
          <w:noProof/>
        </w:rPr>
      </w:pPr>
      <w:r>
        <w:rPr>
          <w:noProof/>
        </w:rPr>
        <w:t xml:space="preserve">S.2 </w:t>
      </w:r>
      <w:r>
        <w:rPr>
          <w:noProof/>
        </w:rPr>
        <w:tab/>
        <w:t>Seurantaa ja täytäntöönpanoa koskevat välitavoittee</w:t>
      </w:r>
      <w:r>
        <w:rPr>
          <w:noProof/>
        </w:rPr>
        <w:t>t, tavoitteet, indikaattorit ja aikataulu – rahoitustuki, jota ei makseta takaisin</w:t>
      </w:r>
    </w:p>
    <w:p w14:paraId="4CC3DB63"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indikaattorien lähtötilanne on toimen aloituspäivä, ellei toimen kuvauksessa toisin ilmoiteta. Taulukossa esitetyt määrät eivät sisällä arv</w:t>
      </w:r>
      <w:r>
        <w:rPr>
          <w:i/>
          <w:noProof/>
        </w:rPr>
        <w:t>onlisäveroa.</w:t>
      </w:r>
    </w:p>
    <w:p w14:paraId="10C442A1" w14:textId="77777777" w:rsidR="000E48CE" w:rsidRDefault="000E48CE">
      <w:pPr>
        <w:spacing w:before="120" w:after="120" w:line="240" w:lineRule="auto"/>
        <w:jc w:val="both"/>
        <w:rPr>
          <w:rFonts w:ascii="Times New Roman" w:hAnsi="Times New Roman" w:cs="Times New Roman"/>
          <w:b/>
          <w:noProof/>
          <w:sz w:val="24"/>
          <w:u w:val="single"/>
        </w:rPr>
      </w:pPr>
    </w:p>
    <w:p w14:paraId="543CCFE9" w14:textId="77777777" w:rsidR="000E48CE" w:rsidRDefault="000E48CE">
      <w:pPr>
        <w:spacing w:before="120" w:after="120" w:line="240" w:lineRule="auto"/>
        <w:ind w:left="709"/>
        <w:jc w:val="both"/>
        <w:rPr>
          <w:rFonts w:ascii="Times New Roman" w:hAnsi="Times New Roman" w:cs="Times New Roman"/>
          <w:noProof/>
          <w:sz w:val="24"/>
        </w:rPr>
      </w:pPr>
    </w:p>
    <w:p w14:paraId="3C010B0A" w14:textId="77777777" w:rsidR="000E48CE" w:rsidRDefault="000E48CE">
      <w:pPr>
        <w:spacing w:before="120" w:after="120" w:line="240" w:lineRule="auto"/>
        <w:ind w:left="709"/>
        <w:jc w:val="both"/>
        <w:rPr>
          <w:rFonts w:ascii="Times New Roman" w:hAnsi="Times New Roman" w:cs="Times New Roman"/>
          <w:noProof/>
          <w:sz w:val="24"/>
        </w:rPr>
        <w:sectPr w:rsidR="000E48CE" w:rsidSect="00C94F66">
          <w:headerReference w:type="even" r:id="rId387"/>
          <w:headerReference w:type="default" r:id="rId388"/>
          <w:footerReference w:type="even" r:id="rId389"/>
          <w:footerReference w:type="default" r:id="rId390"/>
          <w:headerReference w:type="first" r:id="rId391"/>
          <w:footerReference w:type="first" r:id="rId392"/>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1"/>
        <w:gridCol w:w="818"/>
        <w:gridCol w:w="852"/>
        <w:gridCol w:w="2700"/>
        <w:gridCol w:w="1420"/>
        <w:gridCol w:w="853"/>
        <w:gridCol w:w="568"/>
        <w:gridCol w:w="710"/>
        <w:gridCol w:w="427"/>
        <w:gridCol w:w="568"/>
        <w:gridCol w:w="5683"/>
      </w:tblGrid>
      <w:tr w:rsidR="000E48CE" w14:paraId="77F4444D" w14:textId="77777777">
        <w:trPr>
          <w:trHeight w:val="309"/>
          <w:tblHeader/>
        </w:trPr>
        <w:tc>
          <w:tcPr>
            <w:tcW w:w="711" w:type="dxa"/>
            <w:tcBorders>
              <w:bottom w:val="nil"/>
            </w:tcBorders>
            <w:shd w:val="clear" w:color="auto" w:fill="C6D9F1" w:themeFill="text2" w:themeFillTint="33"/>
            <w:noWrap/>
          </w:tcPr>
          <w:p w14:paraId="0F115FF8" w14:textId="77777777" w:rsidR="000E48CE" w:rsidRDefault="00FF4C4E">
            <w:pPr>
              <w:pStyle w:val="P68B1DB1-Normal12"/>
              <w:spacing w:after="0" w:line="240" w:lineRule="auto"/>
              <w:jc w:val="center"/>
              <w:rPr>
                <w:rFonts w:cs="Times New Roman"/>
                <w:noProof/>
              </w:rPr>
            </w:pPr>
            <w:r>
              <w:rPr>
                <w:noProof/>
              </w:rPr>
              <w:t>Määrä</w:t>
            </w:r>
          </w:p>
        </w:tc>
        <w:tc>
          <w:tcPr>
            <w:tcW w:w="818" w:type="dxa"/>
            <w:tcBorders>
              <w:bottom w:val="nil"/>
            </w:tcBorders>
            <w:shd w:val="clear" w:color="auto" w:fill="C6D9F1" w:themeFill="text2" w:themeFillTint="33"/>
            <w:noWrap/>
          </w:tcPr>
          <w:p w14:paraId="289B5EB3" w14:textId="77777777" w:rsidR="000E48CE" w:rsidRDefault="00FF4C4E">
            <w:pPr>
              <w:pStyle w:val="P68B1DB1-Normal12"/>
              <w:spacing w:after="0" w:line="240" w:lineRule="auto"/>
              <w:jc w:val="center"/>
              <w:rPr>
                <w:rFonts w:cs="Times New Roman"/>
                <w:noProof/>
              </w:rPr>
            </w:pPr>
            <w:r>
              <w:rPr>
                <w:noProof/>
              </w:rPr>
              <w:t>Toimenpide</w:t>
            </w:r>
          </w:p>
        </w:tc>
        <w:tc>
          <w:tcPr>
            <w:tcW w:w="852" w:type="dxa"/>
            <w:tcBorders>
              <w:bottom w:val="nil"/>
            </w:tcBorders>
            <w:shd w:val="clear" w:color="auto" w:fill="C6D9F1" w:themeFill="text2" w:themeFillTint="33"/>
            <w:noWrap/>
          </w:tcPr>
          <w:p w14:paraId="6B8CB5F1" w14:textId="77777777" w:rsidR="000E48CE" w:rsidRDefault="00FF4C4E">
            <w:pPr>
              <w:pStyle w:val="P68B1DB1-Normal13"/>
              <w:spacing w:after="0" w:line="240" w:lineRule="auto"/>
              <w:jc w:val="center"/>
              <w:rPr>
                <w:rFonts w:cs="Times New Roman"/>
                <w:b/>
                <w:noProof/>
              </w:rPr>
            </w:pPr>
            <w:r>
              <w:rPr>
                <w:b/>
                <w:noProof/>
              </w:rPr>
              <w:t>Välitavoite</w:t>
            </w:r>
            <w:r>
              <w:rPr>
                <w:noProof/>
              </w:rPr>
              <w:br/>
            </w:r>
            <w:r>
              <w:rPr>
                <w:b/>
                <w:noProof/>
              </w:rPr>
              <w:t xml:space="preserve"> /Kohde</w:t>
            </w:r>
          </w:p>
        </w:tc>
        <w:tc>
          <w:tcPr>
            <w:tcW w:w="2700" w:type="dxa"/>
            <w:tcBorders>
              <w:bottom w:val="nil"/>
            </w:tcBorders>
            <w:shd w:val="clear" w:color="auto" w:fill="C6D9F1" w:themeFill="text2" w:themeFillTint="33"/>
            <w:noWrap/>
          </w:tcPr>
          <w:p w14:paraId="102CD23E" w14:textId="77777777" w:rsidR="000E48CE" w:rsidRDefault="00FF4C4E">
            <w:pPr>
              <w:pStyle w:val="P68B1DB1-Normal12"/>
              <w:spacing w:after="0" w:line="240" w:lineRule="auto"/>
              <w:jc w:val="center"/>
              <w:rPr>
                <w:rFonts w:cs="Times New Roman"/>
                <w:noProof/>
              </w:rPr>
            </w:pPr>
            <w:r>
              <w:rPr>
                <w:noProof/>
              </w:rPr>
              <w:t>Nimi</w:t>
            </w:r>
          </w:p>
        </w:tc>
        <w:tc>
          <w:tcPr>
            <w:tcW w:w="1420" w:type="dxa"/>
            <w:tcBorders>
              <w:bottom w:val="nil"/>
            </w:tcBorders>
            <w:shd w:val="clear" w:color="auto" w:fill="C6D9F1" w:themeFill="text2" w:themeFillTint="33"/>
            <w:noWrap/>
          </w:tcPr>
          <w:p w14:paraId="228A5962"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131" w:type="dxa"/>
            <w:gridSpan w:val="3"/>
            <w:shd w:val="clear" w:color="auto" w:fill="C6D9F1" w:themeFill="text2" w:themeFillTint="33"/>
            <w:noWrap/>
          </w:tcPr>
          <w:p w14:paraId="3093DBAB"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5" w:type="dxa"/>
            <w:gridSpan w:val="2"/>
            <w:shd w:val="clear" w:color="auto" w:fill="C6D9F1" w:themeFill="text2" w:themeFillTint="33"/>
            <w:noWrap/>
          </w:tcPr>
          <w:p w14:paraId="335F0B82" w14:textId="77777777" w:rsidR="000E48CE" w:rsidRDefault="00FF4C4E">
            <w:pPr>
              <w:pStyle w:val="P68B1DB1-Normal12"/>
              <w:spacing w:after="0" w:line="240" w:lineRule="auto"/>
              <w:jc w:val="center"/>
              <w:rPr>
                <w:rFonts w:cs="Times New Roman"/>
                <w:noProof/>
              </w:rPr>
            </w:pPr>
            <w:r>
              <w:rPr>
                <w:noProof/>
              </w:rPr>
              <w:t>Aika</w:t>
            </w:r>
          </w:p>
        </w:tc>
        <w:tc>
          <w:tcPr>
            <w:tcW w:w="5683" w:type="dxa"/>
            <w:tcBorders>
              <w:bottom w:val="nil"/>
            </w:tcBorders>
            <w:shd w:val="clear" w:color="auto" w:fill="C6D9F1" w:themeFill="text2" w:themeFillTint="33"/>
            <w:noWrap/>
          </w:tcPr>
          <w:p w14:paraId="604952A4"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2C9FF982" w14:textId="77777777">
        <w:trPr>
          <w:trHeight w:val="309"/>
          <w:tblHeader/>
        </w:trPr>
        <w:tc>
          <w:tcPr>
            <w:tcW w:w="711" w:type="dxa"/>
            <w:tcBorders>
              <w:top w:val="nil"/>
            </w:tcBorders>
            <w:shd w:val="clear" w:color="auto" w:fill="C6D9F1" w:themeFill="text2" w:themeFillTint="33"/>
            <w:noWrap/>
          </w:tcPr>
          <w:p w14:paraId="70ED3F4C" w14:textId="77777777" w:rsidR="000E48CE" w:rsidRDefault="000E48CE">
            <w:pPr>
              <w:spacing w:after="0" w:line="240" w:lineRule="auto"/>
              <w:jc w:val="center"/>
              <w:rPr>
                <w:rFonts w:ascii="Times New Roman" w:hAnsi="Times New Roman" w:cs="Times New Roman"/>
                <w:b/>
                <w:noProof/>
                <w:sz w:val="18"/>
              </w:rPr>
            </w:pPr>
          </w:p>
        </w:tc>
        <w:tc>
          <w:tcPr>
            <w:tcW w:w="818" w:type="dxa"/>
            <w:tcBorders>
              <w:top w:val="nil"/>
            </w:tcBorders>
            <w:shd w:val="clear" w:color="auto" w:fill="C6D9F1" w:themeFill="text2" w:themeFillTint="33"/>
            <w:noWrap/>
          </w:tcPr>
          <w:p w14:paraId="58A2343A" w14:textId="77777777" w:rsidR="000E48CE" w:rsidRDefault="000E48CE">
            <w:pPr>
              <w:spacing w:after="0" w:line="240" w:lineRule="auto"/>
              <w:jc w:val="center"/>
              <w:rPr>
                <w:rFonts w:ascii="Times New Roman" w:hAnsi="Times New Roman" w:cs="Times New Roman"/>
                <w:b/>
                <w:noProof/>
                <w:sz w:val="18"/>
              </w:rPr>
            </w:pPr>
          </w:p>
        </w:tc>
        <w:tc>
          <w:tcPr>
            <w:tcW w:w="852" w:type="dxa"/>
            <w:tcBorders>
              <w:top w:val="nil"/>
            </w:tcBorders>
            <w:shd w:val="clear" w:color="auto" w:fill="C6D9F1" w:themeFill="text2" w:themeFillTint="33"/>
            <w:noWrap/>
          </w:tcPr>
          <w:p w14:paraId="61BA8B61" w14:textId="77777777" w:rsidR="000E48CE" w:rsidRDefault="000E48CE">
            <w:pPr>
              <w:spacing w:after="0" w:line="240" w:lineRule="auto"/>
              <w:jc w:val="center"/>
              <w:rPr>
                <w:rFonts w:ascii="Times New Roman" w:hAnsi="Times New Roman" w:cs="Times New Roman"/>
                <w:b/>
                <w:noProof/>
                <w:sz w:val="18"/>
              </w:rPr>
            </w:pPr>
          </w:p>
        </w:tc>
        <w:tc>
          <w:tcPr>
            <w:tcW w:w="2700" w:type="dxa"/>
            <w:tcBorders>
              <w:top w:val="nil"/>
            </w:tcBorders>
            <w:shd w:val="clear" w:color="auto" w:fill="C6D9F1" w:themeFill="text2" w:themeFillTint="33"/>
            <w:noWrap/>
          </w:tcPr>
          <w:p w14:paraId="4C82012C" w14:textId="77777777" w:rsidR="000E48CE" w:rsidRDefault="000E48CE">
            <w:pPr>
              <w:spacing w:after="0" w:line="240" w:lineRule="auto"/>
              <w:rPr>
                <w:rFonts w:ascii="Times New Roman" w:hAnsi="Times New Roman" w:cs="Times New Roman"/>
                <w:b/>
                <w:noProof/>
                <w:sz w:val="18"/>
              </w:rPr>
            </w:pPr>
          </w:p>
        </w:tc>
        <w:tc>
          <w:tcPr>
            <w:tcW w:w="1420" w:type="dxa"/>
            <w:tcBorders>
              <w:top w:val="nil"/>
            </w:tcBorders>
            <w:shd w:val="clear" w:color="auto" w:fill="C6D9F1" w:themeFill="text2" w:themeFillTint="33"/>
            <w:noWrap/>
          </w:tcPr>
          <w:p w14:paraId="3273D545" w14:textId="77777777" w:rsidR="000E48CE" w:rsidRDefault="000E48CE">
            <w:pPr>
              <w:spacing w:after="0" w:line="240" w:lineRule="auto"/>
              <w:jc w:val="center"/>
              <w:rPr>
                <w:rFonts w:ascii="Times New Roman" w:hAnsi="Times New Roman" w:cs="Times New Roman"/>
                <w:b/>
                <w:noProof/>
                <w:sz w:val="18"/>
              </w:rPr>
            </w:pPr>
          </w:p>
        </w:tc>
        <w:tc>
          <w:tcPr>
            <w:tcW w:w="853" w:type="dxa"/>
            <w:shd w:val="clear" w:color="auto" w:fill="C6D9F1" w:themeFill="text2" w:themeFillTint="33"/>
            <w:noWrap/>
          </w:tcPr>
          <w:p w14:paraId="20C97B34" w14:textId="77777777" w:rsidR="000E48CE" w:rsidRDefault="00FF4C4E">
            <w:pPr>
              <w:pStyle w:val="P68B1DB1-Normal12"/>
              <w:spacing w:after="0" w:line="240" w:lineRule="auto"/>
              <w:jc w:val="center"/>
              <w:rPr>
                <w:rFonts w:cs="Times New Roman"/>
                <w:noProof/>
              </w:rPr>
            </w:pPr>
            <w:r>
              <w:rPr>
                <w:noProof/>
              </w:rPr>
              <w:t>Yksikkö</w:t>
            </w:r>
          </w:p>
        </w:tc>
        <w:tc>
          <w:tcPr>
            <w:tcW w:w="568" w:type="dxa"/>
            <w:shd w:val="clear" w:color="auto" w:fill="C6D9F1" w:themeFill="text2" w:themeFillTint="33"/>
            <w:noWrap/>
          </w:tcPr>
          <w:p w14:paraId="6C884A23" w14:textId="77777777" w:rsidR="000E48CE" w:rsidRDefault="00FF4C4E">
            <w:pPr>
              <w:pStyle w:val="P68B1DB1-Normal12"/>
              <w:spacing w:after="0" w:line="240" w:lineRule="auto"/>
              <w:jc w:val="center"/>
              <w:rPr>
                <w:rFonts w:cs="Times New Roman"/>
                <w:noProof/>
              </w:rPr>
            </w:pPr>
            <w:r>
              <w:rPr>
                <w:noProof/>
              </w:rPr>
              <w:t>Perusviiva</w:t>
            </w:r>
          </w:p>
        </w:tc>
        <w:tc>
          <w:tcPr>
            <w:tcW w:w="710" w:type="dxa"/>
            <w:shd w:val="clear" w:color="auto" w:fill="C6D9F1" w:themeFill="text2" w:themeFillTint="33"/>
            <w:noWrap/>
          </w:tcPr>
          <w:p w14:paraId="43910F29" w14:textId="77777777" w:rsidR="000E48CE" w:rsidRDefault="00FF4C4E">
            <w:pPr>
              <w:pStyle w:val="P68B1DB1-Normal12"/>
              <w:spacing w:after="0" w:line="240" w:lineRule="auto"/>
              <w:jc w:val="center"/>
              <w:rPr>
                <w:rFonts w:cs="Times New Roman"/>
                <w:noProof/>
              </w:rPr>
            </w:pPr>
            <w:r>
              <w:rPr>
                <w:noProof/>
              </w:rPr>
              <w:t>Päämäärä</w:t>
            </w:r>
          </w:p>
        </w:tc>
        <w:tc>
          <w:tcPr>
            <w:tcW w:w="427" w:type="dxa"/>
            <w:shd w:val="clear" w:color="auto" w:fill="C6D9F1" w:themeFill="text2" w:themeFillTint="33"/>
            <w:noWrap/>
          </w:tcPr>
          <w:p w14:paraId="2EFF67D8" w14:textId="77777777" w:rsidR="000E48CE" w:rsidRDefault="00FF4C4E">
            <w:pPr>
              <w:pStyle w:val="P68B1DB1-Normal12"/>
              <w:spacing w:after="0" w:line="240" w:lineRule="auto"/>
              <w:jc w:val="center"/>
              <w:rPr>
                <w:rFonts w:cs="Times New Roman"/>
                <w:noProof/>
              </w:rPr>
            </w:pPr>
            <w:r>
              <w:rPr>
                <w:noProof/>
              </w:rPr>
              <w:t>Q</w:t>
            </w:r>
          </w:p>
        </w:tc>
        <w:tc>
          <w:tcPr>
            <w:tcW w:w="568" w:type="dxa"/>
            <w:shd w:val="clear" w:color="auto" w:fill="C6D9F1" w:themeFill="text2" w:themeFillTint="33"/>
            <w:noWrap/>
          </w:tcPr>
          <w:p w14:paraId="173F9C0B" w14:textId="77777777" w:rsidR="000E48CE" w:rsidRDefault="00FF4C4E">
            <w:pPr>
              <w:pStyle w:val="P68B1DB1-Normal12"/>
              <w:spacing w:after="0" w:line="240" w:lineRule="auto"/>
              <w:jc w:val="center"/>
              <w:rPr>
                <w:rFonts w:cs="Times New Roman"/>
                <w:noProof/>
              </w:rPr>
            </w:pPr>
            <w:r>
              <w:rPr>
                <w:noProof/>
              </w:rPr>
              <w:t>Vuosi</w:t>
            </w:r>
          </w:p>
        </w:tc>
        <w:tc>
          <w:tcPr>
            <w:tcW w:w="5683" w:type="dxa"/>
            <w:tcBorders>
              <w:top w:val="nil"/>
            </w:tcBorders>
            <w:shd w:val="clear" w:color="auto" w:fill="C6D9F1" w:themeFill="text2" w:themeFillTint="33"/>
            <w:noWrap/>
          </w:tcPr>
          <w:p w14:paraId="7E520BEA" w14:textId="77777777" w:rsidR="000E48CE" w:rsidRDefault="000E48CE">
            <w:pPr>
              <w:spacing w:after="0" w:line="240" w:lineRule="auto"/>
              <w:rPr>
                <w:rFonts w:ascii="Times New Roman" w:hAnsi="Times New Roman" w:cs="Times New Roman"/>
                <w:b/>
                <w:noProof/>
                <w:sz w:val="18"/>
              </w:rPr>
            </w:pPr>
          </w:p>
        </w:tc>
      </w:tr>
      <w:tr w:rsidR="000E48CE" w14:paraId="49645203" w14:textId="77777777">
        <w:trPr>
          <w:trHeight w:val="309"/>
        </w:trPr>
        <w:tc>
          <w:tcPr>
            <w:tcW w:w="711" w:type="dxa"/>
            <w:shd w:val="clear" w:color="auto" w:fill="C6EFCE"/>
            <w:noWrap/>
          </w:tcPr>
          <w:p w14:paraId="1033C07A" w14:textId="77777777" w:rsidR="000E48CE" w:rsidRDefault="00FF4C4E">
            <w:pPr>
              <w:pStyle w:val="P68B1DB1-Normal13"/>
              <w:spacing w:after="0" w:line="240" w:lineRule="auto"/>
              <w:jc w:val="center"/>
              <w:rPr>
                <w:rFonts w:eastAsia="Times New Roman" w:cs="Times New Roman"/>
                <w:noProof/>
              </w:rPr>
            </w:pPr>
            <w:r>
              <w:rPr>
                <w:noProof/>
              </w:rPr>
              <w:t>285</w:t>
            </w:r>
          </w:p>
        </w:tc>
        <w:tc>
          <w:tcPr>
            <w:tcW w:w="818" w:type="dxa"/>
            <w:shd w:val="clear" w:color="auto" w:fill="C6EFCE"/>
            <w:noWrap/>
          </w:tcPr>
          <w:p w14:paraId="2C6BD067" w14:textId="77777777" w:rsidR="000E48CE" w:rsidRDefault="00FF4C4E">
            <w:pPr>
              <w:pStyle w:val="P68B1DB1-Normal13"/>
              <w:spacing w:after="0" w:line="240" w:lineRule="auto"/>
              <w:jc w:val="center"/>
              <w:rPr>
                <w:rFonts w:eastAsia="Times New Roman" w:cs="Times New Roman"/>
                <w:noProof/>
              </w:rPr>
            </w:pPr>
            <w:r>
              <w:rPr>
                <w:noProof/>
              </w:rPr>
              <w:t>C19.R1</w:t>
            </w:r>
          </w:p>
        </w:tc>
        <w:tc>
          <w:tcPr>
            <w:tcW w:w="852" w:type="dxa"/>
            <w:shd w:val="clear" w:color="auto" w:fill="C6EFCE"/>
            <w:noWrap/>
          </w:tcPr>
          <w:p w14:paraId="3F26CF38" w14:textId="77777777" w:rsidR="000E48CE" w:rsidRDefault="00FF4C4E">
            <w:pPr>
              <w:pStyle w:val="P68B1DB1-Normal13"/>
              <w:spacing w:after="0" w:line="240" w:lineRule="auto"/>
              <w:jc w:val="center"/>
              <w:rPr>
                <w:rFonts w:eastAsia="Times New Roman" w:cs="Times New Roman"/>
                <w:noProof/>
              </w:rPr>
            </w:pPr>
            <w:r>
              <w:rPr>
                <w:noProof/>
              </w:rPr>
              <w:t>M</w:t>
            </w:r>
          </w:p>
        </w:tc>
        <w:tc>
          <w:tcPr>
            <w:tcW w:w="2700" w:type="dxa"/>
            <w:shd w:val="clear" w:color="auto" w:fill="C6EFCE"/>
            <w:noWrap/>
          </w:tcPr>
          <w:p w14:paraId="4EE85BFA" w14:textId="77777777" w:rsidR="000E48CE" w:rsidRDefault="00FF4C4E">
            <w:pPr>
              <w:pStyle w:val="P68B1DB1-Normal13"/>
              <w:spacing w:after="0" w:line="240" w:lineRule="auto"/>
              <w:rPr>
                <w:rFonts w:eastAsia="Times New Roman" w:cs="Times New Roman"/>
                <w:noProof/>
              </w:rPr>
            </w:pPr>
            <w:r>
              <w:rPr>
                <w:noProof/>
              </w:rPr>
              <w:t>Kansallisen digitaalista osaamista koskevan suunnitelman hyväksyminen ministerineuvostossa</w:t>
            </w:r>
          </w:p>
        </w:tc>
        <w:tc>
          <w:tcPr>
            <w:tcW w:w="1420" w:type="dxa"/>
            <w:shd w:val="clear" w:color="auto" w:fill="C6EFCE"/>
            <w:noWrap/>
          </w:tcPr>
          <w:p w14:paraId="431D6E58" w14:textId="77777777" w:rsidR="000E48CE" w:rsidRDefault="00FF4C4E">
            <w:pPr>
              <w:pStyle w:val="P68B1DB1-Normal13"/>
              <w:spacing w:after="0" w:line="240" w:lineRule="auto"/>
              <w:jc w:val="center"/>
              <w:rPr>
                <w:rFonts w:eastAsia="Times New Roman" w:cs="Times New Roman"/>
                <w:noProof/>
              </w:rPr>
            </w:pPr>
            <w:r>
              <w:rPr>
                <w:noProof/>
              </w:rPr>
              <w:t>Ministerineuvoston viite</w:t>
            </w:r>
          </w:p>
        </w:tc>
        <w:tc>
          <w:tcPr>
            <w:tcW w:w="853" w:type="dxa"/>
            <w:shd w:val="clear" w:color="auto" w:fill="C6EFCE"/>
            <w:noWrap/>
          </w:tcPr>
          <w:p w14:paraId="5B1F0EB8"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8" w:type="dxa"/>
            <w:shd w:val="clear" w:color="auto" w:fill="C6EFCE"/>
            <w:noWrap/>
          </w:tcPr>
          <w:p w14:paraId="51848022"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10" w:type="dxa"/>
            <w:shd w:val="clear" w:color="auto" w:fill="C6EFCE"/>
            <w:noWrap/>
          </w:tcPr>
          <w:p w14:paraId="633489A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27" w:type="dxa"/>
            <w:shd w:val="clear" w:color="auto" w:fill="C6EFCE"/>
            <w:noWrap/>
          </w:tcPr>
          <w:p w14:paraId="71914AFE" w14:textId="77777777" w:rsidR="000E48CE" w:rsidRDefault="00FF4C4E">
            <w:pPr>
              <w:pStyle w:val="P68B1DB1-Normal13"/>
              <w:spacing w:after="0" w:line="240" w:lineRule="auto"/>
              <w:jc w:val="center"/>
              <w:rPr>
                <w:rFonts w:eastAsia="Times New Roman" w:cs="Times New Roman"/>
                <w:noProof/>
              </w:rPr>
            </w:pPr>
            <w:r>
              <w:rPr>
                <w:noProof/>
              </w:rPr>
              <w:t>Q1</w:t>
            </w:r>
          </w:p>
        </w:tc>
        <w:tc>
          <w:tcPr>
            <w:tcW w:w="568" w:type="dxa"/>
            <w:shd w:val="clear" w:color="auto" w:fill="C6EFCE"/>
            <w:noWrap/>
          </w:tcPr>
          <w:p w14:paraId="6DF6DA1F"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683" w:type="dxa"/>
            <w:shd w:val="clear" w:color="auto" w:fill="C6EFCE"/>
            <w:noWrap/>
          </w:tcPr>
          <w:p w14:paraId="321ACE2D" w14:textId="77777777" w:rsidR="000E48CE" w:rsidRDefault="00FF4C4E">
            <w:pPr>
              <w:pStyle w:val="P68B1DB1-Normal13"/>
              <w:spacing w:after="0" w:line="240" w:lineRule="auto"/>
              <w:rPr>
                <w:rFonts w:eastAsia="Times New Roman" w:cs="Times New Roman"/>
                <w:noProof/>
              </w:rPr>
            </w:pPr>
            <w:r>
              <w:rPr>
                <w:noProof/>
              </w:rPr>
              <w:t xml:space="preserve">Ministerineuvosto hyväksyy kansallisen digitaalisia taitoja koskevan </w:t>
            </w:r>
            <w:r>
              <w:rPr>
                <w:noProof/>
              </w:rPr>
              <w:t>suunnitelman. Suunnitelman tavoitteena on 1) tarjotaan digitaalisia taitoja koskevaa koulutusta koko väestölle; 2) sukupuolten välisen digitaalisen kuilun kurominen umpeen; 3) koulutusjärjestelmän digitalisointi ja digitaalisten taitojen kehittäminen oppim</w:t>
            </w:r>
            <w:r>
              <w:rPr>
                <w:noProof/>
              </w:rPr>
              <w:t xml:space="preserve">ista varten; (4, 5) digitaalisten taitojen tarjoaminen yksityisten ja julkisten työntekijöiden työllistettävyyden parantamiseksi; 6) digitaalisten taitojen kehittäminen pk-yrityksissä; ja 7) tieto- ja viestintätekniikan asiantuntijoiden määrän lisääminen, </w:t>
            </w:r>
            <w:r>
              <w:rPr>
                <w:noProof/>
              </w:rPr>
              <w:t>mikä ei sido alueita ja paikallisyhteisöjä.</w:t>
            </w:r>
          </w:p>
        </w:tc>
      </w:tr>
      <w:tr w:rsidR="000E48CE" w14:paraId="7F43154E" w14:textId="77777777">
        <w:trPr>
          <w:trHeight w:val="309"/>
        </w:trPr>
        <w:tc>
          <w:tcPr>
            <w:tcW w:w="711" w:type="dxa"/>
            <w:shd w:val="clear" w:color="auto" w:fill="C6EFCE"/>
            <w:noWrap/>
          </w:tcPr>
          <w:p w14:paraId="28AB29BD" w14:textId="77777777" w:rsidR="000E48CE" w:rsidRDefault="00FF4C4E">
            <w:pPr>
              <w:pStyle w:val="P68B1DB1-Normal13"/>
              <w:spacing w:after="0" w:line="240" w:lineRule="auto"/>
              <w:jc w:val="center"/>
              <w:rPr>
                <w:rFonts w:eastAsia="Times New Roman" w:cs="Times New Roman"/>
                <w:noProof/>
              </w:rPr>
            </w:pPr>
            <w:r>
              <w:rPr>
                <w:noProof/>
              </w:rPr>
              <w:t>286</w:t>
            </w:r>
          </w:p>
        </w:tc>
        <w:tc>
          <w:tcPr>
            <w:tcW w:w="818" w:type="dxa"/>
            <w:shd w:val="clear" w:color="auto" w:fill="C6EFCE"/>
            <w:noWrap/>
          </w:tcPr>
          <w:p w14:paraId="496CF9AC" w14:textId="77777777" w:rsidR="000E48CE" w:rsidRDefault="00FF4C4E">
            <w:pPr>
              <w:pStyle w:val="P68B1DB1-Normal13"/>
              <w:spacing w:after="0" w:line="240" w:lineRule="auto"/>
              <w:jc w:val="center"/>
              <w:rPr>
                <w:rFonts w:eastAsia="Times New Roman" w:cs="Times New Roman"/>
                <w:noProof/>
              </w:rPr>
            </w:pPr>
            <w:r>
              <w:rPr>
                <w:noProof/>
              </w:rPr>
              <w:t>C19.I1</w:t>
            </w:r>
          </w:p>
        </w:tc>
        <w:tc>
          <w:tcPr>
            <w:tcW w:w="852" w:type="dxa"/>
            <w:shd w:val="clear" w:color="auto" w:fill="C6EFCE"/>
            <w:noWrap/>
          </w:tcPr>
          <w:p w14:paraId="74B3164B" w14:textId="77777777" w:rsidR="000E48CE" w:rsidRDefault="00FF4C4E">
            <w:pPr>
              <w:pStyle w:val="P68B1DB1-Normal13"/>
              <w:spacing w:after="0" w:line="240" w:lineRule="auto"/>
              <w:jc w:val="center"/>
              <w:rPr>
                <w:rFonts w:eastAsia="Times New Roman" w:cs="Times New Roman"/>
                <w:noProof/>
              </w:rPr>
            </w:pPr>
            <w:r>
              <w:rPr>
                <w:noProof/>
              </w:rPr>
              <w:t>T</w:t>
            </w:r>
          </w:p>
        </w:tc>
        <w:tc>
          <w:tcPr>
            <w:tcW w:w="2700" w:type="dxa"/>
            <w:shd w:val="clear" w:color="auto" w:fill="C6EFCE"/>
            <w:noWrap/>
          </w:tcPr>
          <w:p w14:paraId="156B4125" w14:textId="77777777" w:rsidR="000E48CE" w:rsidRDefault="00FF4C4E">
            <w:pPr>
              <w:pStyle w:val="P68B1DB1-Normal13"/>
              <w:spacing w:after="0" w:line="240" w:lineRule="auto"/>
              <w:rPr>
                <w:rFonts w:eastAsia="Times New Roman" w:cs="Times New Roman"/>
                <w:noProof/>
              </w:rPr>
            </w:pPr>
            <w:r>
              <w:rPr>
                <w:noProof/>
              </w:rPr>
              <w:t>Digitaalisia taitoja koskeva kansalaisten koulutus.</w:t>
            </w:r>
          </w:p>
        </w:tc>
        <w:tc>
          <w:tcPr>
            <w:tcW w:w="1420" w:type="dxa"/>
            <w:shd w:val="clear" w:color="auto" w:fill="C6EFCE"/>
            <w:noWrap/>
          </w:tcPr>
          <w:p w14:paraId="4EAEF2B2" w14:textId="77777777" w:rsidR="000E48CE" w:rsidRDefault="00FF4C4E">
            <w:pPr>
              <w:pStyle w:val="P68B1DB1-Normal13"/>
              <w:spacing w:after="0" w:line="240" w:lineRule="auto"/>
              <w:jc w:val="center"/>
              <w:rPr>
                <w:rFonts w:eastAsia="Times New Roman" w:cs="Times New Roman"/>
                <w:noProof/>
              </w:rPr>
            </w:pPr>
            <w:r>
              <w:rPr>
                <w:noProof/>
              </w:rPr>
              <w:t>—</w:t>
            </w:r>
          </w:p>
        </w:tc>
        <w:tc>
          <w:tcPr>
            <w:tcW w:w="853" w:type="dxa"/>
            <w:shd w:val="clear" w:color="auto" w:fill="C6EFCE"/>
            <w:noWrap/>
          </w:tcPr>
          <w:p w14:paraId="28A170BB"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8" w:type="dxa"/>
            <w:shd w:val="clear" w:color="auto" w:fill="C6EFCE"/>
            <w:noWrap/>
          </w:tcPr>
          <w:p w14:paraId="546E7625" w14:textId="77777777" w:rsidR="000E48CE" w:rsidRDefault="00FF4C4E">
            <w:pPr>
              <w:pStyle w:val="P68B1DB1-Normal13"/>
              <w:spacing w:after="0" w:line="240" w:lineRule="auto"/>
              <w:jc w:val="right"/>
              <w:rPr>
                <w:rFonts w:eastAsia="Times New Roman" w:cs="Times New Roman"/>
                <w:noProof/>
              </w:rPr>
            </w:pPr>
            <w:r>
              <w:rPr>
                <w:noProof/>
              </w:rPr>
              <w:t>0</w:t>
            </w:r>
          </w:p>
        </w:tc>
        <w:tc>
          <w:tcPr>
            <w:tcW w:w="710" w:type="dxa"/>
            <w:shd w:val="clear" w:color="auto" w:fill="C6EFCE"/>
            <w:noWrap/>
          </w:tcPr>
          <w:p w14:paraId="2CB75CD5" w14:textId="77777777" w:rsidR="000E48CE" w:rsidRDefault="00FF4C4E">
            <w:pPr>
              <w:pStyle w:val="P68B1DB1-Normal13"/>
              <w:spacing w:after="0" w:line="240" w:lineRule="auto"/>
              <w:jc w:val="right"/>
              <w:rPr>
                <w:rFonts w:eastAsia="Times New Roman" w:cs="Times New Roman"/>
                <w:noProof/>
              </w:rPr>
            </w:pPr>
            <w:r>
              <w:rPr>
                <w:noProof/>
              </w:rPr>
              <w:t>75</w:t>
            </w:r>
          </w:p>
        </w:tc>
        <w:tc>
          <w:tcPr>
            <w:tcW w:w="427" w:type="dxa"/>
            <w:shd w:val="clear" w:color="auto" w:fill="C6EFCE"/>
            <w:noWrap/>
          </w:tcPr>
          <w:p w14:paraId="117126BB" w14:textId="77777777" w:rsidR="000E48CE" w:rsidRDefault="00FF4C4E">
            <w:pPr>
              <w:pStyle w:val="P68B1DB1-Normal13"/>
              <w:spacing w:after="0" w:line="240" w:lineRule="auto"/>
              <w:jc w:val="center"/>
              <w:rPr>
                <w:rFonts w:eastAsia="Times New Roman" w:cs="Times New Roman"/>
                <w:noProof/>
              </w:rPr>
            </w:pPr>
            <w:r>
              <w:rPr>
                <w:noProof/>
              </w:rPr>
              <w:t>Q4</w:t>
            </w:r>
          </w:p>
        </w:tc>
        <w:tc>
          <w:tcPr>
            <w:tcW w:w="568" w:type="dxa"/>
            <w:shd w:val="clear" w:color="auto" w:fill="C6EFCE"/>
            <w:noWrap/>
          </w:tcPr>
          <w:p w14:paraId="3CE7951F"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683" w:type="dxa"/>
            <w:shd w:val="clear" w:color="auto" w:fill="C6EFCE"/>
            <w:noWrap/>
          </w:tcPr>
          <w:p w14:paraId="1B50A127" w14:textId="77777777" w:rsidR="000E48CE" w:rsidRDefault="00FF4C4E">
            <w:pPr>
              <w:pStyle w:val="P68B1DB1-Normal13"/>
              <w:spacing w:after="0" w:line="240" w:lineRule="auto"/>
              <w:rPr>
                <w:rFonts w:eastAsia="Times New Roman" w:cs="Times New Roman"/>
                <w:noProof/>
              </w:rPr>
            </w:pPr>
            <w:r>
              <w:rPr>
                <w:noProof/>
              </w:rPr>
              <w:t xml:space="preserve">Vähintään 75 prosenttia talousarviosta on sidottava investointitoimiin, joilla pyritään kouluttamaan kansalaisia digitaalisiin </w:t>
            </w:r>
            <w:r>
              <w:rPr>
                <w:noProof/>
              </w:rPr>
              <w:t>taitoihin.</w:t>
            </w:r>
          </w:p>
        </w:tc>
      </w:tr>
      <w:tr w:rsidR="000E48CE" w14:paraId="0513FA74" w14:textId="77777777">
        <w:trPr>
          <w:trHeight w:val="309"/>
        </w:trPr>
        <w:tc>
          <w:tcPr>
            <w:tcW w:w="711" w:type="dxa"/>
            <w:shd w:val="clear" w:color="auto" w:fill="C6EFCE"/>
            <w:noWrap/>
          </w:tcPr>
          <w:p w14:paraId="4B953DC2" w14:textId="77777777" w:rsidR="000E48CE" w:rsidRDefault="00FF4C4E">
            <w:pPr>
              <w:pStyle w:val="P68B1DB1-Normal13"/>
              <w:spacing w:after="0"/>
              <w:jc w:val="center"/>
              <w:rPr>
                <w:rFonts w:eastAsia="Times New Roman" w:cs="Times New Roman"/>
                <w:noProof/>
              </w:rPr>
            </w:pPr>
            <w:r>
              <w:rPr>
                <w:noProof/>
              </w:rPr>
              <w:t>287</w:t>
            </w:r>
          </w:p>
        </w:tc>
        <w:tc>
          <w:tcPr>
            <w:tcW w:w="818" w:type="dxa"/>
            <w:shd w:val="clear" w:color="auto" w:fill="C6EFCE"/>
            <w:noWrap/>
          </w:tcPr>
          <w:p w14:paraId="376F0F06" w14:textId="77777777" w:rsidR="000E48CE" w:rsidRDefault="00FF4C4E">
            <w:pPr>
              <w:pStyle w:val="P68B1DB1-Normal13"/>
              <w:spacing w:after="0"/>
              <w:jc w:val="center"/>
              <w:rPr>
                <w:rFonts w:eastAsia="Times New Roman" w:cs="Times New Roman"/>
                <w:noProof/>
              </w:rPr>
            </w:pPr>
            <w:r>
              <w:rPr>
                <w:noProof/>
              </w:rPr>
              <w:t>C19.I1</w:t>
            </w:r>
          </w:p>
        </w:tc>
        <w:tc>
          <w:tcPr>
            <w:tcW w:w="852" w:type="dxa"/>
            <w:shd w:val="clear" w:color="auto" w:fill="C6EFCE"/>
            <w:noWrap/>
          </w:tcPr>
          <w:p w14:paraId="3AA020F6" w14:textId="77777777" w:rsidR="000E48CE" w:rsidRDefault="00FF4C4E">
            <w:pPr>
              <w:pStyle w:val="P68B1DB1-Normal13"/>
              <w:spacing w:after="0"/>
              <w:jc w:val="center"/>
              <w:rPr>
                <w:rFonts w:eastAsia="Times New Roman" w:cs="Times New Roman"/>
                <w:noProof/>
              </w:rPr>
            </w:pPr>
            <w:r>
              <w:rPr>
                <w:noProof/>
              </w:rPr>
              <w:t>M</w:t>
            </w:r>
          </w:p>
        </w:tc>
        <w:tc>
          <w:tcPr>
            <w:tcW w:w="2700" w:type="dxa"/>
            <w:shd w:val="clear" w:color="auto" w:fill="C6EFCE"/>
            <w:noWrap/>
          </w:tcPr>
          <w:p w14:paraId="2C1D57A8" w14:textId="77777777" w:rsidR="000E48CE" w:rsidRDefault="00FF4C4E">
            <w:pPr>
              <w:pStyle w:val="P68B1DB1-Normal13"/>
              <w:spacing w:after="0"/>
              <w:rPr>
                <w:rFonts w:eastAsia="Times New Roman" w:cs="Times New Roman"/>
                <w:noProof/>
              </w:rPr>
            </w:pPr>
            <w:r>
              <w:rPr>
                <w:noProof/>
              </w:rPr>
              <w:t>Digitaalisten valmiuksien parantamiseen tähtäävien toimien loppuun saattaminen</w:t>
            </w:r>
          </w:p>
        </w:tc>
        <w:tc>
          <w:tcPr>
            <w:tcW w:w="1420" w:type="dxa"/>
            <w:shd w:val="clear" w:color="auto" w:fill="C6EFCE"/>
            <w:noWrap/>
          </w:tcPr>
          <w:p w14:paraId="7CB89D25" w14:textId="77777777" w:rsidR="000E48CE" w:rsidRDefault="00FF4C4E">
            <w:pPr>
              <w:pStyle w:val="P68B1DB1-Normal13"/>
              <w:spacing w:after="0"/>
              <w:jc w:val="center"/>
              <w:rPr>
                <w:rFonts w:eastAsia="Times New Roman" w:cs="Times New Roman"/>
                <w:noProof/>
              </w:rPr>
            </w:pPr>
            <w:r>
              <w:rPr>
                <w:noProof/>
              </w:rPr>
              <w:t>Kansallisten digitaalisten koulutuskeskusten hyväksyntätodistus</w:t>
            </w:r>
          </w:p>
        </w:tc>
        <w:tc>
          <w:tcPr>
            <w:tcW w:w="853" w:type="dxa"/>
            <w:shd w:val="clear" w:color="auto" w:fill="C6EFCE"/>
            <w:noWrap/>
          </w:tcPr>
          <w:p w14:paraId="5171A1D5" w14:textId="77777777" w:rsidR="000E48CE" w:rsidRDefault="00FF4C4E">
            <w:pPr>
              <w:pStyle w:val="P68B1DB1-Normal13"/>
              <w:spacing w:after="0"/>
              <w:jc w:val="center"/>
              <w:rPr>
                <w:rFonts w:eastAsia="Times New Roman" w:cs="Times New Roman"/>
                <w:noProof/>
              </w:rPr>
            </w:pPr>
            <w:r>
              <w:rPr>
                <w:noProof/>
              </w:rPr>
              <w:t> </w:t>
            </w:r>
          </w:p>
        </w:tc>
        <w:tc>
          <w:tcPr>
            <w:tcW w:w="568" w:type="dxa"/>
            <w:shd w:val="clear" w:color="auto" w:fill="C6EFCE"/>
            <w:noWrap/>
          </w:tcPr>
          <w:p w14:paraId="0F5A38EE" w14:textId="77777777" w:rsidR="000E48CE" w:rsidRDefault="00FF4C4E">
            <w:pPr>
              <w:pStyle w:val="P68B1DB1-Normal13"/>
              <w:spacing w:after="0"/>
              <w:jc w:val="right"/>
              <w:rPr>
                <w:rFonts w:eastAsia="Times New Roman" w:cs="Times New Roman"/>
                <w:noProof/>
              </w:rPr>
            </w:pPr>
            <w:r>
              <w:rPr>
                <w:noProof/>
              </w:rPr>
              <w:t> </w:t>
            </w:r>
          </w:p>
        </w:tc>
        <w:tc>
          <w:tcPr>
            <w:tcW w:w="710" w:type="dxa"/>
            <w:shd w:val="clear" w:color="auto" w:fill="C6EFCE"/>
            <w:noWrap/>
          </w:tcPr>
          <w:p w14:paraId="1346C00E" w14:textId="77777777" w:rsidR="000E48CE" w:rsidRDefault="00FF4C4E">
            <w:pPr>
              <w:pStyle w:val="P68B1DB1-Normal13"/>
              <w:spacing w:after="0"/>
              <w:jc w:val="right"/>
              <w:rPr>
                <w:rFonts w:eastAsia="Times New Roman" w:cs="Times New Roman"/>
                <w:noProof/>
              </w:rPr>
            </w:pPr>
            <w:r>
              <w:rPr>
                <w:noProof/>
              </w:rPr>
              <w:t> </w:t>
            </w:r>
          </w:p>
        </w:tc>
        <w:tc>
          <w:tcPr>
            <w:tcW w:w="427" w:type="dxa"/>
            <w:shd w:val="clear" w:color="auto" w:fill="C6EFCE"/>
            <w:noWrap/>
          </w:tcPr>
          <w:p w14:paraId="1C429867" w14:textId="77777777" w:rsidR="000E48CE" w:rsidRDefault="00FF4C4E">
            <w:pPr>
              <w:pStyle w:val="P68B1DB1-Normal13"/>
              <w:spacing w:after="0"/>
              <w:jc w:val="center"/>
              <w:rPr>
                <w:rFonts w:eastAsia="Times New Roman" w:cs="Times New Roman"/>
                <w:noProof/>
              </w:rPr>
            </w:pPr>
            <w:r>
              <w:rPr>
                <w:noProof/>
              </w:rPr>
              <w:t>Q4</w:t>
            </w:r>
          </w:p>
        </w:tc>
        <w:tc>
          <w:tcPr>
            <w:tcW w:w="568" w:type="dxa"/>
            <w:shd w:val="clear" w:color="auto" w:fill="C6EFCE"/>
            <w:noWrap/>
          </w:tcPr>
          <w:p w14:paraId="41DD6D8D" w14:textId="77777777" w:rsidR="000E48CE" w:rsidRDefault="00FF4C4E">
            <w:pPr>
              <w:pStyle w:val="P68B1DB1-Normal13"/>
              <w:spacing w:after="0"/>
              <w:jc w:val="center"/>
              <w:rPr>
                <w:rFonts w:eastAsia="Times New Roman" w:cs="Times New Roman"/>
                <w:noProof/>
              </w:rPr>
            </w:pPr>
            <w:r>
              <w:rPr>
                <w:noProof/>
              </w:rPr>
              <w:t>2024</w:t>
            </w:r>
          </w:p>
        </w:tc>
        <w:tc>
          <w:tcPr>
            <w:tcW w:w="5683" w:type="dxa"/>
            <w:shd w:val="clear" w:color="auto" w:fill="C6EFCE"/>
            <w:noWrap/>
          </w:tcPr>
          <w:p w14:paraId="66C094A9" w14:textId="77777777" w:rsidR="000E48CE" w:rsidRDefault="00FF4C4E">
            <w:pPr>
              <w:pStyle w:val="P68B1DB1-Normal13"/>
              <w:spacing w:after="0"/>
              <w:rPr>
                <w:rFonts w:eastAsia="Times New Roman" w:cs="Times New Roman"/>
                <w:noProof/>
              </w:rPr>
            </w:pPr>
            <w:r>
              <w:rPr>
                <w:noProof/>
              </w:rPr>
              <w:t xml:space="preserve">Digitaalisten taitojen kansallisen verkoston luominen (mukaan lukien 1500 </w:t>
            </w:r>
            <w:r>
              <w:rPr>
                <w:noProof/>
              </w:rPr>
              <w:t>ammatillisen koulutuksen keskuksen uudistaminen) sekä tiedotuskampanjoiden ja viestintäsuunnitelmien toteuttaminen</w:t>
            </w:r>
          </w:p>
        </w:tc>
      </w:tr>
      <w:tr w:rsidR="000E48CE" w14:paraId="48159E20" w14:textId="77777777">
        <w:trPr>
          <w:trHeight w:val="309"/>
        </w:trPr>
        <w:tc>
          <w:tcPr>
            <w:tcW w:w="711" w:type="dxa"/>
            <w:shd w:val="clear" w:color="auto" w:fill="C6EFCE"/>
            <w:noWrap/>
          </w:tcPr>
          <w:p w14:paraId="6A7BEC8F" w14:textId="77777777" w:rsidR="000E48CE" w:rsidRDefault="00FF4C4E">
            <w:pPr>
              <w:pStyle w:val="P68B1DB1-Normal13"/>
              <w:spacing w:after="0" w:line="240" w:lineRule="auto"/>
              <w:jc w:val="center"/>
              <w:rPr>
                <w:rFonts w:eastAsia="Times New Roman" w:cs="Times New Roman"/>
                <w:noProof/>
              </w:rPr>
            </w:pPr>
            <w:r>
              <w:rPr>
                <w:noProof/>
              </w:rPr>
              <w:t>288</w:t>
            </w:r>
          </w:p>
        </w:tc>
        <w:tc>
          <w:tcPr>
            <w:tcW w:w="818" w:type="dxa"/>
            <w:shd w:val="clear" w:color="auto" w:fill="C6EFCE"/>
            <w:noWrap/>
          </w:tcPr>
          <w:p w14:paraId="2F2F2189" w14:textId="77777777" w:rsidR="000E48CE" w:rsidRDefault="00FF4C4E">
            <w:pPr>
              <w:pStyle w:val="P68B1DB1-Normal13"/>
              <w:spacing w:after="0" w:line="240" w:lineRule="auto"/>
              <w:jc w:val="center"/>
              <w:rPr>
                <w:rFonts w:eastAsia="Times New Roman" w:cs="Times New Roman"/>
                <w:noProof/>
              </w:rPr>
            </w:pPr>
            <w:r>
              <w:rPr>
                <w:noProof/>
              </w:rPr>
              <w:t>C19.I1</w:t>
            </w:r>
          </w:p>
        </w:tc>
        <w:tc>
          <w:tcPr>
            <w:tcW w:w="852" w:type="dxa"/>
            <w:shd w:val="clear" w:color="auto" w:fill="C6EFCE"/>
            <w:noWrap/>
          </w:tcPr>
          <w:p w14:paraId="3E265AB6" w14:textId="77777777" w:rsidR="000E48CE" w:rsidRDefault="00FF4C4E">
            <w:pPr>
              <w:pStyle w:val="P68B1DB1-Normal13"/>
              <w:spacing w:after="0" w:line="240" w:lineRule="auto"/>
              <w:jc w:val="center"/>
              <w:rPr>
                <w:rFonts w:eastAsia="Times New Roman" w:cs="Times New Roman"/>
                <w:noProof/>
              </w:rPr>
            </w:pPr>
            <w:r>
              <w:rPr>
                <w:noProof/>
              </w:rPr>
              <w:t>T</w:t>
            </w:r>
          </w:p>
        </w:tc>
        <w:tc>
          <w:tcPr>
            <w:tcW w:w="2700" w:type="dxa"/>
            <w:shd w:val="clear" w:color="auto" w:fill="C6EFCE"/>
            <w:noWrap/>
          </w:tcPr>
          <w:p w14:paraId="6072DF11" w14:textId="77777777" w:rsidR="000E48CE" w:rsidRDefault="00FF4C4E">
            <w:pPr>
              <w:pStyle w:val="P68B1DB1-Normal13"/>
              <w:spacing w:after="0" w:line="240" w:lineRule="auto"/>
              <w:rPr>
                <w:rFonts w:eastAsia="Times New Roman" w:cs="Times New Roman"/>
                <w:noProof/>
              </w:rPr>
            </w:pPr>
            <w:r>
              <w:rPr>
                <w:noProof/>
              </w:rPr>
              <w:t>Digitaalisia taitoja koskeva kansalaisten koulutus.</w:t>
            </w:r>
          </w:p>
        </w:tc>
        <w:tc>
          <w:tcPr>
            <w:tcW w:w="1420" w:type="dxa"/>
            <w:shd w:val="clear" w:color="auto" w:fill="C6EFCE"/>
            <w:noWrap/>
          </w:tcPr>
          <w:p w14:paraId="31E47F0B" w14:textId="77777777" w:rsidR="000E48CE" w:rsidRDefault="00FF4C4E">
            <w:pPr>
              <w:pStyle w:val="P68B1DB1-Normal13"/>
              <w:spacing w:after="0" w:line="240" w:lineRule="auto"/>
              <w:jc w:val="center"/>
              <w:rPr>
                <w:rFonts w:eastAsia="Times New Roman" w:cs="Times New Roman"/>
                <w:noProof/>
              </w:rPr>
            </w:pPr>
            <w:r>
              <w:rPr>
                <w:noProof/>
              </w:rPr>
              <w:t>—</w:t>
            </w:r>
          </w:p>
        </w:tc>
        <w:tc>
          <w:tcPr>
            <w:tcW w:w="853" w:type="dxa"/>
            <w:shd w:val="clear" w:color="auto" w:fill="C6EFCE"/>
            <w:noWrap/>
          </w:tcPr>
          <w:p w14:paraId="25EAAA1B"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8" w:type="dxa"/>
            <w:shd w:val="clear" w:color="auto" w:fill="C6EFCE"/>
            <w:noWrap/>
          </w:tcPr>
          <w:p w14:paraId="368C90DF" w14:textId="77777777" w:rsidR="000E48CE" w:rsidRDefault="00FF4C4E">
            <w:pPr>
              <w:pStyle w:val="P68B1DB1-Normal13"/>
              <w:spacing w:after="0" w:line="240" w:lineRule="auto"/>
              <w:jc w:val="right"/>
              <w:rPr>
                <w:rFonts w:eastAsia="Times New Roman" w:cs="Times New Roman"/>
                <w:noProof/>
              </w:rPr>
            </w:pPr>
            <w:r>
              <w:rPr>
                <w:noProof/>
              </w:rPr>
              <w:t>0</w:t>
            </w:r>
          </w:p>
        </w:tc>
        <w:tc>
          <w:tcPr>
            <w:tcW w:w="710" w:type="dxa"/>
            <w:shd w:val="clear" w:color="auto" w:fill="C6EFCE"/>
            <w:noWrap/>
          </w:tcPr>
          <w:p w14:paraId="499E844B" w14:textId="77777777" w:rsidR="000E48CE" w:rsidRDefault="00FF4C4E">
            <w:pPr>
              <w:pStyle w:val="P68B1DB1-Normal13"/>
              <w:spacing w:after="0" w:line="240" w:lineRule="auto"/>
              <w:jc w:val="right"/>
              <w:rPr>
                <w:rFonts w:eastAsia="Times New Roman" w:cs="Times New Roman"/>
                <w:noProof/>
              </w:rPr>
            </w:pPr>
            <w:r>
              <w:rPr>
                <w:noProof/>
              </w:rPr>
              <w:t xml:space="preserve">2 600 000 </w:t>
            </w:r>
          </w:p>
        </w:tc>
        <w:tc>
          <w:tcPr>
            <w:tcW w:w="427" w:type="dxa"/>
            <w:shd w:val="clear" w:color="auto" w:fill="C6EFCE"/>
            <w:noWrap/>
          </w:tcPr>
          <w:p w14:paraId="6145FD72" w14:textId="684D0812" w:rsidR="000E48CE" w:rsidRDefault="00FF4C4E">
            <w:pPr>
              <w:pStyle w:val="P68B1DB1-Normal13"/>
              <w:rPr>
                <w:rFonts w:cs="Times New Roman"/>
                <w:noProof/>
              </w:rPr>
            </w:pPr>
            <w:r>
              <w:rPr>
                <w:noProof/>
              </w:rPr>
              <w:t>Q2</w:t>
            </w:r>
          </w:p>
        </w:tc>
        <w:tc>
          <w:tcPr>
            <w:tcW w:w="568" w:type="dxa"/>
            <w:shd w:val="clear" w:color="auto" w:fill="C6EFCE"/>
            <w:noWrap/>
          </w:tcPr>
          <w:p w14:paraId="5518F433" w14:textId="6E3B8EFA" w:rsidR="000E48CE" w:rsidRDefault="00FF4C4E">
            <w:pPr>
              <w:pStyle w:val="P68B1DB1-Normal13"/>
              <w:spacing w:after="0" w:line="240" w:lineRule="auto"/>
              <w:jc w:val="center"/>
              <w:rPr>
                <w:rFonts w:eastAsia="Times New Roman" w:cs="Times New Roman"/>
                <w:noProof/>
              </w:rPr>
            </w:pPr>
            <w:r>
              <w:rPr>
                <w:noProof/>
              </w:rPr>
              <w:t>2026</w:t>
            </w:r>
          </w:p>
        </w:tc>
        <w:tc>
          <w:tcPr>
            <w:tcW w:w="5683" w:type="dxa"/>
            <w:shd w:val="clear" w:color="auto" w:fill="C6EFCE"/>
            <w:noWrap/>
          </w:tcPr>
          <w:p w14:paraId="395D370C" w14:textId="7DE8F0FF" w:rsidR="000E48CE" w:rsidRDefault="00FF4C4E">
            <w:pPr>
              <w:pStyle w:val="P68B1DB1-Normal13"/>
              <w:spacing w:after="0" w:line="240" w:lineRule="auto"/>
              <w:rPr>
                <w:rFonts w:eastAsia="Times New Roman" w:cs="Times New Roman"/>
                <w:noProof/>
              </w:rPr>
            </w:pPr>
            <w:r>
              <w:rPr>
                <w:noProof/>
              </w:rPr>
              <w:t xml:space="preserve">2600000 kansalaista on saanut digitaitoja koskevan koulutuksen toimenpiteen toimien mukaisesti. Koulutuksen on kestettävä vähintään 7,5 tuntia. </w:t>
            </w:r>
          </w:p>
        </w:tc>
      </w:tr>
      <w:tr w:rsidR="000E48CE" w14:paraId="0525C8BE" w14:textId="77777777">
        <w:trPr>
          <w:trHeight w:val="309"/>
        </w:trPr>
        <w:tc>
          <w:tcPr>
            <w:tcW w:w="711" w:type="dxa"/>
            <w:shd w:val="clear" w:color="auto" w:fill="C6EFCE"/>
            <w:noWrap/>
          </w:tcPr>
          <w:p w14:paraId="00601881" w14:textId="77777777" w:rsidR="000E48CE" w:rsidRDefault="00FF4C4E">
            <w:pPr>
              <w:pStyle w:val="P68B1DB1-Normal13"/>
              <w:spacing w:after="0" w:line="240" w:lineRule="auto"/>
              <w:jc w:val="center"/>
              <w:rPr>
                <w:rFonts w:eastAsia="Times New Roman" w:cs="Times New Roman"/>
                <w:noProof/>
              </w:rPr>
            </w:pPr>
            <w:r>
              <w:rPr>
                <w:noProof/>
              </w:rPr>
              <w:t>289</w:t>
            </w:r>
          </w:p>
        </w:tc>
        <w:tc>
          <w:tcPr>
            <w:tcW w:w="818" w:type="dxa"/>
            <w:shd w:val="clear" w:color="auto" w:fill="C6EFCE"/>
            <w:noWrap/>
          </w:tcPr>
          <w:p w14:paraId="0198CF67" w14:textId="77777777" w:rsidR="000E48CE" w:rsidRDefault="00FF4C4E">
            <w:pPr>
              <w:pStyle w:val="P68B1DB1-Normal13"/>
              <w:spacing w:after="0" w:line="240" w:lineRule="auto"/>
              <w:jc w:val="center"/>
              <w:rPr>
                <w:rFonts w:eastAsia="Times New Roman" w:cs="Times New Roman"/>
                <w:noProof/>
              </w:rPr>
            </w:pPr>
            <w:r>
              <w:rPr>
                <w:noProof/>
              </w:rPr>
              <w:t>C19.I2</w:t>
            </w:r>
          </w:p>
        </w:tc>
        <w:tc>
          <w:tcPr>
            <w:tcW w:w="852" w:type="dxa"/>
            <w:shd w:val="clear" w:color="auto" w:fill="C6EFCE"/>
            <w:noWrap/>
          </w:tcPr>
          <w:p w14:paraId="5E596148" w14:textId="77777777" w:rsidR="000E48CE" w:rsidRDefault="00FF4C4E">
            <w:pPr>
              <w:pStyle w:val="P68B1DB1-Normal13"/>
              <w:spacing w:after="0" w:line="240" w:lineRule="auto"/>
              <w:jc w:val="center"/>
              <w:rPr>
                <w:rFonts w:eastAsia="Times New Roman" w:cs="Times New Roman"/>
                <w:noProof/>
              </w:rPr>
            </w:pPr>
            <w:r>
              <w:rPr>
                <w:noProof/>
              </w:rPr>
              <w:t>M</w:t>
            </w:r>
          </w:p>
        </w:tc>
        <w:tc>
          <w:tcPr>
            <w:tcW w:w="2700" w:type="dxa"/>
            <w:shd w:val="clear" w:color="auto" w:fill="C6EFCE"/>
            <w:noWrap/>
          </w:tcPr>
          <w:p w14:paraId="25F5FE95" w14:textId="77777777" w:rsidR="000E48CE" w:rsidRDefault="00FF4C4E">
            <w:pPr>
              <w:pStyle w:val="P68B1DB1-Normal13"/>
              <w:spacing w:after="0" w:line="240" w:lineRule="auto"/>
              <w:rPr>
                <w:rFonts w:eastAsia="Times New Roman" w:cs="Times New Roman"/>
                <w:noProof/>
              </w:rPr>
            </w:pPr>
            <w:r>
              <w:rPr>
                <w:noProof/>
              </w:rPr>
              <w:t>Ohjelma julkisten ja julkisesti tuettujen koulujen varustamiseksi digitaalisilla välineillä</w:t>
            </w:r>
          </w:p>
        </w:tc>
        <w:tc>
          <w:tcPr>
            <w:tcW w:w="1420" w:type="dxa"/>
            <w:shd w:val="clear" w:color="auto" w:fill="C6EFCE"/>
            <w:noWrap/>
          </w:tcPr>
          <w:p w14:paraId="693456BE" w14:textId="77777777" w:rsidR="000E48CE" w:rsidRDefault="00FF4C4E">
            <w:pPr>
              <w:pStyle w:val="P68B1DB1-Normal13"/>
              <w:spacing w:after="0" w:line="240" w:lineRule="auto"/>
              <w:jc w:val="center"/>
              <w:rPr>
                <w:rFonts w:eastAsia="Times New Roman" w:cs="Times New Roman"/>
                <w:noProof/>
              </w:rPr>
            </w:pPr>
            <w:r>
              <w:rPr>
                <w:noProof/>
              </w:rPr>
              <w:t>Julkaiseminen virallisessa lehdessä</w:t>
            </w:r>
          </w:p>
        </w:tc>
        <w:tc>
          <w:tcPr>
            <w:tcW w:w="853" w:type="dxa"/>
            <w:shd w:val="clear" w:color="auto" w:fill="C6EFCE"/>
            <w:noWrap/>
          </w:tcPr>
          <w:p w14:paraId="17F0B535"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8" w:type="dxa"/>
            <w:shd w:val="clear" w:color="auto" w:fill="C6EFCE"/>
            <w:noWrap/>
          </w:tcPr>
          <w:p w14:paraId="0864613D"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10" w:type="dxa"/>
            <w:shd w:val="clear" w:color="auto" w:fill="C6EFCE"/>
            <w:noWrap/>
          </w:tcPr>
          <w:p w14:paraId="0DF3105E" w14:textId="77777777" w:rsidR="000E48CE" w:rsidRDefault="00FF4C4E">
            <w:pPr>
              <w:pStyle w:val="P68B1DB1-Normal13"/>
              <w:spacing w:after="0" w:line="240" w:lineRule="auto"/>
              <w:rPr>
                <w:rFonts w:eastAsia="Times New Roman" w:cs="Times New Roman"/>
                <w:noProof/>
              </w:rPr>
            </w:pPr>
            <w:r>
              <w:rPr>
                <w:noProof/>
              </w:rPr>
              <w:t xml:space="preserve"> </w:t>
            </w:r>
          </w:p>
        </w:tc>
        <w:tc>
          <w:tcPr>
            <w:tcW w:w="427" w:type="dxa"/>
            <w:shd w:val="clear" w:color="auto" w:fill="C6EFCE"/>
            <w:noWrap/>
          </w:tcPr>
          <w:p w14:paraId="40C7AA42" w14:textId="77777777" w:rsidR="000E48CE" w:rsidRDefault="00FF4C4E">
            <w:pPr>
              <w:pStyle w:val="P68B1DB1-Normal13"/>
              <w:spacing w:after="0" w:line="240" w:lineRule="auto"/>
              <w:jc w:val="center"/>
              <w:rPr>
                <w:rFonts w:eastAsia="Times New Roman" w:cs="Times New Roman"/>
                <w:noProof/>
              </w:rPr>
            </w:pPr>
            <w:r>
              <w:rPr>
                <w:noProof/>
              </w:rPr>
              <w:t>Q4</w:t>
            </w:r>
          </w:p>
        </w:tc>
        <w:tc>
          <w:tcPr>
            <w:tcW w:w="568" w:type="dxa"/>
            <w:shd w:val="clear" w:color="auto" w:fill="C6EFCE"/>
            <w:noWrap/>
          </w:tcPr>
          <w:p w14:paraId="46DB8416"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683" w:type="dxa"/>
            <w:shd w:val="clear" w:color="auto" w:fill="C6EFCE"/>
            <w:noWrap/>
          </w:tcPr>
          <w:p w14:paraId="6E671F39" w14:textId="77777777" w:rsidR="000E48CE" w:rsidRDefault="00FF4C4E">
            <w:pPr>
              <w:pStyle w:val="P68B1DB1-Normal13"/>
              <w:spacing w:after="0" w:line="240" w:lineRule="auto"/>
              <w:rPr>
                <w:rFonts w:eastAsia="Times New Roman" w:cs="Times New Roman"/>
                <w:noProof/>
              </w:rPr>
            </w:pPr>
            <w:r>
              <w:rPr>
                <w:noProof/>
              </w:rPr>
              <w:t>Hyväksytään ohjelma, jossa varustetaan vähintään 240000 luokkahuonetta, koulutetaan 700000 opettajaa ja valmistellaan tai tarkistetaan digitaalistrategiaa vähintään 22000 julkisessa ja julkisesti tuetussa k</w:t>
            </w:r>
            <w:r>
              <w:rPr>
                <w:noProof/>
              </w:rPr>
              <w:t>oulukeskuksessa ja tarjotaan 300000 verkkoon liitettyä digitaalista laitetta (kannettavaa tietokonetta, tablettia) julkisissa ja julkisesti tuetuissa kouluissa yhteistyössä itsehallintoalueiden kanssa. Ohjelma sitoo itsehallintoalueita.</w:t>
            </w:r>
          </w:p>
        </w:tc>
      </w:tr>
      <w:tr w:rsidR="000E48CE" w14:paraId="035D1F4E" w14:textId="77777777">
        <w:trPr>
          <w:trHeight w:val="309"/>
        </w:trPr>
        <w:tc>
          <w:tcPr>
            <w:tcW w:w="711" w:type="dxa"/>
            <w:shd w:val="clear" w:color="auto" w:fill="C6EFCE"/>
            <w:noWrap/>
          </w:tcPr>
          <w:p w14:paraId="1592DE65" w14:textId="77777777" w:rsidR="000E48CE" w:rsidRDefault="00FF4C4E">
            <w:pPr>
              <w:pStyle w:val="P68B1DB1-Normal13"/>
              <w:spacing w:after="0" w:line="240" w:lineRule="auto"/>
              <w:jc w:val="center"/>
              <w:rPr>
                <w:rFonts w:eastAsia="Times New Roman" w:cs="Times New Roman"/>
                <w:noProof/>
              </w:rPr>
            </w:pPr>
            <w:r>
              <w:rPr>
                <w:noProof/>
              </w:rPr>
              <w:t>290</w:t>
            </w:r>
          </w:p>
        </w:tc>
        <w:tc>
          <w:tcPr>
            <w:tcW w:w="818" w:type="dxa"/>
            <w:shd w:val="clear" w:color="auto" w:fill="C6EFCE"/>
            <w:noWrap/>
          </w:tcPr>
          <w:p w14:paraId="3E6A731A" w14:textId="77777777" w:rsidR="000E48CE" w:rsidRDefault="00FF4C4E">
            <w:pPr>
              <w:pStyle w:val="P68B1DB1-Normal13"/>
              <w:spacing w:after="0" w:line="240" w:lineRule="auto"/>
              <w:jc w:val="center"/>
              <w:rPr>
                <w:rFonts w:eastAsia="Times New Roman" w:cs="Times New Roman"/>
                <w:noProof/>
              </w:rPr>
            </w:pPr>
            <w:r>
              <w:rPr>
                <w:noProof/>
              </w:rPr>
              <w:t>C19.I2</w:t>
            </w:r>
          </w:p>
        </w:tc>
        <w:tc>
          <w:tcPr>
            <w:tcW w:w="852" w:type="dxa"/>
            <w:shd w:val="clear" w:color="auto" w:fill="C6EFCE"/>
            <w:noWrap/>
          </w:tcPr>
          <w:p w14:paraId="14CE7EF2" w14:textId="77777777" w:rsidR="000E48CE" w:rsidRDefault="00FF4C4E">
            <w:pPr>
              <w:pStyle w:val="P68B1DB1-Normal13"/>
              <w:spacing w:after="0" w:line="240" w:lineRule="auto"/>
              <w:jc w:val="center"/>
              <w:rPr>
                <w:rFonts w:eastAsia="Times New Roman" w:cs="Times New Roman"/>
                <w:noProof/>
              </w:rPr>
            </w:pPr>
            <w:r>
              <w:rPr>
                <w:noProof/>
              </w:rPr>
              <w:t>M</w:t>
            </w:r>
          </w:p>
        </w:tc>
        <w:tc>
          <w:tcPr>
            <w:tcW w:w="2700" w:type="dxa"/>
            <w:shd w:val="clear" w:color="auto" w:fill="C6EFCE"/>
            <w:noWrap/>
          </w:tcPr>
          <w:p w14:paraId="50E8BCDD" w14:textId="77777777" w:rsidR="000E48CE" w:rsidRDefault="00FF4C4E">
            <w:pPr>
              <w:pStyle w:val="P68B1DB1-Normal13"/>
              <w:spacing w:after="0" w:line="240" w:lineRule="auto"/>
              <w:rPr>
                <w:rFonts w:eastAsia="Times New Roman" w:cs="Times New Roman"/>
                <w:noProof/>
              </w:rPr>
            </w:pPr>
            <w:r>
              <w:rPr>
                <w:noProof/>
              </w:rPr>
              <w:t>Koulutuksen digitalisaatiota koskevien toimien loppuun saattaminen</w:t>
            </w:r>
          </w:p>
        </w:tc>
        <w:tc>
          <w:tcPr>
            <w:tcW w:w="1420" w:type="dxa"/>
            <w:shd w:val="clear" w:color="auto" w:fill="C6EFCE"/>
            <w:noWrap/>
          </w:tcPr>
          <w:p w14:paraId="0BA257E9" w14:textId="77777777" w:rsidR="000E48CE" w:rsidRDefault="00FF4C4E">
            <w:pPr>
              <w:pStyle w:val="P68B1DB1-Normal13"/>
              <w:spacing w:after="0" w:line="240" w:lineRule="auto"/>
              <w:jc w:val="center"/>
              <w:rPr>
                <w:rFonts w:eastAsia="Times New Roman" w:cs="Times New Roman"/>
                <w:noProof/>
              </w:rPr>
            </w:pPr>
            <w:r>
              <w:rPr>
                <w:noProof/>
              </w:rPr>
              <w:t>Valtion- ja aluehallinnon myöntämä sertifiointi</w:t>
            </w:r>
          </w:p>
        </w:tc>
        <w:tc>
          <w:tcPr>
            <w:tcW w:w="853" w:type="dxa"/>
            <w:shd w:val="clear" w:color="auto" w:fill="C6EFCE"/>
            <w:noWrap/>
          </w:tcPr>
          <w:p w14:paraId="6E132F27" w14:textId="77777777" w:rsidR="000E48CE" w:rsidRDefault="00FF4C4E">
            <w:pPr>
              <w:pStyle w:val="P68B1DB1-Normal13"/>
              <w:spacing w:after="0" w:line="240" w:lineRule="auto"/>
              <w:jc w:val="center"/>
              <w:rPr>
                <w:rFonts w:eastAsia="Times New Roman" w:cs="Times New Roman"/>
                <w:noProof/>
              </w:rPr>
            </w:pPr>
            <w:r>
              <w:rPr>
                <w:noProof/>
              </w:rPr>
              <w:t> </w:t>
            </w:r>
          </w:p>
        </w:tc>
        <w:tc>
          <w:tcPr>
            <w:tcW w:w="568" w:type="dxa"/>
            <w:shd w:val="clear" w:color="auto" w:fill="C6EFCE"/>
            <w:noWrap/>
          </w:tcPr>
          <w:p w14:paraId="7104DD22" w14:textId="77777777" w:rsidR="000E48CE" w:rsidRDefault="00FF4C4E">
            <w:pPr>
              <w:pStyle w:val="P68B1DB1-Normal13"/>
              <w:spacing w:after="0" w:line="240" w:lineRule="auto"/>
              <w:jc w:val="right"/>
              <w:rPr>
                <w:rFonts w:eastAsia="Times New Roman" w:cs="Times New Roman"/>
                <w:noProof/>
              </w:rPr>
            </w:pPr>
            <w:r>
              <w:rPr>
                <w:noProof/>
              </w:rPr>
              <w:t> </w:t>
            </w:r>
          </w:p>
        </w:tc>
        <w:tc>
          <w:tcPr>
            <w:tcW w:w="710" w:type="dxa"/>
            <w:shd w:val="clear" w:color="auto" w:fill="C6EFCE"/>
            <w:noWrap/>
          </w:tcPr>
          <w:p w14:paraId="62A445D4" w14:textId="77777777" w:rsidR="000E48CE" w:rsidRDefault="00FF4C4E">
            <w:pPr>
              <w:pStyle w:val="P68B1DB1-Normal13"/>
              <w:spacing w:after="0" w:line="240" w:lineRule="auto"/>
              <w:jc w:val="right"/>
              <w:rPr>
                <w:rFonts w:eastAsia="Times New Roman" w:cs="Times New Roman"/>
                <w:noProof/>
              </w:rPr>
            </w:pPr>
            <w:r>
              <w:rPr>
                <w:noProof/>
              </w:rPr>
              <w:t> </w:t>
            </w:r>
          </w:p>
        </w:tc>
        <w:tc>
          <w:tcPr>
            <w:tcW w:w="427" w:type="dxa"/>
            <w:shd w:val="clear" w:color="auto" w:fill="C6EFCE"/>
            <w:noWrap/>
          </w:tcPr>
          <w:p w14:paraId="5317C62F" w14:textId="6C72614B" w:rsidR="000E48CE" w:rsidRDefault="00FF4C4E">
            <w:pPr>
              <w:pStyle w:val="P68B1DB1-Normal13"/>
              <w:spacing w:after="0" w:line="240" w:lineRule="auto"/>
              <w:jc w:val="center"/>
              <w:rPr>
                <w:rFonts w:eastAsia="Times New Roman" w:cs="Times New Roman"/>
                <w:noProof/>
              </w:rPr>
            </w:pPr>
            <w:r>
              <w:rPr>
                <w:noProof/>
              </w:rPr>
              <w:t>Q4</w:t>
            </w:r>
          </w:p>
        </w:tc>
        <w:tc>
          <w:tcPr>
            <w:tcW w:w="568" w:type="dxa"/>
            <w:shd w:val="clear" w:color="auto" w:fill="C6EFCE"/>
            <w:noWrap/>
          </w:tcPr>
          <w:p w14:paraId="521ACFB1" w14:textId="7B0B616B" w:rsidR="000E48CE" w:rsidRDefault="00FF4C4E">
            <w:pPr>
              <w:pStyle w:val="P68B1DB1-Normal13"/>
              <w:spacing w:after="0" w:line="240" w:lineRule="auto"/>
              <w:jc w:val="center"/>
              <w:rPr>
                <w:rFonts w:eastAsia="Times New Roman" w:cs="Times New Roman"/>
                <w:noProof/>
              </w:rPr>
            </w:pPr>
            <w:r>
              <w:rPr>
                <w:noProof/>
              </w:rPr>
              <w:t>2025</w:t>
            </w:r>
          </w:p>
        </w:tc>
        <w:tc>
          <w:tcPr>
            <w:tcW w:w="5683" w:type="dxa"/>
            <w:shd w:val="clear" w:color="auto" w:fill="C6EFCE"/>
            <w:noWrap/>
          </w:tcPr>
          <w:p w14:paraId="699E923D" w14:textId="77777777" w:rsidR="000E48CE" w:rsidRDefault="00FF4C4E">
            <w:pPr>
              <w:pStyle w:val="P68B1DB1-Normal13"/>
              <w:spacing w:after="0" w:line="240" w:lineRule="auto"/>
              <w:rPr>
                <w:rFonts w:eastAsia="Times New Roman" w:cs="Times New Roman"/>
                <w:noProof/>
              </w:rPr>
            </w:pPr>
            <w:r>
              <w:rPr>
                <w:noProof/>
              </w:rPr>
              <w:t>Koulutuksen digitaalista muutosta koskevien toimien loppuun saattaminen, mukaan lukien digitaalisia taitoja koskeva sertifioint</w:t>
            </w:r>
            <w:r>
              <w:rPr>
                <w:noProof/>
              </w:rPr>
              <w:t xml:space="preserve">i vähintään 80 prosentille 700000 opettajasta, jotka ovat saaneet koulutusta digitaalisista taidoista; ja vähintään 22000 keskusta tuki digitaalisten strategioiden valmistelussa ja tarkistamisessa. </w:t>
            </w:r>
          </w:p>
        </w:tc>
      </w:tr>
      <w:tr w:rsidR="000E48CE" w14:paraId="72B5444C" w14:textId="77777777">
        <w:trPr>
          <w:trHeight w:val="309"/>
        </w:trPr>
        <w:tc>
          <w:tcPr>
            <w:tcW w:w="711" w:type="dxa"/>
            <w:tcBorders>
              <w:top w:val="single" w:sz="4" w:space="0" w:color="auto"/>
              <w:left w:val="single" w:sz="4" w:space="0" w:color="auto"/>
              <w:bottom w:val="single" w:sz="4" w:space="0" w:color="auto"/>
              <w:right w:val="single" w:sz="4" w:space="0" w:color="auto"/>
            </w:tcBorders>
            <w:shd w:val="clear" w:color="auto" w:fill="C6EFCE"/>
            <w:noWrap/>
          </w:tcPr>
          <w:p w14:paraId="2686B174" w14:textId="77777777" w:rsidR="000E48CE" w:rsidRDefault="00FF4C4E">
            <w:pPr>
              <w:pStyle w:val="P68B1DB1-Normal13"/>
              <w:spacing w:after="0" w:line="240" w:lineRule="auto"/>
              <w:jc w:val="center"/>
              <w:rPr>
                <w:rFonts w:cs="Times New Roman"/>
                <w:noProof/>
              </w:rPr>
            </w:pPr>
            <w:r>
              <w:rPr>
                <w:noProof/>
              </w:rPr>
              <w:t>291</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185278DF" w14:textId="77777777" w:rsidR="000E48CE" w:rsidRDefault="00FF4C4E">
            <w:pPr>
              <w:pStyle w:val="P68B1DB1-Normal13"/>
              <w:spacing w:after="0" w:line="240" w:lineRule="auto"/>
              <w:jc w:val="center"/>
              <w:rPr>
                <w:rFonts w:cs="Times New Roman"/>
                <w:noProof/>
              </w:rPr>
            </w:pPr>
            <w:r>
              <w:rPr>
                <w:noProof/>
              </w:rPr>
              <w:t>C19.I2</w:t>
            </w:r>
          </w:p>
        </w:tc>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EF3D2A9" w14:textId="77777777" w:rsidR="000E48CE" w:rsidRDefault="00FF4C4E">
            <w:pPr>
              <w:pStyle w:val="P68B1DB1-Normal13"/>
              <w:spacing w:after="0" w:line="240" w:lineRule="auto"/>
              <w:jc w:val="center"/>
              <w:rPr>
                <w:rFonts w:cs="Times New Roman"/>
                <w:noProof/>
              </w:rPr>
            </w:pPr>
            <w:r>
              <w:rPr>
                <w:noProof/>
              </w:rPr>
              <w:t>T</w:t>
            </w:r>
          </w:p>
        </w:tc>
        <w:tc>
          <w:tcPr>
            <w:tcW w:w="2700" w:type="dxa"/>
            <w:tcBorders>
              <w:top w:val="single" w:sz="4" w:space="0" w:color="auto"/>
              <w:left w:val="single" w:sz="4" w:space="0" w:color="auto"/>
              <w:bottom w:val="single" w:sz="4" w:space="0" w:color="auto"/>
              <w:right w:val="single" w:sz="4" w:space="0" w:color="auto"/>
            </w:tcBorders>
            <w:shd w:val="clear" w:color="auto" w:fill="C6EFCE"/>
            <w:noWrap/>
          </w:tcPr>
          <w:p w14:paraId="5AE57A74" w14:textId="77777777" w:rsidR="000E48CE" w:rsidRDefault="00FF4C4E">
            <w:pPr>
              <w:pStyle w:val="P68B1DB1-Normal13"/>
              <w:spacing w:after="0" w:line="240" w:lineRule="auto"/>
              <w:rPr>
                <w:rFonts w:cs="Times New Roman"/>
                <w:noProof/>
              </w:rPr>
            </w:pPr>
            <w:r>
              <w:rPr>
                <w:noProof/>
              </w:rPr>
              <w:t>Verkkoon liitettyjen digitaalisten laitteiden tarjoaminen julkisissa ja julkisesti tuetuissa kouluissa ”digitaalisen kuilun” kaventamiseksi ja vähintään 240000 luokkahuoneen varustamiseksi</w:t>
            </w:r>
          </w:p>
        </w:tc>
        <w:tc>
          <w:tcPr>
            <w:tcW w:w="1420" w:type="dxa"/>
            <w:tcBorders>
              <w:top w:val="single" w:sz="4" w:space="0" w:color="auto"/>
              <w:left w:val="single" w:sz="4" w:space="0" w:color="auto"/>
              <w:bottom w:val="single" w:sz="4" w:space="0" w:color="auto"/>
              <w:right w:val="single" w:sz="4" w:space="0" w:color="auto"/>
            </w:tcBorders>
            <w:shd w:val="clear" w:color="auto" w:fill="C6EFCE"/>
            <w:noWrap/>
          </w:tcPr>
          <w:p w14:paraId="3097A4E9" w14:textId="77777777" w:rsidR="000E48CE" w:rsidRDefault="00FF4C4E">
            <w:pPr>
              <w:pStyle w:val="P68B1DB1-Normal13"/>
              <w:spacing w:after="0" w:line="240" w:lineRule="auto"/>
              <w:jc w:val="center"/>
              <w:rPr>
                <w:rFonts w:cs="Times New Roman"/>
                <w:noProof/>
              </w:rPr>
            </w:pPr>
            <w:r>
              <w:rPr>
                <w:noProof/>
              </w:rPr>
              <w:t>—</w:t>
            </w:r>
          </w:p>
        </w:tc>
        <w:tc>
          <w:tcPr>
            <w:tcW w:w="853" w:type="dxa"/>
            <w:tcBorders>
              <w:top w:val="single" w:sz="4" w:space="0" w:color="auto"/>
              <w:left w:val="single" w:sz="4" w:space="0" w:color="auto"/>
              <w:bottom w:val="single" w:sz="4" w:space="0" w:color="auto"/>
              <w:right w:val="single" w:sz="4" w:space="0" w:color="auto"/>
            </w:tcBorders>
            <w:shd w:val="clear" w:color="auto" w:fill="C6EFCE"/>
            <w:noWrap/>
          </w:tcPr>
          <w:p w14:paraId="449E4048" w14:textId="77777777" w:rsidR="000E48CE" w:rsidRDefault="00FF4C4E">
            <w:pPr>
              <w:pStyle w:val="P68B1DB1-Normal13"/>
              <w:spacing w:after="0" w:line="240" w:lineRule="auto"/>
              <w:jc w:val="center"/>
              <w:rPr>
                <w:rFonts w:cs="Times New Roman"/>
                <w:noProof/>
              </w:rPr>
            </w:pPr>
            <w:r>
              <w:rPr>
                <w:noProof/>
              </w:rPr>
              <w:t>Määrä</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0614E87F" w14:textId="77777777" w:rsidR="000E48CE" w:rsidRDefault="00FF4C4E">
            <w:pPr>
              <w:pStyle w:val="P68B1DB1-Normal13"/>
              <w:spacing w:after="0" w:line="240" w:lineRule="auto"/>
              <w:jc w:val="center"/>
              <w:rPr>
                <w:rFonts w:cs="Times New Roman"/>
                <w:noProof/>
              </w:rPr>
            </w:pPr>
            <w:r>
              <w:rPr>
                <w:noProof/>
              </w:rPr>
              <w:t>0</w:t>
            </w:r>
          </w:p>
        </w:tc>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6B27F78C" w14:textId="77777777" w:rsidR="000E48CE" w:rsidRDefault="00FF4C4E">
            <w:pPr>
              <w:pStyle w:val="P68B1DB1-Normal13"/>
              <w:spacing w:after="0" w:line="240" w:lineRule="auto"/>
              <w:jc w:val="right"/>
              <w:rPr>
                <w:rFonts w:cs="Times New Roman"/>
                <w:noProof/>
              </w:rPr>
            </w:pPr>
            <w:r>
              <w:rPr>
                <w:noProof/>
              </w:rPr>
              <w:t>540 000</w:t>
            </w:r>
          </w:p>
        </w:tc>
        <w:tc>
          <w:tcPr>
            <w:tcW w:w="427" w:type="dxa"/>
            <w:tcBorders>
              <w:top w:val="single" w:sz="4" w:space="0" w:color="auto"/>
              <w:left w:val="single" w:sz="4" w:space="0" w:color="auto"/>
              <w:bottom w:val="single" w:sz="4" w:space="0" w:color="auto"/>
              <w:right w:val="single" w:sz="4" w:space="0" w:color="auto"/>
            </w:tcBorders>
            <w:shd w:val="clear" w:color="auto" w:fill="C6EFCE"/>
            <w:noWrap/>
          </w:tcPr>
          <w:p w14:paraId="7750A487" w14:textId="77777777" w:rsidR="000E48CE" w:rsidRDefault="00FF4C4E">
            <w:pPr>
              <w:pStyle w:val="P68B1DB1-Normal13"/>
              <w:spacing w:after="0" w:line="240" w:lineRule="auto"/>
              <w:jc w:val="center"/>
              <w:rPr>
                <w:rFonts w:cs="Times New Roman"/>
                <w:noProof/>
              </w:rPr>
            </w:pPr>
            <w:r>
              <w:rPr>
                <w:noProof/>
              </w:rPr>
              <w:t>Q4</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6BC4B3D2" w14:textId="77777777" w:rsidR="000E48CE" w:rsidRDefault="00FF4C4E">
            <w:pPr>
              <w:pStyle w:val="P68B1DB1-Normal13"/>
              <w:spacing w:after="0" w:line="240" w:lineRule="auto"/>
              <w:jc w:val="center"/>
              <w:rPr>
                <w:rFonts w:cs="Times New Roman"/>
                <w:noProof/>
              </w:rPr>
            </w:pPr>
            <w:r>
              <w:rPr>
                <w:noProof/>
              </w:rPr>
              <w:t>2025</w:t>
            </w:r>
          </w:p>
        </w:tc>
        <w:tc>
          <w:tcPr>
            <w:tcW w:w="5683" w:type="dxa"/>
            <w:tcBorders>
              <w:top w:val="single" w:sz="4" w:space="0" w:color="auto"/>
              <w:left w:val="single" w:sz="4" w:space="0" w:color="auto"/>
              <w:bottom w:val="single" w:sz="4" w:space="0" w:color="auto"/>
              <w:right w:val="single" w:sz="4" w:space="0" w:color="auto"/>
            </w:tcBorders>
            <w:shd w:val="clear" w:color="auto" w:fill="C6EFCE"/>
            <w:noWrap/>
          </w:tcPr>
          <w:p w14:paraId="743364F7" w14:textId="77777777" w:rsidR="000E48CE" w:rsidRDefault="00FF4C4E">
            <w:pPr>
              <w:pStyle w:val="P68B1DB1-Normal13"/>
              <w:spacing w:after="0" w:line="240" w:lineRule="auto"/>
              <w:rPr>
                <w:rFonts w:cs="Times New Roman"/>
                <w:noProof/>
              </w:rPr>
            </w:pPr>
            <w:r>
              <w:rPr>
                <w:noProof/>
              </w:rPr>
              <w:t>Verkkoon liitettyjen ja vuorovaikutteisten digitaalisten laitteiden tarjonta vähintään 300000 opiskelijalle ja laitteistolle vähintään 240000 luokkahuoneessa julkisissa ja julkisesti tuetuissa kouluissa ”digitaalisen kuilun” kuromiseksi umpeen. Tarvikkeide</w:t>
            </w:r>
            <w:r>
              <w:rPr>
                <w:noProof/>
              </w:rPr>
              <w:t>n hankintaa ja toimittamista koskevat valtion- ja aluehallinnon myöntämät todistukset.</w:t>
            </w:r>
          </w:p>
        </w:tc>
      </w:tr>
      <w:tr w:rsidR="000E48CE" w14:paraId="39A90A99" w14:textId="77777777">
        <w:trPr>
          <w:trHeight w:val="309"/>
        </w:trPr>
        <w:tc>
          <w:tcPr>
            <w:tcW w:w="711" w:type="dxa"/>
            <w:shd w:val="clear" w:color="auto" w:fill="C6EFCE"/>
            <w:noWrap/>
          </w:tcPr>
          <w:p w14:paraId="2F0A1F75" w14:textId="77777777" w:rsidR="000E48CE" w:rsidRDefault="00FF4C4E">
            <w:pPr>
              <w:pStyle w:val="P68B1DB1-Normal13"/>
              <w:spacing w:after="0"/>
              <w:jc w:val="center"/>
              <w:rPr>
                <w:rFonts w:eastAsia="Times New Roman" w:cs="Times New Roman"/>
                <w:noProof/>
              </w:rPr>
            </w:pPr>
            <w:r>
              <w:rPr>
                <w:noProof/>
              </w:rPr>
              <w:t>292</w:t>
            </w:r>
          </w:p>
        </w:tc>
        <w:tc>
          <w:tcPr>
            <w:tcW w:w="818" w:type="dxa"/>
            <w:shd w:val="clear" w:color="auto" w:fill="C6EFCE"/>
            <w:noWrap/>
          </w:tcPr>
          <w:p w14:paraId="32658B1F" w14:textId="77777777" w:rsidR="000E48CE" w:rsidRDefault="00FF4C4E">
            <w:pPr>
              <w:pStyle w:val="P68B1DB1-Normal13"/>
              <w:spacing w:after="0"/>
              <w:jc w:val="center"/>
              <w:rPr>
                <w:rFonts w:eastAsia="Times New Roman" w:cs="Times New Roman"/>
                <w:noProof/>
              </w:rPr>
            </w:pPr>
            <w:r>
              <w:rPr>
                <w:noProof/>
              </w:rPr>
              <w:t>C19.I3</w:t>
            </w:r>
          </w:p>
        </w:tc>
        <w:tc>
          <w:tcPr>
            <w:tcW w:w="852" w:type="dxa"/>
            <w:shd w:val="clear" w:color="auto" w:fill="C6EFCE"/>
            <w:noWrap/>
          </w:tcPr>
          <w:p w14:paraId="7C96DFE7" w14:textId="77777777" w:rsidR="000E48CE" w:rsidRDefault="00FF4C4E">
            <w:pPr>
              <w:pStyle w:val="P68B1DB1-Normal13"/>
              <w:spacing w:after="0"/>
              <w:jc w:val="center"/>
              <w:rPr>
                <w:rFonts w:eastAsia="Times New Roman" w:cs="Times New Roman"/>
                <w:noProof/>
              </w:rPr>
            </w:pPr>
            <w:r>
              <w:rPr>
                <w:noProof/>
              </w:rPr>
              <w:t>T</w:t>
            </w:r>
          </w:p>
        </w:tc>
        <w:tc>
          <w:tcPr>
            <w:tcW w:w="2700" w:type="dxa"/>
            <w:shd w:val="clear" w:color="auto" w:fill="C6EFCE"/>
            <w:noWrap/>
          </w:tcPr>
          <w:p w14:paraId="4318913C" w14:textId="77777777" w:rsidR="000E48CE" w:rsidRDefault="00FF4C4E">
            <w:pPr>
              <w:pStyle w:val="P68B1DB1-Normal13"/>
              <w:spacing w:after="0"/>
              <w:rPr>
                <w:rFonts w:eastAsia="Times New Roman" w:cs="Times New Roman"/>
                <w:noProof/>
              </w:rPr>
            </w:pPr>
            <w:r>
              <w:rPr>
                <w:noProof/>
              </w:rPr>
              <w:t>Digitaalinen koulutus työllisyyttä varten</w:t>
            </w:r>
          </w:p>
        </w:tc>
        <w:tc>
          <w:tcPr>
            <w:tcW w:w="1420" w:type="dxa"/>
            <w:shd w:val="clear" w:color="auto" w:fill="C6EFCE"/>
            <w:noWrap/>
          </w:tcPr>
          <w:p w14:paraId="20888F6E" w14:textId="77777777" w:rsidR="000E48CE" w:rsidRDefault="00FF4C4E">
            <w:pPr>
              <w:pStyle w:val="P68B1DB1-Normal13"/>
              <w:spacing w:after="0"/>
              <w:jc w:val="center"/>
              <w:rPr>
                <w:rFonts w:eastAsia="Times New Roman" w:cs="Times New Roman"/>
                <w:noProof/>
              </w:rPr>
            </w:pPr>
            <w:r>
              <w:rPr>
                <w:noProof/>
              </w:rPr>
              <w:t>—</w:t>
            </w:r>
          </w:p>
        </w:tc>
        <w:tc>
          <w:tcPr>
            <w:tcW w:w="853" w:type="dxa"/>
            <w:shd w:val="clear" w:color="auto" w:fill="C6EFCE"/>
            <w:noWrap/>
          </w:tcPr>
          <w:p w14:paraId="31F32044" w14:textId="77777777" w:rsidR="000E48CE" w:rsidRDefault="00FF4C4E">
            <w:pPr>
              <w:pStyle w:val="P68B1DB1-Normal13"/>
              <w:spacing w:after="0"/>
              <w:jc w:val="center"/>
              <w:rPr>
                <w:rFonts w:eastAsia="Times New Roman" w:cs="Times New Roman"/>
                <w:noProof/>
              </w:rPr>
            </w:pPr>
            <w:r>
              <w:rPr>
                <w:noProof/>
              </w:rPr>
              <w:t>Määrä</w:t>
            </w:r>
          </w:p>
        </w:tc>
        <w:tc>
          <w:tcPr>
            <w:tcW w:w="568" w:type="dxa"/>
            <w:shd w:val="clear" w:color="auto" w:fill="C6EFCE"/>
            <w:noWrap/>
          </w:tcPr>
          <w:p w14:paraId="5729981C" w14:textId="77777777" w:rsidR="000E48CE" w:rsidRDefault="00FF4C4E">
            <w:pPr>
              <w:pStyle w:val="P68B1DB1-Normal13"/>
              <w:spacing w:after="0"/>
              <w:jc w:val="center"/>
              <w:rPr>
                <w:rFonts w:eastAsia="Times New Roman" w:cs="Times New Roman"/>
                <w:noProof/>
              </w:rPr>
            </w:pPr>
            <w:r>
              <w:rPr>
                <w:noProof/>
              </w:rPr>
              <w:t>0</w:t>
            </w:r>
          </w:p>
        </w:tc>
        <w:tc>
          <w:tcPr>
            <w:tcW w:w="710" w:type="dxa"/>
            <w:shd w:val="clear" w:color="auto" w:fill="C6EFCE"/>
            <w:noWrap/>
          </w:tcPr>
          <w:p w14:paraId="71BD47FB" w14:textId="3A348229" w:rsidR="000E48CE" w:rsidRDefault="00FF4C4E">
            <w:pPr>
              <w:pStyle w:val="P68B1DB1-Normal13"/>
              <w:spacing w:after="0"/>
              <w:jc w:val="center"/>
              <w:rPr>
                <w:rFonts w:eastAsia="Times New Roman" w:cs="Times New Roman"/>
                <w:noProof/>
              </w:rPr>
            </w:pPr>
            <w:r>
              <w:rPr>
                <w:noProof/>
              </w:rPr>
              <w:t>300 000</w:t>
            </w:r>
          </w:p>
        </w:tc>
        <w:tc>
          <w:tcPr>
            <w:tcW w:w="427" w:type="dxa"/>
            <w:shd w:val="clear" w:color="auto" w:fill="C6EFCE"/>
            <w:noWrap/>
          </w:tcPr>
          <w:p w14:paraId="057F51E9" w14:textId="7EA54AB7" w:rsidR="000E48CE" w:rsidRDefault="00FF4C4E">
            <w:pPr>
              <w:pStyle w:val="P68B1DB1-Normal13"/>
              <w:spacing w:after="0" w:line="240" w:lineRule="auto"/>
              <w:jc w:val="center"/>
              <w:rPr>
                <w:rFonts w:eastAsia="Times New Roman" w:cs="Times New Roman"/>
                <w:noProof/>
              </w:rPr>
            </w:pPr>
            <w:r>
              <w:rPr>
                <w:noProof/>
              </w:rPr>
              <w:t>Q2</w:t>
            </w:r>
          </w:p>
        </w:tc>
        <w:tc>
          <w:tcPr>
            <w:tcW w:w="568" w:type="dxa"/>
            <w:shd w:val="clear" w:color="auto" w:fill="C6EFCE"/>
            <w:noWrap/>
          </w:tcPr>
          <w:p w14:paraId="00761683" w14:textId="263050A2" w:rsidR="000E48CE" w:rsidRDefault="00FF4C4E">
            <w:pPr>
              <w:pStyle w:val="P68B1DB1-Normal13"/>
              <w:spacing w:after="0"/>
              <w:jc w:val="center"/>
              <w:rPr>
                <w:rFonts w:eastAsia="Times New Roman" w:cs="Times New Roman"/>
                <w:noProof/>
              </w:rPr>
            </w:pPr>
            <w:r>
              <w:rPr>
                <w:noProof/>
              </w:rPr>
              <w:t>2026</w:t>
            </w:r>
          </w:p>
        </w:tc>
        <w:tc>
          <w:tcPr>
            <w:tcW w:w="5683" w:type="dxa"/>
            <w:shd w:val="clear" w:color="auto" w:fill="C6EFCE"/>
            <w:noWrap/>
          </w:tcPr>
          <w:p w14:paraId="4D4A6247" w14:textId="0B722362" w:rsidR="000E48CE" w:rsidRDefault="00FF4C4E">
            <w:pPr>
              <w:pStyle w:val="P68B1DB1-Normal13"/>
              <w:spacing w:after="0"/>
              <w:rPr>
                <w:rFonts w:eastAsia="Times New Roman" w:cs="Times New Roman"/>
                <w:noProof/>
              </w:rPr>
            </w:pPr>
            <w:r>
              <w:rPr>
                <w:noProof/>
              </w:rPr>
              <w:t xml:space="preserve">Vähintään 300000 ihmistä osallistui digitaalisia taitoja koskevaan koulutukseen. Kunkin koulutuksen on kestettävä vähintään 150 tuntia. </w:t>
            </w:r>
          </w:p>
        </w:tc>
      </w:tr>
      <w:tr w:rsidR="000E48CE" w14:paraId="62860367" w14:textId="77777777">
        <w:trPr>
          <w:trHeight w:val="309"/>
        </w:trPr>
        <w:tc>
          <w:tcPr>
            <w:tcW w:w="711" w:type="dxa"/>
            <w:shd w:val="clear" w:color="auto" w:fill="C6EFCE"/>
            <w:noWrap/>
          </w:tcPr>
          <w:p w14:paraId="757A7A19" w14:textId="05E6CA17" w:rsidR="000E48CE" w:rsidRDefault="00FF4C4E">
            <w:pPr>
              <w:pStyle w:val="P68B1DB1-Normal13"/>
              <w:spacing w:after="0"/>
              <w:jc w:val="center"/>
              <w:rPr>
                <w:rFonts w:cs="Times New Roman"/>
                <w:noProof/>
              </w:rPr>
            </w:pPr>
            <w:r>
              <w:rPr>
                <w:noProof/>
              </w:rPr>
              <w:t>292a</w:t>
            </w:r>
          </w:p>
        </w:tc>
        <w:tc>
          <w:tcPr>
            <w:tcW w:w="818" w:type="dxa"/>
            <w:shd w:val="clear" w:color="auto" w:fill="C6EFCE"/>
            <w:noWrap/>
          </w:tcPr>
          <w:p w14:paraId="76AB10C2" w14:textId="4FA785CB" w:rsidR="000E48CE" w:rsidRDefault="00FF4C4E">
            <w:pPr>
              <w:pStyle w:val="P68B1DB1-Normal13"/>
              <w:spacing w:after="0"/>
              <w:jc w:val="center"/>
              <w:rPr>
                <w:rFonts w:cs="Times New Roman"/>
                <w:noProof/>
              </w:rPr>
            </w:pPr>
            <w:r>
              <w:rPr>
                <w:noProof/>
              </w:rPr>
              <w:t>C19.I3</w:t>
            </w:r>
          </w:p>
        </w:tc>
        <w:tc>
          <w:tcPr>
            <w:tcW w:w="852" w:type="dxa"/>
            <w:shd w:val="clear" w:color="auto" w:fill="C6EFCE"/>
            <w:noWrap/>
          </w:tcPr>
          <w:p w14:paraId="1BAED019" w14:textId="68C4AB0A" w:rsidR="000E48CE" w:rsidRDefault="00FF4C4E">
            <w:pPr>
              <w:pStyle w:val="P68B1DB1-Normal13"/>
              <w:spacing w:after="0"/>
              <w:jc w:val="center"/>
              <w:rPr>
                <w:rFonts w:cs="Times New Roman"/>
                <w:noProof/>
              </w:rPr>
            </w:pPr>
            <w:r>
              <w:rPr>
                <w:noProof/>
              </w:rPr>
              <w:t>T</w:t>
            </w:r>
          </w:p>
        </w:tc>
        <w:tc>
          <w:tcPr>
            <w:tcW w:w="2700" w:type="dxa"/>
            <w:shd w:val="clear" w:color="auto" w:fill="C6EFCE"/>
            <w:noWrap/>
          </w:tcPr>
          <w:p w14:paraId="1C721F08" w14:textId="62137FC0" w:rsidR="000E48CE" w:rsidRDefault="00FF4C4E">
            <w:pPr>
              <w:pStyle w:val="P68B1DB1-Normal13"/>
              <w:spacing w:after="0"/>
              <w:rPr>
                <w:rFonts w:cs="Times New Roman"/>
                <w:noProof/>
              </w:rPr>
            </w:pPr>
            <w:r>
              <w:rPr>
                <w:noProof/>
              </w:rPr>
              <w:t>Digitaalinen koulutus työympäristössä</w:t>
            </w:r>
          </w:p>
        </w:tc>
        <w:tc>
          <w:tcPr>
            <w:tcW w:w="1420" w:type="dxa"/>
            <w:shd w:val="clear" w:color="auto" w:fill="C6EFCE"/>
            <w:noWrap/>
          </w:tcPr>
          <w:p w14:paraId="611D487A" w14:textId="5D31B60C" w:rsidR="000E48CE" w:rsidRDefault="00FF4C4E">
            <w:pPr>
              <w:pStyle w:val="P68B1DB1-Normal13"/>
              <w:spacing w:after="0"/>
              <w:jc w:val="center"/>
              <w:rPr>
                <w:rFonts w:cs="Times New Roman"/>
                <w:noProof/>
              </w:rPr>
            </w:pPr>
            <w:r>
              <w:rPr>
                <w:noProof/>
              </w:rPr>
              <w:t>—</w:t>
            </w:r>
          </w:p>
        </w:tc>
        <w:tc>
          <w:tcPr>
            <w:tcW w:w="853" w:type="dxa"/>
            <w:shd w:val="clear" w:color="auto" w:fill="C6EFCE"/>
            <w:noWrap/>
          </w:tcPr>
          <w:p w14:paraId="3B72509B" w14:textId="4E11529E" w:rsidR="000E48CE" w:rsidRDefault="00FF4C4E">
            <w:pPr>
              <w:pStyle w:val="P68B1DB1-Normal13"/>
              <w:spacing w:after="0"/>
              <w:jc w:val="center"/>
              <w:rPr>
                <w:rFonts w:cs="Times New Roman"/>
                <w:noProof/>
              </w:rPr>
            </w:pPr>
            <w:r>
              <w:rPr>
                <w:noProof/>
              </w:rPr>
              <w:t>Miljoonaa euroa</w:t>
            </w:r>
          </w:p>
        </w:tc>
        <w:tc>
          <w:tcPr>
            <w:tcW w:w="568" w:type="dxa"/>
            <w:shd w:val="clear" w:color="auto" w:fill="C6EFCE"/>
            <w:noWrap/>
          </w:tcPr>
          <w:p w14:paraId="2B8B0D72" w14:textId="4CE8B428" w:rsidR="000E48CE" w:rsidRDefault="00FF4C4E">
            <w:pPr>
              <w:pStyle w:val="P68B1DB1-Normal13"/>
              <w:spacing w:after="0"/>
              <w:jc w:val="center"/>
              <w:rPr>
                <w:rFonts w:cs="Times New Roman"/>
                <w:noProof/>
              </w:rPr>
            </w:pPr>
            <w:r>
              <w:rPr>
                <w:noProof/>
              </w:rPr>
              <w:t>0</w:t>
            </w:r>
          </w:p>
        </w:tc>
        <w:tc>
          <w:tcPr>
            <w:tcW w:w="710" w:type="dxa"/>
            <w:shd w:val="clear" w:color="auto" w:fill="C6EFCE"/>
            <w:noWrap/>
          </w:tcPr>
          <w:p w14:paraId="108F9EAA" w14:textId="0DA11FBA" w:rsidR="000E48CE" w:rsidRDefault="00FF4C4E">
            <w:pPr>
              <w:pStyle w:val="P68B1DB1-Normal13"/>
              <w:spacing w:after="0"/>
              <w:jc w:val="center"/>
              <w:rPr>
                <w:rFonts w:cs="Times New Roman"/>
                <w:noProof/>
              </w:rPr>
            </w:pPr>
            <w:r>
              <w:rPr>
                <w:noProof/>
              </w:rPr>
              <w:t>310</w:t>
            </w:r>
          </w:p>
        </w:tc>
        <w:tc>
          <w:tcPr>
            <w:tcW w:w="427" w:type="dxa"/>
            <w:shd w:val="clear" w:color="auto" w:fill="C6EFCE"/>
            <w:noWrap/>
          </w:tcPr>
          <w:p w14:paraId="70C6A7D6" w14:textId="10AEB1EA" w:rsidR="000E48CE" w:rsidRDefault="00FF4C4E">
            <w:pPr>
              <w:pStyle w:val="P68B1DB1-Normal13"/>
              <w:spacing w:after="0" w:line="240" w:lineRule="auto"/>
              <w:jc w:val="center"/>
              <w:rPr>
                <w:rFonts w:cs="Times New Roman"/>
                <w:noProof/>
              </w:rPr>
            </w:pPr>
            <w:r>
              <w:rPr>
                <w:noProof/>
              </w:rPr>
              <w:t>Q2</w:t>
            </w:r>
          </w:p>
        </w:tc>
        <w:tc>
          <w:tcPr>
            <w:tcW w:w="568" w:type="dxa"/>
            <w:shd w:val="clear" w:color="auto" w:fill="C6EFCE"/>
            <w:noWrap/>
          </w:tcPr>
          <w:p w14:paraId="1021B2E8" w14:textId="0F50FBF7" w:rsidR="000E48CE" w:rsidRDefault="00FF4C4E">
            <w:pPr>
              <w:pStyle w:val="P68B1DB1-Normal13"/>
              <w:spacing w:after="0"/>
              <w:jc w:val="center"/>
              <w:rPr>
                <w:rFonts w:cs="Times New Roman"/>
                <w:noProof/>
              </w:rPr>
            </w:pPr>
            <w:r>
              <w:rPr>
                <w:noProof/>
              </w:rPr>
              <w:t>2026</w:t>
            </w:r>
          </w:p>
        </w:tc>
        <w:tc>
          <w:tcPr>
            <w:tcW w:w="5683" w:type="dxa"/>
            <w:shd w:val="clear" w:color="auto" w:fill="C6EFCE"/>
            <w:noWrap/>
          </w:tcPr>
          <w:p w14:paraId="77D932FD" w14:textId="06EAB83D" w:rsidR="000E48CE" w:rsidRDefault="00FF4C4E">
            <w:pPr>
              <w:pStyle w:val="P68B1DB1-Normal13"/>
              <w:spacing w:after="0"/>
              <w:rPr>
                <w:rFonts w:cs="Times New Roman"/>
                <w:noProof/>
              </w:rPr>
            </w:pPr>
            <w:r>
              <w:rPr>
                <w:noProof/>
              </w:rPr>
              <w:t xml:space="preserve">Vähintään 310 miljoonan euron </w:t>
            </w:r>
            <w:r>
              <w:rPr>
                <w:noProof/>
              </w:rPr>
              <w:t>kokonaisbudjetti on vähintään 310 miljoonaa euroa. Kunkin koulutuksen on kestettävä vähintään 25 tuntia.</w:t>
            </w:r>
          </w:p>
        </w:tc>
      </w:tr>
      <w:tr w:rsidR="000E48CE" w14:paraId="3813BF75" w14:textId="77777777">
        <w:trPr>
          <w:trHeight w:val="309"/>
        </w:trPr>
        <w:tc>
          <w:tcPr>
            <w:tcW w:w="711" w:type="dxa"/>
            <w:tcBorders>
              <w:top w:val="single" w:sz="4" w:space="0" w:color="auto"/>
              <w:left w:val="single" w:sz="4" w:space="0" w:color="auto"/>
              <w:bottom w:val="single" w:sz="4" w:space="0" w:color="auto"/>
              <w:right w:val="single" w:sz="4" w:space="0" w:color="auto"/>
            </w:tcBorders>
            <w:shd w:val="clear" w:color="auto" w:fill="C6EFCE"/>
            <w:noWrap/>
          </w:tcPr>
          <w:p w14:paraId="2508557E" w14:textId="77777777" w:rsidR="000E48CE" w:rsidRDefault="00FF4C4E">
            <w:pPr>
              <w:pStyle w:val="P68B1DB1-Normal13"/>
              <w:spacing w:after="0" w:line="240" w:lineRule="auto"/>
              <w:jc w:val="center"/>
              <w:rPr>
                <w:rFonts w:cs="Times New Roman"/>
                <w:noProof/>
              </w:rPr>
            </w:pPr>
            <w:r>
              <w:rPr>
                <w:noProof/>
              </w:rPr>
              <w:t>293</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4BC4884E" w14:textId="77777777" w:rsidR="000E48CE" w:rsidRDefault="00FF4C4E">
            <w:pPr>
              <w:pStyle w:val="P68B1DB1-Normal13"/>
              <w:spacing w:after="0" w:line="240" w:lineRule="auto"/>
              <w:jc w:val="center"/>
              <w:rPr>
                <w:rFonts w:cs="Times New Roman"/>
                <w:noProof/>
              </w:rPr>
            </w:pPr>
            <w:r>
              <w:rPr>
                <w:noProof/>
              </w:rPr>
              <w:t>C19.I4</w:t>
            </w:r>
          </w:p>
        </w:tc>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4DAE07C1" w14:textId="77777777" w:rsidR="000E48CE" w:rsidRDefault="00FF4C4E">
            <w:pPr>
              <w:pStyle w:val="P68B1DB1-Normal13"/>
              <w:spacing w:after="0" w:line="240" w:lineRule="auto"/>
              <w:jc w:val="center"/>
              <w:rPr>
                <w:rFonts w:cs="Times New Roman"/>
                <w:noProof/>
              </w:rPr>
            </w:pPr>
            <w:r>
              <w:rPr>
                <w:noProof/>
              </w:rPr>
              <w:t>T</w:t>
            </w:r>
          </w:p>
        </w:tc>
        <w:tc>
          <w:tcPr>
            <w:tcW w:w="2700" w:type="dxa"/>
            <w:tcBorders>
              <w:top w:val="single" w:sz="4" w:space="0" w:color="auto"/>
              <w:left w:val="single" w:sz="4" w:space="0" w:color="auto"/>
              <w:bottom w:val="single" w:sz="4" w:space="0" w:color="auto"/>
              <w:right w:val="single" w:sz="4" w:space="0" w:color="auto"/>
            </w:tcBorders>
            <w:shd w:val="clear" w:color="auto" w:fill="C6EFCE"/>
            <w:noWrap/>
          </w:tcPr>
          <w:p w14:paraId="286C54C7" w14:textId="77777777" w:rsidR="000E48CE" w:rsidRDefault="00FF4C4E">
            <w:pPr>
              <w:pStyle w:val="P68B1DB1-Normal13"/>
              <w:spacing w:after="0" w:line="240" w:lineRule="auto"/>
              <w:rPr>
                <w:rFonts w:cs="Times New Roman"/>
                <w:noProof/>
              </w:rPr>
            </w:pPr>
            <w:r>
              <w:rPr>
                <w:noProof/>
              </w:rPr>
              <w:t xml:space="preserve">Stipendiohjelmat digitaalisille lahjakkuuksille </w:t>
            </w:r>
          </w:p>
        </w:tc>
        <w:tc>
          <w:tcPr>
            <w:tcW w:w="1420" w:type="dxa"/>
            <w:tcBorders>
              <w:top w:val="single" w:sz="4" w:space="0" w:color="auto"/>
              <w:left w:val="single" w:sz="4" w:space="0" w:color="auto"/>
              <w:bottom w:val="single" w:sz="4" w:space="0" w:color="auto"/>
              <w:right w:val="single" w:sz="4" w:space="0" w:color="auto"/>
            </w:tcBorders>
            <w:shd w:val="clear" w:color="auto" w:fill="C6EFCE"/>
            <w:noWrap/>
          </w:tcPr>
          <w:p w14:paraId="5EFD0BB7" w14:textId="77777777" w:rsidR="000E48CE" w:rsidRDefault="00FF4C4E">
            <w:pPr>
              <w:pStyle w:val="P68B1DB1-Normal13"/>
              <w:spacing w:after="0" w:line="240" w:lineRule="auto"/>
              <w:jc w:val="center"/>
              <w:rPr>
                <w:rFonts w:cs="Times New Roman"/>
                <w:noProof/>
              </w:rPr>
            </w:pPr>
            <w:r>
              <w:rPr>
                <w:noProof/>
              </w:rPr>
              <w:t>—</w:t>
            </w:r>
          </w:p>
        </w:tc>
        <w:tc>
          <w:tcPr>
            <w:tcW w:w="853" w:type="dxa"/>
            <w:tcBorders>
              <w:top w:val="single" w:sz="4" w:space="0" w:color="auto"/>
              <w:left w:val="single" w:sz="4" w:space="0" w:color="auto"/>
              <w:bottom w:val="single" w:sz="4" w:space="0" w:color="auto"/>
              <w:right w:val="single" w:sz="4" w:space="0" w:color="auto"/>
            </w:tcBorders>
            <w:shd w:val="clear" w:color="auto" w:fill="C6EFCE"/>
            <w:noWrap/>
          </w:tcPr>
          <w:p w14:paraId="2CB758E1" w14:textId="77777777" w:rsidR="000E48CE" w:rsidRDefault="00FF4C4E">
            <w:pPr>
              <w:pStyle w:val="P68B1DB1-Normal13"/>
              <w:spacing w:after="0" w:line="240" w:lineRule="auto"/>
              <w:jc w:val="center"/>
              <w:rPr>
                <w:rFonts w:cs="Times New Roman"/>
                <w:noProof/>
              </w:rPr>
            </w:pPr>
            <w:r>
              <w:rPr>
                <w:noProof/>
              </w:rPr>
              <w:t>Määrä</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10D96AB6" w14:textId="77777777" w:rsidR="000E48CE" w:rsidRDefault="00FF4C4E">
            <w:pPr>
              <w:pStyle w:val="P68B1DB1-Normal13"/>
              <w:spacing w:after="0" w:line="240" w:lineRule="auto"/>
              <w:jc w:val="center"/>
              <w:rPr>
                <w:rFonts w:cs="Times New Roman"/>
                <w:noProof/>
              </w:rPr>
            </w:pPr>
            <w:r>
              <w:rPr>
                <w:noProof/>
              </w:rPr>
              <w:t>0</w:t>
            </w:r>
          </w:p>
        </w:tc>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7FDF79B7" w14:textId="77777777" w:rsidR="000E48CE" w:rsidRDefault="00FF4C4E">
            <w:pPr>
              <w:pStyle w:val="P68B1DB1-Normal13"/>
              <w:spacing w:after="0" w:line="240" w:lineRule="auto"/>
              <w:jc w:val="center"/>
              <w:rPr>
                <w:rFonts w:cs="Times New Roman"/>
                <w:noProof/>
              </w:rPr>
            </w:pPr>
            <w:r>
              <w:rPr>
                <w:noProof/>
              </w:rPr>
              <w:t>300</w:t>
            </w:r>
          </w:p>
        </w:tc>
        <w:tc>
          <w:tcPr>
            <w:tcW w:w="427" w:type="dxa"/>
            <w:tcBorders>
              <w:top w:val="single" w:sz="4" w:space="0" w:color="auto"/>
              <w:left w:val="single" w:sz="4" w:space="0" w:color="auto"/>
              <w:bottom w:val="single" w:sz="4" w:space="0" w:color="auto"/>
              <w:right w:val="single" w:sz="4" w:space="0" w:color="auto"/>
            </w:tcBorders>
            <w:shd w:val="clear" w:color="auto" w:fill="C6EFCE"/>
            <w:noWrap/>
          </w:tcPr>
          <w:p w14:paraId="3B4D6B20" w14:textId="77777777" w:rsidR="000E48CE" w:rsidRDefault="00FF4C4E">
            <w:pPr>
              <w:pStyle w:val="P68B1DB1-Normal13"/>
              <w:spacing w:after="0" w:line="240" w:lineRule="auto"/>
              <w:jc w:val="center"/>
              <w:rPr>
                <w:rFonts w:cs="Times New Roman"/>
                <w:noProof/>
              </w:rPr>
            </w:pPr>
            <w:r>
              <w:rPr>
                <w:noProof/>
              </w:rPr>
              <w:t>Q4</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24137807" w14:textId="77777777" w:rsidR="000E48CE" w:rsidRDefault="00FF4C4E">
            <w:pPr>
              <w:pStyle w:val="P68B1DB1-Normal13"/>
              <w:spacing w:after="0" w:line="240" w:lineRule="auto"/>
              <w:jc w:val="center"/>
              <w:rPr>
                <w:rFonts w:cs="Times New Roman"/>
                <w:noProof/>
              </w:rPr>
            </w:pPr>
            <w:r>
              <w:rPr>
                <w:noProof/>
              </w:rPr>
              <w:t>2024</w:t>
            </w:r>
          </w:p>
        </w:tc>
        <w:tc>
          <w:tcPr>
            <w:tcW w:w="5683" w:type="dxa"/>
            <w:tcBorders>
              <w:top w:val="single" w:sz="4" w:space="0" w:color="auto"/>
              <w:left w:val="single" w:sz="4" w:space="0" w:color="auto"/>
              <w:bottom w:val="single" w:sz="4" w:space="0" w:color="auto"/>
              <w:right w:val="single" w:sz="4" w:space="0" w:color="auto"/>
            </w:tcBorders>
            <w:shd w:val="clear" w:color="auto" w:fill="C6EFCE"/>
            <w:noWrap/>
          </w:tcPr>
          <w:p w14:paraId="19F07060" w14:textId="77777777" w:rsidR="000E48CE" w:rsidRDefault="00FF4C4E">
            <w:pPr>
              <w:pStyle w:val="P68B1DB1-Normal13"/>
              <w:spacing w:after="0" w:line="240" w:lineRule="auto"/>
              <w:rPr>
                <w:rFonts w:cs="Times New Roman"/>
                <w:noProof/>
              </w:rPr>
            </w:pPr>
            <w:r>
              <w:rPr>
                <w:noProof/>
              </w:rPr>
              <w:t xml:space="preserve">Vähintään 300 saajalle myönnettiin stipendiohjelmia digitaalisten </w:t>
            </w:r>
            <w:r>
              <w:rPr>
                <w:noProof/>
              </w:rPr>
              <w:t>lahjakkuuksien houkuttelemiseksi ja säilyttämiseksi (kumulatiiviset 2021–2024). Kussakin ohjelmassa on oltava vähintään 240 ECTS-järjestelmää.</w:t>
            </w:r>
          </w:p>
        </w:tc>
      </w:tr>
      <w:tr w:rsidR="000E48CE" w14:paraId="3139313E" w14:textId="77777777">
        <w:trPr>
          <w:trHeight w:val="309"/>
        </w:trPr>
        <w:tc>
          <w:tcPr>
            <w:tcW w:w="711" w:type="dxa"/>
            <w:shd w:val="clear" w:color="auto" w:fill="C6EFCE"/>
            <w:noWrap/>
          </w:tcPr>
          <w:p w14:paraId="68A4C843" w14:textId="77777777" w:rsidR="000E48CE" w:rsidRDefault="00FF4C4E">
            <w:pPr>
              <w:pStyle w:val="P68B1DB1-Normal13"/>
              <w:spacing w:after="0" w:line="240" w:lineRule="auto"/>
              <w:jc w:val="center"/>
              <w:rPr>
                <w:rFonts w:cs="Times New Roman"/>
                <w:noProof/>
              </w:rPr>
            </w:pPr>
            <w:r>
              <w:rPr>
                <w:noProof/>
              </w:rPr>
              <w:t>294</w:t>
            </w:r>
          </w:p>
        </w:tc>
        <w:tc>
          <w:tcPr>
            <w:tcW w:w="818" w:type="dxa"/>
            <w:shd w:val="clear" w:color="auto" w:fill="C6EFCE"/>
            <w:noWrap/>
          </w:tcPr>
          <w:p w14:paraId="14A3AD9A" w14:textId="77777777" w:rsidR="000E48CE" w:rsidRDefault="00FF4C4E">
            <w:pPr>
              <w:pStyle w:val="P68B1DB1-Normal13"/>
              <w:spacing w:after="0" w:line="240" w:lineRule="auto"/>
              <w:jc w:val="center"/>
              <w:rPr>
                <w:rFonts w:cs="Times New Roman"/>
                <w:noProof/>
              </w:rPr>
            </w:pPr>
            <w:r>
              <w:rPr>
                <w:noProof/>
              </w:rPr>
              <w:t>C19.I4</w:t>
            </w:r>
          </w:p>
        </w:tc>
        <w:tc>
          <w:tcPr>
            <w:tcW w:w="852" w:type="dxa"/>
            <w:shd w:val="clear" w:color="auto" w:fill="C6EFCE"/>
            <w:noWrap/>
          </w:tcPr>
          <w:p w14:paraId="664798B4" w14:textId="77777777" w:rsidR="000E48CE" w:rsidRDefault="00FF4C4E">
            <w:pPr>
              <w:pStyle w:val="P68B1DB1-Normal13"/>
              <w:spacing w:after="0" w:line="240" w:lineRule="auto"/>
              <w:jc w:val="center"/>
              <w:rPr>
                <w:rFonts w:cs="Times New Roman"/>
                <w:noProof/>
              </w:rPr>
            </w:pPr>
            <w:r>
              <w:rPr>
                <w:noProof/>
              </w:rPr>
              <w:t>T</w:t>
            </w:r>
          </w:p>
        </w:tc>
        <w:tc>
          <w:tcPr>
            <w:tcW w:w="2700" w:type="dxa"/>
            <w:shd w:val="clear" w:color="auto" w:fill="C6EFCE"/>
            <w:noWrap/>
          </w:tcPr>
          <w:p w14:paraId="63BA0E3A" w14:textId="77777777" w:rsidR="000E48CE" w:rsidRDefault="00FF4C4E">
            <w:pPr>
              <w:pStyle w:val="P68B1DB1-Normal13"/>
              <w:spacing w:after="0" w:line="240" w:lineRule="auto"/>
              <w:rPr>
                <w:rFonts w:cs="Times New Roman"/>
                <w:noProof/>
              </w:rPr>
            </w:pPr>
            <w:r>
              <w:rPr>
                <w:noProof/>
              </w:rPr>
              <w:t>Tietotekniikka-alan ammattilaisten koulutus</w:t>
            </w:r>
          </w:p>
        </w:tc>
        <w:tc>
          <w:tcPr>
            <w:tcW w:w="1420" w:type="dxa"/>
            <w:shd w:val="clear" w:color="auto" w:fill="C6EFCE"/>
            <w:noWrap/>
          </w:tcPr>
          <w:p w14:paraId="73C0A2EE" w14:textId="77777777" w:rsidR="000E48CE" w:rsidRDefault="00FF4C4E">
            <w:pPr>
              <w:pStyle w:val="P68B1DB1-Normal13"/>
              <w:spacing w:after="0" w:line="240" w:lineRule="auto"/>
              <w:jc w:val="center"/>
              <w:rPr>
                <w:rFonts w:cs="Times New Roman"/>
                <w:noProof/>
              </w:rPr>
            </w:pPr>
            <w:r>
              <w:rPr>
                <w:noProof/>
              </w:rPr>
              <w:t> </w:t>
            </w:r>
          </w:p>
        </w:tc>
        <w:tc>
          <w:tcPr>
            <w:tcW w:w="853" w:type="dxa"/>
            <w:shd w:val="clear" w:color="auto" w:fill="C6EFCE"/>
            <w:noWrap/>
          </w:tcPr>
          <w:p w14:paraId="403778D3" w14:textId="77777777" w:rsidR="000E48CE" w:rsidRDefault="00FF4C4E">
            <w:pPr>
              <w:pStyle w:val="P68B1DB1-Normal13"/>
              <w:spacing w:after="0" w:line="240" w:lineRule="auto"/>
              <w:jc w:val="center"/>
              <w:rPr>
                <w:rFonts w:cs="Times New Roman"/>
                <w:noProof/>
              </w:rPr>
            </w:pPr>
            <w:r>
              <w:rPr>
                <w:noProof/>
              </w:rPr>
              <w:t>Määrä</w:t>
            </w:r>
          </w:p>
        </w:tc>
        <w:tc>
          <w:tcPr>
            <w:tcW w:w="568" w:type="dxa"/>
            <w:shd w:val="clear" w:color="auto" w:fill="C6EFCE"/>
            <w:noWrap/>
          </w:tcPr>
          <w:p w14:paraId="2B2313F1" w14:textId="77777777" w:rsidR="000E48CE" w:rsidRDefault="00FF4C4E">
            <w:pPr>
              <w:pStyle w:val="P68B1DB1-Normal13"/>
              <w:spacing w:after="0" w:line="240" w:lineRule="auto"/>
              <w:jc w:val="center"/>
              <w:rPr>
                <w:rFonts w:cs="Times New Roman"/>
                <w:noProof/>
              </w:rPr>
            </w:pPr>
            <w:r>
              <w:rPr>
                <w:noProof/>
              </w:rPr>
              <w:t>0</w:t>
            </w:r>
          </w:p>
        </w:tc>
        <w:tc>
          <w:tcPr>
            <w:tcW w:w="710" w:type="dxa"/>
            <w:shd w:val="clear" w:color="auto" w:fill="C6EFCE"/>
            <w:noWrap/>
          </w:tcPr>
          <w:p w14:paraId="7BC0BD7E" w14:textId="77777777" w:rsidR="000E48CE" w:rsidRDefault="00FF4C4E">
            <w:pPr>
              <w:pStyle w:val="P68B1DB1-Normal13"/>
              <w:spacing w:after="0" w:line="240" w:lineRule="auto"/>
              <w:jc w:val="center"/>
              <w:rPr>
                <w:rFonts w:cs="Times New Roman"/>
                <w:noProof/>
              </w:rPr>
            </w:pPr>
            <w:r>
              <w:rPr>
                <w:noProof/>
              </w:rPr>
              <w:t>18 000</w:t>
            </w:r>
          </w:p>
        </w:tc>
        <w:tc>
          <w:tcPr>
            <w:tcW w:w="427" w:type="dxa"/>
            <w:shd w:val="clear" w:color="auto" w:fill="C6EFCE"/>
            <w:noWrap/>
          </w:tcPr>
          <w:p w14:paraId="2C328CC7" w14:textId="77777777" w:rsidR="000E48CE" w:rsidRDefault="00FF4C4E">
            <w:pPr>
              <w:pStyle w:val="P68B1DB1-Normal13"/>
              <w:spacing w:after="0" w:line="240" w:lineRule="auto"/>
              <w:jc w:val="center"/>
              <w:rPr>
                <w:rFonts w:cs="Times New Roman"/>
                <w:noProof/>
              </w:rPr>
            </w:pPr>
            <w:r>
              <w:rPr>
                <w:noProof/>
              </w:rPr>
              <w:t>Q4</w:t>
            </w:r>
          </w:p>
        </w:tc>
        <w:tc>
          <w:tcPr>
            <w:tcW w:w="568" w:type="dxa"/>
            <w:shd w:val="clear" w:color="auto" w:fill="C6EFCE"/>
            <w:noWrap/>
          </w:tcPr>
          <w:p w14:paraId="2A4F6777" w14:textId="77777777" w:rsidR="000E48CE" w:rsidRDefault="00FF4C4E">
            <w:pPr>
              <w:pStyle w:val="P68B1DB1-Normal13"/>
              <w:spacing w:after="0" w:line="240" w:lineRule="auto"/>
              <w:jc w:val="center"/>
              <w:rPr>
                <w:rFonts w:cs="Times New Roman"/>
                <w:noProof/>
              </w:rPr>
            </w:pPr>
            <w:r>
              <w:rPr>
                <w:noProof/>
              </w:rPr>
              <w:t>2025</w:t>
            </w:r>
          </w:p>
        </w:tc>
        <w:tc>
          <w:tcPr>
            <w:tcW w:w="5683" w:type="dxa"/>
            <w:shd w:val="clear" w:color="auto" w:fill="C6EFCE"/>
            <w:noWrap/>
          </w:tcPr>
          <w:p w14:paraId="43410A69" w14:textId="77777777" w:rsidR="000E48CE" w:rsidRDefault="00FF4C4E">
            <w:pPr>
              <w:pStyle w:val="P68B1DB1-Normal13"/>
              <w:spacing w:after="0" w:line="240" w:lineRule="auto"/>
              <w:rPr>
                <w:rFonts w:cs="Times New Roman"/>
                <w:noProof/>
              </w:rPr>
            </w:pPr>
            <w:r>
              <w:rPr>
                <w:noProof/>
              </w:rPr>
              <w:t xml:space="preserve">Vähintään 18000 tietotekniikan ammattilaista, jotka ovat saaneet koulutusta vähintään 250 tuntia kestävillä erikoiskursseilla. </w:t>
            </w:r>
          </w:p>
        </w:tc>
      </w:tr>
    </w:tbl>
    <w:p w14:paraId="7A22DBDB" w14:textId="77777777" w:rsidR="000E48CE" w:rsidRDefault="000E48CE">
      <w:pPr>
        <w:spacing w:before="120" w:after="120" w:line="240" w:lineRule="auto"/>
        <w:ind w:left="709"/>
        <w:jc w:val="both"/>
        <w:rPr>
          <w:rFonts w:ascii="Times New Roman" w:hAnsi="Times New Roman" w:cs="Times New Roman"/>
          <w:noProof/>
          <w:sz w:val="24"/>
        </w:rPr>
      </w:pPr>
    </w:p>
    <w:p w14:paraId="26595393" w14:textId="77777777" w:rsidR="000E48CE" w:rsidRDefault="000E48CE">
      <w:pPr>
        <w:spacing w:before="120" w:after="120" w:line="240" w:lineRule="auto"/>
        <w:ind w:left="709"/>
        <w:jc w:val="both"/>
        <w:rPr>
          <w:rFonts w:ascii="Times New Roman" w:hAnsi="Times New Roman" w:cs="Times New Roman"/>
          <w:noProof/>
          <w:sz w:val="24"/>
        </w:rPr>
      </w:pPr>
    </w:p>
    <w:p w14:paraId="4BE80159" w14:textId="77777777" w:rsidR="000E48CE" w:rsidRDefault="000E48CE">
      <w:pPr>
        <w:spacing w:before="120" w:after="120" w:line="240" w:lineRule="auto"/>
        <w:ind w:left="709"/>
        <w:jc w:val="both"/>
        <w:rPr>
          <w:rFonts w:ascii="Times New Roman" w:hAnsi="Times New Roman" w:cs="Times New Roman"/>
          <w:noProof/>
          <w:sz w:val="24"/>
        </w:rPr>
      </w:pPr>
    </w:p>
    <w:p w14:paraId="1E889018" w14:textId="77777777" w:rsidR="000E48CE" w:rsidRDefault="000E48CE">
      <w:pPr>
        <w:spacing w:before="120" w:after="120" w:line="240" w:lineRule="auto"/>
        <w:ind w:left="709"/>
        <w:jc w:val="both"/>
        <w:rPr>
          <w:rFonts w:ascii="Times New Roman" w:hAnsi="Times New Roman" w:cs="Times New Roman"/>
          <w:noProof/>
          <w:sz w:val="24"/>
        </w:rPr>
        <w:sectPr w:rsidR="000E48CE" w:rsidSect="00C94F66">
          <w:headerReference w:type="even" r:id="rId393"/>
          <w:headerReference w:type="default" r:id="rId394"/>
          <w:footerReference w:type="even" r:id="rId395"/>
          <w:footerReference w:type="default" r:id="rId396"/>
          <w:headerReference w:type="first" r:id="rId397"/>
          <w:footerReference w:type="first" r:id="rId398"/>
          <w:pgSz w:w="16839" w:h="11907" w:orient="landscape"/>
          <w:pgMar w:top="1417" w:right="1134" w:bottom="1417" w:left="1134" w:header="709" w:footer="709" w:gutter="0"/>
          <w:cols w:space="720"/>
          <w:docGrid w:linePitch="360"/>
        </w:sectPr>
      </w:pPr>
    </w:p>
    <w:p w14:paraId="780CBD9C" w14:textId="77777777" w:rsidR="000E48CE" w:rsidRDefault="00FF4C4E">
      <w:pPr>
        <w:pStyle w:val="P68B1DB1-Heading12"/>
        <w:rPr>
          <w:rFonts w:cs="Times New Roman"/>
          <w:noProof/>
        </w:rPr>
      </w:pPr>
      <w:r>
        <w:rPr>
          <w:noProof/>
        </w:rPr>
        <w:t xml:space="preserve">T. OSA 20: Strateginen suunnitelma ammatillisen koulutuksen </w:t>
      </w:r>
      <w:r>
        <w:rPr>
          <w:noProof/>
        </w:rPr>
        <w:t>edistämiseksi</w:t>
      </w:r>
    </w:p>
    <w:p w14:paraId="1BD30229" w14:textId="77777777" w:rsidR="000E48CE" w:rsidRDefault="00FF4C4E">
      <w:pPr>
        <w:pStyle w:val="P68B1DB1-Normal4"/>
        <w:spacing w:before="120" w:after="120" w:line="240" w:lineRule="auto"/>
        <w:jc w:val="both"/>
        <w:rPr>
          <w:rFonts w:cs="Times New Roman"/>
          <w:noProof/>
        </w:rPr>
      </w:pPr>
      <w:r>
        <w:rPr>
          <w:noProof/>
        </w:rPr>
        <w:t>Espanjan elpymis- ja palautumissuunnitelman osa-alueella pyritään muuttamaan ja nykyaikaistamaan ammatillisen koulutuksen järjestelmää ja mukauttamaan se vastaamaan talouden tuotantoalojen muutoksiin. Tätä varten osa-alueella pyritään paranta</w:t>
      </w:r>
      <w:r>
        <w:rPr>
          <w:noProof/>
        </w:rPr>
        <w:t xml:space="preserve">maan työntekijöiden työllistettävyyttä ja ammatillista liikkuvuutta sekä lisäämään tuottavuutta ja kilpailukykyä. </w:t>
      </w:r>
    </w:p>
    <w:p w14:paraId="0906955F" w14:textId="77777777" w:rsidR="000E48CE" w:rsidRDefault="00FF4C4E">
      <w:pPr>
        <w:pStyle w:val="P68B1DB1-Normal4"/>
        <w:spacing w:before="120" w:after="120" w:line="240" w:lineRule="auto"/>
        <w:jc w:val="both"/>
        <w:rPr>
          <w:rFonts w:cs="Times New Roman"/>
          <w:noProof/>
        </w:rPr>
      </w:pPr>
      <w:r>
        <w:rPr>
          <w:noProof/>
        </w:rPr>
        <w:t>Nykyiseen osaamisen kohtaanto-ongelmaan on puututtava, jotta voidaan parantaa väestön koulutustason ja työmarkkinoiden tarpeiden välistä tasa</w:t>
      </w:r>
      <w:r>
        <w:rPr>
          <w:noProof/>
        </w:rPr>
        <w:t>painoa, erityisesti tukemalla matalan osaamistason työntekijöiden täydennys- ja uudelleenkoulutusta.  Erityistä huomiota on kiinnitettävä teknisiin ja digitaalisiin taitoihin, sukupuolten välisen osaamisvajeen poistamiseen ja korkea-asteen ammatillisen kou</w:t>
      </w:r>
      <w:r>
        <w:rPr>
          <w:noProof/>
        </w:rPr>
        <w:t>lutuksen ohjelmien houkuttelevuuden lisäämiseen osallistumisen parantamiseksi. Osa-alueella on myös edistettävä olemassa olevien taitojen tunnustamista, jotta voidaan avata pääsy uusiin koulutusmahdollisuuksiin ja uusiin pätevyyksiin yhdennetymmässä ammati</w:t>
      </w:r>
      <w:r>
        <w:rPr>
          <w:noProof/>
        </w:rPr>
        <w:t xml:space="preserve">llisen koulutuksen järjestelmässä, joka täydentää sekä oppivelvollisuuskoulun keskeyttäneiden määrää että koko työelämän ajan. </w:t>
      </w:r>
    </w:p>
    <w:p w14:paraId="5C9D1302" w14:textId="77777777" w:rsidR="000E48CE" w:rsidRDefault="00FF4C4E">
      <w:pPr>
        <w:pStyle w:val="P68B1DB1-Normal4"/>
        <w:spacing w:before="120" w:after="120" w:line="240" w:lineRule="auto"/>
        <w:jc w:val="both"/>
        <w:textAlignment w:val="baseline"/>
        <w:rPr>
          <w:rFonts w:eastAsia="Times New Roman" w:cs="Times New Roman"/>
          <w:noProof/>
        </w:rPr>
      </w:pPr>
      <w:r>
        <w:rPr>
          <w:noProof/>
        </w:rPr>
        <w:t>Osa-alueella käsitellään koulunkäynnin keskeyttämisen vähentämiseen liittyviä maakohtaisia suosituksia (maakohtainen suositus 2 </w:t>
      </w:r>
      <w:r>
        <w:rPr>
          <w:noProof/>
        </w:rPr>
        <w:t xml:space="preserve">2019); lisätään koulutuksen ja yritysten välistä yhteistyötä, jotta voidaan parantaa työmarkkinoiden kannalta merkityksellisten taitojen ja pätevyyksien tarjontaa erityisesti tieto- ja viestintätekniikan alalla (maakohtainen suositus 2 2019); työllisyyden </w:t>
      </w:r>
      <w:r>
        <w:rPr>
          <w:noProof/>
        </w:rPr>
        <w:t>tukeminen työpaikkojen säilyttämiseen tähtäävillä toimenpiteillä, tehokkailla kannustimilla rekrytointiin ja osaamisen kehittämiseen (maakohtainen suositus 2 2020); parannetaan digitaalisen oppimisen saatavuutta (maakohtainen suositus 2 2020).</w:t>
      </w:r>
    </w:p>
    <w:p w14:paraId="10EF2818" w14:textId="77777777" w:rsidR="000E48CE" w:rsidRDefault="00FF4C4E">
      <w:pPr>
        <w:pStyle w:val="P68B1DB1-Normal4"/>
        <w:spacing w:before="120" w:after="120" w:line="240" w:lineRule="auto"/>
        <w:jc w:val="both"/>
        <w:textAlignment w:val="baseline"/>
        <w:rPr>
          <w:rFonts w:eastAsia="Times New Roman" w:cs="Times New Roman"/>
          <w:noProof/>
        </w:rPr>
      </w:pPr>
      <w:r>
        <w:rPr>
          <w:noProof/>
        </w:rPr>
        <w:t>Minkään tämä</w:t>
      </w:r>
      <w:r>
        <w:rPr>
          <w:noProof/>
        </w:rPr>
        <w:t>n komponentin toimenpiteen ei odoteta aiheuttavan asetuksen (EU) 2020/852 17 artiklassa tarkoitettua merkittävää haittaa ympäristötavoitteille, kun otetaan huomioon ”ei merkittävää haittaa” -periaatteen soveltamista koskevien teknisten ohjeiden (2021/C58/0</w:t>
      </w:r>
      <w:r>
        <w:rPr>
          <w:noProof/>
        </w:rPr>
        <w:t>1) mukaiset elpymis- ja palautumissuunnitelmassa esitettyjen toimenpiteiden kuvaus ja lieventävät toimet.</w:t>
      </w:r>
    </w:p>
    <w:p w14:paraId="41E1D791" w14:textId="77777777" w:rsidR="000E48CE" w:rsidRDefault="00FF4C4E">
      <w:pPr>
        <w:pStyle w:val="P68B1DB1-Normal5"/>
        <w:spacing w:before="120" w:after="120" w:line="240" w:lineRule="auto"/>
        <w:ind w:left="709"/>
        <w:jc w:val="both"/>
        <w:rPr>
          <w:rFonts w:cs="Times New Roman"/>
          <w:i/>
          <w:noProof/>
        </w:rPr>
      </w:pPr>
      <w:r>
        <w:rPr>
          <w:noProof/>
        </w:rPr>
        <w:t xml:space="preserve">T.1. </w:t>
      </w:r>
      <w:r>
        <w:rPr>
          <w:noProof/>
        </w:rPr>
        <w:tab/>
        <w:t>Kuvaus uudistuksista ja investoinneista, joita rahoitetaan rahoitustuella, jota ei makseta takaisin</w:t>
      </w:r>
    </w:p>
    <w:p w14:paraId="1017AE05" w14:textId="77777777" w:rsidR="000E48CE" w:rsidRDefault="00FF4C4E">
      <w:pPr>
        <w:pStyle w:val="P68B1DB1-Normal23"/>
        <w:spacing w:before="120" w:after="120" w:line="240" w:lineRule="auto"/>
        <w:jc w:val="both"/>
        <w:rPr>
          <w:rFonts w:cs="Times New Roman"/>
          <w:noProof/>
        </w:rPr>
      </w:pPr>
      <w:r>
        <w:rPr>
          <w:noProof/>
        </w:rPr>
        <w:t>Uudistus 1 (C20.R1) – Ammatillisen koulutuks</w:t>
      </w:r>
      <w:r>
        <w:rPr>
          <w:noProof/>
        </w:rPr>
        <w:t xml:space="preserve">en nykyaikaistamissuunnitelma </w:t>
      </w:r>
    </w:p>
    <w:p w14:paraId="777BAF35" w14:textId="77777777" w:rsidR="000E48CE" w:rsidRDefault="00FF4C4E">
      <w:pPr>
        <w:pStyle w:val="P68B1DB1-Normal4"/>
        <w:spacing w:before="120" w:after="120" w:line="240" w:lineRule="auto"/>
        <w:jc w:val="both"/>
        <w:rPr>
          <w:rFonts w:cs="Times New Roman"/>
          <w:noProof/>
        </w:rPr>
      </w:pPr>
      <w:r>
        <w:rPr>
          <w:noProof/>
          <w:shd w:val="clear" w:color="auto" w:fill="FFFFFF"/>
        </w:rPr>
        <w:t>Uudistus koostuu ammatillisen koulutuksen nykyaikaistamista koskevan suunnitelman hyväksymisestä ja täytäntöönpanosta. Suunnitelma esiteltiin 22. heinäkuuta 2020. Sen tavoitteena on varmistaa, että ammatillisen koulutuksen jä</w:t>
      </w:r>
      <w:r>
        <w:rPr>
          <w:noProof/>
          <w:shd w:val="clear" w:color="auto" w:fill="FFFFFF"/>
        </w:rPr>
        <w:t xml:space="preserve">rjestelmä </w:t>
      </w:r>
      <w:r>
        <w:rPr>
          <w:noProof/>
        </w:rPr>
        <w:t xml:space="preserve">vastaa keskitason tutkintoa edellyttäviä työmarkkinoita ja täyttää siten tuotantosektorin (erityisesti </w:t>
      </w:r>
      <w:r>
        <w:rPr>
          <w:noProof/>
          <w:shd w:val="clear" w:color="auto" w:fill="FFFFFF"/>
        </w:rPr>
        <w:t xml:space="preserve">teknikkojen ja ylempien teknikoiden) </w:t>
      </w:r>
      <w:r>
        <w:rPr>
          <w:noProof/>
        </w:rPr>
        <w:t xml:space="preserve">tarpeet ja varmistaa, että ammatillinen koulutus ja pätevyys parantavat työllistymismahdollisuuksia. </w:t>
      </w:r>
      <w:r>
        <w:rPr>
          <w:noProof/>
          <w:shd w:val="clear" w:color="auto" w:fill="FFFFFF"/>
        </w:rPr>
        <w:t>Siinä</w:t>
      </w:r>
      <w:r>
        <w:rPr>
          <w:noProof/>
          <w:shd w:val="clear" w:color="auto" w:fill="FFFFFF"/>
        </w:rPr>
        <w:t xml:space="preserve"> määritellään ammatillinen koulutus keskeiseksi tekijäksi talouden ja yhteiskunnan vauhdittamisessa pandemian jälkimainingeissa.</w:t>
      </w:r>
    </w:p>
    <w:p w14:paraId="5EFD89B3" w14:textId="77777777" w:rsidR="000E48CE" w:rsidRDefault="00FF4C4E">
      <w:pPr>
        <w:pStyle w:val="P68B1DB1-Normal4"/>
        <w:spacing w:before="120" w:after="120" w:line="240" w:lineRule="auto"/>
        <w:jc w:val="both"/>
        <w:rPr>
          <w:rFonts w:cs="Times New Roman"/>
          <w:noProof/>
          <w:shd w:val="clear" w:color="auto" w:fill="FFFFFF"/>
        </w:rPr>
      </w:pPr>
      <w:r>
        <w:rPr>
          <w:noProof/>
          <w:shd w:val="clear" w:color="auto" w:fill="FFFFFF"/>
        </w:rPr>
        <w:t>Suunnitelmassa keskitytään</w:t>
      </w:r>
      <w:r>
        <w:rPr>
          <w:noProof/>
        </w:rPr>
        <w:t xml:space="preserve"> yhden integroidun ammatillisen koulutuksen järjestelmän perustamiseen, joka tarjoaa koulutusta ja am</w:t>
      </w:r>
      <w:r>
        <w:rPr>
          <w:noProof/>
        </w:rPr>
        <w:t>mattipätevyyttä koko väestölle, mukaan lukien koulutusjärjestelmän ammatilliset opiskelijat ja ammatillinen koulutus työllistymistä varten.</w:t>
      </w:r>
      <w:r>
        <w:rPr>
          <w:noProof/>
          <w:shd w:val="clear" w:color="auto" w:fill="FFFFFF"/>
        </w:rPr>
        <w:t xml:space="preserve"> </w:t>
      </w:r>
      <w:r>
        <w:rPr>
          <w:noProof/>
        </w:rPr>
        <w:t>Siinä on pidettävä ammatillista koulutusta tavanomaisena jatkuvana ammatillisen kehityksen osatekijänä kaikille työn</w:t>
      </w:r>
      <w:r>
        <w:rPr>
          <w:noProof/>
        </w:rPr>
        <w:t>tekijöille koko heidän työuransa ajan.</w:t>
      </w:r>
    </w:p>
    <w:p w14:paraId="3F988533" w14:textId="77777777" w:rsidR="000E48CE" w:rsidRDefault="00FF4C4E">
      <w:pPr>
        <w:pStyle w:val="P68B1DB1-Normal22"/>
        <w:spacing w:before="120" w:after="120" w:line="240" w:lineRule="auto"/>
        <w:jc w:val="both"/>
        <w:rPr>
          <w:rFonts w:cs="Times New Roman"/>
          <w:noProof/>
        </w:rPr>
      </w:pPr>
      <w:r>
        <w:rPr>
          <w:noProof/>
        </w:rPr>
        <w:t xml:space="preserve">Suunnitelman tärkein väline on kansallinen ammattipätevyyden luettelo, jota tarkistetaan ja päivitetään muun muassa sisällyttämällä siihen digitaalisen ja vihreän siirtymän soveltaminen. Siihen sisältyy uuden </w:t>
      </w:r>
      <w:r>
        <w:rPr>
          <w:noProof/>
        </w:rPr>
        <w:t>ammatillisen koulutuksen tutkintojen suunnittelu kaikilla aloilla, mutta siinä keskitytään niihin 12 strategiseen alaan, joilla ammatillista koulutusta lisätään alueelliset tarpeet huomioon ottaen.</w:t>
      </w:r>
    </w:p>
    <w:p w14:paraId="593AC1F4" w14:textId="77777777" w:rsidR="000E48CE" w:rsidRDefault="00FF4C4E">
      <w:pPr>
        <w:pStyle w:val="P68B1DB1-Normal4"/>
        <w:spacing w:before="120" w:after="120" w:line="240" w:lineRule="auto"/>
        <w:jc w:val="both"/>
        <w:rPr>
          <w:rFonts w:cs="Times New Roman"/>
          <w:noProof/>
          <w:shd w:val="clear" w:color="auto" w:fill="FFFFFF"/>
        </w:rPr>
      </w:pPr>
      <w:r>
        <w:rPr>
          <w:noProof/>
          <w:shd w:val="clear" w:color="auto" w:fill="FFFFFF"/>
        </w:rPr>
        <w:t>Suunnitelma pannaan täytäntöön hyväksymällä useita kuninka</w:t>
      </w:r>
      <w:r>
        <w:rPr>
          <w:noProof/>
          <w:shd w:val="clear" w:color="auto" w:fill="FFFFFF"/>
        </w:rPr>
        <w:t>an asetuksia</w:t>
      </w:r>
      <w:r>
        <w:rPr>
          <w:noProof/>
        </w:rPr>
        <w:t>, jotka vastaavat uusien opinto-ohjelmien laatimista.</w:t>
      </w:r>
      <w:r>
        <w:rPr>
          <w:noProof/>
          <w:shd w:val="clear" w:color="auto" w:fill="FFFFFF"/>
        </w:rPr>
        <w:t xml:space="preserve"> Vuosina 2021–2023 on tarkoitus ottaa asteittain käyttöön noin 42 uutta tutkintoa, jotka kattavat keski-, korkeakoulu- ja erikoistutkinnot. Uudistukseen sisältyy myös ammatillisen koulutuksen</w:t>
      </w:r>
      <w:r>
        <w:rPr>
          <w:noProof/>
          <w:shd w:val="clear" w:color="auto" w:fill="FFFFFF"/>
        </w:rPr>
        <w:t xml:space="preserve"> tutkintojen säännöllinen uudelleentarkastelu ja tuotantoalojen tarpeisiin vastaavien uusien ammatillisen koulutuksen tutkintojen suunnittelu keskittyen erityisesti ammatillisen koulutuksen strategisessa suunnitelmassa asetettuihin aloihin. </w:t>
      </w:r>
    </w:p>
    <w:p w14:paraId="3E2F91F8" w14:textId="77777777" w:rsidR="000E48CE" w:rsidRDefault="00FF4C4E">
      <w:pPr>
        <w:pStyle w:val="P68B1DB1-Normal4"/>
        <w:spacing w:before="120" w:after="120" w:line="240" w:lineRule="auto"/>
        <w:jc w:val="both"/>
        <w:rPr>
          <w:rFonts w:cs="Times New Roman"/>
          <w:noProof/>
          <w:shd w:val="clear" w:color="auto" w:fill="FFFFFF"/>
        </w:rPr>
      </w:pPr>
      <w:r>
        <w:rPr>
          <w:noProof/>
          <w:shd w:val="clear" w:color="auto" w:fill="FFFFFF"/>
        </w:rPr>
        <w:t>Suunnitelman m</w:t>
      </w:r>
      <w:r>
        <w:rPr>
          <w:noProof/>
          <w:shd w:val="clear" w:color="auto" w:fill="FFFFFF"/>
        </w:rPr>
        <w:t xml:space="preserve">uihin ensisijaisiin kohtiin sisältyy innovoinnin, soveltavan tutkimuksen, yrittäjyyden, digitalisaation ja kestävyyden sisällyttäminen </w:t>
      </w:r>
      <w:r>
        <w:rPr>
          <w:noProof/>
        </w:rPr>
        <w:t xml:space="preserve">ammatillisen koulutuksen keskeisiksi osatekijöiksi; yritysten sijoittuminen olennaisena osana ammatillista koulutusta ja </w:t>
      </w:r>
      <w:r>
        <w:rPr>
          <w:noProof/>
        </w:rPr>
        <w:t>julkisen ja yksityisen sektorin yhteistyön edistäminen järjestelmässä, erityisesti ammatillisen koulutuksen kaksitahoisuuden edistäminen. Tätä varten</w:t>
      </w:r>
      <w:r>
        <w:rPr>
          <w:noProof/>
          <w:shd w:val="clear" w:color="auto" w:fill="FFFFFF"/>
        </w:rPr>
        <w:t>uudistus perustuu ministeriöiden, yritysten ja työmarkkinaosapuolten yhteiseen työhön talouden edellyttämie</w:t>
      </w:r>
      <w:r>
        <w:rPr>
          <w:noProof/>
          <w:shd w:val="clear" w:color="auto" w:fill="FFFFFF"/>
        </w:rPr>
        <w:t>n taitojen kartoittamiseksi.</w:t>
      </w:r>
    </w:p>
    <w:p w14:paraId="41FFB940"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31 päivään joulukuuta 2020 mennessä.</w:t>
      </w:r>
    </w:p>
    <w:p w14:paraId="0A72A425" w14:textId="77777777" w:rsidR="000E48CE" w:rsidRDefault="00FF4C4E">
      <w:pPr>
        <w:pStyle w:val="P68B1DB1-Normal23"/>
        <w:spacing w:before="120" w:after="120" w:line="240" w:lineRule="auto"/>
        <w:jc w:val="both"/>
        <w:rPr>
          <w:rFonts w:cs="Times New Roman"/>
          <w:noProof/>
        </w:rPr>
      </w:pPr>
      <w:r>
        <w:rPr>
          <w:noProof/>
        </w:rPr>
        <w:t>Uudistus 2 (C20.R2) – Laki, jolla säännellään kansalliseen tutkintojen järjestelmään liittyvää integroitua ammatillisen koulutuksen järje</w:t>
      </w:r>
      <w:r>
        <w:rPr>
          <w:noProof/>
        </w:rPr>
        <w:t xml:space="preserve">stelmää </w:t>
      </w:r>
    </w:p>
    <w:p w14:paraId="6B0FD563" w14:textId="77777777" w:rsidR="000E48CE" w:rsidRDefault="00FF4C4E">
      <w:pPr>
        <w:pStyle w:val="P68B1DB1-Normal4"/>
        <w:spacing w:before="120" w:after="120" w:line="240" w:lineRule="auto"/>
        <w:jc w:val="both"/>
        <w:rPr>
          <w:rFonts w:cs="Times New Roman"/>
          <w:noProof/>
          <w:shd w:val="clear" w:color="auto" w:fill="FFFFFF"/>
        </w:rPr>
      </w:pPr>
      <w:r>
        <w:rPr>
          <w:noProof/>
        </w:rPr>
        <w:t xml:space="preserve">Espanjan on ammatillisen koulutuksen nykyaikaistamissuunnitelman tavoitteiden ja </w:t>
      </w:r>
      <w:r>
        <w:rPr>
          <w:noProof/>
          <w:shd w:val="clear" w:color="auto" w:fill="FFFFFF"/>
        </w:rPr>
        <w:t>kansallisen tutkintojen järjestelmän mukaisesti esitettävä ja hyväksyttävä laki, jolla säännellään yhdennettyä ammatillisen koulutuksen järjestelmää. Uudella lailla y</w:t>
      </w:r>
      <w:r>
        <w:rPr>
          <w:noProof/>
          <w:shd w:val="clear" w:color="auto" w:fill="FFFFFF"/>
        </w:rPr>
        <w:t>hdistetään kaksi nykyistä erillistä ammatillisen koulutuksen järjestelmää, koulutusjärjestelmän ja työllisyyskoulutuksen järjestelmää, yhdeksi järjestelmäksi. Siinä vahvistetaan integroitu elinikäisen oppimisen järjestelmä, joka on tarkoitettu väestölle ka</w:t>
      </w:r>
      <w:r>
        <w:rPr>
          <w:noProof/>
          <w:shd w:val="clear" w:color="auto" w:fill="FFFFFF"/>
        </w:rPr>
        <w:t xml:space="preserve">ikenikäisille ja kaikissa henkilökohtaisissa tai työtilanteissa ja joka tarjoaa täydentäviä ja kumulatiivisia kursseja, jotka johtavat uusiin tutkintoihin. Siihen on myös </w:t>
      </w:r>
      <w:r>
        <w:rPr>
          <w:noProof/>
        </w:rPr>
        <w:t xml:space="preserve">liitettävä suuntaamisprosessi koko elinkaaren ajan. </w:t>
      </w:r>
    </w:p>
    <w:p w14:paraId="597A2EC6" w14:textId="77777777" w:rsidR="000E48CE" w:rsidRDefault="00FF4C4E">
      <w:pPr>
        <w:pStyle w:val="P68B1DB1-Normal4"/>
        <w:spacing w:before="120" w:after="120" w:line="240" w:lineRule="auto"/>
        <w:jc w:val="both"/>
        <w:rPr>
          <w:rFonts w:cs="Times New Roman"/>
          <w:noProof/>
          <w:shd w:val="clear" w:color="auto" w:fill="FFFFFF"/>
        </w:rPr>
      </w:pPr>
      <w:r>
        <w:rPr>
          <w:noProof/>
        </w:rPr>
        <w:t>Valmistelun ensimmäisessä vaihee</w:t>
      </w:r>
      <w:r>
        <w:rPr>
          <w:noProof/>
        </w:rPr>
        <w:t xml:space="preserve">ssa opetus- ja ammattikoulutusministeriö on laatinut lakiehdotuksen työmarkkinaosapuolten ja alueellisten hallitusten yhteisymmärryksessä. </w:t>
      </w:r>
      <w:r>
        <w:rPr>
          <w:noProof/>
          <w:shd w:val="clear" w:color="auto" w:fill="FFFFFF"/>
        </w:rPr>
        <w:t>Ministerineuvoston odotetaan hyväksyvän lakiehdotuksen ennen 31 päivää joulukuuta 2021, ja parlamentti hyväksyy sen v</w:t>
      </w:r>
      <w:r>
        <w:rPr>
          <w:noProof/>
          <w:shd w:val="clear" w:color="auto" w:fill="FFFFFF"/>
        </w:rPr>
        <w:t>iimeistään 30. kesäkuuta 2022.</w:t>
      </w:r>
    </w:p>
    <w:p w14:paraId="3F614CDA" w14:textId="77777777" w:rsidR="000E48CE" w:rsidRDefault="00FF4C4E">
      <w:pPr>
        <w:pStyle w:val="P68B1DB1-Normal4"/>
        <w:spacing w:before="120" w:after="120" w:line="240" w:lineRule="auto"/>
        <w:jc w:val="both"/>
        <w:rPr>
          <w:rFonts w:cs="Times New Roman"/>
          <w:noProof/>
        </w:rPr>
      </w:pPr>
      <w:r>
        <w:rPr>
          <w:noProof/>
        </w:rPr>
        <w:t xml:space="preserve">Lopullisesti hyväksytyllä lailla ja kahden aiemmin voimassa olleen ammatillisen koulutuksen järjestelmän yhdistämisellä pyritään nykyaikaistamaan järjestelmää erityisesti seuraavin keinoin: </w:t>
      </w:r>
    </w:p>
    <w:p w14:paraId="12CE28C1" w14:textId="77777777" w:rsidR="000E48CE" w:rsidRDefault="00FF4C4E">
      <w:pPr>
        <w:pStyle w:val="P68B1DB1-Normal4"/>
        <w:numPr>
          <w:ilvl w:val="0"/>
          <w:numId w:val="135"/>
        </w:numPr>
        <w:spacing w:before="120" w:after="160" w:line="259" w:lineRule="auto"/>
        <w:contextualSpacing/>
        <w:jc w:val="both"/>
        <w:rPr>
          <w:rFonts w:cs="Times New Roman"/>
          <w:noProof/>
        </w:rPr>
      </w:pPr>
      <w:r>
        <w:rPr>
          <w:noProof/>
        </w:rPr>
        <w:t>keskitytään matalan osaamistason t</w:t>
      </w:r>
      <w:r>
        <w:rPr>
          <w:noProof/>
        </w:rPr>
        <w:t xml:space="preserve">yöntekijöiden taitojen parantamiseen ja heidän työllistettävyyteensä; </w:t>
      </w:r>
    </w:p>
    <w:p w14:paraId="09FE3AA0" w14:textId="77777777" w:rsidR="000E48CE" w:rsidRDefault="00FF4C4E">
      <w:pPr>
        <w:pStyle w:val="P68B1DB1-Normal4"/>
        <w:numPr>
          <w:ilvl w:val="0"/>
          <w:numId w:val="135"/>
        </w:numPr>
        <w:spacing w:before="120" w:after="160" w:line="259" w:lineRule="auto"/>
        <w:contextualSpacing/>
        <w:jc w:val="both"/>
        <w:rPr>
          <w:rFonts w:cs="Times New Roman"/>
          <w:noProof/>
        </w:rPr>
      </w:pPr>
      <w:r>
        <w:rPr>
          <w:noProof/>
        </w:rPr>
        <w:t xml:space="preserve">osaamisen kohtaanto-ongelmiin puuttumiseen, </w:t>
      </w:r>
    </w:p>
    <w:p w14:paraId="791BBCAD" w14:textId="77777777" w:rsidR="000E48CE" w:rsidRDefault="00FF4C4E">
      <w:pPr>
        <w:pStyle w:val="P68B1DB1-Normal4"/>
        <w:numPr>
          <w:ilvl w:val="0"/>
          <w:numId w:val="135"/>
        </w:numPr>
        <w:spacing w:before="120" w:after="160" w:line="259" w:lineRule="auto"/>
        <w:contextualSpacing/>
        <w:jc w:val="both"/>
        <w:rPr>
          <w:rFonts w:cs="Times New Roman"/>
          <w:noProof/>
        </w:rPr>
      </w:pPr>
      <w:r>
        <w:rPr>
          <w:noProof/>
        </w:rPr>
        <w:t xml:space="preserve">ammattipätevyyden tunnustamista koskevan kansallisen luettelon saattaminen ajan tasalle ja sen mukauttaminen talouden tuleviin tarpeisiin, </w:t>
      </w:r>
      <w:r>
        <w:rPr>
          <w:noProof/>
        </w:rPr>
        <w:t>mukaan lukien vihreän ja digitaalisen siirtymän tukeminen; ja</w:t>
      </w:r>
    </w:p>
    <w:p w14:paraId="38222DA9" w14:textId="77777777" w:rsidR="000E48CE" w:rsidRDefault="00FF4C4E">
      <w:pPr>
        <w:pStyle w:val="P68B1DB1-Normal4"/>
        <w:numPr>
          <w:ilvl w:val="0"/>
          <w:numId w:val="135"/>
        </w:numPr>
        <w:spacing w:before="120" w:after="160" w:line="259" w:lineRule="auto"/>
        <w:contextualSpacing/>
        <w:jc w:val="both"/>
        <w:rPr>
          <w:rFonts w:cs="Times New Roman"/>
          <w:noProof/>
        </w:rPr>
      </w:pPr>
      <w:r>
        <w:rPr>
          <w:noProof/>
        </w:rPr>
        <w:t>korkea-asteen ammatillisen koulutuksen ohjelmien houkuttelevuuden parantaminen, jotta voidaan parantaa koulutukseen osallistumista.</w:t>
      </w:r>
    </w:p>
    <w:p w14:paraId="123E8D21" w14:textId="77777777" w:rsidR="000E48CE" w:rsidRDefault="00FF4C4E">
      <w:pPr>
        <w:pStyle w:val="P68B1DB1-Normal22"/>
        <w:spacing w:before="120" w:after="120" w:line="240" w:lineRule="auto"/>
        <w:jc w:val="both"/>
        <w:rPr>
          <w:rFonts w:cs="Times New Roman"/>
          <w:noProof/>
          <w:u w:val="single"/>
        </w:rPr>
      </w:pPr>
      <w:r>
        <w:rPr>
          <w:noProof/>
        </w:rPr>
        <w:t>Toimenpiteen täytäntöönpano on saatettava päätökseen viimeistä</w:t>
      </w:r>
      <w:r>
        <w:rPr>
          <w:noProof/>
        </w:rPr>
        <w:t>än 30 päivänä kesäkuuta 2022.</w:t>
      </w:r>
    </w:p>
    <w:p w14:paraId="04B8F193" w14:textId="77777777" w:rsidR="000E48CE" w:rsidRDefault="00FF4C4E">
      <w:pPr>
        <w:pStyle w:val="P68B1DB1-Normal23"/>
        <w:spacing w:before="120" w:after="120" w:line="240" w:lineRule="auto"/>
        <w:jc w:val="both"/>
        <w:rPr>
          <w:rFonts w:cs="Times New Roman"/>
          <w:noProof/>
        </w:rPr>
      </w:pPr>
      <w:r>
        <w:rPr>
          <w:noProof/>
        </w:rPr>
        <w:t xml:space="preserve">Investointi 1 (C20.I1) – Ammatteihin liittyvä työvoiman uudelleenkoulutus ja täydennyskoulutus </w:t>
      </w:r>
    </w:p>
    <w:p w14:paraId="46184BED" w14:textId="77777777" w:rsidR="000E48CE" w:rsidRDefault="00FF4C4E">
      <w:pPr>
        <w:pStyle w:val="P68B1DB1-Normal22"/>
        <w:spacing w:before="120" w:after="120" w:line="240" w:lineRule="auto"/>
        <w:jc w:val="both"/>
        <w:rPr>
          <w:rFonts w:cs="Times New Roman"/>
          <w:noProof/>
        </w:rPr>
      </w:pPr>
      <w:r>
        <w:rPr>
          <w:noProof/>
        </w:rPr>
        <w:t>Tähän investointiin on sisällyttävä neljä toimea, joilla pyritään ylläpitämään ja parantamaan yli 16-vuotiaiden (työllistettyjen t</w:t>
      </w:r>
      <w:r>
        <w:rPr>
          <w:noProof/>
        </w:rPr>
        <w:t>ai työttömien) työikäisen väestön ammattitaitoa:</w:t>
      </w:r>
    </w:p>
    <w:p w14:paraId="2D258D6E" w14:textId="5170A195" w:rsidR="000E48CE" w:rsidRDefault="00FF4C4E">
      <w:pPr>
        <w:pStyle w:val="P68B1DB1-Normal4"/>
        <w:numPr>
          <w:ilvl w:val="0"/>
          <w:numId w:val="136"/>
        </w:numPr>
        <w:spacing w:before="120" w:after="120" w:line="240" w:lineRule="auto"/>
        <w:jc w:val="both"/>
        <w:rPr>
          <w:rFonts w:cs="Times New Roman"/>
          <w:noProof/>
          <w:shd w:val="clear" w:color="auto" w:fill="FFFFFF"/>
        </w:rPr>
      </w:pPr>
      <w:r>
        <w:rPr>
          <w:noProof/>
        </w:rPr>
        <w:t>Työkokemuksen ja epävirallisen koulutuksen kautta hankittujen ammatillisten taitojen</w:t>
      </w:r>
      <w:r>
        <w:rPr>
          <w:noProof/>
          <w:shd w:val="clear" w:color="auto" w:fill="FFFFFF"/>
        </w:rPr>
        <w:t>arviointi ja virallinen hyväksyntä. Tätä varten sillä pyritään varmistamaan, että olemassa olevat taidot tunnustetaan viral</w:t>
      </w:r>
      <w:r>
        <w:rPr>
          <w:noProof/>
          <w:shd w:val="clear" w:color="auto" w:fill="FFFFFF"/>
        </w:rPr>
        <w:t>lisesti, ja se tarjoaa mahdollisuuden jatkokoulutukseen ja uusiin pätevyyksiin. Suunnitelmassa investoidaan yhteensä 2000000 osaamisyksikön rekisteröintiin, arviointiin ja akkreditointiin viiden vuoden aikana</w:t>
      </w:r>
      <w:r>
        <w:rPr>
          <w:noProof/>
        </w:rPr>
        <w:t xml:space="preserve">.  </w:t>
      </w:r>
    </w:p>
    <w:p w14:paraId="14AF6FA2" w14:textId="77777777" w:rsidR="000E48CE" w:rsidRDefault="00FF4C4E">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D-digitaalinen modulaarinen tarjous työnteki</w:t>
      </w:r>
      <w:r>
        <w:rPr>
          <w:noProof/>
          <w:shd w:val="clear" w:color="auto" w:fill="FFFFFF"/>
        </w:rPr>
        <w:t xml:space="preserve">jöille, jotka ovat yhteydessä kansallisen ammattipätevyysluettelon pätevyysyksiköihin. Toimi on </w:t>
      </w:r>
      <w:r>
        <w:rPr>
          <w:noProof/>
        </w:rPr>
        <w:t>kohdennettava työllistettyihin henkilöihin, ja sillä on varmistettava, että vähintään 300000 työntekijää saa digitaalisen koulutuksen ammatillista etenemistä va</w:t>
      </w:r>
      <w:r>
        <w:rPr>
          <w:noProof/>
        </w:rPr>
        <w:t xml:space="preserve">rten, jotta he voivat hankkia korkeamman osaamisen. </w:t>
      </w:r>
      <w:r>
        <w:rPr>
          <w:noProof/>
          <w:shd w:val="clear" w:color="auto" w:fill="FFFFFF"/>
        </w:rPr>
        <w:t xml:space="preserve"> </w:t>
      </w:r>
    </w:p>
    <w:p w14:paraId="295A55F2" w14:textId="68F3B515" w:rsidR="000E48CE" w:rsidRDefault="00FF4C4E">
      <w:pPr>
        <w:pStyle w:val="P68B1DB1-Normal22"/>
        <w:numPr>
          <w:ilvl w:val="0"/>
          <w:numId w:val="136"/>
        </w:numPr>
        <w:spacing w:before="120" w:after="120" w:line="240" w:lineRule="auto"/>
        <w:jc w:val="both"/>
        <w:rPr>
          <w:rFonts w:cs="Times New Roman"/>
          <w:noProof/>
        </w:rPr>
      </w:pPr>
      <w:r>
        <w:rPr>
          <w:noProof/>
        </w:rPr>
        <w:t>Lisätään ammatillisen koulutuksen joustavuutta ja saatavuutta perustamalla</w:t>
      </w:r>
      <w:r>
        <w:rPr>
          <w:i/>
          <w:noProof/>
        </w:rPr>
        <w:t>Aulas Mentor</w:t>
      </w:r>
      <w:r>
        <w:rPr>
          <w:noProof/>
        </w:rPr>
        <w:t>. Toimessa on tarjottava epävirallista koulutusta kansallisen ammattipätevyysluettelon mukaisesti maaseutualueilla a</w:t>
      </w:r>
      <w:r>
        <w:rPr>
          <w:noProof/>
        </w:rPr>
        <w:t xml:space="preserve">suville tai väestökadon vaarassa oleville henkilöille. Erityistä huomiota kiinnitetään naisiin, jotta voidaan avata uusia oppimismahdollisuuksia, luoda työpaikkoja ja parantaa paikallista taloutta. </w:t>
      </w:r>
    </w:p>
    <w:p w14:paraId="099FF252" w14:textId="77777777" w:rsidR="000E48CE" w:rsidRDefault="00FF4C4E">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Työssäkäyvien ja työttömien modulaarinen täydennys- ja uu</w:t>
      </w:r>
      <w:r>
        <w:rPr>
          <w:noProof/>
          <w:shd w:val="clear" w:color="auto" w:fill="FFFFFF"/>
        </w:rPr>
        <w:t>delleenkoulutus. Toimella tarjotaan koulutusta kehittymässä olevista ja nopeasti kehittyvistä tulevaisuuteen suuntautuvista taidoista, joiden odotetaan luovan työpaikkoja tulevaisuudessa, mukaan lukien vihreä siirtymä, hoivatalous ja muut nykyaikaistamissu</w:t>
      </w:r>
      <w:r>
        <w:rPr>
          <w:noProof/>
          <w:shd w:val="clear" w:color="auto" w:fill="FFFFFF"/>
        </w:rPr>
        <w:t xml:space="preserve">unnitelmassa yksilöidyt strategiset alat. Etusijalle on asetettava ne ryhmät, jotka ovat haavoittuvimmassa asemassa ja tarjoavat </w:t>
      </w:r>
      <w:r>
        <w:rPr>
          <w:noProof/>
        </w:rPr>
        <w:t>koulutusta vähintään 700000 työllistetyn ja työttömän uudelleen- ja täydennyskoulutukseen.</w:t>
      </w:r>
    </w:p>
    <w:p w14:paraId="581FD941" w14:textId="3088B8D5" w:rsidR="000E48CE" w:rsidRDefault="00FF4C4E">
      <w:pPr>
        <w:pStyle w:val="P68B1DB1-Normal22"/>
        <w:spacing w:before="120" w:after="120" w:line="240" w:lineRule="auto"/>
        <w:jc w:val="both"/>
        <w:rPr>
          <w:rFonts w:cs="Times New Roman"/>
          <w:noProof/>
        </w:rPr>
      </w:pPr>
      <w:r>
        <w:rPr>
          <w:noProof/>
        </w:rPr>
        <w:t>Toimenpiteen täytäntöönpano on määrä</w:t>
      </w:r>
      <w:r>
        <w:rPr>
          <w:noProof/>
        </w:rPr>
        <w:t xml:space="preserve"> saattaa päätökseen 31. joulukuuta 2025 mennessä.</w:t>
      </w:r>
    </w:p>
    <w:p w14:paraId="58DE658F" w14:textId="77777777" w:rsidR="000E48CE" w:rsidRDefault="00FF4C4E">
      <w:pPr>
        <w:pStyle w:val="P68B1DB1-Normal23"/>
        <w:spacing w:before="120" w:after="120" w:line="240" w:lineRule="auto"/>
        <w:jc w:val="both"/>
        <w:rPr>
          <w:rFonts w:cs="Times New Roman"/>
          <w:noProof/>
        </w:rPr>
      </w:pPr>
      <w:r>
        <w:rPr>
          <w:noProof/>
        </w:rPr>
        <w:t>Sijoitus 2 (C20.I2): Ammatillisen koulutuksen digitalisaatio</w:t>
      </w:r>
    </w:p>
    <w:p w14:paraId="66EAFBB5" w14:textId="77777777" w:rsidR="000E48CE" w:rsidRDefault="00FF4C4E">
      <w:pPr>
        <w:pStyle w:val="P68B1DB1-Normal22"/>
        <w:spacing w:before="120" w:after="120" w:line="240" w:lineRule="auto"/>
        <w:jc w:val="both"/>
        <w:rPr>
          <w:rFonts w:cs="Times New Roman"/>
          <w:noProof/>
        </w:rPr>
      </w:pPr>
      <w:r>
        <w:rPr>
          <w:noProof/>
        </w:rPr>
        <w:t xml:space="preserve">Tällä investoinnilla on pyrittävä muuttamaan ja nykyaikaistamaan ammatillista koulutusta kunkin tuotantoalan digitalisaation tukemiseksi, mutta siinä asetetaan myös etusijalle ympäristökestävyys avaintaitoina. Siihen sisältyy neljä toimea: </w:t>
      </w:r>
    </w:p>
    <w:p w14:paraId="5FC74A02" w14:textId="77777777" w:rsidR="000E48CE" w:rsidRDefault="00FF4C4E">
      <w:pPr>
        <w:pStyle w:val="P68B1DB1-Normal22"/>
        <w:numPr>
          <w:ilvl w:val="0"/>
          <w:numId w:val="137"/>
        </w:numPr>
        <w:spacing w:before="120" w:after="120" w:line="240" w:lineRule="auto"/>
        <w:jc w:val="both"/>
        <w:rPr>
          <w:rFonts w:cs="Times New Roman"/>
          <w:noProof/>
        </w:rPr>
      </w:pPr>
      <w:r>
        <w:rPr>
          <w:noProof/>
        </w:rPr>
        <w:t>Ammatillisen ko</w:t>
      </w:r>
      <w:r>
        <w:rPr>
          <w:noProof/>
        </w:rPr>
        <w:t>ulutuksen opettajien digitaalinen ja vihreä koulutus, jonka avulla he voivat toimia koulutusprosessin keskeisenä pilarina ja välineinä digitaaliseen ja ekologiseen siirtymään, jota sovelletaan asianomaisiin ammatillisen koulutuksen tuotantoaloihin. Tavoitt</w:t>
      </w:r>
      <w:r>
        <w:rPr>
          <w:noProof/>
        </w:rPr>
        <w:t xml:space="preserve">eena on varmistaa opettajien tekniset, ammatilliset ja pedagogiset taidot koulutusjärjestelmän laadun tukemiseksi. </w:t>
      </w:r>
    </w:p>
    <w:p w14:paraId="7B6F2735" w14:textId="4A59F168" w:rsidR="000E48CE" w:rsidRDefault="00FF4C4E">
      <w:pPr>
        <w:pStyle w:val="P68B1DB1-Normal8"/>
        <w:numPr>
          <w:ilvl w:val="0"/>
          <w:numId w:val="137"/>
        </w:numPr>
        <w:spacing w:before="120" w:after="120" w:line="240" w:lineRule="auto"/>
        <w:jc w:val="both"/>
        <w:rPr>
          <w:rFonts w:cs="Times New Roman"/>
          <w:noProof/>
          <w:sz w:val="24"/>
          <w:shd w:val="clear" w:color="auto" w:fill="FFFFFF"/>
        </w:rPr>
      </w:pPr>
      <w:r>
        <w:rPr>
          <w:noProof/>
          <w:sz w:val="24"/>
          <w:shd w:val="clear" w:color="auto" w:fill="FFFFFF"/>
        </w:rPr>
        <w:t>Luokkahuoneiden muuntaminen sovellettaviksi teknologiatiloiksi,</w:t>
      </w:r>
      <w:r>
        <w:rPr>
          <w:noProof/>
          <w:sz w:val="24"/>
        </w:rPr>
        <w:t xml:space="preserve">jotka luovat </w:t>
      </w:r>
      <w:r>
        <w:rPr>
          <w:noProof/>
          <w:sz w:val="24"/>
          <w:shd w:val="clear" w:color="auto" w:fill="FFFFFF"/>
        </w:rPr>
        <w:t>uudelleen työympäristöjä teknologisten resurssien avulla,</w:t>
      </w:r>
      <w:r>
        <w:rPr>
          <w:noProof/>
          <w:sz w:val="24"/>
          <w:shd w:val="clear" w:color="auto" w:fill="FFFFFF" w:themeFill="background1"/>
        </w:rPr>
        <w:t>jotta o</w:t>
      </w:r>
      <w:r>
        <w:rPr>
          <w:noProof/>
          <w:sz w:val="24"/>
          <w:shd w:val="clear" w:color="auto" w:fill="FFFFFF" w:themeFill="background1"/>
        </w:rPr>
        <w:t xml:space="preserve">piskelijat voivat </w:t>
      </w:r>
      <w:r>
        <w:rPr>
          <w:noProof/>
          <w:sz w:val="24"/>
          <w:shd w:val="clear" w:color="auto" w:fill="FFFFFF"/>
        </w:rPr>
        <w:t>lähestyä teknologioita, joita heidän on myöhemmin löydettävä yrityksistä. Investoinnin on mahdollistettava vähintään 1253 ”teknologian</w:t>
      </w:r>
      <w:r>
        <w:rPr>
          <w:noProof/>
        </w:rPr>
        <w:t xml:space="preserve"> ” luokkahuoneen perustaminen. </w:t>
      </w:r>
    </w:p>
    <w:p w14:paraId="72401F73" w14:textId="77777777" w:rsidR="000E48CE" w:rsidRDefault="00FF4C4E">
      <w:pPr>
        <w:pStyle w:val="P68B1DB1-Normal4"/>
        <w:numPr>
          <w:ilvl w:val="0"/>
          <w:numId w:val="137"/>
        </w:numPr>
        <w:spacing w:before="120" w:after="120" w:line="240" w:lineRule="auto"/>
        <w:jc w:val="both"/>
        <w:rPr>
          <w:rFonts w:cs="Times New Roman"/>
          <w:noProof/>
          <w:shd w:val="clear" w:color="auto" w:fill="FFFFFF"/>
        </w:rPr>
      </w:pPr>
      <w:r>
        <w:rPr>
          <w:noProof/>
        </w:rPr>
        <w:t>Luodaan ”yrittäjyyttä” käsitteleviä luokkahuoneita julkisiin ammatillisi</w:t>
      </w:r>
      <w:r>
        <w:rPr>
          <w:noProof/>
        </w:rPr>
        <w:t>in koulutuskeskuksiin, joissa opiskelijat ymmärtävät yrittäjyyden olennaisena osana ammatillista pätevyyttä ja luovat perustan yrityksen perustamiselle. Espanjan on varmistettava, että toimi on julkisen talouden kannalta kestävä elpymis- ja palautumistukiv</w:t>
      </w:r>
      <w:r>
        <w:rPr>
          <w:noProof/>
        </w:rPr>
        <w:t>älineen päättymisen jälkeen, myös tukeutumalla muihin EU:n rahoituslähteisiin.</w:t>
      </w:r>
    </w:p>
    <w:p w14:paraId="21038114" w14:textId="77777777" w:rsidR="000E48CE" w:rsidRDefault="00FF4C4E">
      <w:pPr>
        <w:pStyle w:val="P68B1DB1-Normal4"/>
        <w:numPr>
          <w:ilvl w:val="0"/>
          <w:numId w:val="137"/>
        </w:numPr>
        <w:spacing w:before="120" w:after="120" w:line="240" w:lineRule="auto"/>
        <w:jc w:val="both"/>
        <w:rPr>
          <w:rFonts w:cs="Times New Roman"/>
          <w:noProof/>
          <w:shd w:val="clear" w:color="auto" w:fill="FFFFFF"/>
        </w:rPr>
      </w:pPr>
      <w:r>
        <w:rPr>
          <w:noProof/>
        </w:rPr>
        <w:t>Perustetaan 50 osaamiskeskuksen verkosto, joka edistää ammatillista koulutusta koskevaa tutkimusta ja innovointia.</w:t>
      </w:r>
    </w:p>
    <w:p w14:paraId="1E7BB150" w14:textId="77777777" w:rsidR="000E48CE" w:rsidRDefault="00FF4C4E">
      <w:pPr>
        <w:pStyle w:val="P68B1DB1-Normal22"/>
        <w:spacing w:before="120" w:after="120" w:line="240" w:lineRule="auto"/>
        <w:jc w:val="both"/>
        <w:rPr>
          <w:rFonts w:cs="Times New Roman"/>
          <w:noProof/>
        </w:rPr>
      </w:pPr>
      <w:r>
        <w:rPr>
          <w:noProof/>
        </w:rPr>
        <w:t>Teknologian ja yrittäjyyden luokkahuoneisiin tehtävillä invest</w:t>
      </w:r>
      <w:r>
        <w:rPr>
          <w:noProof/>
        </w:rPr>
        <w:t>oinneilla sekä tutkimukseen ja innovointiin keskittyvillä osaamiskeskuksilla on tärkeä rooli yritysrakenteen nykyaikaistamisessa, talouden muutoksen tukemisessa ja kilpailukyvyn parantamisessa. Lisäksi niiden katsotaan edistävän yritysten perustamista stra</w:t>
      </w:r>
      <w:r>
        <w:rPr>
          <w:noProof/>
        </w:rPr>
        <w:t>tegisilla aloilla ja kasvattavan pk-yritysten kokoa ja tuottavuutta.</w:t>
      </w:r>
    </w:p>
    <w:p w14:paraId="0A4E03C3" w14:textId="14E885CD" w:rsidR="000E48CE" w:rsidRDefault="00FF4C4E">
      <w:pPr>
        <w:pStyle w:val="P68B1DB1-Normal22"/>
        <w:spacing w:before="120" w:after="120" w:line="240" w:lineRule="auto"/>
        <w:jc w:val="both"/>
        <w:rPr>
          <w:rFonts w:cs="Times New Roman"/>
          <w:noProof/>
          <w:u w:val="single"/>
        </w:rPr>
      </w:pPr>
      <w:r>
        <w:rPr>
          <w:noProof/>
        </w:rPr>
        <w:t>Toimenpiteen täytäntöönpano on määrä saattaa päätökseen 31. joulukuuta 2025 mennessä.</w:t>
      </w:r>
    </w:p>
    <w:p w14:paraId="6DF2FE11" w14:textId="77777777" w:rsidR="000E48CE" w:rsidRDefault="00FF4C4E">
      <w:pPr>
        <w:pStyle w:val="P68B1DB1-Normal23"/>
        <w:keepNext/>
        <w:spacing w:before="120" w:after="120" w:line="240" w:lineRule="auto"/>
        <w:jc w:val="both"/>
        <w:rPr>
          <w:rFonts w:cs="Times New Roman"/>
          <w:noProof/>
        </w:rPr>
      </w:pPr>
      <w:r>
        <w:rPr>
          <w:noProof/>
        </w:rPr>
        <w:t>Sijoitus 3 (C20.I3): Ammatillisen koulutuksen innovointi ja kansainvälistyminen</w:t>
      </w:r>
    </w:p>
    <w:p w14:paraId="1E09D527" w14:textId="3F439DCA" w:rsidR="000E48CE" w:rsidRDefault="00FF4C4E">
      <w:pPr>
        <w:pStyle w:val="P68B1DB1-Normal4"/>
        <w:keepNext/>
        <w:spacing w:before="120" w:after="120" w:line="240" w:lineRule="auto"/>
        <w:jc w:val="both"/>
        <w:rPr>
          <w:rFonts w:cs="Times New Roman"/>
          <w:noProof/>
        </w:rPr>
      </w:pPr>
      <w:r>
        <w:rPr>
          <w:noProof/>
          <w:shd w:val="clear" w:color="auto" w:fill="FFFFFF"/>
        </w:rPr>
        <w:t xml:space="preserve">Tällä investoinnilla </w:t>
      </w:r>
      <w:r>
        <w:rPr>
          <w:noProof/>
          <w:shd w:val="clear" w:color="auto" w:fill="FFFFFF"/>
        </w:rPr>
        <w:t>pyritään lisäämään ammatillisen koulutuksen kokonaistarjontaa luomalla yhteensä 247452 uutta paikkaa (vuoden 2020 loppuun verrattuna) vuoteen 2025 mennessä, tasapainottamalla tarjonta yritysten tarpeiden kanssa ja puuttumalla tehokkaasti alueellisiin ja pa</w:t>
      </w:r>
      <w:r>
        <w:rPr>
          <w:noProof/>
          <w:shd w:val="clear" w:color="auto" w:fill="FFFFFF"/>
        </w:rPr>
        <w:t>ikallisiin eroihin. Painopisteenä on vastata työmarkkinoiden kysyntään keskitason pätevyyksien osalta. Uusien ammatillisen koulutuksen paikkojen</w:t>
      </w:r>
      <w:r>
        <w:rPr>
          <w:noProof/>
        </w:rPr>
        <w:t>alueellisen jakautumisen on perustuttava tarvearviointiin, ja sen on seurattava asiaankuuluvien sidosryhmien kan</w:t>
      </w:r>
      <w:r>
        <w:rPr>
          <w:noProof/>
        </w:rPr>
        <w:t xml:space="preserve">ssa käytävää keskustelua, jotta varmistetaan, että tarjonta vastaa tehokkaasti alueellisiin/paikallisiin eroihin. Siitä on tarkoitus sopia koulutusalan alakohtaisissa konferensseissa autonomisten alueiden kanssa. </w:t>
      </w:r>
    </w:p>
    <w:p w14:paraId="7A43001F" w14:textId="77777777" w:rsidR="000E48CE" w:rsidRDefault="00FF4C4E">
      <w:pPr>
        <w:pStyle w:val="P68B1DB1-Normal4"/>
        <w:spacing w:before="120" w:after="120" w:line="240" w:lineRule="auto"/>
        <w:jc w:val="both"/>
        <w:rPr>
          <w:rFonts w:cs="Times New Roman"/>
          <w:noProof/>
        </w:rPr>
      </w:pPr>
      <w:r>
        <w:rPr>
          <w:noProof/>
        </w:rPr>
        <w:t>Jotta viestintää vieraalla kielellä voidaa</w:t>
      </w:r>
      <w:r>
        <w:rPr>
          <w:noProof/>
        </w:rPr>
        <w:t>n edistää ammatillisen suorituskyvyn keskeisenä osatekijänä, ammatillisen koulutuksen alalla on edistettävä kaksikielisyyttä strategisena tavoitteena. Opintojaksossa keskitytään sekä opettajan- että oppilasopetukseen vieraalla kielellä siten, että 3700 jak</w:t>
      </w:r>
      <w:r>
        <w:rPr>
          <w:noProof/>
        </w:rPr>
        <w:t xml:space="preserve">soa muutetaan kaksikielisiksi. </w:t>
      </w:r>
    </w:p>
    <w:p w14:paraId="7768A5FC" w14:textId="77777777" w:rsidR="000E48CE" w:rsidRDefault="00FF4C4E">
      <w:pPr>
        <w:pStyle w:val="P68B1DB1-Normal22"/>
        <w:spacing w:before="120" w:after="120" w:line="240" w:lineRule="auto"/>
        <w:jc w:val="both"/>
        <w:rPr>
          <w:rFonts w:cs="Times New Roman"/>
          <w:noProof/>
        </w:rPr>
      </w:pPr>
      <w:r>
        <w:rPr>
          <w:noProof/>
        </w:rPr>
        <w:t>Lisäksi investoinnilla pyritään kehittämään ammatillisen koulutuksen keskusten ja yritysten välisiä innovointi- ja tietämyksensiirtohankkeita, jotta niistä voisi tulla keskeinen osa uutta ammatillisen koulutuksen mallia. Inv</w:t>
      </w:r>
      <w:r>
        <w:rPr>
          <w:noProof/>
        </w:rPr>
        <w:t>estoinnilla pyritään myös muuntamaan keski- ja korkea-asteen koulutusjaksot kaksikielisiksi jaksoiksi vastauksena yritysten kasvavaan kansainvälistymiseen ja talouksien globalisoitumiseen.</w:t>
      </w:r>
    </w:p>
    <w:p w14:paraId="04B4B727" w14:textId="77777777" w:rsidR="000E48CE" w:rsidRDefault="00FF4C4E">
      <w:pPr>
        <w:pStyle w:val="P68B1DB1-Normal4"/>
        <w:spacing w:before="120" w:after="120" w:line="240" w:lineRule="auto"/>
        <w:jc w:val="both"/>
        <w:rPr>
          <w:rFonts w:cs="Times New Roman"/>
          <w:noProof/>
        </w:rPr>
      </w:pPr>
      <w:r>
        <w:rPr>
          <w:noProof/>
        </w:rPr>
        <w:t>Espanjan on varmistettava, että toimi on julkisen talouden kannalta</w:t>
      </w:r>
      <w:r>
        <w:rPr>
          <w:noProof/>
        </w:rPr>
        <w:t xml:space="preserve"> kestävä elpymis- ja palautumistukivälineen päättymisen jälkeen, myös tukeutumalla muihin EU:n rahoituslähteisiin.</w:t>
      </w:r>
    </w:p>
    <w:p w14:paraId="23E2F75C" w14:textId="20092706" w:rsidR="000E48CE" w:rsidRDefault="00FF4C4E">
      <w:pPr>
        <w:pStyle w:val="P68B1DB1-Normal22"/>
        <w:spacing w:before="120" w:after="120" w:line="240" w:lineRule="auto"/>
        <w:jc w:val="both"/>
        <w:rPr>
          <w:rFonts w:cs="Times New Roman"/>
          <w:noProof/>
        </w:rPr>
      </w:pPr>
      <w:r>
        <w:rPr>
          <w:noProof/>
        </w:rPr>
        <w:t>Toimenpiteen täytäntöönpano on määrä saattaa päätökseen 31. joulukuuta 2025 mennessä.</w:t>
      </w:r>
    </w:p>
    <w:p w14:paraId="553853FF" w14:textId="77777777" w:rsidR="000E48CE" w:rsidRDefault="00FF4C4E">
      <w:pPr>
        <w:pStyle w:val="P68B1DB1-Normal5"/>
        <w:spacing w:before="120" w:after="120" w:line="240" w:lineRule="auto"/>
        <w:ind w:left="709"/>
        <w:jc w:val="both"/>
        <w:rPr>
          <w:rFonts w:cs="Times New Roman"/>
          <w:noProof/>
        </w:rPr>
      </w:pPr>
      <w:r>
        <w:rPr>
          <w:noProof/>
        </w:rPr>
        <w:t xml:space="preserve">T.2 </w:t>
      </w:r>
      <w:r>
        <w:rPr>
          <w:noProof/>
        </w:rPr>
        <w:tab/>
        <w:t>Seurantaa ja täytäntöönpanoa koskevat välitavoitte</w:t>
      </w:r>
      <w:r>
        <w:rPr>
          <w:noProof/>
        </w:rPr>
        <w:t>et, tavoitteet, indikaattorit ja aikataulu – rahoitustuki, jota ei makseta takaisin</w:t>
      </w:r>
    </w:p>
    <w:p w14:paraId="7418992F" w14:textId="2B84E655" w:rsidR="000E48CE" w:rsidRDefault="00FF4C4E">
      <w:pPr>
        <w:pStyle w:val="P68B1DB1-Normal4"/>
        <w:spacing w:before="120" w:after="120" w:line="240" w:lineRule="auto"/>
        <w:jc w:val="both"/>
        <w:rPr>
          <w:rFonts w:cs="Times New Roman"/>
          <w:noProof/>
        </w:rPr>
        <w:sectPr w:rsidR="000E48CE" w:rsidSect="00C94F66">
          <w:headerReference w:type="even" r:id="rId399"/>
          <w:headerReference w:type="default" r:id="rId400"/>
          <w:footerReference w:type="even" r:id="rId401"/>
          <w:footerReference w:type="default" r:id="rId402"/>
          <w:headerReference w:type="first" r:id="rId403"/>
          <w:footerReference w:type="first" r:id="rId404"/>
          <w:pgSz w:w="11907" w:h="16839"/>
          <w:pgMar w:top="1134" w:right="1417" w:bottom="1134" w:left="1417" w:header="709" w:footer="709" w:gutter="0"/>
          <w:cols w:space="720"/>
          <w:docGrid w:linePitch="360"/>
        </w:sectPr>
      </w:pPr>
      <w:r>
        <w:rPr>
          <w:i/>
          <w:noProof/>
        </w:rPr>
        <w:t>Ks. taulukko jäljempänä.</w:t>
      </w:r>
      <w:r>
        <w:rPr>
          <w:noProof/>
        </w:rPr>
        <w:t xml:space="preserve"> </w:t>
      </w:r>
      <w:r>
        <w:rPr>
          <w:i/>
          <w:noProof/>
        </w:rPr>
        <w:t xml:space="preserve">Kaikkien indikaattoreiden perustaso on 1. helmikuuta 2020, ellei toimen kuvauksessa </w:t>
      </w:r>
      <w:r>
        <w:rPr>
          <w:i/>
          <w:noProof/>
        </w:rPr>
        <w:t>toisin ilmoiteta. Taulukossa esitetyt määrät eivät sisällä arvonlisäveroa.</w:t>
      </w:r>
    </w:p>
    <w:p w14:paraId="7BFC5B75" w14:textId="77777777" w:rsidR="000E48CE" w:rsidRDefault="000E48CE">
      <w:pPr>
        <w:spacing w:before="120" w:after="120" w:line="240" w:lineRule="auto"/>
        <w:jc w:val="both"/>
        <w:rPr>
          <w:rFonts w:ascii="Times New Roman" w:hAnsi="Times New Roman" w:cs="Times New Roman"/>
          <w:b/>
          <w:noProof/>
          <w:sz w:val="24"/>
          <w:u w:val="single"/>
        </w:rPr>
      </w:pPr>
    </w:p>
    <w:p w14:paraId="1B4D7F22" w14:textId="77777777" w:rsidR="000E48CE" w:rsidRDefault="000E48CE">
      <w:pPr>
        <w:spacing w:before="120" w:after="120" w:line="240" w:lineRule="auto"/>
        <w:jc w:val="both"/>
        <w:rPr>
          <w:rFonts w:ascii="Times New Roman" w:hAnsi="Times New Roman" w:cs="Times New Roman"/>
          <w:noProof/>
          <w:sz w:val="24"/>
        </w:rPr>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51"/>
        <w:gridCol w:w="858"/>
        <w:gridCol w:w="2685"/>
        <w:gridCol w:w="1418"/>
        <w:gridCol w:w="811"/>
        <w:gridCol w:w="984"/>
        <w:gridCol w:w="1040"/>
        <w:gridCol w:w="365"/>
        <w:gridCol w:w="627"/>
        <w:gridCol w:w="4820"/>
      </w:tblGrid>
      <w:tr w:rsidR="000E48CE" w14:paraId="03A88FCA" w14:textId="77777777">
        <w:trPr>
          <w:trHeight w:val="309"/>
          <w:tblHeader/>
        </w:trPr>
        <w:tc>
          <w:tcPr>
            <w:tcW w:w="851" w:type="dxa"/>
            <w:vMerge w:val="restart"/>
            <w:shd w:val="clear" w:color="auto" w:fill="C6D9F1" w:themeFill="text2" w:themeFillTint="33"/>
            <w:noWrap/>
          </w:tcPr>
          <w:p w14:paraId="7D977EB8" w14:textId="08279DD2" w:rsidR="000E48CE" w:rsidRDefault="00FF4C4E">
            <w:pPr>
              <w:pStyle w:val="P68B1DB1-Normal12"/>
              <w:spacing w:after="0" w:line="240" w:lineRule="auto"/>
              <w:jc w:val="center"/>
              <w:rPr>
                <w:rFonts w:cs="Times New Roman"/>
                <w:noProof/>
              </w:rPr>
            </w:pPr>
            <w:r>
              <w:rPr>
                <w:noProof/>
              </w:rPr>
              <w:t>umber</w:t>
            </w:r>
          </w:p>
        </w:tc>
        <w:tc>
          <w:tcPr>
            <w:tcW w:w="851" w:type="dxa"/>
            <w:vMerge w:val="restart"/>
            <w:shd w:val="clear" w:color="auto" w:fill="C6D9F1" w:themeFill="text2" w:themeFillTint="33"/>
            <w:noWrap/>
          </w:tcPr>
          <w:p w14:paraId="37E54185" w14:textId="77777777" w:rsidR="000E48CE" w:rsidRDefault="00FF4C4E">
            <w:pPr>
              <w:pStyle w:val="P68B1DB1-Normal12"/>
              <w:spacing w:after="0" w:line="240" w:lineRule="auto"/>
              <w:jc w:val="center"/>
              <w:rPr>
                <w:rFonts w:cs="Times New Roman"/>
                <w:noProof/>
              </w:rPr>
            </w:pPr>
            <w:r>
              <w:rPr>
                <w:noProof/>
              </w:rPr>
              <w:t>Toimenpide</w:t>
            </w:r>
          </w:p>
        </w:tc>
        <w:tc>
          <w:tcPr>
            <w:tcW w:w="858" w:type="dxa"/>
            <w:vMerge w:val="restart"/>
            <w:shd w:val="clear" w:color="auto" w:fill="C6D9F1" w:themeFill="text2" w:themeFillTint="33"/>
            <w:noWrap/>
          </w:tcPr>
          <w:p w14:paraId="710F5BB6"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685" w:type="dxa"/>
            <w:vMerge w:val="restart"/>
            <w:shd w:val="clear" w:color="auto" w:fill="C6D9F1" w:themeFill="text2" w:themeFillTint="33"/>
            <w:noWrap/>
          </w:tcPr>
          <w:p w14:paraId="753E517F" w14:textId="77777777" w:rsidR="000E48CE" w:rsidRDefault="00FF4C4E">
            <w:pPr>
              <w:pStyle w:val="P68B1DB1-Normal12"/>
              <w:spacing w:after="0" w:line="240" w:lineRule="auto"/>
              <w:jc w:val="center"/>
              <w:rPr>
                <w:rFonts w:cs="Times New Roman"/>
                <w:noProof/>
              </w:rPr>
            </w:pPr>
            <w:r>
              <w:rPr>
                <w:noProof/>
              </w:rPr>
              <w:t>Nimi</w:t>
            </w:r>
          </w:p>
        </w:tc>
        <w:tc>
          <w:tcPr>
            <w:tcW w:w="1418" w:type="dxa"/>
            <w:vMerge w:val="restart"/>
            <w:shd w:val="clear" w:color="auto" w:fill="C6D9F1" w:themeFill="text2" w:themeFillTint="33"/>
            <w:noWrap/>
          </w:tcPr>
          <w:p w14:paraId="72C9630E"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835" w:type="dxa"/>
            <w:gridSpan w:val="3"/>
            <w:shd w:val="clear" w:color="auto" w:fill="C6D9F1" w:themeFill="text2" w:themeFillTint="33"/>
            <w:noWrap/>
          </w:tcPr>
          <w:p w14:paraId="32E9FBE9"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92" w:type="dxa"/>
            <w:gridSpan w:val="2"/>
            <w:shd w:val="clear" w:color="auto" w:fill="C6D9F1" w:themeFill="text2" w:themeFillTint="33"/>
            <w:noWrap/>
          </w:tcPr>
          <w:p w14:paraId="5571DBCE" w14:textId="77777777" w:rsidR="000E48CE" w:rsidRDefault="00FF4C4E">
            <w:pPr>
              <w:pStyle w:val="P68B1DB1-Normal12"/>
              <w:spacing w:after="0" w:line="240" w:lineRule="auto"/>
              <w:jc w:val="center"/>
              <w:rPr>
                <w:rFonts w:cs="Times New Roman"/>
                <w:noProof/>
              </w:rPr>
            </w:pPr>
            <w:r>
              <w:rPr>
                <w:noProof/>
              </w:rPr>
              <w:t>Aika</w:t>
            </w:r>
          </w:p>
        </w:tc>
        <w:tc>
          <w:tcPr>
            <w:tcW w:w="4820" w:type="dxa"/>
            <w:vMerge w:val="restart"/>
            <w:shd w:val="clear" w:color="auto" w:fill="C6D9F1" w:themeFill="text2" w:themeFillTint="33"/>
            <w:noWrap/>
          </w:tcPr>
          <w:p w14:paraId="0C0A5697"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119E1114" w14:textId="77777777">
        <w:trPr>
          <w:trHeight w:val="587"/>
          <w:tblHeader/>
        </w:trPr>
        <w:tc>
          <w:tcPr>
            <w:tcW w:w="851" w:type="dxa"/>
            <w:vMerge/>
            <w:noWrap/>
          </w:tcPr>
          <w:p w14:paraId="74A0DCF2" w14:textId="77777777" w:rsidR="000E48CE" w:rsidRDefault="000E48CE">
            <w:pPr>
              <w:spacing w:after="0" w:line="240" w:lineRule="auto"/>
              <w:jc w:val="center"/>
              <w:rPr>
                <w:rFonts w:ascii="Times New Roman" w:hAnsi="Times New Roman" w:cs="Times New Roman"/>
                <w:b/>
                <w:noProof/>
                <w:sz w:val="18"/>
              </w:rPr>
            </w:pPr>
          </w:p>
        </w:tc>
        <w:tc>
          <w:tcPr>
            <w:tcW w:w="851" w:type="dxa"/>
            <w:vMerge/>
            <w:noWrap/>
          </w:tcPr>
          <w:p w14:paraId="5A492254" w14:textId="77777777" w:rsidR="000E48CE" w:rsidRDefault="000E48CE">
            <w:pPr>
              <w:spacing w:after="0" w:line="240" w:lineRule="auto"/>
              <w:jc w:val="center"/>
              <w:rPr>
                <w:rFonts w:ascii="Times New Roman" w:hAnsi="Times New Roman" w:cs="Times New Roman"/>
                <w:b/>
                <w:noProof/>
                <w:sz w:val="18"/>
              </w:rPr>
            </w:pPr>
          </w:p>
        </w:tc>
        <w:tc>
          <w:tcPr>
            <w:tcW w:w="858" w:type="dxa"/>
            <w:vMerge/>
            <w:noWrap/>
          </w:tcPr>
          <w:p w14:paraId="42B6D871" w14:textId="77777777" w:rsidR="000E48CE" w:rsidRDefault="000E48CE">
            <w:pPr>
              <w:spacing w:after="0" w:line="240" w:lineRule="auto"/>
              <w:jc w:val="center"/>
              <w:rPr>
                <w:rFonts w:ascii="Times New Roman" w:hAnsi="Times New Roman" w:cs="Times New Roman"/>
                <w:b/>
                <w:noProof/>
                <w:sz w:val="18"/>
              </w:rPr>
            </w:pPr>
          </w:p>
        </w:tc>
        <w:tc>
          <w:tcPr>
            <w:tcW w:w="2685" w:type="dxa"/>
            <w:vMerge/>
            <w:noWrap/>
          </w:tcPr>
          <w:p w14:paraId="7B9A3E6A" w14:textId="77777777" w:rsidR="000E48CE" w:rsidRDefault="000E48CE">
            <w:pPr>
              <w:spacing w:after="0" w:line="240" w:lineRule="auto"/>
              <w:rPr>
                <w:rFonts w:ascii="Times New Roman" w:hAnsi="Times New Roman" w:cs="Times New Roman"/>
                <w:b/>
                <w:noProof/>
                <w:sz w:val="18"/>
              </w:rPr>
            </w:pPr>
          </w:p>
        </w:tc>
        <w:tc>
          <w:tcPr>
            <w:tcW w:w="1418" w:type="dxa"/>
            <w:vMerge/>
            <w:noWrap/>
          </w:tcPr>
          <w:p w14:paraId="675960C4" w14:textId="77777777" w:rsidR="000E48CE" w:rsidRDefault="000E48CE">
            <w:pPr>
              <w:spacing w:after="0" w:line="240" w:lineRule="auto"/>
              <w:jc w:val="center"/>
              <w:rPr>
                <w:rFonts w:ascii="Times New Roman" w:hAnsi="Times New Roman" w:cs="Times New Roman"/>
                <w:b/>
                <w:noProof/>
                <w:sz w:val="18"/>
              </w:rPr>
            </w:pPr>
          </w:p>
        </w:tc>
        <w:tc>
          <w:tcPr>
            <w:tcW w:w="811" w:type="dxa"/>
            <w:shd w:val="clear" w:color="auto" w:fill="C6D9F1" w:themeFill="text2" w:themeFillTint="33"/>
            <w:noWrap/>
          </w:tcPr>
          <w:p w14:paraId="6AE22D92" w14:textId="77777777" w:rsidR="000E48CE" w:rsidRDefault="00FF4C4E">
            <w:pPr>
              <w:pStyle w:val="P68B1DB1-Normal12"/>
              <w:spacing w:after="0" w:line="240" w:lineRule="auto"/>
              <w:jc w:val="center"/>
              <w:rPr>
                <w:rFonts w:cs="Times New Roman"/>
                <w:noProof/>
              </w:rPr>
            </w:pPr>
            <w:r>
              <w:rPr>
                <w:noProof/>
              </w:rPr>
              <w:t>Yksikkö</w:t>
            </w:r>
          </w:p>
        </w:tc>
        <w:tc>
          <w:tcPr>
            <w:tcW w:w="984" w:type="dxa"/>
            <w:shd w:val="clear" w:color="auto" w:fill="C6D9F1" w:themeFill="text2" w:themeFillTint="33"/>
            <w:noWrap/>
          </w:tcPr>
          <w:p w14:paraId="01FB293D" w14:textId="77777777" w:rsidR="000E48CE" w:rsidRDefault="00FF4C4E">
            <w:pPr>
              <w:pStyle w:val="P68B1DB1-Normal12"/>
              <w:spacing w:after="0" w:line="240" w:lineRule="auto"/>
              <w:jc w:val="center"/>
              <w:rPr>
                <w:rFonts w:cs="Times New Roman"/>
                <w:noProof/>
              </w:rPr>
            </w:pPr>
            <w:r>
              <w:rPr>
                <w:noProof/>
              </w:rPr>
              <w:t>Perustaso</w:t>
            </w:r>
          </w:p>
        </w:tc>
        <w:tc>
          <w:tcPr>
            <w:tcW w:w="1040" w:type="dxa"/>
            <w:shd w:val="clear" w:color="auto" w:fill="C6D9F1" w:themeFill="text2" w:themeFillTint="33"/>
            <w:noWrap/>
          </w:tcPr>
          <w:p w14:paraId="1B69AB8E" w14:textId="77777777" w:rsidR="000E48CE" w:rsidRDefault="00FF4C4E">
            <w:pPr>
              <w:pStyle w:val="P68B1DB1-Normal12"/>
              <w:spacing w:after="0" w:line="240" w:lineRule="auto"/>
              <w:jc w:val="center"/>
              <w:rPr>
                <w:rFonts w:cs="Times New Roman"/>
                <w:noProof/>
              </w:rPr>
            </w:pPr>
            <w:r>
              <w:rPr>
                <w:noProof/>
              </w:rPr>
              <w:t>Päämäärä</w:t>
            </w:r>
          </w:p>
        </w:tc>
        <w:tc>
          <w:tcPr>
            <w:tcW w:w="365" w:type="dxa"/>
            <w:shd w:val="clear" w:color="auto" w:fill="C6D9F1" w:themeFill="text2" w:themeFillTint="33"/>
            <w:noWrap/>
          </w:tcPr>
          <w:p w14:paraId="3FE72860" w14:textId="77777777" w:rsidR="000E48CE" w:rsidRDefault="00FF4C4E">
            <w:pPr>
              <w:pStyle w:val="P68B1DB1-Normal12"/>
              <w:spacing w:after="0" w:line="240" w:lineRule="auto"/>
              <w:jc w:val="center"/>
              <w:rPr>
                <w:rFonts w:cs="Times New Roman"/>
                <w:noProof/>
              </w:rPr>
            </w:pPr>
            <w:r>
              <w:rPr>
                <w:noProof/>
              </w:rPr>
              <w:t>Q</w:t>
            </w:r>
          </w:p>
        </w:tc>
        <w:tc>
          <w:tcPr>
            <w:tcW w:w="627" w:type="dxa"/>
            <w:shd w:val="clear" w:color="auto" w:fill="C6D9F1" w:themeFill="text2" w:themeFillTint="33"/>
            <w:noWrap/>
          </w:tcPr>
          <w:p w14:paraId="2204C7CA" w14:textId="77777777" w:rsidR="000E48CE" w:rsidRDefault="00FF4C4E">
            <w:pPr>
              <w:pStyle w:val="P68B1DB1-Normal12"/>
              <w:spacing w:after="0" w:line="240" w:lineRule="auto"/>
              <w:jc w:val="center"/>
              <w:rPr>
                <w:rFonts w:cs="Times New Roman"/>
                <w:noProof/>
              </w:rPr>
            </w:pPr>
            <w:r>
              <w:rPr>
                <w:noProof/>
              </w:rPr>
              <w:t>Vuosi</w:t>
            </w:r>
          </w:p>
        </w:tc>
        <w:tc>
          <w:tcPr>
            <w:tcW w:w="4820" w:type="dxa"/>
            <w:vMerge/>
            <w:noWrap/>
          </w:tcPr>
          <w:p w14:paraId="2C714CDA" w14:textId="77777777" w:rsidR="000E48CE" w:rsidRDefault="000E48CE">
            <w:pPr>
              <w:spacing w:after="0" w:line="240" w:lineRule="auto"/>
              <w:rPr>
                <w:rFonts w:ascii="Times New Roman" w:hAnsi="Times New Roman" w:cs="Times New Roman"/>
                <w:b/>
                <w:noProof/>
                <w:sz w:val="18"/>
              </w:rPr>
            </w:pPr>
          </w:p>
        </w:tc>
      </w:tr>
      <w:tr w:rsidR="000E48CE" w14:paraId="5F1EAB79" w14:textId="77777777">
        <w:trPr>
          <w:trHeight w:val="309"/>
        </w:trPr>
        <w:tc>
          <w:tcPr>
            <w:tcW w:w="851" w:type="dxa"/>
            <w:shd w:val="clear" w:color="auto" w:fill="C6EFCE"/>
            <w:noWrap/>
          </w:tcPr>
          <w:p w14:paraId="7801E37C" w14:textId="77777777" w:rsidR="000E48CE" w:rsidRDefault="00FF4C4E">
            <w:pPr>
              <w:pStyle w:val="P68B1DB1-Normal13"/>
              <w:spacing w:after="0" w:line="240" w:lineRule="auto"/>
              <w:jc w:val="center"/>
              <w:rPr>
                <w:rFonts w:eastAsia="Times New Roman" w:cs="Times New Roman"/>
                <w:noProof/>
              </w:rPr>
            </w:pPr>
            <w:r>
              <w:rPr>
                <w:noProof/>
              </w:rPr>
              <w:t>295</w:t>
            </w:r>
          </w:p>
        </w:tc>
        <w:tc>
          <w:tcPr>
            <w:tcW w:w="851" w:type="dxa"/>
            <w:shd w:val="clear" w:color="auto" w:fill="C6EFCE"/>
            <w:noWrap/>
          </w:tcPr>
          <w:p w14:paraId="7B81073A" w14:textId="77777777" w:rsidR="000E48CE" w:rsidRDefault="00FF4C4E">
            <w:pPr>
              <w:pStyle w:val="P68B1DB1-Normal13"/>
              <w:spacing w:after="0" w:line="240" w:lineRule="auto"/>
              <w:jc w:val="center"/>
              <w:rPr>
                <w:rFonts w:eastAsia="Times New Roman" w:cs="Times New Roman"/>
                <w:noProof/>
              </w:rPr>
            </w:pPr>
            <w:r>
              <w:rPr>
                <w:noProof/>
              </w:rPr>
              <w:t>C20.R1</w:t>
            </w:r>
          </w:p>
        </w:tc>
        <w:tc>
          <w:tcPr>
            <w:tcW w:w="858" w:type="dxa"/>
            <w:shd w:val="clear" w:color="auto" w:fill="C6EFCE"/>
            <w:noWrap/>
          </w:tcPr>
          <w:p w14:paraId="1FFF2D97" w14:textId="77777777" w:rsidR="000E48CE" w:rsidRDefault="00FF4C4E">
            <w:pPr>
              <w:pStyle w:val="P68B1DB1-Normal13"/>
              <w:spacing w:after="0" w:line="240" w:lineRule="auto"/>
              <w:jc w:val="center"/>
              <w:rPr>
                <w:rFonts w:eastAsia="Times New Roman" w:cs="Times New Roman"/>
                <w:noProof/>
              </w:rPr>
            </w:pPr>
            <w:r>
              <w:rPr>
                <w:noProof/>
              </w:rPr>
              <w:t>M</w:t>
            </w:r>
          </w:p>
        </w:tc>
        <w:tc>
          <w:tcPr>
            <w:tcW w:w="2685" w:type="dxa"/>
            <w:shd w:val="clear" w:color="auto" w:fill="C6EFCE"/>
            <w:noWrap/>
          </w:tcPr>
          <w:p w14:paraId="1B84B487" w14:textId="77777777" w:rsidR="000E48CE" w:rsidRDefault="00FF4C4E">
            <w:pPr>
              <w:pStyle w:val="P68B1DB1-Normal13"/>
              <w:spacing w:after="0" w:line="240" w:lineRule="auto"/>
              <w:rPr>
                <w:rFonts w:eastAsia="Times New Roman" w:cs="Times New Roman"/>
                <w:noProof/>
              </w:rPr>
            </w:pPr>
            <w:r>
              <w:rPr>
                <w:noProof/>
              </w:rPr>
              <w:t>Ammatillisen koulutuksen nykyaikaistamissuunnitelma ja siihen liittyvät kuninkaan asetukset</w:t>
            </w:r>
          </w:p>
        </w:tc>
        <w:tc>
          <w:tcPr>
            <w:tcW w:w="1418" w:type="dxa"/>
            <w:shd w:val="clear" w:color="auto" w:fill="C6EFCE"/>
            <w:noWrap/>
          </w:tcPr>
          <w:p w14:paraId="4D0E5B23" w14:textId="77777777" w:rsidR="000E48CE" w:rsidRDefault="00FF4C4E">
            <w:pPr>
              <w:pStyle w:val="P68B1DB1-Normal13"/>
              <w:spacing w:after="0" w:line="240" w:lineRule="auto"/>
              <w:jc w:val="center"/>
              <w:rPr>
                <w:rFonts w:eastAsia="Times New Roman" w:cs="Times New Roman"/>
                <w:noProof/>
              </w:rPr>
            </w:pPr>
            <w:r>
              <w:rPr>
                <w:noProof/>
              </w:rPr>
              <w:t xml:space="preserve">Julkaisu MEFP:n verkkosivustolla ja pääministerin alustus </w:t>
            </w:r>
          </w:p>
        </w:tc>
        <w:tc>
          <w:tcPr>
            <w:tcW w:w="811" w:type="dxa"/>
            <w:shd w:val="clear" w:color="auto" w:fill="C6EFCE"/>
            <w:noWrap/>
          </w:tcPr>
          <w:p w14:paraId="3ACB1B1E"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CDC19BA"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42D3C78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5199EFB7" w14:textId="77777777" w:rsidR="000E48CE" w:rsidRDefault="00FF4C4E">
            <w:pPr>
              <w:pStyle w:val="P68B1DB1-Normal13"/>
              <w:spacing w:after="0" w:line="240" w:lineRule="auto"/>
              <w:jc w:val="center"/>
              <w:rPr>
                <w:rFonts w:eastAsia="Times New Roman" w:cs="Times New Roman"/>
                <w:noProof/>
              </w:rPr>
            </w:pPr>
            <w:r>
              <w:rPr>
                <w:noProof/>
              </w:rPr>
              <w:t>Q4</w:t>
            </w:r>
          </w:p>
        </w:tc>
        <w:tc>
          <w:tcPr>
            <w:tcW w:w="627" w:type="dxa"/>
            <w:shd w:val="clear" w:color="auto" w:fill="C6EFCE"/>
            <w:noWrap/>
          </w:tcPr>
          <w:p w14:paraId="198E1460" w14:textId="77777777" w:rsidR="000E48CE" w:rsidRDefault="00FF4C4E">
            <w:pPr>
              <w:pStyle w:val="P68B1DB1-Normal13"/>
              <w:spacing w:after="0" w:line="240" w:lineRule="auto"/>
              <w:jc w:val="center"/>
              <w:rPr>
                <w:rFonts w:eastAsia="Times New Roman" w:cs="Times New Roman"/>
                <w:noProof/>
              </w:rPr>
            </w:pPr>
            <w:r>
              <w:rPr>
                <w:noProof/>
              </w:rPr>
              <w:t>2020</w:t>
            </w:r>
          </w:p>
        </w:tc>
        <w:tc>
          <w:tcPr>
            <w:tcW w:w="4820" w:type="dxa"/>
            <w:shd w:val="clear" w:color="auto" w:fill="C6EFCE"/>
            <w:noWrap/>
          </w:tcPr>
          <w:p w14:paraId="7AB078FE" w14:textId="77777777" w:rsidR="000E48CE" w:rsidRDefault="00FF4C4E">
            <w:pPr>
              <w:pStyle w:val="P68B1DB1-Normal13"/>
              <w:spacing w:after="0" w:line="240" w:lineRule="auto"/>
              <w:rPr>
                <w:rFonts w:eastAsia="Times New Roman" w:cs="Times New Roman"/>
                <w:noProof/>
              </w:rPr>
            </w:pPr>
            <w:r>
              <w:rPr>
                <w:noProof/>
              </w:rPr>
              <w:t xml:space="preserve">Pääministeri esittelee ammatillisen </w:t>
            </w:r>
            <w:r>
              <w:rPr>
                <w:noProof/>
              </w:rPr>
              <w:t>koulutuksen nykyaikaistamista koskevan suunnitelman ja julkaisee Euroopan unionin virallisessa lehdessä kahdeksan kuninkaallista asetusta suunnitelman täytäntöönpanemiseksi, mikä vastaa viittä asiantuntijatutkintoa, kahta keski- ja yhtä korkea-asteen opetu</w:t>
            </w:r>
            <w:r>
              <w:rPr>
                <w:noProof/>
              </w:rPr>
              <w:t>ssuunnitelmaa</w:t>
            </w:r>
          </w:p>
        </w:tc>
      </w:tr>
      <w:tr w:rsidR="000E48CE" w14:paraId="7F18E1AA" w14:textId="77777777">
        <w:trPr>
          <w:trHeight w:val="309"/>
        </w:trPr>
        <w:tc>
          <w:tcPr>
            <w:tcW w:w="851" w:type="dxa"/>
            <w:shd w:val="clear" w:color="auto" w:fill="C6EFCE"/>
            <w:noWrap/>
          </w:tcPr>
          <w:p w14:paraId="36A51CE5" w14:textId="77777777" w:rsidR="000E48CE" w:rsidRDefault="00FF4C4E">
            <w:pPr>
              <w:pStyle w:val="P68B1DB1-Normal13"/>
              <w:spacing w:after="0" w:line="240" w:lineRule="auto"/>
              <w:jc w:val="center"/>
              <w:rPr>
                <w:rFonts w:eastAsia="Times New Roman" w:cs="Times New Roman"/>
                <w:noProof/>
              </w:rPr>
            </w:pPr>
            <w:r>
              <w:rPr>
                <w:noProof/>
              </w:rPr>
              <w:t>296</w:t>
            </w:r>
          </w:p>
        </w:tc>
        <w:tc>
          <w:tcPr>
            <w:tcW w:w="851" w:type="dxa"/>
            <w:shd w:val="clear" w:color="auto" w:fill="C6EFCE"/>
            <w:noWrap/>
          </w:tcPr>
          <w:p w14:paraId="77525228" w14:textId="77777777" w:rsidR="000E48CE" w:rsidRDefault="00FF4C4E">
            <w:pPr>
              <w:pStyle w:val="P68B1DB1-Normal13"/>
              <w:spacing w:after="0" w:line="240" w:lineRule="auto"/>
              <w:jc w:val="center"/>
              <w:rPr>
                <w:rFonts w:eastAsia="Times New Roman" w:cs="Times New Roman"/>
                <w:noProof/>
              </w:rPr>
            </w:pPr>
            <w:r>
              <w:rPr>
                <w:noProof/>
              </w:rPr>
              <w:t>C20.R2</w:t>
            </w:r>
          </w:p>
        </w:tc>
        <w:tc>
          <w:tcPr>
            <w:tcW w:w="858" w:type="dxa"/>
            <w:shd w:val="clear" w:color="auto" w:fill="C6EFCE"/>
            <w:noWrap/>
          </w:tcPr>
          <w:p w14:paraId="2C26C7FC" w14:textId="77777777" w:rsidR="000E48CE" w:rsidRDefault="00FF4C4E">
            <w:pPr>
              <w:pStyle w:val="P68B1DB1-Normal13"/>
              <w:spacing w:after="0" w:line="240" w:lineRule="auto"/>
              <w:jc w:val="center"/>
              <w:rPr>
                <w:rFonts w:eastAsia="Times New Roman" w:cs="Times New Roman"/>
                <w:noProof/>
              </w:rPr>
            </w:pPr>
            <w:r>
              <w:rPr>
                <w:noProof/>
              </w:rPr>
              <w:t>M</w:t>
            </w:r>
          </w:p>
        </w:tc>
        <w:tc>
          <w:tcPr>
            <w:tcW w:w="2685" w:type="dxa"/>
            <w:shd w:val="clear" w:color="auto" w:fill="C6EFCE"/>
            <w:noWrap/>
          </w:tcPr>
          <w:p w14:paraId="66D2E756" w14:textId="77777777" w:rsidR="000E48CE" w:rsidRDefault="00FF4C4E">
            <w:pPr>
              <w:pStyle w:val="P68B1DB1-Normal13"/>
              <w:spacing w:after="0" w:line="240" w:lineRule="auto"/>
              <w:rPr>
                <w:rFonts w:eastAsia="Times New Roman" w:cs="Times New Roman"/>
                <w:noProof/>
              </w:rPr>
            </w:pPr>
            <w:r>
              <w:rPr>
                <w:noProof/>
              </w:rPr>
              <w:t>Yhtenäisestä ammatillisesta koulutusjärjestelmästä annetun lain voimaantulo tavoitteena järjestelmän nykyaikaistaminen</w:t>
            </w:r>
          </w:p>
        </w:tc>
        <w:tc>
          <w:tcPr>
            <w:tcW w:w="1418" w:type="dxa"/>
            <w:shd w:val="clear" w:color="auto" w:fill="C6EFCE"/>
            <w:noWrap/>
          </w:tcPr>
          <w:p w14:paraId="4401B173" w14:textId="77777777" w:rsidR="000E48CE" w:rsidRDefault="00FF4C4E">
            <w:pPr>
              <w:pStyle w:val="P68B1DB1-Normal13"/>
              <w:spacing w:after="0" w:line="240" w:lineRule="auto"/>
              <w:jc w:val="center"/>
              <w:rPr>
                <w:rFonts w:eastAsia="Times New Roman" w:cs="Times New Roman"/>
                <w:noProof/>
              </w:rPr>
            </w:pPr>
            <w:r>
              <w:rPr>
                <w:noProof/>
              </w:rPr>
              <w:t>Julkaiseminen Euroopan unionin virallisessa lehdessä</w:t>
            </w:r>
          </w:p>
        </w:tc>
        <w:tc>
          <w:tcPr>
            <w:tcW w:w="811" w:type="dxa"/>
            <w:shd w:val="clear" w:color="auto" w:fill="C6EFCE"/>
            <w:noWrap/>
          </w:tcPr>
          <w:p w14:paraId="10014F23"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D45BAB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1718155C"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11F823F8" w14:textId="77777777" w:rsidR="000E48CE" w:rsidRDefault="00FF4C4E">
            <w:pPr>
              <w:pStyle w:val="P68B1DB1-Normal13"/>
              <w:spacing w:after="0" w:line="240" w:lineRule="auto"/>
              <w:jc w:val="center"/>
              <w:rPr>
                <w:rFonts w:eastAsia="Times New Roman" w:cs="Times New Roman"/>
                <w:noProof/>
              </w:rPr>
            </w:pPr>
            <w:r>
              <w:rPr>
                <w:noProof/>
              </w:rPr>
              <w:t>Q2</w:t>
            </w:r>
          </w:p>
        </w:tc>
        <w:tc>
          <w:tcPr>
            <w:tcW w:w="627" w:type="dxa"/>
            <w:shd w:val="clear" w:color="auto" w:fill="C6EFCE"/>
            <w:noWrap/>
          </w:tcPr>
          <w:p w14:paraId="7788A7C0" w14:textId="77777777" w:rsidR="000E48CE" w:rsidRDefault="00FF4C4E">
            <w:pPr>
              <w:pStyle w:val="P68B1DB1-Normal13"/>
              <w:spacing w:after="0" w:line="240" w:lineRule="auto"/>
              <w:jc w:val="center"/>
              <w:rPr>
                <w:rFonts w:eastAsia="Times New Roman" w:cs="Times New Roman"/>
                <w:noProof/>
              </w:rPr>
            </w:pPr>
            <w:r>
              <w:rPr>
                <w:noProof/>
              </w:rPr>
              <w:t>2022</w:t>
            </w:r>
          </w:p>
        </w:tc>
        <w:tc>
          <w:tcPr>
            <w:tcW w:w="4820" w:type="dxa"/>
            <w:shd w:val="clear" w:color="auto" w:fill="C6EFCE"/>
            <w:noWrap/>
          </w:tcPr>
          <w:p w14:paraId="5098559A" w14:textId="77777777" w:rsidR="000E48CE" w:rsidRDefault="00FF4C4E">
            <w:pPr>
              <w:pStyle w:val="P68B1DB1-Normal13"/>
              <w:spacing w:after="0" w:line="240" w:lineRule="auto"/>
              <w:rPr>
                <w:rFonts w:eastAsia="Times New Roman" w:cs="Times New Roman"/>
                <w:noProof/>
              </w:rPr>
            </w:pPr>
            <w:r>
              <w:rPr>
                <w:noProof/>
              </w:rPr>
              <w:t xml:space="preserve">Yhtenäisestä ammatillisesta </w:t>
            </w:r>
            <w:r>
              <w:rPr>
                <w:noProof/>
              </w:rPr>
              <w:t>koulutusjärjestelmästä annetun lain voimaantulo tavoitteena järjestelmän nykyaikaistaminen. Lailla yhdenmukaistetaan kaksi aiemmin olemassa ollutta ammatillisen koulutuksen järjestelmää ja nykyaikaistetaan niitä seuraavasti: keskitytään matalan osaamistaso</w:t>
            </w:r>
            <w:r>
              <w:rPr>
                <w:noProof/>
              </w:rPr>
              <w:t>n työntekijöiden taitojen parantamiseen ja heidän työllistettävyyteensä; puututaan osaamisen kohtaanto-ongelmaan; ammattipätevyyden tunnustamista koskevan kansallisen luettelon saattaminen ajan tasalle ja sen mukauttaminen talouden tuleviin tarpeisiin, muk</w:t>
            </w:r>
            <w:r>
              <w:rPr>
                <w:noProof/>
              </w:rPr>
              <w:t>aan lukien vihreän ja digitaalisen siirtymän tukeminen; parannetaan korkea-asteen ammatillisen koulutuksen ohjelmien houkuttelevuutta, jotta voidaan parantaa koulutukseen osallistumista.</w:t>
            </w:r>
          </w:p>
        </w:tc>
      </w:tr>
      <w:tr w:rsidR="000E48CE" w14:paraId="45000D6A" w14:textId="77777777">
        <w:trPr>
          <w:trHeight w:val="309"/>
        </w:trPr>
        <w:tc>
          <w:tcPr>
            <w:tcW w:w="851" w:type="dxa"/>
            <w:shd w:val="clear" w:color="auto" w:fill="C6EFCE"/>
            <w:noWrap/>
          </w:tcPr>
          <w:p w14:paraId="78962619" w14:textId="77777777" w:rsidR="000E48CE" w:rsidRDefault="00FF4C4E">
            <w:pPr>
              <w:pStyle w:val="P68B1DB1-Normal13"/>
              <w:spacing w:after="0" w:line="240" w:lineRule="auto"/>
              <w:jc w:val="center"/>
              <w:rPr>
                <w:rFonts w:eastAsia="Times New Roman" w:cs="Times New Roman"/>
                <w:noProof/>
              </w:rPr>
            </w:pPr>
            <w:r>
              <w:rPr>
                <w:noProof/>
              </w:rPr>
              <w:t>297</w:t>
            </w:r>
          </w:p>
        </w:tc>
        <w:tc>
          <w:tcPr>
            <w:tcW w:w="851" w:type="dxa"/>
            <w:shd w:val="clear" w:color="auto" w:fill="C6EFCE"/>
            <w:noWrap/>
          </w:tcPr>
          <w:p w14:paraId="33408A4A" w14:textId="77777777" w:rsidR="000E48CE" w:rsidRDefault="00FF4C4E">
            <w:pPr>
              <w:pStyle w:val="P68B1DB1-Normal13"/>
              <w:spacing w:after="0" w:line="240" w:lineRule="auto"/>
              <w:jc w:val="center"/>
              <w:rPr>
                <w:rFonts w:eastAsia="Times New Roman" w:cs="Times New Roman"/>
                <w:noProof/>
              </w:rPr>
            </w:pPr>
            <w:r>
              <w:rPr>
                <w:noProof/>
              </w:rPr>
              <w:t>C20.I1</w:t>
            </w:r>
          </w:p>
        </w:tc>
        <w:tc>
          <w:tcPr>
            <w:tcW w:w="858" w:type="dxa"/>
            <w:shd w:val="clear" w:color="auto" w:fill="C6EFCE"/>
            <w:noWrap/>
          </w:tcPr>
          <w:p w14:paraId="4E060070" w14:textId="77777777" w:rsidR="000E48CE" w:rsidRDefault="00FF4C4E">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574BB46F" w14:textId="77777777" w:rsidR="000E48CE" w:rsidRDefault="00FF4C4E">
            <w:pPr>
              <w:pStyle w:val="P68B1DB1-Normal13"/>
              <w:spacing w:after="0" w:line="240" w:lineRule="auto"/>
              <w:rPr>
                <w:rFonts w:eastAsia="Times New Roman" w:cs="Times New Roman"/>
                <w:noProof/>
              </w:rPr>
            </w:pPr>
            <w:r>
              <w:rPr>
                <w:noProof/>
              </w:rPr>
              <w:t xml:space="preserve">Kansallisen ammattipätevyysluettelon uudet osaamisyksiköt </w:t>
            </w:r>
          </w:p>
        </w:tc>
        <w:tc>
          <w:tcPr>
            <w:tcW w:w="1418" w:type="dxa"/>
            <w:shd w:val="clear" w:color="auto" w:fill="C6EFCE"/>
            <w:noWrap/>
          </w:tcPr>
          <w:p w14:paraId="0E55E7CF" w14:textId="77777777" w:rsidR="000E48CE" w:rsidRDefault="00FF4C4E">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10AAAFBE"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984" w:type="dxa"/>
            <w:shd w:val="clear" w:color="auto" w:fill="C6EFCE"/>
            <w:noWrap/>
          </w:tcPr>
          <w:p w14:paraId="7F24C0B2" w14:textId="77777777" w:rsidR="000E48CE" w:rsidRDefault="00FF4C4E">
            <w:pPr>
              <w:pStyle w:val="P68B1DB1-Normal13"/>
              <w:spacing w:after="0" w:line="240" w:lineRule="auto"/>
              <w:jc w:val="right"/>
              <w:rPr>
                <w:rFonts w:eastAsia="Times New Roman" w:cs="Times New Roman"/>
                <w:noProof/>
              </w:rPr>
            </w:pPr>
            <w:r>
              <w:rPr>
                <w:noProof/>
              </w:rPr>
              <w:t>0</w:t>
            </w:r>
          </w:p>
        </w:tc>
        <w:tc>
          <w:tcPr>
            <w:tcW w:w="1040" w:type="dxa"/>
            <w:shd w:val="clear" w:color="auto" w:fill="C6EFCE"/>
            <w:noWrap/>
          </w:tcPr>
          <w:p w14:paraId="4001611A" w14:textId="1A2AE673" w:rsidR="000E48CE" w:rsidRDefault="00FF4C4E">
            <w:pPr>
              <w:pStyle w:val="P68B1DB1-Normal13"/>
              <w:spacing w:after="0" w:line="240" w:lineRule="auto"/>
              <w:jc w:val="center"/>
              <w:rPr>
                <w:rFonts w:eastAsia="Times New Roman" w:cs="Times New Roman"/>
                <w:noProof/>
              </w:rPr>
            </w:pPr>
            <w:r>
              <w:rPr>
                <w:noProof/>
              </w:rPr>
              <w:t>2 000 000</w:t>
            </w:r>
          </w:p>
        </w:tc>
        <w:tc>
          <w:tcPr>
            <w:tcW w:w="365" w:type="dxa"/>
            <w:shd w:val="clear" w:color="auto" w:fill="C6EFCE"/>
            <w:noWrap/>
          </w:tcPr>
          <w:p w14:paraId="0FF706C7" w14:textId="77777777" w:rsidR="000E48CE" w:rsidRDefault="00FF4C4E">
            <w:pPr>
              <w:pStyle w:val="P68B1DB1-Normal13"/>
              <w:spacing w:after="0" w:line="240" w:lineRule="auto"/>
              <w:jc w:val="center"/>
              <w:rPr>
                <w:rFonts w:eastAsia="Times New Roman" w:cs="Times New Roman"/>
                <w:noProof/>
              </w:rPr>
            </w:pPr>
            <w:r>
              <w:rPr>
                <w:noProof/>
              </w:rPr>
              <w:t>Q4</w:t>
            </w:r>
          </w:p>
        </w:tc>
        <w:tc>
          <w:tcPr>
            <w:tcW w:w="627" w:type="dxa"/>
            <w:shd w:val="clear" w:color="auto" w:fill="C6EFCE"/>
            <w:noWrap/>
          </w:tcPr>
          <w:p w14:paraId="12CBBC17" w14:textId="7AD79860" w:rsidR="000E48CE" w:rsidRDefault="00FF4C4E">
            <w:pPr>
              <w:pStyle w:val="P68B1DB1-Normal13"/>
              <w:spacing w:after="0" w:line="240" w:lineRule="auto"/>
              <w:jc w:val="center"/>
              <w:rPr>
                <w:rFonts w:eastAsia="Times New Roman" w:cs="Times New Roman"/>
                <w:noProof/>
              </w:rPr>
            </w:pPr>
            <w:r>
              <w:rPr>
                <w:noProof/>
              </w:rPr>
              <w:t>202</w:t>
            </w:r>
            <w:r>
              <w:rPr>
                <w:noProof/>
                <w:shd w:val="clear" w:color="auto" w:fill="E6E6E6"/>
              </w:rPr>
              <w:t>5</w:t>
            </w:r>
          </w:p>
        </w:tc>
        <w:tc>
          <w:tcPr>
            <w:tcW w:w="4820" w:type="dxa"/>
            <w:shd w:val="clear" w:color="auto" w:fill="C6EFCE"/>
            <w:noWrap/>
          </w:tcPr>
          <w:p w14:paraId="2CFB6FE2" w14:textId="52FCA4F8" w:rsidR="000E48CE" w:rsidRDefault="00FF4C4E">
            <w:pPr>
              <w:pStyle w:val="P68B1DB1-Normal13"/>
              <w:spacing w:after="0" w:line="240" w:lineRule="auto"/>
              <w:rPr>
                <w:rFonts w:eastAsia="Times New Roman" w:cs="Times New Roman"/>
                <w:noProof/>
              </w:rPr>
            </w:pPr>
            <w:r>
              <w:rPr>
                <w:noProof/>
              </w:rPr>
              <w:t>Työkokemuksen ja epävirallisen koulutuksen kautta hankitun ammattipätevyyden kansallisen luettelon</w:t>
            </w:r>
            <w:r>
              <w:rPr>
                <w:noProof/>
                <w:shd w:val="clear" w:color="auto" w:fill="E6E6E6"/>
              </w:rPr>
              <w:t xml:space="preserve"> </w:t>
            </w:r>
            <w:r>
              <w:rPr>
                <w:noProof/>
              </w:rPr>
              <w:t>2000000 osaamisyksikön rekisteröinti (rekisteröinti), arviointi ja akk</w:t>
            </w:r>
            <w:r>
              <w:rPr>
                <w:noProof/>
              </w:rPr>
              <w:t>reditointi.</w:t>
            </w:r>
          </w:p>
        </w:tc>
      </w:tr>
      <w:tr w:rsidR="000E48CE" w14:paraId="314FAA92" w14:textId="77777777">
        <w:trPr>
          <w:trHeight w:val="309"/>
        </w:trPr>
        <w:tc>
          <w:tcPr>
            <w:tcW w:w="851" w:type="dxa"/>
            <w:shd w:val="clear" w:color="auto" w:fill="C6EFCE"/>
            <w:noWrap/>
          </w:tcPr>
          <w:p w14:paraId="2E0F6CF5" w14:textId="77777777" w:rsidR="000E48CE" w:rsidRDefault="00FF4C4E">
            <w:pPr>
              <w:pStyle w:val="P68B1DB1-Normal13"/>
              <w:spacing w:after="0" w:line="240" w:lineRule="auto"/>
              <w:jc w:val="center"/>
              <w:rPr>
                <w:rFonts w:eastAsia="Times New Roman" w:cs="Times New Roman"/>
                <w:noProof/>
              </w:rPr>
            </w:pPr>
            <w:r>
              <w:rPr>
                <w:noProof/>
              </w:rPr>
              <w:t>298</w:t>
            </w:r>
          </w:p>
        </w:tc>
        <w:tc>
          <w:tcPr>
            <w:tcW w:w="851" w:type="dxa"/>
            <w:shd w:val="clear" w:color="auto" w:fill="C6EFCE"/>
            <w:noWrap/>
          </w:tcPr>
          <w:p w14:paraId="20D3B77E" w14:textId="77777777" w:rsidR="000E48CE" w:rsidRDefault="00FF4C4E">
            <w:pPr>
              <w:pStyle w:val="P68B1DB1-Normal13"/>
              <w:spacing w:after="0" w:line="240" w:lineRule="auto"/>
              <w:jc w:val="center"/>
              <w:rPr>
                <w:rFonts w:eastAsia="Times New Roman" w:cs="Times New Roman"/>
                <w:noProof/>
              </w:rPr>
            </w:pPr>
            <w:r>
              <w:rPr>
                <w:noProof/>
              </w:rPr>
              <w:t>C20.I1</w:t>
            </w:r>
          </w:p>
        </w:tc>
        <w:tc>
          <w:tcPr>
            <w:tcW w:w="858" w:type="dxa"/>
            <w:shd w:val="clear" w:color="auto" w:fill="C6EFCE"/>
            <w:noWrap/>
          </w:tcPr>
          <w:p w14:paraId="753310FF" w14:textId="77777777" w:rsidR="000E48CE" w:rsidRDefault="00FF4C4E">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431FF7A1" w14:textId="77777777" w:rsidR="000E48CE" w:rsidRDefault="00FF4C4E">
            <w:pPr>
              <w:pStyle w:val="P68B1DB1-Normal13"/>
              <w:spacing w:after="0" w:line="240" w:lineRule="auto"/>
              <w:rPr>
                <w:rFonts w:eastAsia="Times New Roman" w:cs="Times New Roman"/>
                <w:noProof/>
              </w:rPr>
            </w:pPr>
            <w:r>
              <w:rPr>
                <w:noProof/>
              </w:rPr>
              <w:t xml:space="preserve">Työssäkäyvien ja työttömien täydennys- ja uudelleenkoulutusta koskeva moduulikoulutus </w:t>
            </w:r>
          </w:p>
        </w:tc>
        <w:tc>
          <w:tcPr>
            <w:tcW w:w="1418" w:type="dxa"/>
            <w:shd w:val="clear" w:color="auto" w:fill="C6EFCE"/>
            <w:noWrap/>
          </w:tcPr>
          <w:p w14:paraId="3C6BB208" w14:textId="77777777" w:rsidR="000E48CE" w:rsidRDefault="00FF4C4E">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0A99AEE2"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984" w:type="dxa"/>
            <w:shd w:val="clear" w:color="auto" w:fill="C6EFCE"/>
            <w:noWrap/>
          </w:tcPr>
          <w:p w14:paraId="44D6BCA3" w14:textId="77777777" w:rsidR="000E48CE" w:rsidRDefault="00FF4C4E">
            <w:pPr>
              <w:pStyle w:val="P68B1DB1-Normal13"/>
              <w:spacing w:after="0" w:line="240" w:lineRule="auto"/>
              <w:jc w:val="right"/>
              <w:rPr>
                <w:rFonts w:eastAsia="Times New Roman" w:cs="Times New Roman"/>
                <w:noProof/>
              </w:rPr>
            </w:pPr>
            <w:r>
              <w:rPr>
                <w:noProof/>
              </w:rPr>
              <w:t>0</w:t>
            </w:r>
          </w:p>
        </w:tc>
        <w:tc>
          <w:tcPr>
            <w:tcW w:w="1040" w:type="dxa"/>
            <w:shd w:val="clear" w:color="auto" w:fill="C6EFCE"/>
            <w:noWrap/>
          </w:tcPr>
          <w:p w14:paraId="7D0F9D51" w14:textId="77777777" w:rsidR="000E48CE" w:rsidRDefault="00FF4C4E">
            <w:pPr>
              <w:pStyle w:val="P68B1DB1-Normal13"/>
              <w:spacing w:after="0" w:line="240" w:lineRule="auto"/>
              <w:jc w:val="center"/>
              <w:rPr>
                <w:rFonts w:eastAsia="Times New Roman" w:cs="Times New Roman"/>
                <w:noProof/>
              </w:rPr>
            </w:pPr>
            <w:r>
              <w:rPr>
                <w:noProof/>
              </w:rPr>
              <w:t>1 000 000</w:t>
            </w:r>
          </w:p>
        </w:tc>
        <w:tc>
          <w:tcPr>
            <w:tcW w:w="365" w:type="dxa"/>
            <w:shd w:val="clear" w:color="auto" w:fill="C6EFCE"/>
            <w:noWrap/>
          </w:tcPr>
          <w:p w14:paraId="5B13200A" w14:textId="77777777" w:rsidR="000E48CE" w:rsidRDefault="00FF4C4E">
            <w:pPr>
              <w:pStyle w:val="P68B1DB1-Normal13"/>
              <w:spacing w:after="0" w:line="240" w:lineRule="auto"/>
              <w:jc w:val="center"/>
              <w:rPr>
                <w:rFonts w:eastAsia="Times New Roman" w:cs="Times New Roman"/>
                <w:noProof/>
              </w:rPr>
            </w:pPr>
            <w:r>
              <w:rPr>
                <w:noProof/>
              </w:rPr>
              <w:t>Q4</w:t>
            </w:r>
          </w:p>
        </w:tc>
        <w:tc>
          <w:tcPr>
            <w:tcW w:w="627" w:type="dxa"/>
            <w:shd w:val="clear" w:color="auto" w:fill="C6EFCE"/>
            <w:noWrap/>
          </w:tcPr>
          <w:p w14:paraId="07C103F7" w14:textId="77777777" w:rsidR="000E48CE" w:rsidRDefault="00FF4C4E">
            <w:pPr>
              <w:pStyle w:val="P68B1DB1-Normal13"/>
              <w:spacing w:after="0" w:line="240" w:lineRule="auto"/>
              <w:jc w:val="center"/>
              <w:rPr>
                <w:rFonts w:eastAsia="Times New Roman" w:cs="Times New Roman"/>
                <w:noProof/>
              </w:rPr>
            </w:pPr>
            <w:r>
              <w:rPr>
                <w:noProof/>
              </w:rPr>
              <w:t>2024</w:t>
            </w:r>
          </w:p>
        </w:tc>
        <w:tc>
          <w:tcPr>
            <w:tcW w:w="4820" w:type="dxa"/>
            <w:shd w:val="clear" w:color="auto" w:fill="C6EFCE"/>
            <w:noWrap/>
          </w:tcPr>
          <w:p w14:paraId="12C1D687" w14:textId="77777777" w:rsidR="000E48CE" w:rsidRDefault="00FF4C4E">
            <w:pPr>
              <w:pStyle w:val="P68B1DB1-Normal13"/>
              <w:spacing w:after="0" w:line="240" w:lineRule="auto"/>
              <w:rPr>
                <w:rFonts w:eastAsia="Times New Roman" w:cs="Times New Roman"/>
                <w:noProof/>
              </w:rPr>
            </w:pPr>
            <w:r>
              <w:rPr>
                <w:noProof/>
              </w:rPr>
              <w:t xml:space="preserve">Tarjotaan modulaarista digitaalista täydennys- ja uudelleenkoulutusta koskevaa koulutusta (josta vähintään 300000 </w:t>
            </w:r>
            <w:r>
              <w:rPr>
                <w:noProof/>
              </w:rPr>
              <w:t>työntekijää on koulutettu) ja modulaarinen koulutus, jonka tarkoituksena on työntekijöiden ja työttömien uudelleen- ja täydennyskoulutus (vähintään 700000 koulutettua henkilöä).</w:t>
            </w:r>
          </w:p>
        </w:tc>
      </w:tr>
      <w:tr w:rsidR="000E48CE" w14:paraId="58765A23" w14:textId="77777777">
        <w:trPr>
          <w:trHeight w:val="309"/>
        </w:trPr>
        <w:tc>
          <w:tcPr>
            <w:tcW w:w="851" w:type="dxa"/>
            <w:shd w:val="clear" w:color="auto" w:fill="C6EFCE"/>
            <w:noWrap/>
          </w:tcPr>
          <w:p w14:paraId="584F7F59" w14:textId="77777777" w:rsidR="000E48CE" w:rsidRDefault="00FF4C4E">
            <w:pPr>
              <w:pStyle w:val="P68B1DB1-Normal13"/>
              <w:spacing w:after="0" w:line="240" w:lineRule="auto"/>
              <w:jc w:val="center"/>
              <w:rPr>
                <w:rFonts w:eastAsia="Times New Roman" w:cs="Times New Roman"/>
                <w:noProof/>
              </w:rPr>
            </w:pPr>
            <w:r>
              <w:rPr>
                <w:noProof/>
              </w:rPr>
              <w:t>299</w:t>
            </w:r>
          </w:p>
        </w:tc>
        <w:tc>
          <w:tcPr>
            <w:tcW w:w="851" w:type="dxa"/>
            <w:shd w:val="clear" w:color="auto" w:fill="C6EFCE"/>
            <w:noWrap/>
          </w:tcPr>
          <w:p w14:paraId="7CD57124" w14:textId="77777777" w:rsidR="000E48CE" w:rsidRDefault="00FF4C4E">
            <w:pPr>
              <w:pStyle w:val="P68B1DB1-Normal13"/>
              <w:spacing w:after="0" w:line="240" w:lineRule="auto"/>
              <w:jc w:val="center"/>
              <w:rPr>
                <w:rFonts w:eastAsia="Times New Roman" w:cs="Times New Roman"/>
                <w:noProof/>
              </w:rPr>
            </w:pPr>
            <w:r>
              <w:rPr>
                <w:noProof/>
              </w:rPr>
              <w:t>C20.I2</w:t>
            </w:r>
          </w:p>
        </w:tc>
        <w:tc>
          <w:tcPr>
            <w:tcW w:w="858" w:type="dxa"/>
            <w:shd w:val="clear" w:color="auto" w:fill="C6EFCE"/>
            <w:noWrap/>
          </w:tcPr>
          <w:p w14:paraId="23625CEE" w14:textId="77777777" w:rsidR="000E48CE" w:rsidRDefault="00FF4C4E">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0F93CAD7" w14:textId="77777777" w:rsidR="000E48CE" w:rsidRDefault="00FF4C4E">
            <w:pPr>
              <w:pStyle w:val="P68B1DB1-Normal13"/>
              <w:spacing w:after="0" w:line="240" w:lineRule="auto"/>
              <w:rPr>
                <w:rFonts w:eastAsia="Times New Roman" w:cs="Times New Roman"/>
                <w:noProof/>
              </w:rPr>
            </w:pPr>
            <w:r>
              <w:rPr>
                <w:noProof/>
              </w:rPr>
              <w:t>Ammatillisen koulutuksen huippuosaamis- ja innovaatiokeskukset</w:t>
            </w:r>
          </w:p>
        </w:tc>
        <w:tc>
          <w:tcPr>
            <w:tcW w:w="1418" w:type="dxa"/>
            <w:shd w:val="clear" w:color="auto" w:fill="C6EFCE"/>
            <w:noWrap/>
          </w:tcPr>
          <w:p w14:paraId="33D94C4F" w14:textId="77777777" w:rsidR="000E48CE" w:rsidRDefault="00FF4C4E">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32514100"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984" w:type="dxa"/>
            <w:shd w:val="clear" w:color="auto" w:fill="C6EFCE"/>
            <w:noWrap/>
          </w:tcPr>
          <w:p w14:paraId="72376FB8" w14:textId="77777777" w:rsidR="000E48CE" w:rsidRDefault="00FF4C4E">
            <w:pPr>
              <w:pStyle w:val="P68B1DB1-Normal13"/>
              <w:spacing w:after="0" w:line="240" w:lineRule="auto"/>
              <w:jc w:val="right"/>
              <w:rPr>
                <w:rFonts w:eastAsia="Times New Roman" w:cs="Times New Roman"/>
                <w:noProof/>
              </w:rPr>
            </w:pPr>
            <w:r>
              <w:rPr>
                <w:noProof/>
              </w:rPr>
              <w:t>0</w:t>
            </w:r>
          </w:p>
        </w:tc>
        <w:tc>
          <w:tcPr>
            <w:tcW w:w="1040" w:type="dxa"/>
            <w:shd w:val="clear" w:color="auto" w:fill="C6EFCE"/>
            <w:noWrap/>
          </w:tcPr>
          <w:p w14:paraId="53C5D410" w14:textId="77777777" w:rsidR="000E48CE" w:rsidRDefault="00FF4C4E">
            <w:pPr>
              <w:pStyle w:val="P68B1DB1-Normal13"/>
              <w:spacing w:after="0" w:line="240" w:lineRule="auto"/>
              <w:jc w:val="center"/>
              <w:rPr>
                <w:rFonts w:eastAsia="Times New Roman" w:cs="Times New Roman"/>
                <w:noProof/>
              </w:rPr>
            </w:pPr>
            <w:r>
              <w:rPr>
                <w:noProof/>
              </w:rPr>
              <w:t>50</w:t>
            </w:r>
          </w:p>
        </w:tc>
        <w:tc>
          <w:tcPr>
            <w:tcW w:w="365" w:type="dxa"/>
            <w:shd w:val="clear" w:color="auto" w:fill="C6EFCE"/>
            <w:noWrap/>
          </w:tcPr>
          <w:p w14:paraId="67654B24" w14:textId="77777777" w:rsidR="000E48CE" w:rsidRDefault="00FF4C4E">
            <w:pPr>
              <w:pStyle w:val="P68B1DB1-Normal13"/>
              <w:spacing w:after="0" w:line="240" w:lineRule="auto"/>
              <w:jc w:val="center"/>
              <w:rPr>
                <w:rFonts w:eastAsia="Times New Roman" w:cs="Times New Roman"/>
                <w:noProof/>
              </w:rPr>
            </w:pPr>
            <w:r>
              <w:rPr>
                <w:noProof/>
              </w:rPr>
              <w:t>Q4</w:t>
            </w:r>
          </w:p>
        </w:tc>
        <w:tc>
          <w:tcPr>
            <w:tcW w:w="627" w:type="dxa"/>
            <w:shd w:val="clear" w:color="auto" w:fill="C6EFCE"/>
            <w:noWrap/>
          </w:tcPr>
          <w:p w14:paraId="3400A269" w14:textId="34C41AD4" w:rsidR="000E48CE" w:rsidRDefault="00FF4C4E">
            <w:pPr>
              <w:pStyle w:val="P68B1DB1-Normal13"/>
              <w:spacing w:after="0" w:line="240" w:lineRule="auto"/>
              <w:jc w:val="center"/>
              <w:rPr>
                <w:rFonts w:eastAsia="Times New Roman" w:cs="Times New Roman"/>
                <w:noProof/>
              </w:rPr>
            </w:pPr>
            <w:r>
              <w:rPr>
                <w:noProof/>
              </w:rPr>
              <w:t>2024</w:t>
            </w:r>
          </w:p>
        </w:tc>
        <w:tc>
          <w:tcPr>
            <w:tcW w:w="4820" w:type="dxa"/>
            <w:shd w:val="clear" w:color="auto" w:fill="C6EFCE"/>
            <w:noWrap/>
          </w:tcPr>
          <w:p w14:paraId="17635310" w14:textId="77777777" w:rsidR="000E48CE" w:rsidRDefault="00FF4C4E">
            <w:pPr>
              <w:pStyle w:val="P68B1DB1-Normal13"/>
              <w:spacing w:after="0" w:line="240" w:lineRule="auto"/>
              <w:rPr>
                <w:rFonts w:eastAsia="Times New Roman" w:cs="Times New Roman"/>
                <w:noProof/>
              </w:rPr>
            </w:pPr>
            <w:r>
              <w:rPr>
                <w:noProof/>
              </w:rPr>
              <w:t>Vähintään 50 ammatillisen koulutuksen huippuosaamis- ja innovointikeskuksen perustaminen</w:t>
            </w:r>
          </w:p>
        </w:tc>
      </w:tr>
      <w:tr w:rsidR="000E48CE" w14:paraId="73E94D32" w14:textId="77777777">
        <w:trPr>
          <w:trHeight w:val="309"/>
        </w:trPr>
        <w:tc>
          <w:tcPr>
            <w:tcW w:w="851" w:type="dxa"/>
            <w:shd w:val="clear" w:color="auto" w:fill="C6EFCE"/>
            <w:noWrap/>
          </w:tcPr>
          <w:p w14:paraId="4B74BC9C" w14:textId="1FB87736" w:rsidR="000E48CE" w:rsidRDefault="00FF4C4E">
            <w:pPr>
              <w:pStyle w:val="P68B1DB1-Normal13"/>
              <w:spacing w:after="0" w:line="240" w:lineRule="auto"/>
              <w:jc w:val="center"/>
              <w:rPr>
                <w:rFonts w:cs="Times New Roman"/>
                <w:noProof/>
              </w:rPr>
            </w:pPr>
            <w:r>
              <w:rPr>
                <w:noProof/>
              </w:rPr>
              <w:t>467</w:t>
            </w:r>
          </w:p>
        </w:tc>
        <w:tc>
          <w:tcPr>
            <w:tcW w:w="851" w:type="dxa"/>
            <w:shd w:val="clear" w:color="auto" w:fill="C6EFCE"/>
            <w:noWrap/>
          </w:tcPr>
          <w:p w14:paraId="58748948" w14:textId="02C227AA" w:rsidR="000E48CE" w:rsidRDefault="00FF4C4E">
            <w:pPr>
              <w:pStyle w:val="P68B1DB1-Normal13"/>
              <w:spacing w:after="0" w:line="240" w:lineRule="auto"/>
              <w:jc w:val="center"/>
              <w:rPr>
                <w:rFonts w:cs="Times New Roman"/>
                <w:noProof/>
              </w:rPr>
            </w:pPr>
            <w:r>
              <w:rPr>
                <w:noProof/>
              </w:rPr>
              <w:t>C20.I2</w:t>
            </w:r>
          </w:p>
        </w:tc>
        <w:tc>
          <w:tcPr>
            <w:tcW w:w="858" w:type="dxa"/>
            <w:shd w:val="clear" w:color="auto" w:fill="C6EFCE"/>
            <w:noWrap/>
          </w:tcPr>
          <w:p w14:paraId="09C37C7B" w14:textId="6D785E73" w:rsidR="000E48CE" w:rsidRDefault="00FF4C4E">
            <w:pPr>
              <w:pStyle w:val="P68B1DB1-Normal13"/>
              <w:spacing w:after="0" w:line="240" w:lineRule="auto"/>
              <w:jc w:val="center"/>
              <w:rPr>
                <w:rFonts w:cs="Times New Roman"/>
                <w:noProof/>
              </w:rPr>
            </w:pPr>
            <w:r>
              <w:rPr>
                <w:noProof/>
              </w:rPr>
              <w:t>T</w:t>
            </w:r>
          </w:p>
        </w:tc>
        <w:tc>
          <w:tcPr>
            <w:tcW w:w="2685" w:type="dxa"/>
            <w:shd w:val="clear" w:color="auto" w:fill="C6EFCE"/>
            <w:noWrap/>
          </w:tcPr>
          <w:p w14:paraId="2B8B2EAF" w14:textId="3DCC5CBD" w:rsidR="000E48CE" w:rsidRDefault="00FF4C4E">
            <w:pPr>
              <w:pStyle w:val="P68B1DB1-Normal13"/>
              <w:spacing w:after="0" w:line="240" w:lineRule="auto"/>
              <w:rPr>
                <w:rFonts w:cs="Times New Roman"/>
                <w:noProof/>
              </w:rPr>
            </w:pPr>
            <w:r>
              <w:rPr>
                <w:noProof/>
              </w:rPr>
              <w:t>Luokkahuoneiden muuntaminen sovelletuiksi teknologiatiloiksi</w:t>
            </w:r>
          </w:p>
        </w:tc>
        <w:tc>
          <w:tcPr>
            <w:tcW w:w="1418" w:type="dxa"/>
            <w:shd w:val="clear" w:color="auto" w:fill="C6EFCE"/>
            <w:noWrap/>
          </w:tcPr>
          <w:p w14:paraId="158ACBAA" w14:textId="77777777" w:rsidR="000E48CE" w:rsidRDefault="000E48CE">
            <w:pPr>
              <w:spacing w:after="0" w:line="240" w:lineRule="auto"/>
              <w:jc w:val="center"/>
              <w:rPr>
                <w:rFonts w:ascii="Times New Roman" w:hAnsi="Times New Roman" w:cs="Times New Roman"/>
                <w:noProof/>
                <w:sz w:val="18"/>
              </w:rPr>
            </w:pPr>
          </w:p>
        </w:tc>
        <w:tc>
          <w:tcPr>
            <w:tcW w:w="811" w:type="dxa"/>
            <w:shd w:val="clear" w:color="auto" w:fill="C6EFCE"/>
            <w:noWrap/>
          </w:tcPr>
          <w:p w14:paraId="08B3F54E" w14:textId="640E8BE9" w:rsidR="000E48CE" w:rsidRDefault="00FF4C4E">
            <w:pPr>
              <w:pStyle w:val="P68B1DB1-Normal13"/>
              <w:spacing w:after="0" w:line="240" w:lineRule="auto"/>
              <w:jc w:val="center"/>
              <w:rPr>
                <w:rFonts w:cs="Times New Roman"/>
                <w:noProof/>
              </w:rPr>
            </w:pPr>
            <w:r>
              <w:rPr>
                <w:noProof/>
              </w:rPr>
              <w:t>Määrä</w:t>
            </w:r>
          </w:p>
        </w:tc>
        <w:tc>
          <w:tcPr>
            <w:tcW w:w="984" w:type="dxa"/>
            <w:shd w:val="clear" w:color="auto" w:fill="C6EFCE"/>
            <w:noWrap/>
          </w:tcPr>
          <w:p w14:paraId="7AD65BD1" w14:textId="1D1A4DE7" w:rsidR="000E48CE" w:rsidRDefault="00FF4C4E">
            <w:pPr>
              <w:pStyle w:val="P68B1DB1-Normal13"/>
              <w:spacing w:after="0" w:line="240" w:lineRule="auto"/>
              <w:jc w:val="right"/>
              <w:rPr>
                <w:rFonts w:cs="Times New Roman"/>
                <w:noProof/>
              </w:rPr>
            </w:pPr>
            <w:r>
              <w:rPr>
                <w:noProof/>
              </w:rPr>
              <w:t>0</w:t>
            </w:r>
          </w:p>
        </w:tc>
        <w:tc>
          <w:tcPr>
            <w:tcW w:w="1040" w:type="dxa"/>
            <w:shd w:val="clear" w:color="auto" w:fill="C6EFCE"/>
            <w:noWrap/>
          </w:tcPr>
          <w:p w14:paraId="0C8D60C2" w14:textId="152B4BBF" w:rsidR="000E48CE" w:rsidRDefault="00FF4C4E">
            <w:pPr>
              <w:pStyle w:val="P68B1DB1-Normal13"/>
              <w:spacing w:after="0" w:line="240" w:lineRule="auto"/>
              <w:jc w:val="center"/>
              <w:rPr>
                <w:rFonts w:cs="Times New Roman"/>
                <w:noProof/>
              </w:rPr>
            </w:pPr>
            <w:r>
              <w:rPr>
                <w:noProof/>
              </w:rPr>
              <w:t>1 253</w:t>
            </w:r>
          </w:p>
        </w:tc>
        <w:tc>
          <w:tcPr>
            <w:tcW w:w="365" w:type="dxa"/>
            <w:shd w:val="clear" w:color="auto" w:fill="C6EFCE"/>
            <w:noWrap/>
          </w:tcPr>
          <w:p w14:paraId="26C5A175" w14:textId="39059409" w:rsidR="000E48CE" w:rsidRDefault="00FF4C4E">
            <w:pPr>
              <w:pStyle w:val="P68B1DB1-Normal13"/>
              <w:spacing w:after="0" w:line="240" w:lineRule="auto"/>
              <w:jc w:val="center"/>
              <w:rPr>
                <w:rFonts w:cs="Times New Roman"/>
                <w:noProof/>
              </w:rPr>
            </w:pPr>
            <w:r>
              <w:rPr>
                <w:noProof/>
              </w:rPr>
              <w:t>Q4</w:t>
            </w:r>
          </w:p>
        </w:tc>
        <w:tc>
          <w:tcPr>
            <w:tcW w:w="627" w:type="dxa"/>
            <w:shd w:val="clear" w:color="auto" w:fill="C6EFCE"/>
            <w:noWrap/>
          </w:tcPr>
          <w:p w14:paraId="06CFDB13" w14:textId="260CF935" w:rsidR="000E48CE" w:rsidRDefault="00FF4C4E">
            <w:pPr>
              <w:pStyle w:val="P68B1DB1-Normal13"/>
              <w:spacing w:after="0" w:line="240" w:lineRule="auto"/>
              <w:jc w:val="center"/>
              <w:rPr>
                <w:rFonts w:cs="Times New Roman"/>
                <w:noProof/>
              </w:rPr>
            </w:pPr>
            <w:r>
              <w:rPr>
                <w:noProof/>
              </w:rPr>
              <w:t>2025</w:t>
            </w:r>
          </w:p>
        </w:tc>
        <w:tc>
          <w:tcPr>
            <w:tcW w:w="4820" w:type="dxa"/>
            <w:shd w:val="clear" w:color="auto" w:fill="C6EFCE"/>
            <w:noWrap/>
          </w:tcPr>
          <w:p w14:paraId="5AC13B39" w14:textId="77777777" w:rsidR="000E48CE" w:rsidRDefault="00FF4C4E">
            <w:pPr>
              <w:pStyle w:val="P68B1DB1-Normal13"/>
              <w:spacing w:after="0" w:line="240" w:lineRule="auto"/>
              <w:rPr>
                <w:rFonts w:cs="Times New Roman"/>
                <w:noProof/>
              </w:rPr>
            </w:pPr>
            <w:r>
              <w:rPr>
                <w:noProof/>
              </w:rPr>
              <w:t>Vähintään 1253 luokkahuonetta, jotka on muunnettu</w:t>
            </w:r>
            <w:r>
              <w:rPr>
                <w:noProof/>
              </w:rPr>
              <w:t xml:space="preserve"> teknologisiksi luokkahuoneiksi, joissa luodaan uudelleen työympäristöjä teknologisia resursseja käyttäen, jotta opiskelijat voivat lähestyä teknologioita, joita heidän on myöhemmin löydettävä yrityksissä.</w:t>
            </w:r>
          </w:p>
          <w:p w14:paraId="6F142C02" w14:textId="77777777" w:rsidR="000E48CE" w:rsidRDefault="000E48CE">
            <w:pPr>
              <w:spacing w:after="0" w:line="240" w:lineRule="auto"/>
              <w:rPr>
                <w:rFonts w:ascii="Times New Roman" w:hAnsi="Times New Roman" w:cs="Times New Roman"/>
                <w:noProof/>
                <w:sz w:val="18"/>
              </w:rPr>
            </w:pPr>
          </w:p>
        </w:tc>
      </w:tr>
      <w:tr w:rsidR="000E48CE" w14:paraId="6D54DFE7" w14:textId="77777777">
        <w:trPr>
          <w:trHeight w:val="309"/>
        </w:trPr>
        <w:tc>
          <w:tcPr>
            <w:tcW w:w="851" w:type="dxa"/>
            <w:shd w:val="clear" w:color="auto" w:fill="C6EFCE"/>
            <w:noWrap/>
          </w:tcPr>
          <w:p w14:paraId="611A44EA" w14:textId="0521778E" w:rsidR="000E48CE" w:rsidRDefault="00FF4C4E">
            <w:pPr>
              <w:pStyle w:val="P68B1DB1-Normal13"/>
              <w:spacing w:after="0" w:line="240" w:lineRule="auto"/>
              <w:jc w:val="center"/>
              <w:rPr>
                <w:rFonts w:cs="Times New Roman"/>
                <w:noProof/>
              </w:rPr>
            </w:pPr>
            <w:r>
              <w:rPr>
                <w:noProof/>
              </w:rPr>
              <w:t>467a</w:t>
            </w:r>
          </w:p>
        </w:tc>
        <w:tc>
          <w:tcPr>
            <w:tcW w:w="851" w:type="dxa"/>
            <w:shd w:val="clear" w:color="auto" w:fill="C6EFCE"/>
            <w:noWrap/>
          </w:tcPr>
          <w:p w14:paraId="47D2B553" w14:textId="2878FBC8" w:rsidR="000E48CE" w:rsidRDefault="00FF4C4E">
            <w:pPr>
              <w:pStyle w:val="P68B1DB1-Normal13"/>
              <w:spacing w:after="0" w:line="240" w:lineRule="auto"/>
              <w:jc w:val="center"/>
              <w:rPr>
                <w:rFonts w:cs="Times New Roman"/>
                <w:noProof/>
              </w:rPr>
            </w:pPr>
            <w:r>
              <w:rPr>
                <w:noProof/>
              </w:rPr>
              <w:t>C20.I2</w:t>
            </w:r>
          </w:p>
        </w:tc>
        <w:tc>
          <w:tcPr>
            <w:tcW w:w="858" w:type="dxa"/>
            <w:shd w:val="clear" w:color="auto" w:fill="C6EFCE"/>
            <w:noWrap/>
          </w:tcPr>
          <w:p w14:paraId="798315B4" w14:textId="445FE865" w:rsidR="000E48CE" w:rsidRDefault="00FF4C4E">
            <w:pPr>
              <w:pStyle w:val="P68B1DB1-Normal13"/>
              <w:spacing w:after="0" w:line="240" w:lineRule="auto"/>
              <w:jc w:val="center"/>
              <w:rPr>
                <w:rFonts w:cs="Times New Roman"/>
                <w:noProof/>
              </w:rPr>
            </w:pPr>
            <w:r>
              <w:rPr>
                <w:noProof/>
              </w:rPr>
              <w:t>T</w:t>
            </w:r>
          </w:p>
        </w:tc>
        <w:tc>
          <w:tcPr>
            <w:tcW w:w="2685" w:type="dxa"/>
            <w:shd w:val="clear" w:color="auto" w:fill="C6EFCE"/>
            <w:noWrap/>
          </w:tcPr>
          <w:p w14:paraId="34E49174" w14:textId="4216CDAF" w:rsidR="000E48CE" w:rsidRDefault="00FF4C4E">
            <w:pPr>
              <w:pStyle w:val="P68B1DB1-Normal13"/>
              <w:spacing w:after="0" w:line="240" w:lineRule="auto"/>
              <w:rPr>
                <w:rFonts w:cs="Times New Roman"/>
                <w:noProof/>
              </w:rPr>
            </w:pPr>
            <w:r>
              <w:rPr>
                <w:noProof/>
              </w:rPr>
              <w:t xml:space="preserve">Yrittäjyyttä käsittelevien </w:t>
            </w:r>
            <w:r>
              <w:rPr>
                <w:noProof/>
              </w:rPr>
              <w:t>luokkahuoneiden perustaminen ja tukeminen</w:t>
            </w:r>
          </w:p>
        </w:tc>
        <w:tc>
          <w:tcPr>
            <w:tcW w:w="1418" w:type="dxa"/>
            <w:shd w:val="clear" w:color="auto" w:fill="C6EFCE"/>
            <w:noWrap/>
          </w:tcPr>
          <w:p w14:paraId="3FACDABE" w14:textId="30ECEB38" w:rsidR="000E48CE" w:rsidRDefault="00FF4C4E">
            <w:pPr>
              <w:pStyle w:val="P68B1DB1-Normal13"/>
              <w:spacing w:after="0" w:line="240" w:lineRule="auto"/>
              <w:jc w:val="center"/>
              <w:rPr>
                <w:rFonts w:cs="Times New Roman"/>
                <w:noProof/>
              </w:rPr>
            </w:pPr>
            <w:r>
              <w:rPr>
                <w:noProof/>
              </w:rPr>
              <w:t>—</w:t>
            </w:r>
          </w:p>
        </w:tc>
        <w:tc>
          <w:tcPr>
            <w:tcW w:w="811" w:type="dxa"/>
            <w:shd w:val="clear" w:color="auto" w:fill="C6EFCE"/>
            <w:noWrap/>
          </w:tcPr>
          <w:p w14:paraId="65508F6D" w14:textId="560BA660" w:rsidR="000E48CE" w:rsidRDefault="00FF4C4E">
            <w:pPr>
              <w:pStyle w:val="P68B1DB1-Normal13"/>
              <w:spacing w:after="0" w:line="240" w:lineRule="auto"/>
              <w:jc w:val="center"/>
              <w:rPr>
                <w:rFonts w:cs="Times New Roman"/>
                <w:noProof/>
              </w:rPr>
            </w:pPr>
            <w:r>
              <w:rPr>
                <w:noProof/>
              </w:rPr>
              <w:t>Määrä</w:t>
            </w:r>
          </w:p>
        </w:tc>
        <w:tc>
          <w:tcPr>
            <w:tcW w:w="984" w:type="dxa"/>
            <w:shd w:val="clear" w:color="auto" w:fill="C6EFCE"/>
            <w:noWrap/>
          </w:tcPr>
          <w:p w14:paraId="5E9B31B8" w14:textId="17FA8C84" w:rsidR="000E48CE" w:rsidRDefault="00FF4C4E">
            <w:pPr>
              <w:pStyle w:val="P68B1DB1-Normal13"/>
              <w:spacing w:after="0" w:line="240" w:lineRule="auto"/>
              <w:jc w:val="center"/>
              <w:rPr>
                <w:rFonts w:cs="Times New Roman"/>
                <w:noProof/>
              </w:rPr>
            </w:pPr>
            <w:r>
              <w:rPr>
                <w:noProof/>
              </w:rPr>
              <w:t>0</w:t>
            </w:r>
          </w:p>
        </w:tc>
        <w:tc>
          <w:tcPr>
            <w:tcW w:w="1040" w:type="dxa"/>
            <w:shd w:val="clear" w:color="auto" w:fill="C6EFCE"/>
            <w:noWrap/>
          </w:tcPr>
          <w:p w14:paraId="02CF59FB" w14:textId="22961360" w:rsidR="000E48CE" w:rsidRDefault="00FF4C4E">
            <w:pPr>
              <w:pStyle w:val="P68B1DB1-Normal13"/>
              <w:spacing w:after="0" w:line="240" w:lineRule="auto"/>
              <w:jc w:val="center"/>
              <w:rPr>
                <w:rFonts w:cs="Times New Roman"/>
                <w:noProof/>
              </w:rPr>
            </w:pPr>
            <w:r>
              <w:rPr>
                <w:noProof/>
              </w:rPr>
              <w:t>1 350</w:t>
            </w:r>
          </w:p>
        </w:tc>
        <w:tc>
          <w:tcPr>
            <w:tcW w:w="365" w:type="dxa"/>
            <w:shd w:val="clear" w:color="auto" w:fill="C6EFCE"/>
            <w:noWrap/>
          </w:tcPr>
          <w:p w14:paraId="67BBA881" w14:textId="0A177EF0" w:rsidR="000E48CE" w:rsidRDefault="00FF4C4E">
            <w:pPr>
              <w:pStyle w:val="P68B1DB1-Normal13"/>
              <w:spacing w:after="0" w:line="240" w:lineRule="auto"/>
              <w:jc w:val="center"/>
              <w:rPr>
                <w:rFonts w:cs="Times New Roman"/>
                <w:noProof/>
              </w:rPr>
            </w:pPr>
            <w:r>
              <w:rPr>
                <w:noProof/>
              </w:rPr>
              <w:t>Q4</w:t>
            </w:r>
          </w:p>
        </w:tc>
        <w:tc>
          <w:tcPr>
            <w:tcW w:w="627" w:type="dxa"/>
            <w:shd w:val="clear" w:color="auto" w:fill="C6EFCE"/>
            <w:noWrap/>
          </w:tcPr>
          <w:p w14:paraId="253C5128" w14:textId="35FC6FC5" w:rsidR="000E48CE" w:rsidRDefault="00FF4C4E">
            <w:pPr>
              <w:pStyle w:val="P68B1DB1-Normal13"/>
              <w:spacing w:after="0" w:line="240" w:lineRule="auto"/>
              <w:rPr>
                <w:rFonts w:eastAsia="Times New Roman" w:cs="Times New Roman"/>
                <w:noProof/>
              </w:rPr>
            </w:pPr>
            <w:r>
              <w:rPr>
                <w:noProof/>
              </w:rPr>
              <w:t>2024</w:t>
            </w:r>
          </w:p>
        </w:tc>
        <w:tc>
          <w:tcPr>
            <w:tcW w:w="4820" w:type="dxa"/>
            <w:shd w:val="clear" w:color="auto" w:fill="C6EFCE"/>
            <w:noWrap/>
          </w:tcPr>
          <w:p w14:paraId="1602326B" w14:textId="6B7CC805" w:rsidR="000E48CE" w:rsidRDefault="00FF4C4E">
            <w:pPr>
              <w:pStyle w:val="P68B1DB1-Normal13"/>
              <w:spacing w:after="0" w:line="240" w:lineRule="auto"/>
              <w:rPr>
                <w:rFonts w:eastAsia="Times New Roman" w:cs="Times New Roman"/>
                <w:noProof/>
              </w:rPr>
            </w:pPr>
            <w:r>
              <w:rPr>
                <w:noProof/>
              </w:rPr>
              <w:t>Perustetaan ja tuetaan vähintään 1350 yrittäjyysluokkaa julkisissa ammatillisissa koulutuskeskuksissa.</w:t>
            </w:r>
          </w:p>
        </w:tc>
      </w:tr>
      <w:tr w:rsidR="000E48CE" w14:paraId="61A44931" w14:textId="77777777">
        <w:trPr>
          <w:trHeight w:val="309"/>
        </w:trPr>
        <w:tc>
          <w:tcPr>
            <w:tcW w:w="851" w:type="dxa"/>
            <w:shd w:val="clear" w:color="auto" w:fill="C6EFCE"/>
            <w:noWrap/>
          </w:tcPr>
          <w:p w14:paraId="75ADEE7E" w14:textId="13F1DF69" w:rsidR="000E48CE" w:rsidRDefault="00FF4C4E">
            <w:pPr>
              <w:pStyle w:val="P68B1DB1-Normal13"/>
              <w:spacing w:after="0" w:line="240" w:lineRule="auto"/>
              <w:jc w:val="center"/>
              <w:rPr>
                <w:rFonts w:cs="Times New Roman"/>
                <w:noProof/>
              </w:rPr>
            </w:pPr>
            <w:r>
              <w:rPr>
                <w:noProof/>
              </w:rPr>
              <w:t>467b</w:t>
            </w:r>
          </w:p>
        </w:tc>
        <w:tc>
          <w:tcPr>
            <w:tcW w:w="851" w:type="dxa"/>
            <w:shd w:val="clear" w:color="auto" w:fill="C6EFCE"/>
            <w:noWrap/>
          </w:tcPr>
          <w:p w14:paraId="2CA33ECD" w14:textId="5359B3CE" w:rsidR="000E48CE" w:rsidRDefault="00FF4C4E">
            <w:pPr>
              <w:pStyle w:val="P68B1DB1-Normal13"/>
              <w:spacing w:after="0" w:line="240" w:lineRule="auto"/>
              <w:jc w:val="center"/>
              <w:rPr>
                <w:rFonts w:cs="Times New Roman"/>
                <w:noProof/>
              </w:rPr>
            </w:pPr>
            <w:r>
              <w:rPr>
                <w:noProof/>
              </w:rPr>
              <w:t>C20.I2</w:t>
            </w:r>
          </w:p>
        </w:tc>
        <w:tc>
          <w:tcPr>
            <w:tcW w:w="858" w:type="dxa"/>
            <w:shd w:val="clear" w:color="auto" w:fill="C6EFCE"/>
            <w:noWrap/>
          </w:tcPr>
          <w:p w14:paraId="0DAD0F06" w14:textId="3353C30C" w:rsidR="000E48CE" w:rsidRDefault="00FF4C4E">
            <w:pPr>
              <w:pStyle w:val="P68B1DB1-Normal13"/>
              <w:spacing w:after="0" w:line="240" w:lineRule="auto"/>
              <w:jc w:val="center"/>
              <w:rPr>
                <w:rFonts w:cs="Times New Roman"/>
                <w:noProof/>
              </w:rPr>
            </w:pPr>
            <w:r>
              <w:rPr>
                <w:noProof/>
              </w:rPr>
              <w:t>T</w:t>
            </w:r>
          </w:p>
        </w:tc>
        <w:tc>
          <w:tcPr>
            <w:tcW w:w="2685" w:type="dxa"/>
            <w:shd w:val="clear" w:color="auto" w:fill="C6EFCE"/>
            <w:noWrap/>
          </w:tcPr>
          <w:p w14:paraId="432616C5" w14:textId="2F6E7BB3" w:rsidR="000E48CE" w:rsidRDefault="00FF4C4E">
            <w:pPr>
              <w:pStyle w:val="P68B1DB1-Normal13"/>
              <w:spacing w:after="0" w:line="240" w:lineRule="auto"/>
              <w:rPr>
                <w:rFonts w:cs="Times New Roman"/>
                <w:noProof/>
              </w:rPr>
            </w:pPr>
            <w:r>
              <w:rPr>
                <w:noProof/>
              </w:rPr>
              <w:t xml:space="preserve">Ammatillisen koulutuksen opettajien vihreän koulutuksen loppuun </w:t>
            </w:r>
            <w:r>
              <w:rPr>
                <w:noProof/>
              </w:rPr>
              <w:t>saattaminen</w:t>
            </w:r>
          </w:p>
        </w:tc>
        <w:tc>
          <w:tcPr>
            <w:tcW w:w="1418" w:type="dxa"/>
            <w:shd w:val="clear" w:color="auto" w:fill="C6EFCE"/>
            <w:noWrap/>
          </w:tcPr>
          <w:p w14:paraId="2744693F" w14:textId="3C8C61C9" w:rsidR="000E48CE" w:rsidRDefault="00FF4C4E">
            <w:pPr>
              <w:pStyle w:val="P68B1DB1-Normal13"/>
              <w:spacing w:after="0" w:line="240" w:lineRule="auto"/>
              <w:jc w:val="center"/>
              <w:rPr>
                <w:rFonts w:cs="Times New Roman"/>
                <w:noProof/>
              </w:rPr>
            </w:pPr>
            <w:r>
              <w:rPr>
                <w:noProof/>
              </w:rPr>
              <w:t>—</w:t>
            </w:r>
          </w:p>
        </w:tc>
        <w:tc>
          <w:tcPr>
            <w:tcW w:w="811" w:type="dxa"/>
            <w:shd w:val="clear" w:color="auto" w:fill="C6EFCE"/>
            <w:noWrap/>
          </w:tcPr>
          <w:p w14:paraId="06865C06" w14:textId="77717ED2" w:rsidR="000E48CE" w:rsidRDefault="00FF4C4E">
            <w:pPr>
              <w:pStyle w:val="P68B1DB1-Normal13"/>
              <w:spacing w:after="0" w:line="240" w:lineRule="auto"/>
              <w:jc w:val="center"/>
              <w:rPr>
                <w:rFonts w:cs="Times New Roman"/>
                <w:noProof/>
              </w:rPr>
            </w:pPr>
            <w:r>
              <w:rPr>
                <w:noProof/>
              </w:rPr>
              <w:t>Määrä</w:t>
            </w:r>
          </w:p>
        </w:tc>
        <w:tc>
          <w:tcPr>
            <w:tcW w:w="984" w:type="dxa"/>
            <w:shd w:val="clear" w:color="auto" w:fill="C6EFCE"/>
            <w:noWrap/>
          </w:tcPr>
          <w:p w14:paraId="6B850641" w14:textId="581B4024" w:rsidR="000E48CE" w:rsidRDefault="00FF4C4E">
            <w:pPr>
              <w:pStyle w:val="P68B1DB1-Normal13"/>
              <w:spacing w:after="0" w:line="240" w:lineRule="auto"/>
              <w:jc w:val="center"/>
              <w:rPr>
                <w:rFonts w:cs="Times New Roman"/>
                <w:noProof/>
              </w:rPr>
            </w:pPr>
            <w:r>
              <w:rPr>
                <w:noProof/>
              </w:rPr>
              <w:t>0</w:t>
            </w:r>
          </w:p>
        </w:tc>
        <w:tc>
          <w:tcPr>
            <w:tcW w:w="1040" w:type="dxa"/>
            <w:shd w:val="clear" w:color="auto" w:fill="C6EFCE"/>
            <w:noWrap/>
          </w:tcPr>
          <w:p w14:paraId="32FF666D" w14:textId="1A1E471A" w:rsidR="000E48CE" w:rsidRDefault="00FF4C4E">
            <w:pPr>
              <w:pStyle w:val="P68B1DB1-Normal13"/>
              <w:spacing w:after="0" w:line="240" w:lineRule="auto"/>
              <w:jc w:val="center"/>
              <w:rPr>
                <w:rFonts w:cs="Times New Roman"/>
                <w:noProof/>
              </w:rPr>
            </w:pPr>
            <w:r>
              <w:rPr>
                <w:noProof/>
              </w:rPr>
              <w:t>25 281</w:t>
            </w:r>
          </w:p>
          <w:p w14:paraId="694DCEAB" w14:textId="31DB3365" w:rsidR="000E48CE" w:rsidRDefault="000E48CE">
            <w:pPr>
              <w:spacing w:after="0" w:line="240" w:lineRule="auto"/>
              <w:jc w:val="center"/>
              <w:rPr>
                <w:rFonts w:ascii="Times New Roman" w:eastAsia="Times New Roman" w:hAnsi="Times New Roman" w:cs="Times New Roman"/>
                <w:noProof/>
                <w:sz w:val="18"/>
              </w:rPr>
            </w:pPr>
          </w:p>
        </w:tc>
        <w:tc>
          <w:tcPr>
            <w:tcW w:w="365" w:type="dxa"/>
            <w:shd w:val="clear" w:color="auto" w:fill="C6EFCE"/>
            <w:noWrap/>
          </w:tcPr>
          <w:p w14:paraId="68FE550E" w14:textId="33DD35B2" w:rsidR="000E48CE" w:rsidRDefault="00FF4C4E">
            <w:pPr>
              <w:pStyle w:val="P68B1DB1-Normal13"/>
              <w:spacing w:after="0" w:line="240" w:lineRule="auto"/>
              <w:jc w:val="center"/>
              <w:rPr>
                <w:rFonts w:cs="Times New Roman"/>
                <w:noProof/>
              </w:rPr>
            </w:pPr>
            <w:r>
              <w:rPr>
                <w:noProof/>
              </w:rPr>
              <w:t>Q4</w:t>
            </w:r>
          </w:p>
        </w:tc>
        <w:tc>
          <w:tcPr>
            <w:tcW w:w="627" w:type="dxa"/>
            <w:shd w:val="clear" w:color="auto" w:fill="C6EFCE"/>
            <w:noWrap/>
          </w:tcPr>
          <w:p w14:paraId="0011D940" w14:textId="690B5EFB" w:rsidR="000E48CE" w:rsidRDefault="00FF4C4E">
            <w:pPr>
              <w:pStyle w:val="P68B1DB1-Normal13"/>
              <w:spacing w:after="0" w:line="240" w:lineRule="auto"/>
              <w:rPr>
                <w:rFonts w:cs="Times New Roman"/>
                <w:noProof/>
              </w:rPr>
            </w:pPr>
            <w:r>
              <w:rPr>
                <w:noProof/>
              </w:rPr>
              <w:t>2024</w:t>
            </w:r>
          </w:p>
        </w:tc>
        <w:tc>
          <w:tcPr>
            <w:tcW w:w="4820" w:type="dxa"/>
            <w:shd w:val="clear" w:color="auto" w:fill="C6EFCE"/>
            <w:noWrap/>
          </w:tcPr>
          <w:p w14:paraId="47C81396" w14:textId="0BBE335C" w:rsidR="000E48CE" w:rsidRDefault="00FF4C4E">
            <w:pPr>
              <w:pStyle w:val="P68B1DB1-Normal13"/>
              <w:spacing w:after="0" w:line="240" w:lineRule="auto"/>
              <w:rPr>
                <w:rFonts w:cs="Times New Roman"/>
                <w:noProof/>
              </w:rPr>
            </w:pPr>
            <w:r>
              <w:rPr>
                <w:noProof/>
              </w:rPr>
              <w:t>30 tunnin digitaalisen ja vihreän koulutuksen suorittaminen vähintään 25281 ammatillisen koulutuksen opettajalle.</w:t>
            </w:r>
          </w:p>
        </w:tc>
      </w:tr>
      <w:tr w:rsidR="000E48CE" w14:paraId="4F3035A2" w14:textId="77777777">
        <w:trPr>
          <w:trHeight w:val="309"/>
        </w:trPr>
        <w:tc>
          <w:tcPr>
            <w:tcW w:w="851" w:type="dxa"/>
            <w:shd w:val="clear" w:color="auto" w:fill="C6EFCE"/>
            <w:noWrap/>
          </w:tcPr>
          <w:p w14:paraId="4F6CDBF0" w14:textId="77777777" w:rsidR="000E48CE" w:rsidRDefault="00FF4C4E">
            <w:pPr>
              <w:pStyle w:val="P68B1DB1-Normal13"/>
              <w:spacing w:after="0" w:line="240" w:lineRule="auto"/>
              <w:jc w:val="center"/>
              <w:rPr>
                <w:rFonts w:eastAsia="Times New Roman" w:cs="Times New Roman"/>
                <w:noProof/>
              </w:rPr>
            </w:pPr>
            <w:r>
              <w:rPr>
                <w:noProof/>
              </w:rPr>
              <w:t>300</w:t>
            </w:r>
          </w:p>
        </w:tc>
        <w:tc>
          <w:tcPr>
            <w:tcW w:w="851" w:type="dxa"/>
            <w:shd w:val="clear" w:color="auto" w:fill="C6EFCE"/>
            <w:noWrap/>
          </w:tcPr>
          <w:p w14:paraId="1E3E5D42" w14:textId="77777777" w:rsidR="000E48CE" w:rsidRDefault="00FF4C4E">
            <w:pPr>
              <w:pStyle w:val="P68B1DB1-Normal13"/>
              <w:spacing w:after="0" w:line="240" w:lineRule="auto"/>
              <w:jc w:val="center"/>
              <w:rPr>
                <w:rFonts w:eastAsia="Times New Roman" w:cs="Times New Roman"/>
                <w:noProof/>
              </w:rPr>
            </w:pPr>
            <w:r>
              <w:rPr>
                <w:noProof/>
              </w:rPr>
              <w:t>C20.I3</w:t>
            </w:r>
          </w:p>
        </w:tc>
        <w:tc>
          <w:tcPr>
            <w:tcW w:w="858" w:type="dxa"/>
            <w:shd w:val="clear" w:color="auto" w:fill="C6EFCE"/>
            <w:noWrap/>
          </w:tcPr>
          <w:p w14:paraId="598C6300" w14:textId="77777777" w:rsidR="000E48CE" w:rsidRDefault="00FF4C4E">
            <w:pPr>
              <w:pStyle w:val="P68B1DB1-Normal13"/>
              <w:spacing w:after="0" w:line="240" w:lineRule="auto"/>
              <w:jc w:val="center"/>
              <w:rPr>
                <w:rFonts w:eastAsia="Times New Roman" w:cs="Times New Roman"/>
                <w:noProof/>
              </w:rPr>
            </w:pPr>
            <w:r>
              <w:rPr>
                <w:noProof/>
              </w:rPr>
              <w:t>T</w:t>
            </w:r>
          </w:p>
        </w:tc>
        <w:tc>
          <w:tcPr>
            <w:tcW w:w="2685" w:type="dxa"/>
            <w:shd w:val="clear" w:color="auto" w:fill="C6EFCE"/>
            <w:noWrap/>
          </w:tcPr>
          <w:p w14:paraId="79BECF6A" w14:textId="77777777" w:rsidR="000E48CE" w:rsidRDefault="00FF4C4E">
            <w:pPr>
              <w:pStyle w:val="P68B1DB1-Normal13"/>
              <w:spacing w:after="0" w:line="240" w:lineRule="auto"/>
              <w:rPr>
                <w:rFonts w:eastAsia="Times New Roman" w:cs="Times New Roman"/>
                <w:noProof/>
              </w:rPr>
            </w:pPr>
            <w:r>
              <w:rPr>
                <w:noProof/>
              </w:rPr>
              <w:t>Vähintään 50000 uutta ammatillisen koulutuksen paikkaa verrattuna vuoden 2020 loppuun.</w:t>
            </w:r>
          </w:p>
        </w:tc>
        <w:tc>
          <w:tcPr>
            <w:tcW w:w="1418" w:type="dxa"/>
            <w:shd w:val="clear" w:color="auto" w:fill="C6EFCE"/>
            <w:noWrap/>
          </w:tcPr>
          <w:p w14:paraId="2827FC3C" w14:textId="77777777" w:rsidR="000E48CE" w:rsidRDefault="00FF4C4E">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210464D6"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984" w:type="dxa"/>
            <w:shd w:val="clear" w:color="auto" w:fill="C6EFCE"/>
            <w:noWrap/>
          </w:tcPr>
          <w:p w14:paraId="409D33D1" w14:textId="77777777" w:rsidR="000E48CE" w:rsidRDefault="00FF4C4E">
            <w:pPr>
              <w:pStyle w:val="P68B1DB1-Normal13"/>
              <w:spacing w:after="0" w:line="240" w:lineRule="auto"/>
              <w:jc w:val="center"/>
              <w:rPr>
                <w:rFonts w:eastAsia="Times New Roman" w:cs="Times New Roman"/>
                <w:noProof/>
              </w:rPr>
            </w:pPr>
            <w:r>
              <w:rPr>
                <w:noProof/>
              </w:rPr>
              <w:t>934 204</w:t>
            </w:r>
          </w:p>
        </w:tc>
        <w:tc>
          <w:tcPr>
            <w:tcW w:w="1040" w:type="dxa"/>
            <w:shd w:val="clear" w:color="auto" w:fill="C6EFCE"/>
            <w:noWrap/>
          </w:tcPr>
          <w:p w14:paraId="69D9BD1A" w14:textId="77777777" w:rsidR="000E48CE" w:rsidRDefault="00FF4C4E">
            <w:pPr>
              <w:pStyle w:val="P68B1DB1-Normal13"/>
              <w:spacing w:after="0" w:line="240" w:lineRule="auto"/>
              <w:jc w:val="center"/>
              <w:rPr>
                <w:rFonts w:eastAsia="Times New Roman" w:cs="Times New Roman"/>
                <w:noProof/>
              </w:rPr>
            </w:pPr>
            <w:r>
              <w:rPr>
                <w:noProof/>
              </w:rPr>
              <w:t>984 204</w:t>
            </w:r>
          </w:p>
        </w:tc>
        <w:tc>
          <w:tcPr>
            <w:tcW w:w="365" w:type="dxa"/>
            <w:shd w:val="clear" w:color="auto" w:fill="C6EFCE"/>
            <w:noWrap/>
          </w:tcPr>
          <w:p w14:paraId="61388907" w14:textId="77777777" w:rsidR="000E48CE" w:rsidRDefault="00FF4C4E">
            <w:pPr>
              <w:pStyle w:val="P68B1DB1-Normal13"/>
              <w:spacing w:after="0" w:line="240" w:lineRule="auto"/>
              <w:jc w:val="center"/>
              <w:rPr>
                <w:rFonts w:eastAsia="Times New Roman" w:cs="Times New Roman"/>
                <w:noProof/>
              </w:rPr>
            </w:pPr>
            <w:r>
              <w:rPr>
                <w:noProof/>
              </w:rPr>
              <w:t>Q4</w:t>
            </w:r>
          </w:p>
        </w:tc>
        <w:tc>
          <w:tcPr>
            <w:tcW w:w="627" w:type="dxa"/>
            <w:shd w:val="clear" w:color="auto" w:fill="C6EFCE"/>
            <w:noWrap/>
          </w:tcPr>
          <w:p w14:paraId="50EDB1AD" w14:textId="77777777" w:rsidR="000E48CE" w:rsidRDefault="00FF4C4E">
            <w:pPr>
              <w:pStyle w:val="P68B1DB1-Normal13"/>
              <w:spacing w:after="0" w:line="240" w:lineRule="auto"/>
              <w:jc w:val="center"/>
              <w:rPr>
                <w:rFonts w:eastAsia="Times New Roman" w:cs="Times New Roman"/>
                <w:noProof/>
              </w:rPr>
            </w:pPr>
            <w:r>
              <w:rPr>
                <w:noProof/>
              </w:rPr>
              <w:t>2022</w:t>
            </w:r>
          </w:p>
        </w:tc>
        <w:tc>
          <w:tcPr>
            <w:tcW w:w="4820" w:type="dxa"/>
            <w:shd w:val="clear" w:color="auto" w:fill="C6EFCE"/>
            <w:noWrap/>
          </w:tcPr>
          <w:p w14:paraId="49C61569" w14:textId="77777777" w:rsidR="000E48CE" w:rsidRDefault="00FF4C4E">
            <w:pPr>
              <w:pStyle w:val="P68B1DB1-Normal13"/>
              <w:spacing w:after="0" w:line="240" w:lineRule="auto"/>
              <w:rPr>
                <w:rFonts w:eastAsia="Times New Roman" w:cs="Times New Roman"/>
                <w:noProof/>
              </w:rPr>
            </w:pPr>
            <w:r>
              <w:rPr>
                <w:noProof/>
              </w:rPr>
              <w:t xml:space="preserve">Vuoden 2020 loppuun verrattuna on luotu yhteensä vähintään 50000 uutta ammatillisen koulutuksen paikkaa. Uusien ammatillisen koulutuksen paikkojen alueellisen jakautumisen olisi perustuttava tarvearviointiin, ja sen olisi </w:t>
            </w:r>
            <w:r>
              <w:rPr>
                <w:noProof/>
              </w:rPr>
              <w:t>perustuttava asianomaisten sidosryhmien kanssa käytävään keskusteluun, jotta varmistetaan, että tarjonta vastaa tehokkaasti alueellisiin/paikallisiin eroihin. Lähtötilanteen päivämäärä: Joulukuuta 2020.</w:t>
            </w:r>
          </w:p>
        </w:tc>
      </w:tr>
      <w:tr w:rsidR="000E48CE" w14:paraId="08891F03" w14:textId="77777777">
        <w:trPr>
          <w:trHeight w:val="309"/>
        </w:trPr>
        <w:tc>
          <w:tcPr>
            <w:tcW w:w="851" w:type="dxa"/>
            <w:tcBorders>
              <w:bottom w:val="single" w:sz="4" w:space="0" w:color="auto"/>
            </w:tcBorders>
            <w:shd w:val="clear" w:color="auto" w:fill="C6EFCE"/>
            <w:noWrap/>
          </w:tcPr>
          <w:p w14:paraId="0786758D" w14:textId="77777777" w:rsidR="000E48CE" w:rsidRDefault="00FF4C4E">
            <w:pPr>
              <w:pStyle w:val="P68B1DB1-Normal13"/>
              <w:spacing w:after="0" w:line="240" w:lineRule="auto"/>
              <w:jc w:val="center"/>
              <w:rPr>
                <w:rFonts w:eastAsia="Times New Roman" w:cs="Times New Roman"/>
                <w:noProof/>
              </w:rPr>
            </w:pPr>
            <w:r>
              <w:rPr>
                <w:noProof/>
              </w:rPr>
              <w:t>301</w:t>
            </w:r>
          </w:p>
        </w:tc>
        <w:tc>
          <w:tcPr>
            <w:tcW w:w="851" w:type="dxa"/>
            <w:tcBorders>
              <w:bottom w:val="single" w:sz="4" w:space="0" w:color="auto"/>
            </w:tcBorders>
            <w:shd w:val="clear" w:color="auto" w:fill="C6EFCE"/>
            <w:noWrap/>
          </w:tcPr>
          <w:p w14:paraId="4C5852B3" w14:textId="77777777" w:rsidR="000E48CE" w:rsidRDefault="00FF4C4E">
            <w:pPr>
              <w:pStyle w:val="P68B1DB1-Normal13"/>
              <w:spacing w:after="0" w:line="240" w:lineRule="auto"/>
              <w:jc w:val="center"/>
              <w:rPr>
                <w:rFonts w:eastAsia="Times New Roman" w:cs="Times New Roman"/>
                <w:noProof/>
              </w:rPr>
            </w:pPr>
            <w:r>
              <w:rPr>
                <w:noProof/>
              </w:rPr>
              <w:t>C20.I3</w:t>
            </w:r>
          </w:p>
        </w:tc>
        <w:tc>
          <w:tcPr>
            <w:tcW w:w="858" w:type="dxa"/>
            <w:tcBorders>
              <w:bottom w:val="single" w:sz="4" w:space="0" w:color="auto"/>
            </w:tcBorders>
            <w:shd w:val="clear" w:color="auto" w:fill="C6EFCE"/>
            <w:noWrap/>
          </w:tcPr>
          <w:p w14:paraId="73698ADF" w14:textId="77777777" w:rsidR="000E48CE" w:rsidRDefault="00FF4C4E">
            <w:pPr>
              <w:pStyle w:val="P68B1DB1-Normal13"/>
              <w:spacing w:after="0" w:line="240" w:lineRule="auto"/>
              <w:jc w:val="center"/>
              <w:rPr>
                <w:rFonts w:eastAsia="Times New Roman" w:cs="Times New Roman"/>
                <w:noProof/>
              </w:rPr>
            </w:pPr>
            <w:r>
              <w:rPr>
                <w:noProof/>
              </w:rPr>
              <w:t>T</w:t>
            </w:r>
          </w:p>
        </w:tc>
        <w:tc>
          <w:tcPr>
            <w:tcW w:w="2685" w:type="dxa"/>
            <w:tcBorders>
              <w:bottom w:val="single" w:sz="4" w:space="0" w:color="auto"/>
            </w:tcBorders>
            <w:shd w:val="clear" w:color="auto" w:fill="C6EFCE"/>
            <w:noWrap/>
          </w:tcPr>
          <w:p w14:paraId="330171CB" w14:textId="77777777" w:rsidR="000E48CE" w:rsidRDefault="00FF4C4E">
            <w:pPr>
              <w:pStyle w:val="P68B1DB1-Normal13"/>
              <w:spacing w:after="0" w:line="240" w:lineRule="auto"/>
              <w:rPr>
                <w:rFonts w:eastAsia="Times New Roman" w:cs="Times New Roman"/>
                <w:noProof/>
              </w:rPr>
            </w:pPr>
            <w:r>
              <w:rPr>
                <w:noProof/>
              </w:rPr>
              <w:t xml:space="preserve">Kaksikieliset ammatilliset koulutusjaksot </w:t>
            </w:r>
          </w:p>
        </w:tc>
        <w:tc>
          <w:tcPr>
            <w:tcW w:w="1418" w:type="dxa"/>
            <w:tcBorders>
              <w:bottom w:val="single" w:sz="4" w:space="0" w:color="auto"/>
            </w:tcBorders>
            <w:shd w:val="clear" w:color="auto" w:fill="C6EFCE"/>
            <w:noWrap/>
          </w:tcPr>
          <w:p w14:paraId="5977380F" w14:textId="77777777" w:rsidR="000E48CE" w:rsidRDefault="00FF4C4E">
            <w:pPr>
              <w:pStyle w:val="P68B1DB1-Normal13"/>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4DAE83F2"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984" w:type="dxa"/>
            <w:tcBorders>
              <w:bottom w:val="single" w:sz="4" w:space="0" w:color="auto"/>
            </w:tcBorders>
            <w:shd w:val="clear" w:color="auto" w:fill="C6EFCE"/>
            <w:noWrap/>
          </w:tcPr>
          <w:p w14:paraId="3B08B55A" w14:textId="77777777" w:rsidR="000E48CE" w:rsidRDefault="00FF4C4E">
            <w:pPr>
              <w:pStyle w:val="P68B1DB1-Normal13"/>
              <w:spacing w:after="0" w:line="240" w:lineRule="auto"/>
              <w:jc w:val="right"/>
              <w:rPr>
                <w:rFonts w:eastAsia="Times New Roman" w:cs="Times New Roman"/>
                <w:noProof/>
              </w:rPr>
            </w:pPr>
            <w:r>
              <w:rPr>
                <w:noProof/>
              </w:rPr>
              <w:t>0</w:t>
            </w:r>
          </w:p>
        </w:tc>
        <w:tc>
          <w:tcPr>
            <w:tcW w:w="1040" w:type="dxa"/>
            <w:tcBorders>
              <w:bottom w:val="single" w:sz="4" w:space="0" w:color="auto"/>
            </w:tcBorders>
            <w:shd w:val="clear" w:color="auto" w:fill="C6EFCE"/>
            <w:noWrap/>
          </w:tcPr>
          <w:p w14:paraId="582220C0" w14:textId="77777777" w:rsidR="000E48CE" w:rsidRDefault="00FF4C4E">
            <w:pPr>
              <w:pStyle w:val="P68B1DB1-Normal13"/>
              <w:spacing w:after="0" w:line="240" w:lineRule="auto"/>
              <w:jc w:val="center"/>
              <w:rPr>
                <w:rFonts w:eastAsia="Times New Roman" w:cs="Times New Roman"/>
                <w:noProof/>
              </w:rPr>
            </w:pPr>
            <w:r>
              <w:rPr>
                <w:noProof/>
              </w:rPr>
              <w:t>3 700</w:t>
            </w:r>
          </w:p>
        </w:tc>
        <w:tc>
          <w:tcPr>
            <w:tcW w:w="365" w:type="dxa"/>
            <w:tcBorders>
              <w:bottom w:val="single" w:sz="4" w:space="0" w:color="auto"/>
            </w:tcBorders>
            <w:shd w:val="clear" w:color="auto" w:fill="C6EFCE"/>
            <w:noWrap/>
          </w:tcPr>
          <w:p w14:paraId="304F4489" w14:textId="77777777" w:rsidR="000E48CE" w:rsidRDefault="00FF4C4E">
            <w:pPr>
              <w:pStyle w:val="P68B1DB1-Normal13"/>
              <w:spacing w:after="0" w:line="240" w:lineRule="auto"/>
              <w:jc w:val="center"/>
              <w:rPr>
                <w:rFonts w:eastAsia="Times New Roman" w:cs="Times New Roman"/>
                <w:noProof/>
              </w:rPr>
            </w:pPr>
            <w:r>
              <w:rPr>
                <w:noProof/>
              </w:rPr>
              <w:t>Q4</w:t>
            </w:r>
          </w:p>
        </w:tc>
        <w:tc>
          <w:tcPr>
            <w:tcW w:w="627" w:type="dxa"/>
            <w:tcBorders>
              <w:bottom w:val="single" w:sz="4" w:space="0" w:color="auto"/>
            </w:tcBorders>
            <w:shd w:val="clear" w:color="auto" w:fill="C6EFCE"/>
            <w:noWrap/>
          </w:tcPr>
          <w:p w14:paraId="6C050CFD" w14:textId="77777777" w:rsidR="000E48CE" w:rsidRDefault="00FF4C4E">
            <w:pPr>
              <w:pStyle w:val="P68B1DB1-Normal13"/>
              <w:spacing w:after="0" w:line="240" w:lineRule="auto"/>
              <w:jc w:val="center"/>
              <w:rPr>
                <w:rFonts w:eastAsia="Times New Roman" w:cs="Times New Roman"/>
                <w:noProof/>
              </w:rPr>
            </w:pPr>
            <w:r>
              <w:rPr>
                <w:noProof/>
              </w:rPr>
              <w:t>2024</w:t>
            </w:r>
          </w:p>
        </w:tc>
        <w:tc>
          <w:tcPr>
            <w:tcW w:w="4820" w:type="dxa"/>
            <w:tcBorders>
              <w:bottom w:val="single" w:sz="4" w:space="0" w:color="auto"/>
            </w:tcBorders>
            <w:shd w:val="clear" w:color="auto" w:fill="C6EFCE"/>
            <w:noWrap/>
          </w:tcPr>
          <w:p w14:paraId="18D04238" w14:textId="77777777" w:rsidR="000E48CE" w:rsidRDefault="00FF4C4E">
            <w:pPr>
              <w:pStyle w:val="P68B1DB1-Normal13"/>
              <w:spacing w:after="0" w:line="240" w:lineRule="auto"/>
              <w:rPr>
                <w:rFonts w:eastAsia="Times New Roman" w:cs="Times New Roman"/>
                <w:noProof/>
              </w:rPr>
            </w:pPr>
            <w:r>
              <w:rPr>
                <w:noProof/>
              </w:rPr>
              <w:t xml:space="preserve">Vähintään 3700 (keski- ja korkea) ammattikoulutusjaksoa, jotka on muunnettu kaksikieliseksi </w:t>
            </w:r>
          </w:p>
        </w:tc>
      </w:tr>
      <w:tr w:rsidR="000E48CE" w14:paraId="79E823D9" w14:textId="77777777">
        <w:trPr>
          <w:trHeight w:val="309"/>
        </w:trPr>
        <w:tc>
          <w:tcPr>
            <w:tcW w:w="851" w:type="dxa"/>
            <w:tcBorders>
              <w:bottom w:val="single" w:sz="4" w:space="0" w:color="auto"/>
            </w:tcBorders>
            <w:shd w:val="clear" w:color="auto" w:fill="C6EFCE"/>
            <w:noWrap/>
          </w:tcPr>
          <w:p w14:paraId="0F776034" w14:textId="77777777" w:rsidR="000E48CE" w:rsidRDefault="00FF4C4E">
            <w:pPr>
              <w:pStyle w:val="P68B1DB1-Normal13"/>
              <w:spacing w:after="0" w:line="240" w:lineRule="auto"/>
              <w:jc w:val="center"/>
              <w:rPr>
                <w:rFonts w:eastAsia="Times New Roman" w:cs="Times New Roman"/>
                <w:noProof/>
              </w:rPr>
            </w:pPr>
            <w:r>
              <w:rPr>
                <w:noProof/>
              </w:rPr>
              <w:t>302</w:t>
            </w:r>
          </w:p>
        </w:tc>
        <w:tc>
          <w:tcPr>
            <w:tcW w:w="851" w:type="dxa"/>
            <w:tcBorders>
              <w:bottom w:val="single" w:sz="4" w:space="0" w:color="auto"/>
            </w:tcBorders>
            <w:shd w:val="clear" w:color="auto" w:fill="C6EFCE"/>
            <w:noWrap/>
          </w:tcPr>
          <w:p w14:paraId="71B26183" w14:textId="77777777" w:rsidR="000E48CE" w:rsidRDefault="00FF4C4E">
            <w:pPr>
              <w:pStyle w:val="P68B1DB1-Normal13"/>
              <w:spacing w:after="0" w:line="240" w:lineRule="auto"/>
              <w:jc w:val="center"/>
              <w:rPr>
                <w:rFonts w:eastAsia="Times New Roman" w:cs="Times New Roman"/>
                <w:noProof/>
              </w:rPr>
            </w:pPr>
            <w:r>
              <w:rPr>
                <w:noProof/>
              </w:rPr>
              <w:t>C20.I3</w:t>
            </w:r>
          </w:p>
        </w:tc>
        <w:tc>
          <w:tcPr>
            <w:tcW w:w="858" w:type="dxa"/>
            <w:tcBorders>
              <w:bottom w:val="single" w:sz="4" w:space="0" w:color="auto"/>
            </w:tcBorders>
            <w:shd w:val="clear" w:color="auto" w:fill="C6EFCE"/>
            <w:noWrap/>
          </w:tcPr>
          <w:p w14:paraId="6353C863" w14:textId="77777777" w:rsidR="000E48CE" w:rsidRDefault="00FF4C4E">
            <w:pPr>
              <w:pStyle w:val="P68B1DB1-Normal13"/>
              <w:spacing w:after="0" w:line="240" w:lineRule="auto"/>
              <w:jc w:val="center"/>
              <w:rPr>
                <w:rFonts w:eastAsia="Times New Roman" w:cs="Times New Roman"/>
                <w:noProof/>
              </w:rPr>
            </w:pPr>
            <w:r>
              <w:rPr>
                <w:noProof/>
              </w:rPr>
              <w:t>T</w:t>
            </w:r>
          </w:p>
        </w:tc>
        <w:tc>
          <w:tcPr>
            <w:tcW w:w="2685" w:type="dxa"/>
            <w:tcBorders>
              <w:bottom w:val="single" w:sz="4" w:space="0" w:color="auto"/>
            </w:tcBorders>
            <w:shd w:val="clear" w:color="auto" w:fill="C6EFCE"/>
            <w:noWrap/>
          </w:tcPr>
          <w:p w14:paraId="203B6A17" w14:textId="77777777" w:rsidR="000E48CE" w:rsidRDefault="00FF4C4E">
            <w:pPr>
              <w:pStyle w:val="P68B1DB1-Normal13"/>
              <w:spacing w:after="0" w:line="240" w:lineRule="auto"/>
              <w:rPr>
                <w:rFonts w:eastAsia="Times New Roman" w:cs="Times New Roman"/>
                <w:noProof/>
              </w:rPr>
            </w:pPr>
            <w:r>
              <w:rPr>
                <w:noProof/>
              </w:rPr>
              <w:t>Uusia ammatillisen koulutuksen paikkoja verrattuna vuoden 2020 loppuun</w:t>
            </w:r>
          </w:p>
        </w:tc>
        <w:tc>
          <w:tcPr>
            <w:tcW w:w="1418" w:type="dxa"/>
            <w:tcBorders>
              <w:bottom w:val="single" w:sz="4" w:space="0" w:color="auto"/>
            </w:tcBorders>
            <w:shd w:val="clear" w:color="auto" w:fill="C6EFCE"/>
            <w:noWrap/>
          </w:tcPr>
          <w:p w14:paraId="2261ABF4" w14:textId="77777777" w:rsidR="000E48CE" w:rsidRDefault="00FF4C4E">
            <w:pPr>
              <w:pStyle w:val="P68B1DB1-Normal13"/>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180E80F1"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984" w:type="dxa"/>
            <w:tcBorders>
              <w:bottom w:val="single" w:sz="4" w:space="0" w:color="auto"/>
            </w:tcBorders>
            <w:shd w:val="clear" w:color="auto" w:fill="C6EFCE"/>
            <w:noWrap/>
          </w:tcPr>
          <w:p w14:paraId="7F755418" w14:textId="77777777" w:rsidR="000E48CE" w:rsidRDefault="00FF4C4E">
            <w:pPr>
              <w:pStyle w:val="P68B1DB1-Normal13"/>
              <w:spacing w:after="0" w:line="240" w:lineRule="auto"/>
              <w:jc w:val="center"/>
              <w:rPr>
                <w:rFonts w:eastAsia="Times New Roman" w:cs="Times New Roman"/>
                <w:noProof/>
              </w:rPr>
            </w:pPr>
            <w:r>
              <w:rPr>
                <w:noProof/>
              </w:rPr>
              <w:t>934 204</w:t>
            </w:r>
          </w:p>
        </w:tc>
        <w:tc>
          <w:tcPr>
            <w:tcW w:w="1040" w:type="dxa"/>
            <w:tcBorders>
              <w:bottom w:val="single" w:sz="4" w:space="0" w:color="auto"/>
            </w:tcBorders>
            <w:shd w:val="clear" w:color="auto" w:fill="C6EFCE"/>
            <w:noWrap/>
          </w:tcPr>
          <w:p w14:paraId="532825E9" w14:textId="5DB74357" w:rsidR="000E48CE" w:rsidRDefault="00FF4C4E">
            <w:pPr>
              <w:pStyle w:val="P68B1DB1-Normal13"/>
              <w:spacing w:after="0" w:line="240" w:lineRule="auto"/>
              <w:jc w:val="center"/>
              <w:rPr>
                <w:rFonts w:eastAsia="Times New Roman" w:cs="Times New Roman"/>
                <w:noProof/>
              </w:rPr>
            </w:pPr>
            <w:r>
              <w:rPr>
                <w:noProof/>
              </w:rPr>
              <w:t>1 181 656</w:t>
            </w:r>
          </w:p>
        </w:tc>
        <w:tc>
          <w:tcPr>
            <w:tcW w:w="365" w:type="dxa"/>
            <w:tcBorders>
              <w:bottom w:val="single" w:sz="4" w:space="0" w:color="auto"/>
            </w:tcBorders>
            <w:shd w:val="clear" w:color="auto" w:fill="C6EFCE"/>
            <w:noWrap/>
          </w:tcPr>
          <w:p w14:paraId="46434BF6" w14:textId="77777777" w:rsidR="000E48CE" w:rsidRDefault="00FF4C4E">
            <w:pPr>
              <w:pStyle w:val="P68B1DB1-Normal13"/>
              <w:spacing w:after="0" w:line="240" w:lineRule="auto"/>
              <w:jc w:val="center"/>
              <w:rPr>
                <w:rFonts w:eastAsia="Times New Roman" w:cs="Times New Roman"/>
                <w:noProof/>
              </w:rPr>
            </w:pPr>
            <w:r>
              <w:rPr>
                <w:noProof/>
              </w:rPr>
              <w:t>Q4</w:t>
            </w:r>
          </w:p>
        </w:tc>
        <w:tc>
          <w:tcPr>
            <w:tcW w:w="627" w:type="dxa"/>
            <w:tcBorders>
              <w:bottom w:val="single" w:sz="4" w:space="0" w:color="auto"/>
            </w:tcBorders>
            <w:shd w:val="clear" w:color="auto" w:fill="C6EFCE"/>
            <w:noWrap/>
          </w:tcPr>
          <w:p w14:paraId="1EC600EC" w14:textId="5A9F4250" w:rsidR="000E48CE" w:rsidRDefault="00FF4C4E">
            <w:pPr>
              <w:pStyle w:val="P68B1DB1-Normal13"/>
              <w:spacing w:after="0" w:line="240" w:lineRule="auto"/>
              <w:jc w:val="center"/>
              <w:rPr>
                <w:rFonts w:eastAsia="Times New Roman" w:cs="Times New Roman"/>
                <w:noProof/>
              </w:rPr>
            </w:pPr>
            <w:r>
              <w:rPr>
                <w:noProof/>
              </w:rPr>
              <w:t>2025</w:t>
            </w:r>
          </w:p>
        </w:tc>
        <w:tc>
          <w:tcPr>
            <w:tcW w:w="4820" w:type="dxa"/>
            <w:tcBorders>
              <w:bottom w:val="single" w:sz="4" w:space="0" w:color="auto"/>
            </w:tcBorders>
            <w:shd w:val="clear" w:color="auto" w:fill="C6EFCE"/>
            <w:noWrap/>
          </w:tcPr>
          <w:p w14:paraId="2D1E2E6F" w14:textId="2ABFCB82" w:rsidR="000E48CE" w:rsidRDefault="00FF4C4E">
            <w:pPr>
              <w:pStyle w:val="P68B1DB1-Normal13"/>
              <w:spacing w:after="0" w:line="240" w:lineRule="auto"/>
              <w:rPr>
                <w:rFonts w:eastAsia="Times New Roman" w:cs="Times New Roman"/>
                <w:noProof/>
              </w:rPr>
            </w:pPr>
            <w:r>
              <w:rPr>
                <w:noProof/>
              </w:rPr>
              <w:t>Vähintään 247452 uutta</w:t>
            </w:r>
            <w:r>
              <w:rPr>
                <w:noProof/>
                <w:shd w:val="clear" w:color="auto" w:fill="E6E6E6"/>
              </w:rPr>
              <w:t xml:space="preserve"> </w:t>
            </w:r>
            <w:r>
              <w:rPr>
                <w:noProof/>
              </w:rPr>
              <w:t>ammatillisen koulutuksen paikkaa verrattuna vuoden 2020 loppuun. Lähtötilanteen päivämäärä: Joulukuuta 2020.</w:t>
            </w:r>
          </w:p>
        </w:tc>
      </w:tr>
    </w:tbl>
    <w:p w14:paraId="7083BF8A" w14:textId="77777777" w:rsidR="000E48CE" w:rsidRDefault="000E48CE">
      <w:pPr>
        <w:pStyle w:val="Text1"/>
        <w:ind w:left="0"/>
        <w:rPr>
          <w:rFonts w:ascii="Times New Roman" w:hAnsi="Times New Roman" w:cs="Times New Roman"/>
          <w:noProof/>
        </w:rPr>
        <w:sectPr w:rsidR="000E48CE" w:rsidSect="00C94F66">
          <w:headerReference w:type="even" r:id="rId405"/>
          <w:headerReference w:type="default" r:id="rId406"/>
          <w:footerReference w:type="even" r:id="rId407"/>
          <w:footerReference w:type="default" r:id="rId408"/>
          <w:headerReference w:type="first" r:id="rId409"/>
          <w:footerReference w:type="first" r:id="rId410"/>
          <w:pgSz w:w="16839" w:h="11907" w:orient="landscape"/>
          <w:pgMar w:top="1417" w:right="1134" w:bottom="1417" w:left="1134" w:header="709" w:footer="709" w:gutter="0"/>
          <w:cols w:space="720"/>
          <w:docGrid w:linePitch="360"/>
        </w:sectPr>
      </w:pPr>
    </w:p>
    <w:p w14:paraId="24C8EC4C" w14:textId="77777777" w:rsidR="000E48CE" w:rsidRDefault="000E48CE">
      <w:pPr>
        <w:pStyle w:val="Text1"/>
        <w:ind w:left="0"/>
        <w:rPr>
          <w:rFonts w:ascii="Times New Roman" w:hAnsi="Times New Roman" w:cs="Times New Roman"/>
          <w:noProof/>
        </w:rPr>
      </w:pPr>
    </w:p>
    <w:p w14:paraId="4232B598" w14:textId="77777777" w:rsidR="000E48CE" w:rsidRDefault="00FF4C4E">
      <w:pPr>
        <w:pStyle w:val="P68B1DB1-Heading12"/>
        <w:ind w:left="426" w:firstLine="294"/>
        <w:rPr>
          <w:rFonts w:cs="Times New Roman"/>
          <w:noProof/>
        </w:rPr>
      </w:pPr>
      <w:r>
        <w:rPr>
          <w:noProof/>
        </w:rPr>
        <w:t xml:space="preserve">U. OSA 21: Koulutuksen </w:t>
      </w:r>
      <w:r>
        <w:rPr>
          <w:noProof/>
        </w:rPr>
        <w:t>nykyaikaistaminen ja digitalisointi, mukaan lukien varhaiskasvatus 0–3</w:t>
      </w:r>
    </w:p>
    <w:p w14:paraId="2E6D50AD" w14:textId="77777777" w:rsidR="000E48CE" w:rsidRDefault="00FF4C4E">
      <w:pPr>
        <w:pStyle w:val="P68B1DB1-Normal4"/>
        <w:spacing w:before="120" w:after="120" w:line="240" w:lineRule="auto"/>
        <w:ind w:left="142"/>
        <w:jc w:val="both"/>
        <w:rPr>
          <w:rFonts w:cs="Times New Roman"/>
          <w:noProof/>
        </w:rPr>
      </w:pPr>
      <w:r>
        <w:rPr>
          <w:noProof/>
        </w:rPr>
        <w:t>Espanjan elpymis- ja palautumissuunnitelman tässä osiossa keskitytään koulutusjärjestelmän nykyaikaistamiseen ja koulutusinfrastruktuurin parantamiseen. Sen tavoitteena on joustavampi j</w:t>
      </w:r>
      <w:r>
        <w:rPr>
          <w:noProof/>
        </w:rPr>
        <w:t xml:space="preserve">a osallistavampi järjestelmä, joka on paremmin räätälöity kunkin oppilaan tarpeisiin ja jossa otetaan käyttöön uusia opetus- ja oppimistekniikoita, myös digitaalisia. Kunkin koulutusvaiheen päätavoitteet ovat seuraavat: </w:t>
      </w:r>
    </w:p>
    <w:p w14:paraId="32BCC920" w14:textId="77777777" w:rsidR="000E48CE" w:rsidRDefault="00FF4C4E">
      <w:pPr>
        <w:pStyle w:val="P68B1DB1-Normal4"/>
        <w:numPr>
          <w:ilvl w:val="0"/>
          <w:numId w:val="138"/>
        </w:numPr>
        <w:spacing w:before="120" w:after="160" w:line="259" w:lineRule="auto"/>
        <w:contextualSpacing/>
        <w:jc w:val="both"/>
        <w:rPr>
          <w:rFonts w:cs="Times New Roman"/>
          <w:noProof/>
        </w:rPr>
      </w:pPr>
      <w:r>
        <w:rPr>
          <w:noProof/>
          <w:u w:val="single"/>
        </w:rPr>
        <w:t>Varhaiskasvatus.</w:t>
      </w:r>
      <w:r>
        <w:rPr>
          <w:noProof/>
        </w:rPr>
        <w:t xml:space="preserve"> Osa-alueella pyrit</w:t>
      </w:r>
      <w:r>
        <w:rPr>
          <w:noProof/>
        </w:rPr>
        <w:t>ään lisäämään varhaiskasvatukseen osallistumista asteittain asettamalla etusijalle uusien julkisten paikkojen tarjoaminen lapsille alueilla, joilla köyhyys- tai syrjäytymisriski on suurempi, ja maaseutualueilla. Painopiste on 0–3-vuotiaissa lapsissa, ja hu</w:t>
      </w:r>
      <w:r>
        <w:rPr>
          <w:noProof/>
        </w:rPr>
        <w:t xml:space="preserve">omiota on kiinnitettävä sekä saatavuuteen että kohtuuhintaisuuteen, jotta edistetään erityisesti naisten integroitumista työmarkkinoille ja luodaan perusta oppimistulosten parantamiselle ja koulunkäynnin keskeyttämisen estämiselle myöhemmissä vaiheissa. </w:t>
      </w:r>
    </w:p>
    <w:p w14:paraId="0F7CA705" w14:textId="77777777" w:rsidR="000E48CE" w:rsidRDefault="00FF4C4E">
      <w:pPr>
        <w:pStyle w:val="P68B1DB1-Normal4"/>
        <w:numPr>
          <w:ilvl w:val="0"/>
          <w:numId w:val="138"/>
        </w:numPr>
        <w:spacing w:before="120" w:after="160" w:line="259" w:lineRule="auto"/>
        <w:contextualSpacing/>
        <w:jc w:val="both"/>
        <w:rPr>
          <w:rFonts w:cs="Times New Roman"/>
          <w:noProof/>
        </w:rPr>
      </w:pPr>
      <w:r>
        <w:rPr>
          <w:noProof/>
          <w:u w:val="single"/>
        </w:rPr>
        <w:t>P</w:t>
      </w:r>
      <w:r>
        <w:rPr>
          <w:noProof/>
          <w:u w:val="single"/>
        </w:rPr>
        <w:t>erus- ja keskiasteen koulutus</w:t>
      </w:r>
      <w:r>
        <w:rPr>
          <w:noProof/>
        </w:rPr>
        <w:t>. Komponentin tavoitteena on parantaa koulutustuloksia vähentämällä koulunkäynnin keskeyttämistä ja korkeaa toistoastetta, antamalla lisätukea heikosti suoriutuville opiskelijoille ja kehittämällä uusi opetussuunnitelma (digita</w:t>
      </w:r>
      <w:r>
        <w:rPr>
          <w:noProof/>
        </w:rPr>
        <w:t xml:space="preserve">aliset) avaintaitoja varten pakollisessa perus- ja keskiasteen koulutuksessa ja ylioppilastutkinnossa. </w:t>
      </w:r>
    </w:p>
    <w:p w14:paraId="3C202EDA" w14:textId="77777777" w:rsidR="000E48CE" w:rsidRDefault="00FF4C4E">
      <w:pPr>
        <w:pStyle w:val="P68B1DB1-Normal4"/>
        <w:numPr>
          <w:ilvl w:val="0"/>
          <w:numId w:val="138"/>
        </w:numPr>
        <w:spacing w:before="120" w:after="160" w:line="259" w:lineRule="auto"/>
        <w:contextualSpacing/>
        <w:jc w:val="both"/>
        <w:rPr>
          <w:rFonts w:cs="Times New Roman"/>
          <w:noProof/>
        </w:rPr>
      </w:pPr>
      <w:r>
        <w:rPr>
          <w:noProof/>
          <w:u w:val="single"/>
        </w:rPr>
        <w:t>Yliopistojärjestelmä</w:t>
      </w:r>
      <w:r>
        <w:rPr>
          <w:noProof/>
        </w:rPr>
        <w:t>. Komponentilla pyritään nykyaikaistamaan korkeakoulujärjestelmää mukauttamalla korkeakoulukurssien järjestämistä nykypäivän yhteisk</w:t>
      </w:r>
      <w:r>
        <w:rPr>
          <w:noProof/>
        </w:rPr>
        <w:t>unnallisiin tarpeisiin, parantamalla korkea-asteen koulutuksen työmarkkinarelevanssia ja tukemalla teknologista muutosta. Sen tavoitteena on myös parantaa korkea-asteen koulutuksen saatavuutta ja kohtuuhintaisuutta.</w:t>
      </w:r>
    </w:p>
    <w:p w14:paraId="39B23856" w14:textId="77777777" w:rsidR="000E48CE" w:rsidRDefault="00FF4C4E">
      <w:pPr>
        <w:pStyle w:val="P68B1DB1-Normal4"/>
        <w:spacing w:before="120" w:after="120" w:line="240" w:lineRule="auto"/>
        <w:jc w:val="both"/>
        <w:rPr>
          <w:rFonts w:cs="Times New Roman"/>
          <w:noProof/>
        </w:rPr>
      </w:pPr>
      <w:r>
        <w:rPr>
          <w:noProof/>
        </w:rPr>
        <w:t>Komponentilla edistetään sellaisten maak</w:t>
      </w:r>
      <w:r>
        <w:rPr>
          <w:noProof/>
        </w:rPr>
        <w:t>ohtaisten suositusten noudattamista, jotka liittyvät koulunkäynnin keskeyttämisen vähentämiseen ja oppimistulosten parantamiseen, ottaen huomioon alueelliset erot (maakohtaiset suositukset 2 2019) ja digitaalisen oppimisen saatavuuden parantamista (maakoht</w:t>
      </w:r>
      <w:r>
        <w:rPr>
          <w:noProof/>
        </w:rPr>
        <w:t xml:space="preserve">ainen suositus 2 2020). Se auttaa myös ottamaan huomioon aiemmat maakohtaiset suositukset, jotka liittyvät opiskelijoiden ja opettajien koulutuksen parempaan tukemiseen sekä perheille annettavan tuen parantamiseen (maakohtaiset suositukset 2 2019), mukaan </w:t>
      </w:r>
      <w:r>
        <w:rPr>
          <w:noProof/>
        </w:rPr>
        <w:t xml:space="preserve">lukien laadukkaan lastenhoidon saatavuus. </w:t>
      </w:r>
    </w:p>
    <w:p w14:paraId="05281E9A" w14:textId="77777777" w:rsidR="000E48CE" w:rsidRDefault="00FF4C4E">
      <w:pPr>
        <w:pStyle w:val="P68B1DB1-Normal4"/>
        <w:spacing w:before="120" w:after="120" w:line="240" w:lineRule="auto"/>
        <w:jc w:val="both"/>
        <w:rPr>
          <w:rFonts w:cs="Times New Roman"/>
          <w:noProof/>
        </w:rPr>
      </w:pPr>
      <w:r>
        <w:rPr>
          <w:noProof/>
        </w:rPr>
        <w:t xml:space="preserve">Minkään tämän komponentin toimenpiteen ei odoteta aiheuttavan asetuksen (EU) 2020/852 17 artiklassa tarkoitettua merkittävää haittaa ympäristötavoitteille, kun otetaan huomioon ”ei merkittävää haittaa” </w:t>
      </w:r>
      <w:r>
        <w:rPr>
          <w:noProof/>
        </w:rPr>
        <w:t>-periaatteen soveltamista koskevien teknisten ohjeiden (2021/C58/01) mukaiset elpymis- ja palautumissuunnitelmassa esitettyjen toimenpiteiden kuvaus ja lieventävät toimet.</w:t>
      </w:r>
    </w:p>
    <w:p w14:paraId="6F2AA7E0" w14:textId="77777777" w:rsidR="000E48CE" w:rsidRDefault="00FF4C4E">
      <w:pPr>
        <w:pStyle w:val="P68B1DB1-Normal5"/>
        <w:spacing w:before="120" w:after="120" w:line="240" w:lineRule="auto"/>
        <w:ind w:left="709"/>
        <w:jc w:val="both"/>
        <w:rPr>
          <w:rFonts w:cs="Times New Roman"/>
          <w:i/>
          <w:noProof/>
        </w:rPr>
      </w:pPr>
      <w:r>
        <w:rPr>
          <w:noProof/>
        </w:rPr>
        <w:t xml:space="preserve">U.1. </w:t>
      </w:r>
      <w:r>
        <w:rPr>
          <w:noProof/>
        </w:rPr>
        <w:tab/>
        <w:t>Kuvaus uudistuksista ja investoinneista, joita rahoitetaan rahoitustuella, jot</w:t>
      </w:r>
      <w:r>
        <w:rPr>
          <w:noProof/>
        </w:rPr>
        <w:t>a ei makseta takaisin</w:t>
      </w:r>
    </w:p>
    <w:p w14:paraId="5277237A" w14:textId="77777777" w:rsidR="000E48CE" w:rsidRDefault="00FF4C4E">
      <w:pPr>
        <w:pStyle w:val="P68B1DB1-Normal23"/>
        <w:spacing w:before="120" w:after="120" w:line="240" w:lineRule="auto"/>
        <w:jc w:val="both"/>
        <w:rPr>
          <w:rFonts w:cs="Times New Roman"/>
          <w:noProof/>
        </w:rPr>
      </w:pPr>
      <w:r>
        <w:rPr>
          <w:noProof/>
        </w:rPr>
        <w:t xml:space="preserve">Uudistus 1 (C21.R1) – Uusi koulutusta koskeva orgaaninen laki  </w:t>
      </w:r>
    </w:p>
    <w:p w14:paraId="3F98D6C3" w14:textId="77777777" w:rsidR="000E48CE" w:rsidRDefault="00FF4C4E">
      <w:pPr>
        <w:pStyle w:val="P68B1DB1-Normal4"/>
        <w:spacing w:before="120" w:after="120" w:line="240" w:lineRule="auto"/>
        <w:jc w:val="both"/>
        <w:rPr>
          <w:rFonts w:cs="Times New Roman"/>
          <w:noProof/>
        </w:rPr>
      </w:pPr>
      <w:r>
        <w:rPr>
          <w:noProof/>
          <w:shd w:val="clear" w:color="auto" w:fill="FFFFFF"/>
        </w:rPr>
        <w:t xml:space="preserve">Uudistuksen myötä hyväksyttiin uusi koulutusta koskeva laki, joka kattaa </w:t>
      </w:r>
      <w:r>
        <w:rPr>
          <w:noProof/>
        </w:rPr>
        <w:t>varhaiskasvatuksen, pakollisen perus- ja keskiasteen koulutuksen ja ylioppilastutkinnon. Se luo p</w:t>
      </w:r>
      <w:r>
        <w:rPr>
          <w:noProof/>
        </w:rPr>
        <w:t>erustan koko väestön koulutusmahdollisuuksien lisäämiselle muun muassa parantamalla oppimistuloksia ja ongelmien varhaista havaitsemista ja vahvistamalla koulujen itsenäisyyttä. Siinä keskitytään opiskelijoiden taustan mukaisen erottelun vähentämiseen ja j</w:t>
      </w:r>
      <w:r>
        <w:rPr>
          <w:noProof/>
        </w:rPr>
        <w:t>ärjestelmän osallistavan kapasiteetin parantamiseen. Lisäksi tavoitteena on vahvistaa digitaalisia taitoja kaikilla koulutustasoilla ja vastata näin yhä digitalisoituneempaan talouteen.  Uusi laki (LOMLOE) hyväksyttiin 29. joulukuuta 2020.</w:t>
      </w:r>
    </w:p>
    <w:p w14:paraId="6573CFB4" w14:textId="77777777" w:rsidR="000E48CE" w:rsidRDefault="00FF4C4E">
      <w:pPr>
        <w:pStyle w:val="P68B1DB1-Normal4"/>
        <w:spacing w:before="120" w:after="120" w:line="240" w:lineRule="auto"/>
        <w:jc w:val="both"/>
        <w:rPr>
          <w:rFonts w:cs="Times New Roman"/>
          <w:noProof/>
        </w:rPr>
      </w:pPr>
      <w:r>
        <w:rPr>
          <w:noProof/>
        </w:rPr>
        <w:t>Koulutuslain sää</w:t>
      </w:r>
      <w:r>
        <w:rPr>
          <w:noProof/>
        </w:rPr>
        <w:t xml:space="preserve">ntelyn kehittäminen toteutetaan seuraavin keinoin: </w:t>
      </w:r>
    </w:p>
    <w:p w14:paraId="26F41691" w14:textId="77777777" w:rsidR="000E48CE" w:rsidRDefault="00FF4C4E">
      <w:pPr>
        <w:pStyle w:val="P68B1DB1-Normal4"/>
        <w:numPr>
          <w:ilvl w:val="0"/>
          <w:numId w:val="139"/>
        </w:numPr>
        <w:spacing w:before="120" w:after="160" w:line="259" w:lineRule="auto"/>
        <w:contextualSpacing/>
        <w:jc w:val="both"/>
        <w:rPr>
          <w:rFonts w:cs="Times New Roman"/>
          <w:noProof/>
        </w:rPr>
      </w:pPr>
      <w:r>
        <w:rPr>
          <w:noProof/>
        </w:rPr>
        <w:t xml:space="preserve">uuden osaamiseen perustuvan opetussuunnitelman sääntely; </w:t>
      </w:r>
    </w:p>
    <w:p w14:paraId="7D127AE9" w14:textId="77777777" w:rsidR="000E48CE" w:rsidRDefault="00FF4C4E">
      <w:pPr>
        <w:pStyle w:val="P68B1DB1-Normal4"/>
        <w:numPr>
          <w:ilvl w:val="0"/>
          <w:numId w:val="139"/>
        </w:numPr>
        <w:spacing w:before="120" w:after="160" w:line="259" w:lineRule="auto"/>
        <w:contextualSpacing/>
        <w:jc w:val="both"/>
        <w:rPr>
          <w:rFonts w:cs="Times New Roman"/>
          <w:noProof/>
        </w:rPr>
      </w:pPr>
      <w:r>
        <w:rPr>
          <w:noProof/>
        </w:rPr>
        <w:t xml:space="preserve">arviointi, erityisesti koulutusjärjestelmän yleinen arviointi ja diagnostiset arvioinnit; </w:t>
      </w:r>
    </w:p>
    <w:p w14:paraId="49022C5D" w14:textId="77777777" w:rsidR="000E48CE" w:rsidRDefault="00FF4C4E">
      <w:pPr>
        <w:pStyle w:val="P68B1DB1-Normal4"/>
        <w:numPr>
          <w:ilvl w:val="0"/>
          <w:numId w:val="139"/>
        </w:numPr>
        <w:spacing w:before="120" w:after="160" w:line="259" w:lineRule="auto"/>
        <w:contextualSpacing/>
        <w:jc w:val="both"/>
        <w:rPr>
          <w:rFonts w:cs="Times New Roman"/>
          <w:noProof/>
        </w:rPr>
      </w:pPr>
      <w:r>
        <w:rPr>
          <w:noProof/>
        </w:rPr>
        <w:t>opettajan ammatin kehittäminen; ja</w:t>
      </w:r>
    </w:p>
    <w:p w14:paraId="736CBF07" w14:textId="77777777" w:rsidR="000E48CE" w:rsidRDefault="00FF4C4E">
      <w:pPr>
        <w:pStyle w:val="P68B1DB1-Normal4"/>
        <w:numPr>
          <w:ilvl w:val="0"/>
          <w:numId w:val="139"/>
        </w:numPr>
        <w:spacing w:before="120" w:after="160" w:line="259" w:lineRule="auto"/>
        <w:contextualSpacing/>
        <w:jc w:val="both"/>
        <w:rPr>
          <w:rFonts w:cs="Times New Roman"/>
          <w:noProof/>
        </w:rPr>
      </w:pPr>
      <w:r>
        <w:rPr>
          <w:noProof/>
        </w:rPr>
        <w:t xml:space="preserve">ulkomaisten muiden kuin korkeakoulututkintotodistusten ja opintojen tunnustamisen ja validoinnin sääntely. </w:t>
      </w:r>
    </w:p>
    <w:p w14:paraId="2DE9682E" w14:textId="77777777" w:rsidR="000E48CE" w:rsidRDefault="00FF4C4E">
      <w:pPr>
        <w:pStyle w:val="P68B1DB1-Normal4"/>
        <w:spacing w:before="120" w:after="120" w:line="240" w:lineRule="auto"/>
        <w:jc w:val="both"/>
        <w:rPr>
          <w:rFonts w:cs="Times New Roman"/>
          <w:noProof/>
          <w:shd w:val="clear" w:color="auto" w:fill="FFFFFF"/>
        </w:rPr>
      </w:pPr>
      <w:r>
        <w:rPr>
          <w:noProof/>
          <w:shd w:val="clear" w:color="auto" w:fill="FFFFFF"/>
        </w:rPr>
        <w:t xml:space="preserve">Tässä tarkoituksessa se luo perustan uudistukselle 2 ja osa-alueeseen sisältyville erilaisille investoinneille. </w:t>
      </w:r>
    </w:p>
    <w:p w14:paraId="6E4E7145" w14:textId="77777777" w:rsidR="000E48CE" w:rsidRDefault="00FF4C4E">
      <w:pPr>
        <w:pStyle w:val="P68B1DB1-Normal4"/>
        <w:spacing w:before="120" w:after="120" w:line="240" w:lineRule="auto"/>
        <w:jc w:val="both"/>
        <w:rPr>
          <w:rFonts w:cs="Times New Roman"/>
          <w:noProof/>
        </w:rPr>
      </w:pPr>
      <w:r>
        <w:rPr>
          <w:noProof/>
        </w:rPr>
        <w:t>Uudistuksen odotetaan myös edistävä</w:t>
      </w:r>
      <w:r>
        <w:rPr>
          <w:noProof/>
        </w:rPr>
        <w:t>n erityisopetusta tarvitsevien opiskelijoiden sisällyttämistä tavanomaisiin kouluihin, ja siihen on liitettävä alueviranomaisten kanssa sovittu 10-vuotinen jatkuva suunnitelma, joka tarjoaa lisäresursseja erityistarpeita omaavia opiskelijoita vastaanottavi</w:t>
      </w:r>
      <w:r>
        <w:rPr>
          <w:noProof/>
        </w:rPr>
        <w:t xml:space="preserve">lle kouluille. </w:t>
      </w:r>
    </w:p>
    <w:p w14:paraId="525C459F"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31 päivänä maaliskuuta 2021.</w:t>
      </w:r>
    </w:p>
    <w:p w14:paraId="38E7D1C8" w14:textId="77777777" w:rsidR="000E48CE" w:rsidRDefault="00FF4C4E">
      <w:pPr>
        <w:pStyle w:val="P68B1DB1-Normal22"/>
        <w:spacing w:before="120" w:after="120" w:line="240" w:lineRule="auto"/>
        <w:jc w:val="both"/>
        <w:rPr>
          <w:rFonts w:cs="Times New Roman"/>
          <w:noProof/>
        </w:rPr>
      </w:pPr>
      <w:r>
        <w:rPr>
          <w:noProof/>
          <w:u w:val="single"/>
        </w:rPr>
        <w:t>Uudistus 2 (C21.R2) – Uusi opetussuunnitelma avaintaitoja, perusoppimista ja osallistavaa akateemista suunnittelua varten</w:t>
      </w:r>
      <w:r>
        <w:rPr>
          <w:noProof/>
        </w:rPr>
        <w:t xml:space="preserve"> </w:t>
      </w:r>
    </w:p>
    <w:p w14:paraId="3067CA83" w14:textId="77777777" w:rsidR="000E48CE" w:rsidRDefault="00FF4C4E">
      <w:pPr>
        <w:pStyle w:val="P68B1DB1-Normal4"/>
        <w:spacing w:before="120" w:after="120" w:line="240" w:lineRule="auto"/>
        <w:jc w:val="both"/>
        <w:rPr>
          <w:rFonts w:cs="Times New Roman"/>
          <w:noProof/>
        </w:rPr>
      </w:pPr>
      <w:r>
        <w:rPr>
          <w:noProof/>
        </w:rPr>
        <w:t>Uudistuksessa 1 mainitu</w:t>
      </w:r>
      <w:r>
        <w:rPr>
          <w:noProof/>
        </w:rPr>
        <w:t>n uuden koulutuslain (LOMLOE) hyväksymisen</w:t>
      </w:r>
      <w:r>
        <w:rPr>
          <w:noProof/>
          <w:shd w:val="clear" w:color="auto" w:fill="FFFFFF"/>
        </w:rPr>
        <w:t>perusteella tähän uudistukseen sisältyy asetus alemman perusasteen, oppivelvollisuuden ja ylioppilastutkinnon vähimmäisvaatimuksista. Siihen sisältyy myös osaamispohjaiseen opetussuunnitelmaan perustuvien opetus- j</w:t>
      </w:r>
      <w:r>
        <w:rPr>
          <w:noProof/>
          <w:shd w:val="clear" w:color="auto" w:fill="FFFFFF"/>
        </w:rPr>
        <w:t xml:space="preserve">a oppimismenetelmien suuntaviivojen </w:t>
      </w:r>
      <w:r>
        <w:rPr>
          <w:noProof/>
        </w:rPr>
        <w:t>käyttöönotto ja ”pehmeät taidot”, joissa otetaan huomioon elinikäisen oppimisen avaintaidoista 22. toukokuuta 2018 annettu neuvoston suositus. Asetuslakeihin on sisällyttävä arviointikehys, joka on laadittu yhdenmukaises</w:t>
      </w:r>
      <w:r>
        <w:rPr>
          <w:noProof/>
        </w:rPr>
        <w:t>ti opetussuunnitelman kanssa ja jossa keskitytään taitojen hankkimisen tasoon ja opiskelijoiden edistymistä edistävien toimenpiteiden arviointiin. Tavoitteena on suunnitella joustavampi ja avoimempi koulutusmalli, jolla edistetään syvällistä oppimista sove</w:t>
      </w:r>
      <w:r>
        <w:rPr>
          <w:noProof/>
        </w:rPr>
        <w:t>ltamalla yhteistyömenetelmiä ja parannetaan koulutustuloksia. Uudessa opetussuunnitelmassa on kiinnitettävä huomiota kestävää kehitystä ja kansalaisuutta edistävään koulutukseen. Digitaalisten taitojen kehittäminen on otettava huomioon kaikilla tasoilla se</w:t>
      </w:r>
      <w:r>
        <w:rPr>
          <w:noProof/>
        </w:rPr>
        <w:t>kä erityisen sisällön avulla että monialaisesti.</w:t>
      </w:r>
    </w:p>
    <w:p w14:paraId="18D0C9CD" w14:textId="77777777" w:rsidR="000E48CE" w:rsidRDefault="00FF4C4E">
      <w:pPr>
        <w:pStyle w:val="P68B1DB1-Text119"/>
        <w:ind w:left="0"/>
        <w:rPr>
          <w:rFonts w:cs="Times New Roman"/>
          <w:noProof/>
        </w:rPr>
      </w:pPr>
      <w:r>
        <w:rPr>
          <w:noProof/>
        </w:rPr>
        <w:t xml:space="preserve">Tässä uudistuksessa vähintään 100 ulkopuolista asiantuntijaa osallistuu koulutusvaiheiden osa-alueiden ja oppiaineiden sekä arviointikehysten laatimiseen, joka muodostaa perustan uutta opetussuunnitelmaa ja </w:t>
      </w:r>
      <w:r>
        <w:rPr>
          <w:noProof/>
        </w:rPr>
        <w:t>yhteistä arviointikehystä koskevien kuninkaallisten asetusten laatimiselle.</w:t>
      </w:r>
    </w:p>
    <w:p w14:paraId="1CDA7885" w14:textId="77777777" w:rsidR="000E48CE" w:rsidRDefault="00FF4C4E">
      <w:pPr>
        <w:pStyle w:val="P68B1DB1-Normal4"/>
        <w:spacing w:before="120" w:after="120" w:line="240" w:lineRule="auto"/>
        <w:jc w:val="both"/>
        <w:rPr>
          <w:rFonts w:cs="Times New Roman"/>
          <w:noProof/>
        </w:rPr>
      </w:pPr>
      <w:r>
        <w:rPr>
          <w:noProof/>
        </w:rPr>
        <w:t>Uudistukseen sisältyy myös tuki-, ohjaus- ja opetusmateriaalin valmistelu sekä opettajien koulutus sen varmistamiseksi, että he voivat panna uuden opetussuunnitelman tehokkaasti tä</w:t>
      </w:r>
      <w:r>
        <w:rPr>
          <w:noProof/>
        </w:rPr>
        <w:t xml:space="preserve">ytäntöön. Aineisto julkaistaan verkossa kaikkien opettajien käyttöön sekä hyvien käytäntöjen levittämiseen. Vähintään 4000 ammattilaisen on suoritettava koulutus uuden opetussuunnitelman soveltamiseksi. </w:t>
      </w:r>
    </w:p>
    <w:p w14:paraId="044E3EE4" w14:textId="77777777" w:rsidR="000E48CE" w:rsidRDefault="00FF4C4E">
      <w:pPr>
        <w:pStyle w:val="P68B1DB1-Normal22"/>
        <w:spacing w:before="120" w:after="120" w:line="240" w:lineRule="auto"/>
        <w:jc w:val="both"/>
        <w:rPr>
          <w:rFonts w:cs="Times New Roman"/>
          <w:noProof/>
        </w:rPr>
      </w:pPr>
      <w:r>
        <w:rPr>
          <w:noProof/>
        </w:rPr>
        <w:t>Uudistuksen suunnittelussa ja täytäntöönpanossa on k</w:t>
      </w:r>
      <w:r>
        <w:rPr>
          <w:noProof/>
        </w:rPr>
        <w:t>uultava koulutusalan neuvoa-antavia elimiä ja asiantuntijoita sekä itsehallintoalueita.</w:t>
      </w:r>
    </w:p>
    <w:p w14:paraId="48CF69A0"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30 päivänä syyskuuta 2024.</w:t>
      </w:r>
    </w:p>
    <w:p w14:paraId="5813ECD3" w14:textId="77777777" w:rsidR="000E48CE" w:rsidRDefault="00FF4C4E">
      <w:pPr>
        <w:pStyle w:val="P68B1DB1-Normal23"/>
        <w:spacing w:before="120" w:after="120" w:line="240" w:lineRule="auto"/>
        <w:jc w:val="both"/>
        <w:rPr>
          <w:rFonts w:cs="Times New Roman"/>
          <w:noProof/>
        </w:rPr>
      </w:pPr>
      <w:r>
        <w:rPr>
          <w:noProof/>
        </w:rPr>
        <w:t xml:space="preserve">Uudistus 3 (C21.R3) – Korkeakoulujärjestelmän kattava uudistus </w:t>
      </w:r>
    </w:p>
    <w:p w14:paraId="0F71425B" w14:textId="77777777" w:rsidR="000E48CE" w:rsidRDefault="00FF4C4E">
      <w:pPr>
        <w:pStyle w:val="P68B1DB1-Normal4"/>
        <w:spacing w:before="120" w:after="120" w:line="240" w:lineRule="auto"/>
        <w:jc w:val="both"/>
        <w:rPr>
          <w:rFonts w:cs="Times New Roman"/>
          <w:noProof/>
        </w:rPr>
      </w:pPr>
      <w:r>
        <w:rPr>
          <w:noProof/>
          <w:shd w:val="clear" w:color="auto" w:fill="FFFFFF"/>
        </w:rPr>
        <w:t>Uudistuksess</w:t>
      </w:r>
      <w:r>
        <w:rPr>
          <w:noProof/>
          <w:shd w:val="clear" w:color="auto" w:fill="FFFFFF"/>
        </w:rPr>
        <w:t xml:space="preserve">a keskitytään yliopistojärjestelmää koskevaan uuteen lakiin, jolla pyritään järjestelmän </w:t>
      </w:r>
      <w:r>
        <w:rPr>
          <w:noProof/>
        </w:rPr>
        <w:t xml:space="preserve">kattavaan uudistamiseen </w:t>
      </w:r>
      <w:bookmarkStart w:id="55" w:name="_Hlk65757328"/>
      <w:r>
        <w:rPr>
          <w:noProof/>
        </w:rPr>
        <w:t xml:space="preserve">neljän keskeisen tavoitteen pohjalta: </w:t>
      </w:r>
    </w:p>
    <w:bookmarkEnd w:id="55"/>
    <w:p w14:paraId="070B5F86" w14:textId="77777777" w:rsidR="000E48CE" w:rsidRDefault="00FF4C4E">
      <w:pPr>
        <w:pStyle w:val="P68B1DB1-Normal22"/>
        <w:numPr>
          <w:ilvl w:val="0"/>
          <w:numId w:val="140"/>
        </w:numPr>
        <w:spacing w:before="120" w:after="120" w:line="240" w:lineRule="auto"/>
        <w:jc w:val="both"/>
        <w:rPr>
          <w:rFonts w:cs="Times New Roman"/>
          <w:noProof/>
        </w:rPr>
      </w:pPr>
      <w:r>
        <w:rPr>
          <w:noProof/>
        </w:rPr>
        <w:t>Edistetään pääsyä korkea-asteen koulutukseen. Apurahoja lisätään ottaen huomioon sosioekonomiset olosuht</w:t>
      </w:r>
      <w:r>
        <w:rPr>
          <w:noProof/>
        </w:rPr>
        <w:t xml:space="preserve">eet, ja yhtäläiset mahdollisuudet varmistetaan parantamalla vammaisille opiskelijoille myönnettäviä apurahoja. Apurahajärjestelmää uudistettiin vuonna 2020, mutta sitä kehitetään edelleen vuosina 2021 ja 2022. Myös julkisia yliopistomaksuja on alennettava </w:t>
      </w:r>
      <w:r>
        <w:rPr>
          <w:noProof/>
        </w:rPr>
        <w:t>muun muassa vahvistamalla kynnysarvoja ja vähentämällä suuria alueellisia eroja.</w:t>
      </w:r>
    </w:p>
    <w:p w14:paraId="5A5C4F93" w14:textId="77777777" w:rsidR="000E48CE" w:rsidRDefault="00FF4C4E">
      <w:pPr>
        <w:pStyle w:val="P68B1DB1-Normal4"/>
        <w:numPr>
          <w:ilvl w:val="0"/>
          <w:numId w:val="140"/>
        </w:numPr>
        <w:spacing w:before="120" w:after="120" w:line="240" w:lineRule="auto"/>
        <w:jc w:val="both"/>
        <w:rPr>
          <w:rFonts w:cs="Times New Roman"/>
          <w:noProof/>
          <w:shd w:val="clear" w:color="auto" w:fill="FFFFFF"/>
        </w:rPr>
      </w:pPr>
      <w:r>
        <w:rPr>
          <w:noProof/>
          <w:shd w:val="clear" w:color="auto" w:fill="FFFFFF"/>
        </w:rPr>
        <w:t>Korkeakoulukurssien järjestäminen. Hyväksytään asetus, jolla uudistetaan korkeakoulukurssien järjestämistä ja varmistetaan niiden laatu ja tarkoituksenmukaisuus työmarkkinoill</w:t>
      </w:r>
      <w:r>
        <w:rPr>
          <w:noProof/>
          <w:shd w:val="clear" w:color="auto" w:fill="FFFFFF"/>
        </w:rPr>
        <w:t xml:space="preserve">a. </w:t>
      </w:r>
      <w:r>
        <w:rPr>
          <w:noProof/>
        </w:rPr>
        <w:t>Tätä varten korkeakoulujen ja yritysten välistä yhteistyötä korkea-asteen koulutuksen alalla edistetään sääntelemällä kaksois- ja maisteritutkintoja, mukaan lukien yliopistojen valvomissa yrityksissä toteutettavat koulutusohjelmat.</w:t>
      </w:r>
      <w:r>
        <w:rPr>
          <w:noProof/>
          <w:shd w:val="clear" w:color="auto" w:fill="FFFFFF"/>
        </w:rPr>
        <w:t xml:space="preserve"> Eurooppalaisen koulut</w:t>
      </w:r>
      <w:r>
        <w:rPr>
          <w:noProof/>
          <w:shd w:val="clear" w:color="auto" w:fill="FFFFFF"/>
        </w:rPr>
        <w:t xml:space="preserve">usalueen tavoitteiden mukaisesti tutkintotodistusten automaattinen tunnustaminen on varmistettava. </w:t>
      </w:r>
      <w:r>
        <w:rPr>
          <w:noProof/>
        </w:rPr>
        <w:t>Lisäksi on vahvistettava muun kuin lähiopetuksen todentamis-, seuranta- ja akkreditointiprosesseja, joissa yhdistyvät korkeakoulutustarjonnan laadunvarmistus</w:t>
      </w:r>
      <w:r>
        <w:rPr>
          <w:noProof/>
        </w:rPr>
        <w:t xml:space="preserve"> ja asianomaisiin menettelyihin liittyvän byrokratian vähentäminen. Myös innovatiivista opetusta on edistettävä. </w:t>
      </w:r>
    </w:p>
    <w:p w14:paraId="2265A793" w14:textId="77777777" w:rsidR="000E48CE" w:rsidRDefault="00FF4C4E">
      <w:pPr>
        <w:pStyle w:val="P68B1DB1-Normal22"/>
        <w:numPr>
          <w:ilvl w:val="0"/>
          <w:numId w:val="140"/>
        </w:numPr>
        <w:spacing w:before="120" w:after="120" w:line="240" w:lineRule="auto"/>
        <w:jc w:val="both"/>
        <w:rPr>
          <w:rFonts w:cs="Times New Roman"/>
          <w:noProof/>
        </w:rPr>
      </w:pPr>
      <w:r>
        <w:rPr>
          <w:noProof/>
        </w:rPr>
        <w:t>Varmistetaan korkeakoulujen hyvä hallinto ja edistetään opetus- ja tutkimushenkilöstön tutkimusta, siirtoa ja liikkuvuutta. Tavoitteena on var</w:t>
      </w:r>
      <w:r>
        <w:rPr>
          <w:noProof/>
        </w:rPr>
        <w:t>mistaa vaikuttavuus, tehokkuus ja yliopistojen riippumattomuus yliopistojen päivittäisessä johtamisessa, lisätä sidosryhmien osallistumista hallintoon sekä edistää avoimuutta ja vastuuvelvollisuutta. Se varmistaa myös, että yliopistoilla on korkeasti koulu</w:t>
      </w:r>
      <w:r>
        <w:rPr>
          <w:noProof/>
        </w:rPr>
        <w:t>tettuja opettajia, että opetusura on ennustettavampi ja että opetuksen ja tutkimuksen välistä yhteyttä vahvistetaan.</w:t>
      </w:r>
    </w:p>
    <w:p w14:paraId="30DA7ED5" w14:textId="77777777" w:rsidR="000E48CE" w:rsidRDefault="00FF4C4E">
      <w:pPr>
        <w:pStyle w:val="P68B1DB1-Normal4"/>
        <w:numPr>
          <w:ilvl w:val="0"/>
          <w:numId w:val="140"/>
        </w:numPr>
        <w:spacing w:before="120" w:after="120" w:line="240" w:lineRule="auto"/>
        <w:jc w:val="both"/>
        <w:rPr>
          <w:rFonts w:cs="Times New Roman"/>
          <w:noProof/>
          <w:shd w:val="clear" w:color="auto" w:fill="FFFFFF"/>
        </w:rPr>
      </w:pPr>
      <w:r>
        <w:rPr>
          <w:noProof/>
        </w:rPr>
        <w:t>Korkeakoulujen laadun</w:t>
      </w:r>
      <w:r>
        <w:rPr>
          <w:noProof/>
          <w:shd w:val="clear" w:color="auto" w:fill="FFFFFF"/>
        </w:rPr>
        <w:t xml:space="preserve">varmistaminen. </w:t>
      </w:r>
      <w:r>
        <w:rPr>
          <w:noProof/>
        </w:rPr>
        <w:t>Annetaan asetus, jossa vahvistetaan akateemiset laatukriteerit yliopistojen ja niihin liittyvien keskus</w:t>
      </w:r>
      <w:r>
        <w:rPr>
          <w:noProof/>
        </w:rPr>
        <w:t>ten perustamista, tunnustamista, hyväksymistä ja akkreditointia varten, mukaan lukien etäyliopistot ja puolikautiset yliopistot.</w:t>
      </w:r>
      <w:r>
        <w:rPr>
          <w:noProof/>
          <w:shd w:val="clear" w:color="auto" w:fill="FFFFFF"/>
        </w:rPr>
        <w:t xml:space="preserve"> Tavoitteena on, että yliopistoilla </w:t>
      </w:r>
      <w:r>
        <w:rPr>
          <w:noProof/>
        </w:rPr>
        <w:t>on oltava akateeminen vähimmäistarjonta ja että yliopistot voivat erikoistua. perustutkinnon</w:t>
      </w:r>
      <w:r>
        <w:rPr>
          <w:noProof/>
        </w:rPr>
        <w:t xml:space="preserve"> suorittaneiden opiskelijoiden vähimmäismäärä; osoitettava vähintään 5 prosenttia määrärahoistaan tutkimusohjelmiin; ja sillä on sisäiset laadunvarmistusjärjestelmät.</w:t>
      </w:r>
    </w:p>
    <w:p w14:paraId="49406F58" w14:textId="77777777" w:rsidR="000E48CE" w:rsidRDefault="00FF4C4E">
      <w:pPr>
        <w:pStyle w:val="P68B1DB1-Normal22"/>
        <w:spacing w:before="120" w:after="120" w:line="240" w:lineRule="auto"/>
        <w:jc w:val="both"/>
        <w:rPr>
          <w:rFonts w:cs="Times New Roman"/>
          <w:noProof/>
        </w:rPr>
      </w:pPr>
      <w:r>
        <w:rPr>
          <w:noProof/>
        </w:rPr>
        <w:t xml:space="preserve">Tätä varten uudistuksessa otetaan huomioon Espanjan yliopistojen rehtorien konferenssin </w:t>
      </w:r>
      <w:r>
        <w:rPr>
          <w:noProof/>
        </w:rPr>
        <w:t>(CRUE) suositukset. Se auttaa parantamaan korkea-asteen koulutuksen työmarkkinarelevanssia muun muassa edistämällä yhteistyötä yritysten kanssa ja ottamalla käyttöön tulosperusteisia rahoitusmalleja julkisissa yliopistoissa.</w:t>
      </w:r>
    </w:p>
    <w:p w14:paraId="47FC6520" w14:textId="77777777" w:rsidR="000E48CE" w:rsidRDefault="00FF4C4E">
      <w:pPr>
        <w:pStyle w:val="P68B1DB1-Normal22"/>
        <w:spacing w:before="120" w:after="120" w:line="240" w:lineRule="auto"/>
        <w:jc w:val="both"/>
        <w:rPr>
          <w:rFonts w:cs="Times New Roman"/>
          <w:noProof/>
        </w:rPr>
      </w:pPr>
      <w:r>
        <w:rPr>
          <w:noProof/>
        </w:rPr>
        <w:t xml:space="preserve">Toimenpiteen täytäntöönpano on </w:t>
      </w:r>
      <w:r>
        <w:rPr>
          <w:noProof/>
        </w:rPr>
        <w:t>saatettava päätökseen viimeistään 30 päivänä kesäkuuta 2023.</w:t>
      </w:r>
    </w:p>
    <w:p w14:paraId="38C05484" w14:textId="77777777" w:rsidR="000E48CE" w:rsidRDefault="00FF4C4E">
      <w:pPr>
        <w:pStyle w:val="P68B1DB1-Normal22"/>
        <w:spacing w:before="120" w:after="120" w:line="240" w:lineRule="auto"/>
        <w:jc w:val="both"/>
        <w:rPr>
          <w:rFonts w:cs="Times New Roman"/>
          <w:noProof/>
          <w:u w:val="single"/>
        </w:rPr>
      </w:pPr>
      <w:r>
        <w:rPr>
          <w:noProof/>
          <w:u w:val="single"/>
        </w:rPr>
        <w:t>Investointi 1 (C21.I1) – varhaiskasvatuksen edistäminen</w:t>
      </w:r>
      <w:r>
        <w:rPr>
          <w:noProof/>
        </w:rPr>
        <w:t xml:space="preserve"> </w:t>
      </w:r>
    </w:p>
    <w:p w14:paraId="45772844" w14:textId="77777777" w:rsidR="000E48CE" w:rsidRDefault="00FF4C4E">
      <w:pPr>
        <w:pStyle w:val="P68B1DB1-Normal4"/>
        <w:spacing w:before="120" w:after="120" w:line="240" w:lineRule="auto"/>
        <w:jc w:val="both"/>
        <w:rPr>
          <w:rFonts w:cs="Times New Roman"/>
          <w:noProof/>
        </w:rPr>
      </w:pPr>
      <w:r>
        <w:rPr>
          <w:noProof/>
          <w:shd w:val="clear" w:color="auto" w:fill="FFFFFF"/>
        </w:rPr>
        <w:t>Osana tätä toimenpidettä Espanjan on investoitava uusien varhaiskasvatuslaitosten rakentamiseen, olemassa olevien rakennusten kunnostamise</w:t>
      </w:r>
      <w:r>
        <w:rPr>
          <w:noProof/>
          <w:shd w:val="clear" w:color="auto" w:fill="FFFFFF"/>
        </w:rPr>
        <w:t xml:space="preserve">en ja kunnostamiseen sekä laitteisiin, joilla perustetaan vähintään 60000 uutta julkisessa omistuksessa olevaa varhaiskasvatuspaikkaa alle 3-vuotiaille lapsille. Painopisteenä on tarjota kohtuuhintaisia julkisia paikkoja </w:t>
      </w:r>
      <w:r>
        <w:rPr>
          <w:noProof/>
        </w:rPr>
        <w:t xml:space="preserve">lapsille alueilla, joilla köyhyys- </w:t>
      </w:r>
      <w:r>
        <w:rPr>
          <w:noProof/>
        </w:rPr>
        <w:t xml:space="preserve">tai syrjäytymisriski on suurempi, ja maaseudulla, erityisesti 1–2-vuotiaille. Rakennukset ovat joko alueellisten tai paikallisten viranomaisten tai Ceutan ja Melillan tapauksessa opetus- ja ammattikoulutusministeriön omistuksessa. </w:t>
      </w:r>
    </w:p>
    <w:p w14:paraId="07508A27" w14:textId="1AEF08E7" w:rsidR="000E48CE" w:rsidRDefault="00FF4C4E">
      <w:pPr>
        <w:pStyle w:val="P68B1DB1-Normal4"/>
        <w:spacing w:before="120" w:after="120" w:line="240" w:lineRule="auto"/>
        <w:jc w:val="both"/>
        <w:rPr>
          <w:rFonts w:cs="Times New Roman"/>
          <w:noProof/>
        </w:rPr>
      </w:pPr>
      <w:r>
        <w:rPr>
          <w:noProof/>
        </w:rPr>
        <w:t>Investointi voisi kattaa</w:t>
      </w:r>
      <w:r>
        <w:rPr>
          <w:noProof/>
        </w:rPr>
        <w:t xml:space="preserve"> myös toimintamenot, mukaan lukien opettajien palkat investoinnin toteuttamisen aikana, jotta alue- ja paikallisviranomaisia kannustettaisiin enintään 40000 uuteen koulupaikkaan. Espanjan on varmistettava, että toimi on julkisen talouden kannalta kestävä e</w:t>
      </w:r>
      <w:r>
        <w:rPr>
          <w:noProof/>
        </w:rPr>
        <w:t>lpymis- ja palautumistukivälineen päättymisen jälkeen, myös tukeutumalla muihin EU:n rahoituslähteisiin.</w:t>
      </w:r>
    </w:p>
    <w:p w14:paraId="37D0BEA7" w14:textId="5F35551E" w:rsidR="000E48CE" w:rsidRDefault="00FF4C4E">
      <w:pPr>
        <w:pStyle w:val="P68B1DB1-Normal22"/>
        <w:spacing w:before="120" w:after="120" w:line="240" w:lineRule="auto"/>
        <w:jc w:val="both"/>
        <w:rPr>
          <w:rFonts w:cs="Times New Roman"/>
          <w:noProof/>
        </w:rPr>
      </w:pPr>
      <w:r>
        <w:rPr>
          <w:noProof/>
        </w:rPr>
        <w:t>Toimenpiteen täytäntöönpano on määrä saattaa päätökseen 31. joulukuuta 2025 mennessä.</w:t>
      </w:r>
    </w:p>
    <w:p w14:paraId="5E2EE741" w14:textId="77777777" w:rsidR="000E48CE" w:rsidRDefault="00FF4C4E">
      <w:pPr>
        <w:pStyle w:val="P68B1DB1-Normal23"/>
        <w:spacing w:before="120" w:after="120" w:line="240" w:lineRule="auto"/>
        <w:jc w:val="both"/>
        <w:rPr>
          <w:rFonts w:cs="Times New Roman"/>
          <w:noProof/>
        </w:rPr>
      </w:pPr>
      <w:r>
        <w:rPr>
          <w:noProof/>
        </w:rPr>
        <w:t xml:space="preserve">Investointi 2 (C21.I2): Suuntautumista, edistymistä ja opetuksen </w:t>
      </w:r>
      <w:r>
        <w:rPr>
          <w:noProof/>
        </w:rPr>
        <w:t xml:space="preserve">rikastamista koskeva ohjelma (PROA+) </w:t>
      </w:r>
    </w:p>
    <w:p w14:paraId="486A999B" w14:textId="77777777" w:rsidR="000E48CE" w:rsidRDefault="00FF4C4E">
      <w:pPr>
        <w:pStyle w:val="P68B1DB1-Normal22"/>
        <w:spacing w:before="120" w:after="120" w:line="240" w:lineRule="auto"/>
        <w:jc w:val="both"/>
        <w:rPr>
          <w:rFonts w:cs="Times New Roman"/>
          <w:noProof/>
        </w:rPr>
      </w:pPr>
      <w:r>
        <w:rPr>
          <w:noProof/>
        </w:rPr>
        <w:t>Jotta voidaan tukea ja opastaa heikosti suoriutuvia oppilaita ja vähentää sekä koulunkäynnin keskeyttäneiden että koulunkäynnin keskeyttäneiden määrää, Espanjan on investoitava nykyisen perehdyttämis-, edistys- ja koul</w:t>
      </w:r>
      <w:r>
        <w:rPr>
          <w:noProof/>
        </w:rPr>
        <w:t xml:space="preserve">utusalan rikastuttamisohjelman (PROA+) laajentamiseen. </w:t>
      </w:r>
    </w:p>
    <w:p w14:paraId="3C93A5DA" w14:textId="2C4F27E2" w:rsidR="000E48CE" w:rsidRDefault="00FF4C4E">
      <w:pPr>
        <w:pStyle w:val="P68B1DB1-Normal4"/>
        <w:spacing w:before="120" w:after="120" w:line="240" w:lineRule="auto"/>
        <w:jc w:val="both"/>
        <w:rPr>
          <w:rFonts w:cs="Times New Roman"/>
          <w:noProof/>
        </w:rPr>
      </w:pPr>
      <w:r>
        <w:rPr>
          <w:noProof/>
        </w:rPr>
        <w:t>Ohjelmassa keskitytään toimiin, joilla varmistetaan kaikkien opiskelijoiden koulutusta koskevat vähimmäisedellytykset, otetaan käyttöön tukitoimenpiteitä niille, joilla on enemmän oppimisvaikeuksia, p</w:t>
      </w:r>
      <w:r>
        <w:rPr>
          <w:noProof/>
        </w:rPr>
        <w:t xml:space="preserve">ääasiassa perustaitojen osalta, etsivät uusia organisaatio- ja johtamismuotoja koulutuskeskukseen ja tarjoavat lisätukea ja -koulutusta opettajille. Näillä toimilla olisi pyrittävä parantamaan kaikkien opiskelijoiden menestystä näissä kouluissa. </w:t>
      </w:r>
    </w:p>
    <w:p w14:paraId="074E6E2C" w14:textId="77777777" w:rsidR="000E48CE" w:rsidRDefault="00FF4C4E">
      <w:pPr>
        <w:pStyle w:val="P68B1DB1-Normal4"/>
        <w:spacing w:before="120" w:after="120" w:line="240" w:lineRule="auto"/>
        <w:jc w:val="both"/>
        <w:rPr>
          <w:rFonts w:cs="Times New Roman"/>
          <w:noProof/>
          <w:shd w:val="clear" w:color="auto" w:fill="FFFFFF"/>
        </w:rPr>
      </w:pPr>
      <w:r>
        <w:rPr>
          <w:noProof/>
          <w:shd w:val="clear" w:color="auto" w:fill="FFFFFF"/>
        </w:rPr>
        <w:t>Ohjelma o</w:t>
      </w:r>
      <w:r>
        <w:rPr>
          <w:noProof/>
          <w:shd w:val="clear" w:color="auto" w:fill="FFFFFF"/>
        </w:rPr>
        <w:t>n kohdennettava kouluihin, joiden koulutus on erityisen monimutkaista, myös maaseudulla, joissa on huomattava osuus haavoittuvassa asemassa olevista opiskelijoista, joilla on oppimisvaikeuksia tavanomaisissa luokkahuoneissa.</w:t>
      </w:r>
      <w:r>
        <w:rPr>
          <w:noProof/>
        </w:rPr>
        <w:t xml:space="preserve"> Koulutuslaitokset valitsevat op</w:t>
      </w:r>
      <w:r>
        <w:rPr>
          <w:noProof/>
        </w:rPr>
        <w:t xml:space="preserve">pilaitokset. </w:t>
      </w:r>
      <w:r>
        <w:rPr>
          <w:noProof/>
          <w:shd w:val="clear" w:color="auto" w:fill="FFFFFF"/>
        </w:rPr>
        <w:t xml:space="preserve">Kohteena olevat koulut sijaitsevat erityisesti alueilla, jotka koostuvat heikon sosioekonomisen ja koulutustason omaavista oppilaista ja perheistä. Tukea myönnetään yhteensä vähintään 2700 koululle. </w:t>
      </w:r>
    </w:p>
    <w:p w14:paraId="66E53685" w14:textId="77777777" w:rsidR="000E48CE" w:rsidRDefault="00FF4C4E">
      <w:pPr>
        <w:pStyle w:val="P68B1DB1-Normal22"/>
        <w:spacing w:before="120" w:after="120" w:line="240" w:lineRule="auto"/>
        <w:jc w:val="both"/>
        <w:rPr>
          <w:rFonts w:cs="Times New Roman"/>
          <w:noProof/>
        </w:rPr>
      </w:pPr>
      <w:r>
        <w:rPr>
          <w:noProof/>
        </w:rPr>
        <w:t>Investointia kehitetään yhteistyössä itsehallintoalueiden kanssa alakohtaisten konferenssien puitteissa, ja varojen alueellisen jakamisen on perustuttava erityisiin kriteereihin, joista on sovittu tarpeiden huomioon ottamiseksi ja alueellisten erojen vähen</w:t>
      </w:r>
      <w:r>
        <w:rPr>
          <w:noProof/>
        </w:rPr>
        <w:t xml:space="preserve">tämiseksi. </w:t>
      </w:r>
    </w:p>
    <w:p w14:paraId="0269706D"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31 päivänä joulukuuta 2024.</w:t>
      </w:r>
    </w:p>
    <w:p w14:paraId="220AAC7D" w14:textId="77777777" w:rsidR="000E48CE" w:rsidRDefault="00FF4C4E">
      <w:pPr>
        <w:pStyle w:val="P68B1DB1-Normal22"/>
        <w:spacing w:before="120" w:after="120" w:line="240" w:lineRule="auto"/>
        <w:jc w:val="both"/>
        <w:rPr>
          <w:rFonts w:cs="Times New Roman"/>
          <w:noProof/>
          <w:u w:val="single"/>
        </w:rPr>
      </w:pPr>
      <w:r>
        <w:rPr>
          <w:noProof/>
          <w:u w:val="single"/>
        </w:rPr>
        <w:t>Investointi 3 (C21.I3) – Tuki haavoittuvassa asemassa oleville opiskelijoille ja perheille</w:t>
      </w:r>
      <w:r>
        <w:rPr>
          <w:noProof/>
        </w:rPr>
        <w:t xml:space="preserve"> </w:t>
      </w:r>
    </w:p>
    <w:p w14:paraId="0E87F54E" w14:textId="77777777" w:rsidR="000E48CE" w:rsidRDefault="00FF4C4E">
      <w:pPr>
        <w:pStyle w:val="P68B1DB1-Normal22"/>
        <w:spacing w:before="120" w:after="120" w:line="240" w:lineRule="auto"/>
        <w:jc w:val="both"/>
        <w:rPr>
          <w:rFonts w:cs="Times New Roman"/>
          <w:noProof/>
        </w:rPr>
      </w:pPr>
      <w:r>
        <w:rPr>
          <w:noProof/>
        </w:rPr>
        <w:t>Espanjan on investoitava vähintään 1000 haavoittuvassa asem</w:t>
      </w:r>
      <w:r>
        <w:rPr>
          <w:noProof/>
        </w:rPr>
        <w:t>assa olevien opiskelijoiden tuki-, ohjaus- ja psykokoulutusyksikön perustamiseen koulupiireihin. Se helpottaa opiskelijoiden ja heidän perheidensä tukemista koulutusesteiden voittamiseksi poissaolojen ja koulunkäynnin keskeyttämisen vähentämiseksi. Yhteist</w:t>
      </w:r>
      <w:r>
        <w:rPr>
          <w:noProof/>
        </w:rPr>
        <w:t>yötä erilaisten (virallisten ja epävirallisten) oppimiskehysten kanssa tuetaan keskeisten ihmissuhde-, viestintä- ja kognitiivisten taitojen kehittämisen tehostamiseksi. Investointia kehitetään alueellisessa yhteistyössä itsehallintoalueiden kanssa alakoht</w:t>
      </w:r>
      <w:r>
        <w:rPr>
          <w:noProof/>
        </w:rPr>
        <w:t>aisten konferenssien yhteydessä, joissa vahvistetaan varojen alueellista jakautumista koskevat perusteet.</w:t>
      </w:r>
    </w:p>
    <w:p w14:paraId="10DA7D2B"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31 päivänä joulukuuta 2024.</w:t>
      </w:r>
    </w:p>
    <w:p w14:paraId="29008735" w14:textId="77777777" w:rsidR="000E48CE" w:rsidRDefault="00FF4C4E">
      <w:pPr>
        <w:pStyle w:val="P68B1DB1-Normal22"/>
        <w:spacing w:before="120" w:after="120" w:line="240" w:lineRule="auto"/>
        <w:jc w:val="both"/>
        <w:rPr>
          <w:rFonts w:cs="Times New Roman"/>
          <w:noProof/>
          <w:u w:val="single"/>
        </w:rPr>
      </w:pPr>
      <w:r>
        <w:rPr>
          <w:noProof/>
          <w:u w:val="single"/>
        </w:rPr>
        <w:t>Investointi 4 (C21.I4) – Opetus- ja tutkimushenkilöstön k</w:t>
      </w:r>
      <w:r>
        <w:rPr>
          <w:noProof/>
          <w:u w:val="single"/>
        </w:rPr>
        <w:t>oulutus</w:t>
      </w:r>
      <w:r>
        <w:rPr>
          <w:noProof/>
        </w:rPr>
        <w:t xml:space="preserve"> </w:t>
      </w:r>
    </w:p>
    <w:p w14:paraId="144FB2A8" w14:textId="77777777" w:rsidR="000E48CE" w:rsidRDefault="00FF4C4E">
      <w:pPr>
        <w:pStyle w:val="P68B1DB1-Normal4"/>
        <w:spacing w:before="120" w:after="120" w:line="240" w:lineRule="auto"/>
        <w:jc w:val="both"/>
        <w:rPr>
          <w:rFonts w:cs="Times New Roman"/>
          <w:noProof/>
        </w:rPr>
      </w:pPr>
      <w:r>
        <w:rPr>
          <w:noProof/>
          <w:shd w:val="clear" w:color="auto" w:fill="FFFFFF"/>
        </w:rPr>
        <w:t>Tähän toimenpiteeseen sisältyy investointeja julkisiin yliopistoihin myönnettäviin avustuksiin</w:t>
      </w:r>
      <w:r>
        <w:rPr>
          <w:noProof/>
        </w:rPr>
        <w:t>, joiden tavoitteena on edistää Espanjan yliopistojärjestelmän uudelleenkoulutusta ja sen opetushenkilöstön ammatillista kehitystä sekä tarjota tohtorint</w:t>
      </w:r>
      <w:r>
        <w:rPr>
          <w:noProof/>
        </w:rPr>
        <w:t>utkinnon suorittaneille mahdollisuuksia päästä tulevaisuudessa mukaan korkeakoulujärjestelmään. Avustuksilla rahoitetaan tohtorintutkinnon jälkeistä tutkimusta, jota isännöivät arvostetut ulkomaiset yliopistot ja tutkimuskeskukset sekä espanjalaiset yliopi</w:t>
      </w:r>
      <w:r>
        <w:rPr>
          <w:noProof/>
        </w:rPr>
        <w:t>stot ja muut Espanjan tiede-, teknologia- ja innovaatiojärjestelmän julkiset toimijat. Tätä varten apurahojen odotetaan edistävän kansainvälisten lahjakkuuksien houkuttelemista ja vähentävän espanjalaisten yliopistojen alhaista kansainvälistymistä.</w:t>
      </w:r>
    </w:p>
    <w:p w14:paraId="50858590" w14:textId="77777777" w:rsidR="000E48CE" w:rsidRDefault="00FF4C4E">
      <w:pPr>
        <w:pStyle w:val="P68B1DB1-Normal4"/>
        <w:spacing w:before="120" w:after="120" w:line="240" w:lineRule="auto"/>
        <w:jc w:val="both"/>
        <w:rPr>
          <w:rFonts w:cs="Times New Roman"/>
          <w:noProof/>
        </w:rPr>
      </w:pPr>
      <w:r>
        <w:rPr>
          <w:noProof/>
        </w:rPr>
        <w:t>Avustuk</w:t>
      </w:r>
      <w:r>
        <w:rPr>
          <w:noProof/>
        </w:rPr>
        <w:t>set myönnetään kolmesta eri ohjelmasta, joissa sovelletaan kohderyhmästä riippuen erityisiä perusteita ja joissa keskitytään i) tohtorintutkinnon suorittaneiden nuorten koulutukseen; avustukset yliopistoluentajille – vakinaisille professoreille ja vanhuste</w:t>
      </w:r>
      <w:r>
        <w:rPr>
          <w:noProof/>
        </w:rPr>
        <w:t xml:space="preserve">n luennoille uralla; ja iii) avustukset, joilla pyritään houkuttelemaan kansainvälisiä lahjakkuuksia, rahoittamaan arvostettujen espanjalaisten yliopistojen ja muiden Espanjan tiede-, teknologia- ja innovaatiojärjestelmän julkisten toimijoiden järjestämää </w:t>
      </w:r>
      <w:r>
        <w:rPr>
          <w:noProof/>
        </w:rPr>
        <w:t>tohtorintutkinnon jälkeistä koulutusta. Ohjelmien kesto on yhdestä kolmeen vuotta ohjelmasta ja kohderyhmästä riippuen.</w:t>
      </w:r>
    </w:p>
    <w:p w14:paraId="2D61B76F" w14:textId="77777777" w:rsidR="000E48CE" w:rsidRDefault="00FF4C4E">
      <w:pPr>
        <w:pStyle w:val="P68B1DB1-Normal4"/>
        <w:spacing w:after="120" w:line="240" w:lineRule="auto"/>
        <w:jc w:val="both"/>
        <w:rPr>
          <w:rFonts w:cs="Times New Roman"/>
          <w:noProof/>
        </w:rPr>
      </w:pPr>
      <w:r>
        <w:rPr>
          <w:noProof/>
        </w:rPr>
        <w:t>Kaikki nämä avustukset toteutetaan vuosina 2021–2023 vähintään 2600 ehdokkaan hyväksi. Kukin yliopisto saa suoraan määrärahat yliopistom</w:t>
      </w:r>
      <w:r>
        <w:rPr>
          <w:noProof/>
        </w:rPr>
        <w:t xml:space="preserve">inisteriöltä puolueettomin perustein, mukaan lukien opetus- ja tutkimushenkilöstön määrä sekä PHD:n väitöskirjat. Hakemusten perusteella kunkin yliopiston nimittämä kansainvälisen arvostuksen omaava asiantuntijapaneeli, jossa on vähintään kolme jäsentä ja </w:t>
      </w:r>
      <w:r>
        <w:rPr>
          <w:noProof/>
        </w:rPr>
        <w:t xml:space="preserve">suurin osa ulkopuolisista asiantuntijoista. </w:t>
      </w:r>
    </w:p>
    <w:p w14:paraId="18C6FA2A" w14:textId="77777777" w:rsidR="000E48CE" w:rsidRDefault="00FF4C4E">
      <w:pPr>
        <w:pStyle w:val="P68B1DB1-Normal22"/>
        <w:spacing w:after="120" w:line="240" w:lineRule="auto"/>
        <w:jc w:val="both"/>
        <w:rPr>
          <w:rFonts w:cs="Times New Roman"/>
          <w:noProof/>
        </w:rPr>
      </w:pPr>
      <w:r>
        <w:rPr>
          <w:noProof/>
        </w:rPr>
        <w:t>Toimenpiteen täytäntöönpano on saatettava päätökseen viimeistään 31 päivänä joulukuuta 2023.</w:t>
      </w:r>
    </w:p>
    <w:p w14:paraId="2477D2C2" w14:textId="77777777" w:rsidR="000E48CE" w:rsidRDefault="00FF4C4E">
      <w:pPr>
        <w:pStyle w:val="P68B1DB1-Normal22"/>
        <w:spacing w:before="120" w:after="120" w:line="240" w:lineRule="auto"/>
        <w:jc w:val="both"/>
        <w:rPr>
          <w:rFonts w:cs="Times New Roman"/>
          <w:noProof/>
          <w:u w:val="single"/>
        </w:rPr>
      </w:pPr>
      <w:r>
        <w:rPr>
          <w:noProof/>
          <w:u w:val="single"/>
        </w:rPr>
        <w:t>Investointi 5 (C21.I5) – Korkeakoulujen digitaalisen infrastruktuurin, laitteiden, teknologian, opetuksen ja arvioinni</w:t>
      </w:r>
      <w:r>
        <w:rPr>
          <w:noProof/>
          <w:u w:val="single"/>
        </w:rPr>
        <w:t>n parantaminen</w:t>
      </w:r>
      <w:r>
        <w:rPr>
          <w:noProof/>
        </w:rPr>
        <w:t xml:space="preserve"> </w:t>
      </w:r>
    </w:p>
    <w:p w14:paraId="23DD2A7B" w14:textId="77777777" w:rsidR="000E48CE" w:rsidRDefault="00FF4C4E">
      <w:pPr>
        <w:pStyle w:val="P68B1DB1-Normal4"/>
        <w:spacing w:before="120" w:after="120" w:line="240" w:lineRule="auto"/>
        <w:jc w:val="both"/>
        <w:rPr>
          <w:rFonts w:cs="Times New Roman"/>
          <w:noProof/>
        </w:rPr>
      </w:pPr>
      <w:r>
        <w:rPr>
          <w:noProof/>
          <w:shd w:val="clear" w:color="auto" w:fill="FFFFFF"/>
        </w:rPr>
        <w:t xml:space="preserve">Investointiin sisältyy </w:t>
      </w:r>
      <w:r>
        <w:rPr>
          <w:noProof/>
        </w:rPr>
        <w:t>useita toimenpiteitä, joilla pyritään parantamaan yliopistojen teknologisia ja digitaalisia valmiuksia ja taitoja. Näitä ovat muun muassa investoinnit digitaalisiin opetusresursseihin ja infrastruktuuriin, kuten palve</w:t>
      </w:r>
      <w:r>
        <w:rPr>
          <w:noProof/>
        </w:rPr>
        <w:t xml:space="preserve">limien pilvipalvelujen tiedontallennusverkkoihin, kyberturvallisuuteen ja verkkokurssien luokkahuoneteknologiaan; ja investoinnit akateemisen henkilöstön ja opiskelijoiden digitaaliseen koulutukseen. </w:t>
      </w:r>
    </w:p>
    <w:p w14:paraId="76B36787" w14:textId="77777777" w:rsidR="000E48CE" w:rsidRDefault="00FF4C4E">
      <w:pPr>
        <w:pStyle w:val="P68B1DB1-Normal4"/>
        <w:spacing w:before="120" w:after="120" w:line="240" w:lineRule="auto"/>
        <w:jc w:val="both"/>
        <w:rPr>
          <w:rFonts w:cs="Times New Roman"/>
          <w:noProof/>
        </w:rPr>
      </w:pPr>
      <w:r>
        <w:rPr>
          <w:noProof/>
        </w:rPr>
        <w:t>Investointitoimilla parannetaan teknologian kehitystä j</w:t>
      </w:r>
      <w:r>
        <w:rPr>
          <w:noProof/>
        </w:rPr>
        <w:t>a parannetaan digitaalisia resursseja digitaalisten opetuspalvelujen tukemiseksi. Keskitettyjä infrastruktuureja ja tieto- ja viestintäteknisiä palveluja tuetaan keskittyen kuituverkkoihin ja tieto- ja viestintätekniikan palvelujen tehokkaaseen käyttöönott</w:t>
      </w:r>
      <w:r>
        <w:rPr>
          <w:noProof/>
        </w:rPr>
        <w:t>oon mittakaavaetujen ja yhteentoimivuuden pohjalta. Keskeisenä tavoitteena on suunnata investointeja akateemisen henkilöstön ja opiskelijoiden välisen digitaalisen kuilun kaventamiseen etäopetuksen palvelujen ja laitteiden parantamiseksi. Muita tavoitteita</w:t>
      </w:r>
      <w:r>
        <w:rPr>
          <w:noProof/>
        </w:rPr>
        <w:t xml:space="preserve"> ovat muun muassa investoiminen yliopistojen välisten digitaali-innovointihankkeiden edistämiseen, joita voidaan laajentaa ja toistaa laajemmassa mittakaavassa, sekä tuen tarjoaminen kansalliselle etäopiskeluyliopistolle (UNED) korkea-asteen koulutusmahdol</w:t>
      </w:r>
      <w:r>
        <w:rPr>
          <w:noProof/>
        </w:rPr>
        <w:t>lisuuksien parantamiseksi väestökadosta kärsivillä alueilla.</w:t>
      </w:r>
    </w:p>
    <w:p w14:paraId="5B97A4BF" w14:textId="1C0F3984" w:rsidR="000E48CE" w:rsidRDefault="00FF4C4E">
      <w:pPr>
        <w:pStyle w:val="P68B1DB1-Normal4"/>
        <w:spacing w:before="120" w:after="120" w:line="240" w:lineRule="auto"/>
        <w:jc w:val="both"/>
        <w:rPr>
          <w:rFonts w:cs="Times New Roman"/>
          <w:noProof/>
        </w:rPr>
      </w:pPr>
      <w:r>
        <w:rPr>
          <w:noProof/>
        </w:rPr>
        <w:t>Tavoitteena on seurata ja levittää yliopistoministeriön verkkosivuston kautta ”yliopistojen digitaalisen indeksin” kehitystä tavoitteena nostaa indeksiä vähintään 10 prosenttia koko korkeakoulujärjestelmässä vuonna 2023 vuoteen 2019 verrattuna. Tämä indeks</w:t>
      </w:r>
      <w:r>
        <w:rPr>
          <w:noProof/>
        </w:rPr>
        <w:t>i kattaa eri ulottuvuudet, myös hallinnon (kuten digitaalisen opetuksen mahdollistamien luokkahuoneiden lukumäärä, digitaalisia järjestelmiä käyttävien professorien lukumäärä, sähköisten menettelyjen lukumäärä ja kampuksilla olevien yhteyksien taso). innov</w:t>
      </w:r>
      <w:r>
        <w:rPr>
          <w:noProof/>
        </w:rPr>
        <w:t>ointi (kuten yliopistojen väliset digitaaliset sopimukset, oppimisanalytiikkatoimet, multimediavarastot, opetushenkilöstön digitaaliset taidot ja henkilökohtaiset matkareitit jne.); ja hallinto (esim. digitaalista muutosta koskeva suunnitelma, digitalisaat</w:t>
      </w:r>
      <w:r>
        <w:rPr>
          <w:noProof/>
        </w:rPr>
        <w:t xml:space="preserve">iohankekokonaisuudet ja digitaalisia taitoja koskevat koulutussuunnitelmat). </w:t>
      </w:r>
    </w:p>
    <w:p w14:paraId="63981338" w14:textId="77777777" w:rsidR="000E48CE" w:rsidRDefault="00FF4C4E">
      <w:pPr>
        <w:pStyle w:val="P68B1DB1-Normal4"/>
        <w:spacing w:before="120" w:after="120" w:line="240" w:lineRule="auto"/>
        <w:jc w:val="both"/>
        <w:rPr>
          <w:rFonts w:cs="Times New Roman"/>
          <w:noProof/>
        </w:rPr>
      </w:pPr>
      <w:r>
        <w:rPr>
          <w:noProof/>
        </w:rPr>
        <w:t>Yliopistojen on toimitettava seurantatiedot vuosittain sertifioimalla sisäinen valvonta-alue.</w:t>
      </w:r>
    </w:p>
    <w:p w14:paraId="5C263165"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31 päivänä joulukuu</w:t>
      </w:r>
      <w:r>
        <w:rPr>
          <w:noProof/>
        </w:rPr>
        <w:t>ta 2023.</w:t>
      </w:r>
    </w:p>
    <w:p w14:paraId="4041D8AB" w14:textId="77777777" w:rsidR="000E48CE" w:rsidRDefault="00FF4C4E">
      <w:pPr>
        <w:pStyle w:val="P68B1DB1-Normal6"/>
        <w:spacing w:before="120" w:after="120" w:line="240" w:lineRule="auto"/>
        <w:jc w:val="both"/>
        <w:rPr>
          <w:rFonts w:cs="Times New Roman"/>
          <w:noProof/>
        </w:rPr>
      </w:pPr>
      <w:r>
        <w:rPr>
          <w:noProof/>
        </w:rPr>
        <w:t>Investointi 6 (C21.I6) – Suunnitelma yliopistojen pienten osaamiskokonaisuuksien kehittämiseksi</w:t>
      </w:r>
    </w:p>
    <w:p w14:paraId="3921DDF4" w14:textId="6B52DAA7" w:rsidR="000E48CE" w:rsidRDefault="00FF4C4E">
      <w:pPr>
        <w:pStyle w:val="P68B1DB1-Normal4"/>
        <w:spacing w:before="120" w:after="120" w:line="240" w:lineRule="auto"/>
        <w:jc w:val="both"/>
        <w:rPr>
          <w:rFonts w:cs="Times New Roman"/>
          <w:noProof/>
        </w:rPr>
      </w:pPr>
      <w:r>
        <w:rPr>
          <w:noProof/>
        </w:rPr>
        <w:t>Tällä investoinnilla pyritään kehittämään yliopistojärjestelmän valmiuksia elinikäisen oppimisen instituutioina ja edistämään aikuisten täydennys- ja u</w:t>
      </w:r>
      <w:r>
        <w:rPr>
          <w:noProof/>
        </w:rPr>
        <w:t>udelleenkoulutusta eurooppalaisesta lähestymistavasta pieniin osaamiskokonaisuuksiin elinikäisen oppimisen ja työllistyvyyden edistämiseksi kesäkuussa 2022 annetun neuvoston suosituksen mukaisesti.</w:t>
      </w:r>
    </w:p>
    <w:p w14:paraId="634CBE91" w14:textId="77777777" w:rsidR="000E48CE" w:rsidRDefault="00FF4C4E">
      <w:pPr>
        <w:pStyle w:val="P68B1DB1-Normal4"/>
        <w:spacing w:before="120" w:after="120" w:line="240" w:lineRule="auto"/>
        <w:jc w:val="both"/>
        <w:rPr>
          <w:rFonts w:cs="Times New Roman"/>
          <w:noProof/>
        </w:rPr>
      </w:pPr>
      <w:r>
        <w:rPr>
          <w:noProof/>
        </w:rPr>
        <w:t>Tämän toimenpiteen ensimmäinen osatekijä on toimintasuunni</w:t>
      </w:r>
      <w:r>
        <w:rPr>
          <w:noProof/>
        </w:rPr>
        <w:t>telman hyväksyminen mikrotutkintojen kehittämistä koskevien puitteiden luomiseksi, jonka yliopistoministeriö laatii sidosryhmien kuulemisen jälkeen ja joka julkaistaan ministeriön verkkosivustolla. Suunnitelman on katettava toimet i) yliopistojen muuttamis</w:t>
      </w:r>
      <w:r>
        <w:rPr>
          <w:noProof/>
        </w:rPr>
        <w:t>eksi elinikäisen oppimisen laitoksiksi, edistää aikuisten ja heidän työnantajiensa kysyntää; edistää pienten osaamiskokonaisuuksien laatua ja merkityksellisyyttä; IV) tasapuolisuuden tukeminen; ja v) luoda yksilöllisiä ja joustavia koulutusväyliä.</w:t>
      </w:r>
    </w:p>
    <w:p w14:paraId="1237B438" w14:textId="7ED8D155" w:rsidR="000E48CE" w:rsidRDefault="00FF4C4E">
      <w:pPr>
        <w:pStyle w:val="P68B1DB1-Normal4"/>
        <w:spacing w:before="120" w:after="120" w:line="240" w:lineRule="auto"/>
        <w:jc w:val="both"/>
        <w:rPr>
          <w:rFonts w:cs="Times New Roman"/>
          <w:noProof/>
        </w:rPr>
      </w:pPr>
      <w:r>
        <w:rPr>
          <w:noProof/>
        </w:rPr>
        <w:t>Tämän to</w:t>
      </w:r>
      <w:r>
        <w:rPr>
          <w:noProof/>
        </w:rPr>
        <w:t>imenpiteen toisena osana on tarjottava vähintään 60000 mikrotutkintoyksikköä, joiden kesto on alle 15 ECTS ja jotka vastaavat vähintään 1000:ta eri koulutustoimea, mukaan lukien mahdollisuus tarjota samalle aikuiselle useampi kuin yksi yksikkö. Koulutustoi</w:t>
      </w:r>
      <w:r>
        <w:rPr>
          <w:noProof/>
        </w:rPr>
        <w:t>mien on tarjottava työmarkkinoiden kysyntään liittyviä erityistietoja ja -taitoja. Toimenpiteeseen kuuluu myös arviointiraportin julkaiseminen yliopistojen ministeriön verkkosivustolla mikrotutkintojen tarjoamisesta 31 päivään joulukuuta 2025 saakka.</w:t>
      </w:r>
    </w:p>
    <w:p w14:paraId="7E097F43" w14:textId="77777777" w:rsidR="000E48CE" w:rsidRDefault="00FF4C4E">
      <w:pPr>
        <w:pStyle w:val="P68B1DB1-Normal4"/>
        <w:spacing w:before="120" w:after="120" w:line="240" w:lineRule="auto"/>
        <w:jc w:val="both"/>
        <w:rPr>
          <w:rFonts w:cs="Times New Roman"/>
          <w:noProof/>
        </w:rPr>
      </w:pPr>
      <w:r>
        <w:rPr>
          <w:noProof/>
        </w:rPr>
        <w:t>Toime</w:t>
      </w:r>
      <w:r>
        <w:rPr>
          <w:noProof/>
        </w:rPr>
        <w:t>npiteen täytäntöönpano on määrä saattaa päätökseen 30. kesäkuuta 2026 mennessä.</w:t>
      </w:r>
    </w:p>
    <w:p w14:paraId="4D643303" w14:textId="77777777" w:rsidR="000E48CE" w:rsidRDefault="00FF4C4E">
      <w:pPr>
        <w:pStyle w:val="P68B1DB1-Normal5"/>
        <w:spacing w:before="120" w:after="120" w:line="240" w:lineRule="auto"/>
        <w:ind w:left="709"/>
        <w:jc w:val="both"/>
        <w:rPr>
          <w:rFonts w:cs="Times New Roman"/>
          <w:noProof/>
        </w:rPr>
      </w:pPr>
      <w:r>
        <w:rPr>
          <w:noProof/>
        </w:rPr>
        <w:t xml:space="preserve">U.2 </w:t>
      </w:r>
      <w:r>
        <w:rPr>
          <w:noProof/>
        </w:rPr>
        <w:tab/>
        <w:t>Seurantaa ja täytäntöönpanoa koskevat välitavoitteet, tavoitteet, indikaattorit ja aikataulu – rahoitustuki, jota ei makseta takaisin</w:t>
      </w:r>
    </w:p>
    <w:p w14:paraId="1805D5BB"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w:t>
      </w:r>
      <w:r>
        <w:rPr>
          <w:i/>
          <w:noProof/>
        </w:rPr>
        <w:t>ikaattoreiden perustaso on 1. helmikuuta 2020, ellei toimen kuvauksessa toisin ilmoiteta. Taulukossa esitetyt määrät eivät sisällä arvonlisäveroa.</w:t>
      </w:r>
    </w:p>
    <w:p w14:paraId="32E52008" w14:textId="77777777" w:rsidR="000E48CE" w:rsidRDefault="000E48CE">
      <w:pPr>
        <w:spacing w:before="120" w:after="120" w:line="240" w:lineRule="auto"/>
        <w:jc w:val="both"/>
        <w:rPr>
          <w:rFonts w:ascii="Times New Roman" w:hAnsi="Times New Roman" w:cs="Times New Roman"/>
          <w:noProof/>
          <w:sz w:val="24"/>
        </w:rPr>
        <w:sectPr w:rsidR="000E48CE" w:rsidSect="00C94F66">
          <w:headerReference w:type="even" r:id="rId411"/>
          <w:headerReference w:type="default" r:id="rId412"/>
          <w:footerReference w:type="even" r:id="rId413"/>
          <w:footerReference w:type="default" r:id="rId414"/>
          <w:headerReference w:type="first" r:id="rId415"/>
          <w:footerReference w:type="first" r:id="rId416"/>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3119"/>
        <w:gridCol w:w="1134"/>
        <w:gridCol w:w="850"/>
        <w:gridCol w:w="709"/>
        <w:gridCol w:w="851"/>
        <w:gridCol w:w="567"/>
        <w:gridCol w:w="708"/>
        <w:gridCol w:w="4962"/>
      </w:tblGrid>
      <w:tr w:rsidR="000E48CE" w14:paraId="5BF40099" w14:textId="77777777">
        <w:trPr>
          <w:trHeight w:val="309"/>
          <w:tblHeader/>
        </w:trPr>
        <w:tc>
          <w:tcPr>
            <w:tcW w:w="709" w:type="dxa"/>
            <w:tcBorders>
              <w:bottom w:val="nil"/>
            </w:tcBorders>
            <w:shd w:val="clear" w:color="auto" w:fill="C6D9F1" w:themeFill="text2" w:themeFillTint="33"/>
            <w:noWrap/>
            <w:vAlign w:val="center"/>
          </w:tcPr>
          <w:p w14:paraId="1B0A961F"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002DD41F"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792F46DB"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3119" w:type="dxa"/>
            <w:tcBorders>
              <w:bottom w:val="nil"/>
            </w:tcBorders>
            <w:shd w:val="clear" w:color="auto" w:fill="C6D9F1" w:themeFill="text2" w:themeFillTint="33"/>
            <w:noWrap/>
            <w:vAlign w:val="center"/>
          </w:tcPr>
          <w:p w14:paraId="25BE3619" w14:textId="77777777" w:rsidR="000E48CE" w:rsidRDefault="00FF4C4E">
            <w:pPr>
              <w:pStyle w:val="P68B1DB1-Normal12"/>
              <w:spacing w:after="0" w:line="240" w:lineRule="auto"/>
              <w:jc w:val="center"/>
              <w:rPr>
                <w:rFonts w:cs="Times New Roman"/>
                <w:noProof/>
              </w:rPr>
            </w:pPr>
            <w:r>
              <w:rPr>
                <w:noProof/>
              </w:rPr>
              <w:t>Nimi</w:t>
            </w:r>
          </w:p>
        </w:tc>
        <w:tc>
          <w:tcPr>
            <w:tcW w:w="1134" w:type="dxa"/>
            <w:tcBorders>
              <w:bottom w:val="nil"/>
            </w:tcBorders>
            <w:shd w:val="clear" w:color="auto" w:fill="C6D9F1" w:themeFill="text2" w:themeFillTint="33"/>
            <w:noWrap/>
            <w:vAlign w:val="center"/>
          </w:tcPr>
          <w:p w14:paraId="0D2E2C96"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410" w:type="dxa"/>
            <w:gridSpan w:val="3"/>
            <w:shd w:val="clear" w:color="auto" w:fill="C6D9F1" w:themeFill="text2" w:themeFillTint="33"/>
            <w:noWrap/>
          </w:tcPr>
          <w:p w14:paraId="3F711F41"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275" w:type="dxa"/>
            <w:gridSpan w:val="2"/>
            <w:shd w:val="clear" w:color="auto" w:fill="C6D9F1" w:themeFill="text2" w:themeFillTint="33"/>
            <w:noWrap/>
          </w:tcPr>
          <w:p w14:paraId="71C8D342" w14:textId="77777777" w:rsidR="000E48CE" w:rsidRDefault="00FF4C4E">
            <w:pPr>
              <w:pStyle w:val="P68B1DB1-Normal12"/>
              <w:spacing w:after="0" w:line="240" w:lineRule="auto"/>
              <w:jc w:val="center"/>
              <w:rPr>
                <w:rFonts w:cs="Times New Roman"/>
                <w:noProof/>
              </w:rPr>
            </w:pPr>
            <w:r>
              <w:rPr>
                <w:noProof/>
              </w:rPr>
              <w:t>Aika</w:t>
            </w:r>
          </w:p>
        </w:tc>
        <w:tc>
          <w:tcPr>
            <w:tcW w:w="4962" w:type="dxa"/>
            <w:tcBorders>
              <w:bottom w:val="nil"/>
            </w:tcBorders>
            <w:shd w:val="clear" w:color="auto" w:fill="C6D9F1" w:themeFill="text2" w:themeFillTint="33"/>
            <w:noWrap/>
          </w:tcPr>
          <w:p w14:paraId="405D723A"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614FACF3" w14:textId="77777777">
        <w:trPr>
          <w:trHeight w:val="309"/>
          <w:tblHeader/>
        </w:trPr>
        <w:tc>
          <w:tcPr>
            <w:tcW w:w="709" w:type="dxa"/>
            <w:tcBorders>
              <w:top w:val="nil"/>
            </w:tcBorders>
            <w:shd w:val="clear" w:color="auto" w:fill="C6D9F1" w:themeFill="text2" w:themeFillTint="33"/>
            <w:noWrap/>
          </w:tcPr>
          <w:p w14:paraId="3AC7CC24"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1DEF63C3"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3D2EBC9" w14:textId="77777777" w:rsidR="000E48CE" w:rsidRDefault="000E48CE">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DAC3D7C" w14:textId="77777777" w:rsidR="000E48CE" w:rsidRDefault="000E48CE">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3BF921D"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47555B18" w14:textId="77777777" w:rsidR="000E48CE" w:rsidRDefault="00FF4C4E">
            <w:pPr>
              <w:pStyle w:val="P68B1DB1-Normal12"/>
              <w:spacing w:after="0" w:line="240" w:lineRule="auto"/>
              <w:jc w:val="center"/>
              <w:rPr>
                <w:rFonts w:cs="Times New Roman"/>
                <w:noProof/>
              </w:rPr>
            </w:pPr>
            <w:r>
              <w:rPr>
                <w:noProof/>
              </w:rPr>
              <w:t>Yksikkö</w:t>
            </w:r>
          </w:p>
        </w:tc>
        <w:tc>
          <w:tcPr>
            <w:tcW w:w="709" w:type="dxa"/>
            <w:shd w:val="clear" w:color="auto" w:fill="C6D9F1" w:themeFill="text2" w:themeFillTint="33"/>
            <w:noWrap/>
          </w:tcPr>
          <w:p w14:paraId="30948B86" w14:textId="77777777" w:rsidR="000E48CE" w:rsidRDefault="00FF4C4E">
            <w:pPr>
              <w:pStyle w:val="P68B1DB1-Normal12"/>
              <w:spacing w:after="0" w:line="240" w:lineRule="auto"/>
              <w:jc w:val="center"/>
              <w:rPr>
                <w:rFonts w:cs="Times New Roman"/>
                <w:noProof/>
              </w:rPr>
            </w:pPr>
            <w:r>
              <w:rPr>
                <w:noProof/>
              </w:rPr>
              <w:t>Perustaso</w:t>
            </w:r>
          </w:p>
        </w:tc>
        <w:tc>
          <w:tcPr>
            <w:tcW w:w="851" w:type="dxa"/>
            <w:shd w:val="clear" w:color="auto" w:fill="C6D9F1" w:themeFill="text2" w:themeFillTint="33"/>
            <w:noWrap/>
          </w:tcPr>
          <w:p w14:paraId="4DB96B6C" w14:textId="77777777" w:rsidR="000E48CE" w:rsidRDefault="00FF4C4E">
            <w:pPr>
              <w:pStyle w:val="P68B1DB1-Normal12"/>
              <w:spacing w:after="0" w:line="240" w:lineRule="auto"/>
              <w:jc w:val="center"/>
              <w:rPr>
                <w:rFonts w:cs="Times New Roman"/>
                <w:noProof/>
              </w:rPr>
            </w:pPr>
            <w:r>
              <w:rPr>
                <w:noProof/>
              </w:rPr>
              <w:t>Päämäärä</w:t>
            </w:r>
          </w:p>
        </w:tc>
        <w:tc>
          <w:tcPr>
            <w:tcW w:w="567" w:type="dxa"/>
            <w:shd w:val="clear" w:color="auto" w:fill="C6D9F1" w:themeFill="text2" w:themeFillTint="33"/>
            <w:noWrap/>
          </w:tcPr>
          <w:p w14:paraId="5D5ADC9C" w14:textId="77777777" w:rsidR="000E48CE" w:rsidRDefault="00FF4C4E">
            <w:pPr>
              <w:pStyle w:val="P68B1DB1-Normal12"/>
              <w:spacing w:after="0" w:line="240" w:lineRule="auto"/>
              <w:jc w:val="center"/>
              <w:rPr>
                <w:rFonts w:cs="Times New Roman"/>
                <w:noProof/>
              </w:rPr>
            </w:pPr>
            <w:r>
              <w:rPr>
                <w:noProof/>
              </w:rPr>
              <w:t>Q</w:t>
            </w:r>
          </w:p>
        </w:tc>
        <w:tc>
          <w:tcPr>
            <w:tcW w:w="708" w:type="dxa"/>
            <w:shd w:val="clear" w:color="auto" w:fill="C6D9F1" w:themeFill="text2" w:themeFillTint="33"/>
            <w:noWrap/>
          </w:tcPr>
          <w:p w14:paraId="01CE265D" w14:textId="77777777" w:rsidR="000E48CE" w:rsidRDefault="00FF4C4E">
            <w:pPr>
              <w:pStyle w:val="P68B1DB1-Normal12"/>
              <w:spacing w:after="0" w:line="240" w:lineRule="auto"/>
              <w:jc w:val="center"/>
              <w:rPr>
                <w:rFonts w:cs="Times New Roman"/>
                <w:noProof/>
              </w:rPr>
            </w:pPr>
            <w:r>
              <w:rPr>
                <w:noProof/>
              </w:rPr>
              <w:t>Vuosi</w:t>
            </w:r>
          </w:p>
        </w:tc>
        <w:tc>
          <w:tcPr>
            <w:tcW w:w="4962" w:type="dxa"/>
            <w:tcBorders>
              <w:top w:val="nil"/>
            </w:tcBorders>
            <w:shd w:val="clear" w:color="auto" w:fill="C6D9F1" w:themeFill="text2" w:themeFillTint="33"/>
            <w:noWrap/>
          </w:tcPr>
          <w:p w14:paraId="5CA28185" w14:textId="77777777" w:rsidR="000E48CE" w:rsidRDefault="000E48CE">
            <w:pPr>
              <w:spacing w:after="0" w:line="240" w:lineRule="auto"/>
              <w:rPr>
                <w:rFonts w:ascii="Times New Roman" w:hAnsi="Times New Roman" w:cs="Times New Roman"/>
                <w:b/>
                <w:noProof/>
                <w:sz w:val="18"/>
              </w:rPr>
            </w:pPr>
          </w:p>
        </w:tc>
      </w:tr>
      <w:tr w:rsidR="000E48CE" w14:paraId="147D6968" w14:textId="77777777">
        <w:trPr>
          <w:trHeight w:val="309"/>
        </w:trPr>
        <w:tc>
          <w:tcPr>
            <w:tcW w:w="709" w:type="dxa"/>
            <w:shd w:val="clear" w:color="auto" w:fill="C6EFCE"/>
            <w:noWrap/>
          </w:tcPr>
          <w:p w14:paraId="48AACAC2" w14:textId="77777777" w:rsidR="000E48CE" w:rsidRDefault="00FF4C4E">
            <w:pPr>
              <w:pStyle w:val="P68B1DB1-Normal13"/>
              <w:spacing w:after="0" w:line="240" w:lineRule="auto"/>
              <w:jc w:val="center"/>
              <w:rPr>
                <w:rFonts w:eastAsia="Times New Roman" w:cs="Times New Roman"/>
                <w:noProof/>
              </w:rPr>
            </w:pPr>
            <w:r>
              <w:rPr>
                <w:noProof/>
              </w:rPr>
              <w:t>303</w:t>
            </w:r>
          </w:p>
        </w:tc>
        <w:tc>
          <w:tcPr>
            <w:tcW w:w="851" w:type="dxa"/>
            <w:shd w:val="clear" w:color="auto" w:fill="C6EFCE"/>
            <w:noWrap/>
          </w:tcPr>
          <w:p w14:paraId="5B313E34" w14:textId="77777777" w:rsidR="000E48CE" w:rsidRDefault="00FF4C4E">
            <w:pPr>
              <w:pStyle w:val="P68B1DB1-Normal13"/>
              <w:spacing w:after="0" w:line="240" w:lineRule="auto"/>
              <w:jc w:val="center"/>
              <w:rPr>
                <w:rFonts w:eastAsia="Times New Roman" w:cs="Times New Roman"/>
                <w:noProof/>
              </w:rPr>
            </w:pPr>
            <w:r>
              <w:rPr>
                <w:noProof/>
              </w:rPr>
              <w:t>C21.R1</w:t>
            </w:r>
          </w:p>
        </w:tc>
        <w:tc>
          <w:tcPr>
            <w:tcW w:w="850" w:type="dxa"/>
            <w:shd w:val="clear" w:color="auto" w:fill="C6EFCE"/>
            <w:noWrap/>
          </w:tcPr>
          <w:p w14:paraId="0B2C46E8"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3CA8E8FB" w14:textId="77777777" w:rsidR="000E48CE" w:rsidRDefault="00FF4C4E">
            <w:pPr>
              <w:pStyle w:val="P68B1DB1-Normal13"/>
              <w:spacing w:after="0" w:line="240" w:lineRule="auto"/>
              <w:rPr>
                <w:rFonts w:eastAsia="Times New Roman" w:cs="Times New Roman"/>
                <w:noProof/>
              </w:rPr>
            </w:pPr>
            <w:r>
              <w:rPr>
                <w:noProof/>
              </w:rPr>
              <w:t xml:space="preserve">Koulutusta koskevan orgaanisen lain voimaantulo </w:t>
            </w:r>
          </w:p>
        </w:tc>
        <w:tc>
          <w:tcPr>
            <w:tcW w:w="1134" w:type="dxa"/>
            <w:shd w:val="clear" w:color="auto" w:fill="C6EFCE"/>
            <w:noWrap/>
          </w:tcPr>
          <w:p w14:paraId="36FEAF97" w14:textId="77777777" w:rsidR="000E48CE" w:rsidRDefault="00FF4C4E">
            <w:pPr>
              <w:pStyle w:val="P68B1DB1-Normal13"/>
              <w:spacing w:after="0" w:line="240" w:lineRule="auto"/>
              <w:jc w:val="center"/>
              <w:rPr>
                <w:rFonts w:eastAsia="Times New Roman" w:cs="Times New Roman"/>
                <w:noProof/>
              </w:rPr>
            </w:pPr>
            <w:r>
              <w:rPr>
                <w:noProof/>
              </w:rPr>
              <w:t xml:space="preserve">Lakiin sisältyvä säännös, jossa ilmoitetaan orgaanisen lain voimaantulo </w:t>
            </w:r>
          </w:p>
        </w:tc>
        <w:tc>
          <w:tcPr>
            <w:tcW w:w="850" w:type="dxa"/>
            <w:shd w:val="clear" w:color="auto" w:fill="C6EFCE"/>
            <w:noWrap/>
          </w:tcPr>
          <w:p w14:paraId="63A2F57E"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7DB0C11B"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00ED1CF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37C5EBC" w14:textId="77777777" w:rsidR="000E48CE" w:rsidRDefault="00FF4C4E">
            <w:pPr>
              <w:pStyle w:val="P68B1DB1-Normal13"/>
              <w:spacing w:after="0" w:line="240" w:lineRule="auto"/>
              <w:jc w:val="center"/>
              <w:rPr>
                <w:rFonts w:eastAsia="Times New Roman" w:cs="Times New Roman"/>
                <w:noProof/>
              </w:rPr>
            </w:pPr>
            <w:r>
              <w:rPr>
                <w:noProof/>
              </w:rPr>
              <w:t>Q1</w:t>
            </w:r>
          </w:p>
        </w:tc>
        <w:tc>
          <w:tcPr>
            <w:tcW w:w="708" w:type="dxa"/>
            <w:shd w:val="clear" w:color="auto" w:fill="C6EFCE"/>
            <w:noWrap/>
          </w:tcPr>
          <w:p w14:paraId="754B1E92" w14:textId="77777777" w:rsidR="000E48CE" w:rsidRDefault="00FF4C4E">
            <w:pPr>
              <w:pStyle w:val="P68B1DB1-Normal13"/>
              <w:spacing w:after="0" w:line="240" w:lineRule="auto"/>
              <w:jc w:val="center"/>
              <w:rPr>
                <w:rFonts w:eastAsia="Times New Roman" w:cs="Times New Roman"/>
                <w:noProof/>
              </w:rPr>
            </w:pPr>
            <w:r>
              <w:rPr>
                <w:noProof/>
              </w:rPr>
              <w:t>2021</w:t>
            </w:r>
          </w:p>
        </w:tc>
        <w:tc>
          <w:tcPr>
            <w:tcW w:w="4962" w:type="dxa"/>
            <w:shd w:val="clear" w:color="auto" w:fill="C6EFCE"/>
            <w:noWrap/>
          </w:tcPr>
          <w:p w14:paraId="5DE0CF4B" w14:textId="77777777" w:rsidR="000E48CE" w:rsidRDefault="00FF4C4E">
            <w:pPr>
              <w:pStyle w:val="P68B1DB1-Normal13"/>
              <w:spacing w:after="0" w:line="240" w:lineRule="auto"/>
              <w:rPr>
                <w:rFonts w:eastAsia="Times New Roman" w:cs="Times New Roman"/>
                <w:noProof/>
              </w:rPr>
            </w:pPr>
            <w:r>
              <w:rPr>
                <w:noProof/>
              </w:rPr>
              <w:t>Opetuslain (LOMLOE) tavoitteena on luoda uudistettu oikeusjärjestelmä, joka laadun, tasapuolisuuden ja osallisuuden periaatteiden mukaisesti lisää opiskelijoiden koulutu</w:t>
            </w:r>
            <w:r>
              <w:rPr>
                <w:noProof/>
              </w:rPr>
              <w:t xml:space="preserve">smahdollisuuksia ja auttaa parantamaan oppimistuloksia. </w:t>
            </w:r>
          </w:p>
        </w:tc>
      </w:tr>
      <w:tr w:rsidR="000E48CE" w14:paraId="0C0DD3F9" w14:textId="77777777">
        <w:trPr>
          <w:trHeight w:val="309"/>
        </w:trPr>
        <w:tc>
          <w:tcPr>
            <w:tcW w:w="709" w:type="dxa"/>
            <w:shd w:val="clear" w:color="auto" w:fill="C6EFCE"/>
            <w:noWrap/>
          </w:tcPr>
          <w:p w14:paraId="2A41899C" w14:textId="77777777" w:rsidR="000E48CE" w:rsidRDefault="00FF4C4E">
            <w:pPr>
              <w:pStyle w:val="P68B1DB1-Normal13"/>
              <w:spacing w:after="0" w:line="240" w:lineRule="auto"/>
              <w:jc w:val="center"/>
              <w:rPr>
                <w:rFonts w:eastAsia="Times New Roman" w:cs="Times New Roman"/>
                <w:noProof/>
              </w:rPr>
            </w:pPr>
            <w:r>
              <w:rPr>
                <w:noProof/>
              </w:rPr>
              <w:t>304</w:t>
            </w:r>
          </w:p>
        </w:tc>
        <w:tc>
          <w:tcPr>
            <w:tcW w:w="851" w:type="dxa"/>
            <w:shd w:val="clear" w:color="auto" w:fill="C6EFCE"/>
            <w:noWrap/>
          </w:tcPr>
          <w:p w14:paraId="2F48DC72" w14:textId="77777777" w:rsidR="000E48CE" w:rsidRDefault="00FF4C4E">
            <w:pPr>
              <w:pStyle w:val="P68B1DB1-Normal13"/>
              <w:spacing w:after="0" w:line="240" w:lineRule="auto"/>
              <w:jc w:val="center"/>
              <w:rPr>
                <w:rFonts w:eastAsia="Times New Roman" w:cs="Times New Roman"/>
                <w:noProof/>
              </w:rPr>
            </w:pPr>
            <w:r>
              <w:rPr>
                <w:noProof/>
              </w:rPr>
              <w:t>C21.R2</w:t>
            </w:r>
          </w:p>
        </w:tc>
        <w:tc>
          <w:tcPr>
            <w:tcW w:w="850" w:type="dxa"/>
            <w:shd w:val="clear" w:color="auto" w:fill="C6EFCE"/>
            <w:noWrap/>
          </w:tcPr>
          <w:p w14:paraId="193DD2CA"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73CC4CE5" w14:textId="77777777" w:rsidR="000E48CE" w:rsidRDefault="00FF4C4E">
            <w:pPr>
              <w:pStyle w:val="P68B1DB1-Normal13"/>
              <w:spacing w:after="0" w:line="240" w:lineRule="auto"/>
              <w:rPr>
                <w:rFonts w:eastAsia="Times New Roman" w:cs="Times New Roman"/>
                <w:noProof/>
              </w:rPr>
            </w:pPr>
            <w:r>
              <w:rPr>
                <w:noProof/>
              </w:rPr>
              <w:t xml:space="preserve">Opetuksen vähimmäisvaatimuksista annetun kuninkaallisen asetuksen voimaantulo </w:t>
            </w:r>
          </w:p>
        </w:tc>
        <w:tc>
          <w:tcPr>
            <w:tcW w:w="1134" w:type="dxa"/>
            <w:shd w:val="clear" w:color="auto" w:fill="C6EFCE"/>
            <w:noWrap/>
          </w:tcPr>
          <w:p w14:paraId="7FAEF243" w14:textId="77777777" w:rsidR="000E48CE" w:rsidRDefault="00FF4C4E">
            <w:pPr>
              <w:pStyle w:val="P68B1DB1-Normal13"/>
              <w:spacing w:after="0" w:line="240" w:lineRule="auto"/>
              <w:jc w:val="center"/>
              <w:rPr>
                <w:rFonts w:eastAsia="Times New Roman" w:cs="Times New Roman"/>
                <w:noProof/>
              </w:rPr>
            </w:pPr>
            <w:r>
              <w:rPr>
                <w:noProof/>
              </w:rPr>
              <w:t>Kuninkaan päätöksen voimaantulon osoittava kuninkaan asetuksen säännös</w:t>
            </w:r>
          </w:p>
        </w:tc>
        <w:tc>
          <w:tcPr>
            <w:tcW w:w="850" w:type="dxa"/>
            <w:shd w:val="clear" w:color="auto" w:fill="C6EFCE"/>
            <w:noWrap/>
          </w:tcPr>
          <w:p w14:paraId="7590E4F4"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52AC652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3AB103B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3E7B9E7" w14:textId="77777777" w:rsidR="000E48CE" w:rsidRDefault="00FF4C4E">
            <w:pPr>
              <w:pStyle w:val="P68B1DB1-Normal13"/>
              <w:spacing w:after="0" w:line="240" w:lineRule="auto"/>
              <w:jc w:val="center"/>
              <w:rPr>
                <w:rFonts w:eastAsia="Times New Roman" w:cs="Times New Roman"/>
                <w:noProof/>
              </w:rPr>
            </w:pPr>
            <w:r>
              <w:rPr>
                <w:noProof/>
              </w:rPr>
              <w:t>Q1</w:t>
            </w:r>
          </w:p>
        </w:tc>
        <w:tc>
          <w:tcPr>
            <w:tcW w:w="708" w:type="dxa"/>
            <w:shd w:val="clear" w:color="auto" w:fill="C6EFCE"/>
            <w:noWrap/>
          </w:tcPr>
          <w:p w14:paraId="5BD39E85" w14:textId="77777777" w:rsidR="000E48CE" w:rsidRDefault="00FF4C4E">
            <w:pPr>
              <w:pStyle w:val="P68B1DB1-Normal13"/>
              <w:spacing w:after="0" w:line="240" w:lineRule="auto"/>
              <w:jc w:val="center"/>
              <w:rPr>
                <w:rFonts w:eastAsia="Times New Roman" w:cs="Times New Roman"/>
                <w:noProof/>
              </w:rPr>
            </w:pPr>
            <w:r>
              <w:rPr>
                <w:noProof/>
              </w:rPr>
              <w:t>2022</w:t>
            </w:r>
          </w:p>
        </w:tc>
        <w:tc>
          <w:tcPr>
            <w:tcW w:w="4962" w:type="dxa"/>
            <w:shd w:val="clear" w:color="auto" w:fill="C6EFCE"/>
            <w:noWrap/>
          </w:tcPr>
          <w:p w14:paraId="607538B8" w14:textId="77777777" w:rsidR="000E48CE" w:rsidRDefault="00FF4C4E">
            <w:pPr>
              <w:pStyle w:val="P68B1DB1-Normal13"/>
              <w:spacing w:after="0" w:line="240" w:lineRule="auto"/>
              <w:rPr>
                <w:rFonts w:eastAsia="Times New Roman" w:cs="Times New Roman"/>
                <w:noProof/>
              </w:rPr>
            </w:pPr>
            <w:r>
              <w:rPr>
                <w:noProof/>
              </w:rPr>
              <w:t>Kuninkaalliseen asetukseen perusasteen, toisen asteen ja ylioppilaan opetuksen vähimmäisvaatimuksista sisältyy opetusta ja oppimista koskevien metodologisten suuntaviivojen käyttöönotto, joka perustuu osaamispohjaiseen opetussuunnitelmaan ja sisältää ”pehm</w:t>
            </w:r>
            <w:r>
              <w:rPr>
                <w:noProof/>
              </w:rPr>
              <w:t>eät taidot”; pätevyyden hankkimisen arviointikehys; joustavamman ja avoimemman mallin suunnittelu, joka edistää syvällistä oppimista; sekä opetusmateriaalin, tuen, ohjauksen ja koulutuksen laatiminen opettajille sen varmistamiseksi, että he voivat panna uu</w:t>
            </w:r>
            <w:r>
              <w:rPr>
                <w:noProof/>
              </w:rPr>
              <w:t xml:space="preserve">den opetussuunnitelman tehokkaasti täytäntöön. </w:t>
            </w:r>
          </w:p>
        </w:tc>
      </w:tr>
      <w:tr w:rsidR="000E48CE" w14:paraId="1C9F393F" w14:textId="77777777">
        <w:trPr>
          <w:trHeight w:val="309"/>
        </w:trPr>
        <w:tc>
          <w:tcPr>
            <w:tcW w:w="709" w:type="dxa"/>
            <w:shd w:val="clear" w:color="auto" w:fill="C6EFCE"/>
            <w:noWrap/>
          </w:tcPr>
          <w:p w14:paraId="0989A4DE" w14:textId="77777777" w:rsidR="000E48CE" w:rsidRDefault="00FF4C4E">
            <w:pPr>
              <w:pStyle w:val="P68B1DB1-Normal13"/>
              <w:spacing w:after="0" w:line="240" w:lineRule="auto"/>
              <w:jc w:val="center"/>
              <w:rPr>
                <w:rFonts w:eastAsia="Times New Roman" w:cs="Times New Roman"/>
                <w:noProof/>
              </w:rPr>
            </w:pPr>
            <w:r>
              <w:rPr>
                <w:noProof/>
              </w:rPr>
              <w:t>305</w:t>
            </w:r>
          </w:p>
        </w:tc>
        <w:tc>
          <w:tcPr>
            <w:tcW w:w="851" w:type="dxa"/>
            <w:shd w:val="clear" w:color="auto" w:fill="C6EFCE"/>
            <w:noWrap/>
          </w:tcPr>
          <w:p w14:paraId="00868EFA" w14:textId="77777777" w:rsidR="000E48CE" w:rsidRDefault="00FF4C4E">
            <w:pPr>
              <w:pStyle w:val="P68B1DB1-Normal13"/>
              <w:spacing w:after="0" w:line="240" w:lineRule="auto"/>
              <w:jc w:val="center"/>
              <w:rPr>
                <w:rFonts w:eastAsia="Times New Roman" w:cs="Times New Roman"/>
                <w:noProof/>
              </w:rPr>
            </w:pPr>
            <w:r>
              <w:rPr>
                <w:noProof/>
              </w:rPr>
              <w:t>C21.R2</w:t>
            </w:r>
          </w:p>
        </w:tc>
        <w:tc>
          <w:tcPr>
            <w:tcW w:w="850" w:type="dxa"/>
            <w:shd w:val="clear" w:color="auto" w:fill="C6EFCE"/>
            <w:noWrap/>
          </w:tcPr>
          <w:p w14:paraId="4527B462"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1F3FE9D9" w14:textId="77777777" w:rsidR="000E48CE" w:rsidRDefault="00FF4C4E">
            <w:pPr>
              <w:pStyle w:val="P68B1DB1-Normal13"/>
              <w:spacing w:after="0" w:line="240" w:lineRule="auto"/>
              <w:rPr>
                <w:rFonts w:eastAsia="Times New Roman" w:cs="Times New Roman"/>
                <w:noProof/>
              </w:rPr>
            </w:pPr>
            <w:r>
              <w:rPr>
                <w:noProof/>
              </w:rPr>
              <w:t xml:space="preserve">Aineisto, jolla opettajia ohjataan ja tuetaan uuden opetussuunnitelman täytäntöönpanoa ja ammattilaisten koulutusta </w:t>
            </w:r>
          </w:p>
        </w:tc>
        <w:tc>
          <w:tcPr>
            <w:tcW w:w="1134" w:type="dxa"/>
            <w:shd w:val="clear" w:color="auto" w:fill="C6EFCE"/>
            <w:noWrap/>
          </w:tcPr>
          <w:p w14:paraId="71FAEB64" w14:textId="77777777" w:rsidR="000E48CE" w:rsidRDefault="00FF4C4E">
            <w:pPr>
              <w:pStyle w:val="P68B1DB1-Normal13"/>
              <w:spacing w:after="0" w:line="240" w:lineRule="auto"/>
              <w:jc w:val="center"/>
              <w:rPr>
                <w:rFonts w:eastAsia="Times New Roman" w:cs="Times New Roman"/>
                <w:noProof/>
              </w:rPr>
            </w:pPr>
            <w:r>
              <w:rPr>
                <w:noProof/>
              </w:rPr>
              <w:t>Julkaistua aineistoa ja koulutusta koskevat todistukset</w:t>
            </w:r>
          </w:p>
        </w:tc>
        <w:tc>
          <w:tcPr>
            <w:tcW w:w="850" w:type="dxa"/>
            <w:shd w:val="clear" w:color="auto" w:fill="C6EFCE"/>
            <w:noWrap/>
          </w:tcPr>
          <w:p w14:paraId="4225590F" w14:textId="77777777" w:rsidR="000E48CE" w:rsidRDefault="00FF4C4E">
            <w:pPr>
              <w:pStyle w:val="P68B1DB1-Normal13"/>
              <w:spacing w:after="0" w:line="240" w:lineRule="auto"/>
              <w:jc w:val="center"/>
              <w:rPr>
                <w:rFonts w:eastAsia="Times New Roman" w:cs="Times New Roman"/>
                <w:noProof/>
              </w:rPr>
            </w:pPr>
            <w:r>
              <w:rPr>
                <w:noProof/>
              </w:rPr>
              <w:t> </w:t>
            </w:r>
          </w:p>
        </w:tc>
        <w:tc>
          <w:tcPr>
            <w:tcW w:w="709" w:type="dxa"/>
            <w:shd w:val="clear" w:color="auto" w:fill="C6EFCE"/>
            <w:noWrap/>
          </w:tcPr>
          <w:p w14:paraId="2DD6667F" w14:textId="77777777" w:rsidR="000E48CE" w:rsidRDefault="00FF4C4E">
            <w:pPr>
              <w:pStyle w:val="P68B1DB1-Normal13"/>
              <w:spacing w:after="0" w:line="240" w:lineRule="auto"/>
              <w:jc w:val="right"/>
              <w:rPr>
                <w:rFonts w:eastAsia="Times New Roman" w:cs="Times New Roman"/>
                <w:noProof/>
              </w:rPr>
            </w:pPr>
            <w:r>
              <w:rPr>
                <w:noProof/>
              </w:rPr>
              <w:t> </w:t>
            </w:r>
          </w:p>
        </w:tc>
        <w:tc>
          <w:tcPr>
            <w:tcW w:w="851" w:type="dxa"/>
            <w:shd w:val="clear" w:color="auto" w:fill="C6EFCE"/>
            <w:noWrap/>
          </w:tcPr>
          <w:p w14:paraId="1526EC02" w14:textId="77777777" w:rsidR="000E48CE" w:rsidRDefault="00FF4C4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1138C259" w14:textId="77777777" w:rsidR="000E48CE" w:rsidRDefault="00FF4C4E">
            <w:pPr>
              <w:pStyle w:val="P68B1DB1-Normal13"/>
              <w:spacing w:after="0" w:line="240" w:lineRule="auto"/>
              <w:jc w:val="center"/>
              <w:rPr>
                <w:rFonts w:eastAsia="Times New Roman" w:cs="Times New Roman"/>
                <w:noProof/>
              </w:rPr>
            </w:pPr>
            <w:r>
              <w:rPr>
                <w:noProof/>
              </w:rPr>
              <w:t xml:space="preserve">KOLMAS </w:t>
            </w:r>
            <w:r>
              <w:rPr>
                <w:noProof/>
              </w:rPr>
              <w:t>VUOSINELJÄNNES</w:t>
            </w:r>
          </w:p>
        </w:tc>
        <w:tc>
          <w:tcPr>
            <w:tcW w:w="708" w:type="dxa"/>
            <w:shd w:val="clear" w:color="auto" w:fill="C6EFCE"/>
            <w:noWrap/>
          </w:tcPr>
          <w:p w14:paraId="49849DF5" w14:textId="77777777" w:rsidR="000E48CE" w:rsidRDefault="00FF4C4E">
            <w:pPr>
              <w:pStyle w:val="P68B1DB1-Normal13"/>
              <w:spacing w:after="0" w:line="240" w:lineRule="auto"/>
              <w:jc w:val="center"/>
              <w:rPr>
                <w:rFonts w:eastAsia="Times New Roman" w:cs="Times New Roman"/>
                <w:noProof/>
              </w:rPr>
            </w:pPr>
            <w:r>
              <w:rPr>
                <w:noProof/>
              </w:rPr>
              <w:t>2024</w:t>
            </w:r>
          </w:p>
        </w:tc>
        <w:tc>
          <w:tcPr>
            <w:tcW w:w="4962" w:type="dxa"/>
            <w:shd w:val="clear" w:color="auto" w:fill="C6EFCE"/>
            <w:noWrap/>
          </w:tcPr>
          <w:p w14:paraId="7FACA0BC" w14:textId="77777777" w:rsidR="000E48CE" w:rsidRDefault="00FF4C4E">
            <w:pPr>
              <w:pStyle w:val="P68B1DB1-Normal13"/>
              <w:spacing w:after="0" w:line="240" w:lineRule="auto"/>
              <w:rPr>
                <w:rFonts w:eastAsia="Times New Roman" w:cs="Times New Roman"/>
                <w:noProof/>
              </w:rPr>
            </w:pPr>
            <w:r>
              <w:rPr>
                <w:noProof/>
              </w:rPr>
              <w:t>Tukioppaan ja opetusmateriaalin valmistelu on saatu päätökseen. Kaikki aineisto on julkaistava verkossa 100 prosentille opettajista.  Vähintään 4000 opettajan on oltava suorittanut uuden opetussuunnitelman soveltamista koskevan koulutuk</w:t>
            </w:r>
            <w:r>
              <w:rPr>
                <w:noProof/>
              </w:rPr>
              <w:t>sen. Vähintään 100 ulkopuolisen asiantuntijan on osallistuttava koulutusvaiheiden osa-alueiden ja oppiaineiden sekä arviointikehysten laatimiseen, jotka muodostavat perustan uutta opetussuunnitelmaa ja yhteistä arviointikehystä koskevien kuninkaallisten as</w:t>
            </w:r>
            <w:r>
              <w:rPr>
                <w:noProof/>
              </w:rPr>
              <w:t>etusten laatimiselle.</w:t>
            </w:r>
          </w:p>
        </w:tc>
      </w:tr>
      <w:tr w:rsidR="000E48CE" w14:paraId="49971E8F" w14:textId="77777777">
        <w:trPr>
          <w:trHeight w:val="309"/>
        </w:trPr>
        <w:tc>
          <w:tcPr>
            <w:tcW w:w="709" w:type="dxa"/>
            <w:shd w:val="clear" w:color="auto" w:fill="C6EFCE"/>
            <w:noWrap/>
          </w:tcPr>
          <w:p w14:paraId="2363DD8F" w14:textId="77777777" w:rsidR="000E48CE" w:rsidRDefault="00FF4C4E">
            <w:pPr>
              <w:pStyle w:val="P68B1DB1-Normal13"/>
              <w:spacing w:after="0" w:line="240" w:lineRule="auto"/>
              <w:jc w:val="center"/>
              <w:rPr>
                <w:rFonts w:eastAsia="Times New Roman" w:cs="Times New Roman"/>
                <w:noProof/>
              </w:rPr>
            </w:pPr>
            <w:r>
              <w:rPr>
                <w:noProof/>
              </w:rPr>
              <w:t>306</w:t>
            </w:r>
          </w:p>
        </w:tc>
        <w:tc>
          <w:tcPr>
            <w:tcW w:w="851" w:type="dxa"/>
            <w:shd w:val="clear" w:color="auto" w:fill="C6EFCE"/>
            <w:noWrap/>
          </w:tcPr>
          <w:p w14:paraId="49378F37" w14:textId="77777777" w:rsidR="000E48CE" w:rsidRDefault="00FF4C4E">
            <w:pPr>
              <w:pStyle w:val="P68B1DB1-Normal13"/>
              <w:spacing w:after="0" w:line="240" w:lineRule="auto"/>
              <w:jc w:val="center"/>
              <w:rPr>
                <w:rFonts w:eastAsia="Times New Roman" w:cs="Times New Roman"/>
                <w:noProof/>
              </w:rPr>
            </w:pPr>
            <w:r>
              <w:rPr>
                <w:noProof/>
              </w:rPr>
              <w:t>C21.R3</w:t>
            </w:r>
          </w:p>
        </w:tc>
        <w:tc>
          <w:tcPr>
            <w:tcW w:w="850" w:type="dxa"/>
            <w:shd w:val="clear" w:color="auto" w:fill="C6EFCE"/>
            <w:noWrap/>
          </w:tcPr>
          <w:p w14:paraId="737E09C5"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549ADC5" w14:textId="77777777" w:rsidR="000E48CE" w:rsidRDefault="00FF4C4E">
            <w:pPr>
              <w:pStyle w:val="P68B1DB1-Normal13"/>
              <w:spacing w:after="0" w:line="240" w:lineRule="auto"/>
              <w:rPr>
                <w:rFonts w:eastAsia="Times New Roman" w:cs="Times New Roman"/>
                <w:noProof/>
              </w:rPr>
            </w:pPr>
            <w:r>
              <w:rPr>
                <w:noProof/>
              </w:rPr>
              <w:t>Yliopistojen organisaatiosta annettujen kuninkaallisten asetusten voimaantulo</w:t>
            </w:r>
          </w:p>
        </w:tc>
        <w:tc>
          <w:tcPr>
            <w:tcW w:w="1134" w:type="dxa"/>
            <w:shd w:val="clear" w:color="auto" w:fill="C6EFCE"/>
            <w:noWrap/>
          </w:tcPr>
          <w:p w14:paraId="369C4B4A" w14:textId="77777777" w:rsidR="000E48CE" w:rsidRDefault="00FF4C4E">
            <w:pPr>
              <w:pStyle w:val="P68B1DB1-Normal13"/>
              <w:spacing w:after="0" w:line="240" w:lineRule="auto"/>
              <w:jc w:val="center"/>
              <w:rPr>
                <w:rFonts w:eastAsia="Times New Roman" w:cs="Times New Roman"/>
                <w:noProof/>
              </w:rPr>
            </w:pPr>
            <w:r>
              <w:rPr>
                <w:noProof/>
              </w:rPr>
              <w:t>Kuninkaan asetusten säännös, josta käy ilmi kuninkaan asetusten voimaantulo</w:t>
            </w:r>
          </w:p>
        </w:tc>
        <w:tc>
          <w:tcPr>
            <w:tcW w:w="850" w:type="dxa"/>
            <w:shd w:val="clear" w:color="auto" w:fill="C6EFCE"/>
            <w:noWrap/>
          </w:tcPr>
          <w:p w14:paraId="25011EDD"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3709DAFA"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102288BB"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7E43498" w14:textId="77777777" w:rsidR="000E48CE" w:rsidRDefault="00FF4C4E">
            <w:pPr>
              <w:pStyle w:val="P68B1DB1-Normal13"/>
              <w:spacing w:after="0" w:line="240" w:lineRule="auto"/>
              <w:jc w:val="center"/>
              <w:rPr>
                <w:rFonts w:eastAsia="Times New Roman" w:cs="Times New Roman"/>
                <w:noProof/>
              </w:rPr>
            </w:pPr>
            <w:r>
              <w:rPr>
                <w:noProof/>
              </w:rPr>
              <w:t>KOLMAS VUOSINELJÄNNES</w:t>
            </w:r>
          </w:p>
        </w:tc>
        <w:tc>
          <w:tcPr>
            <w:tcW w:w="708" w:type="dxa"/>
            <w:shd w:val="clear" w:color="auto" w:fill="C6EFCE"/>
            <w:noWrap/>
          </w:tcPr>
          <w:p w14:paraId="28C269B6" w14:textId="77777777" w:rsidR="000E48CE" w:rsidRDefault="00FF4C4E">
            <w:pPr>
              <w:pStyle w:val="P68B1DB1-Normal13"/>
              <w:spacing w:after="0" w:line="240" w:lineRule="auto"/>
              <w:jc w:val="center"/>
              <w:rPr>
                <w:rFonts w:eastAsia="Times New Roman" w:cs="Times New Roman"/>
                <w:noProof/>
              </w:rPr>
            </w:pPr>
            <w:r>
              <w:rPr>
                <w:noProof/>
              </w:rPr>
              <w:t>2021</w:t>
            </w:r>
          </w:p>
        </w:tc>
        <w:tc>
          <w:tcPr>
            <w:tcW w:w="4962" w:type="dxa"/>
            <w:shd w:val="clear" w:color="auto" w:fill="C6EFCE"/>
            <w:noWrap/>
          </w:tcPr>
          <w:p w14:paraId="455E3153" w14:textId="77777777" w:rsidR="000E48CE" w:rsidRDefault="00FF4C4E">
            <w:pPr>
              <w:pStyle w:val="P68B1DB1-Normal13"/>
              <w:spacing w:after="0" w:line="240" w:lineRule="auto"/>
              <w:rPr>
                <w:rFonts w:eastAsia="Times New Roman" w:cs="Times New Roman"/>
                <w:noProof/>
              </w:rPr>
            </w:pPr>
            <w:r>
              <w:rPr>
                <w:noProof/>
              </w:rPr>
              <w:t xml:space="preserve">Kaksi kuninkaallista asetusta </w:t>
            </w:r>
            <w:r>
              <w:rPr>
                <w:noProof/>
              </w:rPr>
              <w:t>yliopistojen organisaatiosta ovat seuraavat:</w:t>
            </w:r>
            <w:r>
              <w:rPr>
                <w:noProof/>
              </w:rPr>
              <w:br/>
              <w:t xml:space="preserve">— Kuninkaallinen päätös korkeakoulukurssien järjestämisestä ja niiden laadun takaamismenettelystä </w:t>
            </w:r>
            <w:r>
              <w:rPr>
                <w:noProof/>
              </w:rPr>
              <w:br/>
              <w:t>— Kuninkaallinen päätös yliopistojen ja niihin liittyvien keskusten perustamista, tunnustamista, hyväksymistä ja</w:t>
            </w:r>
            <w:r>
              <w:rPr>
                <w:noProof/>
              </w:rPr>
              <w:t xml:space="preserve"> akkreditointia koskevasta järjestelmästä.</w:t>
            </w:r>
          </w:p>
        </w:tc>
      </w:tr>
      <w:tr w:rsidR="000E48CE" w14:paraId="7C45691E" w14:textId="77777777">
        <w:trPr>
          <w:trHeight w:val="309"/>
        </w:trPr>
        <w:tc>
          <w:tcPr>
            <w:tcW w:w="709" w:type="dxa"/>
            <w:shd w:val="clear" w:color="auto" w:fill="C6EFCE"/>
            <w:noWrap/>
          </w:tcPr>
          <w:p w14:paraId="457C32E2" w14:textId="77777777" w:rsidR="000E48CE" w:rsidRDefault="00FF4C4E">
            <w:pPr>
              <w:pStyle w:val="P68B1DB1-Normal13"/>
              <w:spacing w:after="0" w:line="240" w:lineRule="auto"/>
              <w:jc w:val="center"/>
              <w:rPr>
                <w:rFonts w:eastAsia="Times New Roman" w:cs="Times New Roman"/>
                <w:noProof/>
              </w:rPr>
            </w:pPr>
            <w:r>
              <w:rPr>
                <w:noProof/>
              </w:rPr>
              <w:t>307</w:t>
            </w:r>
          </w:p>
        </w:tc>
        <w:tc>
          <w:tcPr>
            <w:tcW w:w="851" w:type="dxa"/>
            <w:shd w:val="clear" w:color="auto" w:fill="C6EFCE"/>
            <w:noWrap/>
          </w:tcPr>
          <w:p w14:paraId="48B8E743" w14:textId="77777777" w:rsidR="000E48CE" w:rsidRDefault="00FF4C4E">
            <w:pPr>
              <w:pStyle w:val="P68B1DB1-Normal13"/>
              <w:spacing w:after="0" w:line="240" w:lineRule="auto"/>
              <w:jc w:val="center"/>
              <w:rPr>
                <w:rFonts w:eastAsia="Times New Roman" w:cs="Times New Roman"/>
                <w:noProof/>
              </w:rPr>
            </w:pPr>
            <w:r>
              <w:rPr>
                <w:noProof/>
              </w:rPr>
              <w:t>C21.R3</w:t>
            </w:r>
          </w:p>
        </w:tc>
        <w:tc>
          <w:tcPr>
            <w:tcW w:w="850" w:type="dxa"/>
            <w:shd w:val="clear" w:color="auto" w:fill="C6EFCE"/>
            <w:noWrap/>
          </w:tcPr>
          <w:p w14:paraId="788CC30A"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B233E55" w14:textId="77777777" w:rsidR="000E48CE" w:rsidRDefault="00FF4C4E">
            <w:pPr>
              <w:pStyle w:val="P68B1DB1-Normal13"/>
              <w:spacing w:after="0" w:line="240" w:lineRule="auto"/>
              <w:rPr>
                <w:rFonts w:eastAsia="Times New Roman" w:cs="Times New Roman"/>
                <w:noProof/>
              </w:rPr>
            </w:pPr>
            <w:r>
              <w:rPr>
                <w:noProof/>
              </w:rPr>
              <w:t>Yliopistojärjestelmää koskevan orgaanisen lain voimaantulo</w:t>
            </w:r>
          </w:p>
        </w:tc>
        <w:tc>
          <w:tcPr>
            <w:tcW w:w="1134" w:type="dxa"/>
            <w:shd w:val="clear" w:color="auto" w:fill="C6EFCE"/>
            <w:noWrap/>
          </w:tcPr>
          <w:p w14:paraId="221B2BB5" w14:textId="77777777" w:rsidR="000E48CE" w:rsidRDefault="00FF4C4E">
            <w:pPr>
              <w:pStyle w:val="P68B1DB1-Normal13"/>
              <w:spacing w:after="0" w:line="240" w:lineRule="auto"/>
              <w:jc w:val="center"/>
              <w:rPr>
                <w:rFonts w:eastAsia="Times New Roman" w:cs="Times New Roman"/>
                <w:noProof/>
              </w:rPr>
            </w:pPr>
            <w:r>
              <w:rPr>
                <w:noProof/>
              </w:rPr>
              <w:t>Lakiin sisältyvä säännös, jossa ilmoitetaan orgaanisen lain voimaantulo</w:t>
            </w:r>
          </w:p>
        </w:tc>
        <w:tc>
          <w:tcPr>
            <w:tcW w:w="850" w:type="dxa"/>
            <w:shd w:val="clear" w:color="auto" w:fill="C6EFCE"/>
            <w:noWrap/>
          </w:tcPr>
          <w:p w14:paraId="076876A7"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4D9CAB7A"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0E6B33C0" w14:textId="77777777" w:rsidR="000E48CE" w:rsidRDefault="00FF4C4E">
            <w:pPr>
              <w:pStyle w:val="P68B1DB1-Normal13"/>
              <w:spacing w:after="0" w:line="240" w:lineRule="auto"/>
              <w:rPr>
                <w:rFonts w:eastAsia="Times New Roman" w:cs="Times New Roman"/>
                <w:noProof/>
              </w:rPr>
            </w:pPr>
            <w:r>
              <w:rPr>
                <w:noProof/>
              </w:rPr>
              <w:t xml:space="preserve"> </w:t>
            </w:r>
          </w:p>
        </w:tc>
        <w:tc>
          <w:tcPr>
            <w:tcW w:w="567" w:type="dxa"/>
            <w:shd w:val="clear" w:color="auto" w:fill="C6EFCE"/>
            <w:noWrap/>
          </w:tcPr>
          <w:p w14:paraId="41AD0AB7" w14:textId="77777777" w:rsidR="000E48CE" w:rsidRDefault="00FF4C4E">
            <w:pPr>
              <w:pStyle w:val="P68B1DB1-Normal13"/>
              <w:spacing w:after="0" w:line="240" w:lineRule="auto"/>
              <w:jc w:val="center"/>
              <w:rPr>
                <w:rFonts w:eastAsia="Times New Roman" w:cs="Times New Roman"/>
                <w:noProof/>
              </w:rPr>
            </w:pPr>
            <w:r>
              <w:rPr>
                <w:noProof/>
              </w:rPr>
              <w:t>Q2</w:t>
            </w:r>
          </w:p>
        </w:tc>
        <w:tc>
          <w:tcPr>
            <w:tcW w:w="708" w:type="dxa"/>
            <w:shd w:val="clear" w:color="auto" w:fill="C6EFCE"/>
            <w:noWrap/>
          </w:tcPr>
          <w:p w14:paraId="2680F0A3" w14:textId="77777777" w:rsidR="000E48CE" w:rsidRDefault="00FF4C4E">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3B9C751B" w14:textId="77777777" w:rsidR="000E48CE" w:rsidRDefault="00FF4C4E">
            <w:pPr>
              <w:pStyle w:val="P68B1DB1-Normal13"/>
              <w:spacing w:after="0" w:line="240" w:lineRule="auto"/>
              <w:rPr>
                <w:rFonts w:eastAsia="Times New Roman" w:cs="Times New Roman"/>
                <w:noProof/>
              </w:rPr>
            </w:pPr>
            <w:r>
              <w:rPr>
                <w:noProof/>
              </w:rPr>
              <w:t xml:space="preserve">Uusi orgaaninen laki, jonka tavoitteena on edistää </w:t>
            </w:r>
            <w:r>
              <w:rPr>
                <w:noProof/>
              </w:rPr>
              <w:t>pääsyä korkea-asteen koulutukseen, mukauttaa korkeakoulukurssien järjestämistä, varmistaa korkeakoulujen hyvä hallinto sekä edistää opetus- ja tutkimushenkilöstön tutkimusta, siirtoa ja liikkuvuutta. Uudistuksella parannetaan korkea-asteen koulutuksen työm</w:t>
            </w:r>
            <w:r>
              <w:rPr>
                <w:noProof/>
              </w:rPr>
              <w:t>arkkinarelevanssia, mukaan lukien yhteistyön edistäminen yksityisten ja kolmannen sektorin laitosten kanssa ja julkisten yliopistojen tulosperusteisen rahoituksen käyttöönotto.</w:t>
            </w:r>
          </w:p>
        </w:tc>
      </w:tr>
      <w:tr w:rsidR="000E48CE" w14:paraId="6B8EDAEE" w14:textId="77777777">
        <w:trPr>
          <w:trHeight w:val="309"/>
        </w:trPr>
        <w:tc>
          <w:tcPr>
            <w:tcW w:w="709" w:type="dxa"/>
            <w:shd w:val="clear" w:color="auto" w:fill="C6EFCE"/>
            <w:noWrap/>
          </w:tcPr>
          <w:p w14:paraId="0DDE9BB6" w14:textId="77777777" w:rsidR="000E48CE" w:rsidRDefault="00FF4C4E">
            <w:pPr>
              <w:pStyle w:val="P68B1DB1-Normal13"/>
              <w:spacing w:after="0" w:line="240" w:lineRule="auto"/>
              <w:jc w:val="center"/>
              <w:rPr>
                <w:rFonts w:eastAsia="Times New Roman" w:cs="Times New Roman"/>
                <w:noProof/>
              </w:rPr>
            </w:pPr>
            <w:r>
              <w:rPr>
                <w:noProof/>
              </w:rPr>
              <w:t>308</w:t>
            </w:r>
          </w:p>
        </w:tc>
        <w:tc>
          <w:tcPr>
            <w:tcW w:w="851" w:type="dxa"/>
            <w:shd w:val="clear" w:color="auto" w:fill="C6EFCE"/>
            <w:noWrap/>
          </w:tcPr>
          <w:p w14:paraId="300859AE" w14:textId="77777777" w:rsidR="000E48CE" w:rsidRDefault="00FF4C4E">
            <w:pPr>
              <w:pStyle w:val="P68B1DB1-Normal13"/>
              <w:spacing w:after="0" w:line="240" w:lineRule="auto"/>
              <w:jc w:val="center"/>
              <w:rPr>
                <w:rFonts w:eastAsia="Times New Roman" w:cs="Times New Roman"/>
                <w:noProof/>
              </w:rPr>
            </w:pPr>
            <w:r>
              <w:rPr>
                <w:noProof/>
              </w:rPr>
              <w:t>C21.I1</w:t>
            </w:r>
          </w:p>
        </w:tc>
        <w:tc>
          <w:tcPr>
            <w:tcW w:w="850" w:type="dxa"/>
            <w:shd w:val="clear" w:color="auto" w:fill="C6EFCE"/>
            <w:noWrap/>
          </w:tcPr>
          <w:p w14:paraId="4B652367" w14:textId="77777777" w:rsidR="000E48CE" w:rsidRDefault="00FF4C4E">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020C134B" w14:textId="77777777" w:rsidR="000E48CE" w:rsidRDefault="00FF4C4E">
            <w:pPr>
              <w:pStyle w:val="P68B1DB1-Normal13"/>
              <w:spacing w:after="0" w:line="240" w:lineRule="auto"/>
              <w:rPr>
                <w:rFonts w:eastAsia="Times New Roman" w:cs="Times New Roman"/>
                <w:noProof/>
              </w:rPr>
            </w:pPr>
            <w:r>
              <w:rPr>
                <w:noProof/>
              </w:rPr>
              <w:t xml:space="preserve">Talousarviopalkinto varhaiskasvatuksen ensimmäisen syklin edistämisestä </w:t>
            </w:r>
          </w:p>
        </w:tc>
        <w:tc>
          <w:tcPr>
            <w:tcW w:w="1134" w:type="dxa"/>
            <w:shd w:val="clear" w:color="auto" w:fill="C6EFCE"/>
            <w:noWrap/>
          </w:tcPr>
          <w:p w14:paraId="244CD4CD" w14:textId="77777777" w:rsidR="000E48CE" w:rsidRDefault="00FF4C4E">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328C8AED" w14:textId="77777777" w:rsidR="000E48CE" w:rsidRDefault="00FF4C4E">
            <w:pPr>
              <w:pStyle w:val="P68B1DB1-Normal13"/>
              <w:spacing w:after="0" w:line="240" w:lineRule="auto"/>
              <w:jc w:val="center"/>
              <w:rPr>
                <w:rFonts w:eastAsia="Times New Roman" w:cs="Times New Roman"/>
                <w:noProof/>
              </w:rPr>
            </w:pPr>
            <w:r>
              <w:rPr>
                <w:noProof/>
              </w:rPr>
              <w:t xml:space="preserve"> EUR</w:t>
            </w:r>
          </w:p>
        </w:tc>
        <w:tc>
          <w:tcPr>
            <w:tcW w:w="709" w:type="dxa"/>
            <w:shd w:val="clear" w:color="auto" w:fill="C6EFCE"/>
            <w:noWrap/>
          </w:tcPr>
          <w:p w14:paraId="54BA7765" w14:textId="77777777" w:rsidR="000E48CE" w:rsidRDefault="00FF4C4E">
            <w:pPr>
              <w:pStyle w:val="P68B1DB1-Normal13"/>
              <w:spacing w:after="0" w:line="240" w:lineRule="auto"/>
              <w:jc w:val="center"/>
              <w:rPr>
                <w:rFonts w:eastAsia="Times New Roman" w:cs="Times New Roman"/>
                <w:noProof/>
              </w:rPr>
            </w:pPr>
            <w:r>
              <w:rPr>
                <w:noProof/>
              </w:rPr>
              <w:t>0</w:t>
            </w:r>
          </w:p>
        </w:tc>
        <w:tc>
          <w:tcPr>
            <w:tcW w:w="851" w:type="dxa"/>
            <w:shd w:val="clear" w:color="auto" w:fill="C6EFCE"/>
            <w:noWrap/>
          </w:tcPr>
          <w:p w14:paraId="10833A9B" w14:textId="77777777" w:rsidR="000E48CE" w:rsidRDefault="00FF4C4E">
            <w:pPr>
              <w:pStyle w:val="P68B1DB1-Normal13"/>
              <w:spacing w:after="0" w:line="240" w:lineRule="auto"/>
              <w:jc w:val="center"/>
              <w:rPr>
                <w:rFonts w:eastAsia="Times New Roman" w:cs="Times New Roman"/>
                <w:noProof/>
              </w:rPr>
            </w:pPr>
            <w:r>
              <w:rPr>
                <w:noProof/>
              </w:rPr>
              <w:t xml:space="preserve">670 990 000 </w:t>
            </w:r>
          </w:p>
        </w:tc>
        <w:tc>
          <w:tcPr>
            <w:tcW w:w="567" w:type="dxa"/>
            <w:shd w:val="clear" w:color="auto" w:fill="C6EFCE"/>
            <w:noWrap/>
          </w:tcPr>
          <w:p w14:paraId="156C08C7" w14:textId="77777777" w:rsidR="000E48CE" w:rsidRDefault="00FF4C4E">
            <w:pPr>
              <w:pStyle w:val="P68B1DB1-Normal13"/>
              <w:spacing w:after="0" w:line="240" w:lineRule="auto"/>
              <w:jc w:val="center"/>
              <w:rPr>
                <w:rFonts w:eastAsia="Times New Roman" w:cs="Times New Roman"/>
                <w:noProof/>
              </w:rPr>
            </w:pPr>
            <w:r>
              <w:rPr>
                <w:noProof/>
              </w:rPr>
              <w:t>Q4</w:t>
            </w:r>
          </w:p>
        </w:tc>
        <w:tc>
          <w:tcPr>
            <w:tcW w:w="708" w:type="dxa"/>
            <w:shd w:val="clear" w:color="auto" w:fill="C6EFCE"/>
            <w:noWrap/>
          </w:tcPr>
          <w:p w14:paraId="6C99842B" w14:textId="77777777" w:rsidR="000E48CE" w:rsidRDefault="00FF4C4E">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58706992" w14:textId="77777777" w:rsidR="000E48CE" w:rsidRDefault="00FF4C4E">
            <w:pPr>
              <w:pStyle w:val="P68B1DB1-Normal13"/>
              <w:spacing w:after="0" w:line="240" w:lineRule="auto"/>
              <w:jc w:val="both"/>
              <w:rPr>
                <w:rFonts w:eastAsia="Times New Roman" w:cs="Times New Roman"/>
                <w:noProof/>
              </w:rPr>
            </w:pPr>
            <w:r>
              <w:rPr>
                <w:noProof/>
              </w:rPr>
              <w:t>Alueellisille/paikallisille yhteisöille myönnetään 670990000 euroa varhaiskasvatuksen ensimmäisen syklin edistämiseen luomalla uusia julkisessa omistukse</w:t>
            </w:r>
            <w:r>
              <w:rPr>
                <w:noProof/>
              </w:rPr>
              <w:t xml:space="preserve">ssa olevia paikkoja. </w:t>
            </w:r>
          </w:p>
        </w:tc>
      </w:tr>
      <w:tr w:rsidR="000E48CE" w14:paraId="1340EB0B" w14:textId="77777777">
        <w:trPr>
          <w:trHeight w:val="309"/>
        </w:trPr>
        <w:tc>
          <w:tcPr>
            <w:tcW w:w="709" w:type="dxa"/>
            <w:shd w:val="clear" w:color="auto" w:fill="C6EFCE"/>
            <w:noWrap/>
          </w:tcPr>
          <w:p w14:paraId="6271D4F2" w14:textId="77777777" w:rsidR="000E48CE" w:rsidRDefault="00FF4C4E">
            <w:pPr>
              <w:pStyle w:val="P68B1DB1-Normal13"/>
              <w:spacing w:after="0" w:line="240" w:lineRule="auto"/>
              <w:jc w:val="center"/>
              <w:rPr>
                <w:rFonts w:eastAsia="Times New Roman" w:cs="Times New Roman"/>
                <w:noProof/>
              </w:rPr>
            </w:pPr>
            <w:r>
              <w:rPr>
                <w:noProof/>
              </w:rPr>
              <w:t>309</w:t>
            </w:r>
          </w:p>
        </w:tc>
        <w:tc>
          <w:tcPr>
            <w:tcW w:w="851" w:type="dxa"/>
            <w:shd w:val="clear" w:color="auto" w:fill="C6EFCE"/>
            <w:noWrap/>
          </w:tcPr>
          <w:p w14:paraId="440324C0" w14:textId="77777777" w:rsidR="000E48CE" w:rsidRDefault="00FF4C4E">
            <w:pPr>
              <w:pStyle w:val="P68B1DB1-Normal13"/>
              <w:spacing w:after="0" w:line="240" w:lineRule="auto"/>
              <w:jc w:val="center"/>
              <w:rPr>
                <w:rFonts w:eastAsia="Times New Roman" w:cs="Times New Roman"/>
                <w:noProof/>
              </w:rPr>
            </w:pPr>
            <w:r>
              <w:rPr>
                <w:noProof/>
              </w:rPr>
              <w:t>C21.I1</w:t>
            </w:r>
          </w:p>
        </w:tc>
        <w:tc>
          <w:tcPr>
            <w:tcW w:w="850" w:type="dxa"/>
            <w:shd w:val="clear" w:color="auto" w:fill="C6EFCE"/>
            <w:noWrap/>
          </w:tcPr>
          <w:p w14:paraId="47A5B59D" w14:textId="77777777" w:rsidR="000E48CE" w:rsidRDefault="00FF4C4E">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3B351609" w14:textId="77777777" w:rsidR="000E48CE" w:rsidRDefault="00FF4C4E">
            <w:pPr>
              <w:pStyle w:val="P68B1DB1-Normal13"/>
              <w:spacing w:after="0" w:line="240" w:lineRule="auto"/>
              <w:rPr>
                <w:rFonts w:eastAsia="Times New Roman" w:cs="Times New Roman"/>
                <w:noProof/>
              </w:rPr>
            </w:pPr>
            <w:r>
              <w:rPr>
                <w:noProof/>
              </w:rPr>
              <w:t xml:space="preserve">Uusia paikkoja varhaiskasvatuksen ensimmäiseen sykliin </w:t>
            </w:r>
          </w:p>
        </w:tc>
        <w:tc>
          <w:tcPr>
            <w:tcW w:w="1134" w:type="dxa"/>
            <w:shd w:val="clear" w:color="auto" w:fill="C6EFCE"/>
            <w:noWrap/>
          </w:tcPr>
          <w:p w14:paraId="7E9B347A"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23392B07"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noWrap/>
          </w:tcPr>
          <w:p w14:paraId="63346503" w14:textId="77777777" w:rsidR="000E48CE" w:rsidRDefault="00FF4C4E">
            <w:pPr>
              <w:pStyle w:val="P68B1DB1-Normal13"/>
              <w:spacing w:after="0" w:line="240" w:lineRule="auto"/>
              <w:jc w:val="center"/>
              <w:rPr>
                <w:rFonts w:eastAsia="Times New Roman" w:cs="Times New Roman"/>
                <w:noProof/>
                <w:highlight w:val="yellow"/>
              </w:rPr>
            </w:pPr>
            <w:r>
              <w:rPr>
                <w:noProof/>
              </w:rPr>
              <w:t>0</w:t>
            </w:r>
          </w:p>
        </w:tc>
        <w:tc>
          <w:tcPr>
            <w:tcW w:w="851" w:type="dxa"/>
            <w:shd w:val="clear" w:color="auto" w:fill="C6EFCE"/>
            <w:noWrap/>
          </w:tcPr>
          <w:p w14:paraId="6C140A24" w14:textId="77777777" w:rsidR="000E48CE" w:rsidRDefault="00FF4C4E">
            <w:pPr>
              <w:pStyle w:val="P68B1DB1-Normal13"/>
              <w:spacing w:after="0" w:line="240" w:lineRule="auto"/>
              <w:jc w:val="center"/>
              <w:rPr>
                <w:rFonts w:eastAsia="Times New Roman" w:cs="Times New Roman"/>
                <w:noProof/>
                <w:highlight w:val="yellow"/>
              </w:rPr>
            </w:pPr>
            <w:r>
              <w:rPr>
                <w:noProof/>
              </w:rPr>
              <w:t>60 000</w:t>
            </w:r>
          </w:p>
        </w:tc>
        <w:tc>
          <w:tcPr>
            <w:tcW w:w="567" w:type="dxa"/>
            <w:shd w:val="clear" w:color="auto" w:fill="C6EFCE"/>
            <w:noWrap/>
          </w:tcPr>
          <w:p w14:paraId="57D5F00D" w14:textId="77777777" w:rsidR="000E48CE" w:rsidRDefault="00FF4C4E">
            <w:pPr>
              <w:pStyle w:val="P68B1DB1-Normal13"/>
              <w:spacing w:after="0" w:line="240" w:lineRule="auto"/>
              <w:jc w:val="center"/>
              <w:rPr>
                <w:rFonts w:eastAsia="Times New Roman" w:cs="Times New Roman"/>
                <w:noProof/>
              </w:rPr>
            </w:pPr>
            <w:r>
              <w:rPr>
                <w:noProof/>
              </w:rPr>
              <w:t>Q4</w:t>
            </w:r>
          </w:p>
        </w:tc>
        <w:tc>
          <w:tcPr>
            <w:tcW w:w="708" w:type="dxa"/>
            <w:shd w:val="clear" w:color="auto" w:fill="C6EFCE"/>
            <w:noWrap/>
          </w:tcPr>
          <w:p w14:paraId="45670EFE" w14:textId="0F1E39B9" w:rsidR="000E48CE" w:rsidRDefault="00FF4C4E">
            <w:pPr>
              <w:pStyle w:val="P68B1DB1-Normal13"/>
              <w:spacing w:after="0" w:line="240" w:lineRule="auto"/>
              <w:jc w:val="center"/>
              <w:rPr>
                <w:rFonts w:eastAsia="Times New Roman" w:cs="Times New Roman"/>
                <w:noProof/>
              </w:rPr>
            </w:pPr>
            <w:r>
              <w:rPr>
                <w:noProof/>
              </w:rPr>
              <w:t>2025</w:t>
            </w:r>
          </w:p>
        </w:tc>
        <w:tc>
          <w:tcPr>
            <w:tcW w:w="4962" w:type="dxa"/>
            <w:shd w:val="clear" w:color="auto" w:fill="C6EFCE"/>
            <w:noWrap/>
          </w:tcPr>
          <w:p w14:paraId="1DB7122C" w14:textId="77777777" w:rsidR="000E48CE" w:rsidRDefault="00FF4C4E">
            <w:pPr>
              <w:pStyle w:val="P68B1DB1-Normal13"/>
              <w:spacing w:after="0" w:line="240" w:lineRule="auto"/>
              <w:rPr>
                <w:rFonts w:eastAsia="Times New Roman" w:cs="Times New Roman"/>
                <w:noProof/>
              </w:rPr>
            </w:pPr>
            <w:r>
              <w:rPr>
                <w:noProof/>
              </w:rPr>
              <w:t xml:space="preserve">Edistetään varhaiskasvatuksen ensimmäistä sykliä luomalla kokonaan uusia julkisessa omistuksessa olevia paikkoja (uudet rakennus- ja/tai </w:t>
            </w:r>
            <w:r>
              <w:rPr>
                <w:noProof/>
              </w:rPr>
              <w:t>uudistus-/kunnostukset ja varusteet vähintään 60000 paikasta vuoden 2020 loppuun verrattuna ja näistä toimintamenoista enintään 40000 paikkaa vuoteen 2025 mennessä).</w:t>
            </w:r>
          </w:p>
        </w:tc>
      </w:tr>
      <w:tr w:rsidR="000E48CE" w14:paraId="08AED788" w14:textId="77777777">
        <w:trPr>
          <w:trHeight w:val="309"/>
        </w:trPr>
        <w:tc>
          <w:tcPr>
            <w:tcW w:w="709" w:type="dxa"/>
            <w:shd w:val="clear" w:color="auto" w:fill="C6EFCE"/>
            <w:noWrap/>
          </w:tcPr>
          <w:p w14:paraId="3C85BC4B" w14:textId="77777777" w:rsidR="000E48CE" w:rsidRDefault="00FF4C4E">
            <w:pPr>
              <w:pStyle w:val="P68B1DB1-Normal13"/>
              <w:spacing w:after="0" w:line="240" w:lineRule="auto"/>
              <w:jc w:val="center"/>
              <w:rPr>
                <w:rFonts w:eastAsia="Times New Roman" w:cs="Times New Roman"/>
                <w:noProof/>
              </w:rPr>
            </w:pPr>
            <w:r>
              <w:rPr>
                <w:noProof/>
              </w:rPr>
              <w:t>310</w:t>
            </w:r>
          </w:p>
        </w:tc>
        <w:tc>
          <w:tcPr>
            <w:tcW w:w="851" w:type="dxa"/>
            <w:shd w:val="clear" w:color="auto" w:fill="C6EFCE"/>
            <w:noWrap/>
          </w:tcPr>
          <w:p w14:paraId="71956508" w14:textId="77777777" w:rsidR="000E48CE" w:rsidRDefault="00FF4C4E">
            <w:pPr>
              <w:pStyle w:val="P68B1DB1-Normal13"/>
              <w:spacing w:after="0" w:line="240" w:lineRule="auto"/>
              <w:jc w:val="center"/>
              <w:rPr>
                <w:rFonts w:eastAsia="Times New Roman" w:cs="Times New Roman"/>
                <w:noProof/>
              </w:rPr>
            </w:pPr>
            <w:r>
              <w:rPr>
                <w:noProof/>
              </w:rPr>
              <w:t>C21.I2</w:t>
            </w:r>
          </w:p>
        </w:tc>
        <w:tc>
          <w:tcPr>
            <w:tcW w:w="850" w:type="dxa"/>
            <w:shd w:val="clear" w:color="auto" w:fill="C6EFCE"/>
            <w:noWrap/>
          </w:tcPr>
          <w:p w14:paraId="0B51D14E" w14:textId="77777777" w:rsidR="000E48CE" w:rsidRDefault="00FF4C4E">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5CD7584E" w14:textId="77777777" w:rsidR="000E48CE" w:rsidRDefault="00FF4C4E">
            <w:pPr>
              <w:pStyle w:val="P68B1DB1-Normal13"/>
              <w:spacing w:after="0" w:line="240" w:lineRule="auto"/>
              <w:rPr>
                <w:rFonts w:eastAsia="Times New Roman" w:cs="Times New Roman"/>
                <w:noProof/>
              </w:rPr>
            </w:pPr>
            <w:r>
              <w:rPr>
                <w:noProof/>
              </w:rPr>
              <w:t xml:space="preserve">Tuki kouluille PROA±ohjelmasta </w:t>
            </w:r>
          </w:p>
        </w:tc>
        <w:tc>
          <w:tcPr>
            <w:tcW w:w="1134" w:type="dxa"/>
            <w:shd w:val="clear" w:color="auto" w:fill="C6EFCE"/>
            <w:noWrap/>
          </w:tcPr>
          <w:p w14:paraId="4C63804D"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203DED41"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noWrap/>
          </w:tcPr>
          <w:p w14:paraId="02C3A3F1" w14:textId="77777777" w:rsidR="000E48CE" w:rsidRDefault="00FF4C4E">
            <w:pPr>
              <w:pStyle w:val="P68B1DB1-Normal13"/>
              <w:spacing w:after="0" w:line="240" w:lineRule="auto"/>
              <w:jc w:val="right"/>
              <w:rPr>
                <w:rFonts w:eastAsia="Times New Roman" w:cs="Times New Roman"/>
                <w:noProof/>
              </w:rPr>
            </w:pPr>
            <w:r>
              <w:rPr>
                <w:noProof/>
              </w:rPr>
              <w:t>0</w:t>
            </w:r>
          </w:p>
        </w:tc>
        <w:tc>
          <w:tcPr>
            <w:tcW w:w="851" w:type="dxa"/>
            <w:shd w:val="clear" w:color="auto" w:fill="C6EFCE"/>
            <w:noWrap/>
          </w:tcPr>
          <w:p w14:paraId="26751969" w14:textId="77777777" w:rsidR="000E48CE" w:rsidRDefault="00FF4C4E">
            <w:pPr>
              <w:pStyle w:val="P68B1DB1-Normal13"/>
              <w:spacing w:after="0" w:line="240" w:lineRule="auto"/>
              <w:jc w:val="right"/>
              <w:rPr>
                <w:rFonts w:eastAsia="Times New Roman" w:cs="Times New Roman"/>
                <w:noProof/>
              </w:rPr>
            </w:pPr>
            <w:r>
              <w:rPr>
                <w:noProof/>
              </w:rPr>
              <w:t>2 700</w:t>
            </w:r>
          </w:p>
        </w:tc>
        <w:tc>
          <w:tcPr>
            <w:tcW w:w="567" w:type="dxa"/>
            <w:shd w:val="clear" w:color="auto" w:fill="C6EFCE"/>
            <w:noWrap/>
          </w:tcPr>
          <w:p w14:paraId="755CA836" w14:textId="77777777" w:rsidR="000E48CE" w:rsidRDefault="00FF4C4E">
            <w:pPr>
              <w:pStyle w:val="P68B1DB1-Normal13"/>
              <w:spacing w:after="0" w:line="240" w:lineRule="auto"/>
              <w:jc w:val="center"/>
              <w:rPr>
                <w:rFonts w:eastAsia="Times New Roman" w:cs="Times New Roman"/>
                <w:noProof/>
              </w:rPr>
            </w:pPr>
            <w:r>
              <w:rPr>
                <w:noProof/>
              </w:rPr>
              <w:t>Q4</w:t>
            </w:r>
          </w:p>
        </w:tc>
        <w:tc>
          <w:tcPr>
            <w:tcW w:w="708" w:type="dxa"/>
            <w:shd w:val="clear" w:color="auto" w:fill="C6EFCE"/>
            <w:noWrap/>
          </w:tcPr>
          <w:p w14:paraId="7EAE1301" w14:textId="77777777" w:rsidR="000E48CE" w:rsidRDefault="00FF4C4E">
            <w:pPr>
              <w:pStyle w:val="P68B1DB1-Normal13"/>
              <w:spacing w:after="0" w:line="240" w:lineRule="auto"/>
              <w:jc w:val="center"/>
              <w:rPr>
                <w:rFonts w:eastAsia="Times New Roman" w:cs="Times New Roman"/>
                <w:noProof/>
              </w:rPr>
            </w:pPr>
            <w:r>
              <w:rPr>
                <w:noProof/>
              </w:rPr>
              <w:t>2024</w:t>
            </w:r>
          </w:p>
        </w:tc>
        <w:tc>
          <w:tcPr>
            <w:tcW w:w="4962" w:type="dxa"/>
            <w:shd w:val="clear" w:color="auto" w:fill="C6EFCE"/>
            <w:noWrap/>
          </w:tcPr>
          <w:p w14:paraId="771C0313" w14:textId="77777777" w:rsidR="000E48CE" w:rsidRDefault="00FF4C4E">
            <w:pPr>
              <w:pStyle w:val="P68B1DB1-Normal13"/>
              <w:spacing w:after="0" w:line="240" w:lineRule="auto"/>
              <w:rPr>
                <w:rFonts w:eastAsia="Times New Roman" w:cs="Times New Roman"/>
                <w:noProof/>
              </w:rPr>
            </w:pPr>
            <w:r>
              <w:rPr>
                <w:noProof/>
              </w:rPr>
              <w:t xml:space="preserve">Vähintään 2700 PROA±ohjelmasta tuettua koulua koko maassa ohjelman vaatimusten mukaisesti </w:t>
            </w:r>
          </w:p>
        </w:tc>
      </w:tr>
      <w:tr w:rsidR="000E48CE" w14:paraId="1AFA8AA7" w14:textId="77777777">
        <w:trPr>
          <w:trHeight w:val="309"/>
        </w:trPr>
        <w:tc>
          <w:tcPr>
            <w:tcW w:w="709" w:type="dxa"/>
            <w:shd w:val="clear" w:color="auto" w:fill="C6EFCE"/>
            <w:noWrap/>
          </w:tcPr>
          <w:p w14:paraId="368F37FA" w14:textId="77777777" w:rsidR="000E48CE" w:rsidRDefault="00FF4C4E">
            <w:pPr>
              <w:pStyle w:val="P68B1DB1-Normal13"/>
              <w:spacing w:after="0" w:line="240" w:lineRule="auto"/>
              <w:jc w:val="center"/>
              <w:rPr>
                <w:rFonts w:eastAsia="Times New Roman" w:cs="Times New Roman"/>
                <w:noProof/>
              </w:rPr>
            </w:pPr>
            <w:r>
              <w:rPr>
                <w:noProof/>
              </w:rPr>
              <w:t>311</w:t>
            </w:r>
          </w:p>
        </w:tc>
        <w:tc>
          <w:tcPr>
            <w:tcW w:w="851" w:type="dxa"/>
            <w:shd w:val="clear" w:color="auto" w:fill="C6EFCE"/>
            <w:noWrap/>
          </w:tcPr>
          <w:p w14:paraId="2F6334CF" w14:textId="77777777" w:rsidR="000E48CE" w:rsidRDefault="00FF4C4E">
            <w:pPr>
              <w:pStyle w:val="P68B1DB1-Normal13"/>
              <w:spacing w:after="0" w:line="240" w:lineRule="auto"/>
              <w:jc w:val="center"/>
              <w:rPr>
                <w:rFonts w:eastAsia="Times New Roman" w:cs="Times New Roman"/>
                <w:noProof/>
              </w:rPr>
            </w:pPr>
            <w:r>
              <w:rPr>
                <w:noProof/>
              </w:rPr>
              <w:t>C21.I3</w:t>
            </w:r>
          </w:p>
        </w:tc>
        <w:tc>
          <w:tcPr>
            <w:tcW w:w="850" w:type="dxa"/>
            <w:shd w:val="clear" w:color="auto" w:fill="C6EFCE"/>
            <w:noWrap/>
          </w:tcPr>
          <w:p w14:paraId="0BEDAB84" w14:textId="77777777" w:rsidR="000E48CE" w:rsidRDefault="00FF4C4E">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37D990EA" w14:textId="77777777" w:rsidR="000E48CE" w:rsidRDefault="00FF4C4E">
            <w:pPr>
              <w:pStyle w:val="P68B1DB1-Normal13"/>
              <w:spacing w:after="0" w:line="240" w:lineRule="auto"/>
              <w:rPr>
                <w:rFonts w:eastAsia="Times New Roman" w:cs="Times New Roman"/>
                <w:noProof/>
              </w:rPr>
            </w:pPr>
            <w:r>
              <w:rPr>
                <w:noProof/>
              </w:rPr>
              <w:t xml:space="preserve">Haavoittuvassa asemassa olevien opiskelijoiden tuki- ja ohjausyksiköt </w:t>
            </w:r>
          </w:p>
        </w:tc>
        <w:tc>
          <w:tcPr>
            <w:tcW w:w="1134" w:type="dxa"/>
            <w:shd w:val="clear" w:color="auto" w:fill="C6EFCE"/>
            <w:noWrap/>
          </w:tcPr>
          <w:p w14:paraId="3099300F"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7FD57B20"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noWrap/>
          </w:tcPr>
          <w:p w14:paraId="3BE165FF" w14:textId="77777777" w:rsidR="000E48CE" w:rsidRDefault="00FF4C4E">
            <w:pPr>
              <w:pStyle w:val="P68B1DB1-Normal13"/>
              <w:spacing w:after="0" w:line="240" w:lineRule="auto"/>
              <w:jc w:val="right"/>
              <w:rPr>
                <w:rFonts w:eastAsia="Times New Roman" w:cs="Times New Roman"/>
                <w:noProof/>
              </w:rPr>
            </w:pPr>
            <w:r>
              <w:rPr>
                <w:noProof/>
              </w:rPr>
              <w:t>0</w:t>
            </w:r>
          </w:p>
        </w:tc>
        <w:tc>
          <w:tcPr>
            <w:tcW w:w="851" w:type="dxa"/>
            <w:shd w:val="clear" w:color="auto" w:fill="C6EFCE"/>
            <w:noWrap/>
          </w:tcPr>
          <w:p w14:paraId="5112CCB7" w14:textId="77777777" w:rsidR="000E48CE" w:rsidRDefault="00FF4C4E">
            <w:pPr>
              <w:pStyle w:val="P68B1DB1-Normal13"/>
              <w:spacing w:after="0" w:line="240" w:lineRule="auto"/>
              <w:jc w:val="right"/>
              <w:rPr>
                <w:rFonts w:eastAsia="Times New Roman" w:cs="Times New Roman"/>
                <w:noProof/>
              </w:rPr>
            </w:pPr>
            <w:r>
              <w:rPr>
                <w:noProof/>
              </w:rPr>
              <w:t>1 000</w:t>
            </w:r>
          </w:p>
        </w:tc>
        <w:tc>
          <w:tcPr>
            <w:tcW w:w="567" w:type="dxa"/>
            <w:shd w:val="clear" w:color="auto" w:fill="C6EFCE"/>
            <w:noWrap/>
          </w:tcPr>
          <w:p w14:paraId="59446398" w14:textId="77777777" w:rsidR="000E48CE" w:rsidRDefault="00FF4C4E">
            <w:pPr>
              <w:pStyle w:val="P68B1DB1-Normal13"/>
              <w:spacing w:after="0" w:line="240" w:lineRule="auto"/>
              <w:jc w:val="center"/>
              <w:rPr>
                <w:rFonts w:eastAsia="Times New Roman" w:cs="Times New Roman"/>
                <w:noProof/>
              </w:rPr>
            </w:pPr>
            <w:r>
              <w:rPr>
                <w:noProof/>
              </w:rPr>
              <w:t>Q4</w:t>
            </w:r>
          </w:p>
        </w:tc>
        <w:tc>
          <w:tcPr>
            <w:tcW w:w="708" w:type="dxa"/>
            <w:shd w:val="clear" w:color="auto" w:fill="C6EFCE"/>
            <w:noWrap/>
          </w:tcPr>
          <w:p w14:paraId="2FAD9344" w14:textId="77777777" w:rsidR="000E48CE" w:rsidRDefault="00FF4C4E">
            <w:pPr>
              <w:pStyle w:val="P68B1DB1-Normal13"/>
              <w:spacing w:after="0" w:line="240" w:lineRule="auto"/>
              <w:jc w:val="center"/>
              <w:rPr>
                <w:rFonts w:eastAsia="Times New Roman" w:cs="Times New Roman"/>
                <w:noProof/>
              </w:rPr>
            </w:pPr>
            <w:r>
              <w:rPr>
                <w:noProof/>
              </w:rPr>
              <w:t>2024</w:t>
            </w:r>
          </w:p>
        </w:tc>
        <w:tc>
          <w:tcPr>
            <w:tcW w:w="4962" w:type="dxa"/>
            <w:shd w:val="clear" w:color="auto" w:fill="C6EFCE"/>
            <w:noWrap/>
          </w:tcPr>
          <w:p w14:paraId="30F75166" w14:textId="77777777" w:rsidR="000E48CE" w:rsidRDefault="00FF4C4E">
            <w:pPr>
              <w:pStyle w:val="P68B1DB1-Normal13"/>
              <w:spacing w:after="0" w:line="240" w:lineRule="auto"/>
              <w:rPr>
                <w:rFonts w:eastAsia="Times New Roman" w:cs="Times New Roman"/>
                <w:noProof/>
              </w:rPr>
            </w:pPr>
            <w:r>
              <w:rPr>
                <w:noProof/>
              </w:rPr>
              <w:t xml:space="preserve">Koko maassa on oltava toiminnassa vähintään 1000 haavoittuvassa asemassa olevien opiskelijoiden tuki- ja ohjausyksikköä. </w:t>
            </w:r>
          </w:p>
        </w:tc>
      </w:tr>
      <w:tr w:rsidR="000E48CE" w14:paraId="0F1B7EEB" w14:textId="77777777">
        <w:trPr>
          <w:trHeight w:val="309"/>
        </w:trPr>
        <w:tc>
          <w:tcPr>
            <w:tcW w:w="709" w:type="dxa"/>
            <w:shd w:val="clear" w:color="auto" w:fill="C6EFCE"/>
            <w:noWrap/>
          </w:tcPr>
          <w:p w14:paraId="18A5DEEB" w14:textId="77777777" w:rsidR="000E48CE" w:rsidRDefault="00FF4C4E">
            <w:pPr>
              <w:pStyle w:val="P68B1DB1-Normal13"/>
              <w:spacing w:after="0" w:line="240" w:lineRule="auto"/>
              <w:jc w:val="center"/>
              <w:rPr>
                <w:rFonts w:eastAsia="Times New Roman" w:cs="Times New Roman"/>
                <w:noProof/>
              </w:rPr>
            </w:pPr>
            <w:r>
              <w:rPr>
                <w:noProof/>
              </w:rPr>
              <w:t>312</w:t>
            </w:r>
          </w:p>
        </w:tc>
        <w:tc>
          <w:tcPr>
            <w:tcW w:w="851" w:type="dxa"/>
            <w:shd w:val="clear" w:color="auto" w:fill="C6EFCE"/>
            <w:noWrap/>
          </w:tcPr>
          <w:p w14:paraId="2E65A454" w14:textId="77777777" w:rsidR="000E48CE" w:rsidRDefault="00FF4C4E">
            <w:pPr>
              <w:pStyle w:val="P68B1DB1-Normal13"/>
              <w:spacing w:after="0" w:line="240" w:lineRule="auto"/>
              <w:jc w:val="center"/>
              <w:rPr>
                <w:rFonts w:eastAsia="Times New Roman" w:cs="Times New Roman"/>
                <w:noProof/>
              </w:rPr>
            </w:pPr>
            <w:r>
              <w:rPr>
                <w:noProof/>
              </w:rPr>
              <w:t>C21.I4</w:t>
            </w:r>
          </w:p>
        </w:tc>
        <w:tc>
          <w:tcPr>
            <w:tcW w:w="850" w:type="dxa"/>
            <w:shd w:val="clear" w:color="auto" w:fill="C6EFCE"/>
            <w:noWrap/>
          </w:tcPr>
          <w:p w14:paraId="0C5E04E2" w14:textId="77777777" w:rsidR="000E48CE" w:rsidRDefault="00FF4C4E">
            <w:pPr>
              <w:pStyle w:val="P68B1DB1-Normal13"/>
              <w:spacing w:after="0" w:line="240" w:lineRule="auto"/>
              <w:jc w:val="center"/>
              <w:rPr>
                <w:rFonts w:eastAsia="Times New Roman" w:cs="Times New Roman"/>
                <w:noProof/>
              </w:rPr>
            </w:pPr>
            <w:r>
              <w:rPr>
                <w:noProof/>
              </w:rPr>
              <w:t>T</w:t>
            </w:r>
          </w:p>
        </w:tc>
        <w:tc>
          <w:tcPr>
            <w:tcW w:w="3119" w:type="dxa"/>
            <w:shd w:val="clear" w:color="auto" w:fill="C6EFCE"/>
            <w:noWrap/>
          </w:tcPr>
          <w:p w14:paraId="0DEE07D4" w14:textId="77777777" w:rsidR="000E48CE" w:rsidRDefault="00FF4C4E">
            <w:pPr>
              <w:pStyle w:val="P68B1DB1-Normal13"/>
              <w:spacing w:after="0" w:line="240" w:lineRule="auto"/>
              <w:rPr>
                <w:rFonts w:eastAsia="Times New Roman" w:cs="Times New Roman"/>
                <w:noProof/>
              </w:rPr>
            </w:pPr>
            <w:r>
              <w:rPr>
                <w:noProof/>
              </w:rPr>
              <w:t>Apurahat ja avustukset tohtorintutkinnon suorittaneille opiskelijoille, apulaisprofessseille ja tutkijoille</w:t>
            </w:r>
          </w:p>
        </w:tc>
        <w:tc>
          <w:tcPr>
            <w:tcW w:w="1134" w:type="dxa"/>
            <w:shd w:val="clear" w:color="auto" w:fill="C6EFCE"/>
            <w:noWrap/>
          </w:tcPr>
          <w:p w14:paraId="7FAF0C8E" w14:textId="77777777" w:rsidR="000E48CE" w:rsidRDefault="00FF4C4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79819ACB"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09" w:type="dxa"/>
            <w:shd w:val="clear" w:color="auto" w:fill="C6EFCE"/>
            <w:noWrap/>
          </w:tcPr>
          <w:p w14:paraId="7C1C5DA5" w14:textId="77777777" w:rsidR="000E48CE" w:rsidRDefault="00FF4C4E">
            <w:pPr>
              <w:pStyle w:val="P68B1DB1-Normal13"/>
              <w:spacing w:after="0" w:line="240" w:lineRule="auto"/>
              <w:jc w:val="right"/>
              <w:rPr>
                <w:rFonts w:eastAsia="Times New Roman" w:cs="Times New Roman"/>
                <w:noProof/>
              </w:rPr>
            </w:pPr>
            <w:r>
              <w:rPr>
                <w:noProof/>
              </w:rPr>
              <w:t>0</w:t>
            </w:r>
          </w:p>
        </w:tc>
        <w:tc>
          <w:tcPr>
            <w:tcW w:w="851" w:type="dxa"/>
            <w:shd w:val="clear" w:color="auto" w:fill="C6EFCE"/>
            <w:noWrap/>
          </w:tcPr>
          <w:p w14:paraId="6741858A" w14:textId="77777777" w:rsidR="000E48CE" w:rsidRDefault="00FF4C4E">
            <w:pPr>
              <w:pStyle w:val="P68B1DB1-Normal13"/>
              <w:spacing w:after="0" w:line="240" w:lineRule="auto"/>
              <w:jc w:val="right"/>
              <w:rPr>
                <w:rFonts w:eastAsia="Times New Roman" w:cs="Times New Roman"/>
                <w:noProof/>
              </w:rPr>
            </w:pPr>
            <w:r>
              <w:rPr>
                <w:noProof/>
              </w:rPr>
              <w:t>2 600</w:t>
            </w:r>
          </w:p>
        </w:tc>
        <w:tc>
          <w:tcPr>
            <w:tcW w:w="567" w:type="dxa"/>
            <w:shd w:val="clear" w:color="auto" w:fill="C6EFCE"/>
            <w:noWrap/>
          </w:tcPr>
          <w:p w14:paraId="57ACF00C" w14:textId="77777777" w:rsidR="000E48CE" w:rsidRDefault="00FF4C4E">
            <w:pPr>
              <w:pStyle w:val="P68B1DB1-Normal13"/>
              <w:spacing w:after="0" w:line="240" w:lineRule="auto"/>
              <w:jc w:val="center"/>
              <w:rPr>
                <w:rFonts w:eastAsia="Times New Roman" w:cs="Times New Roman"/>
                <w:noProof/>
              </w:rPr>
            </w:pPr>
            <w:r>
              <w:rPr>
                <w:noProof/>
              </w:rPr>
              <w:t>Q4</w:t>
            </w:r>
          </w:p>
        </w:tc>
        <w:tc>
          <w:tcPr>
            <w:tcW w:w="708" w:type="dxa"/>
            <w:shd w:val="clear" w:color="auto" w:fill="C6EFCE"/>
            <w:noWrap/>
          </w:tcPr>
          <w:p w14:paraId="2081F24C" w14:textId="77777777" w:rsidR="000E48CE" w:rsidRDefault="00FF4C4E">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343923B4" w14:textId="77777777" w:rsidR="000E48CE" w:rsidRDefault="00FF4C4E">
            <w:pPr>
              <w:pStyle w:val="P68B1DB1-Normal13"/>
              <w:spacing w:after="0" w:line="240" w:lineRule="auto"/>
              <w:rPr>
                <w:rFonts w:eastAsia="Times New Roman" w:cs="Times New Roman"/>
                <w:noProof/>
              </w:rPr>
            </w:pPr>
            <w:r>
              <w:rPr>
                <w:noProof/>
              </w:rPr>
              <w:t>Apurahojen ja apurahojen myöntäminen tohtorintutkinnon suorittaneille opiskelijoille, apulaisprofessseille ja tutkijoille vähintään 2600 hakijalle. Apurahojen tavoitteena on muun muassa edistää sen opetushenkilöstön ammatillista kehitystä, jo</w:t>
            </w:r>
            <w:r>
              <w:rPr>
                <w:noProof/>
              </w:rPr>
              <w:t>ka voidaan integroida järjestelmään tulevaisuudessa. Avustuksilla rahoitetaan arvostetuissa ulkomaisissa yliopistoissa ja tutkimuskeskuksissa sekä espanjalaisissa yliopistoissa ja muissa julkisissa tehtävissä työskenteleviä tutkimustoimintaa. Tätä varten a</w:t>
            </w:r>
            <w:r>
              <w:rPr>
                <w:noProof/>
              </w:rPr>
              <w:t>vustuksilla pyritään houkuttelemaan kansainvälisiä lahjakkuuksia. Avustukset myönnetään kolmesta eri ohjelmasta, joissa sovelletaan erityisiä perusteita tavoitteen ja kohderyhmän mukaan, ja ne kestävät yhdestä kolmeen vuotta ohjelmasta ja kohderyhmästä rii</w:t>
            </w:r>
            <w:r>
              <w:rPr>
                <w:noProof/>
              </w:rPr>
              <w:t>ppuen.</w:t>
            </w:r>
          </w:p>
        </w:tc>
      </w:tr>
      <w:tr w:rsidR="000E48CE" w14:paraId="386FE0FC" w14:textId="77777777">
        <w:trPr>
          <w:trHeight w:val="309"/>
        </w:trPr>
        <w:tc>
          <w:tcPr>
            <w:tcW w:w="709" w:type="dxa"/>
            <w:shd w:val="clear" w:color="auto" w:fill="C6EFCE"/>
            <w:noWrap/>
          </w:tcPr>
          <w:p w14:paraId="2CE0BEA3" w14:textId="77777777" w:rsidR="000E48CE" w:rsidRDefault="00FF4C4E">
            <w:pPr>
              <w:pStyle w:val="P68B1DB1-Normal13"/>
              <w:spacing w:after="0" w:line="240" w:lineRule="auto"/>
              <w:jc w:val="center"/>
              <w:rPr>
                <w:rFonts w:eastAsia="Times New Roman" w:cs="Times New Roman"/>
                <w:noProof/>
              </w:rPr>
            </w:pPr>
            <w:r>
              <w:rPr>
                <w:noProof/>
              </w:rPr>
              <w:t>313</w:t>
            </w:r>
          </w:p>
        </w:tc>
        <w:tc>
          <w:tcPr>
            <w:tcW w:w="851" w:type="dxa"/>
            <w:shd w:val="clear" w:color="auto" w:fill="C6EFCE"/>
            <w:noWrap/>
          </w:tcPr>
          <w:p w14:paraId="44FE2EB5" w14:textId="77777777" w:rsidR="000E48CE" w:rsidRDefault="00FF4C4E">
            <w:pPr>
              <w:pStyle w:val="P68B1DB1-Normal13"/>
              <w:spacing w:after="0" w:line="240" w:lineRule="auto"/>
              <w:jc w:val="center"/>
              <w:rPr>
                <w:rFonts w:eastAsia="Times New Roman" w:cs="Times New Roman"/>
                <w:noProof/>
              </w:rPr>
            </w:pPr>
            <w:r>
              <w:rPr>
                <w:noProof/>
              </w:rPr>
              <w:t>C21.I5</w:t>
            </w:r>
          </w:p>
        </w:tc>
        <w:tc>
          <w:tcPr>
            <w:tcW w:w="850" w:type="dxa"/>
            <w:shd w:val="clear" w:color="auto" w:fill="C6EFCE"/>
            <w:noWrap/>
          </w:tcPr>
          <w:p w14:paraId="6652B822"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0E6EDD27" w14:textId="77777777" w:rsidR="000E48CE" w:rsidRDefault="00FF4C4E">
            <w:pPr>
              <w:pStyle w:val="P68B1DB1-Normal13"/>
              <w:spacing w:after="0" w:line="240" w:lineRule="auto"/>
              <w:rPr>
                <w:rFonts w:eastAsia="Times New Roman" w:cs="Times New Roman"/>
                <w:noProof/>
              </w:rPr>
            </w:pPr>
            <w:r>
              <w:rPr>
                <w:noProof/>
              </w:rPr>
              <w:t xml:space="preserve">Yliopistojen digitaalisen indeksin korottaminen </w:t>
            </w:r>
          </w:p>
        </w:tc>
        <w:tc>
          <w:tcPr>
            <w:tcW w:w="1134" w:type="dxa"/>
            <w:shd w:val="clear" w:color="auto" w:fill="C6EFCE"/>
            <w:noWrap/>
          </w:tcPr>
          <w:p w14:paraId="4E26CAC1" w14:textId="77777777" w:rsidR="000E48CE" w:rsidRDefault="00FF4C4E">
            <w:pPr>
              <w:pStyle w:val="P68B1DB1-Normal13"/>
              <w:spacing w:after="0" w:line="240" w:lineRule="auto"/>
              <w:jc w:val="center"/>
              <w:rPr>
                <w:rFonts w:eastAsia="Times New Roman" w:cs="Times New Roman"/>
                <w:noProof/>
              </w:rPr>
            </w:pPr>
            <w:r>
              <w:rPr>
                <w:noProof/>
              </w:rPr>
              <w:t>Indeksin julkaiseminen yliopistoministeriön verkkosivustolla</w:t>
            </w:r>
          </w:p>
        </w:tc>
        <w:tc>
          <w:tcPr>
            <w:tcW w:w="850" w:type="dxa"/>
            <w:shd w:val="clear" w:color="auto" w:fill="C6EFCE"/>
            <w:noWrap/>
          </w:tcPr>
          <w:p w14:paraId="413D20AF" w14:textId="77777777" w:rsidR="000E48CE" w:rsidRDefault="00FF4C4E">
            <w:pPr>
              <w:pStyle w:val="P68B1DB1-Normal13"/>
              <w:spacing w:after="0" w:line="240" w:lineRule="auto"/>
              <w:jc w:val="center"/>
              <w:rPr>
                <w:rFonts w:eastAsia="Times New Roman" w:cs="Times New Roman"/>
                <w:noProof/>
              </w:rPr>
            </w:pPr>
            <w:r>
              <w:rPr>
                <w:noProof/>
              </w:rPr>
              <w:t> </w:t>
            </w:r>
          </w:p>
        </w:tc>
        <w:tc>
          <w:tcPr>
            <w:tcW w:w="709" w:type="dxa"/>
            <w:shd w:val="clear" w:color="auto" w:fill="C6EFCE"/>
            <w:noWrap/>
          </w:tcPr>
          <w:p w14:paraId="611BB9DB" w14:textId="77777777" w:rsidR="000E48CE" w:rsidRDefault="00FF4C4E">
            <w:pPr>
              <w:pStyle w:val="P68B1DB1-Normal13"/>
              <w:spacing w:after="0" w:line="240" w:lineRule="auto"/>
              <w:jc w:val="right"/>
              <w:rPr>
                <w:rFonts w:eastAsia="Times New Roman" w:cs="Times New Roman"/>
                <w:noProof/>
              </w:rPr>
            </w:pPr>
            <w:r>
              <w:rPr>
                <w:noProof/>
              </w:rPr>
              <w:t> </w:t>
            </w:r>
          </w:p>
        </w:tc>
        <w:tc>
          <w:tcPr>
            <w:tcW w:w="851" w:type="dxa"/>
            <w:shd w:val="clear" w:color="auto" w:fill="C6EFCE"/>
            <w:noWrap/>
          </w:tcPr>
          <w:p w14:paraId="7FB5F00E" w14:textId="77777777" w:rsidR="000E48CE" w:rsidRDefault="00FF4C4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01C73FB4" w14:textId="77777777" w:rsidR="000E48CE" w:rsidRDefault="00FF4C4E">
            <w:pPr>
              <w:pStyle w:val="P68B1DB1-Normal13"/>
              <w:spacing w:after="0" w:line="240" w:lineRule="auto"/>
              <w:jc w:val="center"/>
              <w:rPr>
                <w:rFonts w:eastAsia="Times New Roman" w:cs="Times New Roman"/>
                <w:noProof/>
              </w:rPr>
            </w:pPr>
            <w:r>
              <w:rPr>
                <w:noProof/>
              </w:rPr>
              <w:t>Q4</w:t>
            </w:r>
          </w:p>
        </w:tc>
        <w:tc>
          <w:tcPr>
            <w:tcW w:w="708" w:type="dxa"/>
            <w:shd w:val="clear" w:color="auto" w:fill="C6EFCE"/>
            <w:noWrap/>
          </w:tcPr>
          <w:p w14:paraId="53E37E2F" w14:textId="77777777" w:rsidR="000E48CE" w:rsidRDefault="00FF4C4E">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596CA7D8" w14:textId="681E6C41" w:rsidR="000E48CE" w:rsidRDefault="00FF4C4E">
            <w:pPr>
              <w:pStyle w:val="P68B1DB1-Normal13"/>
              <w:spacing w:after="0" w:line="240" w:lineRule="auto"/>
              <w:rPr>
                <w:rFonts w:eastAsia="Times New Roman" w:cs="Times New Roman"/>
                <w:noProof/>
              </w:rPr>
            </w:pPr>
            <w:r>
              <w:rPr>
                <w:noProof/>
              </w:rPr>
              <w:t xml:space="preserve">Investointien loppuun saattaminen i) digitaalisiin resursseihin, kuten digitaalisten laitteiden ja </w:t>
            </w:r>
            <w:r>
              <w:rPr>
                <w:noProof/>
              </w:rPr>
              <w:t>infrastruktuurien parantamiseen, verkko-opetukseen liittyvät kyberturvallisuus- ja luokkahuoneteknologiat; digitaalinen koulutus akateemiselle henkilöstölle ja opiskelijoille; ja iv) investoinnit digitaalisiin palvelualustoihin; tarve nostaa yliopistojen d</w:t>
            </w:r>
            <w:r>
              <w:rPr>
                <w:noProof/>
              </w:rPr>
              <w:t>igitaalista indeksiä vähintään 10 prosenttia vuoden 2019 tasoon verrattuna koko yliopistojärjestelmän osalta ja kattaa erilaiset kypsyysasteet: Hallinto, innovointi ja hallinto. Tukikelpoiset hankkeet on käynnistettävä helmikuusta 2020 alkaen. Yliopistojen</w:t>
            </w:r>
            <w:r>
              <w:rPr>
                <w:noProof/>
              </w:rPr>
              <w:t xml:space="preserve"> digitaalinen indeksi (Digital Index for Universities) on lyhennetty versio ”Digital Maturity Model for Universities” -mallista (MD4U). Kyseessä on indikaattorikehys, jota CRUE-TIC (Espanjan yliopistojen liittokanslerien konferenssin tietotekniikka-ala) kä</w:t>
            </w:r>
            <w:r>
              <w:rPr>
                <w:noProof/>
              </w:rPr>
              <w:t xml:space="preserve">yttää vuosittaisessa kyselytutkimuksessaan Espanjan yliopistojen digitalisaation tason kuvaamiseksi hallinnon, innovoinnin ja hallinnon aloilla. Yliopistojen digitaalinen indeksi (Digital Index for Universities) on tulostaulu, jolla seurataan yliopistojen </w:t>
            </w:r>
            <w:r>
              <w:rPr>
                <w:noProof/>
              </w:rPr>
              <w:t>digitaalisen tason kehitystä. Ohjelman vaikutuksen perustasona ovat yliopistojärjestelmän digitalisoinnin tason arvot vuonna 2019, jolloin perustaso on 31. joulukuuta 2019.</w:t>
            </w:r>
          </w:p>
        </w:tc>
      </w:tr>
      <w:tr w:rsidR="000E48CE" w14:paraId="7ABB7475" w14:textId="77777777">
        <w:trPr>
          <w:trHeight w:val="309"/>
        </w:trPr>
        <w:tc>
          <w:tcPr>
            <w:tcW w:w="709" w:type="dxa"/>
            <w:shd w:val="clear" w:color="auto" w:fill="C6EFCE"/>
            <w:noWrap/>
          </w:tcPr>
          <w:p w14:paraId="37170362" w14:textId="0BAB28C8" w:rsidR="000E48CE" w:rsidRDefault="00FF4C4E">
            <w:pPr>
              <w:pStyle w:val="P68B1DB1-Normal13"/>
              <w:spacing w:after="0" w:line="240" w:lineRule="auto"/>
              <w:jc w:val="center"/>
              <w:rPr>
                <w:rFonts w:cs="Times New Roman"/>
                <w:noProof/>
              </w:rPr>
            </w:pPr>
            <w:r>
              <w:rPr>
                <w:noProof/>
              </w:rPr>
              <w:t>468</w:t>
            </w:r>
          </w:p>
        </w:tc>
        <w:tc>
          <w:tcPr>
            <w:tcW w:w="851" w:type="dxa"/>
            <w:shd w:val="clear" w:color="auto" w:fill="C6EFCE"/>
            <w:noWrap/>
          </w:tcPr>
          <w:p w14:paraId="08E9864B" w14:textId="77777777" w:rsidR="000E48CE" w:rsidRDefault="00FF4C4E">
            <w:pPr>
              <w:pStyle w:val="P68B1DB1-Normal13"/>
              <w:spacing w:after="0" w:line="240" w:lineRule="auto"/>
              <w:jc w:val="center"/>
              <w:rPr>
                <w:rFonts w:cs="Times New Roman"/>
                <w:noProof/>
              </w:rPr>
            </w:pPr>
            <w:r>
              <w:rPr>
                <w:noProof/>
              </w:rPr>
              <w:t>C21.I6</w:t>
            </w:r>
          </w:p>
        </w:tc>
        <w:tc>
          <w:tcPr>
            <w:tcW w:w="850" w:type="dxa"/>
            <w:shd w:val="clear" w:color="auto" w:fill="C6EFCE"/>
            <w:noWrap/>
          </w:tcPr>
          <w:p w14:paraId="01D1ADDD" w14:textId="77777777" w:rsidR="000E48CE" w:rsidRDefault="00FF4C4E">
            <w:pPr>
              <w:pStyle w:val="P68B1DB1-Normal13"/>
              <w:spacing w:after="0" w:line="240" w:lineRule="auto"/>
              <w:jc w:val="center"/>
              <w:rPr>
                <w:rFonts w:cs="Times New Roman"/>
                <w:noProof/>
              </w:rPr>
            </w:pPr>
            <w:r>
              <w:rPr>
                <w:noProof/>
              </w:rPr>
              <w:t>M</w:t>
            </w:r>
          </w:p>
        </w:tc>
        <w:tc>
          <w:tcPr>
            <w:tcW w:w="3119" w:type="dxa"/>
            <w:shd w:val="clear" w:color="auto" w:fill="C6EFCE"/>
            <w:noWrap/>
          </w:tcPr>
          <w:p w14:paraId="640796C1" w14:textId="77777777" w:rsidR="000E48CE" w:rsidRDefault="00FF4C4E">
            <w:pPr>
              <w:pStyle w:val="P68B1DB1-Normal13"/>
              <w:spacing w:after="0" w:line="240" w:lineRule="auto"/>
              <w:rPr>
                <w:rFonts w:cs="Times New Roman"/>
                <w:noProof/>
              </w:rPr>
            </w:pPr>
            <w:r>
              <w:rPr>
                <w:noProof/>
              </w:rPr>
              <w:t xml:space="preserve">Korkeakoulujen pienten osaamiskokonaisuuksien kehittämistä koskevan </w:t>
            </w:r>
            <w:r>
              <w:rPr>
                <w:noProof/>
              </w:rPr>
              <w:t>toimintasuunnitelman hyväksyminen</w:t>
            </w:r>
          </w:p>
        </w:tc>
        <w:tc>
          <w:tcPr>
            <w:tcW w:w="1134" w:type="dxa"/>
            <w:shd w:val="clear" w:color="auto" w:fill="C6EFCE"/>
            <w:noWrap/>
          </w:tcPr>
          <w:p w14:paraId="122F4F0C" w14:textId="77777777" w:rsidR="000E48CE" w:rsidRDefault="00FF4C4E">
            <w:pPr>
              <w:pStyle w:val="P68B1DB1-Normal13"/>
              <w:spacing w:after="0" w:line="240" w:lineRule="auto"/>
              <w:jc w:val="center"/>
              <w:rPr>
                <w:rFonts w:cs="Times New Roman"/>
                <w:noProof/>
              </w:rPr>
            </w:pPr>
            <w:r>
              <w:rPr>
                <w:noProof/>
              </w:rPr>
              <w:t>Julkaisu yliopistoministeriön verkkosivustolla</w:t>
            </w:r>
          </w:p>
        </w:tc>
        <w:tc>
          <w:tcPr>
            <w:tcW w:w="850" w:type="dxa"/>
            <w:shd w:val="clear" w:color="auto" w:fill="C6EFCE"/>
            <w:noWrap/>
          </w:tcPr>
          <w:p w14:paraId="3BF83D2D" w14:textId="77777777" w:rsidR="000E48CE" w:rsidRDefault="000E48CE">
            <w:pPr>
              <w:spacing w:after="0" w:line="240" w:lineRule="auto"/>
              <w:jc w:val="center"/>
              <w:rPr>
                <w:rFonts w:ascii="Times New Roman" w:hAnsi="Times New Roman" w:cs="Times New Roman"/>
                <w:noProof/>
                <w:sz w:val="18"/>
              </w:rPr>
            </w:pPr>
          </w:p>
        </w:tc>
        <w:tc>
          <w:tcPr>
            <w:tcW w:w="709" w:type="dxa"/>
            <w:shd w:val="clear" w:color="auto" w:fill="C6EFCE"/>
            <w:noWrap/>
          </w:tcPr>
          <w:p w14:paraId="3D4FBB91" w14:textId="77777777" w:rsidR="000E48CE" w:rsidRDefault="000E48CE">
            <w:pPr>
              <w:spacing w:after="0" w:line="240" w:lineRule="auto"/>
              <w:jc w:val="right"/>
              <w:rPr>
                <w:rFonts w:ascii="Times New Roman" w:hAnsi="Times New Roman" w:cs="Times New Roman"/>
                <w:noProof/>
                <w:sz w:val="18"/>
              </w:rPr>
            </w:pPr>
          </w:p>
        </w:tc>
        <w:tc>
          <w:tcPr>
            <w:tcW w:w="851" w:type="dxa"/>
            <w:shd w:val="clear" w:color="auto" w:fill="C6EFCE"/>
            <w:noWrap/>
          </w:tcPr>
          <w:p w14:paraId="36DB89CF" w14:textId="77777777" w:rsidR="000E48CE" w:rsidRDefault="000E48CE">
            <w:pPr>
              <w:spacing w:after="0" w:line="240" w:lineRule="auto"/>
              <w:jc w:val="right"/>
              <w:rPr>
                <w:rFonts w:ascii="Times New Roman" w:hAnsi="Times New Roman" w:cs="Times New Roman"/>
                <w:noProof/>
                <w:sz w:val="18"/>
              </w:rPr>
            </w:pPr>
          </w:p>
        </w:tc>
        <w:tc>
          <w:tcPr>
            <w:tcW w:w="567" w:type="dxa"/>
            <w:shd w:val="clear" w:color="auto" w:fill="C6EFCE"/>
            <w:noWrap/>
          </w:tcPr>
          <w:p w14:paraId="1F42A5C4" w14:textId="77777777" w:rsidR="000E48CE" w:rsidRDefault="00FF4C4E">
            <w:pPr>
              <w:pStyle w:val="P68B1DB1-Normal13"/>
              <w:spacing w:after="0" w:line="240" w:lineRule="auto"/>
              <w:jc w:val="center"/>
              <w:rPr>
                <w:rFonts w:cs="Times New Roman"/>
                <w:noProof/>
              </w:rPr>
            </w:pPr>
            <w:r>
              <w:rPr>
                <w:noProof/>
              </w:rPr>
              <w:t>Q2</w:t>
            </w:r>
          </w:p>
        </w:tc>
        <w:tc>
          <w:tcPr>
            <w:tcW w:w="708" w:type="dxa"/>
            <w:shd w:val="clear" w:color="auto" w:fill="C6EFCE"/>
            <w:noWrap/>
          </w:tcPr>
          <w:p w14:paraId="5ADE0254" w14:textId="77777777" w:rsidR="000E48CE" w:rsidRDefault="00FF4C4E">
            <w:pPr>
              <w:pStyle w:val="P68B1DB1-Normal13"/>
              <w:spacing w:after="0" w:line="240" w:lineRule="auto"/>
              <w:jc w:val="center"/>
              <w:rPr>
                <w:rFonts w:cs="Times New Roman"/>
                <w:noProof/>
              </w:rPr>
            </w:pPr>
            <w:r>
              <w:rPr>
                <w:noProof/>
              </w:rPr>
              <w:t>2023</w:t>
            </w:r>
          </w:p>
        </w:tc>
        <w:tc>
          <w:tcPr>
            <w:tcW w:w="4962" w:type="dxa"/>
            <w:shd w:val="clear" w:color="auto" w:fill="C6EFCE"/>
            <w:noWrap/>
          </w:tcPr>
          <w:p w14:paraId="120C3E37" w14:textId="77777777" w:rsidR="000E48CE" w:rsidRDefault="00FF4C4E">
            <w:pPr>
              <w:pStyle w:val="P68B1DB1-Normal13"/>
              <w:spacing w:after="0" w:line="240" w:lineRule="auto"/>
              <w:rPr>
                <w:rFonts w:cs="Times New Roman"/>
                <w:noProof/>
              </w:rPr>
            </w:pPr>
            <w:r>
              <w:rPr>
                <w:noProof/>
              </w:rPr>
              <w:t xml:space="preserve">Hyväksytään toimintasuunnitelma puitteiden luomiseksi pienten osaamiskokonaisuuksien kehittämiselle, jonka yliopistoministeriö on laatinut sidosryhmien kuulemisen </w:t>
            </w:r>
            <w:r>
              <w:rPr>
                <w:noProof/>
              </w:rPr>
              <w:t>jälkeen. Suunnitelman on katettava toimet i) yliopistojen muuttamiseksi elinikäisen oppimisen laitoksiksi, edistää aikuisten ja heidän työnantajiensa kysyntää; edistää pienten osaamiskokonaisuuksien laatua ja merkityksellisyyttä; IV) tasapuolisuuden tukemi</w:t>
            </w:r>
            <w:r>
              <w:rPr>
                <w:noProof/>
              </w:rPr>
              <w:t>nen; ja v) luoda yksilöllisiä ja joustavia koulutusväyliä.</w:t>
            </w:r>
          </w:p>
        </w:tc>
      </w:tr>
      <w:tr w:rsidR="000E48CE" w14:paraId="14D987CC" w14:textId="77777777">
        <w:trPr>
          <w:trHeight w:val="309"/>
        </w:trPr>
        <w:tc>
          <w:tcPr>
            <w:tcW w:w="709" w:type="dxa"/>
            <w:shd w:val="clear" w:color="auto" w:fill="C6EFCE"/>
            <w:noWrap/>
          </w:tcPr>
          <w:p w14:paraId="046F9A5A" w14:textId="15ABE94F" w:rsidR="000E48CE" w:rsidRDefault="00FF4C4E">
            <w:pPr>
              <w:pStyle w:val="P68B1DB1-Normal13"/>
              <w:spacing w:after="0" w:line="240" w:lineRule="auto"/>
              <w:jc w:val="center"/>
              <w:rPr>
                <w:rFonts w:cs="Times New Roman"/>
                <w:noProof/>
              </w:rPr>
            </w:pPr>
            <w:r>
              <w:rPr>
                <w:noProof/>
              </w:rPr>
              <w:t>469</w:t>
            </w:r>
          </w:p>
        </w:tc>
        <w:tc>
          <w:tcPr>
            <w:tcW w:w="851" w:type="dxa"/>
            <w:shd w:val="clear" w:color="auto" w:fill="C6EFCE"/>
            <w:noWrap/>
          </w:tcPr>
          <w:p w14:paraId="48812D43" w14:textId="77777777" w:rsidR="000E48CE" w:rsidRDefault="00FF4C4E">
            <w:pPr>
              <w:pStyle w:val="P68B1DB1-Normal13"/>
              <w:spacing w:after="0" w:line="240" w:lineRule="auto"/>
              <w:jc w:val="center"/>
              <w:rPr>
                <w:rFonts w:cs="Times New Roman"/>
                <w:noProof/>
              </w:rPr>
            </w:pPr>
            <w:r>
              <w:rPr>
                <w:noProof/>
              </w:rPr>
              <w:t>C21.I6</w:t>
            </w:r>
          </w:p>
        </w:tc>
        <w:tc>
          <w:tcPr>
            <w:tcW w:w="850" w:type="dxa"/>
            <w:shd w:val="clear" w:color="auto" w:fill="C6EFCE"/>
            <w:noWrap/>
          </w:tcPr>
          <w:p w14:paraId="1EB23085" w14:textId="77777777" w:rsidR="000E48CE" w:rsidRDefault="00FF4C4E">
            <w:pPr>
              <w:pStyle w:val="P68B1DB1-Normal13"/>
              <w:spacing w:after="0" w:line="240" w:lineRule="auto"/>
              <w:jc w:val="center"/>
              <w:rPr>
                <w:rFonts w:cs="Times New Roman"/>
                <w:noProof/>
              </w:rPr>
            </w:pPr>
            <w:r>
              <w:rPr>
                <w:noProof/>
              </w:rPr>
              <w:t>T</w:t>
            </w:r>
          </w:p>
        </w:tc>
        <w:tc>
          <w:tcPr>
            <w:tcW w:w="3119" w:type="dxa"/>
            <w:shd w:val="clear" w:color="auto" w:fill="C6EFCE"/>
            <w:noWrap/>
          </w:tcPr>
          <w:p w14:paraId="34FC153D" w14:textId="77777777" w:rsidR="000E48CE" w:rsidRDefault="00FF4C4E">
            <w:pPr>
              <w:pStyle w:val="P68B1DB1-Normal13"/>
              <w:spacing w:after="0" w:line="240" w:lineRule="auto"/>
              <w:rPr>
                <w:rFonts w:cs="Times New Roman"/>
                <w:noProof/>
              </w:rPr>
            </w:pPr>
            <w:r>
              <w:rPr>
                <w:noProof/>
              </w:rPr>
              <w:t>Aikuisille myönnettävät pienet korkeakoulututkinnot</w:t>
            </w:r>
          </w:p>
        </w:tc>
        <w:tc>
          <w:tcPr>
            <w:tcW w:w="1134" w:type="dxa"/>
            <w:shd w:val="clear" w:color="auto" w:fill="C6EFCE"/>
            <w:noWrap/>
          </w:tcPr>
          <w:p w14:paraId="45C7A478"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16FD6B3C" w14:textId="77777777" w:rsidR="000E48CE" w:rsidRDefault="00FF4C4E">
            <w:pPr>
              <w:pStyle w:val="P68B1DB1-Normal13"/>
              <w:spacing w:after="0" w:line="240" w:lineRule="auto"/>
              <w:jc w:val="center"/>
              <w:rPr>
                <w:rFonts w:cs="Times New Roman"/>
                <w:noProof/>
              </w:rPr>
            </w:pPr>
            <w:r>
              <w:rPr>
                <w:noProof/>
              </w:rPr>
              <w:t>Määrä</w:t>
            </w:r>
          </w:p>
        </w:tc>
        <w:tc>
          <w:tcPr>
            <w:tcW w:w="709" w:type="dxa"/>
            <w:shd w:val="clear" w:color="auto" w:fill="C6EFCE"/>
            <w:noWrap/>
          </w:tcPr>
          <w:p w14:paraId="130795E5" w14:textId="77777777" w:rsidR="000E48CE" w:rsidRDefault="00FF4C4E">
            <w:pPr>
              <w:pStyle w:val="P68B1DB1-Normal13"/>
              <w:spacing w:after="0" w:line="240" w:lineRule="auto"/>
              <w:jc w:val="right"/>
              <w:rPr>
                <w:rFonts w:cs="Times New Roman"/>
                <w:noProof/>
              </w:rPr>
            </w:pPr>
            <w:r>
              <w:rPr>
                <w:noProof/>
              </w:rPr>
              <w:t>0</w:t>
            </w:r>
          </w:p>
        </w:tc>
        <w:tc>
          <w:tcPr>
            <w:tcW w:w="851" w:type="dxa"/>
            <w:shd w:val="clear" w:color="auto" w:fill="C6EFCE"/>
            <w:noWrap/>
          </w:tcPr>
          <w:p w14:paraId="250E3567" w14:textId="77777777" w:rsidR="000E48CE" w:rsidRDefault="00FF4C4E">
            <w:pPr>
              <w:pStyle w:val="P68B1DB1-Normal13"/>
              <w:spacing w:after="0" w:line="240" w:lineRule="auto"/>
              <w:jc w:val="right"/>
              <w:rPr>
                <w:rFonts w:cs="Times New Roman"/>
                <w:noProof/>
              </w:rPr>
            </w:pPr>
            <w:r>
              <w:rPr>
                <w:noProof/>
              </w:rPr>
              <w:t>60.000</w:t>
            </w:r>
          </w:p>
        </w:tc>
        <w:tc>
          <w:tcPr>
            <w:tcW w:w="567" w:type="dxa"/>
            <w:shd w:val="clear" w:color="auto" w:fill="C6EFCE"/>
            <w:noWrap/>
          </w:tcPr>
          <w:p w14:paraId="2D2387A3" w14:textId="77777777" w:rsidR="000E48CE" w:rsidRDefault="00FF4C4E">
            <w:pPr>
              <w:pStyle w:val="P68B1DB1-Normal13"/>
              <w:spacing w:after="0" w:line="240" w:lineRule="auto"/>
              <w:jc w:val="center"/>
              <w:rPr>
                <w:rFonts w:cs="Times New Roman"/>
                <w:noProof/>
              </w:rPr>
            </w:pPr>
            <w:r>
              <w:rPr>
                <w:noProof/>
              </w:rPr>
              <w:t>Q2</w:t>
            </w:r>
          </w:p>
        </w:tc>
        <w:tc>
          <w:tcPr>
            <w:tcW w:w="708" w:type="dxa"/>
            <w:shd w:val="clear" w:color="auto" w:fill="C6EFCE"/>
            <w:noWrap/>
          </w:tcPr>
          <w:p w14:paraId="47173C2D" w14:textId="0C63013D" w:rsidR="000E48CE" w:rsidRDefault="00FF4C4E">
            <w:pPr>
              <w:pStyle w:val="P68B1DB1-Normal13"/>
              <w:spacing w:after="0" w:line="240" w:lineRule="auto"/>
              <w:jc w:val="center"/>
              <w:rPr>
                <w:rFonts w:cs="Times New Roman"/>
                <w:noProof/>
              </w:rPr>
            </w:pPr>
            <w:r>
              <w:rPr>
                <w:noProof/>
              </w:rPr>
              <w:t>2026</w:t>
            </w:r>
          </w:p>
        </w:tc>
        <w:tc>
          <w:tcPr>
            <w:tcW w:w="4962" w:type="dxa"/>
            <w:shd w:val="clear" w:color="auto" w:fill="C6EFCE"/>
            <w:noWrap/>
          </w:tcPr>
          <w:p w14:paraId="616C5A85" w14:textId="77777777" w:rsidR="000E48CE" w:rsidRDefault="00FF4C4E">
            <w:pPr>
              <w:pStyle w:val="P68B1DB1-Normal8"/>
              <w:spacing w:after="0" w:line="240" w:lineRule="auto"/>
              <w:rPr>
                <w:rFonts w:cs="Times New Roman"/>
                <w:noProof/>
                <w:sz w:val="18"/>
              </w:rPr>
            </w:pPr>
            <w:r>
              <w:rPr>
                <w:noProof/>
                <w:sz w:val="18"/>
              </w:rPr>
              <w:t>Tarjotaan vähintään 60000 mikrotutkintoyksikköä, jotka kestävät alle 15 ECTS-järjestelmää ja jotka vastaavat vähintään 1000:ta eri koulutustoimea, mukaan lukien mahdollisuus tarjota samalle aikuiselle useampi kuin yksi yksikkö. Koulutustoimien on tarjottav</w:t>
            </w:r>
            <w:r>
              <w:rPr>
                <w:noProof/>
                <w:sz w:val="18"/>
              </w:rPr>
              <w:t>a työmarkkinoiden kysyntään liittyviä erityistietoja ja -taitoja.</w:t>
            </w:r>
            <w:r>
              <w:rPr>
                <w:noProof/>
              </w:rPr>
              <w:t xml:space="preserve"> </w:t>
            </w:r>
            <w:r>
              <w:rPr>
                <w:noProof/>
                <w:sz w:val="18"/>
              </w:rPr>
              <w:t>Toimenpiteeseen kuuluu myös arviointiraportin julkaiseminen yliopistojen ministeriön verkkosivustolla mikrotutkintojen tarjoamisesta 31 päivään joulukuuta 2025 saakka.</w:t>
            </w:r>
          </w:p>
        </w:tc>
      </w:tr>
    </w:tbl>
    <w:p w14:paraId="783B4AAA" w14:textId="77777777" w:rsidR="000E48CE" w:rsidRDefault="000E48CE">
      <w:pPr>
        <w:spacing w:before="120" w:after="120" w:line="240" w:lineRule="auto"/>
        <w:jc w:val="both"/>
        <w:rPr>
          <w:rFonts w:ascii="Times New Roman" w:hAnsi="Times New Roman" w:cs="Times New Roman"/>
          <w:noProof/>
          <w:sz w:val="24"/>
          <w:highlight w:val="yellow"/>
          <w:u w:val="single"/>
        </w:rPr>
      </w:pPr>
    </w:p>
    <w:p w14:paraId="15AC4662" w14:textId="77777777" w:rsidR="000E48CE" w:rsidRDefault="000E48CE">
      <w:pPr>
        <w:spacing w:before="120" w:after="120" w:line="240" w:lineRule="auto"/>
        <w:ind w:left="709"/>
        <w:jc w:val="both"/>
        <w:rPr>
          <w:rFonts w:ascii="Times New Roman" w:hAnsi="Times New Roman" w:cs="Times New Roman"/>
          <w:noProof/>
          <w:sz w:val="24"/>
        </w:rPr>
        <w:sectPr w:rsidR="000E48CE" w:rsidSect="00C94F66">
          <w:headerReference w:type="even" r:id="rId417"/>
          <w:headerReference w:type="default" r:id="rId418"/>
          <w:footerReference w:type="even" r:id="rId419"/>
          <w:footerReference w:type="default" r:id="rId420"/>
          <w:headerReference w:type="first" r:id="rId421"/>
          <w:footerReference w:type="first" r:id="rId422"/>
          <w:pgSz w:w="16839" w:h="11907" w:orient="landscape"/>
          <w:pgMar w:top="1417" w:right="1134" w:bottom="1417" w:left="1134" w:header="709" w:footer="709" w:gutter="0"/>
          <w:cols w:space="720"/>
          <w:docGrid w:linePitch="360"/>
        </w:sectPr>
      </w:pPr>
    </w:p>
    <w:p w14:paraId="0D14E35D" w14:textId="77777777" w:rsidR="000E48CE" w:rsidRDefault="00FF4C4E">
      <w:pPr>
        <w:pStyle w:val="P68B1DB1-Heading12"/>
        <w:rPr>
          <w:rFonts w:cs="Times New Roman"/>
          <w:noProof/>
        </w:rPr>
      </w:pPr>
      <w:r>
        <w:rPr>
          <w:noProof/>
        </w:rPr>
        <w:t>V. OSA 22: Hoitotaloutta koskeva toimintasuunnitelma, tasa-arvo- ja osallisuuspolitiikkojen vahvistaminen</w:t>
      </w:r>
    </w:p>
    <w:p w14:paraId="75631E61" w14:textId="77777777" w:rsidR="000E48CE" w:rsidRDefault="00FF4C4E">
      <w:pPr>
        <w:pStyle w:val="P68B1DB1-Normal4"/>
        <w:spacing w:before="120" w:after="0" w:line="240" w:lineRule="auto"/>
        <w:jc w:val="both"/>
        <w:textAlignment w:val="baseline"/>
        <w:rPr>
          <w:rFonts w:eastAsia="Times New Roman" w:cs="Times New Roman"/>
          <w:noProof/>
        </w:rPr>
      </w:pPr>
      <w:r>
        <w:rPr>
          <w:noProof/>
        </w:rPr>
        <w:t>Espanjan elpymis- ja palautumissuunnitelman tämän osion päätavoitteena on sosiaalipalveluj</w:t>
      </w:r>
      <w:r>
        <w:rPr>
          <w:noProof/>
        </w:rPr>
        <w:t>en ja sosiaalisen osallisuuden politiikkojen nykyaikaistaminen ja vahvistaminen. Siinä keskitytään erityisesti pitkäaikaishoidon malliin, jotta voidaan vastata väestön ikääntymisestä johtuvaan pitkäaikaishoitopalvelujen kasvavaan kysyntään, edistää innovoi</w:t>
      </w:r>
      <w:r>
        <w:rPr>
          <w:noProof/>
        </w:rPr>
        <w:t xml:space="preserve">ntia ja ihmiskeskeistä hoitomallia, jossa keskitytään laitoshoidosta luopumista koskevaan strategiaan. </w:t>
      </w:r>
    </w:p>
    <w:p w14:paraId="769166E5" w14:textId="77777777" w:rsidR="000E48CE" w:rsidRDefault="00FF4C4E">
      <w:pPr>
        <w:pStyle w:val="P68B1DB1-Normal8"/>
        <w:spacing w:before="120" w:after="0" w:line="240" w:lineRule="auto"/>
        <w:jc w:val="both"/>
        <w:rPr>
          <w:rFonts w:eastAsia="Times New Roman" w:cs="Times New Roman"/>
          <w:noProof/>
          <w:sz w:val="24"/>
        </w:rPr>
      </w:pPr>
      <w:r>
        <w:rPr>
          <w:noProof/>
        </w:rPr>
        <w:t>Muiden sosiaalipalvelujen ja sosiaalisen osallisuuden</w:t>
      </w:r>
      <w:r>
        <w:rPr>
          <w:noProof/>
          <w:sz w:val="24"/>
        </w:rPr>
        <w:t>alalla tavoitteisiin kuuluu sosiaalipalvelujen nykyaikaistaminen ja vahvistaminen edistämällä innov</w:t>
      </w:r>
      <w:r>
        <w:rPr>
          <w:noProof/>
          <w:sz w:val="24"/>
        </w:rPr>
        <w:t>ointia ja uutta teknologiaa, jotta voidaan varmistaa palvelujen tarjonta koko alueella, tunnistaa paremmin tarpeet ja parantaa niiden laatua. Perheille annettavan tuen alalla toimilla pyritään parantamaan perheiden oikeussuojaa ja aineellista tukea (käteis</w:t>
      </w:r>
      <w:r>
        <w:rPr>
          <w:noProof/>
          <w:sz w:val="24"/>
        </w:rPr>
        <w:t>- ja luontoissuorituksina) lasten köyhyyden vähentämiseksi.  Osa-alueen toisena tavoitteena on uudistaa muita maksuihin perustumattomia sosiaalietuuksia niiden suojelu- ja aktivointiroolien parantamiseksi.</w:t>
      </w:r>
      <w:r>
        <w:rPr>
          <w:noProof/>
        </w:rPr>
        <w:t xml:space="preserve"> </w:t>
      </w:r>
      <w:r>
        <w:rPr>
          <w:noProof/>
          <w:sz w:val="24"/>
        </w:rPr>
        <w:t>Kohdennetuilla erityistoimilla pyritään tukemaan s</w:t>
      </w:r>
      <w:r>
        <w:rPr>
          <w:noProof/>
          <w:sz w:val="24"/>
        </w:rPr>
        <w:t>ukupuoleen perustuvan väkivallan uhreja, edistämään julkisten palvelujen saatavuutta ja parantamaan kansainvälistä suojelua hakevien henkilöiden vastaanottojärjestelmän valmiuksia.</w:t>
      </w:r>
    </w:p>
    <w:p w14:paraId="4325628A" w14:textId="77777777" w:rsidR="000E48CE" w:rsidRDefault="00FF4C4E">
      <w:pPr>
        <w:pStyle w:val="P68B1DB1-Normal4"/>
        <w:spacing w:before="120" w:after="120" w:line="240" w:lineRule="auto"/>
        <w:jc w:val="both"/>
        <w:rPr>
          <w:rFonts w:cs="Times New Roman"/>
          <w:noProof/>
        </w:rPr>
      </w:pPr>
      <w:r>
        <w:rPr>
          <w:noProof/>
        </w:rPr>
        <w:t>Komponentilla edistetään niiden maakohtaisten suositusten noudattamista, jo</w:t>
      </w:r>
      <w:r>
        <w:rPr>
          <w:noProof/>
        </w:rPr>
        <w:t>tka liittyvät sen varmistamiseen, että työllisyys- ja sosiaalipalveluilla on valmiudet tarjota tehokasta tukea (maakohtainen suositus 2 2019). perheille annettavan tuen parantaminen (maakohtainen suositus 2 2019); vähennetään kansallisen työttömyystukijärj</w:t>
      </w:r>
      <w:r>
        <w:rPr>
          <w:noProof/>
        </w:rPr>
        <w:t>estelmän hajanaisuutta ja puututaan alueellisten vähimmäistoimeentulojärjestelmien kattavuudessa oleviin puutteisiin (maakohtainen suositus 2 2019); sekä vähimmäistoimeentulo- ja perhetukijärjestelmien kattavuuden ja riittävyyden parantaminen (maakohtainen</w:t>
      </w:r>
      <w:r>
        <w:rPr>
          <w:noProof/>
        </w:rPr>
        <w:t xml:space="preserve"> suositus 2 2020).</w:t>
      </w:r>
    </w:p>
    <w:p w14:paraId="0C423203" w14:textId="77777777" w:rsidR="000E48CE" w:rsidRDefault="00FF4C4E">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w:t>
      </w:r>
      <w:r>
        <w:rPr>
          <w:noProof/>
        </w:rPr>
        <w:t xml:space="preserve"> teknisten ohjeiden (2021/C58/01) mukaiset elpymis- ja palautumissuunnitelmassa esitettyjen toimenpiteiden kuvaus ja lieventävät toimet.</w:t>
      </w:r>
    </w:p>
    <w:p w14:paraId="62854374" w14:textId="77777777" w:rsidR="000E48CE" w:rsidRDefault="00FF4C4E">
      <w:pPr>
        <w:pStyle w:val="P68B1DB1-Normal5"/>
        <w:spacing w:before="120" w:after="120" w:line="240" w:lineRule="auto"/>
        <w:ind w:left="709"/>
        <w:jc w:val="both"/>
        <w:rPr>
          <w:rFonts w:cs="Times New Roman"/>
          <w:i/>
          <w:noProof/>
        </w:rPr>
      </w:pPr>
      <w:r>
        <w:rPr>
          <w:noProof/>
        </w:rPr>
        <w:t xml:space="preserve">V.1. </w:t>
      </w:r>
      <w:r>
        <w:rPr>
          <w:noProof/>
        </w:rPr>
        <w:tab/>
        <w:t>Kuvaus uudistuksista ja investoinneista, joita rahoitetaan rahoitustuella, jota ei makseta takaisin</w:t>
      </w:r>
    </w:p>
    <w:p w14:paraId="2D7992FB" w14:textId="77777777" w:rsidR="000E48CE" w:rsidRDefault="00FF4C4E">
      <w:pPr>
        <w:pStyle w:val="P68B1DB1-Normal6"/>
        <w:spacing w:before="120" w:after="120" w:line="240" w:lineRule="auto"/>
        <w:jc w:val="both"/>
        <w:rPr>
          <w:rFonts w:cs="Times New Roman"/>
          <w:noProof/>
        </w:rPr>
      </w:pPr>
      <w:r>
        <w:rPr>
          <w:noProof/>
          <w:shd w:val="clear" w:color="auto" w:fill="FFFFFF"/>
        </w:rPr>
        <w:t>Uudistus 1 (C</w:t>
      </w:r>
      <w:r>
        <w:rPr>
          <w:noProof/>
          <w:shd w:val="clear" w:color="auto" w:fill="FFFFFF"/>
        </w:rPr>
        <w:t>22.R1) –</w:t>
      </w:r>
      <w:r>
        <w:rPr>
          <w:noProof/>
        </w:rPr>
        <w:t xml:space="preserve"> Pitkäaikaishoidon vahvistaminen sekä tuki- ja pitkäaikaishoitomallin muutoksen edistäminen</w:t>
      </w:r>
    </w:p>
    <w:p w14:paraId="2C0878DB" w14:textId="77777777" w:rsidR="000E48CE" w:rsidRDefault="00FF4C4E">
      <w:pPr>
        <w:pStyle w:val="P68B1DB1-Normal4"/>
        <w:spacing w:before="120" w:after="120" w:line="240" w:lineRule="auto"/>
        <w:jc w:val="both"/>
        <w:rPr>
          <w:rFonts w:cs="Times New Roman"/>
          <w:noProof/>
        </w:rPr>
      </w:pPr>
      <w:r>
        <w:rPr>
          <w:noProof/>
        </w:rPr>
        <w:t>Uudistuksella pyritään ihmiskeskeiseen ja oikeuksiin perustuvaan tukimalliin. Autonomy and Dependency Care -järjestelmää (SAAD) on tarkoitus parantaa ottama</w:t>
      </w:r>
      <w:r>
        <w:rPr>
          <w:noProof/>
        </w:rPr>
        <w:t>lla käyttöön uudistuksia, joilla yksinkertaistetaan hallinnollisia menettelyjä, nopeutetaan hakemusten käsittelyä ja vähennetään niiden huollettavien henkilöiden jonotuslistoja, jotka eivät saa palveluja, joihin heillä on oikeus, sekä vähentämällä alueiden</w:t>
      </w:r>
      <w:r>
        <w:rPr>
          <w:noProof/>
        </w:rPr>
        <w:t xml:space="preserve"> välisiä eroja. Siinä keskitytään myös ammattipalvelujen laadun parantamiseen, työolojen parantamiseen ja erityyppisten taloudellisten etujen kattavuuden lisäämiseen. Keskipitkällä aikavälillä uudistuksessa keskitytään panemaan täytäntöön laitoshoidosta lu</w:t>
      </w:r>
      <w:r>
        <w:rPr>
          <w:noProof/>
        </w:rPr>
        <w:t xml:space="preserve">opumista koskeva kansallinen strategia, jossa otetaan huomioon tukea tarvitsevien tarpeet ja mieltymykset. Strategialla varmistetaan samalla kustannustehokkuus ja tuetaan heitä hoitavia perheitä. </w:t>
      </w:r>
    </w:p>
    <w:p w14:paraId="5C1142F2" w14:textId="77777777" w:rsidR="000E48CE" w:rsidRDefault="00FF4C4E">
      <w:pPr>
        <w:pStyle w:val="P68B1DB1-Normal4"/>
        <w:spacing w:before="120" w:after="120" w:line="240" w:lineRule="auto"/>
        <w:jc w:val="both"/>
        <w:rPr>
          <w:rFonts w:cs="Times New Roman"/>
          <w:noProof/>
        </w:rPr>
      </w:pPr>
      <w:r>
        <w:rPr>
          <w:noProof/>
        </w:rPr>
        <w:t>Pitkäaikaishoidon uudistuksen perustan on perustuttava SAAD</w:t>
      </w:r>
      <w:r>
        <w:rPr>
          <w:noProof/>
        </w:rPr>
        <w:t xml:space="preserve">in arviointiin vuoden 2021 aikana, jotta saadaan perusteellinen käsitys vuonna 2020 käynnistetyn pitkäaikaishoidon uudistusprosessin edistymisestä ja sen vaikutuksista. Arvioinnin päätelmät esitetään alueneuvostolle vuoden 2022 alkupuoliskolla. </w:t>
      </w:r>
    </w:p>
    <w:p w14:paraId="1D423281" w14:textId="77777777" w:rsidR="000E48CE" w:rsidRDefault="00FF4C4E">
      <w:pPr>
        <w:pStyle w:val="P68B1DB1-Normal22"/>
        <w:spacing w:before="120" w:after="120" w:line="240" w:lineRule="auto"/>
        <w:jc w:val="both"/>
        <w:rPr>
          <w:rFonts w:cs="Times New Roman"/>
          <w:noProof/>
        </w:rPr>
      </w:pPr>
      <w:r>
        <w:rPr>
          <w:noProof/>
        </w:rPr>
        <w:t>Toimenpite</w:t>
      </w:r>
      <w:r>
        <w:rPr>
          <w:noProof/>
        </w:rPr>
        <w:t>en täytäntöönpano on saatettava päätökseen viimeistään 30 päivänä kesäkuuta 2022.</w:t>
      </w:r>
    </w:p>
    <w:p w14:paraId="0F984A9E" w14:textId="77777777" w:rsidR="000E48CE" w:rsidRDefault="00FF4C4E">
      <w:pPr>
        <w:pStyle w:val="P68B1DB1-Normal6"/>
        <w:spacing w:before="120" w:after="120" w:line="240" w:lineRule="auto"/>
        <w:jc w:val="both"/>
        <w:rPr>
          <w:rFonts w:cs="Times New Roman"/>
          <w:noProof/>
        </w:rPr>
      </w:pPr>
      <w:r>
        <w:rPr>
          <w:noProof/>
          <w:shd w:val="clear" w:color="auto" w:fill="FFFFFF"/>
        </w:rPr>
        <w:t xml:space="preserve">Uudistus 2 (C22.R2) – </w:t>
      </w:r>
      <w:r>
        <w:rPr>
          <w:noProof/>
        </w:rPr>
        <w:t>Julkisten sosiaalipalvelujen nykyaikaistaminen ja uuden sääntelykehyksen antaminen niille</w:t>
      </w:r>
    </w:p>
    <w:p w14:paraId="60735B60" w14:textId="77777777" w:rsidR="000E48CE" w:rsidRDefault="00FF4C4E">
      <w:pPr>
        <w:pStyle w:val="P68B1DB1-Normal4"/>
        <w:spacing w:before="120" w:after="120" w:line="240" w:lineRule="auto"/>
        <w:jc w:val="both"/>
        <w:rPr>
          <w:rFonts w:cs="Times New Roman"/>
          <w:noProof/>
        </w:rPr>
      </w:pPr>
      <w:r>
        <w:rPr>
          <w:noProof/>
        </w:rPr>
        <w:t>Uudistuksen tavoitteena on vahvistaa julkista sosiaalipalvelujärjestelmää antamalla lainsäädäntöä, jolla taataan yhteinen vähimmäispalveluvalikoima ja yhteiset vaatimukset palvelujen tarjoamiselle koko alueella ja taataan Espanjan perustuslain 149 §:n 1 mo</w:t>
      </w:r>
      <w:r>
        <w:rPr>
          <w:noProof/>
        </w:rPr>
        <w:t>mentin mukaisesti kaikkien espanjalaisten yhdenvertaisuus heidän käyttäessään oikeuksiaan. Tätä varten se auttaa vähentämään tarjottavien palvelujen tyyppiin, tasoon ja laatuun liittyviä eroja ja eriarvoisuutta. Sääntelykehyksestä sovitaan alueiden ja paik</w:t>
      </w:r>
      <w:r>
        <w:rPr>
          <w:noProof/>
        </w:rPr>
        <w:t>allisyhteisöjen kanssa, ja se kattaa myös julkisen järjestelmän organisoinnin, mukaan lukien sen sisäinen koordinointi ja koordinointi muiden sosiaalisen suojelun järjestelmien (koulutus, terveydenhuolto, oikeus, asuminen ja kaupunkisuunnittelu, työllisyys</w:t>
      </w:r>
      <w:r>
        <w:rPr>
          <w:noProof/>
        </w:rPr>
        <w:t xml:space="preserve"> jne.) kanssa. yhteiskunnallisten yritysten osallistuminen sosiaalipalvelujen tarjoamiseen; toimivalta- ja rahoitusjärjestelmä. Lisäksi sen tavoitteena on edistää innovointia, parantaa sosiaalipalvelutyöntekijöiden osaamista ja perustaa uusi sosiaalipalvel</w:t>
      </w:r>
      <w:r>
        <w:rPr>
          <w:noProof/>
        </w:rPr>
        <w:t xml:space="preserve">uja koskeva tietojärjestelmä. </w:t>
      </w:r>
    </w:p>
    <w:p w14:paraId="448552C2"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30 päivänä kesäkuuta 2023.</w:t>
      </w:r>
    </w:p>
    <w:p w14:paraId="49C4B0FF" w14:textId="77777777" w:rsidR="000E48CE" w:rsidRDefault="00FF4C4E">
      <w:pPr>
        <w:pStyle w:val="P68B1DB1-Normal4"/>
        <w:spacing w:before="120" w:after="120" w:line="240" w:lineRule="auto"/>
        <w:jc w:val="both"/>
        <w:rPr>
          <w:rFonts w:cs="Times New Roman"/>
          <w:noProof/>
        </w:rPr>
      </w:pPr>
      <w:r>
        <w:rPr>
          <w:noProof/>
          <w:u w:val="single"/>
          <w:shd w:val="clear" w:color="auto" w:fill="FFFFFF"/>
        </w:rPr>
        <w:t xml:space="preserve">Uudistus 3 (C22.R3) – </w:t>
      </w:r>
      <w:r>
        <w:rPr>
          <w:noProof/>
          <w:u w:val="single"/>
        </w:rPr>
        <w:t>Hyväksytään uusi laki perheiden suojelusta ja niiden moninaisuuden</w:t>
      </w:r>
      <w:r>
        <w:rPr>
          <w:noProof/>
        </w:rPr>
        <w:t>tunnustamisesta</w:t>
      </w:r>
    </w:p>
    <w:p w14:paraId="19C6FC48" w14:textId="77777777" w:rsidR="000E48CE" w:rsidRDefault="00FF4C4E">
      <w:pPr>
        <w:pStyle w:val="P68B1DB1-Normal4"/>
        <w:spacing w:before="120" w:after="120" w:line="240" w:lineRule="auto"/>
        <w:jc w:val="both"/>
        <w:rPr>
          <w:rFonts w:cs="Times New Roman"/>
          <w:noProof/>
        </w:rPr>
      </w:pPr>
      <w:r>
        <w:rPr>
          <w:noProof/>
        </w:rPr>
        <w:t>On hyväksyttävä</w:t>
      </w:r>
      <w:r>
        <w:rPr>
          <w:noProof/>
          <w:shd w:val="clear" w:color="auto" w:fill="FFFFFF"/>
        </w:rPr>
        <w:t>uusi laki perh</w:t>
      </w:r>
      <w:r>
        <w:rPr>
          <w:noProof/>
          <w:shd w:val="clear" w:color="auto" w:fill="FFFFFF"/>
        </w:rPr>
        <w:t>eiden suojelusta ja niiden monimuotoisuuden tunnustamisesta, jotta voidaan vastata viime vuosikymmeninä tapahtuneisiin väestörakenteen ja yhteiskunnan muutoksiin. Tämän uuden lain tavoitteena on erityyppisten perherakenteiden oikeudellinen tunnustaminen ja</w:t>
      </w:r>
      <w:r>
        <w:rPr>
          <w:noProof/>
          <w:shd w:val="clear" w:color="auto" w:fill="FFFFFF"/>
        </w:rPr>
        <w:t xml:space="preserve"> niiden etuuksien ja palvelujen määrittäminen, joihin heillä on oikeus niiden ominaispiirteiden ja tulotason mukaan. </w:t>
      </w:r>
      <w:r>
        <w:rPr>
          <w:noProof/>
        </w:rPr>
        <w:t>Tätä varten uudistuksiin on sisällyttävä oikeudellisen kehyksen systematisointi, päivittäminen ja parantaminen sekä yleisen valtionhallinno</w:t>
      </w:r>
      <w:r>
        <w:rPr>
          <w:noProof/>
        </w:rPr>
        <w:t>n perheille tunnustamat suojatoimet, joissa otetaan huomioon perheiden moninaisuus sekä sosiaalisen suojelun (etuudet, sosiaalipalvelut) että oikeudellisen (yksityisoikeuden uudistukset tiettyjen ryhmien osalta: avopuolisot, ennastetut perheet) ja taloudel</w:t>
      </w:r>
      <w:r>
        <w:rPr>
          <w:noProof/>
        </w:rPr>
        <w:t xml:space="preserve">liset (verotus, avustukset jne.). </w:t>
      </w:r>
      <w:r>
        <w:rPr>
          <w:noProof/>
          <w:shd w:val="clear" w:color="auto" w:fill="FFFFFF"/>
        </w:rPr>
        <w:t>Siihen sisältyy myös suuria perheitä koskevan lain uudelleentarkastelu</w:t>
      </w:r>
      <w:r>
        <w:rPr>
          <w:noProof/>
        </w:rPr>
        <w:t xml:space="preserve">. </w:t>
      </w:r>
    </w:p>
    <w:p w14:paraId="01C9213D" w14:textId="77777777" w:rsidR="000E48CE" w:rsidRDefault="00FF4C4E">
      <w:pPr>
        <w:pStyle w:val="P68B1DB1-Normal22"/>
        <w:spacing w:before="120" w:after="120" w:line="240" w:lineRule="auto"/>
        <w:jc w:val="both"/>
        <w:rPr>
          <w:rFonts w:cs="Times New Roman"/>
          <w:noProof/>
        </w:rPr>
      </w:pPr>
      <w:r>
        <w:rPr>
          <w:noProof/>
        </w:rPr>
        <w:t>Uudistuksen yleisenä tavoitteena on vähentää lasten köyhyyttä. Siksi erityistä huomiota on kiinnitettävä eriarvoisuuden vähentämiseen tarjoamalla suo</w:t>
      </w:r>
      <w:r>
        <w:rPr>
          <w:noProof/>
        </w:rPr>
        <w:t>jelua perheille, joilla on erityistarpeita tai haavoittuvassa asemassa olevia perheitä, kuten yksinhuoltajatalouksia tai köyhyys- tai syrjäytymisvaarassa olevia perheitä. Lisäksi laissa vahvistetaan yhteiset periaatteet ja tavoitteet, joilla varmistetaan j</w:t>
      </w:r>
      <w:r>
        <w:rPr>
          <w:noProof/>
        </w:rPr>
        <w:t xml:space="preserve">ohdonmukaisuus ja täydentävyys muiden julkisten politiikkojen kanssa, verotus mukaan lukien, ja parannetaan subjektiivisiin oikeuksiin perustuvaa suojaa.   </w:t>
      </w:r>
    </w:p>
    <w:p w14:paraId="1C0CD4CA"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30 päivänä kesäkuuta 2023.</w:t>
      </w:r>
    </w:p>
    <w:p w14:paraId="334C02A2" w14:textId="77777777" w:rsidR="000E48CE" w:rsidRDefault="00FF4C4E">
      <w:pPr>
        <w:pStyle w:val="P68B1DB1-Normal6"/>
        <w:spacing w:before="120" w:after="120" w:line="240" w:lineRule="auto"/>
        <w:jc w:val="both"/>
        <w:rPr>
          <w:rFonts w:cs="Times New Roman"/>
          <w:noProof/>
        </w:rPr>
      </w:pPr>
      <w:r>
        <w:rPr>
          <w:noProof/>
          <w:shd w:val="clear" w:color="auto" w:fill="FFFFFF"/>
        </w:rPr>
        <w:t>Uudistu</w:t>
      </w:r>
      <w:r>
        <w:rPr>
          <w:noProof/>
          <w:shd w:val="clear" w:color="auto" w:fill="FFFFFF"/>
        </w:rPr>
        <w:t xml:space="preserve">s 4 (C22.R4) – </w:t>
      </w:r>
      <w:r>
        <w:rPr>
          <w:noProof/>
        </w:rPr>
        <w:t xml:space="preserve">Muuttajien ja kansainvälistä suojelua hakevien henkilöiden vastaanottojärjestelmän uudistaminen </w:t>
      </w:r>
    </w:p>
    <w:p w14:paraId="060DC2A4" w14:textId="77777777" w:rsidR="000E48CE" w:rsidRDefault="00FF4C4E">
      <w:pPr>
        <w:pStyle w:val="P68B1DB1-Normal4"/>
        <w:spacing w:before="120" w:after="120" w:line="240" w:lineRule="auto"/>
        <w:jc w:val="both"/>
        <w:rPr>
          <w:rFonts w:cs="Times New Roman"/>
          <w:noProof/>
        </w:rPr>
      </w:pPr>
      <w:r>
        <w:rPr>
          <w:noProof/>
        </w:rPr>
        <w:t xml:space="preserve">Nykyistä muuttajien ja kansainvälistä suojelua hakevien henkilöiden vastaanottojärjestelmää Espanjassa on vahvistettava, jotta voidaan parantaa </w:t>
      </w:r>
      <w:r>
        <w:rPr>
          <w:noProof/>
        </w:rPr>
        <w:t>sen valmiuksia, mukauttaa sitä nykyisiin ja arvioituihin tuleviin tarpeisiin ja tehostaa sitä. Painopisteenä on erityisesti kansainvälistä suojelua hakevien henkilöiden pitkien odotusaikojen ja alhaisen tunnustamisasteen lyhentäminen. Vakaamman ja toimivam</w:t>
      </w:r>
      <w:r>
        <w:rPr>
          <w:noProof/>
        </w:rPr>
        <w:t>man järjestelmän ansiosta tulevien muuttoliikekriisien hallinnan odotetaan olevan sujuvampaa.</w:t>
      </w:r>
    </w:p>
    <w:p w14:paraId="58F0D37C" w14:textId="77777777" w:rsidR="000E48CE" w:rsidRDefault="00FF4C4E">
      <w:pPr>
        <w:pStyle w:val="P68B1DB1-Normal4"/>
        <w:spacing w:before="120" w:after="120" w:line="240" w:lineRule="auto"/>
        <w:jc w:val="both"/>
        <w:rPr>
          <w:rFonts w:cs="Times New Roman"/>
          <w:noProof/>
        </w:rPr>
      </w:pPr>
      <w:r>
        <w:rPr>
          <w:noProof/>
        </w:rPr>
        <w:t>Vastaanottopolitiikka on räätälöitävä haavoittuvassa asemassa olevien henkilöiden ja turvapaikanhakijoiden tarpeisiin ja EU:n kotouttamistavoitteisiin, jotta koko</w:t>
      </w:r>
      <w:r>
        <w:rPr>
          <w:noProof/>
        </w:rPr>
        <w:t xml:space="preserve"> järjestelmästä tulee kestävämpi, ja siinä on myös vahvistettava sellaisten hakijoiden, joilla ei ole taloudellisia resursseja, ja heikommassa asemassa oleville hakijoille, jotka tarvitsevat tehostettua suojelua, etujen taso, jotta voidaan minimoida vastaa</w:t>
      </w:r>
      <w:r>
        <w:rPr>
          <w:noProof/>
        </w:rPr>
        <w:t>notto-olosuhteiden tarjoaminen taloudellisten etujen muodossa. Lisäksi liitännäispalveluja ja -reittejä koskevaa järjestelmää on mukautettava. Siinä käsitellään vastaanottojärjestelmän järjestämistä alueellisesta näkökulmasta, jonka tavoitteena on nopeutta</w:t>
      </w:r>
      <w:r>
        <w:rPr>
          <w:noProof/>
        </w:rPr>
        <w:t xml:space="preserve">a oikeuskäytännön mukaista itsehallintoalueiden vallanottoa muutaman pilottihankkeen avulla. Lisäksi yhteistyöhön osallistuvien hakijoiden alueellista jakautumista koskevista parametreista sovitaan itsehallintoalueiden kanssa. </w:t>
      </w:r>
    </w:p>
    <w:p w14:paraId="29EE27F2" w14:textId="77777777" w:rsidR="000E48CE" w:rsidRDefault="00FF4C4E">
      <w:pPr>
        <w:pStyle w:val="P68B1DB1-Normal8"/>
        <w:spacing w:before="120" w:after="120" w:line="240" w:lineRule="auto"/>
        <w:jc w:val="both"/>
        <w:rPr>
          <w:rFonts w:cs="Times New Roman"/>
          <w:noProof/>
          <w:sz w:val="24"/>
        </w:rPr>
      </w:pPr>
      <w:r>
        <w:rPr>
          <w:noProof/>
          <w:sz w:val="24"/>
        </w:rPr>
        <w:t>Täytäntöönpanon varmistamise</w:t>
      </w:r>
      <w:r>
        <w:rPr>
          <w:noProof/>
          <w:sz w:val="24"/>
        </w:rPr>
        <w:t>ksi painotetussa kaavassa on käytettävä indikaattorijärjestelmää, joka sisältää muun muassa kansalaisuuden, sukupuolen, etnisen alkuperän, haavoittuvuuden ja alkuperämaan olosuhteiden kaltaisia tekijöitä, joiden avulla suojelun saamisen todennäköisyys void</w:t>
      </w:r>
      <w:r>
        <w:rPr>
          <w:noProof/>
          <w:sz w:val="24"/>
        </w:rPr>
        <w:t>aan laskea objektiivisesti. Hakemusten käsittelyn aikana kaavan tulosten on mahdollistettava se, että vastaanotosta vastaavat viranomaiset</w:t>
      </w:r>
      <w:r>
        <w:rPr>
          <w:noProof/>
        </w:rPr>
        <w:t xml:space="preserve"> </w:t>
      </w:r>
      <w:r>
        <w:rPr>
          <w:noProof/>
          <w:sz w:val="24"/>
        </w:rPr>
        <w:t>ohjaavat hakijat perus- tai tehostetulle vastaanottoradalle. Tämä koskee myös vastaavia etuuksia. Tämä mahdollistaa p</w:t>
      </w:r>
      <w:r>
        <w:rPr>
          <w:noProof/>
          <w:sz w:val="24"/>
        </w:rPr>
        <w:t>erustason vastaanotto-olosuhteiden soveltamisen kaikkiin turvapaikanhakijoihin ja paremmat vastaanotto-olosuhteet henkilöille, joiden tunnustamisen todennäköisyys on suuri.</w:t>
      </w:r>
    </w:p>
    <w:p w14:paraId="307F37F8"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31 päivänä maalisk</w:t>
      </w:r>
      <w:r>
        <w:rPr>
          <w:noProof/>
        </w:rPr>
        <w:t>uuta 2022.</w:t>
      </w:r>
    </w:p>
    <w:p w14:paraId="1B9302C2" w14:textId="77777777" w:rsidR="000E48CE" w:rsidRDefault="00FF4C4E">
      <w:pPr>
        <w:pStyle w:val="P68B1DB1-Normal6"/>
        <w:spacing w:before="120" w:after="120" w:line="240" w:lineRule="auto"/>
        <w:jc w:val="both"/>
        <w:rPr>
          <w:rFonts w:cs="Times New Roman"/>
          <w:noProof/>
        </w:rPr>
      </w:pPr>
      <w:r>
        <w:rPr>
          <w:noProof/>
          <w:shd w:val="clear" w:color="auto" w:fill="FFFFFF"/>
        </w:rPr>
        <w:t xml:space="preserve">Uudistus 5 (C22.R5) – </w:t>
      </w:r>
      <w:r>
        <w:rPr>
          <w:noProof/>
        </w:rPr>
        <w:t>Yleisen valtionhallinnon maksuihin perustumattomia taloudellisia etuuksia koskevan järjestelmän parantaminen</w:t>
      </w:r>
    </w:p>
    <w:p w14:paraId="71DD81E6" w14:textId="77777777" w:rsidR="000E48CE" w:rsidRDefault="00FF4C4E">
      <w:pPr>
        <w:pStyle w:val="P68B1DB1-Normal4"/>
        <w:spacing w:before="120" w:after="120" w:line="240" w:lineRule="auto"/>
        <w:jc w:val="both"/>
        <w:rPr>
          <w:rFonts w:cs="Times New Roman"/>
          <w:noProof/>
        </w:rPr>
      </w:pPr>
      <w:r>
        <w:rPr>
          <w:noProof/>
        </w:rPr>
        <w:t>Uudistukseen sisältyy uuden vähimmäistulojärjestelmän hyväksyminen toukokuussa 2020, yhden kansallisen järjestelmä</w:t>
      </w:r>
      <w:r>
        <w:rPr>
          <w:noProof/>
        </w:rPr>
        <w:t xml:space="preserve">n perustaminen maksuihin perustumattomia taloudellisia etuuksia varten sekä maksuihin perustumattomien taloudellisten etujen vähimmäistason asettaminen heikoimmassa asemassa oleville kotitalouksille. </w:t>
      </w:r>
    </w:p>
    <w:p w14:paraId="59CD41F3" w14:textId="77777777" w:rsidR="000E48CE" w:rsidRDefault="00FF4C4E">
      <w:pPr>
        <w:pStyle w:val="P68B1DB1-Normal4"/>
        <w:spacing w:before="120" w:after="120" w:line="240" w:lineRule="auto"/>
        <w:jc w:val="both"/>
        <w:rPr>
          <w:rFonts w:cs="Times New Roman"/>
          <w:noProof/>
        </w:rPr>
      </w:pPr>
      <w:r>
        <w:rPr>
          <w:noProof/>
        </w:rPr>
        <w:t>MVI-järjestelmän lähtökohtana on oltava suunnitelma val</w:t>
      </w:r>
      <w:r>
        <w:rPr>
          <w:noProof/>
        </w:rPr>
        <w:t>tionhallinnon maksuihin perustumattomia taloudellisia etuuksia koskevan järjestelmän uudelleenorganisoimiseksi ja yksinkertaistamiseksi. Suunnitelman tavoitteena on integroida ja järkeistää maksuihin perustumattomat etuudet MVI-järjestelmän pohjalta, jotta</w:t>
      </w:r>
      <w:r>
        <w:rPr>
          <w:noProof/>
        </w:rPr>
        <w:t xml:space="preserve"> voidaan parantaa julkisten varojen vaikuttavuutta ja tehokkuutta ja keskittää ne haavoittuvassa asemassa oleviin ja köyhyys- tai syrjäytymisvaarassa oleviin ihmisiin. Painopisteenä on oltava asianmukaisen kattavuuden varmistaminen haavoittuvuuteen johtavi</w:t>
      </w:r>
      <w:r>
        <w:rPr>
          <w:noProof/>
        </w:rPr>
        <w:t>sta olosuhteista riippuen ja riittävän toimeentulotuen varmistaminen, millä edistetään köyhyyden vähentämistä. Tätä varten siinä otetaan huomioon kotitalouksien, erityisesti lapsiperheiden ja vammaisten henkilöiden, rakenteelliset tarpeet. Lisäksi siinä yh</w:t>
      </w:r>
      <w:r>
        <w:rPr>
          <w:noProof/>
        </w:rPr>
        <w:t xml:space="preserve">distetään tulotuki aktiiviseen työnhakuun, jotta voidaan edistää sosioekonomista integroitumista ja välttää köyhyysloukkuja. </w:t>
      </w:r>
    </w:p>
    <w:p w14:paraId="3267E89C" w14:textId="7777777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31 päivänä joulukuuta 2023.</w:t>
      </w:r>
    </w:p>
    <w:p w14:paraId="397AD07F" w14:textId="77777777" w:rsidR="000E48CE" w:rsidRDefault="00FF4C4E">
      <w:pPr>
        <w:pStyle w:val="P68B1DB1-Normal4"/>
        <w:spacing w:before="120" w:after="120" w:line="240" w:lineRule="auto"/>
        <w:jc w:val="both"/>
        <w:rPr>
          <w:rFonts w:cs="Times New Roman"/>
          <w:noProof/>
          <w:u w:val="single"/>
        </w:rPr>
      </w:pPr>
      <w:r>
        <w:rPr>
          <w:noProof/>
          <w:u w:val="single"/>
        </w:rPr>
        <w:t xml:space="preserve">Sijoitus 1 </w:t>
      </w:r>
      <w:r>
        <w:rPr>
          <w:noProof/>
          <w:u w:val="single"/>
          <w:shd w:val="clear" w:color="auto" w:fill="FFFFFF"/>
        </w:rPr>
        <w:t>(C22.I1)</w:t>
      </w:r>
      <w:r>
        <w:rPr>
          <w:noProof/>
          <w:u w:val="single"/>
        </w:rPr>
        <w:t>: Pitkäaikaishoito</w:t>
      </w:r>
      <w:r>
        <w:rPr>
          <w:noProof/>
          <w:u w:val="single"/>
        </w:rPr>
        <w:t>- ja tukisuunnitelma: laitoshoidosta luopuminen, laitteet ja teknologia</w:t>
      </w:r>
      <w:r>
        <w:rPr>
          <w:noProof/>
        </w:rPr>
        <w:t xml:space="preserve"> </w:t>
      </w:r>
    </w:p>
    <w:p w14:paraId="379D6577" w14:textId="77777777" w:rsidR="000E48CE" w:rsidRDefault="00FF4C4E">
      <w:pPr>
        <w:pStyle w:val="P68B1DB1-Normal4"/>
        <w:spacing w:before="120" w:after="120" w:line="240" w:lineRule="auto"/>
        <w:jc w:val="both"/>
        <w:rPr>
          <w:rFonts w:cs="Times New Roman"/>
          <w:noProof/>
        </w:rPr>
      </w:pPr>
      <w:r>
        <w:rPr>
          <w:noProof/>
        </w:rPr>
        <w:t xml:space="preserve">Tämän osa-alueen uudistuksen 1 mukaisesti Espanjan on investoitava kuuteen toiminta-alaan. </w:t>
      </w:r>
    </w:p>
    <w:p w14:paraId="2C4A4B17" w14:textId="77777777" w:rsidR="000E48CE" w:rsidRDefault="00FF4C4E">
      <w:pPr>
        <w:pStyle w:val="P68B1DB1-Normal4"/>
        <w:numPr>
          <w:ilvl w:val="0"/>
          <w:numId w:val="141"/>
        </w:numPr>
        <w:spacing w:before="120" w:after="160" w:line="240" w:lineRule="auto"/>
        <w:contextualSpacing/>
        <w:jc w:val="both"/>
        <w:rPr>
          <w:rFonts w:cs="Times New Roman"/>
          <w:noProof/>
        </w:rPr>
      </w:pPr>
      <w:r>
        <w:rPr>
          <w:noProof/>
        </w:rPr>
        <w:t>Pitkän aikavälin tukisuunnitelmassa, jossa analysoidaan hoitopolitiikan nykytilannetta ja p</w:t>
      </w:r>
      <w:r>
        <w:rPr>
          <w:noProof/>
        </w:rPr>
        <w:t xml:space="preserve">yritään yksilöimään parannustarpeet ja tekemään ehdotus henkilökohtaisesta itsemääräämisoikeudesta ja huollettavana olevien henkilöiden hoidosta annetun nykyisen lain uudistamisesta. Se arvioi myös tilannetta ja käynnissä olevia hankkeita eri alueilla; </w:t>
      </w:r>
    </w:p>
    <w:p w14:paraId="392F886C" w14:textId="77777777" w:rsidR="000E48CE" w:rsidRDefault="00FF4C4E">
      <w:pPr>
        <w:pStyle w:val="P68B1DB1-Normal4"/>
        <w:numPr>
          <w:ilvl w:val="0"/>
          <w:numId w:val="141"/>
        </w:numPr>
        <w:spacing w:before="120" w:after="160" w:line="240" w:lineRule="auto"/>
        <w:contextualSpacing/>
        <w:jc w:val="both"/>
        <w:rPr>
          <w:rFonts w:cs="Times New Roman"/>
          <w:noProof/>
        </w:rPr>
      </w:pPr>
      <w:r>
        <w:rPr>
          <w:noProof/>
        </w:rPr>
        <w:t>La</w:t>
      </w:r>
      <w:r>
        <w:rPr>
          <w:noProof/>
        </w:rPr>
        <w:t xml:space="preserve">itoshoidosta luopumista koskeva kansallinen strategia, mukaan lukien tiedotus- ja levittämiskampanjoiden toteuttaminen; </w:t>
      </w:r>
    </w:p>
    <w:p w14:paraId="6F91739E" w14:textId="77777777" w:rsidR="000E48CE" w:rsidRDefault="00FF4C4E">
      <w:pPr>
        <w:pStyle w:val="P68B1DB1-Normal8"/>
        <w:numPr>
          <w:ilvl w:val="0"/>
          <w:numId w:val="141"/>
        </w:numPr>
        <w:spacing w:before="120" w:after="160" w:line="240" w:lineRule="auto"/>
        <w:contextualSpacing/>
        <w:jc w:val="both"/>
        <w:rPr>
          <w:rFonts w:cs="Times New Roman"/>
          <w:noProof/>
          <w:sz w:val="24"/>
        </w:rPr>
      </w:pPr>
      <w:r>
        <w:rPr>
          <w:noProof/>
          <w:sz w:val="24"/>
        </w:rPr>
        <w:t xml:space="preserve">Neljä pilottihanketta, joilla pyritään edistämään laitoshoidosta luopumista ja ottamaan oppia tuen ja pitkäaikaishoidon muuttamiseksi, </w:t>
      </w:r>
      <w:r>
        <w:rPr>
          <w:noProof/>
          <w:sz w:val="24"/>
        </w:rPr>
        <w:t>mukaan lukien kehitysvammaisten henkilöiden tukeminen ja pitkäaikaishoito;</w:t>
      </w:r>
      <w:r>
        <w:rPr>
          <w:noProof/>
        </w:rPr>
        <w:t xml:space="preserve"> </w:t>
      </w:r>
    </w:p>
    <w:p w14:paraId="3A0D732E" w14:textId="77777777" w:rsidR="000E48CE" w:rsidRDefault="00FF4C4E">
      <w:pPr>
        <w:pStyle w:val="P68B1DB1-Normal4"/>
        <w:numPr>
          <w:ilvl w:val="0"/>
          <w:numId w:val="141"/>
        </w:numPr>
        <w:spacing w:before="120" w:after="160" w:line="240" w:lineRule="auto"/>
        <w:contextualSpacing/>
        <w:jc w:val="both"/>
        <w:rPr>
          <w:rFonts w:cs="Times New Roman"/>
          <w:noProof/>
        </w:rPr>
      </w:pPr>
      <w:r>
        <w:rPr>
          <w:noProof/>
        </w:rPr>
        <w:t>Asuin-, muiden kuin asuin- ja päivähoitokeskusten rakentaminen ja kunnostaminen sekä investointivälineet hoitopalvelujen laadun parantamiseksi. Autonomisten alueiden on toteutettav</w:t>
      </w:r>
      <w:r>
        <w:rPr>
          <w:noProof/>
        </w:rPr>
        <w:t>a nämä investointihankkeet alueellisten tarpeiden arvioinnin perusteella; ja varmistetaan, että uudet ja kunnostetut asuintilat ovat vammaisten henkilöiden oikeuksia koskevan YK:n yleissopimuksen mukaisia.</w:t>
      </w:r>
    </w:p>
    <w:p w14:paraId="31086C13" w14:textId="5332CBC9" w:rsidR="000E48CE" w:rsidRDefault="00FF4C4E">
      <w:pPr>
        <w:pStyle w:val="P68B1DB1-Normal4"/>
        <w:numPr>
          <w:ilvl w:val="0"/>
          <w:numId w:val="141"/>
        </w:numPr>
        <w:spacing w:before="120" w:after="160" w:line="240" w:lineRule="auto"/>
        <w:contextualSpacing/>
        <w:jc w:val="both"/>
        <w:rPr>
          <w:rFonts w:cs="Times New Roman"/>
          <w:noProof/>
        </w:rPr>
      </w:pPr>
      <w:r>
        <w:rPr>
          <w:noProof/>
        </w:rPr>
        <w:t>IMSERSOn (Instituto de Mayores y Servicios Social,</w:t>
      </w:r>
      <w:r>
        <w:rPr>
          <w:i/>
          <w:noProof/>
        </w:rPr>
        <w:t>Instituto de Mayores y Servicios Social</w:t>
      </w:r>
      <w:r>
        <w:rPr>
          <w:noProof/>
        </w:rPr>
        <w:t xml:space="preserve">, alaisuudessa toimiva sosiaaliministeriö, myös maaseutualueilla) uudistus. Yksitoista laitosta on uudistettava ja mukautettava uuteen pitkäaikaishoitomalliin, </w:t>
      </w:r>
      <w:bookmarkStart w:id="56" w:name="_Hlk141885579"/>
      <w:r>
        <w:rPr>
          <w:noProof/>
        </w:rPr>
        <w:t>jossa keskitytään fyysisesti vammaisiin henkilöihin ja jo</w:t>
      </w:r>
      <w:r>
        <w:rPr>
          <w:noProof/>
        </w:rPr>
        <w:t>ka vastaa 1100 paikkaa. Investoinnit on kohdennettava myös innovatiivisiin hankkeisiin samoissa keskuksissa; ja</w:t>
      </w:r>
    </w:p>
    <w:p w14:paraId="2B26EFDE" w14:textId="2E94BF3B" w:rsidR="000E48CE" w:rsidRDefault="00FF4C4E">
      <w:pPr>
        <w:pStyle w:val="P68B1DB1-Normal4"/>
        <w:numPr>
          <w:ilvl w:val="0"/>
          <w:numId w:val="141"/>
        </w:numPr>
        <w:shd w:val="clear" w:color="auto" w:fill="FFFFFF" w:themeFill="background1"/>
        <w:spacing w:before="120" w:after="120" w:line="240" w:lineRule="auto"/>
        <w:ind w:left="714" w:hanging="357"/>
        <w:jc w:val="both"/>
        <w:rPr>
          <w:rFonts w:cs="Times New Roman"/>
          <w:noProof/>
        </w:rPr>
      </w:pPr>
      <w:r>
        <w:rPr>
          <w:noProof/>
        </w:rPr>
        <w:t>Uudet etähoitopalvelut, joilla siirrytään ennakoivaan ja yksilölliseen hoitoon, joka edistää hoivaa tarvitsevien henkilöiden henkilökohtaista it</w:t>
      </w:r>
      <w:r>
        <w:rPr>
          <w:noProof/>
        </w:rPr>
        <w:t>senäisyyttä ja ylläpitoa kodeissaan</w:t>
      </w:r>
      <w:r>
        <w:rPr>
          <w:noProof/>
          <w:shd w:val="clear" w:color="auto" w:fill="E6E6E6"/>
        </w:rPr>
        <w:t>.</w:t>
      </w:r>
    </w:p>
    <w:p w14:paraId="0FCCDEC2" w14:textId="05B34300" w:rsidR="000E48CE" w:rsidRDefault="00FF4C4E">
      <w:pPr>
        <w:pStyle w:val="P68B1DB1-Normal22"/>
        <w:keepNext/>
        <w:tabs>
          <w:tab w:val="left" w:pos="709"/>
        </w:tabs>
        <w:spacing w:before="120" w:after="120" w:line="240" w:lineRule="auto"/>
        <w:jc w:val="both"/>
        <w:rPr>
          <w:rFonts w:cs="Times New Roman"/>
          <w:noProof/>
          <w:u w:val="single"/>
        </w:rPr>
      </w:pPr>
      <w:r>
        <w:rPr>
          <w:noProof/>
        </w:rPr>
        <w:t>Toimenpiteen täytäntöönpano on määrä saattaa päätökseen 30. kesäkuuta 2026 mennessä.</w:t>
      </w:r>
    </w:p>
    <w:bookmarkEnd w:id="56"/>
    <w:p w14:paraId="418A7A6A" w14:textId="77777777" w:rsidR="000E48CE" w:rsidRDefault="00FF4C4E">
      <w:pPr>
        <w:pStyle w:val="P68B1DB1-Normal4"/>
        <w:keepNext/>
        <w:tabs>
          <w:tab w:val="left" w:pos="709"/>
        </w:tabs>
        <w:spacing w:before="120" w:after="120" w:line="240" w:lineRule="auto"/>
        <w:jc w:val="both"/>
        <w:rPr>
          <w:rFonts w:cs="Times New Roman"/>
          <w:noProof/>
          <w:u w:val="single"/>
        </w:rPr>
      </w:pPr>
      <w:r>
        <w:rPr>
          <w:noProof/>
          <w:u w:val="single"/>
        </w:rPr>
        <w:t xml:space="preserve">Sijoitus 2 </w:t>
      </w:r>
      <w:r>
        <w:rPr>
          <w:noProof/>
          <w:u w:val="single"/>
          <w:shd w:val="clear" w:color="auto" w:fill="FFFFFF"/>
        </w:rPr>
        <w:t>(C22.I2)</w:t>
      </w:r>
      <w:r>
        <w:rPr>
          <w:noProof/>
          <w:u w:val="single"/>
        </w:rPr>
        <w:t xml:space="preserve">: Sosiaalipalvelujen nykyaikaistamissuunnitelma – Teknologinen muutos, innovointi, koulutus ja lastenhoidon </w:t>
      </w:r>
      <w:r>
        <w:rPr>
          <w:noProof/>
          <w:u w:val="single"/>
        </w:rPr>
        <w:t>vahvistaminen</w:t>
      </w:r>
      <w:r>
        <w:rPr>
          <w:noProof/>
        </w:rPr>
        <w:t xml:space="preserve"> </w:t>
      </w:r>
    </w:p>
    <w:p w14:paraId="78870859" w14:textId="77777777" w:rsidR="000E48CE" w:rsidRDefault="00FF4C4E">
      <w:pPr>
        <w:pStyle w:val="P68B1DB1-Normal4"/>
        <w:keepNext/>
        <w:spacing w:before="120" w:after="120" w:line="240" w:lineRule="auto"/>
        <w:jc w:val="both"/>
        <w:rPr>
          <w:rFonts w:cs="Times New Roman"/>
          <w:noProof/>
        </w:rPr>
      </w:pPr>
      <w:r>
        <w:rPr>
          <w:noProof/>
        </w:rPr>
        <w:t xml:space="preserve">Tämän osa-alueen uudistuksen 2 mukaisesti Espanjan on investoitava viiteen toiminta-alaan. </w:t>
      </w:r>
    </w:p>
    <w:p w14:paraId="6F584859" w14:textId="77777777" w:rsidR="000E48CE" w:rsidRDefault="00FF4C4E">
      <w:pPr>
        <w:pStyle w:val="P68B1DB1-Normal4"/>
        <w:keepNext/>
        <w:numPr>
          <w:ilvl w:val="0"/>
          <w:numId w:val="142"/>
        </w:numPr>
        <w:spacing w:before="120" w:after="160" w:line="240" w:lineRule="auto"/>
        <w:contextualSpacing/>
        <w:jc w:val="both"/>
        <w:rPr>
          <w:rFonts w:cs="Times New Roman"/>
          <w:noProof/>
        </w:rPr>
      </w:pPr>
      <w:r>
        <w:rPr>
          <w:noProof/>
        </w:rPr>
        <w:t>Uudet teknologiat, joilla parannetaan sekä sosiaalipalvelujen tehokkuutta (lyhyemmät odotusajat) että niiden laatua (sosiaalisten toimenpiteiden pare</w:t>
      </w:r>
      <w:r>
        <w:rPr>
          <w:noProof/>
        </w:rPr>
        <w:t xml:space="preserve">mpi tulos), mukaan lukien integroidun hoidon edistäminen. </w:t>
      </w:r>
    </w:p>
    <w:p w14:paraId="28DC6EA7" w14:textId="77777777" w:rsidR="000E48CE" w:rsidRDefault="00FF4C4E">
      <w:pPr>
        <w:pStyle w:val="P68B1DB1-Normal4"/>
        <w:numPr>
          <w:ilvl w:val="0"/>
          <w:numId w:val="142"/>
        </w:numPr>
        <w:spacing w:before="120" w:after="160" w:line="240" w:lineRule="auto"/>
        <w:contextualSpacing/>
        <w:jc w:val="both"/>
        <w:rPr>
          <w:rFonts w:cs="Times New Roman"/>
          <w:noProof/>
        </w:rPr>
      </w:pPr>
      <w:r>
        <w:rPr>
          <w:noProof/>
        </w:rPr>
        <w:t>Tekniset välineet sosiaalipalvelujen hallinto- ja tietojärjestelmien parantamiseksi, mukaan lukien verkkoalusta kansallisten ja alueellisten hallintojen käytettävissä olevien tietojen keskittämisek</w:t>
      </w:r>
      <w:r>
        <w:rPr>
          <w:noProof/>
        </w:rPr>
        <w:t>si. Tähän sisältyy erityisesti Espanjan sosiaalipalvelujen tietojärjestelmän (Siess) täysimääräinen täytäntöönpano.  Tämän uuden tietojärjestelmän odotetaan mahdollistavan myös yhteentoimivuuden muiden järjestelmien (työllisyys, terveys, kolmas sektori) ka</w:t>
      </w:r>
      <w:r>
        <w:rPr>
          <w:noProof/>
        </w:rPr>
        <w:t>nssa. Se sisältää myös verkkotyökalun, jonka avulla voidaan analysoida kolmannen sektorin organisaatioiden kehittämiä hankkeita, hallinnoida erilaisia talousarvioohjelmia, jotka liittyvät sosiaalipalveluihin ja perheiden, lasten ja tiettyjen haavoittuvassa</w:t>
      </w:r>
      <w:r>
        <w:rPr>
          <w:noProof/>
        </w:rPr>
        <w:t xml:space="preserve"> asemassa olevien ryhmien hoitoon, sekä verkkoalusta, jolla keskitetään valtionhallinnon ja itsehallintoalueiden saatavilla olevaa tietoa hoidosta.</w:t>
      </w:r>
    </w:p>
    <w:p w14:paraId="2B8DBAEF" w14:textId="77777777" w:rsidR="000E48CE" w:rsidRDefault="00FF4C4E">
      <w:pPr>
        <w:pStyle w:val="P68B1DB1-Normal4"/>
        <w:numPr>
          <w:ilvl w:val="0"/>
          <w:numId w:val="142"/>
        </w:numPr>
        <w:spacing w:before="120" w:after="160" w:line="240" w:lineRule="auto"/>
        <w:contextualSpacing/>
        <w:jc w:val="both"/>
        <w:rPr>
          <w:rFonts w:cs="Times New Roman"/>
          <w:noProof/>
        </w:rPr>
      </w:pPr>
      <w:r>
        <w:rPr>
          <w:noProof/>
        </w:rPr>
        <w:t xml:space="preserve">Pilottihankkeet sosiaalipalveluihin liittyvän innovoinnin edistämiseksi. </w:t>
      </w:r>
    </w:p>
    <w:p w14:paraId="77493A7D" w14:textId="77777777" w:rsidR="000E48CE" w:rsidRDefault="00FF4C4E">
      <w:pPr>
        <w:pStyle w:val="P68B1DB1-Normal4"/>
        <w:numPr>
          <w:ilvl w:val="0"/>
          <w:numId w:val="142"/>
        </w:numPr>
        <w:spacing w:before="120" w:after="160" w:line="240" w:lineRule="auto"/>
        <w:contextualSpacing/>
        <w:jc w:val="both"/>
        <w:rPr>
          <w:rFonts w:cs="Times New Roman"/>
          <w:noProof/>
        </w:rPr>
      </w:pPr>
      <w:r>
        <w:rPr>
          <w:noProof/>
        </w:rPr>
        <w:t>Uuden pitkäaikaishoidon mallin täy</w:t>
      </w:r>
      <w:r>
        <w:rPr>
          <w:noProof/>
        </w:rPr>
        <w:t>täntöönpanoon ja tukemiseen osallistuvan julkisten sosiaalipalvelujen henkilöstön kouluttaminen</w:t>
      </w:r>
      <w:r>
        <w:rPr>
          <w:noProof/>
          <w:shd w:val="clear" w:color="auto" w:fill="E6E6E6"/>
        </w:rPr>
        <w:t>.</w:t>
      </w:r>
    </w:p>
    <w:p w14:paraId="4F55BB2E" w14:textId="77777777" w:rsidR="000E48CE" w:rsidRDefault="00FF4C4E">
      <w:pPr>
        <w:pStyle w:val="P68B1DB1-Normal4"/>
        <w:numPr>
          <w:ilvl w:val="0"/>
          <w:numId w:val="142"/>
        </w:numPr>
        <w:spacing w:before="120" w:after="160" w:line="240" w:lineRule="auto"/>
        <w:contextualSpacing/>
        <w:jc w:val="both"/>
        <w:rPr>
          <w:rFonts w:cs="Times New Roman"/>
          <w:noProof/>
        </w:rPr>
      </w:pPr>
      <w:r>
        <w:rPr>
          <w:noProof/>
        </w:rPr>
        <w:t>Parannetaan asuntoinfrastruktuuria ja muita lastenhoidon ja nuorten hoitokeskusten näkökohtia ja vastataan paremmin emotionaalisiin, henkilökohtaisiin ja koulu</w:t>
      </w:r>
      <w:r>
        <w:rPr>
          <w:noProof/>
        </w:rPr>
        <w:t xml:space="preserve">tuksellisiin/ammatillisiin tarpeisiin. </w:t>
      </w:r>
    </w:p>
    <w:p w14:paraId="26FAB199" w14:textId="77777777" w:rsidR="000E48CE" w:rsidRDefault="00FF4C4E">
      <w:pPr>
        <w:pStyle w:val="P68B1DB1-Normal4"/>
        <w:spacing w:before="120" w:after="120" w:line="240" w:lineRule="auto"/>
        <w:jc w:val="both"/>
        <w:rPr>
          <w:rFonts w:cs="Times New Roman"/>
          <w:noProof/>
        </w:rPr>
      </w:pPr>
      <w:r>
        <w:rPr>
          <w:noProof/>
        </w:rPr>
        <w:t xml:space="preserve">Suurin osa investoinneista koostuu aluehallinnon toteuttamista hankkeista, jotka koskevat sosiaalipalvelujen teknologista muutosta sekä asuin- ja sijaisperheisiin liittyvien infrastruktuurien ja palvelujen nykyaikaistamista.  </w:t>
      </w:r>
    </w:p>
    <w:p w14:paraId="7A7C04E8" w14:textId="33506554" w:rsidR="000E48CE" w:rsidRDefault="00FF4C4E">
      <w:pPr>
        <w:pStyle w:val="P68B1DB1-Normal22"/>
        <w:spacing w:before="120" w:after="120" w:line="240" w:lineRule="auto"/>
        <w:jc w:val="both"/>
        <w:rPr>
          <w:rFonts w:cs="Times New Roman"/>
          <w:noProof/>
        </w:rPr>
      </w:pPr>
      <w:r>
        <w:rPr>
          <w:noProof/>
        </w:rPr>
        <w:t>Toimenpiteen täytäntöönpano o</w:t>
      </w:r>
      <w:r>
        <w:rPr>
          <w:noProof/>
        </w:rPr>
        <w:t>n määrä saattaa päätökseen 31. joulukuuta 2025 mennessä.</w:t>
      </w:r>
    </w:p>
    <w:p w14:paraId="02D53FAE" w14:textId="77777777" w:rsidR="000E48CE" w:rsidRDefault="00FF4C4E">
      <w:pPr>
        <w:pStyle w:val="P68B1DB1-Normal6"/>
        <w:spacing w:before="120" w:after="120" w:line="240" w:lineRule="auto"/>
        <w:jc w:val="both"/>
        <w:rPr>
          <w:rFonts w:cs="Times New Roman"/>
          <w:noProof/>
        </w:rPr>
      </w:pPr>
      <w:r>
        <w:rPr>
          <w:noProof/>
        </w:rPr>
        <w:t xml:space="preserve">Sijoitus 3 </w:t>
      </w:r>
      <w:r>
        <w:rPr>
          <w:noProof/>
          <w:shd w:val="clear" w:color="auto" w:fill="FFFFFF"/>
        </w:rPr>
        <w:t>(C22.I3)</w:t>
      </w:r>
      <w:r>
        <w:rPr>
          <w:noProof/>
        </w:rPr>
        <w:t xml:space="preserve">: Espanja Esteetön maasuunnitelma </w:t>
      </w:r>
    </w:p>
    <w:p w14:paraId="49F8B261" w14:textId="77777777" w:rsidR="000E48CE" w:rsidRDefault="00FF4C4E">
      <w:pPr>
        <w:pStyle w:val="P68B1DB1-Normal4"/>
        <w:spacing w:before="120" w:after="120" w:line="240" w:lineRule="auto"/>
        <w:jc w:val="both"/>
        <w:rPr>
          <w:rFonts w:cs="Times New Roman"/>
          <w:noProof/>
        </w:rPr>
      </w:pPr>
      <w:r>
        <w:rPr>
          <w:noProof/>
        </w:rPr>
        <w:t>Espanjan on investoitava vammaisten henkilöiden julkisten palvelujen saatavuuden parantamiseen keskittyen kognitiivisten saavutettavuuden paranta</w:t>
      </w:r>
      <w:r>
        <w:rPr>
          <w:noProof/>
        </w:rPr>
        <w:t>miseen viestinnässä viranomaisten kanssa (verkkosivustot mukaan lukien) sekä fyysistä pääsyä julkisiin rakennuksiin ja julkisiin tiloihin; terveyspalvelujen fyysisten tilojen sopivuus; koulutuskeskusten saavutettavuus; sekä julkisen liikenteen majoitus, mu</w:t>
      </w:r>
      <w:r>
        <w:rPr>
          <w:noProof/>
        </w:rPr>
        <w:t>kaan lukien kaupunki- ja maaseutualueiden väliset yhteydet. Kunnille on annettava taloudellista tukea töiden toteuttamiseen ja laitteiden hankintaan erityisesti maaseutualueilla. Investointeja on kohdennettava myös viestintä- ja valistuskampanjoihin sekä t</w:t>
      </w:r>
      <w:r>
        <w:rPr>
          <w:noProof/>
        </w:rPr>
        <w:t>utkimus-, kehitys- ja innovointihankkeisiin kognitiivisen saavutettavuuden alalla.</w:t>
      </w:r>
    </w:p>
    <w:p w14:paraId="64E0079C" w14:textId="2E4C1A17" w:rsidR="000E48CE" w:rsidRDefault="00FF4C4E">
      <w:pPr>
        <w:pStyle w:val="P68B1DB1-Normal22"/>
        <w:spacing w:before="120" w:after="120" w:line="240" w:lineRule="auto"/>
        <w:jc w:val="both"/>
        <w:rPr>
          <w:rFonts w:cs="Times New Roman"/>
          <w:noProof/>
        </w:rPr>
      </w:pPr>
      <w:r>
        <w:rPr>
          <w:noProof/>
        </w:rPr>
        <w:t>Toimenpiteen täytäntöönpano on saatettava päätökseen viimeistään 31 päivänä maaliskuuta 2024.</w:t>
      </w:r>
    </w:p>
    <w:p w14:paraId="2AB0DBDB" w14:textId="77777777" w:rsidR="000E48CE" w:rsidRDefault="00FF4C4E">
      <w:pPr>
        <w:pStyle w:val="P68B1DB1-Normal4"/>
        <w:spacing w:before="120" w:after="120" w:line="240" w:lineRule="auto"/>
        <w:jc w:val="both"/>
        <w:rPr>
          <w:rFonts w:cs="Times New Roman"/>
          <w:noProof/>
          <w:u w:val="single"/>
        </w:rPr>
      </w:pPr>
      <w:r>
        <w:rPr>
          <w:noProof/>
          <w:u w:val="single"/>
        </w:rPr>
        <w:t xml:space="preserve">Investointi 4 </w:t>
      </w:r>
      <w:r>
        <w:rPr>
          <w:noProof/>
          <w:u w:val="single"/>
          <w:shd w:val="clear" w:color="auto" w:fill="FFFFFF"/>
        </w:rPr>
        <w:t>(C22.I4)</w:t>
      </w:r>
      <w:r>
        <w:rPr>
          <w:noProof/>
          <w:u w:val="single"/>
        </w:rPr>
        <w:t>: Suunnittele Espanja suojelee sinua sukupuoleen perustuv</w:t>
      </w:r>
      <w:r>
        <w:rPr>
          <w:noProof/>
          <w:u w:val="single"/>
        </w:rPr>
        <w:t>alta väkivallalta</w:t>
      </w:r>
      <w:r>
        <w:rPr>
          <w:noProof/>
        </w:rPr>
        <w:t xml:space="preserve"> </w:t>
      </w:r>
    </w:p>
    <w:p w14:paraId="5DEF3A9F" w14:textId="4571CCEE" w:rsidR="000E48CE" w:rsidRDefault="00FF4C4E">
      <w:pPr>
        <w:pStyle w:val="P68B1DB1-Normal4"/>
        <w:spacing w:before="120" w:after="120" w:line="240" w:lineRule="auto"/>
        <w:jc w:val="both"/>
        <w:rPr>
          <w:rFonts w:cs="Times New Roman"/>
          <w:noProof/>
        </w:rPr>
      </w:pPr>
      <w:r>
        <w:rPr>
          <w:noProof/>
        </w:rPr>
        <w:t>Espanjan on investoitava puhelin- ja verkkopalveluihin, joilla tuetaan naisiin kohdistuvan väkivallan uhreja, myös ihmiskaupan ja seksuaalisen hyväksikäytön uhreja. Siihen kuuluu ympärivuorokautisia kriisiapukeskuksia kaikissa maakunniss</w:t>
      </w:r>
      <w:r>
        <w:rPr>
          <w:noProof/>
        </w:rPr>
        <w:t>a, myös Ceutassa ja Melillassa, ottaen huomioon nimettömyyden varmistamiseen ja väestörakenteeseen liittyvät haasteet. Näiden keskusten perustaminen on osa Espanjan sitoutumista naisiin kohdistuvan väkivallan ja perheväkivallan ehkäisemistä ja torjumista k</w:t>
      </w:r>
      <w:r>
        <w:rPr>
          <w:noProof/>
        </w:rPr>
        <w:t xml:space="preserve">oskevaan Euroopan neuvoston yleissopimukseen, joka ratifioitiin Espanjan osalta vuonna 2014. Investoinnilla on myös </w:t>
      </w:r>
      <w:r>
        <w:rPr>
          <w:noProof/>
          <w:shd w:val="clear" w:color="auto" w:fill="FFFFFF"/>
        </w:rPr>
        <w:t>perustettava uusi sosiaali- ja työllisyysneuvontapalvelu, joka tarjoaa</w:t>
      </w:r>
      <w:r>
        <w:rPr>
          <w:noProof/>
        </w:rPr>
        <w:t xml:space="preserve"> erityyppisiä palveluja, kuten oikeudellista neuvontaa, psykologista j</w:t>
      </w:r>
      <w:r>
        <w:rPr>
          <w:noProof/>
        </w:rPr>
        <w:t xml:space="preserve">a emotionaalista tukea sekä </w:t>
      </w:r>
      <w:r>
        <w:rPr>
          <w:noProof/>
          <w:shd w:val="clear" w:color="auto" w:fill="FFFFFF"/>
        </w:rPr>
        <w:t>apua työmarkkinoille</w:t>
      </w:r>
      <w:r>
        <w:rPr>
          <w:noProof/>
        </w:rPr>
        <w:t xml:space="preserve"> integroitumisessa. Etäavustukseen kuuluu myös uhrien suojelu, mukaan lukien lähikontaktien välttämisen valvontalaitteet. </w:t>
      </w:r>
    </w:p>
    <w:p w14:paraId="3DA8D7D7" w14:textId="54B650C1" w:rsidR="000E48CE" w:rsidRDefault="00FF4C4E">
      <w:pPr>
        <w:pStyle w:val="P68B1DB1-Normal22"/>
        <w:spacing w:before="120" w:after="120" w:line="240" w:lineRule="auto"/>
        <w:jc w:val="both"/>
        <w:rPr>
          <w:rFonts w:cs="Times New Roman"/>
          <w:noProof/>
        </w:rPr>
      </w:pPr>
      <w:r>
        <w:rPr>
          <w:noProof/>
        </w:rPr>
        <w:t>Toimenpiteen täytäntöönpano on määrä saattaa päätökseen 31. joulukuuta 2025 mennessä.</w:t>
      </w:r>
    </w:p>
    <w:p w14:paraId="116D2ED2" w14:textId="77777777" w:rsidR="000E48CE" w:rsidRDefault="00FF4C4E">
      <w:pPr>
        <w:pStyle w:val="P68B1DB1-Normal4"/>
        <w:spacing w:before="120" w:after="120" w:line="240" w:lineRule="auto"/>
        <w:jc w:val="both"/>
        <w:rPr>
          <w:rFonts w:cs="Times New Roman"/>
          <w:noProof/>
        </w:rPr>
      </w:pPr>
      <w:r>
        <w:rPr>
          <w:noProof/>
          <w:u w:val="single"/>
        </w:rPr>
        <w:t xml:space="preserve">Sijoitus 5 </w:t>
      </w:r>
      <w:r>
        <w:rPr>
          <w:noProof/>
          <w:u w:val="single"/>
          <w:shd w:val="clear" w:color="auto" w:fill="FFFFFF"/>
        </w:rPr>
        <w:t>(C22.I5)</w:t>
      </w:r>
      <w:r>
        <w:rPr>
          <w:noProof/>
          <w:u w:val="single"/>
        </w:rPr>
        <w:t>: Muuttajien ja kansainvälistä suojelua hakevien henkilöiden vastaanottojärjestelmän kapasiteetin ja tehokkuuden lisääminen</w:t>
      </w:r>
      <w:r>
        <w:rPr>
          <w:noProof/>
        </w:rPr>
        <w:t xml:space="preserve"> </w:t>
      </w:r>
    </w:p>
    <w:p w14:paraId="24A9EE5B" w14:textId="77777777" w:rsidR="000E48CE" w:rsidRDefault="00FF4C4E">
      <w:pPr>
        <w:pStyle w:val="P68B1DB1-Normal4"/>
        <w:spacing w:before="120" w:after="120" w:line="240" w:lineRule="auto"/>
        <w:jc w:val="both"/>
        <w:rPr>
          <w:rFonts w:cs="Times New Roman"/>
          <w:noProof/>
        </w:rPr>
      </w:pPr>
      <w:r>
        <w:rPr>
          <w:noProof/>
        </w:rPr>
        <w:t>Espanjan on investoitava vastaanottojärjestelmän kapasiteetin lisäämiseen lisäämällä valtion suoraa osallistumi</w:t>
      </w:r>
      <w:r>
        <w:rPr>
          <w:noProof/>
        </w:rPr>
        <w:t>sta vastaanottoverkoston varoihin. Näin varmistetaan majoituksen ja tarjottujen vastaanottopalvelujen vakaus. Investointiin sisältyy järjestelmän tarpeiden arviointi seuraavien kolmen vuoden aikana, tuki olemassa olevien keskusten kunnostamiseen ja kunnost</w:t>
      </w:r>
      <w:r>
        <w:rPr>
          <w:noProof/>
        </w:rPr>
        <w:t>amiseen sekä hallinnollisiin menettelyihin, jotka liittyvät uusien rakennusten hankintaan, rakentamiseen ja olemassa olevien rakennusten mahdolliseen kunnostamiseen energiatehokkuuden varmistamiseksi. Espanjan on hyvien käytäntöjen arvioinnin perusteella m</w:t>
      </w:r>
      <w:r>
        <w:rPr>
          <w:noProof/>
        </w:rPr>
        <w:t>ääriteltävä myös vastaanottokeskusten hallinnointi kolmansien osapuolten toimesta. Investointi kattaa myös keskusten digitalisoinnin ja uuden digitaalisen arkkitehtuurin kehittämisen, jotta voidaan parantaa niiden hallinnointia ja helpottaa hakijoiden paik</w:t>
      </w:r>
      <w:r>
        <w:rPr>
          <w:noProof/>
        </w:rPr>
        <w:t xml:space="preserve">kojen jakamista itsehallintoalueiden välillä. </w:t>
      </w:r>
    </w:p>
    <w:p w14:paraId="2629D826" w14:textId="41C66B3A" w:rsidR="000E48CE" w:rsidRDefault="00FF4C4E">
      <w:pPr>
        <w:pStyle w:val="P68B1DB1-Normal22"/>
        <w:spacing w:before="120" w:after="120" w:line="240" w:lineRule="auto"/>
        <w:jc w:val="both"/>
        <w:rPr>
          <w:rFonts w:cs="Times New Roman"/>
          <w:noProof/>
        </w:rPr>
      </w:pPr>
      <w:r>
        <w:rPr>
          <w:noProof/>
        </w:rPr>
        <w:t>Toimenpiteen täytäntöönpano on määrä saattaa päätökseen 30. kesäkuuta 2026 mennessä.</w:t>
      </w:r>
    </w:p>
    <w:p w14:paraId="2E560166" w14:textId="77777777" w:rsidR="000E48CE" w:rsidRDefault="00FF4C4E">
      <w:pPr>
        <w:pStyle w:val="P68B1DB1-Normal5"/>
        <w:spacing w:before="120" w:after="120" w:line="240" w:lineRule="auto"/>
        <w:ind w:left="709"/>
        <w:jc w:val="both"/>
        <w:rPr>
          <w:rFonts w:cs="Times New Roman"/>
          <w:noProof/>
        </w:rPr>
      </w:pPr>
      <w:r>
        <w:rPr>
          <w:noProof/>
        </w:rPr>
        <w:t xml:space="preserve">V.2 </w:t>
      </w:r>
      <w:r>
        <w:rPr>
          <w:noProof/>
        </w:rPr>
        <w:tab/>
        <w:t>Seurantaa ja täytäntöönpanoa koskevat välitavoitteet, tavoitteet, indikaattorit ja aikataulu – rahoitustuki, jota ei ma</w:t>
      </w:r>
      <w:r>
        <w:rPr>
          <w:noProof/>
        </w:rPr>
        <w:t>kseta takaisin</w:t>
      </w:r>
    </w:p>
    <w:p w14:paraId="3480667E"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 on 1. helmikuuta 2020, ellei toimen kuvauksessa toisin ilmoiteta. Taulukossa esitetyt määrät eivät sisällä arvonlisäveroa.</w:t>
      </w:r>
    </w:p>
    <w:p w14:paraId="3CE8D1B5" w14:textId="77777777" w:rsidR="000E48CE" w:rsidRDefault="000E48CE">
      <w:pPr>
        <w:spacing w:before="120" w:after="120" w:line="240" w:lineRule="auto"/>
        <w:ind w:left="709"/>
        <w:jc w:val="both"/>
        <w:rPr>
          <w:rFonts w:ascii="Times New Roman" w:hAnsi="Times New Roman" w:cs="Times New Roman"/>
          <w:noProof/>
          <w:sz w:val="24"/>
        </w:rPr>
        <w:sectPr w:rsidR="000E48CE" w:rsidSect="00C94F66">
          <w:headerReference w:type="even" r:id="rId423"/>
          <w:headerReference w:type="default" r:id="rId424"/>
          <w:footerReference w:type="even" r:id="rId425"/>
          <w:footerReference w:type="default" r:id="rId426"/>
          <w:headerReference w:type="first" r:id="rId427"/>
          <w:footerReference w:type="first" r:id="rId428"/>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992"/>
        <w:gridCol w:w="3119"/>
        <w:gridCol w:w="992"/>
        <w:gridCol w:w="850"/>
        <w:gridCol w:w="851"/>
        <w:gridCol w:w="709"/>
        <w:gridCol w:w="567"/>
        <w:gridCol w:w="810"/>
        <w:gridCol w:w="4860"/>
      </w:tblGrid>
      <w:tr w:rsidR="000E48CE" w14:paraId="18B741AF" w14:textId="77777777">
        <w:trPr>
          <w:trHeight w:val="309"/>
          <w:tblHeader/>
        </w:trPr>
        <w:tc>
          <w:tcPr>
            <w:tcW w:w="709" w:type="dxa"/>
            <w:tcBorders>
              <w:bottom w:val="nil"/>
            </w:tcBorders>
            <w:shd w:val="clear" w:color="auto" w:fill="C6D9F1" w:themeFill="text2" w:themeFillTint="33"/>
            <w:noWrap/>
            <w:vAlign w:val="center"/>
          </w:tcPr>
          <w:p w14:paraId="4AC1CFBD" w14:textId="77777777" w:rsidR="000E48CE" w:rsidRDefault="00FF4C4E">
            <w:pPr>
              <w:pStyle w:val="P68B1DB1-Normal12"/>
              <w:spacing w:after="0" w:line="240" w:lineRule="auto"/>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084B6E57" w14:textId="77777777" w:rsidR="000E48CE" w:rsidRDefault="00FF4C4E">
            <w:pPr>
              <w:pStyle w:val="P68B1DB1-Normal12"/>
              <w:spacing w:after="0" w:line="240" w:lineRule="auto"/>
              <w:jc w:val="center"/>
              <w:rPr>
                <w:rFonts w:cs="Times New Roman"/>
                <w:noProof/>
              </w:rPr>
            </w:pPr>
            <w:r>
              <w:rPr>
                <w:noProof/>
              </w:rPr>
              <w:t>Toimenpide</w:t>
            </w:r>
          </w:p>
        </w:tc>
        <w:tc>
          <w:tcPr>
            <w:tcW w:w="992" w:type="dxa"/>
            <w:tcBorders>
              <w:bottom w:val="nil"/>
            </w:tcBorders>
            <w:shd w:val="clear" w:color="auto" w:fill="C6D9F1" w:themeFill="text2" w:themeFillTint="33"/>
            <w:noWrap/>
            <w:vAlign w:val="center"/>
          </w:tcPr>
          <w:p w14:paraId="50D4A991"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3119" w:type="dxa"/>
            <w:tcBorders>
              <w:bottom w:val="nil"/>
            </w:tcBorders>
            <w:shd w:val="clear" w:color="auto" w:fill="C6D9F1" w:themeFill="text2" w:themeFillTint="33"/>
            <w:noWrap/>
            <w:vAlign w:val="center"/>
          </w:tcPr>
          <w:p w14:paraId="0979EEBB" w14:textId="77777777" w:rsidR="000E48CE" w:rsidRDefault="00FF4C4E">
            <w:pPr>
              <w:pStyle w:val="P68B1DB1-Normal12"/>
              <w:spacing w:after="0" w:line="240" w:lineRule="auto"/>
              <w:jc w:val="center"/>
              <w:rPr>
                <w:rFonts w:cs="Times New Roman"/>
                <w:noProof/>
              </w:rPr>
            </w:pPr>
            <w:r>
              <w:rPr>
                <w:noProof/>
              </w:rPr>
              <w:t>Nimi</w:t>
            </w:r>
          </w:p>
        </w:tc>
        <w:tc>
          <w:tcPr>
            <w:tcW w:w="992" w:type="dxa"/>
            <w:tcBorders>
              <w:bottom w:val="nil"/>
            </w:tcBorders>
            <w:shd w:val="clear" w:color="auto" w:fill="C6D9F1" w:themeFill="text2" w:themeFillTint="33"/>
            <w:noWrap/>
            <w:vAlign w:val="center"/>
          </w:tcPr>
          <w:p w14:paraId="25C82140"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2410" w:type="dxa"/>
            <w:gridSpan w:val="3"/>
            <w:shd w:val="clear" w:color="auto" w:fill="C6D9F1" w:themeFill="text2" w:themeFillTint="33"/>
            <w:noWrap/>
            <w:vAlign w:val="center"/>
          </w:tcPr>
          <w:p w14:paraId="09B05943"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377" w:type="dxa"/>
            <w:gridSpan w:val="2"/>
            <w:shd w:val="clear" w:color="auto" w:fill="C6D9F1" w:themeFill="text2" w:themeFillTint="33"/>
            <w:noWrap/>
            <w:vAlign w:val="center"/>
          </w:tcPr>
          <w:p w14:paraId="4D5D1DFB" w14:textId="77777777" w:rsidR="000E48CE" w:rsidRDefault="00FF4C4E">
            <w:pPr>
              <w:pStyle w:val="P68B1DB1-Normal12"/>
              <w:spacing w:after="0" w:line="240" w:lineRule="auto"/>
              <w:jc w:val="center"/>
              <w:rPr>
                <w:rFonts w:cs="Times New Roman"/>
                <w:noProof/>
              </w:rPr>
            </w:pPr>
            <w:r>
              <w:rPr>
                <w:noProof/>
              </w:rPr>
              <w:t>Aika</w:t>
            </w:r>
          </w:p>
        </w:tc>
        <w:tc>
          <w:tcPr>
            <w:tcW w:w="4860" w:type="dxa"/>
            <w:tcBorders>
              <w:bottom w:val="nil"/>
            </w:tcBorders>
            <w:shd w:val="clear" w:color="auto" w:fill="C6D9F1" w:themeFill="text2" w:themeFillTint="33"/>
            <w:noWrap/>
            <w:vAlign w:val="center"/>
          </w:tcPr>
          <w:p w14:paraId="0853FA55"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10375DAF" w14:textId="77777777">
        <w:trPr>
          <w:trHeight w:val="309"/>
          <w:tblHeader/>
        </w:trPr>
        <w:tc>
          <w:tcPr>
            <w:tcW w:w="709" w:type="dxa"/>
            <w:tcBorders>
              <w:top w:val="nil"/>
            </w:tcBorders>
            <w:shd w:val="clear" w:color="auto" w:fill="C6D9F1" w:themeFill="text2" w:themeFillTint="33"/>
            <w:noWrap/>
          </w:tcPr>
          <w:p w14:paraId="495F8FE5"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2201C4E" w14:textId="77777777" w:rsidR="000E48CE" w:rsidRDefault="000E48CE">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54EACD8D" w14:textId="77777777" w:rsidR="000E48CE" w:rsidRDefault="000E48CE">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EDC85BF" w14:textId="77777777" w:rsidR="000E48CE" w:rsidRDefault="000E48CE">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7D03BCF6" w14:textId="77777777" w:rsidR="000E48CE" w:rsidRDefault="000E48CE">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13751BA3" w14:textId="77777777" w:rsidR="000E48CE" w:rsidRDefault="00FF4C4E">
            <w:pPr>
              <w:pStyle w:val="P68B1DB1-Normal12"/>
              <w:spacing w:after="0" w:line="240" w:lineRule="auto"/>
              <w:jc w:val="center"/>
              <w:rPr>
                <w:rFonts w:cs="Times New Roman"/>
                <w:noProof/>
              </w:rPr>
            </w:pPr>
            <w:r>
              <w:rPr>
                <w:noProof/>
              </w:rPr>
              <w:t>Yksikkö</w:t>
            </w:r>
          </w:p>
        </w:tc>
        <w:tc>
          <w:tcPr>
            <w:tcW w:w="851" w:type="dxa"/>
            <w:shd w:val="clear" w:color="auto" w:fill="C6D9F1" w:themeFill="text2" w:themeFillTint="33"/>
            <w:noWrap/>
          </w:tcPr>
          <w:p w14:paraId="0EB1EFD8" w14:textId="77777777" w:rsidR="000E48CE" w:rsidRDefault="00FF4C4E">
            <w:pPr>
              <w:pStyle w:val="P68B1DB1-Normal12"/>
              <w:spacing w:after="0" w:line="240" w:lineRule="auto"/>
              <w:jc w:val="center"/>
              <w:rPr>
                <w:rFonts w:cs="Times New Roman"/>
                <w:noProof/>
              </w:rPr>
            </w:pPr>
            <w:r>
              <w:rPr>
                <w:noProof/>
              </w:rPr>
              <w:t>Perustaso</w:t>
            </w:r>
          </w:p>
        </w:tc>
        <w:tc>
          <w:tcPr>
            <w:tcW w:w="709" w:type="dxa"/>
            <w:shd w:val="clear" w:color="auto" w:fill="C6D9F1" w:themeFill="text2" w:themeFillTint="33"/>
            <w:noWrap/>
          </w:tcPr>
          <w:p w14:paraId="5B4AEAB6" w14:textId="77777777" w:rsidR="000E48CE" w:rsidRDefault="00FF4C4E">
            <w:pPr>
              <w:pStyle w:val="P68B1DB1-Normal12"/>
              <w:spacing w:after="0" w:line="240" w:lineRule="auto"/>
              <w:jc w:val="center"/>
              <w:rPr>
                <w:rFonts w:cs="Times New Roman"/>
                <w:noProof/>
              </w:rPr>
            </w:pPr>
            <w:r>
              <w:rPr>
                <w:noProof/>
              </w:rPr>
              <w:t>Päämäärä</w:t>
            </w:r>
          </w:p>
        </w:tc>
        <w:tc>
          <w:tcPr>
            <w:tcW w:w="567" w:type="dxa"/>
            <w:shd w:val="clear" w:color="auto" w:fill="C6D9F1" w:themeFill="text2" w:themeFillTint="33"/>
            <w:noWrap/>
          </w:tcPr>
          <w:p w14:paraId="641B3FA0" w14:textId="77777777" w:rsidR="000E48CE" w:rsidRDefault="00FF4C4E">
            <w:pPr>
              <w:pStyle w:val="P68B1DB1-Normal12"/>
              <w:spacing w:after="0" w:line="240" w:lineRule="auto"/>
              <w:jc w:val="center"/>
              <w:rPr>
                <w:rFonts w:cs="Times New Roman"/>
                <w:noProof/>
              </w:rPr>
            </w:pPr>
            <w:r>
              <w:rPr>
                <w:noProof/>
              </w:rPr>
              <w:t>Q</w:t>
            </w:r>
          </w:p>
        </w:tc>
        <w:tc>
          <w:tcPr>
            <w:tcW w:w="810" w:type="dxa"/>
            <w:shd w:val="clear" w:color="auto" w:fill="C6D9F1" w:themeFill="text2" w:themeFillTint="33"/>
            <w:noWrap/>
          </w:tcPr>
          <w:p w14:paraId="0464D277" w14:textId="77777777" w:rsidR="000E48CE" w:rsidRDefault="00FF4C4E">
            <w:pPr>
              <w:pStyle w:val="P68B1DB1-Normal12"/>
              <w:spacing w:after="0" w:line="240" w:lineRule="auto"/>
              <w:jc w:val="center"/>
              <w:rPr>
                <w:rFonts w:cs="Times New Roman"/>
                <w:noProof/>
              </w:rPr>
            </w:pPr>
            <w:r>
              <w:rPr>
                <w:noProof/>
              </w:rPr>
              <w:t>Vuosi</w:t>
            </w:r>
          </w:p>
        </w:tc>
        <w:tc>
          <w:tcPr>
            <w:tcW w:w="4860" w:type="dxa"/>
            <w:tcBorders>
              <w:top w:val="nil"/>
            </w:tcBorders>
            <w:shd w:val="clear" w:color="auto" w:fill="C6D9F1" w:themeFill="text2" w:themeFillTint="33"/>
            <w:noWrap/>
            <w:vAlign w:val="center"/>
          </w:tcPr>
          <w:p w14:paraId="2AEAE3F1" w14:textId="77777777" w:rsidR="000E48CE" w:rsidRDefault="000E48CE">
            <w:pPr>
              <w:spacing w:after="0" w:line="240" w:lineRule="auto"/>
              <w:rPr>
                <w:rFonts w:ascii="Times New Roman" w:hAnsi="Times New Roman" w:cs="Times New Roman"/>
                <w:b/>
                <w:noProof/>
                <w:sz w:val="18"/>
              </w:rPr>
            </w:pPr>
          </w:p>
        </w:tc>
      </w:tr>
      <w:tr w:rsidR="000E48CE" w14:paraId="3AA48DBB" w14:textId="77777777">
        <w:trPr>
          <w:trHeight w:val="309"/>
        </w:trPr>
        <w:tc>
          <w:tcPr>
            <w:tcW w:w="709" w:type="dxa"/>
            <w:shd w:val="clear" w:color="auto" w:fill="C6EFCE"/>
            <w:noWrap/>
          </w:tcPr>
          <w:p w14:paraId="3711C0D7" w14:textId="77777777" w:rsidR="000E48CE" w:rsidRDefault="00FF4C4E">
            <w:pPr>
              <w:pStyle w:val="P68B1DB1-Normal13"/>
              <w:spacing w:after="0" w:line="240" w:lineRule="auto"/>
              <w:jc w:val="center"/>
              <w:rPr>
                <w:rFonts w:eastAsia="Times New Roman" w:cs="Times New Roman"/>
                <w:noProof/>
              </w:rPr>
            </w:pPr>
            <w:r>
              <w:rPr>
                <w:noProof/>
              </w:rPr>
              <w:t>314</w:t>
            </w:r>
          </w:p>
        </w:tc>
        <w:tc>
          <w:tcPr>
            <w:tcW w:w="851" w:type="dxa"/>
            <w:shd w:val="clear" w:color="auto" w:fill="C6EFCE"/>
            <w:noWrap/>
          </w:tcPr>
          <w:p w14:paraId="3F1FCFC6" w14:textId="77777777" w:rsidR="000E48CE" w:rsidRDefault="00FF4C4E">
            <w:pPr>
              <w:pStyle w:val="P68B1DB1-Normal13"/>
              <w:spacing w:after="0" w:line="240" w:lineRule="auto"/>
              <w:jc w:val="center"/>
              <w:rPr>
                <w:rFonts w:eastAsia="Times New Roman" w:cs="Times New Roman"/>
                <w:noProof/>
              </w:rPr>
            </w:pPr>
            <w:r>
              <w:rPr>
                <w:noProof/>
              </w:rPr>
              <w:t>C22.R1</w:t>
            </w:r>
          </w:p>
        </w:tc>
        <w:tc>
          <w:tcPr>
            <w:tcW w:w="992" w:type="dxa"/>
            <w:shd w:val="clear" w:color="auto" w:fill="C6EFCE"/>
            <w:noWrap/>
          </w:tcPr>
          <w:p w14:paraId="4272A656"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3640F0D" w14:textId="77777777" w:rsidR="000E48CE" w:rsidRDefault="00FF4C4E">
            <w:pPr>
              <w:pStyle w:val="P68B1DB1-Normal13"/>
              <w:spacing w:after="0" w:line="240" w:lineRule="auto"/>
              <w:rPr>
                <w:rFonts w:eastAsia="Times New Roman" w:cs="Times New Roman"/>
                <w:noProof/>
              </w:rPr>
            </w:pPr>
            <w:r>
              <w:rPr>
                <w:noProof/>
              </w:rPr>
              <w:t xml:space="preserve">Itsehallinto- ja hoivajärjestelmää (SAAD) koskevan arvioinnin hyväksyminen alueneuvostossa. </w:t>
            </w:r>
          </w:p>
        </w:tc>
        <w:tc>
          <w:tcPr>
            <w:tcW w:w="992" w:type="dxa"/>
            <w:shd w:val="clear" w:color="auto" w:fill="C6EFCE"/>
            <w:noWrap/>
          </w:tcPr>
          <w:p w14:paraId="70A24F72" w14:textId="77777777" w:rsidR="000E48CE" w:rsidRDefault="00FF4C4E">
            <w:pPr>
              <w:pStyle w:val="P68B1DB1-Normal13"/>
              <w:spacing w:after="0" w:line="240" w:lineRule="auto"/>
              <w:jc w:val="center"/>
              <w:rPr>
                <w:rFonts w:eastAsia="Times New Roman" w:cs="Times New Roman"/>
                <w:noProof/>
              </w:rPr>
            </w:pPr>
            <w:r>
              <w:rPr>
                <w:noProof/>
              </w:rPr>
              <w:t xml:space="preserve">Arvioinnin julkaiseminen </w:t>
            </w:r>
          </w:p>
        </w:tc>
        <w:tc>
          <w:tcPr>
            <w:tcW w:w="850" w:type="dxa"/>
            <w:shd w:val="clear" w:color="auto" w:fill="C6EFCE"/>
            <w:noWrap/>
          </w:tcPr>
          <w:p w14:paraId="1DCEAD92" w14:textId="77777777" w:rsidR="000E48CE" w:rsidRDefault="00FF4C4E">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1CE575E9" w14:textId="77777777" w:rsidR="000E48CE" w:rsidRDefault="00FF4C4E">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29E92424" w14:textId="77777777" w:rsidR="000E48CE" w:rsidRDefault="00FF4C4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701C5144" w14:textId="77777777" w:rsidR="000E48CE" w:rsidRDefault="00FF4C4E">
            <w:pPr>
              <w:pStyle w:val="P68B1DB1-Normal13"/>
              <w:spacing w:after="0" w:line="240" w:lineRule="auto"/>
              <w:jc w:val="center"/>
              <w:rPr>
                <w:rFonts w:eastAsia="Times New Roman" w:cs="Times New Roman"/>
                <w:noProof/>
              </w:rPr>
            </w:pPr>
            <w:r>
              <w:rPr>
                <w:noProof/>
              </w:rPr>
              <w:t>Q2</w:t>
            </w:r>
          </w:p>
        </w:tc>
        <w:tc>
          <w:tcPr>
            <w:tcW w:w="810" w:type="dxa"/>
            <w:shd w:val="clear" w:color="auto" w:fill="C6EFCE"/>
            <w:noWrap/>
          </w:tcPr>
          <w:p w14:paraId="096695E4" w14:textId="77777777" w:rsidR="000E48CE" w:rsidRDefault="00FF4C4E">
            <w:pPr>
              <w:pStyle w:val="P68B1DB1-Normal13"/>
              <w:spacing w:after="0" w:line="240" w:lineRule="auto"/>
              <w:jc w:val="center"/>
              <w:rPr>
                <w:rFonts w:eastAsia="Times New Roman" w:cs="Times New Roman"/>
                <w:noProof/>
              </w:rPr>
            </w:pPr>
            <w:r>
              <w:rPr>
                <w:noProof/>
              </w:rPr>
              <w:t>2022</w:t>
            </w:r>
          </w:p>
        </w:tc>
        <w:tc>
          <w:tcPr>
            <w:tcW w:w="4860" w:type="dxa"/>
            <w:shd w:val="clear" w:color="auto" w:fill="C6EFCE"/>
            <w:noWrap/>
          </w:tcPr>
          <w:p w14:paraId="3F910CCB" w14:textId="77777777" w:rsidR="000E48CE" w:rsidRDefault="00FF4C4E">
            <w:pPr>
              <w:pStyle w:val="P68B1DB1-Normal13"/>
              <w:spacing w:after="0" w:line="240" w:lineRule="auto"/>
              <w:rPr>
                <w:rFonts w:eastAsia="Times New Roman" w:cs="Times New Roman"/>
                <w:noProof/>
              </w:rPr>
            </w:pPr>
            <w:r>
              <w:rPr>
                <w:noProof/>
              </w:rPr>
              <w:t>Arviointi on suoritettava vuoden 2021 aikana, jotta saadaan perusteellinen käsitys vuonna 2020 käynnistetyn pitkäaikaishoid</w:t>
            </w:r>
            <w:r>
              <w:rPr>
                <w:noProof/>
              </w:rPr>
              <w:t xml:space="preserve">on uudistusprosessin edistymisestä ja sen vaikutuksista. Arvioinnin päätelmät esitetään alueneuvostolle vuoden 2022 alkupuoliskolla. </w:t>
            </w:r>
          </w:p>
        </w:tc>
      </w:tr>
      <w:tr w:rsidR="000E48CE" w14:paraId="09934F86" w14:textId="77777777">
        <w:trPr>
          <w:trHeight w:val="309"/>
        </w:trPr>
        <w:tc>
          <w:tcPr>
            <w:tcW w:w="709" w:type="dxa"/>
            <w:shd w:val="clear" w:color="auto" w:fill="C6EFCE"/>
            <w:noWrap/>
          </w:tcPr>
          <w:p w14:paraId="55DE0B6F" w14:textId="77777777" w:rsidR="000E48CE" w:rsidRDefault="00FF4C4E">
            <w:pPr>
              <w:pStyle w:val="P68B1DB1-Normal13"/>
              <w:spacing w:after="0" w:line="240" w:lineRule="auto"/>
              <w:jc w:val="center"/>
              <w:rPr>
                <w:rFonts w:eastAsia="Times New Roman" w:cs="Times New Roman"/>
                <w:noProof/>
              </w:rPr>
            </w:pPr>
            <w:r>
              <w:rPr>
                <w:noProof/>
              </w:rPr>
              <w:t>315</w:t>
            </w:r>
          </w:p>
        </w:tc>
        <w:tc>
          <w:tcPr>
            <w:tcW w:w="851" w:type="dxa"/>
            <w:shd w:val="clear" w:color="auto" w:fill="C6EFCE"/>
            <w:noWrap/>
          </w:tcPr>
          <w:p w14:paraId="42698C9F" w14:textId="77777777" w:rsidR="000E48CE" w:rsidRDefault="00FF4C4E">
            <w:pPr>
              <w:pStyle w:val="P68B1DB1-Normal13"/>
              <w:spacing w:after="0" w:line="240" w:lineRule="auto"/>
              <w:jc w:val="center"/>
              <w:rPr>
                <w:rFonts w:eastAsia="Times New Roman" w:cs="Times New Roman"/>
                <w:noProof/>
              </w:rPr>
            </w:pPr>
            <w:r>
              <w:rPr>
                <w:noProof/>
              </w:rPr>
              <w:t>C22.R2</w:t>
            </w:r>
          </w:p>
        </w:tc>
        <w:tc>
          <w:tcPr>
            <w:tcW w:w="992" w:type="dxa"/>
            <w:shd w:val="clear" w:color="auto" w:fill="C6EFCE"/>
            <w:noWrap/>
          </w:tcPr>
          <w:p w14:paraId="66448DCB"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6F00A35F" w14:textId="77777777" w:rsidR="000E48CE" w:rsidRDefault="00FF4C4E">
            <w:pPr>
              <w:pStyle w:val="P68B1DB1-Normal13"/>
              <w:spacing w:after="0" w:line="240" w:lineRule="auto"/>
              <w:rPr>
                <w:rFonts w:eastAsia="Times New Roman" w:cs="Times New Roman"/>
                <w:noProof/>
              </w:rPr>
            </w:pPr>
            <w:r>
              <w:rPr>
                <w:noProof/>
              </w:rPr>
              <w:t>Sosiaalipalvelulain ja ministeriön asetusten voimaantulo</w:t>
            </w:r>
          </w:p>
        </w:tc>
        <w:tc>
          <w:tcPr>
            <w:tcW w:w="992" w:type="dxa"/>
            <w:shd w:val="clear" w:color="auto" w:fill="C6EFCE"/>
            <w:noWrap/>
          </w:tcPr>
          <w:p w14:paraId="068872AB" w14:textId="77777777" w:rsidR="000E48CE" w:rsidRDefault="00FF4C4E">
            <w:pPr>
              <w:pStyle w:val="P68B1DB1-Normal13"/>
              <w:spacing w:after="0" w:line="240" w:lineRule="auto"/>
              <w:jc w:val="center"/>
              <w:rPr>
                <w:rFonts w:eastAsia="Times New Roman" w:cs="Times New Roman"/>
                <w:noProof/>
              </w:rPr>
            </w:pPr>
            <w:r>
              <w:rPr>
                <w:noProof/>
              </w:rPr>
              <w:t>Lain ja ministeriön asetusten säännökset,</w:t>
            </w:r>
            <w:r>
              <w:rPr>
                <w:noProof/>
                <w:highlight w:val="cyan"/>
              </w:rPr>
              <w:t xml:space="preserve"> </w:t>
            </w:r>
            <w:r>
              <w:rPr>
                <w:noProof/>
              </w:rPr>
              <w:t xml:space="preserve">joista käy ilmi niiden voimaantulo </w:t>
            </w:r>
          </w:p>
        </w:tc>
        <w:tc>
          <w:tcPr>
            <w:tcW w:w="850" w:type="dxa"/>
            <w:shd w:val="clear" w:color="auto" w:fill="C6EFCE"/>
            <w:noWrap/>
          </w:tcPr>
          <w:p w14:paraId="3BA3C70A"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151797F6"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52D7D3A"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D29F122" w14:textId="77777777" w:rsidR="000E48CE" w:rsidRDefault="00FF4C4E">
            <w:pPr>
              <w:pStyle w:val="P68B1DB1-Normal13"/>
              <w:spacing w:after="0" w:line="240" w:lineRule="auto"/>
              <w:jc w:val="center"/>
              <w:rPr>
                <w:rFonts w:eastAsia="Times New Roman" w:cs="Times New Roman"/>
                <w:noProof/>
              </w:rPr>
            </w:pPr>
            <w:r>
              <w:rPr>
                <w:noProof/>
              </w:rPr>
              <w:t>Q2</w:t>
            </w:r>
          </w:p>
        </w:tc>
        <w:tc>
          <w:tcPr>
            <w:tcW w:w="810" w:type="dxa"/>
            <w:shd w:val="clear" w:color="auto" w:fill="C6EFCE"/>
            <w:noWrap/>
          </w:tcPr>
          <w:p w14:paraId="4D14A81A" w14:textId="77777777" w:rsidR="000E48CE" w:rsidRDefault="00FF4C4E">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2C81C5F0" w14:textId="77777777" w:rsidR="000E48CE" w:rsidRDefault="00FF4C4E">
            <w:pPr>
              <w:pStyle w:val="P68B1DB1-Normal13"/>
              <w:spacing w:after="0" w:line="240" w:lineRule="auto"/>
              <w:rPr>
                <w:rFonts w:eastAsia="Times New Roman" w:cs="Times New Roman"/>
                <w:noProof/>
              </w:rPr>
            </w:pPr>
            <w:r>
              <w:rPr>
                <w:noProof/>
              </w:rPr>
              <w:t>Sosiaalipalvelulain antamisen jälkeen annetaan tarvittavat ministeriön asetukset. Lain tavoitteena on parantaa nykyistä palvelujärjestelmää ja säännellä sosiaalipalvelujen tarjoamisen perusedellytyksiä Espa</w:t>
            </w:r>
            <w:r>
              <w:rPr>
                <w:noProof/>
              </w:rPr>
              <w:t xml:space="preserve">njassa. </w:t>
            </w:r>
          </w:p>
        </w:tc>
      </w:tr>
      <w:tr w:rsidR="000E48CE" w14:paraId="1E7CFC65" w14:textId="77777777">
        <w:trPr>
          <w:trHeight w:val="309"/>
        </w:trPr>
        <w:tc>
          <w:tcPr>
            <w:tcW w:w="709" w:type="dxa"/>
            <w:shd w:val="clear" w:color="auto" w:fill="C6EFCE"/>
            <w:noWrap/>
          </w:tcPr>
          <w:p w14:paraId="735E7828" w14:textId="77777777" w:rsidR="000E48CE" w:rsidRDefault="00FF4C4E">
            <w:pPr>
              <w:pStyle w:val="P68B1DB1-Normal13"/>
              <w:spacing w:after="0" w:line="240" w:lineRule="auto"/>
              <w:jc w:val="center"/>
              <w:rPr>
                <w:rFonts w:eastAsia="Times New Roman" w:cs="Times New Roman"/>
                <w:noProof/>
              </w:rPr>
            </w:pPr>
            <w:r>
              <w:rPr>
                <w:noProof/>
              </w:rPr>
              <w:t>316</w:t>
            </w:r>
          </w:p>
        </w:tc>
        <w:tc>
          <w:tcPr>
            <w:tcW w:w="851" w:type="dxa"/>
            <w:shd w:val="clear" w:color="auto" w:fill="C6EFCE"/>
            <w:noWrap/>
          </w:tcPr>
          <w:p w14:paraId="0A348461" w14:textId="77777777" w:rsidR="000E48CE" w:rsidRDefault="00FF4C4E">
            <w:pPr>
              <w:pStyle w:val="P68B1DB1-Normal13"/>
              <w:spacing w:after="0" w:line="240" w:lineRule="auto"/>
              <w:jc w:val="center"/>
              <w:rPr>
                <w:rFonts w:eastAsia="Times New Roman" w:cs="Times New Roman"/>
                <w:noProof/>
              </w:rPr>
            </w:pPr>
            <w:r>
              <w:rPr>
                <w:noProof/>
              </w:rPr>
              <w:t>C22.R3</w:t>
            </w:r>
          </w:p>
        </w:tc>
        <w:tc>
          <w:tcPr>
            <w:tcW w:w="992" w:type="dxa"/>
            <w:shd w:val="clear" w:color="auto" w:fill="C6EFCE"/>
            <w:noWrap/>
          </w:tcPr>
          <w:p w14:paraId="1BC73BCE"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54E1B03" w14:textId="77777777" w:rsidR="000E48CE" w:rsidRDefault="00FF4C4E">
            <w:pPr>
              <w:pStyle w:val="P68B1DB1-Normal13"/>
              <w:spacing w:after="0" w:line="240" w:lineRule="auto"/>
              <w:rPr>
                <w:rFonts w:eastAsia="Times New Roman" w:cs="Times New Roman"/>
                <w:noProof/>
              </w:rPr>
            </w:pPr>
            <w:r>
              <w:rPr>
                <w:noProof/>
              </w:rPr>
              <w:t>Perheiden monimuotoisuutta koskevan lain voimaantulo</w:t>
            </w:r>
          </w:p>
        </w:tc>
        <w:tc>
          <w:tcPr>
            <w:tcW w:w="992" w:type="dxa"/>
            <w:shd w:val="clear" w:color="auto" w:fill="C6EFCE"/>
            <w:noWrap/>
          </w:tcPr>
          <w:p w14:paraId="606F1F60" w14:textId="77777777" w:rsidR="000E48CE" w:rsidRDefault="00FF4C4E">
            <w:pPr>
              <w:pStyle w:val="P68B1DB1-Normal13"/>
              <w:spacing w:after="0" w:line="240" w:lineRule="auto"/>
              <w:jc w:val="center"/>
              <w:rPr>
                <w:rFonts w:eastAsia="Times New Roman" w:cs="Times New Roman"/>
                <w:noProof/>
              </w:rPr>
            </w:pPr>
            <w:r>
              <w:rPr>
                <w:noProof/>
              </w:rPr>
              <w:t>Lain voimaantulon osoittava lain säännös</w:t>
            </w:r>
          </w:p>
        </w:tc>
        <w:tc>
          <w:tcPr>
            <w:tcW w:w="850" w:type="dxa"/>
            <w:shd w:val="clear" w:color="auto" w:fill="C6EFCE"/>
            <w:noWrap/>
          </w:tcPr>
          <w:p w14:paraId="22138530"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61E937B6"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B0B209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04ED90FB" w14:textId="77777777" w:rsidR="000E48CE" w:rsidRDefault="00FF4C4E">
            <w:pPr>
              <w:pStyle w:val="P68B1DB1-Normal13"/>
              <w:spacing w:after="0" w:line="240" w:lineRule="auto"/>
              <w:jc w:val="center"/>
              <w:rPr>
                <w:rFonts w:eastAsia="Times New Roman" w:cs="Times New Roman"/>
                <w:noProof/>
              </w:rPr>
            </w:pPr>
            <w:r>
              <w:rPr>
                <w:noProof/>
              </w:rPr>
              <w:t>Q2</w:t>
            </w:r>
          </w:p>
        </w:tc>
        <w:tc>
          <w:tcPr>
            <w:tcW w:w="810" w:type="dxa"/>
            <w:shd w:val="clear" w:color="auto" w:fill="C6EFCE"/>
            <w:noWrap/>
          </w:tcPr>
          <w:p w14:paraId="28DF9E0A" w14:textId="77777777" w:rsidR="000E48CE" w:rsidRDefault="00FF4C4E">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25BEA998" w14:textId="77777777" w:rsidR="000E48CE" w:rsidRDefault="00FF4C4E">
            <w:pPr>
              <w:pStyle w:val="P68B1DB1-Normal13"/>
              <w:spacing w:after="0" w:line="240" w:lineRule="auto"/>
              <w:rPr>
                <w:rFonts w:eastAsia="Times New Roman" w:cs="Times New Roman"/>
                <w:noProof/>
              </w:rPr>
            </w:pPr>
            <w:r>
              <w:rPr>
                <w:noProof/>
              </w:rPr>
              <w:t>Perheiden monimuotoisuutta koskevan lain tavoitteena on i) erityyppisten perherakenteiden oikeudellinen tunnustaminen, niiden</w:t>
            </w:r>
            <w:r>
              <w:rPr>
                <w:noProof/>
              </w:rPr>
              <w:t xml:space="preserve"> etuuksien ja palvelujen määrittäminen, joihin heillä on oikeus, ominaisuuksiensa ja tulotasonsa mukaan; ja iii) lapsiköyhyyden vähentäminen ottaen huomioon uudelleenjakovaikutusten arvioinnin tulokset.</w:t>
            </w:r>
          </w:p>
        </w:tc>
      </w:tr>
      <w:tr w:rsidR="000E48CE" w14:paraId="5411D44F" w14:textId="77777777">
        <w:trPr>
          <w:trHeight w:val="309"/>
        </w:trPr>
        <w:tc>
          <w:tcPr>
            <w:tcW w:w="709" w:type="dxa"/>
            <w:shd w:val="clear" w:color="auto" w:fill="C6EFCE"/>
            <w:noWrap/>
          </w:tcPr>
          <w:p w14:paraId="3BEB6FCE" w14:textId="77777777" w:rsidR="000E48CE" w:rsidRDefault="00FF4C4E">
            <w:pPr>
              <w:pStyle w:val="P68B1DB1-Normal13"/>
              <w:spacing w:after="0" w:line="240" w:lineRule="auto"/>
              <w:jc w:val="center"/>
              <w:rPr>
                <w:rFonts w:eastAsia="Times New Roman" w:cs="Times New Roman"/>
                <w:noProof/>
              </w:rPr>
            </w:pPr>
            <w:r>
              <w:rPr>
                <w:noProof/>
              </w:rPr>
              <w:t>317</w:t>
            </w:r>
          </w:p>
        </w:tc>
        <w:tc>
          <w:tcPr>
            <w:tcW w:w="851" w:type="dxa"/>
            <w:shd w:val="clear" w:color="auto" w:fill="C6EFCE"/>
            <w:noWrap/>
          </w:tcPr>
          <w:p w14:paraId="522D05C1" w14:textId="77777777" w:rsidR="000E48CE" w:rsidRDefault="00FF4C4E">
            <w:pPr>
              <w:pStyle w:val="P68B1DB1-Normal13"/>
              <w:spacing w:after="0" w:line="240" w:lineRule="auto"/>
              <w:jc w:val="center"/>
              <w:rPr>
                <w:rFonts w:eastAsia="Times New Roman" w:cs="Times New Roman"/>
                <w:noProof/>
              </w:rPr>
            </w:pPr>
            <w:r>
              <w:rPr>
                <w:noProof/>
              </w:rPr>
              <w:t>C22.R4</w:t>
            </w:r>
          </w:p>
        </w:tc>
        <w:tc>
          <w:tcPr>
            <w:tcW w:w="992" w:type="dxa"/>
            <w:shd w:val="clear" w:color="auto" w:fill="C6EFCE"/>
            <w:noWrap/>
          </w:tcPr>
          <w:p w14:paraId="2442A7BD"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2C29C358" w14:textId="77777777" w:rsidR="000E48CE" w:rsidRDefault="00FF4C4E">
            <w:pPr>
              <w:pStyle w:val="P68B1DB1-Normal13"/>
              <w:spacing w:after="0" w:line="240" w:lineRule="auto"/>
              <w:rPr>
                <w:rFonts w:eastAsia="Times New Roman" w:cs="Times New Roman"/>
                <w:noProof/>
              </w:rPr>
            </w:pPr>
            <w:r>
              <w:rPr>
                <w:noProof/>
              </w:rPr>
              <w:t xml:space="preserve">Maahanmuuttajien ja kansainvälistä suojelua hakevien henkilöiden vastaanottojärjestelmää koskevan lainsäädäntöuudistuksen voimaantulo Espanjassa </w:t>
            </w:r>
          </w:p>
        </w:tc>
        <w:tc>
          <w:tcPr>
            <w:tcW w:w="992" w:type="dxa"/>
            <w:shd w:val="clear" w:color="auto" w:fill="C6EFCE"/>
            <w:noWrap/>
          </w:tcPr>
          <w:p w14:paraId="5937DDF6" w14:textId="77777777" w:rsidR="000E48CE" w:rsidRDefault="00FF4C4E">
            <w:pPr>
              <w:pStyle w:val="P68B1DB1-Normal13"/>
              <w:spacing w:after="0" w:line="240" w:lineRule="auto"/>
              <w:jc w:val="center"/>
              <w:rPr>
                <w:rFonts w:eastAsia="Times New Roman" w:cs="Times New Roman"/>
                <w:noProof/>
              </w:rPr>
            </w:pPr>
            <w:r>
              <w:rPr>
                <w:noProof/>
              </w:rPr>
              <w:t>Määräyksen voimaantulon osoittava määräys</w:t>
            </w:r>
          </w:p>
        </w:tc>
        <w:tc>
          <w:tcPr>
            <w:tcW w:w="850" w:type="dxa"/>
            <w:shd w:val="clear" w:color="auto" w:fill="C6EFCE"/>
            <w:noWrap/>
          </w:tcPr>
          <w:p w14:paraId="4F4AFBC9"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0AAA2A8F"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3D2F6FF0"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5FE628AC" w14:textId="77777777" w:rsidR="000E48CE" w:rsidRDefault="00FF4C4E">
            <w:pPr>
              <w:pStyle w:val="P68B1DB1-Normal13"/>
              <w:spacing w:after="0" w:line="240" w:lineRule="auto"/>
              <w:jc w:val="center"/>
              <w:rPr>
                <w:rFonts w:eastAsia="Times New Roman" w:cs="Times New Roman"/>
                <w:noProof/>
              </w:rPr>
            </w:pPr>
            <w:r>
              <w:rPr>
                <w:noProof/>
              </w:rPr>
              <w:t>Q1</w:t>
            </w:r>
          </w:p>
        </w:tc>
        <w:tc>
          <w:tcPr>
            <w:tcW w:w="810" w:type="dxa"/>
            <w:shd w:val="clear" w:color="auto" w:fill="C6EFCE"/>
            <w:noWrap/>
          </w:tcPr>
          <w:p w14:paraId="1BB32A33" w14:textId="77777777" w:rsidR="000E48CE" w:rsidRDefault="00FF4C4E">
            <w:pPr>
              <w:pStyle w:val="P68B1DB1-Normal13"/>
              <w:spacing w:after="0" w:line="240" w:lineRule="auto"/>
              <w:jc w:val="center"/>
              <w:rPr>
                <w:rFonts w:eastAsia="Times New Roman" w:cs="Times New Roman"/>
                <w:noProof/>
              </w:rPr>
            </w:pPr>
            <w:r>
              <w:rPr>
                <w:noProof/>
              </w:rPr>
              <w:t>2022</w:t>
            </w:r>
          </w:p>
        </w:tc>
        <w:tc>
          <w:tcPr>
            <w:tcW w:w="4860" w:type="dxa"/>
            <w:shd w:val="clear" w:color="auto" w:fill="C6EFCE"/>
            <w:noWrap/>
          </w:tcPr>
          <w:p w14:paraId="4366A697" w14:textId="77777777" w:rsidR="000E48CE" w:rsidRDefault="00FF4C4E">
            <w:pPr>
              <w:pStyle w:val="P68B1DB1-Normal13"/>
              <w:spacing w:after="0" w:line="240" w:lineRule="auto"/>
              <w:rPr>
                <w:rFonts w:eastAsia="Times New Roman" w:cs="Times New Roman"/>
                <w:noProof/>
              </w:rPr>
            </w:pPr>
            <w:r>
              <w:rPr>
                <w:noProof/>
              </w:rPr>
              <w:t>Osallisuus-, sosiaaliturva- ja maahanmuuttoministeriön</w:t>
            </w:r>
            <w:r>
              <w:rPr>
                <w:noProof/>
              </w:rPr>
              <w:t xml:space="preserve"> hyväksymä maahanmuuttajien ja kansainvälistä suojelua hakevien henkilöiden vastaanottojärjestelmä Espanjassa uudistetaan ministeriön keskusministeriön asetuksella. Uudistuksen tavoitteena on kehittää uusia vastaanottomenettelyjä kaikkia vastaanottoverkost</w:t>
            </w:r>
            <w:r>
              <w:rPr>
                <w:noProof/>
              </w:rPr>
              <w:t>on keskuksia varten ja tunnustaa kaikkien turvapaikanhakijoiden perusvastaanotto-olosuhteet ja paremmat vastaanotto-olosuhteet niille, joiden tunnustaminen on todennäköistä.</w:t>
            </w:r>
          </w:p>
        </w:tc>
      </w:tr>
      <w:tr w:rsidR="000E48CE" w14:paraId="327E6794" w14:textId="77777777">
        <w:trPr>
          <w:trHeight w:val="309"/>
        </w:trPr>
        <w:tc>
          <w:tcPr>
            <w:tcW w:w="709" w:type="dxa"/>
            <w:shd w:val="clear" w:color="auto" w:fill="C6EFCE"/>
            <w:noWrap/>
          </w:tcPr>
          <w:p w14:paraId="4B0AB24A" w14:textId="77777777" w:rsidR="000E48CE" w:rsidRDefault="00FF4C4E">
            <w:pPr>
              <w:pStyle w:val="P68B1DB1-Normal13"/>
              <w:spacing w:after="0" w:line="240" w:lineRule="auto"/>
              <w:jc w:val="center"/>
              <w:rPr>
                <w:rFonts w:eastAsia="Times New Roman" w:cs="Times New Roman"/>
                <w:noProof/>
              </w:rPr>
            </w:pPr>
            <w:r>
              <w:rPr>
                <w:noProof/>
              </w:rPr>
              <w:t>318</w:t>
            </w:r>
          </w:p>
        </w:tc>
        <w:tc>
          <w:tcPr>
            <w:tcW w:w="851" w:type="dxa"/>
            <w:shd w:val="clear" w:color="auto" w:fill="C6EFCE"/>
            <w:noWrap/>
          </w:tcPr>
          <w:p w14:paraId="7466A7AE" w14:textId="77777777" w:rsidR="000E48CE" w:rsidRDefault="00FF4C4E">
            <w:pPr>
              <w:pStyle w:val="P68B1DB1-Normal13"/>
              <w:spacing w:after="0" w:line="240" w:lineRule="auto"/>
              <w:jc w:val="center"/>
              <w:rPr>
                <w:rFonts w:eastAsia="Times New Roman" w:cs="Times New Roman"/>
                <w:noProof/>
              </w:rPr>
            </w:pPr>
            <w:r>
              <w:rPr>
                <w:noProof/>
              </w:rPr>
              <w:t>C22.R5</w:t>
            </w:r>
          </w:p>
        </w:tc>
        <w:tc>
          <w:tcPr>
            <w:tcW w:w="992" w:type="dxa"/>
            <w:shd w:val="clear" w:color="auto" w:fill="C6EFCE"/>
            <w:noWrap/>
          </w:tcPr>
          <w:p w14:paraId="213BC682"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0D3B2C4A" w14:textId="366FC9C9" w:rsidR="000E48CE" w:rsidRDefault="00FF4C4E">
            <w:pPr>
              <w:pStyle w:val="P68B1DB1-Normal13"/>
              <w:spacing w:after="0" w:line="240" w:lineRule="auto"/>
              <w:rPr>
                <w:rFonts w:eastAsia="Times New Roman" w:cs="Times New Roman"/>
                <w:noProof/>
              </w:rPr>
            </w:pPr>
            <w:r>
              <w:rPr>
                <w:noProof/>
              </w:rPr>
              <w:t xml:space="preserve">Elintärkeiden vähimmäistulojen hyväksymisestä 29 päivänä toukokuuta </w:t>
            </w:r>
            <w:r>
              <w:rPr>
                <w:noProof/>
              </w:rPr>
              <w:t>2020 annetun kuninkaallisen asetuksen 20/2020 voimaantulo</w:t>
            </w:r>
          </w:p>
        </w:tc>
        <w:tc>
          <w:tcPr>
            <w:tcW w:w="992" w:type="dxa"/>
            <w:shd w:val="clear" w:color="auto" w:fill="C6EFCE"/>
            <w:noWrap/>
          </w:tcPr>
          <w:p w14:paraId="321EDC2A" w14:textId="77777777" w:rsidR="000E48CE" w:rsidRDefault="00FF4C4E">
            <w:pPr>
              <w:pStyle w:val="P68B1DB1-Normal13"/>
              <w:spacing w:after="0" w:line="240" w:lineRule="auto"/>
              <w:jc w:val="center"/>
              <w:rPr>
                <w:rFonts w:eastAsia="Times New Roman" w:cs="Times New Roman"/>
                <w:noProof/>
              </w:rPr>
            </w:pPr>
            <w:r>
              <w:rPr>
                <w:noProof/>
              </w:rPr>
              <w:t xml:space="preserve">Lain voimaantulon osoittava lain säännös </w:t>
            </w:r>
          </w:p>
        </w:tc>
        <w:tc>
          <w:tcPr>
            <w:tcW w:w="850" w:type="dxa"/>
            <w:shd w:val="clear" w:color="auto" w:fill="C6EFCE"/>
            <w:noWrap/>
          </w:tcPr>
          <w:p w14:paraId="64F10375"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0D1E954B"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9522666" w14:textId="77777777" w:rsidR="000E48CE" w:rsidRDefault="00FF4C4E">
            <w:pPr>
              <w:pStyle w:val="P68B1DB1-Normal13"/>
              <w:spacing w:after="0" w:line="240" w:lineRule="auto"/>
              <w:rPr>
                <w:rFonts w:eastAsia="Times New Roman" w:cs="Times New Roman"/>
                <w:noProof/>
              </w:rPr>
            </w:pPr>
            <w:r>
              <w:rPr>
                <w:noProof/>
              </w:rPr>
              <w:t xml:space="preserve"> </w:t>
            </w:r>
          </w:p>
        </w:tc>
        <w:tc>
          <w:tcPr>
            <w:tcW w:w="567" w:type="dxa"/>
            <w:shd w:val="clear" w:color="auto" w:fill="C6EFCE"/>
            <w:noWrap/>
          </w:tcPr>
          <w:p w14:paraId="0F981430" w14:textId="77777777" w:rsidR="000E48CE" w:rsidRDefault="00FF4C4E">
            <w:pPr>
              <w:pStyle w:val="P68B1DB1-Normal13"/>
              <w:spacing w:after="0" w:line="240" w:lineRule="auto"/>
              <w:jc w:val="center"/>
              <w:rPr>
                <w:rFonts w:eastAsia="Times New Roman" w:cs="Times New Roman"/>
                <w:noProof/>
              </w:rPr>
            </w:pPr>
            <w:r>
              <w:rPr>
                <w:noProof/>
              </w:rPr>
              <w:t>Q2</w:t>
            </w:r>
          </w:p>
        </w:tc>
        <w:tc>
          <w:tcPr>
            <w:tcW w:w="810" w:type="dxa"/>
            <w:shd w:val="clear" w:color="auto" w:fill="C6EFCE"/>
            <w:noWrap/>
          </w:tcPr>
          <w:p w14:paraId="584B35F3" w14:textId="77777777" w:rsidR="000E48CE" w:rsidRDefault="00FF4C4E">
            <w:pPr>
              <w:pStyle w:val="P68B1DB1-Normal13"/>
              <w:spacing w:after="0" w:line="240" w:lineRule="auto"/>
              <w:jc w:val="center"/>
              <w:rPr>
                <w:rFonts w:eastAsia="Times New Roman" w:cs="Times New Roman"/>
                <w:noProof/>
              </w:rPr>
            </w:pPr>
            <w:r>
              <w:rPr>
                <w:noProof/>
              </w:rPr>
              <w:t>2020</w:t>
            </w:r>
          </w:p>
        </w:tc>
        <w:tc>
          <w:tcPr>
            <w:tcW w:w="4860" w:type="dxa"/>
            <w:shd w:val="clear" w:color="auto" w:fill="C6EFCE"/>
            <w:noWrap/>
          </w:tcPr>
          <w:p w14:paraId="5861942D" w14:textId="77777777" w:rsidR="000E48CE" w:rsidRDefault="00FF4C4E">
            <w:pPr>
              <w:pStyle w:val="P68B1DB1-Normal13"/>
              <w:spacing w:after="0" w:line="240" w:lineRule="auto"/>
              <w:rPr>
                <w:rFonts w:eastAsia="Times New Roman" w:cs="Times New Roman"/>
                <w:noProof/>
              </w:rPr>
            </w:pPr>
            <w:r>
              <w:rPr>
                <w:noProof/>
              </w:rPr>
              <w:t>Vähimmäistulon voimaantulo (29.5.2020 annettu kuninkaallinen asetus 20/2020).</w:t>
            </w:r>
          </w:p>
        </w:tc>
      </w:tr>
      <w:tr w:rsidR="000E48CE" w14:paraId="3DF3AD97" w14:textId="77777777">
        <w:trPr>
          <w:trHeight w:val="309"/>
        </w:trPr>
        <w:tc>
          <w:tcPr>
            <w:tcW w:w="709" w:type="dxa"/>
            <w:shd w:val="clear" w:color="auto" w:fill="C6EFCE"/>
            <w:noWrap/>
          </w:tcPr>
          <w:p w14:paraId="36585B74" w14:textId="77777777" w:rsidR="000E48CE" w:rsidRDefault="00FF4C4E">
            <w:pPr>
              <w:pStyle w:val="P68B1DB1-Normal13"/>
              <w:spacing w:after="0" w:line="240" w:lineRule="auto"/>
              <w:jc w:val="center"/>
              <w:rPr>
                <w:rFonts w:eastAsia="Times New Roman" w:cs="Times New Roman"/>
                <w:noProof/>
              </w:rPr>
            </w:pPr>
            <w:r>
              <w:rPr>
                <w:noProof/>
              </w:rPr>
              <w:t>319</w:t>
            </w:r>
          </w:p>
        </w:tc>
        <w:tc>
          <w:tcPr>
            <w:tcW w:w="851" w:type="dxa"/>
            <w:shd w:val="clear" w:color="auto" w:fill="C6EFCE"/>
            <w:noWrap/>
          </w:tcPr>
          <w:p w14:paraId="76B93DF0" w14:textId="77777777" w:rsidR="000E48CE" w:rsidRDefault="00FF4C4E">
            <w:pPr>
              <w:pStyle w:val="P68B1DB1-Normal13"/>
              <w:spacing w:after="0" w:line="240" w:lineRule="auto"/>
              <w:jc w:val="center"/>
              <w:rPr>
                <w:rFonts w:eastAsia="Times New Roman" w:cs="Times New Roman"/>
                <w:noProof/>
              </w:rPr>
            </w:pPr>
            <w:r>
              <w:rPr>
                <w:noProof/>
              </w:rPr>
              <w:t>C22.R5</w:t>
            </w:r>
          </w:p>
        </w:tc>
        <w:tc>
          <w:tcPr>
            <w:tcW w:w="992" w:type="dxa"/>
            <w:shd w:val="clear" w:color="auto" w:fill="C6EFCE"/>
            <w:noWrap/>
          </w:tcPr>
          <w:p w14:paraId="3B8A275C"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3E14C1F9" w14:textId="77777777" w:rsidR="000E48CE" w:rsidRDefault="00FF4C4E">
            <w:pPr>
              <w:pStyle w:val="P68B1DB1-Normal13"/>
              <w:spacing w:after="0" w:line="240" w:lineRule="auto"/>
              <w:rPr>
                <w:rFonts w:eastAsia="Times New Roman" w:cs="Times New Roman"/>
                <w:noProof/>
              </w:rPr>
            </w:pPr>
            <w:r>
              <w:rPr>
                <w:noProof/>
              </w:rPr>
              <w:t xml:space="preserve">Valtionhallinnon maksuihin perustumattomia </w:t>
            </w:r>
            <w:r>
              <w:rPr>
                <w:noProof/>
              </w:rPr>
              <w:t>taloudellisia etuuksia koskevan järjestelmän uudelleenorganisointia ja yksinkertaistamista koskevan suunnitelman julkaiseminen.</w:t>
            </w:r>
          </w:p>
        </w:tc>
        <w:tc>
          <w:tcPr>
            <w:tcW w:w="992" w:type="dxa"/>
            <w:shd w:val="clear" w:color="auto" w:fill="C6EFCE"/>
            <w:noWrap/>
          </w:tcPr>
          <w:p w14:paraId="3D624739" w14:textId="77777777" w:rsidR="000E48CE" w:rsidRDefault="00FF4C4E">
            <w:pPr>
              <w:pStyle w:val="P68B1DB1-Normal13"/>
              <w:spacing w:after="0" w:line="240" w:lineRule="auto"/>
              <w:jc w:val="center"/>
              <w:rPr>
                <w:rFonts w:eastAsia="Times New Roman" w:cs="Times New Roman"/>
                <w:noProof/>
              </w:rPr>
            </w:pPr>
            <w:r>
              <w:rPr>
                <w:noProof/>
              </w:rPr>
              <w:t>Suunnitelman julkaiseminen Euroopan unionin virallisessa lehdessä</w:t>
            </w:r>
          </w:p>
        </w:tc>
        <w:tc>
          <w:tcPr>
            <w:tcW w:w="850" w:type="dxa"/>
            <w:shd w:val="clear" w:color="auto" w:fill="C6EFCE"/>
            <w:noWrap/>
          </w:tcPr>
          <w:p w14:paraId="7E532068" w14:textId="77777777" w:rsidR="000E48CE" w:rsidRDefault="00FF4C4E">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560F39A7" w14:textId="77777777" w:rsidR="000E48CE" w:rsidRDefault="00FF4C4E">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2123AFE2" w14:textId="77777777" w:rsidR="000E48CE" w:rsidRDefault="00FF4C4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711F405F" w14:textId="77777777" w:rsidR="000E48CE" w:rsidRDefault="00FF4C4E">
            <w:pPr>
              <w:pStyle w:val="P68B1DB1-Normal13"/>
              <w:spacing w:after="0" w:line="240" w:lineRule="auto"/>
              <w:jc w:val="center"/>
              <w:rPr>
                <w:rFonts w:eastAsia="Times New Roman" w:cs="Times New Roman"/>
                <w:noProof/>
              </w:rPr>
            </w:pPr>
            <w:r>
              <w:rPr>
                <w:noProof/>
              </w:rPr>
              <w:t>KOLMAS VUOSINELJÄNNES</w:t>
            </w:r>
          </w:p>
        </w:tc>
        <w:tc>
          <w:tcPr>
            <w:tcW w:w="810" w:type="dxa"/>
            <w:shd w:val="clear" w:color="auto" w:fill="C6EFCE"/>
            <w:noWrap/>
          </w:tcPr>
          <w:p w14:paraId="56F58375" w14:textId="77777777" w:rsidR="000E48CE" w:rsidRDefault="00FF4C4E">
            <w:pPr>
              <w:pStyle w:val="P68B1DB1-Normal13"/>
              <w:spacing w:after="0" w:line="240" w:lineRule="auto"/>
              <w:jc w:val="center"/>
              <w:rPr>
                <w:rFonts w:eastAsia="Times New Roman" w:cs="Times New Roman"/>
                <w:noProof/>
              </w:rPr>
            </w:pPr>
            <w:r>
              <w:rPr>
                <w:noProof/>
              </w:rPr>
              <w:t>2022</w:t>
            </w:r>
          </w:p>
        </w:tc>
        <w:tc>
          <w:tcPr>
            <w:tcW w:w="4860" w:type="dxa"/>
            <w:shd w:val="clear" w:color="auto" w:fill="C6EFCE"/>
            <w:noWrap/>
          </w:tcPr>
          <w:p w14:paraId="23C0FE97" w14:textId="77777777" w:rsidR="000E48CE" w:rsidRDefault="00FF4C4E">
            <w:pPr>
              <w:pStyle w:val="P68B1DB1-Normal13"/>
              <w:spacing w:after="0" w:line="240" w:lineRule="auto"/>
              <w:rPr>
                <w:rFonts w:eastAsia="Times New Roman" w:cs="Times New Roman"/>
                <w:noProof/>
              </w:rPr>
            </w:pPr>
            <w:r>
              <w:rPr>
                <w:noProof/>
              </w:rPr>
              <w:t>Hyväksytään suunnitelma valti</w:t>
            </w:r>
            <w:r>
              <w:rPr>
                <w:noProof/>
              </w:rPr>
              <w:t>onhallinnon maksuihin perustumattomia taloudellisia etuuksia koskevan järjestelmän uudelleenorganisoimiseksi ja yksinkertaistamiseksi (julkaistaan virallisessa lehdessä). Suunnitelmalla on pyrittävä integroimaan maksuihin perustumattomat etuudet tuloturvav</w:t>
            </w:r>
            <w:r>
              <w:rPr>
                <w:noProof/>
              </w:rPr>
              <w:t>älineeseen, jotta voidaan parantaa julkisten varojen vaikuttavuutta ja tehokkuutta ja keskittää ne haavoittuvassa asemassa oleviin tai syrjäytymisvaarassa oleviin henkilöihin. Suunnitelmassa on keskityttävä siihen, että otetaan asianmukaisesti huomioon eri</w:t>
            </w:r>
            <w:r>
              <w:rPr>
                <w:noProof/>
              </w:rPr>
              <w:t>laiset olosuhteet, jotka johtavat ihmisten haavoittuvuuteen, sekä tulotuen riittävyyteen. Tätä varten sen on otettava huomioon toisaalta rakenteelliset tarpeet, kuten kotitaloudet, joissa on lapsia, ja vammaisten henkilöiden tarpeet ja toisaalta kytkettävä</w:t>
            </w:r>
            <w:r>
              <w:rPr>
                <w:noProof/>
              </w:rPr>
              <w:t xml:space="preserve"> tulotuki aktiiviseen työllistymiseen ja vältettävä köyhyysloukkuja. Suunnitelmassa on tarkasteltava kaikkia olemassa olevia maksuihin perustumattomia, jotta ne voidaan integroida asteittain ja ajan mittaan yhteen kansalliseen järjestelmään sen varmistamis</w:t>
            </w:r>
            <w:r>
              <w:rPr>
                <w:noProof/>
              </w:rPr>
              <w:t xml:space="preserve">eksi, että suunnitelman tavoite saavutetaan kokonaisuudessaan. </w:t>
            </w:r>
          </w:p>
        </w:tc>
      </w:tr>
      <w:tr w:rsidR="000E48CE" w14:paraId="6C6E9BC7" w14:textId="77777777">
        <w:trPr>
          <w:trHeight w:val="309"/>
        </w:trPr>
        <w:tc>
          <w:tcPr>
            <w:tcW w:w="709" w:type="dxa"/>
            <w:shd w:val="clear" w:color="auto" w:fill="C6EFCE"/>
            <w:noWrap/>
          </w:tcPr>
          <w:p w14:paraId="48573F50" w14:textId="77777777" w:rsidR="000E48CE" w:rsidRDefault="00FF4C4E">
            <w:pPr>
              <w:pStyle w:val="P68B1DB1-Normal13"/>
              <w:spacing w:after="0" w:line="240" w:lineRule="auto"/>
              <w:jc w:val="center"/>
              <w:rPr>
                <w:rFonts w:eastAsia="Times New Roman" w:cs="Times New Roman"/>
                <w:noProof/>
              </w:rPr>
            </w:pPr>
            <w:r>
              <w:rPr>
                <w:noProof/>
              </w:rPr>
              <w:t>320</w:t>
            </w:r>
          </w:p>
        </w:tc>
        <w:tc>
          <w:tcPr>
            <w:tcW w:w="851" w:type="dxa"/>
            <w:shd w:val="clear" w:color="auto" w:fill="C6EFCE"/>
            <w:noWrap/>
          </w:tcPr>
          <w:p w14:paraId="5624C883" w14:textId="77777777" w:rsidR="000E48CE" w:rsidRDefault="00FF4C4E">
            <w:pPr>
              <w:pStyle w:val="P68B1DB1-Normal13"/>
              <w:spacing w:after="0" w:line="240" w:lineRule="auto"/>
              <w:jc w:val="center"/>
              <w:rPr>
                <w:rFonts w:eastAsia="Times New Roman" w:cs="Times New Roman"/>
                <w:noProof/>
              </w:rPr>
            </w:pPr>
            <w:r>
              <w:rPr>
                <w:noProof/>
              </w:rPr>
              <w:t>C22.R5</w:t>
            </w:r>
          </w:p>
        </w:tc>
        <w:tc>
          <w:tcPr>
            <w:tcW w:w="992" w:type="dxa"/>
            <w:shd w:val="clear" w:color="auto" w:fill="C6EFCE"/>
            <w:noWrap/>
          </w:tcPr>
          <w:p w14:paraId="5C2D2B5F"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4BE5B6ED" w14:textId="77777777" w:rsidR="000E48CE" w:rsidRDefault="00FF4C4E">
            <w:pPr>
              <w:pStyle w:val="P68B1DB1-Normal13"/>
              <w:spacing w:after="0" w:line="240" w:lineRule="auto"/>
              <w:rPr>
                <w:rFonts w:eastAsia="Times New Roman" w:cs="Times New Roman"/>
                <w:noProof/>
              </w:rPr>
            </w:pPr>
            <w:r>
              <w:rPr>
                <w:noProof/>
              </w:rPr>
              <w:t>Maksuihin perustumattomia taloudellisia etuuksia koskevan järjestelmän uudelleenorganisointia ja yksinkertaistamista koskevan lainsäädännön voimaantulo</w:t>
            </w:r>
          </w:p>
        </w:tc>
        <w:tc>
          <w:tcPr>
            <w:tcW w:w="992" w:type="dxa"/>
            <w:shd w:val="clear" w:color="auto" w:fill="C6EFCE"/>
            <w:noWrap/>
          </w:tcPr>
          <w:p w14:paraId="46A76CA7" w14:textId="77777777" w:rsidR="000E48CE" w:rsidRDefault="00FF4C4E">
            <w:pPr>
              <w:pStyle w:val="P68B1DB1-Normal13"/>
              <w:spacing w:after="0" w:line="240" w:lineRule="auto"/>
              <w:jc w:val="center"/>
              <w:rPr>
                <w:rFonts w:eastAsia="Times New Roman" w:cs="Times New Roman"/>
                <w:noProof/>
              </w:rPr>
            </w:pPr>
            <w:r>
              <w:rPr>
                <w:noProof/>
              </w:rPr>
              <w:t xml:space="preserve">Lain voimaantulon osoittava lain säännös </w:t>
            </w:r>
          </w:p>
        </w:tc>
        <w:tc>
          <w:tcPr>
            <w:tcW w:w="850" w:type="dxa"/>
            <w:shd w:val="clear" w:color="auto" w:fill="C6EFCE"/>
            <w:noWrap/>
          </w:tcPr>
          <w:p w14:paraId="2000123E"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3DC8AA9E"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56463DEC"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5FC26E5C" w14:textId="77777777" w:rsidR="000E48CE" w:rsidRDefault="00FF4C4E">
            <w:pPr>
              <w:pStyle w:val="P68B1DB1-Normal13"/>
              <w:spacing w:after="0" w:line="240" w:lineRule="auto"/>
              <w:jc w:val="center"/>
              <w:rPr>
                <w:rFonts w:eastAsia="Times New Roman" w:cs="Times New Roman"/>
                <w:noProof/>
              </w:rPr>
            </w:pPr>
            <w:r>
              <w:rPr>
                <w:noProof/>
              </w:rPr>
              <w:t>Q4</w:t>
            </w:r>
          </w:p>
        </w:tc>
        <w:tc>
          <w:tcPr>
            <w:tcW w:w="810" w:type="dxa"/>
            <w:shd w:val="clear" w:color="auto" w:fill="C6EFCE"/>
            <w:noWrap/>
          </w:tcPr>
          <w:p w14:paraId="4110A147" w14:textId="77777777" w:rsidR="000E48CE" w:rsidRDefault="00FF4C4E">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3608032D" w14:textId="77777777" w:rsidR="000E48CE" w:rsidRDefault="00FF4C4E">
            <w:pPr>
              <w:pStyle w:val="P68B1DB1-Normal13"/>
              <w:spacing w:after="0" w:line="240" w:lineRule="auto"/>
              <w:rPr>
                <w:rFonts w:eastAsia="Times New Roman" w:cs="Times New Roman"/>
                <w:noProof/>
              </w:rPr>
            </w:pPr>
            <w:r>
              <w:rPr>
                <w:noProof/>
              </w:rPr>
              <w:t>Uudistuksella organisoidaan ja yksinkertaistetaan maksuihin perustumattomien rahaetuuksien järjestelmää. Uudistuksen tavoitteena on sisällyttää vähimmäistoimeentulojärjestelmään (IMV) pohjautuvaan väl</w:t>
            </w:r>
            <w:r>
              <w:rPr>
                <w:noProof/>
              </w:rPr>
              <w:t>ineeseen tärkeimmät maksuihin perustumattomat valtionhallinnon tarjoamat maksuihin perustumattomat etuudet sekä organisoida uudelleen ja yksinkertaistaa maksuihin perustumattomien taloudellisten etuuksien järjestelmää sen tavoitteen mukaisesti, joka on suu</w:t>
            </w:r>
            <w:r>
              <w:rPr>
                <w:noProof/>
              </w:rPr>
              <w:t>nnitelma valtionhallinnon maksuihin perustumattomia taloudellisia etuuksia koskevan järjestelmän uudelleenjärjestämiseksi ja yksinkertaistamiseksi.</w:t>
            </w:r>
          </w:p>
        </w:tc>
      </w:tr>
      <w:tr w:rsidR="000E48CE" w14:paraId="26922172" w14:textId="77777777">
        <w:trPr>
          <w:trHeight w:val="309"/>
        </w:trPr>
        <w:tc>
          <w:tcPr>
            <w:tcW w:w="709" w:type="dxa"/>
            <w:shd w:val="clear" w:color="auto" w:fill="C6EFCE"/>
            <w:noWrap/>
          </w:tcPr>
          <w:p w14:paraId="6A5B179A" w14:textId="77777777" w:rsidR="000E48CE" w:rsidRDefault="00FF4C4E">
            <w:pPr>
              <w:pStyle w:val="P68B1DB1-Normal13"/>
              <w:spacing w:after="0" w:line="240" w:lineRule="auto"/>
              <w:jc w:val="center"/>
              <w:rPr>
                <w:rFonts w:cs="Times New Roman"/>
                <w:noProof/>
              </w:rPr>
            </w:pPr>
            <w:r>
              <w:rPr>
                <w:noProof/>
              </w:rPr>
              <w:t>321</w:t>
            </w:r>
          </w:p>
        </w:tc>
        <w:tc>
          <w:tcPr>
            <w:tcW w:w="851" w:type="dxa"/>
            <w:shd w:val="clear" w:color="auto" w:fill="C6EFCE"/>
            <w:noWrap/>
          </w:tcPr>
          <w:p w14:paraId="43A567F4" w14:textId="77777777" w:rsidR="000E48CE" w:rsidRDefault="00FF4C4E">
            <w:pPr>
              <w:pStyle w:val="P68B1DB1-Normal13"/>
              <w:spacing w:after="0" w:line="240" w:lineRule="auto"/>
              <w:jc w:val="center"/>
              <w:rPr>
                <w:rFonts w:cs="Times New Roman"/>
                <w:noProof/>
              </w:rPr>
            </w:pPr>
            <w:r>
              <w:rPr>
                <w:noProof/>
              </w:rPr>
              <w:t>C22.I1</w:t>
            </w:r>
          </w:p>
        </w:tc>
        <w:tc>
          <w:tcPr>
            <w:tcW w:w="992" w:type="dxa"/>
            <w:shd w:val="clear" w:color="auto" w:fill="C6EFCE"/>
            <w:noWrap/>
          </w:tcPr>
          <w:p w14:paraId="3B91E2E4" w14:textId="77777777" w:rsidR="000E48CE" w:rsidRDefault="00FF4C4E">
            <w:pPr>
              <w:pStyle w:val="P68B1DB1-Normal13"/>
              <w:spacing w:after="0" w:line="240" w:lineRule="auto"/>
              <w:jc w:val="center"/>
              <w:rPr>
                <w:rFonts w:cs="Times New Roman"/>
                <w:noProof/>
              </w:rPr>
            </w:pPr>
            <w:r>
              <w:rPr>
                <w:noProof/>
              </w:rPr>
              <w:t>T</w:t>
            </w:r>
          </w:p>
        </w:tc>
        <w:tc>
          <w:tcPr>
            <w:tcW w:w="3119" w:type="dxa"/>
            <w:shd w:val="clear" w:color="auto" w:fill="C6EFCE"/>
            <w:noWrap/>
          </w:tcPr>
          <w:p w14:paraId="66BA2A34" w14:textId="77777777" w:rsidR="000E48CE" w:rsidRDefault="00FF4C4E">
            <w:pPr>
              <w:pStyle w:val="P68B1DB1-Normal13"/>
              <w:spacing w:after="0" w:line="240" w:lineRule="auto"/>
              <w:rPr>
                <w:rFonts w:cs="Times New Roman"/>
                <w:noProof/>
              </w:rPr>
            </w:pPr>
            <w:r>
              <w:rPr>
                <w:noProof/>
              </w:rPr>
              <w:t>Sosiaalisten oikeuksien ministeriön ja Agenda 2030:n toteuttamat hankkeet</w:t>
            </w:r>
          </w:p>
        </w:tc>
        <w:tc>
          <w:tcPr>
            <w:tcW w:w="992" w:type="dxa"/>
            <w:shd w:val="clear" w:color="auto" w:fill="C6EFCE"/>
            <w:noWrap/>
          </w:tcPr>
          <w:p w14:paraId="0EF203E1" w14:textId="77777777" w:rsidR="000E48CE" w:rsidRDefault="00FF4C4E">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758B934B" w14:textId="77777777" w:rsidR="000E48CE" w:rsidRDefault="00FF4C4E">
            <w:pPr>
              <w:pStyle w:val="P68B1DB1-Normal13"/>
              <w:spacing w:after="0" w:line="240" w:lineRule="auto"/>
              <w:jc w:val="center"/>
              <w:rPr>
                <w:rFonts w:cs="Times New Roman"/>
                <w:noProof/>
              </w:rPr>
            </w:pPr>
            <w:r>
              <w:rPr>
                <w:noProof/>
              </w:rPr>
              <w:t>Määrä</w:t>
            </w:r>
          </w:p>
        </w:tc>
        <w:tc>
          <w:tcPr>
            <w:tcW w:w="851" w:type="dxa"/>
            <w:shd w:val="clear" w:color="auto" w:fill="C6EFCE"/>
            <w:noWrap/>
          </w:tcPr>
          <w:p w14:paraId="069EAC2B" w14:textId="77777777" w:rsidR="000E48CE" w:rsidRDefault="00FF4C4E">
            <w:pPr>
              <w:pStyle w:val="P68B1DB1-Normal13"/>
              <w:spacing w:after="0" w:line="240" w:lineRule="auto"/>
              <w:jc w:val="center"/>
              <w:rPr>
                <w:rFonts w:cs="Times New Roman"/>
                <w:noProof/>
              </w:rPr>
            </w:pPr>
            <w:r>
              <w:rPr>
                <w:noProof/>
              </w:rPr>
              <w:t>0</w:t>
            </w:r>
          </w:p>
        </w:tc>
        <w:tc>
          <w:tcPr>
            <w:tcW w:w="709" w:type="dxa"/>
            <w:shd w:val="clear" w:color="auto" w:fill="C6EFCE"/>
            <w:noWrap/>
          </w:tcPr>
          <w:p w14:paraId="103FB448" w14:textId="77777777" w:rsidR="000E48CE" w:rsidRDefault="00FF4C4E">
            <w:pPr>
              <w:pStyle w:val="P68B1DB1-Normal13"/>
              <w:spacing w:after="0" w:line="240" w:lineRule="auto"/>
              <w:jc w:val="center"/>
              <w:rPr>
                <w:rFonts w:cs="Times New Roman"/>
                <w:noProof/>
              </w:rPr>
            </w:pPr>
            <w:r>
              <w:rPr>
                <w:noProof/>
              </w:rPr>
              <w:t>4</w:t>
            </w:r>
          </w:p>
        </w:tc>
        <w:tc>
          <w:tcPr>
            <w:tcW w:w="567" w:type="dxa"/>
            <w:shd w:val="clear" w:color="auto" w:fill="C6EFCE"/>
            <w:noWrap/>
          </w:tcPr>
          <w:p w14:paraId="76F3ECA5" w14:textId="77777777" w:rsidR="000E48CE" w:rsidRDefault="00FF4C4E">
            <w:pPr>
              <w:pStyle w:val="P68B1DB1-Normal13"/>
              <w:spacing w:after="0" w:line="240" w:lineRule="auto"/>
              <w:jc w:val="center"/>
              <w:rPr>
                <w:rFonts w:cs="Times New Roman"/>
                <w:noProof/>
              </w:rPr>
            </w:pPr>
            <w:r>
              <w:rPr>
                <w:noProof/>
              </w:rPr>
              <w:t>Q2</w:t>
            </w:r>
          </w:p>
        </w:tc>
        <w:tc>
          <w:tcPr>
            <w:tcW w:w="810" w:type="dxa"/>
            <w:shd w:val="clear" w:color="auto" w:fill="C6EFCE"/>
            <w:noWrap/>
          </w:tcPr>
          <w:p w14:paraId="06CA6284" w14:textId="77777777" w:rsidR="000E48CE" w:rsidRDefault="00FF4C4E">
            <w:pPr>
              <w:pStyle w:val="P68B1DB1-Normal13"/>
              <w:spacing w:after="0" w:line="240" w:lineRule="auto"/>
              <w:jc w:val="center"/>
              <w:rPr>
                <w:rFonts w:cs="Times New Roman"/>
                <w:noProof/>
              </w:rPr>
            </w:pPr>
            <w:r>
              <w:rPr>
                <w:noProof/>
              </w:rPr>
              <w:t>2023</w:t>
            </w:r>
          </w:p>
        </w:tc>
        <w:tc>
          <w:tcPr>
            <w:tcW w:w="4860" w:type="dxa"/>
            <w:shd w:val="clear" w:color="auto" w:fill="C6EFCE"/>
            <w:noWrap/>
          </w:tcPr>
          <w:p w14:paraId="1D321D13" w14:textId="7144CD1C" w:rsidR="000E48CE" w:rsidRDefault="00FF4C4E">
            <w:pPr>
              <w:pStyle w:val="P68B1DB1-Normal13"/>
              <w:spacing w:after="0" w:line="240" w:lineRule="auto"/>
              <w:rPr>
                <w:rFonts w:cs="Times New Roman"/>
                <w:noProof/>
              </w:rPr>
            </w:pPr>
            <w:r>
              <w:rPr>
                <w:noProof/>
              </w:rPr>
              <w:t>Laitoshoidosta luopumista koskevien neljän pilottihankkeen loppuun saattaminen. Niistä yksi keskittyy kehitysvammaisten tukemiseen ja hoitoon, ja vähintään 1100 IMSERSOn paikkaa vastaavien keskusten uudistaminen.</w:t>
            </w:r>
          </w:p>
        </w:tc>
      </w:tr>
      <w:tr w:rsidR="000E48CE" w14:paraId="20858E97" w14:textId="77777777">
        <w:trPr>
          <w:trHeight w:val="309"/>
        </w:trPr>
        <w:tc>
          <w:tcPr>
            <w:tcW w:w="709" w:type="dxa"/>
            <w:shd w:val="clear" w:color="auto" w:fill="C6EFCE"/>
            <w:noWrap/>
          </w:tcPr>
          <w:p w14:paraId="5D7EDB91" w14:textId="78295F2D" w:rsidR="000E48CE" w:rsidRDefault="00FF4C4E">
            <w:pPr>
              <w:pStyle w:val="P68B1DB1-Normal13"/>
              <w:spacing w:after="0" w:line="240" w:lineRule="auto"/>
              <w:jc w:val="center"/>
              <w:rPr>
                <w:rFonts w:cs="Times New Roman"/>
                <w:noProof/>
              </w:rPr>
            </w:pPr>
            <w:r>
              <w:rPr>
                <w:noProof/>
              </w:rPr>
              <w:t>470</w:t>
            </w:r>
          </w:p>
        </w:tc>
        <w:tc>
          <w:tcPr>
            <w:tcW w:w="851" w:type="dxa"/>
            <w:shd w:val="clear" w:color="auto" w:fill="C6EFCE"/>
            <w:noWrap/>
          </w:tcPr>
          <w:p w14:paraId="66BA266F" w14:textId="66352BF8" w:rsidR="000E48CE" w:rsidRDefault="00FF4C4E">
            <w:pPr>
              <w:pStyle w:val="P68B1DB1-Normal13"/>
              <w:spacing w:after="0" w:line="240" w:lineRule="auto"/>
              <w:jc w:val="center"/>
              <w:rPr>
                <w:rFonts w:cs="Times New Roman"/>
                <w:noProof/>
              </w:rPr>
            </w:pPr>
            <w:r>
              <w:rPr>
                <w:noProof/>
              </w:rPr>
              <w:t>C22.I1</w:t>
            </w:r>
          </w:p>
        </w:tc>
        <w:tc>
          <w:tcPr>
            <w:tcW w:w="992" w:type="dxa"/>
            <w:shd w:val="clear" w:color="auto" w:fill="C6EFCE"/>
            <w:noWrap/>
          </w:tcPr>
          <w:p w14:paraId="0E616B96" w14:textId="20E4B538" w:rsidR="000E48CE" w:rsidRDefault="00FF4C4E">
            <w:pPr>
              <w:pStyle w:val="P68B1DB1-Normal13"/>
              <w:spacing w:after="0" w:line="240" w:lineRule="auto"/>
              <w:jc w:val="center"/>
              <w:rPr>
                <w:rFonts w:cs="Times New Roman"/>
                <w:noProof/>
              </w:rPr>
            </w:pPr>
            <w:r>
              <w:rPr>
                <w:noProof/>
              </w:rPr>
              <w:t>T</w:t>
            </w:r>
          </w:p>
        </w:tc>
        <w:tc>
          <w:tcPr>
            <w:tcW w:w="3119" w:type="dxa"/>
            <w:shd w:val="clear" w:color="auto" w:fill="C6EFCE"/>
            <w:noWrap/>
          </w:tcPr>
          <w:p w14:paraId="4A690540" w14:textId="0108DCF2" w:rsidR="000E48CE" w:rsidRDefault="00FF4C4E">
            <w:pPr>
              <w:pStyle w:val="P68B1DB1-Normal13"/>
              <w:spacing w:after="0" w:line="240" w:lineRule="auto"/>
              <w:rPr>
                <w:rFonts w:cs="Times New Roman"/>
                <w:noProof/>
              </w:rPr>
            </w:pPr>
            <w:r>
              <w:rPr>
                <w:noProof/>
              </w:rPr>
              <w:t xml:space="preserve">Asuintilat, muut kuin asuin- ja päivähoitopaikat.  </w:t>
            </w:r>
          </w:p>
        </w:tc>
        <w:tc>
          <w:tcPr>
            <w:tcW w:w="992" w:type="dxa"/>
            <w:shd w:val="clear" w:color="auto" w:fill="C6EFCE"/>
            <w:noWrap/>
          </w:tcPr>
          <w:p w14:paraId="39FB4516"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779638DA" w14:textId="4C10DAD9" w:rsidR="000E48CE" w:rsidRDefault="00FF4C4E">
            <w:pPr>
              <w:pStyle w:val="P68B1DB1-Normal13"/>
              <w:spacing w:after="0" w:line="240" w:lineRule="auto"/>
              <w:jc w:val="center"/>
              <w:rPr>
                <w:rFonts w:cs="Times New Roman"/>
                <w:noProof/>
              </w:rPr>
            </w:pPr>
            <w:r>
              <w:rPr>
                <w:noProof/>
              </w:rPr>
              <w:t>Miljoonaa euroa</w:t>
            </w:r>
          </w:p>
        </w:tc>
        <w:tc>
          <w:tcPr>
            <w:tcW w:w="851" w:type="dxa"/>
            <w:shd w:val="clear" w:color="auto" w:fill="C6EFCE"/>
            <w:noWrap/>
          </w:tcPr>
          <w:p w14:paraId="590FF78F" w14:textId="3DA893BF" w:rsidR="000E48CE" w:rsidRDefault="00FF4C4E">
            <w:pPr>
              <w:pStyle w:val="P68B1DB1-Normal13"/>
              <w:spacing w:after="0" w:line="240" w:lineRule="auto"/>
              <w:jc w:val="center"/>
              <w:rPr>
                <w:rFonts w:cs="Times New Roman"/>
                <w:noProof/>
              </w:rPr>
            </w:pPr>
            <w:r>
              <w:rPr>
                <w:noProof/>
              </w:rPr>
              <w:t>0</w:t>
            </w:r>
          </w:p>
        </w:tc>
        <w:tc>
          <w:tcPr>
            <w:tcW w:w="709" w:type="dxa"/>
            <w:shd w:val="clear" w:color="auto" w:fill="C6EFCE"/>
            <w:noWrap/>
          </w:tcPr>
          <w:p w14:paraId="5499063C" w14:textId="0738CE52" w:rsidR="000E48CE" w:rsidRDefault="00FF4C4E">
            <w:pPr>
              <w:pStyle w:val="P68B1DB1-Normal13"/>
              <w:spacing w:after="0" w:line="240" w:lineRule="auto"/>
              <w:jc w:val="center"/>
              <w:rPr>
                <w:rFonts w:cs="Times New Roman"/>
                <w:noProof/>
              </w:rPr>
            </w:pPr>
            <w:r>
              <w:rPr>
                <w:noProof/>
              </w:rPr>
              <w:t>1 355</w:t>
            </w:r>
          </w:p>
        </w:tc>
        <w:tc>
          <w:tcPr>
            <w:tcW w:w="567" w:type="dxa"/>
            <w:shd w:val="clear" w:color="auto" w:fill="C6EFCE"/>
            <w:noWrap/>
          </w:tcPr>
          <w:p w14:paraId="0D910B1C" w14:textId="294FE1A7" w:rsidR="000E48CE" w:rsidRDefault="00FF4C4E">
            <w:pPr>
              <w:pStyle w:val="P68B1DB1-Normal13"/>
              <w:spacing w:after="0" w:line="240" w:lineRule="auto"/>
              <w:jc w:val="center"/>
              <w:rPr>
                <w:rFonts w:cs="Times New Roman"/>
                <w:noProof/>
              </w:rPr>
            </w:pPr>
            <w:r>
              <w:rPr>
                <w:noProof/>
              </w:rPr>
              <w:t>Q2</w:t>
            </w:r>
          </w:p>
        </w:tc>
        <w:tc>
          <w:tcPr>
            <w:tcW w:w="810" w:type="dxa"/>
            <w:shd w:val="clear" w:color="auto" w:fill="C6EFCE"/>
            <w:noWrap/>
          </w:tcPr>
          <w:p w14:paraId="1063E673" w14:textId="7890908B" w:rsidR="000E48CE" w:rsidRDefault="00FF4C4E">
            <w:pPr>
              <w:pStyle w:val="P68B1DB1-Normal13"/>
              <w:spacing w:after="0" w:line="240" w:lineRule="auto"/>
              <w:jc w:val="center"/>
              <w:rPr>
                <w:rFonts w:cs="Times New Roman"/>
                <w:noProof/>
              </w:rPr>
            </w:pPr>
            <w:r>
              <w:rPr>
                <w:noProof/>
              </w:rPr>
              <w:t>2024</w:t>
            </w:r>
          </w:p>
        </w:tc>
        <w:tc>
          <w:tcPr>
            <w:tcW w:w="4860" w:type="dxa"/>
            <w:shd w:val="clear" w:color="auto" w:fill="C6EFCE"/>
            <w:noWrap/>
          </w:tcPr>
          <w:p w14:paraId="638C82DF" w14:textId="5D060C45" w:rsidR="000E48CE" w:rsidRDefault="00FF4C4E">
            <w:pPr>
              <w:pStyle w:val="P68B1DB1-Normal13"/>
              <w:spacing w:after="0" w:line="240" w:lineRule="auto"/>
              <w:rPr>
                <w:rFonts w:cs="Times New Roman"/>
                <w:noProof/>
              </w:rPr>
            </w:pPr>
            <w:r>
              <w:rPr>
                <w:noProof/>
              </w:rPr>
              <w:t>Julkaistaan Euroopan unionin virallisessa lehdessä tai julkisten hankintojen alustalla vähintään 1355000000 euron hankintasopimus, joka koskee asuin-, muiden kuin asuin- j</w:t>
            </w:r>
            <w:r>
              <w:rPr>
                <w:noProof/>
              </w:rPr>
              <w:t xml:space="preserve">a päivähoitokeskusten kunnostamista ja rakentamista niiden mukauttamiseksi uuteen pitkäaikaishoitomalliin. </w:t>
            </w:r>
          </w:p>
        </w:tc>
      </w:tr>
      <w:tr w:rsidR="000E48CE" w14:paraId="008805E7" w14:textId="77777777">
        <w:trPr>
          <w:trHeight w:val="309"/>
        </w:trPr>
        <w:tc>
          <w:tcPr>
            <w:tcW w:w="709" w:type="dxa"/>
            <w:shd w:val="clear" w:color="auto" w:fill="C6EFCE"/>
            <w:noWrap/>
          </w:tcPr>
          <w:p w14:paraId="4F19C717" w14:textId="77777777" w:rsidR="000E48CE" w:rsidRDefault="00FF4C4E">
            <w:pPr>
              <w:pStyle w:val="P68B1DB1-Normal13"/>
              <w:spacing w:after="0" w:line="240" w:lineRule="auto"/>
              <w:jc w:val="center"/>
              <w:rPr>
                <w:rFonts w:cs="Times New Roman"/>
                <w:noProof/>
              </w:rPr>
            </w:pPr>
            <w:r>
              <w:rPr>
                <w:noProof/>
              </w:rPr>
              <w:t>322</w:t>
            </w:r>
          </w:p>
        </w:tc>
        <w:tc>
          <w:tcPr>
            <w:tcW w:w="851" w:type="dxa"/>
            <w:shd w:val="clear" w:color="auto" w:fill="C6EFCE"/>
            <w:noWrap/>
          </w:tcPr>
          <w:p w14:paraId="2AF78B6F" w14:textId="77777777" w:rsidR="000E48CE" w:rsidRDefault="00FF4C4E">
            <w:pPr>
              <w:pStyle w:val="P68B1DB1-Normal13"/>
              <w:spacing w:after="0" w:line="240" w:lineRule="auto"/>
              <w:jc w:val="center"/>
              <w:rPr>
                <w:rFonts w:cs="Times New Roman"/>
                <w:noProof/>
              </w:rPr>
            </w:pPr>
            <w:r>
              <w:rPr>
                <w:noProof/>
              </w:rPr>
              <w:t>C22.I1</w:t>
            </w:r>
          </w:p>
        </w:tc>
        <w:tc>
          <w:tcPr>
            <w:tcW w:w="992" w:type="dxa"/>
            <w:shd w:val="clear" w:color="auto" w:fill="C6EFCE"/>
            <w:noWrap/>
          </w:tcPr>
          <w:p w14:paraId="75ACDF23" w14:textId="77777777" w:rsidR="000E48CE" w:rsidRDefault="00FF4C4E">
            <w:pPr>
              <w:pStyle w:val="P68B1DB1-Normal13"/>
              <w:spacing w:after="0" w:line="240" w:lineRule="auto"/>
              <w:jc w:val="center"/>
              <w:rPr>
                <w:rFonts w:cs="Times New Roman"/>
                <w:noProof/>
              </w:rPr>
            </w:pPr>
            <w:r>
              <w:rPr>
                <w:noProof/>
              </w:rPr>
              <w:t>T</w:t>
            </w:r>
          </w:p>
        </w:tc>
        <w:tc>
          <w:tcPr>
            <w:tcW w:w="3119" w:type="dxa"/>
            <w:shd w:val="clear" w:color="auto" w:fill="C6EFCE"/>
            <w:noWrap/>
          </w:tcPr>
          <w:p w14:paraId="03F93C4D" w14:textId="77777777" w:rsidR="000E48CE" w:rsidRDefault="00FF4C4E">
            <w:pPr>
              <w:pStyle w:val="P68B1DB1-Normal13"/>
              <w:spacing w:after="0" w:line="240" w:lineRule="auto"/>
              <w:rPr>
                <w:rFonts w:cs="Times New Roman"/>
                <w:noProof/>
              </w:rPr>
            </w:pPr>
            <w:r>
              <w:rPr>
                <w:noProof/>
              </w:rPr>
              <w:t xml:space="preserve">Kotihoitopalvelut itsehallinto- ja hoivajärjestelmässä (SAAD) </w:t>
            </w:r>
          </w:p>
        </w:tc>
        <w:tc>
          <w:tcPr>
            <w:tcW w:w="992" w:type="dxa"/>
            <w:shd w:val="clear" w:color="auto" w:fill="C6EFCE"/>
            <w:noWrap/>
          </w:tcPr>
          <w:p w14:paraId="0B8B0FBF" w14:textId="77777777" w:rsidR="000E48CE" w:rsidRDefault="00FF4C4E">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70E7C795" w14:textId="18C9BE08" w:rsidR="000E48CE" w:rsidRDefault="00FF4C4E">
            <w:pPr>
              <w:pStyle w:val="P68B1DB1-Normal13"/>
              <w:spacing w:after="0" w:line="240" w:lineRule="auto"/>
              <w:jc w:val="center"/>
              <w:rPr>
                <w:rFonts w:cs="Times New Roman"/>
                <w:noProof/>
              </w:rPr>
            </w:pPr>
            <w:r>
              <w:rPr>
                <w:noProof/>
              </w:rPr>
              <w:t>Miljoonaa euroa</w:t>
            </w:r>
          </w:p>
        </w:tc>
        <w:tc>
          <w:tcPr>
            <w:tcW w:w="851" w:type="dxa"/>
            <w:shd w:val="clear" w:color="auto" w:fill="C6EFCE"/>
            <w:noWrap/>
          </w:tcPr>
          <w:p w14:paraId="06E09DFC" w14:textId="0E8BE617" w:rsidR="000E48CE" w:rsidRDefault="00FF4C4E">
            <w:pPr>
              <w:pStyle w:val="P68B1DB1-Normal13"/>
              <w:spacing w:after="0" w:line="240" w:lineRule="auto"/>
              <w:jc w:val="center"/>
              <w:rPr>
                <w:rFonts w:cs="Times New Roman"/>
                <w:noProof/>
              </w:rPr>
            </w:pPr>
            <w:r>
              <w:rPr>
                <w:noProof/>
              </w:rPr>
              <w:t>0</w:t>
            </w:r>
          </w:p>
        </w:tc>
        <w:tc>
          <w:tcPr>
            <w:tcW w:w="709" w:type="dxa"/>
            <w:shd w:val="clear" w:color="auto" w:fill="C6EFCE"/>
            <w:noWrap/>
          </w:tcPr>
          <w:p w14:paraId="721993F3" w14:textId="4751187B" w:rsidR="000E48CE" w:rsidRDefault="00FF4C4E">
            <w:pPr>
              <w:pStyle w:val="P68B1DB1-Normal13"/>
              <w:spacing w:after="0" w:line="240" w:lineRule="auto"/>
              <w:jc w:val="center"/>
              <w:rPr>
                <w:rFonts w:cs="Times New Roman"/>
                <w:noProof/>
              </w:rPr>
            </w:pPr>
            <w:r>
              <w:rPr>
                <w:noProof/>
              </w:rPr>
              <w:t>304</w:t>
            </w:r>
          </w:p>
        </w:tc>
        <w:tc>
          <w:tcPr>
            <w:tcW w:w="567" w:type="dxa"/>
            <w:shd w:val="clear" w:color="auto" w:fill="C6EFCE"/>
            <w:noWrap/>
          </w:tcPr>
          <w:p w14:paraId="5A4DD573" w14:textId="0D250DB7" w:rsidR="000E48CE" w:rsidRDefault="00FF4C4E">
            <w:pPr>
              <w:pStyle w:val="P68B1DB1-Normal13"/>
              <w:spacing w:after="0" w:line="240" w:lineRule="auto"/>
              <w:jc w:val="center"/>
              <w:rPr>
                <w:rFonts w:cs="Times New Roman"/>
                <w:noProof/>
              </w:rPr>
            </w:pPr>
            <w:r>
              <w:rPr>
                <w:noProof/>
              </w:rPr>
              <w:t>Q1</w:t>
            </w:r>
          </w:p>
        </w:tc>
        <w:tc>
          <w:tcPr>
            <w:tcW w:w="810" w:type="dxa"/>
            <w:shd w:val="clear" w:color="auto" w:fill="C6EFCE"/>
            <w:noWrap/>
          </w:tcPr>
          <w:p w14:paraId="77028680" w14:textId="618BCF97" w:rsidR="000E48CE" w:rsidRDefault="00FF4C4E">
            <w:pPr>
              <w:pStyle w:val="P68B1DB1-Normal13"/>
              <w:spacing w:after="0" w:line="240" w:lineRule="auto"/>
              <w:jc w:val="center"/>
              <w:rPr>
                <w:rFonts w:cs="Times New Roman"/>
                <w:noProof/>
              </w:rPr>
            </w:pPr>
            <w:r>
              <w:rPr>
                <w:noProof/>
              </w:rPr>
              <w:t>2025</w:t>
            </w:r>
          </w:p>
        </w:tc>
        <w:tc>
          <w:tcPr>
            <w:tcW w:w="4860" w:type="dxa"/>
            <w:shd w:val="clear" w:color="auto" w:fill="C6EFCE"/>
            <w:noWrap/>
          </w:tcPr>
          <w:p w14:paraId="36EEC1A7" w14:textId="5179343A" w:rsidR="000E48CE" w:rsidRDefault="00FF4C4E">
            <w:pPr>
              <w:pStyle w:val="P68B1DB1-Normal13"/>
              <w:spacing w:after="0" w:line="240" w:lineRule="auto"/>
              <w:rPr>
                <w:rFonts w:cs="Times New Roman"/>
                <w:noProof/>
              </w:rPr>
            </w:pPr>
            <w:r>
              <w:rPr>
                <w:noProof/>
              </w:rPr>
              <w:t>Uudet etähoitopalvelut, jotka on otettu</w:t>
            </w:r>
            <w:r>
              <w:rPr>
                <w:noProof/>
              </w:rPr>
              <w:t xml:space="preserve"> käyttöön vähintään 304000000 euron arvosta. Perustaso: Maaliskuuta 2020.</w:t>
            </w:r>
          </w:p>
        </w:tc>
      </w:tr>
      <w:tr w:rsidR="000E48CE" w14:paraId="05E33DE8" w14:textId="77777777">
        <w:trPr>
          <w:trHeight w:val="309"/>
        </w:trPr>
        <w:tc>
          <w:tcPr>
            <w:tcW w:w="709" w:type="dxa"/>
            <w:shd w:val="clear" w:color="auto" w:fill="C6EFCE"/>
            <w:noWrap/>
          </w:tcPr>
          <w:p w14:paraId="2FD3EAD3" w14:textId="77777777" w:rsidR="000E48CE" w:rsidRDefault="00FF4C4E">
            <w:pPr>
              <w:pStyle w:val="P68B1DB1-Normal13"/>
              <w:spacing w:after="0" w:line="240" w:lineRule="auto"/>
              <w:jc w:val="center"/>
              <w:rPr>
                <w:rFonts w:cs="Times New Roman"/>
                <w:noProof/>
              </w:rPr>
            </w:pPr>
            <w:r>
              <w:rPr>
                <w:noProof/>
              </w:rPr>
              <w:t>323</w:t>
            </w:r>
          </w:p>
        </w:tc>
        <w:tc>
          <w:tcPr>
            <w:tcW w:w="851" w:type="dxa"/>
            <w:shd w:val="clear" w:color="auto" w:fill="C6EFCE"/>
            <w:noWrap/>
          </w:tcPr>
          <w:p w14:paraId="6FE46AD4" w14:textId="77777777" w:rsidR="000E48CE" w:rsidRDefault="00FF4C4E">
            <w:pPr>
              <w:pStyle w:val="P68B1DB1-Normal13"/>
              <w:spacing w:after="0" w:line="240" w:lineRule="auto"/>
              <w:jc w:val="center"/>
              <w:rPr>
                <w:rFonts w:cs="Times New Roman"/>
                <w:noProof/>
              </w:rPr>
            </w:pPr>
            <w:r>
              <w:rPr>
                <w:noProof/>
              </w:rPr>
              <w:t>C22.I1</w:t>
            </w:r>
          </w:p>
        </w:tc>
        <w:tc>
          <w:tcPr>
            <w:tcW w:w="992" w:type="dxa"/>
            <w:shd w:val="clear" w:color="auto" w:fill="C6EFCE"/>
            <w:noWrap/>
          </w:tcPr>
          <w:p w14:paraId="28E3407A" w14:textId="77777777" w:rsidR="000E48CE" w:rsidRDefault="00FF4C4E">
            <w:pPr>
              <w:pStyle w:val="P68B1DB1-Normal13"/>
              <w:spacing w:after="0" w:line="240" w:lineRule="auto"/>
              <w:jc w:val="center"/>
              <w:rPr>
                <w:rFonts w:cs="Times New Roman"/>
                <w:noProof/>
              </w:rPr>
            </w:pPr>
            <w:r>
              <w:rPr>
                <w:noProof/>
              </w:rPr>
              <w:t>T</w:t>
            </w:r>
          </w:p>
        </w:tc>
        <w:tc>
          <w:tcPr>
            <w:tcW w:w="3119" w:type="dxa"/>
            <w:shd w:val="clear" w:color="auto" w:fill="C6EFCE"/>
            <w:noWrap/>
          </w:tcPr>
          <w:p w14:paraId="312D4CBB" w14:textId="77777777" w:rsidR="000E48CE" w:rsidRDefault="00FF4C4E">
            <w:pPr>
              <w:pStyle w:val="P68B1DB1-Normal13"/>
              <w:spacing w:after="0" w:line="240" w:lineRule="auto"/>
              <w:rPr>
                <w:rFonts w:cs="Times New Roman"/>
                <w:noProof/>
              </w:rPr>
            </w:pPr>
            <w:r>
              <w:rPr>
                <w:noProof/>
              </w:rPr>
              <w:t xml:space="preserve">Asuintilat, muut kuin asuin- ja päivähoitopaikat.  </w:t>
            </w:r>
          </w:p>
        </w:tc>
        <w:tc>
          <w:tcPr>
            <w:tcW w:w="992" w:type="dxa"/>
            <w:shd w:val="clear" w:color="auto" w:fill="C6EFCE"/>
            <w:noWrap/>
          </w:tcPr>
          <w:p w14:paraId="31E5758E" w14:textId="77777777" w:rsidR="000E48CE" w:rsidRDefault="00FF4C4E">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4ADB9756" w14:textId="77777777" w:rsidR="000E48CE" w:rsidRDefault="00FF4C4E">
            <w:pPr>
              <w:pStyle w:val="P68B1DB1-Normal13"/>
              <w:spacing w:after="0" w:line="240" w:lineRule="auto"/>
              <w:jc w:val="center"/>
              <w:rPr>
                <w:rFonts w:cs="Times New Roman"/>
                <w:noProof/>
              </w:rPr>
            </w:pPr>
            <w:r>
              <w:rPr>
                <w:noProof/>
              </w:rPr>
              <w:t>Määrä</w:t>
            </w:r>
          </w:p>
        </w:tc>
        <w:tc>
          <w:tcPr>
            <w:tcW w:w="851" w:type="dxa"/>
            <w:shd w:val="clear" w:color="auto" w:fill="C6EFCE"/>
            <w:noWrap/>
          </w:tcPr>
          <w:p w14:paraId="65499468" w14:textId="77777777" w:rsidR="000E48CE" w:rsidRDefault="00FF4C4E">
            <w:pPr>
              <w:pStyle w:val="P68B1DB1-Normal13"/>
              <w:spacing w:after="0" w:line="240" w:lineRule="auto"/>
              <w:jc w:val="right"/>
              <w:rPr>
                <w:rFonts w:cs="Times New Roman"/>
                <w:noProof/>
              </w:rPr>
            </w:pPr>
            <w:r>
              <w:rPr>
                <w:noProof/>
              </w:rPr>
              <w:t> </w:t>
            </w:r>
          </w:p>
        </w:tc>
        <w:tc>
          <w:tcPr>
            <w:tcW w:w="709" w:type="dxa"/>
            <w:shd w:val="clear" w:color="auto" w:fill="C6EFCE"/>
            <w:noWrap/>
          </w:tcPr>
          <w:p w14:paraId="52CF55A3" w14:textId="277B85C5" w:rsidR="000E48CE" w:rsidRDefault="00FF4C4E">
            <w:pPr>
              <w:pStyle w:val="P68B1DB1-Normal13"/>
              <w:spacing w:after="0" w:line="240" w:lineRule="auto"/>
              <w:jc w:val="center"/>
              <w:rPr>
                <w:rFonts w:cs="Times New Roman"/>
                <w:noProof/>
              </w:rPr>
            </w:pPr>
            <w:r>
              <w:rPr>
                <w:noProof/>
              </w:rPr>
              <w:t>15 200</w:t>
            </w:r>
          </w:p>
        </w:tc>
        <w:tc>
          <w:tcPr>
            <w:tcW w:w="567" w:type="dxa"/>
            <w:shd w:val="clear" w:color="auto" w:fill="C6EFCE"/>
            <w:noWrap/>
          </w:tcPr>
          <w:p w14:paraId="771531B7" w14:textId="48C794FB" w:rsidR="000E48CE" w:rsidRDefault="00FF4C4E">
            <w:pPr>
              <w:pStyle w:val="P68B1DB1-Normal13"/>
              <w:spacing w:after="0" w:line="240" w:lineRule="auto"/>
              <w:jc w:val="center"/>
              <w:rPr>
                <w:rFonts w:cs="Times New Roman"/>
                <w:noProof/>
              </w:rPr>
            </w:pPr>
            <w:r>
              <w:rPr>
                <w:noProof/>
              </w:rPr>
              <w:t>Q2</w:t>
            </w:r>
          </w:p>
        </w:tc>
        <w:tc>
          <w:tcPr>
            <w:tcW w:w="810" w:type="dxa"/>
            <w:shd w:val="clear" w:color="auto" w:fill="C6EFCE"/>
            <w:noWrap/>
          </w:tcPr>
          <w:p w14:paraId="03214214" w14:textId="2BAB46CA" w:rsidR="000E48CE" w:rsidRDefault="00FF4C4E">
            <w:pPr>
              <w:pStyle w:val="P68B1DB1-Normal13"/>
              <w:spacing w:after="0" w:line="240" w:lineRule="auto"/>
              <w:jc w:val="center"/>
              <w:rPr>
                <w:rFonts w:cs="Times New Roman"/>
                <w:noProof/>
              </w:rPr>
            </w:pPr>
            <w:r>
              <w:rPr>
                <w:noProof/>
              </w:rPr>
              <w:t>2026</w:t>
            </w:r>
          </w:p>
        </w:tc>
        <w:tc>
          <w:tcPr>
            <w:tcW w:w="4860" w:type="dxa"/>
            <w:shd w:val="clear" w:color="auto" w:fill="C6EFCE"/>
            <w:noWrap/>
          </w:tcPr>
          <w:p w14:paraId="2DF0B1D7" w14:textId="3042FD88" w:rsidR="000E48CE" w:rsidRDefault="00FF4C4E">
            <w:pPr>
              <w:pStyle w:val="P68B1DB1-Normal13"/>
              <w:spacing w:after="0" w:line="240" w:lineRule="auto"/>
              <w:rPr>
                <w:rFonts w:cs="Times New Roman"/>
                <w:noProof/>
                <w:highlight w:val="yellow"/>
              </w:rPr>
            </w:pPr>
            <w:r>
              <w:rPr>
                <w:noProof/>
              </w:rPr>
              <w:t xml:space="preserve">Kunnostetut ja/tai rakennetut asuin-, muut kuin asuin- ja päivähoitokeskukset siten, että vähintään 15200 paikkaa voidaan mukauttaa uuteen pitkäaikaishoitomalliin. </w:t>
            </w:r>
          </w:p>
        </w:tc>
      </w:tr>
      <w:tr w:rsidR="000E48CE" w14:paraId="0D5EA232" w14:textId="77777777">
        <w:trPr>
          <w:trHeight w:val="309"/>
        </w:trPr>
        <w:tc>
          <w:tcPr>
            <w:tcW w:w="709" w:type="dxa"/>
            <w:shd w:val="clear" w:color="auto" w:fill="C6EFCE"/>
            <w:noWrap/>
          </w:tcPr>
          <w:p w14:paraId="79CAAB9E" w14:textId="77777777" w:rsidR="000E48CE" w:rsidRDefault="00FF4C4E">
            <w:pPr>
              <w:pStyle w:val="P68B1DB1-Normal13"/>
              <w:spacing w:after="0" w:line="240" w:lineRule="auto"/>
              <w:jc w:val="center"/>
              <w:rPr>
                <w:rFonts w:eastAsia="Times New Roman" w:cs="Times New Roman"/>
                <w:noProof/>
              </w:rPr>
            </w:pPr>
            <w:r>
              <w:rPr>
                <w:noProof/>
              </w:rPr>
              <w:t>324</w:t>
            </w:r>
          </w:p>
        </w:tc>
        <w:tc>
          <w:tcPr>
            <w:tcW w:w="851" w:type="dxa"/>
            <w:shd w:val="clear" w:color="auto" w:fill="C6EFCE"/>
            <w:noWrap/>
          </w:tcPr>
          <w:p w14:paraId="6F26D165" w14:textId="77777777" w:rsidR="000E48CE" w:rsidRDefault="00FF4C4E">
            <w:pPr>
              <w:pStyle w:val="P68B1DB1-Normal13"/>
              <w:spacing w:after="0" w:line="240" w:lineRule="auto"/>
              <w:jc w:val="center"/>
              <w:rPr>
                <w:rFonts w:eastAsia="Times New Roman" w:cs="Times New Roman"/>
                <w:noProof/>
              </w:rPr>
            </w:pPr>
            <w:r>
              <w:rPr>
                <w:noProof/>
              </w:rPr>
              <w:t>C22.I2</w:t>
            </w:r>
          </w:p>
        </w:tc>
        <w:tc>
          <w:tcPr>
            <w:tcW w:w="992" w:type="dxa"/>
            <w:shd w:val="clear" w:color="auto" w:fill="C6EFCE"/>
            <w:noWrap/>
          </w:tcPr>
          <w:p w14:paraId="3F3BF96A"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7ADC3CBC" w14:textId="77777777" w:rsidR="000E48CE" w:rsidRDefault="00FF4C4E">
            <w:pPr>
              <w:pStyle w:val="P68B1DB1-Normal13"/>
              <w:spacing w:after="0" w:line="240" w:lineRule="auto"/>
              <w:rPr>
                <w:rFonts w:eastAsia="Times New Roman" w:cs="Times New Roman"/>
                <w:noProof/>
              </w:rPr>
            </w:pPr>
            <w:r>
              <w:rPr>
                <w:noProof/>
              </w:rPr>
              <w:t xml:space="preserve">Erityisten teknisten välineiden käyttöönotto sosiaalipalvelujen tieto- ja </w:t>
            </w:r>
            <w:r>
              <w:rPr>
                <w:noProof/>
              </w:rPr>
              <w:t>hallintojärjestelmien parantamiseksi.</w:t>
            </w:r>
          </w:p>
        </w:tc>
        <w:tc>
          <w:tcPr>
            <w:tcW w:w="992" w:type="dxa"/>
            <w:shd w:val="clear" w:color="auto" w:fill="C6EFCE"/>
            <w:noWrap/>
          </w:tcPr>
          <w:p w14:paraId="6E12E158" w14:textId="77777777" w:rsidR="000E48CE" w:rsidRDefault="00FF4C4E">
            <w:pPr>
              <w:pStyle w:val="P68B1DB1-Normal13"/>
              <w:spacing w:after="0" w:line="240" w:lineRule="auto"/>
              <w:jc w:val="center"/>
              <w:rPr>
                <w:rFonts w:eastAsia="Times New Roman" w:cs="Times New Roman"/>
                <w:noProof/>
              </w:rPr>
            </w:pPr>
            <w:r>
              <w:rPr>
                <w:noProof/>
              </w:rPr>
              <w:t>Ulkoinen arviointi kaikista vaiheista ja hankkeen lopullisista tuloksista.</w:t>
            </w:r>
          </w:p>
        </w:tc>
        <w:tc>
          <w:tcPr>
            <w:tcW w:w="850" w:type="dxa"/>
            <w:shd w:val="clear" w:color="auto" w:fill="C6EFCE"/>
            <w:noWrap/>
          </w:tcPr>
          <w:p w14:paraId="655BE048" w14:textId="77777777" w:rsidR="000E48CE" w:rsidRDefault="00FF4C4E">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10B818FA" w14:textId="77777777" w:rsidR="000E48CE" w:rsidRDefault="00FF4C4E">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01A2FB1A" w14:textId="77777777" w:rsidR="000E48CE" w:rsidRDefault="00FF4C4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6487C479" w14:textId="77777777" w:rsidR="000E48CE" w:rsidRDefault="00FF4C4E">
            <w:pPr>
              <w:pStyle w:val="P68B1DB1-Normal13"/>
              <w:spacing w:after="0" w:line="240" w:lineRule="auto"/>
              <w:jc w:val="center"/>
              <w:rPr>
                <w:rFonts w:eastAsia="Times New Roman" w:cs="Times New Roman"/>
                <w:noProof/>
              </w:rPr>
            </w:pPr>
            <w:r>
              <w:rPr>
                <w:noProof/>
              </w:rPr>
              <w:t xml:space="preserve">KOLMAS VUOSINELJÄNNES </w:t>
            </w:r>
          </w:p>
        </w:tc>
        <w:tc>
          <w:tcPr>
            <w:tcW w:w="810" w:type="dxa"/>
            <w:shd w:val="clear" w:color="auto" w:fill="C6EFCE"/>
            <w:noWrap/>
          </w:tcPr>
          <w:p w14:paraId="4789405B" w14:textId="77777777" w:rsidR="000E48CE" w:rsidRDefault="00FF4C4E">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7776C5A9" w14:textId="77777777" w:rsidR="000E48CE" w:rsidRDefault="00FF4C4E">
            <w:pPr>
              <w:pStyle w:val="P68B1DB1-Normal13"/>
              <w:spacing w:after="0" w:line="240" w:lineRule="auto"/>
              <w:rPr>
                <w:rFonts w:cs="Times New Roman"/>
                <w:noProof/>
              </w:rPr>
            </w:pPr>
            <w:r>
              <w:rPr>
                <w:noProof/>
              </w:rPr>
              <w:t>Erityisten teknisten välineiden kehittäminen ja käyttöönotto sosiaalipalvelujen tieto- ja hallintojärjestelmi</w:t>
            </w:r>
            <w:r>
              <w:rPr>
                <w:noProof/>
              </w:rPr>
              <w:t xml:space="preserve">en parantamiseksi kattaa </w:t>
            </w:r>
          </w:p>
          <w:p w14:paraId="2289E619" w14:textId="150509E0" w:rsidR="000E48CE" w:rsidRDefault="00FF4C4E">
            <w:pPr>
              <w:pStyle w:val="P68B1DB1-ListParagraph14"/>
              <w:numPr>
                <w:ilvl w:val="0"/>
                <w:numId w:val="715"/>
              </w:numPr>
              <w:spacing w:after="0" w:line="240" w:lineRule="auto"/>
              <w:rPr>
                <w:rFonts w:cs="Times New Roman"/>
                <w:noProof/>
              </w:rPr>
            </w:pPr>
            <w:r>
              <w:rPr>
                <w:noProof/>
              </w:rPr>
              <w:t xml:space="preserve">Espanjan sosiaalipalvelujen tietojärjestelmä (Siess) </w:t>
            </w:r>
          </w:p>
          <w:p w14:paraId="1F4D10BF" w14:textId="7D588414" w:rsidR="000E48CE" w:rsidRDefault="00FF4C4E">
            <w:pPr>
              <w:pStyle w:val="P68B1DB1-ListParagraph14"/>
              <w:numPr>
                <w:ilvl w:val="0"/>
                <w:numId w:val="715"/>
              </w:numPr>
              <w:spacing w:after="0" w:line="240" w:lineRule="auto"/>
              <w:rPr>
                <w:rFonts w:cs="Times New Roman"/>
                <w:noProof/>
              </w:rPr>
            </w:pPr>
            <w:r>
              <w:rPr>
                <w:noProof/>
              </w:rPr>
              <w:t xml:space="preserve">verkkotyökalu kolmansien yhteisöjen kehittämien hankkeiden analysointia varten; </w:t>
            </w:r>
          </w:p>
          <w:p w14:paraId="6A8823AF" w14:textId="47CFEBD3" w:rsidR="000E48CE" w:rsidRDefault="00FF4C4E">
            <w:pPr>
              <w:pStyle w:val="P68B1DB1-ListParagraph14"/>
              <w:numPr>
                <w:ilvl w:val="0"/>
                <w:numId w:val="715"/>
              </w:numPr>
              <w:spacing w:after="0" w:line="240" w:lineRule="auto"/>
              <w:rPr>
                <w:rFonts w:cs="Times New Roman"/>
                <w:noProof/>
              </w:rPr>
            </w:pPr>
            <w:r>
              <w:rPr>
                <w:noProof/>
              </w:rPr>
              <w:t>tietotekniset välineet, joilla hallinnoidaan erilaisia talousarvio-ohjelmia, jotka liittyvät so</w:t>
            </w:r>
            <w:r>
              <w:rPr>
                <w:noProof/>
              </w:rPr>
              <w:t xml:space="preserve">siaalipalveluihin ja perheiden, lasten ja tiettyjen haavoittuvassa asemassa olevien ryhmien hoitoon; ja </w:t>
            </w:r>
          </w:p>
          <w:p w14:paraId="03CDE88A" w14:textId="0E96E189" w:rsidR="000E48CE" w:rsidRDefault="00FF4C4E">
            <w:pPr>
              <w:pStyle w:val="P68B1DB1-ListParagraph14"/>
              <w:numPr>
                <w:ilvl w:val="0"/>
                <w:numId w:val="715"/>
              </w:numPr>
              <w:spacing w:after="0" w:line="240" w:lineRule="auto"/>
              <w:rPr>
                <w:rFonts w:cs="Times New Roman"/>
                <w:noProof/>
              </w:rPr>
            </w:pPr>
            <w:r>
              <w:rPr>
                <w:noProof/>
              </w:rPr>
              <w:t>verkkoalusta, jossa keskitetään tietoa maassa saatavilla olevasta hoidosta.</w:t>
            </w:r>
            <w:r>
              <w:rPr>
                <w:noProof/>
                <w:shd w:val="clear" w:color="auto" w:fill="E6E6E6"/>
              </w:rPr>
              <w:t xml:space="preserve"> </w:t>
            </w:r>
          </w:p>
        </w:tc>
      </w:tr>
      <w:tr w:rsidR="000E48CE" w14:paraId="40273E43" w14:textId="77777777">
        <w:trPr>
          <w:trHeight w:val="309"/>
        </w:trPr>
        <w:tc>
          <w:tcPr>
            <w:tcW w:w="709" w:type="dxa"/>
            <w:shd w:val="clear" w:color="auto" w:fill="C6EFCE"/>
            <w:noWrap/>
          </w:tcPr>
          <w:p w14:paraId="02810427" w14:textId="77777777" w:rsidR="000E48CE" w:rsidRDefault="00FF4C4E">
            <w:pPr>
              <w:pStyle w:val="P68B1DB1-Normal13"/>
              <w:spacing w:after="0" w:line="240" w:lineRule="auto"/>
              <w:jc w:val="center"/>
              <w:rPr>
                <w:rFonts w:eastAsia="Times New Roman" w:cs="Times New Roman"/>
                <w:noProof/>
              </w:rPr>
            </w:pPr>
            <w:r>
              <w:rPr>
                <w:noProof/>
              </w:rPr>
              <w:t>325</w:t>
            </w:r>
          </w:p>
        </w:tc>
        <w:tc>
          <w:tcPr>
            <w:tcW w:w="851" w:type="dxa"/>
            <w:shd w:val="clear" w:color="auto" w:fill="C6EFCE"/>
            <w:noWrap/>
          </w:tcPr>
          <w:p w14:paraId="2A88F12F" w14:textId="77777777" w:rsidR="000E48CE" w:rsidRDefault="00FF4C4E">
            <w:pPr>
              <w:pStyle w:val="P68B1DB1-Normal13"/>
              <w:spacing w:after="0" w:line="240" w:lineRule="auto"/>
              <w:jc w:val="center"/>
              <w:rPr>
                <w:rFonts w:eastAsia="Times New Roman" w:cs="Times New Roman"/>
                <w:noProof/>
              </w:rPr>
            </w:pPr>
            <w:r>
              <w:rPr>
                <w:noProof/>
              </w:rPr>
              <w:t>C22.I2</w:t>
            </w:r>
          </w:p>
        </w:tc>
        <w:tc>
          <w:tcPr>
            <w:tcW w:w="992" w:type="dxa"/>
            <w:shd w:val="clear" w:color="auto" w:fill="C6EFCE"/>
            <w:noWrap/>
          </w:tcPr>
          <w:p w14:paraId="62996793" w14:textId="77777777" w:rsidR="000E48CE" w:rsidRDefault="00FF4C4E">
            <w:pPr>
              <w:pStyle w:val="P68B1DB1-Normal13"/>
              <w:spacing w:after="0" w:line="240" w:lineRule="auto"/>
              <w:jc w:val="center"/>
              <w:rPr>
                <w:rFonts w:eastAsia="Times New Roman" w:cs="Times New Roman"/>
                <w:noProof/>
              </w:rPr>
            </w:pPr>
            <w:r>
              <w:rPr>
                <w:noProof/>
              </w:rPr>
              <w:t>M</w:t>
            </w:r>
          </w:p>
        </w:tc>
        <w:tc>
          <w:tcPr>
            <w:tcW w:w="3119" w:type="dxa"/>
            <w:shd w:val="clear" w:color="auto" w:fill="C6EFCE"/>
            <w:noWrap/>
          </w:tcPr>
          <w:p w14:paraId="32275888" w14:textId="77777777" w:rsidR="000E48CE" w:rsidRDefault="00FF4C4E">
            <w:pPr>
              <w:pStyle w:val="P68B1DB1-Normal13"/>
              <w:spacing w:after="0" w:line="240" w:lineRule="auto"/>
              <w:rPr>
                <w:rFonts w:eastAsia="Times New Roman" w:cs="Times New Roman"/>
                <w:noProof/>
              </w:rPr>
            </w:pPr>
            <w:r>
              <w:rPr>
                <w:noProof/>
              </w:rPr>
              <w:t xml:space="preserve">Sosiaalipalvelujen teknologista muutosta sekä asuin- ja sijaisperheisiin liittyvien infrastruktuurien ja palvelujen nykyaikaistamista koskevien hankkeiden loppuun saattaminen </w:t>
            </w:r>
          </w:p>
        </w:tc>
        <w:tc>
          <w:tcPr>
            <w:tcW w:w="992" w:type="dxa"/>
            <w:shd w:val="clear" w:color="auto" w:fill="C6EFCE"/>
            <w:noWrap/>
          </w:tcPr>
          <w:p w14:paraId="2A7C22FD" w14:textId="77777777" w:rsidR="000E48CE" w:rsidRDefault="00FF4C4E">
            <w:pPr>
              <w:pStyle w:val="P68B1DB1-Normal13"/>
              <w:spacing w:after="0" w:line="240" w:lineRule="auto"/>
              <w:jc w:val="center"/>
              <w:rPr>
                <w:rFonts w:eastAsia="Times New Roman" w:cs="Times New Roman"/>
                <w:noProof/>
              </w:rPr>
            </w:pPr>
            <w:r>
              <w:rPr>
                <w:noProof/>
              </w:rPr>
              <w:t>Kunkin autonomisen alueen kanssa allekirjoitettujen sopimusten valvonta</w:t>
            </w:r>
          </w:p>
        </w:tc>
        <w:tc>
          <w:tcPr>
            <w:tcW w:w="850" w:type="dxa"/>
            <w:shd w:val="clear" w:color="auto" w:fill="C6EFCE"/>
            <w:noWrap/>
          </w:tcPr>
          <w:p w14:paraId="7757059F" w14:textId="77777777" w:rsidR="000E48CE" w:rsidRDefault="00FF4C4E">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607F8A10" w14:textId="77777777" w:rsidR="000E48CE" w:rsidRDefault="00FF4C4E">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17E077D5" w14:textId="77777777" w:rsidR="000E48CE" w:rsidRDefault="000E48CE">
            <w:pPr>
              <w:spacing w:after="0" w:line="240" w:lineRule="auto"/>
              <w:jc w:val="center"/>
              <w:rPr>
                <w:rFonts w:ascii="Times New Roman" w:eastAsia="Times New Roman" w:hAnsi="Times New Roman" w:cs="Times New Roman"/>
                <w:noProof/>
                <w:sz w:val="18"/>
              </w:rPr>
            </w:pPr>
          </w:p>
        </w:tc>
        <w:tc>
          <w:tcPr>
            <w:tcW w:w="567" w:type="dxa"/>
            <w:shd w:val="clear" w:color="auto" w:fill="C6EFCE"/>
            <w:noWrap/>
          </w:tcPr>
          <w:p w14:paraId="1961EF10" w14:textId="77777777" w:rsidR="000E48CE" w:rsidRDefault="00FF4C4E">
            <w:pPr>
              <w:pStyle w:val="P68B1DB1-Normal13"/>
              <w:spacing w:after="0" w:line="240" w:lineRule="auto"/>
              <w:jc w:val="center"/>
              <w:rPr>
                <w:rFonts w:eastAsia="Times New Roman" w:cs="Times New Roman"/>
                <w:noProof/>
              </w:rPr>
            </w:pPr>
            <w:r>
              <w:rPr>
                <w:noProof/>
              </w:rPr>
              <w:t>Q4</w:t>
            </w:r>
          </w:p>
        </w:tc>
        <w:tc>
          <w:tcPr>
            <w:tcW w:w="810" w:type="dxa"/>
            <w:shd w:val="clear" w:color="auto" w:fill="C6EFCE"/>
            <w:noWrap/>
          </w:tcPr>
          <w:p w14:paraId="5D1CF3A1" w14:textId="4D56FD1D" w:rsidR="000E48CE" w:rsidRDefault="00FF4C4E">
            <w:pPr>
              <w:pStyle w:val="P68B1DB1-Normal13"/>
              <w:spacing w:after="0" w:line="240" w:lineRule="auto"/>
              <w:jc w:val="center"/>
              <w:rPr>
                <w:rFonts w:cs="Times New Roman"/>
                <w:noProof/>
              </w:rPr>
            </w:pPr>
            <w:r>
              <w:rPr>
                <w:noProof/>
              </w:rPr>
              <w:t>2025</w:t>
            </w:r>
          </w:p>
        </w:tc>
        <w:tc>
          <w:tcPr>
            <w:tcW w:w="4860" w:type="dxa"/>
            <w:shd w:val="clear" w:color="auto" w:fill="C6EFCE"/>
            <w:noWrap/>
          </w:tcPr>
          <w:p w14:paraId="3ABB57E2" w14:textId="77777777" w:rsidR="000E48CE" w:rsidRDefault="00FF4C4E">
            <w:pPr>
              <w:pStyle w:val="P68B1DB1-Normal13"/>
              <w:spacing w:after="0" w:line="240" w:lineRule="auto"/>
              <w:rPr>
                <w:rFonts w:eastAsia="Times New Roman" w:cs="Times New Roman"/>
                <w:noProof/>
              </w:rPr>
            </w:pPr>
            <w:r>
              <w:rPr>
                <w:noProof/>
              </w:rPr>
              <w:t>Sosiaalipalvelujen teknologisen muutoksen toteuttaminen aluehallinnossa, mikä mahdollistaa yhteentoimivuuden muiden sosiaalipalvelujen (työllisyys, terveydenhuolto, kolmas sektori) kanssa vuorovaikutuksessa olevien järjestelmien kanssa ja nykyaikaista</w:t>
            </w:r>
            <w:r>
              <w:rPr>
                <w:noProof/>
              </w:rPr>
              <w:t>a lasten ja nuorten hoitokeskusten asuinoloihin liittyvää infrastruktuuria ja palveluja, muun muassa vastaamalla paremmin yksilöllisiin tukitarpeisiin (mukaan lukien tunne- ja koulutus/ammatillinen) ja sijaisperheiden koulutukseen. Budjetti on yhteensä väh</w:t>
            </w:r>
            <w:r>
              <w:rPr>
                <w:noProof/>
              </w:rPr>
              <w:t xml:space="preserve">intään 450000000 euroa. </w:t>
            </w:r>
          </w:p>
        </w:tc>
      </w:tr>
      <w:tr w:rsidR="000E48CE" w14:paraId="57CF3CD7" w14:textId="77777777">
        <w:trPr>
          <w:trHeight w:val="309"/>
        </w:trPr>
        <w:tc>
          <w:tcPr>
            <w:tcW w:w="709" w:type="dxa"/>
            <w:shd w:val="clear" w:color="auto" w:fill="C6EFCE"/>
            <w:noWrap/>
          </w:tcPr>
          <w:p w14:paraId="3C8C5CEB" w14:textId="78E55719" w:rsidR="000E48CE" w:rsidRDefault="00FF4C4E">
            <w:pPr>
              <w:pStyle w:val="P68B1DB1-Normal13"/>
              <w:spacing w:after="0" w:line="240" w:lineRule="auto"/>
              <w:jc w:val="center"/>
              <w:rPr>
                <w:rFonts w:cs="Times New Roman"/>
                <w:noProof/>
              </w:rPr>
            </w:pPr>
            <w:r>
              <w:rPr>
                <w:noProof/>
              </w:rPr>
              <w:t>471</w:t>
            </w:r>
          </w:p>
        </w:tc>
        <w:tc>
          <w:tcPr>
            <w:tcW w:w="851" w:type="dxa"/>
            <w:shd w:val="clear" w:color="auto" w:fill="C6EFCE"/>
            <w:noWrap/>
          </w:tcPr>
          <w:p w14:paraId="6FD56F45" w14:textId="77777777" w:rsidR="000E48CE" w:rsidRDefault="00FF4C4E">
            <w:pPr>
              <w:pStyle w:val="P68B1DB1-Normal13"/>
              <w:spacing w:after="0" w:line="240" w:lineRule="auto"/>
              <w:jc w:val="center"/>
              <w:rPr>
                <w:rFonts w:cs="Times New Roman"/>
                <w:noProof/>
              </w:rPr>
            </w:pPr>
            <w:r>
              <w:rPr>
                <w:noProof/>
              </w:rPr>
              <w:t>C22.I2</w:t>
            </w:r>
          </w:p>
        </w:tc>
        <w:tc>
          <w:tcPr>
            <w:tcW w:w="992" w:type="dxa"/>
            <w:shd w:val="clear" w:color="auto" w:fill="C6EFCE"/>
            <w:noWrap/>
          </w:tcPr>
          <w:p w14:paraId="6A1AAA57" w14:textId="77777777" w:rsidR="000E48CE" w:rsidRDefault="00FF4C4E">
            <w:pPr>
              <w:pStyle w:val="P68B1DB1-Normal13"/>
              <w:spacing w:after="0" w:line="240" w:lineRule="auto"/>
              <w:jc w:val="center"/>
              <w:rPr>
                <w:rFonts w:cs="Times New Roman"/>
                <w:noProof/>
              </w:rPr>
            </w:pPr>
            <w:r>
              <w:rPr>
                <w:noProof/>
              </w:rPr>
              <w:t>T</w:t>
            </w:r>
          </w:p>
        </w:tc>
        <w:tc>
          <w:tcPr>
            <w:tcW w:w="3119" w:type="dxa"/>
            <w:shd w:val="clear" w:color="auto" w:fill="C6EFCE"/>
            <w:noWrap/>
          </w:tcPr>
          <w:p w14:paraId="1C05CA9D" w14:textId="77777777" w:rsidR="000E48CE" w:rsidRDefault="00FF4C4E">
            <w:pPr>
              <w:pStyle w:val="P68B1DB1-Normal13"/>
              <w:spacing w:after="0" w:line="240" w:lineRule="auto"/>
              <w:rPr>
                <w:rFonts w:cs="Times New Roman"/>
                <w:noProof/>
              </w:rPr>
            </w:pPr>
            <w:r>
              <w:rPr>
                <w:noProof/>
              </w:rPr>
              <w:t>Pilottihankkeiden toteuttaminen</w:t>
            </w:r>
          </w:p>
        </w:tc>
        <w:tc>
          <w:tcPr>
            <w:tcW w:w="992" w:type="dxa"/>
            <w:shd w:val="clear" w:color="auto" w:fill="C6EFCE"/>
            <w:noWrap/>
          </w:tcPr>
          <w:p w14:paraId="253A97F1"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53E3C726" w14:textId="77777777" w:rsidR="000E48CE" w:rsidRDefault="00FF4C4E">
            <w:pPr>
              <w:pStyle w:val="P68B1DB1-Normal13"/>
              <w:spacing w:after="0" w:line="240" w:lineRule="auto"/>
              <w:jc w:val="center"/>
              <w:rPr>
                <w:rFonts w:cs="Times New Roman"/>
                <w:noProof/>
              </w:rPr>
            </w:pPr>
            <w:r>
              <w:rPr>
                <w:noProof/>
              </w:rPr>
              <w:t>Määrä</w:t>
            </w:r>
          </w:p>
        </w:tc>
        <w:tc>
          <w:tcPr>
            <w:tcW w:w="851" w:type="dxa"/>
            <w:shd w:val="clear" w:color="auto" w:fill="C6EFCE"/>
            <w:noWrap/>
          </w:tcPr>
          <w:p w14:paraId="645BEB66" w14:textId="77777777"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356285CA" w14:textId="77777777" w:rsidR="000E48CE" w:rsidRDefault="00FF4C4E">
            <w:pPr>
              <w:pStyle w:val="P68B1DB1-Normal13"/>
              <w:spacing w:after="0" w:line="240" w:lineRule="auto"/>
              <w:jc w:val="center"/>
              <w:rPr>
                <w:rFonts w:cs="Times New Roman"/>
                <w:noProof/>
              </w:rPr>
            </w:pPr>
            <w:r>
              <w:rPr>
                <w:noProof/>
              </w:rPr>
              <w:t>19</w:t>
            </w:r>
          </w:p>
        </w:tc>
        <w:tc>
          <w:tcPr>
            <w:tcW w:w="567" w:type="dxa"/>
            <w:shd w:val="clear" w:color="auto" w:fill="C6EFCE"/>
            <w:noWrap/>
          </w:tcPr>
          <w:p w14:paraId="1FB37924" w14:textId="77777777" w:rsidR="000E48CE" w:rsidRDefault="00FF4C4E">
            <w:pPr>
              <w:pStyle w:val="P68B1DB1-Normal13"/>
              <w:spacing w:after="0" w:line="240" w:lineRule="auto"/>
              <w:jc w:val="center"/>
              <w:rPr>
                <w:rFonts w:cs="Times New Roman"/>
                <w:noProof/>
              </w:rPr>
            </w:pPr>
            <w:r>
              <w:rPr>
                <w:noProof/>
              </w:rPr>
              <w:t>Q4</w:t>
            </w:r>
          </w:p>
        </w:tc>
        <w:tc>
          <w:tcPr>
            <w:tcW w:w="810" w:type="dxa"/>
            <w:shd w:val="clear" w:color="auto" w:fill="C6EFCE"/>
            <w:noWrap/>
          </w:tcPr>
          <w:p w14:paraId="433B1CFD" w14:textId="77777777" w:rsidR="000E48CE" w:rsidRDefault="00FF4C4E">
            <w:pPr>
              <w:pStyle w:val="P68B1DB1-Normal13"/>
              <w:spacing w:after="0" w:line="240" w:lineRule="auto"/>
              <w:jc w:val="center"/>
              <w:rPr>
                <w:rFonts w:cs="Times New Roman"/>
                <w:noProof/>
              </w:rPr>
            </w:pPr>
            <w:r>
              <w:rPr>
                <w:noProof/>
              </w:rPr>
              <w:t>2025</w:t>
            </w:r>
          </w:p>
        </w:tc>
        <w:tc>
          <w:tcPr>
            <w:tcW w:w="4860" w:type="dxa"/>
            <w:shd w:val="clear" w:color="auto" w:fill="C6EFCE"/>
            <w:noWrap/>
          </w:tcPr>
          <w:p w14:paraId="4DD3F79E" w14:textId="5557DB0B" w:rsidR="000E48CE" w:rsidRDefault="00FF4C4E">
            <w:pPr>
              <w:pStyle w:val="P68B1DB1-Normal13"/>
              <w:spacing w:after="0" w:line="240" w:lineRule="auto"/>
              <w:rPr>
                <w:rFonts w:cs="Times New Roman"/>
                <w:noProof/>
              </w:rPr>
            </w:pPr>
            <w:r>
              <w:rPr>
                <w:noProof/>
              </w:rPr>
              <w:t>Saatetaan päätökseen vähintään 19 pilottihanketta, joilla pyritään edistämään innovointia sosiaalipalveluissa.</w:t>
            </w:r>
          </w:p>
        </w:tc>
      </w:tr>
      <w:tr w:rsidR="000E48CE" w14:paraId="6F8A3C56" w14:textId="77777777">
        <w:trPr>
          <w:trHeight w:val="309"/>
        </w:trPr>
        <w:tc>
          <w:tcPr>
            <w:tcW w:w="709" w:type="dxa"/>
            <w:shd w:val="clear" w:color="auto" w:fill="C6EFCE"/>
            <w:noWrap/>
          </w:tcPr>
          <w:p w14:paraId="445DF925" w14:textId="77777777" w:rsidR="000E48CE" w:rsidRDefault="00FF4C4E">
            <w:pPr>
              <w:pStyle w:val="P68B1DB1-Normal13"/>
              <w:spacing w:after="0" w:line="240" w:lineRule="auto"/>
              <w:jc w:val="center"/>
              <w:rPr>
                <w:rFonts w:cs="Times New Roman"/>
                <w:noProof/>
              </w:rPr>
            </w:pPr>
            <w:r>
              <w:rPr>
                <w:noProof/>
              </w:rPr>
              <w:t>326</w:t>
            </w:r>
          </w:p>
        </w:tc>
        <w:tc>
          <w:tcPr>
            <w:tcW w:w="851" w:type="dxa"/>
            <w:shd w:val="clear" w:color="auto" w:fill="C6EFCE"/>
            <w:noWrap/>
          </w:tcPr>
          <w:p w14:paraId="642BCFA4" w14:textId="77777777" w:rsidR="000E48CE" w:rsidRDefault="00FF4C4E">
            <w:pPr>
              <w:pStyle w:val="P68B1DB1-Normal13"/>
              <w:spacing w:after="0" w:line="240" w:lineRule="auto"/>
              <w:jc w:val="center"/>
              <w:rPr>
                <w:rFonts w:cs="Times New Roman"/>
                <w:noProof/>
              </w:rPr>
            </w:pPr>
            <w:r>
              <w:rPr>
                <w:noProof/>
              </w:rPr>
              <w:t>C22.I3</w:t>
            </w:r>
          </w:p>
        </w:tc>
        <w:tc>
          <w:tcPr>
            <w:tcW w:w="992" w:type="dxa"/>
            <w:shd w:val="clear" w:color="auto" w:fill="C6EFCE"/>
            <w:noWrap/>
          </w:tcPr>
          <w:p w14:paraId="7FC9A030" w14:textId="77777777" w:rsidR="000E48CE" w:rsidRDefault="00FF4C4E">
            <w:pPr>
              <w:pStyle w:val="P68B1DB1-Normal13"/>
              <w:spacing w:after="0" w:line="240" w:lineRule="auto"/>
              <w:jc w:val="center"/>
              <w:rPr>
                <w:rFonts w:cs="Times New Roman"/>
                <w:noProof/>
              </w:rPr>
            </w:pPr>
            <w:r>
              <w:rPr>
                <w:noProof/>
              </w:rPr>
              <w:t>T</w:t>
            </w:r>
          </w:p>
        </w:tc>
        <w:tc>
          <w:tcPr>
            <w:tcW w:w="3119" w:type="dxa"/>
            <w:shd w:val="clear" w:color="auto" w:fill="C6EFCE"/>
            <w:noWrap/>
          </w:tcPr>
          <w:p w14:paraId="75135AEE" w14:textId="77777777" w:rsidR="000E48CE" w:rsidRDefault="00FF4C4E">
            <w:pPr>
              <w:pStyle w:val="P68B1DB1-Normal13"/>
              <w:spacing w:after="0" w:line="240" w:lineRule="auto"/>
              <w:rPr>
                <w:rFonts w:cs="Times New Roman"/>
                <w:noProof/>
              </w:rPr>
            </w:pPr>
            <w:r>
              <w:rPr>
                <w:noProof/>
              </w:rPr>
              <w:t xml:space="preserve">Esteettömyyden parantamista koskevat </w:t>
            </w:r>
            <w:r>
              <w:rPr>
                <w:noProof/>
              </w:rPr>
              <w:t>hankkeet</w:t>
            </w:r>
          </w:p>
        </w:tc>
        <w:tc>
          <w:tcPr>
            <w:tcW w:w="992" w:type="dxa"/>
            <w:shd w:val="clear" w:color="auto" w:fill="C6EFCE"/>
            <w:noWrap/>
          </w:tcPr>
          <w:p w14:paraId="0294424B" w14:textId="77777777"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38C216B6" w14:textId="77777777" w:rsidR="000E48CE" w:rsidRDefault="00FF4C4E">
            <w:pPr>
              <w:pStyle w:val="P68B1DB1-Normal13"/>
              <w:spacing w:after="0" w:line="240" w:lineRule="auto"/>
              <w:jc w:val="center"/>
              <w:rPr>
                <w:rFonts w:cs="Times New Roman"/>
                <w:noProof/>
              </w:rPr>
            </w:pPr>
            <w:r>
              <w:rPr>
                <w:noProof/>
              </w:rPr>
              <w:t>Miljoonaa euroa</w:t>
            </w:r>
          </w:p>
        </w:tc>
        <w:tc>
          <w:tcPr>
            <w:tcW w:w="851" w:type="dxa"/>
            <w:shd w:val="clear" w:color="auto" w:fill="C6EFCE"/>
            <w:noWrap/>
          </w:tcPr>
          <w:p w14:paraId="08EE146F" w14:textId="77777777"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3092A617" w14:textId="311EAA03" w:rsidR="000E48CE" w:rsidRDefault="00FF4C4E">
            <w:pPr>
              <w:pStyle w:val="P68B1DB1-Normal13"/>
              <w:spacing w:after="0" w:line="240" w:lineRule="auto"/>
              <w:jc w:val="center"/>
              <w:rPr>
                <w:rFonts w:cs="Times New Roman"/>
                <w:noProof/>
              </w:rPr>
            </w:pPr>
            <w:r>
              <w:rPr>
                <w:noProof/>
              </w:rPr>
              <w:t>178</w:t>
            </w:r>
          </w:p>
        </w:tc>
        <w:tc>
          <w:tcPr>
            <w:tcW w:w="567" w:type="dxa"/>
            <w:shd w:val="clear" w:color="auto" w:fill="C6EFCE"/>
            <w:noWrap/>
          </w:tcPr>
          <w:p w14:paraId="04FA89F0" w14:textId="77777777" w:rsidR="000E48CE" w:rsidRDefault="00FF4C4E">
            <w:pPr>
              <w:pStyle w:val="P68B1DB1-Normal13"/>
              <w:spacing w:after="0" w:line="240" w:lineRule="auto"/>
              <w:jc w:val="center"/>
              <w:rPr>
                <w:rFonts w:cs="Times New Roman"/>
                <w:noProof/>
              </w:rPr>
            </w:pPr>
            <w:r>
              <w:rPr>
                <w:noProof/>
              </w:rPr>
              <w:t>Q1</w:t>
            </w:r>
          </w:p>
        </w:tc>
        <w:tc>
          <w:tcPr>
            <w:tcW w:w="810" w:type="dxa"/>
            <w:shd w:val="clear" w:color="auto" w:fill="C6EFCE"/>
            <w:noWrap/>
          </w:tcPr>
          <w:p w14:paraId="1A8A7DE7" w14:textId="006D021F" w:rsidR="000E48CE" w:rsidRDefault="00FF4C4E">
            <w:pPr>
              <w:pStyle w:val="P68B1DB1-Normal13"/>
              <w:spacing w:after="0" w:line="240" w:lineRule="auto"/>
              <w:jc w:val="center"/>
              <w:rPr>
                <w:rFonts w:cs="Times New Roman"/>
                <w:noProof/>
              </w:rPr>
            </w:pPr>
            <w:r>
              <w:rPr>
                <w:noProof/>
              </w:rPr>
              <w:t>2024</w:t>
            </w:r>
          </w:p>
        </w:tc>
        <w:tc>
          <w:tcPr>
            <w:tcW w:w="4860" w:type="dxa"/>
            <w:shd w:val="clear" w:color="auto" w:fill="C6EFCE"/>
            <w:noWrap/>
          </w:tcPr>
          <w:p w14:paraId="4E0CC5DB" w14:textId="22176A94" w:rsidR="000E48CE" w:rsidRDefault="00FF4C4E">
            <w:pPr>
              <w:pStyle w:val="P68B1DB1-Normal13"/>
              <w:rPr>
                <w:rFonts w:cs="Times New Roman"/>
                <w:noProof/>
              </w:rPr>
            </w:pPr>
            <w:r>
              <w:rPr>
                <w:noProof/>
              </w:rPr>
              <w:t>Kuntien, aluehallintojen ja keskushallinnon investointien loppuun saattaminen esteettömyyden parantamiseksi ja esteiden poistamiseksi. Kokonaisbudjetti on vähintään 178 miljoonaa euroa, ja siinä olisi keskityttävä s</w:t>
            </w:r>
            <w:r>
              <w:rPr>
                <w:noProof/>
              </w:rPr>
              <w:t>euraaviin:</w:t>
            </w:r>
          </w:p>
          <w:p w14:paraId="5B0F5293" w14:textId="77777777" w:rsidR="000E48CE" w:rsidRDefault="00FF4C4E">
            <w:pPr>
              <w:pStyle w:val="P68B1DB1-Normal13"/>
              <w:numPr>
                <w:ilvl w:val="0"/>
                <w:numId w:val="633"/>
              </w:numPr>
              <w:spacing w:after="0" w:line="240" w:lineRule="auto"/>
              <w:contextualSpacing/>
              <w:rPr>
                <w:rFonts w:cs="Times New Roman"/>
                <w:noProof/>
              </w:rPr>
            </w:pPr>
            <w:r>
              <w:rPr>
                <w:noProof/>
              </w:rPr>
              <w:t>kognitiivisten saavutettavuuden parantaminen viestinnässä viranomaisten kanssa (mukaan lukien verkkosivustot);</w:t>
            </w:r>
          </w:p>
          <w:p w14:paraId="75DFC071" w14:textId="77777777" w:rsidR="000E48CE" w:rsidRDefault="00FF4C4E">
            <w:pPr>
              <w:pStyle w:val="P68B1DB1-Normal13"/>
              <w:numPr>
                <w:ilvl w:val="0"/>
                <w:numId w:val="633"/>
              </w:numPr>
              <w:spacing w:after="0" w:line="240" w:lineRule="auto"/>
              <w:contextualSpacing/>
              <w:rPr>
                <w:rFonts w:cs="Times New Roman"/>
                <w:noProof/>
              </w:rPr>
            </w:pPr>
            <w:r>
              <w:rPr>
                <w:noProof/>
              </w:rPr>
              <w:t>parannetaan fyysistä pääsyä julkisiin rakennuksiin ja julkisiin tiloihin, myös terveyspalveluihin ja koulutuskeskuksiin;</w:t>
            </w:r>
          </w:p>
          <w:p w14:paraId="23E6B699" w14:textId="77777777" w:rsidR="000E48CE" w:rsidRDefault="00FF4C4E">
            <w:pPr>
              <w:pStyle w:val="P68B1DB1-Normal13"/>
              <w:numPr>
                <w:ilvl w:val="0"/>
                <w:numId w:val="633"/>
              </w:numPr>
              <w:spacing w:after="0" w:line="240" w:lineRule="auto"/>
              <w:contextualSpacing/>
              <w:rPr>
                <w:rFonts w:cs="Times New Roman"/>
                <w:noProof/>
              </w:rPr>
            </w:pPr>
            <w:r>
              <w:rPr>
                <w:noProof/>
              </w:rPr>
              <w:t>julkisen liik</w:t>
            </w:r>
            <w:r>
              <w:rPr>
                <w:noProof/>
              </w:rPr>
              <w:t>enteen esteettömyyden parantaminen;</w:t>
            </w:r>
          </w:p>
          <w:p w14:paraId="12CD8D11" w14:textId="70F7083F" w:rsidR="000E48CE" w:rsidRDefault="00FF4C4E">
            <w:pPr>
              <w:pStyle w:val="P68B1DB1-Normal13"/>
              <w:numPr>
                <w:ilvl w:val="0"/>
                <w:numId w:val="633"/>
              </w:numPr>
              <w:spacing w:after="0" w:line="240" w:lineRule="auto"/>
              <w:contextualSpacing/>
              <w:rPr>
                <w:rFonts w:cs="Times New Roman"/>
                <w:noProof/>
              </w:rPr>
            </w:pPr>
            <w:r>
              <w:rPr>
                <w:noProof/>
              </w:rPr>
              <w:t>sopeutumistöiden toteuttaminen ja laitteiden hankinta kunnissa erityisesti maaseutualueilla.</w:t>
            </w:r>
          </w:p>
          <w:p w14:paraId="6DAB4C20" w14:textId="50044070" w:rsidR="000E48CE" w:rsidRDefault="00FF4C4E">
            <w:pPr>
              <w:pStyle w:val="P68B1DB1-Normal13"/>
              <w:numPr>
                <w:ilvl w:val="0"/>
                <w:numId w:val="633"/>
              </w:numPr>
              <w:spacing w:after="0" w:line="240" w:lineRule="auto"/>
              <w:contextualSpacing/>
              <w:rPr>
                <w:rFonts w:cs="Times New Roman"/>
                <w:noProof/>
              </w:rPr>
            </w:pPr>
            <w:r>
              <w:rPr>
                <w:noProof/>
              </w:rPr>
              <w:t>Viestintä- ja valistuskampanjat,</w:t>
            </w:r>
          </w:p>
          <w:p w14:paraId="17A6A810" w14:textId="5D88BBD2" w:rsidR="000E48CE" w:rsidRDefault="00FF4C4E">
            <w:pPr>
              <w:pStyle w:val="P68B1DB1-Normal13"/>
              <w:numPr>
                <w:ilvl w:val="0"/>
                <w:numId w:val="633"/>
              </w:numPr>
              <w:spacing w:after="0" w:line="240" w:lineRule="auto"/>
              <w:contextualSpacing/>
              <w:rPr>
                <w:rFonts w:cs="Times New Roman"/>
                <w:noProof/>
              </w:rPr>
            </w:pPr>
            <w:r>
              <w:rPr>
                <w:noProof/>
              </w:rPr>
              <w:t>TKI-tutkimushankkeet kognitiivisen saavutettavuuden alalla.</w:t>
            </w:r>
          </w:p>
        </w:tc>
      </w:tr>
      <w:tr w:rsidR="000E48CE" w14:paraId="02D47B8A" w14:textId="77777777">
        <w:trPr>
          <w:trHeight w:val="309"/>
        </w:trPr>
        <w:tc>
          <w:tcPr>
            <w:tcW w:w="709" w:type="dxa"/>
            <w:shd w:val="clear" w:color="auto" w:fill="C6EFCE"/>
            <w:noWrap/>
          </w:tcPr>
          <w:p w14:paraId="7F60B7F6" w14:textId="4090B231" w:rsidR="000E48CE" w:rsidRDefault="00FF4C4E">
            <w:pPr>
              <w:pStyle w:val="P68B1DB1-Normal13"/>
              <w:spacing w:after="0" w:line="240" w:lineRule="auto"/>
              <w:jc w:val="center"/>
              <w:rPr>
                <w:rFonts w:cs="Times New Roman"/>
                <w:noProof/>
              </w:rPr>
            </w:pPr>
            <w:r>
              <w:rPr>
                <w:noProof/>
              </w:rPr>
              <w:t>473</w:t>
            </w:r>
          </w:p>
        </w:tc>
        <w:tc>
          <w:tcPr>
            <w:tcW w:w="851" w:type="dxa"/>
            <w:shd w:val="clear" w:color="auto" w:fill="C6EFCE"/>
            <w:noWrap/>
          </w:tcPr>
          <w:p w14:paraId="3C7E4AB5" w14:textId="0A10C876" w:rsidR="000E48CE" w:rsidRDefault="00FF4C4E">
            <w:pPr>
              <w:pStyle w:val="P68B1DB1-Normal13"/>
              <w:spacing w:after="0" w:line="240" w:lineRule="auto"/>
              <w:jc w:val="center"/>
              <w:rPr>
                <w:rFonts w:cs="Times New Roman"/>
                <w:noProof/>
              </w:rPr>
            </w:pPr>
            <w:r>
              <w:rPr>
                <w:noProof/>
              </w:rPr>
              <w:t>C22.I4</w:t>
            </w:r>
          </w:p>
        </w:tc>
        <w:tc>
          <w:tcPr>
            <w:tcW w:w="992" w:type="dxa"/>
            <w:shd w:val="clear" w:color="auto" w:fill="C6EFCE"/>
            <w:noWrap/>
          </w:tcPr>
          <w:p w14:paraId="5404E2C9" w14:textId="40E7155C" w:rsidR="000E48CE" w:rsidRDefault="00FF4C4E">
            <w:pPr>
              <w:pStyle w:val="P68B1DB1-Normal13"/>
              <w:spacing w:after="0" w:line="240" w:lineRule="auto"/>
              <w:jc w:val="center"/>
              <w:rPr>
                <w:rFonts w:cs="Times New Roman"/>
                <w:noProof/>
              </w:rPr>
            </w:pPr>
            <w:r>
              <w:rPr>
                <w:noProof/>
              </w:rPr>
              <w:t>M</w:t>
            </w:r>
          </w:p>
        </w:tc>
        <w:tc>
          <w:tcPr>
            <w:tcW w:w="3119" w:type="dxa"/>
            <w:shd w:val="clear" w:color="auto" w:fill="C6EFCE"/>
            <w:noWrap/>
          </w:tcPr>
          <w:p w14:paraId="5A7D1B79" w14:textId="777D9292" w:rsidR="000E48CE" w:rsidRDefault="00FF4C4E">
            <w:pPr>
              <w:pStyle w:val="P68B1DB1-Normal13"/>
              <w:spacing w:after="0" w:line="240" w:lineRule="auto"/>
              <w:rPr>
                <w:rFonts w:cs="Times New Roman"/>
                <w:noProof/>
              </w:rPr>
            </w:pPr>
            <w:r>
              <w:rPr>
                <w:noProof/>
              </w:rPr>
              <w:t xml:space="preserve">Erilaisten </w:t>
            </w:r>
            <w:r>
              <w:rPr>
                <w:noProof/>
              </w:rPr>
              <w:t>palvelujen perustaminen seksuaalisen väkivallan uhreille.</w:t>
            </w:r>
          </w:p>
        </w:tc>
        <w:tc>
          <w:tcPr>
            <w:tcW w:w="992" w:type="dxa"/>
            <w:shd w:val="clear" w:color="auto" w:fill="C6EFCE"/>
            <w:noWrap/>
          </w:tcPr>
          <w:p w14:paraId="0C93E4BA" w14:textId="1FF571E6" w:rsidR="000E48CE" w:rsidRDefault="00FF4C4E">
            <w:pPr>
              <w:pStyle w:val="P68B1DB1-Normal13"/>
              <w:spacing w:after="0" w:line="240" w:lineRule="auto"/>
              <w:jc w:val="center"/>
              <w:rPr>
                <w:rFonts w:cs="Times New Roman"/>
                <w:noProof/>
              </w:rPr>
            </w:pPr>
            <w:r>
              <w:rPr>
                <w:noProof/>
              </w:rPr>
              <w:t>Lainsäädännön voimaantulo</w:t>
            </w:r>
          </w:p>
        </w:tc>
        <w:tc>
          <w:tcPr>
            <w:tcW w:w="850" w:type="dxa"/>
            <w:shd w:val="clear" w:color="auto" w:fill="C6EFCE"/>
            <w:noWrap/>
          </w:tcPr>
          <w:p w14:paraId="20BA5909" w14:textId="77777777" w:rsidR="000E48CE" w:rsidRDefault="000E48CE">
            <w:pPr>
              <w:spacing w:after="0" w:line="240" w:lineRule="auto"/>
              <w:jc w:val="center"/>
              <w:rPr>
                <w:rFonts w:ascii="Times New Roman" w:hAnsi="Times New Roman" w:cs="Times New Roman"/>
                <w:noProof/>
                <w:sz w:val="18"/>
              </w:rPr>
            </w:pPr>
          </w:p>
        </w:tc>
        <w:tc>
          <w:tcPr>
            <w:tcW w:w="851" w:type="dxa"/>
            <w:shd w:val="clear" w:color="auto" w:fill="C6EFCE"/>
            <w:noWrap/>
          </w:tcPr>
          <w:p w14:paraId="27F68138"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36C7F7BE" w14:textId="77777777"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tcPr>
          <w:p w14:paraId="307808EB" w14:textId="261F3D21" w:rsidR="000E48CE" w:rsidRDefault="00FF4C4E">
            <w:pPr>
              <w:pStyle w:val="P68B1DB1-Normal13"/>
              <w:spacing w:after="0" w:line="240" w:lineRule="auto"/>
              <w:jc w:val="center"/>
              <w:rPr>
                <w:rFonts w:cs="Times New Roman"/>
                <w:noProof/>
              </w:rPr>
            </w:pPr>
            <w:r>
              <w:rPr>
                <w:noProof/>
              </w:rPr>
              <w:t>Q1</w:t>
            </w:r>
          </w:p>
        </w:tc>
        <w:tc>
          <w:tcPr>
            <w:tcW w:w="810" w:type="dxa"/>
            <w:shd w:val="clear" w:color="auto" w:fill="C6EFCE"/>
            <w:noWrap/>
          </w:tcPr>
          <w:p w14:paraId="07FAF17F" w14:textId="1778D3C9" w:rsidR="000E48CE" w:rsidRDefault="00FF4C4E">
            <w:pPr>
              <w:pStyle w:val="P68B1DB1-Normal13"/>
              <w:spacing w:after="0" w:line="240" w:lineRule="auto"/>
              <w:jc w:val="center"/>
              <w:rPr>
                <w:rFonts w:cs="Times New Roman"/>
                <w:noProof/>
              </w:rPr>
            </w:pPr>
            <w:r>
              <w:rPr>
                <w:noProof/>
              </w:rPr>
              <w:t>2023</w:t>
            </w:r>
          </w:p>
        </w:tc>
        <w:tc>
          <w:tcPr>
            <w:tcW w:w="4860" w:type="dxa"/>
            <w:shd w:val="clear" w:color="auto" w:fill="C6EFCE"/>
            <w:noWrap/>
          </w:tcPr>
          <w:p w14:paraId="410F4B9C" w14:textId="001E2D21" w:rsidR="000E48CE" w:rsidRDefault="00FF4C4E">
            <w:pPr>
              <w:pStyle w:val="P68B1DB1-Normal13"/>
              <w:rPr>
                <w:rFonts w:cs="Times New Roman"/>
                <w:noProof/>
              </w:rPr>
            </w:pPr>
            <w:r>
              <w:rPr>
                <w:noProof/>
              </w:rPr>
              <w:t>Voimaan tulee lainsäädäntöä, jolla perustetaan seksuaalisen väkivallan uhreille tarkoitettu uusi sosiaali- ja työllisyysneuvontapalvelu, joka tarjoaa erityyppisi</w:t>
            </w:r>
            <w:r>
              <w:rPr>
                <w:noProof/>
              </w:rPr>
              <w:t>ä palveluja, kuten oikeudellista neuvontaa, psykologista ja emotionaalista tukea sekä apua työmarkkinoille integroitumisessa.</w:t>
            </w:r>
          </w:p>
        </w:tc>
      </w:tr>
      <w:tr w:rsidR="000E48CE" w14:paraId="247C6EA5" w14:textId="77777777">
        <w:trPr>
          <w:trHeight w:val="309"/>
        </w:trPr>
        <w:tc>
          <w:tcPr>
            <w:tcW w:w="709" w:type="dxa"/>
            <w:shd w:val="clear" w:color="auto" w:fill="C6EFCE"/>
            <w:noWrap/>
          </w:tcPr>
          <w:p w14:paraId="480918FD" w14:textId="6F4DAF9F" w:rsidR="000E48CE" w:rsidRDefault="00FF4C4E">
            <w:pPr>
              <w:pStyle w:val="P68B1DB1-Normal13"/>
              <w:spacing w:after="0" w:line="240" w:lineRule="auto"/>
              <w:jc w:val="center"/>
              <w:rPr>
                <w:rFonts w:cs="Times New Roman"/>
                <w:noProof/>
              </w:rPr>
            </w:pPr>
            <w:r>
              <w:rPr>
                <w:noProof/>
              </w:rPr>
              <w:t>472</w:t>
            </w:r>
          </w:p>
        </w:tc>
        <w:tc>
          <w:tcPr>
            <w:tcW w:w="851" w:type="dxa"/>
            <w:shd w:val="clear" w:color="auto" w:fill="C6EFCE"/>
            <w:noWrap/>
          </w:tcPr>
          <w:p w14:paraId="20107D1A" w14:textId="77777777" w:rsidR="000E48CE" w:rsidRDefault="00FF4C4E">
            <w:pPr>
              <w:pStyle w:val="P68B1DB1-Normal13"/>
              <w:spacing w:after="0" w:line="240" w:lineRule="auto"/>
              <w:jc w:val="center"/>
              <w:rPr>
                <w:rFonts w:cs="Times New Roman"/>
                <w:noProof/>
              </w:rPr>
            </w:pPr>
            <w:r>
              <w:rPr>
                <w:noProof/>
              </w:rPr>
              <w:t>C22.I4</w:t>
            </w:r>
          </w:p>
        </w:tc>
        <w:tc>
          <w:tcPr>
            <w:tcW w:w="992" w:type="dxa"/>
            <w:shd w:val="clear" w:color="auto" w:fill="C6EFCE"/>
            <w:noWrap/>
          </w:tcPr>
          <w:p w14:paraId="339C0418" w14:textId="65A7BFD2" w:rsidR="000E48CE" w:rsidRDefault="00FF4C4E">
            <w:pPr>
              <w:pStyle w:val="P68B1DB1-Normal13"/>
              <w:spacing w:after="0" w:line="240" w:lineRule="auto"/>
              <w:jc w:val="center"/>
              <w:rPr>
                <w:rFonts w:cs="Times New Roman"/>
                <w:noProof/>
              </w:rPr>
            </w:pPr>
            <w:r>
              <w:rPr>
                <w:noProof/>
              </w:rPr>
              <w:t>M</w:t>
            </w:r>
          </w:p>
        </w:tc>
        <w:tc>
          <w:tcPr>
            <w:tcW w:w="3119" w:type="dxa"/>
            <w:shd w:val="clear" w:color="auto" w:fill="C6EFCE"/>
            <w:noWrap/>
          </w:tcPr>
          <w:p w14:paraId="0355E8A9" w14:textId="0CABE7C4" w:rsidR="000E48CE" w:rsidRDefault="00FF4C4E">
            <w:pPr>
              <w:pStyle w:val="P68B1DB1-Normal13"/>
              <w:spacing w:after="0" w:line="240" w:lineRule="auto"/>
              <w:rPr>
                <w:rFonts w:cs="Times New Roman"/>
                <w:noProof/>
              </w:rPr>
            </w:pPr>
            <w:r>
              <w:rPr>
                <w:noProof/>
              </w:rPr>
              <w:t>Investoinnit puhelin- ja verkkopalveluihin naisiin kohdistuvan väkivallan uhrien tukemiseksi</w:t>
            </w:r>
          </w:p>
        </w:tc>
        <w:tc>
          <w:tcPr>
            <w:tcW w:w="992" w:type="dxa"/>
            <w:shd w:val="clear" w:color="auto" w:fill="C6EFCE"/>
            <w:noWrap/>
          </w:tcPr>
          <w:p w14:paraId="11CB4A01"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tcPr>
          <w:p w14:paraId="3EE2BB17" w14:textId="4360516B" w:rsidR="000E48CE" w:rsidRDefault="000E48CE">
            <w:pPr>
              <w:spacing w:after="0" w:line="240" w:lineRule="auto"/>
              <w:jc w:val="center"/>
              <w:rPr>
                <w:rFonts w:ascii="Times New Roman" w:hAnsi="Times New Roman" w:cs="Times New Roman"/>
                <w:noProof/>
                <w:sz w:val="18"/>
              </w:rPr>
            </w:pPr>
          </w:p>
        </w:tc>
        <w:tc>
          <w:tcPr>
            <w:tcW w:w="851" w:type="dxa"/>
            <w:shd w:val="clear" w:color="auto" w:fill="C6EFCE"/>
            <w:noWrap/>
          </w:tcPr>
          <w:p w14:paraId="1B303A13" w14:textId="2F906B70"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2430A0C7" w14:textId="24996925" w:rsidR="000E48CE" w:rsidRDefault="00FF4C4E">
            <w:pPr>
              <w:pStyle w:val="P68B1DB1-Normal13"/>
              <w:spacing w:after="0" w:line="240" w:lineRule="auto"/>
              <w:jc w:val="center"/>
              <w:rPr>
                <w:rFonts w:cs="Times New Roman"/>
                <w:noProof/>
              </w:rPr>
            </w:pPr>
            <w:r>
              <w:rPr>
                <w:noProof/>
              </w:rPr>
              <w:t xml:space="preserve"> </w:t>
            </w:r>
          </w:p>
        </w:tc>
        <w:tc>
          <w:tcPr>
            <w:tcW w:w="567" w:type="dxa"/>
            <w:shd w:val="clear" w:color="auto" w:fill="C6EFCE"/>
            <w:noWrap/>
          </w:tcPr>
          <w:p w14:paraId="7894BCC5" w14:textId="7C8419F6" w:rsidR="000E48CE" w:rsidRDefault="00FF4C4E">
            <w:pPr>
              <w:pStyle w:val="P68B1DB1-Normal13"/>
              <w:spacing w:after="0" w:line="240" w:lineRule="auto"/>
              <w:jc w:val="center"/>
              <w:rPr>
                <w:rFonts w:cs="Times New Roman"/>
                <w:noProof/>
              </w:rPr>
            </w:pPr>
            <w:r>
              <w:rPr>
                <w:noProof/>
              </w:rPr>
              <w:t>Q4</w:t>
            </w:r>
          </w:p>
        </w:tc>
        <w:tc>
          <w:tcPr>
            <w:tcW w:w="810" w:type="dxa"/>
            <w:shd w:val="clear" w:color="auto" w:fill="C6EFCE"/>
            <w:noWrap/>
          </w:tcPr>
          <w:p w14:paraId="7D1AC088" w14:textId="72E4F03E" w:rsidR="000E48CE" w:rsidRDefault="00FF4C4E">
            <w:pPr>
              <w:pStyle w:val="P68B1DB1-Normal13"/>
              <w:spacing w:after="0" w:line="240" w:lineRule="auto"/>
              <w:jc w:val="center"/>
              <w:rPr>
                <w:rFonts w:cs="Times New Roman"/>
                <w:noProof/>
              </w:rPr>
            </w:pPr>
            <w:r>
              <w:rPr>
                <w:noProof/>
              </w:rPr>
              <w:t>2025</w:t>
            </w:r>
          </w:p>
        </w:tc>
        <w:tc>
          <w:tcPr>
            <w:tcW w:w="4860" w:type="dxa"/>
            <w:shd w:val="clear" w:color="auto" w:fill="C6EFCE"/>
            <w:noWrap/>
          </w:tcPr>
          <w:p w14:paraId="06592210" w14:textId="48D7211D" w:rsidR="000E48CE" w:rsidRDefault="00FF4C4E">
            <w:pPr>
              <w:pStyle w:val="P68B1DB1-Normal13"/>
              <w:spacing w:after="0" w:line="240" w:lineRule="auto"/>
              <w:jc w:val="both"/>
              <w:rPr>
                <w:rFonts w:cs="Times New Roman"/>
                <w:noProof/>
              </w:rPr>
            </w:pPr>
            <w:r>
              <w:rPr>
                <w:noProof/>
              </w:rPr>
              <w:t>Tarjotaan vähintään 30.000 etäisyyden seurantalaitetta, uusi sovellus uhreille sekä uusi massadata- ja tekoälyalusta, jolla tuetaan naisiin kohdistuvan väkivallan uhreja, myös ihmiskaupan ja seksuaalisen hyväksikäytön uhreja. Lähtötilanne: 1 päivänä helmik</w:t>
            </w:r>
            <w:r>
              <w:rPr>
                <w:noProof/>
              </w:rPr>
              <w:t xml:space="preserve">uuta 2020. </w:t>
            </w:r>
          </w:p>
        </w:tc>
      </w:tr>
      <w:tr w:rsidR="000E48CE" w14:paraId="6D94727D" w14:textId="77777777">
        <w:trPr>
          <w:trHeight w:val="309"/>
        </w:trPr>
        <w:tc>
          <w:tcPr>
            <w:tcW w:w="709" w:type="dxa"/>
            <w:shd w:val="clear" w:color="auto" w:fill="C6EFCE"/>
            <w:noWrap/>
          </w:tcPr>
          <w:p w14:paraId="54AD7792" w14:textId="49F5FF86" w:rsidR="000E48CE" w:rsidRDefault="00FF4C4E">
            <w:pPr>
              <w:pStyle w:val="P68B1DB1-Normal13"/>
              <w:spacing w:after="0" w:line="240" w:lineRule="auto"/>
              <w:jc w:val="center"/>
              <w:rPr>
                <w:rFonts w:cs="Times New Roman"/>
                <w:noProof/>
              </w:rPr>
            </w:pPr>
            <w:r>
              <w:rPr>
                <w:noProof/>
              </w:rPr>
              <w:t>327</w:t>
            </w:r>
          </w:p>
        </w:tc>
        <w:tc>
          <w:tcPr>
            <w:tcW w:w="851" w:type="dxa"/>
            <w:shd w:val="clear" w:color="auto" w:fill="C6EFCE"/>
            <w:noWrap/>
          </w:tcPr>
          <w:p w14:paraId="1DD10EC2" w14:textId="7D588441" w:rsidR="000E48CE" w:rsidRDefault="00FF4C4E">
            <w:pPr>
              <w:pStyle w:val="P68B1DB1-Normal13"/>
              <w:spacing w:after="0" w:line="240" w:lineRule="auto"/>
              <w:jc w:val="center"/>
              <w:rPr>
                <w:rFonts w:cs="Times New Roman"/>
                <w:noProof/>
              </w:rPr>
            </w:pPr>
            <w:r>
              <w:rPr>
                <w:noProof/>
              </w:rPr>
              <w:t>C22.I4</w:t>
            </w:r>
          </w:p>
        </w:tc>
        <w:tc>
          <w:tcPr>
            <w:tcW w:w="992" w:type="dxa"/>
            <w:shd w:val="clear" w:color="auto" w:fill="C6EFCE"/>
            <w:noWrap/>
          </w:tcPr>
          <w:p w14:paraId="782FDF79" w14:textId="47D6A3E1" w:rsidR="000E48CE" w:rsidRDefault="00FF4C4E">
            <w:pPr>
              <w:pStyle w:val="P68B1DB1-Normal13"/>
              <w:spacing w:after="0" w:line="240" w:lineRule="auto"/>
              <w:jc w:val="center"/>
              <w:rPr>
                <w:rFonts w:cs="Times New Roman"/>
                <w:noProof/>
              </w:rPr>
            </w:pPr>
            <w:r>
              <w:rPr>
                <w:noProof/>
              </w:rPr>
              <w:t>T</w:t>
            </w:r>
          </w:p>
        </w:tc>
        <w:tc>
          <w:tcPr>
            <w:tcW w:w="3119" w:type="dxa"/>
            <w:shd w:val="clear" w:color="auto" w:fill="C6EFCE"/>
            <w:noWrap/>
          </w:tcPr>
          <w:p w14:paraId="5F9D0B3C" w14:textId="1059C8BB" w:rsidR="000E48CE" w:rsidRDefault="00FF4C4E">
            <w:pPr>
              <w:pStyle w:val="P68B1DB1-Normal13"/>
              <w:spacing w:after="0" w:line="240" w:lineRule="auto"/>
              <w:rPr>
                <w:rFonts w:cs="Times New Roman"/>
                <w:noProof/>
              </w:rPr>
            </w:pPr>
            <w:r>
              <w:rPr>
                <w:noProof/>
              </w:rPr>
              <w:t>Seksuaalisen väkivallan uhrien keskukset.</w:t>
            </w:r>
          </w:p>
        </w:tc>
        <w:tc>
          <w:tcPr>
            <w:tcW w:w="992" w:type="dxa"/>
            <w:shd w:val="clear" w:color="auto" w:fill="C6EFCE"/>
            <w:noWrap/>
          </w:tcPr>
          <w:p w14:paraId="26C4D464" w14:textId="5F76672D" w:rsidR="000E48CE" w:rsidRDefault="00FF4C4E">
            <w:pPr>
              <w:pStyle w:val="P68B1DB1-Normal13"/>
              <w:spacing w:after="0" w:line="240" w:lineRule="auto"/>
              <w:jc w:val="center"/>
              <w:rPr>
                <w:rFonts w:cs="Times New Roman"/>
                <w:noProof/>
              </w:rPr>
            </w:pPr>
            <w:r>
              <w:rPr>
                <w:noProof/>
              </w:rPr>
              <w:t> </w:t>
            </w:r>
          </w:p>
        </w:tc>
        <w:tc>
          <w:tcPr>
            <w:tcW w:w="850" w:type="dxa"/>
            <w:shd w:val="clear" w:color="auto" w:fill="C6EFCE"/>
            <w:noWrap/>
          </w:tcPr>
          <w:p w14:paraId="6814C0C4" w14:textId="5C6120DB" w:rsidR="000E48CE" w:rsidRDefault="00FF4C4E">
            <w:pPr>
              <w:pStyle w:val="P68B1DB1-Normal13"/>
              <w:spacing w:after="0" w:line="240" w:lineRule="auto"/>
              <w:jc w:val="center"/>
              <w:rPr>
                <w:rFonts w:cs="Times New Roman"/>
                <w:noProof/>
              </w:rPr>
            </w:pPr>
            <w:r>
              <w:rPr>
                <w:noProof/>
              </w:rPr>
              <w:t>Määrä</w:t>
            </w:r>
          </w:p>
        </w:tc>
        <w:tc>
          <w:tcPr>
            <w:tcW w:w="851" w:type="dxa"/>
            <w:shd w:val="clear" w:color="auto" w:fill="C6EFCE"/>
            <w:noWrap/>
          </w:tcPr>
          <w:p w14:paraId="7F340122" w14:textId="153666E6" w:rsidR="000E48CE" w:rsidRDefault="00FF4C4E">
            <w:pPr>
              <w:pStyle w:val="P68B1DB1-Normal13"/>
              <w:spacing w:after="0" w:line="240" w:lineRule="auto"/>
              <w:jc w:val="right"/>
              <w:rPr>
                <w:rFonts w:cs="Times New Roman"/>
                <w:noProof/>
              </w:rPr>
            </w:pPr>
            <w:r>
              <w:rPr>
                <w:noProof/>
              </w:rPr>
              <w:t>19</w:t>
            </w:r>
          </w:p>
        </w:tc>
        <w:tc>
          <w:tcPr>
            <w:tcW w:w="709" w:type="dxa"/>
            <w:shd w:val="clear" w:color="auto" w:fill="C6EFCE"/>
            <w:noWrap/>
          </w:tcPr>
          <w:p w14:paraId="091C5EB4" w14:textId="63164A43" w:rsidR="000E48CE" w:rsidRDefault="00FF4C4E">
            <w:pPr>
              <w:pStyle w:val="P68B1DB1-Normal13"/>
              <w:spacing w:after="0" w:line="240" w:lineRule="auto"/>
              <w:jc w:val="center"/>
              <w:rPr>
                <w:rFonts w:cs="Times New Roman"/>
                <w:noProof/>
              </w:rPr>
            </w:pPr>
            <w:r>
              <w:rPr>
                <w:noProof/>
              </w:rPr>
              <w:t>52</w:t>
            </w:r>
          </w:p>
        </w:tc>
        <w:tc>
          <w:tcPr>
            <w:tcW w:w="567" w:type="dxa"/>
            <w:shd w:val="clear" w:color="auto" w:fill="C6EFCE"/>
            <w:noWrap/>
          </w:tcPr>
          <w:p w14:paraId="2069E1DB" w14:textId="692BDBD5" w:rsidR="000E48CE" w:rsidRDefault="00FF4C4E">
            <w:pPr>
              <w:pStyle w:val="P68B1DB1-Normal13"/>
              <w:spacing w:after="0" w:line="240" w:lineRule="auto"/>
              <w:jc w:val="center"/>
              <w:rPr>
                <w:rFonts w:cs="Times New Roman"/>
                <w:noProof/>
              </w:rPr>
            </w:pPr>
            <w:r>
              <w:rPr>
                <w:noProof/>
              </w:rPr>
              <w:t>Q4</w:t>
            </w:r>
          </w:p>
        </w:tc>
        <w:tc>
          <w:tcPr>
            <w:tcW w:w="810" w:type="dxa"/>
            <w:shd w:val="clear" w:color="auto" w:fill="C6EFCE"/>
            <w:noWrap/>
          </w:tcPr>
          <w:p w14:paraId="190A4675" w14:textId="529D5F02" w:rsidR="000E48CE" w:rsidRDefault="00FF4C4E">
            <w:pPr>
              <w:pStyle w:val="P68B1DB1-Normal13"/>
              <w:spacing w:after="0" w:line="240" w:lineRule="auto"/>
              <w:jc w:val="center"/>
              <w:rPr>
                <w:rFonts w:cs="Times New Roman"/>
                <w:noProof/>
              </w:rPr>
            </w:pPr>
            <w:r>
              <w:rPr>
                <w:noProof/>
              </w:rPr>
              <w:t>2024</w:t>
            </w:r>
          </w:p>
        </w:tc>
        <w:tc>
          <w:tcPr>
            <w:tcW w:w="4860" w:type="dxa"/>
            <w:shd w:val="clear" w:color="auto" w:fill="C6EFCE"/>
            <w:noWrap/>
          </w:tcPr>
          <w:p w14:paraId="3A3DBD50" w14:textId="7A52A764" w:rsidR="000E48CE" w:rsidRDefault="00FF4C4E">
            <w:pPr>
              <w:pStyle w:val="P68B1DB1-Normal13"/>
              <w:spacing w:after="0" w:line="240" w:lineRule="auto"/>
              <w:rPr>
                <w:rFonts w:cs="Times New Roman"/>
                <w:noProof/>
              </w:rPr>
            </w:pPr>
            <w:r>
              <w:rPr>
                <w:noProof/>
              </w:rPr>
              <w:t xml:space="preserve">Kussakin provinssissa on toiminnassa vähintään yksi kattava seksuaalisen väkivallan uhrien hoitokeskus ja yksi Espanjan autonomisissa kaupungeissa Ceutassa ja </w:t>
            </w:r>
            <w:r>
              <w:rPr>
                <w:noProof/>
              </w:rPr>
              <w:t>Melillassa. Lähtötilanne: 1 päivänä helmikuuta 2020.</w:t>
            </w:r>
          </w:p>
        </w:tc>
      </w:tr>
      <w:tr w:rsidR="000E48CE" w14:paraId="2D552F17" w14:textId="77777777">
        <w:trPr>
          <w:trHeight w:val="309"/>
        </w:trPr>
        <w:tc>
          <w:tcPr>
            <w:tcW w:w="709" w:type="dxa"/>
            <w:shd w:val="clear" w:color="auto" w:fill="C6EFCE"/>
            <w:noWrap/>
          </w:tcPr>
          <w:p w14:paraId="72F909BD" w14:textId="77777777" w:rsidR="000E48CE" w:rsidRDefault="00FF4C4E">
            <w:pPr>
              <w:pStyle w:val="P68B1DB1-Normal13"/>
              <w:spacing w:after="0" w:line="240" w:lineRule="auto"/>
              <w:jc w:val="center"/>
              <w:rPr>
                <w:rFonts w:cs="Times New Roman"/>
                <w:noProof/>
              </w:rPr>
            </w:pPr>
            <w:r>
              <w:rPr>
                <w:noProof/>
              </w:rPr>
              <w:t>328</w:t>
            </w:r>
          </w:p>
        </w:tc>
        <w:tc>
          <w:tcPr>
            <w:tcW w:w="851" w:type="dxa"/>
            <w:shd w:val="clear" w:color="auto" w:fill="C6EFCE"/>
            <w:noWrap/>
          </w:tcPr>
          <w:p w14:paraId="56F779E4" w14:textId="77777777" w:rsidR="000E48CE" w:rsidRDefault="00FF4C4E">
            <w:pPr>
              <w:pStyle w:val="P68B1DB1-Normal13"/>
              <w:spacing w:after="0" w:line="240" w:lineRule="auto"/>
              <w:jc w:val="center"/>
              <w:rPr>
                <w:rFonts w:cs="Times New Roman"/>
                <w:noProof/>
              </w:rPr>
            </w:pPr>
            <w:r>
              <w:rPr>
                <w:noProof/>
              </w:rPr>
              <w:t>C22.I5</w:t>
            </w:r>
          </w:p>
        </w:tc>
        <w:tc>
          <w:tcPr>
            <w:tcW w:w="992" w:type="dxa"/>
            <w:shd w:val="clear" w:color="auto" w:fill="C6EFCE"/>
            <w:noWrap/>
          </w:tcPr>
          <w:p w14:paraId="6F0BFEC2" w14:textId="77777777" w:rsidR="000E48CE" w:rsidRDefault="00FF4C4E">
            <w:pPr>
              <w:pStyle w:val="P68B1DB1-Normal13"/>
              <w:spacing w:after="0" w:line="240" w:lineRule="auto"/>
              <w:jc w:val="center"/>
              <w:rPr>
                <w:rFonts w:cs="Times New Roman"/>
                <w:noProof/>
              </w:rPr>
            </w:pPr>
            <w:r>
              <w:rPr>
                <w:noProof/>
              </w:rPr>
              <w:t>T</w:t>
            </w:r>
          </w:p>
        </w:tc>
        <w:tc>
          <w:tcPr>
            <w:tcW w:w="3119" w:type="dxa"/>
            <w:shd w:val="clear" w:color="auto" w:fill="C6EFCE"/>
            <w:noWrap/>
          </w:tcPr>
          <w:p w14:paraId="3A395E00" w14:textId="77777777" w:rsidR="000E48CE" w:rsidRDefault="00FF4C4E">
            <w:pPr>
              <w:pStyle w:val="P68B1DB1-Normal13"/>
              <w:spacing w:after="0" w:line="240" w:lineRule="auto"/>
              <w:rPr>
                <w:rFonts w:cs="Times New Roman"/>
                <w:noProof/>
              </w:rPr>
            </w:pPr>
            <w:r>
              <w:rPr>
                <w:noProof/>
              </w:rPr>
              <w:t xml:space="preserve">Muuttajien ja kansainvälistä suojelua hakevien henkilöiden vastaanottojärjestelmän kapasiteetti </w:t>
            </w:r>
          </w:p>
        </w:tc>
        <w:tc>
          <w:tcPr>
            <w:tcW w:w="992" w:type="dxa"/>
            <w:shd w:val="clear" w:color="auto" w:fill="C6EFCE"/>
            <w:noWrap/>
          </w:tcPr>
          <w:p w14:paraId="45D7F3DA" w14:textId="77777777" w:rsidR="000E48CE" w:rsidRDefault="00FF4C4E">
            <w:pPr>
              <w:pStyle w:val="P68B1DB1-Normal13"/>
              <w:spacing w:after="0" w:line="240" w:lineRule="auto"/>
              <w:jc w:val="center"/>
              <w:rPr>
                <w:rFonts w:cs="Times New Roman"/>
                <w:noProof/>
              </w:rPr>
            </w:pPr>
            <w:r>
              <w:rPr>
                <w:noProof/>
              </w:rPr>
              <w:t xml:space="preserve"> </w:t>
            </w:r>
          </w:p>
        </w:tc>
        <w:tc>
          <w:tcPr>
            <w:tcW w:w="850" w:type="dxa"/>
            <w:shd w:val="clear" w:color="auto" w:fill="C6EFCE"/>
            <w:noWrap/>
          </w:tcPr>
          <w:p w14:paraId="08B2C179" w14:textId="77777777" w:rsidR="000E48CE" w:rsidRDefault="00FF4C4E">
            <w:pPr>
              <w:pStyle w:val="P68B1DB1-Normal13"/>
              <w:spacing w:after="0" w:line="240" w:lineRule="auto"/>
              <w:jc w:val="center"/>
              <w:rPr>
                <w:rFonts w:cs="Times New Roman"/>
                <w:noProof/>
              </w:rPr>
            </w:pPr>
            <w:r>
              <w:rPr>
                <w:noProof/>
              </w:rPr>
              <w:t>Määrä</w:t>
            </w:r>
          </w:p>
        </w:tc>
        <w:tc>
          <w:tcPr>
            <w:tcW w:w="851" w:type="dxa"/>
            <w:shd w:val="clear" w:color="auto" w:fill="C6EFCE"/>
            <w:noWrap/>
          </w:tcPr>
          <w:p w14:paraId="4CB4F92D" w14:textId="77777777" w:rsidR="000E48CE" w:rsidRDefault="00FF4C4E">
            <w:pPr>
              <w:pStyle w:val="P68B1DB1-Normal13"/>
              <w:spacing w:after="0" w:line="240" w:lineRule="auto"/>
              <w:jc w:val="right"/>
              <w:rPr>
                <w:rFonts w:cs="Times New Roman"/>
                <w:noProof/>
              </w:rPr>
            </w:pPr>
            <w:r>
              <w:rPr>
                <w:noProof/>
              </w:rPr>
              <w:t>400</w:t>
            </w:r>
          </w:p>
        </w:tc>
        <w:tc>
          <w:tcPr>
            <w:tcW w:w="709" w:type="dxa"/>
            <w:shd w:val="clear" w:color="auto" w:fill="C6EFCE"/>
            <w:noWrap/>
          </w:tcPr>
          <w:p w14:paraId="55C8125B" w14:textId="77777777" w:rsidR="000E48CE" w:rsidRDefault="00FF4C4E">
            <w:pPr>
              <w:pStyle w:val="P68B1DB1-Normal13"/>
              <w:spacing w:after="0" w:line="240" w:lineRule="auto"/>
              <w:jc w:val="center"/>
              <w:rPr>
                <w:rFonts w:cs="Times New Roman"/>
                <w:noProof/>
              </w:rPr>
            </w:pPr>
            <w:r>
              <w:rPr>
                <w:noProof/>
              </w:rPr>
              <w:t>6 100</w:t>
            </w:r>
          </w:p>
        </w:tc>
        <w:tc>
          <w:tcPr>
            <w:tcW w:w="567" w:type="dxa"/>
            <w:shd w:val="clear" w:color="auto" w:fill="C6EFCE"/>
            <w:noWrap/>
          </w:tcPr>
          <w:p w14:paraId="7775132F" w14:textId="79873534" w:rsidR="000E48CE" w:rsidRDefault="00FF4C4E">
            <w:pPr>
              <w:pStyle w:val="P68B1DB1-Normal13"/>
              <w:spacing w:after="0" w:line="240" w:lineRule="auto"/>
              <w:jc w:val="center"/>
              <w:rPr>
                <w:rFonts w:cs="Times New Roman"/>
                <w:noProof/>
              </w:rPr>
            </w:pPr>
            <w:r>
              <w:rPr>
                <w:noProof/>
              </w:rPr>
              <w:t>Q2</w:t>
            </w:r>
          </w:p>
        </w:tc>
        <w:tc>
          <w:tcPr>
            <w:tcW w:w="810" w:type="dxa"/>
            <w:shd w:val="clear" w:color="auto" w:fill="C6EFCE"/>
            <w:noWrap/>
          </w:tcPr>
          <w:p w14:paraId="616DE204" w14:textId="5311080C" w:rsidR="000E48CE" w:rsidRDefault="00FF4C4E">
            <w:pPr>
              <w:pStyle w:val="P68B1DB1-Normal13"/>
              <w:spacing w:after="0" w:line="240" w:lineRule="auto"/>
              <w:jc w:val="center"/>
              <w:rPr>
                <w:rFonts w:cs="Times New Roman"/>
                <w:noProof/>
              </w:rPr>
            </w:pPr>
            <w:r>
              <w:rPr>
                <w:noProof/>
              </w:rPr>
              <w:t>2026</w:t>
            </w:r>
          </w:p>
        </w:tc>
        <w:tc>
          <w:tcPr>
            <w:tcW w:w="4860" w:type="dxa"/>
            <w:shd w:val="clear" w:color="auto" w:fill="C6EFCE"/>
            <w:noWrap/>
          </w:tcPr>
          <w:p w14:paraId="4F849BAE" w14:textId="77777777" w:rsidR="000E48CE" w:rsidRDefault="00FF4C4E">
            <w:pPr>
              <w:pStyle w:val="P68B1DB1-Normal13"/>
              <w:spacing w:after="0" w:line="240" w:lineRule="auto"/>
              <w:rPr>
                <w:rFonts w:cs="Times New Roman"/>
                <w:noProof/>
              </w:rPr>
            </w:pPr>
            <w:r>
              <w:rPr>
                <w:noProof/>
              </w:rPr>
              <w:t xml:space="preserve">Lisätään kansainvälistä suojelua hakevien turvapaikanhakijoiden </w:t>
            </w:r>
            <w:r>
              <w:rPr>
                <w:noProof/>
              </w:rPr>
              <w:t>vastaanottojärjestelmän kapasiteettia osallistamis-, sosiaaliturva- ja maahanmuuttoministeriön keskuksissa vähintään 5700 paikkaa vuoteen 2019 verrattuna. Vähintään 176000000 euroa käytetään rakennusten rakentamiseen ja kunnostamiseen energiatehokkuuden va</w:t>
            </w:r>
            <w:r>
              <w:rPr>
                <w:noProof/>
              </w:rPr>
              <w:t>rmistamiseksi. Lähtötilanteen päivämäärä: Joulukuuta 2019.</w:t>
            </w:r>
          </w:p>
        </w:tc>
      </w:tr>
    </w:tbl>
    <w:p w14:paraId="37FC46C5" w14:textId="77777777" w:rsidR="000E48CE" w:rsidRDefault="000E48CE">
      <w:pPr>
        <w:spacing w:before="120" w:after="120" w:line="240" w:lineRule="auto"/>
        <w:ind w:left="709"/>
        <w:jc w:val="both"/>
        <w:rPr>
          <w:rFonts w:ascii="Times New Roman" w:hAnsi="Times New Roman" w:cs="Times New Roman"/>
          <w:noProof/>
          <w:sz w:val="24"/>
        </w:rPr>
        <w:sectPr w:rsidR="000E48CE" w:rsidSect="00C94F66">
          <w:headerReference w:type="even" r:id="rId429"/>
          <w:headerReference w:type="default" r:id="rId430"/>
          <w:footerReference w:type="even" r:id="rId431"/>
          <w:footerReference w:type="default" r:id="rId432"/>
          <w:headerReference w:type="first" r:id="rId433"/>
          <w:footerReference w:type="first" r:id="rId434"/>
          <w:pgSz w:w="16839" w:h="11907" w:orient="landscape"/>
          <w:pgMar w:top="1417" w:right="1134" w:bottom="1417" w:left="1134" w:header="709" w:footer="709" w:gutter="0"/>
          <w:cols w:space="720"/>
          <w:docGrid w:linePitch="360"/>
        </w:sectPr>
      </w:pPr>
    </w:p>
    <w:p w14:paraId="2FE65CC7" w14:textId="7A1D4C05" w:rsidR="000E48CE" w:rsidRDefault="00FF4C4E">
      <w:pPr>
        <w:pStyle w:val="P68B1DB1-Text138"/>
        <w:ind w:left="709"/>
        <w:rPr>
          <w:rFonts w:cs="Times New Roman"/>
          <w:noProof/>
        </w:rPr>
      </w:pPr>
      <w:r>
        <w:rPr>
          <w:noProof/>
        </w:rPr>
        <w:t xml:space="preserve">V.3. </w:t>
      </w:r>
      <w:r>
        <w:rPr>
          <w:noProof/>
        </w:rPr>
        <w:tab/>
        <w:t>Kuvaus lainatukeen liittyvistä uudistuksista ja investoinneista</w:t>
      </w:r>
    </w:p>
    <w:p w14:paraId="1E18E23A" w14:textId="55FBC13B" w:rsidR="000E48CE" w:rsidRDefault="00FF4C4E">
      <w:pPr>
        <w:pStyle w:val="P68B1DB1-P68B1DB1-Normal339"/>
        <w:spacing w:line="240" w:lineRule="auto"/>
        <w:jc w:val="both"/>
        <w:rPr>
          <w:b/>
          <w:noProof/>
        </w:rPr>
      </w:pPr>
      <w:r>
        <w:rPr>
          <w:noProof/>
          <w:u w:val="single"/>
        </w:rPr>
        <w:t xml:space="preserve">Uudistus 6 (C22.R6): Vahvistetaan takuumekanismeja oikeuksien </w:t>
      </w:r>
      <w:r>
        <w:rPr>
          <w:noProof/>
          <w:u w:val="single"/>
        </w:rPr>
        <w:t>suojelun korkeamman tason varmistamiseksi tietyissä tapauksissa, joissa erityinen sosiaalinen ja taloudellinen haavoittuvuus vaikuttaa kuluttajaan</w:t>
      </w:r>
      <w:r>
        <w:rPr>
          <w:b/>
          <w:noProof/>
        </w:rPr>
        <w:t xml:space="preserve">. </w:t>
      </w:r>
    </w:p>
    <w:p w14:paraId="3BAB9ACB" w14:textId="44A022E1" w:rsidR="000E48CE" w:rsidRDefault="00FF4C4E">
      <w:pPr>
        <w:pStyle w:val="P68B1DB1-P68B1DB1-Normal339"/>
        <w:spacing w:line="240" w:lineRule="auto"/>
        <w:jc w:val="both"/>
        <w:rPr>
          <w:noProof/>
        </w:rPr>
      </w:pPr>
      <w:r>
        <w:rPr>
          <w:noProof/>
        </w:rPr>
        <w:t>Uudistuksen tavoitteena on toteuttaa erilaisia toimenpiteitä kuluttajien ja käyttäjien suojelemiseksi sosia</w:t>
      </w:r>
      <w:r>
        <w:rPr>
          <w:noProof/>
        </w:rPr>
        <w:t>aliselta ja taloudelliselta haavoittuvuudelta.</w:t>
      </w:r>
      <w:r>
        <w:rPr>
          <w:noProof/>
          <w:shd w:val="clear" w:color="auto" w:fill="E6E6E6"/>
        </w:rPr>
        <w:t xml:space="preserve">  </w:t>
      </w:r>
    </w:p>
    <w:p w14:paraId="415E41C7" w14:textId="3912AC4D" w:rsidR="000E48CE" w:rsidRDefault="00FF4C4E">
      <w:pPr>
        <w:pStyle w:val="P68B1DB1-P68B1DB1-Normal339"/>
        <w:spacing w:line="240" w:lineRule="auto"/>
        <w:jc w:val="both"/>
        <w:rPr>
          <w:noProof/>
        </w:rPr>
      </w:pPr>
      <w:r>
        <w:rPr>
          <w:noProof/>
        </w:rPr>
        <w:t>Uudistukseen on sisällyttävä vähintään lainsäädäntö, joka koskee merkintöjä pistekirjoitusaakkosin sekä muissa muodoissa, jotta voidaan taata sellaisten kulutustavaroiden ja tuotteiden yleinen saatavuus, jot</w:t>
      </w:r>
      <w:r>
        <w:rPr>
          <w:noProof/>
        </w:rPr>
        <w:t>ka ovat erityisen tärkeitä turvallisuuden, koskemattomuuden ja elämänlaadun suojelun kannalta, erityisesti sokeiden ja heikkonäköisten henkilöiden kannalta heikossa asemassa olevina kuluttajina. Lisäksi uudistuksella muutetaan lainsäädäntöä siten, että mak</w:t>
      </w:r>
      <w:r>
        <w:rPr>
          <w:noProof/>
        </w:rPr>
        <w:t>supalveluissa varmistetaan pyynnöstä yksilöllinen kohtelu haavoittuvassa asemassa oleville kuluttajille ja käyttäjille, jotta vältetään ”digitaaliseen jakoon” perustuva syrjintä.</w:t>
      </w:r>
    </w:p>
    <w:p w14:paraId="580E3593" w14:textId="72E27816" w:rsidR="000E48CE" w:rsidRDefault="00FF4C4E">
      <w:pPr>
        <w:pStyle w:val="P68B1DB1-P68B1DB1-Normal339"/>
        <w:spacing w:line="240" w:lineRule="auto"/>
        <w:jc w:val="both"/>
        <w:rPr>
          <w:noProof/>
        </w:rPr>
      </w:pPr>
      <w:r>
        <w:rPr>
          <w:noProof/>
        </w:rPr>
        <w:t>Toimenpiteen täytäntöönpano on määrä saattaa päätökseen 31. joulukuuta 2025 m</w:t>
      </w:r>
      <w:r>
        <w:rPr>
          <w:noProof/>
        </w:rPr>
        <w:t xml:space="preserve">ennessä. </w:t>
      </w:r>
    </w:p>
    <w:p w14:paraId="6FDD9A91" w14:textId="3630CAD4" w:rsidR="000E48CE" w:rsidRDefault="00FF4C4E">
      <w:pPr>
        <w:pStyle w:val="P68B1DB1-Normal6"/>
        <w:rPr>
          <w:rFonts w:eastAsiaTheme="minorEastAsia" w:cs="Times New Roman"/>
          <w:noProof/>
        </w:rPr>
      </w:pPr>
      <w:r>
        <w:rPr>
          <w:noProof/>
        </w:rPr>
        <w:t>Investointi 6 (C22.I6): Sosiaalisten vaikutusten rahasto (FIS)</w:t>
      </w:r>
    </w:p>
    <w:p w14:paraId="237F961A" w14:textId="6F017C68" w:rsidR="000E48CE" w:rsidRDefault="00FF4C4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rPr>
        <w:t>Tämän toimenpiteen on koostuttava julkisesta investoinnista välineeseen eli sosiaalisten vaikutusten rahastoon, jotta voidaan kannustaa yksityisiä investointeja ja</w:t>
      </w:r>
      <w:r>
        <w:rPr>
          <w:rStyle w:val="normaltextrun"/>
          <w:rFonts w:ascii="Times New Roman" w:hAnsi="Times New Roman"/>
          <w:noProof/>
          <w:sz w:val="24"/>
          <w:shd w:val="clear" w:color="auto" w:fill="FFFFFF"/>
        </w:rPr>
        <w:t xml:space="preserve"> parantaa rahoituksen saantia Espanjan sosiaalisten </w:t>
      </w:r>
      <w:r>
        <w:rPr>
          <w:rFonts w:ascii="Times New Roman" w:hAnsi="Times New Roman"/>
          <w:noProof/>
          <w:sz w:val="24"/>
        </w:rPr>
        <w:t>vaikutusten alalla, erityisesti hankkeet, jotka edistävät sosiaalisia ja ympäristöön liittyviä ratkaisuja, ottaen huomioon alan parhaiden käytäntöjen (GIIN ja muut) laatimat vaikutustenmittaus- ja hallint</w:t>
      </w:r>
      <w:r>
        <w:rPr>
          <w:rFonts w:ascii="Times New Roman" w:hAnsi="Times New Roman"/>
          <w:noProof/>
          <w:sz w:val="24"/>
        </w:rPr>
        <w:t>amenettelyt, sekä kehittää pääomamarkkinoita näillä aloilla. Investointikehys toimii tarjoamalla</w:t>
      </w:r>
      <w:r>
        <w:rPr>
          <w:rStyle w:val="normaltextrun"/>
          <w:rFonts w:ascii="Times New Roman" w:hAnsi="Times New Roman"/>
          <w:noProof/>
          <w:sz w:val="24"/>
          <w:shd w:val="clear" w:color="auto" w:fill="FFFFFF"/>
        </w:rPr>
        <w:t xml:space="preserve"> </w:t>
      </w:r>
      <w:r>
        <w:rPr>
          <w:rStyle w:val="normaltextrun"/>
          <w:rFonts w:ascii="Times New Roman" w:hAnsi="Times New Roman"/>
          <w:noProof/>
          <w:sz w:val="24"/>
        </w:rPr>
        <w:t>lainoja, omaa pääomaa ja</w:t>
      </w:r>
      <w:r>
        <w:rPr>
          <w:rStyle w:val="normaltextrun"/>
          <w:rFonts w:ascii="Times New Roman" w:hAnsi="Times New Roman"/>
          <w:noProof/>
          <w:sz w:val="24"/>
          <w:shd w:val="clear" w:color="auto" w:fill="FFFFFF"/>
        </w:rPr>
        <w:t>oman pääoman luonteisia sijoituksia suoraan tai välittäjien kautta yksityiselle</w:t>
      </w:r>
      <w:r>
        <w:rPr>
          <w:rStyle w:val="normaltextrun"/>
          <w:rFonts w:ascii="Times New Roman" w:hAnsi="Times New Roman"/>
          <w:noProof/>
          <w:sz w:val="24"/>
        </w:rPr>
        <w:t xml:space="preserve"> sektorille sekä vastaavaa toimintaa harjoittaville julk</w:t>
      </w:r>
      <w:r>
        <w:rPr>
          <w:rStyle w:val="normaltextrun"/>
          <w:rFonts w:ascii="Times New Roman" w:hAnsi="Times New Roman"/>
          <w:noProof/>
          <w:sz w:val="24"/>
        </w:rPr>
        <w:t>isyhteisöille ja julkisoikeudellisille laitoksille.</w:t>
      </w:r>
      <w:r>
        <w:rPr>
          <w:rStyle w:val="normaltextrun"/>
          <w:rFonts w:ascii="Times New Roman" w:hAnsi="Times New Roman"/>
          <w:noProof/>
          <w:sz w:val="24"/>
          <w:shd w:val="clear" w:color="auto" w:fill="FFFFFF"/>
        </w:rPr>
        <w:t xml:space="preserve"> Elpymis- ja palautumistukivälineen investointien perusteella tukivälineestä on alun perin tarkoitus myöntää rahoitusta vähintään 400000000 euroa.  </w:t>
      </w:r>
    </w:p>
    <w:p w14:paraId="70AE2CCC" w14:textId="6DF9170E" w:rsidR="000E48CE" w:rsidRDefault="00FF4C4E">
      <w:pPr>
        <w:spacing w:line="240" w:lineRule="auto"/>
        <w:jc w:val="both"/>
        <w:rPr>
          <w:rFonts w:ascii="Times New Roman" w:eastAsiaTheme="minorEastAsia" w:hAnsi="Times New Roman" w:cs="Times New Roman"/>
          <w:noProof/>
          <w:sz w:val="24"/>
        </w:rPr>
      </w:pPr>
      <w:r>
        <w:rPr>
          <w:rStyle w:val="normaltextrun"/>
          <w:rFonts w:ascii="Times New Roman" w:hAnsi="Times New Roman"/>
          <w:noProof/>
          <w:sz w:val="24"/>
          <w:shd w:val="clear" w:color="auto" w:fill="FFFFFF"/>
        </w:rPr>
        <w:t>Koordinointivälinettä hallinnoi toteutuskumppanina Compa</w:t>
      </w:r>
      <w:r>
        <w:rPr>
          <w:rStyle w:val="normaltextrun"/>
          <w:rFonts w:ascii="Times New Roman" w:hAnsi="Times New Roman"/>
          <w:noProof/>
          <w:sz w:val="24"/>
          <w:shd w:val="clear" w:color="auto" w:fill="FFFFFF"/>
        </w:rPr>
        <w:t xml:space="preserve">ñía Española de Financiación del Desarrollo (COFIDES). Lainajärjestely sisältää seuraavat kolme tuotelinjaa: </w:t>
      </w:r>
    </w:p>
    <w:p w14:paraId="64F987A4" w14:textId="7452E1ED" w:rsidR="000E48CE" w:rsidRDefault="00FF4C4E">
      <w:pPr>
        <w:pStyle w:val="P68B1DB1-ListParagraph7"/>
        <w:numPr>
          <w:ilvl w:val="0"/>
          <w:numId w:val="690"/>
        </w:numPr>
        <w:jc w:val="both"/>
        <w:rPr>
          <w:rFonts w:eastAsiaTheme="minorEastAsia" w:cs="Times New Roman"/>
          <w:noProof/>
        </w:rPr>
      </w:pPr>
      <w:r>
        <w:rPr>
          <w:noProof/>
        </w:rPr>
        <w:t>Yhteiskunnallisesti vaikuttavien sijoitusrahastojen osakkeiden merkitseminen. Tällä budjettikohdasta ostetaan yksityisten varainhoitajien hallinno</w:t>
      </w:r>
      <w:r>
        <w:rPr>
          <w:noProof/>
        </w:rPr>
        <w:t>imien sijoitusvälineiden osuuksia, joilla pyritään investoimaan sosiaalisiin ja ympäristöhankkeisiin kaikissa vaiheissa. Osto on rajoitettava 25 prosenttiin kunkin rahaston kokonaisosuuksista, lukuun ottamatta asianmukaisesti perusteltuja tapauksia, joissa</w:t>
      </w:r>
      <w:r>
        <w:rPr>
          <w:noProof/>
        </w:rPr>
        <w:t xml:space="preserve"> tämä prosenttiosuus voi nousta, mutta se ei saa ylittää 49:ää prosenttia. Investointikehys ei myöskään saa ostaa osakkeita useammasta kuin kahdesta saman varainhoitajan hallinnoimasta rahastosta, ellei toinen näistä rahastoista ole luovutusvaiheessa ja on</w:t>
      </w:r>
      <w:r>
        <w:rPr>
          <w:noProof/>
        </w:rPr>
        <w:t xml:space="preserve"> luopunut vähintään 50 prosentista hoidettavina olevista varoista. </w:t>
      </w:r>
    </w:p>
    <w:p w14:paraId="53D59065" w14:textId="3E28993E" w:rsidR="000E48CE" w:rsidRDefault="00FF4C4E">
      <w:pPr>
        <w:pStyle w:val="P68B1DB1-ListParagraph7"/>
        <w:numPr>
          <w:ilvl w:val="0"/>
          <w:numId w:val="690"/>
        </w:numPr>
        <w:jc w:val="both"/>
        <w:rPr>
          <w:rFonts w:eastAsiaTheme="minorEastAsia" w:cs="Times New Roman"/>
          <w:noProof/>
        </w:rPr>
      </w:pPr>
      <w:r>
        <w:rPr>
          <w:noProof/>
        </w:rPr>
        <w:t>Osainvestoinnit tai yhteisrahoitus oman pääoman ehtoisten tai muiden velkainstrumenttien kautta hankkeissa, joilla on mitattavissa olevia sosiaalisia tai ympäristövaikutuksia, tai yrityksi</w:t>
      </w:r>
      <w:r>
        <w:rPr>
          <w:noProof/>
        </w:rPr>
        <w:t xml:space="preserve">in, jotka ovat sitoutuneet toteuttamaan uusia hankkeita, joilla on tällaisia ominaisuuksia.  Tästä budjettikohdasta tehdään yhteisinvestointeja tai yhteisrahoitetaan hankkeita muiden julkisten tai yksityisten rahastojen kanssa, mukaan lukien mahdollisesti </w:t>
      </w:r>
      <w:r>
        <w:rPr>
          <w:noProof/>
        </w:rPr>
        <w:t xml:space="preserve">ne, joista investointijärjestely on ostanut osakkeita. </w:t>
      </w:r>
    </w:p>
    <w:p w14:paraId="43114929" w14:textId="164340FA" w:rsidR="000E48CE" w:rsidRDefault="00FF4C4E">
      <w:pPr>
        <w:pStyle w:val="P68B1DB1-ListParagraph7"/>
        <w:numPr>
          <w:ilvl w:val="0"/>
          <w:numId w:val="690"/>
        </w:numPr>
        <w:jc w:val="both"/>
        <w:rPr>
          <w:rFonts w:eastAsiaTheme="minorEastAsia" w:cs="Times New Roman"/>
          <w:noProof/>
        </w:rPr>
      </w:pPr>
      <w:r>
        <w:rPr>
          <w:noProof/>
        </w:rPr>
        <w:t>Suorat lainat ja osallistavat lainat yrityksille, jotka toteuttavat hankkeita, joilla on mitattavissa olevia sosiaalisia tai ympäristövaikutuksia.</w:t>
      </w:r>
    </w:p>
    <w:p w14:paraId="093074E7" w14:textId="4DE221FE" w:rsidR="000E48CE" w:rsidRDefault="00FF4C4E">
      <w:pPr>
        <w:pStyle w:val="P68B1DB1-Normal4"/>
        <w:jc w:val="both"/>
        <w:rPr>
          <w:rFonts w:eastAsia="Times New Roman" w:cs="Times New Roman"/>
          <w:noProof/>
          <w:u w:val="single"/>
        </w:rPr>
      </w:pPr>
      <w:r>
        <w:rPr>
          <w:noProof/>
        </w:rPr>
        <w:t>Investointi kattaa myös teknisen avun välineen (TAF),</w:t>
      </w:r>
      <w:r>
        <w:rPr>
          <w:noProof/>
        </w:rPr>
        <w:t xml:space="preserve"> jonka tarkoituksena on parantaa tuensaajien valmiuksia hallinnoida ja mitata investointihankkeidensa vaikutuksia. Se tukee myös koordinointivälineen moitteetonta varainhoitoa. Tavaraliikenteen toimintakehystä hallinnoi COFIDES, ja sille myönnetään alustav</w:t>
      </w:r>
      <w:r>
        <w:rPr>
          <w:noProof/>
        </w:rPr>
        <w:t>asti enintään 8 miljoonaa euroa.</w:t>
      </w:r>
    </w:p>
    <w:p w14:paraId="00E54E3E" w14:textId="0E7E5167" w:rsidR="000E48CE" w:rsidRDefault="00FF4C4E">
      <w:pPr>
        <w:pStyle w:val="P68B1DB1-Normal4"/>
        <w:spacing w:line="240" w:lineRule="auto"/>
        <w:jc w:val="both"/>
        <w:rPr>
          <w:rFonts w:eastAsia="Times New Roman" w:cs="Times New Roman"/>
          <w:noProof/>
        </w:rPr>
      </w:pPr>
      <w:r>
        <w:rPr>
          <w:noProof/>
        </w:rPr>
        <w:t xml:space="preserve">Investointijärjestelyyn tehtävien investointien toteuttamiseksi Espanjan on hyväksyttävä tukivälineen perustamista ja hallinnointia koskeva asetus ja siihen liittyvät asiakirjat, joiden sisältö on seuraava: </w:t>
      </w:r>
    </w:p>
    <w:p w14:paraId="77F76082" w14:textId="77D13859" w:rsidR="000E48CE" w:rsidRDefault="00FF4C4E">
      <w:pPr>
        <w:pStyle w:val="P68B1DB1-ListParagraph7"/>
        <w:numPr>
          <w:ilvl w:val="0"/>
          <w:numId w:val="764"/>
        </w:numPr>
        <w:spacing w:line="240" w:lineRule="auto"/>
        <w:contextualSpacing w:val="0"/>
        <w:jc w:val="both"/>
        <w:rPr>
          <w:rFonts w:eastAsia="Times New Roman" w:cs="Times New Roman"/>
          <w:noProof/>
        </w:rPr>
      </w:pPr>
      <w:r>
        <w:rPr>
          <w:noProof/>
        </w:rPr>
        <w:t>Kuvaus tukiväli</w:t>
      </w:r>
      <w:r>
        <w:rPr>
          <w:noProof/>
        </w:rPr>
        <w:t>neen päätöksentekoprosessista:  Investointirahaston alkuinvestointipäätöksen tekee investointikomitea tai muu vastaava hallintoelin, ja se hyväksytään äänten enemmistöllä Espanjan hallituksesta riippumattomilta jäseniltä. Investointikehyksen lopullinen inv</w:t>
      </w:r>
      <w:r>
        <w:rPr>
          <w:noProof/>
        </w:rPr>
        <w:t>estointipäätös rajoitetaan investointikomitean tai vastaavan hallintoelimen ehdottaman investointipäätöksen hyväksymiseen (muutoksitta) tai veto-oikeuden käyttämiseen. Välitettyjen sijoitusten osalta lopullisen sijoituspäätöksen tekevät välittäjät.</w:t>
      </w:r>
    </w:p>
    <w:p w14:paraId="683E6013" w14:textId="77777777" w:rsidR="000E48CE" w:rsidRDefault="00FF4C4E">
      <w:pPr>
        <w:pStyle w:val="P68B1DB1-ListParagraph7"/>
        <w:numPr>
          <w:ilvl w:val="0"/>
          <w:numId w:val="764"/>
        </w:numPr>
        <w:spacing w:line="240" w:lineRule="auto"/>
        <w:jc w:val="both"/>
        <w:rPr>
          <w:rFonts w:eastAsia="Times New Roman" w:cs="Times New Roman"/>
          <w:noProof/>
        </w:rPr>
      </w:pPr>
      <w:r>
        <w:rPr>
          <w:noProof/>
        </w:rPr>
        <w:t xml:space="preserve">Asiaan </w:t>
      </w:r>
      <w:r>
        <w:rPr>
          <w:noProof/>
        </w:rPr>
        <w:t>liittyvän sijoituspolitiikan keskeiset vaatimukset, joita ovat muun muassa seuraavat:</w:t>
      </w:r>
    </w:p>
    <w:p w14:paraId="3BF8A03B" w14:textId="18B537C3" w:rsidR="000E48CE" w:rsidRDefault="00FF4C4E">
      <w:pPr>
        <w:pStyle w:val="P68B1DB1-ListParagraph7"/>
        <w:numPr>
          <w:ilvl w:val="1"/>
          <w:numId w:val="764"/>
        </w:numPr>
        <w:spacing w:line="240" w:lineRule="auto"/>
        <w:jc w:val="both"/>
        <w:rPr>
          <w:rFonts w:eastAsia="Times New Roman" w:cs="Times New Roman"/>
          <w:noProof/>
        </w:rPr>
      </w:pPr>
      <w:r>
        <w:rPr>
          <w:noProof/>
        </w:rPr>
        <w:t>Rahoitustuotteiden ja tukikelpoisten lopullisten tuensaajien kuvaus toimenpiteen kuvauksen mukaisesti.</w:t>
      </w:r>
    </w:p>
    <w:p w14:paraId="4C27BD6B" w14:textId="77777777" w:rsidR="000E48CE" w:rsidRDefault="00FF4C4E">
      <w:pPr>
        <w:pStyle w:val="P68B1DB1-ListParagraph7"/>
        <w:numPr>
          <w:ilvl w:val="1"/>
          <w:numId w:val="764"/>
        </w:numPr>
        <w:spacing w:line="240" w:lineRule="auto"/>
        <w:jc w:val="both"/>
        <w:rPr>
          <w:rFonts w:eastAsia="Times New Roman" w:cs="Times New Roman"/>
          <w:noProof/>
        </w:rPr>
      </w:pPr>
      <w:r>
        <w:rPr>
          <w:noProof/>
        </w:rPr>
        <w:t>Kaikkien tuettujen investointien on oltava taloudellisesti kannatta</w:t>
      </w:r>
      <w:r>
        <w:rPr>
          <w:noProof/>
        </w:rPr>
        <w:t>via.</w:t>
      </w:r>
    </w:p>
    <w:p w14:paraId="2B9A7E60" w14:textId="77777777" w:rsidR="000E48CE" w:rsidRDefault="00FF4C4E">
      <w:pPr>
        <w:pStyle w:val="P68B1DB1-ListParagraph7"/>
        <w:numPr>
          <w:ilvl w:val="1"/>
          <w:numId w:val="764"/>
        </w:numPr>
        <w:spacing w:line="240" w:lineRule="auto"/>
        <w:jc w:val="both"/>
        <w:rPr>
          <w:rFonts w:eastAsia="Times New Roman" w:cs="Times New Roman"/>
          <w:noProof/>
        </w:rPr>
      </w:pPr>
      <w:r>
        <w:rPr>
          <w:noProof/>
        </w:rPr>
        <w:t xml:space="preserve">Kielto jälleenrahoittaa jäljellä olevia lainoja.  </w:t>
      </w:r>
    </w:p>
    <w:p w14:paraId="60EEEDCF" w14:textId="77777777" w:rsidR="000E48CE" w:rsidRDefault="00FF4C4E">
      <w:pPr>
        <w:pStyle w:val="P68B1DB1-ListParagraph7"/>
        <w:numPr>
          <w:ilvl w:val="1"/>
          <w:numId w:val="764"/>
        </w:numPr>
        <w:spacing w:line="240" w:lineRule="auto"/>
        <w:jc w:val="both"/>
        <w:rPr>
          <w:rFonts w:eastAsia="Times New Roman" w:cs="Times New Roman"/>
          <w:noProof/>
        </w:rPr>
      </w:pPr>
      <w:r>
        <w:rPr>
          <w:noProof/>
        </w:rPr>
        <w:t xml:space="preserve">Vaatimus noudattaa ”ei merkittävää haittaa” -periaatetta sellaisena kuin se on vahvistettu ”ei merkittävää haittaa” -periaatetta koskevissa teknisissä ohjeissa (2021/C58/01), erityisesti: </w:t>
      </w:r>
    </w:p>
    <w:p w14:paraId="4925FC3C" w14:textId="4249AA29" w:rsidR="000E48CE" w:rsidRDefault="00FF4C4E">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Lainojen, h</w:t>
      </w:r>
      <w:r>
        <w:rPr>
          <w:rFonts w:ascii="Times New Roman" w:hAnsi="Times New Roman"/>
          <w:noProof/>
          <w:sz w:val="24"/>
        </w:rPr>
        <w:t>ankejoukkolainojen tai vastaavien välineiden osalta: investointipolitiikassa on jätettävä tukikelpoisuuden ulkopuolelle seuraava luettelo toiminnoista ja omaisuuseristä: (I) fossiilisiin polttoaineisiin liittyvät toiminnot ja omaisuuserät, mukaan lukien ja</w:t>
      </w:r>
      <w:r>
        <w:rPr>
          <w:rFonts w:ascii="Times New Roman" w:hAnsi="Times New Roman"/>
          <w:noProof/>
          <w:sz w:val="24"/>
        </w:rPr>
        <w:t>tkokäyttö</w:t>
      </w:r>
      <w:r>
        <w:rPr>
          <w:rStyle w:val="FootnoteReference"/>
          <w:rFonts w:ascii="Times New Roman" w:eastAsia="Times New Roman" w:hAnsi="Times New Roman" w:cs="Times New Roman"/>
          <w:noProof/>
          <w:sz w:val="24"/>
        </w:rPr>
        <w:footnoteReference w:id="191"/>
      </w:r>
      <w:r>
        <w:rPr>
          <w:rFonts w:ascii="Times New Roman" w:hAnsi="Times New Roman"/>
          <w:noProof/>
          <w:sz w:val="24"/>
        </w:rPr>
        <w:t>, ii) EU:n päästökauppajärjestelmään kuuluvat toiminnot ja omaisuuserät, joilla saavutetaan ennustetut kasvihuonekaasupäästöt, jotka eivät alita asiaankuuluvia vertailuarvoja</w:t>
      </w:r>
      <w:r>
        <w:rPr>
          <w:rStyle w:val="FootnoteReference"/>
          <w:rFonts w:ascii="Times New Roman" w:eastAsia="Times New Roman" w:hAnsi="Times New Roman" w:cs="Times New Roman"/>
          <w:noProof/>
          <w:sz w:val="24"/>
        </w:rPr>
        <w:footnoteReference w:id="192"/>
      </w:r>
      <w:r>
        <w:rPr>
          <w:rFonts w:ascii="Times New Roman" w:hAnsi="Times New Roman"/>
          <w:noProof/>
          <w:sz w:val="24"/>
        </w:rPr>
        <w:t>, iii) kaatopaikkoihin, polttolaitoksiin ja mekaanisiin biologisiin käs</w:t>
      </w:r>
      <w:r>
        <w:rPr>
          <w:rFonts w:ascii="Times New Roman" w:hAnsi="Times New Roman"/>
          <w:noProof/>
          <w:sz w:val="24"/>
        </w:rPr>
        <w:t xml:space="preserve">ittelylaitoksiin liittyvät toiminnot ja omaisuus. </w:t>
      </w:r>
    </w:p>
    <w:p w14:paraId="514A6210" w14:textId="77777777" w:rsidR="000E48CE" w:rsidRDefault="00FF4C4E">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Oman pääoman ehtoisten, oman pääoman luonteisten instrumenttien, yritysjoukkolainojen tai vastaavien instrumenttien osalta:  investointipolitiikan ulkopuolelle on jätettävä yritykset, jotka keskittyvät</w:t>
      </w:r>
      <w:r>
        <w:rPr>
          <w:rStyle w:val="FootnoteReference"/>
          <w:rFonts w:ascii="Times New Roman" w:eastAsia="Times New Roman" w:hAnsi="Times New Roman" w:cs="Times New Roman"/>
          <w:noProof/>
          <w:sz w:val="24"/>
        </w:rPr>
        <w:footnoteReference w:id="193"/>
      </w:r>
      <w:r>
        <w:rPr>
          <w:rFonts w:ascii="Times New Roman" w:hAnsi="Times New Roman"/>
          <w:noProof/>
          <w:sz w:val="24"/>
        </w:rPr>
        <w:t xml:space="preserve"> er</w:t>
      </w:r>
      <w:r>
        <w:rPr>
          <w:rFonts w:ascii="Times New Roman" w:hAnsi="Times New Roman"/>
          <w:noProof/>
          <w:sz w:val="24"/>
        </w:rPr>
        <w:t>ityisesti seuraaviin aloihin: fossiilisiin polttoaineisiin perustuva energiantuotanto ja siihen liittyvä toiminta</w:t>
      </w:r>
      <w:r>
        <w:rPr>
          <w:rStyle w:val="FootnoteReference"/>
          <w:rFonts w:ascii="Times New Roman" w:eastAsia="Times New Roman" w:hAnsi="Times New Roman" w:cs="Times New Roman"/>
          <w:noProof/>
          <w:sz w:val="24"/>
        </w:rPr>
        <w:footnoteReference w:id="194"/>
      </w:r>
      <w:r>
        <w:rPr>
          <w:rFonts w:ascii="Times New Roman" w:hAnsi="Times New Roman"/>
          <w:noProof/>
          <w:sz w:val="24"/>
        </w:rPr>
        <w:t>; energiaintensiiviset ja/tai paljon hiilidioksidipäästöjä aiheuttavat teollisuudenalat</w:t>
      </w:r>
      <w:r>
        <w:rPr>
          <w:rStyle w:val="FootnoteReference"/>
          <w:rFonts w:ascii="Times New Roman" w:eastAsia="Times New Roman" w:hAnsi="Times New Roman" w:cs="Times New Roman"/>
          <w:noProof/>
          <w:sz w:val="24"/>
        </w:rPr>
        <w:footnoteReference w:id="195"/>
      </w:r>
      <w:r>
        <w:rPr>
          <w:rFonts w:ascii="Times New Roman" w:hAnsi="Times New Roman"/>
          <w:noProof/>
          <w:sz w:val="24"/>
        </w:rPr>
        <w:t>; saastuttavien ajoneuvojen tuotanto, vuokraus tai myy</w:t>
      </w:r>
      <w:r>
        <w:rPr>
          <w:rFonts w:ascii="Times New Roman" w:hAnsi="Times New Roman"/>
          <w:noProof/>
          <w:sz w:val="24"/>
        </w:rPr>
        <w:t>nti</w:t>
      </w:r>
      <w:r>
        <w:rPr>
          <w:rStyle w:val="FootnoteReference"/>
          <w:rFonts w:ascii="Times New Roman" w:eastAsia="Times New Roman" w:hAnsi="Times New Roman" w:cs="Times New Roman"/>
          <w:noProof/>
          <w:sz w:val="24"/>
        </w:rPr>
        <w:footnoteReference w:id="196"/>
      </w:r>
      <w:r>
        <w:rPr>
          <w:rFonts w:ascii="Times New Roman" w:hAnsi="Times New Roman"/>
          <w:noProof/>
          <w:sz w:val="24"/>
        </w:rPr>
        <w:t>; jätteiden keruu, käsittely ja loppusijoitus</w:t>
      </w:r>
      <w:r>
        <w:rPr>
          <w:rStyle w:val="FootnoteReference"/>
          <w:rFonts w:ascii="Times New Roman" w:eastAsia="Times New Roman" w:hAnsi="Times New Roman" w:cs="Times New Roman"/>
          <w:noProof/>
          <w:sz w:val="24"/>
        </w:rPr>
        <w:footnoteReference w:id="197"/>
      </w:r>
      <w:r>
        <w:rPr>
          <w:rFonts w:ascii="Times New Roman" w:hAnsi="Times New Roman"/>
          <w:noProof/>
          <w:sz w:val="24"/>
        </w:rPr>
        <w:t>, v) ydinpolttoaineen käsittely, ydinenergian tuotanto</w:t>
      </w:r>
    </w:p>
    <w:p w14:paraId="2DA0D89B" w14:textId="77777777" w:rsidR="000E48CE" w:rsidRDefault="00FF4C4E">
      <w:pPr>
        <w:pStyle w:val="P68B1DB1-ListParagraph7"/>
        <w:numPr>
          <w:ilvl w:val="2"/>
          <w:numId w:val="764"/>
        </w:numPr>
        <w:jc w:val="both"/>
        <w:rPr>
          <w:rFonts w:eastAsia="Times New Roman" w:cs="Times New Roman"/>
          <w:noProof/>
        </w:rPr>
      </w:pPr>
      <w:r>
        <w:rPr>
          <w:noProof/>
        </w:rPr>
        <w:t>Lisäksi investointipolitiikassa on edellytettävä tukivälineen lopullisten edunsaajien asiaankuuluvan EU:n ja kansallisen ympäristölainsäädännön noudatt</w:t>
      </w:r>
      <w:r>
        <w:rPr>
          <w:noProof/>
        </w:rPr>
        <w:t>amista.</w:t>
      </w:r>
    </w:p>
    <w:p w14:paraId="0EA26F27" w14:textId="77777777" w:rsidR="000E48CE" w:rsidRDefault="00FF4C4E">
      <w:pPr>
        <w:pStyle w:val="P68B1DB1-ListParagraph7"/>
        <w:numPr>
          <w:ilvl w:val="1"/>
          <w:numId w:val="764"/>
        </w:numPr>
        <w:jc w:val="both"/>
        <w:rPr>
          <w:rFonts w:eastAsia="Times New Roman" w:cs="Times New Roman"/>
          <w:noProof/>
        </w:rPr>
      </w:pPr>
      <w:r>
        <w:rPr>
          <w:noProof/>
        </w:rPr>
        <w:t>Vaatimus, jonka mukaan lainajärjestelyn lopulliset edunsaajat eivät saa tukea muista unionin välineistä samojen kustannusten kattamiseksi.</w:t>
      </w:r>
    </w:p>
    <w:p w14:paraId="088EF188" w14:textId="306B991B" w:rsidR="000E48CE" w:rsidRDefault="00FF4C4E">
      <w:pPr>
        <w:pStyle w:val="P68B1DB1-ListParagraph7"/>
        <w:numPr>
          <w:ilvl w:val="0"/>
          <w:numId w:val="764"/>
        </w:numPr>
        <w:jc w:val="both"/>
        <w:rPr>
          <w:rFonts w:eastAsia="Times New Roman" w:cs="Times New Roman"/>
          <w:noProof/>
        </w:rPr>
      </w:pPr>
      <w:r>
        <w:rPr>
          <w:noProof/>
        </w:rPr>
        <w:t xml:space="preserve">Tukivälineen perustamisasetusten ja niihin liittyvien asiakirjojen kattama määrä, toteutuskumppanin </w:t>
      </w:r>
      <w:r>
        <w:rPr>
          <w:noProof/>
        </w:rPr>
        <w:t>maksurakenne ja vaatimus sijoittaa takaisin saadut varat tukivälineen investointipolitiikan mukaisesti, paitsi jos niitä käytetään elpymis- ja palautumistukivälineen lainojen takaisinmaksujen hoitamiseen.</w:t>
      </w:r>
    </w:p>
    <w:p w14:paraId="6ED49105" w14:textId="77777777" w:rsidR="000E48CE" w:rsidRDefault="00FF4C4E">
      <w:pPr>
        <w:pStyle w:val="P68B1DB1-ListParagraph7"/>
        <w:numPr>
          <w:ilvl w:val="0"/>
          <w:numId w:val="764"/>
        </w:numPr>
        <w:jc w:val="both"/>
        <w:rPr>
          <w:rFonts w:eastAsia="Times New Roman" w:cs="Times New Roman"/>
          <w:noProof/>
        </w:rPr>
      </w:pPr>
      <w:r>
        <w:rPr>
          <w:noProof/>
        </w:rPr>
        <w:t>Seuranta-, auditointi- ja valvontavaatimukset, muka</w:t>
      </w:r>
      <w:r>
        <w:rPr>
          <w:noProof/>
        </w:rPr>
        <w:t>an lukien</w:t>
      </w:r>
    </w:p>
    <w:p w14:paraId="6BCC69DF" w14:textId="77777777" w:rsidR="000E48CE" w:rsidRDefault="00FF4C4E">
      <w:pPr>
        <w:pStyle w:val="P68B1DB1-ListParagraph7"/>
        <w:numPr>
          <w:ilvl w:val="1"/>
          <w:numId w:val="764"/>
        </w:numPr>
        <w:jc w:val="both"/>
        <w:rPr>
          <w:rFonts w:eastAsia="Times New Roman" w:cs="Times New Roman"/>
          <w:noProof/>
        </w:rPr>
      </w:pPr>
      <w:r>
        <w:rPr>
          <w:noProof/>
        </w:rPr>
        <w:t>Kuvaus toteutuskumppanin seurantajärjestelmästä, jolla raportoidaan liikkeelle saaduista investoinneista.</w:t>
      </w:r>
    </w:p>
    <w:p w14:paraId="1C066FFF" w14:textId="77777777" w:rsidR="000E48CE" w:rsidRDefault="00FF4C4E">
      <w:pPr>
        <w:pStyle w:val="P68B1DB1-ListParagraph7"/>
        <w:numPr>
          <w:ilvl w:val="1"/>
          <w:numId w:val="764"/>
        </w:numPr>
        <w:jc w:val="both"/>
        <w:rPr>
          <w:rFonts w:eastAsia="Times New Roman" w:cs="Times New Roman"/>
          <w:noProof/>
        </w:rPr>
      </w:pPr>
      <w:r>
        <w:rPr>
          <w:noProof/>
        </w:rPr>
        <w:t>Kuvaus toteutuskumppanin menettelyistä, joilla varmistetaan petosten, lahjonnan ja eturistiriitojen ehkäiseminen, havaitseminen ja korjaamin</w:t>
      </w:r>
      <w:r>
        <w:rPr>
          <w:noProof/>
        </w:rPr>
        <w:t xml:space="preserve">en. </w:t>
      </w:r>
    </w:p>
    <w:p w14:paraId="3E035756" w14:textId="22770397" w:rsidR="000E48CE" w:rsidRDefault="00FF4C4E">
      <w:pPr>
        <w:pStyle w:val="P68B1DB1-ListParagraph7"/>
        <w:numPr>
          <w:ilvl w:val="1"/>
          <w:numId w:val="764"/>
        </w:numPr>
        <w:jc w:val="both"/>
        <w:rPr>
          <w:rFonts w:eastAsia="Times New Roman" w:cs="Times New Roman"/>
          <w:noProof/>
        </w:rPr>
      </w:pPr>
      <w:r>
        <w:rPr>
          <w:noProof/>
        </w:rPr>
        <w:t xml:space="preserve">Velvollisuus tarkistaa jokaisen toimen tukikelpoisuus rahaston perustamisasetuksissa vahvistettujen vaatimusten mukaisesti ennen kuin se sitoutuu rahoittamaan toimea. </w:t>
      </w:r>
    </w:p>
    <w:p w14:paraId="213A65F2" w14:textId="7EF11A41" w:rsidR="000E48CE" w:rsidRDefault="00FF4C4E">
      <w:pPr>
        <w:pStyle w:val="P68B1DB1-ListParagraph7"/>
        <w:numPr>
          <w:ilvl w:val="1"/>
          <w:numId w:val="764"/>
        </w:numPr>
        <w:jc w:val="both"/>
        <w:rPr>
          <w:rFonts w:eastAsia="Times New Roman" w:cs="Times New Roman"/>
          <w:noProof/>
        </w:rPr>
      </w:pPr>
      <w:r>
        <w:rPr>
          <w:noProof/>
        </w:rPr>
        <w:t>Velvollisuus suorittaa riskiperusteisia jälkitarkastuksia COFIDESin tarkastussuunni</w:t>
      </w:r>
      <w:r>
        <w:rPr>
          <w:noProof/>
        </w:rPr>
        <w:t>telman mukaisesti. Näillä tarkastuksilla on varmistettava i) valvontajärjestelmien tehokkuus, mukaan lukien petosten, lahjonnan ja eturistiriitojen havaitseminen; ”ei merkittävää haittaa” -periaatteen, valtiontukisääntöjen sekä ilmastotavoitteita ja digita</w:t>
      </w:r>
      <w:r>
        <w:rPr>
          <w:noProof/>
        </w:rPr>
        <w:t>alisia tavoitteita koskevien vaatimusten noudattaminen; ja iii) että noudatetaan vaatimusta, jonka mukaan välittäjän on todennettava, että lopullinen tuensaaja esittää vastuullisen ilmoituksen sen valvomiseksi, katetaanko samat kustannukset toisesta unioni</w:t>
      </w:r>
      <w:r>
        <w:rPr>
          <w:noProof/>
        </w:rPr>
        <w:t xml:space="preserve">n välineestä. Tarkastuksilla on myös varmistettava tapahtumien laillisuus ja se, että tukivälinettä ja rahoitussopimuksia koskevan sovellettavan asetuksen ja siihen liittyvien asiakirjojen ehtoja noudatetaan. </w:t>
      </w:r>
    </w:p>
    <w:p w14:paraId="5865B760" w14:textId="770FCCE6" w:rsidR="000E48CE" w:rsidRDefault="00FF4C4E">
      <w:pPr>
        <w:pStyle w:val="P68B1DB1-ListParagraph7"/>
        <w:numPr>
          <w:ilvl w:val="0"/>
          <w:numId w:val="764"/>
        </w:numPr>
        <w:jc w:val="both"/>
        <w:rPr>
          <w:rFonts w:eastAsia="Times New Roman" w:cs="Times New Roman"/>
          <w:noProof/>
        </w:rPr>
      </w:pPr>
      <w:r>
        <w:rPr>
          <w:noProof/>
        </w:rPr>
        <w:t>Rahoituksen välittäjien valintaa koskevat vaat</w:t>
      </w:r>
      <w:r>
        <w:rPr>
          <w:noProof/>
        </w:rPr>
        <w:t>imukset: COFIDES valitsee rahoituksen välittäjät avoimella, läpinäkyvällä ja syrjimättömällä tavalla. Rahoituksenvälittäjien eturistiriitojen puuttumista koskevat tarkastukset on suoritettava etukäteen kaikkien rahoitusalan toimijoiden osalta Minervan kalt</w:t>
      </w:r>
      <w:r>
        <w:rPr>
          <w:noProof/>
        </w:rPr>
        <w:t xml:space="preserve">aisen tietoteknisen järjestelmän kautta.  </w:t>
      </w:r>
    </w:p>
    <w:p w14:paraId="5138BC22" w14:textId="5AF03632" w:rsidR="000E48CE" w:rsidRDefault="00FF4C4E">
      <w:pPr>
        <w:pStyle w:val="P68B1DB1-ListParagraph7"/>
        <w:numPr>
          <w:ilvl w:val="0"/>
          <w:numId w:val="764"/>
        </w:numPr>
        <w:jc w:val="both"/>
        <w:rPr>
          <w:rFonts w:eastAsia="Times New Roman" w:cs="Times New Roman"/>
          <w:noProof/>
        </w:rPr>
      </w:pPr>
      <w:r>
        <w:rPr>
          <w:noProof/>
        </w:rPr>
        <w:t>Rahoitussopimusten allekirjoittaminen: COFIDES allekirjoittaa rahoituksen välittäjien kanssa rahoitussopimukset niiden keskeisten vaatimusten mukaisesti, jotka on toimitettava osana rahoitusvälineen perustamista k</w:t>
      </w:r>
      <w:r>
        <w:rPr>
          <w:noProof/>
        </w:rPr>
        <w:t xml:space="preserve">oskevia asiakirjoja. Rahoitussopimuksen keskeisiin vaatimuksiin on sisällyttävä kaikki vaatimukset, joiden mukaisesti lainajärjestely toimii, mukaan lukien seuraavat:  </w:t>
      </w:r>
    </w:p>
    <w:p w14:paraId="09C24E1C" w14:textId="77777777" w:rsidR="000E48CE" w:rsidRDefault="00FF4C4E">
      <w:pPr>
        <w:pStyle w:val="P68B1DB1-ListParagraph7"/>
        <w:numPr>
          <w:ilvl w:val="1"/>
          <w:numId w:val="764"/>
        </w:numPr>
        <w:jc w:val="both"/>
        <w:rPr>
          <w:rFonts w:cs="Times New Roman"/>
          <w:noProof/>
        </w:rPr>
      </w:pPr>
      <w:r>
        <w:rPr>
          <w:noProof/>
        </w:rPr>
        <w:t xml:space="preserve">Rahoituksen välittäjän velvollisuus tehdä päätöksensä noudattaen </w:t>
      </w:r>
      <w:r>
        <w:rPr>
          <w:i/>
          <w:noProof/>
        </w:rPr>
        <w:t>soveltuvin osin</w:t>
      </w:r>
      <w:r>
        <w:rPr>
          <w:noProof/>
        </w:rPr>
        <w:t xml:space="preserve"> edellä</w:t>
      </w:r>
      <w:r>
        <w:rPr>
          <w:noProof/>
        </w:rPr>
        <w:t xml:space="preserve"> täsmennettyjä päätöksentekoa ja sijoituspolitiikkaa koskevia vaatimuksia, mukaan lukien ”ei merkittävää haittaa” -periaatteen noudattaminen. </w:t>
      </w:r>
    </w:p>
    <w:p w14:paraId="7E3B4622" w14:textId="77777777" w:rsidR="000E48CE" w:rsidRDefault="00FF4C4E">
      <w:pPr>
        <w:pStyle w:val="P68B1DB1-ListParagraph7"/>
        <w:numPr>
          <w:ilvl w:val="1"/>
          <w:numId w:val="764"/>
        </w:numPr>
        <w:jc w:val="both"/>
        <w:rPr>
          <w:rFonts w:cs="Times New Roman"/>
          <w:noProof/>
        </w:rPr>
      </w:pPr>
      <w:r>
        <w:rPr>
          <w:noProof/>
        </w:rPr>
        <w:t xml:space="preserve">Kuvaus seuranta-, tarkastus- ja valvontakehyksestä, joka rahoituksen välittäjän on otettava käyttöön ja johon </w:t>
      </w:r>
      <w:r>
        <w:rPr>
          <w:i/>
          <w:noProof/>
        </w:rPr>
        <w:t>sov</w:t>
      </w:r>
      <w:r>
        <w:rPr>
          <w:i/>
          <w:noProof/>
        </w:rPr>
        <w:t>elletaan soveltuvin osin</w:t>
      </w:r>
      <w:r>
        <w:rPr>
          <w:noProof/>
        </w:rPr>
        <w:t xml:space="preserve"> kaikkia edellä määriteltyjä seuranta-, tarkastus- ja valvontavaatimuksia.  </w:t>
      </w:r>
    </w:p>
    <w:p w14:paraId="42FE8EDF" w14:textId="79B707A0" w:rsidR="000E48CE" w:rsidRDefault="00FF4C4E">
      <w:pPr>
        <w:pStyle w:val="P68B1DB1-Normal4"/>
        <w:spacing w:line="240" w:lineRule="auto"/>
        <w:jc w:val="both"/>
        <w:rPr>
          <w:rFonts w:eastAsia="Times New Roman" w:cs="Times New Roman"/>
          <w:noProof/>
        </w:rPr>
      </w:pPr>
      <w:r>
        <w:rPr>
          <w:noProof/>
        </w:rPr>
        <w:t>Toimenpiteen täytäntöönpano on saatettava päätökseen viimeistään 31 päivänä elokuuta 2026.</w:t>
      </w:r>
    </w:p>
    <w:p w14:paraId="5E053EF4" w14:textId="3F4660FC" w:rsidR="000E48CE" w:rsidRDefault="00FF4C4E">
      <w:pPr>
        <w:pStyle w:val="P68B1DB1-Normal5"/>
        <w:spacing w:before="120" w:after="120" w:line="240" w:lineRule="auto"/>
        <w:ind w:left="709"/>
        <w:jc w:val="both"/>
        <w:rPr>
          <w:rFonts w:cs="Times New Roman"/>
          <w:noProof/>
        </w:rPr>
      </w:pPr>
      <w:r>
        <w:rPr>
          <w:noProof/>
        </w:rPr>
        <w:t xml:space="preserve">V.4 </w:t>
      </w:r>
      <w:r>
        <w:rPr>
          <w:noProof/>
        </w:rPr>
        <w:tab/>
        <w:t xml:space="preserve">Lainatuen seurannan ja täytäntöönpanon välitavoitteet, </w:t>
      </w:r>
      <w:r>
        <w:rPr>
          <w:noProof/>
        </w:rPr>
        <w:t>tavoitteet, indikaattorit ja aikataulu</w:t>
      </w:r>
    </w:p>
    <w:p w14:paraId="0A4CEC96" w14:textId="0A0385A2"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 on 1. helmikuuta 2020, ellei toimen kuvauksessa toisin ilmoiteta.</w:t>
      </w:r>
    </w:p>
    <w:p w14:paraId="7DAC8207" w14:textId="77777777" w:rsidR="000E48CE" w:rsidRDefault="000E48CE">
      <w:pPr>
        <w:spacing w:line="240" w:lineRule="auto"/>
        <w:jc w:val="both"/>
        <w:rPr>
          <w:rFonts w:ascii="Times New Roman" w:eastAsia="Times New Roman" w:hAnsi="Times New Roman" w:cs="Times New Roman"/>
          <w:noProof/>
          <w:sz w:val="24"/>
        </w:rPr>
      </w:pPr>
    </w:p>
    <w:p w14:paraId="0A7FA34A" w14:textId="77777777" w:rsidR="000E48CE" w:rsidRDefault="000E48CE">
      <w:pPr>
        <w:spacing w:line="240" w:lineRule="auto"/>
        <w:jc w:val="both"/>
        <w:rPr>
          <w:rFonts w:ascii="Times New Roman" w:eastAsia="Times New Roman" w:hAnsi="Times New Roman" w:cs="Times New Roman"/>
          <w:noProof/>
          <w:sz w:val="24"/>
        </w:rPr>
      </w:pPr>
    </w:p>
    <w:p w14:paraId="5DA8070D" w14:textId="77777777" w:rsidR="000E48CE" w:rsidRDefault="000E48CE">
      <w:pPr>
        <w:jc w:val="both"/>
        <w:rPr>
          <w:rFonts w:ascii="Times New Roman" w:eastAsiaTheme="minorEastAsia" w:hAnsi="Times New Roman" w:cs="Times New Roman"/>
          <w:noProof/>
          <w:sz w:val="24"/>
        </w:rPr>
        <w:sectPr w:rsidR="000E48CE" w:rsidSect="00C94F66">
          <w:headerReference w:type="even" r:id="rId435"/>
          <w:headerReference w:type="default" r:id="rId436"/>
          <w:footerReference w:type="even" r:id="rId437"/>
          <w:footerReference w:type="default" r:id="rId438"/>
          <w:headerReference w:type="first" r:id="rId439"/>
          <w:footerReference w:type="first" r:id="rId440"/>
          <w:pgSz w:w="11907" w:h="16839"/>
          <w:pgMar w:top="1134" w:right="1417" w:bottom="1134" w:left="1417" w:header="709" w:footer="709" w:gutter="0"/>
          <w:cols w:space="720"/>
          <w:docGrid w:linePitch="360"/>
        </w:sectPr>
      </w:pPr>
    </w:p>
    <w:p w14:paraId="12236E45" w14:textId="77777777" w:rsidR="000E48CE" w:rsidRDefault="000E48CE">
      <w:pPr>
        <w:rPr>
          <w:rFonts w:ascii="Times New Roman" w:hAnsi="Times New Roman" w:cs="Times New Roman"/>
          <w:noProof/>
        </w:rPr>
      </w:pPr>
    </w:p>
    <w:tbl>
      <w:tblPr>
        <w:tblpPr w:leftFromText="141" w:rightFromText="141" w:vertAnchor="text" w:horzAnchor="margin" w:tblpY="507"/>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618"/>
        <w:gridCol w:w="1019"/>
        <w:gridCol w:w="938"/>
        <w:gridCol w:w="1498"/>
        <w:gridCol w:w="1560"/>
        <w:gridCol w:w="739"/>
        <w:gridCol w:w="908"/>
        <w:gridCol w:w="888"/>
        <w:gridCol w:w="1668"/>
        <w:gridCol w:w="709"/>
        <w:gridCol w:w="5953"/>
      </w:tblGrid>
      <w:tr w:rsidR="000E48CE" w14:paraId="2C8BFD81" w14:textId="77777777">
        <w:trPr>
          <w:trHeight w:val="524"/>
        </w:trPr>
        <w:tc>
          <w:tcPr>
            <w:tcW w:w="850" w:type="dxa"/>
            <w:vMerge w:val="restart"/>
            <w:shd w:val="clear" w:color="auto" w:fill="C6D9F1" w:themeFill="text2" w:themeFillTint="33"/>
            <w:vAlign w:val="center"/>
          </w:tcPr>
          <w:p w14:paraId="3B8DBAD9" w14:textId="5CFB30F8" w:rsidR="000E48CE" w:rsidRDefault="00FF4C4E">
            <w:pPr>
              <w:pStyle w:val="P68B1DB1-Normal12"/>
              <w:spacing w:after="0" w:line="240" w:lineRule="auto"/>
              <w:jc w:val="center"/>
              <w:rPr>
                <w:rFonts w:cs="Times New Roman"/>
                <w:noProof/>
              </w:rPr>
            </w:pPr>
            <w:r>
              <w:rPr>
                <w:noProof/>
              </w:rPr>
              <w:t>Määrä</w:t>
            </w:r>
          </w:p>
        </w:tc>
        <w:tc>
          <w:tcPr>
            <w:tcW w:w="850" w:type="dxa"/>
            <w:vMerge w:val="restart"/>
            <w:shd w:val="clear" w:color="auto" w:fill="C6D9F1" w:themeFill="text2" w:themeFillTint="33"/>
            <w:vAlign w:val="center"/>
            <w:hideMark/>
          </w:tcPr>
          <w:p w14:paraId="2E1D7C96" w14:textId="77777777" w:rsidR="000E48CE" w:rsidRDefault="00FF4C4E">
            <w:pPr>
              <w:pStyle w:val="P68B1DB1-Normal12"/>
              <w:spacing w:after="0" w:line="240" w:lineRule="auto"/>
              <w:jc w:val="center"/>
              <w:rPr>
                <w:rFonts w:cs="Times New Roman"/>
                <w:noProof/>
              </w:rPr>
            </w:pPr>
            <w:r>
              <w:rPr>
                <w:noProof/>
              </w:rPr>
              <w:t xml:space="preserve">Toimenpide </w:t>
            </w:r>
          </w:p>
          <w:p w14:paraId="5500F1CE" w14:textId="3C415CA9" w:rsidR="000E48CE" w:rsidRDefault="00FF4C4E">
            <w:pPr>
              <w:pStyle w:val="P68B1DB1-Normal12"/>
              <w:spacing w:after="0" w:line="240" w:lineRule="auto"/>
              <w:jc w:val="center"/>
              <w:rPr>
                <w:rFonts w:cs="Times New Roman"/>
                <w:noProof/>
              </w:rPr>
            </w:pPr>
            <w:r>
              <w:rPr>
                <w:noProof/>
              </w:rPr>
              <w:t> </w:t>
            </w:r>
          </w:p>
        </w:tc>
        <w:tc>
          <w:tcPr>
            <w:tcW w:w="851" w:type="dxa"/>
            <w:vMerge w:val="restart"/>
            <w:shd w:val="clear" w:color="auto" w:fill="C6D9F1" w:themeFill="text2" w:themeFillTint="33"/>
            <w:vAlign w:val="center"/>
            <w:hideMark/>
          </w:tcPr>
          <w:p w14:paraId="20495EDA" w14:textId="77777777" w:rsidR="000E48CE" w:rsidRDefault="00FF4C4E">
            <w:pPr>
              <w:pStyle w:val="P68B1DB1-Normal12"/>
              <w:spacing w:after="0" w:line="240" w:lineRule="auto"/>
              <w:jc w:val="center"/>
              <w:rPr>
                <w:rFonts w:cs="Times New Roman"/>
                <w:noProof/>
              </w:rPr>
            </w:pPr>
            <w:r>
              <w:rPr>
                <w:noProof/>
              </w:rPr>
              <w:t>Välita</w:t>
            </w:r>
            <w:r>
              <w:rPr>
                <w:noProof/>
              </w:rPr>
              <w:t>voite</w:t>
            </w:r>
          </w:p>
          <w:p w14:paraId="3B22CAB3" w14:textId="77777777" w:rsidR="000E48CE" w:rsidRDefault="00FF4C4E">
            <w:pPr>
              <w:pStyle w:val="P68B1DB1-Normal12"/>
              <w:spacing w:after="0" w:line="240" w:lineRule="auto"/>
              <w:jc w:val="center"/>
              <w:rPr>
                <w:rFonts w:cs="Times New Roman"/>
                <w:noProof/>
              </w:rPr>
            </w:pPr>
            <w:r>
              <w:rPr>
                <w:noProof/>
              </w:rPr>
              <w:t>/Kohde</w:t>
            </w:r>
          </w:p>
          <w:p w14:paraId="39C8A411" w14:textId="40C6FF22" w:rsidR="000E48CE" w:rsidRDefault="00FF4C4E">
            <w:pPr>
              <w:pStyle w:val="P68B1DB1-Normal12"/>
              <w:spacing w:after="0" w:line="240" w:lineRule="auto"/>
              <w:jc w:val="center"/>
              <w:rPr>
                <w:rFonts w:cs="Times New Roman"/>
                <w:noProof/>
              </w:rPr>
            </w:pPr>
            <w:r>
              <w:rPr>
                <w:noProof/>
              </w:rPr>
              <w:t> </w:t>
            </w:r>
          </w:p>
        </w:tc>
        <w:tc>
          <w:tcPr>
            <w:tcW w:w="1417" w:type="dxa"/>
            <w:vMerge w:val="restart"/>
            <w:shd w:val="clear" w:color="auto" w:fill="C6D9F1" w:themeFill="text2" w:themeFillTint="33"/>
            <w:vAlign w:val="center"/>
            <w:hideMark/>
          </w:tcPr>
          <w:p w14:paraId="51B81471" w14:textId="77777777" w:rsidR="000E48CE" w:rsidRDefault="00FF4C4E">
            <w:pPr>
              <w:pStyle w:val="P68B1DB1-Normal12"/>
              <w:spacing w:after="0" w:line="240" w:lineRule="auto"/>
              <w:jc w:val="center"/>
              <w:rPr>
                <w:rFonts w:cs="Times New Roman"/>
                <w:noProof/>
              </w:rPr>
            </w:pPr>
            <w:r>
              <w:rPr>
                <w:noProof/>
              </w:rPr>
              <w:t>Nimi</w:t>
            </w:r>
          </w:p>
          <w:p w14:paraId="614AF5F8" w14:textId="1DF51E80" w:rsidR="000E48CE" w:rsidRDefault="00FF4C4E">
            <w:pPr>
              <w:pStyle w:val="P68B1DB1-Normal12"/>
              <w:spacing w:after="0" w:line="240" w:lineRule="auto"/>
              <w:jc w:val="center"/>
              <w:rPr>
                <w:rFonts w:cs="Times New Roman"/>
                <w:noProof/>
              </w:rPr>
            </w:pPr>
            <w:r>
              <w:rPr>
                <w:noProof/>
              </w:rPr>
              <w:t> </w:t>
            </w:r>
          </w:p>
        </w:tc>
        <w:tc>
          <w:tcPr>
            <w:tcW w:w="1560" w:type="dxa"/>
            <w:vMerge w:val="restart"/>
            <w:shd w:val="clear" w:color="auto" w:fill="C6D9F1" w:themeFill="text2" w:themeFillTint="33"/>
            <w:vAlign w:val="center"/>
            <w:hideMark/>
          </w:tcPr>
          <w:p w14:paraId="1ACE322D" w14:textId="77777777" w:rsidR="000E48CE" w:rsidRDefault="00FF4C4E">
            <w:pPr>
              <w:pStyle w:val="P68B1DB1-Normal12"/>
              <w:spacing w:after="0" w:line="240" w:lineRule="auto"/>
              <w:jc w:val="center"/>
              <w:rPr>
                <w:rFonts w:cs="Times New Roman"/>
                <w:noProof/>
              </w:rPr>
            </w:pPr>
            <w:r>
              <w:rPr>
                <w:noProof/>
              </w:rPr>
              <w:t xml:space="preserve">Laadulliset indikaattorit (välitavoitteiden osalta) </w:t>
            </w:r>
          </w:p>
          <w:p w14:paraId="13CB041D" w14:textId="7367A5A3" w:rsidR="000E48CE" w:rsidRDefault="00FF4C4E">
            <w:pPr>
              <w:pStyle w:val="P68B1DB1-Normal12"/>
              <w:spacing w:after="0" w:line="240" w:lineRule="auto"/>
              <w:jc w:val="center"/>
              <w:rPr>
                <w:rFonts w:cs="Times New Roman"/>
                <w:noProof/>
              </w:rPr>
            </w:pPr>
            <w:r>
              <w:rPr>
                <w:noProof/>
              </w:rPr>
              <w:t> </w:t>
            </w:r>
          </w:p>
        </w:tc>
        <w:tc>
          <w:tcPr>
            <w:tcW w:w="1984" w:type="dxa"/>
            <w:gridSpan w:val="3"/>
            <w:shd w:val="clear" w:color="auto" w:fill="C6D9F1" w:themeFill="text2" w:themeFillTint="33"/>
            <w:vAlign w:val="center"/>
            <w:hideMark/>
          </w:tcPr>
          <w:p w14:paraId="6E6977EB" w14:textId="4486EAF7" w:rsidR="000E48CE" w:rsidRDefault="00FF4C4E">
            <w:pPr>
              <w:pStyle w:val="P68B1DB1-Normal12"/>
              <w:spacing w:after="0" w:line="240" w:lineRule="auto"/>
              <w:jc w:val="center"/>
              <w:rPr>
                <w:rFonts w:cs="Times New Roman"/>
                <w:noProof/>
              </w:rPr>
            </w:pPr>
            <w:r>
              <w:rPr>
                <w:noProof/>
              </w:rPr>
              <w:t xml:space="preserve">Määrälliset indikaattorit (tavoitteen osalta) </w:t>
            </w:r>
          </w:p>
        </w:tc>
        <w:tc>
          <w:tcPr>
            <w:tcW w:w="1276" w:type="dxa"/>
            <w:gridSpan w:val="2"/>
            <w:shd w:val="clear" w:color="auto" w:fill="C6D9F1" w:themeFill="text2" w:themeFillTint="33"/>
            <w:vAlign w:val="center"/>
            <w:hideMark/>
          </w:tcPr>
          <w:p w14:paraId="5F2A52BA" w14:textId="77777777" w:rsidR="000E48CE" w:rsidRDefault="00FF4C4E">
            <w:pPr>
              <w:pStyle w:val="P68B1DB1-Normal12"/>
              <w:spacing w:after="0" w:line="240" w:lineRule="auto"/>
              <w:jc w:val="center"/>
              <w:rPr>
                <w:rFonts w:cs="Times New Roman"/>
                <w:noProof/>
              </w:rPr>
            </w:pPr>
            <w:r>
              <w:rPr>
                <w:noProof/>
              </w:rPr>
              <w:t xml:space="preserve">Aika </w:t>
            </w:r>
          </w:p>
        </w:tc>
        <w:tc>
          <w:tcPr>
            <w:tcW w:w="5953" w:type="dxa"/>
            <w:vMerge w:val="restart"/>
            <w:shd w:val="clear" w:color="auto" w:fill="C6D9F1" w:themeFill="text2" w:themeFillTint="33"/>
            <w:vAlign w:val="center"/>
            <w:hideMark/>
          </w:tcPr>
          <w:p w14:paraId="7416F018" w14:textId="77777777" w:rsidR="000E48CE" w:rsidRDefault="00FF4C4E">
            <w:pPr>
              <w:pStyle w:val="P68B1DB1-Normal12"/>
              <w:spacing w:after="0" w:line="240" w:lineRule="auto"/>
              <w:jc w:val="center"/>
              <w:rPr>
                <w:rFonts w:cs="Times New Roman"/>
                <w:noProof/>
              </w:rPr>
            </w:pPr>
            <w:r>
              <w:rPr>
                <w:noProof/>
              </w:rPr>
              <w:t xml:space="preserve">Kunkin välitavoitteen ja tavoitteen kuvaus </w:t>
            </w:r>
          </w:p>
          <w:p w14:paraId="75B49A2F" w14:textId="2F05C254" w:rsidR="000E48CE" w:rsidRDefault="00FF4C4E">
            <w:pPr>
              <w:pStyle w:val="P68B1DB1-Normal12"/>
              <w:spacing w:after="0" w:line="240" w:lineRule="auto"/>
              <w:jc w:val="center"/>
              <w:rPr>
                <w:rFonts w:cs="Times New Roman"/>
                <w:noProof/>
              </w:rPr>
            </w:pPr>
            <w:r>
              <w:rPr>
                <w:noProof/>
              </w:rPr>
              <w:t> </w:t>
            </w:r>
          </w:p>
        </w:tc>
      </w:tr>
      <w:tr w:rsidR="000E48CE" w14:paraId="17E2B9AE" w14:textId="77777777">
        <w:trPr>
          <w:trHeight w:val="387"/>
        </w:trPr>
        <w:tc>
          <w:tcPr>
            <w:tcW w:w="850" w:type="dxa"/>
            <w:vMerge/>
            <w:shd w:val="clear" w:color="auto" w:fill="C6D9F1" w:themeFill="text2" w:themeFillTint="33"/>
          </w:tcPr>
          <w:p w14:paraId="67834127" w14:textId="77777777" w:rsidR="000E48CE" w:rsidRDefault="000E48CE">
            <w:pPr>
              <w:spacing w:after="0" w:line="240" w:lineRule="auto"/>
              <w:jc w:val="center"/>
              <w:rPr>
                <w:rFonts w:ascii="Times New Roman" w:hAnsi="Times New Roman" w:cs="Times New Roman"/>
                <w:b/>
                <w:noProof/>
                <w:sz w:val="18"/>
              </w:rPr>
            </w:pPr>
          </w:p>
        </w:tc>
        <w:tc>
          <w:tcPr>
            <w:tcW w:w="850" w:type="dxa"/>
            <w:vMerge/>
            <w:shd w:val="clear" w:color="auto" w:fill="C6D9F1" w:themeFill="text2" w:themeFillTint="33"/>
            <w:noWrap/>
            <w:vAlign w:val="bottom"/>
            <w:hideMark/>
          </w:tcPr>
          <w:p w14:paraId="4F8DD208" w14:textId="501E1BCE" w:rsidR="000E48CE" w:rsidRDefault="000E48CE">
            <w:pPr>
              <w:spacing w:after="0" w:line="240" w:lineRule="auto"/>
              <w:jc w:val="center"/>
              <w:rPr>
                <w:rFonts w:ascii="Times New Roman" w:hAnsi="Times New Roman" w:cs="Times New Roman"/>
                <w:b/>
                <w:noProof/>
                <w:sz w:val="18"/>
              </w:rPr>
            </w:pPr>
          </w:p>
        </w:tc>
        <w:tc>
          <w:tcPr>
            <w:tcW w:w="851" w:type="dxa"/>
            <w:vMerge/>
            <w:shd w:val="clear" w:color="auto" w:fill="C6D9F1" w:themeFill="text2" w:themeFillTint="33"/>
            <w:noWrap/>
            <w:vAlign w:val="bottom"/>
            <w:hideMark/>
          </w:tcPr>
          <w:p w14:paraId="0EBF6A61" w14:textId="4BBD6043" w:rsidR="000E48CE" w:rsidRDefault="000E48CE">
            <w:pPr>
              <w:spacing w:after="0" w:line="240" w:lineRule="auto"/>
              <w:jc w:val="center"/>
              <w:rPr>
                <w:rFonts w:ascii="Times New Roman" w:hAnsi="Times New Roman" w:cs="Times New Roman"/>
                <w:b/>
                <w:noProof/>
                <w:sz w:val="18"/>
              </w:rPr>
            </w:pPr>
          </w:p>
        </w:tc>
        <w:tc>
          <w:tcPr>
            <w:tcW w:w="1417" w:type="dxa"/>
            <w:vMerge/>
            <w:shd w:val="clear" w:color="auto" w:fill="C6D9F1" w:themeFill="text2" w:themeFillTint="33"/>
            <w:noWrap/>
            <w:vAlign w:val="bottom"/>
            <w:hideMark/>
          </w:tcPr>
          <w:p w14:paraId="6060CD2C" w14:textId="532BC882" w:rsidR="000E48CE" w:rsidRDefault="000E48CE">
            <w:pPr>
              <w:spacing w:after="0" w:line="240" w:lineRule="auto"/>
              <w:jc w:val="center"/>
              <w:rPr>
                <w:rFonts w:ascii="Times New Roman" w:hAnsi="Times New Roman" w:cs="Times New Roman"/>
                <w:b/>
                <w:noProof/>
                <w:sz w:val="18"/>
              </w:rPr>
            </w:pPr>
          </w:p>
        </w:tc>
        <w:tc>
          <w:tcPr>
            <w:tcW w:w="1560" w:type="dxa"/>
            <w:vMerge/>
            <w:shd w:val="clear" w:color="auto" w:fill="C6D9F1" w:themeFill="text2" w:themeFillTint="33"/>
            <w:noWrap/>
            <w:vAlign w:val="bottom"/>
            <w:hideMark/>
          </w:tcPr>
          <w:p w14:paraId="7CAC0B30" w14:textId="5651CA64" w:rsidR="000E48CE" w:rsidRDefault="000E48CE">
            <w:pPr>
              <w:spacing w:after="0" w:line="240" w:lineRule="auto"/>
              <w:jc w:val="center"/>
              <w:rPr>
                <w:rFonts w:ascii="Times New Roman" w:hAnsi="Times New Roman" w:cs="Times New Roman"/>
                <w:b/>
                <w:noProof/>
                <w:sz w:val="18"/>
              </w:rPr>
            </w:pPr>
          </w:p>
        </w:tc>
        <w:tc>
          <w:tcPr>
            <w:tcW w:w="567" w:type="dxa"/>
            <w:shd w:val="clear" w:color="auto" w:fill="C6D9F1" w:themeFill="text2" w:themeFillTint="33"/>
            <w:vAlign w:val="center"/>
            <w:hideMark/>
          </w:tcPr>
          <w:p w14:paraId="6F363A74"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vAlign w:val="center"/>
            <w:hideMark/>
          </w:tcPr>
          <w:p w14:paraId="0E6D6476" w14:textId="1DDEACE6" w:rsidR="000E48CE" w:rsidRDefault="00FF4C4E">
            <w:pPr>
              <w:pStyle w:val="P68B1DB1-Normal12"/>
              <w:spacing w:after="0" w:line="240" w:lineRule="auto"/>
              <w:jc w:val="center"/>
              <w:rPr>
                <w:rFonts w:cs="Times New Roman"/>
                <w:noProof/>
              </w:rPr>
            </w:pPr>
            <w:r>
              <w:rPr>
                <w:noProof/>
              </w:rPr>
              <w:t>Perusviiva</w:t>
            </w:r>
          </w:p>
        </w:tc>
        <w:tc>
          <w:tcPr>
            <w:tcW w:w="850" w:type="dxa"/>
            <w:shd w:val="clear" w:color="auto" w:fill="C6D9F1" w:themeFill="text2" w:themeFillTint="33"/>
            <w:vAlign w:val="center"/>
            <w:hideMark/>
          </w:tcPr>
          <w:p w14:paraId="15B3C123" w14:textId="77777777" w:rsidR="000E48CE" w:rsidRDefault="00FF4C4E">
            <w:pPr>
              <w:pStyle w:val="P68B1DB1-Normal12"/>
              <w:spacing w:after="0" w:line="240" w:lineRule="auto"/>
              <w:jc w:val="center"/>
              <w:rPr>
                <w:rFonts w:cs="Times New Roman"/>
                <w:noProof/>
              </w:rPr>
            </w:pPr>
            <w:r>
              <w:rPr>
                <w:noProof/>
              </w:rPr>
              <w:t>Päämäärä</w:t>
            </w:r>
          </w:p>
        </w:tc>
        <w:tc>
          <w:tcPr>
            <w:tcW w:w="567" w:type="dxa"/>
            <w:shd w:val="clear" w:color="auto" w:fill="C6D9F1" w:themeFill="text2" w:themeFillTint="33"/>
            <w:vAlign w:val="center"/>
            <w:hideMark/>
          </w:tcPr>
          <w:p w14:paraId="2C050D05" w14:textId="77777777" w:rsidR="000E48CE" w:rsidRDefault="00FF4C4E">
            <w:pPr>
              <w:pStyle w:val="P68B1DB1-Normal12"/>
              <w:spacing w:after="0" w:line="240" w:lineRule="auto"/>
              <w:jc w:val="center"/>
              <w:rPr>
                <w:rFonts w:cs="Times New Roman"/>
                <w:noProof/>
              </w:rPr>
            </w:pPr>
            <w:r>
              <w:rPr>
                <w:noProof/>
              </w:rPr>
              <w:t>Q</w:t>
            </w:r>
          </w:p>
        </w:tc>
        <w:tc>
          <w:tcPr>
            <w:tcW w:w="709" w:type="dxa"/>
            <w:shd w:val="clear" w:color="auto" w:fill="C6D9F1" w:themeFill="text2" w:themeFillTint="33"/>
            <w:vAlign w:val="center"/>
            <w:hideMark/>
          </w:tcPr>
          <w:p w14:paraId="58D14039" w14:textId="77777777" w:rsidR="000E48CE" w:rsidRDefault="00FF4C4E">
            <w:pPr>
              <w:pStyle w:val="P68B1DB1-Normal12"/>
              <w:spacing w:after="0" w:line="240" w:lineRule="auto"/>
              <w:jc w:val="center"/>
              <w:rPr>
                <w:rFonts w:cs="Times New Roman"/>
                <w:noProof/>
              </w:rPr>
            </w:pPr>
            <w:r>
              <w:rPr>
                <w:noProof/>
              </w:rPr>
              <w:t>Vuosi</w:t>
            </w:r>
          </w:p>
        </w:tc>
        <w:tc>
          <w:tcPr>
            <w:tcW w:w="5953" w:type="dxa"/>
            <w:vMerge/>
            <w:shd w:val="clear" w:color="auto" w:fill="C6D9F1" w:themeFill="text2" w:themeFillTint="33"/>
            <w:noWrap/>
            <w:vAlign w:val="bottom"/>
            <w:hideMark/>
          </w:tcPr>
          <w:p w14:paraId="6E99A884" w14:textId="79EC2A12" w:rsidR="000E48CE" w:rsidRDefault="000E48CE">
            <w:pPr>
              <w:spacing w:after="0" w:line="240" w:lineRule="auto"/>
              <w:jc w:val="center"/>
              <w:rPr>
                <w:rFonts w:ascii="Times New Roman" w:hAnsi="Times New Roman" w:cs="Times New Roman"/>
                <w:b/>
                <w:noProof/>
                <w:sz w:val="18"/>
              </w:rPr>
            </w:pPr>
          </w:p>
        </w:tc>
      </w:tr>
      <w:tr w:rsidR="000E48CE" w14:paraId="034BC744" w14:textId="77777777">
        <w:trPr>
          <w:trHeight w:val="284"/>
        </w:trPr>
        <w:tc>
          <w:tcPr>
            <w:tcW w:w="850" w:type="dxa"/>
            <w:shd w:val="clear" w:color="auto" w:fill="C6EFCE"/>
            <w:vAlign w:val="center"/>
          </w:tcPr>
          <w:p w14:paraId="0FF1B3D3" w14:textId="79E9E935" w:rsidR="000E48CE" w:rsidRDefault="00FF4C4E">
            <w:pPr>
              <w:pStyle w:val="P68B1DB1-Normal13"/>
              <w:spacing w:line="240" w:lineRule="auto"/>
              <w:jc w:val="center"/>
              <w:rPr>
                <w:rFonts w:cs="Times New Roman"/>
                <w:noProof/>
              </w:rPr>
            </w:pPr>
            <w:r>
              <w:rPr>
                <w:noProof/>
              </w:rPr>
              <w:t>L71</w:t>
            </w:r>
          </w:p>
        </w:tc>
        <w:tc>
          <w:tcPr>
            <w:tcW w:w="850" w:type="dxa"/>
            <w:shd w:val="clear" w:color="auto" w:fill="C6EFCE"/>
            <w:noWrap/>
            <w:vAlign w:val="center"/>
            <w:hideMark/>
          </w:tcPr>
          <w:p w14:paraId="65EE4CF3" w14:textId="06F0DE26" w:rsidR="000E48CE" w:rsidRDefault="00FF4C4E">
            <w:pPr>
              <w:pStyle w:val="P68B1DB1-Normal13"/>
              <w:spacing w:line="240" w:lineRule="auto"/>
              <w:jc w:val="center"/>
              <w:rPr>
                <w:rFonts w:cs="Times New Roman"/>
                <w:noProof/>
              </w:rPr>
            </w:pPr>
            <w:r>
              <w:rPr>
                <w:noProof/>
              </w:rPr>
              <w:t>C22.R6</w:t>
            </w:r>
          </w:p>
        </w:tc>
        <w:tc>
          <w:tcPr>
            <w:tcW w:w="851" w:type="dxa"/>
            <w:shd w:val="clear" w:color="auto" w:fill="C6EFCE"/>
            <w:noWrap/>
            <w:vAlign w:val="center"/>
            <w:hideMark/>
          </w:tcPr>
          <w:p w14:paraId="020AF999" w14:textId="77777777" w:rsidR="000E48CE" w:rsidRDefault="00FF4C4E">
            <w:pPr>
              <w:pStyle w:val="P68B1DB1-Normal13"/>
              <w:spacing w:line="240" w:lineRule="auto"/>
              <w:jc w:val="center"/>
              <w:rPr>
                <w:rFonts w:cs="Times New Roman"/>
                <w:noProof/>
              </w:rPr>
            </w:pPr>
            <w:r>
              <w:rPr>
                <w:noProof/>
              </w:rPr>
              <w:t>M</w:t>
            </w:r>
          </w:p>
        </w:tc>
        <w:tc>
          <w:tcPr>
            <w:tcW w:w="1417" w:type="dxa"/>
            <w:shd w:val="clear" w:color="auto" w:fill="C6EFCE"/>
            <w:noWrap/>
            <w:vAlign w:val="center"/>
            <w:hideMark/>
          </w:tcPr>
          <w:p w14:paraId="7A160499" w14:textId="77777777" w:rsidR="000E48CE" w:rsidRDefault="00FF4C4E">
            <w:pPr>
              <w:pStyle w:val="P68B1DB1-Normal13"/>
              <w:spacing w:after="0" w:line="240" w:lineRule="auto"/>
              <w:rPr>
                <w:rFonts w:cs="Times New Roman"/>
                <w:noProof/>
              </w:rPr>
            </w:pPr>
            <w:r>
              <w:rPr>
                <w:noProof/>
              </w:rPr>
              <w:t xml:space="preserve">Asiaa koskevan </w:t>
            </w:r>
            <w:r>
              <w:rPr>
                <w:noProof/>
              </w:rPr>
              <w:t>lainsäädännön voimaantulo</w:t>
            </w:r>
          </w:p>
        </w:tc>
        <w:tc>
          <w:tcPr>
            <w:tcW w:w="1560" w:type="dxa"/>
            <w:shd w:val="clear" w:color="auto" w:fill="C6EFCE"/>
            <w:noWrap/>
            <w:vAlign w:val="center"/>
          </w:tcPr>
          <w:p w14:paraId="39BB4D42" w14:textId="77777777" w:rsidR="000E48CE" w:rsidRDefault="00FF4C4E">
            <w:pPr>
              <w:pStyle w:val="P68B1DB1-Normal13"/>
              <w:spacing w:after="0" w:line="240" w:lineRule="auto"/>
              <w:rPr>
                <w:rFonts w:cs="Times New Roman"/>
                <w:noProof/>
              </w:rPr>
            </w:pPr>
            <w:r>
              <w:rPr>
                <w:noProof/>
              </w:rPr>
              <w:t>Lainsäädännön voimaantuloa koskeva säännös</w:t>
            </w:r>
          </w:p>
        </w:tc>
        <w:tc>
          <w:tcPr>
            <w:tcW w:w="567" w:type="dxa"/>
            <w:shd w:val="clear" w:color="auto" w:fill="C6EFCE"/>
            <w:noWrap/>
            <w:vAlign w:val="center"/>
            <w:hideMark/>
          </w:tcPr>
          <w:p w14:paraId="618FA821" w14:textId="77777777" w:rsidR="000E48CE" w:rsidRDefault="00FF4C4E">
            <w:pPr>
              <w:pStyle w:val="P68B1DB1-Normal13"/>
              <w:spacing w:after="0" w:line="240" w:lineRule="auto"/>
              <w:rPr>
                <w:rFonts w:cs="Times New Roman"/>
                <w:noProof/>
              </w:rPr>
            </w:pPr>
            <w:r>
              <w:rPr>
                <w:noProof/>
              </w:rPr>
              <w:t> </w:t>
            </w:r>
          </w:p>
        </w:tc>
        <w:tc>
          <w:tcPr>
            <w:tcW w:w="567" w:type="dxa"/>
            <w:shd w:val="clear" w:color="auto" w:fill="C6EFCE"/>
            <w:noWrap/>
            <w:vAlign w:val="center"/>
            <w:hideMark/>
          </w:tcPr>
          <w:p w14:paraId="5F31DAF2" w14:textId="69E958AE" w:rsidR="000E48CE" w:rsidRDefault="000E48CE">
            <w:pPr>
              <w:spacing w:after="0" w:line="240" w:lineRule="auto"/>
              <w:ind w:left="-483" w:right="383"/>
              <w:jc w:val="center"/>
              <w:rPr>
                <w:rFonts w:ascii="Times New Roman" w:hAnsi="Times New Roman" w:cs="Times New Roman"/>
                <w:noProof/>
                <w:sz w:val="18"/>
              </w:rPr>
            </w:pPr>
          </w:p>
        </w:tc>
        <w:tc>
          <w:tcPr>
            <w:tcW w:w="850" w:type="dxa"/>
            <w:shd w:val="clear" w:color="auto" w:fill="C6EFCE"/>
            <w:noWrap/>
            <w:vAlign w:val="center"/>
            <w:hideMark/>
          </w:tcPr>
          <w:p w14:paraId="16A95168" w14:textId="37FC069E"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vAlign w:val="center"/>
            <w:hideMark/>
          </w:tcPr>
          <w:p w14:paraId="78A4ADF0" w14:textId="5A96BB75" w:rsidR="000E48CE" w:rsidRDefault="00FF4C4E">
            <w:pPr>
              <w:pStyle w:val="P68B1DB1-Normal13"/>
              <w:spacing w:after="0" w:line="240" w:lineRule="auto"/>
              <w:jc w:val="center"/>
              <w:rPr>
                <w:rFonts w:cs="Times New Roman"/>
                <w:noProof/>
              </w:rPr>
            </w:pPr>
            <w:r>
              <w:rPr>
                <w:noProof/>
              </w:rPr>
              <w:t>Q4</w:t>
            </w:r>
          </w:p>
        </w:tc>
        <w:tc>
          <w:tcPr>
            <w:tcW w:w="709" w:type="dxa"/>
            <w:shd w:val="clear" w:color="auto" w:fill="C6EFCE"/>
            <w:noWrap/>
            <w:vAlign w:val="center"/>
            <w:hideMark/>
          </w:tcPr>
          <w:p w14:paraId="60B1C200" w14:textId="77777777" w:rsidR="000E48CE" w:rsidRDefault="00FF4C4E">
            <w:pPr>
              <w:pStyle w:val="P68B1DB1-Normal13"/>
              <w:spacing w:after="0" w:line="240" w:lineRule="auto"/>
              <w:jc w:val="center"/>
              <w:rPr>
                <w:rFonts w:cs="Times New Roman"/>
                <w:noProof/>
              </w:rPr>
            </w:pPr>
            <w:r>
              <w:rPr>
                <w:noProof/>
              </w:rPr>
              <w:t>2025</w:t>
            </w:r>
          </w:p>
        </w:tc>
        <w:tc>
          <w:tcPr>
            <w:tcW w:w="5953" w:type="dxa"/>
            <w:shd w:val="clear" w:color="auto" w:fill="C6EFCE"/>
            <w:noWrap/>
            <w:vAlign w:val="center"/>
            <w:hideMark/>
          </w:tcPr>
          <w:p w14:paraId="38E9FAEA" w14:textId="3FD45C70" w:rsidR="000E48CE" w:rsidRDefault="00FF4C4E">
            <w:pPr>
              <w:pStyle w:val="P68B1DB1-Normal13"/>
              <w:spacing w:after="0" w:line="240" w:lineRule="auto"/>
              <w:rPr>
                <w:rFonts w:cs="Times New Roman"/>
                <w:noProof/>
              </w:rPr>
            </w:pPr>
            <w:r>
              <w:rPr>
                <w:noProof/>
              </w:rPr>
              <w:t>Kuluttajien ja käyttäjien suojelua sosiaalisesti ja taloudellisesti haavoittuvilta tilanteilta koskevan asiaankuuluvan lainsäädännön voimaantulo, erityisesti: laki 4/2022 kulu</w:t>
            </w:r>
            <w:r>
              <w:rPr>
                <w:noProof/>
              </w:rPr>
              <w:t>ttajien ja käyttäjien suojelemisesta sosiaalisesti ja taloudellisesti haavoittuvilta tilanteilta ja kuninkaallinen asetus pistekirjoitusmerkinnöistä ja muista muodoista, joilla taataan erityisen merkityksellisten tavaroiden ja kulutustavaroiden yleinen saa</w:t>
            </w:r>
            <w:r>
              <w:rPr>
                <w:noProof/>
              </w:rPr>
              <w:t>tavuus.</w:t>
            </w:r>
          </w:p>
        </w:tc>
      </w:tr>
      <w:tr w:rsidR="000E48CE" w14:paraId="73C58FD5" w14:textId="77777777">
        <w:trPr>
          <w:trHeight w:val="284"/>
        </w:trPr>
        <w:tc>
          <w:tcPr>
            <w:tcW w:w="850" w:type="dxa"/>
            <w:shd w:val="clear" w:color="auto" w:fill="C6EFCE"/>
            <w:vAlign w:val="center"/>
          </w:tcPr>
          <w:p w14:paraId="2AC62E93" w14:textId="44C03A15" w:rsidR="000E48CE" w:rsidRDefault="00FF4C4E">
            <w:pPr>
              <w:pStyle w:val="P68B1DB1-Normal13"/>
              <w:spacing w:line="240" w:lineRule="auto"/>
              <w:jc w:val="center"/>
              <w:rPr>
                <w:rFonts w:cs="Times New Roman"/>
                <w:noProof/>
              </w:rPr>
            </w:pPr>
            <w:r>
              <w:rPr>
                <w:noProof/>
              </w:rPr>
              <w:t>L72</w:t>
            </w:r>
          </w:p>
        </w:tc>
        <w:tc>
          <w:tcPr>
            <w:tcW w:w="850" w:type="dxa"/>
            <w:shd w:val="clear" w:color="auto" w:fill="C6EFCE"/>
            <w:noWrap/>
            <w:vAlign w:val="center"/>
          </w:tcPr>
          <w:p w14:paraId="59DA870E" w14:textId="4DD4284E" w:rsidR="000E48CE" w:rsidRDefault="00FF4C4E">
            <w:pPr>
              <w:pStyle w:val="P68B1DB1-Normal13"/>
              <w:spacing w:line="240" w:lineRule="auto"/>
              <w:jc w:val="center"/>
              <w:rPr>
                <w:rFonts w:cs="Times New Roman"/>
                <w:noProof/>
              </w:rPr>
            </w:pPr>
            <w:r>
              <w:rPr>
                <w:noProof/>
              </w:rPr>
              <w:t>C22.I6</w:t>
            </w:r>
          </w:p>
        </w:tc>
        <w:tc>
          <w:tcPr>
            <w:tcW w:w="851" w:type="dxa"/>
            <w:shd w:val="clear" w:color="auto" w:fill="C6EFCE"/>
            <w:noWrap/>
            <w:vAlign w:val="center"/>
          </w:tcPr>
          <w:p w14:paraId="2F7C1705" w14:textId="77777777" w:rsidR="000E48CE" w:rsidRDefault="00FF4C4E">
            <w:pPr>
              <w:pStyle w:val="P68B1DB1-Normal13"/>
              <w:spacing w:line="240" w:lineRule="auto"/>
              <w:jc w:val="center"/>
              <w:rPr>
                <w:rFonts w:cs="Times New Roman"/>
                <w:noProof/>
              </w:rPr>
            </w:pPr>
            <w:r>
              <w:rPr>
                <w:noProof/>
              </w:rPr>
              <w:t>M</w:t>
            </w:r>
          </w:p>
        </w:tc>
        <w:tc>
          <w:tcPr>
            <w:tcW w:w="1417" w:type="dxa"/>
            <w:shd w:val="clear" w:color="auto" w:fill="C6EFCE"/>
            <w:noWrap/>
            <w:vAlign w:val="center"/>
          </w:tcPr>
          <w:p w14:paraId="468BD76F" w14:textId="19C75DB4" w:rsidR="000E48CE" w:rsidRDefault="00FF4C4E">
            <w:pPr>
              <w:pStyle w:val="P68B1DB1-Normal13"/>
              <w:spacing w:after="0" w:line="240" w:lineRule="auto"/>
              <w:rPr>
                <w:rFonts w:cs="Times New Roman"/>
                <w:noProof/>
              </w:rPr>
            </w:pPr>
            <w:r>
              <w:rPr>
                <w:noProof/>
              </w:rPr>
              <w:t>Sosiaalisten vaikutusten rahasto: Asetus tukivälineen perustamisesta</w:t>
            </w:r>
          </w:p>
        </w:tc>
        <w:tc>
          <w:tcPr>
            <w:tcW w:w="1560" w:type="dxa"/>
            <w:shd w:val="clear" w:color="auto" w:fill="C6EFCE"/>
            <w:noWrap/>
            <w:vAlign w:val="center"/>
          </w:tcPr>
          <w:p w14:paraId="7DD49523" w14:textId="020229C4" w:rsidR="000E48CE" w:rsidRDefault="00FF4C4E">
            <w:pPr>
              <w:pStyle w:val="P68B1DB1-Normal13"/>
              <w:spacing w:after="0" w:line="240" w:lineRule="auto"/>
              <w:rPr>
                <w:rFonts w:cs="Times New Roman"/>
                <w:noProof/>
              </w:rPr>
            </w:pPr>
            <w:r>
              <w:rPr>
                <w:noProof/>
              </w:rPr>
              <w:t>Tukivälineen perustamisesta annetun asetuksen voimaantulo</w:t>
            </w:r>
          </w:p>
        </w:tc>
        <w:tc>
          <w:tcPr>
            <w:tcW w:w="567" w:type="dxa"/>
            <w:shd w:val="clear" w:color="auto" w:fill="C6EFCE"/>
            <w:noWrap/>
            <w:vAlign w:val="center"/>
          </w:tcPr>
          <w:p w14:paraId="5F6A5B6B" w14:textId="77777777" w:rsidR="000E48CE" w:rsidRDefault="000E48CE">
            <w:pPr>
              <w:spacing w:after="0" w:line="240" w:lineRule="auto"/>
              <w:rPr>
                <w:rFonts w:ascii="Times New Roman" w:hAnsi="Times New Roman" w:cs="Times New Roman"/>
                <w:noProof/>
                <w:sz w:val="18"/>
              </w:rPr>
            </w:pPr>
          </w:p>
        </w:tc>
        <w:tc>
          <w:tcPr>
            <w:tcW w:w="567" w:type="dxa"/>
            <w:shd w:val="clear" w:color="auto" w:fill="C6EFCE"/>
            <w:noWrap/>
            <w:vAlign w:val="center"/>
          </w:tcPr>
          <w:p w14:paraId="0E4213E1" w14:textId="777777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vAlign w:val="center"/>
          </w:tcPr>
          <w:p w14:paraId="180169D2" w14:textId="77777777"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vAlign w:val="center"/>
          </w:tcPr>
          <w:p w14:paraId="094550EB" w14:textId="77777777" w:rsidR="000E48CE" w:rsidRDefault="00FF4C4E">
            <w:pPr>
              <w:pStyle w:val="P68B1DB1-Normal13"/>
              <w:spacing w:after="0" w:line="240" w:lineRule="auto"/>
              <w:jc w:val="center"/>
              <w:rPr>
                <w:rFonts w:cs="Times New Roman"/>
                <w:noProof/>
              </w:rPr>
            </w:pPr>
            <w:r>
              <w:rPr>
                <w:noProof/>
              </w:rPr>
              <w:t>Q1</w:t>
            </w:r>
          </w:p>
        </w:tc>
        <w:tc>
          <w:tcPr>
            <w:tcW w:w="709" w:type="dxa"/>
            <w:shd w:val="clear" w:color="auto" w:fill="C6EFCE"/>
            <w:noWrap/>
            <w:vAlign w:val="center"/>
          </w:tcPr>
          <w:p w14:paraId="433E009E" w14:textId="77777777" w:rsidR="000E48CE" w:rsidRDefault="00FF4C4E">
            <w:pPr>
              <w:pStyle w:val="P68B1DB1-Normal13"/>
              <w:spacing w:after="0" w:line="240" w:lineRule="auto"/>
              <w:jc w:val="center"/>
              <w:rPr>
                <w:rFonts w:cs="Times New Roman"/>
                <w:noProof/>
              </w:rPr>
            </w:pPr>
            <w:r>
              <w:rPr>
                <w:noProof/>
              </w:rPr>
              <w:t>2024</w:t>
            </w:r>
          </w:p>
        </w:tc>
        <w:tc>
          <w:tcPr>
            <w:tcW w:w="5953" w:type="dxa"/>
            <w:shd w:val="clear" w:color="auto" w:fill="C6EFCE"/>
            <w:noWrap/>
            <w:vAlign w:val="center"/>
          </w:tcPr>
          <w:p w14:paraId="3CAA7E8C" w14:textId="2ED0C61D" w:rsidR="000E48CE" w:rsidRDefault="00FF4C4E">
            <w:pPr>
              <w:pStyle w:val="P68B1DB1-Normal13"/>
              <w:spacing w:after="0" w:line="240" w:lineRule="auto"/>
              <w:rPr>
                <w:rFonts w:cs="Times New Roman"/>
                <w:noProof/>
              </w:rPr>
            </w:pPr>
            <w:r>
              <w:rPr>
                <w:noProof/>
              </w:rPr>
              <w:t>Tukivälineen perustamista koskevan asetuksen ja siihen liittyvien asiakirjojen voimaantulo</w:t>
            </w:r>
          </w:p>
        </w:tc>
      </w:tr>
      <w:tr w:rsidR="000E48CE" w14:paraId="4A6E8766" w14:textId="77777777">
        <w:trPr>
          <w:trHeight w:val="284"/>
        </w:trPr>
        <w:tc>
          <w:tcPr>
            <w:tcW w:w="850" w:type="dxa"/>
            <w:shd w:val="clear" w:color="auto" w:fill="C6EFCE"/>
            <w:vAlign w:val="center"/>
          </w:tcPr>
          <w:p w14:paraId="28FC2A44" w14:textId="67F29735" w:rsidR="000E48CE" w:rsidRDefault="00FF4C4E">
            <w:pPr>
              <w:pStyle w:val="P68B1DB1-Normal13"/>
              <w:spacing w:line="240" w:lineRule="auto"/>
              <w:jc w:val="center"/>
              <w:rPr>
                <w:rFonts w:cs="Times New Roman"/>
                <w:noProof/>
              </w:rPr>
            </w:pPr>
            <w:r>
              <w:rPr>
                <w:noProof/>
              </w:rPr>
              <w:t>L73</w:t>
            </w:r>
          </w:p>
        </w:tc>
        <w:tc>
          <w:tcPr>
            <w:tcW w:w="850" w:type="dxa"/>
            <w:shd w:val="clear" w:color="auto" w:fill="C6EFCE"/>
            <w:noWrap/>
            <w:vAlign w:val="center"/>
          </w:tcPr>
          <w:p w14:paraId="13DC3059" w14:textId="5A6F170C" w:rsidR="000E48CE" w:rsidRDefault="00FF4C4E">
            <w:pPr>
              <w:pStyle w:val="P68B1DB1-Normal13"/>
              <w:spacing w:line="240" w:lineRule="auto"/>
              <w:jc w:val="center"/>
              <w:rPr>
                <w:rFonts w:cs="Times New Roman"/>
                <w:noProof/>
              </w:rPr>
            </w:pPr>
            <w:r>
              <w:rPr>
                <w:noProof/>
              </w:rPr>
              <w:t>C22.I6</w:t>
            </w:r>
          </w:p>
        </w:tc>
        <w:tc>
          <w:tcPr>
            <w:tcW w:w="851" w:type="dxa"/>
            <w:shd w:val="clear" w:color="auto" w:fill="C6EFCE"/>
            <w:noWrap/>
            <w:vAlign w:val="center"/>
          </w:tcPr>
          <w:p w14:paraId="01378BA5" w14:textId="77777777" w:rsidR="000E48CE" w:rsidRDefault="00FF4C4E">
            <w:pPr>
              <w:pStyle w:val="P68B1DB1-Normal13"/>
              <w:spacing w:line="240" w:lineRule="auto"/>
              <w:jc w:val="center"/>
              <w:rPr>
                <w:rFonts w:cs="Times New Roman"/>
                <w:noProof/>
              </w:rPr>
            </w:pPr>
            <w:r>
              <w:rPr>
                <w:noProof/>
              </w:rPr>
              <w:t>T</w:t>
            </w:r>
          </w:p>
        </w:tc>
        <w:tc>
          <w:tcPr>
            <w:tcW w:w="1417" w:type="dxa"/>
            <w:shd w:val="clear" w:color="auto" w:fill="C6EFCE"/>
            <w:noWrap/>
            <w:vAlign w:val="center"/>
          </w:tcPr>
          <w:p w14:paraId="4AF4ED17" w14:textId="370393A0" w:rsidR="000E48CE" w:rsidRDefault="00FF4C4E">
            <w:pPr>
              <w:pStyle w:val="P68B1DB1-Normal13"/>
              <w:spacing w:after="0" w:line="240" w:lineRule="auto"/>
              <w:rPr>
                <w:rFonts w:cs="Times New Roman"/>
                <w:noProof/>
              </w:rPr>
            </w:pPr>
            <w:r>
              <w:rPr>
                <w:noProof/>
              </w:rPr>
              <w:t>Sosiaalisten vaikutusten rahasto: Lopullisten edunsaajien kanssa allekirjoitetut oikeudelliset rahoitussopimukset (pääomarahastot mukaan luettuina)</w:t>
            </w:r>
          </w:p>
        </w:tc>
        <w:tc>
          <w:tcPr>
            <w:tcW w:w="1560" w:type="dxa"/>
            <w:shd w:val="clear" w:color="auto" w:fill="C6EFCE"/>
            <w:noWrap/>
            <w:vAlign w:val="center"/>
          </w:tcPr>
          <w:p w14:paraId="31387562" w14:textId="0191532F" w:rsidR="000E48CE" w:rsidRDefault="000E48CE">
            <w:pPr>
              <w:spacing w:after="0" w:line="240" w:lineRule="auto"/>
              <w:rPr>
                <w:rFonts w:ascii="Times New Roman" w:hAnsi="Times New Roman" w:cs="Times New Roman"/>
                <w:noProof/>
                <w:sz w:val="18"/>
              </w:rPr>
            </w:pPr>
          </w:p>
        </w:tc>
        <w:tc>
          <w:tcPr>
            <w:tcW w:w="567" w:type="dxa"/>
            <w:shd w:val="clear" w:color="auto" w:fill="C6EFCE"/>
            <w:noWrap/>
            <w:vAlign w:val="center"/>
          </w:tcPr>
          <w:p w14:paraId="5DFBF05D" w14:textId="2B1DA314" w:rsidR="000E48CE" w:rsidRDefault="00FF4C4E">
            <w:pPr>
              <w:pStyle w:val="P68B1DB1-Normal13"/>
              <w:spacing w:after="0" w:line="240" w:lineRule="auto"/>
              <w:rPr>
                <w:rFonts w:cs="Times New Roman"/>
                <w:noProof/>
              </w:rPr>
            </w:pPr>
            <w:r>
              <w:rPr>
                <w:noProof/>
              </w:rPr>
              <w:t>%</w:t>
            </w:r>
          </w:p>
        </w:tc>
        <w:tc>
          <w:tcPr>
            <w:tcW w:w="567" w:type="dxa"/>
            <w:shd w:val="clear" w:color="auto" w:fill="C6EFCE"/>
            <w:noWrap/>
            <w:vAlign w:val="center"/>
          </w:tcPr>
          <w:p w14:paraId="25410FBB" w14:textId="77777777" w:rsidR="000E48CE" w:rsidRDefault="00FF4C4E">
            <w:pPr>
              <w:pStyle w:val="P68B1DB1-Normal13"/>
              <w:spacing w:after="0" w:line="240" w:lineRule="auto"/>
              <w:jc w:val="center"/>
              <w:rPr>
                <w:rFonts w:cs="Times New Roman"/>
                <w:noProof/>
              </w:rPr>
            </w:pPr>
            <w:r>
              <w:rPr>
                <w:noProof/>
              </w:rPr>
              <w:t>0</w:t>
            </w:r>
          </w:p>
        </w:tc>
        <w:tc>
          <w:tcPr>
            <w:tcW w:w="850" w:type="dxa"/>
            <w:shd w:val="clear" w:color="auto" w:fill="C6EFCE"/>
            <w:noWrap/>
            <w:vAlign w:val="center"/>
          </w:tcPr>
          <w:p w14:paraId="4C053AA5" w14:textId="61855166" w:rsidR="000E48CE" w:rsidRDefault="00FF4C4E">
            <w:pPr>
              <w:pStyle w:val="P68B1DB1-Normal13"/>
              <w:spacing w:after="0" w:line="240" w:lineRule="auto"/>
              <w:jc w:val="center"/>
              <w:rPr>
                <w:rFonts w:cs="Times New Roman"/>
                <w:noProof/>
              </w:rPr>
            </w:pPr>
            <w:r>
              <w:rPr>
                <w:noProof/>
              </w:rPr>
              <w:t>100 %</w:t>
            </w:r>
          </w:p>
        </w:tc>
        <w:tc>
          <w:tcPr>
            <w:tcW w:w="567" w:type="dxa"/>
            <w:shd w:val="clear" w:color="auto" w:fill="C6EFCE"/>
            <w:noWrap/>
            <w:vAlign w:val="center"/>
          </w:tcPr>
          <w:p w14:paraId="7FA7B13E" w14:textId="7BE71E8B" w:rsidR="000E48CE" w:rsidRDefault="00FF4C4E">
            <w:pPr>
              <w:pStyle w:val="P68B1DB1-Normal13"/>
              <w:spacing w:after="0" w:line="240" w:lineRule="auto"/>
              <w:jc w:val="center"/>
              <w:rPr>
                <w:rFonts w:cs="Times New Roman"/>
                <w:noProof/>
              </w:rPr>
            </w:pPr>
            <w:r>
              <w:rPr>
                <w:noProof/>
              </w:rPr>
              <w:t>KOLMAS VUOSINELJÄNNES</w:t>
            </w:r>
          </w:p>
        </w:tc>
        <w:tc>
          <w:tcPr>
            <w:tcW w:w="709" w:type="dxa"/>
            <w:shd w:val="clear" w:color="auto" w:fill="C6EFCE"/>
            <w:noWrap/>
            <w:vAlign w:val="center"/>
          </w:tcPr>
          <w:p w14:paraId="5F47878A" w14:textId="77777777" w:rsidR="000E48CE" w:rsidRDefault="00FF4C4E">
            <w:pPr>
              <w:pStyle w:val="P68B1DB1-Normal13"/>
              <w:spacing w:after="0" w:line="240" w:lineRule="auto"/>
              <w:jc w:val="center"/>
              <w:rPr>
                <w:rFonts w:cs="Times New Roman"/>
                <w:noProof/>
              </w:rPr>
            </w:pPr>
            <w:r>
              <w:rPr>
                <w:noProof/>
              </w:rPr>
              <w:t>2026</w:t>
            </w:r>
          </w:p>
        </w:tc>
        <w:tc>
          <w:tcPr>
            <w:tcW w:w="5953" w:type="dxa"/>
            <w:shd w:val="clear" w:color="auto" w:fill="C6EFCE"/>
            <w:noWrap/>
            <w:vAlign w:val="center"/>
          </w:tcPr>
          <w:p w14:paraId="5627A840" w14:textId="4DDB1239" w:rsidR="000E48CE" w:rsidRDefault="00FF4C4E">
            <w:pPr>
              <w:pStyle w:val="P68B1DB1-Normal13"/>
              <w:spacing w:after="0" w:line="240" w:lineRule="auto"/>
              <w:rPr>
                <w:rFonts w:cs="Times New Roman"/>
                <w:noProof/>
              </w:rPr>
            </w:pPr>
            <w:r>
              <w:rPr>
                <w:noProof/>
              </w:rPr>
              <w:t xml:space="preserve">Tukiväline ja COFIDESin valitsemat välittäjät ovat tehneet </w:t>
            </w:r>
            <w:r>
              <w:rPr>
                <w:noProof/>
              </w:rPr>
              <w:t>lopullisten edunsaajien (pääomarahastot mukaan lukien) kanssa oikeudellisia rahoitussopimuksia, joiden määrä on tarpeen, jotta elpymis- ja palautumistukivälineen investoinneista voidaan käyttää 100 prosenttia tukivälineeseen (hallinnolliset maksut huomioon</w:t>
            </w:r>
            <w:r>
              <w:rPr>
                <w:noProof/>
              </w:rPr>
              <w:t xml:space="preserve"> ottaen). Vähintään 40 prosenttia rahoituksesta vastaa pääomarahastojen kanssa allekirjoitettuja rahoitussopimuksia ja vähintään 10 prosenttia rahoitussopimuksia, jotka on allekirjoitettu lopullisten tuensaajien kanssa kaikista muista sijoitustuotteista (m</w:t>
            </w:r>
            <w:r>
              <w:rPr>
                <w:noProof/>
              </w:rPr>
              <w:t>ukaan lukien lainajärjestelyn suorat pääomasijoitukset).</w:t>
            </w:r>
          </w:p>
        </w:tc>
      </w:tr>
      <w:tr w:rsidR="000E48CE" w14:paraId="4D6F2258" w14:textId="77777777">
        <w:trPr>
          <w:trHeight w:val="284"/>
        </w:trPr>
        <w:tc>
          <w:tcPr>
            <w:tcW w:w="850" w:type="dxa"/>
            <w:shd w:val="clear" w:color="auto" w:fill="C6EFCE"/>
            <w:vAlign w:val="center"/>
          </w:tcPr>
          <w:p w14:paraId="710D5711" w14:textId="2A0C0187" w:rsidR="000E48CE" w:rsidRDefault="00FF4C4E">
            <w:pPr>
              <w:pStyle w:val="P68B1DB1-Normal13"/>
              <w:spacing w:line="240" w:lineRule="auto"/>
              <w:jc w:val="center"/>
              <w:rPr>
                <w:rFonts w:cs="Times New Roman"/>
                <w:noProof/>
              </w:rPr>
            </w:pPr>
            <w:r>
              <w:rPr>
                <w:noProof/>
              </w:rPr>
              <w:t>L74</w:t>
            </w:r>
          </w:p>
        </w:tc>
        <w:tc>
          <w:tcPr>
            <w:tcW w:w="850" w:type="dxa"/>
            <w:shd w:val="clear" w:color="auto" w:fill="C6EFCE"/>
            <w:noWrap/>
            <w:vAlign w:val="center"/>
          </w:tcPr>
          <w:p w14:paraId="67A99C0C" w14:textId="107E0B08" w:rsidR="000E48CE" w:rsidRDefault="00FF4C4E">
            <w:pPr>
              <w:pStyle w:val="P68B1DB1-Normal13"/>
              <w:spacing w:line="240" w:lineRule="auto"/>
              <w:jc w:val="center"/>
              <w:rPr>
                <w:rFonts w:cs="Times New Roman"/>
                <w:noProof/>
              </w:rPr>
            </w:pPr>
            <w:r>
              <w:rPr>
                <w:noProof/>
              </w:rPr>
              <w:t>C22.I6</w:t>
            </w:r>
          </w:p>
        </w:tc>
        <w:tc>
          <w:tcPr>
            <w:tcW w:w="851" w:type="dxa"/>
            <w:shd w:val="clear" w:color="auto" w:fill="C6EFCE"/>
            <w:noWrap/>
            <w:vAlign w:val="center"/>
          </w:tcPr>
          <w:p w14:paraId="70D467C6" w14:textId="4C30B03E" w:rsidR="000E48CE" w:rsidRDefault="00FF4C4E">
            <w:pPr>
              <w:pStyle w:val="P68B1DB1-Normal13"/>
              <w:spacing w:line="240" w:lineRule="auto"/>
              <w:jc w:val="center"/>
              <w:rPr>
                <w:rFonts w:cs="Times New Roman"/>
                <w:noProof/>
              </w:rPr>
            </w:pPr>
            <w:r>
              <w:rPr>
                <w:noProof/>
              </w:rPr>
              <w:t>M</w:t>
            </w:r>
          </w:p>
        </w:tc>
        <w:tc>
          <w:tcPr>
            <w:tcW w:w="1417" w:type="dxa"/>
            <w:shd w:val="clear" w:color="auto" w:fill="C6EFCE"/>
            <w:noWrap/>
            <w:vAlign w:val="center"/>
          </w:tcPr>
          <w:p w14:paraId="1F9E1AF5" w14:textId="4FD2CA22" w:rsidR="000E48CE" w:rsidRDefault="00FF4C4E">
            <w:pPr>
              <w:pStyle w:val="P68B1DB1-Normal13"/>
              <w:spacing w:after="0" w:line="240" w:lineRule="auto"/>
              <w:rPr>
                <w:rFonts w:cs="Times New Roman"/>
                <w:noProof/>
              </w:rPr>
            </w:pPr>
            <w:r>
              <w:rPr>
                <w:noProof/>
              </w:rPr>
              <w:t>Sosiaalisten vaikutusten rahasto: Ministeriö on saattanut investoinnin päätökseen</w:t>
            </w:r>
          </w:p>
        </w:tc>
        <w:tc>
          <w:tcPr>
            <w:tcW w:w="1560" w:type="dxa"/>
            <w:shd w:val="clear" w:color="auto" w:fill="C6EFCE"/>
            <w:noWrap/>
            <w:vAlign w:val="center"/>
          </w:tcPr>
          <w:p w14:paraId="0F7CDE95" w14:textId="5A1EA4C7" w:rsidR="000E48CE" w:rsidRDefault="00FF4C4E">
            <w:pPr>
              <w:pStyle w:val="P68B1DB1-Normal13"/>
              <w:spacing w:after="0" w:line="240" w:lineRule="auto"/>
              <w:rPr>
                <w:rFonts w:cs="Times New Roman"/>
                <w:noProof/>
              </w:rPr>
            </w:pPr>
            <w:r>
              <w:rPr>
                <w:noProof/>
              </w:rPr>
              <w:t>Siirtotodistus</w:t>
            </w:r>
          </w:p>
        </w:tc>
        <w:tc>
          <w:tcPr>
            <w:tcW w:w="567" w:type="dxa"/>
            <w:shd w:val="clear" w:color="auto" w:fill="C6EFCE"/>
            <w:noWrap/>
            <w:vAlign w:val="center"/>
          </w:tcPr>
          <w:p w14:paraId="4473A8BC" w14:textId="7B1CEAD0" w:rsidR="000E48CE" w:rsidRDefault="000E48CE">
            <w:pPr>
              <w:spacing w:after="0" w:line="240" w:lineRule="auto"/>
              <w:rPr>
                <w:rFonts w:ascii="Times New Roman" w:hAnsi="Times New Roman" w:cs="Times New Roman"/>
                <w:noProof/>
                <w:sz w:val="18"/>
              </w:rPr>
            </w:pPr>
          </w:p>
        </w:tc>
        <w:tc>
          <w:tcPr>
            <w:tcW w:w="567" w:type="dxa"/>
            <w:shd w:val="clear" w:color="auto" w:fill="C6EFCE"/>
            <w:noWrap/>
            <w:vAlign w:val="center"/>
          </w:tcPr>
          <w:p w14:paraId="241D0D63" w14:textId="28B82077" w:rsidR="000E48CE" w:rsidRDefault="000E48CE">
            <w:pPr>
              <w:spacing w:after="0" w:line="240" w:lineRule="auto"/>
              <w:jc w:val="center"/>
              <w:rPr>
                <w:rFonts w:ascii="Times New Roman" w:hAnsi="Times New Roman" w:cs="Times New Roman"/>
                <w:noProof/>
                <w:sz w:val="18"/>
              </w:rPr>
            </w:pPr>
          </w:p>
        </w:tc>
        <w:tc>
          <w:tcPr>
            <w:tcW w:w="850" w:type="dxa"/>
            <w:shd w:val="clear" w:color="auto" w:fill="C6EFCE"/>
            <w:noWrap/>
            <w:vAlign w:val="center"/>
          </w:tcPr>
          <w:p w14:paraId="099767AF" w14:textId="63A24C19"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vAlign w:val="center"/>
          </w:tcPr>
          <w:p w14:paraId="10715A73" w14:textId="41536CF9" w:rsidR="000E48CE" w:rsidRDefault="00FF4C4E">
            <w:pPr>
              <w:pStyle w:val="P68B1DB1-Normal13"/>
              <w:spacing w:after="0" w:line="240" w:lineRule="auto"/>
              <w:jc w:val="center"/>
              <w:rPr>
                <w:rFonts w:cs="Times New Roman"/>
                <w:noProof/>
              </w:rPr>
            </w:pPr>
            <w:r>
              <w:rPr>
                <w:noProof/>
              </w:rPr>
              <w:t>KOLMAS VUOSINELJÄNNES</w:t>
            </w:r>
          </w:p>
        </w:tc>
        <w:tc>
          <w:tcPr>
            <w:tcW w:w="709" w:type="dxa"/>
            <w:shd w:val="clear" w:color="auto" w:fill="C6EFCE"/>
            <w:noWrap/>
            <w:vAlign w:val="center"/>
          </w:tcPr>
          <w:p w14:paraId="67A7B841" w14:textId="77777777" w:rsidR="000E48CE" w:rsidRDefault="00FF4C4E">
            <w:pPr>
              <w:pStyle w:val="P68B1DB1-Normal13"/>
              <w:spacing w:after="0" w:line="240" w:lineRule="auto"/>
              <w:jc w:val="center"/>
              <w:rPr>
                <w:rFonts w:cs="Times New Roman"/>
                <w:noProof/>
              </w:rPr>
            </w:pPr>
            <w:r>
              <w:rPr>
                <w:noProof/>
              </w:rPr>
              <w:t>2026</w:t>
            </w:r>
          </w:p>
        </w:tc>
        <w:tc>
          <w:tcPr>
            <w:tcW w:w="5953" w:type="dxa"/>
            <w:shd w:val="clear" w:color="auto" w:fill="C6EFCE"/>
            <w:noWrap/>
            <w:vAlign w:val="center"/>
          </w:tcPr>
          <w:p w14:paraId="28548495" w14:textId="05A4816C" w:rsidR="000E48CE" w:rsidRDefault="00FF4C4E">
            <w:pPr>
              <w:pStyle w:val="P68B1DB1-Normal13"/>
              <w:spacing w:after="0" w:line="240" w:lineRule="auto"/>
              <w:rPr>
                <w:rFonts w:cs="Times New Roman"/>
                <w:noProof/>
              </w:rPr>
            </w:pPr>
            <w:r>
              <w:rPr>
                <w:noProof/>
              </w:rPr>
              <w:t>Espanja siirtää 400000000 euroa tukivälineeseen.</w:t>
            </w:r>
          </w:p>
        </w:tc>
      </w:tr>
    </w:tbl>
    <w:p w14:paraId="3B85581F" w14:textId="6F55F11A" w:rsidR="000E48CE" w:rsidRDefault="000E48CE">
      <w:pPr>
        <w:pStyle w:val="Text1"/>
        <w:rPr>
          <w:rFonts w:ascii="Times New Roman" w:hAnsi="Times New Roman" w:cs="Times New Roman"/>
          <w:noProof/>
        </w:rPr>
      </w:pPr>
    </w:p>
    <w:p w14:paraId="0592620D" w14:textId="77777777" w:rsidR="000E48CE" w:rsidRDefault="000E48CE">
      <w:pPr>
        <w:pStyle w:val="Text1"/>
        <w:rPr>
          <w:rFonts w:ascii="Times New Roman" w:hAnsi="Times New Roman" w:cs="Times New Roman"/>
          <w:noProof/>
        </w:rPr>
      </w:pPr>
    </w:p>
    <w:p w14:paraId="5BC83675" w14:textId="77777777" w:rsidR="000E48CE" w:rsidRDefault="000E48CE">
      <w:pPr>
        <w:pStyle w:val="Text1"/>
        <w:rPr>
          <w:rFonts w:ascii="Times New Roman" w:hAnsi="Times New Roman" w:cs="Times New Roman"/>
          <w:noProof/>
        </w:rPr>
      </w:pPr>
    </w:p>
    <w:p w14:paraId="2ADE0703" w14:textId="77777777" w:rsidR="000E48CE" w:rsidRDefault="000E48CE">
      <w:pPr>
        <w:rPr>
          <w:rFonts w:ascii="Times New Roman" w:hAnsi="Times New Roman" w:cs="Times New Roman"/>
          <w:noProof/>
        </w:rPr>
        <w:sectPr w:rsidR="000E48CE" w:rsidSect="00C94F66">
          <w:headerReference w:type="even" r:id="rId441"/>
          <w:headerReference w:type="default" r:id="rId442"/>
          <w:footerReference w:type="even" r:id="rId443"/>
          <w:footerReference w:type="default" r:id="rId444"/>
          <w:headerReference w:type="first" r:id="rId445"/>
          <w:footerReference w:type="first" r:id="rId446"/>
          <w:pgSz w:w="16839" w:h="11907" w:orient="landscape"/>
          <w:pgMar w:top="1417" w:right="1134" w:bottom="1417" w:left="1134" w:header="709" w:footer="709" w:gutter="0"/>
          <w:cols w:space="720"/>
          <w:docGrid w:linePitch="360"/>
        </w:sectPr>
      </w:pPr>
    </w:p>
    <w:p w14:paraId="2AD7DF5E" w14:textId="77777777" w:rsidR="000E48CE" w:rsidRDefault="00FF4C4E">
      <w:pPr>
        <w:pStyle w:val="P68B1DB1-Heading12"/>
        <w:rPr>
          <w:rFonts w:cs="Times New Roman"/>
          <w:noProof/>
        </w:rPr>
      </w:pPr>
      <w:r>
        <w:rPr>
          <w:noProof/>
        </w:rPr>
        <w:t>W. OSA 23: Dynaamiset, kestävät ja osallistavat työmarkkinat</w:t>
      </w:r>
    </w:p>
    <w:p w14:paraId="36A0DE62" w14:textId="77777777" w:rsidR="000E48CE" w:rsidRDefault="00FF4C4E">
      <w:pPr>
        <w:pStyle w:val="P68B1DB1-Normal8"/>
        <w:spacing w:before="120" w:after="120" w:line="240" w:lineRule="auto"/>
        <w:jc w:val="both"/>
        <w:rPr>
          <w:rFonts w:cs="Times New Roman"/>
          <w:noProof/>
          <w:sz w:val="24"/>
        </w:rPr>
      </w:pPr>
      <w:r>
        <w:rPr>
          <w:noProof/>
        </w:rPr>
        <w:t>Espanjan elpymis- ja palautumissuunnitelman</w:t>
      </w:r>
      <w:r>
        <w:rPr>
          <w:noProof/>
          <w:sz w:val="24"/>
        </w:rPr>
        <w:t>osa</w:t>
      </w:r>
      <w:r>
        <w:rPr>
          <w:noProof/>
        </w:rPr>
        <w:t xml:space="preserve"> </w:t>
      </w:r>
      <w:r>
        <w:rPr>
          <w:noProof/>
          <w:sz w:val="24"/>
        </w:rPr>
        <w:t>-alueella vastataan Espanjan työmarkkinoiden merkittäviin rakenteellisiin haasteisiin. S</w:t>
      </w:r>
      <w:r>
        <w:rPr>
          <w:noProof/>
          <w:sz w:val="24"/>
        </w:rPr>
        <w:t>en päätavoitteena on vähentää rakenteellista työttömyyttä ja nuorisotyöttömyyttä, vähentää määräaikaisten työsopimusten laajamittaista käyttöä ja korjata työmarkkinoiden kahtiajakoa, lisätä investointeja inhimilliseen pääomaan, nykyaikaistaa työehtosopimus</w:t>
      </w:r>
      <w:r>
        <w:rPr>
          <w:noProof/>
          <w:sz w:val="24"/>
        </w:rPr>
        <w:t xml:space="preserve">neuvotteluvälineitä ja lisätä aktiivisen työmarkkinapolitiikan vaikuttavuutta ja tehokkuutta. </w:t>
      </w:r>
    </w:p>
    <w:p w14:paraId="54802925" w14:textId="77777777" w:rsidR="000E48CE" w:rsidRDefault="00FF4C4E">
      <w:pPr>
        <w:pStyle w:val="P68B1DB1-Normal4"/>
        <w:spacing w:before="120" w:after="120" w:line="240" w:lineRule="auto"/>
        <w:jc w:val="both"/>
        <w:rPr>
          <w:rFonts w:cs="Times New Roman"/>
          <w:noProof/>
        </w:rPr>
      </w:pPr>
      <w:r>
        <w:rPr>
          <w:noProof/>
        </w:rPr>
        <w:t>Osa-alueeseen sisältyy rakennerahastoista (erityisesti Euroopan sosiaalirahastosta) rahoitettuja investointeja täydentäviä investointeja, joilla pyritään maksimo</w:t>
      </w:r>
      <w:r>
        <w:rPr>
          <w:noProof/>
        </w:rPr>
        <w:t xml:space="preserve">imaan uudistusten vaikutus laadukkaiden työpaikkojen luomiseen, tuottavuuden kasvuun sekä sosiaalisten, alueellisten ja sukupuolten välisten erojen kaventamiseen. </w:t>
      </w:r>
    </w:p>
    <w:p w14:paraId="53B75E96" w14:textId="77777777" w:rsidR="000E48CE" w:rsidRDefault="00FF4C4E">
      <w:pPr>
        <w:pStyle w:val="P68B1DB1-Normal4"/>
        <w:spacing w:before="120" w:after="120" w:line="240" w:lineRule="auto"/>
        <w:jc w:val="both"/>
        <w:rPr>
          <w:rFonts w:cs="Times New Roman"/>
          <w:noProof/>
        </w:rPr>
      </w:pPr>
      <w:r>
        <w:rPr>
          <w:noProof/>
        </w:rPr>
        <w:t>Kaiken kaikkiaan osa-alueeseen sisältyvillä toimenpiteillä pyritään vastaamaan Espanjan työm</w:t>
      </w:r>
      <w:r>
        <w:rPr>
          <w:noProof/>
        </w:rPr>
        <w:t>arkkinoiden pitkäaikaisiin haasteisiin ja esittämään kunnianhimoisia ja johdonmukaisia uudistuksia, joista useimmat on määrä toteuttaa vuoden 2021 loppuun mennessä. Joistakin uudistusehdotuksista keskustellaan parhaillaan työmarkkinaosapuolten kanssa työma</w:t>
      </w:r>
      <w:r>
        <w:rPr>
          <w:noProof/>
        </w:rPr>
        <w:t xml:space="preserve">rkkinaosapuolten vuoropuhelussa. Tästä syystä joitakin yksityiskohtia on nimenomaisesti jätetty avoimeksi, jotta työmarkkinaosapuolille jää riittävästi tilaa sopimukselle ja hyväksynnälle. </w:t>
      </w:r>
    </w:p>
    <w:p w14:paraId="3CB47AC8" w14:textId="77777777" w:rsidR="000E48CE" w:rsidRDefault="00FF4C4E">
      <w:pPr>
        <w:pStyle w:val="P68B1DB1-Normal4"/>
        <w:spacing w:before="120" w:after="120" w:line="240" w:lineRule="auto"/>
        <w:jc w:val="both"/>
        <w:rPr>
          <w:rFonts w:cs="Times New Roman"/>
          <w:noProof/>
        </w:rPr>
      </w:pPr>
      <w:r>
        <w:rPr>
          <w:noProof/>
        </w:rPr>
        <w:t xml:space="preserve">Osa-alueella käsitellään maakohtaisia suosituksia, jotka koskevat </w:t>
      </w:r>
      <w:r>
        <w:rPr>
          <w:noProof/>
        </w:rPr>
        <w:t>siirtymistä toistaiseksi voimassa oleviin työsopimuksiin ja työhönottokannustimia, julkisia työvoimapalveluja, aktiivista työmarkkinapolitiikkaa ja aikuiskoulutusta, työttömyysturvaa, vähimmäistoimeentulojärjestelmiä ja työpaikkojen säilyttämistä (maakohta</w:t>
      </w:r>
      <w:r>
        <w:rPr>
          <w:noProof/>
        </w:rPr>
        <w:t>iset suositukset 2 2019 ja 2–2020).</w:t>
      </w:r>
    </w:p>
    <w:p w14:paraId="72D71FC6" w14:textId="77777777" w:rsidR="000E48CE" w:rsidRDefault="00FF4C4E">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w:t>
      </w:r>
      <w:r>
        <w:rPr>
          <w:noProof/>
        </w:rPr>
        <w:t>tamista koskevien teknisten ohjeiden (2021/C58/01) mukaiset elpymis- ja palautumissuunnitelmassa esitettyjen toimenpiteiden kuvaus ja lieventävät toimet.</w:t>
      </w:r>
    </w:p>
    <w:p w14:paraId="41EAD5F5" w14:textId="77777777" w:rsidR="000E48CE" w:rsidRDefault="00FF4C4E">
      <w:pPr>
        <w:pStyle w:val="P68B1DB1-Normal5"/>
        <w:spacing w:before="120" w:after="120" w:line="240" w:lineRule="auto"/>
        <w:ind w:left="709"/>
        <w:jc w:val="both"/>
        <w:rPr>
          <w:rFonts w:cs="Times New Roman"/>
          <w:i/>
          <w:noProof/>
        </w:rPr>
      </w:pPr>
      <w:r>
        <w:rPr>
          <w:noProof/>
        </w:rPr>
        <w:t xml:space="preserve">W.1. </w:t>
      </w:r>
      <w:r>
        <w:rPr>
          <w:noProof/>
        </w:rPr>
        <w:tab/>
        <w:t>Kuvaus uudistuksista ja investoinneista, joita rahoitetaan rahoitustuella, jota ei makseta takai</w:t>
      </w:r>
      <w:r>
        <w:rPr>
          <w:noProof/>
        </w:rPr>
        <w:t>sin</w:t>
      </w:r>
    </w:p>
    <w:p w14:paraId="691EE88D" w14:textId="77777777" w:rsidR="000E48CE" w:rsidRDefault="00FF4C4E">
      <w:pPr>
        <w:pStyle w:val="P68B1DB1-Normal6"/>
        <w:spacing w:before="120" w:after="120" w:line="240" w:lineRule="auto"/>
        <w:jc w:val="both"/>
        <w:rPr>
          <w:rFonts w:cs="Times New Roman"/>
          <w:noProof/>
        </w:rPr>
      </w:pPr>
      <w:r>
        <w:rPr>
          <w:noProof/>
        </w:rPr>
        <w:t>Uudistus 1 (C23.R1) – etätyön sääntely</w:t>
      </w:r>
    </w:p>
    <w:p w14:paraId="61CC4D2D" w14:textId="77777777" w:rsidR="000E48CE" w:rsidRDefault="00FF4C4E">
      <w:pPr>
        <w:pStyle w:val="P68B1DB1-Normal4"/>
        <w:spacing w:before="120" w:after="120" w:line="240" w:lineRule="auto"/>
        <w:jc w:val="both"/>
        <w:rPr>
          <w:rFonts w:cs="Times New Roman"/>
          <w:noProof/>
        </w:rPr>
      </w:pPr>
      <w:r>
        <w:rPr>
          <w:noProof/>
        </w:rPr>
        <w:t>Uudistuksella luodaan etätyön tarjoamista koskeva sääntelykehys, jonka tavoitteena on parantaa työntekijöiden suojelua ja joustavuutta säilyttäen samalla yritysten tuottavuus. Se koostuu kahden kuninkaan asetuksen</w:t>
      </w:r>
      <w:r>
        <w:rPr>
          <w:noProof/>
        </w:rPr>
        <w:t xml:space="preserve"> hyväksymisestä:</w:t>
      </w:r>
    </w:p>
    <w:p w14:paraId="75B99D06" w14:textId="77777777" w:rsidR="000E48CE" w:rsidRDefault="00FF4C4E">
      <w:pPr>
        <w:pStyle w:val="P68B1DB1-Normal4"/>
        <w:numPr>
          <w:ilvl w:val="0"/>
          <w:numId w:val="143"/>
        </w:numPr>
        <w:spacing w:before="120" w:after="160" w:line="259" w:lineRule="auto"/>
        <w:contextualSpacing/>
        <w:jc w:val="both"/>
        <w:rPr>
          <w:rFonts w:cs="Times New Roman"/>
          <w:noProof/>
        </w:rPr>
      </w:pPr>
      <w:r>
        <w:rPr>
          <w:noProof/>
        </w:rPr>
        <w:t xml:space="preserve">Syyskuun 22. päivänä annetulla kuninkaan asetuksella 28/2020 luodaan sääntelykehys, joka suosii etätyön käyttöönottoa yksityisellä sektorilla, samalla kun säilytetään yritysten tuottavuus ja taataan työntekijöiden suoja ja joustavuus. Sen </w:t>
      </w:r>
      <w:r>
        <w:rPr>
          <w:noProof/>
        </w:rPr>
        <w:t xml:space="preserve">on taattava samat työolot etätyötä tekeville ja paikan päällä työskenteleville sekä etätyön vapaaehtoisuus sekä työntekijälle että työnantajalle. Vakiintuneet puitteet suosivat etätyön ja paikan päällä tehtävän työn eri muotoja. </w:t>
      </w:r>
    </w:p>
    <w:p w14:paraId="6CC9DBAC" w14:textId="77777777" w:rsidR="000E48CE" w:rsidRDefault="00FF4C4E">
      <w:pPr>
        <w:pStyle w:val="P68B1DB1-Normal4"/>
        <w:numPr>
          <w:ilvl w:val="0"/>
          <w:numId w:val="143"/>
        </w:numPr>
        <w:spacing w:before="120" w:after="160" w:line="259" w:lineRule="auto"/>
        <w:contextualSpacing/>
        <w:jc w:val="both"/>
        <w:rPr>
          <w:rFonts w:cs="Times New Roman"/>
          <w:noProof/>
        </w:rPr>
      </w:pPr>
      <w:r>
        <w:rPr>
          <w:noProof/>
        </w:rPr>
        <w:t xml:space="preserve">Julkishallinnon etätyöstä </w:t>
      </w:r>
      <w:r>
        <w:rPr>
          <w:noProof/>
        </w:rPr>
        <w:t>29 päivänä syyskuuta annetussa kuninkaallisessa asetuksessa 29/2020 vahvistetaan julkishallinnon työntekijöille sääntelykehys, jossa tunnustetaan mahdollisuus tehdä tämäntyyppistä työtä vapaaehtoiselta ja peruutettavissa olevalta pohjalta ennakkosuostumuks</w:t>
      </w:r>
      <w:r>
        <w:rPr>
          <w:noProof/>
        </w:rPr>
        <w:t>ella.</w:t>
      </w:r>
    </w:p>
    <w:p w14:paraId="16FD564A" w14:textId="77777777" w:rsidR="000E48CE" w:rsidRDefault="00FF4C4E">
      <w:pPr>
        <w:pStyle w:val="P68B1DB1-Normal4"/>
        <w:spacing w:before="240" w:after="120" w:line="240" w:lineRule="auto"/>
        <w:jc w:val="both"/>
        <w:rPr>
          <w:rFonts w:cs="Times New Roman"/>
          <w:noProof/>
        </w:rPr>
      </w:pPr>
      <w:r>
        <w:rPr>
          <w:noProof/>
        </w:rPr>
        <w:t>Uudistus liittyy julkishallintoa koskevaan uudistukseen 1.</w:t>
      </w:r>
    </w:p>
    <w:p w14:paraId="0FE411A7" w14:textId="77777777" w:rsidR="000E48CE" w:rsidRDefault="00FF4C4E">
      <w:pPr>
        <w:pStyle w:val="P68B1DB1-Normal4"/>
        <w:spacing w:before="240" w:after="120" w:line="240" w:lineRule="auto"/>
        <w:jc w:val="both"/>
        <w:rPr>
          <w:rFonts w:cs="Times New Roman"/>
          <w:noProof/>
        </w:rPr>
      </w:pPr>
      <w:r>
        <w:rPr>
          <w:noProof/>
        </w:rPr>
        <w:t>Toimenpiteen täytäntöönpano on saatettava päätökseen 31 päivään joulukuuta 2020 mennessä.</w:t>
      </w:r>
    </w:p>
    <w:p w14:paraId="3B85F30F" w14:textId="77777777" w:rsidR="000E48CE" w:rsidRDefault="00FF4C4E">
      <w:pPr>
        <w:pStyle w:val="P68B1DB1-Normal6"/>
        <w:keepNext/>
        <w:spacing w:before="120" w:after="120" w:line="240" w:lineRule="auto"/>
        <w:jc w:val="both"/>
        <w:rPr>
          <w:rFonts w:cs="Times New Roman"/>
          <w:noProof/>
        </w:rPr>
      </w:pPr>
      <w:r>
        <w:rPr>
          <w:noProof/>
        </w:rPr>
        <w:t>Uudistus 2 (C23.R2) – Toimenpiteet sukupuolten välisen kuilun kaventamiseksi</w:t>
      </w:r>
    </w:p>
    <w:p w14:paraId="1CCA538E" w14:textId="77777777" w:rsidR="000E48CE" w:rsidRDefault="00FF4C4E">
      <w:pPr>
        <w:pStyle w:val="P68B1DB1-Normal4"/>
        <w:keepNext/>
        <w:spacing w:before="120" w:after="120" w:line="240" w:lineRule="auto"/>
        <w:jc w:val="both"/>
        <w:rPr>
          <w:rFonts w:cs="Times New Roman"/>
          <w:noProof/>
        </w:rPr>
      </w:pPr>
      <w:r>
        <w:rPr>
          <w:noProof/>
        </w:rPr>
        <w:t xml:space="preserve">Uudistuksen tavoitteena </w:t>
      </w:r>
      <w:r>
        <w:rPr>
          <w:noProof/>
        </w:rPr>
        <w:t>on kuroa umpeen sukupuolten välinen palkkaero. Se koostuu kahdesta ohjesäännöstä:</w:t>
      </w:r>
    </w:p>
    <w:p w14:paraId="18F41E8B" w14:textId="77777777" w:rsidR="000E48CE" w:rsidRDefault="00FF4C4E">
      <w:pPr>
        <w:pStyle w:val="P68B1DB1-Normal4"/>
        <w:numPr>
          <w:ilvl w:val="0"/>
          <w:numId w:val="143"/>
        </w:numPr>
        <w:spacing w:before="120" w:after="160" w:line="259" w:lineRule="auto"/>
        <w:contextualSpacing/>
        <w:jc w:val="both"/>
        <w:rPr>
          <w:rFonts w:cs="Times New Roman"/>
          <w:noProof/>
        </w:rPr>
      </w:pPr>
      <w:r>
        <w:rPr>
          <w:noProof/>
        </w:rPr>
        <w:t xml:space="preserve">Lokakuun 13. päivänä annetussa kuninkaan asetuksessa 901/2020 säädetään työnantajien velvollisuudesta laatia ja rekisteröidä tasa-arvosuunnitelmat palkkauksen läpinäkyvyyden </w:t>
      </w:r>
      <w:r>
        <w:rPr>
          <w:noProof/>
        </w:rPr>
        <w:t>varmistamiseksi. Kaikki yritykset, joissa on yli 150 työntekijää, ovat velvollisia laatimaan ja rekisteröimään tällaisia suunnitelmia, ja vuonna 2022 kaikki yritykset, joissa on yli 50 työntekijää, ovat myös velvollisia laatimaan ja rekisteröimään tällaisi</w:t>
      </w:r>
      <w:r>
        <w:rPr>
          <w:noProof/>
        </w:rPr>
        <w:t xml:space="preserve">a suunnitelmia. Kuninkaan asetuksessa säädetään suunnitelmista neuvoteltaessa noudatettavasta menettelystä, diagnoosia koskevista vaatimuksista sekä niiden arvioinnin ja seurannan ominaispiirteistä. </w:t>
      </w:r>
    </w:p>
    <w:p w14:paraId="6844778F" w14:textId="77777777" w:rsidR="000E48CE" w:rsidRDefault="00FF4C4E">
      <w:pPr>
        <w:pStyle w:val="P68B1DB1-Normal4"/>
        <w:numPr>
          <w:ilvl w:val="0"/>
          <w:numId w:val="143"/>
        </w:numPr>
        <w:spacing w:before="120" w:after="160" w:line="259" w:lineRule="auto"/>
        <w:contextualSpacing/>
        <w:jc w:val="both"/>
        <w:rPr>
          <w:rFonts w:cs="Times New Roman"/>
          <w:noProof/>
        </w:rPr>
      </w:pPr>
      <w:r>
        <w:rPr>
          <w:noProof/>
        </w:rPr>
        <w:t>Miesten ja naisten samapalkkaisuudesta 13. lokakuuta ann</w:t>
      </w:r>
      <w:r>
        <w:rPr>
          <w:noProof/>
        </w:rPr>
        <w:t>etulla kuninkaallisella asetuksella 902/2020 taataan palkkauksen avoimuuden periaate, jotta voidaan tunnistaa virheellisestä työnarvioinnista johtuvat syrjivät tilanteet (eli pienempi palkka samanarvoisesta työstä). Asetuksessa määritellään tilanteet, jois</w:t>
      </w:r>
      <w:r>
        <w:rPr>
          <w:noProof/>
        </w:rPr>
        <w:t>sa rakennusurakkaa pidetään samanarvoisena. Se on ollut voimassa huhtikuusta 2021 sen jälkeen, kun työnantajille oli annettu kuusi kuukautta aikaa perustaa tarvittavat täytäntöönpanomekanismit.</w:t>
      </w:r>
    </w:p>
    <w:p w14:paraId="25ABAA94" w14:textId="77777777" w:rsidR="000E48CE" w:rsidRDefault="00FF4C4E">
      <w:pPr>
        <w:pStyle w:val="P68B1DB1-Normal4"/>
        <w:spacing w:before="240" w:after="120" w:line="240" w:lineRule="auto"/>
        <w:jc w:val="both"/>
        <w:rPr>
          <w:rFonts w:cs="Times New Roman"/>
          <w:noProof/>
        </w:rPr>
      </w:pPr>
      <w:r>
        <w:rPr>
          <w:noProof/>
        </w:rPr>
        <w:t>Toimenpiteen täytäntöönpano on saatettava päätökseen viimeistä</w:t>
      </w:r>
      <w:r>
        <w:rPr>
          <w:noProof/>
        </w:rPr>
        <w:t>än 30 päivänä kesäkuuta 2021.</w:t>
      </w:r>
    </w:p>
    <w:p w14:paraId="45BBAC62" w14:textId="77777777" w:rsidR="000E48CE" w:rsidRDefault="00FF4C4E">
      <w:pPr>
        <w:pStyle w:val="P68B1DB1-Normal6"/>
        <w:spacing w:before="120" w:after="120" w:line="240" w:lineRule="auto"/>
        <w:jc w:val="both"/>
        <w:rPr>
          <w:rFonts w:cs="Times New Roman"/>
          <w:noProof/>
        </w:rPr>
      </w:pPr>
      <w:r>
        <w:rPr>
          <w:noProof/>
        </w:rPr>
        <w:t>Uudistus 3 (C23.R3) – Kotipalvelujen tarjoajien työn sääntely digitaalisilla alustoilla (</w:t>
      </w:r>
      <w:r>
        <w:rPr>
          <w:i/>
          <w:noProof/>
        </w:rPr>
        <w:t>muuttajat</w:t>
      </w:r>
      <w:r>
        <w:rPr>
          <w:noProof/>
        </w:rPr>
        <w:t>)</w:t>
      </w:r>
    </w:p>
    <w:p w14:paraId="4BD1036B" w14:textId="77777777" w:rsidR="000E48CE" w:rsidRDefault="00FF4C4E">
      <w:pPr>
        <w:pStyle w:val="P68B1DB1-Normal4"/>
        <w:spacing w:before="120" w:after="120" w:line="240" w:lineRule="auto"/>
        <w:jc w:val="both"/>
        <w:rPr>
          <w:rFonts w:cs="Times New Roman"/>
          <w:noProof/>
        </w:rPr>
      </w:pPr>
      <w:r>
        <w:rPr>
          <w:noProof/>
        </w:rPr>
        <w:t>Uudistuksen tavoitteena on säännellä niin kutsuttujen rakennuttajien työoloja</w:t>
      </w:r>
      <w:r>
        <w:rPr>
          <w:i/>
          <w:noProof/>
        </w:rPr>
        <w:t>,</w:t>
      </w:r>
      <w:r>
        <w:rPr>
          <w:noProof/>
        </w:rPr>
        <w:t xml:space="preserve"> jotka harjoittavat jakelutoimintaa kolmansille </w:t>
      </w:r>
      <w:r>
        <w:rPr>
          <w:noProof/>
        </w:rPr>
        <w:t>osapuolille teknologisin keinoin. Kuninkaan asetuksella taataan näille työntekijöille oikeus oikeudenmukaiseen ja yhdenvertaiseen kohteluun työolojen osalta sekä oikeus sosiaaliseen suojeluun ja koulutukseen yrityksen ja kuljettajan välisen työsuhteen oike</w:t>
      </w:r>
      <w:r>
        <w:rPr>
          <w:noProof/>
        </w:rPr>
        <w:t xml:space="preserve">udellisen olettaman perusteella. Sen on myös mahdollistettava se, että työntekijöiden oikeudellinen edustus saa tietoa tekoälyalgoritmeihin ja -järjestelmiin sisältyvistä säännöistä, joilla voi olla vaikutusta työoloihin, mukaan lukien työpaikan saanti ja </w:t>
      </w:r>
      <w:r>
        <w:rPr>
          <w:noProof/>
        </w:rPr>
        <w:t xml:space="preserve">ylläpito sekä profilointi. </w:t>
      </w:r>
    </w:p>
    <w:p w14:paraId="2C7CF537"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30 päivänä syyskuuta 2021.</w:t>
      </w:r>
    </w:p>
    <w:p w14:paraId="50D8148C" w14:textId="77777777" w:rsidR="000E48CE" w:rsidRDefault="00FF4C4E">
      <w:pPr>
        <w:pStyle w:val="P68B1DB1-Normal6"/>
        <w:spacing w:before="120" w:after="120" w:line="240" w:lineRule="auto"/>
        <w:jc w:val="both"/>
        <w:rPr>
          <w:rFonts w:cs="Times New Roman"/>
          <w:noProof/>
        </w:rPr>
      </w:pPr>
      <w:r>
        <w:rPr>
          <w:noProof/>
        </w:rPr>
        <w:t>Uudistus 4 (C23.R4) – Hankintojen yksinkertaistaminen: toistaiseksi voimassa olevan sopimuksen yleistyminen, syyt määräaikaisten työsopi</w:t>
      </w:r>
      <w:r>
        <w:rPr>
          <w:noProof/>
        </w:rPr>
        <w:t>musten käyttöön ja koulutus- ja oppisopimussopimuksen sääntely.</w:t>
      </w:r>
    </w:p>
    <w:p w14:paraId="0C992956" w14:textId="77777777" w:rsidR="000E48CE" w:rsidRDefault="00FF4C4E">
      <w:pPr>
        <w:pStyle w:val="P68B1DB1-Normal4"/>
        <w:spacing w:before="120" w:after="120" w:line="240" w:lineRule="auto"/>
        <w:jc w:val="both"/>
        <w:rPr>
          <w:rFonts w:cs="Times New Roman"/>
          <w:noProof/>
        </w:rPr>
      </w:pPr>
      <w:r>
        <w:rPr>
          <w:noProof/>
        </w:rPr>
        <w:t>Uudistuksella muutetaan työntekijöiden asemasta annetussa laissa säädettyä työsopimusta koskevaa asetusta (asetus 2/2015), jonka tavoitteena on säännellä määräaikaisten työsopimusten käyttöä a</w:t>
      </w:r>
      <w:r>
        <w:rPr>
          <w:noProof/>
        </w:rPr>
        <w:t>inoana syy-yhteytenä ja yleistää toistaiseksi voimassa olevien työsopimusten käyttö. Uudistukseen on sisällyttävä seuraavat osatekijät:</w:t>
      </w:r>
    </w:p>
    <w:p w14:paraId="6AD37FFD" w14:textId="77777777" w:rsidR="000E48CE" w:rsidRDefault="00FF4C4E">
      <w:pPr>
        <w:pStyle w:val="P68B1DB1-Normal4"/>
        <w:numPr>
          <w:ilvl w:val="0"/>
          <w:numId w:val="144"/>
        </w:numPr>
        <w:spacing w:before="120" w:after="160" w:line="259" w:lineRule="auto"/>
        <w:contextualSpacing/>
        <w:jc w:val="both"/>
        <w:rPr>
          <w:rFonts w:cs="Times New Roman"/>
          <w:noProof/>
        </w:rPr>
      </w:pPr>
      <w:r>
        <w:rPr>
          <w:noProof/>
        </w:rPr>
        <w:t>Sopimusvalikon yksinkertaistaminen ja uudelleenorganisointi, jossa on kolme päätyyppiä: toistaiseksi voimassa oleva, til</w:t>
      </w:r>
      <w:r>
        <w:rPr>
          <w:noProof/>
        </w:rPr>
        <w:t xml:space="preserve">apäinen ja ammatillinen koulutus/oppisopimus. Uudentyyppisten sopimusten tarkoituksena on rajoittaa päteviä syitä käyttää määräaikaisia työsopimuksia, jolloin toistaiseksi voimassa olevat sopimukset ovat yleissääntö. </w:t>
      </w:r>
    </w:p>
    <w:p w14:paraId="4EE1EC25" w14:textId="77777777" w:rsidR="000E48CE" w:rsidRDefault="00FF4C4E">
      <w:pPr>
        <w:pStyle w:val="P68B1DB1-Normal4"/>
        <w:numPr>
          <w:ilvl w:val="0"/>
          <w:numId w:val="144"/>
        </w:numPr>
        <w:spacing w:before="120" w:after="160" w:line="259" w:lineRule="auto"/>
        <w:contextualSpacing/>
        <w:jc w:val="both"/>
        <w:rPr>
          <w:rFonts w:cs="Times New Roman"/>
          <w:noProof/>
        </w:rPr>
      </w:pPr>
      <w:r>
        <w:rPr>
          <w:noProof/>
        </w:rPr>
        <w:t xml:space="preserve">Koulutus-/opiskeluharjoittelusopimuksen käytön tarkastelu, jotta nuorille voidaan tarjota asianmukaiset puitteet työmarkkinoille pääsemiseksi. </w:t>
      </w:r>
    </w:p>
    <w:p w14:paraId="4C2D1C2F" w14:textId="77777777" w:rsidR="000E48CE" w:rsidRDefault="00FF4C4E">
      <w:pPr>
        <w:pStyle w:val="P68B1DB1-Normal4"/>
        <w:numPr>
          <w:ilvl w:val="0"/>
          <w:numId w:val="144"/>
        </w:numPr>
        <w:spacing w:before="120" w:after="160" w:line="259" w:lineRule="auto"/>
        <w:contextualSpacing/>
        <w:jc w:val="both"/>
        <w:rPr>
          <w:rFonts w:cs="Times New Roman"/>
          <w:noProof/>
        </w:rPr>
      </w:pPr>
      <w:r>
        <w:rPr>
          <w:noProof/>
        </w:rPr>
        <w:t>Kausisopimuksen käytön lisääminen, sillä kyseessä on erityinen toistaiseksi voimassa oleva työsopimus, jota käyt</w:t>
      </w:r>
      <w:r>
        <w:rPr>
          <w:noProof/>
        </w:rPr>
        <w:t>etään kausitoiminnassa.</w:t>
      </w:r>
    </w:p>
    <w:p w14:paraId="799F219E" w14:textId="77777777" w:rsidR="000E48CE" w:rsidRDefault="00FF4C4E">
      <w:pPr>
        <w:pStyle w:val="P68B1DB1-Normal4"/>
        <w:numPr>
          <w:ilvl w:val="0"/>
          <w:numId w:val="144"/>
        </w:numPr>
        <w:spacing w:before="120" w:after="160" w:line="259" w:lineRule="auto"/>
        <w:contextualSpacing/>
        <w:jc w:val="both"/>
        <w:rPr>
          <w:rFonts w:cs="Times New Roman"/>
          <w:noProof/>
        </w:rPr>
      </w:pPr>
      <w:r>
        <w:rPr>
          <w:noProof/>
        </w:rPr>
        <w:t>Uudistuksella vahvistetaan osa-aikaisten työsopimusten käytön valvontaa, jotta voidaan estää epäsäännöllinen työaika.</w:t>
      </w:r>
    </w:p>
    <w:p w14:paraId="68D9B5D6" w14:textId="77777777" w:rsidR="000E48CE" w:rsidRDefault="00FF4C4E">
      <w:pPr>
        <w:pStyle w:val="P68B1DB1-Normal4"/>
        <w:numPr>
          <w:ilvl w:val="0"/>
          <w:numId w:val="144"/>
        </w:numPr>
        <w:spacing w:before="120" w:after="160" w:line="259" w:lineRule="auto"/>
        <w:contextualSpacing/>
        <w:jc w:val="both"/>
        <w:rPr>
          <w:rFonts w:cs="Times New Roman"/>
          <w:noProof/>
        </w:rPr>
      </w:pPr>
      <w:r>
        <w:rPr>
          <w:noProof/>
        </w:rPr>
        <w:t>Työvoimapetosten torjunnan tehostaminen muun muassa saattamalla seuraamusjärjestelmä ajan tasalle.</w:t>
      </w:r>
    </w:p>
    <w:p w14:paraId="0321D44C" w14:textId="77777777" w:rsidR="000E48CE" w:rsidRDefault="00FF4C4E">
      <w:pPr>
        <w:pStyle w:val="P68B1DB1-Normal4"/>
        <w:spacing w:before="240" w:after="120" w:line="240" w:lineRule="auto"/>
        <w:jc w:val="both"/>
        <w:rPr>
          <w:rFonts w:cs="Times New Roman"/>
          <w:noProof/>
        </w:rPr>
      </w:pPr>
      <w:r>
        <w:rPr>
          <w:noProof/>
        </w:rPr>
        <w:t>Uudistus liitty</w:t>
      </w:r>
      <w:r>
        <w:rPr>
          <w:noProof/>
        </w:rPr>
        <w:t>y läheisesti osa-alueen 11 uudistukseen 1, jolla tehdään muita oikeudellisia muutoksia julkishallinnon työntekijöiden sääntöihin määräaikaisten työsopimusten käytön vähentämiseksi julkisella sektorilla. Se liittyy myös uudistukseen 6 (joustavuus ja vakausm</w:t>
      </w:r>
      <w:r>
        <w:rPr>
          <w:noProof/>
        </w:rPr>
        <w:t>ekanismi) tällä osa-alueella.</w:t>
      </w:r>
    </w:p>
    <w:p w14:paraId="43DA1D42" w14:textId="77777777" w:rsidR="000E48CE" w:rsidRDefault="00FF4C4E">
      <w:pPr>
        <w:pStyle w:val="P68B1DB1-Normal4"/>
        <w:spacing w:before="240" w:after="120" w:line="240" w:lineRule="auto"/>
        <w:jc w:val="both"/>
        <w:rPr>
          <w:rFonts w:cs="Times New Roman"/>
          <w:noProof/>
        </w:rPr>
      </w:pPr>
      <w:r>
        <w:rPr>
          <w:noProof/>
        </w:rPr>
        <w:t>Toimenpiteen täytäntöönpano on saatettava päätökseen viimeistään 31 päivänä joulukuuta 2021.</w:t>
      </w:r>
    </w:p>
    <w:p w14:paraId="21A148EB" w14:textId="77777777" w:rsidR="000E48CE" w:rsidRDefault="00FF4C4E">
      <w:pPr>
        <w:pStyle w:val="P68B1DB1-Normal6"/>
        <w:spacing w:before="120" w:after="120" w:line="240" w:lineRule="auto"/>
        <w:jc w:val="both"/>
        <w:rPr>
          <w:rFonts w:cs="Times New Roman"/>
          <w:noProof/>
        </w:rPr>
      </w:pPr>
      <w:r>
        <w:rPr>
          <w:noProof/>
        </w:rPr>
        <w:t>Uudistus 5 (C23.R5) – aktiivisen työmarkkinapolitiikan nykyaikaistaminen</w:t>
      </w:r>
    </w:p>
    <w:p w14:paraId="437724FB" w14:textId="77777777" w:rsidR="000E48CE" w:rsidRDefault="00FF4C4E">
      <w:pPr>
        <w:pStyle w:val="P68B1DB1-Normal4"/>
        <w:spacing w:before="120" w:after="120" w:line="240" w:lineRule="auto"/>
        <w:jc w:val="both"/>
        <w:rPr>
          <w:rFonts w:cs="Times New Roman"/>
          <w:noProof/>
        </w:rPr>
      </w:pPr>
      <w:r>
        <w:rPr>
          <w:noProof/>
        </w:rPr>
        <w:t xml:space="preserve">Uudistuksen tavoitteena on nykyaikaistaa aktiivisen </w:t>
      </w:r>
      <w:r>
        <w:rPr>
          <w:noProof/>
        </w:rPr>
        <w:t>työmarkkinapolitiikan toteuttamista Espanjassa ottaen huomioon riippumattoman finanssipoliittisen viranomaisen, jäljempänä ’AIReF’, tekemien menoarviointien päätelmät. Uudistuksessa on oltava useita osatekijöitä, kuten henkilökohtaisten neuvontaväylien keh</w:t>
      </w:r>
      <w:r>
        <w:rPr>
          <w:noProof/>
        </w:rPr>
        <w:t>ittäminen, työssä tapahtuvan koulutuksen (kuten harjoittelu- ja koulutussopimusten) väärinkäytön ehkäiseminen, aikuiskoulutusjärjestelmän vahvistaminen ja osaamisen tunnustaminen, keskitetyn asiointipisteen perustaminen nuorille, työllisyys- ja sosiaalipal</w:t>
      </w:r>
      <w:r>
        <w:rPr>
          <w:noProof/>
        </w:rPr>
        <w:t>velujen sekä alueiden välisen koordinoinnin parantaminen sekä yksityisen sektorin kanssa tehtävän yhteistyön parantaminen.</w:t>
      </w:r>
    </w:p>
    <w:p w14:paraId="4CD28135" w14:textId="77777777" w:rsidR="000E48CE" w:rsidRDefault="00FF4C4E">
      <w:pPr>
        <w:pStyle w:val="P68B1DB1-Normal4"/>
        <w:spacing w:before="120" w:after="120" w:line="240" w:lineRule="auto"/>
        <w:jc w:val="both"/>
        <w:rPr>
          <w:rFonts w:cs="Times New Roman"/>
          <w:noProof/>
        </w:rPr>
      </w:pPr>
      <w:r>
        <w:rPr>
          <w:noProof/>
        </w:rPr>
        <w:t>Uudistusta täydennetään kahdella muulla tämän osa-alueen uudistuksella, jotka ovat uudistus 7 (kannustimet) ja uudistus 11 (julkisten</w:t>
      </w:r>
      <w:r>
        <w:rPr>
          <w:noProof/>
        </w:rPr>
        <w:t xml:space="preserve"> työvoimapalvelujen digitalisointi). Joillakin uudistuksen osa-alueilla (kuten vanhusten uudelleenkoulutus- ja avustusohjelman vahvistaminen) on synergiaa uudistuksen 2 kanssa osa-alueella 30 (tosiasiallisen eläkeiän mukauttaminen lakisääteiseen eläkeikään</w:t>
      </w:r>
      <w:r>
        <w:rPr>
          <w:noProof/>
        </w:rPr>
        <w:t>).</w:t>
      </w:r>
    </w:p>
    <w:p w14:paraId="42B3A7CB" w14:textId="77777777" w:rsidR="000E48CE" w:rsidRDefault="00FF4C4E">
      <w:pPr>
        <w:pStyle w:val="P68B1DB1-Normal4"/>
        <w:spacing w:before="120" w:after="120" w:line="240" w:lineRule="auto"/>
        <w:jc w:val="both"/>
        <w:rPr>
          <w:rFonts w:cs="Times New Roman"/>
          <w:noProof/>
        </w:rPr>
      </w:pPr>
      <w:r>
        <w:rPr>
          <w:noProof/>
        </w:rPr>
        <w:t>Uudistukseen sisältyy useita lainsäädäntötoimia vuosina 2021 ja 2022:</w:t>
      </w:r>
    </w:p>
    <w:p w14:paraId="0138F2E9" w14:textId="77777777" w:rsidR="000E48CE" w:rsidRDefault="00FF4C4E">
      <w:pPr>
        <w:pStyle w:val="P68B1DB1-Normal4"/>
        <w:numPr>
          <w:ilvl w:val="0"/>
          <w:numId w:val="145"/>
        </w:numPr>
        <w:spacing w:before="120" w:after="160" w:line="240" w:lineRule="auto"/>
        <w:contextualSpacing/>
        <w:jc w:val="both"/>
        <w:rPr>
          <w:rFonts w:cs="Times New Roman"/>
          <w:noProof/>
        </w:rPr>
      </w:pPr>
      <w:r>
        <w:rPr>
          <w:noProof/>
        </w:rPr>
        <w:t>Toimintasuunnitelma 2021–2027 nuorisotyöttömyyden torjumiseksi EU:n nuorisotakuu plus -ohjelman täytäntöönpanon yhteydessä. Toimintasuunnitelmassa on tarkasteltava uudelleen harjoitte</w:t>
      </w:r>
      <w:r>
        <w:rPr>
          <w:noProof/>
        </w:rPr>
        <w:t>lu- ja oppisopimuskoulutusta koskevia sopimuksia ja vahvistettava harjoittelijoiden perussääntö. Näiden toimenpiteiden on oltava johdonmukaisia koulunkäynnin keskeyttämisen torjumiseksi toteutettavien koulutuspolitiikkojen kanssa (kuten osa-alueella 21 esi</w:t>
      </w:r>
      <w:r>
        <w:rPr>
          <w:noProof/>
        </w:rPr>
        <w:t>tetään). Toimenpiteen tämän osan täytäntöönpano on saatettava päätökseen 30 päivään kesäkuuta 2021 mennessä.</w:t>
      </w:r>
    </w:p>
    <w:p w14:paraId="00CB9829" w14:textId="77777777" w:rsidR="000E48CE" w:rsidRDefault="00FF4C4E">
      <w:pPr>
        <w:pStyle w:val="P68B1DB1-Normal4"/>
        <w:numPr>
          <w:ilvl w:val="0"/>
          <w:numId w:val="145"/>
        </w:numPr>
        <w:spacing w:before="120" w:after="160" w:line="240" w:lineRule="auto"/>
        <w:contextualSpacing/>
        <w:jc w:val="both"/>
        <w:rPr>
          <w:rFonts w:cs="Times New Roman"/>
          <w:noProof/>
        </w:rPr>
      </w:pPr>
      <w:r>
        <w:rPr>
          <w:noProof/>
        </w:rPr>
        <w:t xml:space="preserve">Espanjan työllisyyden aktivointistrategia 2021–2024 työmarkkinaosapuolten vuoropuhelun jälkeen. Uuden strategian päätavoitteet ovat seuraavat: </w:t>
      </w:r>
    </w:p>
    <w:p w14:paraId="1D990343"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Ihm</w:t>
      </w:r>
      <w:r>
        <w:rPr>
          <w:noProof/>
        </w:rPr>
        <w:t>iskeskeinen ja yrityskeskeinen lähestymistapa: aktiivisen työmarkkinapolitiikan suunnittelussa on tarkoitus keskittyä kunkin henkilön ja yrityksen erityisolosuhteisiin.</w:t>
      </w:r>
    </w:p>
    <w:p w14:paraId="121EE051"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Johdonmukaisuus tuottavan muutoksen kanssa: Aktiivisen työmarkkinapolitiikan olisi mahd</w:t>
      </w:r>
      <w:r>
        <w:rPr>
          <w:noProof/>
        </w:rPr>
        <w:t>ollistettava ammatilliset siirtymät, jotka liittyvät tuotantomallin siirtymiseen kohti vihreää ja digitaalista taloutta.</w:t>
      </w:r>
    </w:p>
    <w:p w14:paraId="45904CBE"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Tulossuuntautuneisuus: Aktiivista työmarkkinapolitiikkaa on tarkoitus arvioida, seurata ja edistää tulosten saavuttamista.</w:t>
      </w:r>
    </w:p>
    <w:p w14:paraId="4BDCF7E4"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 xml:space="preserve">Parannetaan </w:t>
      </w:r>
      <w:r>
        <w:rPr>
          <w:noProof/>
        </w:rPr>
        <w:t xml:space="preserve">julkisten työvoimapalvelujen valmiuksia digitalisaation ja nykyaikaistamisen avulla. </w:t>
      </w:r>
    </w:p>
    <w:p w14:paraId="771EC655"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Kansallisen työllisyysjärjestelmän hallinto ja yhteenkuuluvuus koordinoinnin parantamiseksi kansallisella ja alueellisella tasolla sekä aktiiviseen työmarkkinapolitiikkaa</w:t>
      </w:r>
      <w:r>
        <w:rPr>
          <w:noProof/>
        </w:rPr>
        <w:t>n osallistuvat sidosryhmät.</w:t>
      </w:r>
    </w:p>
    <w:p w14:paraId="72ABA948" w14:textId="77777777" w:rsidR="000E48CE" w:rsidRDefault="00FF4C4E">
      <w:pPr>
        <w:pStyle w:val="P68B1DB1-Normal4"/>
        <w:spacing w:before="120" w:after="160" w:line="240" w:lineRule="auto"/>
        <w:ind w:left="709"/>
        <w:contextualSpacing/>
        <w:jc w:val="both"/>
        <w:rPr>
          <w:rFonts w:cs="Times New Roman"/>
          <w:noProof/>
        </w:rPr>
      </w:pPr>
      <w:r>
        <w:rPr>
          <w:noProof/>
        </w:rPr>
        <w:t>Toimenpiteen tämän osan täytäntöönpano on saatettava päätökseen 31 päivään joulukuuta 2021 mennessä.</w:t>
      </w:r>
    </w:p>
    <w:p w14:paraId="3E8A197B" w14:textId="77777777" w:rsidR="000E48CE" w:rsidRDefault="00FF4C4E">
      <w:pPr>
        <w:pStyle w:val="P68B1DB1-Normal4"/>
        <w:numPr>
          <w:ilvl w:val="0"/>
          <w:numId w:val="145"/>
        </w:numPr>
        <w:spacing w:before="120" w:after="160" w:line="240" w:lineRule="auto"/>
        <w:contextualSpacing/>
        <w:jc w:val="both"/>
        <w:rPr>
          <w:rFonts w:cs="Times New Roman"/>
          <w:noProof/>
        </w:rPr>
      </w:pPr>
      <w:r>
        <w:rPr>
          <w:noProof/>
        </w:rPr>
        <w:t>Työlain uudistus, jonka tavoitteet ovat seuraavat: kansallisen työllisyysjärjestelmän toiminta- ja koordinointivälineiden vahvi</w:t>
      </w:r>
      <w:r>
        <w:rPr>
          <w:noProof/>
        </w:rPr>
        <w:t>staminen; uudistaa aktiivista työmarkkinapolitiikkaa; III) tarkistaa järjestelmän hallinnointia; vahvistetaan työllisyyspolitiikan paikallista ulottuvuutta; ja v) täyttää aktiivisen työllisyyspolitiikan kansalliseen suunnitelmaan sisältyvien eri toimenpite</w:t>
      </w:r>
      <w:r>
        <w:rPr>
          <w:noProof/>
        </w:rPr>
        <w:t>iden täytäntöönpanoa koskevat vaatimukset. Tässä yhteydessä lainsäädäntömuutosten pääkohdat ovat seuraavat:</w:t>
      </w:r>
    </w:p>
    <w:p w14:paraId="530053EE"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Aktiivisen ja passiivisen työllisyyspolitiikan vahvistaminen ottaen huomioon toimivallan jako valtion ja itsehallintoalueiden välillä.</w:t>
      </w:r>
    </w:p>
    <w:p w14:paraId="4EA0BFE8"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Välitysjärjes</w:t>
      </w:r>
      <w:r>
        <w:rPr>
          <w:noProof/>
        </w:rPr>
        <w:t xml:space="preserve">telmän ja julkisen ja yksityisen sektorin kumppanuuksien vahvistaminen. </w:t>
      </w:r>
    </w:p>
    <w:p w14:paraId="07EEF715"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Kansallisen työllisyysjärjestelmän yhteinen palvelusalkku.</w:t>
      </w:r>
    </w:p>
    <w:p w14:paraId="7589A543"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 xml:space="preserve">Rahoitusmallin tarkistaminen. </w:t>
      </w:r>
    </w:p>
    <w:p w14:paraId="3C95E3DE"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Yhteistyö sosiaalipalvelujen kanssa.</w:t>
      </w:r>
    </w:p>
    <w:p w14:paraId="5D537E1C"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Paikallinen ja eurooppalainen ulottuvuus.</w:t>
      </w:r>
    </w:p>
    <w:p w14:paraId="6719D66E"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Työllistettävyyttä edistävä tekninen kehitys.</w:t>
      </w:r>
    </w:p>
    <w:p w14:paraId="65442721"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Tieto- ja viestintätekniikan ja massadatan käyttö.</w:t>
      </w:r>
    </w:p>
    <w:p w14:paraId="029E0FC8" w14:textId="77777777" w:rsidR="000E48CE" w:rsidRDefault="00FF4C4E">
      <w:pPr>
        <w:pStyle w:val="P68B1DB1-Normal4"/>
        <w:numPr>
          <w:ilvl w:val="1"/>
          <w:numId w:val="146"/>
        </w:numPr>
        <w:spacing w:before="120" w:after="160" w:line="240" w:lineRule="auto"/>
        <w:contextualSpacing/>
        <w:jc w:val="both"/>
        <w:rPr>
          <w:rFonts w:cs="Times New Roman"/>
          <w:noProof/>
        </w:rPr>
      </w:pPr>
      <w:r>
        <w:rPr>
          <w:noProof/>
        </w:rPr>
        <w:t>Työllistettävyyden parantaminen.</w:t>
      </w:r>
    </w:p>
    <w:p w14:paraId="04D029A0" w14:textId="77777777" w:rsidR="000E48CE" w:rsidRDefault="00FF4C4E">
      <w:pPr>
        <w:pStyle w:val="P68B1DB1-Normal4"/>
        <w:spacing w:before="120" w:after="160" w:line="240" w:lineRule="auto"/>
        <w:ind w:left="709"/>
        <w:contextualSpacing/>
        <w:jc w:val="both"/>
        <w:rPr>
          <w:rFonts w:cs="Times New Roman"/>
          <w:noProof/>
        </w:rPr>
      </w:pPr>
      <w:r>
        <w:rPr>
          <w:noProof/>
        </w:rPr>
        <w:t>Toimenpiteen tämän osan täytäntöönpano on saatettava päätökseen 31 päivään joulukuuta 2022 mennessä.</w:t>
      </w:r>
    </w:p>
    <w:p w14:paraId="40D99AEC" w14:textId="77777777" w:rsidR="000E48CE" w:rsidRDefault="00FF4C4E">
      <w:pPr>
        <w:pStyle w:val="P68B1DB1-Normal6"/>
        <w:spacing w:before="240" w:after="120" w:line="240" w:lineRule="auto"/>
        <w:jc w:val="both"/>
        <w:rPr>
          <w:rFonts w:cs="Times New Roman"/>
          <w:noProof/>
        </w:rPr>
      </w:pPr>
      <w:r>
        <w:rPr>
          <w:noProof/>
        </w:rPr>
        <w:t>Uudistus 6 (C23.R6) – Sii</w:t>
      </w:r>
      <w:r>
        <w:rPr>
          <w:noProof/>
        </w:rPr>
        <w:t>rtymävaiheessa olevien työntekijöiden sisäistä joustavuutta, työpaikkojen vakautta ja uudelleenkoulutusta koskeva pysyvä mekanismi.</w:t>
      </w:r>
    </w:p>
    <w:p w14:paraId="77191841" w14:textId="77777777" w:rsidR="000E48CE" w:rsidRDefault="00FF4C4E">
      <w:pPr>
        <w:pStyle w:val="P68B1DB1-Normal4"/>
        <w:spacing w:before="120" w:after="120" w:line="240" w:lineRule="auto"/>
        <w:jc w:val="both"/>
        <w:rPr>
          <w:rFonts w:cs="Times New Roman"/>
          <w:noProof/>
        </w:rPr>
      </w:pPr>
      <w:r>
        <w:rPr>
          <w:noProof/>
        </w:rPr>
        <w:t>Uudistuksen tavoitteena on luoda pysyvä järjestelmä suhdanne- ja rakenteellisiin häiriöihin sopeutumiseksi siten, että työaj</w:t>
      </w:r>
      <w:r>
        <w:rPr>
          <w:noProof/>
        </w:rPr>
        <w:t>an keskeyttäminen tai lyhentäminen katetaan työllisyyttä koskevalla sääntelysuunnitelmalla, johon sisältyy vaatimus parantaa tai uudelleenkouluttaa työntekijöitä kysytyiksi todetuissa taidoissa. Järjestelmän on perustuttava kokemuksiin, joita on saatu covi</w:t>
      </w:r>
      <w:r>
        <w:rPr>
          <w:noProof/>
        </w:rPr>
        <w:t xml:space="preserve">d-19-kriisin aikana käyttöön otetuista työajan lyhentämisjärjestelyistä työpaikkojen säilyttämiseksi pandemian aiheuttamien sulkutoimien ja muiden toimintarajoitusten aikana. </w:t>
      </w:r>
    </w:p>
    <w:p w14:paraId="18C45FF0" w14:textId="77777777" w:rsidR="000E48CE" w:rsidRDefault="00FF4C4E">
      <w:pPr>
        <w:pStyle w:val="P68B1DB1-Normal4"/>
        <w:spacing w:before="120" w:after="120" w:line="240" w:lineRule="auto"/>
        <w:jc w:val="both"/>
        <w:rPr>
          <w:rFonts w:cs="Times New Roman"/>
          <w:noProof/>
        </w:rPr>
      </w:pPr>
      <w:r>
        <w:rPr>
          <w:noProof/>
        </w:rPr>
        <w:t>Uudistus koostuu kahdesta uudesta mukautusmekanismista:</w:t>
      </w:r>
    </w:p>
    <w:p w14:paraId="40A14A70" w14:textId="77777777" w:rsidR="000E48CE" w:rsidRDefault="00FF4C4E">
      <w:pPr>
        <w:pStyle w:val="P68B1DB1-Normal4"/>
        <w:numPr>
          <w:ilvl w:val="0"/>
          <w:numId w:val="147"/>
        </w:numPr>
        <w:spacing w:before="120" w:after="160" w:line="240" w:lineRule="auto"/>
        <w:contextualSpacing/>
        <w:jc w:val="both"/>
        <w:rPr>
          <w:rFonts w:cs="Times New Roman"/>
          <w:noProof/>
        </w:rPr>
      </w:pPr>
      <w:r>
        <w:rPr>
          <w:noProof/>
        </w:rPr>
        <w:t>Talouden vakautusmekanis</w:t>
      </w:r>
      <w:r>
        <w:rPr>
          <w:noProof/>
        </w:rPr>
        <w:t>mi, joka tarjoaa yrityksille sisäistä joustavuutta ja vakautta työntekijöille tilapäisten tai suhdanteiden aikana ja jossa keskitytään erityisesti työntekijöiden koulutukseen.</w:t>
      </w:r>
    </w:p>
    <w:p w14:paraId="06B172C6" w14:textId="77777777" w:rsidR="000E48CE" w:rsidRDefault="00FF4C4E">
      <w:pPr>
        <w:pStyle w:val="P68B1DB1-Normal4"/>
        <w:numPr>
          <w:ilvl w:val="0"/>
          <w:numId w:val="147"/>
        </w:numPr>
        <w:spacing w:before="120" w:after="160" w:line="240" w:lineRule="auto"/>
        <w:contextualSpacing/>
        <w:jc w:val="both"/>
        <w:rPr>
          <w:rFonts w:cs="Times New Roman"/>
          <w:noProof/>
        </w:rPr>
      </w:pPr>
      <w:r>
        <w:rPr>
          <w:noProof/>
        </w:rPr>
        <w:t>Mekanismi, jolla tuetaan siirtymävaiheessa olevien työntekijöiden ja yritysten u</w:t>
      </w:r>
      <w:r>
        <w:rPr>
          <w:noProof/>
        </w:rPr>
        <w:t>udelleen- ja täydennyskoulutusta, jotta heitä voidaan auttaa selviytymään teknologisista tai kysyntäinnovaatioista ja jolla helpotetaan työntekijöiden vapaaehtoista liikkuvuutta yrityksissä ja niiden välillä.</w:t>
      </w:r>
    </w:p>
    <w:p w14:paraId="608CBF5D" w14:textId="77777777" w:rsidR="000E48CE" w:rsidRDefault="00FF4C4E">
      <w:pPr>
        <w:pStyle w:val="P68B1DB1-Normal4"/>
        <w:spacing w:before="240" w:after="120" w:line="240" w:lineRule="auto"/>
        <w:jc w:val="both"/>
        <w:rPr>
          <w:rFonts w:cs="Times New Roman"/>
          <w:noProof/>
        </w:rPr>
      </w:pPr>
      <w:r>
        <w:rPr>
          <w:noProof/>
        </w:rPr>
        <w:t>Toimenpide pannaan täytäntöön muuttamalla työnt</w:t>
      </w:r>
      <w:r>
        <w:rPr>
          <w:noProof/>
        </w:rPr>
        <w:t>ekijöiden asemasta annettua lakia. Siihen sisältyy kolmikantarahaston perustaminen, jota rahoitetaan työnantajien ja työntekijöiden sosiaaliturvamaksuilla ja jota valtio täydentää. Sillä on varmistettava julkisen talouden kestävyys keskipitkällä ja pitkäll</w:t>
      </w:r>
      <w:r>
        <w:rPr>
          <w:noProof/>
        </w:rPr>
        <w:t xml:space="preserve">ä aikavälillä ottaen huomioon eri vaihtoehdot ja skenaariot. Rahaston konkreettisesta toiminnasta neuvotellaan työmarkkinaosapuolten kanssa. </w:t>
      </w:r>
    </w:p>
    <w:p w14:paraId="12963DC9" w14:textId="77777777" w:rsidR="000E48CE" w:rsidRDefault="00FF4C4E">
      <w:pPr>
        <w:pStyle w:val="P68B1DB1-Normal4"/>
        <w:spacing w:before="240" w:after="120" w:line="240" w:lineRule="auto"/>
        <w:jc w:val="both"/>
        <w:rPr>
          <w:rFonts w:cs="Times New Roman"/>
          <w:noProof/>
        </w:rPr>
      </w:pPr>
      <w:r>
        <w:rPr>
          <w:noProof/>
        </w:rPr>
        <w:t>Toimenpiteen täytäntöönpano on saatettava päätökseen viimeistään 31 päivänä joulukuuta 2021.</w:t>
      </w:r>
    </w:p>
    <w:p w14:paraId="28CD0A2F" w14:textId="77777777" w:rsidR="000E48CE" w:rsidRDefault="00FF4C4E">
      <w:pPr>
        <w:pStyle w:val="P68B1DB1-Normal6"/>
        <w:spacing w:before="120" w:after="120" w:line="240" w:lineRule="auto"/>
        <w:jc w:val="both"/>
        <w:rPr>
          <w:rFonts w:cs="Times New Roman"/>
          <w:noProof/>
        </w:rPr>
      </w:pPr>
      <w:r>
        <w:rPr>
          <w:noProof/>
        </w:rPr>
        <w:t>Uudistus 7 (C23.R7) –</w:t>
      </w:r>
      <w:r>
        <w:rPr>
          <w:noProof/>
        </w:rPr>
        <w:t xml:space="preserve"> työhönottokannustimien uudelleentarkastelu</w:t>
      </w:r>
    </w:p>
    <w:p w14:paraId="5D0C6F76" w14:textId="77777777" w:rsidR="000E48CE" w:rsidRDefault="00FF4C4E">
      <w:pPr>
        <w:pStyle w:val="P68B1DB1-Normal4"/>
        <w:spacing w:before="120" w:after="120" w:line="240" w:lineRule="auto"/>
        <w:jc w:val="both"/>
        <w:rPr>
          <w:rFonts w:cs="Times New Roman"/>
          <w:noProof/>
        </w:rPr>
      </w:pPr>
      <w:r>
        <w:rPr>
          <w:noProof/>
        </w:rPr>
        <w:t>Uudistuksen tavoitteena on yksinkertaistaa työhönottokannustinjärjestelmää ja tehostaa sitä kohdentamalla se paremmin ottamalla huomioon riippumattoman finanssipoliittisen viranomaisen, jäljempänä ’AIReF’, tekemä</w:t>
      </w:r>
      <w:r>
        <w:rPr>
          <w:noProof/>
        </w:rPr>
        <w:t xml:space="preserve"> menojen uudelleenarviointi. Sillä pyritään erityisesti parantamaan sellaisten erityisryhmien työllistettävyyttä, joiden osallistuminen työmarkkinoille on vähäistä, edistämällä laadukkaita työpaikkoja ja vakituisia työsuhteita. Kannustimien määrää on vähen</w:t>
      </w:r>
      <w:r>
        <w:rPr>
          <w:noProof/>
        </w:rPr>
        <w:t>nettävä, ja tukea saavia yrityksiä koskevat vaatimukset on standardoitava. Työhönottokannustinjärjestelmää on tarkoitus seurata ja arvioida jatkuvasti.</w:t>
      </w:r>
    </w:p>
    <w:p w14:paraId="411CD929" w14:textId="77777777" w:rsidR="000E48CE" w:rsidRDefault="00FF4C4E">
      <w:pPr>
        <w:pStyle w:val="P68B1DB1-Normal4"/>
        <w:spacing w:before="120" w:after="120" w:line="240" w:lineRule="auto"/>
        <w:jc w:val="both"/>
        <w:rPr>
          <w:rFonts w:cs="Times New Roman"/>
          <w:noProof/>
        </w:rPr>
      </w:pPr>
      <w:r>
        <w:rPr>
          <w:noProof/>
        </w:rPr>
        <w:t>Uudistus toteutetaan muuttamalla lakia 43/2006. Se liittyy läheisesti muihin tämän osa-alueen toimenpite</w:t>
      </w:r>
      <w:r>
        <w:rPr>
          <w:noProof/>
        </w:rPr>
        <w:t>isiin, kuten uudistukseen 5 (aktiivisten työmarkkinapolitiikkojen kokonaisuudistus) ja investointiin 7 (vähimmäistulojärjestelmän edunsaajien aktivointiväylät).</w:t>
      </w:r>
    </w:p>
    <w:p w14:paraId="0AC3C4D4"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31 päivään joulukuuta 2022 mennessä.</w:t>
      </w:r>
    </w:p>
    <w:p w14:paraId="13629EB5" w14:textId="77777777" w:rsidR="000E48CE" w:rsidRDefault="00FF4C4E">
      <w:pPr>
        <w:pStyle w:val="P68B1DB1-Normal6"/>
        <w:keepNext/>
        <w:spacing w:before="120" w:after="120" w:line="240" w:lineRule="auto"/>
        <w:jc w:val="both"/>
        <w:rPr>
          <w:rFonts w:cs="Times New Roman"/>
          <w:noProof/>
        </w:rPr>
      </w:pPr>
      <w:r>
        <w:rPr>
          <w:noProof/>
        </w:rPr>
        <w:t>Uudistus 8 (C23.R8) – työehtosopimusneuvottelujen nykyaikaistaminen</w:t>
      </w:r>
    </w:p>
    <w:p w14:paraId="496F473E" w14:textId="77777777" w:rsidR="000E48CE" w:rsidRDefault="00FF4C4E">
      <w:pPr>
        <w:pStyle w:val="P68B1DB1-Normal4"/>
        <w:keepNext/>
        <w:spacing w:before="120" w:after="120" w:line="240" w:lineRule="auto"/>
        <w:jc w:val="both"/>
        <w:rPr>
          <w:rFonts w:cs="Times New Roman"/>
          <w:noProof/>
        </w:rPr>
      </w:pPr>
      <w:r>
        <w:rPr>
          <w:noProof/>
        </w:rPr>
        <w:t xml:space="preserve">Uudistuksen tavoitteena on parantaa työehtosopimusneuvottelujen toimivuutta muuttamalla työntekijöiden asemasta annetun lain säännöksiä (asetuksen 2/2015 III osasto) työmarkkinaosapuolten </w:t>
      </w:r>
      <w:r>
        <w:rPr>
          <w:noProof/>
        </w:rPr>
        <w:t>vuoropuhelun jälkeen. Tämän vuoksi kaavaillut sääntelymuutokset eivät ole yksityiskohtaisia suunnitelmassa. Muutoksilla parannetaan työehtosopimusneuvotteluja koskevia oikeudellisia sääntöjä.</w:t>
      </w:r>
    </w:p>
    <w:p w14:paraId="4D0CE5EC" w14:textId="77777777" w:rsidR="000E48CE" w:rsidRDefault="00FF4C4E">
      <w:pPr>
        <w:pStyle w:val="P68B1DB1-Normal4"/>
        <w:spacing w:before="120" w:after="120" w:line="240" w:lineRule="auto"/>
        <w:jc w:val="both"/>
        <w:rPr>
          <w:rFonts w:cs="Times New Roman"/>
          <w:noProof/>
        </w:rPr>
      </w:pPr>
      <w:r>
        <w:rPr>
          <w:noProof/>
        </w:rPr>
        <w:t>Työehtosopimusneuvottelujen nykyaikaistamiseen on sisällytettävä</w:t>
      </w:r>
      <w:r>
        <w:rPr>
          <w:noProof/>
        </w:rPr>
        <w:t xml:space="preserve"> muutoksia itse neuvottelurakenteeseen, jotta voidaan vahvistaa neuvotteluosapuolten edustuksellisuutta, rikastuttaa vuoropuhelun sisältöä ja lisätä oikeusvarmuutta sen täytäntöönpanossa ja sen vaikutuksissa. Muutokset eivät saa aiheuttaa suhteettomia este</w:t>
      </w:r>
      <w:r>
        <w:rPr>
          <w:noProof/>
        </w:rPr>
        <w:t>itä yrityksille sopeutua suhdannekiertoon ja reagoida tuottavuuden kehitykseen.</w:t>
      </w:r>
    </w:p>
    <w:p w14:paraId="02DD64C2" w14:textId="77777777" w:rsidR="000E48CE" w:rsidRDefault="00FF4C4E">
      <w:pPr>
        <w:pStyle w:val="P68B1DB1-Normal4"/>
        <w:spacing w:before="120" w:after="120" w:line="240" w:lineRule="auto"/>
        <w:jc w:val="both"/>
        <w:rPr>
          <w:rFonts w:cs="Times New Roman"/>
          <w:noProof/>
        </w:rPr>
      </w:pPr>
      <w:r>
        <w:rPr>
          <w:noProof/>
        </w:rPr>
        <w:t xml:space="preserve">Uudistuksen toteutus on määrä saattaa päätökseen 31. joulukuuta 2021 mennessä. </w:t>
      </w:r>
    </w:p>
    <w:p w14:paraId="026F07AD" w14:textId="77777777" w:rsidR="000E48CE" w:rsidRDefault="00FF4C4E">
      <w:pPr>
        <w:pStyle w:val="P68B1DB1-Normal6"/>
        <w:spacing w:before="120" w:after="120" w:line="240" w:lineRule="auto"/>
        <w:jc w:val="both"/>
        <w:rPr>
          <w:rFonts w:cs="Times New Roman"/>
          <w:noProof/>
        </w:rPr>
      </w:pPr>
      <w:r>
        <w:rPr>
          <w:noProof/>
        </w:rPr>
        <w:t>Uudistus 9 (C23.R9) – Alihankintatoimien nykyaikaistaminen</w:t>
      </w:r>
    </w:p>
    <w:p w14:paraId="788616DE" w14:textId="77777777" w:rsidR="000E48CE" w:rsidRDefault="00FF4C4E">
      <w:pPr>
        <w:pStyle w:val="P68B1DB1-Normal4"/>
        <w:spacing w:before="120" w:after="120" w:line="240" w:lineRule="auto"/>
        <w:jc w:val="both"/>
        <w:rPr>
          <w:rFonts w:cs="Times New Roman"/>
          <w:noProof/>
        </w:rPr>
      </w:pPr>
      <w:r>
        <w:rPr>
          <w:noProof/>
        </w:rPr>
        <w:t>Uudistuksen tavoitteena on parantaa a</w:t>
      </w:r>
      <w:r>
        <w:rPr>
          <w:noProof/>
        </w:rPr>
        <w:t>lihankintana toimivissa yrityksissä työskentelevien henkilöiden työoloja ja oikeuksia muuttamalla työntekijöiden asemasta annetun lain (asetus 2/2015) 42 §:ää, jotta varmistetaan sen asianmukainen käyttö tapauksissa, joissa se parantaa tuotantotoimintaa ja</w:t>
      </w:r>
      <w:r>
        <w:rPr>
          <w:noProof/>
        </w:rPr>
        <w:t xml:space="preserve"> tekee siitä vähemmän houkuttelevaa, jos se on vain keino vähentää kustannuksia. </w:t>
      </w:r>
    </w:p>
    <w:p w14:paraId="4B283B21" w14:textId="77777777" w:rsidR="000E48CE" w:rsidRDefault="00FF4C4E">
      <w:pPr>
        <w:pStyle w:val="P68B1DB1-Normal4"/>
        <w:spacing w:before="120" w:after="120" w:line="240" w:lineRule="auto"/>
        <w:jc w:val="both"/>
        <w:rPr>
          <w:rFonts w:cs="Times New Roman"/>
          <w:noProof/>
        </w:rPr>
      </w:pPr>
      <w:r>
        <w:rPr>
          <w:noProof/>
        </w:rPr>
        <w:t>Uudistuksella on varmistettava riittävä suojelun taso alihankintaa tekeville työntekijöille ja siirryttävä kohti tasapuolisia toimintaedellytyksiä aliurakoitsijoiden ja yrity</w:t>
      </w:r>
      <w:r>
        <w:rPr>
          <w:noProof/>
        </w:rPr>
        <w:t>sten työntekijöiden välillä. Lisäksi sillä vahvistetaan toimeksisaajien tai alihankkijoiden vastuuta ja estetään palvelujen ulkoistaminen alihankintana tapauksissa, joissa tarkoituksena on alentaa alihankkijoiden työntekijöiden työnormeja.</w:t>
      </w:r>
    </w:p>
    <w:p w14:paraId="61713654" w14:textId="77777777" w:rsidR="000E48CE" w:rsidRDefault="00FF4C4E">
      <w:pPr>
        <w:pStyle w:val="P68B1DB1-Normal4"/>
        <w:spacing w:before="120" w:after="120" w:line="240" w:lineRule="auto"/>
        <w:jc w:val="both"/>
        <w:rPr>
          <w:rFonts w:cs="Times New Roman"/>
          <w:noProof/>
        </w:rPr>
      </w:pPr>
      <w:r>
        <w:rPr>
          <w:noProof/>
        </w:rPr>
        <w:t>Uudistuksen tote</w:t>
      </w:r>
      <w:r>
        <w:rPr>
          <w:noProof/>
        </w:rPr>
        <w:t>utus on määrä saattaa päätökseen 31. joulukuuta 2021 mennessä.</w:t>
      </w:r>
    </w:p>
    <w:p w14:paraId="4F3E3072" w14:textId="77777777" w:rsidR="000E48CE" w:rsidRDefault="00FF4C4E">
      <w:pPr>
        <w:pStyle w:val="P68B1DB1-Normal6"/>
        <w:spacing w:before="120" w:after="120" w:line="240" w:lineRule="auto"/>
        <w:jc w:val="both"/>
        <w:rPr>
          <w:rFonts w:cs="Times New Roman"/>
          <w:noProof/>
        </w:rPr>
      </w:pPr>
      <w:r>
        <w:rPr>
          <w:noProof/>
        </w:rPr>
        <w:t>Uudistus 10 (C23.R10) – Työttömyystuen yksinkertaistaminen ja parantaminen</w:t>
      </w:r>
    </w:p>
    <w:p w14:paraId="1FD56FE4" w14:textId="16B70496" w:rsidR="000E48CE" w:rsidRDefault="00FF4C4E">
      <w:pPr>
        <w:pStyle w:val="P68B1DB1-Normal4"/>
        <w:spacing w:before="120" w:after="120" w:line="240" w:lineRule="auto"/>
        <w:jc w:val="both"/>
        <w:rPr>
          <w:rFonts w:cs="Times New Roman"/>
          <w:noProof/>
        </w:rPr>
      </w:pPr>
      <w:r>
        <w:rPr>
          <w:noProof/>
        </w:rPr>
        <w:t>Tämä lakiuudistus koskee maksuihin perustumatonta työttömyysavustusta, ja se toteutetaan muuttamalla kuninkaan asetusta 8/2015. Se liittyy läheisesti osa-alueen 22 uudistukseen 5, jossa esitetään maksuihin perustumattomien sosiaalietuuksien yleisempi uudis</w:t>
      </w:r>
      <w:r>
        <w:rPr>
          <w:noProof/>
        </w:rPr>
        <w:t xml:space="preserve">tus. </w:t>
      </w:r>
    </w:p>
    <w:p w14:paraId="5A323593" w14:textId="77777777" w:rsidR="000E48CE" w:rsidRDefault="00FF4C4E">
      <w:pPr>
        <w:pStyle w:val="P68B1DB1-Normal4"/>
        <w:spacing w:before="120" w:after="120" w:line="240" w:lineRule="auto"/>
        <w:jc w:val="both"/>
        <w:rPr>
          <w:rFonts w:cs="Times New Roman"/>
          <w:noProof/>
        </w:rPr>
      </w:pPr>
      <w:r>
        <w:rPr>
          <w:noProof/>
        </w:rPr>
        <w:t>Uudistuksella on seuraavat tavoitteet:</w:t>
      </w:r>
    </w:p>
    <w:p w14:paraId="533E27A3" w14:textId="77777777" w:rsidR="000E48CE" w:rsidRDefault="00FF4C4E">
      <w:pPr>
        <w:pStyle w:val="P68B1DB1-Normal4"/>
        <w:numPr>
          <w:ilvl w:val="2"/>
          <w:numId w:val="148"/>
        </w:numPr>
        <w:spacing w:before="120" w:after="160" w:line="240" w:lineRule="auto"/>
        <w:ind w:left="709"/>
        <w:contextualSpacing/>
        <w:jc w:val="both"/>
        <w:rPr>
          <w:rFonts w:cs="Times New Roman"/>
          <w:noProof/>
        </w:rPr>
      </w:pPr>
      <w:r>
        <w:rPr>
          <w:noProof/>
        </w:rPr>
        <w:t xml:space="preserve">laajennetaan työttömyysturvaa täyttämällä joitakin nykyisen järjestelmän kattavuuden puutteita ja pidentämällä enimmäiskestoa; </w:t>
      </w:r>
    </w:p>
    <w:p w14:paraId="12836CE3" w14:textId="77777777" w:rsidR="000E48CE" w:rsidRDefault="00FF4C4E">
      <w:pPr>
        <w:pStyle w:val="P68B1DB1-Normal4"/>
        <w:numPr>
          <w:ilvl w:val="2"/>
          <w:numId w:val="148"/>
        </w:numPr>
        <w:spacing w:before="120" w:after="160" w:line="240" w:lineRule="auto"/>
        <w:ind w:left="709"/>
        <w:contextualSpacing/>
        <w:jc w:val="both"/>
        <w:rPr>
          <w:rFonts w:cs="Times New Roman"/>
          <w:noProof/>
        </w:rPr>
      </w:pPr>
      <w:r>
        <w:rPr>
          <w:noProof/>
        </w:rPr>
        <w:t>yksinkertaistaa järjestelmää, joka on tällä hetkellä hajautunut useisiin järjestelm</w:t>
      </w:r>
      <w:r>
        <w:rPr>
          <w:noProof/>
        </w:rPr>
        <w:t xml:space="preserve">iin; </w:t>
      </w:r>
    </w:p>
    <w:p w14:paraId="56F4FDAE" w14:textId="77777777" w:rsidR="000E48CE" w:rsidRDefault="00FF4C4E">
      <w:pPr>
        <w:pStyle w:val="P68B1DB1-Normal4"/>
        <w:numPr>
          <w:ilvl w:val="2"/>
          <w:numId w:val="148"/>
        </w:numPr>
        <w:spacing w:before="120" w:after="160" w:line="240" w:lineRule="auto"/>
        <w:ind w:left="709"/>
        <w:contextualSpacing/>
        <w:jc w:val="both"/>
        <w:rPr>
          <w:rFonts w:cs="Times New Roman"/>
          <w:noProof/>
        </w:rPr>
      </w:pPr>
      <w:r>
        <w:rPr>
          <w:noProof/>
        </w:rPr>
        <w:t xml:space="preserve">kytkeä etuus yksilölliseen aktivointireittiin; </w:t>
      </w:r>
    </w:p>
    <w:p w14:paraId="0FB4E56A" w14:textId="77777777" w:rsidR="000E48CE" w:rsidRDefault="00FF4C4E">
      <w:pPr>
        <w:pStyle w:val="P68B1DB1-Normal4"/>
        <w:numPr>
          <w:ilvl w:val="2"/>
          <w:numId w:val="148"/>
        </w:numPr>
        <w:spacing w:before="120" w:after="160" w:line="240" w:lineRule="auto"/>
        <w:ind w:left="709"/>
        <w:contextualSpacing/>
        <w:jc w:val="both"/>
        <w:rPr>
          <w:rFonts w:cs="Times New Roman"/>
          <w:noProof/>
        </w:rPr>
      </w:pPr>
      <w:r>
        <w:rPr>
          <w:noProof/>
        </w:rPr>
        <w:t>helpottaa siirtymistä sosiaaliseen suojeluun silloin, kun edunsaaja ei palaa työhön ja on haavoittuvassa asemassa.</w:t>
      </w:r>
    </w:p>
    <w:p w14:paraId="29D1C7E2" w14:textId="77777777" w:rsidR="000E48CE" w:rsidRDefault="00FF4C4E">
      <w:pPr>
        <w:pStyle w:val="P68B1DB1-Normal4"/>
        <w:spacing w:before="240" w:after="120" w:line="240" w:lineRule="auto"/>
        <w:jc w:val="both"/>
        <w:rPr>
          <w:rFonts w:cs="Times New Roman"/>
          <w:noProof/>
        </w:rPr>
      </w:pPr>
      <w:r>
        <w:rPr>
          <w:noProof/>
        </w:rPr>
        <w:t>Yleisenä sääntönä on, että uuden järjestelmän kohderyhmä on sama kuin nykyisessä järjes</w:t>
      </w:r>
      <w:r>
        <w:rPr>
          <w:noProof/>
        </w:rPr>
        <w:t>telmässä, eli työttömät työntekijät, jotka eivät ole oikeutettuja maksuihin perustuviin työttömyysetuuksiin joko siksi, että he ovat olleet työttöminä liian pitkään ja he ovat käyttäneet oikeuksiaan, tai siksi, että heidän maksuhistoriansa on liian lyhyt (</w:t>
      </w:r>
      <w:r>
        <w:rPr>
          <w:noProof/>
        </w:rPr>
        <w:t>alle 12 kuukautta mutta yli kuusi kuukautta). Etuuden kuukausittainen määrä on 80 prosenttia ”IPREM:stä” (julkisten tulojen indikaattori moninkertaisista vaikutuksista).</w:t>
      </w:r>
    </w:p>
    <w:p w14:paraId="6FEE01AA"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31 päivään joulukuuta 2022 mennes</w:t>
      </w:r>
      <w:r>
        <w:rPr>
          <w:noProof/>
        </w:rPr>
        <w:t>sä.</w:t>
      </w:r>
    </w:p>
    <w:p w14:paraId="18C2CB6D" w14:textId="77777777" w:rsidR="000E48CE" w:rsidRDefault="00FF4C4E">
      <w:pPr>
        <w:pStyle w:val="P68B1DB1-Normal6"/>
        <w:keepNext/>
        <w:spacing w:before="120" w:after="120" w:line="240" w:lineRule="auto"/>
        <w:jc w:val="both"/>
        <w:rPr>
          <w:rFonts w:cs="Times New Roman"/>
          <w:noProof/>
        </w:rPr>
      </w:pPr>
      <w:r>
        <w:rPr>
          <w:noProof/>
        </w:rPr>
        <w:t xml:space="preserve">Uudistus 11 (C23.R11) – Julkisten työvoimapalvelujen digitalisointi niiden nykyaikaistamiseksi ja tehostamiseksi. </w:t>
      </w:r>
    </w:p>
    <w:p w14:paraId="0402C109" w14:textId="77777777" w:rsidR="000E48CE" w:rsidRDefault="00FF4C4E">
      <w:pPr>
        <w:pStyle w:val="P68B1DB1-Normal4"/>
        <w:keepNext/>
        <w:spacing w:before="120" w:after="120" w:line="240" w:lineRule="auto"/>
        <w:jc w:val="both"/>
        <w:rPr>
          <w:rFonts w:cs="Times New Roman"/>
          <w:noProof/>
        </w:rPr>
      </w:pPr>
      <w:r>
        <w:rPr>
          <w:noProof/>
        </w:rPr>
        <w:t>Uudistuksen tavoitteena on muuttaa julkisten työvoimapalvelujen tarjontaa ja parantaa niiden tehokkuutta kansalaisten ja yritysten kannal</w:t>
      </w:r>
      <w:r>
        <w:rPr>
          <w:noProof/>
        </w:rPr>
        <w:t>ta. Uudistus koostuu seuraavista osista:</w:t>
      </w:r>
    </w:p>
    <w:p w14:paraId="78B41EBA" w14:textId="77777777" w:rsidR="000E48CE" w:rsidRDefault="00FF4C4E">
      <w:pPr>
        <w:pStyle w:val="P68B1DB1-Normal4"/>
        <w:numPr>
          <w:ilvl w:val="0"/>
          <w:numId w:val="149"/>
        </w:numPr>
        <w:spacing w:before="120" w:after="160" w:line="240" w:lineRule="auto"/>
        <w:contextualSpacing/>
        <w:jc w:val="both"/>
        <w:rPr>
          <w:rFonts w:cs="Times New Roman"/>
          <w:noProof/>
        </w:rPr>
      </w:pPr>
      <w:r>
        <w:rPr>
          <w:noProof/>
        </w:rPr>
        <w:t>Sisäisen hallinnon parantaminen: nykyaikaistetaan työttömyysetuusjärjestelmää tukevia tietojärjestelmiä sekä aktiivisia työmarkkinapolitiikkoja tukevia tietojärjestelmiä.</w:t>
      </w:r>
    </w:p>
    <w:p w14:paraId="310BC912" w14:textId="77777777" w:rsidR="000E48CE" w:rsidRDefault="00FF4C4E">
      <w:pPr>
        <w:pStyle w:val="P68B1DB1-Normal4"/>
        <w:numPr>
          <w:ilvl w:val="0"/>
          <w:numId w:val="149"/>
        </w:numPr>
        <w:spacing w:before="120" w:after="160" w:line="240" w:lineRule="auto"/>
        <w:contextualSpacing/>
        <w:jc w:val="both"/>
        <w:rPr>
          <w:rFonts w:cs="Times New Roman"/>
          <w:noProof/>
        </w:rPr>
      </w:pPr>
      <w:r>
        <w:rPr>
          <w:noProof/>
        </w:rPr>
        <w:t xml:space="preserve">Kaikkien kansalaisille ja yrityksille </w:t>
      </w:r>
      <w:r>
        <w:rPr>
          <w:noProof/>
        </w:rPr>
        <w:t>tarkoitettujen julkisten palvelujen digitalisointi ja asiakaspalvelun parantaminen, mukaan lukien uusien palvelujen tarjoaminen (mobiilisovellus ja parannettu ennakkovalintajärjestelmä ja verkkopalvelut).</w:t>
      </w:r>
    </w:p>
    <w:p w14:paraId="2C2D88FD" w14:textId="77777777" w:rsidR="000E48CE" w:rsidRDefault="00FF4C4E">
      <w:pPr>
        <w:pStyle w:val="P68B1DB1-Normal4"/>
        <w:numPr>
          <w:ilvl w:val="0"/>
          <w:numId w:val="149"/>
        </w:numPr>
        <w:spacing w:before="120" w:after="160" w:line="240" w:lineRule="auto"/>
        <w:contextualSpacing/>
        <w:jc w:val="both"/>
        <w:rPr>
          <w:rFonts w:cs="Times New Roman"/>
          <w:noProof/>
        </w:rPr>
      </w:pPr>
      <w:r>
        <w:rPr>
          <w:noProof/>
        </w:rPr>
        <w:t>Tilastot ja tiedonhallinta: Otetaan käyttöön asianm</w:t>
      </w:r>
      <w:r>
        <w:rPr>
          <w:noProof/>
        </w:rPr>
        <w:t>ukainen tiedonhallinta, joka edistää päätöksentekoa, sekä yhteiskunnallisesti arvokkaiden tietojen julkaiseminen.</w:t>
      </w:r>
    </w:p>
    <w:p w14:paraId="69ED1664" w14:textId="77777777" w:rsidR="000E48CE" w:rsidRDefault="00FF4C4E">
      <w:pPr>
        <w:pStyle w:val="P68B1DB1-Normal4"/>
        <w:numPr>
          <w:ilvl w:val="0"/>
          <w:numId w:val="149"/>
        </w:numPr>
        <w:spacing w:before="120" w:after="160" w:line="240" w:lineRule="auto"/>
        <w:contextualSpacing/>
        <w:jc w:val="both"/>
        <w:rPr>
          <w:rFonts w:cs="Times New Roman"/>
          <w:noProof/>
        </w:rPr>
      </w:pPr>
      <w:r>
        <w:rPr>
          <w:noProof/>
        </w:rPr>
        <w:t>Petostentorjuntajärjestelmien parantaminen tekoälyjärjestelmien ja massadatan avulla.</w:t>
      </w:r>
    </w:p>
    <w:p w14:paraId="4780FB48" w14:textId="77777777" w:rsidR="000E48CE" w:rsidRDefault="00FF4C4E">
      <w:pPr>
        <w:pStyle w:val="P68B1DB1-Normal4"/>
        <w:numPr>
          <w:ilvl w:val="0"/>
          <w:numId w:val="149"/>
        </w:numPr>
        <w:spacing w:before="120" w:after="160" w:line="240" w:lineRule="auto"/>
        <w:contextualSpacing/>
        <w:jc w:val="both"/>
        <w:rPr>
          <w:rFonts w:cs="Times New Roman"/>
          <w:noProof/>
        </w:rPr>
      </w:pPr>
      <w:r>
        <w:rPr>
          <w:noProof/>
        </w:rPr>
        <w:t>Työpaikkojen ja infrastruktuurien nykyaikaistaminen julk</w:t>
      </w:r>
      <w:r>
        <w:rPr>
          <w:noProof/>
        </w:rPr>
        <w:t>isten työvoimapalvelujen henkilöstön etätyöjärjestelyjen helpottamiseksi.</w:t>
      </w:r>
    </w:p>
    <w:p w14:paraId="3A34C3C9" w14:textId="77777777" w:rsidR="000E48CE" w:rsidRDefault="00FF4C4E">
      <w:pPr>
        <w:pStyle w:val="P68B1DB1-Normal4"/>
        <w:spacing w:before="240" w:after="120" w:line="240" w:lineRule="auto"/>
        <w:jc w:val="both"/>
        <w:rPr>
          <w:rFonts w:cs="Times New Roman"/>
          <w:noProof/>
        </w:rPr>
      </w:pPr>
      <w:r>
        <w:rPr>
          <w:noProof/>
        </w:rPr>
        <w:t>Julkisten työvoimapalvelujen uudistus on osa yleisempää pyrkimystä nykyaikaistaa ja digitalisoida julkishallintoja (elpymis- ja palautumissuunnitelman osa-alue 11). Julkisten työvoim</w:t>
      </w:r>
      <w:r>
        <w:rPr>
          <w:noProof/>
        </w:rPr>
        <w:t xml:space="preserve">apalvelujen uudistus rahoitetaan osa-alueen 11 investointia koskevilla sopimuksilla ja toteuttamalla investointi 2. </w:t>
      </w:r>
    </w:p>
    <w:p w14:paraId="1547CC91" w14:textId="77777777" w:rsidR="000E48CE" w:rsidRDefault="00FF4C4E">
      <w:pPr>
        <w:pStyle w:val="P68B1DB1-Normal4"/>
        <w:spacing w:before="120" w:after="120" w:line="240" w:lineRule="auto"/>
        <w:jc w:val="both"/>
        <w:rPr>
          <w:rFonts w:cs="Times New Roman"/>
          <w:noProof/>
        </w:rPr>
      </w:pPr>
      <w:r>
        <w:rPr>
          <w:noProof/>
        </w:rPr>
        <w:t>Uudistuksen toteutus on määrä saattaa päätökseen 31. joulukuuta 2023 mennessä.</w:t>
      </w:r>
    </w:p>
    <w:p w14:paraId="7E7F8248" w14:textId="77777777" w:rsidR="000E48CE" w:rsidRDefault="00FF4C4E">
      <w:pPr>
        <w:pStyle w:val="P68B1DB1-Normal6"/>
        <w:spacing w:before="120" w:after="120" w:line="240" w:lineRule="auto"/>
        <w:jc w:val="both"/>
        <w:rPr>
          <w:rFonts w:cs="Times New Roman"/>
          <w:noProof/>
        </w:rPr>
      </w:pPr>
      <w:r>
        <w:rPr>
          <w:noProof/>
        </w:rPr>
        <w:t>Investointi 1 (C23.I1) – Nuorisotyöllisyys</w:t>
      </w:r>
    </w:p>
    <w:p w14:paraId="7CB5F96A" w14:textId="77777777" w:rsidR="000E48CE" w:rsidRDefault="00FF4C4E">
      <w:pPr>
        <w:pStyle w:val="P68B1DB1-Normal4"/>
        <w:spacing w:before="120" w:after="120" w:line="240" w:lineRule="auto"/>
        <w:jc w:val="both"/>
        <w:rPr>
          <w:rFonts w:cs="Times New Roman"/>
          <w:noProof/>
        </w:rPr>
      </w:pPr>
      <w:r>
        <w:rPr>
          <w:noProof/>
        </w:rPr>
        <w:t>Investointi katta</w:t>
      </w:r>
      <w:r>
        <w:rPr>
          <w:noProof/>
        </w:rPr>
        <w:t>a joukon aktivointi- ja koulutusohjelmia nuorille työnhakijoille (16–29-vuotiaat), joiden tavoitteena on tukea heidän integroitumistaan työmarkkinoille. Se koostuu seuraavista toimista:</w:t>
      </w:r>
    </w:p>
    <w:p w14:paraId="6C2E620C" w14:textId="77777777" w:rsidR="000E48CE" w:rsidRDefault="00FF4C4E">
      <w:pPr>
        <w:pStyle w:val="P68B1DB1-Normal4"/>
        <w:numPr>
          <w:ilvl w:val="0"/>
          <w:numId w:val="150"/>
        </w:numPr>
        <w:spacing w:before="120" w:after="160" w:line="240" w:lineRule="auto"/>
        <w:contextualSpacing/>
        <w:jc w:val="both"/>
        <w:rPr>
          <w:rFonts w:cs="Times New Roman"/>
          <w:noProof/>
        </w:rPr>
      </w:pPr>
      <w:r>
        <w:rPr>
          <w:noProof/>
        </w:rPr>
        <w:t>”Tandem”-ohjelma. Se tarjoaa 16–29-vuotiaille nuorille työssäoppimista</w:t>
      </w:r>
      <w:r>
        <w:rPr>
          <w:noProof/>
        </w:rPr>
        <w:t xml:space="preserve"> julkisissa koulutyöpajoissa keskittyen vihreän ja digitaalisen siirtymän, sosiaalihuollon ja alueellisen yhteenkuuluvuuden edellyttämiin taitoihin. Avustukset saavat keskushallinnon julkisyhteisöt ja muut valtion julkisen sektorin yhteisöt sekä täytäntöön</w:t>
      </w:r>
      <w:r>
        <w:rPr>
          <w:noProof/>
        </w:rPr>
        <w:t xml:space="preserve">panosta vastaavat yhdistykset, säätiöt ja muut voittoa tavoittelemattomat yhteisöt. </w:t>
      </w:r>
    </w:p>
    <w:p w14:paraId="4A746104" w14:textId="77777777" w:rsidR="000E48CE" w:rsidRDefault="00FF4C4E">
      <w:pPr>
        <w:pStyle w:val="P68B1DB1-Normal4"/>
        <w:numPr>
          <w:ilvl w:val="0"/>
          <w:numId w:val="150"/>
        </w:numPr>
        <w:spacing w:before="120" w:after="160" w:line="240" w:lineRule="auto"/>
        <w:contextualSpacing/>
        <w:jc w:val="both"/>
        <w:rPr>
          <w:rFonts w:cs="Times New Roman"/>
          <w:noProof/>
        </w:rPr>
      </w:pPr>
      <w:r>
        <w:rPr>
          <w:noProof/>
        </w:rPr>
        <w:t>Ohjelma ”Ensimmäinen työkokemus” julkishallinnossa. Se tarjoaa virallisen koulutuksensa suorittaneille työttömille nuorille alkukokemusta julkisella sektorilla (sekä kesku</w:t>
      </w:r>
      <w:r>
        <w:rPr>
          <w:noProof/>
        </w:rPr>
        <w:t>s- että aluehallinnossa). Heidän on hankittava pehmeitä taitoja työskentelemällä vihreään ja digitaaliseen siirtymään, sosiaalihuoltoon ja alueelliseen yhteenkuuluvuuteen liittyvissä työpaikoissa. Avustukset myönnetään täytäntöönpanosta vastaaville keskus-</w:t>
      </w:r>
      <w:r>
        <w:rPr>
          <w:noProof/>
        </w:rPr>
        <w:t xml:space="preserve"> ja aluehallinnon julkisille elimille. </w:t>
      </w:r>
    </w:p>
    <w:p w14:paraId="6DBABDA0" w14:textId="77777777" w:rsidR="000E48CE" w:rsidRDefault="00FF4C4E">
      <w:pPr>
        <w:pStyle w:val="P68B1DB1-Normal4"/>
        <w:numPr>
          <w:ilvl w:val="0"/>
          <w:numId w:val="150"/>
        </w:numPr>
        <w:spacing w:before="120" w:after="160" w:line="240" w:lineRule="auto"/>
        <w:contextualSpacing/>
        <w:jc w:val="both"/>
        <w:rPr>
          <w:rFonts w:cs="Times New Roman"/>
          <w:noProof/>
        </w:rPr>
      </w:pPr>
      <w:r>
        <w:rPr>
          <w:i/>
          <w:noProof/>
        </w:rPr>
        <w:t>Tutkimusohjelma</w:t>
      </w:r>
      <w:r>
        <w:rPr>
          <w:noProof/>
        </w:rPr>
        <w:t xml:space="preserve">. Se kattaa nuorten tutkijoiden rekrytoinnin julkisiin tutkimuslaitoksiin, julkisiin yliopistoihin, teknologiakeskuksiin ja muihin julkisiin ja yksityisiin yksiköihin, joilla on tutkimushanke. </w:t>
      </w:r>
    </w:p>
    <w:p w14:paraId="3009A7E6" w14:textId="77777777" w:rsidR="000E48CE" w:rsidRDefault="00FF4C4E">
      <w:pPr>
        <w:pStyle w:val="P68B1DB1-Normal4"/>
        <w:spacing w:before="240" w:after="120" w:line="240" w:lineRule="auto"/>
        <w:jc w:val="both"/>
        <w:rPr>
          <w:rFonts w:cs="Times New Roman"/>
          <w:noProof/>
          <w:u w:val="single"/>
        </w:rPr>
      </w:pPr>
      <w:r>
        <w:rPr>
          <w:noProof/>
        </w:rPr>
        <w:t>Investo</w:t>
      </w:r>
      <w:r>
        <w:rPr>
          <w:noProof/>
        </w:rPr>
        <w:t>innin toteutus saatetaan päätökseen viimeistään 31. joulukuuta 2025.</w:t>
      </w:r>
    </w:p>
    <w:p w14:paraId="7D7AF74C" w14:textId="77777777" w:rsidR="000E48CE" w:rsidRDefault="00FF4C4E">
      <w:pPr>
        <w:pStyle w:val="P68B1DB1-Normal6"/>
        <w:spacing w:before="120" w:after="120" w:line="240" w:lineRule="auto"/>
        <w:jc w:val="both"/>
        <w:rPr>
          <w:rFonts w:cs="Times New Roman"/>
          <w:noProof/>
        </w:rPr>
      </w:pPr>
      <w:r>
        <w:rPr>
          <w:noProof/>
        </w:rPr>
        <w:t>Investointi 2 (C23.I2) – Naisten työllisyys ja sukupuolten tasa-arvon valtavirtaistaminen aktiivisessa työmarkkinapolitiikassa</w:t>
      </w:r>
    </w:p>
    <w:p w14:paraId="716E0928" w14:textId="77777777" w:rsidR="000E48CE" w:rsidRDefault="00FF4C4E">
      <w:pPr>
        <w:pStyle w:val="P68B1DB1-Normal4"/>
        <w:spacing w:before="120" w:after="120" w:line="240" w:lineRule="auto"/>
        <w:jc w:val="both"/>
        <w:rPr>
          <w:rFonts w:cs="Times New Roman"/>
          <w:noProof/>
        </w:rPr>
      </w:pPr>
      <w:r>
        <w:rPr>
          <w:noProof/>
        </w:rPr>
        <w:t>Investoinnin tavoitteena on parantaa naisten integroitumista</w:t>
      </w:r>
      <w:r>
        <w:rPr>
          <w:noProof/>
        </w:rPr>
        <w:t xml:space="preserve"> työmarkkinoille, mikä on linjassa monien muiden sukupuolten tasapuolisen edustuksen edistämistä koskevan suunnitelman toimenpiteiden kanssa. Se koostuu seuraavista toimista:</w:t>
      </w:r>
    </w:p>
    <w:p w14:paraId="256228C3" w14:textId="77777777" w:rsidR="000E48CE" w:rsidRDefault="00FF4C4E">
      <w:pPr>
        <w:pStyle w:val="P68B1DB1-Normal4"/>
        <w:numPr>
          <w:ilvl w:val="0"/>
          <w:numId w:val="151"/>
        </w:numPr>
        <w:spacing w:before="120" w:after="160" w:line="240" w:lineRule="auto"/>
        <w:contextualSpacing/>
        <w:jc w:val="both"/>
        <w:rPr>
          <w:rFonts w:cs="Times New Roman"/>
          <w:noProof/>
        </w:rPr>
      </w:pPr>
      <w:r>
        <w:rPr>
          <w:noProof/>
        </w:rPr>
        <w:t>Maaseudun ja kaupunkialueiden naisille tarkoitettu tuki. Se kattaa koulutustoimet</w:t>
      </w:r>
      <w:r>
        <w:rPr>
          <w:noProof/>
        </w:rPr>
        <w:t xml:space="preserve"> digitaalisen, vihreän, pitkäaikaishoidon, yrittäjyyden ja yhteisötalouden aloilla. Koulutustarjonnasta vastaaville julkisille ja yksityisille tahoille järjestetään ehdotuspyyntöjä. </w:t>
      </w:r>
    </w:p>
    <w:p w14:paraId="41C2839A" w14:textId="77777777" w:rsidR="000E48CE" w:rsidRDefault="00FF4C4E">
      <w:pPr>
        <w:pStyle w:val="P68B1DB1-Normal4"/>
        <w:numPr>
          <w:ilvl w:val="0"/>
          <w:numId w:val="151"/>
        </w:numPr>
        <w:spacing w:before="120" w:after="160" w:line="240" w:lineRule="auto"/>
        <w:contextualSpacing/>
        <w:jc w:val="both"/>
        <w:rPr>
          <w:rFonts w:cs="Times New Roman"/>
          <w:noProof/>
        </w:rPr>
      </w:pPr>
      <w:r>
        <w:rPr>
          <w:noProof/>
        </w:rPr>
        <w:t>Väkivallan tai ihmiskaupan uhreiksi joutuneille naisille tarkoitettu tuki</w:t>
      </w:r>
      <w:r>
        <w:rPr>
          <w:noProof/>
        </w:rPr>
        <w:t>. Se kattaa näiden naisten kotouttamisväylät kahdessa vaiheessa. Ensimmäisten kuuden kuukauden aikana osallistujat noudattavat yksilöllisiä sosiaalisen osallisuuden väyliä, ja seuraavat kuusi kuukautta osallistuvat työssä tapahtuvaan koulutukseen, jossa ty</w:t>
      </w:r>
      <w:r>
        <w:rPr>
          <w:noProof/>
        </w:rPr>
        <w:t xml:space="preserve">önantajat sitoutuvat rekrytoimaan heidät sen jälkeen. </w:t>
      </w:r>
    </w:p>
    <w:p w14:paraId="5E3F7EB7" w14:textId="77777777" w:rsidR="000E48CE" w:rsidRDefault="00FF4C4E">
      <w:pPr>
        <w:pStyle w:val="P68B1DB1-Normal4"/>
        <w:numPr>
          <w:ilvl w:val="0"/>
          <w:numId w:val="151"/>
        </w:numPr>
        <w:spacing w:before="120" w:after="160" w:line="240" w:lineRule="auto"/>
        <w:contextualSpacing/>
        <w:jc w:val="both"/>
        <w:rPr>
          <w:rFonts w:cs="Times New Roman"/>
          <w:noProof/>
        </w:rPr>
      </w:pPr>
      <w:r>
        <w:rPr>
          <w:noProof/>
        </w:rPr>
        <w:t>Sukupuolten tasa-arvon valtavirtaistaminen aktiivisessa työmarkkinapolitiikassa. Se koskee sukupuolten tasa-arvon valtavirtaistamisen sisällyttämistä julkisten työvoimapalvelujen vuotuisten (sekä kesku</w:t>
      </w:r>
      <w:r>
        <w:rPr>
          <w:noProof/>
        </w:rPr>
        <w:t>s- että aluekohtaisten) työllisyyssuunnitelmien kaikkiin osiin vuosina 2021–2023. Tätä varten on vuokrattava konsulttipalveluja.</w:t>
      </w:r>
    </w:p>
    <w:p w14:paraId="44ED0F2B" w14:textId="77777777" w:rsidR="000E48CE" w:rsidRDefault="00FF4C4E">
      <w:pPr>
        <w:pStyle w:val="P68B1DB1-Normal4"/>
        <w:spacing w:before="240" w:after="120" w:line="240" w:lineRule="auto"/>
        <w:jc w:val="both"/>
        <w:rPr>
          <w:rFonts w:cs="Times New Roman"/>
          <w:noProof/>
        </w:rPr>
      </w:pPr>
      <w:r>
        <w:rPr>
          <w:noProof/>
        </w:rPr>
        <w:t>Investoinnin toteutus saatetaan päätökseen viimeistään 31. joulukuuta 2025.</w:t>
      </w:r>
    </w:p>
    <w:p w14:paraId="556BB28C" w14:textId="77777777" w:rsidR="000E48CE" w:rsidRDefault="00FF4C4E">
      <w:pPr>
        <w:pStyle w:val="P68B1DB1-Normal6"/>
        <w:spacing w:before="120" w:after="120" w:line="240" w:lineRule="auto"/>
        <w:jc w:val="both"/>
        <w:rPr>
          <w:rFonts w:cs="Times New Roman"/>
          <w:noProof/>
        </w:rPr>
      </w:pPr>
      <w:r>
        <w:rPr>
          <w:noProof/>
        </w:rPr>
        <w:t xml:space="preserve">Investointi 3 (C23.I3) – Uudet taidot vihreää, </w:t>
      </w:r>
      <w:r>
        <w:rPr>
          <w:noProof/>
        </w:rPr>
        <w:t>digitaalista ja tuotannollista siirtymää varten</w:t>
      </w:r>
    </w:p>
    <w:p w14:paraId="1FAD7B1B" w14:textId="77777777" w:rsidR="000E48CE" w:rsidRDefault="00FF4C4E">
      <w:pPr>
        <w:pStyle w:val="P68B1DB1-Normal4"/>
        <w:spacing w:before="120" w:after="120" w:line="240" w:lineRule="auto"/>
        <w:jc w:val="both"/>
        <w:rPr>
          <w:rFonts w:cs="Times New Roman"/>
          <w:noProof/>
        </w:rPr>
      </w:pPr>
      <w:r>
        <w:rPr>
          <w:noProof/>
        </w:rPr>
        <w:t>Investointi kattaa erilaisia koulutusaloitteita, joiden tavoitteena on kouluttaa uudelleen työntekijöitä, jotka ovat vaarassa joutua siirtymään. Se koostuu seuraavista toimintalinjoista:</w:t>
      </w:r>
    </w:p>
    <w:p w14:paraId="5D5870E8" w14:textId="0637B59A" w:rsidR="000E48CE" w:rsidRDefault="00FF4C4E">
      <w:pPr>
        <w:pStyle w:val="P68B1DB1-Normal4"/>
        <w:numPr>
          <w:ilvl w:val="0"/>
          <w:numId w:val="152"/>
        </w:numPr>
        <w:spacing w:before="120" w:after="160" w:line="240" w:lineRule="auto"/>
        <w:contextualSpacing/>
        <w:jc w:val="both"/>
        <w:rPr>
          <w:rFonts w:cs="Times New Roman"/>
          <w:noProof/>
        </w:rPr>
      </w:pPr>
      <w:r>
        <w:rPr>
          <w:noProof/>
        </w:rPr>
        <w:t>Avustuksia ja tarjous</w:t>
      </w:r>
      <w:r>
        <w:rPr>
          <w:noProof/>
        </w:rPr>
        <w:t>kilpailuja uusien taitojen hankkimiseksi digitaalista, vihreää ja tuottavaa muutosta varten. Se on suunnattu matkailualan työntekijöille, työttömille, miehitetyille</w:t>
      </w:r>
      <w:r>
        <w:rPr>
          <w:noProof/>
          <w:shd w:val="clear" w:color="auto" w:fill="FFFFFF" w:themeFill="background1"/>
        </w:rPr>
        <w:t xml:space="preserve"> ja</w:t>
      </w:r>
      <w:r>
        <w:rPr>
          <w:noProof/>
        </w:rPr>
        <w:t xml:space="preserve"> ERTE-ohjelman piiriin kuuluville henkilöille. Koulutustoimien keston on oltava sama kuin</w:t>
      </w:r>
      <w:r>
        <w:rPr>
          <w:noProof/>
        </w:rPr>
        <w:t xml:space="preserve"> tuotantosektorilla.</w:t>
      </w:r>
    </w:p>
    <w:p w14:paraId="24F053AB" w14:textId="77777777" w:rsidR="000E48CE" w:rsidRDefault="00FF4C4E">
      <w:pPr>
        <w:pStyle w:val="P68B1DB1-Normal4"/>
        <w:numPr>
          <w:ilvl w:val="0"/>
          <w:numId w:val="152"/>
        </w:numPr>
        <w:spacing w:before="120" w:after="160" w:line="240" w:lineRule="auto"/>
        <w:contextualSpacing/>
        <w:jc w:val="both"/>
        <w:rPr>
          <w:rFonts w:cs="Times New Roman"/>
          <w:noProof/>
        </w:rPr>
      </w:pPr>
      <w:r>
        <w:rPr>
          <w:noProof/>
        </w:rPr>
        <w:t>Koulutussetelit uusien taitojen hankkimiseksi digitaalista, vihreää ja tuottavaa muutosta varten. Se kohdistuu samantyyppisiin työntekijöihin kuin edellisessä toimintalinjassa, mutta tässä tapauksessa tuensaaja saa suoraa tukea vihreää</w:t>
      </w:r>
      <w:r>
        <w:rPr>
          <w:noProof/>
        </w:rPr>
        <w:t>n, digitaaliseen ja muihin strategisiin aloihin liittyvää osaamista koskevaan koulutukseen.</w:t>
      </w:r>
    </w:p>
    <w:p w14:paraId="32C6835D" w14:textId="08E1EB0E" w:rsidR="000E48CE" w:rsidRDefault="00FF4C4E">
      <w:pPr>
        <w:pStyle w:val="P68B1DB1-Normal4"/>
        <w:numPr>
          <w:ilvl w:val="0"/>
          <w:numId w:val="152"/>
        </w:numPr>
        <w:spacing w:before="120" w:after="160" w:line="240" w:lineRule="auto"/>
        <w:contextualSpacing/>
        <w:jc w:val="both"/>
        <w:rPr>
          <w:rFonts w:cs="Times New Roman"/>
          <w:noProof/>
        </w:rPr>
      </w:pPr>
      <w:r>
        <w:rPr>
          <w:noProof/>
        </w:rPr>
        <w:t>Osaamistarpeiden havaitseminen. Tutkimuksella, joka perustuu vähintään 23:lla tuotantosektorilla tehtyyn tutkimukseen, on vastattava tehokkaasti työmarkkinoiden kou</w:t>
      </w:r>
      <w:r>
        <w:rPr>
          <w:noProof/>
        </w:rPr>
        <w:t>lutus- ja uudelleenkoulutustarpeisiin, mukaan lukien digitaaliseen siirtymään ja vihreään siirtymään liittyvät taidot. Sen on myös ennakoitava muutoksia ja vastattava ammattitaitoisen työvoiman mahdolliseen kysyntään.</w:t>
      </w:r>
    </w:p>
    <w:p w14:paraId="04AA6220" w14:textId="223E96E2" w:rsidR="000E48CE" w:rsidRDefault="00FF4C4E">
      <w:pPr>
        <w:pStyle w:val="P68B1DB1-Normal4"/>
        <w:spacing w:before="240" w:after="120" w:line="240" w:lineRule="auto"/>
        <w:jc w:val="both"/>
        <w:rPr>
          <w:rFonts w:cs="Times New Roman"/>
          <w:noProof/>
        </w:rPr>
      </w:pPr>
      <w:r>
        <w:rPr>
          <w:noProof/>
        </w:rPr>
        <w:t>Investoinnin toteutus saatetaan päätök</w:t>
      </w:r>
      <w:r>
        <w:rPr>
          <w:noProof/>
        </w:rPr>
        <w:t>seen viimeistään 31. joulukuuta 2025.</w:t>
      </w:r>
    </w:p>
    <w:p w14:paraId="17832937" w14:textId="77777777" w:rsidR="000E48CE" w:rsidRDefault="00FF4C4E">
      <w:pPr>
        <w:pStyle w:val="P68B1DB1-Normal6"/>
        <w:spacing w:before="120" w:after="120" w:line="240" w:lineRule="auto"/>
        <w:jc w:val="both"/>
        <w:rPr>
          <w:rFonts w:cs="Times New Roman"/>
          <w:noProof/>
        </w:rPr>
      </w:pPr>
      <w:r>
        <w:rPr>
          <w:noProof/>
        </w:rPr>
        <w:t>Investointi 4 (C23.I4) – Uudet alueelliset hankkeet tasapainottamiseksi ja pääomaksi</w:t>
      </w:r>
    </w:p>
    <w:p w14:paraId="1DD0D051" w14:textId="77777777" w:rsidR="000E48CE" w:rsidRDefault="00FF4C4E">
      <w:pPr>
        <w:pStyle w:val="P68B1DB1-Normal4"/>
        <w:spacing w:before="120" w:after="120" w:line="240" w:lineRule="auto"/>
        <w:jc w:val="both"/>
        <w:rPr>
          <w:rFonts w:cs="Times New Roman"/>
          <w:noProof/>
        </w:rPr>
      </w:pPr>
      <w:r>
        <w:rPr>
          <w:noProof/>
        </w:rPr>
        <w:t>Tällä investoinnilla on rahoitettava vähintään 68 uutta alueellista hanketta, joiden tavoitteena on vastata väestökehityksen haastees</w:t>
      </w:r>
      <w:r>
        <w:rPr>
          <w:noProof/>
        </w:rPr>
        <w:t xml:space="preserve">een ja helpottaa tuotannollista muutosta erityisesti kohti vihreää ja digitaalista taloutta. Maan kullakin autonomisella alueella on toteutettava vähintään neljä hanketta. </w:t>
      </w:r>
    </w:p>
    <w:p w14:paraId="6ED462C7" w14:textId="77777777" w:rsidR="000E48CE" w:rsidRDefault="00FF4C4E">
      <w:pPr>
        <w:pStyle w:val="P68B1DB1-Normal4"/>
        <w:spacing w:before="120" w:after="120" w:line="240" w:lineRule="auto"/>
        <w:jc w:val="both"/>
        <w:rPr>
          <w:rFonts w:cs="Times New Roman"/>
          <w:noProof/>
        </w:rPr>
      </w:pPr>
      <w:r>
        <w:rPr>
          <w:noProof/>
        </w:rPr>
        <w:t>Se koostuu kahdentyyppisistä hankkeista:</w:t>
      </w:r>
    </w:p>
    <w:p w14:paraId="64DE64B3" w14:textId="77777777" w:rsidR="000E48CE" w:rsidRDefault="00FF4C4E">
      <w:pPr>
        <w:pStyle w:val="P68B1DB1-Normal4"/>
        <w:numPr>
          <w:ilvl w:val="0"/>
          <w:numId w:val="153"/>
        </w:numPr>
        <w:spacing w:before="120" w:after="160" w:line="240" w:lineRule="auto"/>
        <w:contextualSpacing/>
        <w:jc w:val="both"/>
        <w:rPr>
          <w:rFonts w:cs="Times New Roman"/>
          <w:noProof/>
        </w:rPr>
      </w:pPr>
      <w:r>
        <w:rPr>
          <w:noProof/>
        </w:rPr>
        <w:t>Muita heikommassa asemassa oleville ryhmil</w:t>
      </w:r>
      <w:r>
        <w:rPr>
          <w:noProof/>
        </w:rPr>
        <w:t>le suunnatut alueelliset hankkeet. Nämä hankkeet on kohdennettava pitkäaikaistyöttömiin, jotka noudattavat yksilöllisiä ja yksilöllisiä reittejä, joihin sisällytetään erilaisia toimia, kuten ohjaus ja avustaminen, ohjausohjelmat, työnhakutiimien antama hoi</w:t>
      </w:r>
      <w:r>
        <w:rPr>
          <w:noProof/>
        </w:rPr>
        <w:t xml:space="preserve">to, koulutus- ja sovitteluapurahat, työhönottotuki ja toimien seuranta. </w:t>
      </w:r>
    </w:p>
    <w:p w14:paraId="42CA2355" w14:textId="77777777" w:rsidR="000E48CE" w:rsidRDefault="00FF4C4E">
      <w:pPr>
        <w:pStyle w:val="P68B1DB1-Normal4"/>
        <w:numPr>
          <w:ilvl w:val="0"/>
          <w:numId w:val="153"/>
        </w:numPr>
        <w:spacing w:before="120" w:after="160" w:line="240" w:lineRule="auto"/>
        <w:contextualSpacing/>
        <w:jc w:val="both"/>
        <w:rPr>
          <w:rFonts w:cs="Times New Roman"/>
          <w:noProof/>
        </w:rPr>
      </w:pPr>
      <w:r>
        <w:rPr>
          <w:noProof/>
        </w:rPr>
        <w:t>Yrittäjyys- ja mikroyrityshankkeet. Näillä hankkeilla on vastattava väestökehityksen haasteeseen ja helpotettava tuotannollista muutosta erityisesti kohti vihreää ja digitaalista talo</w:t>
      </w:r>
      <w:r>
        <w:rPr>
          <w:noProof/>
        </w:rPr>
        <w:t>utta. Rahoitettaviin aloitteisiin kuuluvat muun muassa maatalousalan koulutushankkeet, kestävä paikallinen kehitys, yhteisötalouden kulttuuri- ja taidetoimintaa koskevat aloitteet, ekologinen siirtymä, paikalliset kehittämisaloitteet, maaseutumatkailu ja t</w:t>
      </w:r>
      <w:r>
        <w:rPr>
          <w:noProof/>
        </w:rPr>
        <w:t xml:space="preserve">aideperintö. Hankkeella voidaan rahoittaa esimerkiksi seuraavia toimia: yhteiskunnallinen yrittäjyys ja freelancerit, työmarkkinatutkimus, paikalliset edistämis- ja kehitystoimijat, osuuskuntien tai mikroyritysten perustamisen tukeminen, verkostoituminen, </w:t>
      </w:r>
      <w:r>
        <w:rPr>
          <w:noProof/>
        </w:rPr>
        <w:t xml:space="preserve">osallistuminen konferensseihin ja tiedonlevitystoimet. </w:t>
      </w:r>
    </w:p>
    <w:p w14:paraId="5FBA5AD4" w14:textId="77777777" w:rsidR="000E48CE" w:rsidRDefault="00FF4C4E">
      <w:pPr>
        <w:pStyle w:val="P68B1DB1-Normal4"/>
        <w:spacing w:before="240" w:after="120" w:line="240" w:lineRule="auto"/>
        <w:jc w:val="both"/>
        <w:rPr>
          <w:rFonts w:cs="Times New Roman"/>
          <w:noProof/>
        </w:rPr>
      </w:pPr>
      <w:r>
        <w:rPr>
          <w:noProof/>
        </w:rPr>
        <w:t xml:space="preserve">Investoinnin toteuttaminen on saatettava päätökseen 31 päivään joulukuuta 2023 mennessä. </w:t>
      </w:r>
    </w:p>
    <w:p w14:paraId="0B3B66E3" w14:textId="77777777" w:rsidR="000E48CE" w:rsidRDefault="00FF4C4E">
      <w:pPr>
        <w:pStyle w:val="P68B1DB1-Normal6"/>
        <w:spacing w:before="120" w:after="120" w:line="240" w:lineRule="auto"/>
        <w:jc w:val="both"/>
        <w:rPr>
          <w:rFonts w:cs="Times New Roman"/>
          <w:noProof/>
        </w:rPr>
      </w:pPr>
      <w:r>
        <w:rPr>
          <w:noProof/>
        </w:rPr>
        <w:t>Investointi 5 (C23.I5) – aktivointia tukevien politiikkojen hallinnointi ja tehostaminen</w:t>
      </w:r>
    </w:p>
    <w:p w14:paraId="00E6CD36" w14:textId="77777777" w:rsidR="000E48CE" w:rsidRDefault="00FF4C4E">
      <w:pPr>
        <w:pStyle w:val="P68B1DB1-Normal4"/>
        <w:spacing w:before="120" w:after="120" w:line="240" w:lineRule="auto"/>
        <w:jc w:val="both"/>
        <w:rPr>
          <w:rFonts w:cs="Times New Roman"/>
          <w:noProof/>
        </w:rPr>
      </w:pPr>
      <w:r>
        <w:rPr>
          <w:noProof/>
        </w:rPr>
        <w:t>Toimenpiteen tavoitte</w:t>
      </w:r>
      <w:r>
        <w:rPr>
          <w:noProof/>
        </w:rPr>
        <w:t xml:space="preserve">ena on vahvistaa julkisia työvoimapalveluja ja tehostaa aktiivista työmarkkinapolitiikkaa. Tätä varten siinä kaavaillaan 20:n työllisyyttä edistävän suuntautumis-, yrittäjyys- ja innovointikeskuksen verkoston perustamista. Ne jakautuvat eri puolille maata </w:t>
      </w:r>
      <w:r>
        <w:rPr>
          <w:noProof/>
        </w:rPr>
        <w:t xml:space="preserve">(yksi keskushallinnon keskus ja toinen kullakin autonomisella alueella, Ceuta ja Melilla mukaan luettuina), ja niiden tehtävänä on parantaa julkisten työvoimapalvelujen koordinointia eri alueiden välillä. </w:t>
      </w:r>
    </w:p>
    <w:p w14:paraId="315B53AE" w14:textId="77777777" w:rsidR="000E48CE" w:rsidRDefault="00FF4C4E">
      <w:pPr>
        <w:pStyle w:val="P68B1DB1-Normal4"/>
        <w:spacing w:before="120" w:after="120" w:line="240" w:lineRule="auto"/>
        <w:jc w:val="both"/>
        <w:rPr>
          <w:rFonts w:cs="Times New Roman"/>
          <w:noProof/>
        </w:rPr>
      </w:pPr>
      <w:r>
        <w:rPr>
          <w:noProof/>
        </w:rPr>
        <w:t>Lisäksi julkisten työvoimapalvelujen työntekijöill</w:t>
      </w:r>
      <w:r>
        <w:rPr>
          <w:noProof/>
        </w:rPr>
        <w:t>e suunnitellaan jatkokoulutustoimia, joilla heille tarjotaan vuosittain keskimäärin 14000 koulutustoimea. Koulutus on järjestettävä moduuleina, joiden kesto on keskimäärin 30 tuntia, ja kunkin työntekijän on osallistuttava moduuliin vuosittain vuosina 2021</w:t>
      </w:r>
      <w:r>
        <w:rPr>
          <w:noProof/>
        </w:rPr>
        <w:t>–2023.</w:t>
      </w:r>
    </w:p>
    <w:p w14:paraId="17A6037F" w14:textId="562F2FF2" w:rsidR="000E48CE" w:rsidRDefault="00FF4C4E">
      <w:pPr>
        <w:pStyle w:val="P68B1DB1-Normal4"/>
        <w:spacing w:before="120" w:after="120" w:line="240" w:lineRule="auto"/>
        <w:jc w:val="both"/>
        <w:rPr>
          <w:rFonts w:cs="Times New Roman"/>
          <w:noProof/>
        </w:rPr>
      </w:pPr>
      <w:r>
        <w:rPr>
          <w:noProof/>
        </w:rPr>
        <w:t xml:space="preserve">Investoinnin toteutus saatetaan päätökseen viimeistään 31. joulukuuta 2024. </w:t>
      </w:r>
    </w:p>
    <w:p w14:paraId="56E0D07A" w14:textId="77777777" w:rsidR="000E48CE" w:rsidRDefault="00FF4C4E">
      <w:pPr>
        <w:pStyle w:val="P68B1DB1-Normal6"/>
        <w:spacing w:before="120" w:after="120" w:line="240" w:lineRule="auto"/>
        <w:jc w:val="both"/>
        <w:rPr>
          <w:rFonts w:cs="Times New Roman"/>
          <w:noProof/>
        </w:rPr>
      </w:pPr>
      <w:r>
        <w:rPr>
          <w:noProof/>
        </w:rPr>
        <w:t>Investointi 6 (C23.I6) – Kokonaissuunnitelma yhteisötalouden vauhdittamiseksi</w:t>
      </w:r>
    </w:p>
    <w:p w14:paraId="09AAB665" w14:textId="77777777" w:rsidR="000E48CE" w:rsidRDefault="00FF4C4E">
      <w:pPr>
        <w:pStyle w:val="P68B1DB1-Normal4"/>
        <w:spacing w:before="120" w:after="120" w:line="240" w:lineRule="auto"/>
        <w:jc w:val="both"/>
        <w:rPr>
          <w:rFonts w:cs="Times New Roman"/>
          <w:noProof/>
        </w:rPr>
      </w:pPr>
      <w:r>
        <w:rPr>
          <w:noProof/>
        </w:rPr>
        <w:t xml:space="preserve">Tällä toimenpiteellä tuetaan innovatiivisia yhteisötalouden hankkeita, joiden tavoitteena on luoda osallistavampi ja kestävämpi talousrakenne. </w:t>
      </w:r>
    </w:p>
    <w:p w14:paraId="75240938" w14:textId="6B4F3A91" w:rsidR="000E48CE" w:rsidRDefault="00FF4C4E">
      <w:pPr>
        <w:pStyle w:val="P68B1DB1-Normal4"/>
        <w:spacing w:before="120" w:after="120" w:line="240" w:lineRule="auto"/>
        <w:jc w:val="both"/>
        <w:rPr>
          <w:rFonts w:cs="Times New Roman"/>
          <w:noProof/>
        </w:rPr>
      </w:pPr>
      <w:r>
        <w:rPr>
          <w:noProof/>
        </w:rPr>
        <w:t>Se koostuu vähintään 30 yhteisötalouden hankkeen kehittämisestä vuosina 2021–</w:t>
      </w:r>
      <w:r>
        <w:rPr>
          <w:noProof/>
          <w:shd w:val="clear" w:color="auto" w:fill="FFFFFF" w:themeFill="background1"/>
        </w:rPr>
        <w:t>2025 seuraavilla aloilla</w:t>
      </w:r>
      <w:r>
        <w:rPr>
          <w:noProof/>
        </w:rPr>
        <w:t>:</w:t>
      </w:r>
    </w:p>
    <w:p w14:paraId="0282A2F5"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Vaikeuksissa olevien tai ilman sukupolvenvaihdoksia olevien elinkelpoisten yritysten työpaikkojen luominen ja säilyttäminen muuttamalla ne osuus- ja yhteisötalouden liiketoimintamalleiksi (osuuskunnat ja työvoimayritykset), joita niiden työntekijät hallinn</w:t>
      </w:r>
      <w:r>
        <w:rPr>
          <w:noProof/>
        </w:rPr>
        <w:t>oivat.</w:t>
      </w:r>
    </w:p>
    <w:p w14:paraId="68B23CFC"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Innovatiivisten yhteisötalouden toimijoiden perustaminen ja vakiinnuttaminen, mikä vaikuttaa sukupolvenvaihdokseen ja nuorten yrittäjyyteen.</w:t>
      </w:r>
    </w:p>
    <w:p w14:paraId="18DA814B"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Yhteisötalouden yritysten digitalisointi luomalla digitaalisia alustoja, joiden tarkoituksena on parantaa ma</w:t>
      </w:r>
      <w:r>
        <w:rPr>
          <w:noProof/>
        </w:rPr>
        <w:t>aseutualueiden kansalaisten hyvinvointia.</w:t>
      </w:r>
    </w:p>
    <w:p w14:paraId="119EDA63"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Osuuskuntien, työvoimayritysten ja muiden yhteisötalouden muotojen verkottuminen sekä valmiuksien kehittämis- ja koulutustoimet uusien kattavien palvelujen tarjoamiseksi yhteiskunnalle.</w:t>
      </w:r>
    </w:p>
    <w:p w14:paraId="162CCE07"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Edistetään haavoittuvien yri</w:t>
      </w:r>
      <w:r>
        <w:rPr>
          <w:noProof/>
        </w:rPr>
        <w:t>tysten ja ryhmien kestäviä ja osallistavia siirtymiä.</w:t>
      </w:r>
    </w:p>
    <w:p w14:paraId="4FE88FA6" w14:textId="37F2E1CE" w:rsidR="000E48CE" w:rsidRDefault="00FF4C4E">
      <w:pPr>
        <w:pStyle w:val="P68B1DB1-Normal4"/>
        <w:spacing w:before="240" w:after="120" w:line="240" w:lineRule="auto"/>
        <w:jc w:val="both"/>
        <w:rPr>
          <w:rFonts w:cs="Times New Roman"/>
          <w:noProof/>
        </w:rPr>
      </w:pPr>
      <w:r>
        <w:rPr>
          <w:noProof/>
        </w:rPr>
        <w:t xml:space="preserve">Investoinnin toteutus saatetaan päätökseen viimeistään 30. kesäkuuta 2025. </w:t>
      </w:r>
    </w:p>
    <w:p w14:paraId="27DBBA7C" w14:textId="77777777" w:rsidR="000E48CE" w:rsidRDefault="00FF4C4E">
      <w:pPr>
        <w:pStyle w:val="P68B1DB1-Normal6"/>
        <w:spacing w:before="120" w:after="120" w:line="240" w:lineRule="auto"/>
        <w:jc w:val="both"/>
        <w:rPr>
          <w:rFonts w:cs="Times New Roman"/>
          <w:noProof/>
        </w:rPr>
      </w:pPr>
      <w:r>
        <w:rPr>
          <w:noProof/>
        </w:rPr>
        <w:t>Investointi 7 (C23.I7) – Osallistavan kasvun edistäminen kytkemällä sosiaalista osallisuutta edistävät politiikat kansalliseen</w:t>
      </w:r>
      <w:r>
        <w:rPr>
          <w:noProof/>
        </w:rPr>
        <w:t xml:space="preserve"> vähimmäistulojärjestelmään  </w:t>
      </w:r>
    </w:p>
    <w:p w14:paraId="338DDF18" w14:textId="77777777" w:rsidR="000E48CE" w:rsidRDefault="00FF4C4E">
      <w:pPr>
        <w:pStyle w:val="P68B1DB1-Normal4"/>
        <w:spacing w:before="120" w:after="120" w:line="240" w:lineRule="auto"/>
        <w:jc w:val="both"/>
        <w:rPr>
          <w:rFonts w:cs="Times New Roman"/>
          <w:noProof/>
        </w:rPr>
      </w:pPr>
      <w:r>
        <w:rPr>
          <w:noProof/>
        </w:rPr>
        <w:t>Tämän investoinnin tavoitteena on parantaa kotouttamisväylien tehokkuutta kansallisen vähimmäistulojärjestelmän edunsaajien kannalta toteuttamalla vähintään 18 pilottihanketta. Kun vähimmäistoimeentulojärjestelmät on saatu pää</w:t>
      </w:r>
      <w:r>
        <w:rPr>
          <w:noProof/>
        </w:rPr>
        <w:t>tökseen, on tehtävä arviointi, jossa arvioidaan vähimmäistoimeentulojärjestelmien kattavuutta, tehokkuutta ja onnistumista. Arviointiin on sisällyttävä erityisiä suosituksia käyttöasteen nostamiseksi ja sosiaalista osallisuutta koskevien politiikkojen teho</w:t>
      </w:r>
      <w:r>
        <w:rPr>
          <w:noProof/>
        </w:rPr>
        <w:t>kkuuden parantamiseksi. Toimenpide liittyy läheisesti osa-alueen 22 uudistukseen 5.</w:t>
      </w:r>
    </w:p>
    <w:p w14:paraId="64B47076" w14:textId="77777777" w:rsidR="000E48CE" w:rsidRDefault="00FF4C4E">
      <w:pPr>
        <w:pStyle w:val="P68B1DB1-Normal4"/>
        <w:spacing w:before="120" w:after="120" w:line="240" w:lineRule="auto"/>
        <w:jc w:val="both"/>
        <w:rPr>
          <w:rFonts w:cs="Times New Roman"/>
          <w:noProof/>
        </w:rPr>
      </w:pPr>
      <w:r>
        <w:rPr>
          <w:noProof/>
        </w:rPr>
        <w:t xml:space="preserve">Sosiaalisen osallisuuden ministeriö allekirjoittaa pilottihankkeiden täytäntöönpanoa varten kumppanuussopimukset asianomaisten alue- ja paikallishallintojen sekä kolmannen </w:t>
      </w:r>
      <w:r>
        <w:rPr>
          <w:noProof/>
        </w:rPr>
        <w:t>sektorin sosiaalialan toimien yksiköiden ja työmarkkinaosapuolten kanssa. Näiden kumppanuussopimusten tavoitteena on I) IMV:n käyttöasteen parantaminen; IMV-menetelmän tehokkuuden lisääminen integrointiväylien avulla. Jokaiseen kumppanuussopimukseen on lii</w:t>
      </w:r>
      <w:r>
        <w:rPr>
          <w:noProof/>
        </w:rPr>
        <w:t>tettävä toimintasuunnitelma, jossa määritellään ainakin seuraavat seikat:</w:t>
      </w:r>
    </w:p>
    <w:p w14:paraId="794B4969"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Pilottihankkeeseen osallistuvat IMV-tuensaajat.</w:t>
      </w:r>
    </w:p>
    <w:p w14:paraId="584C4C96"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 xml:space="preserve">Tarkoituksenmukaisimmat väylät (jotka määritetään saatujen kokemusten perusteella) ja niihin liittyvät osallistamisen tulokset, jotka </w:t>
      </w:r>
      <w:r>
        <w:rPr>
          <w:noProof/>
        </w:rPr>
        <w:t>on tarkoitus saavuttaa tukitoimen avulla.</w:t>
      </w:r>
    </w:p>
    <w:p w14:paraId="0222F1AF"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Datainfrastruktuuria koskeva vaatimus: IMV-tuensaajia tarvitaan, mutta myös muita alueellisia ohjelmia saavien edunsaajien on voitava luottaa hyviin valvontaryhmiin.</w:t>
      </w:r>
    </w:p>
    <w:p w14:paraId="119E7C3A"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Tukitoimen yksikkökustannukset.</w:t>
      </w:r>
    </w:p>
    <w:p w14:paraId="081072A6"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Osallisuusminist</w:t>
      </w:r>
      <w:r>
        <w:rPr>
          <w:noProof/>
        </w:rPr>
        <w:t>eriön seurantasuunnitelma suunnitelmassa määriteltyjen eri välitavoitteiden saavuttamisen arvioimiseksi.</w:t>
      </w:r>
    </w:p>
    <w:p w14:paraId="7A0B0FE9" w14:textId="77777777" w:rsidR="000E48CE" w:rsidRDefault="00FF4C4E">
      <w:pPr>
        <w:pStyle w:val="P68B1DB1-Normal4"/>
        <w:numPr>
          <w:ilvl w:val="0"/>
          <w:numId w:val="154"/>
        </w:numPr>
        <w:spacing w:before="120" w:after="160" w:line="240" w:lineRule="auto"/>
        <w:contextualSpacing/>
        <w:jc w:val="both"/>
        <w:rPr>
          <w:rFonts w:cs="Times New Roman"/>
          <w:noProof/>
        </w:rPr>
      </w:pPr>
      <w:r>
        <w:rPr>
          <w:noProof/>
        </w:rPr>
        <w:t>Arvioinnin julkaiseminen sen jälkeen, kun pilottihanke on saatu päätökseen ja siihen sisältyvät havainnot ja saadut kokemukset.</w:t>
      </w:r>
    </w:p>
    <w:p w14:paraId="156E5409" w14:textId="77777777" w:rsidR="000E48CE" w:rsidRDefault="00FF4C4E">
      <w:pPr>
        <w:pStyle w:val="P68B1DB1-Normal4"/>
        <w:spacing w:before="240" w:after="120" w:line="240" w:lineRule="auto"/>
        <w:jc w:val="both"/>
        <w:rPr>
          <w:rFonts w:cs="Times New Roman"/>
          <w:noProof/>
          <w:u w:val="single"/>
        </w:rPr>
      </w:pPr>
      <w:r>
        <w:rPr>
          <w:noProof/>
        </w:rPr>
        <w:t>Investoinnin toteuttami</w:t>
      </w:r>
      <w:r>
        <w:rPr>
          <w:noProof/>
        </w:rPr>
        <w:t>nen on saatettava päätökseen viimeistään 31 päivänä maaliskuuta 2024.</w:t>
      </w:r>
    </w:p>
    <w:p w14:paraId="449A9072" w14:textId="77777777" w:rsidR="000E48CE" w:rsidRDefault="00FF4C4E">
      <w:pPr>
        <w:pStyle w:val="P68B1DB1-Normal5"/>
        <w:spacing w:before="120" w:after="120" w:line="240" w:lineRule="auto"/>
        <w:ind w:left="709"/>
        <w:jc w:val="both"/>
        <w:rPr>
          <w:rFonts w:cs="Times New Roman"/>
          <w:noProof/>
        </w:rPr>
      </w:pPr>
      <w:r>
        <w:rPr>
          <w:noProof/>
        </w:rPr>
        <w:t xml:space="preserve">W.2 </w:t>
      </w:r>
      <w:r>
        <w:rPr>
          <w:noProof/>
        </w:rPr>
        <w:tab/>
        <w:t>Seurantaa ja täytäntöönpanoa koskevat välitavoitteet, tavoitteet, indikaattorit ja aikataulu – rahoitustuki, jota ei makseta takaisin</w:t>
      </w:r>
    </w:p>
    <w:p w14:paraId="78A44193"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w:t>
      </w:r>
      <w:r>
        <w:rPr>
          <w:i/>
          <w:noProof/>
        </w:rPr>
        <w:t>den perustaso on 1. helmikuuta 2020, ellei toimen kuvauksessa toisin ilmoiteta. Taulukossa esitetyt määrät eivät sisällä arvonlisäveroa.</w:t>
      </w:r>
    </w:p>
    <w:p w14:paraId="50748E46" w14:textId="77777777" w:rsidR="000E48CE" w:rsidRDefault="000E48CE">
      <w:pPr>
        <w:spacing w:before="120" w:after="120" w:line="240" w:lineRule="auto"/>
        <w:ind w:left="709"/>
        <w:jc w:val="both"/>
        <w:rPr>
          <w:rFonts w:ascii="Times New Roman" w:hAnsi="Times New Roman" w:cs="Times New Roman"/>
          <w:noProof/>
          <w:sz w:val="24"/>
        </w:rPr>
        <w:sectPr w:rsidR="000E48CE" w:rsidSect="00C94F66">
          <w:headerReference w:type="even" r:id="rId447"/>
          <w:headerReference w:type="default" r:id="rId448"/>
          <w:footerReference w:type="even" r:id="rId449"/>
          <w:footerReference w:type="default" r:id="rId450"/>
          <w:headerReference w:type="first" r:id="rId451"/>
          <w:footerReference w:type="first" r:id="rId452"/>
          <w:pgSz w:w="11907" w:h="16839"/>
          <w:pgMar w:top="1134" w:right="1417" w:bottom="1134" w:left="1417" w:header="709" w:footer="709" w:gutter="0"/>
          <w:cols w:space="720"/>
          <w:docGrid w:linePitch="360"/>
        </w:sect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0"/>
        <w:gridCol w:w="828"/>
        <w:gridCol w:w="826"/>
        <w:gridCol w:w="2613"/>
        <w:gridCol w:w="1102"/>
        <w:gridCol w:w="827"/>
        <w:gridCol w:w="413"/>
        <w:gridCol w:w="689"/>
        <w:gridCol w:w="413"/>
        <w:gridCol w:w="551"/>
        <w:gridCol w:w="5901"/>
      </w:tblGrid>
      <w:tr w:rsidR="000E48CE" w14:paraId="0ECB5695" w14:textId="77777777">
        <w:trPr>
          <w:trHeight w:val="309"/>
          <w:tblHeader/>
        </w:trPr>
        <w:tc>
          <w:tcPr>
            <w:tcW w:w="830" w:type="dxa"/>
            <w:tcBorders>
              <w:bottom w:val="nil"/>
            </w:tcBorders>
            <w:shd w:val="clear" w:color="auto" w:fill="C6D9F1" w:themeFill="text2" w:themeFillTint="33"/>
            <w:noWrap/>
            <w:vAlign w:val="center"/>
          </w:tcPr>
          <w:p w14:paraId="22830699" w14:textId="77777777" w:rsidR="000E48CE" w:rsidRDefault="00FF4C4E">
            <w:pPr>
              <w:pStyle w:val="P68B1DB1-Normal12"/>
              <w:spacing w:after="0" w:line="240" w:lineRule="auto"/>
              <w:jc w:val="center"/>
              <w:rPr>
                <w:rFonts w:cs="Times New Roman"/>
                <w:noProof/>
              </w:rPr>
            </w:pPr>
            <w:r>
              <w:rPr>
                <w:noProof/>
              </w:rPr>
              <w:t>Määrä</w:t>
            </w:r>
          </w:p>
        </w:tc>
        <w:tc>
          <w:tcPr>
            <w:tcW w:w="828" w:type="dxa"/>
            <w:tcBorders>
              <w:bottom w:val="nil"/>
            </w:tcBorders>
            <w:shd w:val="clear" w:color="auto" w:fill="C6D9F1" w:themeFill="text2" w:themeFillTint="33"/>
            <w:noWrap/>
            <w:vAlign w:val="center"/>
          </w:tcPr>
          <w:p w14:paraId="17A0D607" w14:textId="77777777" w:rsidR="000E48CE" w:rsidRDefault="00FF4C4E">
            <w:pPr>
              <w:pStyle w:val="P68B1DB1-Normal12"/>
              <w:spacing w:after="0" w:line="240" w:lineRule="auto"/>
              <w:jc w:val="center"/>
              <w:rPr>
                <w:rFonts w:cs="Times New Roman"/>
                <w:noProof/>
              </w:rPr>
            </w:pPr>
            <w:r>
              <w:rPr>
                <w:noProof/>
              </w:rPr>
              <w:t>Toimenpide</w:t>
            </w:r>
          </w:p>
        </w:tc>
        <w:tc>
          <w:tcPr>
            <w:tcW w:w="826" w:type="dxa"/>
            <w:tcBorders>
              <w:bottom w:val="nil"/>
            </w:tcBorders>
            <w:shd w:val="clear" w:color="auto" w:fill="C6D9F1" w:themeFill="text2" w:themeFillTint="33"/>
            <w:noWrap/>
            <w:vAlign w:val="center"/>
          </w:tcPr>
          <w:p w14:paraId="103F9819"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613" w:type="dxa"/>
            <w:tcBorders>
              <w:bottom w:val="nil"/>
            </w:tcBorders>
            <w:shd w:val="clear" w:color="auto" w:fill="C6D9F1" w:themeFill="text2" w:themeFillTint="33"/>
            <w:noWrap/>
            <w:vAlign w:val="center"/>
          </w:tcPr>
          <w:p w14:paraId="72BAAA7B" w14:textId="77777777" w:rsidR="000E48CE" w:rsidRDefault="00FF4C4E">
            <w:pPr>
              <w:pStyle w:val="P68B1DB1-Normal12"/>
              <w:spacing w:after="0" w:line="240" w:lineRule="auto"/>
              <w:jc w:val="center"/>
              <w:rPr>
                <w:rFonts w:cs="Times New Roman"/>
                <w:noProof/>
              </w:rPr>
            </w:pPr>
            <w:r>
              <w:rPr>
                <w:noProof/>
              </w:rPr>
              <w:t>Nimi</w:t>
            </w:r>
          </w:p>
        </w:tc>
        <w:tc>
          <w:tcPr>
            <w:tcW w:w="1102" w:type="dxa"/>
            <w:tcBorders>
              <w:bottom w:val="nil"/>
            </w:tcBorders>
            <w:shd w:val="clear" w:color="auto" w:fill="C6D9F1" w:themeFill="text2" w:themeFillTint="33"/>
            <w:noWrap/>
            <w:vAlign w:val="center"/>
          </w:tcPr>
          <w:p w14:paraId="7E2B21BF" w14:textId="77777777" w:rsidR="000E48CE" w:rsidRDefault="00FF4C4E">
            <w:pPr>
              <w:pStyle w:val="P68B1DB1-Normal12"/>
              <w:spacing w:after="0" w:line="240" w:lineRule="auto"/>
              <w:jc w:val="center"/>
              <w:rPr>
                <w:rFonts w:cs="Times New Roman"/>
                <w:noProof/>
              </w:rPr>
            </w:pPr>
            <w:r>
              <w:rPr>
                <w:noProof/>
              </w:rPr>
              <w:t>Välitavoitteiden</w:t>
            </w:r>
            <w:r>
              <w:rPr>
                <w:noProof/>
              </w:rPr>
              <w:t xml:space="preserve"> laadullinen indikaattori</w:t>
            </w:r>
          </w:p>
        </w:tc>
        <w:tc>
          <w:tcPr>
            <w:tcW w:w="1929" w:type="dxa"/>
            <w:gridSpan w:val="3"/>
            <w:shd w:val="clear" w:color="auto" w:fill="C6D9F1" w:themeFill="text2" w:themeFillTint="33"/>
            <w:noWrap/>
            <w:vAlign w:val="center"/>
          </w:tcPr>
          <w:p w14:paraId="57BAA056"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64" w:type="dxa"/>
            <w:gridSpan w:val="2"/>
            <w:shd w:val="clear" w:color="auto" w:fill="C6D9F1" w:themeFill="text2" w:themeFillTint="33"/>
            <w:noWrap/>
            <w:vAlign w:val="center"/>
          </w:tcPr>
          <w:p w14:paraId="2DA5D823" w14:textId="77777777" w:rsidR="000E48CE" w:rsidRDefault="00FF4C4E">
            <w:pPr>
              <w:pStyle w:val="P68B1DB1-Normal12"/>
              <w:spacing w:after="0" w:line="240" w:lineRule="auto"/>
              <w:jc w:val="center"/>
              <w:rPr>
                <w:rFonts w:cs="Times New Roman"/>
                <w:noProof/>
              </w:rPr>
            </w:pPr>
            <w:r>
              <w:rPr>
                <w:noProof/>
              </w:rPr>
              <w:t>Aika</w:t>
            </w:r>
          </w:p>
        </w:tc>
        <w:tc>
          <w:tcPr>
            <w:tcW w:w="5901" w:type="dxa"/>
            <w:tcBorders>
              <w:bottom w:val="nil"/>
            </w:tcBorders>
            <w:shd w:val="clear" w:color="auto" w:fill="C6D9F1" w:themeFill="text2" w:themeFillTint="33"/>
            <w:noWrap/>
            <w:vAlign w:val="center"/>
          </w:tcPr>
          <w:p w14:paraId="4E6188D6"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4BF30752" w14:textId="77777777">
        <w:trPr>
          <w:trHeight w:val="309"/>
          <w:tblHeader/>
        </w:trPr>
        <w:tc>
          <w:tcPr>
            <w:tcW w:w="830" w:type="dxa"/>
            <w:tcBorders>
              <w:top w:val="nil"/>
            </w:tcBorders>
            <w:shd w:val="clear" w:color="auto" w:fill="C6D9F1" w:themeFill="text2" w:themeFillTint="33"/>
            <w:noWrap/>
          </w:tcPr>
          <w:p w14:paraId="29C547A1" w14:textId="77777777" w:rsidR="000E48CE" w:rsidRDefault="000E48CE">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1059B97E" w14:textId="77777777" w:rsidR="000E48CE" w:rsidRDefault="000E48CE">
            <w:pPr>
              <w:spacing w:after="0" w:line="240" w:lineRule="auto"/>
              <w:jc w:val="center"/>
              <w:rPr>
                <w:rFonts w:ascii="Times New Roman" w:hAnsi="Times New Roman" w:cs="Times New Roman"/>
                <w:b/>
                <w:noProof/>
                <w:sz w:val="18"/>
              </w:rPr>
            </w:pPr>
          </w:p>
        </w:tc>
        <w:tc>
          <w:tcPr>
            <w:tcW w:w="826" w:type="dxa"/>
            <w:tcBorders>
              <w:top w:val="nil"/>
            </w:tcBorders>
            <w:shd w:val="clear" w:color="auto" w:fill="C6D9F1" w:themeFill="text2" w:themeFillTint="33"/>
            <w:noWrap/>
          </w:tcPr>
          <w:p w14:paraId="5D2DCD9F" w14:textId="77777777" w:rsidR="000E48CE" w:rsidRDefault="000E48CE">
            <w:pPr>
              <w:spacing w:after="0" w:line="240" w:lineRule="auto"/>
              <w:jc w:val="center"/>
              <w:rPr>
                <w:rFonts w:ascii="Times New Roman" w:hAnsi="Times New Roman" w:cs="Times New Roman"/>
                <w:b/>
                <w:noProof/>
                <w:sz w:val="18"/>
              </w:rPr>
            </w:pPr>
          </w:p>
        </w:tc>
        <w:tc>
          <w:tcPr>
            <w:tcW w:w="2613" w:type="dxa"/>
            <w:tcBorders>
              <w:top w:val="nil"/>
            </w:tcBorders>
            <w:shd w:val="clear" w:color="auto" w:fill="C6D9F1" w:themeFill="text2" w:themeFillTint="33"/>
            <w:noWrap/>
          </w:tcPr>
          <w:p w14:paraId="4136251A" w14:textId="77777777" w:rsidR="000E48CE" w:rsidRDefault="000E48CE">
            <w:pPr>
              <w:spacing w:after="0" w:line="240" w:lineRule="auto"/>
              <w:rPr>
                <w:rFonts w:ascii="Times New Roman" w:hAnsi="Times New Roman" w:cs="Times New Roman"/>
                <w:b/>
                <w:noProof/>
                <w:sz w:val="18"/>
              </w:rPr>
            </w:pPr>
          </w:p>
        </w:tc>
        <w:tc>
          <w:tcPr>
            <w:tcW w:w="1102" w:type="dxa"/>
            <w:tcBorders>
              <w:top w:val="nil"/>
            </w:tcBorders>
            <w:shd w:val="clear" w:color="auto" w:fill="C6D9F1" w:themeFill="text2" w:themeFillTint="33"/>
            <w:noWrap/>
          </w:tcPr>
          <w:p w14:paraId="553A3634" w14:textId="77777777" w:rsidR="000E48CE" w:rsidRDefault="000E48CE">
            <w:pPr>
              <w:spacing w:after="0" w:line="240" w:lineRule="auto"/>
              <w:jc w:val="center"/>
              <w:rPr>
                <w:rFonts w:ascii="Times New Roman" w:hAnsi="Times New Roman" w:cs="Times New Roman"/>
                <w:b/>
                <w:noProof/>
                <w:sz w:val="18"/>
              </w:rPr>
            </w:pPr>
          </w:p>
        </w:tc>
        <w:tc>
          <w:tcPr>
            <w:tcW w:w="827" w:type="dxa"/>
            <w:shd w:val="clear" w:color="auto" w:fill="C6D9F1" w:themeFill="text2" w:themeFillTint="33"/>
            <w:noWrap/>
          </w:tcPr>
          <w:p w14:paraId="353E47FA" w14:textId="77777777" w:rsidR="000E48CE" w:rsidRDefault="00FF4C4E">
            <w:pPr>
              <w:pStyle w:val="P68B1DB1-Normal12"/>
              <w:spacing w:after="0" w:line="240" w:lineRule="auto"/>
              <w:jc w:val="center"/>
              <w:rPr>
                <w:rFonts w:cs="Times New Roman"/>
                <w:noProof/>
              </w:rPr>
            </w:pPr>
            <w:r>
              <w:rPr>
                <w:noProof/>
              </w:rPr>
              <w:t>Yksikkö</w:t>
            </w:r>
          </w:p>
        </w:tc>
        <w:tc>
          <w:tcPr>
            <w:tcW w:w="413" w:type="dxa"/>
            <w:shd w:val="clear" w:color="auto" w:fill="C6D9F1" w:themeFill="text2" w:themeFillTint="33"/>
            <w:noWrap/>
          </w:tcPr>
          <w:p w14:paraId="315C088E" w14:textId="77777777" w:rsidR="000E48CE" w:rsidRDefault="00FF4C4E">
            <w:pPr>
              <w:pStyle w:val="P68B1DB1-Normal12"/>
              <w:spacing w:after="0" w:line="240" w:lineRule="auto"/>
              <w:jc w:val="center"/>
              <w:rPr>
                <w:rFonts w:cs="Times New Roman"/>
                <w:noProof/>
              </w:rPr>
            </w:pPr>
            <w:r>
              <w:rPr>
                <w:noProof/>
              </w:rPr>
              <w:t>Perusviiva</w:t>
            </w:r>
          </w:p>
        </w:tc>
        <w:tc>
          <w:tcPr>
            <w:tcW w:w="689" w:type="dxa"/>
            <w:shd w:val="clear" w:color="auto" w:fill="C6D9F1" w:themeFill="text2" w:themeFillTint="33"/>
            <w:noWrap/>
          </w:tcPr>
          <w:p w14:paraId="32C0F50C" w14:textId="77777777" w:rsidR="000E48CE" w:rsidRDefault="00FF4C4E">
            <w:pPr>
              <w:pStyle w:val="P68B1DB1-Normal12"/>
              <w:spacing w:after="0" w:line="240" w:lineRule="auto"/>
              <w:jc w:val="center"/>
              <w:rPr>
                <w:rFonts w:cs="Times New Roman"/>
                <w:noProof/>
              </w:rPr>
            </w:pPr>
            <w:r>
              <w:rPr>
                <w:noProof/>
              </w:rPr>
              <w:t>Päämäärä</w:t>
            </w:r>
          </w:p>
        </w:tc>
        <w:tc>
          <w:tcPr>
            <w:tcW w:w="413" w:type="dxa"/>
            <w:shd w:val="clear" w:color="auto" w:fill="C6D9F1" w:themeFill="text2" w:themeFillTint="33"/>
            <w:noWrap/>
          </w:tcPr>
          <w:p w14:paraId="2F858F73" w14:textId="77777777" w:rsidR="000E48CE" w:rsidRDefault="00FF4C4E">
            <w:pPr>
              <w:pStyle w:val="P68B1DB1-Normal12"/>
              <w:spacing w:after="0" w:line="240" w:lineRule="auto"/>
              <w:jc w:val="center"/>
              <w:rPr>
                <w:rFonts w:cs="Times New Roman"/>
                <w:noProof/>
              </w:rPr>
            </w:pPr>
            <w:r>
              <w:rPr>
                <w:noProof/>
              </w:rPr>
              <w:t>Q</w:t>
            </w:r>
          </w:p>
        </w:tc>
        <w:tc>
          <w:tcPr>
            <w:tcW w:w="551" w:type="dxa"/>
            <w:shd w:val="clear" w:color="auto" w:fill="C6D9F1" w:themeFill="text2" w:themeFillTint="33"/>
            <w:noWrap/>
          </w:tcPr>
          <w:p w14:paraId="31DCEA32" w14:textId="77777777" w:rsidR="000E48CE" w:rsidRDefault="00FF4C4E">
            <w:pPr>
              <w:pStyle w:val="P68B1DB1-Normal12"/>
              <w:spacing w:after="0" w:line="240" w:lineRule="auto"/>
              <w:jc w:val="center"/>
              <w:rPr>
                <w:rFonts w:cs="Times New Roman"/>
                <w:noProof/>
              </w:rPr>
            </w:pPr>
            <w:r>
              <w:rPr>
                <w:noProof/>
              </w:rPr>
              <w:t>Vuosi</w:t>
            </w:r>
          </w:p>
        </w:tc>
        <w:tc>
          <w:tcPr>
            <w:tcW w:w="5901" w:type="dxa"/>
            <w:tcBorders>
              <w:top w:val="nil"/>
            </w:tcBorders>
            <w:shd w:val="clear" w:color="auto" w:fill="C6D9F1" w:themeFill="text2" w:themeFillTint="33"/>
            <w:noWrap/>
          </w:tcPr>
          <w:p w14:paraId="03115B95" w14:textId="77777777" w:rsidR="000E48CE" w:rsidRDefault="000E48CE">
            <w:pPr>
              <w:spacing w:after="0" w:line="240" w:lineRule="auto"/>
              <w:rPr>
                <w:rFonts w:ascii="Times New Roman" w:hAnsi="Times New Roman" w:cs="Times New Roman"/>
                <w:b/>
                <w:noProof/>
                <w:sz w:val="18"/>
              </w:rPr>
            </w:pPr>
          </w:p>
        </w:tc>
      </w:tr>
      <w:tr w:rsidR="000E48CE" w14:paraId="36FDEA7D" w14:textId="77777777">
        <w:trPr>
          <w:trHeight w:val="309"/>
        </w:trPr>
        <w:tc>
          <w:tcPr>
            <w:tcW w:w="830" w:type="dxa"/>
            <w:shd w:val="clear" w:color="auto" w:fill="C6EFCE"/>
            <w:noWrap/>
          </w:tcPr>
          <w:p w14:paraId="456CA45E" w14:textId="77777777" w:rsidR="000E48CE" w:rsidRDefault="00FF4C4E">
            <w:pPr>
              <w:pStyle w:val="P68B1DB1-Normal13"/>
              <w:spacing w:after="0" w:line="240" w:lineRule="auto"/>
              <w:jc w:val="center"/>
              <w:rPr>
                <w:rFonts w:eastAsia="Times New Roman" w:cs="Times New Roman"/>
                <w:noProof/>
              </w:rPr>
            </w:pPr>
            <w:r>
              <w:rPr>
                <w:noProof/>
              </w:rPr>
              <w:t>329</w:t>
            </w:r>
          </w:p>
        </w:tc>
        <w:tc>
          <w:tcPr>
            <w:tcW w:w="828" w:type="dxa"/>
            <w:shd w:val="clear" w:color="auto" w:fill="C6EFCE"/>
            <w:noWrap/>
          </w:tcPr>
          <w:p w14:paraId="73EA70E1" w14:textId="77777777" w:rsidR="000E48CE" w:rsidRDefault="00FF4C4E">
            <w:pPr>
              <w:pStyle w:val="P68B1DB1-Normal13"/>
              <w:spacing w:after="0" w:line="240" w:lineRule="auto"/>
              <w:jc w:val="center"/>
              <w:rPr>
                <w:rFonts w:eastAsia="Times New Roman" w:cs="Times New Roman"/>
                <w:noProof/>
              </w:rPr>
            </w:pPr>
            <w:r>
              <w:rPr>
                <w:noProof/>
              </w:rPr>
              <w:t>C23.R1</w:t>
            </w:r>
          </w:p>
        </w:tc>
        <w:tc>
          <w:tcPr>
            <w:tcW w:w="826" w:type="dxa"/>
            <w:shd w:val="clear" w:color="auto" w:fill="C6EFCE"/>
            <w:noWrap/>
          </w:tcPr>
          <w:p w14:paraId="03F95390"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0F077D7A" w14:textId="77777777" w:rsidR="000E48CE" w:rsidRDefault="00FF4C4E">
            <w:pPr>
              <w:pStyle w:val="P68B1DB1-Normal13"/>
              <w:spacing w:after="0" w:line="240" w:lineRule="auto"/>
              <w:rPr>
                <w:rFonts w:cs="Times New Roman"/>
                <w:noProof/>
              </w:rPr>
            </w:pPr>
            <w:r>
              <w:rPr>
                <w:noProof/>
              </w:rPr>
              <w:t xml:space="preserve">Kaksi kuninkaallista asetusta, joilla säännellään etätyötä yksityisellä sektorilla ja </w:t>
            </w:r>
            <w:r>
              <w:rPr>
                <w:noProof/>
              </w:rPr>
              <w:t>julkishallinnossa, tulee voimaan</w:t>
            </w:r>
          </w:p>
          <w:p w14:paraId="2D6573B5" w14:textId="77777777" w:rsidR="000E48CE" w:rsidRDefault="000E48CE">
            <w:pPr>
              <w:jc w:val="right"/>
              <w:rPr>
                <w:rFonts w:ascii="Times New Roman" w:eastAsia="Times New Roman" w:hAnsi="Times New Roman" w:cs="Times New Roman"/>
                <w:noProof/>
                <w:sz w:val="18"/>
              </w:rPr>
            </w:pPr>
          </w:p>
        </w:tc>
        <w:tc>
          <w:tcPr>
            <w:tcW w:w="1102" w:type="dxa"/>
            <w:shd w:val="clear" w:color="auto" w:fill="C6EFCE"/>
            <w:noWrap/>
          </w:tcPr>
          <w:p w14:paraId="2814BE0C" w14:textId="77777777" w:rsidR="000E48CE" w:rsidRDefault="00FF4C4E">
            <w:pPr>
              <w:pStyle w:val="P68B1DB1-Normal13"/>
              <w:spacing w:after="0" w:line="240" w:lineRule="auto"/>
              <w:jc w:val="center"/>
              <w:rPr>
                <w:rFonts w:eastAsia="Times New Roman" w:cs="Times New Roman"/>
                <w:noProof/>
              </w:rPr>
            </w:pPr>
            <w:r>
              <w:rPr>
                <w:noProof/>
              </w:rPr>
              <w:t>Kuninkaan asetuksen voimaantuloa koskevat säännökset</w:t>
            </w:r>
          </w:p>
        </w:tc>
        <w:tc>
          <w:tcPr>
            <w:tcW w:w="827" w:type="dxa"/>
            <w:shd w:val="clear" w:color="auto" w:fill="C6EFCE"/>
            <w:noWrap/>
          </w:tcPr>
          <w:p w14:paraId="3ECB9D4A"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45DEBF0"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23117AD"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7066183E"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17BCFEE8" w14:textId="77777777" w:rsidR="000E48CE" w:rsidRDefault="00FF4C4E">
            <w:pPr>
              <w:pStyle w:val="P68B1DB1-Normal13"/>
              <w:spacing w:after="0" w:line="240" w:lineRule="auto"/>
              <w:jc w:val="center"/>
              <w:rPr>
                <w:rFonts w:eastAsia="Times New Roman" w:cs="Times New Roman"/>
                <w:noProof/>
              </w:rPr>
            </w:pPr>
            <w:r>
              <w:rPr>
                <w:noProof/>
              </w:rPr>
              <w:t>2020</w:t>
            </w:r>
          </w:p>
        </w:tc>
        <w:tc>
          <w:tcPr>
            <w:tcW w:w="5901" w:type="dxa"/>
            <w:shd w:val="clear" w:color="auto" w:fill="C6EFCE"/>
            <w:noWrap/>
          </w:tcPr>
          <w:p w14:paraId="488BD1D6" w14:textId="77777777" w:rsidR="000E48CE" w:rsidRDefault="00FF4C4E">
            <w:pPr>
              <w:pStyle w:val="P68B1DB1-Normal13"/>
              <w:spacing w:after="0" w:line="240" w:lineRule="auto"/>
              <w:rPr>
                <w:rFonts w:eastAsia="Times New Roman" w:cs="Times New Roman"/>
                <w:noProof/>
              </w:rPr>
            </w:pPr>
            <w:r>
              <w:rPr>
                <w:noProof/>
              </w:rPr>
              <w:t>Näillä kahdella kuninkaan asetuksella säännellään etätyötä yksityisellä sektorilla ja julkishallinnossa. Lain tavoitteet ovat seuraavat: I) luodaan sääntel</w:t>
            </w:r>
            <w:r>
              <w:rPr>
                <w:noProof/>
              </w:rPr>
              <w:t>ykehys (RDL 28/2020), joka edistää etätyön käyttöönottoa säilyttäen samalla yritysten tuottavuuden ja tarjoaa työntekijöille suojelua ja joustavuutta; ja ii) etätyön sääntely kaikissa julkishallinnoissa (RDL 29/2020) uutena tapana organisoida ja jäsentää t</w:t>
            </w:r>
            <w:r>
              <w:rPr>
                <w:noProof/>
              </w:rPr>
              <w:t>yötä, jotta voidaan palvella paremmin yleisiä etuja ja varmistaa julkishallintojen normaali toiminta.</w:t>
            </w:r>
          </w:p>
        </w:tc>
      </w:tr>
      <w:tr w:rsidR="000E48CE" w14:paraId="22A87D8A" w14:textId="77777777">
        <w:trPr>
          <w:trHeight w:val="309"/>
        </w:trPr>
        <w:tc>
          <w:tcPr>
            <w:tcW w:w="830" w:type="dxa"/>
            <w:shd w:val="clear" w:color="auto" w:fill="C6EFCE"/>
            <w:noWrap/>
          </w:tcPr>
          <w:p w14:paraId="46199EE4" w14:textId="77777777" w:rsidR="000E48CE" w:rsidRDefault="00FF4C4E">
            <w:pPr>
              <w:pStyle w:val="P68B1DB1-Normal13"/>
              <w:spacing w:after="0" w:line="240" w:lineRule="auto"/>
              <w:jc w:val="center"/>
              <w:rPr>
                <w:rFonts w:eastAsia="Times New Roman" w:cs="Times New Roman"/>
                <w:noProof/>
              </w:rPr>
            </w:pPr>
            <w:r>
              <w:rPr>
                <w:noProof/>
              </w:rPr>
              <w:t>330</w:t>
            </w:r>
          </w:p>
        </w:tc>
        <w:tc>
          <w:tcPr>
            <w:tcW w:w="828" w:type="dxa"/>
            <w:shd w:val="clear" w:color="auto" w:fill="C6EFCE"/>
            <w:noWrap/>
          </w:tcPr>
          <w:p w14:paraId="5FF176BB" w14:textId="77777777" w:rsidR="000E48CE" w:rsidRDefault="00FF4C4E">
            <w:pPr>
              <w:pStyle w:val="P68B1DB1-Normal13"/>
              <w:spacing w:after="0" w:line="240" w:lineRule="auto"/>
              <w:jc w:val="center"/>
              <w:rPr>
                <w:rFonts w:eastAsia="Times New Roman" w:cs="Times New Roman"/>
                <w:noProof/>
              </w:rPr>
            </w:pPr>
            <w:r>
              <w:rPr>
                <w:noProof/>
              </w:rPr>
              <w:t>C23.R2</w:t>
            </w:r>
          </w:p>
        </w:tc>
        <w:tc>
          <w:tcPr>
            <w:tcW w:w="826" w:type="dxa"/>
            <w:shd w:val="clear" w:color="auto" w:fill="C6EFCE"/>
            <w:noWrap/>
          </w:tcPr>
          <w:p w14:paraId="4D64BEF9"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2CFF2489" w14:textId="77777777" w:rsidR="000E48CE" w:rsidRDefault="00FF4C4E">
            <w:pPr>
              <w:pStyle w:val="P68B1DB1-Normal13"/>
              <w:spacing w:after="0" w:line="240" w:lineRule="auto"/>
              <w:rPr>
                <w:rFonts w:eastAsia="Times New Roman" w:cs="Times New Roman"/>
                <w:noProof/>
              </w:rPr>
            </w:pPr>
            <w:r>
              <w:rPr>
                <w:noProof/>
              </w:rPr>
              <w:t>Naisten ja miesten samapalkkaisuutta ja tasa-arvosuunnitelmia ja niiden rekisteröintiä koskevien kahden määräyksen voimaantulo</w:t>
            </w:r>
          </w:p>
        </w:tc>
        <w:tc>
          <w:tcPr>
            <w:tcW w:w="1102" w:type="dxa"/>
            <w:shd w:val="clear" w:color="auto" w:fill="C6EFCE"/>
            <w:noWrap/>
          </w:tcPr>
          <w:p w14:paraId="53295996" w14:textId="77777777" w:rsidR="000E48CE" w:rsidRDefault="00FF4C4E">
            <w:pPr>
              <w:pStyle w:val="P68B1DB1-Normal13"/>
              <w:spacing w:after="0" w:line="240" w:lineRule="auto"/>
              <w:jc w:val="center"/>
              <w:rPr>
                <w:rFonts w:eastAsia="Times New Roman" w:cs="Times New Roman"/>
                <w:noProof/>
              </w:rPr>
            </w:pPr>
            <w:r>
              <w:rPr>
                <w:noProof/>
              </w:rPr>
              <w:t xml:space="preserve">Voimaantuloa </w:t>
            </w:r>
            <w:r>
              <w:rPr>
                <w:noProof/>
              </w:rPr>
              <w:t>koskevien sääntöjen säännökset</w:t>
            </w:r>
          </w:p>
        </w:tc>
        <w:tc>
          <w:tcPr>
            <w:tcW w:w="827" w:type="dxa"/>
            <w:shd w:val="clear" w:color="auto" w:fill="C6EFCE"/>
            <w:noWrap/>
          </w:tcPr>
          <w:p w14:paraId="745EA3B5"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6DBB5D3F"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7F53BE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26075300" w14:textId="77777777" w:rsidR="000E48CE" w:rsidRDefault="00FF4C4E">
            <w:pPr>
              <w:pStyle w:val="P68B1DB1-Normal13"/>
              <w:spacing w:after="0" w:line="240" w:lineRule="auto"/>
              <w:jc w:val="center"/>
              <w:rPr>
                <w:rFonts w:eastAsia="Times New Roman" w:cs="Times New Roman"/>
                <w:noProof/>
              </w:rPr>
            </w:pPr>
            <w:r>
              <w:rPr>
                <w:noProof/>
              </w:rPr>
              <w:t>Q2</w:t>
            </w:r>
          </w:p>
        </w:tc>
        <w:tc>
          <w:tcPr>
            <w:tcW w:w="551" w:type="dxa"/>
            <w:shd w:val="clear" w:color="auto" w:fill="C6EFCE"/>
            <w:noWrap/>
          </w:tcPr>
          <w:p w14:paraId="0207F12F"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05BC44CF" w14:textId="77777777" w:rsidR="000E48CE" w:rsidRDefault="00FF4C4E">
            <w:pPr>
              <w:pStyle w:val="P68B1DB1-Normal13"/>
              <w:spacing w:after="0" w:line="240" w:lineRule="auto"/>
              <w:rPr>
                <w:rFonts w:eastAsia="Times New Roman" w:cs="Times New Roman"/>
                <w:noProof/>
              </w:rPr>
            </w:pPr>
            <w:r>
              <w:rPr>
                <w:noProof/>
              </w:rPr>
              <w:t xml:space="preserve">Näitä kahta sääntöä sovelletaan naisten ja miesten samapalkkaisuuteen sekä tasa-arvosuunnitelmiin ja niiden rekisteröintiin. Niiden tavoitteet ovat seuraavat: varmistetaan palkkauksen avoimuuden periaate, jotta </w:t>
            </w:r>
            <w:r>
              <w:rPr>
                <w:noProof/>
              </w:rPr>
              <w:t>voidaan tunnistaa virheellisistä työnarvioinneista johtuva syrjintä; ja ii) laatia tasa-arvosuunnitelmia ja varmistaa, että ne kirjataan julkiseen rekisteriin.</w:t>
            </w:r>
          </w:p>
        </w:tc>
      </w:tr>
      <w:tr w:rsidR="000E48CE" w14:paraId="070AFE23" w14:textId="77777777">
        <w:trPr>
          <w:trHeight w:val="309"/>
        </w:trPr>
        <w:tc>
          <w:tcPr>
            <w:tcW w:w="830" w:type="dxa"/>
            <w:shd w:val="clear" w:color="auto" w:fill="C6EFCE"/>
            <w:noWrap/>
          </w:tcPr>
          <w:p w14:paraId="34E4D46A" w14:textId="77777777" w:rsidR="000E48CE" w:rsidRDefault="00FF4C4E">
            <w:pPr>
              <w:pStyle w:val="P68B1DB1-Normal13"/>
              <w:spacing w:after="0" w:line="240" w:lineRule="auto"/>
              <w:jc w:val="center"/>
              <w:rPr>
                <w:rFonts w:eastAsia="Times New Roman" w:cs="Times New Roman"/>
                <w:noProof/>
              </w:rPr>
            </w:pPr>
            <w:r>
              <w:rPr>
                <w:noProof/>
              </w:rPr>
              <w:t>331</w:t>
            </w:r>
          </w:p>
        </w:tc>
        <w:tc>
          <w:tcPr>
            <w:tcW w:w="828" w:type="dxa"/>
            <w:shd w:val="clear" w:color="auto" w:fill="C6EFCE"/>
            <w:noWrap/>
          </w:tcPr>
          <w:p w14:paraId="49B5C76D" w14:textId="77777777" w:rsidR="000E48CE" w:rsidRDefault="00FF4C4E">
            <w:pPr>
              <w:pStyle w:val="P68B1DB1-Normal13"/>
              <w:spacing w:after="0" w:line="240" w:lineRule="auto"/>
              <w:jc w:val="center"/>
              <w:rPr>
                <w:rFonts w:eastAsia="Times New Roman" w:cs="Times New Roman"/>
                <w:noProof/>
              </w:rPr>
            </w:pPr>
            <w:r>
              <w:rPr>
                <w:noProof/>
              </w:rPr>
              <w:t>C23.R3</w:t>
            </w:r>
          </w:p>
        </w:tc>
        <w:tc>
          <w:tcPr>
            <w:tcW w:w="826" w:type="dxa"/>
            <w:shd w:val="clear" w:color="auto" w:fill="C6EFCE"/>
            <w:noWrap/>
          </w:tcPr>
          <w:p w14:paraId="5DB08BC8"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58EF5E75" w14:textId="77777777" w:rsidR="000E48CE" w:rsidRDefault="00FF4C4E">
            <w:pPr>
              <w:pStyle w:val="P68B1DB1-Normal13"/>
              <w:spacing w:after="0" w:line="240" w:lineRule="auto"/>
              <w:rPr>
                <w:rFonts w:eastAsia="Times New Roman" w:cs="Times New Roman"/>
                <w:noProof/>
              </w:rPr>
            </w:pPr>
            <w:r>
              <w:rPr>
                <w:noProof/>
              </w:rPr>
              <w:t xml:space="preserve">Teknisin keinoin kolmansille osapuolille jakelutoimintaa harjoittavien </w:t>
            </w:r>
            <w:r>
              <w:rPr>
                <w:noProof/>
              </w:rPr>
              <w:t>työntekijöiden suojelusta annetun kuninkaan asetuksen voimaantulo</w:t>
            </w:r>
          </w:p>
        </w:tc>
        <w:tc>
          <w:tcPr>
            <w:tcW w:w="1102" w:type="dxa"/>
            <w:shd w:val="clear" w:color="auto" w:fill="C6EFCE"/>
            <w:noWrap/>
          </w:tcPr>
          <w:p w14:paraId="7207906F" w14:textId="77777777" w:rsidR="000E48CE" w:rsidRDefault="00FF4C4E">
            <w:pPr>
              <w:pStyle w:val="P68B1DB1-Normal13"/>
              <w:spacing w:after="0" w:line="240" w:lineRule="auto"/>
              <w:jc w:val="center"/>
              <w:rPr>
                <w:rFonts w:eastAsia="Times New Roman" w:cs="Times New Roman"/>
                <w:noProof/>
              </w:rPr>
            </w:pPr>
            <w:r>
              <w:rPr>
                <w:noProof/>
              </w:rPr>
              <w:t>Asetuksen voimaantulosta annetun kuninkaan asetuksen säännökset</w:t>
            </w:r>
          </w:p>
        </w:tc>
        <w:tc>
          <w:tcPr>
            <w:tcW w:w="827" w:type="dxa"/>
            <w:shd w:val="clear" w:color="auto" w:fill="C6EFCE"/>
            <w:noWrap/>
          </w:tcPr>
          <w:p w14:paraId="273CDBAD"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64C43E4F"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7973AF5"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5FBDB62C" w14:textId="77777777" w:rsidR="000E48CE" w:rsidRDefault="00FF4C4E">
            <w:pPr>
              <w:pStyle w:val="P68B1DB1-Normal13"/>
              <w:spacing w:after="0" w:line="240" w:lineRule="auto"/>
              <w:jc w:val="center"/>
              <w:rPr>
                <w:rFonts w:eastAsia="Times New Roman" w:cs="Times New Roman"/>
                <w:noProof/>
              </w:rPr>
            </w:pPr>
            <w:r>
              <w:rPr>
                <w:noProof/>
              </w:rPr>
              <w:t>KOLMAS VUOSINELJÄNNES</w:t>
            </w:r>
          </w:p>
        </w:tc>
        <w:tc>
          <w:tcPr>
            <w:tcW w:w="551" w:type="dxa"/>
            <w:shd w:val="clear" w:color="auto" w:fill="C6EFCE"/>
            <w:noWrap/>
          </w:tcPr>
          <w:p w14:paraId="0C02A8C7"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5D119842" w14:textId="77777777" w:rsidR="000E48CE" w:rsidRDefault="00FF4C4E">
            <w:pPr>
              <w:pStyle w:val="P68B1DB1-Normal13"/>
              <w:spacing w:after="0" w:line="240" w:lineRule="auto"/>
              <w:rPr>
                <w:rFonts w:eastAsia="Times New Roman" w:cs="Times New Roman"/>
                <w:noProof/>
              </w:rPr>
            </w:pPr>
            <w:r>
              <w:rPr>
                <w:noProof/>
              </w:rPr>
              <w:t>Kuninkaan asetus koskee sellaisten työntekijöiden suojelua, jotka harjoittavat jakelutoiminta</w:t>
            </w:r>
            <w:r>
              <w:rPr>
                <w:noProof/>
              </w:rPr>
              <w:t>a kolmansille teknisin keinoin. Lain tavoitteena on taata näille ihmisille oikeus oikeudenmukaiseen ja yhdenvertaiseen kohteluun työolojen ja -ehtojen osalta, oikeus sosiaaliseen suojeluun ja koulutukseen sekä antaa työntekijöiden oikeudelliselle eduskunna</w:t>
            </w:r>
            <w:r>
              <w:rPr>
                <w:noProof/>
              </w:rPr>
              <w:t>lle mahdollisuus saada tietoa tekoälyalgoritmeihin ja -järjestelmiin sisältyvistä säännöistä, jotka voivat vaikuttaa alustojen työoloihin, mukaan lukien työn saanti ja ylläpito sekä profilointi.</w:t>
            </w:r>
          </w:p>
        </w:tc>
      </w:tr>
      <w:tr w:rsidR="000E48CE" w14:paraId="57572D13" w14:textId="77777777">
        <w:trPr>
          <w:trHeight w:val="309"/>
        </w:trPr>
        <w:tc>
          <w:tcPr>
            <w:tcW w:w="830" w:type="dxa"/>
            <w:shd w:val="clear" w:color="auto" w:fill="C6EFCE"/>
            <w:noWrap/>
          </w:tcPr>
          <w:p w14:paraId="4BC4363E" w14:textId="77777777" w:rsidR="000E48CE" w:rsidRDefault="00FF4C4E">
            <w:pPr>
              <w:pStyle w:val="P68B1DB1-Normal13"/>
              <w:spacing w:after="0" w:line="240" w:lineRule="auto"/>
              <w:jc w:val="center"/>
              <w:rPr>
                <w:rFonts w:eastAsia="Times New Roman" w:cs="Times New Roman"/>
                <w:noProof/>
              </w:rPr>
            </w:pPr>
            <w:r>
              <w:rPr>
                <w:noProof/>
              </w:rPr>
              <w:t>332</w:t>
            </w:r>
          </w:p>
        </w:tc>
        <w:tc>
          <w:tcPr>
            <w:tcW w:w="828" w:type="dxa"/>
            <w:shd w:val="clear" w:color="auto" w:fill="C6EFCE"/>
            <w:noWrap/>
          </w:tcPr>
          <w:p w14:paraId="4161C4D6" w14:textId="77777777" w:rsidR="000E48CE" w:rsidRDefault="00FF4C4E">
            <w:pPr>
              <w:pStyle w:val="P68B1DB1-Normal13"/>
              <w:spacing w:after="0" w:line="240" w:lineRule="auto"/>
              <w:jc w:val="center"/>
              <w:rPr>
                <w:rFonts w:eastAsia="Times New Roman" w:cs="Times New Roman"/>
                <w:noProof/>
              </w:rPr>
            </w:pPr>
            <w:r>
              <w:rPr>
                <w:noProof/>
              </w:rPr>
              <w:t>C23.R4</w:t>
            </w:r>
          </w:p>
        </w:tc>
        <w:tc>
          <w:tcPr>
            <w:tcW w:w="826" w:type="dxa"/>
            <w:shd w:val="clear" w:color="auto" w:fill="C6EFCE"/>
            <w:noWrap/>
          </w:tcPr>
          <w:p w14:paraId="5EC91730"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638B7749" w14:textId="77777777" w:rsidR="000E48CE" w:rsidRDefault="00FF4C4E">
            <w:pPr>
              <w:pStyle w:val="P68B1DB1-Normal13"/>
              <w:spacing w:after="0" w:line="240" w:lineRule="auto"/>
              <w:rPr>
                <w:rFonts w:eastAsia="Times New Roman" w:cs="Times New Roman"/>
                <w:noProof/>
              </w:rPr>
            </w:pPr>
            <w:r>
              <w:rPr>
                <w:noProof/>
              </w:rPr>
              <w:t xml:space="preserve">Työntekijöiden asemaa koskevien sääntöjen </w:t>
            </w:r>
            <w:r>
              <w:rPr>
                <w:noProof/>
              </w:rPr>
              <w:t>muuttaminen tilapäisten työsuhteiden vähentämisen tukemiseksi yksinkertaistamalla sopimustyyppien määrää</w:t>
            </w:r>
          </w:p>
        </w:tc>
        <w:tc>
          <w:tcPr>
            <w:tcW w:w="1102" w:type="dxa"/>
            <w:shd w:val="clear" w:color="auto" w:fill="C6EFCE"/>
            <w:noWrap/>
          </w:tcPr>
          <w:p w14:paraId="786C061B" w14:textId="77777777" w:rsidR="000E48CE" w:rsidRDefault="00FF4C4E">
            <w:pPr>
              <w:pStyle w:val="P68B1DB1-Normal13"/>
              <w:spacing w:after="0" w:line="240" w:lineRule="auto"/>
              <w:jc w:val="center"/>
              <w:rPr>
                <w:rFonts w:eastAsia="Times New Roman" w:cs="Times New Roman"/>
                <w:noProof/>
              </w:rPr>
            </w:pPr>
            <w:r>
              <w:rPr>
                <w:noProof/>
              </w:rPr>
              <w:t>Voimaantuloa koskevan muutoksen säännökset</w:t>
            </w:r>
          </w:p>
        </w:tc>
        <w:tc>
          <w:tcPr>
            <w:tcW w:w="827" w:type="dxa"/>
            <w:shd w:val="clear" w:color="auto" w:fill="C6EFCE"/>
            <w:noWrap/>
          </w:tcPr>
          <w:p w14:paraId="63332ACC"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3CFDD10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7048586C"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22751C80"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01D31852"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1A58AFA6" w14:textId="77777777" w:rsidR="000E48CE" w:rsidRDefault="00FF4C4E">
            <w:pPr>
              <w:pStyle w:val="P68B1DB1-Normal13"/>
              <w:spacing w:after="0" w:line="240" w:lineRule="auto"/>
              <w:rPr>
                <w:rFonts w:eastAsia="Times New Roman" w:cs="Times New Roman"/>
                <w:noProof/>
              </w:rPr>
            </w:pPr>
            <w:r>
              <w:rPr>
                <w:noProof/>
              </w:rPr>
              <w:t>Työmarkkinaosapuolten vuoropuhelua kunnioittaen ja osana kokonaisvaltaista lähestymistapaa, jo</w:t>
            </w:r>
            <w:r>
              <w:rPr>
                <w:noProof/>
              </w:rPr>
              <w:t>ssa tasapainotetaan työmarkkinoiden joustavuuden ja turvallisuuden tarve, tulee voimaan työntekijöiden asemasta annetun lain uudelleenlaaditun tekstin hyväksymisestä 23. lokakuuta annettu asetus 2/2015, jolla tuetaan määräaikaisten työsuhteiden vähentämist</w:t>
            </w:r>
            <w:r>
              <w:rPr>
                <w:noProof/>
              </w:rPr>
              <w:t>ä yksinkertaistamalla sopimustyyppien määrää.</w:t>
            </w:r>
          </w:p>
        </w:tc>
      </w:tr>
      <w:tr w:rsidR="000E48CE" w14:paraId="7B861282" w14:textId="77777777">
        <w:trPr>
          <w:trHeight w:val="309"/>
        </w:trPr>
        <w:tc>
          <w:tcPr>
            <w:tcW w:w="830" w:type="dxa"/>
            <w:shd w:val="clear" w:color="auto" w:fill="C6EFCE"/>
            <w:noWrap/>
          </w:tcPr>
          <w:p w14:paraId="46692478" w14:textId="77777777" w:rsidR="000E48CE" w:rsidRDefault="00FF4C4E">
            <w:pPr>
              <w:pStyle w:val="P68B1DB1-Normal13"/>
              <w:spacing w:after="0" w:line="240" w:lineRule="auto"/>
              <w:jc w:val="center"/>
              <w:rPr>
                <w:rFonts w:eastAsia="Times New Roman" w:cs="Times New Roman"/>
                <w:noProof/>
              </w:rPr>
            </w:pPr>
            <w:r>
              <w:rPr>
                <w:noProof/>
              </w:rPr>
              <w:t>333</w:t>
            </w:r>
          </w:p>
        </w:tc>
        <w:tc>
          <w:tcPr>
            <w:tcW w:w="828" w:type="dxa"/>
            <w:shd w:val="clear" w:color="auto" w:fill="C6EFCE"/>
            <w:noWrap/>
          </w:tcPr>
          <w:p w14:paraId="4AA8DF04" w14:textId="77777777" w:rsidR="000E48CE" w:rsidRDefault="00FF4C4E">
            <w:pPr>
              <w:pStyle w:val="P68B1DB1-Normal13"/>
              <w:spacing w:after="0" w:line="240" w:lineRule="auto"/>
              <w:jc w:val="center"/>
              <w:rPr>
                <w:rFonts w:eastAsia="Times New Roman" w:cs="Times New Roman"/>
                <w:noProof/>
              </w:rPr>
            </w:pPr>
            <w:r>
              <w:rPr>
                <w:noProof/>
              </w:rPr>
              <w:t>C23.R5</w:t>
            </w:r>
          </w:p>
        </w:tc>
        <w:tc>
          <w:tcPr>
            <w:tcW w:w="826" w:type="dxa"/>
            <w:shd w:val="clear" w:color="auto" w:fill="C6EFCE"/>
            <w:noWrap/>
          </w:tcPr>
          <w:p w14:paraId="4B808AF9"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1D60493A" w14:textId="77777777" w:rsidR="000E48CE" w:rsidRDefault="00FF4C4E">
            <w:pPr>
              <w:pStyle w:val="P68B1DB1-Normal13"/>
              <w:spacing w:after="0" w:line="240" w:lineRule="auto"/>
              <w:rPr>
                <w:rFonts w:eastAsia="Times New Roman" w:cs="Times New Roman"/>
                <w:noProof/>
              </w:rPr>
            </w:pPr>
            <w:r>
              <w:rPr>
                <w:noProof/>
              </w:rPr>
              <w:t xml:space="preserve">Nuorisotyöttömyyden torjuntaa koskevan toimintasuunnitelman voimaantulo </w:t>
            </w:r>
          </w:p>
        </w:tc>
        <w:tc>
          <w:tcPr>
            <w:tcW w:w="1102" w:type="dxa"/>
            <w:shd w:val="clear" w:color="auto" w:fill="C6EFCE"/>
            <w:noWrap/>
          </w:tcPr>
          <w:p w14:paraId="11E5F696" w14:textId="77777777" w:rsidR="000E48CE" w:rsidRDefault="00FF4C4E">
            <w:pPr>
              <w:pStyle w:val="P68B1DB1-Normal13"/>
              <w:spacing w:after="0" w:line="240" w:lineRule="auto"/>
              <w:jc w:val="center"/>
              <w:rPr>
                <w:rFonts w:eastAsia="Times New Roman" w:cs="Times New Roman"/>
                <w:noProof/>
              </w:rPr>
            </w:pPr>
            <w:r>
              <w:rPr>
                <w:noProof/>
              </w:rPr>
              <w:t>Voimaantuloa koskevan toimintasuunnitelman määräykset</w:t>
            </w:r>
          </w:p>
        </w:tc>
        <w:tc>
          <w:tcPr>
            <w:tcW w:w="827" w:type="dxa"/>
            <w:shd w:val="clear" w:color="auto" w:fill="C6EFCE"/>
            <w:noWrap/>
          </w:tcPr>
          <w:p w14:paraId="3E319B07"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101540C6"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A62AE9E" w14:textId="77777777" w:rsidR="000E48CE" w:rsidRDefault="00FF4C4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56D1B033" w14:textId="77777777" w:rsidR="000E48CE" w:rsidRDefault="00FF4C4E">
            <w:pPr>
              <w:pStyle w:val="P68B1DB1-Normal13"/>
              <w:spacing w:after="0" w:line="240" w:lineRule="auto"/>
              <w:jc w:val="center"/>
              <w:rPr>
                <w:rFonts w:eastAsia="Times New Roman" w:cs="Times New Roman"/>
                <w:noProof/>
              </w:rPr>
            </w:pPr>
            <w:r>
              <w:rPr>
                <w:noProof/>
              </w:rPr>
              <w:t>Q2</w:t>
            </w:r>
          </w:p>
        </w:tc>
        <w:tc>
          <w:tcPr>
            <w:tcW w:w="551" w:type="dxa"/>
            <w:shd w:val="clear" w:color="auto" w:fill="C6EFCE"/>
            <w:noWrap/>
          </w:tcPr>
          <w:p w14:paraId="45617556"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46DF31CB" w14:textId="77777777" w:rsidR="000E48CE" w:rsidRDefault="00FF4C4E">
            <w:pPr>
              <w:pStyle w:val="P68B1DB1-Normal13"/>
              <w:spacing w:after="0" w:line="240" w:lineRule="auto"/>
              <w:rPr>
                <w:rFonts w:eastAsia="Times New Roman" w:cs="Times New Roman"/>
                <w:noProof/>
              </w:rPr>
            </w:pPr>
            <w:r>
              <w:rPr>
                <w:noProof/>
              </w:rPr>
              <w:t>Toimintasuunnitelmalla puututaan nuorisotyöttömyyteen EU:n nuorisotakuu plus -ohjelman täytäntöönpanon yhteydessä. Nuorisotakuun tavoitteena on parantaa ja syventää instituutioiden välistä koordinointia, vahvistaa suhteita yksityiseen sektoriin ja paikalli</w:t>
            </w:r>
            <w:r>
              <w:rPr>
                <w:noProof/>
              </w:rPr>
              <w:t>sviranomaisiin, parantaa koulutuksen laatua ja riittävyyttä, etsiä uusia työllistymismahdollisuuksia aloilla, joilla on kasvupotentiaalia, vähentää koulunkäynnin keskeyttämistä, ylläpitää ja parantaa arviointi- ja seurantajärjestelmää sekä vahvistaa edelle</w:t>
            </w:r>
            <w:r>
              <w:rPr>
                <w:noProof/>
              </w:rPr>
              <w:t>en yksilöllisiä ohjausohjelmia.</w:t>
            </w:r>
          </w:p>
        </w:tc>
      </w:tr>
      <w:tr w:rsidR="000E48CE" w14:paraId="0B35157B" w14:textId="77777777">
        <w:trPr>
          <w:trHeight w:val="309"/>
        </w:trPr>
        <w:tc>
          <w:tcPr>
            <w:tcW w:w="830" w:type="dxa"/>
            <w:shd w:val="clear" w:color="auto" w:fill="C6EFCE"/>
            <w:noWrap/>
          </w:tcPr>
          <w:p w14:paraId="6180F64B" w14:textId="77777777" w:rsidR="000E48CE" w:rsidRDefault="00FF4C4E">
            <w:pPr>
              <w:pStyle w:val="P68B1DB1-Normal13"/>
              <w:spacing w:after="0" w:line="240" w:lineRule="auto"/>
              <w:jc w:val="center"/>
              <w:rPr>
                <w:rFonts w:eastAsia="Times New Roman" w:cs="Times New Roman"/>
                <w:noProof/>
              </w:rPr>
            </w:pPr>
            <w:r>
              <w:rPr>
                <w:noProof/>
              </w:rPr>
              <w:t>334</w:t>
            </w:r>
          </w:p>
        </w:tc>
        <w:tc>
          <w:tcPr>
            <w:tcW w:w="828" w:type="dxa"/>
            <w:shd w:val="clear" w:color="auto" w:fill="C6EFCE"/>
            <w:noWrap/>
          </w:tcPr>
          <w:p w14:paraId="2B7578D5" w14:textId="77777777" w:rsidR="000E48CE" w:rsidRDefault="00FF4C4E">
            <w:pPr>
              <w:pStyle w:val="P68B1DB1-Normal13"/>
              <w:spacing w:after="0" w:line="240" w:lineRule="auto"/>
              <w:jc w:val="center"/>
              <w:rPr>
                <w:rFonts w:eastAsia="Times New Roman" w:cs="Times New Roman"/>
                <w:noProof/>
              </w:rPr>
            </w:pPr>
            <w:r>
              <w:rPr>
                <w:noProof/>
              </w:rPr>
              <w:t>C23.R5</w:t>
            </w:r>
          </w:p>
        </w:tc>
        <w:tc>
          <w:tcPr>
            <w:tcW w:w="826" w:type="dxa"/>
            <w:shd w:val="clear" w:color="auto" w:fill="C6EFCE"/>
            <w:noWrap/>
          </w:tcPr>
          <w:p w14:paraId="54A95832"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7FA967AD" w14:textId="77777777" w:rsidR="000E48CE" w:rsidRDefault="00FF4C4E">
            <w:pPr>
              <w:pStyle w:val="P68B1DB1-Normal13"/>
              <w:spacing w:after="0" w:line="240" w:lineRule="auto"/>
              <w:rPr>
                <w:rFonts w:eastAsia="Times New Roman" w:cs="Times New Roman"/>
                <w:noProof/>
              </w:rPr>
            </w:pPr>
            <w:r>
              <w:rPr>
                <w:noProof/>
              </w:rPr>
              <w:t>Kuninkaan asetus Espanjan uudesta työllisyysstrategiasta 2021–2024</w:t>
            </w:r>
          </w:p>
        </w:tc>
        <w:tc>
          <w:tcPr>
            <w:tcW w:w="1102" w:type="dxa"/>
            <w:shd w:val="clear" w:color="auto" w:fill="C6EFCE"/>
            <w:noWrap/>
          </w:tcPr>
          <w:p w14:paraId="20FB5F2C" w14:textId="77777777" w:rsidR="000E48CE" w:rsidRDefault="00FF4C4E">
            <w:pPr>
              <w:pStyle w:val="P68B1DB1-Normal13"/>
              <w:spacing w:after="0" w:line="240" w:lineRule="auto"/>
              <w:jc w:val="center"/>
              <w:rPr>
                <w:rFonts w:eastAsia="Times New Roman" w:cs="Times New Roman"/>
                <w:noProof/>
              </w:rPr>
            </w:pPr>
            <w:r>
              <w:rPr>
                <w:noProof/>
              </w:rPr>
              <w:t>Asetuksen voimaantulosta annetun kuninkaan asetuksen säännökset</w:t>
            </w:r>
          </w:p>
        </w:tc>
        <w:tc>
          <w:tcPr>
            <w:tcW w:w="827" w:type="dxa"/>
            <w:shd w:val="clear" w:color="auto" w:fill="C6EFCE"/>
            <w:noWrap/>
          </w:tcPr>
          <w:p w14:paraId="667ED042"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A085370"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C75B2E7" w14:textId="77777777" w:rsidR="000E48CE" w:rsidRDefault="00FF4C4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6A5CF8C5"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0BC087E5"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742A0600" w14:textId="77777777" w:rsidR="000E48CE" w:rsidRDefault="00FF4C4E">
            <w:pPr>
              <w:pStyle w:val="P68B1DB1-Normal13"/>
              <w:spacing w:after="0" w:line="240" w:lineRule="auto"/>
              <w:rPr>
                <w:rFonts w:eastAsia="Times New Roman" w:cs="Times New Roman"/>
                <w:noProof/>
              </w:rPr>
            </w:pPr>
            <w:r>
              <w:rPr>
                <w:noProof/>
              </w:rPr>
              <w:t xml:space="preserve">Työmarkkinaosapuolten vuoropuhelun kunnioittaminen osana kokonaisvaltaista lähestymistapaa, jossa tasapainotetaan työmarkkinoiden joustavuuden ja turvallisuuden tarve, ministerineuvoston hyväksyntä ja Espanjan uutta työllisyysstrategiaa 2021–2024 koskevan </w:t>
            </w:r>
            <w:r>
              <w:rPr>
                <w:noProof/>
              </w:rPr>
              <w:t xml:space="preserve">kuninkaallisen asetuksen voimaantulo. Uuden strategian päätavoitteet ovat seuraavat: </w:t>
            </w:r>
            <w:r>
              <w:rPr>
                <w:noProof/>
              </w:rPr>
              <w:br/>
              <w:t xml:space="preserve">ihmiskeskeinen ja yrityskeskeinen lähestymistapa: Aktiivisen työllisyyspolitiikan suunnittelussa on keskityttävä kunkin henkilön ja yrityksen erityisolosuhteisiin. </w:t>
            </w:r>
            <w:r>
              <w:rPr>
                <w:noProof/>
              </w:rPr>
              <w:br/>
              <w:t>johdo</w:t>
            </w:r>
            <w:r>
              <w:rPr>
                <w:noProof/>
              </w:rPr>
              <w:t xml:space="preserve">nmukaisuus tuottavan muutoksen kanssa: Aktiivisen työllisyyspolitiikan on mahdollistettava ammatilliset siirtymät, jotka liittyvät tuotantomallin siirtymiseen kohti vihreää ja digitaalista taloutta. </w:t>
            </w:r>
            <w:r>
              <w:rPr>
                <w:noProof/>
              </w:rPr>
              <w:br/>
              <w:t xml:space="preserve">tulossuuntautuneisuus: Aktiivista työllisyyspolitiikkaa </w:t>
            </w:r>
            <w:r>
              <w:rPr>
                <w:noProof/>
              </w:rPr>
              <w:t xml:space="preserve">arvioidaan, seurataan ja edistetään tulosten saavuttamista. </w:t>
            </w:r>
            <w:r>
              <w:rPr>
                <w:noProof/>
              </w:rPr>
              <w:br/>
              <w:t xml:space="preserve">IV) Julkisten työvoimapalvelujen valmiuksien parantaminen: Digitalisaation ja nykyaikaistamisen avulla.  </w:t>
            </w:r>
            <w:r>
              <w:rPr>
                <w:noProof/>
              </w:rPr>
              <w:br/>
              <w:t>IV) Kansallisen työllisyysjärjestelmän hallinto ja yhteenkuuluvuus koordinoinnin parantam</w:t>
            </w:r>
            <w:r>
              <w:rPr>
                <w:noProof/>
              </w:rPr>
              <w:t xml:space="preserve">iseksi kansallisella ja alueellisella tasolla sekä aktiiviseen työvoimapolitiikkaan osallistuvat sidosryhmät. </w:t>
            </w:r>
          </w:p>
        </w:tc>
      </w:tr>
      <w:tr w:rsidR="000E48CE" w14:paraId="67193C87" w14:textId="77777777">
        <w:trPr>
          <w:trHeight w:val="309"/>
        </w:trPr>
        <w:tc>
          <w:tcPr>
            <w:tcW w:w="830" w:type="dxa"/>
            <w:shd w:val="clear" w:color="auto" w:fill="C6EFCE"/>
            <w:noWrap/>
          </w:tcPr>
          <w:p w14:paraId="0E85BD51" w14:textId="77777777" w:rsidR="000E48CE" w:rsidRDefault="00FF4C4E">
            <w:pPr>
              <w:pStyle w:val="P68B1DB1-Normal13"/>
              <w:spacing w:after="0" w:line="240" w:lineRule="auto"/>
              <w:jc w:val="center"/>
              <w:rPr>
                <w:rFonts w:eastAsia="Times New Roman" w:cs="Times New Roman"/>
                <w:noProof/>
              </w:rPr>
            </w:pPr>
            <w:r>
              <w:rPr>
                <w:noProof/>
              </w:rPr>
              <w:t>335</w:t>
            </w:r>
          </w:p>
        </w:tc>
        <w:tc>
          <w:tcPr>
            <w:tcW w:w="828" w:type="dxa"/>
            <w:shd w:val="clear" w:color="auto" w:fill="C6EFCE"/>
            <w:noWrap/>
          </w:tcPr>
          <w:p w14:paraId="3BBC97A8" w14:textId="77777777" w:rsidR="000E48CE" w:rsidRDefault="00FF4C4E">
            <w:pPr>
              <w:pStyle w:val="P68B1DB1-Normal13"/>
              <w:spacing w:after="0" w:line="240" w:lineRule="auto"/>
              <w:jc w:val="center"/>
              <w:rPr>
                <w:rFonts w:eastAsia="Times New Roman" w:cs="Times New Roman"/>
                <w:noProof/>
              </w:rPr>
            </w:pPr>
            <w:r>
              <w:rPr>
                <w:noProof/>
              </w:rPr>
              <w:t>C23.R5</w:t>
            </w:r>
          </w:p>
        </w:tc>
        <w:tc>
          <w:tcPr>
            <w:tcW w:w="826" w:type="dxa"/>
            <w:shd w:val="clear" w:color="auto" w:fill="C6EFCE"/>
            <w:noWrap/>
          </w:tcPr>
          <w:p w14:paraId="4D12C998"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64CCA395" w14:textId="77777777" w:rsidR="000E48CE" w:rsidRDefault="00FF4C4E">
            <w:pPr>
              <w:pStyle w:val="P68B1DB1-Normal13"/>
              <w:spacing w:after="0" w:line="240" w:lineRule="auto"/>
              <w:rPr>
                <w:rFonts w:eastAsia="Times New Roman" w:cs="Times New Roman"/>
                <w:noProof/>
              </w:rPr>
            </w:pPr>
            <w:r>
              <w:rPr>
                <w:noProof/>
              </w:rPr>
              <w:t>Työlain muutoksen voimaantulo (kuninkaan asetus 3/2015)</w:t>
            </w:r>
          </w:p>
        </w:tc>
        <w:tc>
          <w:tcPr>
            <w:tcW w:w="1102" w:type="dxa"/>
            <w:shd w:val="clear" w:color="auto" w:fill="C6EFCE"/>
            <w:noWrap/>
          </w:tcPr>
          <w:p w14:paraId="19AC8364" w14:textId="77777777" w:rsidR="000E48CE" w:rsidRDefault="00FF4C4E">
            <w:pPr>
              <w:pStyle w:val="P68B1DB1-Normal13"/>
              <w:spacing w:after="0" w:line="240" w:lineRule="auto"/>
              <w:jc w:val="center"/>
              <w:rPr>
                <w:rFonts w:eastAsia="Times New Roman" w:cs="Times New Roman"/>
                <w:noProof/>
              </w:rPr>
            </w:pPr>
            <w:r>
              <w:rPr>
                <w:noProof/>
              </w:rPr>
              <w:t>Voimaantuloon liittyvän muutoksen säännös</w:t>
            </w:r>
          </w:p>
        </w:tc>
        <w:tc>
          <w:tcPr>
            <w:tcW w:w="827" w:type="dxa"/>
            <w:shd w:val="clear" w:color="auto" w:fill="C6EFCE"/>
            <w:noWrap/>
          </w:tcPr>
          <w:p w14:paraId="0A395B43"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556EDB3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8DC26C5" w14:textId="77777777" w:rsidR="000E48CE" w:rsidRDefault="00FF4C4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50C814FA"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26D9AA9D" w14:textId="77777777" w:rsidR="000E48CE" w:rsidRDefault="00FF4C4E">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0773232D" w14:textId="77777777" w:rsidR="000E48CE" w:rsidRDefault="00FF4C4E">
            <w:pPr>
              <w:pStyle w:val="P68B1DB1-Normal13"/>
              <w:spacing w:after="0" w:line="240" w:lineRule="auto"/>
              <w:rPr>
                <w:rFonts w:eastAsia="Times New Roman" w:cs="Times New Roman"/>
                <w:noProof/>
              </w:rPr>
            </w:pPr>
            <w:r>
              <w:rPr>
                <w:noProof/>
              </w:rPr>
              <w:t>Työlain muutoksella</w:t>
            </w:r>
            <w:r>
              <w:rPr>
                <w:noProof/>
              </w:rPr>
              <w:t xml:space="preserve"> (kuninkaallinen asetus 3/2015) I) vahvistaa kansallisen työllisyysjärjestelmän toiminta- ja koordinointivälineitä; uudistaa aktiivista työmarkkinapolitiikkaa; tarkistaa järjestelmän hallinnointia; vahvistetaan työllisyyspolitiikan paikallista ulottuvuutta</w:t>
            </w:r>
            <w:r>
              <w:rPr>
                <w:noProof/>
              </w:rPr>
              <w:t>; ja v) täyttävät aktiivisen työllisyyspolitiikan kansalliseen suunnitelmaan sisältyvien eri toimenpiteiden täytäntöönpanoa koskevat vaatimukset.</w:t>
            </w:r>
          </w:p>
        </w:tc>
      </w:tr>
      <w:tr w:rsidR="000E48CE" w14:paraId="3ED609C8" w14:textId="77777777">
        <w:trPr>
          <w:trHeight w:val="309"/>
        </w:trPr>
        <w:tc>
          <w:tcPr>
            <w:tcW w:w="830" w:type="dxa"/>
            <w:shd w:val="clear" w:color="auto" w:fill="C6EFCE"/>
            <w:noWrap/>
          </w:tcPr>
          <w:p w14:paraId="4E33F650" w14:textId="77777777" w:rsidR="000E48CE" w:rsidRDefault="00FF4C4E">
            <w:pPr>
              <w:pStyle w:val="P68B1DB1-Normal13"/>
              <w:spacing w:after="0" w:line="240" w:lineRule="auto"/>
              <w:jc w:val="center"/>
              <w:rPr>
                <w:rFonts w:eastAsia="Times New Roman" w:cs="Times New Roman"/>
                <w:noProof/>
              </w:rPr>
            </w:pPr>
            <w:r>
              <w:rPr>
                <w:noProof/>
              </w:rPr>
              <w:t>336</w:t>
            </w:r>
          </w:p>
        </w:tc>
        <w:tc>
          <w:tcPr>
            <w:tcW w:w="828" w:type="dxa"/>
            <w:shd w:val="clear" w:color="auto" w:fill="C6EFCE"/>
            <w:noWrap/>
          </w:tcPr>
          <w:p w14:paraId="3A7D2AC9" w14:textId="77777777" w:rsidR="000E48CE" w:rsidRDefault="00FF4C4E">
            <w:pPr>
              <w:pStyle w:val="P68B1DB1-Normal13"/>
              <w:spacing w:after="0" w:line="240" w:lineRule="auto"/>
              <w:jc w:val="center"/>
              <w:rPr>
                <w:rFonts w:eastAsia="Times New Roman" w:cs="Times New Roman"/>
                <w:noProof/>
              </w:rPr>
            </w:pPr>
            <w:r>
              <w:rPr>
                <w:noProof/>
              </w:rPr>
              <w:t>C23.R6</w:t>
            </w:r>
          </w:p>
        </w:tc>
        <w:tc>
          <w:tcPr>
            <w:tcW w:w="826" w:type="dxa"/>
            <w:shd w:val="clear" w:color="auto" w:fill="C6EFCE"/>
            <w:noWrap/>
          </w:tcPr>
          <w:p w14:paraId="6EDF450C"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0668CA02" w14:textId="77777777" w:rsidR="000E48CE" w:rsidRDefault="00FF4C4E">
            <w:pPr>
              <w:pStyle w:val="P68B1DB1-Normal13"/>
              <w:spacing w:after="0" w:line="240" w:lineRule="auto"/>
              <w:rPr>
                <w:rFonts w:eastAsia="Times New Roman" w:cs="Times New Roman"/>
                <w:noProof/>
              </w:rPr>
            </w:pPr>
            <w:r>
              <w:rPr>
                <w:noProof/>
              </w:rPr>
              <w:t>Työntekijöiden asemaa koskevien sääntöjen muuttaminen siten, että luodaan järjestelmä suhdanne- ja rakennehäiriöihin sopeutumiseksi, mukaan lukien järjestelmä, joka tarjoaa yrityksille sisäistä joustavuutta ja vakautta työntekijöille</w:t>
            </w:r>
          </w:p>
        </w:tc>
        <w:tc>
          <w:tcPr>
            <w:tcW w:w="1102" w:type="dxa"/>
            <w:shd w:val="clear" w:color="auto" w:fill="C6EFCE"/>
            <w:noWrap/>
          </w:tcPr>
          <w:p w14:paraId="7D1A70E3" w14:textId="77777777" w:rsidR="000E48CE" w:rsidRDefault="00FF4C4E">
            <w:pPr>
              <w:pStyle w:val="P68B1DB1-Normal13"/>
              <w:spacing w:after="0" w:line="240" w:lineRule="auto"/>
              <w:jc w:val="center"/>
              <w:rPr>
                <w:rFonts w:eastAsia="Times New Roman" w:cs="Times New Roman"/>
                <w:noProof/>
              </w:rPr>
            </w:pPr>
            <w:r>
              <w:rPr>
                <w:noProof/>
              </w:rPr>
              <w:t xml:space="preserve">Voimaantuloa koskevan </w:t>
            </w:r>
            <w:r>
              <w:rPr>
                <w:noProof/>
              </w:rPr>
              <w:t>muutoksen säännökset</w:t>
            </w:r>
          </w:p>
        </w:tc>
        <w:tc>
          <w:tcPr>
            <w:tcW w:w="827" w:type="dxa"/>
            <w:shd w:val="clear" w:color="auto" w:fill="C6EFCE"/>
            <w:noWrap/>
          </w:tcPr>
          <w:p w14:paraId="7A699D36"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40C11E6C"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BB8EE2D" w14:textId="77777777" w:rsidR="000E48CE" w:rsidRDefault="00FF4C4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1095FF21"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6569531A"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14A5FC8A" w14:textId="77777777" w:rsidR="000E48CE" w:rsidRDefault="00FF4C4E">
            <w:pPr>
              <w:pStyle w:val="P68B1DB1-Normal13"/>
              <w:spacing w:after="0" w:line="240" w:lineRule="auto"/>
              <w:rPr>
                <w:rFonts w:eastAsia="Times New Roman" w:cs="Times New Roman"/>
                <w:noProof/>
              </w:rPr>
            </w:pPr>
            <w:r>
              <w:rPr>
                <w:noProof/>
              </w:rPr>
              <w:t>Työmarkkinaosapuolten vuoropuhelun noudattaminen ja osana kokonaisvaltaista lähestymistapaa, jossa tasapainotetaan työmarkkinoiden joustavuuden ja turvallisuuden tarve ja varmistetaan julkisen talouden kestävyys keskipitk</w:t>
            </w:r>
            <w:r>
              <w:rPr>
                <w:noProof/>
              </w:rPr>
              <w:t>ällä ja pitkällä aikavälillä, työntekijöiden lain uudelleenlaaditun tekstin hyväksymisestä 23 päivänä lokakuuta 2015 annetun kuninkaan asetuksen 2/2015 muutossäännösten voimaantulo, jotta voidaan ottaa käyttöön järjestelmä, jolla sopeudutaan suhdanne- ja r</w:t>
            </w:r>
            <w:r>
              <w:rPr>
                <w:noProof/>
              </w:rPr>
              <w:t>akenteellisiin häiriöihin, mukaan lukien järjestelmä, joka tarjoaa sisäistä joustavuutta yrityksille ja työntekijöille vakautta, tukee työntekijöiden täydennys- ja uudelleenkoulutusta yrityksissä ja siirtymäaloilla ja helpottaa työntekijöiden vapaaehtoista</w:t>
            </w:r>
            <w:r>
              <w:rPr>
                <w:noProof/>
              </w:rPr>
              <w:t xml:space="preserve"> liikkuvuutta (yritysten sisällä ja niiden välillä). </w:t>
            </w:r>
          </w:p>
        </w:tc>
      </w:tr>
      <w:tr w:rsidR="000E48CE" w14:paraId="5CD41E59" w14:textId="77777777">
        <w:trPr>
          <w:trHeight w:val="309"/>
        </w:trPr>
        <w:tc>
          <w:tcPr>
            <w:tcW w:w="830" w:type="dxa"/>
            <w:shd w:val="clear" w:color="auto" w:fill="C6EFCE"/>
            <w:noWrap/>
          </w:tcPr>
          <w:p w14:paraId="34421AB8" w14:textId="77777777" w:rsidR="000E48CE" w:rsidRDefault="00FF4C4E">
            <w:pPr>
              <w:pStyle w:val="P68B1DB1-Normal13"/>
              <w:spacing w:after="0" w:line="240" w:lineRule="auto"/>
              <w:jc w:val="center"/>
              <w:rPr>
                <w:rFonts w:eastAsia="Times New Roman" w:cs="Times New Roman"/>
                <w:noProof/>
              </w:rPr>
            </w:pPr>
            <w:r>
              <w:rPr>
                <w:noProof/>
              </w:rPr>
              <w:t>337</w:t>
            </w:r>
          </w:p>
        </w:tc>
        <w:tc>
          <w:tcPr>
            <w:tcW w:w="828" w:type="dxa"/>
            <w:shd w:val="clear" w:color="auto" w:fill="C6EFCE"/>
            <w:noWrap/>
          </w:tcPr>
          <w:p w14:paraId="6707CF3F" w14:textId="77777777" w:rsidR="000E48CE" w:rsidRDefault="00FF4C4E">
            <w:pPr>
              <w:pStyle w:val="P68B1DB1-Normal13"/>
              <w:spacing w:after="0" w:line="240" w:lineRule="auto"/>
              <w:jc w:val="center"/>
              <w:rPr>
                <w:rFonts w:eastAsia="Times New Roman" w:cs="Times New Roman"/>
                <w:noProof/>
              </w:rPr>
            </w:pPr>
            <w:r>
              <w:rPr>
                <w:noProof/>
              </w:rPr>
              <w:t>C23.R7</w:t>
            </w:r>
          </w:p>
        </w:tc>
        <w:tc>
          <w:tcPr>
            <w:tcW w:w="826" w:type="dxa"/>
            <w:shd w:val="clear" w:color="auto" w:fill="C6EFCE"/>
            <w:noWrap/>
          </w:tcPr>
          <w:p w14:paraId="31A68BE3"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5D5161CC" w14:textId="77777777" w:rsidR="000E48CE" w:rsidRDefault="00FF4C4E">
            <w:pPr>
              <w:pStyle w:val="P68B1DB1-Normal13"/>
              <w:spacing w:after="0" w:line="240" w:lineRule="auto"/>
              <w:rPr>
                <w:rFonts w:eastAsia="Times New Roman" w:cs="Times New Roman"/>
                <w:noProof/>
              </w:rPr>
            </w:pPr>
            <w:r>
              <w:rPr>
                <w:noProof/>
              </w:rPr>
              <w:t>Lain 43/2006 uudistuksen voimaantulo rekrytointikannustinjärjestelmän yksinkertaistamiseksi ja tehostamiseksi ottaen huomioon AIReF:n antamat suositukset</w:t>
            </w:r>
          </w:p>
        </w:tc>
        <w:tc>
          <w:tcPr>
            <w:tcW w:w="1102" w:type="dxa"/>
            <w:shd w:val="clear" w:color="auto" w:fill="C6EFCE"/>
            <w:noWrap/>
          </w:tcPr>
          <w:p w14:paraId="1621C340" w14:textId="77777777" w:rsidR="000E48CE" w:rsidRDefault="00FF4C4E">
            <w:pPr>
              <w:pStyle w:val="P68B1DB1-Normal13"/>
              <w:spacing w:after="0" w:line="240" w:lineRule="auto"/>
              <w:jc w:val="center"/>
              <w:rPr>
                <w:rFonts w:eastAsia="Times New Roman" w:cs="Times New Roman"/>
                <w:noProof/>
              </w:rPr>
            </w:pPr>
            <w:r>
              <w:rPr>
                <w:noProof/>
              </w:rPr>
              <w:t xml:space="preserve">Voimaantuloa koskeva säännös </w:t>
            </w:r>
            <w:r>
              <w:rPr>
                <w:noProof/>
              </w:rPr>
              <w:t>uudistuksessa</w:t>
            </w:r>
          </w:p>
        </w:tc>
        <w:tc>
          <w:tcPr>
            <w:tcW w:w="827" w:type="dxa"/>
            <w:shd w:val="clear" w:color="auto" w:fill="C6EFCE"/>
            <w:noWrap/>
          </w:tcPr>
          <w:p w14:paraId="284C368F"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ED5CA4B"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3ABE5785" w14:textId="77777777" w:rsidR="000E48CE" w:rsidRDefault="00FF4C4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33304C9A"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5EF78E21" w14:textId="77777777" w:rsidR="000E48CE" w:rsidRDefault="00FF4C4E">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5A146E30" w14:textId="7BCD627D" w:rsidR="000E48CE" w:rsidRDefault="00FF4C4E">
            <w:pPr>
              <w:pStyle w:val="P68B1DB1-Normal13"/>
              <w:spacing w:after="0" w:line="240" w:lineRule="auto"/>
              <w:rPr>
                <w:rFonts w:eastAsia="Times New Roman" w:cs="Times New Roman"/>
                <w:noProof/>
              </w:rPr>
            </w:pPr>
            <w:r>
              <w:rPr>
                <w:noProof/>
              </w:rPr>
              <w:t>Lain 43/2006 uudistuksella yksinkertaistetaan ja tehostetaan työhönottokannustinjärjestelmää ottaen huomioon suositukset, jotka Espanjan finanssipolitiikan vastuusta vastaava riippumaton viranomainen (AIReF) antoi</w:t>
            </w:r>
            <w:r>
              <w:rPr>
                <w:noProof/>
                <w:shd w:val="clear" w:color="auto" w:fill="E6E6E6"/>
              </w:rPr>
              <w:t>20</w:t>
            </w:r>
            <w:r>
              <w:rPr>
                <w:noProof/>
              </w:rPr>
              <w:t xml:space="preserve"> 20:tä menoje</w:t>
            </w:r>
            <w:r>
              <w:rPr>
                <w:noProof/>
              </w:rPr>
              <w:t>n uudelleentarkastelua koskevassa kertomuksessaan: ”Kannustimet työhönottoon”</w:t>
            </w:r>
          </w:p>
        </w:tc>
      </w:tr>
      <w:tr w:rsidR="000E48CE" w14:paraId="68E12D8A" w14:textId="77777777">
        <w:trPr>
          <w:trHeight w:val="309"/>
        </w:trPr>
        <w:tc>
          <w:tcPr>
            <w:tcW w:w="830" w:type="dxa"/>
            <w:shd w:val="clear" w:color="auto" w:fill="C6EFCE"/>
            <w:noWrap/>
          </w:tcPr>
          <w:p w14:paraId="509D2049" w14:textId="77777777" w:rsidR="000E48CE" w:rsidRDefault="00FF4C4E">
            <w:pPr>
              <w:pStyle w:val="P68B1DB1-Normal13"/>
              <w:spacing w:after="0" w:line="240" w:lineRule="auto"/>
              <w:jc w:val="center"/>
              <w:rPr>
                <w:rFonts w:eastAsia="Times New Roman" w:cs="Times New Roman"/>
                <w:noProof/>
              </w:rPr>
            </w:pPr>
            <w:r>
              <w:rPr>
                <w:noProof/>
              </w:rPr>
              <w:t>338</w:t>
            </w:r>
          </w:p>
        </w:tc>
        <w:tc>
          <w:tcPr>
            <w:tcW w:w="828" w:type="dxa"/>
            <w:shd w:val="clear" w:color="auto" w:fill="C6EFCE"/>
            <w:noWrap/>
          </w:tcPr>
          <w:p w14:paraId="36EC7633" w14:textId="77777777" w:rsidR="000E48CE" w:rsidRDefault="00FF4C4E">
            <w:pPr>
              <w:pStyle w:val="P68B1DB1-Normal13"/>
              <w:spacing w:after="0" w:line="240" w:lineRule="auto"/>
              <w:jc w:val="center"/>
              <w:rPr>
                <w:rFonts w:eastAsia="Times New Roman" w:cs="Times New Roman"/>
                <w:noProof/>
              </w:rPr>
            </w:pPr>
            <w:r>
              <w:rPr>
                <w:noProof/>
              </w:rPr>
              <w:t>C23.R8</w:t>
            </w:r>
          </w:p>
        </w:tc>
        <w:tc>
          <w:tcPr>
            <w:tcW w:w="826" w:type="dxa"/>
            <w:shd w:val="clear" w:color="auto" w:fill="C6EFCE"/>
            <w:noWrap/>
          </w:tcPr>
          <w:p w14:paraId="287F48A9"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361355D5" w14:textId="77777777" w:rsidR="000E48CE" w:rsidRDefault="00FF4C4E">
            <w:pPr>
              <w:pStyle w:val="P68B1DB1-Normal13"/>
              <w:spacing w:after="0" w:line="240" w:lineRule="auto"/>
              <w:rPr>
                <w:rFonts w:eastAsia="Times New Roman" w:cs="Times New Roman"/>
                <w:noProof/>
              </w:rPr>
            </w:pPr>
            <w:r>
              <w:rPr>
                <w:noProof/>
              </w:rPr>
              <w:t xml:space="preserve">Työntekijöiden sääntöjen muuttaminen työehtosopimusneuvotteluja koskevien oikeudellisten sääntöjen parantamiseksi </w:t>
            </w:r>
          </w:p>
        </w:tc>
        <w:tc>
          <w:tcPr>
            <w:tcW w:w="1102" w:type="dxa"/>
            <w:shd w:val="clear" w:color="auto" w:fill="C6EFCE"/>
            <w:noWrap/>
          </w:tcPr>
          <w:p w14:paraId="1ED0AF70" w14:textId="77777777" w:rsidR="000E48CE" w:rsidRDefault="00FF4C4E">
            <w:pPr>
              <w:pStyle w:val="P68B1DB1-Normal13"/>
              <w:spacing w:after="0" w:line="240" w:lineRule="auto"/>
              <w:jc w:val="center"/>
              <w:rPr>
                <w:rFonts w:eastAsia="Times New Roman" w:cs="Times New Roman"/>
                <w:noProof/>
              </w:rPr>
            </w:pPr>
            <w:r>
              <w:rPr>
                <w:noProof/>
              </w:rPr>
              <w:t>Voimaantuloa koskevan muutoksen säännökset</w:t>
            </w:r>
          </w:p>
        </w:tc>
        <w:tc>
          <w:tcPr>
            <w:tcW w:w="827" w:type="dxa"/>
            <w:shd w:val="clear" w:color="auto" w:fill="C6EFCE"/>
            <w:noWrap/>
          </w:tcPr>
          <w:p w14:paraId="46E7141C"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9FB4765"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27EEC3A3" w14:textId="77777777" w:rsidR="000E48CE" w:rsidRDefault="00FF4C4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0DD404CE"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19C91C58"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535116B6" w14:textId="77777777" w:rsidR="000E48CE" w:rsidRDefault="00FF4C4E">
            <w:pPr>
              <w:pStyle w:val="P68B1DB1-Normal13"/>
              <w:spacing w:after="0" w:line="240" w:lineRule="auto"/>
              <w:rPr>
                <w:rFonts w:eastAsia="Times New Roman" w:cs="Times New Roman"/>
                <w:noProof/>
              </w:rPr>
            </w:pPr>
            <w:r>
              <w:rPr>
                <w:noProof/>
              </w:rPr>
              <w:t>Työmarkkinaosapuolten vuoropuhelun noudattaminen osana kokonaisvaltaista lähestymistapaa, jossa tasapainotetaan työmarkkinoiden joustavuuden ja turvallisuuden tarve, tulee voimaan työntekijöiden asemasta annetun lain uudelleenlaaditun tekstin hyväk</w:t>
            </w:r>
            <w:r>
              <w:rPr>
                <w:noProof/>
              </w:rPr>
              <w:t>symisestä 23. lokakuuta annetun kuninkaan asetuksen 2/2015 tiettyjen säännösten muuttaminen työehtosopimusneuvotteluja koskevien oikeudellisten sääntöjen parantamiseksi.</w:t>
            </w:r>
          </w:p>
        </w:tc>
      </w:tr>
      <w:tr w:rsidR="000E48CE" w14:paraId="64CB5188" w14:textId="77777777">
        <w:trPr>
          <w:trHeight w:val="309"/>
        </w:trPr>
        <w:tc>
          <w:tcPr>
            <w:tcW w:w="830" w:type="dxa"/>
            <w:shd w:val="clear" w:color="auto" w:fill="C6EFCE"/>
            <w:noWrap/>
          </w:tcPr>
          <w:p w14:paraId="219CF6C7" w14:textId="77777777" w:rsidR="000E48CE" w:rsidRDefault="00FF4C4E">
            <w:pPr>
              <w:pStyle w:val="P68B1DB1-Normal13"/>
              <w:spacing w:after="0" w:line="240" w:lineRule="auto"/>
              <w:jc w:val="center"/>
              <w:rPr>
                <w:rFonts w:eastAsia="Times New Roman" w:cs="Times New Roman"/>
                <w:noProof/>
              </w:rPr>
            </w:pPr>
            <w:r>
              <w:rPr>
                <w:noProof/>
              </w:rPr>
              <w:t>339</w:t>
            </w:r>
          </w:p>
        </w:tc>
        <w:tc>
          <w:tcPr>
            <w:tcW w:w="828" w:type="dxa"/>
            <w:shd w:val="clear" w:color="auto" w:fill="C6EFCE"/>
            <w:noWrap/>
          </w:tcPr>
          <w:p w14:paraId="1DB3FC7F" w14:textId="77777777" w:rsidR="000E48CE" w:rsidRDefault="00FF4C4E">
            <w:pPr>
              <w:pStyle w:val="P68B1DB1-Normal13"/>
              <w:spacing w:after="0" w:line="240" w:lineRule="auto"/>
              <w:jc w:val="center"/>
              <w:rPr>
                <w:rFonts w:eastAsia="Times New Roman" w:cs="Times New Roman"/>
                <w:noProof/>
              </w:rPr>
            </w:pPr>
            <w:r>
              <w:rPr>
                <w:noProof/>
              </w:rPr>
              <w:t>C23.R9</w:t>
            </w:r>
          </w:p>
        </w:tc>
        <w:tc>
          <w:tcPr>
            <w:tcW w:w="826" w:type="dxa"/>
            <w:shd w:val="clear" w:color="auto" w:fill="C6EFCE"/>
            <w:noWrap/>
          </w:tcPr>
          <w:p w14:paraId="1CEA6390"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66FA5377" w14:textId="77777777" w:rsidR="000E48CE" w:rsidRDefault="00FF4C4E">
            <w:pPr>
              <w:pStyle w:val="P68B1DB1-Normal13"/>
              <w:spacing w:after="0" w:line="240" w:lineRule="auto"/>
              <w:rPr>
                <w:rFonts w:eastAsia="Times New Roman" w:cs="Times New Roman"/>
                <w:noProof/>
              </w:rPr>
            </w:pPr>
            <w:r>
              <w:rPr>
                <w:noProof/>
              </w:rPr>
              <w:t xml:space="preserve">Työntekijöiden asemaa koskevien sääntöjen muuttaminen </w:t>
            </w:r>
            <w:r>
              <w:rPr>
                <w:noProof/>
              </w:rPr>
              <w:t>alihankintayrityksissä työskentelevien henkilöiden oikeuksien parantamiseksi</w:t>
            </w:r>
          </w:p>
        </w:tc>
        <w:tc>
          <w:tcPr>
            <w:tcW w:w="1102" w:type="dxa"/>
            <w:shd w:val="clear" w:color="auto" w:fill="C6EFCE"/>
            <w:noWrap/>
          </w:tcPr>
          <w:p w14:paraId="2C60F95D" w14:textId="77777777" w:rsidR="000E48CE" w:rsidRDefault="00FF4C4E">
            <w:pPr>
              <w:pStyle w:val="P68B1DB1-Normal13"/>
              <w:spacing w:after="0" w:line="240" w:lineRule="auto"/>
              <w:jc w:val="center"/>
              <w:rPr>
                <w:rFonts w:eastAsia="Times New Roman" w:cs="Times New Roman"/>
                <w:noProof/>
              </w:rPr>
            </w:pPr>
            <w:r>
              <w:rPr>
                <w:noProof/>
              </w:rPr>
              <w:t>Voimaantuloa koskevan muutoksen säännökset</w:t>
            </w:r>
          </w:p>
        </w:tc>
        <w:tc>
          <w:tcPr>
            <w:tcW w:w="827" w:type="dxa"/>
            <w:shd w:val="clear" w:color="auto" w:fill="C6EFCE"/>
            <w:noWrap/>
          </w:tcPr>
          <w:p w14:paraId="1F4B254D"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0E2BD8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358D0975" w14:textId="77777777" w:rsidR="000E48CE" w:rsidRDefault="00FF4C4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7EB09030"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5698749A" w14:textId="77777777" w:rsidR="000E48CE" w:rsidRDefault="00FF4C4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31BE18D4" w14:textId="77777777" w:rsidR="000E48CE" w:rsidRDefault="00FF4C4E">
            <w:pPr>
              <w:pStyle w:val="P68B1DB1-Normal13"/>
              <w:spacing w:after="0" w:line="240" w:lineRule="auto"/>
              <w:rPr>
                <w:rFonts w:eastAsia="Times New Roman" w:cs="Times New Roman"/>
                <w:noProof/>
              </w:rPr>
            </w:pPr>
            <w:r>
              <w:rPr>
                <w:noProof/>
              </w:rPr>
              <w:t>Työmarkkinaosapuolten vuoropuhelua kunnioittaen ja osana kokonaisvaltaista lähestymistapaa, jossa tasapainotetaan työmarkk</w:t>
            </w:r>
            <w:r>
              <w:rPr>
                <w:noProof/>
              </w:rPr>
              <w:t>inoiden joustavuuden ja turvallisuuden tarve, työntekijöiden asemasta annetun lain uudelleen laaditun tekstin hyväksymisestä 23. lokakuuta annetun asetuksen 2/2015 säännösten muutoksen voimaantulo alihankintayrityksissä työskentelevien henkilöiden oikeuksi</w:t>
            </w:r>
            <w:r>
              <w:rPr>
                <w:noProof/>
              </w:rPr>
              <w:t>en parantamiseksi.</w:t>
            </w:r>
          </w:p>
        </w:tc>
      </w:tr>
      <w:tr w:rsidR="000E48CE" w14:paraId="6E73BA34" w14:textId="77777777">
        <w:trPr>
          <w:trHeight w:val="309"/>
        </w:trPr>
        <w:tc>
          <w:tcPr>
            <w:tcW w:w="830" w:type="dxa"/>
            <w:shd w:val="clear" w:color="auto" w:fill="C6EFCE"/>
            <w:noWrap/>
          </w:tcPr>
          <w:p w14:paraId="6703CA69" w14:textId="77777777" w:rsidR="000E48CE" w:rsidRDefault="00FF4C4E">
            <w:pPr>
              <w:pStyle w:val="P68B1DB1-Normal13"/>
              <w:spacing w:after="0" w:line="240" w:lineRule="auto"/>
              <w:jc w:val="center"/>
              <w:rPr>
                <w:rFonts w:eastAsia="Times New Roman" w:cs="Times New Roman"/>
                <w:noProof/>
              </w:rPr>
            </w:pPr>
            <w:r>
              <w:rPr>
                <w:noProof/>
              </w:rPr>
              <w:t>340</w:t>
            </w:r>
          </w:p>
        </w:tc>
        <w:tc>
          <w:tcPr>
            <w:tcW w:w="828" w:type="dxa"/>
            <w:shd w:val="clear" w:color="auto" w:fill="C6EFCE"/>
            <w:noWrap/>
          </w:tcPr>
          <w:p w14:paraId="17790F97" w14:textId="77777777" w:rsidR="000E48CE" w:rsidRDefault="00FF4C4E">
            <w:pPr>
              <w:pStyle w:val="P68B1DB1-Normal13"/>
              <w:spacing w:after="0" w:line="240" w:lineRule="auto"/>
              <w:jc w:val="center"/>
              <w:rPr>
                <w:rFonts w:eastAsia="Times New Roman" w:cs="Times New Roman"/>
                <w:noProof/>
              </w:rPr>
            </w:pPr>
            <w:r>
              <w:rPr>
                <w:noProof/>
              </w:rPr>
              <w:t>C23.R10</w:t>
            </w:r>
          </w:p>
        </w:tc>
        <w:tc>
          <w:tcPr>
            <w:tcW w:w="826" w:type="dxa"/>
            <w:shd w:val="clear" w:color="auto" w:fill="C6EFCE"/>
            <w:noWrap/>
          </w:tcPr>
          <w:p w14:paraId="1A57C77C"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348C994B" w14:textId="114860A1" w:rsidR="000E48CE" w:rsidRDefault="00FF4C4E">
            <w:pPr>
              <w:pStyle w:val="P68B1DB1-Normal13"/>
              <w:spacing w:after="0" w:line="240" w:lineRule="auto"/>
              <w:rPr>
                <w:rFonts w:eastAsia="Times New Roman" w:cs="Times New Roman"/>
                <w:noProof/>
              </w:rPr>
            </w:pPr>
            <w:r>
              <w:rPr>
                <w:noProof/>
              </w:rPr>
              <w:t>Maksuihin perustumatonta työttömyystukea koskevan asetuksen uudistamisesta annetun kuninkaan asetuksen 8/2015 muutoksen voimaantulo</w:t>
            </w:r>
          </w:p>
        </w:tc>
        <w:tc>
          <w:tcPr>
            <w:tcW w:w="1102" w:type="dxa"/>
            <w:shd w:val="clear" w:color="auto" w:fill="C6EFCE"/>
            <w:noWrap/>
          </w:tcPr>
          <w:p w14:paraId="10E1A366" w14:textId="77777777" w:rsidR="000E48CE" w:rsidRDefault="00FF4C4E">
            <w:pPr>
              <w:pStyle w:val="P68B1DB1-Normal13"/>
              <w:spacing w:after="0" w:line="240" w:lineRule="auto"/>
              <w:jc w:val="center"/>
              <w:rPr>
                <w:rFonts w:eastAsia="Times New Roman" w:cs="Times New Roman"/>
                <w:noProof/>
              </w:rPr>
            </w:pPr>
            <w:r>
              <w:rPr>
                <w:noProof/>
              </w:rPr>
              <w:t>Voimaantuloon liittyvän muutoksen säännös</w:t>
            </w:r>
          </w:p>
        </w:tc>
        <w:tc>
          <w:tcPr>
            <w:tcW w:w="827" w:type="dxa"/>
            <w:shd w:val="clear" w:color="auto" w:fill="C6EFCE"/>
            <w:noWrap/>
          </w:tcPr>
          <w:p w14:paraId="3B4628AB"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D92ECD5"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8947082" w14:textId="77777777" w:rsidR="000E48CE" w:rsidRDefault="00FF4C4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51AD0FDB"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77461C39" w14:textId="77777777" w:rsidR="000E48CE" w:rsidRDefault="00FF4C4E">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57B5A47A" w14:textId="5E0328DD" w:rsidR="000E48CE" w:rsidRDefault="00FF4C4E">
            <w:pPr>
              <w:pStyle w:val="P68B1DB1-Normal13"/>
              <w:spacing w:after="0" w:line="240" w:lineRule="auto"/>
              <w:rPr>
                <w:rFonts w:eastAsia="Times New Roman" w:cs="Times New Roman"/>
                <w:noProof/>
              </w:rPr>
            </w:pPr>
            <w:r>
              <w:rPr>
                <w:noProof/>
              </w:rPr>
              <w:t xml:space="preserve">Kuninkaan asetuksen 8/2015 </w:t>
            </w:r>
            <w:r>
              <w:rPr>
                <w:noProof/>
              </w:rPr>
              <w:t>uudistus koskee maksuihin perustumattoman työttömyystuen sääntelyä, johon sisältyvät seuraavat tavoitteet: työttömyysturvan laajentaminen; järjestelmän yksinkertaistaminen; yhdistää etuus yksilölliseen aktivointireittiin; helpottaa siirtymistä sosiaaliseen</w:t>
            </w:r>
            <w:r>
              <w:rPr>
                <w:noProof/>
              </w:rPr>
              <w:t xml:space="preserve"> suojeluun silloin, kun edunsaaja ei palaa työhön ja on haavoittuvassa asemassa.</w:t>
            </w:r>
          </w:p>
        </w:tc>
      </w:tr>
      <w:tr w:rsidR="000E48CE" w14:paraId="2F115B0D" w14:textId="77777777">
        <w:trPr>
          <w:trHeight w:val="309"/>
        </w:trPr>
        <w:tc>
          <w:tcPr>
            <w:tcW w:w="830" w:type="dxa"/>
            <w:shd w:val="clear" w:color="auto" w:fill="C6EFCE"/>
            <w:noWrap/>
          </w:tcPr>
          <w:p w14:paraId="68BB4D95" w14:textId="77777777" w:rsidR="000E48CE" w:rsidRDefault="00FF4C4E">
            <w:pPr>
              <w:pStyle w:val="P68B1DB1-Normal13"/>
              <w:spacing w:after="0" w:line="240" w:lineRule="auto"/>
              <w:jc w:val="center"/>
              <w:rPr>
                <w:rFonts w:eastAsia="Times New Roman" w:cs="Times New Roman"/>
                <w:noProof/>
              </w:rPr>
            </w:pPr>
            <w:r>
              <w:rPr>
                <w:noProof/>
              </w:rPr>
              <w:t>341</w:t>
            </w:r>
          </w:p>
        </w:tc>
        <w:tc>
          <w:tcPr>
            <w:tcW w:w="828" w:type="dxa"/>
            <w:shd w:val="clear" w:color="auto" w:fill="C6EFCE"/>
            <w:noWrap/>
          </w:tcPr>
          <w:p w14:paraId="749C2E28" w14:textId="77777777" w:rsidR="000E48CE" w:rsidRDefault="00FF4C4E">
            <w:pPr>
              <w:pStyle w:val="P68B1DB1-Normal13"/>
              <w:spacing w:after="0" w:line="240" w:lineRule="auto"/>
              <w:jc w:val="center"/>
              <w:rPr>
                <w:rFonts w:eastAsia="Times New Roman" w:cs="Times New Roman"/>
                <w:noProof/>
              </w:rPr>
            </w:pPr>
            <w:r>
              <w:rPr>
                <w:noProof/>
              </w:rPr>
              <w:t>C23.R11</w:t>
            </w:r>
          </w:p>
        </w:tc>
        <w:tc>
          <w:tcPr>
            <w:tcW w:w="826" w:type="dxa"/>
            <w:shd w:val="clear" w:color="auto" w:fill="C6EFCE"/>
            <w:noWrap/>
          </w:tcPr>
          <w:p w14:paraId="26A3BD5A"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72A3F33E" w14:textId="77777777" w:rsidR="000E48CE" w:rsidRDefault="00FF4C4E">
            <w:pPr>
              <w:pStyle w:val="P68B1DB1-Normal13"/>
              <w:spacing w:after="0" w:line="240" w:lineRule="auto"/>
              <w:rPr>
                <w:rFonts w:eastAsia="Times New Roman" w:cs="Times New Roman"/>
                <w:noProof/>
              </w:rPr>
            </w:pPr>
            <w:r>
              <w:rPr>
                <w:noProof/>
              </w:rPr>
              <w:t>Todistukset julkisten työvoimapalvelujen nykyaikaistamista koskevien sopimusten mukaisten palvelujen suorittamisesta</w:t>
            </w:r>
          </w:p>
        </w:tc>
        <w:tc>
          <w:tcPr>
            <w:tcW w:w="1102" w:type="dxa"/>
            <w:shd w:val="clear" w:color="auto" w:fill="C6EFCE"/>
            <w:noWrap/>
          </w:tcPr>
          <w:p w14:paraId="16B791A7" w14:textId="77777777" w:rsidR="000E48CE" w:rsidRDefault="00FF4C4E">
            <w:pPr>
              <w:pStyle w:val="P68B1DB1-Normal13"/>
              <w:spacing w:after="0" w:line="240" w:lineRule="auto"/>
              <w:jc w:val="center"/>
              <w:rPr>
                <w:rFonts w:eastAsia="Times New Roman" w:cs="Times New Roman"/>
                <w:noProof/>
              </w:rPr>
            </w:pPr>
            <w:r>
              <w:rPr>
                <w:noProof/>
              </w:rPr>
              <w:t>Todistukset sopimusten mukaisten palvelujen</w:t>
            </w:r>
            <w:r>
              <w:rPr>
                <w:noProof/>
              </w:rPr>
              <w:t xml:space="preserve"> suorittamisesta (hallintoasiakirjat)</w:t>
            </w:r>
          </w:p>
        </w:tc>
        <w:tc>
          <w:tcPr>
            <w:tcW w:w="827" w:type="dxa"/>
            <w:shd w:val="clear" w:color="auto" w:fill="C6EFCE"/>
            <w:noWrap/>
          </w:tcPr>
          <w:p w14:paraId="1B5B7E86"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0119FC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F2AE7CF" w14:textId="77777777" w:rsidR="000E48CE" w:rsidRDefault="00FF4C4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0C0BE697"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3F99E208"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901" w:type="dxa"/>
            <w:shd w:val="clear" w:color="auto" w:fill="C6EFCE"/>
            <w:noWrap/>
          </w:tcPr>
          <w:p w14:paraId="0D812912" w14:textId="77777777" w:rsidR="000E48CE" w:rsidRDefault="00FF4C4E">
            <w:pPr>
              <w:pStyle w:val="P68B1DB1-Normal13"/>
              <w:spacing w:after="0" w:line="240" w:lineRule="auto"/>
              <w:rPr>
                <w:rFonts w:eastAsia="Times New Roman" w:cs="Times New Roman"/>
                <w:noProof/>
              </w:rPr>
            </w:pPr>
            <w:r>
              <w:rPr>
                <w:noProof/>
              </w:rPr>
              <w:t>Todistukset julkisten työvoimapalvelujen nykyaikaistamista koskevien sopimusten (hallintolakien) mukaisten palvelujen suorittamisesta parantamalla sisäisiä hallintojärjestelmiä, nykyaikaistamalla työpaikk</w:t>
            </w:r>
            <w:r>
              <w:rPr>
                <w:noProof/>
              </w:rPr>
              <w:t>oja ja digitalisoimalla kansalaisten tukipalvelua. Tähän sisältyy:</w:t>
            </w:r>
            <w:r>
              <w:rPr>
                <w:noProof/>
              </w:rPr>
              <w:br/>
              <w:t>Sisäisen hallinnon parantaminen: Parannetaan työttömyysetuusjärjestelmää tukevia tietojärjestelmiä sekä työllisyyspolitiikkaa tukevia tietojärjestelmiä.</w:t>
            </w:r>
            <w:r>
              <w:rPr>
                <w:noProof/>
              </w:rPr>
              <w:br/>
              <w:t>Digitaaliset työnvälityspalvelut: Ka</w:t>
            </w:r>
            <w:r>
              <w:rPr>
                <w:noProof/>
              </w:rPr>
              <w:t>nsalaisille ja yrityksille tarjottavien julkisten palvelujen digitalisointi ja asiakaspalvelun parantaminen.</w:t>
            </w:r>
            <w:r>
              <w:rPr>
                <w:noProof/>
              </w:rPr>
              <w:br/>
              <w:t>Tilastot ja tiedonhallinta: Otetaan käyttöön asianmukainen tiedonhallinta, joka mahdollistaa päätöksenteon, sekä yhteiskunnallisesti arvokkaiden ti</w:t>
            </w:r>
            <w:r>
              <w:rPr>
                <w:noProof/>
              </w:rPr>
              <w:t>etojen julkaisemisen.</w:t>
            </w:r>
            <w:r>
              <w:rPr>
                <w:noProof/>
              </w:rPr>
              <w:br/>
              <w:t>— Työpaikkojen ja infrastruktuurien nykyaikaistaminen.</w:t>
            </w:r>
          </w:p>
        </w:tc>
      </w:tr>
      <w:tr w:rsidR="000E48CE" w14:paraId="113938D9" w14:textId="77777777">
        <w:trPr>
          <w:trHeight w:val="309"/>
        </w:trPr>
        <w:tc>
          <w:tcPr>
            <w:tcW w:w="830" w:type="dxa"/>
            <w:shd w:val="clear" w:color="auto" w:fill="C6EFCE"/>
            <w:noWrap/>
          </w:tcPr>
          <w:p w14:paraId="47DECE73" w14:textId="77777777" w:rsidR="000E48CE" w:rsidRDefault="00FF4C4E">
            <w:pPr>
              <w:pStyle w:val="P68B1DB1-Normal13"/>
              <w:spacing w:after="0" w:line="240" w:lineRule="auto"/>
              <w:jc w:val="center"/>
              <w:rPr>
                <w:rFonts w:eastAsia="Times New Roman" w:cs="Times New Roman"/>
                <w:noProof/>
              </w:rPr>
            </w:pPr>
            <w:r>
              <w:rPr>
                <w:noProof/>
              </w:rPr>
              <w:t>342</w:t>
            </w:r>
          </w:p>
        </w:tc>
        <w:tc>
          <w:tcPr>
            <w:tcW w:w="828" w:type="dxa"/>
            <w:shd w:val="clear" w:color="auto" w:fill="C6EFCE"/>
            <w:noWrap/>
          </w:tcPr>
          <w:p w14:paraId="49A2EB9E" w14:textId="77777777" w:rsidR="000E48CE" w:rsidRDefault="00FF4C4E">
            <w:pPr>
              <w:pStyle w:val="P68B1DB1-Normal13"/>
              <w:spacing w:after="0" w:line="240" w:lineRule="auto"/>
              <w:jc w:val="center"/>
              <w:rPr>
                <w:rFonts w:eastAsia="Times New Roman" w:cs="Times New Roman"/>
                <w:noProof/>
              </w:rPr>
            </w:pPr>
            <w:r>
              <w:rPr>
                <w:noProof/>
              </w:rPr>
              <w:t>C23.I1</w:t>
            </w:r>
          </w:p>
        </w:tc>
        <w:tc>
          <w:tcPr>
            <w:tcW w:w="826" w:type="dxa"/>
            <w:shd w:val="clear" w:color="auto" w:fill="C6EFCE"/>
            <w:noWrap/>
          </w:tcPr>
          <w:p w14:paraId="0A35DE13" w14:textId="77777777" w:rsidR="000E48CE" w:rsidRDefault="00FF4C4E">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4F9531EE" w14:textId="77777777" w:rsidR="000E48CE" w:rsidRDefault="00FF4C4E">
            <w:pPr>
              <w:pStyle w:val="P68B1DB1-Normal13"/>
              <w:spacing w:after="0" w:line="240" w:lineRule="auto"/>
              <w:rPr>
                <w:rFonts w:eastAsia="Times New Roman" w:cs="Times New Roman"/>
                <w:noProof/>
              </w:rPr>
            </w:pPr>
            <w:r>
              <w:rPr>
                <w:noProof/>
              </w:rPr>
              <w:t xml:space="preserve">Nuoret, jotka ovat suorittaneet nuoriso-ohjelman. </w:t>
            </w:r>
          </w:p>
        </w:tc>
        <w:tc>
          <w:tcPr>
            <w:tcW w:w="1102" w:type="dxa"/>
            <w:shd w:val="clear" w:color="auto" w:fill="C6EFCE"/>
            <w:noWrap/>
          </w:tcPr>
          <w:p w14:paraId="29A945B0" w14:textId="77777777" w:rsidR="000E48CE" w:rsidRDefault="00FF4C4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5DE33CB0"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413" w:type="dxa"/>
            <w:shd w:val="clear" w:color="auto" w:fill="C6EFCE"/>
            <w:noWrap/>
          </w:tcPr>
          <w:p w14:paraId="719C1E46" w14:textId="77777777" w:rsidR="000E48CE" w:rsidRDefault="00FF4C4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0D426AAE" w14:textId="77777777" w:rsidR="000E48CE" w:rsidRDefault="00FF4C4E">
            <w:pPr>
              <w:pStyle w:val="P68B1DB1-Normal13"/>
              <w:spacing w:after="0" w:line="240" w:lineRule="auto"/>
              <w:rPr>
                <w:rFonts w:eastAsia="Times New Roman" w:cs="Times New Roman"/>
                <w:noProof/>
              </w:rPr>
            </w:pPr>
            <w:r>
              <w:rPr>
                <w:noProof/>
              </w:rPr>
              <w:t>18 300</w:t>
            </w:r>
          </w:p>
        </w:tc>
        <w:tc>
          <w:tcPr>
            <w:tcW w:w="413" w:type="dxa"/>
            <w:shd w:val="clear" w:color="auto" w:fill="C6EFCE"/>
            <w:noWrap/>
          </w:tcPr>
          <w:p w14:paraId="48034371"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403F22AA" w14:textId="77777777" w:rsidR="000E48CE" w:rsidRDefault="00FF4C4E">
            <w:pPr>
              <w:pStyle w:val="P68B1DB1-Normal13"/>
              <w:spacing w:after="0" w:line="240" w:lineRule="auto"/>
              <w:jc w:val="center"/>
              <w:rPr>
                <w:rFonts w:eastAsia="Times New Roman" w:cs="Times New Roman"/>
                <w:noProof/>
              </w:rPr>
            </w:pPr>
            <w:r>
              <w:rPr>
                <w:noProof/>
              </w:rPr>
              <w:t>2025</w:t>
            </w:r>
          </w:p>
        </w:tc>
        <w:tc>
          <w:tcPr>
            <w:tcW w:w="5901" w:type="dxa"/>
            <w:shd w:val="clear" w:color="auto" w:fill="C6EFCE"/>
            <w:noWrap/>
          </w:tcPr>
          <w:p w14:paraId="51219AB7" w14:textId="77777777" w:rsidR="000E48CE" w:rsidRDefault="00FF4C4E">
            <w:pPr>
              <w:pStyle w:val="P68B1DB1-Normal13"/>
              <w:spacing w:after="0" w:line="240" w:lineRule="auto"/>
              <w:rPr>
                <w:rFonts w:eastAsia="Times New Roman" w:cs="Times New Roman"/>
                <w:noProof/>
              </w:rPr>
            </w:pPr>
            <w:r>
              <w:rPr>
                <w:noProof/>
              </w:rPr>
              <w:t xml:space="preserve">Vähintään 18300 henkilöä, jotka ovat saattaneet nuoriso-ohjelman päätökseen ja joista 21900 on ilmoittautunut. </w:t>
            </w:r>
            <w:r>
              <w:rPr>
                <w:noProof/>
              </w:rPr>
              <w:br/>
              <w:t>Tavoite perustuu kolmeen ohjelmaan:</w:t>
            </w:r>
            <w:r>
              <w:rPr>
                <w:noProof/>
              </w:rPr>
              <w:br/>
              <w:t>• Rinnakkainen ohjelma. Tavoite: ammatillisen pätevyyden saavuttaminen vuorotellen työn kanssa. Ohjelmasta v</w:t>
            </w:r>
            <w:r>
              <w:rPr>
                <w:noProof/>
              </w:rPr>
              <w:t>ähintään 25 prosenttia keskittyi ilmastoon liittyviin taitoihin ja 25 prosenttia digitaalisiin taitoihin.</w:t>
            </w:r>
            <w:r>
              <w:rPr>
                <w:noProof/>
              </w:rPr>
              <w:br/>
              <w:t>• Ensimmäisen kokemuksen ohjelma. Tavoite: helpottaa tutkintoon liittyvän ensimmäisen työkokemuksen hankkimista. Ohjelmasta vähintään 20 prosenttia ke</w:t>
            </w:r>
            <w:r>
              <w:rPr>
                <w:noProof/>
              </w:rPr>
              <w:t>skittyi ilmastoon liittyviin taitoihin ja 20 prosenttia ohjelmasta digitaalisiin taitoihin.</w:t>
            </w:r>
            <w:r>
              <w:rPr>
                <w:noProof/>
              </w:rPr>
              <w:br/>
              <w:t>•</w:t>
            </w:r>
            <w:r>
              <w:rPr>
                <w:i/>
                <w:noProof/>
              </w:rPr>
              <w:t>Investigo-</w:t>
            </w:r>
            <w:r>
              <w:rPr>
                <w:noProof/>
              </w:rPr>
              <w:t xml:space="preserve"> ohjelma. Tavoite: tarjota tutkimushankkeen kehittämiseen liittyvää työtä. </w:t>
            </w:r>
          </w:p>
        </w:tc>
      </w:tr>
      <w:tr w:rsidR="000E48CE" w14:paraId="3743A34A" w14:textId="77777777">
        <w:trPr>
          <w:trHeight w:val="309"/>
        </w:trPr>
        <w:tc>
          <w:tcPr>
            <w:tcW w:w="830" w:type="dxa"/>
            <w:shd w:val="clear" w:color="auto" w:fill="C6EFCE"/>
            <w:noWrap/>
          </w:tcPr>
          <w:p w14:paraId="5B46928E" w14:textId="77777777" w:rsidR="000E48CE" w:rsidRDefault="00FF4C4E">
            <w:pPr>
              <w:pStyle w:val="P68B1DB1-Normal13"/>
              <w:spacing w:after="0" w:line="240" w:lineRule="auto"/>
              <w:jc w:val="center"/>
              <w:rPr>
                <w:rFonts w:eastAsia="Times New Roman" w:cs="Times New Roman"/>
                <w:noProof/>
              </w:rPr>
            </w:pPr>
            <w:r>
              <w:rPr>
                <w:noProof/>
              </w:rPr>
              <w:t>343</w:t>
            </w:r>
          </w:p>
        </w:tc>
        <w:tc>
          <w:tcPr>
            <w:tcW w:w="828" w:type="dxa"/>
            <w:shd w:val="clear" w:color="auto" w:fill="C6EFCE"/>
            <w:noWrap/>
          </w:tcPr>
          <w:p w14:paraId="3D71347E" w14:textId="77777777" w:rsidR="000E48CE" w:rsidRDefault="00FF4C4E">
            <w:pPr>
              <w:pStyle w:val="P68B1DB1-Normal13"/>
              <w:spacing w:after="0" w:line="240" w:lineRule="auto"/>
              <w:jc w:val="center"/>
              <w:rPr>
                <w:rFonts w:eastAsia="Times New Roman" w:cs="Times New Roman"/>
                <w:noProof/>
              </w:rPr>
            </w:pPr>
            <w:r>
              <w:rPr>
                <w:noProof/>
              </w:rPr>
              <w:t>C23.I2</w:t>
            </w:r>
          </w:p>
        </w:tc>
        <w:tc>
          <w:tcPr>
            <w:tcW w:w="826" w:type="dxa"/>
            <w:shd w:val="clear" w:color="auto" w:fill="C6EFCE"/>
            <w:noWrap/>
          </w:tcPr>
          <w:p w14:paraId="3AF7969F" w14:textId="77777777" w:rsidR="000E48CE" w:rsidRDefault="00FF4C4E">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475A2B3A" w14:textId="77777777" w:rsidR="000E48CE" w:rsidRDefault="00FF4C4E">
            <w:pPr>
              <w:pStyle w:val="P68B1DB1-Normal13"/>
              <w:spacing w:after="0" w:line="240" w:lineRule="auto"/>
              <w:rPr>
                <w:rFonts w:eastAsia="Times New Roman" w:cs="Times New Roman"/>
                <w:noProof/>
              </w:rPr>
            </w:pPr>
            <w:r>
              <w:rPr>
                <w:noProof/>
              </w:rPr>
              <w:t>Ihmiset, jotka ovat suorittaneet</w:t>
            </w:r>
            <w:r>
              <w:rPr>
                <w:i/>
                <w:noProof/>
              </w:rPr>
              <w:t xml:space="preserve">Empleo Mujer-, maaseutu- ja </w:t>
            </w:r>
            <w:r>
              <w:rPr>
                <w:i/>
                <w:noProof/>
              </w:rPr>
              <w:t>kaupunkialueita koskevan suunnitelman ja</w:t>
            </w:r>
            <w:r>
              <w:rPr>
                <w:noProof/>
              </w:rPr>
              <w:t xml:space="preserve"> sukupuoliväkivallan ja inhimillisen liikenteen uhreja koskevan ohjelman</w:t>
            </w:r>
          </w:p>
        </w:tc>
        <w:tc>
          <w:tcPr>
            <w:tcW w:w="1102" w:type="dxa"/>
            <w:shd w:val="clear" w:color="auto" w:fill="C6EFCE"/>
            <w:noWrap/>
          </w:tcPr>
          <w:p w14:paraId="69392543" w14:textId="77777777" w:rsidR="000E48CE" w:rsidRDefault="00FF4C4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50576955"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413" w:type="dxa"/>
            <w:shd w:val="clear" w:color="auto" w:fill="C6EFCE"/>
            <w:noWrap/>
          </w:tcPr>
          <w:p w14:paraId="4470D498" w14:textId="77777777" w:rsidR="000E48CE" w:rsidRDefault="00FF4C4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3798A895" w14:textId="77777777" w:rsidR="000E48CE" w:rsidRDefault="00FF4C4E">
            <w:pPr>
              <w:pStyle w:val="P68B1DB1-Normal13"/>
              <w:spacing w:after="0" w:line="240" w:lineRule="auto"/>
              <w:jc w:val="right"/>
              <w:rPr>
                <w:rFonts w:eastAsia="Times New Roman" w:cs="Times New Roman"/>
                <w:noProof/>
              </w:rPr>
            </w:pPr>
            <w:r>
              <w:rPr>
                <w:noProof/>
              </w:rPr>
              <w:t>23 200</w:t>
            </w:r>
          </w:p>
        </w:tc>
        <w:tc>
          <w:tcPr>
            <w:tcW w:w="413" w:type="dxa"/>
            <w:shd w:val="clear" w:color="auto" w:fill="C6EFCE"/>
            <w:noWrap/>
          </w:tcPr>
          <w:p w14:paraId="76881C0A" w14:textId="77777777" w:rsidR="000E48CE" w:rsidRDefault="00FF4C4E">
            <w:pPr>
              <w:pStyle w:val="P68B1DB1-Normal13"/>
              <w:spacing w:after="0" w:line="240" w:lineRule="auto"/>
              <w:jc w:val="right"/>
              <w:rPr>
                <w:rFonts w:eastAsia="Times New Roman" w:cs="Times New Roman"/>
                <w:noProof/>
              </w:rPr>
            </w:pPr>
            <w:r>
              <w:rPr>
                <w:noProof/>
              </w:rPr>
              <w:t>Q4</w:t>
            </w:r>
          </w:p>
        </w:tc>
        <w:tc>
          <w:tcPr>
            <w:tcW w:w="551" w:type="dxa"/>
            <w:shd w:val="clear" w:color="auto" w:fill="C6EFCE"/>
            <w:noWrap/>
          </w:tcPr>
          <w:p w14:paraId="5EA8A983" w14:textId="77777777" w:rsidR="000E48CE" w:rsidRDefault="00FF4C4E">
            <w:pPr>
              <w:pStyle w:val="P68B1DB1-Normal13"/>
              <w:spacing w:after="0" w:line="240" w:lineRule="auto"/>
              <w:jc w:val="right"/>
              <w:rPr>
                <w:rFonts w:eastAsia="Times New Roman" w:cs="Times New Roman"/>
                <w:noProof/>
              </w:rPr>
            </w:pPr>
            <w:r>
              <w:rPr>
                <w:noProof/>
              </w:rPr>
              <w:t>2025</w:t>
            </w:r>
          </w:p>
        </w:tc>
        <w:tc>
          <w:tcPr>
            <w:tcW w:w="5901" w:type="dxa"/>
            <w:shd w:val="clear" w:color="auto" w:fill="C6EFCE"/>
            <w:noWrap/>
          </w:tcPr>
          <w:p w14:paraId="077BE66D" w14:textId="77777777" w:rsidR="000E48CE" w:rsidRDefault="00FF4C4E">
            <w:pPr>
              <w:pStyle w:val="P68B1DB1-Normal13"/>
              <w:spacing w:after="0" w:line="240" w:lineRule="auto"/>
              <w:rPr>
                <w:rFonts w:eastAsia="Times New Roman" w:cs="Times New Roman"/>
                <w:noProof/>
              </w:rPr>
            </w:pPr>
            <w:r>
              <w:rPr>
                <w:noProof/>
              </w:rPr>
              <w:t>Vähintään 23200 ihmistä on saattanut päätökseen suunnitelman</w:t>
            </w:r>
            <w:r>
              <w:rPr>
                <w:i/>
                <w:noProof/>
              </w:rPr>
              <w:t>Empleo Mujer, maaseutu- ja kaupunkialueet sekä sukupuolivä</w:t>
            </w:r>
            <w:r>
              <w:rPr>
                <w:i/>
                <w:noProof/>
              </w:rPr>
              <w:t>kivallan ja</w:t>
            </w:r>
            <w:r>
              <w:rPr>
                <w:noProof/>
              </w:rPr>
              <w:t>ihmisliikenteen uhrien ohjelma, kun otetaan huomioon 29000 henkilöä. Ohjelmaan sisältyy henkilökohtaista ja integroitua perehdyttämis-, neuvonta- ja koulutustoimia, jotka on mukautettu osallistuvien naisten työllistyvyysprofiiliin. Tarjottava ko</w:t>
            </w:r>
            <w:r>
              <w:rPr>
                <w:noProof/>
              </w:rPr>
              <w:t>ulutus liittyy työpaikkoihin, joilla on hyvät alueelliset näkymät ja jotka perustuvat niiden maaseudun ja kaupunkien työmarkkinoiden tarpeisiin, joilla ohjelmaa kehitetään, ja sen tavoitteena on hankkia pätevyys, joka parantaa osallistujien työllistettävyy</w:t>
            </w:r>
            <w:r>
              <w:rPr>
                <w:noProof/>
              </w:rPr>
              <w:t xml:space="preserve">ttä ja heidän mahdollisuuksiaan ihmisarvoiseen työhön ja vahvistaa samalla maaseutualueiden tuotannon kehitystä, kaventaa sukupuolten välistä kuilua ja parantaa naisten pysyvyyttä alueella. Ohjelmasta vähintään 35 prosenttia keskittyi ilmastoon liittyviin </w:t>
            </w:r>
            <w:r>
              <w:rPr>
                <w:noProof/>
              </w:rPr>
              <w:t>taitoihin ja 35 prosenttia digitaalisiin taitoihin.</w:t>
            </w:r>
          </w:p>
        </w:tc>
      </w:tr>
      <w:tr w:rsidR="000E48CE" w14:paraId="44778968" w14:textId="77777777">
        <w:trPr>
          <w:trHeight w:val="309"/>
        </w:trPr>
        <w:tc>
          <w:tcPr>
            <w:tcW w:w="830" w:type="dxa"/>
            <w:shd w:val="clear" w:color="auto" w:fill="C6EFCE"/>
            <w:noWrap/>
          </w:tcPr>
          <w:p w14:paraId="38DC107F" w14:textId="77777777" w:rsidR="000E48CE" w:rsidRDefault="00FF4C4E">
            <w:pPr>
              <w:pStyle w:val="P68B1DB1-Normal13"/>
              <w:spacing w:after="0" w:line="240" w:lineRule="auto"/>
              <w:jc w:val="center"/>
              <w:rPr>
                <w:rFonts w:eastAsia="Times New Roman" w:cs="Times New Roman"/>
                <w:noProof/>
              </w:rPr>
            </w:pPr>
            <w:r>
              <w:rPr>
                <w:noProof/>
              </w:rPr>
              <w:t>344</w:t>
            </w:r>
          </w:p>
        </w:tc>
        <w:tc>
          <w:tcPr>
            <w:tcW w:w="828" w:type="dxa"/>
            <w:shd w:val="clear" w:color="auto" w:fill="C6EFCE"/>
            <w:noWrap/>
          </w:tcPr>
          <w:p w14:paraId="6D719DF8" w14:textId="77777777" w:rsidR="000E48CE" w:rsidRDefault="00FF4C4E">
            <w:pPr>
              <w:pStyle w:val="P68B1DB1-Normal13"/>
              <w:spacing w:after="0" w:line="240" w:lineRule="auto"/>
              <w:jc w:val="center"/>
              <w:rPr>
                <w:rFonts w:eastAsia="Times New Roman" w:cs="Times New Roman"/>
                <w:noProof/>
              </w:rPr>
            </w:pPr>
            <w:r>
              <w:rPr>
                <w:noProof/>
              </w:rPr>
              <w:t>C23.I3</w:t>
            </w:r>
          </w:p>
        </w:tc>
        <w:tc>
          <w:tcPr>
            <w:tcW w:w="826" w:type="dxa"/>
            <w:shd w:val="clear" w:color="auto" w:fill="C6EFCE"/>
            <w:noWrap/>
          </w:tcPr>
          <w:p w14:paraId="3AC61806" w14:textId="77777777" w:rsidR="000E48CE" w:rsidRDefault="00FF4C4E">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5C946B6E" w14:textId="77777777" w:rsidR="000E48CE" w:rsidRDefault="00FF4C4E">
            <w:pPr>
              <w:pStyle w:val="P68B1DB1-Normal13"/>
              <w:spacing w:after="0" w:line="240" w:lineRule="auto"/>
              <w:rPr>
                <w:rFonts w:eastAsia="Times New Roman" w:cs="Times New Roman"/>
                <w:noProof/>
              </w:rPr>
            </w:pPr>
            <w:r>
              <w:rPr>
                <w:noProof/>
              </w:rPr>
              <w:t>Ihmiset, jotka ovat suorittaneet koulutusohjelmat hankkiakseen taitoja digitaalista, ekologista ja tuotannollista muutosta varten</w:t>
            </w:r>
          </w:p>
        </w:tc>
        <w:tc>
          <w:tcPr>
            <w:tcW w:w="1102" w:type="dxa"/>
            <w:shd w:val="clear" w:color="auto" w:fill="C6EFCE"/>
            <w:noWrap/>
          </w:tcPr>
          <w:p w14:paraId="44EA3F37" w14:textId="77777777" w:rsidR="000E48CE" w:rsidRDefault="00FF4C4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6987FC2A"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413" w:type="dxa"/>
            <w:shd w:val="clear" w:color="auto" w:fill="C6EFCE"/>
            <w:noWrap/>
          </w:tcPr>
          <w:p w14:paraId="20E1D9A3" w14:textId="77777777" w:rsidR="000E48CE" w:rsidRDefault="00FF4C4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1366F7CB" w14:textId="77777777" w:rsidR="000E48CE" w:rsidRDefault="00FF4C4E">
            <w:pPr>
              <w:pStyle w:val="P68B1DB1-Normal13"/>
              <w:spacing w:after="0" w:line="240" w:lineRule="auto"/>
              <w:jc w:val="right"/>
              <w:rPr>
                <w:rFonts w:eastAsia="Times New Roman" w:cs="Times New Roman"/>
                <w:noProof/>
              </w:rPr>
            </w:pPr>
            <w:r>
              <w:rPr>
                <w:noProof/>
              </w:rPr>
              <w:t>825 000</w:t>
            </w:r>
          </w:p>
        </w:tc>
        <w:tc>
          <w:tcPr>
            <w:tcW w:w="413" w:type="dxa"/>
            <w:shd w:val="clear" w:color="auto" w:fill="C6EFCE"/>
            <w:noWrap/>
          </w:tcPr>
          <w:p w14:paraId="703CD559" w14:textId="77777777" w:rsidR="000E48CE" w:rsidRDefault="00FF4C4E">
            <w:pPr>
              <w:pStyle w:val="P68B1DB1-Normal13"/>
              <w:spacing w:after="0" w:line="240" w:lineRule="auto"/>
              <w:jc w:val="right"/>
              <w:rPr>
                <w:rFonts w:eastAsia="Times New Roman" w:cs="Times New Roman"/>
                <w:noProof/>
              </w:rPr>
            </w:pPr>
            <w:r>
              <w:rPr>
                <w:noProof/>
              </w:rPr>
              <w:t>Q4</w:t>
            </w:r>
          </w:p>
        </w:tc>
        <w:tc>
          <w:tcPr>
            <w:tcW w:w="551" w:type="dxa"/>
            <w:shd w:val="clear" w:color="auto" w:fill="C6EFCE"/>
            <w:noWrap/>
          </w:tcPr>
          <w:p w14:paraId="68D1B6C8" w14:textId="77777777" w:rsidR="000E48CE" w:rsidRDefault="00FF4C4E">
            <w:pPr>
              <w:pStyle w:val="P68B1DB1-Normal13"/>
              <w:spacing w:after="0" w:line="240" w:lineRule="auto"/>
              <w:jc w:val="right"/>
              <w:rPr>
                <w:rFonts w:eastAsia="Times New Roman" w:cs="Times New Roman"/>
                <w:noProof/>
              </w:rPr>
            </w:pPr>
            <w:r>
              <w:rPr>
                <w:noProof/>
              </w:rPr>
              <w:t>2025</w:t>
            </w:r>
          </w:p>
        </w:tc>
        <w:tc>
          <w:tcPr>
            <w:tcW w:w="5901" w:type="dxa"/>
            <w:shd w:val="clear" w:color="auto" w:fill="C6EFCE"/>
            <w:noWrap/>
          </w:tcPr>
          <w:p w14:paraId="505E15CF" w14:textId="77777777" w:rsidR="000E48CE" w:rsidRDefault="00FF4C4E">
            <w:pPr>
              <w:pStyle w:val="P68B1DB1-Normal13"/>
              <w:spacing w:after="0" w:line="240" w:lineRule="auto"/>
              <w:rPr>
                <w:rFonts w:eastAsia="Times New Roman" w:cs="Times New Roman"/>
                <w:noProof/>
              </w:rPr>
            </w:pPr>
            <w:r>
              <w:rPr>
                <w:noProof/>
              </w:rPr>
              <w:t>Vähintään 825000 henkilöä, jotka ovat suorittaneet koulutusohjelman digitaalisen, ekologisen ja tuottavan muutoksen edellyttämien taitojen hankkimiseksi, kun otetaan huomioon 975000 henkilöä. Koulutuksessa on keskityttävä matkailualaan, muihin kansallisest</w:t>
            </w:r>
            <w:r>
              <w:rPr>
                <w:noProof/>
              </w:rPr>
              <w:t>i tärkeisiin strategisiin aloihin, ERTE-ohjelman piiriin kuuluviin työntekijöihin ja mikroluottoja koskevasta koulutuksesta hyötyviin työntekijöihin. Ohjelmasta vähintään 30 prosenttia keskittyi ilmastoon liittyviin taitoihin ja 30 prosenttia digitaalisiin</w:t>
            </w:r>
            <w:r>
              <w:rPr>
                <w:noProof/>
              </w:rPr>
              <w:t xml:space="preserve"> taitoihin. </w:t>
            </w:r>
          </w:p>
        </w:tc>
      </w:tr>
      <w:tr w:rsidR="000E48CE" w14:paraId="479BDDB7" w14:textId="77777777">
        <w:trPr>
          <w:trHeight w:val="309"/>
        </w:trPr>
        <w:tc>
          <w:tcPr>
            <w:tcW w:w="830" w:type="dxa"/>
            <w:shd w:val="clear" w:color="auto" w:fill="C6EFCE"/>
            <w:noWrap/>
          </w:tcPr>
          <w:p w14:paraId="6D1BBD65" w14:textId="5EE3A4FC" w:rsidR="000E48CE" w:rsidRDefault="00FF4C4E">
            <w:pPr>
              <w:pStyle w:val="P68B1DB1-Normal13"/>
              <w:spacing w:after="0" w:line="240" w:lineRule="auto"/>
              <w:jc w:val="center"/>
              <w:rPr>
                <w:rFonts w:cs="Times New Roman"/>
                <w:noProof/>
              </w:rPr>
            </w:pPr>
            <w:r>
              <w:rPr>
                <w:noProof/>
              </w:rPr>
              <w:t>420</w:t>
            </w:r>
          </w:p>
        </w:tc>
        <w:tc>
          <w:tcPr>
            <w:tcW w:w="828" w:type="dxa"/>
            <w:shd w:val="clear" w:color="auto" w:fill="C6EFCE"/>
            <w:noWrap/>
          </w:tcPr>
          <w:p w14:paraId="5C3DB94F" w14:textId="01E4819B" w:rsidR="000E48CE" w:rsidRDefault="00FF4C4E">
            <w:pPr>
              <w:pStyle w:val="P68B1DB1-Normal13"/>
              <w:spacing w:after="0" w:line="240" w:lineRule="auto"/>
              <w:jc w:val="center"/>
              <w:rPr>
                <w:rFonts w:cs="Times New Roman"/>
                <w:noProof/>
              </w:rPr>
            </w:pPr>
            <w:r>
              <w:rPr>
                <w:noProof/>
              </w:rPr>
              <w:t>C23.I3</w:t>
            </w:r>
          </w:p>
        </w:tc>
        <w:tc>
          <w:tcPr>
            <w:tcW w:w="826" w:type="dxa"/>
            <w:shd w:val="clear" w:color="auto" w:fill="C6EFCE"/>
            <w:noWrap/>
          </w:tcPr>
          <w:p w14:paraId="46FB0203" w14:textId="364CB774" w:rsidR="000E48CE" w:rsidRDefault="00FF4C4E">
            <w:pPr>
              <w:pStyle w:val="P68B1DB1-Normal13"/>
              <w:spacing w:after="0" w:line="240" w:lineRule="auto"/>
              <w:jc w:val="center"/>
              <w:rPr>
                <w:rFonts w:cs="Times New Roman"/>
                <w:noProof/>
              </w:rPr>
            </w:pPr>
            <w:r>
              <w:rPr>
                <w:noProof/>
              </w:rPr>
              <w:t>T</w:t>
            </w:r>
          </w:p>
        </w:tc>
        <w:tc>
          <w:tcPr>
            <w:tcW w:w="2613" w:type="dxa"/>
            <w:shd w:val="clear" w:color="auto" w:fill="C6EFCE"/>
            <w:noWrap/>
          </w:tcPr>
          <w:p w14:paraId="2688FFAA" w14:textId="3826B410" w:rsidR="000E48CE" w:rsidRDefault="00FF4C4E">
            <w:pPr>
              <w:pStyle w:val="P68B1DB1-Normal13"/>
              <w:spacing w:after="0" w:line="240" w:lineRule="auto"/>
              <w:rPr>
                <w:rFonts w:cs="Times New Roman"/>
                <w:noProof/>
              </w:rPr>
            </w:pPr>
            <w:r>
              <w:rPr>
                <w:noProof/>
              </w:rPr>
              <w:t>Osaamistarpeiden havaitseminen tutkimusohjelman avulla</w:t>
            </w:r>
          </w:p>
        </w:tc>
        <w:tc>
          <w:tcPr>
            <w:tcW w:w="1102" w:type="dxa"/>
            <w:shd w:val="clear" w:color="auto" w:fill="C6EFCE"/>
            <w:noWrap/>
          </w:tcPr>
          <w:p w14:paraId="70C4D6AD" w14:textId="3FD688E7" w:rsidR="000E48CE" w:rsidRDefault="00FF4C4E">
            <w:pPr>
              <w:pStyle w:val="P68B1DB1-Normal13"/>
              <w:spacing w:after="0" w:line="240" w:lineRule="auto"/>
              <w:jc w:val="center"/>
              <w:rPr>
                <w:rFonts w:cs="Times New Roman"/>
                <w:noProof/>
              </w:rPr>
            </w:pPr>
            <w:r>
              <w:rPr>
                <w:noProof/>
              </w:rPr>
              <w:t>Tutkimusohjelman julkaiseminen</w:t>
            </w:r>
          </w:p>
        </w:tc>
        <w:tc>
          <w:tcPr>
            <w:tcW w:w="827" w:type="dxa"/>
            <w:shd w:val="clear" w:color="auto" w:fill="C6EFCE"/>
            <w:noWrap/>
          </w:tcPr>
          <w:p w14:paraId="4A6C9459" w14:textId="09CBB1E2" w:rsidR="000E48CE" w:rsidRDefault="00FF4C4E">
            <w:pPr>
              <w:pStyle w:val="P68B1DB1-Normal13"/>
              <w:spacing w:after="0" w:line="240" w:lineRule="auto"/>
              <w:jc w:val="center"/>
              <w:rPr>
                <w:rFonts w:cs="Times New Roman"/>
                <w:noProof/>
              </w:rPr>
            </w:pPr>
            <w:r>
              <w:rPr>
                <w:noProof/>
              </w:rPr>
              <w:t>Määrä</w:t>
            </w:r>
          </w:p>
        </w:tc>
        <w:tc>
          <w:tcPr>
            <w:tcW w:w="413" w:type="dxa"/>
            <w:shd w:val="clear" w:color="auto" w:fill="C6EFCE"/>
            <w:noWrap/>
          </w:tcPr>
          <w:p w14:paraId="4283EA95" w14:textId="6673D62F" w:rsidR="000E48CE" w:rsidRDefault="00FF4C4E">
            <w:pPr>
              <w:pStyle w:val="P68B1DB1-Normal13"/>
              <w:spacing w:after="0" w:line="240" w:lineRule="auto"/>
              <w:jc w:val="right"/>
              <w:rPr>
                <w:rFonts w:cs="Times New Roman"/>
                <w:noProof/>
              </w:rPr>
            </w:pPr>
            <w:r>
              <w:rPr>
                <w:noProof/>
              </w:rPr>
              <w:t>0</w:t>
            </w:r>
          </w:p>
        </w:tc>
        <w:tc>
          <w:tcPr>
            <w:tcW w:w="689" w:type="dxa"/>
            <w:shd w:val="clear" w:color="auto" w:fill="C6EFCE"/>
            <w:noWrap/>
          </w:tcPr>
          <w:p w14:paraId="59CB1E35" w14:textId="04ECB3ED" w:rsidR="000E48CE" w:rsidRDefault="00FF4C4E">
            <w:pPr>
              <w:pStyle w:val="P68B1DB1-Normal13"/>
              <w:spacing w:after="0" w:line="240" w:lineRule="auto"/>
              <w:jc w:val="right"/>
              <w:rPr>
                <w:rFonts w:cs="Times New Roman"/>
                <w:noProof/>
              </w:rPr>
            </w:pPr>
            <w:r>
              <w:rPr>
                <w:noProof/>
              </w:rPr>
              <w:t>23</w:t>
            </w:r>
          </w:p>
        </w:tc>
        <w:tc>
          <w:tcPr>
            <w:tcW w:w="413" w:type="dxa"/>
            <w:shd w:val="clear" w:color="auto" w:fill="C6EFCE"/>
            <w:noWrap/>
          </w:tcPr>
          <w:p w14:paraId="6052CD6A" w14:textId="07BF3F54" w:rsidR="000E48CE" w:rsidRDefault="00FF4C4E">
            <w:pPr>
              <w:pStyle w:val="P68B1DB1-Normal13"/>
              <w:spacing w:after="0" w:line="240" w:lineRule="auto"/>
              <w:jc w:val="right"/>
              <w:rPr>
                <w:rFonts w:cs="Times New Roman"/>
                <w:noProof/>
              </w:rPr>
            </w:pPr>
            <w:r>
              <w:rPr>
                <w:noProof/>
              </w:rPr>
              <w:t>Q4</w:t>
            </w:r>
          </w:p>
        </w:tc>
        <w:tc>
          <w:tcPr>
            <w:tcW w:w="551" w:type="dxa"/>
            <w:shd w:val="clear" w:color="auto" w:fill="C6EFCE"/>
            <w:noWrap/>
          </w:tcPr>
          <w:p w14:paraId="639F4681" w14:textId="4EED1DC8" w:rsidR="000E48CE" w:rsidRDefault="00FF4C4E">
            <w:pPr>
              <w:pStyle w:val="P68B1DB1-Normal13"/>
              <w:spacing w:after="0" w:line="240" w:lineRule="auto"/>
              <w:jc w:val="right"/>
              <w:rPr>
                <w:rFonts w:cs="Times New Roman"/>
                <w:noProof/>
              </w:rPr>
            </w:pPr>
            <w:r>
              <w:rPr>
                <w:noProof/>
              </w:rPr>
              <w:t>2025</w:t>
            </w:r>
          </w:p>
        </w:tc>
        <w:tc>
          <w:tcPr>
            <w:tcW w:w="5901" w:type="dxa"/>
            <w:shd w:val="clear" w:color="auto" w:fill="C6EFCE"/>
            <w:noWrap/>
          </w:tcPr>
          <w:p w14:paraId="7060AB63" w14:textId="799C5832" w:rsidR="000E48CE" w:rsidRDefault="00FF4C4E">
            <w:pPr>
              <w:pStyle w:val="P68B1DB1-Normal13"/>
              <w:spacing w:after="0" w:line="240" w:lineRule="auto"/>
              <w:rPr>
                <w:rFonts w:cs="Times New Roman"/>
                <w:noProof/>
              </w:rPr>
            </w:pPr>
            <w:r>
              <w:rPr>
                <w:noProof/>
              </w:rPr>
              <w:t>Sellaisen tutkimusohjelman loppuun saattaminen, jolla pyritään havaitsemaan osaamistarpeet vähintään 23:lla tuotantosektorilla tehdyn tutkimuksen perusteella ja jolla vastataan tehokkaasti työmarkkinoiden koulutus- ja uudelleenkoulutustarpeisiin, mukaan lu</w:t>
            </w:r>
            <w:r>
              <w:rPr>
                <w:noProof/>
              </w:rPr>
              <w:t xml:space="preserve">kien digitaaliseen siirtymään ja vihreään siirtymään liittyvät taidot. Sen on myös ennakoitava muutoksia ja vastattava ammattitaitoisen työvoiman mahdolliseen kysyntään kehittämällä koulutuksen erikoisaloja.  </w:t>
            </w:r>
          </w:p>
        </w:tc>
      </w:tr>
      <w:tr w:rsidR="000E48CE" w14:paraId="73F4A48B" w14:textId="77777777">
        <w:trPr>
          <w:trHeight w:val="309"/>
        </w:trPr>
        <w:tc>
          <w:tcPr>
            <w:tcW w:w="830" w:type="dxa"/>
            <w:shd w:val="clear" w:color="auto" w:fill="C6EFCE"/>
            <w:noWrap/>
          </w:tcPr>
          <w:p w14:paraId="38DF2124" w14:textId="77777777" w:rsidR="000E48CE" w:rsidRDefault="00FF4C4E">
            <w:pPr>
              <w:pStyle w:val="P68B1DB1-Normal13"/>
              <w:spacing w:after="0" w:line="240" w:lineRule="auto"/>
              <w:jc w:val="center"/>
              <w:rPr>
                <w:rFonts w:eastAsia="Times New Roman" w:cs="Times New Roman"/>
                <w:noProof/>
              </w:rPr>
            </w:pPr>
            <w:r>
              <w:rPr>
                <w:noProof/>
              </w:rPr>
              <w:t>345</w:t>
            </w:r>
          </w:p>
        </w:tc>
        <w:tc>
          <w:tcPr>
            <w:tcW w:w="828" w:type="dxa"/>
            <w:shd w:val="clear" w:color="auto" w:fill="C6EFCE"/>
            <w:noWrap/>
          </w:tcPr>
          <w:p w14:paraId="63072B0E" w14:textId="77777777" w:rsidR="000E48CE" w:rsidRDefault="00FF4C4E">
            <w:pPr>
              <w:pStyle w:val="P68B1DB1-Normal13"/>
              <w:spacing w:after="0" w:line="240" w:lineRule="auto"/>
              <w:jc w:val="center"/>
              <w:rPr>
                <w:rFonts w:eastAsia="Times New Roman" w:cs="Times New Roman"/>
                <w:noProof/>
              </w:rPr>
            </w:pPr>
            <w:r>
              <w:rPr>
                <w:noProof/>
              </w:rPr>
              <w:t>C23.I4</w:t>
            </w:r>
          </w:p>
        </w:tc>
        <w:tc>
          <w:tcPr>
            <w:tcW w:w="826" w:type="dxa"/>
            <w:shd w:val="clear" w:color="auto" w:fill="C6EFCE"/>
            <w:noWrap/>
          </w:tcPr>
          <w:p w14:paraId="250BB525"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4D3105FC" w14:textId="77777777" w:rsidR="000E48CE" w:rsidRDefault="00FF4C4E">
            <w:pPr>
              <w:pStyle w:val="P68B1DB1-Normal13"/>
              <w:spacing w:after="0" w:line="240" w:lineRule="auto"/>
              <w:rPr>
                <w:rFonts w:eastAsia="Times New Roman" w:cs="Times New Roman"/>
                <w:noProof/>
              </w:rPr>
            </w:pPr>
            <w:r>
              <w:rPr>
                <w:noProof/>
              </w:rPr>
              <w:t xml:space="preserve">Heikossa asemassa olevia ryhmiä, yrittäjyyttä ja mikroyrityksiä koskeviin alueellisiin hankkeisiin osoitettavien varojen alueellisen kohdentamisen hyväksyminen. </w:t>
            </w:r>
          </w:p>
        </w:tc>
        <w:tc>
          <w:tcPr>
            <w:tcW w:w="1102" w:type="dxa"/>
            <w:shd w:val="clear" w:color="auto" w:fill="C6EFCE"/>
            <w:noWrap/>
          </w:tcPr>
          <w:p w14:paraId="6CBF8191" w14:textId="77777777" w:rsidR="000E48CE" w:rsidRDefault="00FF4C4E">
            <w:pPr>
              <w:pStyle w:val="P68B1DB1-Normal13"/>
              <w:spacing w:after="0" w:line="240" w:lineRule="auto"/>
              <w:jc w:val="center"/>
              <w:rPr>
                <w:rFonts w:eastAsia="Times New Roman" w:cs="Times New Roman"/>
                <w:noProof/>
              </w:rPr>
            </w:pPr>
            <w:r>
              <w:rPr>
                <w:noProof/>
              </w:rPr>
              <w:t xml:space="preserve">Alakohtaisen työllisyyskonferenssin viitepöytäkirja </w:t>
            </w:r>
          </w:p>
        </w:tc>
        <w:tc>
          <w:tcPr>
            <w:tcW w:w="827" w:type="dxa"/>
            <w:shd w:val="clear" w:color="auto" w:fill="C6EFCE"/>
            <w:noWrap/>
          </w:tcPr>
          <w:p w14:paraId="09DA7C88"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1DE833C4"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7016AF2E"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314B74C4" w14:textId="77777777" w:rsidR="000E48CE" w:rsidRDefault="00FF4C4E">
            <w:pPr>
              <w:pStyle w:val="P68B1DB1-Normal13"/>
              <w:spacing w:after="0" w:line="240" w:lineRule="auto"/>
              <w:jc w:val="right"/>
              <w:rPr>
                <w:rFonts w:eastAsia="Times New Roman" w:cs="Times New Roman"/>
                <w:noProof/>
              </w:rPr>
            </w:pPr>
            <w:r>
              <w:rPr>
                <w:noProof/>
              </w:rPr>
              <w:t>KOLMAS VUOSINELJÄNNES</w:t>
            </w:r>
          </w:p>
        </w:tc>
        <w:tc>
          <w:tcPr>
            <w:tcW w:w="551" w:type="dxa"/>
            <w:shd w:val="clear" w:color="auto" w:fill="C6EFCE"/>
            <w:noWrap/>
          </w:tcPr>
          <w:p w14:paraId="36CB6330" w14:textId="77777777" w:rsidR="000E48CE" w:rsidRDefault="00FF4C4E">
            <w:pPr>
              <w:pStyle w:val="P68B1DB1-Normal13"/>
              <w:spacing w:after="0" w:line="240" w:lineRule="auto"/>
              <w:jc w:val="right"/>
              <w:rPr>
                <w:rFonts w:eastAsia="Times New Roman" w:cs="Times New Roman"/>
                <w:noProof/>
              </w:rPr>
            </w:pPr>
            <w:r>
              <w:rPr>
                <w:noProof/>
              </w:rPr>
              <w:t>2021</w:t>
            </w:r>
          </w:p>
        </w:tc>
        <w:tc>
          <w:tcPr>
            <w:tcW w:w="5901" w:type="dxa"/>
            <w:shd w:val="clear" w:color="auto" w:fill="C6EFCE"/>
            <w:noWrap/>
          </w:tcPr>
          <w:p w14:paraId="33A8F610" w14:textId="77777777" w:rsidR="000E48CE" w:rsidRDefault="00FF4C4E">
            <w:pPr>
              <w:pStyle w:val="P68B1DB1-Normal13"/>
              <w:spacing w:after="0" w:line="240" w:lineRule="auto"/>
              <w:rPr>
                <w:rFonts w:eastAsia="Times New Roman" w:cs="Times New Roman"/>
                <w:noProof/>
              </w:rPr>
            </w:pPr>
            <w:r>
              <w:rPr>
                <w:noProof/>
              </w:rPr>
              <w:t>Hyväksyt</w:t>
            </w:r>
            <w:r>
              <w:rPr>
                <w:noProof/>
              </w:rPr>
              <w:t>ään alakohtaisessa työllisyyskonferenssissa varojen alueellinen kohdentaminen muita heikommassa asemassa oleville ryhmille tarkoitettuihin alueellisiin hankkeisiin sekä yrittäjyyttä ja mikroyrityksiä koskeviin alueellisiin hankkeisiin, kuten yrittäjyyttä e</w:t>
            </w:r>
            <w:r>
              <w:rPr>
                <w:noProof/>
              </w:rPr>
              <w:t xml:space="preserve">distävien hankkeiden kehittämiseen, paikallisiin kehittämisaloitteisiin, yhteisötalouden aloitteisiin ja uusiin alueellisiin hankkeisiin, joilla helpotetaan tuotannon muuttamista erityisesti vihreään ja digitaaliseen talouteen. </w:t>
            </w:r>
          </w:p>
        </w:tc>
      </w:tr>
      <w:tr w:rsidR="000E48CE" w14:paraId="5B2EEC32" w14:textId="77777777">
        <w:trPr>
          <w:trHeight w:val="309"/>
        </w:trPr>
        <w:tc>
          <w:tcPr>
            <w:tcW w:w="830" w:type="dxa"/>
            <w:shd w:val="clear" w:color="auto" w:fill="C6EFCE"/>
            <w:noWrap/>
          </w:tcPr>
          <w:p w14:paraId="0B595572" w14:textId="77777777" w:rsidR="000E48CE" w:rsidRDefault="00FF4C4E">
            <w:pPr>
              <w:pStyle w:val="P68B1DB1-Normal13"/>
              <w:spacing w:after="0" w:line="240" w:lineRule="auto"/>
              <w:jc w:val="center"/>
              <w:rPr>
                <w:rFonts w:eastAsia="Times New Roman" w:cs="Times New Roman"/>
                <w:noProof/>
              </w:rPr>
            </w:pPr>
            <w:r>
              <w:rPr>
                <w:noProof/>
              </w:rPr>
              <w:t>346</w:t>
            </w:r>
          </w:p>
        </w:tc>
        <w:tc>
          <w:tcPr>
            <w:tcW w:w="828" w:type="dxa"/>
            <w:shd w:val="clear" w:color="auto" w:fill="C6EFCE"/>
            <w:noWrap/>
          </w:tcPr>
          <w:p w14:paraId="7D2FAE15" w14:textId="77777777" w:rsidR="000E48CE" w:rsidRDefault="00FF4C4E">
            <w:pPr>
              <w:pStyle w:val="P68B1DB1-Normal13"/>
              <w:spacing w:after="0" w:line="240" w:lineRule="auto"/>
              <w:jc w:val="center"/>
              <w:rPr>
                <w:rFonts w:eastAsia="Times New Roman" w:cs="Times New Roman"/>
                <w:noProof/>
              </w:rPr>
            </w:pPr>
            <w:r>
              <w:rPr>
                <w:noProof/>
              </w:rPr>
              <w:t>C23.I4</w:t>
            </w:r>
          </w:p>
        </w:tc>
        <w:tc>
          <w:tcPr>
            <w:tcW w:w="826" w:type="dxa"/>
            <w:shd w:val="clear" w:color="auto" w:fill="C6EFCE"/>
            <w:noWrap/>
          </w:tcPr>
          <w:p w14:paraId="29365A42" w14:textId="77777777" w:rsidR="000E48CE" w:rsidRDefault="00FF4C4E">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25316EEB" w14:textId="77777777" w:rsidR="000E48CE" w:rsidRDefault="00FF4C4E">
            <w:pPr>
              <w:pStyle w:val="P68B1DB1-Normal13"/>
              <w:spacing w:after="0" w:line="240" w:lineRule="auto"/>
              <w:rPr>
                <w:rFonts w:eastAsia="Times New Roman" w:cs="Times New Roman"/>
                <w:noProof/>
              </w:rPr>
            </w:pPr>
            <w:r>
              <w:rPr>
                <w:noProof/>
              </w:rPr>
              <w:t>Muita heikommassa asemassa olevia ryhmiä, yrittäjyyttä ja mikroyrityksiä koskevia alueellisia hankkeita on saatu päätökseen. Niissä on mukana vähintään 39000 työntekijää ja 64000 yritystä.</w:t>
            </w:r>
          </w:p>
        </w:tc>
        <w:tc>
          <w:tcPr>
            <w:tcW w:w="1102" w:type="dxa"/>
            <w:shd w:val="clear" w:color="auto" w:fill="C6EFCE"/>
            <w:noWrap/>
          </w:tcPr>
          <w:p w14:paraId="7478F826" w14:textId="77777777" w:rsidR="000E48CE" w:rsidRDefault="00FF4C4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5FD4AE48"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413" w:type="dxa"/>
            <w:shd w:val="clear" w:color="auto" w:fill="C6EFCE"/>
            <w:noWrap/>
          </w:tcPr>
          <w:p w14:paraId="7D2EF052" w14:textId="77777777" w:rsidR="000E48CE" w:rsidRDefault="00FF4C4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0CC676C6" w14:textId="77777777" w:rsidR="000E48CE" w:rsidRDefault="00FF4C4E">
            <w:pPr>
              <w:pStyle w:val="P68B1DB1-Normal13"/>
              <w:spacing w:after="0" w:line="240" w:lineRule="auto"/>
              <w:jc w:val="right"/>
              <w:rPr>
                <w:rFonts w:eastAsia="Times New Roman" w:cs="Times New Roman"/>
                <w:noProof/>
              </w:rPr>
            </w:pPr>
            <w:r>
              <w:rPr>
                <w:noProof/>
              </w:rPr>
              <w:t>68</w:t>
            </w:r>
          </w:p>
        </w:tc>
        <w:tc>
          <w:tcPr>
            <w:tcW w:w="413" w:type="dxa"/>
            <w:shd w:val="clear" w:color="auto" w:fill="C6EFCE"/>
            <w:noWrap/>
          </w:tcPr>
          <w:p w14:paraId="34C73C82" w14:textId="77777777" w:rsidR="000E48CE" w:rsidRDefault="00FF4C4E">
            <w:pPr>
              <w:pStyle w:val="P68B1DB1-Normal13"/>
              <w:spacing w:after="0" w:line="240" w:lineRule="auto"/>
              <w:jc w:val="right"/>
              <w:rPr>
                <w:rFonts w:eastAsia="Times New Roman" w:cs="Times New Roman"/>
                <w:noProof/>
              </w:rPr>
            </w:pPr>
            <w:r>
              <w:rPr>
                <w:noProof/>
              </w:rPr>
              <w:t>Q4</w:t>
            </w:r>
          </w:p>
        </w:tc>
        <w:tc>
          <w:tcPr>
            <w:tcW w:w="551" w:type="dxa"/>
            <w:shd w:val="clear" w:color="auto" w:fill="C6EFCE"/>
            <w:noWrap/>
          </w:tcPr>
          <w:p w14:paraId="5A691201" w14:textId="77777777" w:rsidR="000E48CE" w:rsidRDefault="00FF4C4E">
            <w:pPr>
              <w:pStyle w:val="P68B1DB1-Normal13"/>
              <w:spacing w:after="0" w:line="240" w:lineRule="auto"/>
              <w:jc w:val="right"/>
              <w:rPr>
                <w:rFonts w:eastAsia="Times New Roman" w:cs="Times New Roman"/>
                <w:noProof/>
              </w:rPr>
            </w:pPr>
            <w:r>
              <w:rPr>
                <w:noProof/>
              </w:rPr>
              <w:t>2023</w:t>
            </w:r>
          </w:p>
        </w:tc>
        <w:tc>
          <w:tcPr>
            <w:tcW w:w="5901" w:type="dxa"/>
            <w:shd w:val="clear" w:color="auto" w:fill="C6EFCE"/>
            <w:noWrap/>
          </w:tcPr>
          <w:p w14:paraId="0BE494D8" w14:textId="77777777" w:rsidR="000E48CE" w:rsidRDefault="00FF4C4E">
            <w:pPr>
              <w:pStyle w:val="P68B1DB1-Normal13"/>
              <w:spacing w:after="0" w:line="240" w:lineRule="auto"/>
              <w:rPr>
                <w:rFonts w:eastAsia="Times New Roman" w:cs="Times New Roman"/>
                <w:noProof/>
              </w:rPr>
            </w:pPr>
            <w:r>
              <w:rPr>
                <w:noProof/>
              </w:rPr>
              <w:t>Heikossa asemassa oleville ryhmille on toteute</w:t>
            </w:r>
            <w:r>
              <w:rPr>
                <w:noProof/>
              </w:rPr>
              <w:t>ttu vähintään 68 alueellista hanketta ja yrittäjyyttä ja mikroyrityksiä koskevia alueellisia hankkeita, joihin osallistuu noin 39000 työntekijää ja 64000 yritystä.</w:t>
            </w:r>
            <w:r>
              <w:rPr>
                <w:noProof/>
              </w:rPr>
              <w:br/>
              <w:t>Muita heikommassa asemassa olevia ryhmiä koskevia alueellisia hankkeita kehitetään yksilölli</w:t>
            </w:r>
            <w:r>
              <w:rPr>
                <w:noProof/>
              </w:rPr>
              <w:t>sillä ja yksilöllistetyillä reiteillä, joihin sisällytetään erilaisia toimia, kuten ohjaus ja avustaminen, ohjausohjelmat, työnhakutiimien antama hoito, koulutus- ja sovitteluapurahat, työhönottotuki ja toimien seuranta.</w:t>
            </w:r>
            <w:r>
              <w:rPr>
                <w:noProof/>
              </w:rPr>
              <w:br/>
              <w:t>Yrittäjyys- ja mikroyrityshankkeill</w:t>
            </w:r>
            <w:r>
              <w:rPr>
                <w:noProof/>
              </w:rPr>
              <w:t>a on vastattava väestökehityksen haasteeseen ja helpotettava tuotannollista muutosta, erityisesti vihreään ja digitaaliseen talouteen, muun muassa maatalousalan koulutushankkeiden, kestävän paikallisen kehityksen, kulttuuri- ja taidetoimintaa koskevien yht</w:t>
            </w:r>
            <w:r>
              <w:rPr>
                <w:noProof/>
              </w:rPr>
              <w:t>eisötalouden aloitteiden, ekologisen siirtymän, paikallisen kehityksen aloitteiden, maaseutumatkailun ja taideperinnön avulla. Näihin hankkeisiin on sisällyttävä muun muassa seuraavat toimet: yhteiskunnallinen yrittäjyys ja freelancerit, työmarkkinatutkimu</w:t>
            </w:r>
            <w:r>
              <w:rPr>
                <w:noProof/>
              </w:rPr>
              <w:t>s, paikalliset edistämis- ja kehitystoimijat, osuuskuntien tai mikroyritysten perustamisen tukeminen, verkostoituminen, osallistuminen konferensseihin, tiedonlevitystoimet.</w:t>
            </w:r>
          </w:p>
        </w:tc>
      </w:tr>
      <w:tr w:rsidR="000E48CE" w14:paraId="5EE38AFB" w14:textId="77777777">
        <w:trPr>
          <w:trHeight w:val="309"/>
        </w:trPr>
        <w:tc>
          <w:tcPr>
            <w:tcW w:w="830" w:type="dxa"/>
            <w:shd w:val="clear" w:color="auto" w:fill="C6EFCE"/>
            <w:noWrap/>
          </w:tcPr>
          <w:p w14:paraId="3228302D" w14:textId="77777777" w:rsidR="000E48CE" w:rsidRDefault="00FF4C4E">
            <w:pPr>
              <w:pStyle w:val="P68B1DB1-Normal13"/>
              <w:spacing w:after="0" w:line="240" w:lineRule="auto"/>
              <w:jc w:val="center"/>
              <w:rPr>
                <w:rFonts w:eastAsia="Times New Roman" w:cs="Times New Roman"/>
                <w:noProof/>
              </w:rPr>
            </w:pPr>
            <w:r>
              <w:rPr>
                <w:noProof/>
              </w:rPr>
              <w:t>347</w:t>
            </w:r>
          </w:p>
        </w:tc>
        <w:tc>
          <w:tcPr>
            <w:tcW w:w="828" w:type="dxa"/>
            <w:shd w:val="clear" w:color="auto" w:fill="C6EFCE"/>
            <w:noWrap/>
          </w:tcPr>
          <w:p w14:paraId="4ACD0B69" w14:textId="77777777" w:rsidR="000E48CE" w:rsidRDefault="00FF4C4E">
            <w:pPr>
              <w:pStyle w:val="P68B1DB1-Normal13"/>
              <w:spacing w:after="0" w:line="240" w:lineRule="auto"/>
              <w:jc w:val="center"/>
              <w:rPr>
                <w:rFonts w:eastAsia="Times New Roman" w:cs="Times New Roman"/>
                <w:noProof/>
              </w:rPr>
            </w:pPr>
            <w:r>
              <w:rPr>
                <w:noProof/>
              </w:rPr>
              <w:t>C23.I5</w:t>
            </w:r>
          </w:p>
        </w:tc>
        <w:tc>
          <w:tcPr>
            <w:tcW w:w="826" w:type="dxa"/>
            <w:shd w:val="clear" w:color="auto" w:fill="C6EFCE"/>
            <w:noWrap/>
          </w:tcPr>
          <w:p w14:paraId="373B858D" w14:textId="77777777" w:rsidR="000E48CE" w:rsidRDefault="00FF4C4E">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017F33DD" w14:textId="77777777" w:rsidR="000E48CE" w:rsidRDefault="00FF4C4E">
            <w:pPr>
              <w:pStyle w:val="P68B1DB1-Normal13"/>
              <w:spacing w:after="0" w:line="240" w:lineRule="auto"/>
              <w:rPr>
                <w:rFonts w:eastAsia="Times New Roman" w:cs="Times New Roman"/>
                <w:noProof/>
              </w:rPr>
            </w:pPr>
            <w:r>
              <w:rPr>
                <w:noProof/>
              </w:rPr>
              <w:t xml:space="preserve">Julkiset ohjaus-, yrittäjyys-, tuki- ja innovointikeskukset ovat </w:t>
            </w:r>
            <w:r>
              <w:rPr>
                <w:noProof/>
              </w:rPr>
              <w:t>täysin toimintakykyisiä.</w:t>
            </w:r>
          </w:p>
        </w:tc>
        <w:tc>
          <w:tcPr>
            <w:tcW w:w="1102" w:type="dxa"/>
            <w:shd w:val="clear" w:color="auto" w:fill="C6EFCE"/>
            <w:noWrap/>
          </w:tcPr>
          <w:p w14:paraId="07F55D43" w14:textId="77777777" w:rsidR="000E48CE" w:rsidRDefault="00FF4C4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6B077AC0"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413" w:type="dxa"/>
            <w:shd w:val="clear" w:color="auto" w:fill="C6EFCE"/>
            <w:noWrap/>
          </w:tcPr>
          <w:p w14:paraId="18FD11EC" w14:textId="77777777" w:rsidR="000E48CE" w:rsidRDefault="00FF4C4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3FA557D6" w14:textId="77777777" w:rsidR="000E48CE" w:rsidRDefault="00FF4C4E">
            <w:pPr>
              <w:pStyle w:val="P68B1DB1-Normal13"/>
              <w:spacing w:after="0" w:line="240" w:lineRule="auto"/>
              <w:jc w:val="center"/>
              <w:rPr>
                <w:rFonts w:eastAsia="Times New Roman" w:cs="Times New Roman"/>
                <w:noProof/>
              </w:rPr>
            </w:pPr>
            <w:r>
              <w:rPr>
                <w:noProof/>
              </w:rPr>
              <w:t>20</w:t>
            </w:r>
          </w:p>
        </w:tc>
        <w:tc>
          <w:tcPr>
            <w:tcW w:w="413" w:type="dxa"/>
            <w:shd w:val="clear" w:color="auto" w:fill="C6EFCE"/>
            <w:noWrap/>
          </w:tcPr>
          <w:p w14:paraId="4527830F"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17DBB9E2" w14:textId="20AFC6D9" w:rsidR="000E48CE" w:rsidRDefault="00FF4C4E">
            <w:pPr>
              <w:pStyle w:val="P68B1DB1-Normal13"/>
              <w:spacing w:after="0" w:line="240" w:lineRule="auto"/>
              <w:jc w:val="center"/>
              <w:rPr>
                <w:rFonts w:eastAsia="Times New Roman" w:cs="Times New Roman"/>
                <w:noProof/>
              </w:rPr>
            </w:pPr>
            <w:r>
              <w:rPr>
                <w:noProof/>
              </w:rPr>
              <w:t>2024</w:t>
            </w:r>
          </w:p>
        </w:tc>
        <w:tc>
          <w:tcPr>
            <w:tcW w:w="5901" w:type="dxa"/>
            <w:shd w:val="clear" w:color="auto" w:fill="C6EFCE"/>
            <w:noWrap/>
          </w:tcPr>
          <w:p w14:paraId="6376C800" w14:textId="77777777" w:rsidR="000E48CE" w:rsidRDefault="00FF4C4E">
            <w:pPr>
              <w:pStyle w:val="P68B1DB1-Normal13"/>
              <w:spacing w:after="0" w:line="240" w:lineRule="auto"/>
              <w:rPr>
                <w:rFonts w:eastAsia="Times New Roman" w:cs="Times New Roman"/>
                <w:noProof/>
              </w:rPr>
            </w:pPr>
            <w:r>
              <w:rPr>
                <w:noProof/>
              </w:rPr>
              <w:t>Vähintään 20 julkista ohjaus-, yrittäjyys-, tuki- ja innovointikeskusta on täysin toiminnassa.</w:t>
            </w:r>
          </w:p>
        </w:tc>
      </w:tr>
      <w:tr w:rsidR="000E48CE" w14:paraId="47C2CB73" w14:textId="77777777">
        <w:trPr>
          <w:trHeight w:val="309"/>
        </w:trPr>
        <w:tc>
          <w:tcPr>
            <w:tcW w:w="830" w:type="dxa"/>
            <w:shd w:val="clear" w:color="auto" w:fill="C6EFCE"/>
            <w:noWrap/>
          </w:tcPr>
          <w:p w14:paraId="5A579700" w14:textId="77777777" w:rsidR="000E48CE" w:rsidRDefault="00FF4C4E">
            <w:pPr>
              <w:pStyle w:val="P68B1DB1-Normal13"/>
              <w:spacing w:after="0" w:line="240" w:lineRule="auto"/>
              <w:jc w:val="center"/>
              <w:rPr>
                <w:rFonts w:eastAsia="Times New Roman" w:cs="Times New Roman"/>
                <w:noProof/>
              </w:rPr>
            </w:pPr>
            <w:r>
              <w:rPr>
                <w:noProof/>
              </w:rPr>
              <w:t>348</w:t>
            </w:r>
          </w:p>
        </w:tc>
        <w:tc>
          <w:tcPr>
            <w:tcW w:w="828" w:type="dxa"/>
            <w:shd w:val="clear" w:color="auto" w:fill="C6EFCE"/>
            <w:noWrap/>
          </w:tcPr>
          <w:p w14:paraId="6D48B057" w14:textId="77777777" w:rsidR="000E48CE" w:rsidRDefault="00FF4C4E">
            <w:pPr>
              <w:pStyle w:val="P68B1DB1-Normal13"/>
              <w:spacing w:after="0" w:line="240" w:lineRule="auto"/>
              <w:jc w:val="center"/>
              <w:rPr>
                <w:rFonts w:eastAsia="Times New Roman" w:cs="Times New Roman"/>
                <w:noProof/>
              </w:rPr>
            </w:pPr>
            <w:r>
              <w:rPr>
                <w:noProof/>
              </w:rPr>
              <w:t>C23.I5</w:t>
            </w:r>
          </w:p>
        </w:tc>
        <w:tc>
          <w:tcPr>
            <w:tcW w:w="826" w:type="dxa"/>
            <w:shd w:val="clear" w:color="auto" w:fill="C6EFCE"/>
            <w:noWrap/>
          </w:tcPr>
          <w:p w14:paraId="18A1F58A" w14:textId="77777777" w:rsidR="000E48CE" w:rsidRDefault="00FF4C4E">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18557365" w14:textId="77777777" w:rsidR="000E48CE" w:rsidRDefault="00FF4C4E">
            <w:pPr>
              <w:pStyle w:val="P68B1DB1-Normal13"/>
              <w:spacing w:after="0" w:line="240" w:lineRule="auto"/>
              <w:rPr>
                <w:rFonts w:eastAsia="Times New Roman" w:cs="Times New Roman"/>
                <w:noProof/>
              </w:rPr>
            </w:pPr>
            <w:r>
              <w:rPr>
                <w:noProof/>
              </w:rPr>
              <w:t>Julkisten työvoimapalvelujen henkilöstön koulutustoimet</w:t>
            </w:r>
          </w:p>
        </w:tc>
        <w:tc>
          <w:tcPr>
            <w:tcW w:w="1102" w:type="dxa"/>
            <w:shd w:val="clear" w:color="auto" w:fill="C6EFCE"/>
            <w:noWrap/>
          </w:tcPr>
          <w:p w14:paraId="2138AF60" w14:textId="77777777" w:rsidR="000E48CE" w:rsidRDefault="00FF4C4E">
            <w:pPr>
              <w:pStyle w:val="P68B1DB1-Normal13"/>
              <w:spacing w:after="0" w:line="240" w:lineRule="auto"/>
              <w:jc w:val="center"/>
              <w:rPr>
                <w:rFonts w:eastAsia="Times New Roman" w:cs="Times New Roman"/>
                <w:noProof/>
              </w:rPr>
            </w:pPr>
            <w:r>
              <w:rPr>
                <w:noProof/>
              </w:rPr>
              <w:t> </w:t>
            </w:r>
          </w:p>
        </w:tc>
        <w:tc>
          <w:tcPr>
            <w:tcW w:w="827" w:type="dxa"/>
            <w:shd w:val="clear" w:color="auto" w:fill="C6EFCE"/>
            <w:noWrap/>
          </w:tcPr>
          <w:p w14:paraId="16ACCCDF"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413" w:type="dxa"/>
            <w:shd w:val="clear" w:color="auto" w:fill="C6EFCE"/>
            <w:noWrap/>
          </w:tcPr>
          <w:p w14:paraId="7E3C3610" w14:textId="77777777" w:rsidR="000E48CE" w:rsidRDefault="00FF4C4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66F306B6" w14:textId="77777777" w:rsidR="000E48CE" w:rsidRDefault="00FF4C4E">
            <w:pPr>
              <w:pStyle w:val="P68B1DB1-Normal13"/>
              <w:spacing w:after="0" w:line="240" w:lineRule="auto"/>
              <w:jc w:val="center"/>
              <w:rPr>
                <w:rFonts w:eastAsia="Times New Roman" w:cs="Times New Roman"/>
                <w:noProof/>
              </w:rPr>
            </w:pPr>
            <w:r>
              <w:rPr>
                <w:noProof/>
              </w:rPr>
              <w:t>42 000</w:t>
            </w:r>
          </w:p>
        </w:tc>
        <w:tc>
          <w:tcPr>
            <w:tcW w:w="413" w:type="dxa"/>
            <w:shd w:val="clear" w:color="auto" w:fill="C6EFCE"/>
            <w:noWrap/>
          </w:tcPr>
          <w:p w14:paraId="14555A8C" w14:textId="77777777" w:rsidR="000E48CE" w:rsidRDefault="00FF4C4E">
            <w:pPr>
              <w:pStyle w:val="P68B1DB1-Normal13"/>
              <w:spacing w:after="0" w:line="240" w:lineRule="auto"/>
              <w:jc w:val="center"/>
              <w:rPr>
                <w:rFonts w:eastAsia="Times New Roman" w:cs="Times New Roman"/>
                <w:noProof/>
              </w:rPr>
            </w:pPr>
            <w:r>
              <w:rPr>
                <w:noProof/>
              </w:rPr>
              <w:t>Q4</w:t>
            </w:r>
          </w:p>
        </w:tc>
        <w:tc>
          <w:tcPr>
            <w:tcW w:w="551" w:type="dxa"/>
            <w:shd w:val="clear" w:color="auto" w:fill="C6EFCE"/>
            <w:noWrap/>
          </w:tcPr>
          <w:p w14:paraId="297F6BF3" w14:textId="77777777" w:rsidR="000E48CE" w:rsidRDefault="00FF4C4E">
            <w:pPr>
              <w:pStyle w:val="P68B1DB1-Normal13"/>
              <w:spacing w:after="0" w:line="240" w:lineRule="auto"/>
              <w:jc w:val="center"/>
              <w:rPr>
                <w:rFonts w:eastAsia="Times New Roman" w:cs="Times New Roman"/>
                <w:noProof/>
              </w:rPr>
            </w:pPr>
            <w:r>
              <w:rPr>
                <w:noProof/>
              </w:rPr>
              <w:t>2023</w:t>
            </w:r>
          </w:p>
        </w:tc>
        <w:tc>
          <w:tcPr>
            <w:tcW w:w="5901" w:type="dxa"/>
            <w:shd w:val="clear" w:color="auto" w:fill="C6EFCE"/>
            <w:noWrap/>
          </w:tcPr>
          <w:p w14:paraId="185D20DF" w14:textId="77777777" w:rsidR="000E48CE" w:rsidRDefault="00FF4C4E">
            <w:pPr>
              <w:pStyle w:val="P68B1DB1-Normal13"/>
              <w:spacing w:after="0" w:line="240" w:lineRule="auto"/>
              <w:rPr>
                <w:rFonts w:eastAsia="Times New Roman" w:cs="Times New Roman"/>
                <w:noProof/>
              </w:rPr>
            </w:pPr>
            <w:r>
              <w:rPr>
                <w:noProof/>
              </w:rPr>
              <w:t xml:space="preserve">Julkisten </w:t>
            </w:r>
            <w:r>
              <w:rPr>
                <w:noProof/>
              </w:rPr>
              <w:t>työvoimapalvelujen henkilöstölle on järjestetty vähintään 42000 koulutustoimea, joiden tavoitteena on parantaa heidän osaamistaan ja tarjota tehokkaampaa tukea työnhakijoille.</w:t>
            </w:r>
          </w:p>
        </w:tc>
      </w:tr>
      <w:tr w:rsidR="000E48CE" w14:paraId="66A83C43" w14:textId="77777777">
        <w:trPr>
          <w:trHeight w:val="309"/>
        </w:trPr>
        <w:tc>
          <w:tcPr>
            <w:tcW w:w="830" w:type="dxa"/>
            <w:shd w:val="clear" w:color="auto" w:fill="C6EFCE"/>
            <w:noWrap/>
          </w:tcPr>
          <w:p w14:paraId="1703DCB6" w14:textId="77777777" w:rsidR="000E48CE" w:rsidRDefault="00FF4C4E">
            <w:pPr>
              <w:pStyle w:val="P68B1DB1-Normal13"/>
              <w:spacing w:after="0" w:line="240" w:lineRule="auto"/>
              <w:jc w:val="center"/>
              <w:rPr>
                <w:rFonts w:eastAsia="Times New Roman" w:cs="Times New Roman"/>
                <w:noProof/>
              </w:rPr>
            </w:pPr>
            <w:r>
              <w:rPr>
                <w:noProof/>
              </w:rPr>
              <w:t>349</w:t>
            </w:r>
          </w:p>
        </w:tc>
        <w:tc>
          <w:tcPr>
            <w:tcW w:w="828" w:type="dxa"/>
            <w:shd w:val="clear" w:color="auto" w:fill="C6EFCE"/>
            <w:noWrap/>
          </w:tcPr>
          <w:p w14:paraId="0A36F51B" w14:textId="77777777" w:rsidR="000E48CE" w:rsidRDefault="00FF4C4E">
            <w:pPr>
              <w:pStyle w:val="P68B1DB1-Normal13"/>
              <w:spacing w:after="0" w:line="240" w:lineRule="auto"/>
              <w:jc w:val="center"/>
              <w:rPr>
                <w:rFonts w:eastAsia="Times New Roman" w:cs="Times New Roman"/>
                <w:noProof/>
              </w:rPr>
            </w:pPr>
            <w:r>
              <w:rPr>
                <w:noProof/>
              </w:rPr>
              <w:t>C23.I6</w:t>
            </w:r>
          </w:p>
        </w:tc>
        <w:tc>
          <w:tcPr>
            <w:tcW w:w="826" w:type="dxa"/>
            <w:shd w:val="clear" w:color="auto" w:fill="C6EFCE"/>
            <w:noWrap/>
          </w:tcPr>
          <w:p w14:paraId="7965CF1E" w14:textId="77777777" w:rsidR="000E48CE" w:rsidRDefault="00FF4C4E">
            <w:pPr>
              <w:pStyle w:val="P68B1DB1-Normal13"/>
              <w:spacing w:after="0" w:line="240" w:lineRule="auto"/>
              <w:jc w:val="center"/>
              <w:rPr>
                <w:rFonts w:eastAsia="Times New Roman" w:cs="Times New Roman"/>
                <w:noProof/>
              </w:rPr>
            </w:pPr>
            <w:r>
              <w:rPr>
                <w:noProof/>
              </w:rPr>
              <w:t>T</w:t>
            </w:r>
          </w:p>
        </w:tc>
        <w:tc>
          <w:tcPr>
            <w:tcW w:w="2613" w:type="dxa"/>
            <w:shd w:val="clear" w:color="auto" w:fill="C6EFCE"/>
            <w:noWrap/>
          </w:tcPr>
          <w:p w14:paraId="51C7A896" w14:textId="77777777" w:rsidR="000E48CE" w:rsidRDefault="00FF4C4E">
            <w:pPr>
              <w:pStyle w:val="P68B1DB1-Normal13"/>
              <w:spacing w:after="0" w:line="240" w:lineRule="auto"/>
              <w:rPr>
                <w:rFonts w:eastAsia="Times New Roman" w:cs="Times New Roman"/>
                <w:noProof/>
              </w:rPr>
            </w:pPr>
            <w:r>
              <w:rPr>
                <w:noProof/>
              </w:rPr>
              <w:t>Loppuun saatetut yhteisötalouden hankkeet</w:t>
            </w:r>
          </w:p>
        </w:tc>
        <w:tc>
          <w:tcPr>
            <w:tcW w:w="1102" w:type="dxa"/>
            <w:shd w:val="clear" w:color="auto" w:fill="C6EFCE"/>
            <w:noWrap/>
          </w:tcPr>
          <w:p w14:paraId="739B518A" w14:textId="77777777" w:rsidR="000E48CE" w:rsidRDefault="00FF4C4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28940D2D"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413" w:type="dxa"/>
            <w:shd w:val="clear" w:color="auto" w:fill="C6EFCE"/>
            <w:noWrap/>
          </w:tcPr>
          <w:p w14:paraId="52CA3C81" w14:textId="77777777" w:rsidR="000E48CE" w:rsidRDefault="00FF4C4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338013CE" w14:textId="77777777" w:rsidR="000E48CE" w:rsidRDefault="00FF4C4E">
            <w:pPr>
              <w:pStyle w:val="P68B1DB1-Normal13"/>
              <w:spacing w:after="0" w:line="240" w:lineRule="auto"/>
              <w:jc w:val="center"/>
              <w:rPr>
                <w:rFonts w:eastAsia="Times New Roman" w:cs="Times New Roman"/>
                <w:noProof/>
              </w:rPr>
            </w:pPr>
            <w:r>
              <w:rPr>
                <w:noProof/>
              </w:rPr>
              <w:t>30</w:t>
            </w:r>
          </w:p>
        </w:tc>
        <w:tc>
          <w:tcPr>
            <w:tcW w:w="413" w:type="dxa"/>
            <w:shd w:val="clear" w:color="auto" w:fill="C6EFCE"/>
            <w:noWrap/>
          </w:tcPr>
          <w:p w14:paraId="538491BD" w14:textId="126C3BD1" w:rsidR="000E48CE" w:rsidRDefault="00FF4C4E">
            <w:pPr>
              <w:pStyle w:val="P68B1DB1-Normal13"/>
              <w:spacing w:after="0" w:line="240" w:lineRule="auto"/>
              <w:jc w:val="center"/>
              <w:rPr>
                <w:rFonts w:eastAsia="Times New Roman" w:cs="Times New Roman"/>
                <w:noProof/>
              </w:rPr>
            </w:pPr>
            <w:r>
              <w:rPr>
                <w:noProof/>
              </w:rPr>
              <w:t>Q2</w:t>
            </w:r>
          </w:p>
        </w:tc>
        <w:tc>
          <w:tcPr>
            <w:tcW w:w="551" w:type="dxa"/>
            <w:shd w:val="clear" w:color="auto" w:fill="C6EFCE"/>
            <w:noWrap/>
          </w:tcPr>
          <w:p w14:paraId="1FD7D994" w14:textId="5D3F7141" w:rsidR="000E48CE" w:rsidRDefault="00FF4C4E">
            <w:pPr>
              <w:pStyle w:val="P68B1DB1-Normal13"/>
              <w:spacing w:after="0" w:line="240" w:lineRule="auto"/>
              <w:jc w:val="center"/>
              <w:rPr>
                <w:rFonts w:eastAsia="Times New Roman" w:cs="Times New Roman"/>
                <w:noProof/>
              </w:rPr>
            </w:pPr>
            <w:r>
              <w:rPr>
                <w:noProof/>
              </w:rPr>
              <w:t>2025</w:t>
            </w:r>
          </w:p>
        </w:tc>
        <w:tc>
          <w:tcPr>
            <w:tcW w:w="5901" w:type="dxa"/>
            <w:shd w:val="clear" w:color="auto" w:fill="C6EFCE"/>
            <w:noWrap/>
          </w:tcPr>
          <w:p w14:paraId="36C2B50B" w14:textId="77777777" w:rsidR="000E48CE" w:rsidRDefault="00FF4C4E">
            <w:pPr>
              <w:pStyle w:val="P68B1DB1-Normal13"/>
              <w:spacing w:after="0" w:line="240" w:lineRule="auto"/>
              <w:rPr>
                <w:rFonts w:eastAsia="Times New Roman" w:cs="Times New Roman"/>
                <w:noProof/>
              </w:rPr>
            </w:pPr>
            <w:r>
              <w:rPr>
                <w:noProof/>
              </w:rPr>
              <w:t>On saatu päätökseen vähintään 30 yhteisötalouden hanketta, joilla tuetaan vaikeuksissa olevien tai ilman sukupolvenvaihdoksia olevien elinkelpoisten yritysten työpaikkojen luominen ja säilyttäminen muuttamalla ne osuus- ja yhteisötalouden liiketoimintamall</w:t>
            </w:r>
            <w:r>
              <w:rPr>
                <w:noProof/>
              </w:rPr>
              <w:t>eiksi (osuuskunnat ja työvoimayritykset), joita hallinnoivat niiden mies- ja naispuoliset työntekijät; sellaisten innovatiivisten yhteisötalouden toimijoiden perustaminen ja vakiinnuttaminen, jotka vaikuttavat sukupolvenvaihdokseen ja nuorten yrittäjyyteen</w:t>
            </w:r>
            <w:r>
              <w:rPr>
                <w:noProof/>
              </w:rPr>
              <w:t>; yhteisötalouden yritysten digitalisointi luomalla digitaalisia alustoja, joilla pyritään parantamaan maaseutualueiden kansalaisten hyvinvointia; osuuskuntien, työyritysten ja muiden yhteisötalouden muotojen verkottuminen sekä valmiuksien kehittämis- ja k</w:t>
            </w:r>
            <w:r>
              <w:rPr>
                <w:noProof/>
              </w:rPr>
              <w:t>oulutustoimet uusien kattavien palvelujen tarjoamiseksi yhteiskunnalle; ja e) haavoittuvien yritysten ja ryhmien kestävien ja osallistavien siirtymien edistäminen.</w:t>
            </w:r>
          </w:p>
        </w:tc>
      </w:tr>
      <w:tr w:rsidR="000E48CE" w14:paraId="1D68E393" w14:textId="77777777">
        <w:trPr>
          <w:trHeight w:val="309"/>
        </w:trPr>
        <w:tc>
          <w:tcPr>
            <w:tcW w:w="830" w:type="dxa"/>
            <w:shd w:val="clear" w:color="auto" w:fill="C6EFCE"/>
            <w:noWrap/>
          </w:tcPr>
          <w:p w14:paraId="5F1CCB4D" w14:textId="77777777" w:rsidR="000E48CE" w:rsidRDefault="00FF4C4E">
            <w:pPr>
              <w:pStyle w:val="P68B1DB1-Normal13"/>
              <w:spacing w:after="0" w:line="240" w:lineRule="auto"/>
              <w:jc w:val="center"/>
              <w:rPr>
                <w:rFonts w:eastAsia="Times New Roman" w:cs="Times New Roman"/>
                <w:noProof/>
              </w:rPr>
            </w:pPr>
            <w:r>
              <w:rPr>
                <w:noProof/>
              </w:rPr>
              <w:t>350</w:t>
            </w:r>
          </w:p>
        </w:tc>
        <w:tc>
          <w:tcPr>
            <w:tcW w:w="828" w:type="dxa"/>
            <w:shd w:val="clear" w:color="auto" w:fill="C6EFCE"/>
            <w:noWrap/>
          </w:tcPr>
          <w:p w14:paraId="6EB03790" w14:textId="77777777" w:rsidR="000E48CE" w:rsidRDefault="00FF4C4E">
            <w:pPr>
              <w:pStyle w:val="P68B1DB1-Normal13"/>
              <w:spacing w:after="0" w:line="240" w:lineRule="auto"/>
              <w:jc w:val="center"/>
              <w:rPr>
                <w:rFonts w:eastAsia="Times New Roman" w:cs="Times New Roman"/>
                <w:noProof/>
              </w:rPr>
            </w:pPr>
            <w:r>
              <w:rPr>
                <w:noProof/>
              </w:rPr>
              <w:t>C23.I7</w:t>
            </w:r>
          </w:p>
        </w:tc>
        <w:tc>
          <w:tcPr>
            <w:tcW w:w="826" w:type="dxa"/>
            <w:shd w:val="clear" w:color="auto" w:fill="C6EFCE"/>
            <w:noWrap/>
          </w:tcPr>
          <w:p w14:paraId="79509368" w14:textId="77777777" w:rsidR="000E48CE" w:rsidRDefault="00FF4C4E">
            <w:pPr>
              <w:pStyle w:val="P68B1DB1-Normal13"/>
              <w:spacing w:after="0" w:line="240" w:lineRule="auto"/>
              <w:jc w:val="center"/>
              <w:rPr>
                <w:rFonts w:eastAsia="Times New Roman" w:cs="Times New Roman"/>
                <w:noProof/>
              </w:rPr>
            </w:pPr>
            <w:r>
              <w:rPr>
                <w:noProof/>
              </w:rPr>
              <w:t>M</w:t>
            </w:r>
          </w:p>
        </w:tc>
        <w:tc>
          <w:tcPr>
            <w:tcW w:w="2613" w:type="dxa"/>
            <w:shd w:val="clear" w:color="auto" w:fill="C6EFCE"/>
            <w:noWrap/>
          </w:tcPr>
          <w:p w14:paraId="233405FA" w14:textId="77777777" w:rsidR="000E48CE" w:rsidRDefault="00FF4C4E">
            <w:pPr>
              <w:pStyle w:val="P68B1DB1-Normal13"/>
              <w:spacing w:after="0" w:line="240" w:lineRule="auto"/>
              <w:rPr>
                <w:rFonts w:eastAsia="Times New Roman" w:cs="Times New Roman"/>
                <w:noProof/>
              </w:rPr>
            </w:pPr>
            <w:r>
              <w:rPr>
                <w:noProof/>
              </w:rPr>
              <w:t xml:space="preserve">Vähimmäistulon käyttöasteen parantaminen ja sen vaikuttavuuden lisääminen </w:t>
            </w:r>
            <w:r>
              <w:rPr>
                <w:noProof/>
              </w:rPr>
              <w:t>osallisuutta edistävien politiikkojen avulla</w:t>
            </w:r>
          </w:p>
        </w:tc>
        <w:tc>
          <w:tcPr>
            <w:tcW w:w="1102" w:type="dxa"/>
            <w:shd w:val="clear" w:color="auto" w:fill="C6EFCE"/>
            <w:noWrap/>
          </w:tcPr>
          <w:p w14:paraId="1DD611C7" w14:textId="77777777" w:rsidR="000E48CE" w:rsidRDefault="00FF4C4E">
            <w:pPr>
              <w:pStyle w:val="P68B1DB1-Normal13"/>
              <w:spacing w:after="0" w:line="240" w:lineRule="auto"/>
              <w:jc w:val="center"/>
              <w:rPr>
                <w:rFonts w:eastAsia="Times New Roman" w:cs="Times New Roman"/>
                <w:noProof/>
              </w:rPr>
            </w:pPr>
            <w:r>
              <w:rPr>
                <w:noProof/>
              </w:rPr>
              <w:t>Kumppanuussopimuksen julkaiseminen (”</w:t>
            </w:r>
            <w:r>
              <w:rPr>
                <w:i/>
                <w:noProof/>
              </w:rPr>
              <w:t>Convenio”</w:t>
            </w:r>
            <w:r>
              <w:rPr>
                <w:noProof/>
              </w:rPr>
              <w:t>)</w:t>
            </w:r>
          </w:p>
        </w:tc>
        <w:tc>
          <w:tcPr>
            <w:tcW w:w="827" w:type="dxa"/>
            <w:shd w:val="clear" w:color="auto" w:fill="C6EFCE"/>
            <w:noWrap/>
          </w:tcPr>
          <w:p w14:paraId="3874BD7C"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71960EBE"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689" w:type="dxa"/>
            <w:shd w:val="clear" w:color="auto" w:fill="C6EFCE"/>
            <w:noWrap/>
          </w:tcPr>
          <w:p w14:paraId="24C080EB"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81E6E72" w14:textId="77777777" w:rsidR="000E48CE" w:rsidRDefault="00FF4C4E">
            <w:pPr>
              <w:pStyle w:val="P68B1DB1-Normal13"/>
              <w:spacing w:after="0" w:line="240" w:lineRule="auto"/>
              <w:jc w:val="center"/>
              <w:rPr>
                <w:rFonts w:eastAsia="Times New Roman" w:cs="Times New Roman"/>
                <w:noProof/>
              </w:rPr>
            </w:pPr>
            <w:r>
              <w:rPr>
                <w:noProof/>
              </w:rPr>
              <w:t>Q1</w:t>
            </w:r>
          </w:p>
        </w:tc>
        <w:tc>
          <w:tcPr>
            <w:tcW w:w="551" w:type="dxa"/>
            <w:shd w:val="clear" w:color="auto" w:fill="C6EFCE"/>
            <w:noWrap/>
          </w:tcPr>
          <w:p w14:paraId="127FD24D" w14:textId="77777777" w:rsidR="000E48CE" w:rsidRDefault="00FF4C4E">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4CB38101" w14:textId="77777777" w:rsidR="000E48CE" w:rsidRDefault="00FF4C4E">
            <w:pPr>
              <w:pStyle w:val="P68B1DB1-Normal13"/>
              <w:spacing w:after="0" w:line="240" w:lineRule="auto"/>
              <w:rPr>
                <w:rFonts w:eastAsia="Times New Roman" w:cs="Times New Roman"/>
                <w:noProof/>
              </w:rPr>
            </w:pPr>
            <w:r>
              <w:rPr>
                <w:noProof/>
              </w:rPr>
              <w:t>Tuetaan IMV-tuensaajien sosioekonomista osallisuutta väylien avulla: kahdeksan kumppanuussopimusta, jotka on allekirjoitettu valtiotasoa alempien hal</w:t>
            </w:r>
            <w:r>
              <w:rPr>
                <w:noProof/>
              </w:rPr>
              <w:t>lintotasojen, työmarkkinaosapuolten ja kolmannen sektorin sosiaalialan toimijoiden kanssa näiden väylien toteuttamiseksi. Kumppanuussopimusten tavoitteena on I) IMV:n käyttöasteen parantaminen; IMV:n tehokkuuden lisääminen osallisuutta edistävillä politiik</w:t>
            </w:r>
            <w:r>
              <w:rPr>
                <w:noProof/>
              </w:rPr>
              <w:t>oilla.</w:t>
            </w:r>
          </w:p>
        </w:tc>
      </w:tr>
      <w:tr w:rsidR="000E48CE" w14:paraId="0967AC53" w14:textId="77777777">
        <w:trPr>
          <w:trHeight w:val="309"/>
        </w:trPr>
        <w:tc>
          <w:tcPr>
            <w:tcW w:w="830" w:type="dxa"/>
            <w:shd w:val="clear" w:color="auto" w:fill="C6EFCE"/>
            <w:noWrap/>
          </w:tcPr>
          <w:p w14:paraId="5BEF3A92" w14:textId="77777777" w:rsidR="000E48CE" w:rsidRDefault="00FF4C4E">
            <w:pPr>
              <w:pStyle w:val="P68B1DB1-Normal13"/>
              <w:spacing w:after="0" w:line="240" w:lineRule="auto"/>
              <w:jc w:val="center"/>
              <w:rPr>
                <w:rFonts w:cs="Times New Roman"/>
                <w:noProof/>
              </w:rPr>
            </w:pPr>
            <w:r>
              <w:rPr>
                <w:noProof/>
              </w:rPr>
              <w:t>351</w:t>
            </w:r>
          </w:p>
        </w:tc>
        <w:tc>
          <w:tcPr>
            <w:tcW w:w="828" w:type="dxa"/>
            <w:shd w:val="clear" w:color="auto" w:fill="C6EFCE"/>
            <w:noWrap/>
          </w:tcPr>
          <w:p w14:paraId="03A6C76A" w14:textId="77777777" w:rsidR="000E48CE" w:rsidRDefault="00FF4C4E">
            <w:pPr>
              <w:pStyle w:val="P68B1DB1-Normal13"/>
              <w:spacing w:after="0" w:line="240" w:lineRule="auto"/>
              <w:jc w:val="center"/>
              <w:rPr>
                <w:rFonts w:cs="Times New Roman"/>
                <w:noProof/>
              </w:rPr>
            </w:pPr>
            <w:r>
              <w:rPr>
                <w:noProof/>
              </w:rPr>
              <w:t>C23.I7</w:t>
            </w:r>
          </w:p>
        </w:tc>
        <w:tc>
          <w:tcPr>
            <w:tcW w:w="826" w:type="dxa"/>
            <w:shd w:val="clear" w:color="auto" w:fill="C6EFCE"/>
            <w:noWrap/>
          </w:tcPr>
          <w:p w14:paraId="303CCEDA" w14:textId="77777777" w:rsidR="000E48CE" w:rsidRDefault="00FF4C4E">
            <w:pPr>
              <w:pStyle w:val="P68B1DB1-Normal13"/>
              <w:spacing w:after="0" w:line="240" w:lineRule="auto"/>
              <w:jc w:val="center"/>
              <w:rPr>
                <w:rFonts w:cs="Times New Roman"/>
                <w:noProof/>
              </w:rPr>
            </w:pPr>
            <w:r>
              <w:rPr>
                <w:noProof/>
              </w:rPr>
              <w:t>M</w:t>
            </w:r>
          </w:p>
        </w:tc>
        <w:tc>
          <w:tcPr>
            <w:tcW w:w="2613" w:type="dxa"/>
            <w:shd w:val="clear" w:color="auto" w:fill="C6EFCE"/>
            <w:noWrap/>
          </w:tcPr>
          <w:p w14:paraId="27D85484" w14:textId="77777777" w:rsidR="000E48CE" w:rsidRDefault="00FF4C4E">
            <w:pPr>
              <w:pStyle w:val="P68B1DB1-Normal13"/>
              <w:spacing w:after="0" w:line="240" w:lineRule="auto"/>
              <w:rPr>
                <w:rFonts w:cs="Times New Roman"/>
                <w:noProof/>
              </w:rPr>
            </w:pPr>
            <w:r>
              <w:rPr>
                <w:noProof/>
              </w:rPr>
              <w:t>Arviointi vähimmäistulojärjestelmien kattavuuden, tehokkuuden ja onnistumisen arvioimiseksi</w:t>
            </w:r>
          </w:p>
        </w:tc>
        <w:tc>
          <w:tcPr>
            <w:tcW w:w="1102" w:type="dxa"/>
            <w:shd w:val="clear" w:color="auto" w:fill="C6EFCE"/>
            <w:noWrap/>
          </w:tcPr>
          <w:p w14:paraId="312F2532" w14:textId="77777777" w:rsidR="000E48CE" w:rsidRDefault="00FF4C4E">
            <w:pPr>
              <w:pStyle w:val="P68B1DB1-Normal13"/>
              <w:spacing w:after="0" w:line="240" w:lineRule="auto"/>
              <w:jc w:val="center"/>
              <w:rPr>
                <w:rFonts w:cs="Times New Roman"/>
                <w:noProof/>
              </w:rPr>
            </w:pPr>
            <w:r>
              <w:rPr>
                <w:noProof/>
              </w:rPr>
              <w:t>Arvioinnin julkaiseminen</w:t>
            </w:r>
          </w:p>
        </w:tc>
        <w:tc>
          <w:tcPr>
            <w:tcW w:w="827" w:type="dxa"/>
            <w:shd w:val="clear" w:color="auto" w:fill="C6EFCE"/>
            <w:noWrap/>
          </w:tcPr>
          <w:p w14:paraId="78B2AF73" w14:textId="77777777" w:rsidR="000E48CE" w:rsidRDefault="00FF4C4E">
            <w:pPr>
              <w:pStyle w:val="P68B1DB1-Normal13"/>
              <w:spacing w:after="0" w:line="240" w:lineRule="auto"/>
              <w:jc w:val="center"/>
              <w:rPr>
                <w:rFonts w:cs="Times New Roman"/>
                <w:noProof/>
              </w:rPr>
            </w:pPr>
            <w:r>
              <w:rPr>
                <w:noProof/>
              </w:rPr>
              <w:t xml:space="preserve"> </w:t>
            </w:r>
          </w:p>
        </w:tc>
        <w:tc>
          <w:tcPr>
            <w:tcW w:w="413" w:type="dxa"/>
            <w:shd w:val="clear" w:color="auto" w:fill="C6EFCE"/>
            <w:noWrap/>
          </w:tcPr>
          <w:p w14:paraId="7A01C922" w14:textId="77777777" w:rsidR="000E48CE" w:rsidRDefault="00FF4C4E">
            <w:pPr>
              <w:pStyle w:val="P68B1DB1-Normal13"/>
              <w:spacing w:after="0" w:line="240" w:lineRule="auto"/>
              <w:jc w:val="right"/>
              <w:rPr>
                <w:rFonts w:cs="Times New Roman"/>
                <w:noProof/>
              </w:rPr>
            </w:pPr>
            <w:r>
              <w:rPr>
                <w:noProof/>
              </w:rPr>
              <w:t xml:space="preserve"> </w:t>
            </w:r>
          </w:p>
        </w:tc>
        <w:tc>
          <w:tcPr>
            <w:tcW w:w="689" w:type="dxa"/>
            <w:shd w:val="clear" w:color="auto" w:fill="C6EFCE"/>
            <w:noWrap/>
          </w:tcPr>
          <w:p w14:paraId="318E0F05" w14:textId="77777777" w:rsidR="000E48CE" w:rsidRDefault="00FF4C4E">
            <w:pPr>
              <w:pStyle w:val="P68B1DB1-Normal13"/>
              <w:spacing w:after="0" w:line="240" w:lineRule="auto"/>
              <w:jc w:val="right"/>
              <w:rPr>
                <w:rFonts w:cs="Times New Roman"/>
                <w:noProof/>
              </w:rPr>
            </w:pPr>
            <w:r>
              <w:rPr>
                <w:noProof/>
              </w:rPr>
              <w:t> </w:t>
            </w:r>
          </w:p>
        </w:tc>
        <w:tc>
          <w:tcPr>
            <w:tcW w:w="413" w:type="dxa"/>
            <w:shd w:val="clear" w:color="auto" w:fill="C6EFCE"/>
            <w:noWrap/>
          </w:tcPr>
          <w:p w14:paraId="31E2FB6C" w14:textId="77777777" w:rsidR="000E48CE" w:rsidRDefault="00FF4C4E">
            <w:pPr>
              <w:pStyle w:val="P68B1DB1-Normal13"/>
              <w:spacing w:after="0" w:line="240" w:lineRule="auto"/>
              <w:jc w:val="center"/>
              <w:rPr>
                <w:rFonts w:cs="Times New Roman"/>
                <w:noProof/>
              </w:rPr>
            </w:pPr>
            <w:r>
              <w:rPr>
                <w:noProof/>
              </w:rPr>
              <w:t>Q1</w:t>
            </w:r>
          </w:p>
        </w:tc>
        <w:tc>
          <w:tcPr>
            <w:tcW w:w="551" w:type="dxa"/>
            <w:shd w:val="clear" w:color="auto" w:fill="C6EFCE"/>
            <w:noWrap/>
          </w:tcPr>
          <w:p w14:paraId="6BD43872" w14:textId="77777777" w:rsidR="000E48CE" w:rsidRDefault="00FF4C4E">
            <w:pPr>
              <w:pStyle w:val="P68B1DB1-Normal13"/>
              <w:spacing w:after="0" w:line="240" w:lineRule="auto"/>
              <w:jc w:val="center"/>
              <w:rPr>
                <w:rFonts w:cs="Times New Roman"/>
                <w:noProof/>
              </w:rPr>
            </w:pPr>
            <w:r>
              <w:rPr>
                <w:noProof/>
              </w:rPr>
              <w:t>2024</w:t>
            </w:r>
          </w:p>
        </w:tc>
        <w:tc>
          <w:tcPr>
            <w:tcW w:w="5901" w:type="dxa"/>
            <w:shd w:val="clear" w:color="auto" w:fill="C6EFCE"/>
            <w:noWrap/>
          </w:tcPr>
          <w:p w14:paraId="478661ED" w14:textId="77777777" w:rsidR="000E48CE" w:rsidRDefault="00FF4C4E">
            <w:pPr>
              <w:pStyle w:val="P68B1DB1-Normal13"/>
              <w:spacing w:after="0" w:line="240" w:lineRule="auto"/>
              <w:rPr>
                <w:rFonts w:cs="Times New Roman"/>
                <w:noProof/>
              </w:rPr>
            </w:pPr>
            <w:r>
              <w:rPr>
                <w:noProof/>
              </w:rPr>
              <w:t xml:space="preserve">Kun vähintään 18 pilottihanketta on saatu päätökseen, julkaistaan arviointi, jossa arvioidaan </w:t>
            </w:r>
            <w:r>
              <w:rPr>
                <w:noProof/>
              </w:rPr>
              <w:t>vähimmäistulojärjestelmien kattavuutta, vaikuttavuutta ja onnistumista, mukaan lukien erityiset suositukset käyttöasteen nostamiseksi ja sosiaalista osallisuutta edistävien politiikkojen vaikuttavuuden parantamiseksi.</w:t>
            </w:r>
          </w:p>
        </w:tc>
      </w:tr>
    </w:tbl>
    <w:p w14:paraId="694A9CDB" w14:textId="77777777" w:rsidR="000E48CE" w:rsidRDefault="000E48CE">
      <w:pPr>
        <w:spacing w:before="120" w:after="120" w:line="240" w:lineRule="auto"/>
        <w:ind w:left="709"/>
        <w:jc w:val="both"/>
        <w:rPr>
          <w:rFonts w:ascii="Times New Roman" w:hAnsi="Times New Roman" w:cs="Times New Roman"/>
          <w:noProof/>
          <w:sz w:val="24"/>
        </w:rPr>
        <w:sectPr w:rsidR="000E48CE" w:rsidSect="00C94F66">
          <w:headerReference w:type="even" r:id="rId453"/>
          <w:headerReference w:type="default" r:id="rId454"/>
          <w:footerReference w:type="even" r:id="rId455"/>
          <w:footerReference w:type="default" r:id="rId456"/>
          <w:headerReference w:type="first" r:id="rId457"/>
          <w:footerReference w:type="first" r:id="rId458"/>
          <w:pgSz w:w="16839" w:h="11907" w:orient="landscape"/>
          <w:pgMar w:top="1417" w:right="1134" w:bottom="1417" w:left="1134" w:header="709" w:footer="709" w:gutter="0"/>
          <w:cols w:space="720"/>
          <w:docGrid w:linePitch="360"/>
        </w:sectPr>
      </w:pPr>
    </w:p>
    <w:p w14:paraId="6E7059F1" w14:textId="77777777" w:rsidR="000E48CE" w:rsidRDefault="00FF4C4E">
      <w:pPr>
        <w:pStyle w:val="P68B1DB1-Heading12"/>
        <w:rPr>
          <w:rFonts w:cs="Times New Roman"/>
          <w:noProof/>
        </w:rPr>
      </w:pPr>
      <w:r>
        <w:rPr>
          <w:noProof/>
        </w:rPr>
        <w:t>X. OSA 24: Kulttuuriteollisuus</w:t>
      </w:r>
    </w:p>
    <w:p w14:paraId="67377154" w14:textId="77777777" w:rsidR="000E48CE" w:rsidRDefault="00FF4C4E">
      <w:pPr>
        <w:pStyle w:val="P68B1DB1-Normal4"/>
        <w:spacing w:before="120" w:after="120" w:line="240" w:lineRule="auto"/>
        <w:jc w:val="both"/>
        <w:rPr>
          <w:rFonts w:cs="Times New Roman"/>
          <w:noProof/>
        </w:rPr>
      </w:pPr>
      <w:r>
        <w:rPr>
          <w:noProof/>
        </w:rPr>
        <w:t>Kulttuuriteollisuudella on tärkeä rooli Espanjan taloudessa, sillä sen osuus maan BKT:stä on 3,2 prosenttia ja maan kokonaistyöllisyydestä 3,6 prosenttia ennen covid-19-pandemiaa. Lisäksi sillä on yh</w:t>
      </w:r>
      <w:r>
        <w:rPr>
          <w:noProof/>
        </w:rPr>
        <w:t>teiskunnalle korvaamaton arvo, mistä on osoituksena Espanjan väestön suuri osallistuminen kulttuuriin ennen pandemiaa. Ala kärsii kuitenkin useista rakenteellisista piirteistä, jotka ovat estäneet sitä hyödyntämästä koko potentiaaliaan ja tehneet siitä eri</w:t>
      </w:r>
      <w:r>
        <w:rPr>
          <w:noProof/>
        </w:rPr>
        <w:t xml:space="preserve">tyisen haavoittuvan kriisiaikoina.  </w:t>
      </w:r>
    </w:p>
    <w:p w14:paraId="55038A3E" w14:textId="77777777" w:rsidR="000E48CE" w:rsidRDefault="00FF4C4E">
      <w:pPr>
        <w:pStyle w:val="P68B1DB1-Normal4"/>
        <w:spacing w:before="120" w:after="120" w:line="240" w:lineRule="auto"/>
        <w:jc w:val="both"/>
        <w:rPr>
          <w:rFonts w:cs="Times New Roman"/>
          <w:noProof/>
        </w:rPr>
      </w:pPr>
      <w:r>
        <w:rPr>
          <w:noProof/>
        </w:rPr>
        <w:t>Tätä taustaa vasten Espanjan elpymis- ja palautumissuunnitelman osa-alueeseen 24 sisältyy uudistuksia ja investointeja, joilla pyritään uudistamaan taiteilijoiden työkehystä sekä vahvistamaan ja nykyaikaistamaan kulttuu</w:t>
      </w:r>
      <w:r>
        <w:rPr>
          <w:noProof/>
        </w:rPr>
        <w:t xml:space="preserve">rialan yritysrakennetta. </w:t>
      </w:r>
    </w:p>
    <w:p w14:paraId="03DB477E" w14:textId="77777777" w:rsidR="000E48CE" w:rsidRDefault="00FF4C4E">
      <w:pPr>
        <w:pStyle w:val="P68B1DB1-Normal4"/>
        <w:spacing w:before="120" w:after="120" w:line="240" w:lineRule="auto"/>
        <w:jc w:val="both"/>
        <w:rPr>
          <w:rFonts w:cs="Times New Roman"/>
          <w:noProof/>
        </w:rPr>
      </w:pPr>
      <w:r>
        <w:rPr>
          <w:noProof/>
        </w:rPr>
        <w:t>Osa-alueella käsitellään maakohtaisia suosituksia, jotka koskevat investointien edistämistä talouden ylläpitämiseksi ja covid-19-pandemian jälkeisen elpymisen tukemiseksi (maakohtainen suositus 1 2020) sekä työllisyyden tukemista,</w:t>
      </w:r>
      <w:r>
        <w:rPr>
          <w:noProof/>
        </w:rPr>
        <w:t xml:space="preserve"> työttömyysturvan vahvistamista ja digitaalisen oppimisen saatavuuden parantamista (maakohtainen suositus 2 2020). </w:t>
      </w:r>
    </w:p>
    <w:p w14:paraId="0E524D85" w14:textId="77777777" w:rsidR="000E48CE" w:rsidRDefault="00FF4C4E">
      <w:pPr>
        <w:pStyle w:val="P68B1DB1-Normal4"/>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w:t>
      </w:r>
      <w:r>
        <w:rPr>
          <w:noProof/>
        </w:rPr>
        <w:t>tötavoitteille, kun otetaan huomioon ”ei merkittävää haittaa” -periaatteen soveltamista koskevien teknisten ohjeiden (2021/C58/01) mukaiset elpymis- ja palautumissuunnitelmassa esitettyjen toimenpiteiden kuvaus ja lieventävät toimet.</w:t>
      </w:r>
    </w:p>
    <w:p w14:paraId="0674A942" w14:textId="77777777" w:rsidR="000E48CE" w:rsidRDefault="00FF4C4E">
      <w:pPr>
        <w:pStyle w:val="P68B1DB1-Normal5"/>
        <w:spacing w:before="120" w:after="120" w:line="240" w:lineRule="auto"/>
        <w:ind w:left="720"/>
        <w:jc w:val="both"/>
        <w:rPr>
          <w:rFonts w:cs="Times New Roman"/>
          <w:i/>
          <w:noProof/>
        </w:rPr>
      </w:pPr>
      <w:r>
        <w:rPr>
          <w:noProof/>
        </w:rPr>
        <w:t xml:space="preserve">X.1. </w:t>
      </w:r>
      <w:r>
        <w:rPr>
          <w:noProof/>
        </w:rPr>
        <w:tab/>
        <w:t>Kuvaus uudistuks</w:t>
      </w:r>
      <w:r>
        <w:rPr>
          <w:noProof/>
        </w:rPr>
        <w:t>ista ja investoinneista, joita rahoitetaan rahoitustuella, jota ei makseta takaisin</w:t>
      </w:r>
    </w:p>
    <w:p w14:paraId="448DF675" w14:textId="77777777" w:rsidR="000E48CE" w:rsidRDefault="00FF4C4E">
      <w:pPr>
        <w:pStyle w:val="P68B1DB1-Normal6"/>
        <w:spacing w:before="120" w:after="120" w:line="240" w:lineRule="auto"/>
        <w:jc w:val="both"/>
        <w:rPr>
          <w:rFonts w:cs="Times New Roman"/>
          <w:noProof/>
        </w:rPr>
      </w:pPr>
      <w:r>
        <w:rPr>
          <w:noProof/>
        </w:rPr>
        <w:t>Uudistus 1 (C24.R1) – Taiteilijan aseman kehittäminen ja investointien, kulttuurin sponsoroinnin ja osallistumisen edistäminen</w:t>
      </w:r>
    </w:p>
    <w:p w14:paraId="1534CA29" w14:textId="77777777" w:rsidR="000E48CE" w:rsidRDefault="00FF4C4E">
      <w:pPr>
        <w:pStyle w:val="P68B1DB1-Normal4"/>
        <w:spacing w:before="120" w:after="120" w:line="240" w:lineRule="auto"/>
        <w:jc w:val="both"/>
        <w:rPr>
          <w:rFonts w:cs="Times New Roman"/>
          <w:noProof/>
        </w:rPr>
      </w:pPr>
      <w:r>
        <w:rPr>
          <w:noProof/>
        </w:rPr>
        <w:t>Uudistuksella pyritään vastaamaan haasteeseen</w:t>
      </w:r>
      <w:r>
        <w:rPr>
          <w:noProof/>
        </w:rPr>
        <w:t xml:space="preserve">, joka johtuu siitä, että nykyisissä työ- ja verosäännöksissä ei oteta huomioon kulttuurialan erityispiirteitä (kuten epäsäännöllisiä tuloja ja työntekomalleja) ja tarvetta houkutella yksityistä rahoitusta julkisen tuen lisäksi. </w:t>
      </w:r>
    </w:p>
    <w:p w14:paraId="253C50B3" w14:textId="77777777" w:rsidR="000E48CE" w:rsidRDefault="00FF4C4E">
      <w:pPr>
        <w:pStyle w:val="P68B1DB1-Normal4"/>
        <w:spacing w:before="120" w:after="120" w:line="240" w:lineRule="auto"/>
        <w:jc w:val="both"/>
        <w:rPr>
          <w:rFonts w:cs="Times New Roman"/>
          <w:noProof/>
        </w:rPr>
      </w:pPr>
      <w:r>
        <w:rPr>
          <w:noProof/>
        </w:rPr>
        <w:t>Uudistuksessa on kehitettä</w:t>
      </w:r>
      <w:r>
        <w:rPr>
          <w:noProof/>
        </w:rPr>
        <w:t xml:space="preserve">vä kulttuurialan asianmukaiset oikeudelliset, verotukselliset ja työvoimaa koskevat puitteet alan eri toimijoiden sosiaalisen suojelun parantamiseksi ja yksityisten investointien houkuttelevuuden lisäämiseksi. </w:t>
      </w:r>
    </w:p>
    <w:p w14:paraId="15F0B9A6" w14:textId="77777777" w:rsidR="000E48CE" w:rsidRDefault="00FF4C4E">
      <w:pPr>
        <w:pStyle w:val="P68B1DB1-Normal4"/>
        <w:spacing w:before="120" w:after="120" w:line="240" w:lineRule="auto"/>
        <w:jc w:val="both"/>
        <w:rPr>
          <w:rFonts w:cs="Times New Roman"/>
          <w:noProof/>
        </w:rPr>
      </w:pPr>
      <w:r>
        <w:rPr>
          <w:noProof/>
        </w:rPr>
        <w:t>Uudistuksessa hyväksytään taiteilijan perussä</w:t>
      </w:r>
      <w:r>
        <w:rPr>
          <w:noProof/>
        </w:rPr>
        <w:t xml:space="preserve">ännön täytäntöönpanoa koskevat sääntelymuutokset, mukaan lukien sääntelymuutokset seuraavien seikkojen osalta:  </w:t>
      </w:r>
    </w:p>
    <w:p w14:paraId="4F0EC7E1" w14:textId="77777777" w:rsidR="000E48CE" w:rsidRDefault="00FF4C4E">
      <w:pPr>
        <w:pStyle w:val="P68B1DB1-Normal4"/>
        <w:numPr>
          <w:ilvl w:val="0"/>
          <w:numId w:val="155"/>
        </w:numPr>
        <w:spacing w:before="120" w:after="120" w:line="240" w:lineRule="auto"/>
        <w:ind w:left="426" w:hanging="426"/>
        <w:jc w:val="both"/>
        <w:rPr>
          <w:rFonts w:cs="Times New Roman"/>
          <w:noProof/>
        </w:rPr>
      </w:pPr>
      <w:r>
        <w:rPr>
          <w:noProof/>
        </w:rPr>
        <w:t>arvonlisäveron ja henkilökohtaisen tuloveron riittävyys;</w:t>
      </w:r>
    </w:p>
    <w:p w14:paraId="0516F3E2" w14:textId="77777777" w:rsidR="000E48CE" w:rsidRDefault="00FF4C4E">
      <w:pPr>
        <w:pStyle w:val="P68B1DB1-Normal4"/>
        <w:numPr>
          <w:ilvl w:val="0"/>
          <w:numId w:val="155"/>
        </w:numPr>
        <w:spacing w:before="120" w:after="120" w:line="240" w:lineRule="auto"/>
        <w:ind w:left="426" w:hanging="426"/>
        <w:jc w:val="both"/>
        <w:rPr>
          <w:rFonts w:cs="Times New Roman"/>
          <w:noProof/>
        </w:rPr>
      </w:pPr>
      <w:r>
        <w:rPr>
          <w:noProof/>
        </w:rPr>
        <w:t xml:space="preserve">ammattiliittojen edustavuus; </w:t>
      </w:r>
    </w:p>
    <w:p w14:paraId="5C96E337" w14:textId="77777777" w:rsidR="000E48CE" w:rsidRDefault="00FF4C4E">
      <w:pPr>
        <w:pStyle w:val="P68B1DB1-Normal4"/>
        <w:numPr>
          <w:ilvl w:val="0"/>
          <w:numId w:val="155"/>
        </w:numPr>
        <w:spacing w:before="120" w:after="120" w:line="240" w:lineRule="auto"/>
        <w:ind w:left="426" w:hanging="426"/>
        <w:jc w:val="both"/>
        <w:rPr>
          <w:rFonts w:cs="Times New Roman"/>
          <w:noProof/>
        </w:rPr>
      </w:pPr>
      <w:r>
        <w:rPr>
          <w:noProof/>
        </w:rPr>
        <w:t>taiteilijoiden terveys ja erityiset työsuhteet julkisell</w:t>
      </w:r>
      <w:r>
        <w:rPr>
          <w:noProof/>
        </w:rPr>
        <w:t xml:space="preserve">a uralla; </w:t>
      </w:r>
    </w:p>
    <w:p w14:paraId="2397A513" w14:textId="77777777" w:rsidR="000E48CE" w:rsidRDefault="00FF4C4E">
      <w:pPr>
        <w:pStyle w:val="P68B1DB1-Normal4"/>
        <w:numPr>
          <w:ilvl w:val="0"/>
          <w:numId w:val="155"/>
        </w:numPr>
        <w:spacing w:before="120" w:after="120" w:line="240" w:lineRule="auto"/>
        <w:ind w:left="426" w:hanging="426"/>
        <w:jc w:val="both"/>
        <w:rPr>
          <w:rFonts w:cs="Times New Roman"/>
          <w:noProof/>
        </w:rPr>
      </w:pPr>
      <w:r>
        <w:rPr>
          <w:noProof/>
        </w:rPr>
        <w:t xml:space="preserve">sponsorointien sääntely; </w:t>
      </w:r>
    </w:p>
    <w:p w14:paraId="0BA4998E" w14:textId="77777777" w:rsidR="000E48CE" w:rsidRDefault="00FF4C4E">
      <w:pPr>
        <w:pStyle w:val="P68B1DB1-Normal4"/>
        <w:numPr>
          <w:ilvl w:val="0"/>
          <w:numId w:val="155"/>
        </w:numPr>
        <w:spacing w:before="120" w:after="120" w:line="240" w:lineRule="auto"/>
        <w:ind w:left="426" w:hanging="426"/>
        <w:jc w:val="both"/>
        <w:rPr>
          <w:rFonts w:cs="Times New Roman"/>
          <w:noProof/>
        </w:rPr>
      </w:pPr>
      <w:r>
        <w:rPr>
          <w:noProof/>
        </w:rPr>
        <w:t xml:space="preserve">verokannustinjärjestelmä. </w:t>
      </w:r>
    </w:p>
    <w:p w14:paraId="44A39349" w14:textId="77777777" w:rsidR="000E48CE" w:rsidRDefault="00FF4C4E">
      <w:pPr>
        <w:pStyle w:val="P68B1DB1-Normal4"/>
        <w:spacing w:before="60" w:after="60" w:line="240" w:lineRule="auto"/>
        <w:jc w:val="both"/>
        <w:rPr>
          <w:rFonts w:cs="Times New Roman"/>
          <w:noProof/>
        </w:rPr>
      </w:pPr>
      <w:r>
        <w:rPr>
          <w:noProof/>
        </w:rPr>
        <w:t xml:space="preserve">Nämä muutokset pannaan täytäntöön perustamalla taiteilijan perussääntöä käsittelevä ministeriöiden välinen komitea ja laatimalla lainsäädäntöehdotuksia vuonna 2021, jolloin säädös tulee </w:t>
      </w:r>
      <w:r>
        <w:rPr>
          <w:noProof/>
        </w:rPr>
        <w:t>voimaan 31 päivään joulukuuta 2022 mennessä. Vuosina 2021–2023 on myös toteutettava toimenpiteitä, joilla kannustetaan yksityisiä investointeja kulttuurialaan.</w:t>
      </w:r>
    </w:p>
    <w:p w14:paraId="525621EC" w14:textId="77777777" w:rsidR="000E48CE" w:rsidRDefault="00FF4C4E">
      <w:pPr>
        <w:pStyle w:val="P68B1DB1-Normal4"/>
        <w:spacing w:before="120" w:after="120" w:line="240" w:lineRule="auto"/>
        <w:jc w:val="both"/>
        <w:rPr>
          <w:rFonts w:cs="Times New Roman"/>
          <w:noProof/>
        </w:rPr>
      </w:pPr>
      <w:r>
        <w:rPr>
          <w:noProof/>
        </w:rPr>
        <w:t xml:space="preserve">Toimenpiteen täytäntöönpano on saatettava päätökseen 31 päivään joulukuuta 2022 mennessä. </w:t>
      </w:r>
    </w:p>
    <w:p w14:paraId="4D6042BC" w14:textId="77777777" w:rsidR="000E48CE" w:rsidRDefault="000E48CE">
      <w:pPr>
        <w:spacing w:before="60" w:after="60" w:line="240" w:lineRule="auto"/>
        <w:jc w:val="both"/>
        <w:rPr>
          <w:rFonts w:ascii="Times New Roman" w:hAnsi="Times New Roman" w:cs="Times New Roman"/>
          <w:noProof/>
          <w:sz w:val="24"/>
        </w:rPr>
      </w:pPr>
    </w:p>
    <w:p w14:paraId="00ED04A3" w14:textId="77777777" w:rsidR="000E48CE" w:rsidRDefault="00FF4C4E">
      <w:pPr>
        <w:pStyle w:val="P68B1DB1-Normal6"/>
        <w:keepNext/>
        <w:spacing w:before="120" w:after="120" w:line="240" w:lineRule="auto"/>
        <w:jc w:val="both"/>
        <w:rPr>
          <w:rFonts w:cs="Times New Roman"/>
          <w:noProof/>
        </w:rPr>
      </w:pPr>
      <w:r>
        <w:rPr>
          <w:noProof/>
        </w:rPr>
        <w:t>Uudi</w:t>
      </w:r>
      <w:r>
        <w:rPr>
          <w:noProof/>
        </w:rPr>
        <w:t>stus 2 (C24.R2) – Suunnitelma tekijänoikeuden ja lähioikeuksien vahvistamiseksi</w:t>
      </w:r>
    </w:p>
    <w:p w14:paraId="1FD788A1" w14:textId="77777777" w:rsidR="000E48CE" w:rsidRDefault="00FF4C4E">
      <w:pPr>
        <w:pStyle w:val="P68B1DB1-Normal4"/>
        <w:keepNext/>
        <w:spacing w:before="120" w:after="120" w:line="240" w:lineRule="auto"/>
        <w:jc w:val="both"/>
        <w:rPr>
          <w:rFonts w:cs="Times New Roman"/>
          <w:noProof/>
        </w:rPr>
      </w:pPr>
      <w:r>
        <w:rPr>
          <w:noProof/>
        </w:rPr>
        <w:t>Uudistuksen tavoitteena on vahvistaa tekijänoikeuksia ja muita teollis- ja tekijänoikeuksia seuraavin toimin:</w:t>
      </w:r>
    </w:p>
    <w:p w14:paraId="2AA150CC" w14:textId="77777777" w:rsidR="000E48CE" w:rsidRDefault="00FF4C4E">
      <w:pPr>
        <w:pStyle w:val="P68B1DB1-Normal4"/>
        <w:numPr>
          <w:ilvl w:val="0"/>
          <w:numId w:val="156"/>
        </w:numPr>
        <w:spacing w:before="120" w:after="120" w:line="240" w:lineRule="auto"/>
        <w:ind w:left="426" w:hanging="426"/>
        <w:jc w:val="both"/>
        <w:rPr>
          <w:rFonts w:cs="Times New Roman"/>
          <w:noProof/>
        </w:rPr>
      </w:pPr>
      <w:r>
        <w:rPr>
          <w:noProof/>
        </w:rPr>
        <w:t>Hyväksytään teollis- ja tekijänoikeuksia Euroopan digitaalisilla s</w:t>
      </w:r>
      <w:r>
        <w:rPr>
          <w:noProof/>
        </w:rPr>
        <w:t>isämarkkinoilla koskeva laki, jolla saatetaan osaksi kansallista lainsäädäntöä direktiivit 2019/789 SatCab ja 2019/790 tekijänoikeudesta digitaalisilla sisämarkkinoilla;</w:t>
      </w:r>
    </w:p>
    <w:p w14:paraId="09A56BF4" w14:textId="77777777" w:rsidR="000E48CE" w:rsidRDefault="00FF4C4E">
      <w:pPr>
        <w:pStyle w:val="P68B1DB1-Normal4"/>
        <w:numPr>
          <w:ilvl w:val="0"/>
          <w:numId w:val="156"/>
        </w:numPr>
        <w:spacing w:before="120" w:after="120" w:line="240" w:lineRule="auto"/>
        <w:ind w:left="426" w:hanging="426"/>
        <w:jc w:val="both"/>
        <w:rPr>
          <w:rFonts w:cs="Times New Roman"/>
          <w:noProof/>
        </w:rPr>
      </w:pPr>
      <w:r>
        <w:rPr>
          <w:noProof/>
        </w:rPr>
        <w:t>Annetaan kuninkaallinen asetus teollis- ja tekijänoikeuksien rekisteriä koskevan uuden</w:t>
      </w:r>
      <w:r>
        <w:rPr>
          <w:noProof/>
        </w:rPr>
        <w:t xml:space="preserve"> asetuksen hyväksymisestä tämän elimen mukauttamiseksi uuteen digitaaliseen todellisuuteen;</w:t>
      </w:r>
    </w:p>
    <w:p w14:paraId="2A2B3690" w14:textId="77777777" w:rsidR="000E48CE" w:rsidRDefault="00FF4C4E">
      <w:pPr>
        <w:pStyle w:val="P68B1DB1-Normal4"/>
        <w:numPr>
          <w:ilvl w:val="0"/>
          <w:numId w:val="156"/>
        </w:numPr>
        <w:spacing w:before="120" w:after="120" w:line="240" w:lineRule="auto"/>
        <w:ind w:left="426" w:hanging="426"/>
        <w:jc w:val="both"/>
        <w:rPr>
          <w:rFonts w:cs="Times New Roman"/>
          <w:noProof/>
        </w:rPr>
      </w:pPr>
      <w:r>
        <w:rPr>
          <w:noProof/>
        </w:rPr>
        <w:t>Annetaan kuninkaallinen asetus teollis- ja tekijänoikeuksia käsittelevän toimikunnan II jakson toiminnasta 30 päivänä joulukuuta 2006 annetun kuninkaan asetuksen 18</w:t>
      </w:r>
      <w:r>
        <w:rPr>
          <w:noProof/>
        </w:rPr>
        <w:t>89/2011 muuttamisesta Internetissä tapahtuvien teollis- ja tekijänoikeuksien uusien muotojen torjunnan helpottamiseksi; ja</w:t>
      </w:r>
    </w:p>
    <w:p w14:paraId="56D8F602" w14:textId="77777777" w:rsidR="000E48CE" w:rsidRDefault="00FF4C4E">
      <w:pPr>
        <w:pStyle w:val="P68B1DB1-Normal4"/>
        <w:numPr>
          <w:ilvl w:val="0"/>
          <w:numId w:val="156"/>
        </w:numPr>
        <w:spacing w:before="120" w:after="120" w:line="240" w:lineRule="auto"/>
        <w:ind w:left="426" w:hanging="426"/>
        <w:jc w:val="both"/>
        <w:rPr>
          <w:rFonts w:cs="Times New Roman"/>
          <w:noProof/>
        </w:rPr>
      </w:pPr>
      <w:r>
        <w:rPr>
          <w:noProof/>
        </w:rPr>
        <w:t>Asianmukaisen normatiivisen välineen ja Espanjan tekijänoikeusviraston sääntöjen hyväksyminen.</w:t>
      </w:r>
    </w:p>
    <w:p w14:paraId="5C629C0E" w14:textId="77777777" w:rsidR="000E48CE" w:rsidRDefault="00FF4C4E">
      <w:pPr>
        <w:pStyle w:val="P68B1DB1-Normal4"/>
        <w:spacing w:before="120" w:after="120" w:line="240" w:lineRule="auto"/>
        <w:jc w:val="both"/>
        <w:rPr>
          <w:rFonts w:cs="Times New Roman"/>
          <w:noProof/>
        </w:rPr>
      </w:pPr>
      <w:r>
        <w:rPr>
          <w:noProof/>
        </w:rPr>
        <w:t>Toimenpiteen täytäntöönpano on saatett</w:t>
      </w:r>
      <w:r>
        <w:rPr>
          <w:noProof/>
        </w:rPr>
        <w:t xml:space="preserve">ava päätökseen viimeistään 31 päivänä joulukuuta 2023. </w:t>
      </w:r>
    </w:p>
    <w:p w14:paraId="4E09A7D7" w14:textId="77777777" w:rsidR="000E48CE" w:rsidRDefault="00FF4C4E">
      <w:pPr>
        <w:pStyle w:val="P68B1DB1-Normal6"/>
        <w:spacing w:before="120" w:after="120" w:line="240" w:lineRule="auto"/>
        <w:jc w:val="both"/>
        <w:rPr>
          <w:rFonts w:cs="Times New Roman"/>
          <w:noProof/>
        </w:rPr>
      </w:pPr>
      <w:r>
        <w:rPr>
          <w:noProof/>
        </w:rPr>
        <w:t xml:space="preserve">Investointi 1 (C24.I1) – Kulttuuriteollisuuden kilpailukyvyn vahvistaminen </w:t>
      </w:r>
    </w:p>
    <w:p w14:paraId="6378CC61" w14:textId="77777777" w:rsidR="000E48CE" w:rsidRDefault="00FF4C4E">
      <w:pPr>
        <w:pStyle w:val="P68B1DB1-Normal4"/>
        <w:spacing w:before="120" w:after="120" w:line="240" w:lineRule="auto"/>
        <w:jc w:val="both"/>
        <w:rPr>
          <w:rFonts w:cs="Times New Roman"/>
          <w:noProof/>
        </w:rPr>
      </w:pPr>
      <w:r>
        <w:rPr>
          <w:noProof/>
        </w:rPr>
        <w:t>Tällä investoinnilla pyritään vastaamaan kulttuurialan kilpailukykyyn liittyviin haasteisiin parantamalla kulttuurialan ja l</w:t>
      </w:r>
      <w:r>
        <w:rPr>
          <w:noProof/>
        </w:rPr>
        <w:t>uovien toimialojen yritysrakenteen häiriönsietokykyä ja edistämällä niiden digitaalista siirtymää.</w:t>
      </w:r>
    </w:p>
    <w:p w14:paraId="2C4586F2" w14:textId="77777777" w:rsidR="000E48CE" w:rsidRDefault="00FF4C4E">
      <w:pPr>
        <w:pStyle w:val="P68B1DB1-Normal4"/>
        <w:spacing w:before="120" w:after="120" w:line="240" w:lineRule="auto"/>
        <w:jc w:val="both"/>
        <w:rPr>
          <w:rFonts w:cs="Times New Roman"/>
          <w:noProof/>
        </w:rPr>
      </w:pPr>
      <w:r>
        <w:rPr>
          <w:noProof/>
        </w:rPr>
        <w:t>Tätä varten investointiin kuuluvat toimet ryhmitellään seuraaviin kolmeen hankeluokkaan:</w:t>
      </w:r>
    </w:p>
    <w:p w14:paraId="0256C65D" w14:textId="77777777" w:rsidR="000E48CE" w:rsidRDefault="00FF4C4E">
      <w:pPr>
        <w:pStyle w:val="P68B1DB1-Normal4"/>
        <w:numPr>
          <w:ilvl w:val="0"/>
          <w:numId w:val="157"/>
        </w:numPr>
        <w:spacing w:before="120" w:after="120" w:line="240" w:lineRule="auto"/>
        <w:ind w:left="426" w:hanging="426"/>
        <w:jc w:val="both"/>
        <w:rPr>
          <w:rFonts w:cs="Times New Roman"/>
          <w:noProof/>
        </w:rPr>
      </w:pPr>
      <w:r>
        <w:rPr>
          <w:noProof/>
        </w:rPr>
        <w:t xml:space="preserve">Kulttuurialan ja luovien toimialojen kilpailukyky ja </w:t>
      </w:r>
      <w:r>
        <w:rPr>
          <w:noProof/>
        </w:rPr>
        <w:t>ammattimaistaminen seuraavin keinoin: vahvistetaan kulttuurialan ammattilaisten yrittäjyys- ja rahoitustaitoja stipendiohjelman avulla; II) esittelevien ja musiikkitaiteiden ammattilaisten johtamista koskeva erityiskoulutus; ja iii) tuki kulttuurikiihdyttä</w:t>
      </w:r>
      <w:r>
        <w:rPr>
          <w:noProof/>
        </w:rPr>
        <w:t>jille sellaisten kulttuurihankkeiden kehittämiseksi, joilla on suuri kasvupotentiaali;</w:t>
      </w:r>
    </w:p>
    <w:p w14:paraId="56048618" w14:textId="77777777" w:rsidR="000E48CE" w:rsidRDefault="00FF4C4E">
      <w:pPr>
        <w:pStyle w:val="P68B1DB1-Normal4"/>
        <w:numPr>
          <w:ilvl w:val="0"/>
          <w:numId w:val="157"/>
        </w:numPr>
        <w:spacing w:before="120" w:after="120" w:line="240" w:lineRule="auto"/>
        <w:ind w:left="426" w:hanging="426"/>
        <w:jc w:val="both"/>
        <w:rPr>
          <w:rFonts w:cs="Times New Roman"/>
          <w:noProof/>
        </w:rPr>
      </w:pPr>
      <w:r>
        <w:rPr>
          <w:noProof/>
        </w:rPr>
        <w:t>Teollis- ja tekijänoikeuksien hallinnointijärjestelmien digitalisointi seuraavin keinoin: tuetaan hankkeita, joilla digitoidaan teollis- ja tekijänoikeuksia hallinnoivia</w:t>
      </w:r>
      <w:r>
        <w:rPr>
          <w:noProof/>
        </w:rPr>
        <w:t xml:space="preserve"> toimijoita; ja ii) teollis- ja tekijänoikeuksia hallinnoivien hallinnollisten yksiköiden digitalisaation tukeminen;</w:t>
      </w:r>
    </w:p>
    <w:p w14:paraId="06993C4A" w14:textId="77777777" w:rsidR="000E48CE" w:rsidRDefault="00FF4C4E">
      <w:pPr>
        <w:pStyle w:val="P68B1DB1-Normal4"/>
        <w:numPr>
          <w:ilvl w:val="0"/>
          <w:numId w:val="157"/>
        </w:numPr>
        <w:spacing w:before="120" w:after="120" w:line="240" w:lineRule="auto"/>
        <w:ind w:left="426" w:hanging="426"/>
        <w:jc w:val="both"/>
        <w:rPr>
          <w:rFonts w:cs="Times New Roman"/>
          <w:noProof/>
        </w:rPr>
      </w:pPr>
      <w:r>
        <w:rPr>
          <w:noProof/>
        </w:rPr>
        <w:t xml:space="preserve">Kulttuuriteollisuuden ja luovan alan kansainvälistyminen seuraavin keinoin: I) kirja-alan edistäminen ja digitalisointi, ii) tuki </w:t>
      </w:r>
      <w:r>
        <w:rPr>
          <w:noProof/>
        </w:rPr>
        <w:t>esittävien taiteiden ja musiikkialan hallinnoinnin nykyaikaistamiselle ja parantamiselle; ja iii) toimenpiteet, joilla tuetaan kulttuuriteollisuuden ja luovan alan yrityksiä ja ammattilaisia lisäämään läsnäoloaan kansallisilla ja kansainvälisillä markkinoi</w:t>
      </w:r>
      <w:r>
        <w:rPr>
          <w:noProof/>
        </w:rPr>
        <w:t>lla.</w:t>
      </w:r>
    </w:p>
    <w:p w14:paraId="3FAA86C6"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noudattaa ”ei merkittävää haittaa” -periaatetta koskevaa teknistä ohjetta (2021/C58/01), tulevien hankepyyntöjen tehtävänmääritykseen sisältyviin tukikelpoisuusperusteisiin ei lueta seuraavia toimia: fossiilisiin p</w:t>
      </w:r>
      <w:r>
        <w:rPr>
          <w:rFonts w:ascii="Times New Roman" w:hAnsi="Times New Roman"/>
          <w:noProof/>
        </w:rPr>
        <w:t>olttoaineisiin liittyvät toiminnot, mukaan lukien käyttö loppupäässä</w:t>
      </w:r>
      <w:r>
        <w:rPr>
          <w:rStyle w:val="FootnoteReference"/>
          <w:rFonts w:ascii="Times New Roman" w:hAnsi="Times New Roman" w:cs="Times New Roman"/>
          <w:noProof/>
        </w:rPr>
        <w:footnoteReference w:id="198"/>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199"/>
      </w:r>
      <w:r>
        <w:rPr>
          <w:rFonts w:ascii="Times New Roman" w:hAnsi="Times New Roman"/>
          <w:noProof/>
        </w:rPr>
        <w:t>; jätteiden kaatopaikkoihin, po</w:t>
      </w:r>
      <w:r>
        <w:rPr>
          <w:rFonts w:ascii="Times New Roman" w:hAnsi="Times New Roman"/>
          <w:noProof/>
        </w:rPr>
        <w:t>lttolaitoksiin</w:t>
      </w:r>
      <w:r>
        <w:rPr>
          <w:rStyle w:val="FootnoteReference"/>
          <w:rFonts w:ascii="Times New Roman" w:hAnsi="Times New Roman" w:cs="Times New Roman"/>
          <w:noProof/>
        </w:rPr>
        <w:footnoteReference w:id="200"/>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201"/>
      </w:r>
      <w:r>
        <w:rPr>
          <w:rFonts w:ascii="Times New Roman" w:hAnsi="Times New Roman"/>
          <w:noProof/>
        </w:rPr>
        <w:t>; ja iv) toiminnot, joissa jätteiden pitkän aikavälin loppukäsittely voi aiheuttaa haittaa ympäristölle. Tehtävänmäärityksessä on lisäksi edellytettävä, että ainoastaan asiaa k</w:t>
      </w:r>
      <w:r>
        <w:rPr>
          <w:rFonts w:ascii="Times New Roman" w:hAnsi="Times New Roman"/>
          <w:noProof/>
        </w:rPr>
        <w:t>oskevan EU:n ja kansallisen ympäristölainsäädännön mukaisia toimintoja voidaan valita.</w:t>
      </w:r>
    </w:p>
    <w:p w14:paraId="0C0133FF" w14:textId="75BAD118" w:rsidR="000E48CE" w:rsidRDefault="00FF4C4E">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25347DDA" w14:textId="77777777" w:rsidR="000E48CE" w:rsidRDefault="00FF4C4E">
      <w:pPr>
        <w:pStyle w:val="P68B1DB1-Normal6"/>
        <w:spacing w:before="120" w:after="120" w:line="240" w:lineRule="auto"/>
        <w:jc w:val="both"/>
        <w:rPr>
          <w:rFonts w:cs="Times New Roman"/>
          <w:noProof/>
        </w:rPr>
      </w:pPr>
      <w:r>
        <w:rPr>
          <w:noProof/>
        </w:rPr>
        <w:t xml:space="preserve">Investointi 2 (C24.I2) – kulttuurin </w:t>
      </w:r>
      <w:bookmarkStart w:id="57" w:name="_Hlk144898113"/>
      <w:r>
        <w:rPr>
          <w:noProof/>
        </w:rPr>
        <w:t xml:space="preserve">edistäminen koko alueella </w:t>
      </w:r>
      <w:bookmarkEnd w:id="57"/>
    </w:p>
    <w:p w14:paraId="69CCE138" w14:textId="77777777" w:rsidR="000E48CE" w:rsidRDefault="00FF4C4E">
      <w:pPr>
        <w:pStyle w:val="P68B1DB1-Normal4"/>
        <w:spacing w:before="120" w:after="120" w:line="240" w:lineRule="auto"/>
        <w:jc w:val="both"/>
        <w:rPr>
          <w:rFonts w:cs="Times New Roman"/>
          <w:noProof/>
        </w:rPr>
      </w:pPr>
      <w:r>
        <w:rPr>
          <w:noProof/>
        </w:rPr>
        <w:t xml:space="preserve">Tällä investoinnilla pyritään </w:t>
      </w:r>
      <w:r>
        <w:rPr>
          <w:noProof/>
        </w:rPr>
        <w:t xml:space="preserve">parantamaan alueellista ja sosiaalista yhteenkuuluvuutta helpottamalla kulttuurin saatavuutta sekä tukemaan kulttuurialan kestävyyttä ja vakiinnuttamista koko alueella. Tämän investoinnin erityistoimet on ryhmitelty seuraaviin neljään hankeluokkaan: </w:t>
      </w:r>
    </w:p>
    <w:p w14:paraId="73E9170E" w14:textId="77777777" w:rsidR="000E48CE" w:rsidRDefault="00FF4C4E">
      <w:pPr>
        <w:pStyle w:val="P68B1DB1-Normal4"/>
        <w:numPr>
          <w:ilvl w:val="0"/>
          <w:numId w:val="158"/>
        </w:numPr>
        <w:spacing w:before="120" w:after="120" w:line="240" w:lineRule="auto"/>
        <w:ind w:left="426" w:hanging="426"/>
        <w:jc w:val="both"/>
        <w:rPr>
          <w:rFonts w:cs="Times New Roman"/>
          <w:noProof/>
        </w:rPr>
      </w:pPr>
      <w:r>
        <w:rPr>
          <w:noProof/>
        </w:rPr>
        <w:t xml:space="preserve">Tuki </w:t>
      </w:r>
      <w:r>
        <w:rPr>
          <w:noProof/>
        </w:rPr>
        <w:t>esittävien ja musiikkitaiteiden infrastruktuurin nykyaikaistamiselle ja kestävälle hallinnalle sekä alue- ja paikallisyhteisöjen välisten levityskanavien edistämiselle seuraavin keinoin: resurssien siirtäminen itsehallintoalueille esitys- ja musiikki-infra</w:t>
      </w:r>
      <w:r>
        <w:rPr>
          <w:noProof/>
        </w:rPr>
        <w:t>struktuurien nykyaikaistamisen ja kestävän hallinnoinnin tukemiseksi ja ii) kulttuuriesitysten koordinoinnin helpottaminen itsehallintoalueiden välillä;</w:t>
      </w:r>
    </w:p>
    <w:p w14:paraId="50265BA3" w14:textId="77777777" w:rsidR="000E48CE" w:rsidRDefault="00FF4C4E">
      <w:pPr>
        <w:pStyle w:val="P68B1DB1-Normal4"/>
        <w:numPr>
          <w:ilvl w:val="0"/>
          <w:numId w:val="158"/>
        </w:numPr>
        <w:spacing w:before="120" w:after="120" w:line="240" w:lineRule="auto"/>
        <w:ind w:left="426" w:hanging="426"/>
        <w:jc w:val="both"/>
        <w:rPr>
          <w:rFonts w:cs="Times New Roman"/>
          <w:noProof/>
        </w:rPr>
      </w:pPr>
      <w:r>
        <w:rPr>
          <w:noProof/>
        </w:rPr>
        <w:t>Toimet Espanjan kulttuuriperinnön säilyttämiseksi, restauroimiseksi ja parantamiseksi seuraavin toimin:</w:t>
      </w:r>
      <w:r>
        <w:rPr>
          <w:noProof/>
        </w:rPr>
        <w:t xml:space="preserve"> kulttuuri- ja urheiluministeriön vastuulla olevan kulttuuriperinnön tunnistaminen ja ii) kulttuuri- ja urheiluministeriön vastuulla olevan kulttuuri- ja urheiluperinnön hyödyntäminen erityisesti Madridissa sijaitsevan </w:t>
      </w:r>
      <w:r>
        <w:rPr>
          <w:i/>
          <w:noProof/>
        </w:rPr>
        <w:t>Tabacalera</w:t>
      </w:r>
      <w:r>
        <w:rPr>
          <w:noProof/>
        </w:rPr>
        <w:t xml:space="preserve"> -rakennuksen kattavan rest</w:t>
      </w:r>
      <w:r>
        <w:rPr>
          <w:noProof/>
        </w:rPr>
        <w:t>auroinnin avulla;</w:t>
      </w:r>
    </w:p>
    <w:p w14:paraId="6A965740" w14:textId="77777777" w:rsidR="000E48CE" w:rsidRDefault="00FF4C4E">
      <w:pPr>
        <w:pStyle w:val="P68B1DB1-Normal4"/>
        <w:numPr>
          <w:ilvl w:val="0"/>
          <w:numId w:val="158"/>
        </w:numPr>
        <w:spacing w:before="120" w:after="120" w:line="240" w:lineRule="auto"/>
        <w:ind w:left="426" w:hanging="426"/>
        <w:jc w:val="both"/>
        <w:rPr>
          <w:rFonts w:cs="Times New Roman"/>
          <w:noProof/>
        </w:rPr>
      </w:pPr>
      <w:r>
        <w:rPr>
          <w:noProof/>
        </w:rPr>
        <w:t>Kirjastojen lahjoittaminen digitaalisia kirjoja koskevien lisenssien hankinta ja ii) paperikirjojen osto; ja</w:t>
      </w:r>
    </w:p>
    <w:p w14:paraId="249E26B1" w14:textId="77777777" w:rsidR="000E48CE" w:rsidRDefault="00FF4C4E">
      <w:pPr>
        <w:pStyle w:val="P68B1DB1-Normal4"/>
        <w:numPr>
          <w:ilvl w:val="0"/>
          <w:numId w:val="158"/>
        </w:numPr>
        <w:spacing w:before="120" w:after="120" w:line="240" w:lineRule="auto"/>
        <w:ind w:left="426" w:hanging="426"/>
        <w:jc w:val="both"/>
        <w:rPr>
          <w:rFonts w:cs="Times New Roman"/>
          <w:noProof/>
        </w:rPr>
      </w:pPr>
      <w:r>
        <w:rPr>
          <w:noProof/>
        </w:rPr>
        <w:t>Tuki kulttuuritarjonnan laajentamiseen ja monipuolistamiseen muilla kuin kaupunkialueilla seuraavin keinoin: edistetään kulttuuri</w:t>
      </w:r>
      <w:r>
        <w:rPr>
          <w:noProof/>
        </w:rPr>
        <w:t>-innovointia ja yrittäjyyttä kaupunkien ulkopuolisilla alueilla; varmistamalla kulttuurin yhtäläinen saatavuus; ja iii) luonnonvarojen vastuullisen ja kestävän käytön edistäminen kulttuurin avulla.</w:t>
      </w:r>
    </w:p>
    <w:p w14:paraId="623F121D"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noudattaa ”ei merkitt</w:t>
      </w:r>
      <w:r>
        <w:rPr>
          <w:rFonts w:ascii="Times New Roman" w:hAnsi="Times New Roman"/>
          <w:noProof/>
        </w:rPr>
        <w:t>ävää haittaa” -periaatetta koskevaa teknistä ohjetta (2021/C58/01), tulevien hankepyyntöjen tehtävänmääritykseen sisältyviin tukikelpoisuusperusteisiin ei lueta seuraavia toimia: fossiilisiin polttoaineisiin liittyvät toiminnot, mukaan lukien käyttö loppup</w:t>
      </w:r>
      <w:r>
        <w:rPr>
          <w:rFonts w:ascii="Times New Roman" w:hAnsi="Times New Roman"/>
          <w:noProof/>
        </w:rPr>
        <w:t>äässä</w:t>
      </w:r>
      <w:r>
        <w:rPr>
          <w:rStyle w:val="FootnoteReference"/>
          <w:rFonts w:ascii="Times New Roman" w:hAnsi="Times New Roman" w:cs="Times New Roman"/>
          <w:noProof/>
        </w:rPr>
        <w:footnoteReference w:id="202"/>
      </w:r>
      <w:r>
        <w:rPr>
          <w:rFonts w:ascii="Times New Roman" w:hAnsi="Times New Roman"/>
          <w:noProof/>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rPr>
        <w:footnoteReference w:id="203"/>
      </w:r>
      <w:r>
        <w:rPr>
          <w:rFonts w:ascii="Times New Roman" w:hAnsi="Times New Roman"/>
          <w:noProof/>
        </w:rPr>
        <w:t>; jätteiden kaatopaikkoihin, polttolaitoksiin</w:t>
      </w:r>
      <w:r>
        <w:rPr>
          <w:rStyle w:val="FootnoteReference"/>
          <w:rFonts w:ascii="Times New Roman" w:hAnsi="Times New Roman" w:cs="Times New Roman"/>
          <w:noProof/>
        </w:rPr>
        <w:footnoteReference w:id="204"/>
      </w:r>
      <w:r>
        <w:rPr>
          <w:rFonts w:ascii="Times New Roman" w:hAnsi="Times New Roman"/>
          <w:noProof/>
        </w:rPr>
        <w:t xml:space="preserve"> ja mekaanisiin biologisiin käsittelylaitoksiin </w:t>
      </w:r>
      <w:r>
        <w:rPr>
          <w:rFonts w:ascii="Times New Roman" w:hAnsi="Times New Roman"/>
          <w:noProof/>
        </w:rPr>
        <w:t>liittyvät toimet</w:t>
      </w:r>
      <w:r>
        <w:rPr>
          <w:rStyle w:val="FootnoteReference"/>
          <w:rFonts w:ascii="Times New Roman" w:hAnsi="Times New Roman" w:cs="Times New Roman"/>
          <w:noProof/>
        </w:rPr>
        <w:footnoteReference w:id="205"/>
      </w:r>
      <w:r>
        <w:rPr>
          <w:rFonts w:ascii="Times New Roman" w:hAnsi="Times New Roman"/>
          <w:noProof/>
        </w:rPr>
        <w:t>; ja iv) toiminnot, joissa jätteiden pitkän aikavälin loppukäsittely voi aiheuttaa haittaa ympäristölle. Tehtävänmäärityksessä on lisäksi edellytettävä, että ainoastaan asiaa koskevan EU:n ja kansallisen ympäristölainsäädännön mukaisia toi</w:t>
      </w:r>
      <w:r>
        <w:rPr>
          <w:rFonts w:ascii="Times New Roman" w:hAnsi="Times New Roman"/>
          <w:noProof/>
        </w:rPr>
        <w:t>mintoja voidaan valita.</w:t>
      </w:r>
    </w:p>
    <w:p w14:paraId="28A6DD1F" w14:textId="31B76FB0" w:rsidR="000E48CE" w:rsidRDefault="00FF4C4E">
      <w:pPr>
        <w:pStyle w:val="P68B1DB1-Normal4"/>
        <w:spacing w:before="120" w:after="120" w:line="240" w:lineRule="auto"/>
        <w:jc w:val="both"/>
        <w:rPr>
          <w:rFonts w:cs="Times New Roman"/>
          <w:noProof/>
        </w:rPr>
      </w:pPr>
      <w:r>
        <w:rPr>
          <w:noProof/>
        </w:rPr>
        <w:t xml:space="preserve">Investoinnin toteutus saatetaan päätökseen viimeistään 30. kesäkuuta 2026. </w:t>
      </w:r>
    </w:p>
    <w:p w14:paraId="247DA809" w14:textId="77777777" w:rsidR="000E48CE" w:rsidRDefault="00FF4C4E">
      <w:pPr>
        <w:pStyle w:val="P68B1DB1-Normal6"/>
        <w:spacing w:before="120" w:after="120" w:line="240" w:lineRule="auto"/>
        <w:jc w:val="both"/>
        <w:rPr>
          <w:rFonts w:cs="Times New Roman"/>
          <w:noProof/>
        </w:rPr>
      </w:pPr>
      <w:r>
        <w:rPr>
          <w:noProof/>
        </w:rPr>
        <w:t xml:space="preserve">Investointi 3 (C24.I3) – Suurten kulttuuripalvelujen digitalisointi ja edistäminen </w:t>
      </w:r>
    </w:p>
    <w:p w14:paraId="03A41679" w14:textId="77777777" w:rsidR="000E48CE" w:rsidRDefault="00FF4C4E">
      <w:pPr>
        <w:pStyle w:val="P68B1DB1-Normal4"/>
        <w:spacing w:before="120" w:after="120" w:line="240" w:lineRule="auto"/>
        <w:jc w:val="both"/>
        <w:rPr>
          <w:rFonts w:cs="Times New Roman"/>
          <w:noProof/>
        </w:rPr>
      </w:pPr>
      <w:r>
        <w:rPr>
          <w:noProof/>
        </w:rPr>
        <w:t>Tämän toimenpiteen tavoitteena on digitalisoida ja edistää suuria kulttu</w:t>
      </w:r>
      <w:r>
        <w:rPr>
          <w:noProof/>
        </w:rPr>
        <w:t>urilaitoksia. Tämän toimenpiteen mukaisilla erityisinvestoinneilla pyritään tukemaan seuraavia:</w:t>
      </w:r>
    </w:p>
    <w:p w14:paraId="48FED215" w14:textId="77777777" w:rsidR="000E48CE" w:rsidRDefault="00FF4C4E">
      <w:pPr>
        <w:pStyle w:val="P68B1DB1-Normal4"/>
        <w:numPr>
          <w:ilvl w:val="0"/>
          <w:numId w:val="159"/>
        </w:numPr>
        <w:spacing w:before="120" w:after="120" w:line="240" w:lineRule="auto"/>
        <w:ind w:left="426" w:hanging="426"/>
        <w:jc w:val="both"/>
        <w:rPr>
          <w:rFonts w:cs="Times New Roman"/>
          <w:noProof/>
        </w:rPr>
      </w:pPr>
      <w:r>
        <w:rPr>
          <w:noProof/>
        </w:rPr>
        <w:t>Kansallinen Prado-museo, sen saavutettavuuden parantaminen ja integrointi kaupunkirakenteeseen, ii) kaikkien antureiden yhdentäminen yhdeksi seurantajärjestelmä</w:t>
      </w:r>
      <w:r>
        <w:rPr>
          <w:noProof/>
        </w:rPr>
        <w:t>ksi, iii) osallistavan kokemuksen kehittäminen museon saattamiseksi useampien vierailijoiden ulottuville, iv) museoiden välisen yhteentoimivan digitaalisen alustan kehittäminen, v) hallinnon digitaalisten välineiden parantaminen ja vi) multimediasisällön l</w:t>
      </w:r>
      <w:r>
        <w:rPr>
          <w:noProof/>
        </w:rPr>
        <w:t xml:space="preserve">uominen;  </w:t>
      </w:r>
    </w:p>
    <w:p w14:paraId="72CE5D52" w14:textId="77777777" w:rsidR="000E48CE" w:rsidRDefault="00FF4C4E">
      <w:pPr>
        <w:pStyle w:val="P68B1DB1-Normal4"/>
        <w:numPr>
          <w:ilvl w:val="0"/>
          <w:numId w:val="159"/>
        </w:numPr>
        <w:spacing w:before="120" w:after="120" w:line="240" w:lineRule="auto"/>
        <w:ind w:left="426" w:hanging="426"/>
        <w:jc w:val="both"/>
        <w:rPr>
          <w:rFonts w:cs="Times New Roman"/>
          <w:noProof/>
        </w:rPr>
      </w:pPr>
      <w:r>
        <w:rPr>
          <w:noProof/>
        </w:rPr>
        <w:t>Kansallinen museo Centro de Arte Reina Sofia, tarjoamalla nuorille taiteilijoille ja ajattelijoille apurahoja ja -asuntoja, joissa keskitytään kulttuuriperinnön digitalisointitoimien kehittämiseen;</w:t>
      </w:r>
    </w:p>
    <w:p w14:paraId="71DF0FFE" w14:textId="77777777" w:rsidR="000E48CE" w:rsidRDefault="00FF4C4E">
      <w:pPr>
        <w:pStyle w:val="P68B1DB1-Normal4"/>
        <w:numPr>
          <w:ilvl w:val="0"/>
          <w:numId w:val="159"/>
        </w:numPr>
        <w:spacing w:before="120" w:after="120" w:line="240" w:lineRule="auto"/>
        <w:ind w:left="426" w:hanging="426"/>
        <w:jc w:val="both"/>
        <w:rPr>
          <w:rFonts w:cs="Times New Roman"/>
          <w:noProof/>
        </w:rPr>
      </w:pPr>
      <w:r>
        <w:rPr>
          <w:noProof/>
        </w:rPr>
        <w:t>Espanjan kansalliskirjasto edistämällä digitaal</w:t>
      </w:r>
      <w:r>
        <w:rPr>
          <w:noProof/>
        </w:rPr>
        <w:t>isten tietojen ja kokoelmien käyttöä ja uudelleenkäyttöä opetuksen, tutkimuksen, kulttuuriteollisuuden ja teknologisen kehityksen tukemiseksi;</w:t>
      </w:r>
    </w:p>
    <w:p w14:paraId="15757132" w14:textId="77777777" w:rsidR="000E48CE" w:rsidRDefault="00FF4C4E">
      <w:pPr>
        <w:pStyle w:val="P68B1DB1-Normal4"/>
        <w:numPr>
          <w:ilvl w:val="0"/>
          <w:numId w:val="159"/>
        </w:numPr>
        <w:spacing w:before="120" w:after="120" w:line="240" w:lineRule="auto"/>
        <w:ind w:left="426" w:hanging="426"/>
        <w:jc w:val="both"/>
        <w:rPr>
          <w:rFonts w:cs="Times New Roman"/>
          <w:noProof/>
        </w:rPr>
      </w:pPr>
      <w:r>
        <w:rPr>
          <w:noProof/>
        </w:rPr>
        <w:t>Suunnitelma valtionhallinnolta tai yksityisiltä yksiköiltä peräisin olevan muun kirjastoomaisuuden digitalisoimis</w:t>
      </w:r>
      <w:r>
        <w:rPr>
          <w:noProof/>
        </w:rPr>
        <w:t>eksi ja sen käyttämiseksi, jotta se voidaan saattaa kansalaisten saataville digitaalisten arkistojen kautta;</w:t>
      </w:r>
    </w:p>
    <w:p w14:paraId="5584509F" w14:textId="77777777" w:rsidR="000E48CE" w:rsidRDefault="00FF4C4E">
      <w:pPr>
        <w:pStyle w:val="P68B1DB1-Normal4"/>
        <w:numPr>
          <w:ilvl w:val="0"/>
          <w:numId w:val="159"/>
        </w:numPr>
        <w:spacing w:before="120" w:after="120" w:line="240" w:lineRule="auto"/>
        <w:ind w:left="426" w:hanging="426"/>
        <w:jc w:val="both"/>
        <w:rPr>
          <w:rFonts w:cs="Times New Roman"/>
          <w:noProof/>
        </w:rPr>
      </w:pPr>
      <w:r>
        <w:rPr>
          <w:noProof/>
        </w:rPr>
        <w:t>Kaikentyyppisten arkistojärjestelmien digitointi, kapasiteetin laajentaminen ja yhteentoimivuus historiallisesta perinnöstä, mukaan lukien audiovis</w:t>
      </w:r>
      <w:r>
        <w:rPr>
          <w:noProof/>
        </w:rPr>
        <w:t>uaalinen perintö, inventaariot ja tallenteet; ja</w:t>
      </w:r>
    </w:p>
    <w:p w14:paraId="5015CC36" w14:textId="77777777" w:rsidR="000E48CE" w:rsidRDefault="00FF4C4E">
      <w:pPr>
        <w:pStyle w:val="P68B1DB1-Normal4"/>
        <w:numPr>
          <w:ilvl w:val="0"/>
          <w:numId w:val="159"/>
        </w:numPr>
        <w:spacing w:before="120" w:after="120" w:line="240" w:lineRule="auto"/>
        <w:ind w:left="426" w:hanging="426"/>
        <w:jc w:val="both"/>
        <w:rPr>
          <w:rFonts w:cs="Times New Roman"/>
          <w:noProof/>
        </w:rPr>
      </w:pPr>
      <w:r>
        <w:rPr>
          <w:noProof/>
        </w:rPr>
        <w:t>Toimenpiteet, joilla nykyaikaistetaan julkisen hallinnon välineitä ja toteutetaan integroitu järjestelmä INAEMin (</w:t>
      </w:r>
      <w:r>
        <w:rPr>
          <w:i/>
          <w:noProof/>
        </w:rPr>
        <w:t>Instituto Nacional de las Artes Escénicas y de la Música</w:t>
      </w:r>
      <w:r>
        <w:rPr>
          <w:noProof/>
        </w:rPr>
        <w:t>) resurssien, omaisuuden, rakenteiden</w:t>
      </w:r>
      <w:r>
        <w:rPr>
          <w:noProof/>
        </w:rPr>
        <w:t xml:space="preserve"> ja infrastruktuurin digitointia ja luettelointia varten, mukaan lukien erilaisten kehittyneiden välineiden käyttöönotto esitys- ja musiikkialojen julkisten tukijärjestelmien suunnittelua, hallinnointia ja vaikutustenarviointia varten sekä integroidun digi</w:t>
      </w:r>
      <w:r>
        <w:rPr>
          <w:noProof/>
        </w:rPr>
        <w:t>taalisen järjestelmän (INAEM DIGITAL) käyttöönotto INAEM DIGITALin dokumentointi-, arkistointi- ja infrastruktuurien digitalisointia ja luettelointia varten.</w:t>
      </w:r>
    </w:p>
    <w:p w14:paraId="6F481565" w14:textId="77777777" w:rsidR="000E48CE" w:rsidRDefault="00FF4C4E">
      <w:pPr>
        <w:pStyle w:val="Text1"/>
        <w:ind w:left="0"/>
        <w:rPr>
          <w:rFonts w:ascii="Times New Roman" w:hAnsi="Times New Roman" w:cs="Times New Roman"/>
          <w:noProof/>
          <w:highlight w:val="green"/>
        </w:rPr>
      </w:pPr>
      <w:r>
        <w:rPr>
          <w:rFonts w:ascii="Times New Roman" w:hAnsi="Times New Roman"/>
          <w:noProof/>
        </w:rPr>
        <w:t>Sen varmistamiseksi, että toimenpide noudattaa ”ei merkittävää haittaa” -periaatetta koskevaa tekn</w:t>
      </w:r>
      <w:r>
        <w:rPr>
          <w:rFonts w:ascii="Times New Roman" w:hAnsi="Times New Roman"/>
          <w:noProof/>
        </w:rPr>
        <w:t>istä ohjetta (2021/C58/01), tulevien hankepyyntöjen tehtävänmääritykseen sisältyviin tukikelpoisuusperusteisiin ei lueta seuraavia toimia: fossiilisiin polttoaineisiin liittyvät toiminnot, mukaan lukien käyttö loppupäässä</w:t>
      </w:r>
      <w:r>
        <w:rPr>
          <w:rStyle w:val="FootnoteReference"/>
          <w:rFonts w:ascii="Times New Roman" w:hAnsi="Times New Roman" w:cs="Times New Roman"/>
          <w:noProof/>
        </w:rPr>
        <w:footnoteReference w:id="206"/>
      </w:r>
      <w:r>
        <w:rPr>
          <w:rFonts w:ascii="Times New Roman" w:hAnsi="Times New Roman"/>
          <w:noProof/>
        </w:rPr>
        <w:t>; II) EU:n päästökauppajärjestelmä</w:t>
      </w:r>
      <w:r>
        <w:rPr>
          <w:rFonts w:ascii="Times New Roman" w:hAnsi="Times New Roman"/>
          <w:noProof/>
        </w:rPr>
        <w:t>än kuuluvat toimet, joilla saavutetaan ennustetut kasvihuonekaasupäästöt, jotka eivät alita asiaankuuluvia vertailuarvoja</w:t>
      </w:r>
      <w:r>
        <w:rPr>
          <w:rStyle w:val="FootnoteReference"/>
          <w:rFonts w:ascii="Times New Roman" w:hAnsi="Times New Roman" w:cs="Times New Roman"/>
          <w:noProof/>
        </w:rPr>
        <w:footnoteReference w:id="207"/>
      </w:r>
      <w:r>
        <w:rPr>
          <w:rFonts w:ascii="Times New Roman" w:hAnsi="Times New Roman"/>
          <w:noProof/>
        </w:rPr>
        <w:t>; jätteiden kaatopaikkoihin, polttolaitoksiin</w:t>
      </w:r>
      <w:r>
        <w:rPr>
          <w:rStyle w:val="FootnoteReference"/>
          <w:rFonts w:ascii="Times New Roman" w:hAnsi="Times New Roman" w:cs="Times New Roman"/>
          <w:noProof/>
        </w:rPr>
        <w:footnoteReference w:id="208"/>
      </w:r>
      <w:r>
        <w:rPr>
          <w:rFonts w:ascii="Times New Roman" w:hAnsi="Times New Roman"/>
          <w:noProof/>
        </w:rPr>
        <w:t xml:space="preserve"> ja mekaanisiin biologisiin käsittelylaitoksiin liittyvät toimet</w:t>
      </w:r>
      <w:r>
        <w:rPr>
          <w:rStyle w:val="FootnoteReference"/>
          <w:rFonts w:ascii="Times New Roman" w:hAnsi="Times New Roman" w:cs="Times New Roman"/>
          <w:noProof/>
        </w:rPr>
        <w:footnoteReference w:id="209"/>
      </w:r>
      <w:r>
        <w:rPr>
          <w:rFonts w:ascii="Times New Roman" w:hAnsi="Times New Roman"/>
          <w:noProof/>
        </w:rPr>
        <w:t>; ja iv) toiminnot, joi</w:t>
      </w:r>
      <w:r>
        <w:rPr>
          <w:rFonts w:ascii="Times New Roman" w:hAnsi="Times New Roman"/>
          <w:noProof/>
        </w:rPr>
        <w:t>ssa jätteiden pitkän aikavälin loppukäsittely voi aiheuttaa haittaa ympäristölle. Tehtävänmäärityksessä on lisäksi edellytettävä, että ainoastaan asiaa koskevan EU:n ja kansallisen ympäristölainsäädännön mukaisia toimintoja voidaan valita.</w:t>
      </w:r>
    </w:p>
    <w:p w14:paraId="3B69C578" w14:textId="7FE1373B" w:rsidR="000E48CE" w:rsidRDefault="00FF4C4E">
      <w:pPr>
        <w:pStyle w:val="P68B1DB1-Normal4"/>
        <w:spacing w:before="120" w:after="120" w:line="240" w:lineRule="auto"/>
        <w:jc w:val="both"/>
        <w:rPr>
          <w:rFonts w:cs="Times New Roman"/>
          <w:noProof/>
        </w:rPr>
      </w:pPr>
      <w:r>
        <w:rPr>
          <w:noProof/>
        </w:rPr>
        <w:t>Investoinnin tot</w:t>
      </w:r>
      <w:r>
        <w:rPr>
          <w:noProof/>
        </w:rPr>
        <w:t xml:space="preserve">euttaminen on saatettava päätökseen 31 päivään joulukuuta 2023 mennessä. </w:t>
      </w:r>
    </w:p>
    <w:p w14:paraId="3E211C61" w14:textId="77777777" w:rsidR="000E48CE" w:rsidRDefault="00FF4C4E">
      <w:pPr>
        <w:pStyle w:val="P68B1DB1-Normal5"/>
        <w:spacing w:before="120" w:after="120" w:line="240" w:lineRule="auto"/>
        <w:ind w:left="720"/>
        <w:jc w:val="both"/>
        <w:rPr>
          <w:rFonts w:cs="Times New Roman"/>
          <w:noProof/>
        </w:rPr>
      </w:pPr>
      <w:r>
        <w:rPr>
          <w:noProof/>
        </w:rPr>
        <w:t xml:space="preserve">X.2 </w:t>
      </w:r>
      <w:r>
        <w:rPr>
          <w:noProof/>
        </w:rPr>
        <w:tab/>
        <w:t>Seurantaa ja täytäntöönpanoa koskevat välitavoitteet, tavoitteet, indikaattorit ja aikataulu – rahoitustuki, jota ei makseta takaisin</w:t>
      </w:r>
    </w:p>
    <w:p w14:paraId="174A8B55"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w:t>
      </w:r>
      <w:r>
        <w:rPr>
          <w:i/>
          <w:noProof/>
        </w:rPr>
        <w:t>oreiden perustaso on 1. helmikuuta 2020, ellei toimen kuvauksessa toisin ilmoiteta. Taulukossa esitetyt määrät eivät sisällä arvonlisäveroa.</w:t>
      </w:r>
    </w:p>
    <w:p w14:paraId="21D00A68" w14:textId="77777777" w:rsidR="000E48CE" w:rsidRDefault="000E48CE">
      <w:pPr>
        <w:spacing w:before="120" w:after="120" w:line="240" w:lineRule="auto"/>
        <w:jc w:val="both"/>
        <w:rPr>
          <w:rFonts w:ascii="Times New Roman" w:hAnsi="Times New Roman" w:cs="Times New Roman"/>
          <w:noProof/>
          <w:sz w:val="24"/>
        </w:rPr>
        <w:sectPr w:rsidR="000E48CE" w:rsidSect="00C94F66">
          <w:headerReference w:type="even" r:id="rId459"/>
          <w:headerReference w:type="default" r:id="rId460"/>
          <w:footerReference w:type="even" r:id="rId461"/>
          <w:footerReference w:type="default" r:id="rId462"/>
          <w:headerReference w:type="first" r:id="rId463"/>
          <w:footerReference w:type="first" r:id="rId464"/>
          <w:pgSz w:w="11907" w:h="16839"/>
          <w:pgMar w:top="1134" w:right="1417" w:bottom="1134" w:left="1417" w:header="709" w:footer="709" w:gutter="0"/>
          <w:cols w:space="720"/>
          <w:docGrid w:linePitch="360"/>
        </w:sectPr>
      </w:pPr>
    </w:p>
    <w:tbl>
      <w:tblPr>
        <w:tblW w:w="15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993"/>
        <w:gridCol w:w="850"/>
        <w:gridCol w:w="1701"/>
        <w:gridCol w:w="992"/>
        <w:gridCol w:w="709"/>
        <w:gridCol w:w="567"/>
        <w:gridCol w:w="709"/>
        <w:gridCol w:w="709"/>
        <w:gridCol w:w="567"/>
        <w:gridCol w:w="6837"/>
      </w:tblGrid>
      <w:tr w:rsidR="000E48CE" w14:paraId="47E093BB" w14:textId="77777777">
        <w:trPr>
          <w:trHeight w:val="309"/>
          <w:tblHeader/>
        </w:trPr>
        <w:tc>
          <w:tcPr>
            <w:tcW w:w="851" w:type="dxa"/>
            <w:tcBorders>
              <w:bottom w:val="nil"/>
            </w:tcBorders>
            <w:shd w:val="clear" w:color="auto" w:fill="C6D9F1" w:themeFill="text2" w:themeFillTint="33"/>
            <w:noWrap/>
            <w:vAlign w:val="center"/>
          </w:tcPr>
          <w:p w14:paraId="452BF90B" w14:textId="77777777" w:rsidR="000E48CE" w:rsidRDefault="00FF4C4E">
            <w:pPr>
              <w:pStyle w:val="P68B1DB1-Normal12"/>
              <w:spacing w:after="0" w:line="240" w:lineRule="auto"/>
              <w:jc w:val="center"/>
              <w:rPr>
                <w:rFonts w:cs="Times New Roman"/>
                <w:noProof/>
              </w:rPr>
            </w:pPr>
            <w:r>
              <w:rPr>
                <w:noProof/>
              </w:rPr>
              <w:t>Määrä</w:t>
            </w:r>
          </w:p>
        </w:tc>
        <w:tc>
          <w:tcPr>
            <w:tcW w:w="993" w:type="dxa"/>
            <w:tcBorders>
              <w:bottom w:val="nil"/>
            </w:tcBorders>
            <w:shd w:val="clear" w:color="auto" w:fill="C6D9F1" w:themeFill="text2" w:themeFillTint="33"/>
            <w:noWrap/>
            <w:vAlign w:val="center"/>
          </w:tcPr>
          <w:p w14:paraId="42FDFCDA"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24DA1994"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1701" w:type="dxa"/>
            <w:tcBorders>
              <w:bottom w:val="nil"/>
            </w:tcBorders>
            <w:shd w:val="clear" w:color="auto" w:fill="C6D9F1" w:themeFill="text2" w:themeFillTint="33"/>
            <w:noWrap/>
            <w:vAlign w:val="center"/>
          </w:tcPr>
          <w:p w14:paraId="5E140932" w14:textId="77777777" w:rsidR="000E48CE" w:rsidRDefault="00FF4C4E">
            <w:pPr>
              <w:pStyle w:val="P68B1DB1-Normal12"/>
              <w:spacing w:after="0" w:line="240" w:lineRule="auto"/>
              <w:jc w:val="center"/>
              <w:rPr>
                <w:rFonts w:cs="Times New Roman"/>
                <w:noProof/>
              </w:rPr>
            </w:pPr>
            <w:r>
              <w:rPr>
                <w:noProof/>
              </w:rPr>
              <w:t>Nimi</w:t>
            </w:r>
          </w:p>
        </w:tc>
        <w:tc>
          <w:tcPr>
            <w:tcW w:w="992" w:type="dxa"/>
            <w:tcBorders>
              <w:bottom w:val="nil"/>
            </w:tcBorders>
            <w:shd w:val="clear" w:color="auto" w:fill="C6D9F1" w:themeFill="text2" w:themeFillTint="33"/>
            <w:noWrap/>
            <w:vAlign w:val="center"/>
          </w:tcPr>
          <w:p w14:paraId="41B1B97A"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5" w:type="dxa"/>
            <w:gridSpan w:val="3"/>
            <w:shd w:val="clear" w:color="auto" w:fill="C6D9F1" w:themeFill="text2" w:themeFillTint="33"/>
            <w:noWrap/>
            <w:vAlign w:val="center"/>
          </w:tcPr>
          <w:p w14:paraId="5A254FE4"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276" w:type="dxa"/>
            <w:gridSpan w:val="2"/>
            <w:shd w:val="clear" w:color="auto" w:fill="C6D9F1" w:themeFill="text2" w:themeFillTint="33"/>
            <w:noWrap/>
            <w:vAlign w:val="center"/>
          </w:tcPr>
          <w:p w14:paraId="6476BE1C" w14:textId="77777777" w:rsidR="000E48CE" w:rsidRDefault="00FF4C4E">
            <w:pPr>
              <w:pStyle w:val="P68B1DB1-Normal12"/>
              <w:spacing w:after="0" w:line="240" w:lineRule="auto"/>
              <w:jc w:val="center"/>
              <w:rPr>
                <w:rFonts w:cs="Times New Roman"/>
                <w:noProof/>
              </w:rPr>
            </w:pPr>
            <w:r>
              <w:rPr>
                <w:noProof/>
              </w:rPr>
              <w:t>Aika</w:t>
            </w:r>
          </w:p>
        </w:tc>
        <w:tc>
          <w:tcPr>
            <w:tcW w:w="6837" w:type="dxa"/>
            <w:tcBorders>
              <w:bottom w:val="nil"/>
            </w:tcBorders>
            <w:shd w:val="clear" w:color="auto" w:fill="C6D9F1" w:themeFill="text2" w:themeFillTint="33"/>
            <w:noWrap/>
            <w:vAlign w:val="center"/>
          </w:tcPr>
          <w:p w14:paraId="3A6821AC"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7B4E4ABA" w14:textId="77777777">
        <w:trPr>
          <w:trHeight w:val="309"/>
          <w:tblHeader/>
        </w:trPr>
        <w:tc>
          <w:tcPr>
            <w:tcW w:w="851" w:type="dxa"/>
            <w:tcBorders>
              <w:top w:val="nil"/>
            </w:tcBorders>
            <w:shd w:val="clear" w:color="auto" w:fill="C6D9F1" w:themeFill="text2" w:themeFillTint="33"/>
            <w:noWrap/>
          </w:tcPr>
          <w:p w14:paraId="0D905B62" w14:textId="77777777" w:rsidR="000E48CE" w:rsidRDefault="000E48CE">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760E6809"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1BA0C45" w14:textId="77777777" w:rsidR="000E48CE" w:rsidRDefault="000E48CE">
            <w:pPr>
              <w:spacing w:after="0" w:line="240" w:lineRule="auto"/>
              <w:jc w:val="center"/>
              <w:rPr>
                <w:rFonts w:ascii="Times New Roman" w:hAnsi="Times New Roman" w:cs="Times New Roman"/>
                <w:b/>
                <w:noProof/>
                <w:sz w:val="18"/>
              </w:rPr>
            </w:pPr>
          </w:p>
        </w:tc>
        <w:tc>
          <w:tcPr>
            <w:tcW w:w="1701" w:type="dxa"/>
            <w:tcBorders>
              <w:top w:val="nil"/>
            </w:tcBorders>
            <w:shd w:val="clear" w:color="auto" w:fill="C6D9F1" w:themeFill="text2" w:themeFillTint="33"/>
            <w:noWrap/>
          </w:tcPr>
          <w:p w14:paraId="7975753A" w14:textId="77777777" w:rsidR="000E48CE" w:rsidRDefault="000E48CE">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A1F1AD2" w14:textId="77777777" w:rsidR="000E48CE" w:rsidRDefault="000E48CE">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vAlign w:val="center"/>
          </w:tcPr>
          <w:p w14:paraId="0654C1BC"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vAlign w:val="center"/>
          </w:tcPr>
          <w:p w14:paraId="7C98FBCC" w14:textId="77777777" w:rsidR="000E48CE" w:rsidRDefault="00FF4C4E">
            <w:pPr>
              <w:pStyle w:val="P68B1DB1-Normal12"/>
              <w:spacing w:after="0" w:line="240" w:lineRule="auto"/>
              <w:jc w:val="center"/>
              <w:rPr>
                <w:rFonts w:cs="Times New Roman"/>
                <w:noProof/>
              </w:rPr>
            </w:pPr>
            <w:r>
              <w:rPr>
                <w:noProof/>
              </w:rPr>
              <w:t>Perusviiva</w:t>
            </w:r>
          </w:p>
        </w:tc>
        <w:tc>
          <w:tcPr>
            <w:tcW w:w="709" w:type="dxa"/>
            <w:shd w:val="clear" w:color="auto" w:fill="C6D9F1" w:themeFill="text2" w:themeFillTint="33"/>
            <w:noWrap/>
            <w:vAlign w:val="center"/>
          </w:tcPr>
          <w:p w14:paraId="1400AB49" w14:textId="77777777" w:rsidR="000E48CE" w:rsidRDefault="00FF4C4E">
            <w:pPr>
              <w:pStyle w:val="P68B1DB1-Normal12"/>
              <w:spacing w:after="0" w:line="240" w:lineRule="auto"/>
              <w:jc w:val="center"/>
              <w:rPr>
                <w:rFonts w:cs="Times New Roman"/>
                <w:noProof/>
              </w:rPr>
            </w:pPr>
            <w:r>
              <w:rPr>
                <w:noProof/>
              </w:rPr>
              <w:t>Päämäärä</w:t>
            </w:r>
          </w:p>
        </w:tc>
        <w:tc>
          <w:tcPr>
            <w:tcW w:w="709" w:type="dxa"/>
            <w:shd w:val="clear" w:color="auto" w:fill="C6D9F1" w:themeFill="text2" w:themeFillTint="33"/>
            <w:noWrap/>
            <w:vAlign w:val="center"/>
          </w:tcPr>
          <w:p w14:paraId="78B7D1D4"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EF9A8B4" w14:textId="77777777" w:rsidR="000E48CE" w:rsidRDefault="00FF4C4E">
            <w:pPr>
              <w:pStyle w:val="P68B1DB1-Normal12"/>
              <w:spacing w:after="0" w:line="240" w:lineRule="auto"/>
              <w:jc w:val="center"/>
              <w:rPr>
                <w:rFonts w:cs="Times New Roman"/>
                <w:noProof/>
              </w:rPr>
            </w:pPr>
            <w:r>
              <w:rPr>
                <w:noProof/>
              </w:rPr>
              <w:t>Vuosi</w:t>
            </w:r>
          </w:p>
        </w:tc>
        <w:tc>
          <w:tcPr>
            <w:tcW w:w="6837" w:type="dxa"/>
            <w:tcBorders>
              <w:top w:val="nil"/>
            </w:tcBorders>
            <w:shd w:val="clear" w:color="auto" w:fill="C6D9F1" w:themeFill="text2" w:themeFillTint="33"/>
            <w:noWrap/>
          </w:tcPr>
          <w:p w14:paraId="0AC9D072" w14:textId="77777777" w:rsidR="000E48CE" w:rsidRDefault="000E48CE">
            <w:pPr>
              <w:spacing w:after="0" w:line="240" w:lineRule="auto"/>
              <w:rPr>
                <w:rFonts w:ascii="Times New Roman" w:hAnsi="Times New Roman" w:cs="Times New Roman"/>
                <w:b/>
                <w:noProof/>
                <w:sz w:val="18"/>
              </w:rPr>
            </w:pPr>
          </w:p>
        </w:tc>
      </w:tr>
      <w:tr w:rsidR="000E48CE" w14:paraId="5984E482" w14:textId="77777777">
        <w:trPr>
          <w:trHeight w:val="309"/>
        </w:trPr>
        <w:tc>
          <w:tcPr>
            <w:tcW w:w="851" w:type="dxa"/>
            <w:shd w:val="clear" w:color="auto" w:fill="C6EFCE"/>
            <w:noWrap/>
          </w:tcPr>
          <w:p w14:paraId="0595ACF2" w14:textId="77777777" w:rsidR="000E48CE" w:rsidRDefault="00FF4C4E">
            <w:pPr>
              <w:pStyle w:val="P68B1DB1-Normal13"/>
              <w:spacing w:after="0" w:line="240" w:lineRule="auto"/>
              <w:jc w:val="center"/>
              <w:rPr>
                <w:rFonts w:eastAsia="Times New Roman" w:cs="Times New Roman"/>
                <w:noProof/>
              </w:rPr>
            </w:pPr>
            <w:r>
              <w:rPr>
                <w:noProof/>
              </w:rPr>
              <w:t>352</w:t>
            </w:r>
          </w:p>
        </w:tc>
        <w:tc>
          <w:tcPr>
            <w:tcW w:w="993" w:type="dxa"/>
            <w:shd w:val="clear" w:color="auto" w:fill="C6EFCE"/>
            <w:noWrap/>
          </w:tcPr>
          <w:p w14:paraId="5A187EA1" w14:textId="77777777" w:rsidR="000E48CE" w:rsidRDefault="00FF4C4E">
            <w:pPr>
              <w:pStyle w:val="P68B1DB1-Normal13"/>
              <w:spacing w:after="0" w:line="240" w:lineRule="auto"/>
              <w:jc w:val="center"/>
              <w:rPr>
                <w:rFonts w:eastAsia="Times New Roman" w:cs="Times New Roman"/>
                <w:noProof/>
              </w:rPr>
            </w:pPr>
            <w:r>
              <w:rPr>
                <w:noProof/>
              </w:rPr>
              <w:t>C24.R1</w:t>
            </w:r>
          </w:p>
        </w:tc>
        <w:tc>
          <w:tcPr>
            <w:tcW w:w="850" w:type="dxa"/>
            <w:shd w:val="clear" w:color="auto" w:fill="C6EFCE"/>
            <w:noWrap/>
          </w:tcPr>
          <w:p w14:paraId="78BEC199" w14:textId="77777777" w:rsidR="000E48CE" w:rsidRDefault="00FF4C4E">
            <w:pPr>
              <w:pStyle w:val="P68B1DB1-Normal13"/>
              <w:spacing w:after="0" w:line="240" w:lineRule="auto"/>
              <w:jc w:val="center"/>
              <w:rPr>
                <w:rFonts w:eastAsia="Times New Roman" w:cs="Times New Roman"/>
                <w:noProof/>
              </w:rPr>
            </w:pPr>
            <w:r>
              <w:rPr>
                <w:noProof/>
              </w:rPr>
              <w:t>M</w:t>
            </w:r>
          </w:p>
        </w:tc>
        <w:tc>
          <w:tcPr>
            <w:tcW w:w="1701" w:type="dxa"/>
            <w:shd w:val="clear" w:color="auto" w:fill="C6EFCE"/>
            <w:noWrap/>
          </w:tcPr>
          <w:p w14:paraId="491605FD" w14:textId="77777777" w:rsidR="000E48CE" w:rsidRDefault="00FF4C4E">
            <w:pPr>
              <w:pStyle w:val="P68B1DB1-Normal13"/>
              <w:spacing w:after="0" w:line="240" w:lineRule="auto"/>
              <w:rPr>
                <w:rFonts w:eastAsia="Times New Roman" w:cs="Times New Roman"/>
                <w:noProof/>
              </w:rPr>
            </w:pPr>
            <w:r>
              <w:rPr>
                <w:noProof/>
              </w:rPr>
              <w:t xml:space="preserve">Taiteilijan perussäännön, sponsoroinnin ja verokannustinjärjestelmän </w:t>
            </w:r>
            <w:r>
              <w:rPr>
                <w:noProof/>
              </w:rPr>
              <w:t>voimaantulo.</w:t>
            </w:r>
          </w:p>
        </w:tc>
        <w:tc>
          <w:tcPr>
            <w:tcW w:w="992" w:type="dxa"/>
            <w:shd w:val="clear" w:color="auto" w:fill="C6EFCE"/>
            <w:noWrap/>
          </w:tcPr>
          <w:p w14:paraId="6CF09B0A" w14:textId="77777777" w:rsidR="000E48CE" w:rsidRDefault="00FF4C4E">
            <w:pPr>
              <w:pStyle w:val="P68B1DB1-Normal13"/>
              <w:spacing w:after="0" w:line="240" w:lineRule="auto"/>
              <w:jc w:val="center"/>
              <w:rPr>
                <w:rFonts w:eastAsia="Times New Roman" w:cs="Times New Roman"/>
                <w:noProof/>
              </w:rPr>
            </w:pPr>
            <w:r>
              <w:rPr>
                <w:noProof/>
              </w:rPr>
              <w:t>Asetuksen voimaantuloa koskevat säännökset</w:t>
            </w:r>
          </w:p>
        </w:tc>
        <w:tc>
          <w:tcPr>
            <w:tcW w:w="709" w:type="dxa"/>
            <w:shd w:val="clear" w:color="auto" w:fill="C6EFCE"/>
            <w:noWrap/>
          </w:tcPr>
          <w:p w14:paraId="6578D08E"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66E5D696"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A663420"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5DEA7E39"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07F93F4E"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837" w:type="dxa"/>
            <w:shd w:val="clear" w:color="auto" w:fill="C6EFCE"/>
            <w:noWrap/>
          </w:tcPr>
          <w:p w14:paraId="7FFE4AB4" w14:textId="77777777" w:rsidR="000E48CE" w:rsidRDefault="00FF4C4E">
            <w:pPr>
              <w:pStyle w:val="P68B1DB1-Normal13"/>
              <w:spacing w:after="0" w:line="240" w:lineRule="auto"/>
              <w:rPr>
                <w:rFonts w:eastAsia="Times New Roman" w:cs="Times New Roman"/>
                <w:noProof/>
              </w:rPr>
            </w:pPr>
            <w:r>
              <w:rPr>
                <w:noProof/>
              </w:rPr>
              <w:t>Taiteilijan sääntöjen täytäntöönpanoa koskevien sääntelymuutosten voimaantulo ja seuraavien näkökohtien sääntely, joilla pyritään parantamaan taiteilijoiden työoloja: arvonlisäveron riit</w:t>
            </w:r>
            <w:r>
              <w:rPr>
                <w:noProof/>
              </w:rPr>
              <w:t>tävyys; henkilökohtainen tulovero; ammattiliittojen edustavuus, terveys ja erityinen työsuhde julkisella uralla; sponsoroinnin ja verokannustinjärjestelmän parempi sääntely.</w:t>
            </w:r>
          </w:p>
        </w:tc>
      </w:tr>
      <w:tr w:rsidR="000E48CE" w14:paraId="7E3571B0" w14:textId="77777777">
        <w:trPr>
          <w:trHeight w:val="309"/>
        </w:trPr>
        <w:tc>
          <w:tcPr>
            <w:tcW w:w="851" w:type="dxa"/>
            <w:shd w:val="clear" w:color="auto" w:fill="C6EFCE"/>
            <w:noWrap/>
          </w:tcPr>
          <w:p w14:paraId="5A3F38A6" w14:textId="77777777" w:rsidR="000E48CE" w:rsidRDefault="00FF4C4E">
            <w:pPr>
              <w:pStyle w:val="P68B1DB1-Normal13"/>
              <w:spacing w:after="0" w:line="240" w:lineRule="auto"/>
              <w:jc w:val="center"/>
              <w:rPr>
                <w:rFonts w:eastAsia="Times New Roman" w:cs="Times New Roman"/>
                <w:noProof/>
              </w:rPr>
            </w:pPr>
            <w:r>
              <w:rPr>
                <w:noProof/>
              </w:rPr>
              <w:t>353</w:t>
            </w:r>
          </w:p>
        </w:tc>
        <w:tc>
          <w:tcPr>
            <w:tcW w:w="993" w:type="dxa"/>
            <w:shd w:val="clear" w:color="auto" w:fill="C6EFCE"/>
            <w:noWrap/>
          </w:tcPr>
          <w:p w14:paraId="466D27F3" w14:textId="77777777" w:rsidR="000E48CE" w:rsidRDefault="00FF4C4E">
            <w:pPr>
              <w:pStyle w:val="P68B1DB1-Normal13"/>
              <w:spacing w:after="0" w:line="240" w:lineRule="auto"/>
              <w:jc w:val="center"/>
              <w:rPr>
                <w:rFonts w:eastAsia="Times New Roman" w:cs="Times New Roman"/>
                <w:noProof/>
              </w:rPr>
            </w:pPr>
            <w:r>
              <w:rPr>
                <w:noProof/>
              </w:rPr>
              <w:t>C24.R2</w:t>
            </w:r>
          </w:p>
        </w:tc>
        <w:tc>
          <w:tcPr>
            <w:tcW w:w="850" w:type="dxa"/>
            <w:shd w:val="clear" w:color="auto" w:fill="C6EFCE"/>
            <w:noWrap/>
          </w:tcPr>
          <w:p w14:paraId="64A2617A" w14:textId="77777777" w:rsidR="000E48CE" w:rsidRDefault="00FF4C4E">
            <w:pPr>
              <w:pStyle w:val="P68B1DB1-Normal13"/>
              <w:spacing w:after="0" w:line="240" w:lineRule="auto"/>
              <w:jc w:val="center"/>
              <w:rPr>
                <w:rFonts w:eastAsia="Times New Roman" w:cs="Times New Roman"/>
                <w:noProof/>
              </w:rPr>
            </w:pPr>
            <w:r>
              <w:rPr>
                <w:noProof/>
              </w:rPr>
              <w:t>M</w:t>
            </w:r>
          </w:p>
        </w:tc>
        <w:tc>
          <w:tcPr>
            <w:tcW w:w="1701" w:type="dxa"/>
            <w:shd w:val="clear" w:color="auto" w:fill="C6EFCE"/>
            <w:noWrap/>
          </w:tcPr>
          <w:p w14:paraId="44827B1C" w14:textId="77777777" w:rsidR="000E48CE" w:rsidRDefault="00FF4C4E">
            <w:pPr>
              <w:pStyle w:val="P68B1DB1-Normal13"/>
              <w:spacing w:after="0" w:line="240" w:lineRule="auto"/>
              <w:rPr>
                <w:rFonts w:eastAsia="Times New Roman" w:cs="Times New Roman"/>
                <w:noProof/>
              </w:rPr>
            </w:pPr>
            <w:r>
              <w:rPr>
                <w:noProof/>
              </w:rPr>
              <w:t xml:space="preserve">Tekijänoikeuksien ja lähioikeuksien vahvistamista koskevien </w:t>
            </w:r>
            <w:r>
              <w:rPr>
                <w:noProof/>
              </w:rPr>
              <w:t>lainsäädäntö- ja sääntelytoimenpiteiden voimaantulo</w:t>
            </w:r>
          </w:p>
        </w:tc>
        <w:tc>
          <w:tcPr>
            <w:tcW w:w="992" w:type="dxa"/>
            <w:shd w:val="clear" w:color="auto" w:fill="C6EFCE"/>
            <w:noWrap/>
          </w:tcPr>
          <w:p w14:paraId="5CB9A954" w14:textId="77777777" w:rsidR="000E48CE" w:rsidRDefault="00FF4C4E">
            <w:pPr>
              <w:pStyle w:val="P68B1DB1-Normal13"/>
              <w:spacing w:after="0" w:line="240" w:lineRule="auto"/>
              <w:jc w:val="center"/>
              <w:rPr>
                <w:rFonts w:eastAsia="Times New Roman" w:cs="Times New Roman"/>
                <w:noProof/>
              </w:rPr>
            </w:pPr>
            <w:r>
              <w:rPr>
                <w:noProof/>
              </w:rPr>
              <w:t>Voimaantulosäädösten säännökset</w:t>
            </w:r>
          </w:p>
        </w:tc>
        <w:tc>
          <w:tcPr>
            <w:tcW w:w="709" w:type="dxa"/>
            <w:shd w:val="clear" w:color="auto" w:fill="C6EFCE"/>
            <w:noWrap/>
          </w:tcPr>
          <w:p w14:paraId="59A1D248"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300CFB09"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D074ACD"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BCDA611"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3B689CF0"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375976F5" w14:textId="77777777" w:rsidR="000E48CE" w:rsidRDefault="00FF4C4E">
            <w:pPr>
              <w:pStyle w:val="P68B1DB1-Normal13"/>
              <w:spacing w:after="0" w:line="240" w:lineRule="auto"/>
              <w:rPr>
                <w:rFonts w:eastAsia="Times New Roman" w:cs="Times New Roman"/>
                <w:noProof/>
              </w:rPr>
            </w:pPr>
            <w:r>
              <w:rPr>
                <w:noProof/>
              </w:rPr>
              <w:t xml:space="preserve">1) Teollis- ja tekijänoikeuksia EU:n digitaalisilla sisämarkkinoilla koskevan lain hyväksyminen siten, että direktiivit 2019/789 SatCab ja 2019/790 on </w:t>
            </w:r>
            <w:r>
              <w:rPr>
                <w:noProof/>
              </w:rPr>
              <w:t>saatettu täysimääräisesti osaksi kansallista lainsäädäntöä; 2) Kuninkaallinen asetus teollis- ja tekijänoikeuksien rekisteristä annetun asetuksen hyväksymisestä; Kuninkaallinen asetus teollis- ja tekijänoikeuslautakunnan toiminnasta 30.12.2006 annetun kuni</w:t>
            </w:r>
            <w:r>
              <w:rPr>
                <w:noProof/>
              </w:rPr>
              <w:t>nkaan asetuksen 1889/2011 muuttamisesta; ja 4) asianmukaisen normatiivisen välineen ja Espanjan tekijänoikeusviraston sääntöjen hyväksyminen</w:t>
            </w:r>
          </w:p>
        </w:tc>
      </w:tr>
      <w:tr w:rsidR="000E48CE" w14:paraId="6ECFC41B" w14:textId="77777777">
        <w:trPr>
          <w:trHeight w:val="309"/>
        </w:trPr>
        <w:tc>
          <w:tcPr>
            <w:tcW w:w="851" w:type="dxa"/>
            <w:shd w:val="clear" w:color="auto" w:fill="C6EFCE"/>
            <w:noWrap/>
          </w:tcPr>
          <w:p w14:paraId="63576139" w14:textId="77777777" w:rsidR="000E48CE" w:rsidRDefault="00FF4C4E">
            <w:pPr>
              <w:pStyle w:val="P68B1DB1-Normal13"/>
              <w:spacing w:after="0" w:line="240" w:lineRule="auto"/>
              <w:jc w:val="center"/>
              <w:rPr>
                <w:rFonts w:eastAsia="Times New Roman" w:cs="Times New Roman"/>
                <w:noProof/>
              </w:rPr>
            </w:pPr>
            <w:r>
              <w:rPr>
                <w:noProof/>
              </w:rPr>
              <w:t>354</w:t>
            </w:r>
          </w:p>
        </w:tc>
        <w:tc>
          <w:tcPr>
            <w:tcW w:w="993" w:type="dxa"/>
            <w:shd w:val="clear" w:color="auto" w:fill="C6EFCE"/>
            <w:noWrap/>
          </w:tcPr>
          <w:p w14:paraId="2A39C450" w14:textId="77777777" w:rsidR="000E48CE" w:rsidRDefault="00FF4C4E">
            <w:pPr>
              <w:pStyle w:val="P68B1DB1-Normal13"/>
              <w:spacing w:after="0" w:line="240" w:lineRule="auto"/>
              <w:jc w:val="center"/>
              <w:rPr>
                <w:rFonts w:eastAsia="Times New Roman" w:cs="Times New Roman"/>
                <w:noProof/>
              </w:rPr>
            </w:pPr>
            <w:r>
              <w:rPr>
                <w:noProof/>
              </w:rPr>
              <w:t>C24.I1</w:t>
            </w:r>
          </w:p>
        </w:tc>
        <w:tc>
          <w:tcPr>
            <w:tcW w:w="850" w:type="dxa"/>
            <w:shd w:val="clear" w:color="auto" w:fill="C6EFCE"/>
            <w:noWrap/>
          </w:tcPr>
          <w:p w14:paraId="052D0D87" w14:textId="77777777" w:rsidR="000E48CE" w:rsidRDefault="00FF4C4E">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2C6CAD11" w14:textId="77777777" w:rsidR="000E48CE" w:rsidRDefault="00FF4C4E">
            <w:pPr>
              <w:pStyle w:val="P68B1DB1-Normal13"/>
              <w:spacing w:after="0" w:line="240" w:lineRule="auto"/>
              <w:rPr>
                <w:rFonts w:cs="Times New Roman"/>
                <w:noProof/>
              </w:rPr>
            </w:pPr>
            <w:r>
              <w:rPr>
                <w:noProof/>
              </w:rPr>
              <w:t xml:space="preserve">Kulttuuriteollisuuden kilpailukyvyn vahvistaminen </w:t>
            </w:r>
          </w:p>
        </w:tc>
        <w:tc>
          <w:tcPr>
            <w:tcW w:w="992" w:type="dxa"/>
            <w:shd w:val="clear" w:color="auto" w:fill="C6EFCE"/>
            <w:noWrap/>
          </w:tcPr>
          <w:p w14:paraId="6038216B"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466E135"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shd w:val="clear" w:color="auto" w:fill="C6EFCE"/>
            <w:noWrap/>
          </w:tcPr>
          <w:p w14:paraId="59DA9834"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320DD696" w14:textId="77777777" w:rsidR="000E48CE" w:rsidRDefault="00FF4C4E">
            <w:pPr>
              <w:pStyle w:val="P68B1DB1-Normal13"/>
              <w:spacing w:after="0" w:line="240" w:lineRule="auto"/>
              <w:jc w:val="right"/>
              <w:rPr>
                <w:rFonts w:eastAsia="Times New Roman" w:cs="Times New Roman"/>
                <w:noProof/>
              </w:rPr>
            </w:pPr>
            <w:r>
              <w:rPr>
                <w:noProof/>
              </w:rPr>
              <w:t>1 216</w:t>
            </w:r>
          </w:p>
        </w:tc>
        <w:tc>
          <w:tcPr>
            <w:tcW w:w="709" w:type="dxa"/>
            <w:shd w:val="clear" w:color="auto" w:fill="C6EFCE"/>
            <w:noWrap/>
          </w:tcPr>
          <w:p w14:paraId="57EE0E36"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62A3FFA9"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4893F2A0" w14:textId="77777777" w:rsidR="000E48CE" w:rsidRDefault="00FF4C4E">
            <w:pPr>
              <w:pStyle w:val="P68B1DB1-Normal13"/>
              <w:spacing w:after="0" w:line="240" w:lineRule="auto"/>
              <w:rPr>
                <w:rFonts w:eastAsia="Times New Roman" w:cs="Times New Roman"/>
                <w:noProof/>
              </w:rPr>
            </w:pPr>
            <w:r>
              <w:rPr>
                <w:noProof/>
              </w:rPr>
              <w:t xml:space="preserve">Tukijärjestelmästä rahoitusta saavien yhteisöjen ja hankkeiden lukumäärä seuraavien osalta: </w:t>
            </w:r>
            <w:r>
              <w:rPr>
                <w:noProof/>
              </w:rPr>
              <w:br/>
              <w:t>kulttuurialan ja luovien toimialojen ammattilaisten yrittäjyys- ja rahoitustaidot (vähintään 900 yhteisöä)</w:t>
            </w:r>
            <w:r>
              <w:rPr>
                <w:noProof/>
              </w:rPr>
              <w:br/>
              <w:t>— digitalisaatiosuunnittelu on toteutettu ja digitalisaa</w:t>
            </w:r>
            <w:r>
              <w:rPr>
                <w:noProof/>
              </w:rPr>
              <w:t>tiosta keskusteltaessa luotuja välineitä (vähintään 16 hanketta)</w:t>
            </w:r>
            <w:r>
              <w:rPr>
                <w:noProof/>
              </w:rPr>
              <w:br/>
              <w:t>— kulttuurialan ja luovien toimialojen kansainvälistyminen (vähintään 300 yhteisöä).</w:t>
            </w:r>
            <w:r>
              <w:rPr>
                <w:noProof/>
              </w:rPr>
              <w:br/>
              <w:t>Hankkeiden on oltava ”ei merkittävää haittaa” -ohjelman teknisten ohjeiden (2021/C58/01) mukaisia käyttämä</w:t>
            </w:r>
            <w:r>
              <w:rPr>
                <w:noProof/>
              </w:rPr>
              <w:t>llä poissulkemisluetteloa ja vaatimusta asiaa koskevan EU:n ja kansallisen ympäristölainsäädännön noudattamisesta.</w:t>
            </w:r>
          </w:p>
        </w:tc>
      </w:tr>
      <w:tr w:rsidR="000E48CE" w14:paraId="3BF070AF" w14:textId="77777777">
        <w:trPr>
          <w:trHeight w:val="309"/>
        </w:trPr>
        <w:tc>
          <w:tcPr>
            <w:tcW w:w="851" w:type="dxa"/>
            <w:shd w:val="clear" w:color="auto" w:fill="C6EFCE"/>
            <w:noWrap/>
          </w:tcPr>
          <w:p w14:paraId="4BFC32D5" w14:textId="5211CAC5" w:rsidR="000E48CE" w:rsidRDefault="00FF4C4E">
            <w:pPr>
              <w:pStyle w:val="P68B1DB1-Normal13"/>
              <w:spacing w:after="0" w:line="240" w:lineRule="auto"/>
              <w:jc w:val="center"/>
              <w:rPr>
                <w:rFonts w:cs="Times New Roman"/>
                <w:noProof/>
              </w:rPr>
            </w:pPr>
            <w:r>
              <w:rPr>
                <w:noProof/>
              </w:rPr>
              <w:t>475</w:t>
            </w:r>
          </w:p>
        </w:tc>
        <w:tc>
          <w:tcPr>
            <w:tcW w:w="993" w:type="dxa"/>
            <w:shd w:val="clear" w:color="auto" w:fill="C6EFCE"/>
            <w:noWrap/>
          </w:tcPr>
          <w:p w14:paraId="2536F61D" w14:textId="0F9CC23C" w:rsidR="000E48CE" w:rsidRDefault="00FF4C4E">
            <w:pPr>
              <w:pStyle w:val="P68B1DB1-Normal13"/>
              <w:spacing w:after="0" w:line="240" w:lineRule="auto"/>
              <w:jc w:val="center"/>
              <w:rPr>
                <w:rFonts w:cs="Times New Roman"/>
                <w:noProof/>
              </w:rPr>
            </w:pPr>
            <w:r>
              <w:rPr>
                <w:noProof/>
              </w:rPr>
              <w:t>C24.I1</w:t>
            </w:r>
          </w:p>
        </w:tc>
        <w:tc>
          <w:tcPr>
            <w:tcW w:w="850" w:type="dxa"/>
            <w:shd w:val="clear" w:color="auto" w:fill="C6EFCE"/>
            <w:noWrap/>
          </w:tcPr>
          <w:p w14:paraId="488C7D1E" w14:textId="0BD42309" w:rsidR="000E48CE" w:rsidRDefault="00FF4C4E">
            <w:pPr>
              <w:pStyle w:val="P68B1DB1-Normal13"/>
              <w:spacing w:after="0" w:line="240" w:lineRule="auto"/>
              <w:jc w:val="center"/>
              <w:rPr>
                <w:rFonts w:cs="Times New Roman"/>
                <w:noProof/>
              </w:rPr>
            </w:pPr>
            <w:r>
              <w:rPr>
                <w:noProof/>
              </w:rPr>
              <w:t>T</w:t>
            </w:r>
          </w:p>
        </w:tc>
        <w:tc>
          <w:tcPr>
            <w:tcW w:w="1701" w:type="dxa"/>
            <w:shd w:val="clear" w:color="auto" w:fill="C6EFCE"/>
            <w:noWrap/>
          </w:tcPr>
          <w:p w14:paraId="50A8C5C8" w14:textId="31CADCD5" w:rsidR="000E48CE" w:rsidRDefault="00FF4C4E">
            <w:pPr>
              <w:pStyle w:val="P68B1DB1-Normal13"/>
              <w:spacing w:after="0" w:line="240" w:lineRule="auto"/>
              <w:rPr>
                <w:rFonts w:cs="Times New Roman"/>
                <w:noProof/>
              </w:rPr>
            </w:pPr>
            <w:r>
              <w:rPr>
                <w:noProof/>
              </w:rPr>
              <w:t>Kulttuuriteollisuuden kilpailukyvyn vahvistamista koskevien aloitteiden ja hankkeiden loppuun saattaminen</w:t>
            </w:r>
          </w:p>
        </w:tc>
        <w:tc>
          <w:tcPr>
            <w:tcW w:w="992" w:type="dxa"/>
            <w:shd w:val="clear" w:color="auto" w:fill="C6EFCE"/>
            <w:noWrap/>
          </w:tcPr>
          <w:p w14:paraId="75B87A58" w14:textId="77777777" w:rsidR="000E48CE" w:rsidRDefault="000E48CE">
            <w:pPr>
              <w:spacing w:after="0" w:line="240" w:lineRule="auto"/>
              <w:jc w:val="center"/>
              <w:rPr>
                <w:rFonts w:ascii="Times New Roman" w:hAnsi="Times New Roman" w:cs="Times New Roman"/>
                <w:noProof/>
                <w:sz w:val="18"/>
              </w:rPr>
            </w:pPr>
          </w:p>
        </w:tc>
        <w:tc>
          <w:tcPr>
            <w:tcW w:w="709" w:type="dxa"/>
            <w:shd w:val="clear" w:color="auto" w:fill="C6EFCE"/>
            <w:noWrap/>
          </w:tcPr>
          <w:p w14:paraId="413A895D" w14:textId="0855B4DE" w:rsidR="000E48CE" w:rsidRDefault="00FF4C4E">
            <w:pPr>
              <w:pStyle w:val="P68B1DB1-Normal13"/>
              <w:spacing w:after="0" w:line="240" w:lineRule="auto"/>
              <w:jc w:val="center"/>
              <w:rPr>
                <w:rFonts w:cs="Times New Roman"/>
                <w:noProof/>
              </w:rPr>
            </w:pPr>
            <w:r>
              <w:rPr>
                <w:noProof/>
              </w:rPr>
              <w:t>Määrä</w:t>
            </w:r>
          </w:p>
        </w:tc>
        <w:tc>
          <w:tcPr>
            <w:tcW w:w="567" w:type="dxa"/>
            <w:shd w:val="clear" w:color="auto" w:fill="C6EFCE"/>
            <w:noWrap/>
          </w:tcPr>
          <w:p w14:paraId="7DB49750" w14:textId="5B084DA9"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141DD2CC" w14:textId="68984241" w:rsidR="000E48CE" w:rsidRDefault="00FF4C4E">
            <w:pPr>
              <w:pStyle w:val="P68B1DB1-Normal13"/>
              <w:spacing w:after="0" w:line="240" w:lineRule="auto"/>
              <w:jc w:val="right"/>
              <w:rPr>
                <w:rFonts w:cs="Times New Roman"/>
                <w:noProof/>
              </w:rPr>
            </w:pPr>
            <w:r>
              <w:rPr>
                <w:noProof/>
              </w:rPr>
              <w:t>1 216</w:t>
            </w:r>
          </w:p>
        </w:tc>
        <w:tc>
          <w:tcPr>
            <w:tcW w:w="709" w:type="dxa"/>
            <w:shd w:val="clear" w:color="auto" w:fill="C6EFCE"/>
            <w:noWrap/>
          </w:tcPr>
          <w:p w14:paraId="572CA3F7" w14:textId="3432AD1A" w:rsidR="000E48CE" w:rsidRDefault="00FF4C4E">
            <w:pPr>
              <w:spacing w:after="0" w:line="240" w:lineRule="auto"/>
              <w:jc w:val="center"/>
              <w:rPr>
                <w:rFonts w:ascii="Times New Roman" w:hAnsi="Times New Roman" w:cs="Times New Roman"/>
                <w:noProof/>
                <w:sz w:val="18"/>
              </w:rPr>
            </w:pPr>
            <w:r>
              <w:rPr>
                <w:noProof/>
              </w:rPr>
              <w:t>Q2</w:t>
            </w:r>
          </w:p>
        </w:tc>
        <w:tc>
          <w:tcPr>
            <w:tcW w:w="567" w:type="dxa"/>
            <w:shd w:val="clear" w:color="auto" w:fill="C6EFCE"/>
            <w:noWrap/>
          </w:tcPr>
          <w:p w14:paraId="669B1BFC" w14:textId="17279118" w:rsidR="000E48CE" w:rsidRDefault="00FF4C4E">
            <w:pPr>
              <w:pStyle w:val="P68B1DB1-Normal13"/>
              <w:spacing w:after="0" w:line="240" w:lineRule="auto"/>
              <w:jc w:val="center"/>
              <w:rPr>
                <w:rFonts w:cs="Times New Roman"/>
                <w:noProof/>
              </w:rPr>
            </w:pPr>
            <w:r>
              <w:rPr>
                <w:noProof/>
              </w:rPr>
              <w:t>2026</w:t>
            </w:r>
          </w:p>
        </w:tc>
        <w:tc>
          <w:tcPr>
            <w:tcW w:w="6837" w:type="dxa"/>
            <w:shd w:val="clear" w:color="auto" w:fill="C6EFCE"/>
            <w:noWrap/>
          </w:tcPr>
          <w:p w14:paraId="678D89E8" w14:textId="63F6069B" w:rsidR="000E48CE" w:rsidRDefault="00FF4C4E">
            <w:pPr>
              <w:pStyle w:val="P68B1DB1-Normal13"/>
              <w:spacing w:after="0" w:line="240" w:lineRule="auto"/>
              <w:rPr>
                <w:rFonts w:cs="Times New Roman"/>
                <w:noProof/>
              </w:rPr>
            </w:pPr>
            <w:r>
              <w:rPr>
                <w:noProof/>
              </w:rPr>
              <w:t>Kulttuuriteollisuuden kilpailukykyä edistävien 1216 toimen loppuun saattaminen seuraavin keinoin:</w:t>
            </w:r>
            <w:r>
              <w:rPr>
                <w:noProof/>
              </w:rPr>
              <w:br/>
              <w:t>kulttuurialan ja luovien toimialojen ammattilaisten yrittäjyys- ja rahoitustaidot (vähintään 900 yhteisöä)</w:t>
            </w:r>
            <w:r>
              <w:rPr>
                <w:noProof/>
              </w:rPr>
              <w:br/>
              <w:t>— digitalisaatiosuunnittelu on toteutettu ja d</w:t>
            </w:r>
            <w:r>
              <w:rPr>
                <w:noProof/>
              </w:rPr>
              <w:t>igitalisaatiosta keskusteltaessa luotuja välineitä (vähintään 16 hanketta)</w:t>
            </w:r>
            <w:r>
              <w:rPr>
                <w:noProof/>
              </w:rPr>
              <w:br/>
              <w:t>— kulttuurialan ja luovien toimialojen kansainvälistyminen (vähintään 300 yhteisöä).</w:t>
            </w:r>
          </w:p>
        </w:tc>
      </w:tr>
      <w:tr w:rsidR="000E48CE" w14:paraId="0CB8057E" w14:textId="77777777">
        <w:trPr>
          <w:trHeight w:val="309"/>
        </w:trPr>
        <w:tc>
          <w:tcPr>
            <w:tcW w:w="851" w:type="dxa"/>
            <w:shd w:val="clear" w:color="auto" w:fill="C6EFCE"/>
            <w:noWrap/>
          </w:tcPr>
          <w:p w14:paraId="33A333CC" w14:textId="77777777" w:rsidR="000E48CE" w:rsidRDefault="00FF4C4E">
            <w:pPr>
              <w:pStyle w:val="P68B1DB1-Normal13"/>
              <w:spacing w:after="0" w:line="240" w:lineRule="auto"/>
              <w:jc w:val="center"/>
              <w:rPr>
                <w:rFonts w:eastAsia="Times New Roman" w:cs="Times New Roman"/>
                <w:noProof/>
              </w:rPr>
            </w:pPr>
            <w:r>
              <w:rPr>
                <w:noProof/>
              </w:rPr>
              <w:t>355</w:t>
            </w:r>
          </w:p>
        </w:tc>
        <w:tc>
          <w:tcPr>
            <w:tcW w:w="993" w:type="dxa"/>
            <w:shd w:val="clear" w:color="auto" w:fill="C6EFCE"/>
            <w:noWrap/>
          </w:tcPr>
          <w:p w14:paraId="1706F9D8" w14:textId="77777777" w:rsidR="000E48CE" w:rsidRDefault="00FF4C4E">
            <w:pPr>
              <w:pStyle w:val="P68B1DB1-Normal13"/>
              <w:spacing w:after="0" w:line="240" w:lineRule="auto"/>
              <w:jc w:val="center"/>
              <w:rPr>
                <w:rFonts w:eastAsia="Times New Roman" w:cs="Times New Roman"/>
                <w:noProof/>
              </w:rPr>
            </w:pPr>
            <w:r>
              <w:rPr>
                <w:noProof/>
              </w:rPr>
              <w:t>C24.I2</w:t>
            </w:r>
          </w:p>
        </w:tc>
        <w:tc>
          <w:tcPr>
            <w:tcW w:w="850" w:type="dxa"/>
            <w:shd w:val="clear" w:color="auto" w:fill="C6EFCE"/>
            <w:noWrap/>
          </w:tcPr>
          <w:p w14:paraId="01AB9A0E" w14:textId="77777777" w:rsidR="000E48CE" w:rsidRDefault="00FF4C4E">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2F41C29C" w14:textId="77777777" w:rsidR="000E48CE" w:rsidRDefault="00FF4C4E">
            <w:pPr>
              <w:pStyle w:val="P68B1DB1-Normal13"/>
              <w:spacing w:after="0" w:line="240" w:lineRule="auto"/>
              <w:rPr>
                <w:rFonts w:eastAsia="Times New Roman" w:cs="Times New Roman"/>
                <w:noProof/>
              </w:rPr>
            </w:pPr>
            <w:r>
              <w:rPr>
                <w:noProof/>
              </w:rPr>
              <w:t xml:space="preserve">Esitys- ja musiikkitaiteen infrastruktuurin nykyaikaistaminen ja kestävä </w:t>
            </w:r>
            <w:r>
              <w:rPr>
                <w:noProof/>
              </w:rPr>
              <w:t>hallinnointi</w:t>
            </w:r>
          </w:p>
        </w:tc>
        <w:tc>
          <w:tcPr>
            <w:tcW w:w="992" w:type="dxa"/>
            <w:shd w:val="clear" w:color="auto" w:fill="C6EFCE"/>
            <w:noWrap/>
          </w:tcPr>
          <w:p w14:paraId="08D3A502"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A6DE909"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shd w:val="clear" w:color="auto" w:fill="C6EFCE"/>
            <w:noWrap/>
          </w:tcPr>
          <w:p w14:paraId="2591D7A9"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670B3C9E" w14:textId="77777777" w:rsidR="000E48CE" w:rsidRDefault="00FF4C4E">
            <w:pPr>
              <w:pStyle w:val="P68B1DB1-Normal13"/>
              <w:spacing w:after="0" w:line="240" w:lineRule="auto"/>
              <w:jc w:val="center"/>
              <w:rPr>
                <w:rFonts w:eastAsia="Times New Roman" w:cs="Times New Roman"/>
                <w:noProof/>
              </w:rPr>
            </w:pPr>
            <w:r>
              <w:rPr>
                <w:noProof/>
              </w:rPr>
              <w:t>200</w:t>
            </w:r>
          </w:p>
        </w:tc>
        <w:tc>
          <w:tcPr>
            <w:tcW w:w="709" w:type="dxa"/>
            <w:shd w:val="clear" w:color="auto" w:fill="C6EFCE"/>
            <w:noWrap/>
          </w:tcPr>
          <w:p w14:paraId="35216B84"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5E2672EE"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0413F559" w14:textId="77777777" w:rsidR="000E48CE" w:rsidRDefault="00FF4C4E">
            <w:pPr>
              <w:pStyle w:val="P68B1DB1-Normal13"/>
              <w:spacing w:after="0" w:line="240" w:lineRule="auto"/>
              <w:rPr>
                <w:rFonts w:eastAsia="Times New Roman" w:cs="Times New Roman"/>
                <w:noProof/>
              </w:rPr>
            </w:pPr>
            <w:r>
              <w:rPr>
                <w:noProof/>
              </w:rPr>
              <w:t>Ikääntyvän esittävän taiteen ja musiikkitaiteen infrastruktuurin nykyaikaistaminen ja kestävä hallinta: vähintään 200 toimea, jotka toteutetaan vähintään 17 alueella ”ei merkittävää haittaa” -ohjelman teknisten ohjeiden (</w:t>
            </w:r>
            <w:r>
              <w:rPr>
                <w:noProof/>
              </w:rPr>
              <w:t>2021/C58/01) mukaisesti käyttämällä poissulkemisluetteloa ja vaatimusta asiaa koskevan EU:n ja kansallisen ympäristölainsäädännön noudattamisesta.</w:t>
            </w:r>
          </w:p>
        </w:tc>
      </w:tr>
      <w:tr w:rsidR="000E48CE" w14:paraId="3C74A095" w14:textId="77777777">
        <w:trPr>
          <w:trHeight w:val="309"/>
        </w:trPr>
        <w:tc>
          <w:tcPr>
            <w:tcW w:w="851" w:type="dxa"/>
            <w:shd w:val="clear" w:color="auto" w:fill="C6EFCE"/>
            <w:noWrap/>
          </w:tcPr>
          <w:p w14:paraId="3DC32C70" w14:textId="331FCEF3" w:rsidR="000E48CE" w:rsidRDefault="00FF4C4E">
            <w:pPr>
              <w:pStyle w:val="P68B1DB1-Normal13"/>
              <w:spacing w:after="0" w:line="240" w:lineRule="auto"/>
              <w:jc w:val="center"/>
              <w:rPr>
                <w:rFonts w:cs="Times New Roman"/>
                <w:noProof/>
              </w:rPr>
            </w:pPr>
            <w:r>
              <w:rPr>
                <w:noProof/>
              </w:rPr>
              <w:t>357</w:t>
            </w:r>
          </w:p>
        </w:tc>
        <w:tc>
          <w:tcPr>
            <w:tcW w:w="993" w:type="dxa"/>
            <w:shd w:val="clear" w:color="auto" w:fill="C6EFCE"/>
            <w:noWrap/>
          </w:tcPr>
          <w:p w14:paraId="038CA8F2" w14:textId="6653001D" w:rsidR="000E48CE" w:rsidRDefault="00FF4C4E">
            <w:pPr>
              <w:pStyle w:val="P68B1DB1-Normal13"/>
              <w:spacing w:after="0" w:line="240" w:lineRule="auto"/>
              <w:jc w:val="center"/>
              <w:rPr>
                <w:rFonts w:cs="Times New Roman"/>
                <w:noProof/>
              </w:rPr>
            </w:pPr>
            <w:r>
              <w:rPr>
                <w:noProof/>
              </w:rPr>
              <w:t>C24.I2</w:t>
            </w:r>
          </w:p>
        </w:tc>
        <w:tc>
          <w:tcPr>
            <w:tcW w:w="850" w:type="dxa"/>
            <w:shd w:val="clear" w:color="auto" w:fill="C6EFCE"/>
            <w:noWrap/>
          </w:tcPr>
          <w:p w14:paraId="463A00BD" w14:textId="19384F73" w:rsidR="000E48CE" w:rsidRDefault="00FF4C4E">
            <w:pPr>
              <w:pStyle w:val="P68B1DB1-Normal13"/>
              <w:spacing w:after="0" w:line="240" w:lineRule="auto"/>
              <w:jc w:val="center"/>
              <w:rPr>
                <w:rFonts w:cs="Times New Roman"/>
                <w:noProof/>
              </w:rPr>
            </w:pPr>
            <w:r>
              <w:rPr>
                <w:noProof/>
              </w:rPr>
              <w:t>T</w:t>
            </w:r>
          </w:p>
        </w:tc>
        <w:tc>
          <w:tcPr>
            <w:tcW w:w="1701" w:type="dxa"/>
            <w:shd w:val="clear" w:color="auto" w:fill="C6EFCE"/>
            <w:noWrap/>
          </w:tcPr>
          <w:p w14:paraId="3A3B2EAC" w14:textId="204CAC5F" w:rsidR="000E48CE" w:rsidRDefault="00FF4C4E">
            <w:pPr>
              <w:pStyle w:val="P68B1DB1-Normal13"/>
              <w:spacing w:after="0" w:line="240" w:lineRule="auto"/>
              <w:rPr>
                <w:rFonts w:cs="Times New Roman"/>
                <w:noProof/>
              </w:rPr>
            </w:pPr>
            <w:r>
              <w:rPr>
                <w:noProof/>
              </w:rPr>
              <w:t>Kirjastojen sähköisten kirjojen lisenssit</w:t>
            </w:r>
          </w:p>
        </w:tc>
        <w:tc>
          <w:tcPr>
            <w:tcW w:w="992" w:type="dxa"/>
            <w:shd w:val="clear" w:color="auto" w:fill="C6EFCE"/>
            <w:noWrap/>
          </w:tcPr>
          <w:p w14:paraId="0B7A586D" w14:textId="387D77D4" w:rsidR="000E48CE" w:rsidRDefault="00FF4C4E">
            <w:pPr>
              <w:pStyle w:val="P68B1DB1-Normal13"/>
              <w:spacing w:after="0" w:line="240" w:lineRule="auto"/>
              <w:jc w:val="center"/>
              <w:rPr>
                <w:rFonts w:cs="Times New Roman"/>
                <w:noProof/>
              </w:rPr>
            </w:pPr>
            <w:r>
              <w:rPr>
                <w:noProof/>
              </w:rPr>
              <w:t>—</w:t>
            </w:r>
          </w:p>
        </w:tc>
        <w:tc>
          <w:tcPr>
            <w:tcW w:w="709" w:type="dxa"/>
            <w:shd w:val="clear" w:color="auto" w:fill="C6EFCE"/>
            <w:noWrap/>
          </w:tcPr>
          <w:p w14:paraId="6F9EFC33" w14:textId="406AC626" w:rsidR="000E48CE" w:rsidRDefault="00FF4C4E">
            <w:pPr>
              <w:pStyle w:val="P68B1DB1-Normal13"/>
              <w:spacing w:after="0" w:line="240" w:lineRule="auto"/>
              <w:jc w:val="center"/>
              <w:rPr>
                <w:rFonts w:cs="Times New Roman"/>
                <w:noProof/>
              </w:rPr>
            </w:pPr>
            <w:r>
              <w:rPr>
                <w:noProof/>
              </w:rPr>
              <w:t>Määrä</w:t>
            </w:r>
          </w:p>
        </w:tc>
        <w:tc>
          <w:tcPr>
            <w:tcW w:w="567" w:type="dxa"/>
            <w:shd w:val="clear" w:color="auto" w:fill="C6EFCE"/>
            <w:noWrap/>
          </w:tcPr>
          <w:p w14:paraId="413E2FFB" w14:textId="5B407A3E"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09C388FA" w14:textId="539E7F94" w:rsidR="000E48CE" w:rsidRDefault="00FF4C4E">
            <w:pPr>
              <w:pStyle w:val="P68B1DB1-Normal13"/>
              <w:spacing w:after="0" w:line="240" w:lineRule="auto"/>
              <w:jc w:val="center"/>
              <w:rPr>
                <w:rFonts w:cs="Times New Roman"/>
                <w:noProof/>
              </w:rPr>
            </w:pPr>
            <w:r>
              <w:rPr>
                <w:noProof/>
              </w:rPr>
              <w:t>300 000</w:t>
            </w:r>
          </w:p>
        </w:tc>
        <w:tc>
          <w:tcPr>
            <w:tcW w:w="709" w:type="dxa"/>
            <w:shd w:val="clear" w:color="auto" w:fill="C6EFCE"/>
            <w:noWrap/>
          </w:tcPr>
          <w:p w14:paraId="2D6A9BAA" w14:textId="02912F8E"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6DE28F1D" w14:textId="16DA0573" w:rsidR="000E48CE" w:rsidRDefault="00FF4C4E">
            <w:pPr>
              <w:pStyle w:val="P68B1DB1-Normal13"/>
              <w:spacing w:after="0" w:line="240" w:lineRule="auto"/>
              <w:jc w:val="center"/>
              <w:rPr>
                <w:rFonts w:cs="Times New Roman"/>
                <w:noProof/>
              </w:rPr>
            </w:pPr>
            <w:r>
              <w:rPr>
                <w:noProof/>
              </w:rPr>
              <w:t>2023</w:t>
            </w:r>
          </w:p>
        </w:tc>
        <w:tc>
          <w:tcPr>
            <w:tcW w:w="6837" w:type="dxa"/>
            <w:shd w:val="clear" w:color="auto" w:fill="C6EFCE"/>
            <w:noWrap/>
          </w:tcPr>
          <w:p w14:paraId="27993AE1" w14:textId="450FBC5C" w:rsidR="000E48CE" w:rsidRDefault="00FF4C4E">
            <w:pPr>
              <w:pStyle w:val="P68B1DB1-Normal13"/>
              <w:spacing w:after="0" w:line="240" w:lineRule="auto"/>
              <w:rPr>
                <w:rFonts w:cs="Times New Roman"/>
                <w:noProof/>
              </w:rPr>
            </w:pPr>
            <w:r>
              <w:rPr>
                <w:noProof/>
              </w:rPr>
              <w:t xml:space="preserve">Yleisille kirjastoille ostetut ja niille annetut sähköisten kirjojen lisenssit (vähintään 300000) </w:t>
            </w:r>
          </w:p>
        </w:tc>
      </w:tr>
      <w:tr w:rsidR="000E48CE" w14:paraId="007BE4E8" w14:textId="77777777">
        <w:trPr>
          <w:trHeight w:val="309"/>
        </w:trPr>
        <w:tc>
          <w:tcPr>
            <w:tcW w:w="851" w:type="dxa"/>
            <w:shd w:val="clear" w:color="auto" w:fill="C6EFCE"/>
            <w:noWrap/>
          </w:tcPr>
          <w:p w14:paraId="476522C9" w14:textId="23ED8A21" w:rsidR="000E48CE" w:rsidRDefault="00FF4C4E">
            <w:pPr>
              <w:pStyle w:val="P68B1DB1-Normal13"/>
              <w:spacing w:after="0" w:line="240" w:lineRule="auto"/>
              <w:jc w:val="center"/>
              <w:rPr>
                <w:rFonts w:cs="Times New Roman"/>
                <w:noProof/>
              </w:rPr>
            </w:pPr>
            <w:r>
              <w:rPr>
                <w:noProof/>
              </w:rPr>
              <w:t>359</w:t>
            </w:r>
          </w:p>
        </w:tc>
        <w:tc>
          <w:tcPr>
            <w:tcW w:w="993" w:type="dxa"/>
            <w:shd w:val="clear" w:color="auto" w:fill="C6EFCE"/>
            <w:noWrap/>
          </w:tcPr>
          <w:p w14:paraId="0DF44586" w14:textId="6AD8D732" w:rsidR="000E48CE" w:rsidRDefault="00FF4C4E">
            <w:pPr>
              <w:pStyle w:val="P68B1DB1-Normal13"/>
              <w:spacing w:after="0" w:line="240" w:lineRule="auto"/>
              <w:jc w:val="center"/>
              <w:rPr>
                <w:rFonts w:cs="Times New Roman"/>
                <w:noProof/>
              </w:rPr>
            </w:pPr>
            <w:r>
              <w:rPr>
                <w:noProof/>
              </w:rPr>
              <w:t>C24.I2</w:t>
            </w:r>
          </w:p>
        </w:tc>
        <w:tc>
          <w:tcPr>
            <w:tcW w:w="850" w:type="dxa"/>
            <w:shd w:val="clear" w:color="auto" w:fill="C6EFCE"/>
            <w:noWrap/>
          </w:tcPr>
          <w:p w14:paraId="6F1BEA9C" w14:textId="1BC496BF" w:rsidR="000E48CE" w:rsidRDefault="00FF4C4E">
            <w:pPr>
              <w:pStyle w:val="P68B1DB1-Normal13"/>
              <w:spacing w:after="0" w:line="240" w:lineRule="auto"/>
              <w:jc w:val="center"/>
              <w:rPr>
                <w:rFonts w:cs="Times New Roman"/>
                <w:noProof/>
              </w:rPr>
            </w:pPr>
            <w:r>
              <w:rPr>
                <w:noProof/>
              </w:rPr>
              <w:t>T</w:t>
            </w:r>
          </w:p>
        </w:tc>
        <w:tc>
          <w:tcPr>
            <w:tcW w:w="1701" w:type="dxa"/>
            <w:shd w:val="clear" w:color="auto" w:fill="C6EFCE"/>
            <w:noWrap/>
          </w:tcPr>
          <w:p w14:paraId="1D046713" w14:textId="5FD7E158" w:rsidR="000E48CE" w:rsidRDefault="00FF4C4E">
            <w:pPr>
              <w:pStyle w:val="P68B1DB1-Normal13"/>
              <w:spacing w:after="0" w:line="240" w:lineRule="auto"/>
              <w:rPr>
                <w:rFonts w:cs="Times New Roman"/>
                <w:noProof/>
              </w:rPr>
            </w:pPr>
            <w:r>
              <w:rPr>
                <w:noProof/>
              </w:rPr>
              <w:t xml:space="preserve">Kulttuurialan ja luovien alojen aloitteiden edistäminen </w:t>
            </w:r>
          </w:p>
        </w:tc>
        <w:tc>
          <w:tcPr>
            <w:tcW w:w="992" w:type="dxa"/>
            <w:shd w:val="clear" w:color="auto" w:fill="C6EFCE"/>
            <w:noWrap/>
          </w:tcPr>
          <w:p w14:paraId="4CF2F5E1" w14:textId="77ECE381" w:rsidR="000E48CE" w:rsidRDefault="00FF4C4E">
            <w:pPr>
              <w:pStyle w:val="P68B1DB1-Normal13"/>
              <w:spacing w:after="0" w:line="240" w:lineRule="auto"/>
              <w:jc w:val="center"/>
              <w:rPr>
                <w:rFonts w:cs="Times New Roman"/>
                <w:noProof/>
              </w:rPr>
            </w:pPr>
            <w:r>
              <w:rPr>
                <w:noProof/>
              </w:rPr>
              <w:t>—</w:t>
            </w:r>
          </w:p>
        </w:tc>
        <w:tc>
          <w:tcPr>
            <w:tcW w:w="709" w:type="dxa"/>
            <w:shd w:val="clear" w:color="auto" w:fill="C6EFCE"/>
            <w:noWrap/>
          </w:tcPr>
          <w:p w14:paraId="1FCF9880" w14:textId="55E0B357" w:rsidR="000E48CE" w:rsidRDefault="00FF4C4E">
            <w:pPr>
              <w:pStyle w:val="P68B1DB1-Normal13"/>
              <w:spacing w:after="0" w:line="240" w:lineRule="auto"/>
              <w:jc w:val="center"/>
              <w:rPr>
                <w:rFonts w:cs="Times New Roman"/>
                <w:noProof/>
              </w:rPr>
            </w:pPr>
            <w:r>
              <w:rPr>
                <w:noProof/>
              </w:rPr>
              <w:t>Määrä</w:t>
            </w:r>
          </w:p>
        </w:tc>
        <w:tc>
          <w:tcPr>
            <w:tcW w:w="567" w:type="dxa"/>
            <w:shd w:val="clear" w:color="auto" w:fill="C6EFCE"/>
            <w:noWrap/>
          </w:tcPr>
          <w:p w14:paraId="7A1A1F38" w14:textId="284CE49A"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572C9470" w14:textId="28EAB32D" w:rsidR="000E48CE" w:rsidRDefault="00FF4C4E">
            <w:pPr>
              <w:pStyle w:val="P68B1DB1-Normal13"/>
              <w:spacing w:after="0" w:line="240" w:lineRule="auto"/>
              <w:jc w:val="center"/>
              <w:rPr>
                <w:rFonts w:cs="Times New Roman"/>
                <w:noProof/>
              </w:rPr>
            </w:pPr>
            <w:r>
              <w:rPr>
                <w:noProof/>
              </w:rPr>
              <w:t>400</w:t>
            </w:r>
          </w:p>
        </w:tc>
        <w:tc>
          <w:tcPr>
            <w:tcW w:w="709" w:type="dxa"/>
            <w:shd w:val="clear" w:color="auto" w:fill="C6EFCE"/>
            <w:noWrap/>
          </w:tcPr>
          <w:p w14:paraId="64477882" w14:textId="4EE886E9"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24E6FBAE" w14:textId="498C7003" w:rsidR="000E48CE" w:rsidRDefault="00FF4C4E">
            <w:pPr>
              <w:pStyle w:val="P68B1DB1-Normal13"/>
              <w:spacing w:after="0" w:line="240" w:lineRule="auto"/>
              <w:jc w:val="center"/>
              <w:rPr>
                <w:rFonts w:cs="Times New Roman"/>
                <w:noProof/>
              </w:rPr>
            </w:pPr>
            <w:r>
              <w:rPr>
                <w:noProof/>
              </w:rPr>
              <w:t>2023</w:t>
            </w:r>
          </w:p>
        </w:tc>
        <w:tc>
          <w:tcPr>
            <w:tcW w:w="6837" w:type="dxa"/>
            <w:shd w:val="clear" w:color="auto" w:fill="C6EFCE"/>
            <w:noWrap/>
          </w:tcPr>
          <w:p w14:paraId="4C51FDA1" w14:textId="2BB1F4FD" w:rsidR="000E48CE" w:rsidRDefault="00FF4C4E">
            <w:pPr>
              <w:pStyle w:val="P68B1DB1-Normal13"/>
              <w:spacing w:after="0" w:line="240" w:lineRule="auto"/>
              <w:rPr>
                <w:rFonts w:cs="Times New Roman"/>
                <w:noProof/>
              </w:rPr>
            </w:pPr>
            <w:r>
              <w:rPr>
                <w:noProof/>
              </w:rPr>
              <w:t>Edistetään voittoa tavoittelevien ja voittoa tavoittelemattomien</w:t>
            </w:r>
            <w:r>
              <w:rPr>
                <w:noProof/>
              </w:rPr>
              <w:t xml:space="preserve"> järjestöjen kulttuuritoimintaa kaupunkien ulkopuolisilla alueilla (vähintään 400 aloitetta).</w:t>
            </w:r>
          </w:p>
        </w:tc>
      </w:tr>
      <w:tr w:rsidR="000E48CE" w14:paraId="088863CB" w14:textId="77777777">
        <w:trPr>
          <w:trHeight w:val="309"/>
        </w:trPr>
        <w:tc>
          <w:tcPr>
            <w:tcW w:w="851" w:type="dxa"/>
            <w:shd w:val="clear" w:color="auto" w:fill="C6EFCE"/>
            <w:noWrap/>
          </w:tcPr>
          <w:p w14:paraId="43E4F141" w14:textId="61730DA1" w:rsidR="000E48CE" w:rsidRDefault="00FF4C4E">
            <w:pPr>
              <w:pStyle w:val="P68B1DB1-Normal13"/>
              <w:spacing w:after="0" w:line="240" w:lineRule="auto"/>
              <w:jc w:val="center"/>
              <w:rPr>
                <w:rFonts w:cs="Times New Roman"/>
                <w:noProof/>
              </w:rPr>
            </w:pPr>
            <w:r>
              <w:rPr>
                <w:noProof/>
              </w:rPr>
              <w:t>358</w:t>
            </w:r>
          </w:p>
        </w:tc>
        <w:tc>
          <w:tcPr>
            <w:tcW w:w="993" w:type="dxa"/>
            <w:shd w:val="clear" w:color="auto" w:fill="C6EFCE"/>
            <w:noWrap/>
          </w:tcPr>
          <w:p w14:paraId="4108274D" w14:textId="15DEBE32" w:rsidR="000E48CE" w:rsidRDefault="00FF4C4E">
            <w:pPr>
              <w:pStyle w:val="P68B1DB1-Normal13"/>
              <w:spacing w:after="0" w:line="240" w:lineRule="auto"/>
              <w:jc w:val="center"/>
              <w:rPr>
                <w:rFonts w:cs="Times New Roman"/>
                <w:noProof/>
              </w:rPr>
            </w:pPr>
            <w:r>
              <w:rPr>
                <w:noProof/>
              </w:rPr>
              <w:t>C24.I2</w:t>
            </w:r>
          </w:p>
        </w:tc>
        <w:tc>
          <w:tcPr>
            <w:tcW w:w="850" w:type="dxa"/>
            <w:shd w:val="clear" w:color="auto" w:fill="C6EFCE"/>
            <w:noWrap/>
          </w:tcPr>
          <w:p w14:paraId="70D882E5" w14:textId="1D3347E7" w:rsidR="000E48CE" w:rsidRDefault="00FF4C4E">
            <w:pPr>
              <w:pStyle w:val="P68B1DB1-Normal13"/>
              <w:spacing w:after="0" w:line="240" w:lineRule="auto"/>
              <w:jc w:val="center"/>
              <w:rPr>
                <w:rFonts w:cs="Times New Roman"/>
                <w:noProof/>
              </w:rPr>
            </w:pPr>
            <w:r>
              <w:rPr>
                <w:noProof/>
              </w:rPr>
              <w:t>T</w:t>
            </w:r>
          </w:p>
        </w:tc>
        <w:tc>
          <w:tcPr>
            <w:tcW w:w="1701" w:type="dxa"/>
            <w:shd w:val="clear" w:color="auto" w:fill="C6EFCE"/>
            <w:noWrap/>
          </w:tcPr>
          <w:p w14:paraId="3D2287CC" w14:textId="535A242F" w:rsidR="000E48CE" w:rsidRDefault="00FF4C4E">
            <w:pPr>
              <w:pStyle w:val="P68B1DB1-Normal13"/>
              <w:spacing w:after="0" w:line="240" w:lineRule="auto"/>
              <w:rPr>
                <w:rFonts w:cs="Times New Roman"/>
                <w:noProof/>
              </w:rPr>
            </w:pPr>
            <w:r>
              <w:rPr>
                <w:noProof/>
              </w:rPr>
              <w:t>Kirjastojen kirjojen ostot</w:t>
            </w:r>
          </w:p>
        </w:tc>
        <w:tc>
          <w:tcPr>
            <w:tcW w:w="992" w:type="dxa"/>
            <w:shd w:val="clear" w:color="auto" w:fill="C6EFCE"/>
            <w:noWrap/>
          </w:tcPr>
          <w:p w14:paraId="70C079A5" w14:textId="442B12EA" w:rsidR="000E48CE" w:rsidRDefault="00FF4C4E">
            <w:pPr>
              <w:pStyle w:val="P68B1DB1-Normal13"/>
              <w:spacing w:after="0" w:line="240" w:lineRule="auto"/>
              <w:jc w:val="center"/>
              <w:rPr>
                <w:rFonts w:cs="Times New Roman"/>
                <w:noProof/>
              </w:rPr>
            </w:pPr>
            <w:r>
              <w:rPr>
                <w:noProof/>
              </w:rPr>
              <w:t>—</w:t>
            </w:r>
          </w:p>
        </w:tc>
        <w:tc>
          <w:tcPr>
            <w:tcW w:w="709" w:type="dxa"/>
            <w:shd w:val="clear" w:color="auto" w:fill="C6EFCE"/>
            <w:noWrap/>
          </w:tcPr>
          <w:p w14:paraId="2307954C" w14:textId="43816DCE" w:rsidR="000E48CE" w:rsidRDefault="00FF4C4E">
            <w:pPr>
              <w:pStyle w:val="P68B1DB1-Normal13"/>
              <w:spacing w:after="0" w:line="240" w:lineRule="auto"/>
              <w:jc w:val="center"/>
              <w:rPr>
                <w:rFonts w:cs="Times New Roman"/>
                <w:noProof/>
              </w:rPr>
            </w:pPr>
            <w:r>
              <w:rPr>
                <w:noProof/>
              </w:rPr>
              <w:t>Määrä</w:t>
            </w:r>
          </w:p>
        </w:tc>
        <w:tc>
          <w:tcPr>
            <w:tcW w:w="567" w:type="dxa"/>
            <w:shd w:val="clear" w:color="auto" w:fill="C6EFCE"/>
            <w:noWrap/>
          </w:tcPr>
          <w:p w14:paraId="74F73CE1" w14:textId="575E46A9" w:rsidR="000E48CE" w:rsidRDefault="00FF4C4E">
            <w:pPr>
              <w:pStyle w:val="P68B1DB1-Normal13"/>
              <w:spacing w:after="0" w:line="240" w:lineRule="auto"/>
              <w:jc w:val="right"/>
              <w:rPr>
                <w:rFonts w:cs="Times New Roman"/>
                <w:noProof/>
              </w:rPr>
            </w:pPr>
            <w:r>
              <w:rPr>
                <w:noProof/>
              </w:rPr>
              <w:t>0</w:t>
            </w:r>
          </w:p>
        </w:tc>
        <w:tc>
          <w:tcPr>
            <w:tcW w:w="709" w:type="dxa"/>
            <w:shd w:val="clear" w:color="auto" w:fill="C6EFCE"/>
            <w:noWrap/>
          </w:tcPr>
          <w:p w14:paraId="4BE76D63" w14:textId="56C99E88" w:rsidR="000E48CE" w:rsidRDefault="00FF4C4E">
            <w:pPr>
              <w:pStyle w:val="P68B1DB1-Normal13"/>
              <w:spacing w:after="0" w:line="240" w:lineRule="auto"/>
              <w:jc w:val="center"/>
              <w:rPr>
                <w:rFonts w:cs="Times New Roman"/>
                <w:noProof/>
              </w:rPr>
            </w:pPr>
            <w:r>
              <w:rPr>
                <w:noProof/>
              </w:rPr>
              <w:t>450 000</w:t>
            </w:r>
          </w:p>
        </w:tc>
        <w:tc>
          <w:tcPr>
            <w:tcW w:w="709" w:type="dxa"/>
            <w:shd w:val="clear" w:color="auto" w:fill="C6EFCE"/>
            <w:noWrap/>
          </w:tcPr>
          <w:p w14:paraId="085C4D4E" w14:textId="0FD398C8"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580E50BF" w14:textId="4398EE2C" w:rsidR="000E48CE" w:rsidRDefault="00FF4C4E">
            <w:pPr>
              <w:pStyle w:val="P68B1DB1-Normal13"/>
              <w:spacing w:after="0" w:line="240" w:lineRule="auto"/>
              <w:jc w:val="center"/>
              <w:rPr>
                <w:rFonts w:cs="Times New Roman"/>
                <w:noProof/>
              </w:rPr>
            </w:pPr>
            <w:r>
              <w:rPr>
                <w:noProof/>
              </w:rPr>
              <w:t>2024</w:t>
            </w:r>
          </w:p>
        </w:tc>
        <w:tc>
          <w:tcPr>
            <w:tcW w:w="6837" w:type="dxa"/>
            <w:shd w:val="clear" w:color="auto" w:fill="C6EFCE"/>
            <w:noWrap/>
          </w:tcPr>
          <w:p w14:paraId="383C9E0E" w14:textId="5CF5ECB1" w:rsidR="000E48CE" w:rsidRDefault="00FF4C4E">
            <w:pPr>
              <w:pStyle w:val="P68B1DB1-Normal13"/>
              <w:spacing w:after="0" w:line="240" w:lineRule="auto"/>
              <w:rPr>
                <w:rFonts w:cs="Times New Roman"/>
                <w:noProof/>
              </w:rPr>
            </w:pPr>
            <w:r>
              <w:rPr>
                <w:noProof/>
              </w:rPr>
              <w:t xml:space="preserve">Paperikirjat, jotka on ostettu ja siirretty julkisiin kirjastoihin (vähintään 450000) </w:t>
            </w:r>
          </w:p>
        </w:tc>
      </w:tr>
      <w:tr w:rsidR="000E48CE" w14:paraId="7A3790D5" w14:textId="77777777">
        <w:trPr>
          <w:trHeight w:val="309"/>
        </w:trPr>
        <w:tc>
          <w:tcPr>
            <w:tcW w:w="851" w:type="dxa"/>
            <w:shd w:val="clear" w:color="auto" w:fill="C6EFCE"/>
            <w:noWrap/>
          </w:tcPr>
          <w:p w14:paraId="0AB7620F" w14:textId="77777777" w:rsidR="000E48CE" w:rsidRDefault="00FF4C4E">
            <w:pPr>
              <w:pStyle w:val="P68B1DB1-Normal13"/>
              <w:spacing w:after="0" w:line="240" w:lineRule="auto"/>
              <w:jc w:val="center"/>
              <w:rPr>
                <w:rFonts w:eastAsia="Times New Roman" w:cs="Times New Roman"/>
                <w:noProof/>
              </w:rPr>
            </w:pPr>
            <w:r>
              <w:rPr>
                <w:noProof/>
              </w:rPr>
              <w:t>356</w:t>
            </w:r>
          </w:p>
        </w:tc>
        <w:tc>
          <w:tcPr>
            <w:tcW w:w="993" w:type="dxa"/>
            <w:shd w:val="clear" w:color="auto" w:fill="C6EFCE"/>
            <w:noWrap/>
          </w:tcPr>
          <w:p w14:paraId="38397E2A" w14:textId="77777777" w:rsidR="000E48CE" w:rsidRDefault="00FF4C4E">
            <w:pPr>
              <w:pStyle w:val="P68B1DB1-Normal13"/>
              <w:spacing w:after="0" w:line="240" w:lineRule="auto"/>
              <w:jc w:val="center"/>
              <w:rPr>
                <w:rFonts w:eastAsia="Times New Roman" w:cs="Times New Roman"/>
                <w:noProof/>
              </w:rPr>
            </w:pPr>
            <w:r>
              <w:rPr>
                <w:noProof/>
              </w:rPr>
              <w:t>C24.I2</w:t>
            </w:r>
          </w:p>
        </w:tc>
        <w:tc>
          <w:tcPr>
            <w:tcW w:w="850" w:type="dxa"/>
            <w:shd w:val="clear" w:color="auto" w:fill="C6EFCE"/>
            <w:noWrap/>
          </w:tcPr>
          <w:p w14:paraId="10A9EB40" w14:textId="77777777" w:rsidR="000E48CE" w:rsidRDefault="00FF4C4E">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61B2AF7E" w14:textId="77777777" w:rsidR="000E48CE" w:rsidRDefault="00FF4C4E">
            <w:pPr>
              <w:pStyle w:val="P68B1DB1-Normal13"/>
              <w:spacing w:after="0" w:line="240" w:lineRule="auto"/>
              <w:rPr>
                <w:rFonts w:eastAsia="Times New Roman" w:cs="Times New Roman"/>
                <w:noProof/>
              </w:rPr>
            </w:pPr>
            <w:r>
              <w:rPr>
                <w:noProof/>
              </w:rPr>
              <w:t>Espanjan kulttuuriperinnön säilyttäminen, restaurointi ja vaaliminen</w:t>
            </w:r>
          </w:p>
        </w:tc>
        <w:tc>
          <w:tcPr>
            <w:tcW w:w="992" w:type="dxa"/>
            <w:shd w:val="clear" w:color="auto" w:fill="C6EFCE"/>
            <w:noWrap/>
          </w:tcPr>
          <w:p w14:paraId="1F036C49"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15DFB7E"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shd w:val="clear" w:color="auto" w:fill="C6EFCE"/>
            <w:noWrap/>
          </w:tcPr>
          <w:p w14:paraId="6D85FBD8"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81B7CF6" w14:textId="65448DF9" w:rsidR="000E48CE" w:rsidRDefault="00FF4C4E">
            <w:pPr>
              <w:pStyle w:val="P68B1DB1-Normal13"/>
              <w:spacing w:after="0" w:line="240" w:lineRule="auto"/>
              <w:jc w:val="center"/>
              <w:rPr>
                <w:rFonts w:eastAsia="Times New Roman" w:cs="Times New Roman"/>
                <w:noProof/>
              </w:rPr>
            </w:pPr>
            <w:r>
              <w:rPr>
                <w:noProof/>
              </w:rPr>
              <w:t>19</w:t>
            </w:r>
          </w:p>
        </w:tc>
        <w:tc>
          <w:tcPr>
            <w:tcW w:w="709" w:type="dxa"/>
            <w:shd w:val="clear" w:color="auto" w:fill="C6EFCE"/>
            <w:noWrap/>
          </w:tcPr>
          <w:p w14:paraId="6195CDFF" w14:textId="44759E5F"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4B0C874D" w14:textId="6F4976BB" w:rsidR="000E48CE" w:rsidRDefault="00FF4C4E">
            <w:pPr>
              <w:pStyle w:val="P68B1DB1-Normal13"/>
              <w:spacing w:after="0" w:line="240" w:lineRule="auto"/>
              <w:jc w:val="center"/>
              <w:rPr>
                <w:rFonts w:eastAsia="Times New Roman" w:cs="Times New Roman"/>
                <w:noProof/>
              </w:rPr>
            </w:pPr>
            <w:r>
              <w:rPr>
                <w:noProof/>
              </w:rPr>
              <w:t>2025</w:t>
            </w:r>
          </w:p>
        </w:tc>
        <w:tc>
          <w:tcPr>
            <w:tcW w:w="6837" w:type="dxa"/>
            <w:shd w:val="clear" w:color="auto" w:fill="C6EFCE"/>
            <w:noWrap/>
          </w:tcPr>
          <w:p w14:paraId="3AAF82BE" w14:textId="705CC410" w:rsidR="000E48CE" w:rsidRDefault="00FF4C4E">
            <w:pPr>
              <w:pStyle w:val="P68B1DB1-Normal13"/>
              <w:spacing w:after="0" w:line="240" w:lineRule="auto"/>
              <w:rPr>
                <w:rFonts w:eastAsia="Times New Roman" w:cs="Times New Roman"/>
                <w:noProof/>
              </w:rPr>
            </w:pPr>
            <w:r>
              <w:rPr>
                <w:noProof/>
              </w:rPr>
              <w:t>Kulttuurikohteet, joita tuetaan toimenpiteillä Espanjan kulttuuriperinnön säilyttämiseksi, restauroimiseksi ja parantamiseksi: vähintään 19 paikkaa vähintään 15 alueella noudattaen teknisiä ohjeita ”ei merkittävää haittaa” (2021/C58/01) käyttämällä poissul</w:t>
            </w:r>
            <w:r>
              <w:rPr>
                <w:noProof/>
              </w:rPr>
              <w:t xml:space="preserve">kemisluetteloa ja asiaankuuluvan EU:n ja kansallisen ympäristölainsäädännön noudattamista koskevaa vaatimusta. </w:t>
            </w:r>
          </w:p>
        </w:tc>
      </w:tr>
      <w:tr w:rsidR="000E48CE" w14:paraId="08616C98" w14:textId="77777777">
        <w:trPr>
          <w:trHeight w:val="309"/>
        </w:trPr>
        <w:tc>
          <w:tcPr>
            <w:tcW w:w="851" w:type="dxa"/>
            <w:shd w:val="clear" w:color="auto" w:fill="C6EFCE"/>
            <w:noWrap/>
          </w:tcPr>
          <w:p w14:paraId="7998F435" w14:textId="1B76DA72" w:rsidR="000E48CE" w:rsidRDefault="00FF4C4E">
            <w:pPr>
              <w:pStyle w:val="P68B1DB1-Normal13"/>
              <w:spacing w:after="0" w:line="240" w:lineRule="auto"/>
              <w:jc w:val="center"/>
              <w:rPr>
                <w:rFonts w:cs="Times New Roman"/>
                <w:noProof/>
              </w:rPr>
            </w:pPr>
            <w:r>
              <w:rPr>
                <w:noProof/>
              </w:rPr>
              <w:t>474</w:t>
            </w:r>
          </w:p>
        </w:tc>
        <w:tc>
          <w:tcPr>
            <w:tcW w:w="993" w:type="dxa"/>
            <w:shd w:val="clear" w:color="auto" w:fill="C6EFCE"/>
            <w:noWrap/>
          </w:tcPr>
          <w:p w14:paraId="7BDD887E" w14:textId="39A7132B" w:rsidR="000E48CE" w:rsidRDefault="00FF4C4E">
            <w:pPr>
              <w:pStyle w:val="P68B1DB1-Normal13"/>
              <w:spacing w:after="0" w:line="240" w:lineRule="auto"/>
              <w:jc w:val="center"/>
              <w:rPr>
                <w:rFonts w:cs="Times New Roman"/>
                <w:noProof/>
              </w:rPr>
            </w:pPr>
            <w:r>
              <w:rPr>
                <w:noProof/>
              </w:rPr>
              <w:t>C24.I2</w:t>
            </w:r>
          </w:p>
        </w:tc>
        <w:tc>
          <w:tcPr>
            <w:tcW w:w="850" w:type="dxa"/>
            <w:shd w:val="clear" w:color="auto" w:fill="C6EFCE"/>
            <w:noWrap/>
          </w:tcPr>
          <w:p w14:paraId="7CCA31B2" w14:textId="59972499" w:rsidR="000E48CE" w:rsidRDefault="00FF4C4E">
            <w:pPr>
              <w:pStyle w:val="P68B1DB1-Normal13"/>
              <w:spacing w:after="0" w:line="240" w:lineRule="auto"/>
              <w:jc w:val="center"/>
              <w:rPr>
                <w:rFonts w:cs="Times New Roman"/>
                <w:noProof/>
              </w:rPr>
            </w:pPr>
            <w:r>
              <w:rPr>
                <w:noProof/>
              </w:rPr>
              <w:t>T</w:t>
            </w:r>
          </w:p>
        </w:tc>
        <w:tc>
          <w:tcPr>
            <w:tcW w:w="1701" w:type="dxa"/>
            <w:shd w:val="clear" w:color="auto" w:fill="C6EFCE"/>
            <w:noWrap/>
          </w:tcPr>
          <w:p w14:paraId="73E17777" w14:textId="1663E278" w:rsidR="000E48CE" w:rsidRDefault="00FF4C4E">
            <w:pPr>
              <w:pStyle w:val="P68B1DB1-Normal13"/>
              <w:spacing w:after="0" w:line="240" w:lineRule="auto"/>
              <w:rPr>
                <w:rFonts w:cs="Times New Roman"/>
                <w:noProof/>
              </w:rPr>
            </w:pPr>
            <w:r>
              <w:rPr>
                <w:noProof/>
              </w:rPr>
              <w:t>Espanjan kulttuuriperinnön säilyttäminen, ennallistaminen ja vaaliminen (Tabacalera)</w:t>
            </w:r>
          </w:p>
        </w:tc>
        <w:tc>
          <w:tcPr>
            <w:tcW w:w="992" w:type="dxa"/>
            <w:shd w:val="clear" w:color="auto" w:fill="C6EFCE"/>
            <w:noWrap/>
          </w:tcPr>
          <w:p w14:paraId="2BB10F89" w14:textId="77777777" w:rsidR="000E48CE" w:rsidRDefault="000E48CE">
            <w:pPr>
              <w:spacing w:after="0" w:line="240" w:lineRule="auto"/>
              <w:jc w:val="center"/>
              <w:rPr>
                <w:rFonts w:ascii="Times New Roman" w:hAnsi="Times New Roman" w:cs="Times New Roman"/>
                <w:noProof/>
                <w:sz w:val="18"/>
              </w:rPr>
            </w:pPr>
          </w:p>
        </w:tc>
        <w:tc>
          <w:tcPr>
            <w:tcW w:w="709" w:type="dxa"/>
            <w:shd w:val="clear" w:color="auto" w:fill="C6EFCE"/>
            <w:noWrap/>
          </w:tcPr>
          <w:p w14:paraId="42ADC5A0" w14:textId="77777777"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tcPr>
          <w:p w14:paraId="1F835036" w14:textId="77777777" w:rsidR="000E48CE" w:rsidRDefault="000E48CE">
            <w:pPr>
              <w:spacing w:after="0" w:line="240" w:lineRule="auto"/>
              <w:jc w:val="right"/>
              <w:rPr>
                <w:rFonts w:ascii="Times New Roman" w:hAnsi="Times New Roman" w:cs="Times New Roman"/>
                <w:noProof/>
                <w:sz w:val="18"/>
              </w:rPr>
            </w:pPr>
          </w:p>
        </w:tc>
        <w:tc>
          <w:tcPr>
            <w:tcW w:w="709" w:type="dxa"/>
            <w:shd w:val="clear" w:color="auto" w:fill="C6EFCE"/>
            <w:noWrap/>
          </w:tcPr>
          <w:p w14:paraId="0BA8ED3B" w14:textId="77777777" w:rsidR="000E48CE" w:rsidRDefault="000E48CE">
            <w:pPr>
              <w:spacing w:after="0" w:line="240" w:lineRule="auto"/>
              <w:jc w:val="center"/>
              <w:rPr>
                <w:rFonts w:ascii="Times New Roman" w:hAnsi="Times New Roman" w:cs="Times New Roman"/>
                <w:noProof/>
                <w:sz w:val="18"/>
              </w:rPr>
            </w:pPr>
          </w:p>
        </w:tc>
        <w:tc>
          <w:tcPr>
            <w:tcW w:w="709" w:type="dxa"/>
            <w:shd w:val="clear" w:color="auto" w:fill="C6EFCE"/>
            <w:noWrap/>
          </w:tcPr>
          <w:p w14:paraId="6AA19A17" w14:textId="10F3C3C1" w:rsidR="000E48CE" w:rsidRDefault="00FF4C4E">
            <w:pPr>
              <w:pStyle w:val="P68B1DB1-Normal13"/>
              <w:spacing w:after="0" w:line="240" w:lineRule="auto"/>
              <w:jc w:val="center"/>
              <w:rPr>
                <w:rFonts w:cs="Times New Roman"/>
                <w:noProof/>
              </w:rPr>
            </w:pPr>
            <w:r>
              <w:rPr>
                <w:noProof/>
              </w:rPr>
              <w:t>Q2</w:t>
            </w:r>
          </w:p>
        </w:tc>
        <w:tc>
          <w:tcPr>
            <w:tcW w:w="567" w:type="dxa"/>
            <w:shd w:val="clear" w:color="auto" w:fill="C6EFCE"/>
            <w:noWrap/>
          </w:tcPr>
          <w:p w14:paraId="54A16442" w14:textId="72A97264" w:rsidR="000E48CE" w:rsidRDefault="00FF4C4E">
            <w:pPr>
              <w:pStyle w:val="P68B1DB1-Normal13"/>
              <w:spacing w:after="0" w:line="240" w:lineRule="auto"/>
              <w:jc w:val="center"/>
              <w:rPr>
                <w:rFonts w:cs="Times New Roman"/>
                <w:noProof/>
              </w:rPr>
            </w:pPr>
            <w:r>
              <w:rPr>
                <w:noProof/>
              </w:rPr>
              <w:t>2026</w:t>
            </w:r>
          </w:p>
        </w:tc>
        <w:tc>
          <w:tcPr>
            <w:tcW w:w="6837" w:type="dxa"/>
            <w:shd w:val="clear" w:color="auto" w:fill="C6EFCE"/>
            <w:noWrap/>
          </w:tcPr>
          <w:p w14:paraId="4E901423" w14:textId="699657C4" w:rsidR="000E48CE" w:rsidRDefault="00FF4C4E">
            <w:pPr>
              <w:pStyle w:val="P68B1DB1-Normal13"/>
              <w:spacing w:after="0" w:line="240" w:lineRule="auto"/>
              <w:rPr>
                <w:rFonts w:cs="Times New Roman"/>
                <w:noProof/>
              </w:rPr>
            </w:pPr>
            <w:r>
              <w:rPr>
                <w:noProof/>
              </w:rPr>
              <w:t>Madridissa sijaitseva Tabacaleran</w:t>
            </w:r>
            <w:r>
              <w:rPr>
                <w:noProof/>
              </w:rPr>
              <w:t xml:space="preserve"> kulttuurikohde sai tukea Espanjan kulttuuriperinnön säilyttämiseen, restaurointiin ja parantamiseen tähtäävillä toimenpiteillä.</w:t>
            </w:r>
          </w:p>
        </w:tc>
      </w:tr>
      <w:tr w:rsidR="000E48CE" w14:paraId="339482E8" w14:textId="77777777">
        <w:trPr>
          <w:trHeight w:val="309"/>
        </w:trPr>
        <w:tc>
          <w:tcPr>
            <w:tcW w:w="851" w:type="dxa"/>
            <w:shd w:val="clear" w:color="auto" w:fill="C6EFCE"/>
            <w:noWrap/>
          </w:tcPr>
          <w:p w14:paraId="4ED03302" w14:textId="77777777" w:rsidR="000E48CE" w:rsidRDefault="00FF4C4E">
            <w:pPr>
              <w:pStyle w:val="P68B1DB1-Normal13"/>
              <w:spacing w:after="0" w:line="240" w:lineRule="auto"/>
              <w:jc w:val="center"/>
              <w:rPr>
                <w:rFonts w:eastAsia="Times New Roman" w:cs="Times New Roman"/>
                <w:noProof/>
              </w:rPr>
            </w:pPr>
            <w:r>
              <w:rPr>
                <w:noProof/>
              </w:rPr>
              <w:t>360</w:t>
            </w:r>
          </w:p>
        </w:tc>
        <w:tc>
          <w:tcPr>
            <w:tcW w:w="993" w:type="dxa"/>
            <w:shd w:val="clear" w:color="auto" w:fill="C6EFCE"/>
            <w:noWrap/>
          </w:tcPr>
          <w:p w14:paraId="2441C253" w14:textId="77777777" w:rsidR="000E48CE" w:rsidRDefault="00FF4C4E">
            <w:pPr>
              <w:pStyle w:val="P68B1DB1-Normal13"/>
              <w:spacing w:after="0" w:line="240" w:lineRule="auto"/>
              <w:jc w:val="center"/>
              <w:rPr>
                <w:rFonts w:eastAsia="Times New Roman" w:cs="Times New Roman"/>
                <w:noProof/>
              </w:rPr>
            </w:pPr>
            <w:r>
              <w:rPr>
                <w:noProof/>
              </w:rPr>
              <w:t>C24.I3</w:t>
            </w:r>
          </w:p>
        </w:tc>
        <w:tc>
          <w:tcPr>
            <w:tcW w:w="850" w:type="dxa"/>
            <w:shd w:val="clear" w:color="auto" w:fill="C6EFCE"/>
            <w:noWrap/>
          </w:tcPr>
          <w:p w14:paraId="09C8B888" w14:textId="77777777" w:rsidR="000E48CE" w:rsidRDefault="00FF4C4E">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745BECBB" w14:textId="77777777" w:rsidR="000E48CE" w:rsidRDefault="00FF4C4E">
            <w:pPr>
              <w:pStyle w:val="P68B1DB1-Normal13"/>
              <w:spacing w:after="0" w:line="240" w:lineRule="auto"/>
              <w:rPr>
                <w:rFonts w:eastAsia="Times New Roman" w:cs="Times New Roman"/>
                <w:noProof/>
              </w:rPr>
            </w:pPr>
            <w:r>
              <w:rPr>
                <w:noProof/>
              </w:rPr>
              <w:t xml:space="preserve">Digitalisaatio ja tärkeimpien kulttuuripalvelujen edistäminen </w:t>
            </w:r>
          </w:p>
        </w:tc>
        <w:tc>
          <w:tcPr>
            <w:tcW w:w="992" w:type="dxa"/>
            <w:shd w:val="clear" w:color="auto" w:fill="C6EFCE"/>
            <w:noWrap/>
          </w:tcPr>
          <w:p w14:paraId="0595AC09"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59F59089" w14:textId="77777777" w:rsidR="000E48CE" w:rsidRDefault="00FF4C4E">
            <w:pPr>
              <w:pStyle w:val="P68B1DB1-Normal13"/>
              <w:spacing w:after="0" w:line="240" w:lineRule="auto"/>
              <w:jc w:val="center"/>
              <w:rPr>
                <w:rFonts w:eastAsia="Times New Roman" w:cs="Times New Roman"/>
                <w:noProof/>
              </w:rPr>
            </w:pPr>
            <w:r>
              <w:rPr>
                <w:noProof/>
              </w:rPr>
              <w:t>Miljoonaa euroa</w:t>
            </w:r>
          </w:p>
        </w:tc>
        <w:tc>
          <w:tcPr>
            <w:tcW w:w="567" w:type="dxa"/>
            <w:shd w:val="clear" w:color="auto" w:fill="C6EFCE"/>
            <w:noWrap/>
          </w:tcPr>
          <w:p w14:paraId="3CB6CB9C"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BADF278" w14:textId="77777777" w:rsidR="000E48CE" w:rsidRDefault="00FF4C4E">
            <w:pPr>
              <w:pStyle w:val="P68B1DB1-Normal13"/>
              <w:spacing w:after="0" w:line="240" w:lineRule="auto"/>
              <w:jc w:val="center"/>
              <w:rPr>
                <w:rFonts w:eastAsia="Times New Roman" w:cs="Times New Roman"/>
                <w:noProof/>
              </w:rPr>
            </w:pPr>
            <w:r>
              <w:rPr>
                <w:noProof/>
              </w:rPr>
              <w:t>40</w:t>
            </w:r>
          </w:p>
        </w:tc>
        <w:tc>
          <w:tcPr>
            <w:tcW w:w="709" w:type="dxa"/>
            <w:shd w:val="clear" w:color="auto" w:fill="C6EFCE"/>
            <w:noWrap/>
          </w:tcPr>
          <w:p w14:paraId="6B3BB46A" w14:textId="77777777" w:rsidR="000E48CE" w:rsidRDefault="00FF4C4E">
            <w:pPr>
              <w:pStyle w:val="P68B1DB1-Normal13"/>
              <w:spacing w:after="0" w:line="240" w:lineRule="auto"/>
              <w:jc w:val="center"/>
              <w:rPr>
                <w:rFonts w:eastAsia="Times New Roman" w:cs="Times New Roman"/>
                <w:noProof/>
              </w:rPr>
            </w:pPr>
            <w:r>
              <w:rPr>
                <w:noProof/>
              </w:rPr>
              <w:t>Q2</w:t>
            </w:r>
          </w:p>
        </w:tc>
        <w:tc>
          <w:tcPr>
            <w:tcW w:w="567" w:type="dxa"/>
            <w:shd w:val="clear" w:color="auto" w:fill="C6EFCE"/>
            <w:noWrap/>
          </w:tcPr>
          <w:p w14:paraId="6C854A01"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837" w:type="dxa"/>
            <w:shd w:val="clear" w:color="auto" w:fill="C6EFCE"/>
            <w:noWrap/>
          </w:tcPr>
          <w:p w14:paraId="5075002C" w14:textId="77777777" w:rsidR="000E48CE" w:rsidRDefault="00FF4C4E">
            <w:pPr>
              <w:pStyle w:val="P68B1DB1-Normal13"/>
              <w:spacing w:after="0" w:line="240" w:lineRule="auto"/>
              <w:rPr>
                <w:rFonts w:eastAsia="Times New Roman" w:cs="Times New Roman"/>
                <w:noProof/>
              </w:rPr>
            </w:pPr>
            <w:r>
              <w:rPr>
                <w:noProof/>
              </w:rPr>
              <w:t xml:space="preserve">Vähintään 40000000 euron kumulatiivinen talousarvio, jolla osallistutaan a) edistetään ja digitalisoidaan kansallinen Pradomuse ja Reina Sofia -museo; </w:t>
            </w:r>
            <w:r>
              <w:rPr>
                <w:noProof/>
              </w:rPr>
              <w:br/>
              <w:t xml:space="preserve">Toimet Espanjan kansalliskirjaston digitaalisen kokoelman vuotuisten käyttäjien lisäämiseksi </w:t>
            </w:r>
            <w:r>
              <w:rPr>
                <w:noProof/>
              </w:rPr>
              <w:br/>
              <w:t>— Muun bib</w:t>
            </w:r>
            <w:r>
              <w:rPr>
                <w:noProof/>
              </w:rPr>
              <w:t>liografisen perinnön digitalisointi [digitoidut biografiset kulttuuriperintökokoelmat];</w:t>
            </w:r>
            <w:r>
              <w:rPr>
                <w:noProof/>
              </w:rPr>
              <w:br/>
              <w:t>— Bibliografisen perinnön digitaalinen saatavuus ja kaikentyyppisten julkisten arkistojärjestelmien yhteentoimivuus sekä Espanjan historiallisen perinnön inventaario- j</w:t>
            </w:r>
            <w:r>
              <w:rPr>
                <w:noProof/>
              </w:rPr>
              <w:t>a arkistojärjestelmien tiedontallennuskapasiteetin laajentaminen;</w:t>
            </w:r>
            <w:r>
              <w:rPr>
                <w:noProof/>
              </w:rPr>
              <w:br/>
              <w:t>Yhdennetyn järjestelmän loppuun saattaminen INAEMin resurssien, resurssien, rakenteiden ja infrastruktuurin digitalisointia ja luettelointia varten</w:t>
            </w:r>
          </w:p>
        </w:tc>
      </w:tr>
      <w:tr w:rsidR="000E48CE" w14:paraId="6111FB52" w14:textId="77777777">
        <w:trPr>
          <w:trHeight w:val="309"/>
        </w:trPr>
        <w:tc>
          <w:tcPr>
            <w:tcW w:w="851" w:type="dxa"/>
            <w:shd w:val="clear" w:color="auto" w:fill="C6EFCE"/>
            <w:noWrap/>
          </w:tcPr>
          <w:p w14:paraId="636EDFD6" w14:textId="77777777" w:rsidR="000E48CE" w:rsidRDefault="00FF4C4E">
            <w:pPr>
              <w:pStyle w:val="P68B1DB1-Normal13"/>
              <w:spacing w:after="0" w:line="240" w:lineRule="auto"/>
              <w:jc w:val="center"/>
              <w:rPr>
                <w:rFonts w:eastAsia="Times New Roman" w:cs="Times New Roman"/>
                <w:noProof/>
              </w:rPr>
            </w:pPr>
            <w:r>
              <w:rPr>
                <w:noProof/>
              </w:rPr>
              <w:t>361</w:t>
            </w:r>
          </w:p>
        </w:tc>
        <w:tc>
          <w:tcPr>
            <w:tcW w:w="993" w:type="dxa"/>
            <w:shd w:val="clear" w:color="auto" w:fill="C6EFCE"/>
            <w:noWrap/>
          </w:tcPr>
          <w:p w14:paraId="2F8E019D" w14:textId="77777777" w:rsidR="000E48CE" w:rsidRDefault="00FF4C4E">
            <w:pPr>
              <w:pStyle w:val="P68B1DB1-Normal13"/>
              <w:spacing w:after="0" w:line="240" w:lineRule="auto"/>
              <w:jc w:val="center"/>
              <w:rPr>
                <w:rFonts w:eastAsia="Times New Roman" w:cs="Times New Roman"/>
                <w:noProof/>
              </w:rPr>
            </w:pPr>
            <w:r>
              <w:rPr>
                <w:noProof/>
              </w:rPr>
              <w:t>C24.I3</w:t>
            </w:r>
          </w:p>
        </w:tc>
        <w:tc>
          <w:tcPr>
            <w:tcW w:w="850" w:type="dxa"/>
            <w:shd w:val="clear" w:color="auto" w:fill="C6EFCE"/>
            <w:noWrap/>
          </w:tcPr>
          <w:p w14:paraId="75E0BAF3" w14:textId="77777777" w:rsidR="000E48CE" w:rsidRDefault="00FF4C4E">
            <w:pPr>
              <w:pStyle w:val="P68B1DB1-Normal13"/>
              <w:spacing w:after="0" w:line="240" w:lineRule="auto"/>
              <w:jc w:val="center"/>
              <w:rPr>
                <w:rFonts w:eastAsia="Times New Roman" w:cs="Times New Roman"/>
                <w:noProof/>
              </w:rPr>
            </w:pPr>
            <w:r>
              <w:rPr>
                <w:noProof/>
              </w:rPr>
              <w:t>T</w:t>
            </w:r>
          </w:p>
        </w:tc>
        <w:tc>
          <w:tcPr>
            <w:tcW w:w="1701" w:type="dxa"/>
            <w:shd w:val="clear" w:color="auto" w:fill="C6EFCE"/>
            <w:noWrap/>
          </w:tcPr>
          <w:p w14:paraId="4970F117" w14:textId="77777777" w:rsidR="000E48CE" w:rsidRDefault="00FF4C4E">
            <w:pPr>
              <w:pStyle w:val="P68B1DB1-Normal13"/>
              <w:spacing w:after="0" w:line="240" w:lineRule="auto"/>
              <w:rPr>
                <w:rFonts w:eastAsia="Times New Roman" w:cs="Times New Roman"/>
                <w:noProof/>
              </w:rPr>
            </w:pPr>
            <w:r>
              <w:rPr>
                <w:noProof/>
              </w:rPr>
              <w:t xml:space="preserve">Digitalisaation loppuun saattaminen ja tärkeimpien kulttuuripalvelujen edistäminen </w:t>
            </w:r>
          </w:p>
        </w:tc>
        <w:tc>
          <w:tcPr>
            <w:tcW w:w="992" w:type="dxa"/>
            <w:shd w:val="clear" w:color="auto" w:fill="C6EFCE"/>
            <w:noWrap/>
          </w:tcPr>
          <w:p w14:paraId="0CDDE017" w14:textId="77777777" w:rsidR="000E48CE" w:rsidRDefault="00FF4C4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6EA98F0"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shd w:val="clear" w:color="auto" w:fill="C6EFCE"/>
            <w:noWrap/>
          </w:tcPr>
          <w:p w14:paraId="60FA0D12" w14:textId="77777777" w:rsidR="000E48CE" w:rsidRDefault="00FF4C4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73D45C3A" w14:textId="77777777" w:rsidR="000E48CE" w:rsidRDefault="00FF4C4E">
            <w:pPr>
              <w:pStyle w:val="P68B1DB1-Normal13"/>
              <w:spacing w:after="0" w:line="240" w:lineRule="auto"/>
              <w:jc w:val="center"/>
              <w:rPr>
                <w:rFonts w:eastAsia="Times New Roman" w:cs="Times New Roman"/>
                <w:noProof/>
              </w:rPr>
            </w:pPr>
            <w:r>
              <w:rPr>
                <w:noProof/>
              </w:rPr>
              <w:t>200</w:t>
            </w:r>
          </w:p>
        </w:tc>
        <w:tc>
          <w:tcPr>
            <w:tcW w:w="709" w:type="dxa"/>
            <w:shd w:val="clear" w:color="auto" w:fill="C6EFCE"/>
            <w:noWrap/>
          </w:tcPr>
          <w:p w14:paraId="34E32477"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08FACBC4"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1867CC36" w14:textId="77777777" w:rsidR="000E48CE" w:rsidRDefault="00FF4C4E">
            <w:pPr>
              <w:pStyle w:val="P68B1DB1-Normal13"/>
              <w:spacing w:after="0" w:line="240" w:lineRule="auto"/>
              <w:rPr>
                <w:rFonts w:eastAsia="Times New Roman" w:cs="Times New Roman"/>
                <w:noProof/>
              </w:rPr>
            </w:pPr>
            <w:r>
              <w:rPr>
                <w:noProof/>
              </w:rPr>
              <w:t>Vähintään 200 hankkeen loppuun saattaminen ”ei merkittävää haittaa” -ohjelman teknisten ohjeiden (2021/C58/01) mukaisesti käyttämällä poissulkemisluet</w:t>
            </w:r>
            <w:r>
              <w:rPr>
                <w:noProof/>
              </w:rPr>
              <w:t>teloa ja asiaankuuluvan EU:n ja kansallisen ympäristölainsäädännön noudattamista koskevaa vaatimusta, jotta voidaan</w:t>
            </w:r>
            <w:r>
              <w:rPr>
                <w:noProof/>
              </w:rPr>
              <w:br/>
              <w:t xml:space="preserve">Edistetään ja digitalisoidaan kansallista Pradon museota ja Reina Sofia -museota; </w:t>
            </w:r>
            <w:r>
              <w:rPr>
                <w:noProof/>
              </w:rPr>
              <w:br/>
              <w:t>Toimet, joilla lisätään Espanjan kansalliskirjaston digit</w:t>
            </w:r>
            <w:r>
              <w:rPr>
                <w:noProof/>
              </w:rPr>
              <w:t>aalisen kokoelman vuotuisia käyttäjiä;</w:t>
            </w:r>
            <w:r>
              <w:rPr>
                <w:noProof/>
              </w:rPr>
              <w:br/>
              <w:t>— Bibliografisen perinnön digitaalinen saatavuus ja kaikentyyppisten julkisten arkistojärjestelmien yhteentoimivuus sekä Espanjan historiallisen perinnön inventaario- ja arkistojärjestelmien tiedontallennuskapasiteeti</w:t>
            </w:r>
            <w:r>
              <w:rPr>
                <w:noProof/>
              </w:rPr>
              <w:t>n laajentaminen;</w:t>
            </w:r>
            <w:r>
              <w:rPr>
                <w:noProof/>
              </w:rPr>
              <w:br/>
              <w:t>— INAEMin resurssien, resurssien, rakenteiden ja infrastruktuurin digitalisointia ja luettelointia koskevan yhdennetyn järjestelmän loppuun saattaminen.</w:t>
            </w:r>
          </w:p>
        </w:tc>
      </w:tr>
      <w:tr w:rsidR="000E48CE" w14:paraId="111C0343" w14:textId="77777777">
        <w:trPr>
          <w:trHeight w:val="309"/>
        </w:trPr>
        <w:tc>
          <w:tcPr>
            <w:tcW w:w="851" w:type="dxa"/>
            <w:shd w:val="clear" w:color="auto" w:fill="C6EFCE"/>
            <w:noWrap/>
          </w:tcPr>
          <w:p w14:paraId="09E3727A" w14:textId="77777777" w:rsidR="000E48CE" w:rsidRDefault="00FF4C4E">
            <w:pPr>
              <w:pStyle w:val="P68B1DB1-Normal13"/>
              <w:spacing w:after="0" w:line="240" w:lineRule="auto"/>
              <w:jc w:val="center"/>
              <w:rPr>
                <w:rFonts w:cs="Times New Roman"/>
                <w:noProof/>
              </w:rPr>
            </w:pPr>
            <w:r>
              <w:rPr>
                <w:noProof/>
              </w:rPr>
              <w:t>362</w:t>
            </w:r>
          </w:p>
        </w:tc>
        <w:tc>
          <w:tcPr>
            <w:tcW w:w="993" w:type="dxa"/>
            <w:shd w:val="clear" w:color="auto" w:fill="C6EFCE"/>
            <w:noWrap/>
          </w:tcPr>
          <w:p w14:paraId="75AB6532" w14:textId="77777777" w:rsidR="000E48CE" w:rsidRDefault="00FF4C4E">
            <w:pPr>
              <w:pStyle w:val="P68B1DB1-Normal13"/>
              <w:spacing w:after="0" w:line="240" w:lineRule="auto"/>
              <w:jc w:val="center"/>
              <w:rPr>
                <w:rFonts w:cs="Times New Roman"/>
                <w:noProof/>
              </w:rPr>
            </w:pPr>
            <w:r>
              <w:rPr>
                <w:noProof/>
              </w:rPr>
              <w:t>C24.I3</w:t>
            </w:r>
          </w:p>
        </w:tc>
        <w:tc>
          <w:tcPr>
            <w:tcW w:w="850" w:type="dxa"/>
            <w:shd w:val="clear" w:color="auto" w:fill="C6EFCE"/>
            <w:noWrap/>
          </w:tcPr>
          <w:p w14:paraId="4B5615D1" w14:textId="77777777" w:rsidR="000E48CE" w:rsidRDefault="00FF4C4E">
            <w:pPr>
              <w:pStyle w:val="P68B1DB1-Normal13"/>
              <w:spacing w:after="0" w:line="240" w:lineRule="auto"/>
              <w:jc w:val="center"/>
              <w:rPr>
                <w:rFonts w:cs="Times New Roman"/>
                <w:noProof/>
              </w:rPr>
            </w:pPr>
            <w:r>
              <w:rPr>
                <w:noProof/>
              </w:rPr>
              <w:t>T</w:t>
            </w:r>
          </w:p>
        </w:tc>
        <w:tc>
          <w:tcPr>
            <w:tcW w:w="1701" w:type="dxa"/>
            <w:shd w:val="clear" w:color="auto" w:fill="C6EFCE"/>
            <w:noWrap/>
          </w:tcPr>
          <w:p w14:paraId="408FC712" w14:textId="77777777" w:rsidR="000E48CE" w:rsidRDefault="00FF4C4E">
            <w:pPr>
              <w:pStyle w:val="P68B1DB1-Normal13"/>
              <w:spacing w:after="0" w:line="240" w:lineRule="auto"/>
              <w:rPr>
                <w:rFonts w:cs="Times New Roman"/>
                <w:noProof/>
              </w:rPr>
            </w:pPr>
            <w:r>
              <w:rPr>
                <w:noProof/>
              </w:rPr>
              <w:t xml:space="preserve">Bibliografisen perinnön digitalisoinnin loppuun saattaminen </w:t>
            </w:r>
          </w:p>
        </w:tc>
        <w:tc>
          <w:tcPr>
            <w:tcW w:w="992" w:type="dxa"/>
            <w:shd w:val="clear" w:color="auto" w:fill="C6EFCE"/>
            <w:noWrap/>
          </w:tcPr>
          <w:p w14:paraId="66D4D6B4" w14:textId="77777777" w:rsidR="000E48CE" w:rsidRDefault="00FF4C4E">
            <w:pPr>
              <w:pStyle w:val="P68B1DB1-Normal13"/>
              <w:spacing w:after="0" w:line="240" w:lineRule="auto"/>
              <w:jc w:val="center"/>
              <w:rPr>
                <w:rFonts w:cs="Times New Roman"/>
                <w:noProof/>
              </w:rPr>
            </w:pPr>
            <w:r>
              <w:rPr>
                <w:noProof/>
              </w:rPr>
              <w:t> </w:t>
            </w:r>
          </w:p>
        </w:tc>
        <w:tc>
          <w:tcPr>
            <w:tcW w:w="709" w:type="dxa"/>
            <w:shd w:val="clear" w:color="auto" w:fill="C6EFCE"/>
            <w:noWrap/>
          </w:tcPr>
          <w:p w14:paraId="0E3D9714" w14:textId="77777777" w:rsidR="000E48CE" w:rsidRDefault="00FF4C4E">
            <w:pPr>
              <w:pStyle w:val="P68B1DB1-Normal13"/>
              <w:spacing w:after="0" w:line="240" w:lineRule="auto"/>
              <w:jc w:val="center"/>
              <w:rPr>
                <w:rFonts w:cs="Times New Roman"/>
                <w:noProof/>
              </w:rPr>
            </w:pPr>
            <w:r>
              <w:rPr>
                <w:noProof/>
              </w:rPr>
              <w:t xml:space="preserve">Määrä </w:t>
            </w:r>
            <w:r>
              <w:rPr>
                <w:noProof/>
              </w:rPr>
              <w:t>(milj.)</w:t>
            </w:r>
          </w:p>
        </w:tc>
        <w:tc>
          <w:tcPr>
            <w:tcW w:w="567" w:type="dxa"/>
            <w:shd w:val="clear" w:color="auto" w:fill="C6EFCE"/>
            <w:noWrap/>
          </w:tcPr>
          <w:p w14:paraId="6BD98C04" w14:textId="77777777" w:rsidR="000E48CE" w:rsidRDefault="00FF4C4E">
            <w:pPr>
              <w:pStyle w:val="P68B1DB1-Normal13"/>
              <w:spacing w:after="0" w:line="240" w:lineRule="auto"/>
              <w:jc w:val="right"/>
              <w:rPr>
                <w:rFonts w:cs="Times New Roman"/>
                <w:noProof/>
              </w:rPr>
            </w:pPr>
            <w:r>
              <w:rPr>
                <w:noProof/>
              </w:rPr>
              <w:t>10</w:t>
            </w:r>
          </w:p>
        </w:tc>
        <w:tc>
          <w:tcPr>
            <w:tcW w:w="709" w:type="dxa"/>
            <w:shd w:val="clear" w:color="auto" w:fill="C6EFCE"/>
            <w:noWrap/>
          </w:tcPr>
          <w:p w14:paraId="13DD66AC" w14:textId="77777777" w:rsidR="000E48CE" w:rsidRDefault="00FF4C4E">
            <w:pPr>
              <w:pStyle w:val="P68B1DB1-Normal13"/>
              <w:spacing w:after="0" w:line="240" w:lineRule="auto"/>
              <w:jc w:val="center"/>
              <w:rPr>
                <w:rFonts w:cs="Times New Roman"/>
                <w:noProof/>
              </w:rPr>
            </w:pPr>
            <w:r>
              <w:rPr>
                <w:noProof/>
              </w:rPr>
              <w:t>12</w:t>
            </w:r>
          </w:p>
        </w:tc>
        <w:tc>
          <w:tcPr>
            <w:tcW w:w="709" w:type="dxa"/>
            <w:shd w:val="clear" w:color="auto" w:fill="C6EFCE"/>
            <w:noWrap/>
          </w:tcPr>
          <w:p w14:paraId="2FB899A5"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57EB1B84" w14:textId="77777777" w:rsidR="000E48CE" w:rsidRDefault="00FF4C4E">
            <w:pPr>
              <w:pStyle w:val="P68B1DB1-Normal13"/>
              <w:spacing w:after="0" w:line="240" w:lineRule="auto"/>
              <w:jc w:val="center"/>
              <w:rPr>
                <w:rFonts w:cs="Times New Roman"/>
                <w:noProof/>
              </w:rPr>
            </w:pPr>
            <w:r>
              <w:rPr>
                <w:noProof/>
              </w:rPr>
              <w:t>2023</w:t>
            </w:r>
          </w:p>
        </w:tc>
        <w:tc>
          <w:tcPr>
            <w:tcW w:w="6837" w:type="dxa"/>
            <w:shd w:val="clear" w:color="auto" w:fill="C6EFCE"/>
            <w:noWrap/>
          </w:tcPr>
          <w:p w14:paraId="718B8937" w14:textId="77777777" w:rsidR="000E48CE" w:rsidRDefault="00FF4C4E">
            <w:pPr>
              <w:pStyle w:val="P68B1DB1-Normal13"/>
              <w:spacing w:after="0" w:line="240" w:lineRule="auto"/>
              <w:rPr>
                <w:rFonts w:cs="Times New Roman"/>
                <w:noProof/>
              </w:rPr>
            </w:pPr>
            <w:r>
              <w:rPr>
                <w:noProof/>
              </w:rPr>
              <w:t>— Bibliografisen perinnön digitalisointi (julkiset ja yksityiset kokoelmat) (yhteensä 12 miljoonaa digitoitua kulttuuriperinnön käyttäjää/kokoelmaa)</w:t>
            </w:r>
          </w:p>
        </w:tc>
      </w:tr>
    </w:tbl>
    <w:p w14:paraId="3AB46BF3" w14:textId="77777777" w:rsidR="000E48CE" w:rsidRDefault="00FF4C4E">
      <w:pPr>
        <w:keepNext/>
        <w:spacing w:before="120" w:after="360" w:line="240" w:lineRule="auto"/>
        <w:rPr>
          <w:rFonts w:ascii="Times New Roman" w:hAnsi="Times New Roman" w:cs="Times New Roman"/>
          <w:b/>
          <w:smallCaps/>
          <w:noProof/>
          <w:sz w:val="28"/>
        </w:rPr>
        <w:sectPr w:rsidR="000E48CE" w:rsidSect="00C94F66">
          <w:headerReference w:type="even" r:id="rId465"/>
          <w:headerReference w:type="default" r:id="rId466"/>
          <w:footerReference w:type="even" r:id="rId467"/>
          <w:footerReference w:type="default" r:id="rId468"/>
          <w:headerReference w:type="first" r:id="rId469"/>
          <w:footerReference w:type="first" r:id="rId470"/>
          <w:pgSz w:w="16839" w:h="11907" w:orient="landscape"/>
          <w:pgMar w:top="1417" w:right="1134" w:bottom="1417" w:left="1134" w:header="709" w:footer="709" w:gutter="0"/>
          <w:cols w:space="720"/>
          <w:docGrid w:linePitch="360"/>
        </w:sectPr>
      </w:pPr>
      <w:r>
        <w:rPr>
          <w:noProof/>
        </w:rPr>
        <w:br/>
      </w:r>
    </w:p>
    <w:p w14:paraId="369E2750" w14:textId="77777777" w:rsidR="000E48CE" w:rsidRDefault="000E48CE">
      <w:pPr>
        <w:keepNext/>
        <w:spacing w:before="120" w:after="360" w:line="240" w:lineRule="auto"/>
        <w:rPr>
          <w:rFonts w:ascii="Times New Roman" w:hAnsi="Times New Roman" w:cs="Times New Roman"/>
          <w:b/>
          <w:smallCaps/>
          <w:noProof/>
          <w:sz w:val="28"/>
        </w:rPr>
      </w:pPr>
    </w:p>
    <w:p w14:paraId="60B46F4E" w14:textId="77777777" w:rsidR="000E48CE" w:rsidRDefault="00FF4C4E">
      <w:pPr>
        <w:pStyle w:val="P68B1DB1-Heading12"/>
        <w:rPr>
          <w:rFonts w:cs="Times New Roman"/>
          <w:noProof/>
        </w:rPr>
      </w:pPr>
      <w:r>
        <w:rPr>
          <w:noProof/>
        </w:rPr>
        <w:t xml:space="preserve">Y. OSA 25: Espanja </w:t>
      </w:r>
      <w:r>
        <w:rPr>
          <w:noProof/>
        </w:rPr>
        <w:t>Audiovisuaalikeskus</w:t>
      </w:r>
    </w:p>
    <w:p w14:paraId="051EE69F" w14:textId="77777777" w:rsidR="000E48CE" w:rsidRDefault="00FF4C4E">
      <w:pPr>
        <w:pStyle w:val="P68B1DB1-Normal4"/>
        <w:tabs>
          <w:tab w:val="left" w:pos="1134"/>
        </w:tabs>
        <w:spacing w:before="120" w:after="120" w:line="240" w:lineRule="auto"/>
        <w:jc w:val="both"/>
        <w:rPr>
          <w:rFonts w:cs="Times New Roman"/>
          <w:noProof/>
        </w:rPr>
      </w:pPr>
      <w:r>
        <w:rPr>
          <w:noProof/>
        </w:rPr>
        <w:t>Tämä Espanjan elpymis- ja palautumissuunnitelman osa sisältää joukon investointeja ja uudistuksia, joilla pyritään elvyttämään ja vahvistamaan audiovisuaalialaa. Sen tavoitteena on parantaa investointiympäristöä, vahvistaa Espanjaa kans</w:t>
      </w:r>
      <w:r>
        <w:rPr>
          <w:noProof/>
        </w:rPr>
        <w:t>ainväliseksi audiovisuaalisten investointien foorumiksi ja tehdä Espanjasta viitehenkilö audiovisuaalisten tuotteiden, kuten videopelien ja digitaalisen luomistyön, viennille. Tähän komponenttiin sisältyy myös toimia, joilla edistetään yritysten kansainväl</w:t>
      </w:r>
      <w:r>
        <w:rPr>
          <w:noProof/>
        </w:rPr>
        <w:t xml:space="preserve">istymistä, tehostetaan alan innovointia ja pannaan täytäntöön parempaa sääntelyä. </w:t>
      </w:r>
    </w:p>
    <w:p w14:paraId="0D8208BA" w14:textId="77777777" w:rsidR="000E48CE" w:rsidRDefault="00FF4C4E">
      <w:pPr>
        <w:pStyle w:val="P68B1DB1-Normal4"/>
        <w:tabs>
          <w:tab w:val="left" w:pos="1134"/>
        </w:tabs>
        <w:spacing w:before="120" w:after="120" w:line="240" w:lineRule="auto"/>
        <w:jc w:val="both"/>
        <w:rPr>
          <w:rFonts w:cs="Times New Roman"/>
          <w:noProof/>
        </w:rPr>
      </w:pPr>
      <w:r>
        <w:rPr>
          <w:noProof/>
        </w:rPr>
        <w:t>”Espanja Digital 2025” -suunnitelman ja äskettäin hyväksytyn ”Plan Spain Audio Audiovisual Hub of Europe” -suunnitelman mukaisesti komponentin odotetaan tukevan työpaikkojen</w:t>
      </w:r>
      <w:r>
        <w:rPr>
          <w:noProof/>
        </w:rPr>
        <w:t xml:space="preserve"> luomista erityisesti nuorten ja matkailualan keskuudessa, ja siihen sisältyy toimia sukupuolten välisen kuilun kaventamiseksi. </w:t>
      </w:r>
    </w:p>
    <w:p w14:paraId="50958C6E" w14:textId="77777777" w:rsidR="000E48CE" w:rsidRDefault="00FF4C4E">
      <w:pPr>
        <w:pStyle w:val="P68B1DB1-Normal4"/>
        <w:tabs>
          <w:tab w:val="left" w:pos="1134"/>
        </w:tabs>
        <w:spacing w:before="120" w:after="120" w:line="240" w:lineRule="auto"/>
        <w:jc w:val="both"/>
        <w:rPr>
          <w:rFonts w:cs="Times New Roman"/>
          <w:noProof/>
        </w:rPr>
      </w:pPr>
      <w:r>
        <w:rPr>
          <w:noProof/>
        </w:rPr>
        <w:t>Osa-alueella käsitellään maakohtaisia suosituksia innovointiin tehtävien investointien edistämisestä (maakohtainen suositus 3 2</w:t>
      </w:r>
      <w:r>
        <w:rPr>
          <w:noProof/>
        </w:rPr>
        <w:t>019) ja investointien keskittämisestä vihreään ja digitaaliseen siirtymään (maakohtainen suositus 3 2020).</w:t>
      </w:r>
    </w:p>
    <w:p w14:paraId="14392F08" w14:textId="77777777" w:rsidR="000E48CE" w:rsidRDefault="00FF4C4E">
      <w:pPr>
        <w:pStyle w:val="P68B1DB1-Normal4"/>
        <w:tabs>
          <w:tab w:val="left" w:pos="1134"/>
        </w:tabs>
        <w:spacing w:before="120" w:after="120" w:line="240" w:lineRule="auto"/>
        <w:jc w:val="both"/>
        <w:rPr>
          <w:rFonts w:cs="Times New Roman"/>
          <w:noProof/>
        </w:rPr>
      </w:pPr>
      <w:r>
        <w:rPr>
          <w:noProof/>
        </w:rPr>
        <w:t>Minkään tämän komponentin toimenpiteen ei odoteta aiheuttavan asetuksen (EU) 2020/852 17 artiklassa tarkoitettua merkittävää haittaa ympäristötavoitt</w:t>
      </w:r>
      <w:r>
        <w:rPr>
          <w:noProof/>
        </w:rPr>
        <w:t xml:space="preserve">eille, kun otetaan huomioon ”ei merkittävää haittaa” -periaatteen soveltamista koskevien teknisten ohjeiden (2021/C58/01) mukaiset elpymis- ja palautumissuunnitelmassa esitettyjen toimenpiteiden kuvaus ja lieventävät toimet. </w:t>
      </w:r>
    </w:p>
    <w:p w14:paraId="70CDFBED" w14:textId="77777777" w:rsidR="000E48CE" w:rsidRDefault="00FF4C4E">
      <w:pPr>
        <w:pStyle w:val="P68B1DB1-Normal5"/>
        <w:spacing w:before="120" w:after="120" w:line="240" w:lineRule="auto"/>
        <w:ind w:left="720"/>
        <w:jc w:val="both"/>
        <w:rPr>
          <w:rFonts w:cs="Times New Roman"/>
          <w:i/>
          <w:noProof/>
        </w:rPr>
      </w:pPr>
      <w:r>
        <w:rPr>
          <w:noProof/>
        </w:rPr>
        <w:t xml:space="preserve">Y.1. </w:t>
      </w:r>
      <w:r>
        <w:rPr>
          <w:noProof/>
        </w:rPr>
        <w:tab/>
        <w:t xml:space="preserve">Kuvaus uudistuksista ja </w:t>
      </w:r>
      <w:r>
        <w:rPr>
          <w:noProof/>
        </w:rPr>
        <w:t>investoinneista, joita rahoitetaan rahoitustuella, jota ei makseta takaisin</w:t>
      </w:r>
    </w:p>
    <w:p w14:paraId="2946B1E1" w14:textId="77777777" w:rsidR="000E48CE" w:rsidRDefault="00FF4C4E">
      <w:pPr>
        <w:pStyle w:val="P68B1DB1-Normal6"/>
        <w:spacing w:before="120" w:after="120" w:line="240" w:lineRule="auto"/>
        <w:jc w:val="both"/>
        <w:rPr>
          <w:rFonts w:cs="Times New Roman"/>
          <w:noProof/>
        </w:rPr>
      </w:pPr>
      <w:r>
        <w:rPr>
          <w:noProof/>
        </w:rPr>
        <w:t xml:space="preserve">Uudistus 1 (C25.R1):  Audiovisuaalialan sääntelykehyksen uudistaminen </w:t>
      </w:r>
    </w:p>
    <w:p w14:paraId="1822C51B" w14:textId="77777777" w:rsidR="000E48CE" w:rsidRDefault="00FF4C4E">
      <w:pPr>
        <w:pStyle w:val="P68B1DB1-Normal4"/>
        <w:spacing w:before="120" w:after="120" w:line="240" w:lineRule="auto"/>
        <w:jc w:val="both"/>
        <w:rPr>
          <w:rFonts w:cs="Times New Roman"/>
          <w:noProof/>
        </w:rPr>
      </w:pPr>
      <w:r>
        <w:rPr>
          <w:noProof/>
        </w:rPr>
        <w:t>Audiovisuaalialan sääntelykehyksen uudistukseen sisältyy kahden lain hyväksyminen ja alakohtaisen suunnitelma</w:t>
      </w:r>
      <w:r>
        <w:rPr>
          <w:noProof/>
        </w:rPr>
        <w:t>n hyväksyminen:</w:t>
      </w:r>
    </w:p>
    <w:p w14:paraId="08F05169" w14:textId="77777777" w:rsidR="000E48CE" w:rsidRDefault="00FF4C4E">
      <w:pPr>
        <w:pStyle w:val="P68B1DB1-Normal4"/>
        <w:numPr>
          <w:ilvl w:val="0"/>
          <w:numId w:val="161"/>
        </w:numPr>
        <w:spacing w:before="120" w:after="120" w:line="240" w:lineRule="auto"/>
        <w:jc w:val="both"/>
        <w:rPr>
          <w:rFonts w:cs="Times New Roman"/>
          <w:noProof/>
        </w:rPr>
      </w:pPr>
      <w:r>
        <w:rPr>
          <w:noProof/>
        </w:rPr>
        <w:t>Audiovisuaalista viestintää koskeva yleinen laki, jolla on eri tavoitteet, tulee voimaan. Ensinnäkin mukautetaan ja nykyaikaistetaan audiovisuaalisia mediapalveluja ja alustavideonvaihtopalveluja koskevaa oikeudellista kehystä Espanjassa. T</w:t>
      </w:r>
      <w:r>
        <w:rPr>
          <w:noProof/>
        </w:rPr>
        <w:t>oiseksi on luotava mekanismeja, joilla taataan käyttäjien oikeudet, kuten alaikäisten ja yleisön suojeleminen tietyntyyppiseltä sisällöltä. Kolmanneksi edistetään eurooppalaista audiovisuaalista työtä kaksinkertaistamalla tuki riippumattomalle audiovisuaal</w:t>
      </w:r>
      <w:r>
        <w:rPr>
          <w:noProof/>
        </w:rPr>
        <w:t xml:space="preserve">iselle tuotannolle. Neljänneksi tavoitteena on parantaa vammaisten henkilöiden integroitumista yhteiskuntaan. Laki tuli voimaan vuoden 2022 ensimmäisen neljänneksen loppuun mennessä. </w:t>
      </w:r>
    </w:p>
    <w:p w14:paraId="066FF041" w14:textId="77777777" w:rsidR="000E48CE" w:rsidRDefault="00FF4C4E">
      <w:pPr>
        <w:pStyle w:val="P68B1DB1-Normal4"/>
        <w:numPr>
          <w:ilvl w:val="0"/>
          <w:numId w:val="161"/>
        </w:numPr>
        <w:spacing w:before="120" w:after="120" w:line="240" w:lineRule="auto"/>
        <w:jc w:val="both"/>
        <w:rPr>
          <w:rFonts w:cs="Times New Roman"/>
          <w:noProof/>
        </w:rPr>
      </w:pPr>
      <w:r>
        <w:rPr>
          <w:noProof/>
        </w:rPr>
        <w:t>Elokuvalain 55/2007 uudistus, jolla pyritään i) saattamaan lain säännöks</w:t>
      </w:r>
      <w:r>
        <w:rPr>
          <w:noProof/>
        </w:rPr>
        <w:t>et ajan tasalle alan uuteen todellisuuteen; II) yhdenmukaistetaan sääntelykehys EU:n oikeudellisen kehyksen, mukaan lukien valtiontukisäännöt, kanssa; ja iii) päivittää ja muuttaa mekanismia taloudellisen tuen antamiseksi audiovisuaalialalle. Tämä ilmoitus</w:t>
      </w:r>
      <w:r>
        <w:rPr>
          <w:noProof/>
        </w:rPr>
        <w:t xml:space="preserve"> on tehtävä viimeistään 31 päivänä joulukuuta 2023.   </w:t>
      </w:r>
    </w:p>
    <w:p w14:paraId="0F60AF8E" w14:textId="77777777" w:rsidR="000E48CE" w:rsidRDefault="00FF4C4E">
      <w:pPr>
        <w:pStyle w:val="P68B1DB1-Normal4"/>
        <w:numPr>
          <w:ilvl w:val="0"/>
          <w:numId w:val="161"/>
        </w:numPr>
        <w:spacing w:before="120" w:after="120" w:line="240" w:lineRule="auto"/>
        <w:jc w:val="both"/>
        <w:rPr>
          <w:rFonts w:cs="Times New Roman"/>
          <w:noProof/>
        </w:rPr>
      </w:pPr>
      <w:r>
        <w:rPr>
          <w:noProof/>
        </w:rPr>
        <w:t xml:space="preserve">Hyväksytään ja pannaan täytäntöön Espanjan audiovisuaalikeskusta koskeva suunnitelma, jonka tavoitteena on tehdä Espanjasta maailmanlaajuinen investointijärjestely, houkutella ulkomaisia investointeja </w:t>
      </w:r>
      <w:r>
        <w:rPr>
          <w:noProof/>
        </w:rPr>
        <w:t>ja viedä audiovisuaalisia tuotteita. Ministerineuvosto hyväksyi suunnitelman maaliskuussa 2021. Siihen sisältyy investointeja, joilla parannetaan audiovisuaaliteollisuuden koko arvoketjua Espanjan alan suhteellisten etujen pohjalta, mukaan lukien vakiintun</w:t>
      </w:r>
      <w:r>
        <w:rPr>
          <w:noProof/>
        </w:rPr>
        <w:t>ut audiovisuaaliala, hyvin koulutettu inhimillinen pääoma ja maailmanlaajuisesti tunnustettu luova kapasiteetti. Suunnitelma sisältää kaikki audiovisuaalisen alan muodot (kuten elokuva, sarjat, mainonta, videopelit ja animaatio). Espanjan audiovisuaalialan</w:t>
      </w:r>
      <w:r>
        <w:rPr>
          <w:noProof/>
        </w:rPr>
        <w:t xml:space="preserve"> keskuksen tavoitteena on luoda synergioita muiden alojen, kuten kulttuurin ja matkailun, kanssa. Toimenpiteet perustuivat neljään painopisteeseen: muutetaan Espanja audiovisuaalisen tuotannon vetovoimakeskukseksi, ii) vähennetään alaan liittyviä hallinto-</w:t>
      </w:r>
      <w:r>
        <w:rPr>
          <w:noProof/>
        </w:rPr>
        <w:t xml:space="preserve"> ja sääntelykustannuksia, iii) parannetaan alan yritysten kilpailukykyä investoimalla niiden digitalisointiin ja iv) luodaan lahjakkuutta ja vähennetään sukupuolten välistä kuilua.</w:t>
      </w:r>
    </w:p>
    <w:p w14:paraId="0B3B8812"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päivänä</w:t>
      </w:r>
      <w:r>
        <w:rPr>
          <w:noProof/>
        </w:rPr>
        <w:t xml:space="preserve"> joulukuuta 2023. </w:t>
      </w:r>
    </w:p>
    <w:p w14:paraId="05DFD7D6" w14:textId="77777777" w:rsidR="000E48CE" w:rsidRDefault="00FF4C4E">
      <w:pPr>
        <w:pStyle w:val="P68B1DB1-Normal6"/>
        <w:spacing w:before="120" w:after="120" w:line="240" w:lineRule="auto"/>
        <w:jc w:val="both"/>
        <w:rPr>
          <w:rFonts w:cs="Times New Roman"/>
          <w:noProof/>
        </w:rPr>
      </w:pPr>
      <w:r>
        <w:rPr>
          <w:noProof/>
        </w:rPr>
        <w:t xml:space="preserve">Investointi 1 (C25.I1): Audiovisuaalialan edistämistä, nykyaikaistamista ja digitalisointia koskeva ohjelma </w:t>
      </w:r>
    </w:p>
    <w:p w14:paraId="7767D02E" w14:textId="77777777" w:rsidR="000E48CE" w:rsidRDefault="00FF4C4E">
      <w:pPr>
        <w:pStyle w:val="P68B1DB1-Normal4"/>
        <w:spacing w:before="120" w:after="120" w:line="240" w:lineRule="auto"/>
        <w:jc w:val="both"/>
        <w:rPr>
          <w:rFonts w:cs="Times New Roman"/>
          <w:noProof/>
        </w:rPr>
      </w:pPr>
      <w:r>
        <w:rPr>
          <w:noProof/>
        </w:rPr>
        <w:t>Investoinnilla pyritään parantamaan audiovisuaalialan yritysten ja luovien toimialojen kilpailukykyä ja häiriönsietokykyä sekä e</w:t>
      </w:r>
      <w:r>
        <w:rPr>
          <w:noProof/>
        </w:rPr>
        <w:t xml:space="preserve">distämään sen kansainvälistymistä ja houkuttelemaan ulkomaisia investointeja. Tätä varten investointiin sisältyy kolme erillistä ohjelmaa. </w:t>
      </w:r>
    </w:p>
    <w:p w14:paraId="64AA71B0" w14:textId="77777777" w:rsidR="000E48CE" w:rsidRDefault="00FF4C4E">
      <w:pPr>
        <w:pStyle w:val="P68B1DB1-Normal4"/>
        <w:numPr>
          <w:ilvl w:val="0"/>
          <w:numId w:val="160"/>
        </w:numPr>
        <w:spacing w:before="120" w:after="120" w:line="240" w:lineRule="auto"/>
        <w:jc w:val="both"/>
        <w:rPr>
          <w:rFonts w:cs="Times New Roman"/>
          <w:noProof/>
        </w:rPr>
      </w:pPr>
      <w:r>
        <w:rPr>
          <w:noProof/>
        </w:rPr>
        <w:t>Ohjelma, jonka tarkoituksena on edistää, nykyaikaistaa ja digitalisoida audiovisuaalialaa yritysten ja luovien toimialojen kilpailukyvyn ja häiriönsietokyvyn parantamiseksi. Ohjelmalla tuetaan myös digitaaliteknologian täytäntöönpanoa ja integrointia audio</w:t>
      </w:r>
      <w:r>
        <w:rPr>
          <w:noProof/>
        </w:rPr>
        <w:t xml:space="preserve">visuaalisen sisällön tuotantoon ja edistämiseen sekä luovan työn tekijöiden palkitsemisvälineen digitalisointia. </w:t>
      </w:r>
    </w:p>
    <w:p w14:paraId="79D86C3D" w14:textId="77777777" w:rsidR="000E48CE" w:rsidRDefault="00FF4C4E">
      <w:pPr>
        <w:pStyle w:val="P68B1DB1-Normal4"/>
        <w:numPr>
          <w:ilvl w:val="0"/>
          <w:numId w:val="160"/>
        </w:numPr>
        <w:spacing w:before="120" w:after="120" w:line="240" w:lineRule="auto"/>
        <w:jc w:val="both"/>
        <w:rPr>
          <w:rFonts w:cs="Times New Roman"/>
          <w:noProof/>
        </w:rPr>
      </w:pPr>
      <w:r>
        <w:rPr>
          <w:noProof/>
        </w:rPr>
        <w:t>Ohjelma, jolla edistetään audiovisuaalialan sisäistämistä osallistumalla audiovisuaalialan yrityskonferensseihin, alustoihin, hankekehityslabo</w:t>
      </w:r>
      <w:r>
        <w:rPr>
          <w:noProof/>
        </w:rPr>
        <w:t xml:space="preserve">ratorioihin ja messuille. Tavoitteena on ottaa käyttöön erilaisia mekanismeja, joilla hyödynnetään Espanjan audiovisuaaliteollisuuden koko potentiaalia ja edistetään paikallisia kykyjä globaalissa ympäristössä. </w:t>
      </w:r>
    </w:p>
    <w:p w14:paraId="7EBD514C" w14:textId="77777777" w:rsidR="000E48CE" w:rsidRDefault="00FF4C4E">
      <w:pPr>
        <w:pStyle w:val="P68B1DB1-Normal4"/>
        <w:numPr>
          <w:ilvl w:val="0"/>
          <w:numId w:val="160"/>
        </w:numPr>
        <w:spacing w:before="120" w:after="120" w:line="240" w:lineRule="auto"/>
        <w:jc w:val="both"/>
        <w:rPr>
          <w:rFonts w:cs="Times New Roman"/>
          <w:noProof/>
        </w:rPr>
      </w:pPr>
      <w:r>
        <w:rPr>
          <w:noProof/>
        </w:rPr>
        <w:t>Ohjelma, jolla houkutellaan ulkomaisia suori</w:t>
      </w:r>
      <w:r>
        <w:rPr>
          <w:noProof/>
        </w:rPr>
        <w:t>a sijoituksia audiovisuaalialalle luomalla houkutteleva investointiympäristö, keventämällä hallinnollista taakkaa ja helpottamalla erilaisia hallinnollisia menettelyjä (sisältäen yhteyksiä julkishallintoon yleisellä, alueellisella ja paikallisella tasolla)</w:t>
      </w:r>
      <w:r>
        <w:rPr>
          <w:noProof/>
        </w:rPr>
        <w:t xml:space="preserve">.  </w:t>
      </w:r>
    </w:p>
    <w:p w14:paraId="3FE4DB9A" w14:textId="77777777" w:rsidR="000E48CE" w:rsidRDefault="00FF4C4E">
      <w:pPr>
        <w:pStyle w:val="P68B1DB1-Normal4"/>
        <w:spacing w:before="120" w:after="120" w:line="240" w:lineRule="auto"/>
        <w:jc w:val="both"/>
        <w:rPr>
          <w:rFonts w:cs="Times New Roman"/>
          <w:noProof/>
        </w:rPr>
      </w:pPr>
      <w:r>
        <w:rPr>
          <w:noProof/>
        </w:rPr>
        <w:t>Nämä investoinnit pannaan täytäntöön julkisten ja yksityisten tahojen kanssa tehtävillä sopimuksilla, ehdotuspyynnöillä, joilla tuetaan digitaaliteknologian sisällyttämistä audiovisuaalisiin tuotteisiin ja palveluihin, kehotetaan tukemaan innovointia s</w:t>
      </w:r>
      <w:r>
        <w:rPr>
          <w:noProof/>
        </w:rPr>
        <w:t>en eri muodoissa olevan audiovisuaalisen ja digitaalisen sisällön luomisessa ja kehittämisessä, audiovisuaalialan digitalisointia ja data-analyysia sekä uusia välineitä audiovisuaalisen sisällön kansainvälistä myynninedistämistä ja digitaalista markkinoint</w:t>
      </w:r>
      <w:r>
        <w:rPr>
          <w:noProof/>
        </w:rPr>
        <w:t xml:space="preserve">ia varten, kuten yritysten ja kuluttajien väliset verkkovälineet. </w:t>
      </w:r>
    </w:p>
    <w:p w14:paraId="49C97AB0" w14:textId="77777777" w:rsidR="000E48CE" w:rsidRDefault="00FF4C4E">
      <w:pPr>
        <w:pStyle w:val="P68B1DB1-Normal4"/>
        <w:spacing w:before="120" w:after="120" w:line="240" w:lineRule="auto"/>
        <w:jc w:val="both"/>
        <w:rPr>
          <w:rFonts w:cs="Times New Roman"/>
          <w:noProof/>
        </w:rPr>
      </w:pPr>
      <w:r>
        <w:rPr>
          <w:noProof/>
        </w:rPr>
        <w:t>Nämä investoinnit kohdistuvat yrityksiin, ammattilaisiin ja toimijoihin koko audiovisuaalisessa arvoketjussa, ja niissä keskitytään erityisesti audiovisuaalista sisältöä tuottaviin pk-yrity</w:t>
      </w:r>
      <w:r>
        <w:rPr>
          <w:noProof/>
        </w:rPr>
        <w:t xml:space="preserve">ksiin, luovan työn tekijöiden palkka- ja palkkiohallintoon erikoistuneisiin pk-yrityksiin sekä teknologiakonsultteihin, jotka voivat kehittää kaikille sidosryhmille avoimia alustoja. </w:t>
      </w:r>
    </w:p>
    <w:p w14:paraId="51748050" w14:textId="2A985A19"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w:t>
      </w:r>
      <w:r>
        <w:rPr>
          <w:noProof/>
        </w:rPr>
        <w:t>änä joulukuuta 2024.</w:t>
      </w:r>
    </w:p>
    <w:p w14:paraId="7D6B56C0" w14:textId="77777777" w:rsidR="000E48CE" w:rsidRDefault="00FF4C4E">
      <w:pPr>
        <w:pStyle w:val="P68B1DB1-Normal5"/>
        <w:spacing w:before="120" w:after="120" w:line="240" w:lineRule="auto"/>
        <w:ind w:left="720"/>
        <w:jc w:val="both"/>
        <w:rPr>
          <w:rFonts w:cs="Times New Roman"/>
          <w:noProof/>
        </w:rPr>
      </w:pPr>
      <w:r>
        <w:rPr>
          <w:noProof/>
        </w:rPr>
        <w:t xml:space="preserve">Y.2 </w:t>
      </w:r>
      <w:r>
        <w:rPr>
          <w:noProof/>
        </w:rPr>
        <w:tab/>
        <w:t>Seurantaa ja täytäntöönpanoa koskevat välitavoitteet, tavoitteet, indikaattorit ja aikataulu – rahoitustuki, jota ei makseta takaisin</w:t>
      </w:r>
    </w:p>
    <w:p w14:paraId="19EBEDDA" w14:textId="77777777" w:rsidR="000E48CE" w:rsidRDefault="00FF4C4E">
      <w:pPr>
        <w:pStyle w:val="P68B1DB1-Normal4"/>
        <w:spacing w:before="120" w:after="120" w:line="240" w:lineRule="auto"/>
        <w:rPr>
          <w:rFonts w:cs="Times New Roman"/>
          <w:b/>
          <w:noProof/>
          <w:u w:val="single"/>
        </w:rPr>
      </w:pPr>
      <w:r>
        <w:rPr>
          <w:i/>
          <w:noProof/>
        </w:rPr>
        <w:t>Ks. taulukko jäljempänä.</w:t>
      </w:r>
      <w:r>
        <w:rPr>
          <w:noProof/>
        </w:rPr>
        <w:t xml:space="preserve"> </w:t>
      </w:r>
      <w:r>
        <w:rPr>
          <w:i/>
          <w:noProof/>
        </w:rPr>
        <w:t>Kaikkien indikaattorien lähtötilanne on toimen aloituspäivä, ellei toim</w:t>
      </w:r>
      <w:r>
        <w:rPr>
          <w:i/>
          <w:noProof/>
        </w:rPr>
        <w:t>en kuvauksessa toisin ilmoiteta. Taulukossa esitetyt määrät eivät sisällä arvonlisäveroa.</w:t>
      </w:r>
    </w:p>
    <w:p w14:paraId="0B107F78" w14:textId="77777777" w:rsidR="000E48CE" w:rsidRDefault="000E48CE">
      <w:pPr>
        <w:rPr>
          <w:rFonts w:ascii="Times New Roman" w:hAnsi="Times New Roman" w:cs="Times New Roman"/>
          <w:b/>
          <w:noProof/>
          <w:sz w:val="24"/>
          <w:u w:val="single"/>
        </w:rPr>
        <w:sectPr w:rsidR="000E48CE" w:rsidSect="00C94F66">
          <w:headerReference w:type="even" r:id="rId471"/>
          <w:headerReference w:type="default" r:id="rId472"/>
          <w:footerReference w:type="even" r:id="rId473"/>
          <w:footerReference w:type="default" r:id="rId474"/>
          <w:headerReference w:type="first" r:id="rId475"/>
          <w:footerReference w:type="first" r:id="rId476"/>
          <w:pgSz w:w="11907" w:h="16839"/>
          <w:pgMar w:top="1134" w:right="1417" w:bottom="1134" w:left="1417" w:header="709" w:footer="709" w:gutter="0"/>
          <w:cols w:space="720"/>
          <w:docGrid w:linePitch="360"/>
        </w:sectPr>
      </w:pPr>
    </w:p>
    <w:p w14:paraId="12F6C5B6" w14:textId="77777777" w:rsidR="000E48CE" w:rsidRDefault="000E48CE">
      <w:pPr>
        <w:spacing w:before="120" w:after="120" w:line="240" w:lineRule="auto"/>
        <w:jc w:val="both"/>
        <w:rPr>
          <w:rFonts w:ascii="Times New Roman" w:hAnsi="Times New Roman" w:cs="Times New Roman"/>
          <w:b/>
          <w:noProof/>
          <w:sz w:val="24"/>
          <w:u w:val="single"/>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410"/>
        <w:gridCol w:w="992"/>
        <w:gridCol w:w="851"/>
        <w:gridCol w:w="567"/>
        <w:gridCol w:w="567"/>
        <w:gridCol w:w="425"/>
        <w:gridCol w:w="567"/>
        <w:gridCol w:w="6521"/>
      </w:tblGrid>
      <w:tr w:rsidR="000E48CE" w14:paraId="3F5F0FEE" w14:textId="77777777">
        <w:trPr>
          <w:trHeight w:val="309"/>
          <w:tblHeader/>
        </w:trPr>
        <w:tc>
          <w:tcPr>
            <w:tcW w:w="709" w:type="dxa"/>
            <w:tcBorders>
              <w:bottom w:val="nil"/>
            </w:tcBorders>
            <w:shd w:val="clear" w:color="auto" w:fill="C6D9F1" w:themeFill="text2" w:themeFillTint="33"/>
            <w:noWrap/>
          </w:tcPr>
          <w:p w14:paraId="200B838D" w14:textId="77777777" w:rsidR="000E48CE" w:rsidRDefault="00FF4C4E">
            <w:pPr>
              <w:pStyle w:val="P68B1DB1-Normal13"/>
              <w:spacing w:after="0" w:line="240" w:lineRule="auto"/>
              <w:jc w:val="center"/>
              <w:rPr>
                <w:rFonts w:cs="Times New Roman"/>
                <w:b/>
                <w:noProof/>
              </w:rPr>
            </w:pPr>
            <w:r>
              <w:rPr>
                <w:i/>
                <w:noProof/>
              </w:rPr>
              <w:t xml:space="preserve">  </w:t>
            </w:r>
            <w:r>
              <w:rPr>
                <w:b/>
                <w:noProof/>
              </w:rPr>
              <w:t>Määrä</w:t>
            </w:r>
          </w:p>
        </w:tc>
        <w:tc>
          <w:tcPr>
            <w:tcW w:w="851" w:type="dxa"/>
            <w:tcBorders>
              <w:bottom w:val="nil"/>
            </w:tcBorders>
            <w:shd w:val="clear" w:color="auto" w:fill="C6D9F1" w:themeFill="text2" w:themeFillTint="33"/>
            <w:noWrap/>
          </w:tcPr>
          <w:p w14:paraId="74C2870B" w14:textId="77777777" w:rsidR="000E48CE" w:rsidRDefault="00FF4C4E">
            <w:pPr>
              <w:pStyle w:val="P68B1DB1-Normal12"/>
              <w:spacing w:after="0" w:line="240" w:lineRule="auto"/>
              <w:jc w:val="center"/>
              <w:rPr>
                <w:rFonts w:cs="Times New Roman"/>
                <w:noProof/>
              </w:rPr>
            </w:pPr>
            <w:r>
              <w:rPr>
                <w:noProof/>
              </w:rPr>
              <w:t>Toimenpide</w:t>
            </w:r>
          </w:p>
        </w:tc>
        <w:tc>
          <w:tcPr>
            <w:tcW w:w="850" w:type="dxa"/>
            <w:tcBorders>
              <w:bottom w:val="nil"/>
            </w:tcBorders>
            <w:shd w:val="clear" w:color="auto" w:fill="C6D9F1" w:themeFill="text2" w:themeFillTint="33"/>
            <w:noWrap/>
          </w:tcPr>
          <w:p w14:paraId="65C3B47E"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410" w:type="dxa"/>
            <w:tcBorders>
              <w:bottom w:val="nil"/>
            </w:tcBorders>
            <w:shd w:val="clear" w:color="auto" w:fill="C6D9F1" w:themeFill="text2" w:themeFillTint="33"/>
            <w:noWrap/>
          </w:tcPr>
          <w:p w14:paraId="1FF03D96" w14:textId="77777777" w:rsidR="000E48CE" w:rsidRDefault="00FF4C4E">
            <w:pPr>
              <w:pStyle w:val="P68B1DB1-Normal12"/>
              <w:spacing w:after="0" w:line="240" w:lineRule="auto"/>
              <w:jc w:val="center"/>
              <w:rPr>
                <w:rFonts w:cs="Times New Roman"/>
                <w:noProof/>
              </w:rPr>
            </w:pPr>
            <w:r>
              <w:rPr>
                <w:noProof/>
              </w:rPr>
              <w:t>Nimi</w:t>
            </w:r>
          </w:p>
        </w:tc>
        <w:tc>
          <w:tcPr>
            <w:tcW w:w="992" w:type="dxa"/>
            <w:tcBorders>
              <w:bottom w:val="nil"/>
            </w:tcBorders>
            <w:shd w:val="clear" w:color="auto" w:fill="C6D9F1" w:themeFill="text2" w:themeFillTint="33"/>
            <w:noWrap/>
          </w:tcPr>
          <w:p w14:paraId="5E7767FA"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85" w:type="dxa"/>
            <w:gridSpan w:val="3"/>
            <w:shd w:val="clear" w:color="auto" w:fill="C6D9F1" w:themeFill="text2" w:themeFillTint="33"/>
            <w:noWrap/>
          </w:tcPr>
          <w:p w14:paraId="25DCBC69" w14:textId="77777777" w:rsidR="000E48CE" w:rsidRDefault="00FF4C4E">
            <w:pPr>
              <w:pStyle w:val="P68B1DB1-Normal12"/>
              <w:spacing w:after="0" w:line="240" w:lineRule="auto"/>
              <w:jc w:val="center"/>
              <w:rPr>
                <w:rFonts w:cs="Times New Roman"/>
                <w:noProof/>
              </w:rPr>
            </w:pPr>
            <w:r>
              <w:rPr>
                <w:noProof/>
              </w:rPr>
              <w:t xml:space="preserve">Määrällinen </w:t>
            </w:r>
            <w:r>
              <w:rPr>
                <w:noProof/>
              </w:rPr>
              <w:t>indikaattori tavoitteelle</w:t>
            </w:r>
          </w:p>
        </w:tc>
        <w:tc>
          <w:tcPr>
            <w:tcW w:w="992" w:type="dxa"/>
            <w:gridSpan w:val="2"/>
            <w:shd w:val="clear" w:color="auto" w:fill="C6D9F1" w:themeFill="text2" w:themeFillTint="33"/>
            <w:noWrap/>
          </w:tcPr>
          <w:p w14:paraId="2034D2C6" w14:textId="77777777" w:rsidR="000E48CE" w:rsidRDefault="00FF4C4E">
            <w:pPr>
              <w:pStyle w:val="P68B1DB1-Normal12"/>
              <w:spacing w:after="0" w:line="240" w:lineRule="auto"/>
              <w:jc w:val="center"/>
              <w:rPr>
                <w:rFonts w:cs="Times New Roman"/>
                <w:noProof/>
              </w:rPr>
            </w:pPr>
            <w:r>
              <w:rPr>
                <w:noProof/>
              </w:rPr>
              <w:t>Aika</w:t>
            </w:r>
          </w:p>
        </w:tc>
        <w:tc>
          <w:tcPr>
            <w:tcW w:w="6521" w:type="dxa"/>
            <w:tcBorders>
              <w:bottom w:val="nil"/>
            </w:tcBorders>
            <w:shd w:val="clear" w:color="auto" w:fill="C6D9F1" w:themeFill="text2" w:themeFillTint="33"/>
            <w:noWrap/>
          </w:tcPr>
          <w:p w14:paraId="2586CC79"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5464D46B" w14:textId="77777777">
        <w:trPr>
          <w:trHeight w:val="22"/>
          <w:tblHeader/>
        </w:trPr>
        <w:tc>
          <w:tcPr>
            <w:tcW w:w="709" w:type="dxa"/>
            <w:tcBorders>
              <w:top w:val="nil"/>
            </w:tcBorders>
            <w:shd w:val="clear" w:color="auto" w:fill="C6D9F1" w:themeFill="text2" w:themeFillTint="33"/>
            <w:noWrap/>
          </w:tcPr>
          <w:p w14:paraId="3CF2EC5C"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E626987" w14:textId="77777777" w:rsidR="000E48CE" w:rsidRDefault="000E48CE">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30772D4C" w14:textId="77777777" w:rsidR="000E48CE" w:rsidRDefault="000E48CE">
            <w:pPr>
              <w:spacing w:after="0" w:line="240" w:lineRule="auto"/>
              <w:jc w:val="center"/>
              <w:rPr>
                <w:rFonts w:ascii="Times New Roman" w:hAnsi="Times New Roman" w:cs="Times New Roman"/>
                <w:b/>
                <w:noProof/>
                <w:sz w:val="18"/>
              </w:rPr>
            </w:pPr>
          </w:p>
        </w:tc>
        <w:tc>
          <w:tcPr>
            <w:tcW w:w="2410" w:type="dxa"/>
            <w:tcBorders>
              <w:top w:val="nil"/>
            </w:tcBorders>
            <w:shd w:val="clear" w:color="auto" w:fill="C6D9F1" w:themeFill="text2" w:themeFillTint="33"/>
            <w:noWrap/>
          </w:tcPr>
          <w:p w14:paraId="67117A80" w14:textId="77777777" w:rsidR="000E48CE" w:rsidRDefault="000E48CE">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4955BB1" w14:textId="77777777" w:rsidR="000E48CE" w:rsidRDefault="000E48CE">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10EB4AF4" w14:textId="77777777" w:rsidR="000E48CE" w:rsidRDefault="00FF4C4E">
            <w:pPr>
              <w:pStyle w:val="P68B1DB1-Normal12"/>
              <w:spacing w:after="0" w:line="240" w:lineRule="auto"/>
              <w:jc w:val="center"/>
              <w:rPr>
                <w:rFonts w:cs="Times New Roman"/>
                <w:noProof/>
              </w:rPr>
            </w:pPr>
            <w:r>
              <w:rPr>
                <w:noProof/>
              </w:rPr>
              <w:t>Yksikkö</w:t>
            </w:r>
          </w:p>
        </w:tc>
        <w:tc>
          <w:tcPr>
            <w:tcW w:w="567" w:type="dxa"/>
            <w:shd w:val="clear" w:color="auto" w:fill="C6D9F1" w:themeFill="text2" w:themeFillTint="33"/>
            <w:noWrap/>
          </w:tcPr>
          <w:p w14:paraId="2DA72837" w14:textId="77777777" w:rsidR="000E48CE" w:rsidRDefault="00FF4C4E">
            <w:pPr>
              <w:pStyle w:val="P68B1DB1-Normal12"/>
              <w:spacing w:after="0" w:line="240" w:lineRule="auto"/>
              <w:jc w:val="center"/>
              <w:rPr>
                <w:rFonts w:cs="Times New Roman"/>
                <w:noProof/>
              </w:rPr>
            </w:pPr>
            <w:r>
              <w:rPr>
                <w:noProof/>
              </w:rPr>
              <w:t>Perusviiva</w:t>
            </w:r>
          </w:p>
        </w:tc>
        <w:tc>
          <w:tcPr>
            <w:tcW w:w="567" w:type="dxa"/>
            <w:shd w:val="clear" w:color="auto" w:fill="C6D9F1" w:themeFill="text2" w:themeFillTint="33"/>
            <w:noWrap/>
          </w:tcPr>
          <w:p w14:paraId="00BE9AF4" w14:textId="77777777" w:rsidR="000E48CE" w:rsidRDefault="00FF4C4E">
            <w:pPr>
              <w:pStyle w:val="P68B1DB1-Normal12"/>
              <w:spacing w:after="0" w:line="240" w:lineRule="auto"/>
              <w:jc w:val="center"/>
              <w:rPr>
                <w:rFonts w:cs="Times New Roman"/>
                <w:noProof/>
              </w:rPr>
            </w:pPr>
            <w:r>
              <w:rPr>
                <w:noProof/>
              </w:rPr>
              <w:t>Päämäärä</w:t>
            </w:r>
          </w:p>
        </w:tc>
        <w:tc>
          <w:tcPr>
            <w:tcW w:w="425" w:type="dxa"/>
            <w:shd w:val="clear" w:color="auto" w:fill="C6D9F1" w:themeFill="text2" w:themeFillTint="33"/>
            <w:noWrap/>
          </w:tcPr>
          <w:p w14:paraId="2B4B355E" w14:textId="77777777" w:rsidR="000E48CE" w:rsidRDefault="00FF4C4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7F4B2FDC" w14:textId="77777777" w:rsidR="000E48CE" w:rsidRDefault="00FF4C4E">
            <w:pPr>
              <w:pStyle w:val="P68B1DB1-Normal12"/>
              <w:spacing w:after="0" w:line="240" w:lineRule="auto"/>
              <w:jc w:val="center"/>
              <w:rPr>
                <w:rFonts w:cs="Times New Roman"/>
                <w:noProof/>
              </w:rPr>
            </w:pPr>
            <w:r>
              <w:rPr>
                <w:noProof/>
              </w:rPr>
              <w:t>Vuosi</w:t>
            </w:r>
          </w:p>
        </w:tc>
        <w:tc>
          <w:tcPr>
            <w:tcW w:w="6521" w:type="dxa"/>
            <w:tcBorders>
              <w:top w:val="nil"/>
            </w:tcBorders>
            <w:shd w:val="clear" w:color="auto" w:fill="C6D9F1" w:themeFill="text2" w:themeFillTint="33"/>
            <w:noWrap/>
          </w:tcPr>
          <w:p w14:paraId="02781907" w14:textId="77777777" w:rsidR="000E48CE" w:rsidRDefault="000E48CE">
            <w:pPr>
              <w:spacing w:after="0" w:line="240" w:lineRule="auto"/>
              <w:rPr>
                <w:rFonts w:ascii="Times New Roman" w:hAnsi="Times New Roman" w:cs="Times New Roman"/>
                <w:b/>
                <w:noProof/>
                <w:sz w:val="18"/>
              </w:rPr>
            </w:pPr>
          </w:p>
        </w:tc>
      </w:tr>
      <w:tr w:rsidR="000E48CE" w14:paraId="3F3875A4" w14:textId="77777777">
        <w:trPr>
          <w:trHeight w:val="309"/>
        </w:trPr>
        <w:tc>
          <w:tcPr>
            <w:tcW w:w="709" w:type="dxa"/>
            <w:shd w:val="clear" w:color="auto" w:fill="C6EFCE"/>
            <w:noWrap/>
          </w:tcPr>
          <w:p w14:paraId="3B35F387" w14:textId="77777777" w:rsidR="000E48CE" w:rsidRDefault="00FF4C4E">
            <w:pPr>
              <w:pStyle w:val="P68B1DB1-Normal13"/>
              <w:spacing w:after="0" w:line="240" w:lineRule="auto"/>
              <w:jc w:val="center"/>
              <w:rPr>
                <w:rFonts w:eastAsia="Times New Roman" w:cs="Times New Roman"/>
                <w:noProof/>
              </w:rPr>
            </w:pPr>
            <w:r>
              <w:rPr>
                <w:noProof/>
              </w:rPr>
              <w:t>363</w:t>
            </w:r>
          </w:p>
        </w:tc>
        <w:tc>
          <w:tcPr>
            <w:tcW w:w="851" w:type="dxa"/>
            <w:shd w:val="clear" w:color="auto" w:fill="C6EFCE"/>
            <w:noWrap/>
          </w:tcPr>
          <w:p w14:paraId="1FCC46AE" w14:textId="77777777" w:rsidR="000E48CE" w:rsidRDefault="00FF4C4E">
            <w:pPr>
              <w:pStyle w:val="P68B1DB1-Normal13"/>
              <w:spacing w:after="0" w:line="240" w:lineRule="auto"/>
              <w:jc w:val="center"/>
              <w:rPr>
                <w:rFonts w:eastAsia="Times New Roman" w:cs="Times New Roman"/>
                <w:noProof/>
              </w:rPr>
            </w:pPr>
            <w:r>
              <w:rPr>
                <w:noProof/>
              </w:rPr>
              <w:t>C25.R1</w:t>
            </w:r>
          </w:p>
        </w:tc>
        <w:tc>
          <w:tcPr>
            <w:tcW w:w="850" w:type="dxa"/>
            <w:shd w:val="clear" w:color="auto" w:fill="C6EFCE"/>
            <w:noWrap/>
          </w:tcPr>
          <w:p w14:paraId="7AC0435F" w14:textId="77777777" w:rsidR="000E48CE" w:rsidRDefault="00FF4C4E">
            <w:pPr>
              <w:pStyle w:val="P68B1DB1-Normal13"/>
              <w:spacing w:after="0" w:line="240" w:lineRule="auto"/>
              <w:jc w:val="center"/>
              <w:rPr>
                <w:rFonts w:eastAsia="Times New Roman" w:cs="Times New Roman"/>
                <w:noProof/>
              </w:rPr>
            </w:pPr>
            <w:r>
              <w:rPr>
                <w:noProof/>
              </w:rPr>
              <w:t>M</w:t>
            </w:r>
          </w:p>
        </w:tc>
        <w:tc>
          <w:tcPr>
            <w:tcW w:w="2410" w:type="dxa"/>
            <w:shd w:val="clear" w:color="auto" w:fill="C6EFCE"/>
            <w:noWrap/>
          </w:tcPr>
          <w:p w14:paraId="3CE57C43" w14:textId="77777777" w:rsidR="000E48CE" w:rsidRDefault="00FF4C4E">
            <w:pPr>
              <w:pStyle w:val="P68B1DB1-Normal13"/>
              <w:spacing w:after="0" w:line="240" w:lineRule="auto"/>
              <w:rPr>
                <w:rFonts w:eastAsia="Times New Roman" w:cs="Times New Roman"/>
                <w:noProof/>
              </w:rPr>
            </w:pPr>
            <w:r>
              <w:rPr>
                <w:noProof/>
              </w:rPr>
              <w:t>Suunnitelma: ”Espanja, Euroopan audiovisuaalinen keskus”.</w:t>
            </w:r>
          </w:p>
        </w:tc>
        <w:tc>
          <w:tcPr>
            <w:tcW w:w="992" w:type="dxa"/>
            <w:shd w:val="clear" w:color="auto" w:fill="C6EFCE"/>
            <w:noWrap/>
          </w:tcPr>
          <w:p w14:paraId="4ADCEDC8" w14:textId="77777777" w:rsidR="000E48CE" w:rsidRDefault="00FF4C4E">
            <w:pPr>
              <w:pStyle w:val="P68B1DB1-Normal13"/>
              <w:spacing w:after="0" w:line="240" w:lineRule="auto"/>
              <w:jc w:val="center"/>
              <w:rPr>
                <w:rFonts w:eastAsia="Times New Roman" w:cs="Times New Roman"/>
                <w:noProof/>
              </w:rPr>
            </w:pPr>
            <w:r>
              <w:rPr>
                <w:noProof/>
              </w:rPr>
              <w:t>Ministerineuvoston hyväksyntä:</w:t>
            </w:r>
          </w:p>
        </w:tc>
        <w:tc>
          <w:tcPr>
            <w:tcW w:w="851" w:type="dxa"/>
            <w:shd w:val="clear" w:color="auto" w:fill="C6EFCE"/>
            <w:noWrap/>
          </w:tcPr>
          <w:p w14:paraId="189AEA86"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0A23DA7E"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C81D60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3BFBFA72" w14:textId="77777777" w:rsidR="000E48CE" w:rsidRDefault="00FF4C4E">
            <w:pPr>
              <w:pStyle w:val="P68B1DB1-Normal13"/>
              <w:spacing w:after="0" w:line="240" w:lineRule="auto"/>
              <w:jc w:val="center"/>
              <w:rPr>
                <w:rFonts w:eastAsia="Times New Roman" w:cs="Times New Roman"/>
                <w:noProof/>
              </w:rPr>
            </w:pPr>
            <w:r>
              <w:rPr>
                <w:noProof/>
              </w:rPr>
              <w:t>Q1</w:t>
            </w:r>
          </w:p>
        </w:tc>
        <w:tc>
          <w:tcPr>
            <w:tcW w:w="567" w:type="dxa"/>
            <w:shd w:val="clear" w:color="auto" w:fill="C6EFCE"/>
            <w:noWrap/>
          </w:tcPr>
          <w:p w14:paraId="4CC3BA96" w14:textId="77777777" w:rsidR="000E48CE" w:rsidRDefault="00FF4C4E">
            <w:pPr>
              <w:pStyle w:val="P68B1DB1-Normal13"/>
              <w:spacing w:after="0" w:line="240" w:lineRule="auto"/>
              <w:jc w:val="center"/>
              <w:rPr>
                <w:rFonts w:eastAsia="Times New Roman" w:cs="Times New Roman"/>
                <w:noProof/>
              </w:rPr>
            </w:pPr>
            <w:r>
              <w:rPr>
                <w:noProof/>
              </w:rPr>
              <w:t>2021</w:t>
            </w:r>
          </w:p>
        </w:tc>
        <w:tc>
          <w:tcPr>
            <w:tcW w:w="6521" w:type="dxa"/>
            <w:shd w:val="clear" w:color="auto" w:fill="C6EFCE"/>
            <w:noWrap/>
          </w:tcPr>
          <w:p w14:paraId="0BD9D7CC" w14:textId="77777777" w:rsidR="000E48CE" w:rsidRDefault="00FF4C4E">
            <w:pPr>
              <w:pStyle w:val="P68B1DB1-Normal13"/>
              <w:spacing w:after="0" w:line="240" w:lineRule="auto"/>
              <w:rPr>
                <w:rFonts w:eastAsia="Times New Roman" w:cs="Times New Roman"/>
                <w:noProof/>
              </w:rPr>
            </w:pPr>
            <w:r>
              <w:rPr>
                <w:noProof/>
              </w:rPr>
              <w:t>Ministerineuvoston hyväksyntä ”Espanja, Euroopan audiovisuaalinen keskus” -suunnitelmalle. Suunnitelmassa yhdistyvät julkiset investoinnit ja uudistukset, joiden tavoitteena on i) alan kansainvälistyminen ja lisätä Espanjan houkuttelevuutta ulkomaisten inv</w:t>
            </w:r>
            <w:r>
              <w:rPr>
                <w:noProof/>
              </w:rPr>
              <w:t>estointien kohteena; vähentää sääntely- ja hallintokustannuksia; parantaa kaikkien yritysten kilpailukykyä ottamalla käyttöön uutta teknologiaa, jonka avulla yritys voi kilpailla digitalisoituvilla markkinoilla; ja iv) edistämään inhimillistä pääomaa kaven</w:t>
            </w:r>
            <w:r>
              <w:rPr>
                <w:noProof/>
              </w:rPr>
              <w:t xml:space="preserve">tamalla sukupuolten välistä kuilua. </w:t>
            </w:r>
          </w:p>
        </w:tc>
      </w:tr>
      <w:tr w:rsidR="000E48CE" w14:paraId="20B60638" w14:textId="77777777">
        <w:trPr>
          <w:trHeight w:val="309"/>
        </w:trPr>
        <w:tc>
          <w:tcPr>
            <w:tcW w:w="709" w:type="dxa"/>
            <w:shd w:val="clear" w:color="auto" w:fill="C6EFCE"/>
            <w:noWrap/>
          </w:tcPr>
          <w:p w14:paraId="7405E7D2" w14:textId="77777777" w:rsidR="000E48CE" w:rsidRDefault="00FF4C4E">
            <w:pPr>
              <w:pStyle w:val="P68B1DB1-Normal13"/>
              <w:spacing w:after="0" w:line="240" w:lineRule="auto"/>
              <w:jc w:val="center"/>
              <w:rPr>
                <w:rFonts w:eastAsia="Times New Roman" w:cs="Times New Roman"/>
                <w:noProof/>
              </w:rPr>
            </w:pPr>
            <w:r>
              <w:rPr>
                <w:noProof/>
              </w:rPr>
              <w:t>364</w:t>
            </w:r>
          </w:p>
        </w:tc>
        <w:tc>
          <w:tcPr>
            <w:tcW w:w="851" w:type="dxa"/>
            <w:shd w:val="clear" w:color="auto" w:fill="C6EFCE"/>
            <w:noWrap/>
          </w:tcPr>
          <w:p w14:paraId="219B5BED" w14:textId="77777777" w:rsidR="000E48CE" w:rsidRDefault="00FF4C4E">
            <w:pPr>
              <w:pStyle w:val="P68B1DB1-Normal13"/>
              <w:spacing w:after="0" w:line="240" w:lineRule="auto"/>
              <w:jc w:val="center"/>
              <w:rPr>
                <w:rFonts w:eastAsia="Times New Roman" w:cs="Times New Roman"/>
                <w:noProof/>
              </w:rPr>
            </w:pPr>
            <w:r>
              <w:rPr>
                <w:noProof/>
              </w:rPr>
              <w:t>C25.R1</w:t>
            </w:r>
          </w:p>
        </w:tc>
        <w:tc>
          <w:tcPr>
            <w:tcW w:w="850" w:type="dxa"/>
            <w:shd w:val="clear" w:color="auto" w:fill="C6EFCE"/>
            <w:noWrap/>
          </w:tcPr>
          <w:p w14:paraId="602257A8" w14:textId="77777777" w:rsidR="000E48CE" w:rsidRDefault="00FF4C4E">
            <w:pPr>
              <w:pStyle w:val="P68B1DB1-Normal13"/>
              <w:spacing w:after="0" w:line="240" w:lineRule="auto"/>
              <w:jc w:val="center"/>
              <w:rPr>
                <w:rFonts w:eastAsia="Times New Roman" w:cs="Times New Roman"/>
                <w:noProof/>
              </w:rPr>
            </w:pPr>
            <w:r>
              <w:rPr>
                <w:noProof/>
              </w:rPr>
              <w:t>M</w:t>
            </w:r>
          </w:p>
        </w:tc>
        <w:tc>
          <w:tcPr>
            <w:tcW w:w="2410" w:type="dxa"/>
            <w:shd w:val="clear" w:color="auto" w:fill="C6EFCE"/>
            <w:noWrap/>
          </w:tcPr>
          <w:p w14:paraId="2089A997" w14:textId="77777777" w:rsidR="000E48CE" w:rsidRDefault="00FF4C4E">
            <w:pPr>
              <w:pStyle w:val="P68B1DB1-Normal13"/>
              <w:spacing w:after="0" w:line="240" w:lineRule="auto"/>
              <w:rPr>
                <w:rFonts w:eastAsia="Times New Roman" w:cs="Times New Roman"/>
                <w:noProof/>
              </w:rPr>
            </w:pPr>
            <w:r>
              <w:rPr>
                <w:noProof/>
              </w:rPr>
              <w:t>Audiovisuaalista viestintää koskevan yleisen lain voimaantulo.</w:t>
            </w:r>
          </w:p>
        </w:tc>
        <w:tc>
          <w:tcPr>
            <w:tcW w:w="992" w:type="dxa"/>
            <w:shd w:val="clear" w:color="auto" w:fill="C6EFCE"/>
            <w:noWrap/>
          </w:tcPr>
          <w:p w14:paraId="5C3BCC5D" w14:textId="77777777" w:rsidR="000E48CE" w:rsidRDefault="00FF4C4E">
            <w:pPr>
              <w:pStyle w:val="P68B1DB1-Normal13"/>
              <w:spacing w:after="0" w:line="240" w:lineRule="auto"/>
              <w:jc w:val="center"/>
              <w:rPr>
                <w:rFonts w:eastAsia="Times New Roman" w:cs="Times New Roman"/>
                <w:noProof/>
              </w:rPr>
            </w:pPr>
            <w:r>
              <w:rPr>
                <w:noProof/>
              </w:rPr>
              <w:t>Voimaantulolain säännökset</w:t>
            </w:r>
          </w:p>
        </w:tc>
        <w:tc>
          <w:tcPr>
            <w:tcW w:w="851" w:type="dxa"/>
            <w:shd w:val="clear" w:color="auto" w:fill="C6EFCE"/>
            <w:noWrap/>
          </w:tcPr>
          <w:p w14:paraId="7D1BE2B3"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31D4E1D7"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EE8D5D6"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55605FB0" w14:textId="77777777" w:rsidR="000E48CE" w:rsidRDefault="00FF4C4E">
            <w:pPr>
              <w:pStyle w:val="P68B1DB1-Normal13"/>
              <w:spacing w:after="0" w:line="240" w:lineRule="auto"/>
              <w:jc w:val="center"/>
              <w:rPr>
                <w:rFonts w:eastAsia="Times New Roman" w:cs="Times New Roman"/>
                <w:noProof/>
              </w:rPr>
            </w:pPr>
            <w:r>
              <w:rPr>
                <w:noProof/>
              </w:rPr>
              <w:t>Q1</w:t>
            </w:r>
          </w:p>
        </w:tc>
        <w:tc>
          <w:tcPr>
            <w:tcW w:w="567" w:type="dxa"/>
            <w:shd w:val="clear" w:color="auto" w:fill="C6EFCE"/>
            <w:noWrap/>
          </w:tcPr>
          <w:p w14:paraId="6D43C0D2" w14:textId="77777777" w:rsidR="000E48CE" w:rsidRDefault="00FF4C4E">
            <w:pPr>
              <w:pStyle w:val="P68B1DB1-Normal13"/>
              <w:spacing w:after="0" w:line="240" w:lineRule="auto"/>
              <w:jc w:val="center"/>
              <w:rPr>
                <w:rFonts w:eastAsia="Times New Roman" w:cs="Times New Roman"/>
                <w:noProof/>
              </w:rPr>
            </w:pPr>
            <w:r>
              <w:rPr>
                <w:noProof/>
              </w:rPr>
              <w:t>2022</w:t>
            </w:r>
          </w:p>
        </w:tc>
        <w:tc>
          <w:tcPr>
            <w:tcW w:w="6521" w:type="dxa"/>
            <w:shd w:val="clear" w:color="auto" w:fill="C6EFCE"/>
            <w:noWrap/>
          </w:tcPr>
          <w:p w14:paraId="5B4928FB" w14:textId="77777777" w:rsidR="000E48CE" w:rsidRDefault="00FF4C4E">
            <w:pPr>
              <w:pStyle w:val="P68B1DB1-Normal13"/>
              <w:spacing w:after="0" w:line="240" w:lineRule="auto"/>
              <w:rPr>
                <w:rFonts w:eastAsia="Times New Roman" w:cs="Times New Roman"/>
                <w:noProof/>
              </w:rPr>
            </w:pPr>
            <w:r>
              <w:rPr>
                <w:noProof/>
              </w:rPr>
              <w:t>Audiovisuaalisesta viestinnästä annetun yleisen lain voimaantulo. Tällä lailla säännellään audiovisuaalisia viestintäpalveluja Espanjassa koskevaa oikeudellista kehystä ja saatetaan audiovisuaalisista viestintäpalveluista annettu direktiivi 2018/1808 tosia</w:t>
            </w:r>
            <w:r>
              <w:rPr>
                <w:noProof/>
              </w:rPr>
              <w:t xml:space="preserve">siallisesti osaksi kansallista oikeusjärjestystä. Sen tarkoituksena on mukauttaa ja päivittää audiovisuaalisiin viestintäpalveluihin ja videonjakoalustapalveluihin Espanjassa sovellettavaa oikeudellista kehystä. Lailla pyritään myös takaamaan tasapuoliset </w:t>
            </w:r>
            <w:r>
              <w:rPr>
                <w:noProof/>
              </w:rPr>
              <w:t xml:space="preserve">toimintaedellytykset kaikille markkinoilla toimiville eri toimijoille. Laki sisältää myös jonkinlaisen mekanismin, jolla taataan käyttäjien oikeudet (kuten alaikäisten ja yleisön suojelu tietyntyyppiseltä sisällöltä). </w:t>
            </w:r>
          </w:p>
        </w:tc>
      </w:tr>
      <w:tr w:rsidR="000E48CE" w14:paraId="1788D00F" w14:textId="77777777">
        <w:trPr>
          <w:trHeight w:val="309"/>
        </w:trPr>
        <w:tc>
          <w:tcPr>
            <w:tcW w:w="709" w:type="dxa"/>
            <w:shd w:val="clear" w:color="auto" w:fill="C6EFCE"/>
            <w:noWrap/>
          </w:tcPr>
          <w:p w14:paraId="02194E71" w14:textId="77777777" w:rsidR="000E48CE" w:rsidRDefault="00FF4C4E">
            <w:pPr>
              <w:pStyle w:val="P68B1DB1-Normal13"/>
              <w:spacing w:after="0" w:line="240" w:lineRule="auto"/>
              <w:jc w:val="center"/>
              <w:rPr>
                <w:rFonts w:eastAsia="Times New Roman" w:cs="Times New Roman"/>
                <w:noProof/>
              </w:rPr>
            </w:pPr>
            <w:r>
              <w:rPr>
                <w:noProof/>
              </w:rPr>
              <w:t>365</w:t>
            </w:r>
          </w:p>
        </w:tc>
        <w:tc>
          <w:tcPr>
            <w:tcW w:w="851" w:type="dxa"/>
            <w:shd w:val="clear" w:color="auto" w:fill="C6EFCE"/>
            <w:noWrap/>
          </w:tcPr>
          <w:p w14:paraId="1FE2EC17" w14:textId="77777777" w:rsidR="000E48CE" w:rsidRDefault="00FF4C4E">
            <w:pPr>
              <w:pStyle w:val="P68B1DB1-Normal13"/>
              <w:spacing w:after="0" w:line="240" w:lineRule="auto"/>
              <w:jc w:val="center"/>
              <w:rPr>
                <w:rFonts w:eastAsia="Times New Roman" w:cs="Times New Roman"/>
                <w:noProof/>
              </w:rPr>
            </w:pPr>
            <w:r>
              <w:rPr>
                <w:noProof/>
              </w:rPr>
              <w:t>C25.R1</w:t>
            </w:r>
          </w:p>
        </w:tc>
        <w:tc>
          <w:tcPr>
            <w:tcW w:w="850" w:type="dxa"/>
            <w:shd w:val="clear" w:color="auto" w:fill="C6EFCE"/>
            <w:noWrap/>
          </w:tcPr>
          <w:p w14:paraId="5F87FA2F" w14:textId="77777777" w:rsidR="000E48CE" w:rsidRDefault="00FF4C4E">
            <w:pPr>
              <w:pStyle w:val="P68B1DB1-Normal13"/>
              <w:spacing w:after="0" w:line="240" w:lineRule="auto"/>
              <w:jc w:val="center"/>
              <w:rPr>
                <w:rFonts w:eastAsia="Times New Roman" w:cs="Times New Roman"/>
                <w:noProof/>
              </w:rPr>
            </w:pPr>
            <w:r>
              <w:rPr>
                <w:noProof/>
              </w:rPr>
              <w:t>M</w:t>
            </w:r>
          </w:p>
        </w:tc>
        <w:tc>
          <w:tcPr>
            <w:tcW w:w="2410" w:type="dxa"/>
            <w:shd w:val="clear" w:color="auto" w:fill="C6EFCE"/>
            <w:noWrap/>
          </w:tcPr>
          <w:p w14:paraId="7E95C705" w14:textId="77777777" w:rsidR="000E48CE" w:rsidRDefault="00FF4C4E">
            <w:pPr>
              <w:pStyle w:val="P68B1DB1-Normal13"/>
              <w:spacing w:after="0" w:line="240" w:lineRule="auto"/>
              <w:rPr>
                <w:rFonts w:eastAsia="Times New Roman" w:cs="Times New Roman"/>
                <w:noProof/>
              </w:rPr>
            </w:pPr>
            <w:r>
              <w:rPr>
                <w:noProof/>
              </w:rPr>
              <w:t xml:space="preserve"> Elokuvalain voimaantulo. </w:t>
            </w:r>
          </w:p>
        </w:tc>
        <w:tc>
          <w:tcPr>
            <w:tcW w:w="992" w:type="dxa"/>
            <w:shd w:val="clear" w:color="auto" w:fill="C6EFCE"/>
            <w:noWrap/>
          </w:tcPr>
          <w:p w14:paraId="530104E0" w14:textId="77777777" w:rsidR="000E48CE" w:rsidRDefault="00FF4C4E">
            <w:pPr>
              <w:pStyle w:val="P68B1DB1-Normal13"/>
              <w:spacing w:after="0" w:line="240" w:lineRule="auto"/>
              <w:jc w:val="center"/>
              <w:rPr>
                <w:rFonts w:eastAsia="Times New Roman" w:cs="Times New Roman"/>
                <w:noProof/>
              </w:rPr>
            </w:pPr>
            <w:r>
              <w:rPr>
                <w:noProof/>
              </w:rPr>
              <w:t>Voimaantulolain säännökset</w:t>
            </w:r>
          </w:p>
        </w:tc>
        <w:tc>
          <w:tcPr>
            <w:tcW w:w="851" w:type="dxa"/>
            <w:shd w:val="clear" w:color="auto" w:fill="C6EFCE"/>
            <w:noWrap/>
          </w:tcPr>
          <w:p w14:paraId="6924DB2A" w14:textId="77777777" w:rsidR="000E48CE" w:rsidRDefault="00FF4C4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45F8D9A3"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6C213F5" w14:textId="77777777" w:rsidR="000E48CE" w:rsidRDefault="00FF4C4E">
            <w:pPr>
              <w:pStyle w:val="P68B1DB1-Normal13"/>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0E84A4BA"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11B03DD4"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521" w:type="dxa"/>
            <w:shd w:val="clear" w:color="auto" w:fill="C6EFCE"/>
            <w:noWrap/>
          </w:tcPr>
          <w:p w14:paraId="3140A1B8" w14:textId="77777777" w:rsidR="000E48CE" w:rsidRDefault="00FF4C4E">
            <w:pPr>
              <w:pStyle w:val="P68B1DB1-Normal13"/>
              <w:spacing w:after="0" w:line="240" w:lineRule="auto"/>
              <w:rPr>
                <w:rFonts w:eastAsia="Times New Roman" w:cs="Times New Roman"/>
                <w:noProof/>
              </w:rPr>
            </w:pPr>
            <w:r>
              <w:rPr>
                <w:noProof/>
              </w:rPr>
              <w:t>Elokuvalain hyväksyminen parlamentissa ja voimaantulo. Tällä lailla saatetaan oikeudellinen kehys ajan tasalle audiovisuaalialan uuden todellisuuden ja tarpeiden mukaisesti siten, että kan</w:t>
            </w:r>
            <w:r>
              <w:rPr>
                <w:noProof/>
              </w:rPr>
              <w:t xml:space="preserve">sallinen sääntely mukautetaan EU:n oikeudelliseen kehykseen. </w:t>
            </w:r>
          </w:p>
        </w:tc>
      </w:tr>
      <w:tr w:rsidR="000E48CE" w14:paraId="488F4E29" w14:textId="77777777">
        <w:trPr>
          <w:trHeight w:val="309"/>
        </w:trPr>
        <w:tc>
          <w:tcPr>
            <w:tcW w:w="709" w:type="dxa"/>
            <w:shd w:val="clear" w:color="auto" w:fill="C6EFCE"/>
            <w:noWrap/>
          </w:tcPr>
          <w:p w14:paraId="76A29C79" w14:textId="77777777" w:rsidR="000E48CE" w:rsidRDefault="00FF4C4E">
            <w:pPr>
              <w:pStyle w:val="P68B1DB1-Normal13"/>
              <w:spacing w:after="0" w:line="240" w:lineRule="auto"/>
              <w:jc w:val="center"/>
              <w:rPr>
                <w:rFonts w:eastAsia="Times New Roman" w:cs="Times New Roman"/>
                <w:noProof/>
              </w:rPr>
            </w:pPr>
            <w:bookmarkStart w:id="58" w:name="_Hlk141276036"/>
            <w:r>
              <w:rPr>
                <w:noProof/>
              </w:rPr>
              <w:t>366</w:t>
            </w:r>
          </w:p>
        </w:tc>
        <w:tc>
          <w:tcPr>
            <w:tcW w:w="851" w:type="dxa"/>
            <w:shd w:val="clear" w:color="auto" w:fill="C6EFCE"/>
            <w:noWrap/>
          </w:tcPr>
          <w:p w14:paraId="5759C3AB" w14:textId="77777777" w:rsidR="000E48CE" w:rsidRDefault="00FF4C4E">
            <w:pPr>
              <w:pStyle w:val="P68B1DB1-Normal13"/>
              <w:spacing w:after="0" w:line="240" w:lineRule="auto"/>
              <w:jc w:val="center"/>
              <w:rPr>
                <w:rFonts w:eastAsia="Times New Roman" w:cs="Times New Roman"/>
                <w:noProof/>
              </w:rPr>
            </w:pPr>
            <w:r>
              <w:rPr>
                <w:noProof/>
              </w:rPr>
              <w:t>C25.I1</w:t>
            </w:r>
          </w:p>
        </w:tc>
        <w:tc>
          <w:tcPr>
            <w:tcW w:w="850" w:type="dxa"/>
            <w:shd w:val="clear" w:color="auto" w:fill="C6EFCE"/>
            <w:noWrap/>
          </w:tcPr>
          <w:p w14:paraId="29B45EC0" w14:textId="77777777" w:rsidR="000E48CE" w:rsidRDefault="00FF4C4E">
            <w:pPr>
              <w:pStyle w:val="P68B1DB1-Normal13"/>
              <w:spacing w:after="0" w:line="240" w:lineRule="auto"/>
              <w:jc w:val="center"/>
              <w:rPr>
                <w:rFonts w:eastAsia="Times New Roman" w:cs="Times New Roman"/>
                <w:noProof/>
              </w:rPr>
            </w:pPr>
            <w:r>
              <w:rPr>
                <w:noProof/>
              </w:rPr>
              <w:t>T</w:t>
            </w:r>
          </w:p>
        </w:tc>
        <w:tc>
          <w:tcPr>
            <w:tcW w:w="2410" w:type="dxa"/>
            <w:shd w:val="clear" w:color="auto" w:fill="C6EFCE"/>
            <w:noWrap/>
          </w:tcPr>
          <w:p w14:paraId="07A3A73F" w14:textId="77777777" w:rsidR="000E48CE" w:rsidRDefault="00FF4C4E">
            <w:pPr>
              <w:pStyle w:val="P68B1DB1-Normal13"/>
              <w:spacing w:after="0" w:line="240" w:lineRule="auto"/>
              <w:rPr>
                <w:rFonts w:eastAsia="Times New Roman" w:cs="Times New Roman"/>
                <w:noProof/>
              </w:rPr>
            </w:pPr>
            <w:r>
              <w:rPr>
                <w:noProof/>
              </w:rPr>
              <w:t>Audiovisuaalialan pk-yritysten tukeminen.</w:t>
            </w:r>
          </w:p>
        </w:tc>
        <w:tc>
          <w:tcPr>
            <w:tcW w:w="992" w:type="dxa"/>
            <w:shd w:val="clear" w:color="auto" w:fill="C6EFCE"/>
            <w:noWrap/>
          </w:tcPr>
          <w:p w14:paraId="2C53D7E8" w14:textId="77777777" w:rsidR="000E48CE" w:rsidRDefault="00FF4C4E">
            <w:pPr>
              <w:pStyle w:val="P68B1DB1-Normal13"/>
              <w:spacing w:after="0" w:line="240" w:lineRule="auto"/>
              <w:jc w:val="center"/>
              <w:rPr>
                <w:rFonts w:eastAsia="Times New Roman" w:cs="Times New Roman"/>
                <w:noProof/>
              </w:rPr>
            </w:pPr>
            <w:r>
              <w:rPr>
                <w:noProof/>
              </w:rPr>
              <w:t>—</w:t>
            </w:r>
          </w:p>
        </w:tc>
        <w:tc>
          <w:tcPr>
            <w:tcW w:w="851" w:type="dxa"/>
            <w:shd w:val="clear" w:color="auto" w:fill="C6EFCE"/>
            <w:noWrap/>
          </w:tcPr>
          <w:p w14:paraId="278EA5B7"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567" w:type="dxa"/>
            <w:shd w:val="clear" w:color="auto" w:fill="C6EFCE"/>
            <w:noWrap/>
          </w:tcPr>
          <w:p w14:paraId="26782D6E" w14:textId="77777777" w:rsidR="000E48CE" w:rsidRDefault="00FF4C4E">
            <w:pPr>
              <w:pStyle w:val="P68B1DB1-Normal13"/>
              <w:spacing w:after="0" w:line="240" w:lineRule="auto"/>
              <w:jc w:val="right"/>
              <w:rPr>
                <w:rFonts w:eastAsia="Times New Roman" w:cs="Times New Roman"/>
                <w:noProof/>
              </w:rPr>
            </w:pPr>
            <w:r>
              <w:rPr>
                <w:noProof/>
              </w:rPr>
              <w:t>0</w:t>
            </w:r>
          </w:p>
        </w:tc>
        <w:tc>
          <w:tcPr>
            <w:tcW w:w="567" w:type="dxa"/>
            <w:shd w:val="clear" w:color="auto" w:fill="C6EFCE"/>
            <w:noWrap/>
          </w:tcPr>
          <w:p w14:paraId="6B73A788" w14:textId="77777777" w:rsidR="000E48CE" w:rsidRDefault="00FF4C4E">
            <w:pPr>
              <w:pStyle w:val="P68B1DB1-Normal13"/>
              <w:spacing w:after="0" w:line="240" w:lineRule="auto"/>
              <w:jc w:val="right"/>
              <w:rPr>
                <w:rFonts w:eastAsia="Times New Roman" w:cs="Times New Roman"/>
                <w:noProof/>
              </w:rPr>
            </w:pPr>
            <w:r>
              <w:rPr>
                <w:noProof/>
              </w:rPr>
              <w:t>100</w:t>
            </w:r>
          </w:p>
        </w:tc>
        <w:tc>
          <w:tcPr>
            <w:tcW w:w="425" w:type="dxa"/>
            <w:shd w:val="clear" w:color="auto" w:fill="C6EFCE"/>
            <w:noWrap/>
          </w:tcPr>
          <w:p w14:paraId="4EEEECB0" w14:textId="77777777" w:rsidR="000E48CE" w:rsidRDefault="00FF4C4E">
            <w:pPr>
              <w:pStyle w:val="P68B1DB1-Normal13"/>
              <w:spacing w:after="0" w:line="240" w:lineRule="auto"/>
              <w:jc w:val="center"/>
              <w:rPr>
                <w:rFonts w:eastAsia="Times New Roman" w:cs="Times New Roman"/>
                <w:noProof/>
              </w:rPr>
            </w:pPr>
            <w:r>
              <w:rPr>
                <w:noProof/>
              </w:rPr>
              <w:t>Q4</w:t>
            </w:r>
          </w:p>
        </w:tc>
        <w:tc>
          <w:tcPr>
            <w:tcW w:w="567" w:type="dxa"/>
            <w:shd w:val="clear" w:color="auto" w:fill="C6EFCE"/>
            <w:noWrap/>
          </w:tcPr>
          <w:p w14:paraId="3EFB0583" w14:textId="77777777" w:rsidR="000E48CE" w:rsidRDefault="00FF4C4E">
            <w:pPr>
              <w:pStyle w:val="P68B1DB1-Normal13"/>
              <w:spacing w:after="0" w:line="240" w:lineRule="auto"/>
              <w:jc w:val="center"/>
              <w:rPr>
                <w:rFonts w:cs="Times New Roman"/>
                <w:noProof/>
              </w:rPr>
            </w:pPr>
            <w:r>
              <w:rPr>
                <w:noProof/>
              </w:rPr>
              <w:t>2023</w:t>
            </w:r>
          </w:p>
        </w:tc>
        <w:tc>
          <w:tcPr>
            <w:tcW w:w="6521" w:type="dxa"/>
            <w:shd w:val="clear" w:color="auto" w:fill="C6EFCE"/>
            <w:noWrap/>
          </w:tcPr>
          <w:p w14:paraId="3F0F49CF" w14:textId="77777777" w:rsidR="000E48CE" w:rsidRDefault="00FF4C4E">
            <w:pPr>
              <w:pStyle w:val="P68B1DB1-Normal13"/>
              <w:spacing w:after="0" w:line="240" w:lineRule="auto"/>
              <w:rPr>
                <w:rFonts w:eastAsia="Times New Roman" w:cs="Times New Roman"/>
                <w:noProof/>
              </w:rPr>
            </w:pPr>
            <w:r>
              <w:rPr>
                <w:noProof/>
              </w:rPr>
              <w:t xml:space="preserve">Audiovisuaalialan pk-yritysten tukeminen niiden digitalisaatiossa, sukupuolten tasa-arvon edistämisessä, </w:t>
            </w:r>
            <w:r>
              <w:rPr>
                <w:noProof/>
              </w:rPr>
              <w:t>kansainvälistymisessä ja ulkomaisten suorien investointien houkuttelemisessa koko ohjelman puitteissa; kokonaismäärärahat ovat 200 miljoonaa euroa (tukea myönnetään vähintään 100 pk-yritykselle).</w:t>
            </w:r>
          </w:p>
        </w:tc>
      </w:tr>
      <w:tr w:rsidR="000E48CE" w14:paraId="3955C9E0" w14:textId="77777777">
        <w:trPr>
          <w:trHeight w:val="309"/>
        </w:trPr>
        <w:tc>
          <w:tcPr>
            <w:tcW w:w="709" w:type="dxa"/>
            <w:shd w:val="clear" w:color="auto" w:fill="C6EFCE"/>
            <w:noWrap/>
          </w:tcPr>
          <w:p w14:paraId="3CB64B11" w14:textId="76B8BAE8" w:rsidR="000E48CE" w:rsidRDefault="00FF4C4E">
            <w:pPr>
              <w:pStyle w:val="P68B1DB1-Normal13"/>
              <w:spacing w:after="0" w:line="240" w:lineRule="auto"/>
              <w:jc w:val="center"/>
              <w:rPr>
                <w:rFonts w:cs="Times New Roman"/>
                <w:noProof/>
              </w:rPr>
            </w:pPr>
            <w:r>
              <w:rPr>
                <w:noProof/>
              </w:rPr>
              <w:t>476</w:t>
            </w:r>
          </w:p>
        </w:tc>
        <w:tc>
          <w:tcPr>
            <w:tcW w:w="851" w:type="dxa"/>
            <w:shd w:val="clear" w:color="auto" w:fill="C6EFCE"/>
            <w:noWrap/>
          </w:tcPr>
          <w:p w14:paraId="386AB2A7" w14:textId="77777777" w:rsidR="000E48CE" w:rsidRDefault="00FF4C4E">
            <w:pPr>
              <w:pStyle w:val="P68B1DB1-Normal13"/>
              <w:spacing w:after="0" w:line="240" w:lineRule="auto"/>
              <w:jc w:val="center"/>
              <w:rPr>
                <w:rFonts w:cs="Times New Roman"/>
                <w:noProof/>
              </w:rPr>
            </w:pPr>
            <w:r>
              <w:rPr>
                <w:noProof/>
              </w:rPr>
              <w:t>C25.I1</w:t>
            </w:r>
          </w:p>
        </w:tc>
        <w:tc>
          <w:tcPr>
            <w:tcW w:w="850" w:type="dxa"/>
            <w:shd w:val="clear" w:color="auto" w:fill="C6EFCE"/>
            <w:noWrap/>
          </w:tcPr>
          <w:p w14:paraId="70548496" w14:textId="77777777" w:rsidR="000E48CE" w:rsidRDefault="00FF4C4E">
            <w:pPr>
              <w:pStyle w:val="P68B1DB1-Normal13"/>
              <w:spacing w:after="0" w:line="240" w:lineRule="auto"/>
              <w:jc w:val="center"/>
              <w:rPr>
                <w:rFonts w:cs="Times New Roman"/>
                <w:noProof/>
              </w:rPr>
            </w:pPr>
            <w:r>
              <w:rPr>
                <w:noProof/>
              </w:rPr>
              <w:t>T</w:t>
            </w:r>
          </w:p>
        </w:tc>
        <w:tc>
          <w:tcPr>
            <w:tcW w:w="2410" w:type="dxa"/>
            <w:shd w:val="clear" w:color="auto" w:fill="C6EFCE"/>
            <w:noWrap/>
          </w:tcPr>
          <w:p w14:paraId="756F591D" w14:textId="1B8ED1C5" w:rsidR="000E48CE" w:rsidRDefault="00FF4C4E">
            <w:pPr>
              <w:pStyle w:val="P68B1DB1-Normal13"/>
              <w:spacing w:after="0" w:line="240" w:lineRule="auto"/>
              <w:rPr>
                <w:rFonts w:cs="Times New Roman"/>
                <w:noProof/>
              </w:rPr>
            </w:pPr>
            <w:r>
              <w:rPr>
                <w:noProof/>
              </w:rPr>
              <w:t xml:space="preserve">Audiovisuaalialan pk-yrityksiä tukevien </w:t>
            </w:r>
            <w:r>
              <w:rPr>
                <w:noProof/>
              </w:rPr>
              <w:t>hankkeiden loppuun saattaminen</w:t>
            </w:r>
          </w:p>
        </w:tc>
        <w:tc>
          <w:tcPr>
            <w:tcW w:w="992" w:type="dxa"/>
            <w:shd w:val="clear" w:color="auto" w:fill="C6EFCE"/>
            <w:noWrap/>
          </w:tcPr>
          <w:p w14:paraId="4BBA99A8" w14:textId="77777777" w:rsidR="000E48CE" w:rsidRDefault="000E48CE">
            <w:pPr>
              <w:spacing w:after="0" w:line="240" w:lineRule="auto"/>
              <w:jc w:val="center"/>
              <w:rPr>
                <w:rFonts w:ascii="Times New Roman" w:hAnsi="Times New Roman" w:cs="Times New Roman"/>
                <w:noProof/>
                <w:sz w:val="18"/>
              </w:rPr>
            </w:pPr>
          </w:p>
        </w:tc>
        <w:tc>
          <w:tcPr>
            <w:tcW w:w="851" w:type="dxa"/>
            <w:shd w:val="clear" w:color="auto" w:fill="C6EFCE"/>
            <w:noWrap/>
          </w:tcPr>
          <w:p w14:paraId="50A5A011" w14:textId="77777777" w:rsidR="000E48CE" w:rsidRDefault="00FF4C4E">
            <w:pPr>
              <w:pStyle w:val="P68B1DB1-Normal13"/>
              <w:spacing w:after="0" w:line="240" w:lineRule="auto"/>
              <w:jc w:val="center"/>
              <w:rPr>
                <w:rFonts w:cs="Times New Roman"/>
                <w:noProof/>
              </w:rPr>
            </w:pPr>
            <w:r>
              <w:rPr>
                <w:noProof/>
              </w:rPr>
              <w:t>Määrä</w:t>
            </w:r>
          </w:p>
        </w:tc>
        <w:tc>
          <w:tcPr>
            <w:tcW w:w="567" w:type="dxa"/>
            <w:shd w:val="clear" w:color="auto" w:fill="C6EFCE"/>
            <w:noWrap/>
          </w:tcPr>
          <w:p w14:paraId="7CFA8470" w14:textId="77777777" w:rsidR="000E48CE" w:rsidRDefault="00FF4C4E">
            <w:pPr>
              <w:pStyle w:val="P68B1DB1-Normal13"/>
              <w:spacing w:after="0" w:line="240" w:lineRule="auto"/>
              <w:jc w:val="right"/>
              <w:rPr>
                <w:rFonts w:cs="Times New Roman"/>
                <w:noProof/>
              </w:rPr>
            </w:pPr>
            <w:r>
              <w:rPr>
                <w:noProof/>
              </w:rPr>
              <w:t>0</w:t>
            </w:r>
          </w:p>
        </w:tc>
        <w:tc>
          <w:tcPr>
            <w:tcW w:w="567" w:type="dxa"/>
            <w:shd w:val="clear" w:color="auto" w:fill="C6EFCE"/>
            <w:noWrap/>
          </w:tcPr>
          <w:p w14:paraId="31B7BBD8" w14:textId="77777777" w:rsidR="000E48CE" w:rsidRDefault="00FF4C4E">
            <w:pPr>
              <w:pStyle w:val="P68B1DB1-Normal13"/>
              <w:spacing w:after="0" w:line="240" w:lineRule="auto"/>
              <w:jc w:val="right"/>
              <w:rPr>
                <w:rFonts w:cs="Times New Roman"/>
                <w:noProof/>
              </w:rPr>
            </w:pPr>
            <w:r>
              <w:rPr>
                <w:noProof/>
              </w:rPr>
              <w:t>100</w:t>
            </w:r>
          </w:p>
        </w:tc>
        <w:tc>
          <w:tcPr>
            <w:tcW w:w="425" w:type="dxa"/>
            <w:shd w:val="clear" w:color="auto" w:fill="C6EFCE"/>
            <w:noWrap/>
          </w:tcPr>
          <w:p w14:paraId="70AE0A62" w14:textId="77777777" w:rsidR="000E48CE" w:rsidRDefault="00FF4C4E">
            <w:pPr>
              <w:pStyle w:val="P68B1DB1-Normal13"/>
              <w:spacing w:after="0" w:line="240" w:lineRule="auto"/>
              <w:jc w:val="center"/>
              <w:rPr>
                <w:rFonts w:cs="Times New Roman"/>
                <w:noProof/>
              </w:rPr>
            </w:pPr>
            <w:r>
              <w:rPr>
                <w:noProof/>
              </w:rPr>
              <w:t>Q4</w:t>
            </w:r>
          </w:p>
        </w:tc>
        <w:tc>
          <w:tcPr>
            <w:tcW w:w="567" w:type="dxa"/>
            <w:shd w:val="clear" w:color="auto" w:fill="C6EFCE"/>
            <w:noWrap/>
          </w:tcPr>
          <w:p w14:paraId="5FD1454A" w14:textId="77777777" w:rsidR="000E48CE" w:rsidRDefault="00FF4C4E">
            <w:pPr>
              <w:pStyle w:val="P68B1DB1-Normal13"/>
              <w:spacing w:after="0" w:line="240" w:lineRule="auto"/>
              <w:jc w:val="center"/>
              <w:rPr>
                <w:rFonts w:cs="Times New Roman"/>
                <w:noProof/>
              </w:rPr>
            </w:pPr>
            <w:r>
              <w:rPr>
                <w:noProof/>
              </w:rPr>
              <w:t>2024</w:t>
            </w:r>
          </w:p>
        </w:tc>
        <w:tc>
          <w:tcPr>
            <w:tcW w:w="6521" w:type="dxa"/>
            <w:shd w:val="clear" w:color="auto" w:fill="C6EFCE"/>
            <w:noWrap/>
          </w:tcPr>
          <w:p w14:paraId="7A5C131A" w14:textId="5F79330A" w:rsidR="000E48CE" w:rsidRDefault="00FF4C4E">
            <w:pPr>
              <w:pStyle w:val="P68B1DB1-Normal13"/>
              <w:spacing w:after="0" w:line="240" w:lineRule="auto"/>
              <w:rPr>
                <w:rFonts w:cs="Times New Roman"/>
                <w:noProof/>
              </w:rPr>
            </w:pPr>
            <w:r>
              <w:rPr>
                <w:noProof/>
              </w:rPr>
              <w:t>Audiovisuaalialan pk-yrityksiä tukevien hankkeiden loppuun saattaminen (hankkeet, joilla tuetaan vähintään 100:aa pk-yritystä).</w:t>
            </w:r>
          </w:p>
        </w:tc>
      </w:tr>
      <w:bookmarkEnd w:id="58"/>
    </w:tbl>
    <w:p w14:paraId="2B2E72EA" w14:textId="77777777" w:rsidR="000E48CE" w:rsidRDefault="000E48CE">
      <w:pPr>
        <w:rPr>
          <w:rFonts w:ascii="Times New Roman" w:hAnsi="Times New Roman" w:cs="Times New Roman"/>
          <w:noProof/>
          <w:sz w:val="24"/>
        </w:rPr>
        <w:sectPr w:rsidR="000E48CE" w:rsidSect="00C94F66">
          <w:headerReference w:type="even" r:id="rId477"/>
          <w:headerReference w:type="default" r:id="rId478"/>
          <w:footerReference w:type="even" r:id="rId479"/>
          <w:footerReference w:type="default" r:id="rId480"/>
          <w:headerReference w:type="first" r:id="rId481"/>
          <w:footerReference w:type="first" r:id="rId482"/>
          <w:pgSz w:w="16839" w:h="11907" w:orient="landscape"/>
          <w:pgMar w:top="1417" w:right="1134" w:bottom="1417" w:left="1134" w:header="709" w:footer="709" w:gutter="0"/>
          <w:cols w:space="720"/>
          <w:docGrid w:linePitch="360"/>
        </w:sectPr>
      </w:pPr>
    </w:p>
    <w:p w14:paraId="2FFB3AFF" w14:textId="77777777" w:rsidR="000E48CE" w:rsidRDefault="000E48CE">
      <w:pPr>
        <w:rPr>
          <w:rFonts w:ascii="Times New Roman" w:hAnsi="Times New Roman" w:cs="Times New Roman"/>
          <w:noProof/>
          <w:sz w:val="24"/>
        </w:rPr>
      </w:pPr>
    </w:p>
    <w:p w14:paraId="5413271F" w14:textId="77777777" w:rsidR="000E48CE" w:rsidRDefault="00FF4C4E">
      <w:pPr>
        <w:pStyle w:val="P68B1DB1-Normal5"/>
        <w:spacing w:before="120" w:after="120" w:line="240" w:lineRule="auto"/>
        <w:ind w:firstLine="720"/>
        <w:jc w:val="both"/>
        <w:rPr>
          <w:rFonts w:cs="Times New Roman"/>
          <w:noProof/>
        </w:rPr>
      </w:pPr>
      <w:r>
        <w:rPr>
          <w:noProof/>
        </w:rPr>
        <w:t xml:space="preserve">Y.3 </w:t>
      </w:r>
      <w:r>
        <w:rPr>
          <w:noProof/>
        </w:rPr>
        <w:tab/>
        <w:t>Kuvaus</w:t>
      </w:r>
      <w:r>
        <w:rPr>
          <w:noProof/>
        </w:rPr>
        <w:t xml:space="preserve"> lainatukeen liittyvistä uudistuksista ja investoinneista</w:t>
      </w:r>
    </w:p>
    <w:p w14:paraId="7DD0ABF8" w14:textId="773FD445" w:rsidR="000E48CE" w:rsidRDefault="00FF4C4E">
      <w:pPr>
        <w:pStyle w:val="P68B1DB1-Normal6"/>
        <w:spacing w:before="120" w:after="120" w:line="240" w:lineRule="auto"/>
        <w:jc w:val="both"/>
        <w:rPr>
          <w:rFonts w:cs="Times New Roman"/>
          <w:noProof/>
        </w:rPr>
      </w:pPr>
      <w:r>
        <w:rPr>
          <w:noProof/>
        </w:rPr>
        <w:t xml:space="preserve">Investointi 2 (C25.I2) – PERTE ”Uusi kielitalous”: Tietoa espanjaksi ja muille virallisille kielille. </w:t>
      </w:r>
    </w:p>
    <w:p w14:paraId="496255E2" w14:textId="77777777" w:rsidR="000E48CE" w:rsidRDefault="00FF4C4E">
      <w:pPr>
        <w:pStyle w:val="P68B1DB1-Normal4"/>
        <w:spacing w:before="120" w:after="120" w:line="240" w:lineRule="auto"/>
        <w:jc w:val="both"/>
        <w:rPr>
          <w:rFonts w:cs="Times New Roman"/>
          <w:noProof/>
          <w:shd w:val="clear" w:color="auto" w:fill="E6E6E6"/>
        </w:rPr>
      </w:pPr>
      <w:r>
        <w:rPr>
          <w:noProof/>
        </w:rPr>
        <w:t xml:space="preserve">Investoinnilla pyritään edistämään espanjan kielen ja muiden virallisten kielten taloudellista </w:t>
      </w:r>
      <w:r>
        <w:rPr>
          <w:noProof/>
        </w:rPr>
        <w:t>potentiaalia edistämällä media-alan kansainvälistymistä, levittämistä ja laajentamista näillä kielillä. Tätä varten tällä investoinnilla tuetaan hankkeita, jotka liittyvät sisällön digitalisointiin ja levittämiseen sekä media-alan yritysten omaksumiin uusi</w:t>
      </w:r>
      <w:r>
        <w:rPr>
          <w:noProof/>
        </w:rPr>
        <w:t>in teknisiin välineisiin espanjankielisten ja muiden virallisten kielten sisällön hallinnointia ja käsittelyä varten.</w:t>
      </w:r>
      <w:r>
        <w:rPr>
          <w:noProof/>
          <w:shd w:val="clear" w:color="auto" w:fill="E6E6E6"/>
        </w:rPr>
        <w:t xml:space="preserve"> </w:t>
      </w:r>
    </w:p>
    <w:p w14:paraId="5C85A4A1" w14:textId="77777777" w:rsidR="000E48CE" w:rsidRDefault="00FF4C4E">
      <w:pPr>
        <w:pStyle w:val="P68B1DB1-Normal4"/>
        <w:spacing w:before="120" w:after="120" w:line="240" w:lineRule="auto"/>
        <w:jc w:val="both"/>
        <w:rPr>
          <w:rFonts w:cs="Times New Roman"/>
          <w:noProof/>
          <w:u w:val="single"/>
        </w:rPr>
      </w:pPr>
      <w:r>
        <w:rPr>
          <w:noProof/>
        </w:rPr>
        <w:t>Toimenpiteen täytäntöönpano on saatettava päätökseen viimeistään 31 päivänä elokuuta 2026.</w:t>
      </w:r>
    </w:p>
    <w:p w14:paraId="0E09930D" w14:textId="77777777" w:rsidR="000E48CE" w:rsidRDefault="00FF4C4E">
      <w:pPr>
        <w:pStyle w:val="P68B1DB1-Normal6"/>
        <w:spacing w:before="120" w:after="120" w:line="240" w:lineRule="auto"/>
        <w:jc w:val="both"/>
        <w:rPr>
          <w:rFonts w:cs="Times New Roman"/>
          <w:noProof/>
        </w:rPr>
      </w:pPr>
      <w:r>
        <w:rPr>
          <w:noProof/>
        </w:rPr>
        <w:t>Investointi 3 (C25.I3) – Audiovisuaalikeskuste</w:t>
      </w:r>
      <w:r>
        <w:rPr>
          <w:noProof/>
        </w:rPr>
        <w:t xml:space="preserve">n rahasto </w:t>
      </w:r>
    </w:p>
    <w:p w14:paraId="715AF067" w14:textId="66E94812" w:rsidR="000E48CE" w:rsidRDefault="00FF4C4E">
      <w:pPr>
        <w:pStyle w:val="P68B1DB1-LegalNumPar230"/>
        <w:numPr>
          <w:ilvl w:val="1"/>
          <w:numId w:val="0"/>
        </w:numPr>
        <w:spacing w:line="240" w:lineRule="auto"/>
        <w:jc w:val="both"/>
        <w:rPr>
          <w:rFonts w:cs="Times New Roman"/>
          <w:noProof/>
        </w:rPr>
      </w:pPr>
      <w:bookmarkStart w:id="59" w:name="_Hlk145612128"/>
      <w:r>
        <w:rPr>
          <w:noProof/>
        </w:rPr>
        <w:t>Tämä toimenpide koostuu julkisesta investoinnista ICO Audiovisual Hub -rahastoon, jotta voidaan kannustaa yksityisiä investointeja ja parantaa rahoituksen saantia hankkeisiin, jotka liittyvät muun muassa elokuviin, fiktioon, televisioon, sisältö</w:t>
      </w:r>
      <w:r>
        <w:rPr>
          <w:noProof/>
        </w:rPr>
        <w:t xml:space="preserve">ön, digitaaliseen kulttuuriin sekä multimediaan ja interaktiiviseen sisältöön, kuten videopeleihin, immersiivisiin kokemuksiin ja visuaalisiin vaikutuksiin, ja kehittää pääomamarkkinoita tällä alalla. Investointikehys toimii tarjoamalla suoraa rahoitusta, </w:t>
      </w:r>
      <w:r>
        <w:rPr>
          <w:noProof/>
        </w:rPr>
        <w:t>yritysjoukkolainojen ostoja sekä oman pääoman ehtoisia ja oman pääoman luonteisia sijoituksia suoraan tai välittäjien kautta yksityiselle sektorille sekä vastaavaa toimintaa harjoittaville julkisyhteisöille ja julkisoikeudellisille laitoksille. Elpymis- ja</w:t>
      </w:r>
      <w:r>
        <w:rPr>
          <w:noProof/>
        </w:rPr>
        <w:t xml:space="preserve"> palautumistukivälineen investointien perusteella tukivälineestä on alun perin tarkoitus myöntää rahoitusta vähintään 1712000000 euroa. </w:t>
      </w:r>
    </w:p>
    <w:p w14:paraId="338959F3" w14:textId="74127BAC" w:rsidR="000E48CE" w:rsidRDefault="00FF4C4E">
      <w:pPr>
        <w:pStyle w:val="P68B1DB1-Normal4"/>
        <w:spacing w:line="240" w:lineRule="auto"/>
        <w:jc w:val="both"/>
        <w:rPr>
          <w:rFonts w:cs="Times New Roman"/>
          <w:noProof/>
        </w:rPr>
      </w:pPr>
      <w:r>
        <w:rPr>
          <w:noProof/>
        </w:rPr>
        <w:t xml:space="preserve">Investointikehystä hallinnoivat toteutuskumppaneina Instituto de Crédito Oficial (ICO) ja Axis (ICO:n </w:t>
      </w:r>
      <w:r>
        <w:rPr>
          <w:noProof/>
        </w:rPr>
        <w:t>pääomasijoitusyhtiö/yksityisen pääoman hallinnoija). Lainajärjestely sisältää seuraavat tuotelinjat:</w:t>
      </w:r>
    </w:p>
    <w:p w14:paraId="22926004" w14:textId="72B030DB" w:rsidR="000E48CE" w:rsidRDefault="00FF4C4E">
      <w:pPr>
        <w:pStyle w:val="P68B1DB1-ListParagraph7"/>
        <w:numPr>
          <w:ilvl w:val="0"/>
          <w:numId w:val="692"/>
        </w:numPr>
        <w:spacing w:after="0" w:line="240" w:lineRule="auto"/>
        <w:jc w:val="both"/>
        <w:textAlignment w:val="baseline"/>
        <w:rPr>
          <w:rFonts w:cs="Times New Roman"/>
          <w:noProof/>
        </w:rPr>
      </w:pPr>
      <w:r>
        <w:rPr>
          <w:noProof/>
        </w:rPr>
        <w:t>Sovittelulinja: sovittelulinja koostuu ICO:n liikepankeille myöntämistä lainoista, jotka puolestaan myöntävät lainoja lopullisille edunsaajille audiovisuaa</w:t>
      </w:r>
      <w:r>
        <w:rPr>
          <w:noProof/>
        </w:rPr>
        <w:t>li- ja kulttuurialan hankkeiden rahoittamiseksi. Lopullisia edunsaajia ovat yksityiset yritykset (kuten pk-yritykset, yrittäjät, mid-cap-yritykset ja suuryritykset) ja julkiset yritykset.   </w:t>
      </w:r>
    </w:p>
    <w:p w14:paraId="647A4D85" w14:textId="77777777" w:rsidR="000E48CE" w:rsidRDefault="00FF4C4E">
      <w:pPr>
        <w:pStyle w:val="P68B1DB1-ListParagraph7"/>
        <w:numPr>
          <w:ilvl w:val="0"/>
          <w:numId w:val="692"/>
        </w:numPr>
        <w:spacing w:after="0" w:line="240" w:lineRule="auto"/>
        <w:jc w:val="both"/>
        <w:textAlignment w:val="baseline"/>
        <w:rPr>
          <w:rFonts w:cs="Times New Roman"/>
          <w:noProof/>
        </w:rPr>
      </w:pPr>
      <w:r>
        <w:rPr>
          <w:noProof/>
        </w:rPr>
        <w:t>ICO:n suora rahoitus: tästä budjettikohdasta myönnetään suoria la</w:t>
      </w:r>
      <w:r>
        <w:rPr>
          <w:noProof/>
        </w:rPr>
        <w:t>inoja yksityisille yrityksille (kuten mid-cap-yrityksille ja suuryrityksille) ja julkisille yrityksille audiovisuaalialan hankkeiden rahoittamiseksi. ICO myöntää lainat suoraan, ja kukin hanke, jota yhteisrahoittaa yksi tai useampi kolmas osapuoli. ICO:n m</w:t>
      </w:r>
      <w:r>
        <w:rPr>
          <w:noProof/>
        </w:rPr>
        <w:t>yöntämät varat ovat enintään 70 prosenttia investoinnin tuen kokonaismäärästä. Yksityisten sijoittajien on katettava vähintään 30 prosenttia investointituen kokonaismäärästä. </w:t>
      </w:r>
    </w:p>
    <w:p w14:paraId="42FCDFE0" w14:textId="77777777" w:rsidR="000E48CE" w:rsidRDefault="00FF4C4E">
      <w:pPr>
        <w:pStyle w:val="P68B1DB1-ListParagraph7"/>
        <w:numPr>
          <w:ilvl w:val="0"/>
          <w:numId w:val="692"/>
        </w:numPr>
        <w:spacing w:after="0" w:line="240" w:lineRule="auto"/>
        <w:jc w:val="both"/>
        <w:textAlignment w:val="baseline"/>
        <w:rPr>
          <w:rFonts w:cs="Times New Roman"/>
          <w:noProof/>
        </w:rPr>
      </w:pPr>
      <w:r>
        <w:rPr>
          <w:noProof/>
        </w:rPr>
        <w:t>Yritysjoukkolainojen ostot: tällä rivillä ICO ostaa espanjalaisten yritysten lii</w:t>
      </w:r>
      <w:r>
        <w:rPr>
          <w:noProof/>
        </w:rPr>
        <w:t xml:space="preserve">kkeeseen laskemia etuoikeusasemaltaan parempia keskipitkän ja pitkän aikavälin kiinteätuottoisia arvopapereita järjestäytyneiltä jälkimarkkinoilta (kuten vaihtoehtoisten kiinteätuottoisten markkinoiden (MARF) tai rahoitusomaisuuden välittäjien yhdistyksen </w:t>
      </w:r>
      <w:r>
        <w:rPr>
          <w:noProof/>
        </w:rPr>
        <w:t>(AIAF)) kautta. Arvopaperit on liitettävä arvopaperin liikkeeseen laskevan yrityksen tiettyyn investointihankkeeseen.  </w:t>
      </w:r>
    </w:p>
    <w:p w14:paraId="7A25782D" w14:textId="1E7ED559" w:rsidR="000E48CE" w:rsidRDefault="00FF4C4E">
      <w:pPr>
        <w:pStyle w:val="P68B1DB1-ListParagraph7"/>
        <w:numPr>
          <w:ilvl w:val="0"/>
          <w:numId w:val="692"/>
        </w:numPr>
        <w:spacing w:after="0" w:line="240" w:lineRule="auto"/>
        <w:textAlignment w:val="baseline"/>
        <w:rPr>
          <w:rFonts w:cs="Times New Roman"/>
          <w:noProof/>
        </w:rPr>
      </w:pPr>
      <w:r>
        <w:rPr>
          <w:noProof/>
        </w:rPr>
        <w:t>Oman pääoman ehtoiset ja luonteiset sijoitukset: tämä budjettikohta koostuu suorista oman pääoman ehtoisista sijoituksista toimintalinja</w:t>
      </w:r>
      <w:r>
        <w:rPr>
          <w:noProof/>
        </w:rPr>
        <w:t>n (ICO:n riskipääoma/yksityisen pääoman hallinnoija) kautta ja/tai varojen siirtämisestä pääomarahastoihin tai muihin sijoitusvälineisiin, joita hallinnoivat yksityiset rahoituksen välittäjät, jotka toteuttavat pääomasijoituksia audiovisuaalialalla toimivi</w:t>
      </w:r>
      <w:r>
        <w:rPr>
          <w:noProof/>
        </w:rPr>
        <w:t>in yrityksiin. Rahaston enimmäisosuus sijoitusrahastoista saa olla enintään 49 prosenttia. Rahaston pääomasijoitukset eivät saa johtaa siihen, että julkisessa omistuksessa olevan oman pääoman osuus lopullisesta tuensaajasta ylittää 49:ää prosenttia kokonai</w:t>
      </w:r>
      <w:r>
        <w:rPr>
          <w:noProof/>
        </w:rPr>
        <w:t>spääomasta.</w:t>
      </w:r>
    </w:p>
    <w:p w14:paraId="0A805475" w14:textId="1DB00ACA" w:rsidR="000E48CE" w:rsidRDefault="000E48CE">
      <w:pPr>
        <w:pStyle w:val="ListParagraph"/>
        <w:spacing w:after="0" w:line="240" w:lineRule="auto"/>
        <w:textAlignment w:val="baseline"/>
        <w:rPr>
          <w:rFonts w:ascii="Times New Roman" w:hAnsi="Times New Roman" w:cs="Times New Roman"/>
          <w:noProof/>
          <w:sz w:val="24"/>
        </w:rPr>
      </w:pPr>
    </w:p>
    <w:bookmarkEnd w:id="59"/>
    <w:p w14:paraId="3BA0777B" w14:textId="77777777" w:rsidR="000E48CE" w:rsidRDefault="00FF4C4E">
      <w:pPr>
        <w:pStyle w:val="P68B1DB1-Normal4"/>
        <w:spacing w:line="240" w:lineRule="auto"/>
        <w:jc w:val="both"/>
        <w:rPr>
          <w:rFonts w:cs="Times New Roman"/>
          <w:noProof/>
        </w:rPr>
      </w:pPr>
      <w:r>
        <w:rPr>
          <w:noProof/>
        </w:rPr>
        <w:t>Investointikehykseen tehtävän investoinnin toteuttamiseksi Espanja ja ICO allekirjoittavat täytäntöönpanosopimuksen, joka sisältää seuraavat tiedot:</w:t>
      </w:r>
    </w:p>
    <w:p w14:paraId="558DC0FD" w14:textId="54C19313" w:rsidR="000E48CE" w:rsidRDefault="00FF4C4E">
      <w:pPr>
        <w:pStyle w:val="P68B1DB1-LegalNumPar29"/>
        <w:numPr>
          <w:ilvl w:val="0"/>
          <w:numId w:val="756"/>
        </w:numPr>
        <w:jc w:val="both"/>
        <w:rPr>
          <w:rFonts w:eastAsia="Times New Roman" w:cs="Times New Roman"/>
          <w:noProof/>
        </w:rPr>
      </w:pPr>
      <w:r>
        <w:rPr>
          <w:noProof/>
        </w:rPr>
        <w:t xml:space="preserve">Kuvaus tukivälineen päätöksentekoprosessista: Investointikehyksen lopullisen </w:t>
      </w:r>
      <w:r>
        <w:rPr>
          <w:noProof/>
        </w:rPr>
        <w:t>investointipäätöksen tekee investointikomitea tai muu vastaava hallintoelin, ja se hyväksytään äänten enemmistöllä hallituksesta riippumattomilta jäseniltä. Välitettyjen sijoitusten osalta lopullisen sijoituspäätöksen tekevät välittäjät.</w:t>
      </w:r>
    </w:p>
    <w:p w14:paraId="2D179111" w14:textId="701E4D70" w:rsidR="000E48CE" w:rsidRDefault="00FF4C4E">
      <w:pPr>
        <w:pStyle w:val="P68B1DB1-LegalNumPar29"/>
        <w:numPr>
          <w:ilvl w:val="0"/>
          <w:numId w:val="756"/>
        </w:numPr>
        <w:jc w:val="both"/>
        <w:rPr>
          <w:rFonts w:eastAsia="Times New Roman" w:cs="Times New Roman"/>
          <w:noProof/>
        </w:rPr>
      </w:pPr>
      <w:r>
        <w:rPr>
          <w:noProof/>
        </w:rPr>
        <w:t>Asiaan liittyvän s</w:t>
      </w:r>
      <w:r>
        <w:rPr>
          <w:noProof/>
        </w:rPr>
        <w:t>ijoituspolitiikan keskeiset vaatimukset,</w:t>
      </w:r>
      <w:r>
        <w:rPr>
          <w:b/>
          <w:noProof/>
        </w:rPr>
        <w:t xml:space="preserve"> </w:t>
      </w:r>
      <w:r>
        <w:rPr>
          <w:noProof/>
        </w:rPr>
        <w:t>joita ovat muun muassa seuraavat:</w:t>
      </w:r>
    </w:p>
    <w:p w14:paraId="7C250AB2" w14:textId="77777777" w:rsidR="000E48CE" w:rsidRDefault="00FF4C4E">
      <w:pPr>
        <w:pStyle w:val="P68B1DB1-LegalNumPar230"/>
        <w:numPr>
          <w:ilvl w:val="1"/>
          <w:numId w:val="757"/>
        </w:numPr>
        <w:jc w:val="both"/>
        <w:rPr>
          <w:rFonts w:cs="Times New Roman"/>
          <w:noProof/>
        </w:rPr>
      </w:pPr>
      <w:r>
        <w:rPr>
          <w:noProof/>
        </w:rPr>
        <w:t xml:space="preserve">Rahoitustuotteen (-tuotteiden) ja tukikelpoisten lopullisten tuensaajien kuvaus toimenpiteen kuvauksen mukaisesti.   </w:t>
      </w:r>
    </w:p>
    <w:p w14:paraId="3418407B" w14:textId="77777777" w:rsidR="000E48CE" w:rsidRDefault="00FF4C4E">
      <w:pPr>
        <w:pStyle w:val="P68B1DB1-LegalNumPar230"/>
        <w:numPr>
          <w:ilvl w:val="1"/>
          <w:numId w:val="757"/>
        </w:numPr>
        <w:jc w:val="both"/>
        <w:rPr>
          <w:rFonts w:cs="Times New Roman"/>
          <w:noProof/>
        </w:rPr>
      </w:pPr>
      <w:r>
        <w:rPr>
          <w:noProof/>
        </w:rPr>
        <w:t>Kaikkien tuettujen investointien on oltava taloudellisesti kann</w:t>
      </w:r>
      <w:r>
        <w:rPr>
          <w:noProof/>
        </w:rPr>
        <w:t>attavia</w:t>
      </w:r>
      <w:r>
        <w:rPr>
          <w:b/>
          <w:noProof/>
        </w:rPr>
        <w:t>.</w:t>
      </w:r>
    </w:p>
    <w:p w14:paraId="216E853A" w14:textId="77777777" w:rsidR="000E48CE" w:rsidRDefault="00FF4C4E">
      <w:pPr>
        <w:pStyle w:val="P68B1DB1-LegalNumPar230"/>
        <w:numPr>
          <w:ilvl w:val="1"/>
          <w:numId w:val="757"/>
        </w:numPr>
        <w:jc w:val="both"/>
        <w:rPr>
          <w:rFonts w:cs="Times New Roman"/>
          <w:noProof/>
        </w:rPr>
      </w:pPr>
      <w:r>
        <w:rPr>
          <w:noProof/>
        </w:rPr>
        <w:t>Kielto jälleenrahoittaa jäljellä olevia lainoja.</w:t>
      </w:r>
    </w:p>
    <w:p w14:paraId="249AA9DD" w14:textId="7505F65A" w:rsidR="000E48CE" w:rsidRDefault="00FF4C4E">
      <w:pPr>
        <w:pStyle w:val="P68B1DB1-LegalNumPar230"/>
        <w:numPr>
          <w:ilvl w:val="1"/>
          <w:numId w:val="757"/>
        </w:numPr>
        <w:jc w:val="both"/>
        <w:rPr>
          <w:rFonts w:cs="Times New Roman"/>
          <w:noProof/>
        </w:rPr>
      </w:pPr>
      <w:r>
        <w:rPr>
          <w:noProof/>
        </w:rPr>
        <w:t>Vaatimus noudattaa ”ei merkittävää haittaa” -periaatetta sellaisena kuin se on vahvistettu ”ei merkittävää haittaa” -periaatteen noudattamisessa, sellaisena kuin se on vahvistettu ”ei merkittävää ha</w:t>
      </w:r>
      <w:r>
        <w:rPr>
          <w:noProof/>
        </w:rPr>
        <w:t>ittaa” -periaatteen noudattamisessa (2021/C58/01). Lisäksi investointipolitiikassa on edellytettävä tukivälineen lopullisten edunsaajien asiaankuuluvan EU:n ja kansallisen ympäristölainsäädännön noudattamista.</w:t>
      </w:r>
    </w:p>
    <w:p w14:paraId="5C73412D" w14:textId="3E779144" w:rsidR="000E48CE" w:rsidRDefault="00FF4C4E">
      <w:pPr>
        <w:pStyle w:val="P68B1DB1-ListParagraph7"/>
        <w:numPr>
          <w:ilvl w:val="1"/>
          <w:numId w:val="757"/>
        </w:numPr>
        <w:spacing w:line="240" w:lineRule="auto"/>
        <w:jc w:val="both"/>
        <w:rPr>
          <w:rFonts w:cs="Times New Roman"/>
          <w:noProof/>
        </w:rPr>
      </w:pPr>
      <w:r>
        <w:rPr>
          <w:noProof/>
        </w:rPr>
        <w:t>Vaatimus, jonka mukaan lainajärjestelyn lopull</w:t>
      </w:r>
      <w:r>
        <w:rPr>
          <w:noProof/>
        </w:rPr>
        <w:t>iset edunsaajat eivät saa tukea muista unionin välineistä samojen kustannusten kattamiseksi.</w:t>
      </w:r>
    </w:p>
    <w:p w14:paraId="4C983689" w14:textId="4807E2E9" w:rsidR="000E48CE" w:rsidRDefault="00FF4C4E">
      <w:pPr>
        <w:pStyle w:val="P68B1DB1-LegalNumPar29"/>
        <w:numPr>
          <w:ilvl w:val="0"/>
          <w:numId w:val="756"/>
        </w:numPr>
        <w:jc w:val="both"/>
        <w:rPr>
          <w:rFonts w:cs="Times New Roman"/>
          <w:noProof/>
        </w:rPr>
      </w:pPr>
      <w:r>
        <w:rPr>
          <w:noProof/>
        </w:rPr>
        <w:t>Täytäntöönpanosopimuksen kattama määrä, toteutuskumppanin maksurakenne ja vaatimus sijoittaa takaisin saadut varat tukivälineen investointipolitiikan mukaisesti, p</w:t>
      </w:r>
      <w:r>
        <w:rPr>
          <w:noProof/>
        </w:rPr>
        <w:t>aitsi jos niitä käytetään elpymis- ja palautumistukivälineen lainojen takaisinmaksujen hoitamiseen.</w:t>
      </w:r>
    </w:p>
    <w:p w14:paraId="067101C9" w14:textId="77777777" w:rsidR="000E48CE" w:rsidRDefault="00FF4C4E">
      <w:pPr>
        <w:pStyle w:val="P68B1DB1-ListParagraph7"/>
        <w:numPr>
          <w:ilvl w:val="0"/>
          <w:numId w:val="756"/>
        </w:numPr>
        <w:spacing w:line="240" w:lineRule="auto"/>
        <w:jc w:val="both"/>
        <w:rPr>
          <w:rFonts w:cs="Times New Roman"/>
          <w:noProof/>
        </w:rPr>
      </w:pPr>
      <w:r>
        <w:rPr>
          <w:noProof/>
        </w:rPr>
        <w:t>Seuranta-, auditointi- ja valvontavaatimukset, mukaan lukien</w:t>
      </w:r>
    </w:p>
    <w:p w14:paraId="385E3198" w14:textId="60BC3E41" w:rsidR="000E48CE" w:rsidRDefault="00FF4C4E">
      <w:pPr>
        <w:pStyle w:val="P68B1DB1-ListParagraph7"/>
        <w:numPr>
          <w:ilvl w:val="0"/>
          <w:numId w:val="759"/>
        </w:numPr>
        <w:spacing w:line="240" w:lineRule="auto"/>
        <w:jc w:val="both"/>
        <w:rPr>
          <w:rFonts w:cs="Times New Roman"/>
          <w:noProof/>
        </w:rPr>
      </w:pPr>
      <w:r>
        <w:rPr>
          <w:noProof/>
        </w:rPr>
        <w:t>Kuvaus toteutuskumppanin seurantajärjestelmästä, jolla raportoidaan liikkeelle saaduista invest</w:t>
      </w:r>
      <w:r>
        <w:rPr>
          <w:noProof/>
        </w:rPr>
        <w:t>oinneista.</w:t>
      </w:r>
    </w:p>
    <w:p w14:paraId="10A16931" w14:textId="3852039A" w:rsidR="000E48CE" w:rsidRDefault="00FF4C4E">
      <w:pPr>
        <w:pStyle w:val="P68B1DB1-ListParagraph7"/>
        <w:numPr>
          <w:ilvl w:val="0"/>
          <w:numId w:val="759"/>
        </w:numPr>
        <w:spacing w:line="240" w:lineRule="auto"/>
        <w:jc w:val="both"/>
        <w:rPr>
          <w:rFonts w:cs="Times New Roman"/>
          <w:noProof/>
        </w:rPr>
      </w:pPr>
      <w:r>
        <w:rPr>
          <w:noProof/>
        </w:rPr>
        <w:t>Kuvaus toteutuskumppanin menettelyistä, joilla varmistetaan petosten, lahjonnan ja eturistiriitojen ehkäiseminen, havaitseminen ja korjaaminen.</w:t>
      </w:r>
    </w:p>
    <w:p w14:paraId="1B4D2F88" w14:textId="4CAE3291" w:rsidR="000E48CE" w:rsidRDefault="00FF4C4E">
      <w:pPr>
        <w:pStyle w:val="P68B1DB1-ListParagraph7"/>
        <w:numPr>
          <w:ilvl w:val="0"/>
          <w:numId w:val="759"/>
        </w:numPr>
        <w:spacing w:line="240" w:lineRule="auto"/>
        <w:jc w:val="both"/>
        <w:rPr>
          <w:rFonts w:cs="Times New Roman"/>
          <w:noProof/>
        </w:rPr>
      </w:pPr>
      <w:r>
        <w:rPr>
          <w:noProof/>
        </w:rPr>
        <w:t>Velvoite tarkistaa jokaisen toimen tukikelpoisuus täytäntöönpanosopimuksessa vahvistettujen vaatimust</w:t>
      </w:r>
      <w:r>
        <w:rPr>
          <w:noProof/>
        </w:rPr>
        <w:t>en mukaisesti ennen kuin se sitoutuu rahoittamaan toimea.</w:t>
      </w:r>
    </w:p>
    <w:p w14:paraId="7B2526C1" w14:textId="3DB9595A" w:rsidR="000E48CE" w:rsidRDefault="00FF4C4E">
      <w:pPr>
        <w:pStyle w:val="ListParagraph"/>
        <w:numPr>
          <w:ilvl w:val="0"/>
          <w:numId w:val="759"/>
        </w:numPr>
        <w:spacing w:line="240" w:lineRule="auto"/>
        <w:jc w:val="both"/>
        <w:rPr>
          <w:rFonts w:ascii="Times New Roman" w:hAnsi="Times New Roman" w:cs="Times New Roman"/>
          <w:noProof/>
          <w:sz w:val="24"/>
        </w:rPr>
      </w:pPr>
      <w:r>
        <w:rPr>
          <w:rFonts w:ascii="Times New Roman" w:hAnsi="Times New Roman"/>
          <w:noProof/>
          <w:sz w:val="24"/>
        </w:rPr>
        <w:t>Velvollisuus suorittaa riskiperusteisia jälkitarkastuksia ICO:n tarkastussuunnitelman mukaisesti. Näillä tarkastuksilla on varmistettava i) valvontajärjestelmien tehokkuus, mukaan lukien petosten, l</w:t>
      </w:r>
      <w:r>
        <w:rPr>
          <w:rFonts w:ascii="Times New Roman" w:hAnsi="Times New Roman"/>
          <w:noProof/>
          <w:sz w:val="24"/>
        </w:rPr>
        <w:t>ahjonnan ja eturistiriitojen havaitseminen; ”ei merkittävää haittaa” -periaatteen, valtiontukisääntöjen ja digitalisaatiotavoitteita koskevien vaatimusten noudattaminen; ja iii) että noudatetaan vaatimusta, jonka mukaan välittäjän on todennettava, että lop</w:t>
      </w:r>
      <w:r>
        <w:rPr>
          <w:rFonts w:ascii="Times New Roman" w:hAnsi="Times New Roman"/>
          <w:noProof/>
          <w:sz w:val="24"/>
        </w:rPr>
        <w:t>ullinen tuensaaja esittää vastuullisen ilmoituksen sen valvomiseksi, katetaanko samat kustannukset toisesta unionin välineestä. Tarkastuksissa on myös varmistettava toimien laillisuus ja se, että sovellettavan täytäntöönpanosopimuksen ja rahoitussopimusten</w:t>
      </w:r>
      <w:r>
        <w:rPr>
          <w:rFonts w:ascii="Times New Roman" w:hAnsi="Times New Roman"/>
          <w:noProof/>
          <w:sz w:val="24"/>
        </w:rPr>
        <w:t xml:space="preserve"> ehtoja noudatetaan,</w:t>
      </w:r>
      <w:r>
        <w:rPr>
          <w:noProof/>
        </w:rPr>
        <w:t xml:space="preserve"> muun muassa käyttämällä positiivisten ilmoitusten luetteloa ja/tai omia ilmoituksia toimista, joiden arvo on alle 10000000 euroa, ennen kuin sitoudutaan rahoittamaan toimea. </w:t>
      </w:r>
    </w:p>
    <w:p w14:paraId="5B4CBCB6" w14:textId="0DC71A12" w:rsidR="000E48CE" w:rsidRDefault="00FF4C4E">
      <w:pPr>
        <w:pStyle w:val="ListParagraph"/>
        <w:numPr>
          <w:ilvl w:val="0"/>
          <w:numId w:val="756"/>
        </w:numPr>
        <w:spacing w:line="240" w:lineRule="auto"/>
        <w:jc w:val="both"/>
        <w:rPr>
          <w:rFonts w:ascii="Times New Roman" w:hAnsi="Times New Roman" w:cs="Times New Roman"/>
          <w:noProof/>
          <w:sz w:val="24"/>
        </w:rPr>
      </w:pPr>
      <w:r>
        <w:rPr>
          <w:rFonts w:ascii="Times New Roman" w:hAnsi="Times New Roman"/>
          <w:noProof/>
          <w:sz w:val="24"/>
        </w:rPr>
        <w:t>Toteutuskumppanin tekemiä digitaalisia investointeja koskeva</w:t>
      </w:r>
      <w:r>
        <w:rPr>
          <w:rFonts w:ascii="Times New Roman" w:hAnsi="Times New Roman"/>
          <w:noProof/>
          <w:sz w:val="24"/>
        </w:rPr>
        <w:t>t vaatimukset: vähintään 1712000000 eurolla elpymis- ja palautumistukivälineen investoinneista tukivälineeseen edistetään digitaalisia tavoitteita elpymis- ja palautumistukivälinettä koskevan asetuksen liitteen VII mukaisesti.</w:t>
      </w:r>
      <w:r>
        <w:rPr>
          <w:rStyle w:val="FootnoteReference"/>
          <w:rFonts w:ascii="Times New Roman" w:hAnsi="Times New Roman" w:cs="Times New Roman"/>
          <w:noProof/>
          <w:sz w:val="24"/>
        </w:rPr>
        <w:footnoteReference w:id="210"/>
      </w:r>
    </w:p>
    <w:p w14:paraId="29F08309" w14:textId="7EA82975" w:rsidR="000E48CE" w:rsidRDefault="00FF4C4E">
      <w:pPr>
        <w:pStyle w:val="P68B1DB1-ListParagraph7"/>
        <w:numPr>
          <w:ilvl w:val="0"/>
          <w:numId w:val="756"/>
        </w:numPr>
        <w:rPr>
          <w:rFonts w:cs="Times New Roman"/>
          <w:noProof/>
        </w:rPr>
      </w:pPr>
      <w:r>
        <w:rPr>
          <w:noProof/>
        </w:rPr>
        <w:t>Rahoituksen välittäjien vali</w:t>
      </w:r>
      <w:r>
        <w:rPr>
          <w:noProof/>
        </w:rPr>
        <w:t>ntaa koskevat vaatimukset: ICO valitsee rahoituksen välittäjät avoimella, läpinäkyvällä ja syrjimättömällä tavalla. Rahoituksenvälittäjien eturistiriitojen puuttumista koskevat tarkastukset on suoritettava etukäteen kaikkien rahoitusalan toimijoiden osalta</w:t>
      </w:r>
      <w:r>
        <w:rPr>
          <w:noProof/>
        </w:rPr>
        <w:t xml:space="preserve"> Minervan kaltaisen tietoteknisen järjestelmän kautta. </w:t>
      </w:r>
    </w:p>
    <w:p w14:paraId="0ADFBFD9" w14:textId="77777777" w:rsidR="000E48CE" w:rsidRDefault="00FF4C4E">
      <w:pPr>
        <w:pStyle w:val="P68B1DB1-ListParagraph7"/>
        <w:numPr>
          <w:ilvl w:val="0"/>
          <w:numId w:val="756"/>
        </w:numPr>
        <w:spacing w:line="240" w:lineRule="auto"/>
        <w:jc w:val="both"/>
        <w:rPr>
          <w:rFonts w:cs="Times New Roman"/>
          <w:noProof/>
        </w:rPr>
      </w:pPr>
      <w:r>
        <w:rPr>
          <w:noProof/>
        </w:rPr>
        <w:t>Rahoitussopimusten allekirjoittaminen: ICO allekirjoittaa rahoituksen välittäjien kanssa rahoitussopimukset täytäntöönpanosopimuksen liitteenä olevien keskeisten vaatimusten mukaisesti. Rahoitussopimu</w:t>
      </w:r>
      <w:r>
        <w:rPr>
          <w:noProof/>
        </w:rPr>
        <w:t xml:space="preserve">ksen keskeisiin vaatimuksiin on sisällyttävä kaikki vaatimukset, joiden mukaisesti lainajärjestely toimii, mukaan lukien seuraavat: </w:t>
      </w:r>
    </w:p>
    <w:p w14:paraId="44CF9790" w14:textId="77777777" w:rsidR="000E48CE" w:rsidRDefault="00FF4C4E">
      <w:pPr>
        <w:pStyle w:val="P68B1DB1-Normal4"/>
        <w:numPr>
          <w:ilvl w:val="0"/>
          <w:numId w:val="760"/>
        </w:numPr>
        <w:spacing w:after="160" w:line="240" w:lineRule="auto"/>
        <w:jc w:val="both"/>
        <w:rPr>
          <w:rFonts w:cs="Times New Roman"/>
          <w:noProof/>
        </w:rPr>
      </w:pPr>
      <w:r>
        <w:rPr>
          <w:noProof/>
        </w:rPr>
        <w:t xml:space="preserve">Rahoituksen välittäjän velvollisuus tehdä päätöksensä noudattaen </w:t>
      </w:r>
      <w:r>
        <w:rPr>
          <w:i/>
          <w:noProof/>
        </w:rPr>
        <w:t>soveltuvin osin</w:t>
      </w:r>
      <w:r>
        <w:rPr>
          <w:noProof/>
        </w:rPr>
        <w:t xml:space="preserve"> edellä täsmennettyjä päätöksentekoa ja sij</w:t>
      </w:r>
      <w:r>
        <w:rPr>
          <w:noProof/>
        </w:rPr>
        <w:t>oituspolitiikkaa koskevia vaatimuksia, mukaan lukien ”ei merkittävää haittaa” -periaatteen noudattaminen.</w:t>
      </w:r>
    </w:p>
    <w:p w14:paraId="6AF63DD6" w14:textId="77777777" w:rsidR="000E48CE" w:rsidRDefault="00FF4C4E">
      <w:pPr>
        <w:pStyle w:val="P68B1DB1-Normal4"/>
        <w:numPr>
          <w:ilvl w:val="0"/>
          <w:numId w:val="760"/>
        </w:numPr>
        <w:spacing w:after="160" w:line="240" w:lineRule="auto"/>
        <w:jc w:val="both"/>
        <w:rPr>
          <w:rFonts w:cs="Times New Roman"/>
          <w:noProof/>
        </w:rPr>
      </w:pPr>
      <w:r>
        <w:rPr>
          <w:noProof/>
        </w:rPr>
        <w:t xml:space="preserve">Kuvaus seuranta-, tarkastus- ja valvontakehyksestä, joka rahoituksen välittäjän on otettava käyttöön ja johon </w:t>
      </w:r>
      <w:r>
        <w:rPr>
          <w:i/>
          <w:noProof/>
        </w:rPr>
        <w:t>sovelletaan soveltuvin osin</w:t>
      </w:r>
      <w:r>
        <w:rPr>
          <w:noProof/>
        </w:rPr>
        <w:t xml:space="preserve"> kaikkia edel</w:t>
      </w:r>
      <w:r>
        <w:rPr>
          <w:noProof/>
        </w:rPr>
        <w:t xml:space="preserve">lä määriteltyjä seuranta-, tarkastus- ja valvontavaatimuksia. </w:t>
      </w:r>
    </w:p>
    <w:p w14:paraId="37CEAEBE" w14:textId="77777777" w:rsidR="000E48CE" w:rsidRDefault="00FF4C4E">
      <w:pPr>
        <w:pStyle w:val="P68B1DB1-Normal4"/>
        <w:spacing w:before="120" w:after="120" w:line="240" w:lineRule="auto"/>
        <w:jc w:val="both"/>
        <w:rPr>
          <w:rFonts w:eastAsia="Times New Roman" w:cs="Times New Roman"/>
          <w:noProof/>
        </w:rPr>
      </w:pPr>
      <w:r>
        <w:rPr>
          <w:noProof/>
        </w:rPr>
        <w:t>Toimenpiteen täytäntöönpano on saatettava päätökseen viimeistään 31 päivänä elokuuta 2026.</w:t>
      </w:r>
    </w:p>
    <w:p w14:paraId="52B51381" w14:textId="1C8BB2A2" w:rsidR="000E48CE" w:rsidRDefault="00FF4C4E">
      <w:pPr>
        <w:pStyle w:val="P68B1DB1-Normal5"/>
        <w:spacing w:before="120" w:after="120" w:line="240" w:lineRule="auto"/>
        <w:ind w:left="720"/>
        <w:jc w:val="both"/>
        <w:rPr>
          <w:rFonts w:cs="Times New Roman"/>
          <w:noProof/>
        </w:rPr>
      </w:pPr>
      <w:r>
        <w:rPr>
          <w:noProof/>
        </w:rPr>
        <w:t xml:space="preserve">Y.4. </w:t>
      </w:r>
      <w:r>
        <w:rPr>
          <w:noProof/>
        </w:rPr>
        <w:tab/>
        <w:t>Lainatuen seurannan ja täytäntöönpanon välitavoitteet, tavoitteet, indikaattorit ja aikataulu</w:t>
      </w:r>
    </w:p>
    <w:p w14:paraId="07BA10B0" w14:textId="19660C1F" w:rsidR="000E48CE" w:rsidRDefault="00FF4C4E">
      <w:pPr>
        <w:pStyle w:val="P68B1DB1-Normal4"/>
        <w:spacing w:before="120" w:after="120" w:line="240" w:lineRule="auto"/>
        <w:jc w:val="both"/>
        <w:rPr>
          <w:rFonts w:cs="Times New Roman"/>
          <w:noProof/>
          <w:u w:val="single"/>
        </w:rPr>
      </w:pPr>
      <w:r>
        <w:rPr>
          <w:i/>
          <w:noProof/>
        </w:rPr>
        <w:t>Ks. taulukko jäljempänä.</w:t>
      </w:r>
      <w:r>
        <w:rPr>
          <w:noProof/>
        </w:rPr>
        <w:t xml:space="preserve"> </w:t>
      </w:r>
      <w:r>
        <w:rPr>
          <w:i/>
          <w:noProof/>
        </w:rPr>
        <w:t>Kaikkien indikaattorien lähtötilanne on toimen aloituspäivä, ellei toimen kuvauksessa toisin ilmoiteta. Taulukossa olevat määrät eivät sisällä alv:tä suhteessa toimenpiteeseen C25.I2.</w:t>
      </w:r>
    </w:p>
    <w:p w14:paraId="081ED4BB" w14:textId="77777777" w:rsidR="000E48CE" w:rsidRDefault="000E48CE">
      <w:pPr>
        <w:spacing w:before="120" w:after="120" w:line="240" w:lineRule="auto"/>
        <w:jc w:val="both"/>
        <w:rPr>
          <w:rFonts w:ascii="Times New Roman" w:hAnsi="Times New Roman" w:cs="Times New Roman"/>
          <w:noProof/>
          <w:sz w:val="24"/>
          <w:u w:val="single"/>
        </w:rPr>
      </w:pPr>
    </w:p>
    <w:p w14:paraId="21D3C488" w14:textId="77777777" w:rsidR="000E48CE" w:rsidRDefault="000E48CE">
      <w:pPr>
        <w:pStyle w:val="Text1"/>
        <w:ind w:left="0"/>
        <w:rPr>
          <w:rFonts w:ascii="Times New Roman" w:hAnsi="Times New Roman" w:cs="Times New Roman"/>
          <w:noProof/>
        </w:rPr>
        <w:sectPr w:rsidR="000E48CE" w:rsidSect="00C94F66">
          <w:headerReference w:type="even" r:id="rId483"/>
          <w:headerReference w:type="default" r:id="rId484"/>
          <w:footerReference w:type="even" r:id="rId485"/>
          <w:footerReference w:type="default" r:id="rId486"/>
          <w:headerReference w:type="first" r:id="rId487"/>
          <w:footerReference w:type="first" r:id="rId488"/>
          <w:pgSz w:w="11907" w:h="16839"/>
          <w:pgMar w:top="1134" w:right="1417" w:bottom="1134" w:left="1417" w:header="709" w:footer="709" w:gutter="0"/>
          <w:cols w:space="720"/>
          <w:docGrid w:linePitch="360"/>
        </w:sectPr>
      </w:pPr>
    </w:p>
    <w:p w14:paraId="54274A88" w14:textId="77777777" w:rsidR="000E48CE" w:rsidRDefault="000E48CE">
      <w:pPr>
        <w:pStyle w:val="Text1"/>
        <w:ind w:left="0"/>
        <w:rPr>
          <w:rFonts w:ascii="Times New Roman" w:hAnsi="Times New Roman" w:cs="Times New Roman"/>
          <w:noProof/>
          <w:sz w:val="20"/>
        </w:rPr>
      </w:pPr>
    </w:p>
    <w:p w14:paraId="026314EF" w14:textId="77777777" w:rsidR="000E48CE" w:rsidRDefault="000E48CE">
      <w:pPr>
        <w:pStyle w:val="Text1"/>
        <w:rPr>
          <w:rFonts w:ascii="Times New Roman" w:hAnsi="Times New Roman" w:cs="Times New Roman"/>
          <w:noProof/>
        </w:r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29"/>
        <w:gridCol w:w="752"/>
        <w:gridCol w:w="851"/>
        <w:gridCol w:w="2144"/>
        <w:gridCol w:w="1124"/>
        <w:gridCol w:w="746"/>
        <w:gridCol w:w="567"/>
        <w:gridCol w:w="683"/>
        <w:gridCol w:w="621"/>
        <w:gridCol w:w="527"/>
        <w:gridCol w:w="6249"/>
      </w:tblGrid>
      <w:tr w:rsidR="000E48CE" w14:paraId="7E0E8252" w14:textId="77777777">
        <w:trPr>
          <w:trHeight w:val="309"/>
          <w:tblHeader/>
        </w:trPr>
        <w:tc>
          <w:tcPr>
            <w:tcW w:w="729" w:type="dxa"/>
            <w:tcBorders>
              <w:bottom w:val="nil"/>
            </w:tcBorders>
            <w:shd w:val="clear" w:color="auto" w:fill="C6D9F1" w:themeFill="text2" w:themeFillTint="33"/>
            <w:noWrap/>
            <w:vAlign w:val="center"/>
          </w:tcPr>
          <w:p w14:paraId="2E26B9EA" w14:textId="77777777" w:rsidR="000E48CE" w:rsidRDefault="00FF4C4E">
            <w:pPr>
              <w:pStyle w:val="P68B1DB1-Normal12"/>
              <w:spacing w:after="0" w:line="240" w:lineRule="auto"/>
              <w:jc w:val="center"/>
              <w:rPr>
                <w:rFonts w:cs="Times New Roman"/>
                <w:noProof/>
              </w:rPr>
            </w:pPr>
            <w:r>
              <w:rPr>
                <w:noProof/>
              </w:rPr>
              <w:t>Määrä</w:t>
            </w:r>
          </w:p>
        </w:tc>
        <w:tc>
          <w:tcPr>
            <w:tcW w:w="752" w:type="dxa"/>
            <w:tcBorders>
              <w:bottom w:val="nil"/>
            </w:tcBorders>
            <w:shd w:val="clear" w:color="auto" w:fill="C6D9F1" w:themeFill="text2" w:themeFillTint="33"/>
            <w:noWrap/>
            <w:vAlign w:val="center"/>
          </w:tcPr>
          <w:p w14:paraId="1EB71C7B" w14:textId="77777777" w:rsidR="000E48CE" w:rsidRDefault="00FF4C4E">
            <w:pPr>
              <w:pStyle w:val="P68B1DB1-Normal12"/>
              <w:spacing w:after="0" w:line="240" w:lineRule="auto"/>
              <w:jc w:val="center"/>
              <w:rPr>
                <w:rFonts w:cs="Times New Roman"/>
                <w:noProof/>
              </w:rPr>
            </w:pPr>
            <w:r>
              <w:rPr>
                <w:noProof/>
              </w:rPr>
              <w:t>Toimenpide</w:t>
            </w:r>
          </w:p>
        </w:tc>
        <w:tc>
          <w:tcPr>
            <w:tcW w:w="851" w:type="dxa"/>
            <w:tcBorders>
              <w:bottom w:val="nil"/>
            </w:tcBorders>
            <w:shd w:val="clear" w:color="auto" w:fill="C6D9F1" w:themeFill="text2" w:themeFillTint="33"/>
            <w:noWrap/>
            <w:vAlign w:val="center"/>
          </w:tcPr>
          <w:p w14:paraId="71CC5653"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2144" w:type="dxa"/>
            <w:tcBorders>
              <w:bottom w:val="nil"/>
            </w:tcBorders>
            <w:shd w:val="clear" w:color="auto" w:fill="C6D9F1" w:themeFill="text2" w:themeFillTint="33"/>
            <w:noWrap/>
            <w:vAlign w:val="center"/>
          </w:tcPr>
          <w:p w14:paraId="47189E78" w14:textId="77777777" w:rsidR="000E48CE" w:rsidRDefault="00FF4C4E">
            <w:pPr>
              <w:pStyle w:val="P68B1DB1-Normal12"/>
              <w:spacing w:after="0" w:line="240" w:lineRule="auto"/>
              <w:jc w:val="center"/>
              <w:rPr>
                <w:rFonts w:cs="Times New Roman"/>
                <w:noProof/>
              </w:rPr>
            </w:pPr>
            <w:r>
              <w:rPr>
                <w:noProof/>
              </w:rPr>
              <w:t>Nimi</w:t>
            </w:r>
          </w:p>
        </w:tc>
        <w:tc>
          <w:tcPr>
            <w:tcW w:w="1124" w:type="dxa"/>
            <w:tcBorders>
              <w:bottom w:val="nil"/>
            </w:tcBorders>
            <w:shd w:val="clear" w:color="auto" w:fill="C6D9F1" w:themeFill="text2" w:themeFillTint="33"/>
            <w:noWrap/>
            <w:vAlign w:val="center"/>
          </w:tcPr>
          <w:p w14:paraId="1684463A" w14:textId="77777777" w:rsidR="000E48CE" w:rsidRDefault="00FF4C4E">
            <w:pPr>
              <w:pStyle w:val="P68B1DB1-Normal12"/>
              <w:spacing w:after="0" w:line="240" w:lineRule="auto"/>
              <w:jc w:val="center"/>
              <w:rPr>
                <w:rFonts w:cs="Times New Roman"/>
                <w:noProof/>
              </w:rPr>
            </w:pPr>
            <w:r>
              <w:rPr>
                <w:noProof/>
              </w:rPr>
              <w:t>Välitavoitteiden laadullinen indikaattori</w:t>
            </w:r>
          </w:p>
        </w:tc>
        <w:tc>
          <w:tcPr>
            <w:tcW w:w="1996" w:type="dxa"/>
            <w:gridSpan w:val="3"/>
            <w:shd w:val="clear" w:color="auto" w:fill="C6D9F1" w:themeFill="text2" w:themeFillTint="33"/>
            <w:noWrap/>
            <w:vAlign w:val="center"/>
          </w:tcPr>
          <w:p w14:paraId="6B86D05F"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1148" w:type="dxa"/>
            <w:gridSpan w:val="2"/>
            <w:shd w:val="clear" w:color="auto" w:fill="C6D9F1" w:themeFill="text2" w:themeFillTint="33"/>
            <w:noWrap/>
            <w:vAlign w:val="center"/>
          </w:tcPr>
          <w:p w14:paraId="2DF4BA48" w14:textId="77777777" w:rsidR="000E48CE" w:rsidRDefault="00FF4C4E">
            <w:pPr>
              <w:pStyle w:val="P68B1DB1-Normal12"/>
              <w:spacing w:after="0" w:line="240" w:lineRule="auto"/>
              <w:jc w:val="center"/>
              <w:rPr>
                <w:rFonts w:cs="Times New Roman"/>
                <w:noProof/>
              </w:rPr>
            </w:pPr>
            <w:r>
              <w:rPr>
                <w:noProof/>
              </w:rPr>
              <w:t>Aika</w:t>
            </w:r>
          </w:p>
        </w:tc>
        <w:tc>
          <w:tcPr>
            <w:tcW w:w="6249" w:type="dxa"/>
            <w:tcBorders>
              <w:bottom w:val="nil"/>
            </w:tcBorders>
            <w:shd w:val="clear" w:color="auto" w:fill="C6D9F1" w:themeFill="text2" w:themeFillTint="33"/>
            <w:noWrap/>
            <w:vAlign w:val="center"/>
          </w:tcPr>
          <w:p w14:paraId="209B3A0B"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70DE08BA" w14:textId="77777777">
        <w:trPr>
          <w:trHeight w:val="309"/>
          <w:tblHeader/>
        </w:trPr>
        <w:tc>
          <w:tcPr>
            <w:tcW w:w="729" w:type="dxa"/>
            <w:tcBorders>
              <w:top w:val="nil"/>
              <w:left w:val="single" w:sz="4" w:space="0" w:color="auto"/>
              <w:bottom w:val="single" w:sz="4" w:space="0" w:color="auto"/>
              <w:right w:val="single" w:sz="4" w:space="0" w:color="auto"/>
            </w:tcBorders>
            <w:shd w:val="clear" w:color="auto" w:fill="C6D9F1" w:themeFill="text2" w:themeFillTint="33"/>
            <w:noWrap/>
          </w:tcPr>
          <w:p w14:paraId="0DAA8B30" w14:textId="77777777" w:rsidR="000E48CE" w:rsidRDefault="000E48CE">
            <w:pPr>
              <w:spacing w:after="0" w:line="240" w:lineRule="auto"/>
              <w:jc w:val="center"/>
              <w:rPr>
                <w:rFonts w:ascii="Times New Roman" w:hAnsi="Times New Roman" w:cs="Times New Roman"/>
                <w:b/>
                <w:noProof/>
                <w:sz w:val="18"/>
              </w:rPr>
            </w:pPr>
          </w:p>
        </w:tc>
        <w:tc>
          <w:tcPr>
            <w:tcW w:w="752" w:type="dxa"/>
            <w:tcBorders>
              <w:top w:val="nil"/>
              <w:left w:val="single" w:sz="4" w:space="0" w:color="auto"/>
              <w:bottom w:val="single" w:sz="4" w:space="0" w:color="auto"/>
              <w:right w:val="single" w:sz="4" w:space="0" w:color="auto"/>
            </w:tcBorders>
            <w:shd w:val="clear" w:color="auto" w:fill="C6D9F1" w:themeFill="text2" w:themeFillTint="33"/>
            <w:noWrap/>
          </w:tcPr>
          <w:p w14:paraId="62AA6C9A" w14:textId="77777777" w:rsidR="000E48CE" w:rsidRDefault="000E48CE">
            <w:pPr>
              <w:spacing w:after="0" w:line="240" w:lineRule="auto"/>
              <w:jc w:val="center"/>
              <w:rPr>
                <w:rFonts w:ascii="Times New Roman" w:hAnsi="Times New Roman" w:cs="Times New Roman"/>
                <w:b/>
                <w:noProof/>
                <w:sz w:val="18"/>
              </w:rPr>
            </w:pPr>
          </w:p>
        </w:tc>
        <w:tc>
          <w:tcPr>
            <w:tcW w:w="851" w:type="dxa"/>
            <w:tcBorders>
              <w:top w:val="nil"/>
              <w:left w:val="single" w:sz="4" w:space="0" w:color="auto"/>
              <w:bottom w:val="single" w:sz="4" w:space="0" w:color="auto"/>
              <w:right w:val="single" w:sz="4" w:space="0" w:color="auto"/>
            </w:tcBorders>
            <w:shd w:val="clear" w:color="auto" w:fill="C6D9F1" w:themeFill="text2" w:themeFillTint="33"/>
            <w:noWrap/>
          </w:tcPr>
          <w:p w14:paraId="3F154AAE" w14:textId="77777777" w:rsidR="000E48CE" w:rsidRDefault="000E48CE">
            <w:pPr>
              <w:spacing w:after="0" w:line="240" w:lineRule="auto"/>
              <w:jc w:val="center"/>
              <w:rPr>
                <w:rFonts w:ascii="Times New Roman" w:hAnsi="Times New Roman" w:cs="Times New Roman"/>
                <w:b/>
                <w:noProof/>
                <w:sz w:val="18"/>
              </w:rPr>
            </w:pPr>
          </w:p>
        </w:tc>
        <w:tc>
          <w:tcPr>
            <w:tcW w:w="2144" w:type="dxa"/>
            <w:tcBorders>
              <w:top w:val="nil"/>
              <w:left w:val="single" w:sz="4" w:space="0" w:color="auto"/>
              <w:bottom w:val="single" w:sz="4" w:space="0" w:color="auto"/>
              <w:right w:val="single" w:sz="4" w:space="0" w:color="auto"/>
            </w:tcBorders>
            <w:shd w:val="clear" w:color="auto" w:fill="C6D9F1" w:themeFill="text2" w:themeFillTint="33"/>
            <w:noWrap/>
          </w:tcPr>
          <w:p w14:paraId="2EDEBCEB" w14:textId="77777777" w:rsidR="000E48CE" w:rsidRDefault="000E48CE">
            <w:pPr>
              <w:spacing w:after="0" w:line="240" w:lineRule="auto"/>
              <w:rPr>
                <w:rFonts w:ascii="Times New Roman" w:hAnsi="Times New Roman" w:cs="Times New Roman"/>
                <w:b/>
                <w:noProof/>
                <w:sz w:val="18"/>
              </w:rPr>
            </w:pPr>
          </w:p>
        </w:tc>
        <w:tc>
          <w:tcPr>
            <w:tcW w:w="1124" w:type="dxa"/>
            <w:tcBorders>
              <w:top w:val="nil"/>
              <w:left w:val="single" w:sz="4" w:space="0" w:color="auto"/>
              <w:bottom w:val="single" w:sz="4" w:space="0" w:color="auto"/>
              <w:right w:val="single" w:sz="4" w:space="0" w:color="auto"/>
            </w:tcBorders>
            <w:shd w:val="clear" w:color="auto" w:fill="C6D9F1" w:themeFill="text2" w:themeFillTint="33"/>
            <w:noWrap/>
          </w:tcPr>
          <w:p w14:paraId="320256B1" w14:textId="77777777" w:rsidR="000E48CE" w:rsidRDefault="000E48CE">
            <w:pPr>
              <w:spacing w:after="0" w:line="240" w:lineRule="auto"/>
              <w:jc w:val="center"/>
              <w:rPr>
                <w:rFonts w:ascii="Times New Roman" w:hAnsi="Times New Roman" w:cs="Times New Roman"/>
                <w:b/>
                <w:noProof/>
                <w:sz w:val="18"/>
              </w:rPr>
            </w:pPr>
          </w:p>
        </w:tc>
        <w:tc>
          <w:tcPr>
            <w:tcW w:w="74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C49D8B" w14:textId="77777777" w:rsidR="000E48CE" w:rsidRDefault="00FF4C4E">
            <w:pPr>
              <w:pStyle w:val="P68B1DB1-Normal12"/>
              <w:spacing w:after="0" w:line="240" w:lineRule="auto"/>
              <w:jc w:val="center"/>
              <w:rPr>
                <w:rFonts w:cs="Times New Roman"/>
                <w:noProof/>
              </w:rPr>
            </w:pPr>
            <w:r>
              <w:rPr>
                <w:noProof/>
              </w:rPr>
              <w:t>Yksikkö</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7DC9DC8" w14:textId="77777777" w:rsidR="000E48CE" w:rsidRDefault="00FF4C4E">
            <w:pPr>
              <w:pStyle w:val="P68B1DB1-Normal12"/>
              <w:spacing w:after="0" w:line="240" w:lineRule="auto"/>
              <w:jc w:val="center"/>
              <w:rPr>
                <w:rFonts w:cs="Times New Roman"/>
                <w:noProof/>
              </w:rPr>
            </w:pPr>
            <w:r>
              <w:rPr>
                <w:noProof/>
              </w:rPr>
              <w:t>Perusviiva</w:t>
            </w:r>
          </w:p>
        </w:tc>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9DFC03" w14:textId="77777777" w:rsidR="000E48CE" w:rsidRDefault="00FF4C4E">
            <w:pPr>
              <w:pStyle w:val="P68B1DB1-Normal12"/>
              <w:spacing w:after="0" w:line="240" w:lineRule="auto"/>
              <w:jc w:val="center"/>
              <w:rPr>
                <w:rFonts w:cs="Times New Roman"/>
                <w:noProof/>
              </w:rPr>
            </w:pPr>
            <w:r>
              <w:rPr>
                <w:noProof/>
              </w:rPr>
              <w:t>Päämäärä</w:t>
            </w:r>
          </w:p>
        </w:tc>
        <w:tc>
          <w:tcPr>
            <w:tcW w:w="62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D9F0C1" w14:textId="77777777" w:rsidR="000E48CE" w:rsidRDefault="00FF4C4E">
            <w:pPr>
              <w:pStyle w:val="P68B1DB1-Normal12"/>
              <w:spacing w:after="0" w:line="240" w:lineRule="auto"/>
              <w:jc w:val="center"/>
              <w:rPr>
                <w:rFonts w:cs="Times New Roman"/>
                <w:noProof/>
              </w:rPr>
            </w:pPr>
            <w:r>
              <w:rPr>
                <w:noProof/>
              </w:rPr>
              <w:t>Q</w:t>
            </w:r>
          </w:p>
        </w:tc>
        <w:tc>
          <w:tcPr>
            <w:tcW w:w="5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BF60B01" w14:textId="77777777" w:rsidR="000E48CE" w:rsidRDefault="00FF4C4E">
            <w:pPr>
              <w:pStyle w:val="P68B1DB1-Normal12"/>
              <w:spacing w:after="0" w:line="240" w:lineRule="auto"/>
              <w:jc w:val="center"/>
              <w:rPr>
                <w:rFonts w:cs="Times New Roman"/>
                <w:noProof/>
              </w:rPr>
            </w:pPr>
            <w:r>
              <w:rPr>
                <w:noProof/>
              </w:rPr>
              <w:t>Vuosi</w:t>
            </w:r>
          </w:p>
        </w:tc>
        <w:tc>
          <w:tcPr>
            <w:tcW w:w="6249" w:type="dxa"/>
            <w:tcBorders>
              <w:top w:val="nil"/>
              <w:left w:val="single" w:sz="4" w:space="0" w:color="auto"/>
              <w:bottom w:val="single" w:sz="4" w:space="0" w:color="auto"/>
              <w:right w:val="single" w:sz="4" w:space="0" w:color="auto"/>
            </w:tcBorders>
            <w:shd w:val="clear" w:color="auto" w:fill="C6D9F1" w:themeFill="text2" w:themeFillTint="33"/>
            <w:noWrap/>
          </w:tcPr>
          <w:p w14:paraId="09111EFA" w14:textId="77777777" w:rsidR="000E48CE" w:rsidRDefault="000E48CE">
            <w:pPr>
              <w:spacing w:after="0" w:line="240" w:lineRule="auto"/>
              <w:rPr>
                <w:rFonts w:ascii="Times New Roman" w:eastAsia="Times New Roman" w:hAnsi="Times New Roman" w:cs="Times New Roman"/>
                <w:noProof/>
                <w:sz w:val="18"/>
              </w:rPr>
            </w:pPr>
          </w:p>
        </w:tc>
      </w:tr>
      <w:tr w:rsidR="000E48CE" w14:paraId="2D6B053D" w14:textId="77777777">
        <w:trPr>
          <w:trHeight w:val="309"/>
        </w:trPr>
        <w:tc>
          <w:tcPr>
            <w:tcW w:w="729" w:type="dxa"/>
            <w:shd w:val="clear" w:color="auto" w:fill="C6EFCE"/>
            <w:noWrap/>
          </w:tcPr>
          <w:p w14:paraId="1101B259" w14:textId="46A7354F" w:rsidR="000E48CE" w:rsidRDefault="00FF4C4E">
            <w:pPr>
              <w:pStyle w:val="P68B1DB1-Normal13"/>
              <w:spacing w:after="0" w:line="240" w:lineRule="auto"/>
              <w:jc w:val="center"/>
              <w:rPr>
                <w:rFonts w:eastAsia="Times New Roman" w:cs="Times New Roman"/>
                <w:noProof/>
              </w:rPr>
            </w:pPr>
            <w:r>
              <w:rPr>
                <w:noProof/>
              </w:rPr>
              <w:t>L75</w:t>
            </w:r>
          </w:p>
        </w:tc>
        <w:tc>
          <w:tcPr>
            <w:tcW w:w="752" w:type="dxa"/>
            <w:shd w:val="clear" w:color="auto" w:fill="C6EFCE"/>
            <w:noWrap/>
          </w:tcPr>
          <w:p w14:paraId="0923ADAB" w14:textId="77777777" w:rsidR="000E48CE" w:rsidRDefault="00FF4C4E">
            <w:pPr>
              <w:pStyle w:val="P68B1DB1-Normal13"/>
              <w:spacing w:after="0" w:line="240" w:lineRule="auto"/>
              <w:jc w:val="center"/>
              <w:rPr>
                <w:rFonts w:eastAsia="Times New Roman" w:cs="Times New Roman"/>
                <w:noProof/>
              </w:rPr>
            </w:pPr>
            <w:r>
              <w:rPr>
                <w:noProof/>
              </w:rPr>
              <w:t>C2</w:t>
            </w:r>
            <w:r>
              <w:rPr>
                <w:noProof/>
              </w:rPr>
              <w:t>5.I2</w:t>
            </w:r>
          </w:p>
        </w:tc>
        <w:tc>
          <w:tcPr>
            <w:tcW w:w="851" w:type="dxa"/>
            <w:shd w:val="clear" w:color="auto" w:fill="C6EFCE"/>
            <w:noWrap/>
          </w:tcPr>
          <w:p w14:paraId="38CA287A" w14:textId="77777777" w:rsidR="000E48CE" w:rsidRDefault="00FF4C4E">
            <w:pPr>
              <w:pStyle w:val="P68B1DB1-Normal13"/>
              <w:spacing w:after="0" w:line="240" w:lineRule="auto"/>
              <w:jc w:val="center"/>
              <w:rPr>
                <w:rFonts w:eastAsia="Times New Roman" w:cs="Times New Roman"/>
                <w:noProof/>
              </w:rPr>
            </w:pPr>
            <w:r>
              <w:rPr>
                <w:noProof/>
              </w:rPr>
              <w:t>M</w:t>
            </w:r>
          </w:p>
        </w:tc>
        <w:tc>
          <w:tcPr>
            <w:tcW w:w="2144" w:type="dxa"/>
            <w:shd w:val="clear" w:color="auto" w:fill="C6EFCE"/>
            <w:noWrap/>
          </w:tcPr>
          <w:p w14:paraId="3E7FA25E" w14:textId="6DD6288E" w:rsidR="000E48CE" w:rsidRDefault="00FF4C4E">
            <w:pPr>
              <w:pStyle w:val="P68B1DB1-Normal13"/>
              <w:spacing w:after="0" w:line="240" w:lineRule="auto"/>
              <w:rPr>
                <w:rFonts w:eastAsia="Times New Roman" w:cs="Times New Roman"/>
                <w:noProof/>
              </w:rPr>
            </w:pPr>
            <w:r>
              <w:rPr>
                <w:noProof/>
              </w:rPr>
              <w:t>Digitalisaation rahoittamista ja hankkeiden sisällön levittämistä koskevien palkintojen julkaiseminen</w:t>
            </w:r>
          </w:p>
        </w:tc>
        <w:tc>
          <w:tcPr>
            <w:tcW w:w="1124" w:type="dxa"/>
            <w:shd w:val="clear" w:color="auto" w:fill="C6EFCE"/>
            <w:noWrap/>
          </w:tcPr>
          <w:p w14:paraId="4184C604" w14:textId="79E7E0AC" w:rsidR="000E48CE" w:rsidRDefault="00FF4C4E">
            <w:pPr>
              <w:pStyle w:val="P68B1DB1-Normal13"/>
              <w:spacing w:after="0" w:line="240" w:lineRule="auto"/>
              <w:jc w:val="center"/>
              <w:rPr>
                <w:rFonts w:eastAsia="Times New Roman" w:cs="Times New Roman"/>
                <w:noProof/>
              </w:rPr>
            </w:pPr>
            <w:r>
              <w:rPr>
                <w:noProof/>
              </w:rPr>
              <w:t>Julkaiseminen EUVL:ssä tai virallisella verkkosivustolla</w:t>
            </w:r>
          </w:p>
        </w:tc>
        <w:tc>
          <w:tcPr>
            <w:tcW w:w="746" w:type="dxa"/>
            <w:shd w:val="clear" w:color="auto" w:fill="C6EFCE"/>
            <w:noWrap/>
          </w:tcPr>
          <w:p w14:paraId="1DAD6770" w14:textId="77777777" w:rsidR="000E48CE" w:rsidRDefault="000E48CE">
            <w:pPr>
              <w:spacing w:after="0" w:line="240" w:lineRule="auto"/>
              <w:jc w:val="center"/>
              <w:rPr>
                <w:rFonts w:ascii="Times New Roman" w:eastAsia="Times New Roman" w:hAnsi="Times New Roman" w:cs="Times New Roman"/>
                <w:noProof/>
                <w:sz w:val="18"/>
              </w:rPr>
            </w:pPr>
          </w:p>
        </w:tc>
        <w:tc>
          <w:tcPr>
            <w:tcW w:w="567" w:type="dxa"/>
            <w:shd w:val="clear" w:color="auto" w:fill="C6EFCE"/>
            <w:noWrap/>
          </w:tcPr>
          <w:p w14:paraId="20660151" w14:textId="77777777" w:rsidR="000E48CE" w:rsidRDefault="000E48CE">
            <w:pPr>
              <w:spacing w:after="0" w:line="240" w:lineRule="auto"/>
              <w:jc w:val="right"/>
              <w:rPr>
                <w:rFonts w:ascii="Times New Roman" w:eastAsia="Times New Roman" w:hAnsi="Times New Roman" w:cs="Times New Roman"/>
                <w:noProof/>
                <w:sz w:val="18"/>
              </w:rPr>
            </w:pPr>
          </w:p>
        </w:tc>
        <w:tc>
          <w:tcPr>
            <w:tcW w:w="683" w:type="dxa"/>
            <w:shd w:val="clear" w:color="auto" w:fill="C6EFCE"/>
            <w:noWrap/>
          </w:tcPr>
          <w:p w14:paraId="044D3ACD" w14:textId="77777777" w:rsidR="000E48CE" w:rsidRDefault="000E48CE">
            <w:pPr>
              <w:spacing w:after="0" w:line="240" w:lineRule="auto"/>
              <w:jc w:val="right"/>
              <w:rPr>
                <w:rFonts w:ascii="Times New Roman" w:eastAsia="Times New Roman" w:hAnsi="Times New Roman" w:cs="Times New Roman"/>
                <w:noProof/>
                <w:sz w:val="18"/>
              </w:rPr>
            </w:pPr>
          </w:p>
        </w:tc>
        <w:tc>
          <w:tcPr>
            <w:tcW w:w="621" w:type="dxa"/>
            <w:shd w:val="clear" w:color="auto" w:fill="C6EFCE"/>
            <w:noWrap/>
          </w:tcPr>
          <w:p w14:paraId="21D56AB2" w14:textId="77777777" w:rsidR="000E48CE" w:rsidRDefault="00FF4C4E">
            <w:pPr>
              <w:pStyle w:val="P68B1DB1-Normal13"/>
              <w:spacing w:after="0" w:line="240" w:lineRule="auto"/>
              <w:jc w:val="center"/>
              <w:rPr>
                <w:rFonts w:eastAsia="Times New Roman" w:cs="Times New Roman"/>
                <w:noProof/>
              </w:rPr>
            </w:pPr>
            <w:r>
              <w:rPr>
                <w:noProof/>
              </w:rPr>
              <w:t>KOLMAS VUOSINELJÄNNES</w:t>
            </w:r>
          </w:p>
        </w:tc>
        <w:tc>
          <w:tcPr>
            <w:tcW w:w="527" w:type="dxa"/>
            <w:shd w:val="clear" w:color="auto" w:fill="C6EFCE"/>
            <w:noWrap/>
          </w:tcPr>
          <w:p w14:paraId="136AE630" w14:textId="77777777" w:rsidR="000E48CE" w:rsidRDefault="00FF4C4E">
            <w:pPr>
              <w:pStyle w:val="P68B1DB1-Normal13"/>
              <w:spacing w:after="0" w:line="240" w:lineRule="auto"/>
              <w:jc w:val="center"/>
              <w:rPr>
                <w:rFonts w:eastAsia="Times New Roman" w:cs="Times New Roman"/>
                <w:noProof/>
              </w:rPr>
            </w:pPr>
            <w:r>
              <w:rPr>
                <w:noProof/>
              </w:rPr>
              <w:t>2025</w:t>
            </w:r>
          </w:p>
        </w:tc>
        <w:tc>
          <w:tcPr>
            <w:tcW w:w="6249" w:type="dxa"/>
            <w:shd w:val="clear" w:color="auto" w:fill="C6EFCE"/>
            <w:noWrap/>
          </w:tcPr>
          <w:p w14:paraId="070D89C5" w14:textId="05B14FAA" w:rsidR="000E48CE" w:rsidRDefault="00FF4C4E">
            <w:pPr>
              <w:pStyle w:val="P68B1DB1-Normal13"/>
              <w:spacing w:line="240" w:lineRule="auto"/>
              <w:rPr>
                <w:rFonts w:eastAsia="Times New Roman" w:cs="Times New Roman"/>
                <w:noProof/>
              </w:rPr>
            </w:pPr>
            <w:bookmarkStart w:id="60" w:name="_Hlk145587311"/>
            <w:r>
              <w:rPr>
                <w:noProof/>
              </w:rPr>
              <w:t xml:space="preserve">Julkaistaan virallisessa lehdessä tai virallisella verkkosivustolla vähintään </w:t>
            </w:r>
            <w:bookmarkEnd w:id="60"/>
            <w:r>
              <w:rPr>
                <w:noProof/>
              </w:rPr>
              <w:t>19500000 euron lainatuki hankkeille, joiden tarkoituksena on digitalisaatio sekä sisällön ja tiedon levittäminen sekä uusien teknisten välineiden käyttöönotto media-alan yrityksi</w:t>
            </w:r>
            <w:r>
              <w:rPr>
                <w:noProof/>
              </w:rPr>
              <w:t>ssä espanjankielisten ja muiden virallisten kielten sisällön hallinnointia ja käsittelyä varten.</w:t>
            </w:r>
          </w:p>
        </w:tc>
      </w:tr>
      <w:tr w:rsidR="000E48CE" w14:paraId="5DEC073D" w14:textId="77777777">
        <w:trPr>
          <w:trHeight w:val="309"/>
        </w:trPr>
        <w:tc>
          <w:tcPr>
            <w:tcW w:w="729" w:type="dxa"/>
            <w:shd w:val="clear" w:color="auto" w:fill="C6EFCE"/>
            <w:noWrap/>
          </w:tcPr>
          <w:p w14:paraId="7DB4B140" w14:textId="1F50BB51" w:rsidR="000E48CE" w:rsidRDefault="00FF4C4E">
            <w:pPr>
              <w:pStyle w:val="P68B1DB1-Normal13"/>
              <w:spacing w:after="0" w:line="240" w:lineRule="auto"/>
              <w:jc w:val="center"/>
              <w:rPr>
                <w:rFonts w:eastAsia="Times New Roman" w:cs="Times New Roman"/>
                <w:noProof/>
              </w:rPr>
            </w:pPr>
            <w:r>
              <w:rPr>
                <w:noProof/>
              </w:rPr>
              <w:t>L76</w:t>
            </w:r>
          </w:p>
        </w:tc>
        <w:tc>
          <w:tcPr>
            <w:tcW w:w="752" w:type="dxa"/>
            <w:shd w:val="clear" w:color="auto" w:fill="C6EFCE"/>
            <w:noWrap/>
          </w:tcPr>
          <w:p w14:paraId="1800D804" w14:textId="77777777" w:rsidR="000E48CE" w:rsidRDefault="00FF4C4E">
            <w:pPr>
              <w:pStyle w:val="P68B1DB1-Normal13"/>
              <w:spacing w:after="0" w:line="240" w:lineRule="auto"/>
              <w:jc w:val="center"/>
              <w:rPr>
                <w:rFonts w:eastAsia="Times New Roman" w:cs="Times New Roman"/>
                <w:noProof/>
              </w:rPr>
            </w:pPr>
            <w:r>
              <w:rPr>
                <w:noProof/>
              </w:rPr>
              <w:t>C25.I2</w:t>
            </w:r>
          </w:p>
        </w:tc>
        <w:tc>
          <w:tcPr>
            <w:tcW w:w="851" w:type="dxa"/>
            <w:shd w:val="clear" w:color="auto" w:fill="C6EFCE"/>
            <w:noWrap/>
          </w:tcPr>
          <w:p w14:paraId="736BDD5A" w14:textId="77777777" w:rsidR="000E48CE" w:rsidRDefault="00FF4C4E">
            <w:pPr>
              <w:pStyle w:val="P68B1DB1-Normal13"/>
              <w:spacing w:after="0" w:line="240" w:lineRule="auto"/>
              <w:jc w:val="center"/>
              <w:rPr>
                <w:rFonts w:eastAsia="Times New Roman" w:cs="Times New Roman"/>
                <w:noProof/>
              </w:rPr>
            </w:pPr>
            <w:r>
              <w:rPr>
                <w:noProof/>
              </w:rPr>
              <w:t>T</w:t>
            </w:r>
          </w:p>
        </w:tc>
        <w:tc>
          <w:tcPr>
            <w:tcW w:w="2144" w:type="dxa"/>
            <w:shd w:val="clear" w:color="auto" w:fill="C6EFCE"/>
            <w:noWrap/>
          </w:tcPr>
          <w:p w14:paraId="0C17C5FA" w14:textId="77777777" w:rsidR="000E48CE" w:rsidRDefault="00FF4C4E">
            <w:pPr>
              <w:pStyle w:val="P68B1DB1-Normal13"/>
              <w:spacing w:after="0" w:line="240" w:lineRule="auto"/>
              <w:rPr>
                <w:rFonts w:eastAsia="Times New Roman" w:cs="Times New Roman"/>
                <w:noProof/>
              </w:rPr>
            </w:pPr>
            <w:r>
              <w:rPr>
                <w:noProof/>
              </w:rPr>
              <w:t>Sisällön digitalisointia ja levittämistä koskevien hankkeiden toteuttaminen</w:t>
            </w:r>
          </w:p>
        </w:tc>
        <w:tc>
          <w:tcPr>
            <w:tcW w:w="1124" w:type="dxa"/>
            <w:shd w:val="clear" w:color="auto" w:fill="C6EFCE"/>
            <w:noWrap/>
          </w:tcPr>
          <w:p w14:paraId="0712BA1A" w14:textId="77777777" w:rsidR="000E48CE" w:rsidRDefault="000E48CE">
            <w:pPr>
              <w:spacing w:after="0" w:line="240" w:lineRule="auto"/>
              <w:jc w:val="center"/>
              <w:rPr>
                <w:rFonts w:ascii="Times New Roman" w:eastAsia="Times New Roman" w:hAnsi="Times New Roman" w:cs="Times New Roman"/>
                <w:noProof/>
                <w:sz w:val="18"/>
              </w:rPr>
            </w:pPr>
          </w:p>
        </w:tc>
        <w:tc>
          <w:tcPr>
            <w:tcW w:w="746" w:type="dxa"/>
            <w:shd w:val="clear" w:color="auto" w:fill="C6EFCE"/>
            <w:noWrap/>
          </w:tcPr>
          <w:p w14:paraId="747A2659" w14:textId="35FED01C" w:rsidR="000E48CE" w:rsidRDefault="00FF4C4E">
            <w:pPr>
              <w:pStyle w:val="P68B1DB1-Normal13"/>
              <w:spacing w:after="0" w:line="240" w:lineRule="auto"/>
              <w:jc w:val="center"/>
              <w:rPr>
                <w:rFonts w:eastAsia="Times New Roman" w:cs="Times New Roman"/>
                <w:noProof/>
              </w:rPr>
            </w:pPr>
            <w:r>
              <w:rPr>
                <w:noProof/>
              </w:rPr>
              <w:t>Miljoonaa euroa</w:t>
            </w:r>
          </w:p>
        </w:tc>
        <w:tc>
          <w:tcPr>
            <w:tcW w:w="567" w:type="dxa"/>
            <w:shd w:val="clear" w:color="auto" w:fill="C6EFCE"/>
            <w:noWrap/>
          </w:tcPr>
          <w:p w14:paraId="0D1E194C" w14:textId="77777777" w:rsidR="000E48CE" w:rsidRDefault="000E48CE">
            <w:pPr>
              <w:spacing w:after="0" w:line="240" w:lineRule="auto"/>
              <w:jc w:val="right"/>
              <w:rPr>
                <w:rFonts w:ascii="Times New Roman" w:eastAsia="Times New Roman" w:hAnsi="Times New Roman" w:cs="Times New Roman"/>
                <w:noProof/>
                <w:sz w:val="18"/>
              </w:rPr>
            </w:pPr>
          </w:p>
        </w:tc>
        <w:tc>
          <w:tcPr>
            <w:tcW w:w="683" w:type="dxa"/>
            <w:shd w:val="clear" w:color="auto" w:fill="C6EFCE"/>
            <w:noWrap/>
          </w:tcPr>
          <w:p w14:paraId="56BD40EA" w14:textId="2719BDB7" w:rsidR="000E48CE" w:rsidRDefault="00FF4C4E">
            <w:pPr>
              <w:pStyle w:val="P68B1DB1-Normal13"/>
              <w:spacing w:after="0" w:line="240" w:lineRule="auto"/>
              <w:jc w:val="right"/>
              <w:rPr>
                <w:rFonts w:eastAsia="Times New Roman" w:cs="Times New Roman"/>
                <w:noProof/>
              </w:rPr>
            </w:pPr>
            <w:r>
              <w:rPr>
                <w:noProof/>
              </w:rPr>
              <w:t>17.55</w:t>
            </w:r>
          </w:p>
        </w:tc>
        <w:tc>
          <w:tcPr>
            <w:tcW w:w="621" w:type="dxa"/>
            <w:shd w:val="clear" w:color="auto" w:fill="C6EFCE"/>
            <w:noWrap/>
          </w:tcPr>
          <w:p w14:paraId="357035B6" w14:textId="77777777" w:rsidR="000E48CE" w:rsidRDefault="00FF4C4E">
            <w:pPr>
              <w:pStyle w:val="P68B1DB1-Normal13"/>
              <w:spacing w:after="0" w:line="240" w:lineRule="auto"/>
              <w:jc w:val="center"/>
              <w:rPr>
                <w:rFonts w:eastAsia="Times New Roman" w:cs="Times New Roman"/>
                <w:noProof/>
              </w:rPr>
            </w:pPr>
            <w:r>
              <w:rPr>
                <w:noProof/>
              </w:rPr>
              <w:t>Q2</w:t>
            </w:r>
          </w:p>
        </w:tc>
        <w:tc>
          <w:tcPr>
            <w:tcW w:w="527" w:type="dxa"/>
            <w:shd w:val="clear" w:color="auto" w:fill="C6EFCE"/>
            <w:noWrap/>
          </w:tcPr>
          <w:p w14:paraId="2CC965C1" w14:textId="77777777" w:rsidR="000E48CE" w:rsidRDefault="00FF4C4E">
            <w:pPr>
              <w:pStyle w:val="P68B1DB1-Normal13"/>
              <w:spacing w:after="0" w:line="240" w:lineRule="auto"/>
              <w:jc w:val="center"/>
              <w:rPr>
                <w:rFonts w:eastAsia="Times New Roman" w:cs="Times New Roman"/>
                <w:noProof/>
              </w:rPr>
            </w:pPr>
            <w:r>
              <w:rPr>
                <w:noProof/>
              </w:rPr>
              <w:t>2026</w:t>
            </w:r>
          </w:p>
        </w:tc>
        <w:tc>
          <w:tcPr>
            <w:tcW w:w="6249" w:type="dxa"/>
            <w:shd w:val="clear" w:color="auto" w:fill="C6EFCE"/>
            <w:noWrap/>
          </w:tcPr>
          <w:p w14:paraId="45516066" w14:textId="77777777" w:rsidR="000E48CE" w:rsidRDefault="00FF4C4E">
            <w:pPr>
              <w:pStyle w:val="P68B1DB1-Normal13"/>
              <w:spacing w:line="240" w:lineRule="auto"/>
              <w:rPr>
                <w:rFonts w:eastAsia="Times New Roman" w:cs="Times New Roman"/>
                <w:noProof/>
              </w:rPr>
            </w:pPr>
            <w:r>
              <w:rPr>
                <w:noProof/>
              </w:rPr>
              <w:t xml:space="preserve">Sellaisten hankkeiden loppuun saattaminen, jotka vastaavat vähintään 17550000 euron määrärahaa ja jotka koskevat digitalisaatiota, sisällön levittämistä ja uusien teknisten välineiden käyttöönottoa sisällön hallinnoimiseksi ja käsittelemiseksi espanjan ja </w:t>
            </w:r>
            <w:r>
              <w:rPr>
                <w:noProof/>
              </w:rPr>
              <w:t xml:space="preserve">muiden virallisten kielten kielillä.   </w:t>
            </w:r>
          </w:p>
        </w:tc>
      </w:tr>
      <w:tr w:rsidR="000E48CE" w14:paraId="32C2E06A" w14:textId="77777777">
        <w:trPr>
          <w:trHeight w:val="309"/>
        </w:trPr>
        <w:tc>
          <w:tcPr>
            <w:tcW w:w="729" w:type="dxa"/>
            <w:shd w:val="clear" w:color="auto" w:fill="C6EFCE"/>
            <w:noWrap/>
          </w:tcPr>
          <w:p w14:paraId="42DE955D" w14:textId="08D4F92E" w:rsidR="000E48CE" w:rsidRDefault="00FF4C4E">
            <w:pPr>
              <w:pStyle w:val="P68B1DB1-Normal13"/>
              <w:spacing w:after="0" w:line="240" w:lineRule="auto"/>
              <w:jc w:val="center"/>
              <w:rPr>
                <w:rFonts w:eastAsia="Times New Roman" w:cs="Times New Roman"/>
                <w:noProof/>
              </w:rPr>
            </w:pPr>
            <w:r>
              <w:rPr>
                <w:noProof/>
              </w:rPr>
              <w:t>L77</w:t>
            </w:r>
          </w:p>
        </w:tc>
        <w:tc>
          <w:tcPr>
            <w:tcW w:w="752" w:type="dxa"/>
            <w:shd w:val="clear" w:color="auto" w:fill="C6EFCE"/>
            <w:noWrap/>
          </w:tcPr>
          <w:p w14:paraId="7014E155" w14:textId="77777777" w:rsidR="000E48CE" w:rsidRDefault="00FF4C4E">
            <w:pPr>
              <w:pStyle w:val="P68B1DB1-Normal13"/>
              <w:spacing w:after="0" w:line="240" w:lineRule="auto"/>
              <w:jc w:val="center"/>
              <w:rPr>
                <w:rFonts w:cs="Times New Roman"/>
                <w:noProof/>
              </w:rPr>
            </w:pPr>
            <w:r>
              <w:rPr>
                <w:noProof/>
              </w:rPr>
              <w:t>C25.I3</w:t>
            </w:r>
          </w:p>
        </w:tc>
        <w:tc>
          <w:tcPr>
            <w:tcW w:w="851" w:type="dxa"/>
            <w:shd w:val="clear" w:color="auto" w:fill="C6EFCE"/>
            <w:noWrap/>
          </w:tcPr>
          <w:p w14:paraId="6C155DD5" w14:textId="77777777" w:rsidR="000E48CE" w:rsidRDefault="00FF4C4E">
            <w:pPr>
              <w:pStyle w:val="P68B1DB1-Normal13"/>
              <w:spacing w:after="0" w:line="240" w:lineRule="auto"/>
              <w:jc w:val="center"/>
              <w:rPr>
                <w:rFonts w:eastAsia="Times New Roman" w:cs="Times New Roman"/>
                <w:noProof/>
              </w:rPr>
            </w:pPr>
            <w:r>
              <w:rPr>
                <w:noProof/>
              </w:rPr>
              <w:t>M</w:t>
            </w:r>
          </w:p>
        </w:tc>
        <w:tc>
          <w:tcPr>
            <w:tcW w:w="2144" w:type="dxa"/>
            <w:shd w:val="clear" w:color="auto" w:fill="C6EFCE"/>
            <w:noWrap/>
          </w:tcPr>
          <w:p w14:paraId="0ABD9A36" w14:textId="4BBEF6D8" w:rsidR="000E48CE" w:rsidRDefault="00FF4C4E">
            <w:pPr>
              <w:pStyle w:val="P68B1DB1-Normal13"/>
              <w:spacing w:after="0" w:line="240" w:lineRule="auto"/>
              <w:rPr>
                <w:rFonts w:eastAsia="Times New Roman" w:cs="Times New Roman"/>
                <w:noProof/>
              </w:rPr>
            </w:pPr>
            <w:r>
              <w:rPr>
                <w:noProof/>
              </w:rPr>
              <w:t xml:space="preserve">ICO Audiovisuaalikeskuksen rahasto: Täytäntöönpanosopimus </w:t>
            </w:r>
          </w:p>
          <w:p w14:paraId="26D1B766" w14:textId="77777777" w:rsidR="000E48CE" w:rsidRDefault="000E48CE">
            <w:pPr>
              <w:spacing w:after="0" w:line="240" w:lineRule="auto"/>
              <w:rPr>
                <w:rFonts w:ascii="Times New Roman" w:eastAsia="Times New Roman" w:hAnsi="Times New Roman" w:cs="Times New Roman"/>
                <w:noProof/>
                <w:sz w:val="18"/>
              </w:rPr>
            </w:pPr>
          </w:p>
        </w:tc>
        <w:tc>
          <w:tcPr>
            <w:tcW w:w="1124" w:type="dxa"/>
            <w:shd w:val="clear" w:color="auto" w:fill="C6EFCE"/>
            <w:noWrap/>
          </w:tcPr>
          <w:p w14:paraId="56759D38" w14:textId="1314AE91" w:rsidR="000E48CE" w:rsidRDefault="00FF4C4E">
            <w:pPr>
              <w:pStyle w:val="P68B1DB1-Normal13"/>
              <w:spacing w:after="0" w:line="240" w:lineRule="auto"/>
              <w:jc w:val="center"/>
              <w:rPr>
                <w:rFonts w:eastAsia="Times New Roman" w:cs="Times New Roman"/>
                <w:noProof/>
              </w:rPr>
            </w:pPr>
            <w:r>
              <w:rPr>
                <w:noProof/>
              </w:rPr>
              <w:t>Täytäntöönpanosopimuksen voimaantulo</w:t>
            </w:r>
          </w:p>
        </w:tc>
        <w:tc>
          <w:tcPr>
            <w:tcW w:w="746" w:type="dxa"/>
            <w:shd w:val="clear" w:color="auto" w:fill="C6EFCE"/>
            <w:noWrap/>
          </w:tcPr>
          <w:p w14:paraId="791D4D06" w14:textId="77777777"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tcPr>
          <w:p w14:paraId="7420DDA8" w14:textId="77777777" w:rsidR="000E48CE" w:rsidRDefault="000E48CE">
            <w:pPr>
              <w:spacing w:after="0" w:line="240" w:lineRule="auto"/>
              <w:jc w:val="right"/>
              <w:rPr>
                <w:rFonts w:ascii="Times New Roman" w:hAnsi="Times New Roman" w:cs="Times New Roman"/>
                <w:noProof/>
                <w:sz w:val="18"/>
              </w:rPr>
            </w:pPr>
          </w:p>
        </w:tc>
        <w:tc>
          <w:tcPr>
            <w:tcW w:w="683" w:type="dxa"/>
            <w:shd w:val="clear" w:color="auto" w:fill="C6EFCE"/>
            <w:noWrap/>
          </w:tcPr>
          <w:p w14:paraId="2BE46740" w14:textId="77777777" w:rsidR="000E48CE" w:rsidRDefault="000E48CE">
            <w:pPr>
              <w:spacing w:after="0" w:line="240" w:lineRule="auto"/>
              <w:jc w:val="right"/>
              <w:rPr>
                <w:rFonts w:ascii="Times New Roman" w:hAnsi="Times New Roman" w:cs="Times New Roman"/>
                <w:noProof/>
                <w:sz w:val="18"/>
              </w:rPr>
            </w:pPr>
          </w:p>
        </w:tc>
        <w:tc>
          <w:tcPr>
            <w:tcW w:w="621" w:type="dxa"/>
            <w:shd w:val="clear" w:color="auto" w:fill="C6EFCE"/>
            <w:noWrap/>
          </w:tcPr>
          <w:p w14:paraId="7459C768" w14:textId="77777777" w:rsidR="000E48CE" w:rsidRDefault="00FF4C4E">
            <w:pPr>
              <w:pStyle w:val="P68B1DB1-Normal13"/>
              <w:spacing w:after="0" w:line="240" w:lineRule="auto"/>
              <w:jc w:val="center"/>
              <w:rPr>
                <w:rFonts w:eastAsia="Times New Roman" w:cs="Times New Roman"/>
                <w:noProof/>
              </w:rPr>
            </w:pPr>
            <w:r>
              <w:rPr>
                <w:noProof/>
              </w:rPr>
              <w:t>Q4</w:t>
            </w:r>
          </w:p>
        </w:tc>
        <w:tc>
          <w:tcPr>
            <w:tcW w:w="527" w:type="dxa"/>
            <w:shd w:val="clear" w:color="auto" w:fill="C6EFCE"/>
            <w:noWrap/>
          </w:tcPr>
          <w:p w14:paraId="3343D3B9" w14:textId="77777777" w:rsidR="000E48CE" w:rsidRDefault="00FF4C4E">
            <w:pPr>
              <w:pStyle w:val="P68B1DB1-Normal13"/>
              <w:spacing w:after="0" w:line="240" w:lineRule="auto"/>
              <w:jc w:val="center"/>
              <w:rPr>
                <w:rFonts w:eastAsia="Times New Roman" w:cs="Times New Roman"/>
                <w:noProof/>
              </w:rPr>
            </w:pPr>
            <w:r>
              <w:rPr>
                <w:noProof/>
              </w:rPr>
              <w:t>2023</w:t>
            </w:r>
          </w:p>
        </w:tc>
        <w:tc>
          <w:tcPr>
            <w:tcW w:w="6249" w:type="dxa"/>
            <w:shd w:val="clear" w:color="auto" w:fill="C6EFCE"/>
            <w:noWrap/>
          </w:tcPr>
          <w:p w14:paraId="4C1E2C42" w14:textId="662EA4FF" w:rsidR="000E48CE" w:rsidRDefault="00FF4C4E">
            <w:pPr>
              <w:pStyle w:val="P68B1DB1-Normal13"/>
              <w:rPr>
                <w:rFonts w:eastAsia="Times New Roman" w:cs="Times New Roman"/>
                <w:noProof/>
              </w:rPr>
            </w:pPr>
            <w:r>
              <w:rPr>
                <w:noProof/>
              </w:rPr>
              <w:t>Täytäntöönpanosopimuksen voimaantulo.</w:t>
            </w:r>
          </w:p>
          <w:p w14:paraId="3C94C7D4" w14:textId="77777777" w:rsidR="000E48CE" w:rsidRDefault="000E48CE">
            <w:pPr>
              <w:spacing w:after="0" w:line="240" w:lineRule="auto"/>
              <w:jc w:val="both"/>
              <w:rPr>
                <w:rFonts w:ascii="Times New Roman" w:eastAsia="Times New Roman" w:hAnsi="Times New Roman" w:cs="Times New Roman"/>
                <w:noProof/>
                <w:sz w:val="18"/>
              </w:rPr>
            </w:pPr>
          </w:p>
        </w:tc>
      </w:tr>
      <w:tr w:rsidR="000E48CE" w14:paraId="68AB993F" w14:textId="77777777">
        <w:trPr>
          <w:trHeight w:val="309"/>
        </w:trPr>
        <w:tc>
          <w:tcPr>
            <w:tcW w:w="729" w:type="dxa"/>
            <w:shd w:val="clear" w:color="auto" w:fill="C6EFCE"/>
            <w:noWrap/>
          </w:tcPr>
          <w:p w14:paraId="79281886" w14:textId="0C23939C" w:rsidR="000E48CE" w:rsidRDefault="00FF4C4E">
            <w:pPr>
              <w:pStyle w:val="P68B1DB1-Normal13"/>
              <w:spacing w:after="0" w:line="240" w:lineRule="auto"/>
              <w:jc w:val="center"/>
              <w:rPr>
                <w:rFonts w:eastAsia="Times New Roman" w:cs="Times New Roman"/>
                <w:noProof/>
              </w:rPr>
            </w:pPr>
            <w:r>
              <w:rPr>
                <w:noProof/>
              </w:rPr>
              <w:t>L78</w:t>
            </w:r>
          </w:p>
        </w:tc>
        <w:tc>
          <w:tcPr>
            <w:tcW w:w="752" w:type="dxa"/>
            <w:shd w:val="clear" w:color="auto" w:fill="C6EFCE"/>
            <w:noWrap/>
          </w:tcPr>
          <w:p w14:paraId="1241BA9A" w14:textId="77777777" w:rsidR="000E48CE" w:rsidRDefault="00FF4C4E">
            <w:pPr>
              <w:pStyle w:val="P68B1DB1-Normal13"/>
              <w:spacing w:after="0" w:line="240" w:lineRule="auto"/>
              <w:jc w:val="center"/>
              <w:rPr>
                <w:rFonts w:cs="Times New Roman"/>
                <w:noProof/>
              </w:rPr>
            </w:pPr>
            <w:r>
              <w:rPr>
                <w:noProof/>
              </w:rPr>
              <w:t>C25.I3</w:t>
            </w:r>
          </w:p>
        </w:tc>
        <w:tc>
          <w:tcPr>
            <w:tcW w:w="851" w:type="dxa"/>
            <w:shd w:val="clear" w:color="auto" w:fill="C6EFCE"/>
            <w:noWrap/>
          </w:tcPr>
          <w:p w14:paraId="7EA06B66" w14:textId="77777777" w:rsidR="000E48CE" w:rsidRDefault="00FF4C4E">
            <w:pPr>
              <w:pStyle w:val="P68B1DB1-Normal13"/>
              <w:spacing w:after="0" w:line="240" w:lineRule="auto"/>
              <w:jc w:val="center"/>
              <w:rPr>
                <w:rFonts w:eastAsia="Times New Roman" w:cs="Times New Roman"/>
                <w:noProof/>
              </w:rPr>
            </w:pPr>
            <w:r>
              <w:rPr>
                <w:noProof/>
              </w:rPr>
              <w:t>T</w:t>
            </w:r>
          </w:p>
        </w:tc>
        <w:tc>
          <w:tcPr>
            <w:tcW w:w="2144" w:type="dxa"/>
            <w:shd w:val="clear" w:color="auto" w:fill="C6EFCE"/>
            <w:noWrap/>
          </w:tcPr>
          <w:p w14:paraId="6B4536DE" w14:textId="23838B67" w:rsidR="000E48CE" w:rsidRDefault="00FF4C4E">
            <w:pPr>
              <w:pStyle w:val="P68B1DB1-Normal13"/>
              <w:spacing w:after="0" w:line="240" w:lineRule="auto"/>
              <w:rPr>
                <w:rFonts w:eastAsia="Times New Roman" w:cs="Times New Roman"/>
                <w:noProof/>
              </w:rPr>
            </w:pPr>
            <w:r>
              <w:rPr>
                <w:noProof/>
              </w:rPr>
              <w:t xml:space="preserve">ICO Audiovisuaalikeskuksen rahasto: Lopullisten edunsaajien (mukaan lukien oman pääoman ehtoiset rahastot) kanssa allekirjoitetut oikeudelliset rahoitussopimukset (I).  </w:t>
            </w:r>
          </w:p>
        </w:tc>
        <w:tc>
          <w:tcPr>
            <w:tcW w:w="1124" w:type="dxa"/>
            <w:shd w:val="clear" w:color="auto" w:fill="C6EFCE"/>
            <w:noWrap/>
          </w:tcPr>
          <w:p w14:paraId="5956C494" w14:textId="77777777" w:rsidR="000E48CE" w:rsidRDefault="000E48CE">
            <w:pPr>
              <w:spacing w:after="0" w:line="240" w:lineRule="auto"/>
              <w:jc w:val="center"/>
              <w:rPr>
                <w:rFonts w:ascii="Times New Roman" w:eastAsia="Times New Roman" w:hAnsi="Times New Roman" w:cs="Times New Roman"/>
                <w:noProof/>
                <w:sz w:val="18"/>
              </w:rPr>
            </w:pPr>
          </w:p>
        </w:tc>
        <w:tc>
          <w:tcPr>
            <w:tcW w:w="746" w:type="dxa"/>
            <w:shd w:val="clear" w:color="auto" w:fill="C6EFCE"/>
            <w:noWrap/>
          </w:tcPr>
          <w:p w14:paraId="70C04B30" w14:textId="62E33394" w:rsidR="000E48CE" w:rsidRDefault="000E48CE">
            <w:pPr>
              <w:spacing w:after="0" w:line="240" w:lineRule="auto"/>
              <w:jc w:val="center"/>
              <w:rPr>
                <w:rFonts w:ascii="Times New Roman" w:hAnsi="Times New Roman" w:cs="Times New Roman"/>
                <w:noProof/>
                <w:sz w:val="18"/>
              </w:rPr>
            </w:pPr>
          </w:p>
        </w:tc>
        <w:tc>
          <w:tcPr>
            <w:tcW w:w="567" w:type="dxa"/>
            <w:shd w:val="clear" w:color="auto" w:fill="C6EFCE"/>
            <w:noWrap/>
          </w:tcPr>
          <w:p w14:paraId="1C116015" w14:textId="13D5DE7E" w:rsidR="000E48CE" w:rsidRDefault="00FF4C4E">
            <w:pPr>
              <w:pStyle w:val="P68B1DB1-Normal13"/>
              <w:tabs>
                <w:tab w:val="left" w:pos="210"/>
                <w:tab w:val="center" w:pos="291"/>
              </w:tabs>
              <w:spacing w:after="0" w:line="240" w:lineRule="auto"/>
              <w:rPr>
                <w:rFonts w:cs="Times New Roman"/>
                <w:noProof/>
              </w:rPr>
            </w:pPr>
            <w:r>
              <w:rPr>
                <w:noProof/>
              </w:rPr>
              <w:tab/>
            </w:r>
            <w:r>
              <w:rPr>
                <w:noProof/>
              </w:rPr>
              <w:tab/>
              <w:t>0</w:t>
            </w:r>
          </w:p>
        </w:tc>
        <w:tc>
          <w:tcPr>
            <w:tcW w:w="683" w:type="dxa"/>
            <w:shd w:val="clear" w:color="auto" w:fill="C6EFCE"/>
            <w:noWrap/>
          </w:tcPr>
          <w:p w14:paraId="619FD1FB" w14:textId="32E6E221" w:rsidR="000E48CE" w:rsidRDefault="00FF4C4E">
            <w:pPr>
              <w:pStyle w:val="P68B1DB1-Normal13"/>
              <w:spacing w:after="0" w:line="240" w:lineRule="auto"/>
              <w:jc w:val="right"/>
              <w:rPr>
                <w:rFonts w:cs="Times New Roman"/>
                <w:noProof/>
              </w:rPr>
            </w:pPr>
            <w:r>
              <w:rPr>
                <w:noProof/>
              </w:rPr>
              <w:t>50 %</w:t>
            </w:r>
          </w:p>
        </w:tc>
        <w:tc>
          <w:tcPr>
            <w:tcW w:w="621" w:type="dxa"/>
            <w:shd w:val="clear" w:color="auto" w:fill="C6EFCE"/>
            <w:noWrap/>
          </w:tcPr>
          <w:p w14:paraId="4B47678B" w14:textId="77777777" w:rsidR="000E48CE" w:rsidRDefault="00FF4C4E">
            <w:pPr>
              <w:pStyle w:val="P68B1DB1-Normal13"/>
              <w:spacing w:after="0" w:line="240" w:lineRule="auto"/>
              <w:jc w:val="center"/>
              <w:rPr>
                <w:rFonts w:eastAsia="Times New Roman" w:cs="Times New Roman"/>
                <w:noProof/>
              </w:rPr>
            </w:pPr>
            <w:r>
              <w:rPr>
                <w:noProof/>
              </w:rPr>
              <w:t>Q2</w:t>
            </w:r>
          </w:p>
        </w:tc>
        <w:tc>
          <w:tcPr>
            <w:tcW w:w="527" w:type="dxa"/>
            <w:shd w:val="clear" w:color="auto" w:fill="C6EFCE"/>
            <w:noWrap/>
          </w:tcPr>
          <w:p w14:paraId="0D5C25C7" w14:textId="77777777" w:rsidR="000E48CE" w:rsidRDefault="00FF4C4E">
            <w:pPr>
              <w:pStyle w:val="P68B1DB1-Normal13"/>
              <w:spacing w:after="0" w:line="240" w:lineRule="auto"/>
              <w:jc w:val="center"/>
              <w:rPr>
                <w:rFonts w:eastAsia="Times New Roman" w:cs="Times New Roman"/>
                <w:noProof/>
              </w:rPr>
            </w:pPr>
            <w:r>
              <w:rPr>
                <w:noProof/>
              </w:rPr>
              <w:t>2025</w:t>
            </w:r>
          </w:p>
        </w:tc>
        <w:tc>
          <w:tcPr>
            <w:tcW w:w="6249" w:type="dxa"/>
            <w:shd w:val="clear" w:color="auto" w:fill="C6EFCE"/>
            <w:noWrap/>
          </w:tcPr>
          <w:p w14:paraId="2321F473" w14:textId="2CAEB37D" w:rsidR="000E48CE" w:rsidRDefault="00FF4C4E">
            <w:pPr>
              <w:pStyle w:val="P68B1DB1-Normal13"/>
              <w:spacing w:after="0" w:line="240" w:lineRule="auto"/>
              <w:rPr>
                <w:rFonts w:eastAsia="Times New Roman" w:cs="Times New Roman"/>
                <w:noProof/>
              </w:rPr>
            </w:pPr>
            <w:r>
              <w:rPr>
                <w:noProof/>
              </w:rPr>
              <w:t>ICO/Axis ja sen valitsemat välittäjät ovat tehneet lopullisten tuen</w:t>
            </w:r>
            <w:r>
              <w:rPr>
                <w:noProof/>
              </w:rPr>
              <w:t>saajien kanssa oikeudellisia rahoitussopimuksia, joiden määrä on tarpeen, jotta vähintään 50 prosenttia elpymis- ja palautumistukivälineen investoinneista tukivälineeseen voidaan käyttää (hallinnolliset maksut huomioon ottaen). Vähintään 2,5 prosenttia rah</w:t>
            </w:r>
            <w:r>
              <w:rPr>
                <w:noProof/>
              </w:rPr>
              <w:t>oituksesta vastaa pääomarahastojen kanssa allekirjoitettuja rahoitussopimuksia ja vähintään 50 prosenttia rahoitussopimuksia, jotka on allekirjoitettu lopullisten tuensaajien kanssa kaikista muista sijoitustuotteista (mukaan lukien toteutuskumppanin suorat</w:t>
            </w:r>
            <w:r>
              <w:rPr>
                <w:noProof/>
              </w:rPr>
              <w:t xml:space="preserve"> pääomasijoitukset). ICO laatii elpymis- ja palautumistukivälinettä koskevan asetuksen liitteessä VII esitetyn menetelmän mukaisesti kertomuksen, jossa esitetään yksityiskohtaisesti, kuinka suuri prosenttiosuus tästä rahoituksesta edistää digitaalisten tav</w:t>
            </w:r>
            <w:r>
              <w:rPr>
                <w:noProof/>
              </w:rPr>
              <w:t>oitteiden saavuttamista.</w:t>
            </w:r>
          </w:p>
        </w:tc>
      </w:tr>
      <w:tr w:rsidR="000E48CE" w14:paraId="43F220DB" w14:textId="77777777">
        <w:trPr>
          <w:trHeight w:val="915"/>
        </w:trPr>
        <w:tc>
          <w:tcPr>
            <w:tcW w:w="729" w:type="dxa"/>
            <w:shd w:val="clear" w:color="auto" w:fill="C6EFCE"/>
            <w:noWrap/>
          </w:tcPr>
          <w:p w14:paraId="1A22EBF1" w14:textId="01DCA8AB" w:rsidR="000E48CE" w:rsidRDefault="00FF4C4E">
            <w:pPr>
              <w:pStyle w:val="P68B1DB1-Normal13"/>
              <w:spacing w:line="240" w:lineRule="auto"/>
              <w:jc w:val="center"/>
              <w:rPr>
                <w:rFonts w:eastAsia="Times New Roman" w:cs="Times New Roman"/>
                <w:noProof/>
              </w:rPr>
            </w:pPr>
            <w:r>
              <w:rPr>
                <w:noProof/>
              </w:rPr>
              <w:t>L79</w:t>
            </w:r>
          </w:p>
        </w:tc>
        <w:tc>
          <w:tcPr>
            <w:tcW w:w="752" w:type="dxa"/>
            <w:shd w:val="clear" w:color="auto" w:fill="C6EFCE"/>
            <w:noWrap/>
          </w:tcPr>
          <w:p w14:paraId="48C23F29" w14:textId="77777777" w:rsidR="000E48CE" w:rsidRDefault="00FF4C4E">
            <w:pPr>
              <w:pStyle w:val="P68B1DB1-Normal13"/>
              <w:spacing w:line="240" w:lineRule="auto"/>
              <w:rPr>
                <w:rFonts w:cs="Times New Roman"/>
                <w:noProof/>
              </w:rPr>
            </w:pPr>
            <w:r>
              <w:rPr>
                <w:noProof/>
              </w:rPr>
              <w:t>C25.I3</w:t>
            </w:r>
          </w:p>
        </w:tc>
        <w:tc>
          <w:tcPr>
            <w:tcW w:w="851" w:type="dxa"/>
            <w:shd w:val="clear" w:color="auto" w:fill="C6EFCE"/>
            <w:noWrap/>
          </w:tcPr>
          <w:p w14:paraId="5EFDF417" w14:textId="77777777" w:rsidR="000E48CE" w:rsidRDefault="00FF4C4E">
            <w:pPr>
              <w:pStyle w:val="P68B1DB1-Normal13"/>
              <w:spacing w:line="240" w:lineRule="auto"/>
              <w:jc w:val="center"/>
              <w:rPr>
                <w:rFonts w:eastAsia="Times New Roman" w:cs="Times New Roman"/>
                <w:noProof/>
              </w:rPr>
            </w:pPr>
            <w:r>
              <w:rPr>
                <w:noProof/>
              </w:rPr>
              <w:t>T</w:t>
            </w:r>
          </w:p>
        </w:tc>
        <w:tc>
          <w:tcPr>
            <w:tcW w:w="2144" w:type="dxa"/>
            <w:shd w:val="clear" w:color="auto" w:fill="C6EFCE"/>
            <w:noWrap/>
          </w:tcPr>
          <w:p w14:paraId="4F89FB49" w14:textId="3BDC296E" w:rsidR="000E48CE" w:rsidRDefault="00FF4C4E">
            <w:pPr>
              <w:pStyle w:val="P68B1DB1-Normal13"/>
              <w:spacing w:line="240" w:lineRule="auto"/>
              <w:rPr>
                <w:rFonts w:eastAsia="Times New Roman" w:cs="Times New Roman"/>
                <w:noProof/>
              </w:rPr>
            </w:pPr>
            <w:r>
              <w:rPr>
                <w:noProof/>
              </w:rPr>
              <w:t>ICO Audiovisuaalikeskuksen rahasto: Lopullisten edunsaajien (mukaan lukien oman pääoman ehtoiset rahastot) kanssa allekirjoitetut oikeudelliset rahoitussopimukset (II).</w:t>
            </w:r>
          </w:p>
        </w:tc>
        <w:tc>
          <w:tcPr>
            <w:tcW w:w="1124" w:type="dxa"/>
            <w:shd w:val="clear" w:color="auto" w:fill="C6EFCE"/>
            <w:noWrap/>
          </w:tcPr>
          <w:p w14:paraId="7B79ECB1" w14:textId="77777777" w:rsidR="000E48CE" w:rsidRDefault="000E48CE">
            <w:pPr>
              <w:spacing w:line="240" w:lineRule="auto"/>
              <w:jc w:val="center"/>
              <w:rPr>
                <w:rFonts w:ascii="Times New Roman" w:eastAsia="Times New Roman" w:hAnsi="Times New Roman" w:cs="Times New Roman"/>
                <w:noProof/>
                <w:sz w:val="18"/>
              </w:rPr>
            </w:pPr>
          </w:p>
        </w:tc>
        <w:tc>
          <w:tcPr>
            <w:tcW w:w="746" w:type="dxa"/>
            <w:shd w:val="clear" w:color="auto" w:fill="C6EFCE"/>
            <w:noWrap/>
          </w:tcPr>
          <w:p w14:paraId="0F7A45F4" w14:textId="413E8D68" w:rsidR="000E48CE" w:rsidRDefault="000E48CE">
            <w:pPr>
              <w:spacing w:line="240" w:lineRule="auto"/>
              <w:jc w:val="center"/>
              <w:rPr>
                <w:rFonts w:ascii="Times New Roman" w:hAnsi="Times New Roman" w:cs="Times New Roman"/>
                <w:noProof/>
                <w:sz w:val="18"/>
              </w:rPr>
            </w:pPr>
          </w:p>
        </w:tc>
        <w:tc>
          <w:tcPr>
            <w:tcW w:w="567" w:type="dxa"/>
            <w:shd w:val="clear" w:color="auto" w:fill="C6EFCE"/>
            <w:noWrap/>
          </w:tcPr>
          <w:p w14:paraId="60DA5AA9" w14:textId="67449F47" w:rsidR="000E48CE" w:rsidRDefault="00FF4C4E">
            <w:pPr>
              <w:pStyle w:val="P68B1DB1-Normal13"/>
              <w:spacing w:line="240" w:lineRule="auto"/>
              <w:jc w:val="center"/>
              <w:rPr>
                <w:rFonts w:cs="Times New Roman"/>
                <w:noProof/>
              </w:rPr>
            </w:pPr>
            <w:r>
              <w:rPr>
                <w:noProof/>
              </w:rPr>
              <w:t>50 %</w:t>
            </w:r>
          </w:p>
        </w:tc>
        <w:tc>
          <w:tcPr>
            <w:tcW w:w="683" w:type="dxa"/>
            <w:shd w:val="clear" w:color="auto" w:fill="C6EFCE"/>
            <w:noWrap/>
          </w:tcPr>
          <w:p w14:paraId="33D4E800" w14:textId="43CEC337" w:rsidR="000E48CE" w:rsidRDefault="00FF4C4E">
            <w:pPr>
              <w:pStyle w:val="P68B1DB1-Normal13"/>
              <w:spacing w:line="240" w:lineRule="auto"/>
              <w:jc w:val="right"/>
              <w:rPr>
                <w:rFonts w:cs="Times New Roman"/>
                <w:noProof/>
              </w:rPr>
            </w:pPr>
            <w:r>
              <w:rPr>
                <w:noProof/>
              </w:rPr>
              <w:t>100 %</w:t>
            </w:r>
          </w:p>
        </w:tc>
        <w:tc>
          <w:tcPr>
            <w:tcW w:w="621" w:type="dxa"/>
            <w:shd w:val="clear" w:color="auto" w:fill="C6EFCE"/>
            <w:noWrap/>
          </w:tcPr>
          <w:p w14:paraId="09D52357" w14:textId="3BFB3944" w:rsidR="000E48CE" w:rsidRDefault="00FF4C4E">
            <w:pPr>
              <w:pStyle w:val="P68B1DB1-Normal13"/>
              <w:spacing w:line="240" w:lineRule="auto"/>
              <w:jc w:val="center"/>
              <w:rPr>
                <w:rFonts w:eastAsia="Times New Roman" w:cs="Times New Roman"/>
                <w:noProof/>
              </w:rPr>
            </w:pPr>
            <w:r>
              <w:rPr>
                <w:noProof/>
              </w:rPr>
              <w:t>KOLMAS VUOSINELJÄNNES</w:t>
            </w:r>
          </w:p>
        </w:tc>
        <w:tc>
          <w:tcPr>
            <w:tcW w:w="527" w:type="dxa"/>
            <w:shd w:val="clear" w:color="auto" w:fill="C6EFCE"/>
            <w:noWrap/>
          </w:tcPr>
          <w:p w14:paraId="50B98431" w14:textId="77777777" w:rsidR="000E48CE" w:rsidRDefault="00FF4C4E">
            <w:pPr>
              <w:pStyle w:val="P68B1DB1-Normal13"/>
              <w:spacing w:line="240" w:lineRule="auto"/>
              <w:jc w:val="center"/>
              <w:rPr>
                <w:rFonts w:eastAsia="Times New Roman" w:cs="Times New Roman"/>
                <w:noProof/>
              </w:rPr>
            </w:pPr>
            <w:r>
              <w:rPr>
                <w:noProof/>
              </w:rPr>
              <w:t>2026</w:t>
            </w:r>
          </w:p>
        </w:tc>
        <w:tc>
          <w:tcPr>
            <w:tcW w:w="6249" w:type="dxa"/>
            <w:shd w:val="clear" w:color="auto" w:fill="C6EFCE"/>
            <w:noWrap/>
          </w:tcPr>
          <w:p w14:paraId="78111F7E" w14:textId="3E1B1229" w:rsidR="000E48CE" w:rsidRDefault="00FF4C4E">
            <w:pPr>
              <w:pStyle w:val="P68B1DB1-Normal13"/>
              <w:spacing w:line="257" w:lineRule="auto"/>
              <w:rPr>
                <w:rFonts w:eastAsia="Times New Roman" w:cs="Times New Roman"/>
                <w:noProof/>
              </w:rPr>
            </w:pPr>
            <w:r>
              <w:rPr>
                <w:noProof/>
              </w:rPr>
              <w:t>ICO/Axis</w:t>
            </w:r>
            <w:r>
              <w:rPr>
                <w:noProof/>
              </w:rPr>
              <w:t xml:space="preserve"> ja ICO:n valitsemat välittäjät ovat tehneet lopullisten edunsaajien kanssa oikeudellisia rahoitussopimuksia määrästä, joka on tarpeen elpymis- ja palautumistukivälineen 100-prosenttisen investoinnin käyttämiseksi tukivälineeseen (hallinnolliset maksut huo</w:t>
            </w:r>
            <w:r>
              <w:rPr>
                <w:noProof/>
              </w:rPr>
              <w:t>mioon ottaen). Vähintään 10 prosenttia rahoituksesta vastaa pääomarahastojen kanssa allekirjoitettuja rahoitussopimuksia ja vähintään 50 prosenttia rahoitussopimuksia, jotka on allekirjoitettu lopullisten tuensaajien kanssa kaikista muista sijoitustuotteis</w:t>
            </w:r>
            <w:r>
              <w:rPr>
                <w:noProof/>
              </w:rPr>
              <w:t xml:space="preserve">ta (mukaan lukien toteutuskumppanin suorat pääomasijoitukset). ICO on myös varmistanut, että 100 prosentilla tästä rahoituksesta edistetään digitaalisia tavoitteita elpymis- ja palautumistukivälinettä koskevan asetuksen liitteessä VII esitettyä menetelmää </w:t>
            </w:r>
            <w:r>
              <w:rPr>
                <w:noProof/>
              </w:rPr>
              <w:t>käyttäen.</w:t>
            </w:r>
          </w:p>
        </w:tc>
      </w:tr>
      <w:tr w:rsidR="000E48CE" w14:paraId="031FE21A" w14:textId="77777777">
        <w:trPr>
          <w:trHeight w:val="309"/>
        </w:trPr>
        <w:tc>
          <w:tcPr>
            <w:tcW w:w="729" w:type="dxa"/>
            <w:shd w:val="clear" w:color="auto" w:fill="C6EFCE"/>
            <w:noWrap/>
          </w:tcPr>
          <w:p w14:paraId="3AE3439B" w14:textId="509D1C0F" w:rsidR="000E48CE" w:rsidRDefault="00FF4C4E">
            <w:pPr>
              <w:pStyle w:val="P68B1DB1-Normal13"/>
              <w:spacing w:line="240" w:lineRule="auto"/>
              <w:jc w:val="center"/>
              <w:rPr>
                <w:rFonts w:eastAsia="Times New Roman" w:cs="Times New Roman"/>
                <w:noProof/>
              </w:rPr>
            </w:pPr>
            <w:r>
              <w:rPr>
                <w:noProof/>
              </w:rPr>
              <w:t>L80</w:t>
            </w:r>
          </w:p>
        </w:tc>
        <w:tc>
          <w:tcPr>
            <w:tcW w:w="752" w:type="dxa"/>
            <w:shd w:val="clear" w:color="auto" w:fill="C6EFCE"/>
            <w:noWrap/>
          </w:tcPr>
          <w:p w14:paraId="3BA5672D" w14:textId="77777777" w:rsidR="000E48CE" w:rsidRDefault="00FF4C4E">
            <w:pPr>
              <w:pStyle w:val="P68B1DB1-Normal13"/>
              <w:spacing w:line="240" w:lineRule="auto"/>
              <w:jc w:val="center"/>
              <w:rPr>
                <w:rFonts w:cs="Times New Roman"/>
                <w:noProof/>
              </w:rPr>
            </w:pPr>
            <w:r>
              <w:rPr>
                <w:noProof/>
              </w:rPr>
              <w:t>C25.I3</w:t>
            </w:r>
          </w:p>
        </w:tc>
        <w:tc>
          <w:tcPr>
            <w:tcW w:w="851" w:type="dxa"/>
            <w:shd w:val="clear" w:color="auto" w:fill="C6EFCE"/>
            <w:noWrap/>
          </w:tcPr>
          <w:p w14:paraId="53740954" w14:textId="77777777" w:rsidR="000E48CE" w:rsidRDefault="00FF4C4E">
            <w:pPr>
              <w:pStyle w:val="P68B1DB1-Normal13"/>
              <w:spacing w:line="240" w:lineRule="auto"/>
              <w:jc w:val="center"/>
              <w:rPr>
                <w:rFonts w:eastAsia="Times New Roman" w:cs="Times New Roman"/>
                <w:noProof/>
              </w:rPr>
            </w:pPr>
            <w:r>
              <w:rPr>
                <w:noProof/>
              </w:rPr>
              <w:t>M</w:t>
            </w:r>
          </w:p>
        </w:tc>
        <w:tc>
          <w:tcPr>
            <w:tcW w:w="2144" w:type="dxa"/>
            <w:shd w:val="clear" w:color="auto" w:fill="C6EFCE"/>
            <w:noWrap/>
          </w:tcPr>
          <w:p w14:paraId="2596CF82" w14:textId="7C574AC4" w:rsidR="000E48CE" w:rsidRDefault="00FF4C4E">
            <w:pPr>
              <w:pStyle w:val="P68B1DB1-Normal13"/>
              <w:spacing w:line="240" w:lineRule="auto"/>
              <w:rPr>
                <w:rFonts w:eastAsia="Times New Roman" w:cs="Times New Roman"/>
                <w:noProof/>
              </w:rPr>
            </w:pPr>
            <w:r>
              <w:rPr>
                <w:noProof/>
              </w:rPr>
              <w:t xml:space="preserve">ICO Audiovisuaalikeskuksen rahasto: Ministeriö on saattanut investoinnin päätökseen </w:t>
            </w:r>
          </w:p>
        </w:tc>
        <w:tc>
          <w:tcPr>
            <w:tcW w:w="1124" w:type="dxa"/>
            <w:shd w:val="clear" w:color="auto" w:fill="C6EFCE"/>
            <w:noWrap/>
          </w:tcPr>
          <w:p w14:paraId="25A36899" w14:textId="77777777" w:rsidR="000E48CE" w:rsidRDefault="000E48CE">
            <w:pPr>
              <w:spacing w:line="240" w:lineRule="auto"/>
              <w:jc w:val="center"/>
              <w:rPr>
                <w:rFonts w:ascii="Times New Roman" w:eastAsia="Times New Roman" w:hAnsi="Times New Roman" w:cs="Times New Roman"/>
                <w:noProof/>
                <w:sz w:val="18"/>
              </w:rPr>
            </w:pPr>
          </w:p>
        </w:tc>
        <w:tc>
          <w:tcPr>
            <w:tcW w:w="746" w:type="dxa"/>
            <w:shd w:val="clear" w:color="auto" w:fill="C6EFCE"/>
            <w:noWrap/>
          </w:tcPr>
          <w:p w14:paraId="08F07C2B" w14:textId="5D61538D" w:rsidR="000E48CE" w:rsidRDefault="00FF4C4E">
            <w:pPr>
              <w:pStyle w:val="P68B1DB1-Normal13"/>
              <w:tabs>
                <w:tab w:val="left" w:pos="210"/>
                <w:tab w:val="center" w:pos="291"/>
              </w:tabs>
              <w:spacing w:after="0" w:line="240" w:lineRule="auto"/>
              <w:jc w:val="center"/>
              <w:rPr>
                <w:rFonts w:cs="Times New Roman"/>
                <w:noProof/>
              </w:rPr>
            </w:pPr>
            <w:r>
              <w:rPr>
                <w:noProof/>
              </w:rPr>
              <w:t>Miljoonaa euroa</w:t>
            </w:r>
          </w:p>
        </w:tc>
        <w:tc>
          <w:tcPr>
            <w:tcW w:w="567" w:type="dxa"/>
            <w:shd w:val="clear" w:color="auto" w:fill="C6EFCE"/>
            <w:noWrap/>
          </w:tcPr>
          <w:p w14:paraId="0CD83525" w14:textId="680D76AB" w:rsidR="000E48CE" w:rsidRDefault="00FF4C4E">
            <w:pPr>
              <w:pStyle w:val="P68B1DB1-Normal13"/>
              <w:tabs>
                <w:tab w:val="left" w:pos="210"/>
                <w:tab w:val="center" w:pos="291"/>
              </w:tabs>
              <w:spacing w:after="0" w:line="240" w:lineRule="auto"/>
              <w:jc w:val="center"/>
              <w:rPr>
                <w:rFonts w:cs="Times New Roman"/>
                <w:noProof/>
              </w:rPr>
            </w:pPr>
            <w:r>
              <w:rPr>
                <w:noProof/>
              </w:rPr>
              <w:t>0</w:t>
            </w:r>
          </w:p>
        </w:tc>
        <w:tc>
          <w:tcPr>
            <w:tcW w:w="683" w:type="dxa"/>
            <w:shd w:val="clear" w:color="auto" w:fill="C6EFCE"/>
            <w:noWrap/>
          </w:tcPr>
          <w:p w14:paraId="5D7B96C5" w14:textId="011C2A51" w:rsidR="000E48CE" w:rsidRDefault="00FF4C4E">
            <w:pPr>
              <w:pStyle w:val="P68B1DB1-Normal13"/>
              <w:tabs>
                <w:tab w:val="left" w:pos="210"/>
                <w:tab w:val="center" w:pos="291"/>
              </w:tabs>
              <w:spacing w:after="0" w:line="240" w:lineRule="auto"/>
              <w:jc w:val="center"/>
              <w:rPr>
                <w:rFonts w:cs="Times New Roman"/>
                <w:noProof/>
              </w:rPr>
            </w:pPr>
            <w:r>
              <w:rPr>
                <w:noProof/>
              </w:rPr>
              <w:t xml:space="preserve">1 712 </w:t>
            </w:r>
          </w:p>
        </w:tc>
        <w:tc>
          <w:tcPr>
            <w:tcW w:w="621" w:type="dxa"/>
            <w:shd w:val="clear" w:color="auto" w:fill="C6EFCE"/>
            <w:noWrap/>
          </w:tcPr>
          <w:p w14:paraId="6953E499" w14:textId="2FD0AE03" w:rsidR="000E48CE" w:rsidRDefault="00FF4C4E">
            <w:pPr>
              <w:pStyle w:val="P68B1DB1-Normal13"/>
              <w:tabs>
                <w:tab w:val="left" w:pos="210"/>
                <w:tab w:val="center" w:pos="291"/>
              </w:tabs>
              <w:spacing w:after="0" w:line="240" w:lineRule="auto"/>
              <w:jc w:val="center"/>
              <w:rPr>
                <w:rFonts w:cs="Times New Roman"/>
                <w:noProof/>
              </w:rPr>
            </w:pPr>
            <w:r>
              <w:rPr>
                <w:noProof/>
              </w:rPr>
              <w:t>KOLMAS VUOSINELJÄNNES</w:t>
            </w:r>
          </w:p>
        </w:tc>
        <w:tc>
          <w:tcPr>
            <w:tcW w:w="527" w:type="dxa"/>
            <w:shd w:val="clear" w:color="auto" w:fill="C6EFCE"/>
            <w:noWrap/>
          </w:tcPr>
          <w:p w14:paraId="5275A409" w14:textId="77777777" w:rsidR="000E48CE" w:rsidRDefault="00FF4C4E">
            <w:pPr>
              <w:pStyle w:val="P68B1DB1-Normal13"/>
              <w:spacing w:line="240" w:lineRule="auto"/>
              <w:jc w:val="center"/>
              <w:rPr>
                <w:rFonts w:eastAsia="Times New Roman" w:cs="Times New Roman"/>
                <w:noProof/>
              </w:rPr>
            </w:pPr>
            <w:r>
              <w:rPr>
                <w:noProof/>
              </w:rPr>
              <w:t>2026</w:t>
            </w:r>
          </w:p>
        </w:tc>
        <w:tc>
          <w:tcPr>
            <w:tcW w:w="6249" w:type="dxa"/>
            <w:shd w:val="clear" w:color="auto" w:fill="C6EFCE"/>
            <w:noWrap/>
          </w:tcPr>
          <w:p w14:paraId="0622E10A" w14:textId="4E99A256" w:rsidR="000E48CE" w:rsidRDefault="00FF4C4E">
            <w:pPr>
              <w:pStyle w:val="P68B1DB1-Normal13"/>
              <w:spacing w:line="240" w:lineRule="auto"/>
              <w:rPr>
                <w:rFonts w:eastAsia="Times New Roman" w:cs="Times New Roman"/>
                <w:noProof/>
              </w:rPr>
            </w:pPr>
            <w:r>
              <w:rPr>
                <w:noProof/>
              </w:rPr>
              <w:t>Espanja siirtää 1712000000 euroa ICO:lle tukivälinettä varten.</w:t>
            </w:r>
          </w:p>
        </w:tc>
      </w:tr>
    </w:tbl>
    <w:p w14:paraId="7931AC06" w14:textId="77777777" w:rsidR="000E48CE" w:rsidRDefault="000E48CE">
      <w:pPr>
        <w:rPr>
          <w:rFonts w:ascii="Times New Roman" w:hAnsi="Times New Roman" w:cs="Times New Roman"/>
          <w:noProof/>
        </w:rPr>
      </w:pPr>
    </w:p>
    <w:p w14:paraId="01A16550" w14:textId="77777777" w:rsidR="000E48CE" w:rsidRDefault="000E48CE">
      <w:pPr>
        <w:pStyle w:val="Text1"/>
        <w:rPr>
          <w:rFonts w:ascii="Times New Roman" w:hAnsi="Times New Roman" w:cs="Times New Roman"/>
          <w:noProof/>
        </w:rPr>
        <w:sectPr w:rsidR="000E48CE" w:rsidSect="00C94F66">
          <w:headerReference w:type="even" r:id="rId489"/>
          <w:headerReference w:type="default" r:id="rId490"/>
          <w:footerReference w:type="even" r:id="rId491"/>
          <w:footerReference w:type="default" r:id="rId492"/>
          <w:headerReference w:type="first" r:id="rId493"/>
          <w:footerReference w:type="first" r:id="rId494"/>
          <w:pgSz w:w="16839" w:h="11907" w:orient="landscape"/>
          <w:pgMar w:top="1417" w:right="1134" w:bottom="1417" w:left="1134" w:header="709" w:footer="709" w:gutter="0"/>
          <w:cols w:space="720"/>
          <w:docGrid w:linePitch="360"/>
        </w:sectPr>
      </w:pPr>
    </w:p>
    <w:p w14:paraId="27B84D4F" w14:textId="77777777" w:rsidR="000E48CE" w:rsidRDefault="00FF4C4E">
      <w:pPr>
        <w:pStyle w:val="P68B1DB1-Heading12"/>
        <w:rPr>
          <w:rFonts w:cs="Times New Roman"/>
          <w:noProof/>
        </w:rPr>
      </w:pPr>
      <w:r>
        <w:rPr>
          <w:noProof/>
        </w:rPr>
        <w:t xml:space="preserve">Z. OSA 26: Urheilun edistäminen </w:t>
      </w:r>
    </w:p>
    <w:p w14:paraId="647A9FB9" w14:textId="77777777" w:rsidR="000E48CE" w:rsidRDefault="00FF4C4E">
      <w:pPr>
        <w:pStyle w:val="P68B1DB1-Text119"/>
        <w:ind w:left="0"/>
        <w:rPr>
          <w:rFonts w:cs="Times New Roman"/>
          <w:noProof/>
        </w:rPr>
      </w:pPr>
      <w:r>
        <w:rPr>
          <w:noProof/>
        </w:rPr>
        <w:t>Espanjan elpymis- ja palautumissuunnitelman mukaan urheilualan osuus on 3,1 prosenttia suhteessa BKT:hen Espanjassa, ja sen osuus maan kokonaistyöllisyydestä on suoraan tai välillisesti 2,1</w:t>
      </w:r>
      <w:r>
        <w:rPr>
          <w:noProof/>
        </w:rPr>
        <w:t xml:space="preserve"> prosenttia. </w:t>
      </w:r>
    </w:p>
    <w:p w14:paraId="4F4E613F" w14:textId="77777777" w:rsidR="000E48CE" w:rsidRDefault="00FF4C4E">
      <w:pPr>
        <w:pStyle w:val="P68B1DB1-Text119"/>
        <w:ind w:left="0"/>
        <w:rPr>
          <w:rFonts w:cs="Times New Roman"/>
          <w:noProof/>
        </w:rPr>
      </w:pPr>
      <w:r>
        <w:rPr>
          <w:noProof/>
        </w:rPr>
        <w:t>Espanjan elpymis- ja palautumissuunnitelman tämän osion päätavoitteena on tehostaa urheilualan muutosta digitoimalla urheilujärjestöjä ja parantamalla urheilutiloja niiden ekologisen kestävyyden ja saavutettavuuden varmistamiseksi. Se tukee m</w:t>
      </w:r>
      <w:r>
        <w:rPr>
          <w:noProof/>
        </w:rPr>
        <w:t>yös urheilun edistämistä terveyteen liittyvissä tarkoituksissa erityisesti parantamalla liikuntaa väestökadon vaarassa olevilla alueilla sekä tekemällä alan tutkimusta. Osa-alueeseen sisältyy myös kohdennettuja investointeja, joilla edistetään naisten osal</w:t>
      </w:r>
      <w:r>
        <w:rPr>
          <w:noProof/>
        </w:rPr>
        <w:t>listumista ammatti- ja amatööriurheiluun.</w:t>
      </w:r>
    </w:p>
    <w:p w14:paraId="0CF598BD" w14:textId="3500705E" w:rsidR="000E48CE" w:rsidRDefault="00FF4C4E">
      <w:pPr>
        <w:pStyle w:val="P68B1DB1-Normal4"/>
        <w:tabs>
          <w:tab w:val="left" w:pos="1134"/>
        </w:tabs>
        <w:spacing w:before="120" w:after="120" w:line="240" w:lineRule="auto"/>
        <w:jc w:val="both"/>
        <w:rPr>
          <w:rFonts w:cs="Times New Roman"/>
          <w:noProof/>
        </w:rPr>
      </w:pPr>
      <w:r>
        <w:rPr>
          <w:noProof/>
        </w:rPr>
        <w:t>Komponentissa käsitellään maakohtaisia suosituksia innovointiin ja energiatehokkuuteen tehtävien investointien edistämisestä (maakohtainen suositus 3 2019), julkisten ja yksityisten investointien edistämisestä ja v</w:t>
      </w:r>
      <w:r>
        <w:rPr>
          <w:noProof/>
        </w:rPr>
        <w:t>ihreän siirtymän edistämisestä (maakohtaiset suositukset 1 2023, 1 2022 ja 3 2020) ja terveydenhuoltojärjestelmän häiriönsietokyvyn vahvistamisesta (maakohtainen suositus 1 2020).</w:t>
      </w:r>
    </w:p>
    <w:p w14:paraId="44F13EE3" w14:textId="77777777" w:rsidR="000E48CE" w:rsidRDefault="00FF4C4E">
      <w:pPr>
        <w:pStyle w:val="P68B1DB1-Text119"/>
        <w:ind w:left="0"/>
        <w:rPr>
          <w:rFonts w:cs="Times New Roman"/>
          <w:noProof/>
        </w:rPr>
      </w:pPr>
      <w:r>
        <w:rPr>
          <w:noProof/>
        </w:rPr>
        <w:t>Tällä osa-alueella tuetaan ja täydennetään suunnitelman muissa osissa esitet</w:t>
      </w:r>
      <w:r>
        <w:rPr>
          <w:noProof/>
        </w:rPr>
        <w:t>tyjä toimia, kuten toimia, joilla edistetään terveellisiä elämäntapoja osa-alueella 18 (Terveysjärjestelmän uudistaminen). Optimoimalla ja parantamalla nykyisiä urheiluinfrastruktuureja sillä täydennetään myös osa-alueella 2 (kunnostaminen) toteutettuja to</w:t>
      </w:r>
      <w:r>
        <w:rPr>
          <w:noProof/>
        </w:rPr>
        <w:t>imenpiteitä ja tuetaan Espanjan matkailualan muutosta osa-alueen 14 (Matkailu) mukaisesti.</w:t>
      </w:r>
    </w:p>
    <w:p w14:paraId="76065517" w14:textId="77777777" w:rsidR="000E48CE" w:rsidRDefault="00FF4C4E">
      <w:pPr>
        <w:pStyle w:val="P68B1DB1-Text119"/>
        <w:ind w:left="0"/>
        <w:rPr>
          <w:rFonts w:cs="Times New Roman"/>
          <w:noProof/>
        </w:rPr>
      </w:pPr>
      <w:r>
        <w:rPr>
          <w:noProof/>
        </w:rPr>
        <w:t>Minkään tämän komponentin toimenpiteen ei odoteta aiheuttavan asetuksen (EU) 2020/852 17 artiklassa tarkoitettua merkittävää haittaa ympäristötavoitteille, kun oteta</w:t>
      </w:r>
      <w:r>
        <w:rPr>
          <w:noProof/>
        </w:rPr>
        <w:t>an huomioon ”ei merkittävää haittaa” -periaatteen soveltamista koskevien teknisten ohjeiden (2021/C58/01) mukaiset elpymis- ja palautumissuunnitelmassa esitettyjen toimenpiteiden kuvaus ja lieventävät toimet.</w:t>
      </w:r>
    </w:p>
    <w:p w14:paraId="6BFB5042" w14:textId="77777777" w:rsidR="000E48CE" w:rsidRDefault="00FF4C4E">
      <w:pPr>
        <w:pStyle w:val="P68B1DB1-Text138"/>
        <w:ind w:left="709"/>
        <w:rPr>
          <w:rFonts w:cs="Times New Roman"/>
          <w:i/>
          <w:noProof/>
        </w:rPr>
      </w:pPr>
      <w:r>
        <w:rPr>
          <w:noProof/>
        </w:rPr>
        <w:t xml:space="preserve">Z.1. </w:t>
      </w:r>
      <w:r>
        <w:rPr>
          <w:noProof/>
        </w:rPr>
        <w:tab/>
        <w:t xml:space="preserve">Kuvaus uudistuksista ja investoinneista, </w:t>
      </w:r>
      <w:r>
        <w:rPr>
          <w:noProof/>
        </w:rPr>
        <w:t>joita rahoitetaan rahoitustuella, jota ei makseta takaisin</w:t>
      </w:r>
    </w:p>
    <w:p w14:paraId="2342EC63" w14:textId="77777777" w:rsidR="000E48CE" w:rsidRDefault="00FF4C4E">
      <w:pPr>
        <w:pStyle w:val="P68B1DB1-Normal6"/>
        <w:spacing w:line="240" w:lineRule="auto"/>
        <w:rPr>
          <w:rFonts w:cs="Times New Roman"/>
          <w:noProof/>
        </w:rPr>
      </w:pPr>
      <w:r>
        <w:rPr>
          <w:noProof/>
        </w:rPr>
        <w:t>Uudistus 1 (C26.R1) – Urheilulaki</w:t>
      </w:r>
    </w:p>
    <w:p w14:paraId="597367E8" w14:textId="77777777" w:rsidR="000E48CE" w:rsidRDefault="00FF4C4E">
      <w:pPr>
        <w:pStyle w:val="P68B1DB1-Normal4"/>
        <w:spacing w:line="240" w:lineRule="auto"/>
        <w:jc w:val="both"/>
        <w:rPr>
          <w:rFonts w:cs="Times New Roman"/>
          <w:noProof/>
        </w:rPr>
      </w:pPr>
      <w:r>
        <w:rPr>
          <w:noProof/>
        </w:rPr>
        <w:t>Tämän lainsäädäntötoimen tavoitteena on varmistaa terveys ja turvallisuus urheilun harjoittamisessa kaikilla tasoilla, sisällyttää sukupuolten tasa-arvoa, saavutet</w:t>
      </w:r>
      <w:r>
        <w:rPr>
          <w:noProof/>
        </w:rPr>
        <w:t xml:space="preserve">tavuutta ja sosiaalista yhteenkuuluvuutta koskevat näkökohdat urheilun sääntelyyn, nykyaikaistaa urheiluorganisaatioita ja -infrastruktuureja digitalisoinnin ja ekologisen muutoksen avulla sekä edistää alan kansainvälistymistä. Lainsäädännössä mukautetaan </w:t>
      </w:r>
      <w:r>
        <w:rPr>
          <w:noProof/>
        </w:rPr>
        <w:t xml:space="preserve">urheilun organisaatiorakenteita nykyisiin haasteisiin ottaen huomioon pandemiasta saadut kokemukset. </w:t>
      </w:r>
    </w:p>
    <w:p w14:paraId="3B66163C" w14:textId="77777777" w:rsidR="000E48CE" w:rsidRDefault="00FF4C4E">
      <w:pPr>
        <w:pStyle w:val="P68B1DB1-Normal4"/>
        <w:spacing w:line="240" w:lineRule="auto"/>
        <w:rPr>
          <w:rFonts w:cs="Times New Roman"/>
          <w:noProof/>
        </w:rPr>
      </w:pPr>
      <w:r>
        <w:rPr>
          <w:noProof/>
        </w:rPr>
        <w:t>Toimenpiteen täytäntöönpano on saatettava päätökseen 31 päivään joulukuuta 2022 mennessä.</w:t>
      </w:r>
    </w:p>
    <w:p w14:paraId="566FC54D" w14:textId="77777777" w:rsidR="000E48CE" w:rsidRDefault="00FF4C4E">
      <w:pPr>
        <w:pStyle w:val="P68B1DB1-Normal6"/>
        <w:spacing w:line="240" w:lineRule="auto"/>
        <w:rPr>
          <w:rFonts w:cs="Times New Roman"/>
          <w:noProof/>
        </w:rPr>
      </w:pPr>
      <w:r>
        <w:rPr>
          <w:noProof/>
        </w:rPr>
        <w:t>Uudistus 2 (C26.R2) – Urheilualan ammattilaisia koskeva laki</w:t>
      </w:r>
    </w:p>
    <w:p w14:paraId="18F0FC15" w14:textId="77777777" w:rsidR="000E48CE" w:rsidRDefault="00FF4C4E">
      <w:pPr>
        <w:pStyle w:val="P68B1DB1-Normal4"/>
        <w:spacing w:line="240" w:lineRule="auto"/>
        <w:jc w:val="both"/>
        <w:rPr>
          <w:rFonts w:cs="Times New Roman"/>
          <w:noProof/>
        </w:rPr>
      </w:pPr>
      <w:r>
        <w:rPr>
          <w:noProof/>
        </w:rPr>
        <w:t>Täm</w:t>
      </w:r>
      <w:r>
        <w:rPr>
          <w:noProof/>
        </w:rPr>
        <w:t>än säädöksen tavoitteena on varmistaa, että uusien urheilualan ammattien sääntely ei aiheuta esteitä palvelujen perustamiselle ja tarjoamiselle Espanjan alueella. Toimenpiteellä puututaan haasteisiin, jotka johtuvat sääntelyn heterogeenisuudesta alueellise</w:t>
      </w:r>
      <w:r>
        <w:rPr>
          <w:noProof/>
        </w:rPr>
        <w:t>lla tasolla (mukaan lukien erilaiset pääsyvaatimukset eri alueilla). Toimenpiteellä on varmistettava EU:n lainsäädännön ja erityisesti tarpeellisuus- ja suhteellisuusperiaatteiden noudattaminen.</w:t>
      </w:r>
    </w:p>
    <w:p w14:paraId="700374B0" w14:textId="77777777" w:rsidR="000E48CE" w:rsidRDefault="00FF4C4E">
      <w:pPr>
        <w:pStyle w:val="P68B1DB1-Normal4"/>
        <w:spacing w:line="240" w:lineRule="auto"/>
        <w:rPr>
          <w:rFonts w:cs="Times New Roman"/>
          <w:noProof/>
        </w:rPr>
      </w:pPr>
      <w:r>
        <w:rPr>
          <w:noProof/>
        </w:rPr>
        <w:t>Toimenpiteen täytäntöönpano on saatettava päätökseen viimeist</w:t>
      </w:r>
      <w:r>
        <w:rPr>
          <w:noProof/>
        </w:rPr>
        <w:t>ään 31 päivänä joulukuuta 2023.</w:t>
      </w:r>
    </w:p>
    <w:p w14:paraId="4FA07394" w14:textId="77777777" w:rsidR="000E48CE" w:rsidRDefault="00FF4C4E">
      <w:pPr>
        <w:pStyle w:val="P68B1DB1-Normal6"/>
        <w:keepNext/>
        <w:spacing w:line="240" w:lineRule="auto"/>
        <w:rPr>
          <w:rFonts w:cs="Times New Roman"/>
          <w:noProof/>
        </w:rPr>
      </w:pPr>
      <w:r>
        <w:rPr>
          <w:noProof/>
        </w:rPr>
        <w:t>Uudistus 3 (C26.R3) – Kansallisstrategia urheilun edistämiseksi</w:t>
      </w:r>
    </w:p>
    <w:p w14:paraId="597EE77B" w14:textId="77777777" w:rsidR="000E48CE" w:rsidRDefault="00FF4C4E">
      <w:pPr>
        <w:pStyle w:val="P68B1DB1-Normal4"/>
        <w:keepNext/>
        <w:spacing w:line="240" w:lineRule="auto"/>
        <w:jc w:val="both"/>
        <w:rPr>
          <w:rFonts w:cs="Times New Roman"/>
          <w:noProof/>
        </w:rPr>
      </w:pPr>
      <w:r>
        <w:rPr>
          <w:noProof/>
        </w:rPr>
        <w:t>Strategian tavoitteena on edistää urheilun harjoittamista, jotta voidaan välttää kielteiset vaikutukset, joita istumattomalla elämäntavalla ja liikunnan puuttee</w:t>
      </w:r>
      <w:r>
        <w:rPr>
          <w:noProof/>
        </w:rPr>
        <w:t xml:space="preserve">lla voi olla terveydelle ja hyvinvoinnille. Toimenpiteen on sisällettävä muun muassa seuraavat: toimet hyvien käytäntöjen ja terveellisten tottumusten käyttöönottamiseksi; analyyttinen väline strategian vaikutusten mittaamiseksi ja parantamiseksi. </w:t>
      </w:r>
    </w:p>
    <w:p w14:paraId="7483370B" w14:textId="77777777" w:rsidR="000E48CE" w:rsidRDefault="00FF4C4E">
      <w:pPr>
        <w:pStyle w:val="P68B1DB1-Normal4"/>
        <w:spacing w:line="240" w:lineRule="auto"/>
        <w:rPr>
          <w:rFonts w:cs="Times New Roman"/>
          <w:noProof/>
        </w:rPr>
      </w:pPr>
      <w:r>
        <w:rPr>
          <w:noProof/>
        </w:rPr>
        <w:t xml:space="preserve">Toimenpiteen täytäntöönpano on saatettava päätökseen viimeistään 31 päivänä joulukuuta 2023. </w:t>
      </w:r>
    </w:p>
    <w:p w14:paraId="68E38745" w14:textId="77777777" w:rsidR="000E48CE" w:rsidRDefault="00FF4C4E">
      <w:pPr>
        <w:pStyle w:val="P68B1DB1-Normal6"/>
        <w:spacing w:line="240" w:lineRule="auto"/>
        <w:rPr>
          <w:rFonts w:cs="Times New Roman"/>
          <w:noProof/>
        </w:rPr>
      </w:pPr>
      <w:r>
        <w:rPr>
          <w:noProof/>
        </w:rPr>
        <w:t xml:space="preserve">Investointi 1 (C26.I1) – Urheilun digitaalisuunnitelma </w:t>
      </w:r>
    </w:p>
    <w:p w14:paraId="7BC96004" w14:textId="77777777" w:rsidR="000E48CE" w:rsidRDefault="00FF4C4E">
      <w:pPr>
        <w:pStyle w:val="P68B1DB1-Normal4"/>
        <w:spacing w:line="240" w:lineRule="auto"/>
        <w:jc w:val="both"/>
        <w:rPr>
          <w:rFonts w:cs="Times New Roman"/>
          <w:noProof/>
        </w:rPr>
      </w:pPr>
      <w:r>
        <w:rPr>
          <w:noProof/>
        </w:rPr>
        <w:t>Toimenpiteen tavoitteena on digitalisoida urheiluliitot, mukaan lukien niiden talousarviohallinto ja urhei</w:t>
      </w:r>
      <w:r>
        <w:rPr>
          <w:noProof/>
        </w:rPr>
        <w:t>lulupien myöntämismenettelyt. Sen on myös parannettava urheilutoiminnasta saatujen tietojen analysointia, myös terveellisten elämäntapojen edistämiseksi ja tutkimustarkoituksia varten. Lisäksi se edistää julkisten urheilulääketieteen keskusten digitalisoin</w:t>
      </w:r>
      <w:r>
        <w:rPr>
          <w:noProof/>
        </w:rPr>
        <w:t>tia ja dopingin torjuntaa.</w:t>
      </w:r>
    </w:p>
    <w:p w14:paraId="7775869D" w14:textId="0884DC29" w:rsidR="000E48CE" w:rsidRDefault="00FF4C4E">
      <w:pPr>
        <w:pStyle w:val="P68B1DB1-Normal4"/>
        <w:spacing w:line="240" w:lineRule="auto"/>
        <w:rPr>
          <w:rFonts w:cs="Times New Roman"/>
          <w:noProof/>
        </w:rPr>
      </w:pPr>
      <w:r>
        <w:rPr>
          <w:noProof/>
        </w:rPr>
        <w:t xml:space="preserve">Uudistuksen täytäntöönpano on saatettava päätökseen 30 päivään syyskuuta 2025 mennessä. </w:t>
      </w:r>
    </w:p>
    <w:p w14:paraId="72BA3D54" w14:textId="77777777" w:rsidR="000E48CE" w:rsidRDefault="00FF4C4E">
      <w:pPr>
        <w:pStyle w:val="P68B1DB1-Normal6"/>
        <w:spacing w:line="240" w:lineRule="auto"/>
        <w:rPr>
          <w:rFonts w:cs="Times New Roman"/>
          <w:noProof/>
        </w:rPr>
      </w:pPr>
      <w:r>
        <w:rPr>
          <w:noProof/>
        </w:rPr>
        <w:t xml:space="preserve"> Investointi 2 (C26.I2) – Urheilulaitosten ekologista siirtymää koskeva suunnitelma </w:t>
      </w:r>
    </w:p>
    <w:p w14:paraId="6DCFA8F0" w14:textId="77777777" w:rsidR="000E48CE" w:rsidRDefault="00FF4C4E">
      <w:pPr>
        <w:pStyle w:val="P68B1DB1-Normal4"/>
        <w:spacing w:line="240" w:lineRule="auto"/>
        <w:jc w:val="both"/>
        <w:rPr>
          <w:rFonts w:cs="Times New Roman"/>
          <w:noProof/>
        </w:rPr>
      </w:pPr>
      <w:r>
        <w:rPr>
          <w:noProof/>
        </w:rPr>
        <w:t>Tämän toimenpiteen tavoitteena on parantaa olemassa ole</w:t>
      </w:r>
      <w:r>
        <w:rPr>
          <w:noProof/>
        </w:rPr>
        <w:t>via urheilutiloja, myös urheilutiloja, jotka voivat houkutella matkailua ja suorituskykyisiä urheilukeskuksia. Tämä on saavutettava digitoimalla ne optimaaliseen käyttöön ja parantamalla energiatehokkuutta siten, että saavutetaan vähintään 30 prosentin sää</w:t>
      </w:r>
      <w:r>
        <w:rPr>
          <w:noProof/>
        </w:rPr>
        <w:t xml:space="preserve">stö primäärienergian kysynnässä. Toimenpiteellä edistetään myös urheilua maaseutualueilla luomalla tarkkailijoiden verkosto liikunnan kannustamiseksi. </w:t>
      </w:r>
    </w:p>
    <w:p w14:paraId="5290EEE8" w14:textId="27DBB257" w:rsidR="000E48CE" w:rsidRDefault="00FF4C4E">
      <w:pPr>
        <w:spacing w:line="240" w:lineRule="auto"/>
        <w:jc w:val="both"/>
        <w:rPr>
          <w:rFonts w:ascii="Times New Roman" w:hAnsi="Times New Roman" w:cs="Times New Roman"/>
          <w:noProof/>
          <w:sz w:val="24"/>
        </w:rPr>
      </w:pPr>
      <w:r>
        <w:rPr>
          <w:rFonts w:ascii="Times New Roman" w:hAnsi="Times New Roman"/>
          <w:noProof/>
          <w:sz w:val="24"/>
        </w:rPr>
        <w:t>Tämän osa-alueen puitteissa tehtävien investointien valintaperusteilla on varmistettava 100 prosentin il</w:t>
      </w:r>
      <w:r>
        <w:rPr>
          <w:rFonts w:ascii="Times New Roman" w:hAnsi="Times New Roman"/>
          <w:noProof/>
          <w:sz w:val="24"/>
        </w:rPr>
        <w:t xml:space="preserve">mastoseurannan noudattaminen vähintään 106000000 euron osalta. Käytetyt energiatehokkuuden parannusindikaattorit on akkreditoitava rakennusten energiatehokkuudesta 19 päivänä toukokuuta 2010 annetun Euroopan parlamentin ja neuvoston direktiivin 2010/31/EU </w:t>
      </w:r>
      <w:r>
        <w:rPr>
          <w:rFonts w:ascii="Times New Roman" w:hAnsi="Times New Roman"/>
          <w:noProof/>
          <w:sz w:val="24"/>
        </w:rPr>
        <w:t>mukaisella asiaankuuluvalla energiatehokkuustodistuksella.</w:t>
      </w:r>
      <w:r>
        <w:rPr>
          <w:rStyle w:val="FootnoteReference"/>
          <w:rFonts w:ascii="Times New Roman" w:hAnsi="Times New Roman" w:cs="Times New Roman"/>
          <w:noProof/>
          <w:sz w:val="24"/>
        </w:rPr>
        <w:footnoteReference w:id="211"/>
      </w:r>
    </w:p>
    <w:p w14:paraId="1D2A0D87" w14:textId="77777777" w:rsidR="000E48CE" w:rsidRDefault="00FF4C4E">
      <w:pPr>
        <w:pStyle w:val="P68B1DB1-Normal4"/>
        <w:spacing w:line="240" w:lineRule="auto"/>
        <w:rPr>
          <w:rFonts w:cs="Times New Roman"/>
          <w:noProof/>
        </w:rPr>
      </w:pPr>
      <w:r>
        <w:rPr>
          <w:noProof/>
        </w:rPr>
        <w:t xml:space="preserve">Investoinnin toteutus saatetaan päätökseen viimeistään 31. joulukuuta 2025. </w:t>
      </w:r>
    </w:p>
    <w:p w14:paraId="7155C650" w14:textId="77777777" w:rsidR="000E48CE" w:rsidRDefault="00FF4C4E">
      <w:pPr>
        <w:pStyle w:val="P68B1DB1-Normal6"/>
        <w:spacing w:line="240" w:lineRule="auto"/>
        <w:rPr>
          <w:rFonts w:cs="Times New Roman"/>
          <w:noProof/>
        </w:rPr>
      </w:pPr>
      <w:r>
        <w:rPr>
          <w:noProof/>
        </w:rPr>
        <w:t>Investointi 3 (C26.I3) – Urheilun sosiaalisuunnitelma</w:t>
      </w:r>
    </w:p>
    <w:p w14:paraId="02A5D5D7" w14:textId="77777777" w:rsidR="000E48CE" w:rsidRDefault="00FF4C4E">
      <w:pPr>
        <w:pStyle w:val="P68B1DB1-Normal4"/>
        <w:spacing w:line="240" w:lineRule="auto"/>
        <w:jc w:val="both"/>
        <w:rPr>
          <w:rFonts w:cs="Times New Roman"/>
          <w:noProof/>
          <w:u w:val="single"/>
        </w:rPr>
      </w:pPr>
      <w:r>
        <w:rPr>
          <w:noProof/>
        </w:rPr>
        <w:t xml:space="preserve">Tällä toimenpiteellä on kaksi tavoitetta. Sen tavoitteena on </w:t>
      </w:r>
      <w:r>
        <w:rPr>
          <w:noProof/>
        </w:rPr>
        <w:t xml:space="preserve">yhtäältä parantaa olemassa olevia urheilutiloja parantamalla niiden digitalisointia, energiatehokkuutta ja saavutettavuutta, jotta Espanja voi tehdä tarjouksia kansainvälisten urheilukilpailujen järjestämisestä. Toisaalta sillä pyritään edistämään naisten </w:t>
      </w:r>
      <w:r>
        <w:rPr>
          <w:noProof/>
        </w:rPr>
        <w:t>osallistumista ammattiurheiluun toimilla, joilla lisätään heidän läsnäoloaan, näkyvyyttään ja koulutustaan sekä mahdollistetaan naisurheilun, erityisesti jalkapallon, ammattimaistaminen.</w:t>
      </w:r>
      <w:r>
        <w:rPr>
          <w:noProof/>
          <w:u w:val="single"/>
        </w:rPr>
        <w:t xml:space="preserve"> </w:t>
      </w:r>
    </w:p>
    <w:p w14:paraId="2F094670" w14:textId="77777777" w:rsidR="000E48CE" w:rsidRDefault="00FF4C4E">
      <w:pPr>
        <w:pStyle w:val="P68B1DB1-Normal4"/>
        <w:spacing w:line="240" w:lineRule="auto"/>
        <w:jc w:val="both"/>
        <w:rPr>
          <w:rFonts w:cs="Times New Roman"/>
          <w:noProof/>
        </w:rPr>
      </w:pPr>
      <w:r>
        <w:rPr>
          <w:noProof/>
        </w:rPr>
        <w:t>Tämän komponentin puitteissa tehtävien investointien valintaperustei</w:t>
      </w:r>
      <w:r>
        <w:rPr>
          <w:noProof/>
        </w:rPr>
        <w:t>lla on varmistettava 100 prosentin ilmastoseurannan noudattaminen vähintään 27500000 euron osalta kokonaisinvestoinnista. Käytetyt energiatehokkuuden parannusindikaattorit on akkreditoitava asiaankuuluvalla rakennusten energiatehokkuudesta 19 päivänä touko</w:t>
      </w:r>
      <w:r>
        <w:rPr>
          <w:noProof/>
        </w:rPr>
        <w:t>kuuta 2010 annetun Euroopan parlamentin ja neuvoston direktiivin 2010/31/EU mukaisella energiatehokkuustodistuksella.</w:t>
      </w:r>
    </w:p>
    <w:p w14:paraId="11E00C69" w14:textId="77777777" w:rsidR="000E48CE" w:rsidRDefault="00FF4C4E">
      <w:pPr>
        <w:pStyle w:val="P68B1DB1-Normal4"/>
        <w:spacing w:line="240" w:lineRule="auto"/>
        <w:rPr>
          <w:rFonts w:cs="Times New Roman"/>
          <w:noProof/>
        </w:rPr>
      </w:pPr>
      <w:r>
        <w:rPr>
          <w:noProof/>
        </w:rPr>
        <w:t xml:space="preserve">Investoinnin toteuttaminen on saatettava päätökseen 31 päivään joulukuuta 2023 mennessä. </w:t>
      </w:r>
    </w:p>
    <w:p w14:paraId="5B48DAD4" w14:textId="77777777" w:rsidR="000E48CE" w:rsidRDefault="00FF4C4E">
      <w:pPr>
        <w:pStyle w:val="P68B1DB1-Text138"/>
        <w:ind w:left="720"/>
        <w:rPr>
          <w:rFonts w:cs="Times New Roman"/>
          <w:noProof/>
        </w:rPr>
      </w:pPr>
      <w:r>
        <w:rPr>
          <w:noProof/>
        </w:rPr>
        <w:t xml:space="preserve">Z.2 </w:t>
      </w:r>
      <w:r>
        <w:rPr>
          <w:noProof/>
        </w:rPr>
        <w:tab/>
        <w:t>Seurantaa ja täytäntöönpanoa koskevat välit</w:t>
      </w:r>
      <w:r>
        <w:rPr>
          <w:noProof/>
        </w:rPr>
        <w:t>avoitteet, tavoitteet, indikaattorit ja aikataulu – rahoitustuki, jota ei makseta takaisin</w:t>
      </w:r>
    </w:p>
    <w:p w14:paraId="14FFEA2F" w14:textId="77777777" w:rsidR="000E48CE" w:rsidRDefault="00FF4C4E">
      <w:pPr>
        <w:pStyle w:val="P68B1DB1-Text140"/>
        <w:ind w:left="0"/>
        <w:rPr>
          <w:rFonts w:cs="Times New Roman"/>
          <w:b/>
          <w:noProof/>
          <w:u w:val="single"/>
        </w:rPr>
      </w:pPr>
      <w:r>
        <w:rPr>
          <w:noProof/>
        </w:rPr>
        <w:t xml:space="preserve">Ks. taulukko jäljempänä. Kaikkien indikaattoreiden perustaso on 1. helmikuuta 2020, ellei toimen kuvauksessa toisin ilmoiteta. Taulukossa esitetyt määrät sisältävät </w:t>
      </w:r>
      <w:r>
        <w:rPr>
          <w:noProof/>
        </w:rPr>
        <w:t>alv:n.</w:t>
      </w:r>
    </w:p>
    <w:p w14:paraId="38C7C785" w14:textId="77777777" w:rsidR="000E48CE" w:rsidRDefault="000E48CE">
      <w:pPr>
        <w:pStyle w:val="Text1"/>
        <w:ind w:left="0"/>
        <w:rPr>
          <w:rFonts w:ascii="Times New Roman" w:hAnsi="Times New Roman" w:cs="Times New Roman"/>
          <w:noProof/>
        </w:rPr>
        <w:sectPr w:rsidR="000E48CE" w:rsidSect="00C94F66">
          <w:headerReference w:type="even" r:id="rId495"/>
          <w:headerReference w:type="default" r:id="rId496"/>
          <w:footerReference w:type="even" r:id="rId497"/>
          <w:footerReference w:type="default" r:id="rId498"/>
          <w:headerReference w:type="first" r:id="rId499"/>
          <w:footerReference w:type="first" r:id="rId500"/>
          <w:pgSz w:w="11907" w:h="16839"/>
          <w:pgMar w:top="1134" w:right="1417" w:bottom="1134" w:left="1417" w:header="709" w:footer="709" w:gutter="0"/>
          <w:cols w:space="720"/>
          <w:docGrid w:linePitch="360"/>
        </w:sectPr>
      </w:pPr>
    </w:p>
    <w:p w14:paraId="633E06DE" w14:textId="77777777" w:rsidR="000E48CE" w:rsidRDefault="000E48CE">
      <w:pPr>
        <w:pStyle w:val="Text1"/>
        <w:ind w:left="0"/>
        <w:rPr>
          <w:rFonts w:ascii="Times New Roman" w:hAnsi="Times New Roman" w:cs="Times New Roman"/>
          <w:noProof/>
          <w:sz w:val="20"/>
        </w:rPr>
      </w:pPr>
    </w:p>
    <w:tbl>
      <w:tblPr>
        <w:tblpPr w:leftFromText="180" w:rightFromText="180" w:vertAnchor="text" w:tblpXSpec="righ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3"/>
        <w:gridCol w:w="845"/>
        <w:gridCol w:w="844"/>
        <w:gridCol w:w="2533"/>
        <w:gridCol w:w="1407"/>
        <w:gridCol w:w="986"/>
        <w:gridCol w:w="1266"/>
        <w:gridCol w:w="845"/>
        <w:gridCol w:w="422"/>
        <w:gridCol w:w="563"/>
        <w:gridCol w:w="4754"/>
        <w:gridCol w:w="29"/>
      </w:tblGrid>
      <w:tr w:rsidR="000E48CE" w14:paraId="5823193C" w14:textId="77777777">
        <w:trPr>
          <w:gridAfter w:val="1"/>
          <w:wAfter w:w="29" w:type="dxa"/>
          <w:trHeight w:val="309"/>
          <w:tblHeader/>
        </w:trPr>
        <w:tc>
          <w:tcPr>
            <w:tcW w:w="703" w:type="dxa"/>
            <w:tcBorders>
              <w:bottom w:val="nil"/>
            </w:tcBorders>
            <w:shd w:val="clear" w:color="auto" w:fill="C6D9F1" w:themeFill="text2" w:themeFillTint="33"/>
            <w:noWrap/>
            <w:vAlign w:val="center"/>
          </w:tcPr>
          <w:p w14:paraId="5D9A4C69" w14:textId="77777777" w:rsidR="000E48CE" w:rsidRDefault="00FF4C4E">
            <w:pPr>
              <w:pStyle w:val="P68B1DB1-Normal12"/>
              <w:spacing w:after="0"/>
              <w:jc w:val="center"/>
              <w:rPr>
                <w:rFonts w:cs="Times New Roman"/>
                <w:noProof/>
              </w:rPr>
            </w:pPr>
            <w:r>
              <w:rPr>
                <w:noProof/>
              </w:rPr>
              <w:t>Määrä</w:t>
            </w:r>
          </w:p>
        </w:tc>
        <w:tc>
          <w:tcPr>
            <w:tcW w:w="845" w:type="dxa"/>
            <w:tcBorders>
              <w:bottom w:val="nil"/>
            </w:tcBorders>
            <w:shd w:val="clear" w:color="auto" w:fill="C6D9F1" w:themeFill="text2" w:themeFillTint="33"/>
            <w:noWrap/>
            <w:vAlign w:val="center"/>
          </w:tcPr>
          <w:p w14:paraId="03724937" w14:textId="77777777" w:rsidR="000E48CE" w:rsidRDefault="00FF4C4E">
            <w:pPr>
              <w:pStyle w:val="P68B1DB1-Normal12"/>
              <w:spacing w:after="0"/>
              <w:jc w:val="center"/>
              <w:rPr>
                <w:rFonts w:cs="Times New Roman"/>
                <w:noProof/>
              </w:rPr>
            </w:pPr>
            <w:r>
              <w:rPr>
                <w:noProof/>
              </w:rPr>
              <w:t>Toimenpide</w:t>
            </w:r>
          </w:p>
        </w:tc>
        <w:tc>
          <w:tcPr>
            <w:tcW w:w="844" w:type="dxa"/>
            <w:tcBorders>
              <w:bottom w:val="nil"/>
            </w:tcBorders>
            <w:shd w:val="clear" w:color="auto" w:fill="C6D9F1" w:themeFill="text2" w:themeFillTint="33"/>
            <w:noWrap/>
            <w:vAlign w:val="center"/>
          </w:tcPr>
          <w:p w14:paraId="526F7A20" w14:textId="77777777" w:rsidR="000E48CE" w:rsidRDefault="00FF4C4E">
            <w:pPr>
              <w:pStyle w:val="P68B1DB1-Normal12"/>
              <w:spacing w:after="0"/>
              <w:jc w:val="center"/>
              <w:rPr>
                <w:rFonts w:cs="Times New Roman"/>
                <w:noProof/>
              </w:rPr>
            </w:pPr>
            <w:r>
              <w:rPr>
                <w:noProof/>
              </w:rPr>
              <w:t>Välitavoite</w:t>
            </w:r>
            <w:r>
              <w:rPr>
                <w:noProof/>
              </w:rPr>
              <w:br/>
              <w:t xml:space="preserve"> /Kohde</w:t>
            </w:r>
          </w:p>
        </w:tc>
        <w:tc>
          <w:tcPr>
            <w:tcW w:w="2533" w:type="dxa"/>
            <w:tcBorders>
              <w:bottom w:val="nil"/>
            </w:tcBorders>
            <w:shd w:val="clear" w:color="auto" w:fill="C6D9F1" w:themeFill="text2" w:themeFillTint="33"/>
            <w:noWrap/>
            <w:vAlign w:val="center"/>
          </w:tcPr>
          <w:p w14:paraId="19AD11D7" w14:textId="77777777" w:rsidR="000E48CE" w:rsidRDefault="000E48CE">
            <w:pPr>
              <w:spacing w:after="0"/>
              <w:jc w:val="center"/>
              <w:rPr>
                <w:rFonts w:ascii="Times New Roman" w:hAnsi="Times New Roman" w:cs="Times New Roman"/>
                <w:b/>
                <w:noProof/>
                <w:sz w:val="18"/>
              </w:rPr>
            </w:pPr>
          </w:p>
          <w:p w14:paraId="1F923462" w14:textId="77777777" w:rsidR="000E48CE" w:rsidRDefault="00FF4C4E">
            <w:pPr>
              <w:pStyle w:val="P68B1DB1-Normal12"/>
              <w:spacing w:after="0"/>
              <w:jc w:val="center"/>
              <w:rPr>
                <w:rFonts w:cs="Times New Roman"/>
                <w:noProof/>
              </w:rPr>
            </w:pPr>
            <w:r>
              <w:rPr>
                <w:noProof/>
              </w:rPr>
              <w:t>Nimi</w:t>
            </w:r>
          </w:p>
        </w:tc>
        <w:tc>
          <w:tcPr>
            <w:tcW w:w="1407" w:type="dxa"/>
            <w:tcBorders>
              <w:bottom w:val="nil"/>
            </w:tcBorders>
            <w:shd w:val="clear" w:color="auto" w:fill="C6D9F1" w:themeFill="text2" w:themeFillTint="33"/>
            <w:noWrap/>
            <w:vAlign w:val="center"/>
          </w:tcPr>
          <w:p w14:paraId="46F04DD2" w14:textId="77777777" w:rsidR="000E48CE" w:rsidRDefault="00FF4C4E">
            <w:pPr>
              <w:pStyle w:val="P68B1DB1-Normal12"/>
              <w:spacing w:after="0"/>
              <w:jc w:val="center"/>
              <w:rPr>
                <w:rFonts w:cs="Times New Roman"/>
                <w:noProof/>
              </w:rPr>
            </w:pPr>
            <w:r>
              <w:rPr>
                <w:noProof/>
              </w:rPr>
              <w:t>Välitavoitteiden laadullinen indikaattori</w:t>
            </w:r>
          </w:p>
        </w:tc>
        <w:tc>
          <w:tcPr>
            <w:tcW w:w="3097" w:type="dxa"/>
            <w:gridSpan w:val="3"/>
            <w:shd w:val="clear" w:color="auto" w:fill="C6D9F1" w:themeFill="text2" w:themeFillTint="33"/>
            <w:noWrap/>
            <w:vAlign w:val="center"/>
          </w:tcPr>
          <w:p w14:paraId="0BE6504D" w14:textId="77777777" w:rsidR="000E48CE" w:rsidRDefault="00FF4C4E">
            <w:pPr>
              <w:pStyle w:val="P68B1DB1-Normal12"/>
              <w:spacing w:after="0"/>
              <w:jc w:val="center"/>
              <w:rPr>
                <w:rFonts w:cs="Times New Roman"/>
                <w:noProof/>
              </w:rPr>
            </w:pPr>
            <w:r>
              <w:rPr>
                <w:noProof/>
              </w:rPr>
              <w:t>Määrällinen indikaattori tavoitteelle</w:t>
            </w:r>
          </w:p>
        </w:tc>
        <w:tc>
          <w:tcPr>
            <w:tcW w:w="985" w:type="dxa"/>
            <w:gridSpan w:val="2"/>
            <w:shd w:val="clear" w:color="auto" w:fill="C6D9F1" w:themeFill="text2" w:themeFillTint="33"/>
            <w:noWrap/>
            <w:vAlign w:val="center"/>
          </w:tcPr>
          <w:p w14:paraId="1DA359BD" w14:textId="77777777" w:rsidR="000E48CE" w:rsidRDefault="00FF4C4E">
            <w:pPr>
              <w:pStyle w:val="P68B1DB1-Normal12"/>
              <w:spacing w:after="0"/>
              <w:jc w:val="center"/>
              <w:rPr>
                <w:rFonts w:cs="Times New Roman"/>
                <w:noProof/>
              </w:rPr>
            </w:pPr>
            <w:r>
              <w:rPr>
                <w:noProof/>
              </w:rPr>
              <w:t>Aika</w:t>
            </w:r>
          </w:p>
        </w:tc>
        <w:tc>
          <w:tcPr>
            <w:tcW w:w="4754" w:type="dxa"/>
            <w:tcBorders>
              <w:bottom w:val="nil"/>
            </w:tcBorders>
            <w:shd w:val="clear" w:color="auto" w:fill="C6D9F1" w:themeFill="text2" w:themeFillTint="33"/>
            <w:noWrap/>
            <w:vAlign w:val="center"/>
          </w:tcPr>
          <w:p w14:paraId="1EB6713E" w14:textId="77777777" w:rsidR="000E48CE" w:rsidRDefault="00FF4C4E">
            <w:pPr>
              <w:pStyle w:val="P68B1DB1-Normal12"/>
              <w:spacing w:after="0"/>
              <w:jc w:val="center"/>
              <w:rPr>
                <w:rFonts w:cs="Times New Roman"/>
                <w:noProof/>
              </w:rPr>
            </w:pPr>
            <w:r>
              <w:rPr>
                <w:noProof/>
              </w:rPr>
              <w:t>Kunkin välitavoitteen ja tavoitteen kuvaus</w:t>
            </w:r>
          </w:p>
        </w:tc>
      </w:tr>
      <w:tr w:rsidR="000E48CE" w14:paraId="731CE1FE" w14:textId="77777777">
        <w:trPr>
          <w:gridAfter w:val="1"/>
          <w:wAfter w:w="29" w:type="dxa"/>
          <w:trHeight w:val="309"/>
          <w:tblHeader/>
        </w:trPr>
        <w:tc>
          <w:tcPr>
            <w:tcW w:w="703" w:type="dxa"/>
            <w:tcBorders>
              <w:top w:val="nil"/>
            </w:tcBorders>
            <w:shd w:val="clear" w:color="auto" w:fill="C6D9F1" w:themeFill="text2" w:themeFillTint="33"/>
            <w:noWrap/>
          </w:tcPr>
          <w:p w14:paraId="558BF819" w14:textId="77777777" w:rsidR="000E48CE" w:rsidRDefault="000E48CE">
            <w:pPr>
              <w:spacing w:after="0"/>
              <w:jc w:val="center"/>
              <w:rPr>
                <w:rFonts w:ascii="Times New Roman" w:hAnsi="Times New Roman" w:cs="Times New Roman"/>
                <w:b/>
                <w:noProof/>
                <w:sz w:val="18"/>
              </w:rPr>
            </w:pPr>
          </w:p>
        </w:tc>
        <w:tc>
          <w:tcPr>
            <w:tcW w:w="845" w:type="dxa"/>
            <w:tcBorders>
              <w:top w:val="nil"/>
            </w:tcBorders>
            <w:shd w:val="clear" w:color="auto" w:fill="C6D9F1" w:themeFill="text2" w:themeFillTint="33"/>
            <w:noWrap/>
          </w:tcPr>
          <w:p w14:paraId="75B9C719" w14:textId="77777777" w:rsidR="000E48CE" w:rsidRDefault="000E48CE">
            <w:pPr>
              <w:spacing w:after="0"/>
              <w:jc w:val="center"/>
              <w:rPr>
                <w:rFonts w:ascii="Times New Roman" w:hAnsi="Times New Roman" w:cs="Times New Roman"/>
                <w:b/>
                <w:noProof/>
                <w:sz w:val="18"/>
              </w:rPr>
            </w:pPr>
          </w:p>
        </w:tc>
        <w:tc>
          <w:tcPr>
            <w:tcW w:w="844" w:type="dxa"/>
            <w:tcBorders>
              <w:top w:val="nil"/>
            </w:tcBorders>
            <w:shd w:val="clear" w:color="auto" w:fill="C6D9F1" w:themeFill="text2" w:themeFillTint="33"/>
            <w:noWrap/>
          </w:tcPr>
          <w:p w14:paraId="7317F91F" w14:textId="77777777" w:rsidR="000E48CE" w:rsidRDefault="000E48CE">
            <w:pPr>
              <w:spacing w:after="0"/>
              <w:jc w:val="center"/>
              <w:rPr>
                <w:rFonts w:ascii="Times New Roman" w:hAnsi="Times New Roman" w:cs="Times New Roman"/>
                <w:b/>
                <w:noProof/>
                <w:sz w:val="18"/>
              </w:rPr>
            </w:pPr>
          </w:p>
        </w:tc>
        <w:tc>
          <w:tcPr>
            <w:tcW w:w="2533" w:type="dxa"/>
            <w:tcBorders>
              <w:top w:val="nil"/>
            </w:tcBorders>
            <w:shd w:val="clear" w:color="auto" w:fill="C6D9F1" w:themeFill="text2" w:themeFillTint="33"/>
            <w:noWrap/>
          </w:tcPr>
          <w:p w14:paraId="79BD21F4" w14:textId="77777777" w:rsidR="000E48CE" w:rsidRDefault="000E48CE">
            <w:pPr>
              <w:spacing w:after="0"/>
              <w:rPr>
                <w:rFonts w:ascii="Times New Roman" w:hAnsi="Times New Roman" w:cs="Times New Roman"/>
                <w:b/>
                <w:noProof/>
                <w:sz w:val="18"/>
              </w:rPr>
            </w:pPr>
          </w:p>
        </w:tc>
        <w:tc>
          <w:tcPr>
            <w:tcW w:w="1407" w:type="dxa"/>
            <w:tcBorders>
              <w:top w:val="nil"/>
            </w:tcBorders>
            <w:shd w:val="clear" w:color="auto" w:fill="C6D9F1" w:themeFill="text2" w:themeFillTint="33"/>
            <w:noWrap/>
          </w:tcPr>
          <w:p w14:paraId="67CC8C0B" w14:textId="77777777" w:rsidR="000E48CE" w:rsidRDefault="000E48CE">
            <w:pPr>
              <w:spacing w:after="0"/>
              <w:jc w:val="center"/>
              <w:rPr>
                <w:rFonts w:ascii="Times New Roman" w:hAnsi="Times New Roman" w:cs="Times New Roman"/>
                <w:b/>
                <w:noProof/>
                <w:sz w:val="18"/>
              </w:rPr>
            </w:pPr>
          </w:p>
        </w:tc>
        <w:tc>
          <w:tcPr>
            <w:tcW w:w="986" w:type="dxa"/>
            <w:shd w:val="clear" w:color="auto" w:fill="C6D9F1" w:themeFill="text2" w:themeFillTint="33"/>
            <w:noWrap/>
          </w:tcPr>
          <w:p w14:paraId="2D256C52" w14:textId="77777777" w:rsidR="000E48CE" w:rsidRDefault="00FF4C4E">
            <w:pPr>
              <w:pStyle w:val="P68B1DB1-Normal12"/>
              <w:spacing w:after="0"/>
              <w:jc w:val="center"/>
              <w:rPr>
                <w:rFonts w:cs="Times New Roman"/>
                <w:noProof/>
              </w:rPr>
            </w:pPr>
            <w:r>
              <w:rPr>
                <w:noProof/>
              </w:rPr>
              <w:t>Yksikkö</w:t>
            </w:r>
          </w:p>
        </w:tc>
        <w:tc>
          <w:tcPr>
            <w:tcW w:w="1266" w:type="dxa"/>
            <w:shd w:val="clear" w:color="auto" w:fill="C6D9F1" w:themeFill="text2" w:themeFillTint="33"/>
            <w:noWrap/>
          </w:tcPr>
          <w:p w14:paraId="0FB955F7" w14:textId="77777777" w:rsidR="000E48CE" w:rsidRDefault="00FF4C4E">
            <w:pPr>
              <w:pStyle w:val="P68B1DB1-Normal12"/>
              <w:spacing w:after="0"/>
              <w:jc w:val="center"/>
              <w:rPr>
                <w:rFonts w:cs="Times New Roman"/>
                <w:noProof/>
              </w:rPr>
            </w:pPr>
            <w:r>
              <w:rPr>
                <w:noProof/>
              </w:rPr>
              <w:t>Perustaso</w:t>
            </w:r>
          </w:p>
        </w:tc>
        <w:tc>
          <w:tcPr>
            <w:tcW w:w="845" w:type="dxa"/>
            <w:shd w:val="clear" w:color="auto" w:fill="C6D9F1" w:themeFill="text2" w:themeFillTint="33"/>
            <w:noWrap/>
          </w:tcPr>
          <w:p w14:paraId="5423A5D8" w14:textId="77777777" w:rsidR="000E48CE" w:rsidRDefault="00FF4C4E">
            <w:pPr>
              <w:pStyle w:val="P68B1DB1-Normal12"/>
              <w:spacing w:after="0"/>
              <w:jc w:val="center"/>
              <w:rPr>
                <w:rFonts w:cs="Times New Roman"/>
                <w:noProof/>
              </w:rPr>
            </w:pPr>
            <w:r>
              <w:rPr>
                <w:noProof/>
              </w:rPr>
              <w:t>Päämäärä</w:t>
            </w:r>
          </w:p>
        </w:tc>
        <w:tc>
          <w:tcPr>
            <w:tcW w:w="422" w:type="dxa"/>
            <w:shd w:val="clear" w:color="auto" w:fill="C6D9F1" w:themeFill="text2" w:themeFillTint="33"/>
            <w:noWrap/>
          </w:tcPr>
          <w:p w14:paraId="769E2363" w14:textId="77777777" w:rsidR="000E48CE" w:rsidRDefault="00FF4C4E">
            <w:pPr>
              <w:pStyle w:val="P68B1DB1-Normal12"/>
              <w:spacing w:after="0"/>
              <w:jc w:val="center"/>
              <w:rPr>
                <w:rFonts w:cs="Times New Roman"/>
                <w:noProof/>
              </w:rPr>
            </w:pPr>
            <w:r>
              <w:rPr>
                <w:noProof/>
              </w:rPr>
              <w:t>Q</w:t>
            </w:r>
          </w:p>
        </w:tc>
        <w:tc>
          <w:tcPr>
            <w:tcW w:w="563" w:type="dxa"/>
            <w:shd w:val="clear" w:color="auto" w:fill="C6D9F1" w:themeFill="text2" w:themeFillTint="33"/>
            <w:noWrap/>
          </w:tcPr>
          <w:p w14:paraId="2BC07797" w14:textId="77777777" w:rsidR="000E48CE" w:rsidRDefault="00FF4C4E">
            <w:pPr>
              <w:pStyle w:val="P68B1DB1-Normal12"/>
              <w:spacing w:after="0"/>
              <w:jc w:val="center"/>
              <w:rPr>
                <w:rFonts w:cs="Times New Roman"/>
                <w:noProof/>
              </w:rPr>
            </w:pPr>
            <w:r>
              <w:rPr>
                <w:noProof/>
              </w:rPr>
              <w:t>Vuosi</w:t>
            </w:r>
          </w:p>
        </w:tc>
        <w:tc>
          <w:tcPr>
            <w:tcW w:w="4754" w:type="dxa"/>
            <w:tcBorders>
              <w:top w:val="nil"/>
            </w:tcBorders>
            <w:shd w:val="clear" w:color="auto" w:fill="C6D9F1" w:themeFill="text2" w:themeFillTint="33"/>
            <w:noWrap/>
          </w:tcPr>
          <w:p w14:paraId="11B8A19E" w14:textId="77777777" w:rsidR="000E48CE" w:rsidRDefault="000E48CE">
            <w:pPr>
              <w:spacing w:after="0"/>
              <w:rPr>
                <w:rFonts w:ascii="Times New Roman" w:hAnsi="Times New Roman" w:cs="Times New Roman"/>
                <w:b/>
                <w:noProof/>
                <w:sz w:val="18"/>
              </w:rPr>
            </w:pPr>
          </w:p>
        </w:tc>
      </w:tr>
      <w:tr w:rsidR="000E48CE" w14:paraId="5FD7E706" w14:textId="77777777">
        <w:trPr>
          <w:trHeight w:val="309"/>
        </w:trPr>
        <w:tc>
          <w:tcPr>
            <w:tcW w:w="703" w:type="dxa"/>
            <w:shd w:val="clear" w:color="auto" w:fill="C6EFCE"/>
            <w:noWrap/>
          </w:tcPr>
          <w:p w14:paraId="3616C4EF" w14:textId="77777777" w:rsidR="000E48CE" w:rsidRDefault="00FF4C4E">
            <w:pPr>
              <w:pStyle w:val="P68B1DB1-Normal13"/>
              <w:spacing w:after="0"/>
              <w:jc w:val="center"/>
              <w:rPr>
                <w:rFonts w:eastAsia="Times New Roman" w:cs="Times New Roman"/>
                <w:noProof/>
              </w:rPr>
            </w:pPr>
            <w:r>
              <w:rPr>
                <w:noProof/>
              </w:rPr>
              <w:t>367</w:t>
            </w:r>
          </w:p>
        </w:tc>
        <w:tc>
          <w:tcPr>
            <w:tcW w:w="845" w:type="dxa"/>
            <w:shd w:val="clear" w:color="auto" w:fill="C6EFCE"/>
            <w:noWrap/>
          </w:tcPr>
          <w:p w14:paraId="228DE1D0" w14:textId="77777777" w:rsidR="000E48CE" w:rsidRDefault="00FF4C4E">
            <w:pPr>
              <w:pStyle w:val="P68B1DB1-Normal13"/>
              <w:spacing w:after="0"/>
              <w:jc w:val="center"/>
              <w:rPr>
                <w:rFonts w:eastAsia="Times New Roman" w:cs="Times New Roman"/>
                <w:noProof/>
              </w:rPr>
            </w:pPr>
            <w:r>
              <w:rPr>
                <w:noProof/>
              </w:rPr>
              <w:t>C26.R1</w:t>
            </w:r>
          </w:p>
        </w:tc>
        <w:tc>
          <w:tcPr>
            <w:tcW w:w="844" w:type="dxa"/>
            <w:shd w:val="clear" w:color="auto" w:fill="C6EFCE"/>
            <w:noWrap/>
          </w:tcPr>
          <w:p w14:paraId="381CAC00" w14:textId="77777777" w:rsidR="000E48CE" w:rsidRDefault="00FF4C4E">
            <w:pPr>
              <w:pStyle w:val="P68B1DB1-Normal13"/>
              <w:spacing w:after="0"/>
              <w:jc w:val="center"/>
              <w:rPr>
                <w:rFonts w:eastAsia="Times New Roman" w:cs="Times New Roman"/>
                <w:noProof/>
              </w:rPr>
            </w:pPr>
            <w:r>
              <w:rPr>
                <w:noProof/>
              </w:rPr>
              <w:t>M</w:t>
            </w:r>
          </w:p>
        </w:tc>
        <w:tc>
          <w:tcPr>
            <w:tcW w:w="2533" w:type="dxa"/>
            <w:shd w:val="clear" w:color="auto" w:fill="C6EFCE"/>
            <w:noWrap/>
          </w:tcPr>
          <w:p w14:paraId="3EFF41C2" w14:textId="77777777" w:rsidR="000E48CE" w:rsidRDefault="00FF4C4E">
            <w:pPr>
              <w:pStyle w:val="P68B1DB1-Normal13"/>
              <w:spacing w:after="0"/>
              <w:rPr>
                <w:rFonts w:eastAsia="Times New Roman" w:cs="Times New Roman"/>
                <w:noProof/>
              </w:rPr>
            </w:pPr>
            <w:r>
              <w:rPr>
                <w:noProof/>
              </w:rPr>
              <w:t xml:space="preserve">Urheilulain voimaantulo </w:t>
            </w:r>
          </w:p>
        </w:tc>
        <w:tc>
          <w:tcPr>
            <w:tcW w:w="1407" w:type="dxa"/>
            <w:shd w:val="clear" w:color="auto" w:fill="C6EFCE"/>
            <w:noWrap/>
          </w:tcPr>
          <w:p w14:paraId="618A8D6F" w14:textId="77777777" w:rsidR="000E48CE" w:rsidRDefault="00FF4C4E">
            <w:pPr>
              <w:pStyle w:val="P68B1DB1-Normal13"/>
              <w:spacing w:after="0"/>
              <w:jc w:val="center"/>
              <w:rPr>
                <w:rFonts w:eastAsia="Times New Roman" w:cs="Times New Roman"/>
                <w:noProof/>
              </w:rPr>
            </w:pPr>
            <w:r>
              <w:rPr>
                <w:noProof/>
              </w:rPr>
              <w:t xml:space="preserve">Lain voimaantulosäännös </w:t>
            </w:r>
          </w:p>
        </w:tc>
        <w:tc>
          <w:tcPr>
            <w:tcW w:w="986" w:type="dxa"/>
            <w:shd w:val="clear" w:color="auto" w:fill="C6EFCE"/>
            <w:noWrap/>
          </w:tcPr>
          <w:p w14:paraId="1B60D2FD" w14:textId="77777777" w:rsidR="000E48CE" w:rsidRDefault="00FF4C4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6C8AEA75" w14:textId="77777777" w:rsidR="000E48CE" w:rsidRDefault="00FF4C4E">
            <w:pPr>
              <w:pStyle w:val="P68B1DB1-Normal13"/>
              <w:spacing w:after="0"/>
              <w:jc w:val="center"/>
              <w:rPr>
                <w:rFonts w:cs="Times New Roman"/>
                <w:noProof/>
              </w:rPr>
            </w:pPr>
            <w:r>
              <w:rPr>
                <w:noProof/>
              </w:rPr>
              <w:t xml:space="preserve"> </w:t>
            </w:r>
          </w:p>
        </w:tc>
        <w:tc>
          <w:tcPr>
            <w:tcW w:w="845" w:type="dxa"/>
            <w:shd w:val="clear" w:color="auto" w:fill="C6EFCE"/>
            <w:noWrap/>
          </w:tcPr>
          <w:p w14:paraId="28516D56" w14:textId="77777777" w:rsidR="000E48CE" w:rsidRDefault="00FF4C4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56DC4632" w14:textId="77777777" w:rsidR="000E48CE" w:rsidRDefault="00FF4C4E">
            <w:pPr>
              <w:pStyle w:val="P68B1DB1-Normal13"/>
              <w:spacing w:after="0"/>
              <w:jc w:val="center"/>
              <w:rPr>
                <w:rFonts w:eastAsia="Times New Roman" w:cs="Times New Roman"/>
                <w:noProof/>
              </w:rPr>
            </w:pPr>
            <w:r>
              <w:rPr>
                <w:noProof/>
              </w:rPr>
              <w:t>Q4</w:t>
            </w:r>
          </w:p>
        </w:tc>
        <w:tc>
          <w:tcPr>
            <w:tcW w:w="563" w:type="dxa"/>
            <w:shd w:val="clear" w:color="auto" w:fill="C6EFCE"/>
            <w:noWrap/>
          </w:tcPr>
          <w:p w14:paraId="5B7DD0B7" w14:textId="77777777" w:rsidR="000E48CE" w:rsidRDefault="00FF4C4E">
            <w:pPr>
              <w:pStyle w:val="P68B1DB1-Normal13"/>
              <w:spacing w:after="0"/>
              <w:jc w:val="center"/>
              <w:rPr>
                <w:rFonts w:eastAsia="Times New Roman" w:cs="Times New Roman"/>
                <w:noProof/>
              </w:rPr>
            </w:pPr>
            <w:r>
              <w:rPr>
                <w:noProof/>
              </w:rPr>
              <w:t>2022</w:t>
            </w:r>
          </w:p>
        </w:tc>
        <w:tc>
          <w:tcPr>
            <w:tcW w:w="4783" w:type="dxa"/>
            <w:gridSpan w:val="2"/>
            <w:shd w:val="clear" w:color="auto" w:fill="C6EFCE"/>
            <w:noWrap/>
          </w:tcPr>
          <w:p w14:paraId="04BCF38C" w14:textId="73B0676D" w:rsidR="000E48CE" w:rsidRDefault="00FF4C4E">
            <w:pPr>
              <w:pStyle w:val="P68B1DB1-Normal13"/>
              <w:spacing w:after="0"/>
              <w:rPr>
                <w:rFonts w:eastAsia="Times New Roman" w:cs="Times New Roman"/>
                <w:noProof/>
              </w:rPr>
            </w:pPr>
            <w:r>
              <w:rPr>
                <w:noProof/>
              </w:rPr>
              <w:t>Lailla edistetään terveyttä ja turvallisuutta urheilun harjoittamisessa kaikilla tasoilla, sukupuolten tasa-arvoa, sosiaalista osallisuutta ja saavutettavuutta, mallin kansainvälisen ulottuvuuden edistämistä sekä organisaatioiden ja infrastruktuurien nykya</w:t>
            </w:r>
            <w:r>
              <w:rPr>
                <w:noProof/>
              </w:rPr>
              <w:t xml:space="preserve">ikaistamista ympäristöä ja digitalisointia kunnioittaen. </w:t>
            </w:r>
          </w:p>
        </w:tc>
      </w:tr>
      <w:tr w:rsidR="000E48CE" w14:paraId="794C580C" w14:textId="77777777">
        <w:trPr>
          <w:trHeight w:val="309"/>
        </w:trPr>
        <w:tc>
          <w:tcPr>
            <w:tcW w:w="703" w:type="dxa"/>
            <w:shd w:val="clear" w:color="auto" w:fill="C6EFCE"/>
            <w:noWrap/>
          </w:tcPr>
          <w:p w14:paraId="78C6AE9D" w14:textId="77777777" w:rsidR="000E48CE" w:rsidRDefault="00FF4C4E">
            <w:pPr>
              <w:pStyle w:val="P68B1DB1-Normal13"/>
              <w:spacing w:after="0"/>
              <w:jc w:val="center"/>
              <w:rPr>
                <w:rFonts w:eastAsia="Times New Roman" w:cs="Times New Roman"/>
                <w:noProof/>
              </w:rPr>
            </w:pPr>
            <w:r>
              <w:rPr>
                <w:noProof/>
              </w:rPr>
              <w:t>368</w:t>
            </w:r>
          </w:p>
        </w:tc>
        <w:tc>
          <w:tcPr>
            <w:tcW w:w="845" w:type="dxa"/>
            <w:shd w:val="clear" w:color="auto" w:fill="C6EFCE"/>
            <w:noWrap/>
          </w:tcPr>
          <w:p w14:paraId="7925AA47" w14:textId="77777777" w:rsidR="000E48CE" w:rsidRDefault="00FF4C4E">
            <w:pPr>
              <w:pStyle w:val="P68B1DB1-Normal13"/>
              <w:spacing w:after="0"/>
              <w:jc w:val="center"/>
              <w:rPr>
                <w:rFonts w:eastAsia="Times New Roman" w:cs="Times New Roman"/>
                <w:noProof/>
              </w:rPr>
            </w:pPr>
            <w:r>
              <w:rPr>
                <w:noProof/>
              </w:rPr>
              <w:t>C26.R2</w:t>
            </w:r>
          </w:p>
        </w:tc>
        <w:tc>
          <w:tcPr>
            <w:tcW w:w="844" w:type="dxa"/>
            <w:shd w:val="clear" w:color="auto" w:fill="C6EFCE"/>
            <w:noWrap/>
          </w:tcPr>
          <w:p w14:paraId="35025FB4" w14:textId="77777777" w:rsidR="000E48CE" w:rsidRDefault="00FF4C4E">
            <w:pPr>
              <w:pStyle w:val="P68B1DB1-Normal13"/>
              <w:spacing w:after="0"/>
              <w:jc w:val="center"/>
              <w:rPr>
                <w:rFonts w:eastAsia="Times New Roman" w:cs="Times New Roman"/>
                <w:noProof/>
              </w:rPr>
            </w:pPr>
            <w:r>
              <w:rPr>
                <w:noProof/>
              </w:rPr>
              <w:t>M</w:t>
            </w:r>
          </w:p>
        </w:tc>
        <w:tc>
          <w:tcPr>
            <w:tcW w:w="2533" w:type="dxa"/>
            <w:shd w:val="clear" w:color="auto" w:fill="C6EFCE"/>
            <w:noWrap/>
          </w:tcPr>
          <w:p w14:paraId="371E443F" w14:textId="77777777" w:rsidR="000E48CE" w:rsidRDefault="00FF4C4E">
            <w:pPr>
              <w:pStyle w:val="P68B1DB1-Normal13"/>
              <w:spacing w:after="0"/>
              <w:rPr>
                <w:rFonts w:eastAsia="Times New Roman" w:cs="Times New Roman"/>
                <w:noProof/>
              </w:rPr>
            </w:pPr>
            <w:r>
              <w:rPr>
                <w:noProof/>
              </w:rPr>
              <w:t xml:space="preserve">Tiettyjen urheilualan ammattien sääntelystä annetun lain voimaantulo </w:t>
            </w:r>
          </w:p>
        </w:tc>
        <w:tc>
          <w:tcPr>
            <w:tcW w:w="1407" w:type="dxa"/>
            <w:shd w:val="clear" w:color="auto" w:fill="C6EFCE"/>
            <w:noWrap/>
          </w:tcPr>
          <w:p w14:paraId="1F2D0625" w14:textId="77777777" w:rsidR="000E48CE" w:rsidRDefault="00FF4C4E">
            <w:pPr>
              <w:pStyle w:val="P68B1DB1-Normal13"/>
              <w:spacing w:after="0"/>
              <w:jc w:val="center"/>
              <w:rPr>
                <w:rFonts w:eastAsia="Times New Roman" w:cs="Times New Roman"/>
                <w:noProof/>
              </w:rPr>
            </w:pPr>
            <w:r>
              <w:rPr>
                <w:noProof/>
              </w:rPr>
              <w:t xml:space="preserve"> Lain säännös, jossa ilmoitetaan sen voimaantulo</w:t>
            </w:r>
          </w:p>
        </w:tc>
        <w:tc>
          <w:tcPr>
            <w:tcW w:w="986" w:type="dxa"/>
            <w:shd w:val="clear" w:color="auto" w:fill="C6EFCE"/>
            <w:noWrap/>
          </w:tcPr>
          <w:p w14:paraId="1D518A71" w14:textId="77777777" w:rsidR="000E48CE" w:rsidRDefault="00FF4C4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5C38D216" w14:textId="77777777" w:rsidR="000E48CE" w:rsidRDefault="00FF4C4E">
            <w:pPr>
              <w:pStyle w:val="P68B1DB1-Normal13"/>
              <w:spacing w:after="0"/>
              <w:jc w:val="right"/>
              <w:rPr>
                <w:rFonts w:eastAsia="Times New Roman" w:cs="Times New Roman"/>
                <w:noProof/>
              </w:rPr>
            </w:pPr>
            <w:r>
              <w:rPr>
                <w:noProof/>
              </w:rPr>
              <w:t xml:space="preserve"> </w:t>
            </w:r>
          </w:p>
        </w:tc>
        <w:tc>
          <w:tcPr>
            <w:tcW w:w="845" w:type="dxa"/>
            <w:shd w:val="clear" w:color="auto" w:fill="C6EFCE"/>
            <w:noWrap/>
          </w:tcPr>
          <w:p w14:paraId="0AE0894F" w14:textId="77777777" w:rsidR="000E48CE" w:rsidRDefault="00FF4C4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63006414" w14:textId="77777777" w:rsidR="000E48CE" w:rsidRDefault="00FF4C4E">
            <w:pPr>
              <w:pStyle w:val="P68B1DB1-Normal13"/>
              <w:spacing w:after="0"/>
              <w:jc w:val="center"/>
              <w:rPr>
                <w:rFonts w:eastAsia="Times New Roman" w:cs="Times New Roman"/>
                <w:noProof/>
              </w:rPr>
            </w:pPr>
            <w:r>
              <w:rPr>
                <w:noProof/>
              </w:rPr>
              <w:t>Q4</w:t>
            </w:r>
          </w:p>
        </w:tc>
        <w:tc>
          <w:tcPr>
            <w:tcW w:w="563" w:type="dxa"/>
            <w:shd w:val="clear" w:color="auto" w:fill="C6EFCE"/>
            <w:noWrap/>
          </w:tcPr>
          <w:p w14:paraId="210C3EF1" w14:textId="77777777" w:rsidR="000E48CE" w:rsidRDefault="00FF4C4E">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6DD757B3" w14:textId="77777777" w:rsidR="000E48CE" w:rsidRDefault="00FF4C4E">
            <w:pPr>
              <w:pStyle w:val="P68B1DB1-Normal13"/>
              <w:spacing w:after="0"/>
              <w:rPr>
                <w:rFonts w:eastAsia="Times New Roman" w:cs="Times New Roman"/>
                <w:noProof/>
              </w:rPr>
            </w:pPr>
            <w:r>
              <w:rPr>
                <w:noProof/>
              </w:rPr>
              <w:t xml:space="preserve">Hyväksytään laki tiettyjen urheilualan ammattien </w:t>
            </w:r>
            <w:r>
              <w:rPr>
                <w:noProof/>
              </w:rPr>
              <w:t>sääntelystä, jotta voidaan vastata sääntelyn heterogeenisyydestä johtuviin haasteisiin ja ottaa asianmukaisesti huomioon tarpeellisuus- ja suhteellisuusperiaatteet.</w:t>
            </w:r>
          </w:p>
        </w:tc>
      </w:tr>
      <w:tr w:rsidR="000E48CE" w14:paraId="4CA26C0B" w14:textId="77777777">
        <w:trPr>
          <w:trHeight w:val="309"/>
        </w:trPr>
        <w:tc>
          <w:tcPr>
            <w:tcW w:w="703" w:type="dxa"/>
            <w:shd w:val="clear" w:color="auto" w:fill="C6EFCE"/>
            <w:noWrap/>
          </w:tcPr>
          <w:p w14:paraId="00DAC577" w14:textId="77777777" w:rsidR="000E48CE" w:rsidRDefault="00FF4C4E">
            <w:pPr>
              <w:pStyle w:val="P68B1DB1-Normal13"/>
              <w:spacing w:after="0"/>
              <w:jc w:val="center"/>
              <w:rPr>
                <w:rFonts w:eastAsia="Times New Roman" w:cs="Times New Roman"/>
                <w:noProof/>
              </w:rPr>
            </w:pPr>
            <w:r>
              <w:rPr>
                <w:noProof/>
              </w:rPr>
              <w:t>369</w:t>
            </w:r>
          </w:p>
        </w:tc>
        <w:tc>
          <w:tcPr>
            <w:tcW w:w="845" w:type="dxa"/>
            <w:shd w:val="clear" w:color="auto" w:fill="C6EFCE"/>
            <w:noWrap/>
          </w:tcPr>
          <w:p w14:paraId="63D61881" w14:textId="77777777" w:rsidR="000E48CE" w:rsidRDefault="00FF4C4E">
            <w:pPr>
              <w:pStyle w:val="P68B1DB1-Normal13"/>
              <w:spacing w:after="0"/>
              <w:jc w:val="center"/>
              <w:rPr>
                <w:rFonts w:eastAsia="Times New Roman" w:cs="Times New Roman"/>
                <w:noProof/>
              </w:rPr>
            </w:pPr>
            <w:r>
              <w:rPr>
                <w:noProof/>
              </w:rPr>
              <w:t>C26.R3</w:t>
            </w:r>
          </w:p>
        </w:tc>
        <w:tc>
          <w:tcPr>
            <w:tcW w:w="844" w:type="dxa"/>
            <w:shd w:val="clear" w:color="auto" w:fill="C6EFCE"/>
            <w:noWrap/>
          </w:tcPr>
          <w:p w14:paraId="2777087F" w14:textId="77777777" w:rsidR="000E48CE" w:rsidRDefault="00FF4C4E">
            <w:pPr>
              <w:pStyle w:val="P68B1DB1-Normal13"/>
              <w:spacing w:after="0"/>
              <w:jc w:val="center"/>
              <w:rPr>
                <w:rFonts w:eastAsia="Times New Roman" w:cs="Times New Roman"/>
                <w:noProof/>
              </w:rPr>
            </w:pPr>
            <w:r>
              <w:rPr>
                <w:noProof/>
              </w:rPr>
              <w:t>M</w:t>
            </w:r>
          </w:p>
        </w:tc>
        <w:tc>
          <w:tcPr>
            <w:tcW w:w="2533" w:type="dxa"/>
            <w:shd w:val="clear" w:color="auto" w:fill="C6EFCE"/>
            <w:noWrap/>
          </w:tcPr>
          <w:p w14:paraId="1C8DCA34" w14:textId="77777777" w:rsidR="000E48CE" w:rsidRDefault="00FF4C4E">
            <w:pPr>
              <w:pStyle w:val="P68B1DB1-Normal13"/>
              <w:spacing w:after="0"/>
              <w:rPr>
                <w:rFonts w:eastAsia="Times New Roman" w:cs="Times New Roman"/>
                <w:noProof/>
              </w:rPr>
            </w:pPr>
            <w:r>
              <w:rPr>
                <w:noProof/>
              </w:rPr>
              <w:t>Kansallinen strategia istuvan elämäntavan ja liikunnan puutteen torjumiseksi</w:t>
            </w:r>
          </w:p>
        </w:tc>
        <w:tc>
          <w:tcPr>
            <w:tcW w:w="1407" w:type="dxa"/>
            <w:shd w:val="clear" w:color="auto" w:fill="C6EFCE"/>
            <w:noWrap/>
          </w:tcPr>
          <w:p w14:paraId="0692ED1C" w14:textId="77777777" w:rsidR="000E48CE" w:rsidRDefault="00FF4C4E">
            <w:pPr>
              <w:pStyle w:val="P68B1DB1-Normal13"/>
              <w:spacing w:after="0"/>
              <w:jc w:val="center"/>
              <w:rPr>
                <w:rFonts w:eastAsia="Times New Roman" w:cs="Times New Roman"/>
                <w:noProof/>
              </w:rPr>
            </w:pPr>
            <w:r>
              <w:rPr>
                <w:noProof/>
              </w:rPr>
              <w:t>Julkaiseminen verkkosivustolla</w:t>
            </w:r>
          </w:p>
        </w:tc>
        <w:tc>
          <w:tcPr>
            <w:tcW w:w="986" w:type="dxa"/>
            <w:shd w:val="clear" w:color="auto" w:fill="C6EFCE"/>
            <w:noWrap/>
          </w:tcPr>
          <w:p w14:paraId="4D9EF1D6" w14:textId="77777777" w:rsidR="000E48CE" w:rsidRDefault="00FF4C4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65B06E17" w14:textId="77777777" w:rsidR="000E48CE" w:rsidRDefault="00FF4C4E">
            <w:pPr>
              <w:pStyle w:val="P68B1DB1-Normal13"/>
              <w:spacing w:after="0"/>
              <w:jc w:val="center"/>
              <w:rPr>
                <w:rFonts w:eastAsia="Times New Roman" w:cs="Times New Roman"/>
                <w:noProof/>
              </w:rPr>
            </w:pPr>
            <w:r>
              <w:rPr>
                <w:noProof/>
              </w:rPr>
              <w:t xml:space="preserve"> </w:t>
            </w:r>
          </w:p>
        </w:tc>
        <w:tc>
          <w:tcPr>
            <w:tcW w:w="845" w:type="dxa"/>
            <w:shd w:val="clear" w:color="auto" w:fill="C6EFCE"/>
            <w:noWrap/>
          </w:tcPr>
          <w:p w14:paraId="3C7C4FE8" w14:textId="77777777" w:rsidR="000E48CE" w:rsidRDefault="00FF4C4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0812522C" w14:textId="77777777" w:rsidR="000E48CE" w:rsidRDefault="00FF4C4E">
            <w:pPr>
              <w:pStyle w:val="P68B1DB1-Normal13"/>
              <w:spacing w:after="0"/>
              <w:jc w:val="center"/>
              <w:rPr>
                <w:rFonts w:eastAsia="Times New Roman" w:cs="Times New Roman"/>
                <w:noProof/>
              </w:rPr>
            </w:pPr>
            <w:r>
              <w:rPr>
                <w:noProof/>
              </w:rPr>
              <w:t>Q4</w:t>
            </w:r>
          </w:p>
        </w:tc>
        <w:tc>
          <w:tcPr>
            <w:tcW w:w="563" w:type="dxa"/>
            <w:shd w:val="clear" w:color="auto" w:fill="C6EFCE"/>
            <w:noWrap/>
          </w:tcPr>
          <w:p w14:paraId="41E72220" w14:textId="77777777" w:rsidR="000E48CE" w:rsidRDefault="00FF4C4E">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5B14EBAE" w14:textId="77777777" w:rsidR="000E48CE" w:rsidRDefault="00FF4C4E">
            <w:pPr>
              <w:pStyle w:val="P68B1DB1-Normal13"/>
              <w:spacing w:after="0"/>
              <w:rPr>
                <w:rFonts w:eastAsia="Times New Roman" w:cs="Times New Roman"/>
                <w:noProof/>
              </w:rPr>
            </w:pPr>
            <w:r>
              <w:rPr>
                <w:noProof/>
              </w:rPr>
              <w:t>Espanjan hallituksen hyväksyntä urheilun edistämistä koskevan kansallisen strategian täytäntöönpanolle istuvia elämäntapoja ja liikunnan puuttumista vastaan. Strategian tavoitteina on otetaan käyttöön pysyvä ana</w:t>
            </w:r>
            <w:r>
              <w:rPr>
                <w:noProof/>
              </w:rPr>
              <w:t>lyysiväline strategian vaikutusten analysoimiseksi, mittaamiseksi ja parantamiseksi; sellaisten toimien toteuttaminen, joiden tavoitteena on hyvien käytäntöjen ja terveellisten tottumusten vahvistaminen analyysin jälkeen. Strategia sitoo alue- ja paikallis</w:t>
            </w:r>
            <w:r>
              <w:rPr>
                <w:noProof/>
              </w:rPr>
              <w:t>viranomaisia.</w:t>
            </w:r>
          </w:p>
        </w:tc>
      </w:tr>
      <w:tr w:rsidR="000E48CE" w14:paraId="5716DF99" w14:textId="77777777">
        <w:trPr>
          <w:trHeight w:val="309"/>
        </w:trPr>
        <w:tc>
          <w:tcPr>
            <w:tcW w:w="703" w:type="dxa"/>
            <w:shd w:val="clear" w:color="auto" w:fill="C6EFCE"/>
            <w:noWrap/>
          </w:tcPr>
          <w:p w14:paraId="0E17C92D" w14:textId="77777777" w:rsidR="000E48CE" w:rsidRDefault="00FF4C4E">
            <w:pPr>
              <w:pStyle w:val="P68B1DB1-Normal13"/>
              <w:spacing w:after="0"/>
              <w:jc w:val="center"/>
              <w:rPr>
                <w:rFonts w:eastAsia="Times New Roman" w:cs="Times New Roman"/>
                <w:noProof/>
              </w:rPr>
            </w:pPr>
            <w:r>
              <w:rPr>
                <w:noProof/>
              </w:rPr>
              <w:t>370</w:t>
            </w:r>
          </w:p>
        </w:tc>
        <w:tc>
          <w:tcPr>
            <w:tcW w:w="845" w:type="dxa"/>
            <w:shd w:val="clear" w:color="auto" w:fill="C6EFCE"/>
            <w:noWrap/>
          </w:tcPr>
          <w:p w14:paraId="418D7B65" w14:textId="77777777" w:rsidR="000E48CE" w:rsidRDefault="00FF4C4E">
            <w:pPr>
              <w:pStyle w:val="P68B1DB1-Normal13"/>
              <w:spacing w:after="0"/>
              <w:jc w:val="center"/>
              <w:rPr>
                <w:rFonts w:eastAsia="Times New Roman" w:cs="Times New Roman"/>
                <w:noProof/>
              </w:rPr>
            </w:pPr>
            <w:r>
              <w:rPr>
                <w:noProof/>
              </w:rPr>
              <w:t>C26.I1</w:t>
            </w:r>
          </w:p>
        </w:tc>
        <w:tc>
          <w:tcPr>
            <w:tcW w:w="844" w:type="dxa"/>
            <w:shd w:val="clear" w:color="auto" w:fill="C6EFCE"/>
            <w:noWrap/>
          </w:tcPr>
          <w:p w14:paraId="6BC3A66F" w14:textId="77777777" w:rsidR="000E48CE" w:rsidRDefault="00FF4C4E">
            <w:pPr>
              <w:pStyle w:val="P68B1DB1-Normal13"/>
              <w:spacing w:after="0"/>
              <w:jc w:val="center"/>
              <w:rPr>
                <w:rFonts w:eastAsia="Times New Roman" w:cs="Times New Roman"/>
                <w:noProof/>
              </w:rPr>
            </w:pPr>
            <w:r>
              <w:rPr>
                <w:noProof/>
              </w:rPr>
              <w:t>M</w:t>
            </w:r>
          </w:p>
        </w:tc>
        <w:tc>
          <w:tcPr>
            <w:tcW w:w="2533" w:type="dxa"/>
            <w:shd w:val="clear" w:color="auto" w:fill="C6EFCE"/>
            <w:noWrap/>
          </w:tcPr>
          <w:p w14:paraId="4BD4DADF" w14:textId="77777777" w:rsidR="000E48CE" w:rsidRDefault="00FF4C4E">
            <w:pPr>
              <w:pStyle w:val="P68B1DB1-Normal13"/>
              <w:spacing w:after="0"/>
              <w:rPr>
                <w:rFonts w:eastAsia="Times New Roman" w:cs="Times New Roman"/>
                <w:noProof/>
              </w:rPr>
            </w:pPr>
            <w:r>
              <w:rPr>
                <w:noProof/>
              </w:rPr>
              <w:t>Urheilualan digitalisointi</w:t>
            </w:r>
          </w:p>
        </w:tc>
        <w:tc>
          <w:tcPr>
            <w:tcW w:w="1407" w:type="dxa"/>
            <w:shd w:val="clear" w:color="auto" w:fill="C6EFCE"/>
            <w:noWrap/>
          </w:tcPr>
          <w:p w14:paraId="3FDD823D" w14:textId="77777777" w:rsidR="000E48CE" w:rsidRDefault="00FF4C4E">
            <w:pPr>
              <w:pStyle w:val="P68B1DB1-Normal13"/>
              <w:spacing w:after="0"/>
              <w:jc w:val="center"/>
              <w:rPr>
                <w:rFonts w:eastAsia="Times New Roman" w:cs="Times New Roman"/>
                <w:noProof/>
              </w:rPr>
            </w:pPr>
            <w:r>
              <w:rPr>
                <w:noProof/>
              </w:rPr>
              <w:t xml:space="preserve">Julkaistu EUVL:ssä </w:t>
            </w:r>
          </w:p>
        </w:tc>
        <w:tc>
          <w:tcPr>
            <w:tcW w:w="986" w:type="dxa"/>
            <w:shd w:val="clear" w:color="auto" w:fill="C6EFCE"/>
            <w:noWrap/>
          </w:tcPr>
          <w:p w14:paraId="2FDA4736" w14:textId="77777777" w:rsidR="000E48CE" w:rsidRDefault="00FF4C4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63EAAF6B" w14:textId="77777777" w:rsidR="000E48CE" w:rsidRDefault="000E48CE">
            <w:pPr>
              <w:spacing w:after="0"/>
              <w:jc w:val="right"/>
              <w:rPr>
                <w:rFonts w:ascii="Times New Roman" w:eastAsia="Times New Roman" w:hAnsi="Times New Roman" w:cs="Times New Roman"/>
                <w:noProof/>
                <w:sz w:val="18"/>
              </w:rPr>
            </w:pPr>
          </w:p>
        </w:tc>
        <w:tc>
          <w:tcPr>
            <w:tcW w:w="845" w:type="dxa"/>
            <w:shd w:val="clear" w:color="auto" w:fill="C6EFCE"/>
            <w:noWrap/>
          </w:tcPr>
          <w:p w14:paraId="3D587CAE" w14:textId="77777777" w:rsidR="000E48CE" w:rsidRDefault="00FF4C4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06B3ECC4" w14:textId="6BFEC711" w:rsidR="000E48CE" w:rsidRDefault="00FF4C4E">
            <w:pPr>
              <w:pStyle w:val="P68B1DB1-Normal13"/>
              <w:spacing w:after="0"/>
              <w:rPr>
                <w:rFonts w:cs="Times New Roman"/>
                <w:noProof/>
              </w:rPr>
            </w:pPr>
            <w:r>
              <w:rPr>
                <w:noProof/>
              </w:rPr>
              <w:t>KOLMAS VUOSINELJÄNNES</w:t>
            </w:r>
          </w:p>
        </w:tc>
        <w:tc>
          <w:tcPr>
            <w:tcW w:w="563" w:type="dxa"/>
            <w:shd w:val="clear" w:color="auto" w:fill="C6EFCE"/>
            <w:noWrap/>
          </w:tcPr>
          <w:p w14:paraId="3F8ECE9B" w14:textId="2827BD88" w:rsidR="000E48CE" w:rsidRDefault="00FF4C4E">
            <w:pPr>
              <w:pStyle w:val="P68B1DB1-Normal13"/>
              <w:spacing w:after="0"/>
              <w:rPr>
                <w:rFonts w:cs="Times New Roman"/>
                <w:noProof/>
              </w:rPr>
            </w:pPr>
            <w:r>
              <w:rPr>
                <w:noProof/>
              </w:rPr>
              <w:t>2025</w:t>
            </w:r>
          </w:p>
        </w:tc>
        <w:tc>
          <w:tcPr>
            <w:tcW w:w="4783" w:type="dxa"/>
            <w:gridSpan w:val="2"/>
            <w:shd w:val="clear" w:color="auto" w:fill="C6EFCE"/>
            <w:noWrap/>
          </w:tcPr>
          <w:p w14:paraId="6498DB03" w14:textId="77777777" w:rsidR="000E48CE" w:rsidRDefault="00FF4C4E">
            <w:pPr>
              <w:pStyle w:val="P68B1DB1-Normal13"/>
              <w:spacing w:after="0"/>
              <w:rPr>
                <w:rFonts w:eastAsia="Times New Roman" w:cs="Times New Roman"/>
                <w:noProof/>
              </w:rPr>
            </w:pPr>
            <w:r>
              <w:rPr>
                <w:noProof/>
              </w:rPr>
              <w:t xml:space="preserve">Talousarvion toteuttaminen vähintään 75,6 miljoonaa euroa, minkä pitäisi johtaa alan digitalisoinnin merkittävään paranemiseen, erityisesti </w:t>
            </w:r>
            <w:r>
              <w:rPr>
                <w:noProof/>
              </w:rPr>
              <w:t xml:space="preserve">urheiluliiton digitalisointi (mukaan lukien budjetti- ja lisenssihallinto) uuden tietoteknisen järjestelmän avulla; tietotekninen tietovarastojärjestelmä tietojen analysointia varten; esineiden internet (IoT) suurtehokeskuksissa; järjestelmät kilpailevien </w:t>
            </w:r>
            <w:r>
              <w:rPr>
                <w:noProof/>
              </w:rPr>
              <w:t xml:space="preserve">mallien määrittämiseksi tai kunkin urheilijan koulutuksen optimoimiseksi; 10 tutkimushanketta, jotka liittyvät terveyttä edistävään liikuntaan (HEPA); IT-järjestelmätesti urheilulääketieteen kansallisessa keskuksessa; g)Elektronisen toimiston perustaminen </w:t>
            </w:r>
            <w:r>
              <w:rPr>
                <w:noProof/>
              </w:rPr>
              <w:t>antidopinghallinnossa, mukaan lukien paperittoman AD-valvontajärjestelmän käyttöönotto; ja h) selvitys digitalisaatiotarpeista (kuten sovellukset, urheiluliitot, urheilulääketiede, terveyttä edistävä liikunta ja antidoping) urheilualan digitalisointia vart</w:t>
            </w:r>
            <w:r>
              <w:rPr>
                <w:noProof/>
              </w:rPr>
              <w:t>en.</w:t>
            </w:r>
          </w:p>
        </w:tc>
      </w:tr>
      <w:tr w:rsidR="000E48CE" w14:paraId="22C0CBB8" w14:textId="77777777">
        <w:trPr>
          <w:trHeight w:val="309"/>
        </w:trPr>
        <w:tc>
          <w:tcPr>
            <w:tcW w:w="703" w:type="dxa"/>
            <w:shd w:val="clear" w:color="auto" w:fill="C6EFCE"/>
            <w:noWrap/>
          </w:tcPr>
          <w:p w14:paraId="238CE4CC" w14:textId="77777777" w:rsidR="000E48CE" w:rsidRDefault="00FF4C4E">
            <w:pPr>
              <w:pStyle w:val="P68B1DB1-Normal13"/>
              <w:spacing w:after="0"/>
              <w:jc w:val="center"/>
              <w:rPr>
                <w:rFonts w:eastAsia="Times New Roman" w:cs="Times New Roman"/>
                <w:noProof/>
              </w:rPr>
            </w:pPr>
            <w:r>
              <w:rPr>
                <w:noProof/>
              </w:rPr>
              <w:t>371</w:t>
            </w:r>
          </w:p>
        </w:tc>
        <w:tc>
          <w:tcPr>
            <w:tcW w:w="845" w:type="dxa"/>
            <w:shd w:val="clear" w:color="auto" w:fill="C6EFCE"/>
            <w:noWrap/>
          </w:tcPr>
          <w:p w14:paraId="6F323562" w14:textId="77777777" w:rsidR="000E48CE" w:rsidRDefault="00FF4C4E">
            <w:pPr>
              <w:pStyle w:val="P68B1DB1-Normal13"/>
              <w:spacing w:after="0"/>
              <w:jc w:val="center"/>
              <w:rPr>
                <w:rFonts w:eastAsia="Times New Roman" w:cs="Times New Roman"/>
                <w:noProof/>
              </w:rPr>
            </w:pPr>
            <w:r>
              <w:rPr>
                <w:noProof/>
              </w:rPr>
              <w:t>C26.I1</w:t>
            </w:r>
          </w:p>
        </w:tc>
        <w:tc>
          <w:tcPr>
            <w:tcW w:w="844" w:type="dxa"/>
            <w:shd w:val="clear" w:color="auto" w:fill="C6EFCE"/>
            <w:noWrap/>
          </w:tcPr>
          <w:p w14:paraId="7436D12E" w14:textId="77777777" w:rsidR="000E48CE" w:rsidRDefault="00FF4C4E">
            <w:pPr>
              <w:pStyle w:val="P68B1DB1-Normal13"/>
              <w:spacing w:after="0"/>
              <w:jc w:val="center"/>
              <w:rPr>
                <w:rFonts w:eastAsia="Times New Roman" w:cs="Times New Roman"/>
                <w:noProof/>
              </w:rPr>
            </w:pPr>
            <w:r>
              <w:rPr>
                <w:noProof/>
              </w:rPr>
              <w:t>T</w:t>
            </w:r>
          </w:p>
        </w:tc>
        <w:tc>
          <w:tcPr>
            <w:tcW w:w="2533" w:type="dxa"/>
            <w:shd w:val="clear" w:color="auto" w:fill="C6EFCE"/>
            <w:noWrap/>
          </w:tcPr>
          <w:p w14:paraId="7603D728" w14:textId="77777777" w:rsidR="000E48CE" w:rsidRDefault="00FF4C4E">
            <w:pPr>
              <w:pStyle w:val="P68B1DB1-Normal13"/>
              <w:spacing w:after="0"/>
              <w:rPr>
                <w:rFonts w:eastAsia="Times New Roman" w:cs="Times New Roman"/>
                <w:noProof/>
              </w:rPr>
            </w:pPr>
            <w:r>
              <w:rPr>
                <w:noProof/>
              </w:rPr>
              <w:t xml:space="preserve">Urheilulääketieteen keskukset </w:t>
            </w:r>
          </w:p>
        </w:tc>
        <w:tc>
          <w:tcPr>
            <w:tcW w:w="1407" w:type="dxa"/>
            <w:shd w:val="clear" w:color="auto" w:fill="C6EFCE"/>
            <w:noWrap/>
          </w:tcPr>
          <w:p w14:paraId="0C6206B5" w14:textId="77777777" w:rsidR="000E48CE" w:rsidRDefault="00FF4C4E">
            <w:pPr>
              <w:pStyle w:val="P68B1DB1-Normal13"/>
              <w:spacing w:after="0"/>
              <w:jc w:val="center"/>
              <w:rPr>
                <w:rFonts w:eastAsia="Times New Roman" w:cs="Times New Roman"/>
                <w:noProof/>
              </w:rPr>
            </w:pPr>
            <w:r>
              <w:rPr>
                <w:noProof/>
              </w:rPr>
              <w:t>—</w:t>
            </w:r>
          </w:p>
        </w:tc>
        <w:tc>
          <w:tcPr>
            <w:tcW w:w="986" w:type="dxa"/>
            <w:shd w:val="clear" w:color="auto" w:fill="C6EFCE"/>
            <w:noWrap/>
          </w:tcPr>
          <w:p w14:paraId="27A7F3E5" w14:textId="77777777" w:rsidR="000E48CE" w:rsidRDefault="00FF4C4E">
            <w:pPr>
              <w:pStyle w:val="P68B1DB1-Normal13"/>
              <w:spacing w:after="0"/>
              <w:jc w:val="center"/>
              <w:rPr>
                <w:rFonts w:eastAsia="Times New Roman" w:cs="Times New Roman"/>
                <w:noProof/>
              </w:rPr>
            </w:pPr>
            <w:r>
              <w:rPr>
                <w:noProof/>
              </w:rPr>
              <w:t>Määrä</w:t>
            </w:r>
          </w:p>
        </w:tc>
        <w:tc>
          <w:tcPr>
            <w:tcW w:w="1266" w:type="dxa"/>
            <w:shd w:val="clear" w:color="auto" w:fill="C6EFCE"/>
            <w:noWrap/>
          </w:tcPr>
          <w:p w14:paraId="71445D1F" w14:textId="77777777" w:rsidR="000E48CE" w:rsidRDefault="00FF4C4E">
            <w:pPr>
              <w:pStyle w:val="P68B1DB1-Normal13"/>
              <w:spacing w:after="0"/>
              <w:jc w:val="right"/>
              <w:rPr>
                <w:rFonts w:eastAsia="Times New Roman" w:cs="Times New Roman"/>
                <w:noProof/>
              </w:rPr>
            </w:pPr>
            <w:r>
              <w:rPr>
                <w:noProof/>
              </w:rPr>
              <w:t xml:space="preserve"> </w:t>
            </w:r>
          </w:p>
        </w:tc>
        <w:tc>
          <w:tcPr>
            <w:tcW w:w="845" w:type="dxa"/>
            <w:shd w:val="clear" w:color="auto" w:fill="C6EFCE"/>
            <w:noWrap/>
          </w:tcPr>
          <w:p w14:paraId="66B572A8" w14:textId="77777777" w:rsidR="000E48CE" w:rsidRDefault="00FF4C4E">
            <w:pPr>
              <w:pStyle w:val="P68B1DB1-Normal13"/>
              <w:spacing w:after="0"/>
              <w:jc w:val="right"/>
              <w:rPr>
                <w:rFonts w:eastAsia="Times New Roman" w:cs="Times New Roman"/>
                <w:noProof/>
              </w:rPr>
            </w:pPr>
            <w:r>
              <w:rPr>
                <w:noProof/>
              </w:rPr>
              <w:t>20</w:t>
            </w:r>
          </w:p>
        </w:tc>
        <w:tc>
          <w:tcPr>
            <w:tcW w:w="422" w:type="dxa"/>
            <w:shd w:val="clear" w:color="auto" w:fill="C6EFCE"/>
            <w:noWrap/>
          </w:tcPr>
          <w:p w14:paraId="59FC95BC" w14:textId="77777777" w:rsidR="000E48CE" w:rsidRDefault="00FF4C4E">
            <w:pPr>
              <w:pStyle w:val="P68B1DB1-Normal13"/>
              <w:spacing w:after="0"/>
              <w:jc w:val="center"/>
              <w:rPr>
                <w:rFonts w:eastAsia="Times New Roman" w:cs="Times New Roman"/>
                <w:noProof/>
              </w:rPr>
            </w:pPr>
            <w:r>
              <w:rPr>
                <w:noProof/>
              </w:rPr>
              <w:t>Q4</w:t>
            </w:r>
          </w:p>
        </w:tc>
        <w:tc>
          <w:tcPr>
            <w:tcW w:w="563" w:type="dxa"/>
            <w:shd w:val="clear" w:color="auto" w:fill="C6EFCE"/>
            <w:noWrap/>
          </w:tcPr>
          <w:p w14:paraId="4A092D0E" w14:textId="77777777" w:rsidR="000E48CE" w:rsidRDefault="00FF4C4E">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5D12512B" w14:textId="77777777" w:rsidR="000E48CE" w:rsidRDefault="00FF4C4E">
            <w:pPr>
              <w:pStyle w:val="P68B1DB1-Normal13"/>
              <w:spacing w:after="0"/>
              <w:rPr>
                <w:rFonts w:eastAsia="Times New Roman" w:cs="Times New Roman"/>
                <w:noProof/>
              </w:rPr>
            </w:pPr>
            <w:r>
              <w:rPr>
                <w:noProof/>
              </w:rPr>
              <w:t xml:space="preserve">Vähintään 20:n 23:sta urheilulääketieteellisestä keskuksesta on käytettävä uutta tietotekniikkaa. </w:t>
            </w:r>
          </w:p>
        </w:tc>
      </w:tr>
      <w:tr w:rsidR="000E48CE" w14:paraId="536BCA59" w14:textId="77777777">
        <w:trPr>
          <w:trHeight w:val="309"/>
        </w:trPr>
        <w:tc>
          <w:tcPr>
            <w:tcW w:w="703" w:type="dxa"/>
            <w:shd w:val="clear" w:color="auto" w:fill="C6EFCE"/>
            <w:noWrap/>
          </w:tcPr>
          <w:p w14:paraId="5954174D" w14:textId="77777777" w:rsidR="000E48CE" w:rsidRDefault="00FF4C4E">
            <w:pPr>
              <w:pStyle w:val="P68B1DB1-Normal13"/>
              <w:spacing w:after="0"/>
              <w:jc w:val="center"/>
              <w:rPr>
                <w:rFonts w:eastAsia="Times New Roman" w:cs="Times New Roman"/>
                <w:noProof/>
              </w:rPr>
            </w:pPr>
            <w:r>
              <w:rPr>
                <w:noProof/>
              </w:rPr>
              <w:t>372</w:t>
            </w:r>
          </w:p>
        </w:tc>
        <w:tc>
          <w:tcPr>
            <w:tcW w:w="845" w:type="dxa"/>
            <w:shd w:val="clear" w:color="auto" w:fill="C6EFCE"/>
            <w:noWrap/>
          </w:tcPr>
          <w:p w14:paraId="0A0ECD6D" w14:textId="77777777" w:rsidR="000E48CE" w:rsidRDefault="00FF4C4E">
            <w:pPr>
              <w:pStyle w:val="P68B1DB1-Normal13"/>
              <w:spacing w:after="0"/>
              <w:jc w:val="center"/>
              <w:rPr>
                <w:rFonts w:eastAsia="Times New Roman" w:cs="Times New Roman"/>
                <w:noProof/>
              </w:rPr>
            </w:pPr>
            <w:r>
              <w:rPr>
                <w:noProof/>
              </w:rPr>
              <w:t>C26.I1</w:t>
            </w:r>
          </w:p>
        </w:tc>
        <w:tc>
          <w:tcPr>
            <w:tcW w:w="844" w:type="dxa"/>
            <w:shd w:val="clear" w:color="auto" w:fill="C6EFCE"/>
            <w:noWrap/>
          </w:tcPr>
          <w:p w14:paraId="74EB8A03" w14:textId="77777777" w:rsidR="000E48CE" w:rsidRDefault="00FF4C4E">
            <w:pPr>
              <w:pStyle w:val="P68B1DB1-Normal13"/>
              <w:spacing w:after="0"/>
              <w:jc w:val="center"/>
              <w:rPr>
                <w:rFonts w:eastAsia="Times New Roman" w:cs="Times New Roman"/>
                <w:noProof/>
              </w:rPr>
            </w:pPr>
            <w:r>
              <w:rPr>
                <w:noProof/>
              </w:rPr>
              <w:t>M</w:t>
            </w:r>
          </w:p>
        </w:tc>
        <w:tc>
          <w:tcPr>
            <w:tcW w:w="2533" w:type="dxa"/>
            <w:shd w:val="clear" w:color="auto" w:fill="C6EFCE"/>
            <w:noWrap/>
          </w:tcPr>
          <w:p w14:paraId="0B1A96DF" w14:textId="77777777" w:rsidR="000E48CE" w:rsidRDefault="00FF4C4E">
            <w:pPr>
              <w:pStyle w:val="P68B1DB1-Normal13"/>
              <w:spacing w:after="0"/>
              <w:rPr>
                <w:rFonts w:eastAsia="Times New Roman" w:cs="Times New Roman"/>
                <w:noProof/>
              </w:rPr>
            </w:pPr>
            <w:r>
              <w:rPr>
                <w:noProof/>
              </w:rPr>
              <w:t xml:space="preserve">Tietotekniikkahankkeiden loppuun saattaminen suurtehokeskuksissa ja </w:t>
            </w:r>
            <w:r>
              <w:rPr>
                <w:noProof/>
              </w:rPr>
              <w:t>antidopinghallinnossa</w:t>
            </w:r>
          </w:p>
        </w:tc>
        <w:tc>
          <w:tcPr>
            <w:tcW w:w="1407" w:type="dxa"/>
            <w:shd w:val="clear" w:color="auto" w:fill="C6EFCE"/>
            <w:noWrap/>
          </w:tcPr>
          <w:p w14:paraId="161A8D34" w14:textId="77777777" w:rsidR="000E48CE" w:rsidRDefault="00FF4C4E">
            <w:pPr>
              <w:pStyle w:val="P68B1DB1-Normal13"/>
              <w:spacing w:after="0"/>
              <w:jc w:val="center"/>
              <w:rPr>
                <w:rFonts w:eastAsia="Times New Roman" w:cs="Times New Roman"/>
                <w:noProof/>
              </w:rPr>
            </w:pPr>
            <w:r>
              <w:rPr>
                <w:noProof/>
              </w:rPr>
              <w:t xml:space="preserve">Tietojen kerääminen korkean suorituskyvyn keskuksista; AD-ohjaussovelluksen testien aloittaminen </w:t>
            </w:r>
          </w:p>
        </w:tc>
        <w:tc>
          <w:tcPr>
            <w:tcW w:w="986" w:type="dxa"/>
            <w:shd w:val="clear" w:color="auto" w:fill="C6EFCE"/>
            <w:noWrap/>
          </w:tcPr>
          <w:p w14:paraId="13A7D378" w14:textId="77777777" w:rsidR="000E48CE" w:rsidRDefault="00FF4C4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28685253" w14:textId="77777777" w:rsidR="000E48CE" w:rsidRDefault="00FF4C4E">
            <w:pPr>
              <w:pStyle w:val="P68B1DB1-Normal13"/>
              <w:spacing w:after="0"/>
              <w:jc w:val="right"/>
              <w:rPr>
                <w:rFonts w:eastAsia="Times New Roman" w:cs="Times New Roman"/>
                <w:noProof/>
              </w:rPr>
            </w:pPr>
            <w:r>
              <w:rPr>
                <w:noProof/>
              </w:rPr>
              <w:t xml:space="preserve"> </w:t>
            </w:r>
          </w:p>
        </w:tc>
        <w:tc>
          <w:tcPr>
            <w:tcW w:w="845" w:type="dxa"/>
            <w:shd w:val="clear" w:color="auto" w:fill="C6EFCE"/>
            <w:noWrap/>
          </w:tcPr>
          <w:p w14:paraId="452B08AD" w14:textId="77777777" w:rsidR="000E48CE" w:rsidRDefault="00FF4C4E">
            <w:pPr>
              <w:pStyle w:val="P68B1DB1-Normal13"/>
              <w:spacing w:after="0"/>
              <w:rPr>
                <w:rFonts w:eastAsia="Times New Roman" w:cs="Times New Roman"/>
                <w:noProof/>
              </w:rPr>
            </w:pPr>
            <w:r>
              <w:rPr>
                <w:noProof/>
              </w:rPr>
              <w:t xml:space="preserve"> </w:t>
            </w:r>
          </w:p>
        </w:tc>
        <w:tc>
          <w:tcPr>
            <w:tcW w:w="422" w:type="dxa"/>
            <w:shd w:val="clear" w:color="auto" w:fill="C6EFCE"/>
            <w:noWrap/>
          </w:tcPr>
          <w:p w14:paraId="1EF8BC7A" w14:textId="179EC2AE" w:rsidR="000E48CE" w:rsidRDefault="00FF4C4E">
            <w:pPr>
              <w:pStyle w:val="P68B1DB1-Normal13"/>
              <w:spacing w:after="0"/>
              <w:jc w:val="center"/>
              <w:rPr>
                <w:rFonts w:eastAsia="Times New Roman" w:cs="Times New Roman"/>
                <w:noProof/>
              </w:rPr>
            </w:pPr>
            <w:r>
              <w:rPr>
                <w:noProof/>
              </w:rPr>
              <w:t>Q</w:t>
            </w:r>
            <w:r>
              <w:rPr>
                <w:noProof/>
                <w:shd w:val="clear" w:color="auto" w:fill="E6E6E6"/>
              </w:rPr>
              <w:t>3</w:t>
            </w:r>
          </w:p>
        </w:tc>
        <w:tc>
          <w:tcPr>
            <w:tcW w:w="563" w:type="dxa"/>
            <w:shd w:val="clear" w:color="auto" w:fill="C6EFCE"/>
            <w:noWrap/>
          </w:tcPr>
          <w:p w14:paraId="47634FD0" w14:textId="409F507F" w:rsidR="000E48CE" w:rsidRDefault="00FF4C4E">
            <w:pPr>
              <w:pStyle w:val="P68B1DB1-Normal13"/>
              <w:spacing w:after="0"/>
              <w:jc w:val="center"/>
              <w:rPr>
                <w:rFonts w:eastAsia="Segoe UI" w:cs="Times New Roman"/>
                <w:noProof/>
              </w:rPr>
            </w:pPr>
            <w:r>
              <w:rPr>
                <w:noProof/>
              </w:rPr>
              <w:t>202</w:t>
            </w:r>
            <w:r>
              <w:rPr>
                <w:noProof/>
                <w:shd w:val="clear" w:color="auto" w:fill="E6E6E6"/>
              </w:rPr>
              <w:t>5</w:t>
            </w:r>
          </w:p>
        </w:tc>
        <w:tc>
          <w:tcPr>
            <w:tcW w:w="4783" w:type="dxa"/>
            <w:gridSpan w:val="2"/>
            <w:shd w:val="clear" w:color="auto" w:fill="C6EFCE"/>
            <w:noWrap/>
          </w:tcPr>
          <w:p w14:paraId="47F9C0F1" w14:textId="77777777" w:rsidR="000E48CE" w:rsidRDefault="00FF4C4E">
            <w:pPr>
              <w:pStyle w:val="P68B1DB1-Normal13"/>
              <w:spacing w:after="0"/>
              <w:rPr>
                <w:rFonts w:eastAsia="Times New Roman" w:cs="Times New Roman"/>
                <w:noProof/>
              </w:rPr>
            </w:pPr>
            <w:r>
              <w:rPr>
                <w:noProof/>
              </w:rPr>
              <w:t>Tietojärjestelmien (myös esineiden internetin) kehittämisen loppuun saattaminen suurtehokeskuksissa. Sähköisen toimiston p</w:t>
            </w:r>
            <w:r>
              <w:rPr>
                <w:noProof/>
              </w:rPr>
              <w:t xml:space="preserve">erustaminen antidopinghallintoon, mukaan lukien paperittoman AD-valvontajärjestelmän käyttöönotto. </w:t>
            </w:r>
          </w:p>
        </w:tc>
      </w:tr>
      <w:tr w:rsidR="000E48CE" w14:paraId="40394112" w14:textId="77777777">
        <w:trPr>
          <w:trHeight w:val="309"/>
        </w:trPr>
        <w:tc>
          <w:tcPr>
            <w:tcW w:w="703" w:type="dxa"/>
            <w:shd w:val="clear" w:color="auto" w:fill="C6EFCE"/>
            <w:noWrap/>
          </w:tcPr>
          <w:p w14:paraId="693E8847" w14:textId="77777777" w:rsidR="000E48CE" w:rsidRDefault="00FF4C4E">
            <w:pPr>
              <w:pStyle w:val="P68B1DB1-Normal13"/>
              <w:spacing w:after="0"/>
              <w:jc w:val="center"/>
              <w:rPr>
                <w:rFonts w:eastAsia="Times New Roman" w:cs="Times New Roman"/>
                <w:noProof/>
              </w:rPr>
            </w:pPr>
            <w:r>
              <w:rPr>
                <w:noProof/>
              </w:rPr>
              <w:t>373</w:t>
            </w:r>
          </w:p>
        </w:tc>
        <w:tc>
          <w:tcPr>
            <w:tcW w:w="845" w:type="dxa"/>
            <w:shd w:val="clear" w:color="auto" w:fill="C6EFCE"/>
            <w:noWrap/>
          </w:tcPr>
          <w:p w14:paraId="1EFF04BB" w14:textId="77777777" w:rsidR="000E48CE" w:rsidRDefault="00FF4C4E">
            <w:pPr>
              <w:pStyle w:val="P68B1DB1-Normal13"/>
              <w:spacing w:after="0"/>
              <w:jc w:val="center"/>
              <w:rPr>
                <w:rFonts w:eastAsia="Times New Roman" w:cs="Times New Roman"/>
                <w:noProof/>
              </w:rPr>
            </w:pPr>
            <w:r>
              <w:rPr>
                <w:noProof/>
              </w:rPr>
              <w:t>C26.I2</w:t>
            </w:r>
          </w:p>
        </w:tc>
        <w:tc>
          <w:tcPr>
            <w:tcW w:w="844" w:type="dxa"/>
            <w:shd w:val="clear" w:color="auto" w:fill="C6EFCE"/>
            <w:noWrap/>
          </w:tcPr>
          <w:p w14:paraId="386533DB" w14:textId="77777777" w:rsidR="000E48CE" w:rsidRDefault="00FF4C4E">
            <w:pPr>
              <w:pStyle w:val="P68B1DB1-Normal13"/>
              <w:spacing w:after="0"/>
              <w:jc w:val="center"/>
              <w:rPr>
                <w:rFonts w:eastAsia="Times New Roman" w:cs="Times New Roman"/>
                <w:noProof/>
              </w:rPr>
            </w:pPr>
            <w:r>
              <w:rPr>
                <w:noProof/>
              </w:rPr>
              <w:t>T</w:t>
            </w:r>
          </w:p>
        </w:tc>
        <w:tc>
          <w:tcPr>
            <w:tcW w:w="2533" w:type="dxa"/>
            <w:shd w:val="clear" w:color="auto" w:fill="C6EFCE"/>
            <w:noWrap/>
          </w:tcPr>
          <w:p w14:paraId="1D831BB2" w14:textId="77777777" w:rsidR="000E48CE" w:rsidRDefault="00FF4C4E">
            <w:pPr>
              <w:pStyle w:val="P68B1DB1-Normal13"/>
              <w:spacing w:after="0"/>
              <w:rPr>
                <w:rFonts w:eastAsia="Times New Roman" w:cs="Times New Roman"/>
                <w:noProof/>
              </w:rPr>
            </w:pPr>
            <w:r>
              <w:rPr>
                <w:noProof/>
              </w:rPr>
              <w:t xml:space="preserve">Urheilu- ja urheilutilojen teknisten keskusten kunnostaminen ja parantaminen </w:t>
            </w:r>
          </w:p>
        </w:tc>
        <w:tc>
          <w:tcPr>
            <w:tcW w:w="1407" w:type="dxa"/>
            <w:shd w:val="clear" w:color="auto" w:fill="C6EFCE"/>
            <w:noWrap/>
          </w:tcPr>
          <w:p w14:paraId="49CA4BE9" w14:textId="77777777" w:rsidR="000E48CE" w:rsidRDefault="00FF4C4E">
            <w:pPr>
              <w:pStyle w:val="P68B1DB1-Normal13"/>
              <w:spacing w:after="0"/>
              <w:jc w:val="center"/>
              <w:rPr>
                <w:rFonts w:eastAsia="Times New Roman" w:cs="Times New Roman"/>
                <w:noProof/>
              </w:rPr>
            </w:pPr>
            <w:r>
              <w:rPr>
                <w:noProof/>
              </w:rPr>
              <w:t> </w:t>
            </w:r>
          </w:p>
        </w:tc>
        <w:tc>
          <w:tcPr>
            <w:tcW w:w="986" w:type="dxa"/>
            <w:shd w:val="clear" w:color="auto" w:fill="C6EFCE"/>
            <w:noWrap/>
          </w:tcPr>
          <w:p w14:paraId="70CF1816" w14:textId="77777777" w:rsidR="000E48CE" w:rsidRDefault="00FF4C4E">
            <w:pPr>
              <w:pStyle w:val="P68B1DB1-Normal13"/>
              <w:spacing w:after="0"/>
              <w:jc w:val="center"/>
              <w:rPr>
                <w:rFonts w:eastAsia="Times New Roman" w:cs="Times New Roman"/>
                <w:noProof/>
              </w:rPr>
            </w:pPr>
            <w:r>
              <w:rPr>
                <w:noProof/>
              </w:rPr>
              <w:t>Määrä</w:t>
            </w:r>
          </w:p>
        </w:tc>
        <w:tc>
          <w:tcPr>
            <w:tcW w:w="1266" w:type="dxa"/>
            <w:shd w:val="clear" w:color="auto" w:fill="C6EFCE"/>
            <w:noWrap/>
          </w:tcPr>
          <w:p w14:paraId="53DBFA27" w14:textId="77777777" w:rsidR="000E48CE" w:rsidRDefault="00FF4C4E">
            <w:pPr>
              <w:pStyle w:val="P68B1DB1-Normal13"/>
              <w:spacing w:after="0"/>
              <w:jc w:val="right"/>
              <w:rPr>
                <w:rFonts w:eastAsia="Times New Roman" w:cs="Times New Roman"/>
                <w:noProof/>
              </w:rPr>
            </w:pPr>
            <w:r>
              <w:rPr>
                <w:noProof/>
              </w:rPr>
              <w:t>0</w:t>
            </w:r>
          </w:p>
        </w:tc>
        <w:tc>
          <w:tcPr>
            <w:tcW w:w="845" w:type="dxa"/>
            <w:shd w:val="clear" w:color="auto" w:fill="C6EFCE"/>
            <w:noWrap/>
          </w:tcPr>
          <w:p w14:paraId="3918953E" w14:textId="77777777" w:rsidR="000E48CE" w:rsidRDefault="00FF4C4E">
            <w:pPr>
              <w:pStyle w:val="P68B1DB1-Normal13"/>
              <w:spacing w:after="0"/>
              <w:jc w:val="right"/>
              <w:rPr>
                <w:rFonts w:eastAsia="Times New Roman" w:cs="Times New Roman"/>
                <w:noProof/>
              </w:rPr>
            </w:pPr>
            <w:r>
              <w:rPr>
                <w:noProof/>
              </w:rPr>
              <w:t>95</w:t>
            </w:r>
          </w:p>
        </w:tc>
        <w:tc>
          <w:tcPr>
            <w:tcW w:w="422" w:type="dxa"/>
            <w:shd w:val="clear" w:color="auto" w:fill="C6EFCE"/>
            <w:noWrap/>
          </w:tcPr>
          <w:p w14:paraId="7F2234A6" w14:textId="77777777" w:rsidR="000E48CE" w:rsidRDefault="00FF4C4E">
            <w:pPr>
              <w:pStyle w:val="P68B1DB1-Normal13"/>
              <w:spacing w:after="0"/>
              <w:jc w:val="center"/>
              <w:rPr>
                <w:rFonts w:eastAsia="Times New Roman" w:cs="Times New Roman"/>
                <w:noProof/>
              </w:rPr>
            </w:pPr>
            <w:r>
              <w:rPr>
                <w:noProof/>
              </w:rPr>
              <w:t>Q4</w:t>
            </w:r>
          </w:p>
        </w:tc>
        <w:tc>
          <w:tcPr>
            <w:tcW w:w="563" w:type="dxa"/>
            <w:shd w:val="clear" w:color="auto" w:fill="C6EFCE"/>
            <w:noWrap/>
          </w:tcPr>
          <w:p w14:paraId="5E4ACF4C" w14:textId="77777777" w:rsidR="000E48CE" w:rsidRDefault="00FF4C4E">
            <w:pPr>
              <w:pStyle w:val="P68B1DB1-Normal13"/>
              <w:spacing w:after="0"/>
              <w:jc w:val="center"/>
              <w:rPr>
                <w:rFonts w:eastAsia="Times New Roman" w:cs="Times New Roman"/>
                <w:noProof/>
              </w:rPr>
            </w:pPr>
            <w:r>
              <w:rPr>
                <w:noProof/>
              </w:rPr>
              <w:t>2025</w:t>
            </w:r>
          </w:p>
        </w:tc>
        <w:tc>
          <w:tcPr>
            <w:tcW w:w="4783" w:type="dxa"/>
            <w:gridSpan w:val="2"/>
            <w:shd w:val="clear" w:color="auto" w:fill="C6EFCE"/>
            <w:noWrap/>
          </w:tcPr>
          <w:p w14:paraId="76FF6E59" w14:textId="3ADFF652" w:rsidR="000E48CE" w:rsidRDefault="00FF4C4E">
            <w:pPr>
              <w:pStyle w:val="P68B1DB1-Normal13"/>
              <w:spacing w:after="0"/>
              <w:rPr>
                <w:rFonts w:eastAsia="Times New Roman" w:cs="Times New Roman"/>
                <w:noProof/>
              </w:rPr>
            </w:pPr>
            <w:r>
              <w:rPr>
                <w:noProof/>
              </w:rPr>
              <w:t xml:space="preserve">Vähintään 40 teknistä keskusta ja 45 </w:t>
            </w:r>
            <w:r>
              <w:rPr>
                <w:noProof/>
              </w:rPr>
              <w:t>urheilulaitosta on oltava kunnostettu, ja niiden on täytynyt parantaa energiatehokkuutta ja/tai optimoida käyttöä digitalisaation avulla ja/tai parantaa saavutettavuutta. Töiden loppuun saattamisen tarkastuskeinona käytetään todistuksia töiden loppuun saat</w:t>
            </w:r>
            <w:r>
              <w:rPr>
                <w:noProof/>
              </w:rPr>
              <w:t>tamisesta. Energiatehokkuutta koskevilla toimilla on saavutettava keskimäärin vähintään 30 prosentin primäärienergian kysynnän vähennys.  Luettelo laitoksista on julkistettava.</w:t>
            </w:r>
          </w:p>
        </w:tc>
      </w:tr>
      <w:tr w:rsidR="000E48CE" w14:paraId="4BDA43E6" w14:textId="77777777">
        <w:trPr>
          <w:trHeight w:val="309"/>
        </w:trPr>
        <w:tc>
          <w:tcPr>
            <w:tcW w:w="703" w:type="dxa"/>
            <w:shd w:val="clear" w:color="auto" w:fill="C6EFCE"/>
            <w:noWrap/>
          </w:tcPr>
          <w:p w14:paraId="6F822960" w14:textId="77777777" w:rsidR="000E48CE" w:rsidRDefault="00FF4C4E">
            <w:pPr>
              <w:pStyle w:val="P68B1DB1-Normal13"/>
              <w:spacing w:after="0"/>
              <w:jc w:val="center"/>
              <w:rPr>
                <w:rFonts w:eastAsia="Times New Roman" w:cs="Times New Roman"/>
                <w:noProof/>
              </w:rPr>
            </w:pPr>
            <w:r>
              <w:rPr>
                <w:noProof/>
              </w:rPr>
              <w:t>374</w:t>
            </w:r>
          </w:p>
        </w:tc>
        <w:tc>
          <w:tcPr>
            <w:tcW w:w="845" w:type="dxa"/>
            <w:shd w:val="clear" w:color="auto" w:fill="C6EFCE"/>
            <w:noWrap/>
          </w:tcPr>
          <w:p w14:paraId="6F7A3FE8" w14:textId="77777777" w:rsidR="000E48CE" w:rsidRDefault="00FF4C4E">
            <w:pPr>
              <w:pStyle w:val="P68B1DB1-Normal13"/>
              <w:spacing w:after="0"/>
              <w:jc w:val="center"/>
              <w:rPr>
                <w:rFonts w:eastAsia="Times New Roman" w:cs="Times New Roman"/>
                <w:noProof/>
              </w:rPr>
            </w:pPr>
            <w:r>
              <w:rPr>
                <w:noProof/>
              </w:rPr>
              <w:t>C26.I3</w:t>
            </w:r>
          </w:p>
        </w:tc>
        <w:tc>
          <w:tcPr>
            <w:tcW w:w="844" w:type="dxa"/>
            <w:shd w:val="clear" w:color="auto" w:fill="C6EFCE"/>
            <w:noWrap/>
          </w:tcPr>
          <w:p w14:paraId="3FF2A72F" w14:textId="77777777" w:rsidR="000E48CE" w:rsidRDefault="00FF4C4E">
            <w:pPr>
              <w:pStyle w:val="P68B1DB1-Normal13"/>
              <w:spacing w:after="0"/>
              <w:jc w:val="center"/>
              <w:rPr>
                <w:rFonts w:eastAsia="Times New Roman" w:cs="Times New Roman"/>
                <w:noProof/>
              </w:rPr>
            </w:pPr>
            <w:r>
              <w:rPr>
                <w:noProof/>
              </w:rPr>
              <w:t>M</w:t>
            </w:r>
          </w:p>
        </w:tc>
        <w:tc>
          <w:tcPr>
            <w:tcW w:w="2533" w:type="dxa"/>
            <w:shd w:val="clear" w:color="auto" w:fill="C6EFCE"/>
            <w:noWrap/>
          </w:tcPr>
          <w:p w14:paraId="5B04924F" w14:textId="77777777" w:rsidR="000E48CE" w:rsidRDefault="00FF4C4E">
            <w:pPr>
              <w:pStyle w:val="P68B1DB1-Normal13"/>
              <w:spacing w:after="0"/>
              <w:rPr>
                <w:rFonts w:eastAsia="Times New Roman" w:cs="Times New Roman"/>
                <w:noProof/>
              </w:rPr>
            </w:pPr>
            <w:r>
              <w:rPr>
                <w:noProof/>
              </w:rPr>
              <w:t xml:space="preserve">Hankkeet tasa-arvon edistämiseksi urheilussa </w:t>
            </w:r>
          </w:p>
        </w:tc>
        <w:tc>
          <w:tcPr>
            <w:tcW w:w="1407" w:type="dxa"/>
            <w:shd w:val="clear" w:color="auto" w:fill="C6EFCE"/>
            <w:noWrap/>
          </w:tcPr>
          <w:p w14:paraId="596DD18A" w14:textId="77777777" w:rsidR="000E48CE" w:rsidRDefault="00FF4C4E">
            <w:pPr>
              <w:pStyle w:val="P68B1DB1-Normal13"/>
              <w:spacing w:after="0"/>
              <w:jc w:val="center"/>
              <w:rPr>
                <w:rFonts w:eastAsia="Times New Roman" w:cs="Times New Roman"/>
                <w:noProof/>
              </w:rPr>
            </w:pPr>
            <w:r>
              <w:rPr>
                <w:noProof/>
              </w:rPr>
              <w:t>Julkaistu EUVL:ssä</w:t>
            </w:r>
          </w:p>
        </w:tc>
        <w:tc>
          <w:tcPr>
            <w:tcW w:w="986" w:type="dxa"/>
            <w:shd w:val="clear" w:color="auto" w:fill="C6EFCE"/>
            <w:noWrap/>
          </w:tcPr>
          <w:p w14:paraId="650C8A1A" w14:textId="77777777" w:rsidR="000E48CE" w:rsidRDefault="00FF4C4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2D1AE1A9" w14:textId="77777777" w:rsidR="000E48CE" w:rsidRDefault="000E48CE">
            <w:pPr>
              <w:tabs>
                <w:tab w:val="center" w:pos="605"/>
                <w:tab w:val="right" w:pos="1210"/>
              </w:tabs>
              <w:spacing w:after="0"/>
              <w:rPr>
                <w:rFonts w:ascii="Times New Roman" w:eastAsia="Times New Roman" w:hAnsi="Times New Roman" w:cs="Times New Roman"/>
                <w:noProof/>
                <w:sz w:val="18"/>
              </w:rPr>
            </w:pPr>
          </w:p>
        </w:tc>
        <w:tc>
          <w:tcPr>
            <w:tcW w:w="845" w:type="dxa"/>
            <w:shd w:val="clear" w:color="auto" w:fill="C6EFCE"/>
            <w:noWrap/>
          </w:tcPr>
          <w:p w14:paraId="7B4FDE8B" w14:textId="77777777" w:rsidR="000E48CE" w:rsidRDefault="00FF4C4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421965A5" w14:textId="77777777" w:rsidR="000E48CE" w:rsidRDefault="00FF4C4E">
            <w:pPr>
              <w:pStyle w:val="P68B1DB1-Normal13"/>
              <w:spacing w:after="0"/>
              <w:jc w:val="center"/>
              <w:rPr>
                <w:rFonts w:eastAsia="Times New Roman" w:cs="Times New Roman"/>
                <w:noProof/>
              </w:rPr>
            </w:pPr>
            <w:r>
              <w:rPr>
                <w:noProof/>
              </w:rPr>
              <w:t>Q2</w:t>
            </w:r>
          </w:p>
        </w:tc>
        <w:tc>
          <w:tcPr>
            <w:tcW w:w="563" w:type="dxa"/>
            <w:shd w:val="clear" w:color="auto" w:fill="C6EFCE"/>
            <w:noWrap/>
          </w:tcPr>
          <w:p w14:paraId="635D3B30" w14:textId="77777777" w:rsidR="000E48CE" w:rsidRDefault="00FF4C4E">
            <w:pPr>
              <w:pStyle w:val="P68B1DB1-Normal13"/>
              <w:spacing w:after="0"/>
              <w:jc w:val="center"/>
              <w:rPr>
                <w:rFonts w:eastAsia="Times New Roman" w:cs="Times New Roman"/>
                <w:noProof/>
              </w:rPr>
            </w:pPr>
            <w:r>
              <w:rPr>
                <w:noProof/>
              </w:rPr>
              <w:t>2022</w:t>
            </w:r>
          </w:p>
        </w:tc>
        <w:tc>
          <w:tcPr>
            <w:tcW w:w="4783" w:type="dxa"/>
            <w:gridSpan w:val="2"/>
            <w:shd w:val="clear" w:color="auto" w:fill="C6EFCE"/>
            <w:noWrap/>
          </w:tcPr>
          <w:p w14:paraId="0AB48EE3" w14:textId="77777777" w:rsidR="000E48CE" w:rsidRDefault="00FF4C4E">
            <w:pPr>
              <w:pStyle w:val="P68B1DB1-Normal13"/>
              <w:spacing w:after="0"/>
              <w:rPr>
                <w:rFonts w:eastAsia="Times New Roman" w:cs="Times New Roman"/>
                <w:noProof/>
              </w:rPr>
            </w:pPr>
            <w:r>
              <w:rPr>
                <w:noProof/>
              </w:rPr>
              <w:t>Arvopaperikeskus (kansallinen urheiluneuvosto) myöntää Euroopan unionin virallisessa lehdessä ehdotuspyynnön, jonka on määrä valita vähintään 15 edunsaajahanketta tasa-arvon edistämiseksi urheilussa erityisesti koulutuksen, naisurheilun ammatt</w:t>
            </w:r>
            <w:r>
              <w:rPr>
                <w:noProof/>
              </w:rPr>
              <w:t>imaistumisen ja naisurheilun näkyvyyden avulla. Ehdotuspyynnön kumulatiivinen talousarvio on 11700000 euroa.</w:t>
            </w:r>
          </w:p>
        </w:tc>
      </w:tr>
      <w:tr w:rsidR="000E48CE" w14:paraId="6370569A" w14:textId="77777777">
        <w:trPr>
          <w:trHeight w:val="309"/>
        </w:trPr>
        <w:tc>
          <w:tcPr>
            <w:tcW w:w="703" w:type="dxa"/>
            <w:shd w:val="clear" w:color="auto" w:fill="C6EFCE"/>
            <w:noWrap/>
          </w:tcPr>
          <w:p w14:paraId="0F6BB98E" w14:textId="77777777" w:rsidR="000E48CE" w:rsidRDefault="00FF4C4E">
            <w:pPr>
              <w:pStyle w:val="P68B1DB1-Normal13"/>
              <w:spacing w:after="0"/>
              <w:jc w:val="center"/>
              <w:rPr>
                <w:rFonts w:eastAsia="Times New Roman" w:cs="Times New Roman"/>
                <w:noProof/>
              </w:rPr>
            </w:pPr>
            <w:r>
              <w:rPr>
                <w:noProof/>
              </w:rPr>
              <w:t>375</w:t>
            </w:r>
          </w:p>
        </w:tc>
        <w:tc>
          <w:tcPr>
            <w:tcW w:w="845" w:type="dxa"/>
            <w:shd w:val="clear" w:color="auto" w:fill="C6EFCE"/>
            <w:noWrap/>
          </w:tcPr>
          <w:p w14:paraId="32BA3EC0" w14:textId="77777777" w:rsidR="000E48CE" w:rsidRDefault="00FF4C4E">
            <w:pPr>
              <w:pStyle w:val="P68B1DB1-Normal13"/>
              <w:spacing w:after="0"/>
              <w:jc w:val="center"/>
              <w:rPr>
                <w:rFonts w:eastAsia="Times New Roman" w:cs="Times New Roman"/>
                <w:noProof/>
              </w:rPr>
            </w:pPr>
            <w:r>
              <w:rPr>
                <w:noProof/>
              </w:rPr>
              <w:t>C26.I3</w:t>
            </w:r>
          </w:p>
        </w:tc>
        <w:tc>
          <w:tcPr>
            <w:tcW w:w="844" w:type="dxa"/>
            <w:shd w:val="clear" w:color="auto" w:fill="C6EFCE"/>
            <w:noWrap/>
          </w:tcPr>
          <w:p w14:paraId="2E060E23" w14:textId="77777777" w:rsidR="000E48CE" w:rsidRDefault="00FF4C4E">
            <w:pPr>
              <w:pStyle w:val="P68B1DB1-Normal13"/>
              <w:spacing w:after="0"/>
              <w:jc w:val="center"/>
              <w:rPr>
                <w:rFonts w:eastAsia="Times New Roman" w:cs="Times New Roman"/>
                <w:noProof/>
              </w:rPr>
            </w:pPr>
            <w:r>
              <w:rPr>
                <w:noProof/>
              </w:rPr>
              <w:t>T</w:t>
            </w:r>
          </w:p>
        </w:tc>
        <w:tc>
          <w:tcPr>
            <w:tcW w:w="2533" w:type="dxa"/>
            <w:shd w:val="clear" w:color="auto" w:fill="C6EFCE"/>
            <w:noWrap/>
          </w:tcPr>
          <w:p w14:paraId="39592C02" w14:textId="77777777" w:rsidR="000E48CE" w:rsidRDefault="00FF4C4E">
            <w:pPr>
              <w:pStyle w:val="P68B1DB1-Normal13"/>
              <w:spacing w:after="0"/>
              <w:rPr>
                <w:rFonts w:eastAsia="Times New Roman" w:cs="Times New Roman"/>
                <w:noProof/>
              </w:rPr>
            </w:pPr>
            <w:r>
              <w:rPr>
                <w:noProof/>
              </w:rPr>
              <w:t>Urheilun sosiaalisen suunnitelman mukaisten toimien loppuun saattaminen</w:t>
            </w:r>
          </w:p>
        </w:tc>
        <w:tc>
          <w:tcPr>
            <w:tcW w:w="1407" w:type="dxa"/>
            <w:shd w:val="clear" w:color="auto" w:fill="C6EFCE"/>
            <w:noWrap/>
          </w:tcPr>
          <w:p w14:paraId="2CFA13A8" w14:textId="77777777" w:rsidR="000E48CE" w:rsidRDefault="00FF4C4E">
            <w:pPr>
              <w:pStyle w:val="P68B1DB1-Normal13"/>
              <w:spacing w:after="0"/>
              <w:jc w:val="center"/>
              <w:rPr>
                <w:rFonts w:eastAsia="Times New Roman" w:cs="Times New Roman"/>
                <w:noProof/>
              </w:rPr>
            </w:pPr>
            <w:r>
              <w:rPr>
                <w:noProof/>
              </w:rPr>
              <w:t> </w:t>
            </w:r>
          </w:p>
        </w:tc>
        <w:tc>
          <w:tcPr>
            <w:tcW w:w="986" w:type="dxa"/>
            <w:shd w:val="clear" w:color="auto" w:fill="C6EFCE"/>
            <w:noWrap/>
          </w:tcPr>
          <w:p w14:paraId="10D0E016" w14:textId="77777777" w:rsidR="000E48CE" w:rsidRDefault="00FF4C4E">
            <w:pPr>
              <w:pStyle w:val="P68B1DB1-Normal13"/>
              <w:spacing w:after="0"/>
              <w:jc w:val="center"/>
              <w:rPr>
                <w:rFonts w:eastAsia="Times New Roman" w:cs="Times New Roman"/>
                <w:noProof/>
              </w:rPr>
            </w:pPr>
            <w:r>
              <w:rPr>
                <w:noProof/>
              </w:rPr>
              <w:t>Määrä</w:t>
            </w:r>
          </w:p>
        </w:tc>
        <w:tc>
          <w:tcPr>
            <w:tcW w:w="1266" w:type="dxa"/>
            <w:shd w:val="clear" w:color="auto" w:fill="C6EFCE"/>
            <w:noWrap/>
          </w:tcPr>
          <w:p w14:paraId="38316D7B" w14:textId="77777777" w:rsidR="000E48CE" w:rsidRDefault="00FF4C4E">
            <w:pPr>
              <w:pStyle w:val="P68B1DB1-Normal13"/>
              <w:spacing w:after="0"/>
              <w:jc w:val="center"/>
              <w:rPr>
                <w:rFonts w:eastAsia="Times New Roman" w:cs="Times New Roman"/>
                <w:noProof/>
              </w:rPr>
            </w:pPr>
            <w:r>
              <w:rPr>
                <w:noProof/>
              </w:rPr>
              <w:t>0</w:t>
            </w:r>
          </w:p>
        </w:tc>
        <w:tc>
          <w:tcPr>
            <w:tcW w:w="845" w:type="dxa"/>
            <w:shd w:val="clear" w:color="auto" w:fill="C6EFCE"/>
            <w:noWrap/>
          </w:tcPr>
          <w:p w14:paraId="5B41D815" w14:textId="77777777" w:rsidR="000E48CE" w:rsidRDefault="00FF4C4E">
            <w:pPr>
              <w:pStyle w:val="P68B1DB1-Normal13"/>
              <w:spacing w:after="0"/>
              <w:jc w:val="center"/>
              <w:rPr>
                <w:rFonts w:eastAsia="Times New Roman" w:cs="Times New Roman"/>
                <w:noProof/>
              </w:rPr>
            </w:pPr>
            <w:r>
              <w:rPr>
                <w:noProof/>
              </w:rPr>
              <w:t>40</w:t>
            </w:r>
          </w:p>
        </w:tc>
        <w:tc>
          <w:tcPr>
            <w:tcW w:w="422" w:type="dxa"/>
            <w:shd w:val="clear" w:color="auto" w:fill="C6EFCE"/>
            <w:noWrap/>
          </w:tcPr>
          <w:p w14:paraId="080B73A6" w14:textId="77777777" w:rsidR="000E48CE" w:rsidRDefault="00FF4C4E">
            <w:pPr>
              <w:pStyle w:val="P68B1DB1-Normal13"/>
              <w:spacing w:after="0"/>
              <w:jc w:val="center"/>
              <w:rPr>
                <w:rFonts w:eastAsia="Times New Roman" w:cs="Times New Roman"/>
                <w:noProof/>
              </w:rPr>
            </w:pPr>
            <w:r>
              <w:rPr>
                <w:noProof/>
              </w:rPr>
              <w:t>Q4</w:t>
            </w:r>
          </w:p>
        </w:tc>
        <w:tc>
          <w:tcPr>
            <w:tcW w:w="563" w:type="dxa"/>
            <w:shd w:val="clear" w:color="auto" w:fill="C6EFCE"/>
            <w:noWrap/>
          </w:tcPr>
          <w:p w14:paraId="3A606EDD" w14:textId="77777777" w:rsidR="000E48CE" w:rsidRDefault="00FF4C4E">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2089D9AC" w14:textId="77777777" w:rsidR="000E48CE" w:rsidRDefault="00FF4C4E">
            <w:pPr>
              <w:pStyle w:val="P68B1DB1-Normal13"/>
              <w:spacing w:after="0"/>
              <w:rPr>
                <w:rFonts w:eastAsia="Times New Roman" w:cs="Times New Roman"/>
                <w:noProof/>
              </w:rPr>
            </w:pPr>
            <w:r>
              <w:rPr>
                <w:noProof/>
              </w:rPr>
              <w:t xml:space="preserve">Urheilun sosiaalisen suunnitelman </w:t>
            </w:r>
            <w:r>
              <w:rPr>
                <w:noProof/>
              </w:rPr>
              <w:t>mukaisten toimien loppuun saattaminen, mukaan lukien vähintään 40 urheilupaikan kunnostaminen ja toimet, joilla edistetään naisten osallistumista ammattiurheiluun (koulutusohjelmat, markkinointikampanjat ja tutkimukset). Energiatehokkuutta koskevilla toimi</w:t>
            </w:r>
            <w:r>
              <w:rPr>
                <w:noProof/>
              </w:rPr>
              <w:t>lla on saavutettava keskimäärin vähintään 30 prosentin primäärienergian kysynnän vähennys. Luettelo laitoksista on julkistettava.</w:t>
            </w:r>
          </w:p>
        </w:tc>
      </w:tr>
    </w:tbl>
    <w:p w14:paraId="67B737D8" w14:textId="77777777" w:rsidR="000E48CE" w:rsidRDefault="000E48CE">
      <w:pPr>
        <w:pStyle w:val="SectionTitle"/>
        <w:rPr>
          <w:rFonts w:ascii="Times New Roman" w:hAnsi="Times New Roman" w:cs="Times New Roman"/>
          <w:noProof/>
        </w:rPr>
        <w:sectPr w:rsidR="000E48CE" w:rsidSect="00C94F66">
          <w:headerReference w:type="even" r:id="rId501"/>
          <w:headerReference w:type="default" r:id="rId502"/>
          <w:footerReference w:type="even" r:id="rId503"/>
          <w:footerReference w:type="default" r:id="rId504"/>
          <w:headerReference w:type="first" r:id="rId505"/>
          <w:footerReference w:type="first" r:id="rId506"/>
          <w:pgSz w:w="16839" w:h="11907" w:orient="landscape"/>
          <w:pgMar w:top="1417" w:right="1134" w:bottom="1417" w:left="1134" w:header="709" w:footer="709" w:gutter="0"/>
          <w:cols w:space="720"/>
          <w:docGrid w:linePitch="360"/>
        </w:sectPr>
      </w:pPr>
    </w:p>
    <w:p w14:paraId="7AE65ADE" w14:textId="77777777" w:rsidR="000E48CE" w:rsidRDefault="00FF4C4E">
      <w:pPr>
        <w:pStyle w:val="P68B1DB1-Heading12"/>
        <w:rPr>
          <w:rFonts w:cs="Times New Roman"/>
          <w:noProof/>
        </w:rPr>
      </w:pPr>
      <w:r>
        <w:rPr>
          <w:noProof/>
        </w:rPr>
        <w:t xml:space="preserve">AA. OSA-ALUE 27: Toimenpiteet ja toimet veropetosten </w:t>
      </w:r>
      <w:r>
        <w:rPr>
          <w:noProof/>
        </w:rPr>
        <w:t>ehkäisemiseksi ja torjumiseksi</w:t>
      </w:r>
    </w:p>
    <w:p w14:paraId="7238EB16" w14:textId="77777777" w:rsidR="000E48CE" w:rsidRDefault="00FF4C4E">
      <w:pPr>
        <w:pStyle w:val="P68B1DB1-Text119"/>
        <w:ind w:left="0"/>
        <w:rPr>
          <w:rFonts w:cs="Times New Roman"/>
          <w:noProof/>
        </w:rPr>
      </w:pPr>
      <w:r>
        <w:rPr>
          <w:noProof/>
        </w:rPr>
        <w:t>Tällä Espanjan elpymis- ja palautumissuunnitelman osa-alueella vastataan veropetosten ja veronkierron ehkäisemiseen ja torjuntaan liittyviin haasteisiin. Komponentin tavoitteena on parantaa verosäännösten noudattamista ja ker</w:t>
      </w:r>
      <w:r>
        <w:rPr>
          <w:noProof/>
        </w:rPr>
        <w:t>ätä enemmän verotuloja. Osa-alueella käsitellään muun muassa maakohtaisia suosituksia julkisen talouden ja julkisten hankintojen puitteiden vahvistamisesta kaikilla hallinnon tasoilla (maakohtainen suositus 1 2019) ja – jos taloudelliset olosuhteet sen sal</w:t>
      </w:r>
      <w:r>
        <w:rPr>
          <w:noProof/>
        </w:rPr>
        <w:t>livat – finanssipolitiikan harjoittamista, jonka tavoitteena on saavuttaa maltillisella tasolla oleva julkisen talouden rahoitusasema keskipitkällä aikavälillä ja varmistaa velkakestävyys samalla kun kannustetaan investointeihin (maakohtainen suositus 1 20</w:t>
      </w:r>
      <w:r>
        <w:rPr>
          <w:noProof/>
        </w:rPr>
        <w:t xml:space="preserve">20). </w:t>
      </w:r>
    </w:p>
    <w:p w14:paraId="0C9F8F53" w14:textId="77777777" w:rsidR="000E48CE" w:rsidRDefault="00FF4C4E">
      <w:pPr>
        <w:pStyle w:val="P68B1DB1-Text119"/>
        <w:ind w:left="0"/>
        <w:rPr>
          <w:rFonts w:cs="Times New Roman"/>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w:t>
      </w:r>
      <w:r>
        <w:rPr>
          <w:noProof/>
        </w:rPr>
        <w:t>jeiden (2021/C58/01) mukaiset elpymis- ja palautumissuunnitelmassa esitettyjen toimenpiteiden kuvaus ja lieventävät toimet.</w:t>
      </w:r>
    </w:p>
    <w:p w14:paraId="604A1F05" w14:textId="77777777" w:rsidR="000E48CE" w:rsidRDefault="00FF4C4E">
      <w:pPr>
        <w:pStyle w:val="P68B1DB1-Text138"/>
        <w:ind w:left="709"/>
        <w:rPr>
          <w:rFonts w:cs="Times New Roman"/>
          <w:i/>
          <w:noProof/>
        </w:rPr>
      </w:pPr>
      <w:r>
        <w:rPr>
          <w:noProof/>
        </w:rPr>
        <w:t xml:space="preserve">AA.1. </w:t>
      </w:r>
      <w:r>
        <w:rPr>
          <w:noProof/>
        </w:rPr>
        <w:tab/>
        <w:t>Kuvaus uudistuksista ja investoinneista, joita rahoitetaan rahoitustuella, jota ei makseta takaisin</w:t>
      </w:r>
    </w:p>
    <w:p w14:paraId="1694E1AE" w14:textId="77777777" w:rsidR="000E48CE" w:rsidRDefault="00FF4C4E">
      <w:pPr>
        <w:pStyle w:val="P68B1DB1-Normal6"/>
        <w:spacing w:before="120" w:after="120" w:line="240" w:lineRule="auto"/>
        <w:jc w:val="both"/>
        <w:rPr>
          <w:rFonts w:cs="Times New Roman"/>
          <w:noProof/>
        </w:rPr>
      </w:pPr>
      <w:r>
        <w:rPr>
          <w:noProof/>
        </w:rPr>
        <w:t>Uudistus 1 (C27.R1) – Pet</w:t>
      </w:r>
      <w:r>
        <w:rPr>
          <w:noProof/>
        </w:rPr>
        <w:t>ostentorjuntalain hyväksyminen</w:t>
      </w:r>
    </w:p>
    <w:p w14:paraId="68A28209" w14:textId="77777777" w:rsidR="000E48CE" w:rsidRDefault="00FF4C4E">
      <w:pPr>
        <w:pStyle w:val="P68B1DB1-Normal4"/>
        <w:spacing w:before="120" w:after="120" w:line="240" w:lineRule="auto"/>
        <w:jc w:val="both"/>
        <w:rPr>
          <w:rFonts w:cs="Times New Roman"/>
          <w:noProof/>
        </w:rPr>
      </w:pPr>
      <w:r>
        <w:rPr>
          <w:noProof/>
        </w:rPr>
        <w:t xml:space="preserve">Uudistuksen tavoitteena on vahvistaa sääntöjä sellaisten veronkiertokäytäntöjen torjumiseksi, jotka vaikuttavat suoraan sisämarkkinoiden toimintaan, sekä muuttaa välillistä ja välitöntä verotusta, tiettyjä paikallishallinnon </w:t>
      </w:r>
      <w:r>
        <w:rPr>
          <w:noProof/>
        </w:rPr>
        <w:t>veroja ja rahapelien sääntelyä. Uudistuksella muutetaan asetusta, jonka tarkoituksena on vahvistaa vero-oikeudenmukaisuuden parametrit ja helpottaa toimia petosten ehkäisemiseksi ja torjumiseksi vahvistamalla verovalvontaa.</w:t>
      </w:r>
    </w:p>
    <w:p w14:paraId="3D638B74" w14:textId="77777777" w:rsidR="000E48CE" w:rsidRDefault="00FF4C4E">
      <w:pPr>
        <w:pStyle w:val="P68B1DB1-Normal4"/>
        <w:spacing w:before="120" w:after="120" w:line="240" w:lineRule="auto"/>
        <w:jc w:val="both"/>
        <w:rPr>
          <w:rFonts w:cs="Times New Roman"/>
          <w:noProof/>
        </w:rPr>
      </w:pPr>
      <w:r>
        <w:rPr>
          <w:noProof/>
        </w:rPr>
        <w:t>Uudistus koostuu veronkierron ja</w:t>
      </w:r>
      <w:r>
        <w:rPr>
          <w:noProof/>
        </w:rPr>
        <w:t xml:space="preserve"> petosten torjuntaa koskevan lain hyväksymisestä ja voimaantulosta.</w:t>
      </w:r>
    </w:p>
    <w:p w14:paraId="2EE9C878" w14:textId="77777777" w:rsidR="000E48CE" w:rsidRDefault="00FF4C4E">
      <w:pPr>
        <w:pStyle w:val="P68B1DB1-ListParagraph7"/>
        <w:numPr>
          <w:ilvl w:val="0"/>
          <w:numId w:val="162"/>
        </w:numPr>
        <w:spacing w:before="120" w:after="120" w:line="240" w:lineRule="auto"/>
        <w:jc w:val="both"/>
        <w:rPr>
          <w:rFonts w:cs="Times New Roman"/>
          <w:noProof/>
        </w:rPr>
      </w:pPr>
      <w:r>
        <w:rPr>
          <w:noProof/>
        </w:rPr>
        <w:t>Laajentaa niiden tapahtumien laajuutta, joissa sähköiset maksut hyväksytään (allekirjoitukset ja ammattilaiset), ja asettaa lakisääteisen kynnysarvon käteismaksuille;</w:t>
      </w:r>
    </w:p>
    <w:p w14:paraId="59BC6993" w14:textId="77777777" w:rsidR="000E48CE" w:rsidRDefault="00FF4C4E">
      <w:pPr>
        <w:pStyle w:val="P68B1DB1-ListParagraph7"/>
        <w:numPr>
          <w:ilvl w:val="0"/>
          <w:numId w:val="162"/>
        </w:numPr>
        <w:spacing w:before="120" w:after="120" w:line="240" w:lineRule="auto"/>
        <w:jc w:val="both"/>
        <w:rPr>
          <w:rFonts w:cs="Times New Roman"/>
          <w:noProof/>
        </w:rPr>
      </w:pPr>
      <w:r>
        <w:rPr>
          <w:noProof/>
        </w:rPr>
        <w:t>Päivittää veroparatii</w:t>
      </w:r>
      <w:r>
        <w:rPr>
          <w:noProof/>
        </w:rPr>
        <w:t>sien luetteloa avoimuuden, verottamatta jättämisen ja haitallisten verojärjestelmien kriteerien mukaisesti;</w:t>
      </w:r>
    </w:p>
    <w:p w14:paraId="2C2B1F45" w14:textId="77777777" w:rsidR="000E48CE" w:rsidRDefault="00FF4C4E">
      <w:pPr>
        <w:pStyle w:val="P68B1DB1-ListParagraph7"/>
        <w:numPr>
          <w:ilvl w:val="0"/>
          <w:numId w:val="162"/>
        </w:numPr>
        <w:spacing w:before="120" w:after="120" w:line="240" w:lineRule="auto"/>
        <w:jc w:val="both"/>
        <w:rPr>
          <w:rFonts w:cs="Times New Roman"/>
          <w:noProof/>
        </w:rPr>
      </w:pPr>
      <w:r>
        <w:rPr>
          <w:noProof/>
        </w:rPr>
        <w:t>Tekee muutoksia sääntöihin, jotka koskevat verorästeistä kärsivien henkilöiden tekemistä;</w:t>
      </w:r>
    </w:p>
    <w:p w14:paraId="0D5B5F01" w14:textId="77777777" w:rsidR="000E48CE" w:rsidRDefault="00FF4C4E">
      <w:pPr>
        <w:pStyle w:val="P68B1DB1-ListParagraph7"/>
        <w:numPr>
          <w:ilvl w:val="0"/>
          <w:numId w:val="162"/>
        </w:numPr>
        <w:spacing w:before="120" w:after="120" w:line="240" w:lineRule="auto"/>
        <w:jc w:val="both"/>
        <w:rPr>
          <w:rFonts w:cs="Times New Roman"/>
          <w:noProof/>
        </w:rPr>
      </w:pPr>
      <w:r>
        <w:rPr>
          <w:noProof/>
        </w:rPr>
        <w:t>Ottaa käyttöön ”kaksikäyttöohjelmistoja” koskevan kiellon;</w:t>
      </w:r>
    </w:p>
    <w:p w14:paraId="0558610A" w14:textId="77777777" w:rsidR="000E48CE" w:rsidRDefault="00FF4C4E">
      <w:pPr>
        <w:pStyle w:val="P68B1DB1-ListParagraph7"/>
        <w:numPr>
          <w:ilvl w:val="0"/>
          <w:numId w:val="162"/>
        </w:numPr>
        <w:spacing w:before="120" w:after="120" w:line="240" w:lineRule="auto"/>
        <w:jc w:val="both"/>
        <w:rPr>
          <w:rFonts w:cs="Times New Roman"/>
          <w:noProof/>
        </w:rPr>
      </w:pPr>
      <w:r>
        <w:rPr>
          <w:noProof/>
        </w:rPr>
        <w:t>Otetaan käyttöön viitearvo kiinteistöverotuksessa veropohjalle.</w:t>
      </w:r>
    </w:p>
    <w:p w14:paraId="2A8F6E89" w14:textId="77777777" w:rsidR="000E48CE" w:rsidRDefault="00FF4C4E">
      <w:pPr>
        <w:pStyle w:val="P68B1DB1-Normal4"/>
        <w:spacing w:before="120" w:after="120" w:line="240" w:lineRule="auto"/>
        <w:jc w:val="both"/>
        <w:rPr>
          <w:rFonts w:cs="Times New Roman"/>
          <w:noProof/>
        </w:rPr>
      </w:pPr>
      <w:r>
        <w:rPr>
          <w:noProof/>
        </w:rPr>
        <w:t>Laki on annettava viimeistään 30 päivänä kesäkuuta 2021. Laki tulee voimaan viimeistään 30 päivänä kesäkuuta 2022. Uudistuksessa kaavaillaan lain väliaikaista arviointia 31. joulukuuta 2022 m</w:t>
      </w:r>
      <w:r>
        <w:rPr>
          <w:noProof/>
        </w:rPr>
        <w:t>ennessä, ja arvioinnin perusteella siihen saatetaan tehdä muutoksia vuonna 2023.</w:t>
      </w:r>
    </w:p>
    <w:p w14:paraId="5B90568F" w14:textId="77777777" w:rsidR="000E48CE" w:rsidRDefault="00FF4C4E">
      <w:pPr>
        <w:pStyle w:val="P68B1DB1-Normal6"/>
        <w:spacing w:before="120" w:after="120" w:line="240" w:lineRule="auto"/>
        <w:jc w:val="both"/>
        <w:rPr>
          <w:rFonts w:cs="Times New Roman"/>
          <w:noProof/>
        </w:rPr>
      </w:pPr>
      <w:r>
        <w:rPr>
          <w:noProof/>
        </w:rPr>
        <w:t>Uudistus 2 (C27.R2) – Veroviraston nykyaikaistaminen</w:t>
      </w:r>
    </w:p>
    <w:p w14:paraId="4B558F27" w14:textId="77777777" w:rsidR="000E48CE" w:rsidRDefault="00FF4C4E">
      <w:pPr>
        <w:pStyle w:val="P68B1DB1-Normal4"/>
        <w:spacing w:before="120" w:after="120" w:line="240" w:lineRule="auto"/>
        <w:jc w:val="both"/>
        <w:rPr>
          <w:rFonts w:cs="Times New Roman"/>
          <w:noProof/>
        </w:rPr>
      </w:pPr>
      <w:r>
        <w:rPr>
          <w:noProof/>
        </w:rPr>
        <w:t>Verovirasto vastaa valtion verojärjestelmän ja tullijärjestelmän täytäntöönpanosta, ja se harjoittaa toimintaansa strategi</w:t>
      </w:r>
      <w:r>
        <w:rPr>
          <w:noProof/>
        </w:rPr>
        <w:t>sen suunnitelman 2020–2023 puitteissa. Tätä strategista suunnitelmaa, joka perustuu laajalti tietoteknisten ratkaisujen käyttöön, tarkistetaan vuosittain sen varmistamiseksi, että se mukautetaan uuteen veropolitiikan kehitykseen, tietolähteisiin, veronmaks</w:t>
      </w:r>
      <w:r>
        <w:rPr>
          <w:noProof/>
        </w:rPr>
        <w:t>ajien käyttäytymiseen ja teknologiseen kehitykseen. Uudistuksen tavoitteena on tukea vuosia 2020–2023 koskevan strategisen suunnitelman täytäntöönpanoa ja vuotuista uudelleentarkastelua. Suunnitelman tavoitteena on nykyaikaistaa virastojen palvelujen tarjo</w:t>
      </w:r>
      <w:r>
        <w:rPr>
          <w:noProof/>
        </w:rPr>
        <w:t xml:space="preserve">ntaa veropetosten ja veronkierron vähentämiseksi. Uudistus 2 on tiiviisti vuorovaikutuksessa muiden tähän osa-alueeseen liittyvien uudistusten kanssa. Uudistukseen on sisällyttävä </w:t>
      </w:r>
    </w:p>
    <w:p w14:paraId="2C61B7E4" w14:textId="77777777" w:rsidR="000E48CE" w:rsidRDefault="00FF4C4E">
      <w:pPr>
        <w:pStyle w:val="P68B1DB1-ListParagraph7"/>
        <w:numPr>
          <w:ilvl w:val="0"/>
          <w:numId w:val="788"/>
        </w:numPr>
        <w:spacing w:before="120" w:after="120" w:line="240" w:lineRule="auto"/>
        <w:jc w:val="both"/>
        <w:rPr>
          <w:rFonts w:cs="Times New Roman"/>
          <w:noProof/>
        </w:rPr>
      </w:pPr>
      <w:r>
        <w:rPr>
          <w:noProof/>
        </w:rPr>
        <w:t xml:space="preserve">Lisätään veroviraston henkilöresursseja sen keskipitkän aikavälin tarpeiden mukaisesti ja </w:t>
      </w:r>
    </w:p>
    <w:p w14:paraId="3BD86ECF" w14:textId="77777777" w:rsidR="000E48CE" w:rsidRDefault="00FF4C4E">
      <w:pPr>
        <w:pStyle w:val="P68B1DB1-ListParagraph7"/>
        <w:numPr>
          <w:ilvl w:val="0"/>
          <w:numId w:val="788"/>
        </w:numPr>
        <w:spacing w:before="120" w:after="120" w:line="240" w:lineRule="auto"/>
        <w:jc w:val="both"/>
        <w:rPr>
          <w:rFonts w:cs="Times New Roman"/>
          <w:noProof/>
        </w:rPr>
      </w:pPr>
      <w:r>
        <w:rPr>
          <w:noProof/>
        </w:rPr>
        <w:t xml:space="preserve">Viraston rakennusten uudelleentarkastelun toteuttaminen teknologian nykyaikaistamiseksi ja energiatehokkuuden lisäämiseksi. </w:t>
      </w:r>
    </w:p>
    <w:p w14:paraId="791FD1E3" w14:textId="77777777" w:rsidR="000E48CE" w:rsidRDefault="00FF4C4E">
      <w:pPr>
        <w:pStyle w:val="P68B1DB1-Normal4"/>
        <w:spacing w:before="120" w:after="120" w:line="240" w:lineRule="auto"/>
        <w:jc w:val="both"/>
        <w:rPr>
          <w:rFonts w:cs="Times New Roman"/>
          <w:noProof/>
        </w:rPr>
      </w:pPr>
      <w:r>
        <w:rPr>
          <w:noProof/>
        </w:rPr>
        <w:t>Uudistus on pantava täytäntöön 31 päivää</w:t>
      </w:r>
      <w:r>
        <w:rPr>
          <w:noProof/>
        </w:rPr>
        <w:t>n joulukuuta 2023 mennessä.</w:t>
      </w:r>
    </w:p>
    <w:p w14:paraId="54C3F7BC" w14:textId="77777777" w:rsidR="000E48CE" w:rsidRDefault="00FF4C4E">
      <w:pPr>
        <w:pStyle w:val="P68B1DB1-Normal6"/>
        <w:spacing w:before="120" w:after="120" w:line="240" w:lineRule="auto"/>
        <w:jc w:val="both"/>
        <w:rPr>
          <w:rFonts w:cs="Times New Roman"/>
          <w:noProof/>
        </w:rPr>
      </w:pPr>
      <w:r>
        <w:rPr>
          <w:noProof/>
        </w:rPr>
        <w:t>Uudistus 3 (C27.R3) – Vahvistettu apu veronmaksajille</w:t>
      </w:r>
    </w:p>
    <w:p w14:paraId="7D03D450" w14:textId="77777777" w:rsidR="000E48CE" w:rsidRDefault="00FF4C4E">
      <w:pPr>
        <w:pStyle w:val="P68B1DB1-Normal4"/>
        <w:spacing w:before="120" w:after="120" w:line="240" w:lineRule="auto"/>
        <w:jc w:val="both"/>
        <w:rPr>
          <w:rFonts w:cs="Times New Roman"/>
          <w:noProof/>
        </w:rPr>
      </w:pPr>
      <w:r>
        <w:rPr>
          <w:noProof/>
        </w:rPr>
        <w:t>Uudistuksen tavoitteena on parantaa veronmaksajille annettavaa apua. Keskeinen osa veroviraston strategiaa vuosiksi 2020–2023 on parantaa veronmaksajille tarjottavia palveluj</w:t>
      </w:r>
      <w:r>
        <w:rPr>
          <w:noProof/>
        </w:rPr>
        <w:t>a lisäämällä sähköisten alustojen käyttöä (ns. ADDI, Integraalinen digitaalihallinto). Uudistuksessa tarjotaan uusia palveluja, joilla helpotetaan yritys- ja henkilötuloverotusta sekä alv-verotusta. Uusia palveluja ovat muun muassa tehostetut viestintämene</w:t>
      </w:r>
      <w:r>
        <w:rPr>
          <w:noProof/>
        </w:rPr>
        <w:t>telmät, neuvontapalvelut ja käyttäjien tietoihin tutustuminen sekä veroilmoitukset ja palautusten käsittely. Tällaisten palvelujen tarjontaa on tarkoitus lisätä kolmessa vaiheessa vuosina 2021–2023 tavoitteena, että yhä useammat asiakkaat valitsevat asteit</w:t>
      </w:r>
      <w:r>
        <w:rPr>
          <w:noProof/>
        </w:rPr>
        <w:t xml:space="preserve">tain sähköisten palvelujen käytön sen sijaan, että he vierailevat paikallisissa verotoimistoissaan. Näillä toimenpiteillä virasto pyrkii helpottamaan asiakkaidensa verolain noudattamista ja siten lisäämään verotuloja. </w:t>
      </w:r>
    </w:p>
    <w:p w14:paraId="16F50C48" w14:textId="77777777" w:rsidR="000E48CE" w:rsidRDefault="00FF4C4E">
      <w:pPr>
        <w:pStyle w:val="P68B1DB1-Normal4"/>
        <w:spacing w:before="120" w:after="120" w:line="240" w:lineRule="auto"/>
        <w:jc w:val="both"/>
        <w:rPr>
          <w:rFonts w:cs="Times New Roman"/>
          <w:noProof/>
        </w:rPr>
      </w:pPr>
      <w:r>
        <w:rPr>
          <w:noProof/>
        </w:rPr>
        <w:t>Uudistuksen toteutus on määrä saattaa</w:t>
      </w:r>
      <w:r>
        <w:rPr>
          <w:noProof/>
        </w:rPr>
        <w:t xml:space="preserve"> päätökseen 31. joulukuuta 2023 mennessä.</w:t>
      </w:r>
    </w:p>
    <w:p w14:paraId="51E4EC83" w14:textId="77777777" w:rsidR="000E48CE" w:rsidRDefault="00FF4C4E">
      <w:pPr>
        <w:pStyle w:val="P68B1DB1-Normal6"/>
        <w:spacing w:before="120" w:after="120" w:line="240" w:lineRule="auto"/>
        <w:jc w:val="both"/>
        <w:rPr>
          <w:rFonts w:cs="Times New Roman"/>
          <w:noProof/>
        </w:rPr>
      </w:pPr>
      <w:r>
        <w:rPr>
          <w:noProof/>
        </w:rPr>
        <w:t>Uudistus 4 (C27.R4) – Kansainvälinen ulottuvuus</w:t>
      </w:r>
    </w:p>
    <w:p w14:paraId="56524CEF" w14:textId="77777777" w:rsidR="000E48CE" w:rsidRDefault="00FF4C4E">
      <w:pPr>
        <w:pStyle w:val="P68B1DB1-Normal4"/>
        <w:spacing w:before="120" w:after="120" w:line="240" w:lineRule="auto"/>
        <w:jc w:val="both"/>
        <w:rPr>
          <w:rFonts w:cs="Times New Roman"/>
          <w:noProof/>
        </w:rPr>
      </w:pPr>
      <w:r>
        <w:rPr>
          <w:noProof/>
        </w:rPr>
        <w:t>Uudistuksen tavoitteena on lisätä ja optimoida tietojärjestelmien käyttöä kansainvälisessä yhteistyössä veropetosten ja veronkierron torjumiseksi. Uudistuksessa, joka</w:t>
      </w:r>
      <w:r>
        <w:rPr>
          <w:noProof/>
        </w:rPr>
        <w:t xml:space="preserve"> perustuu alan kansainvälisiin sopimuksiin, toteutetaan toimenpiteitä, joilla helpotetaan veronmaksajien verovelvoitteiden (myös henkilökohtaisten tuloverojen) noudattamista, tehostetaan pimeän toiminnan ja harmaan talouden torjuntaa sekä tarkastellaan eri</w:t>
      </w:r>
      <w:r>
        <w:rPr>
          <w:noProof/>
        </w:rPr>
        <w:t xml:space="preserve"> maista saatujen tietojen laatua ja hyödyllisyyttä. Nämä tavoitteet on tarkoitus saavuttaa lisäämällä kehittyneempien tietojärjestelmien käyttöä ja ottamalla käyttöön veronmaksajille tarjottavia verkkopalveluja. </w:t>
      </w:r>
    </w:p>
    <w:p w14:paraId="2E5E4385" w14:textId="77777777" w:rsidR="000E48CE" w:rsidRDefault="00FF4C4E">
      <w:pPr>
        <w:pStyle w:val="P68B1DB1-Normal4"/>
        <w:spacing w:before="120" w:after="120" w:line="240" w:lineRule="auto"/>
        <w:jc w:val="both"/>
        <w:rPr>
          <w:rFonts w:cs="Times New Roman"/>
          <w:noProof/>
        </w:rPr>
      </w:pPr>
      <w:r>
        <w:rPr>
          <w:noProof/>
        </w:rPr>
        <w:t>Uudistus on pantava täytäntöön 31 päivään j</w:t>
      </w:r>
      <w:r>
        <w:rPr>
          <w:noProof/>
        </w:rPr>
        <w:t>oulukuuta 2021 mennessä.</w:t>
      </w:r>
    </w:p>
    <w:p w14:paraId="7150FEDC" w14:textId="77777777" w:rsidR="000E48CE" w:rsidRDefault="00FF4C4E">
      <w:pPr>
        <w:pStyle w:val="P68B1DB1-Normal6"/>
        <w:spacing w:before="120" w:after="120" w:line="240" w:lineRule="auto"/>
        <w:jc w:val="both"/>
        <w:rPr>
          <w:rFonts w:cs="Times New Roman"/>
          <w:noProof/>
        </w:rPr>
      </w:pPr>
      <w:r>
        <w:rPr>
          <w:noProof/>
        </w:rPr>
        <w:t>Uudistus 5 (C27.R5) – Osuustoimintamalli</w:t>
      </w:r>
    </w:p>
    <w:p w14:paraId="4B4E2AF1" w14:textId="77777777" w:rsidR="000E48CE" w:rsidRDefault="00FF4C4E">
      <w:pPr>
        <w:pStyle w:val="P68B1DB1-Normal4"/>
        <w:spacing w:before="120" w:after="120" w:line="240" w:lineRule="auto"/>
        <w:jc w:val="both"/>
        <w:rPr>
          <w:rFonts w:cs="Times New Roman"/>
          <w:noProof/>
        </w:rPr>
      </w:pPr>
      <w:r>
        <w:rPr>
          <w:noProof/>
        </w:rPr>
        <w:t xml:space="preserve">Uudistuksen tavoitteena on parantaa veroviraston suhteita sen sidosryhmiin, kuten suuryrityksiin, pk-yrityksiin, itsenäisiin ammatinharjoittajiin ja asiaankuuluviin yhdistyksiin sekä </w:t>
      </w:r>
      <w:r>
        <w:rPr>
          <w:noProof/>
        </w:rPr>
        <w:t>oikeusjärjestelmään, jotta verovelvoitteita noudatettaisiin paremmin. Veronmaksajien osalta virasto pyrkii parantamaan yhteistyötä ja parantamaan sääntöjen noudattamista vapaaehtoisten verotuksen avoimuutta koskevien raporttien avulla. Yhteistyön tuomarien</w:t>
      </w:r>
      <w:r>
        <w:rPr>
          <w:noProof/>
        </w:rPr>
        <w:t>, syyttäjien ja tuomioistuinten kanssa odotetaan lisääntyvän lisäämällä verotutkintaa.</w:t>
      </w:r>
    </w:p>
    <w:p w14:paraId="10D2447B" w14:textId="77777777" w:rsidR="000E48CE" w:rsidRDefault="00FF4C4E">
      <w:pPr>
        <w:pStyle w:val="P68B1DB1-Normal4"/>
        <w:spacing w:before="120" w:after="120" w:line="240" w:lineRule="auto"/>
        <w:jc w:val="both"/>
        <w:rPr>
          <w:rFonts w:cs="Times New Roman"/>
          <w:noProof/>
        </w:rPr>
      </w:pPr>
      <w:r>
        <w:rPr>
          <w:noProof/>
        </w:rPr>
        <w:t>Uudistus on pantava täytäntöön 31 päivään joulukuuta 2021 mennessä.</w:t>
      </w:r>
    </w:p>
    <w:p w14:paraId="6D99EFDB" w14:textId="77777777" w:rsidR="000E48CE" w:rsidRDefault="00FF4C4E">
      <w:pPr>
        <w:pStyle w:val="P68B1DB1-Text138"/>
        <w:ind w:left="709"/>
        <w:rPr>
          <w:rFonts w:cs="Times New Roman"/>
          <w:noProof/>
        </w:rPr>
      </w:pPr>
      <w:r>
        <w:rPr>
          <w:noProof/>
        </w:rPr>
        <w:t xml:space="preserve">AA.2 </w:t>
      </w:r>
      <w:r>
        <w:rPr>
          <w:noProof/>
        </w:rPr>
        <w:tab/>
        <w:t xml:space="preserve">Seurantaa ja täytäntöönpanoa koskevat välitavoitteet, tavoitteet, indikaattorit ja aikataulu – </w:t>
      </w:r>
      <w:r>
        <w:rPr>
          <w:noProof/>
        </w:rPr>
        <w:t>rahoitustuki, jota ei makseta takaisin</w:t>
      </w:r>
    </w:p>
    <w:p w14:paraId="4593A835" w14:textId="77777777" w:rsidR="000E48CE" w:rsidRDefault="00FF4C4E">
      <w:pPr>
        <w:pStyle w:val="P68B1DB1-Normal4"/>
        <w:spacing w:before="120" w:after="120" w:line="240" w:lineRule="auto"/>
        <w:rPr>
          <w:rFonts w:cs="Times New Roman"/>
          <w:i/>
          <w:noProof/>
        </w:rPr>
        <w:sectPr w:rsidR="000E48CE" w:rsidSect="00C94F66">
          <w:headerReference w:type="even" r:id="rId507"/>
          <w:headerReference w:type="default" r:id="rId508"/>
          <w:footerReference w:type="even" r:id="rId509"/>
          <w:footerReference w:type="default" r:id="rId510"/>
          <w:headerReference w:type="first" r:id="rId511"/>
          <w:footerReference w:type="first" r:id="rId512"/>
          <w:pgSz w:w="11907" w:h="16839"/>
          <w:pgMar w:top="1134" w:right="1417" w:bottom="1134" w:left="1417" w:header="709" w:footer="709" w:gutter="0"/>
          <w:cols w:space="720"/>
          <w:docGrid w:linePitch="360"/>
        </w:sectPr>
      </w:pPr>
      <w:r>
        <w:rPr>
          <w:i/>
          <w:noProof/>
        </w:rPr>
        <w:t>Ks. taulukko jäljempänä.</w:t>
      </w:r>
      <w:r>
        <w:rPr>
          <w:noProof/>
        </w:rPr>
        <w:t xml:space="preserve"> </w:t>
      </w:r>
      <w:r>
        <w:rPr>
          <w:i/>
          <w:noProof/>
        </w:rPr>
        <w:t>Kaikkien indikaattoreiden perustaso on 1. helmikuuta 2020, ellei toimen kuvauksessa toisin ilmoiteta. Taulukossa esitetyt määrät eiv</w:t>
      </w:r>
      <w:r>
        <w:rPr>
          <w:i/>
          <w:noProof/>
        </w:rPr>
        <w:t>ät sisällä arvonlisäveroa.</w:t>
      </w:r>
    </w:p>
    <w:tbl>
      <w:tblPr>
        <w:tblpPr w:leftFromText="180" w:rightFromText="180" w:vertAnchor="text" w:tblpXSpec="right" w:tblpY="1"/>
        <w:tblOverlap w:val="neve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708"/>
        <w:gridCol w:w="709"/>
        <w:gridCol w:w="425"/>
        <w:gridCol w:w="709"/>
        <w:gridCol w:w="5131"/>
      </w:tblGrid>
      <w:tr w:rsidR="000E48CE" w14:paraId="65222294" w14:textId="77777777">
        <w:trPr>
          <w:trHeight w:val="309"/>
          <w:tblHeader/>
        </w:trPr>
        <w:tc>
          <w:tcPr>
            <w:tcW w:w="709" w:type="dxa"/>
            <w:tcBorders>
              <w:bottom w:val="nil"/>
            </w:tcBorders>
            <w:shd w:val="clear" w:color="auto" w:fill="C6D9F1" w:themeFill="text2" w:themeFillTint="33"/>
            <w:noWrap/>
          </w:tcPr>
          <w:p w14:paraId="4CA8D8A3" w14:textId="77777777" w:rsidR="000E48CE" w:rsidRDefault="00FF4C4E">
            <w:pPr>
              <w:pStyle w:val="P68B1DB1-Normal12"/>
              <w:spacing w:after="0"/>
              <w:jc w:val="center"/>
              <w:rPr>
                <w:rFonts w:cs="Times New Roman"/>
                <w:noProof/>
              </w:rPr>
            </w:pPr>
            <w:r>
              <w:rPr>
                <w:noProof/>
              </w:rPr>
              <w:t>Määrä</w:t>
            </w:r>
          </w:p>
        </w:tc>
        <w:tc>
          <w:tcPr>
            <w:tcW w:w="851" w:type="dxa"/>
            <w:tcBorders>
              <w:bottom w:val="nil"/>
            </w:tcBorders>
            <w:shd w:val="clear" w:color="auto" w:fill="C6D9F1" w:themeFill="text2" w:themeFillTint="33"/>
            <w:noWrap/>
          </w:tcPr>
          <w:p w14:paraId="048BC7D3" w14:textId="77777777" w:rsidR="000E48CE" w:rsidRDefault="00FF4C4E">
            <w:pPr>
              <w:pStyle w:val="P68B1DB1-Normal12"/>
              <w:spacing w:after="0"/>
              <w:jc w:val="center"/>
              <w:rPr>
                <w:rFonts w:cs="Times New Roman"/>
                <w:noProof/>
              </w:rPr>
            </w:pPr>
            <w:r>
              <w:rPr>
                <w:noProof/>
              </w:rPr>
              <w:t>Toimenpide</w:t>
            </w:r>
          </w:p>
        </w:tc>
        <w:tc>
          <w:tcPr>
            <w:tcW w:w="850" w:type="dxa"/>
            <w:tcBorders>
              <w:bottom w:val="nil"/>
            </w:tcBorders>
            <w:shd w:val="clear" w:color="auto" w:fill="C6D9F1" w:themeFill="text2" w:themeFillTint="33"/>
            <w:noWrap/>
          </w:tcPr>
          <w:p w14:paraId="017D9EA1" w14:textId="77777777" w:rsidR="000E48CE" w:rsidRDefault="00FF4C4E">
            <w:pPr>
              <w:pStyle w:val="P68B1DB1-Normal12"/>
              <w:spacing w:after="0"/>
              <w:jc w:val="center"/>
              <w:rPr>
                <w:rFonts w:cs="Times New Roman"/>
                <w:noProof/>
              </w:rPr>
            </w:pPr>
            <w:r>
              <w:rPr>
                <w:noProof/>
              </w:rPr>
              <w:t>Välitavoite</w:t>
            </w:r>
            <w:r>
              <w:rPr>
                <w:noProof/>
              </w:rPr>
              <w:br/>
              <w:t xml:space="preserve"> /Kohde</w:t>
            </w:r>
          </w:p>
        </w:tc>
        <w:tc>
          <w:tcPr>
            <w:tcW w:w="2977" w:type="dxa"/>
            <w:tcBorders>
              <w:bottom w:val="nil"/>
            </w:tcBorders>
            <w:shd w:val="clear" w:color="auto" w:fill="C6D9F1" w:themeFill="text2" w:themeFillTint="33"/>
            <w:noWrap/>
          </w:tcPr>
          <w:p w14:paraId="4B3B4A13" w14:textId="77777777" w:rsidR="000E48CE" w:rsidRDefault="00FF4C4E">
            <w:pPr>
              <w:pStyle w:val="P68B1DB1-Normal12"/>
              <w:spacing w:after="0"/>
              <w:jc w:val="center"/>
              <w:rPr>
                <w:rFonts w:cs="Times New Roman"/>
                <w:noProof/>
              </w:rPr>
            </w:pPr>
            <w:r>
              <w:rPr>
                <w:noProof/>
              </w:rPr>
              <w:t>Nimi</w:t>
            </w:r>
          </w:p>
        </w:tc>
        <w:tc>
          <w:tcPr>
            <w:tcW w:w="1134" w:type="dxa"/>
            <w:tcBorders>
              <w:bottom w:val="nil"/>
            </w:tcBorders>
            <w:shd w:val="clear" w:color="auto" w:fill="C6D9F1" w:themeFill="text2" w:themeFillTint="33"/>
            <w:noWrap/>
          </w:tcPr>
          <w:p w14:paraId="3C958E99" w14:textId="77777777" w:rsidR="000E48CE" w:rsidRDefault="00FF4C4E">
            <w:pPr>
              <w:pStyle w:val="P68B1DB1-Normal12"/>
              <w:spacing w:after="0"/>
              <w:jc w:val="center"/>
              <w:rPr>
                <w:rFonts w:cs="Times New Roman"/>
                <w:noProof/>
              </w:rPr>
            </w:pPr>
            <w:r>
              <w:rPr>
                <w:noProof/>
              </w:rPr>
              <w:t>Välitavoitteiden laadullinen indikaattori</w:t>
            </w:r>
          </w:p>
        </w:tc>
        <w:tc>
          <w:tcPr>
            <w:tcW w:w="2268" w:type="dxa"/>
            <w:gridSpan w:val="3"/>
            <w:shd w:val="clear" w:color="auto" w:fill="C6D9F1" w:themeFill="text2" w:themeFillTint="33"/>
            <w:noWrap/>
          </w:tcPr>
          <w:p w14:paraId="508C64C3" w14:textId="77777777" w:rsidR="000E48CE" w:rsidRDefault="00FF4C4E">
            <w:pPr>
              <w:pStyle w:val="P68B1DB1-Normal12"/>
              <w:spacing w:after="0"/>
              <w:jc w:val="center"/>
              <w:rPr>
                <w:rFonts w:cs="Times New Roman"/>
                <w:noProof/>
              </w:rPr>
            </w:pPr>
            <w:r>
              <w:rPr>
                <w:noProof/>
              </w:rPr>
              <w:t>Määrällinen indikaattori tavoitteelle</w:t>
            </w:r>
          </w:p>
        </w:tc>
        <w:tc>
          <w:tcPr>
            <w:tcW w:w="1134" w:type="dxa"/>
            <w:gridSpan w:val="2"/>
            <w:shd w:val="clear" w:color="auto" w:fill="C6D9F1" w:themeFill="text2" w:themeFillTint="33"/>
            <w:noWrap/>
          </w:tcPr>
          <w:p w14:paraId="35027D3C" w14:textId="77777777" w:rsidR="000E48CE" w:rsidRDefault="00FF4C4E">
            <w:pPr>
              <w:pStyle w:val="P68B1DB1-Normal12"/>
              <w:spacing w:after="0"/>
              <w:jc w:val="center"/>
              <w:rPr>
                <w:rFonts w:cs="Times New Roman"/>
                <w:noProof/>
              </w:rPr>
            </w:pPr>
            <w:r>
              <w:rPr>
                <w:noProof/>
              </w:rPr>
              <w:t>Aika</w:t>
            </w:r>
          </w:p>
        </w:tc>
        <w:tc>
          <w:tcPr>
            <w:tcW w:w="5131" w:type="dxa"/>
            <w:tcBorders>
              <w:bottom w:val="nil"/>
            </w:tcBorders>
            <w:shd w:val="clear" w:color="auto" w:fill="C6D9F1" w:themeFill="text2" w:themeFillTint="33"/>
            <w:noWrap/>
          </w:tcPr>
          <w:p w14:paraId="3B8B2BF5" w14:textId="77777777" w:rsidR="000E48CE" w:rsidRDefault="00FF4C4E">
            <w:pPr>
              <w:pStyle w:val="P68B1DB1-Normal12"/>
              <w:spacing w:after="0"/>
              <w:jc w:val="center"/>
              <w:rPr>
                <w:rFonts w:cs="Times New Roman"/>
                <w:noProof/>
              </w:rPr>
            </w:pPr>
            <w:r>
              <w:rPr>
                <w:noProof/>
              </w:rPr>
              <w:t>Kunkin välitavoitteen ja tavoitteen kuvaus</w:t>
            </w:r>
          </w:p>
        </w:tc>
      </w:tr>
      <w:tr w:rsidR="000E48CE" w14:paraId="6423CD2F" w14:textId="77777777">
        <w:trPr>
          <w:trHeight w:val="309"/>
          <w:tblHeader/>
        </w:trPr>
        <w:tc>
          <w:tcPr>
            <w:tcW w:w="709" w:type="dxa"/>
            <w:tcBorders>
              <w:top w:val="nil"/>
            </w:tcBorders>
            <w:shd w:val="clear" w:color="auto" w:fill="C6D9F1" w:themeFill="text2" w:themeFillTint="33"/>
            <w:noWrap/>
          </w:tcPr>
          <w:p w14:paraId="69957A07" w14:textId="77777777" w:rsidR="000E48CE" w:rsidRDefault="000E48CE">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6775ED2" w14:textId="77777777" w:rsidR="000E48CE" w:rsidRDefault="000E48CE">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C7D76EE" w14:textId="77777777" w:rsidR="000E48CE" w:rsidRDefault="000E48CE">
            <w:pPr>
              <w:spacing w:after="0"/>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04485DBC" w14:textId="77777777" w:rsidR="000E48CE" w:rsidRDefault="000E48CE">
            <w:pPr>
              <w:spacing w:after="0"/>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7409D88" w14:textId="77777777" w:rsidR="000E48CE" w:rsidRDefault="000E48CE">
            <w:pPr>
              <w:spacing w:after="0"/>
              <w:jc w:val="center"/>
              <w:rPr>
                <w:rFonts w:ascii="Times New Roman" w:hAnsi="Times New Roman" w:cs="Times New Roman"/>
                <w:b/>
                <w:noProof/>
                <w:sz w:val="18"/>
              </w:rPr>
            </w:pPr>
          </w:p>
        </w:tc>
        <w:tc>
          <w:tcPr>
            <w:tcW w:w="851" w:type="dxa"/>
            <w:shd w:val="clear" w:color="auto" w:fill="C6D9F1" w:themeFill="text2" w:themeFillTint="33"/>
            <w:noWrap/>
          </w:tcPr>
          <w:p w14:paraId="34E85900" w14:textId="77777777" w:rsidR="000E48CE" w:rsidRDefault="00FF4C4E">
            <w:pPr>
              <w:pStyle w:val="P68B1DB1-Normal12"/>
              <w:spacing w:after="0"/>
              <w:jc w:val="center"/>
              <w:rPr>
                <w:rFonts w:cs="Times New Roman"/>
                <w:noProof/>
              </w:rPr>
            </w:pPr>
            <w:r>
              <w:rPr>
                <w:noProof/>
              </w:rPr>
              <w:t>Yksikkö</w:t>
            </w:r>
          </w:p>
        </w:tc>
        <w:tc>
          <w:tcPr>
            <w:tcW w:w="708" w:type="dxa"/>
            <w:shd w:val="clear" w:color="auto" w:fill="C6D9F1" w:themeFill="text2" w:themeFillTint="33"/>
            <w:noWrap/>
          </w:tcPr>
          <w:p w14:paraId="50AB32BC" w14:textId="77777777" w:rsidR="000E48CE" w:rsidRDefault="00FF4C4E">
            <w:pPr>
              <w:pStyle w:val="P68B1DB1-Normal12"/>
              <w:spacing w:after="0"/>
              <w:jc w:val="center"/>
              <w:rPr>
                <w:rFonts w:cs="Times New Roman"/>
                <w:noProof/>
              </w:rPr>
            </w:pPr>
            <w:r>
              <w:rPr>
                <w:noProof/>
              </w:rPr>
              <w:t>Perusviiva</w:t>
            </w:r>
          </w:p>
        </w:tc>
        <w:tc>
          <w:tcPr>
            <w:tcW w:w="709" w:type="dxa"/>
            <w:shd w:val="clear" w:color="auto" w:fill="C6D9F1" w:themeFill="text2" w:themeFillTint="33"/>
            <w:noWrap/>
          </w:tcPr>
          <w:p w14:paraId="52C6390D" w14:textId="77777777" w:rsidR="000E48CE" w:rsidRDefault="00FF4C4E">
            <w:pPr>
              <w:pStyle w:val="P68B1DB1-Normal12"/>
              <w:spacing w:after="0"/>
              <w:jc w:val="center"/>
              <w:rPr>
                <w:rFonts w:cs="Times New Roman"/>
                <w:noProof/>
              </w:rPr>
            </w:pPr>
            <w:r>
              <w:rPr>
                <w:noProof/>
              </w:rPr>
              <w:t>Päämäärä</w:t>
            </w:r>
          </w:p>
        </w:tc>
        <w:tc>
          <w:tcPr>
            <w:tcW w:w="425" w:type="dxa"/>
            <w:shd w:val="clear" w:color="auto" w:fill="C6D9F1" w:themeFill="text2" w:themeFillTint="33"/>
            <w:noWrap/>
          </w:tcPr>
          <w:p w14:paraId="19879100" w14:textId="77777777" w:rsidR="000E48CE" w:rsidRDefault="00FF4C4E">
            <w:pPr>
              <w:pStyle w:val="P68B1DB1-Normal12"/>
              <w:spacing w:after="0"/>
              <w:jc w:val="center"/>
              <w:rPr>
                <w:rFonts w:cs="Times New Roman"/>
                <w:noProof/>
              </w:rPr>
            </w:pPr>
            <w:r>
              <w:rPr>
                <w:noProof/>
              </w:rPr>
              <w:t>Q</w:t>
            </w:r>
          </w:p>
        </w:tc>
        <w:tc>
          <w:tcPr>
            <w:tcW w:w="709" w:type="dxa"/>
            <w:shd w:val="clear" w:color="auto" w:fill="C6D9F1" w:themeFill="text2" w:themeFillTint="33"/>
            <w:noWrap/>
          </w:tcPr>
          <w:p w14:paraId="00D26859" w14:textId="77777777" w:rsidR="000E48CE" w:rsidRDefault="00FF4C4E">
            <w:pPr>
              <w:pStyle w:val="P68B1DB1-Normal12"/>
              <w:spacing w:after="0"/>
              <w:jc w:val="center"/>
              <w:rPr>
                <w:rFonts w:cs="Times New Roman"/>
                <w:noProof/>
              </w:rPr>
            </w:pPr>
            <w:r>
              <w:rPr>
                <w:noProof/>
              </w:rPr>
              <w:t>Vuosi</w:t>
            </w:r>
          </w:p>
        </w:tc>
        <w:tc>
          <w:tcPr>
            <w:tcW w:w="5131" w:type="dxa"/>
            <w:tcBorders>
              <w:top w:val="nil"/>
            </w:tcBorders>
            <w:shd w:val="clear" w:color="auto" w:fill="C6D9F1" w:themeFill="text2" w:themeFillTint="33"/>
            <w:noWrap/>
          </w:tcPr>
          <w:p w14:paraId="22F9CC6A" w14:textId="77777777" w:rsidR="000E48CE" w:rsidRDefault="000E48CE">
            <w:pPr>
              <w:spacing w:after="0"/>
              <w:rPr>
                <w:rFonts w:ascii="Times New Roman" w:hAnsi="Times New Roman" w:cs="Times New Roman"/>
                <w:b/>
                <w:noProof/>
                <w:sz w:val="18"/>
              </w:rPr>
            </w:pPr>
          </w:p>
        </w:tc>
      </w:tr>
      <w:tr w:rsidR="000E48CE" w14:paraId="3209D1B2" w14:textId="77777777">
        <w:trPr>
          <w:trHeight w:val="309"/>
        </w:trPr>
        <w:tc>
          <w:tcPr>
            <w:tcW w:w="709" w:type="dxa"/>
            <w:shd w:val="clear" w:color="auto" w:fill="C6EFCE"/>
            <w:noWrap/>
          </w:tcPr>
          <w:p w14:paraId="4C835EC6" w14:textId="77777777" w:rsidR="000E48CE" w:rsidRDefault="00FF4C4E">
            <w:pPr>
              <w:pStyle w:val="P68B1DB1-Normal13"/>
              <w:spacing w:after="0"/>
              <w:jc w:val="center"/>
              <w:rPr>
                <w:rFonts w:cs="Times New Roman"/>
                <w:noProof/>
              </w:rPr>
            </w:pPr>
            <w:r>
              <w:rPr>
                <w:noProof/>
              </w:rPr>
              <w:t>376</w:t>
            </w:r>
          </w:p>
        </w:tc>
        <w:tc>
          <w:tcPr>
            <w:tcW w:w="851" w:type="dxa"/>
            <w:shd w:val="clear" w:color="auto" w:fill="C6EFCE"/>
            <w:noWrap/>
          </w:tcPr>
          <w:p w14:paraId="66D7BA3A" w14:textId="77777777" w:rsidR="000E48CE" w:rsidRDefault="00FF4C4E">
            <w:pPr>
              <w:pStyle w:val="P68B1DB1-Normal13"/>
              <w:spacing w:after="0"/>
              <w:jc w:val="center"/>
              <w:rPr>
                <w:rFonts w:cs="Times New Roman"/>
                <w:noProof/>
              </w:rPr>
            </w:pPr>
            <w:r>
              <w:rPr>
                <w:noProof/>
              </w:rPr>
              <w:t>C27.R1</w:t>
            </w:r>
          </w:p>
        </w:tc>
        <w:tc>
          <w:tcPr>
            <w:tcW w:w="850" w:type="dxa"/>
            <w:shd w:val="clear" w:color="auto" w:fill="C6EFCE"/>
            <w:noWrap/>
          </w:tcPr>
          <w:p w14:paraId="7D103D46" w14:textId="77777777" w:rsidR="000E48CE" w:rsidRDefault="00FF4C4E">
            <w:pPr>
              <w:pStyle w:val="P68B1DB1-Normal13"/>
              <w:spacing w:after="0"/>
              <w:jc w:val="center"/>
              <w:rPr>
                <w:rFonts w:cs="Times New Roman"/>
                <w:noProof/>
              </w:rPr>
            </w:pPr>
            <w:r>
              <w:rPr>
                <w:noProof/>
              </w:rPr>
              <w:t>M</w:t>
            </w:r>
          </w:p>
        </w:tc>
        <w:tc>
          <w:tcPr>
            <w:tcW w:w="2977" w:type="dxa"/>
            <w:shd w:val="clear" w:color="auto" w:fill="C6EFCE"/>
            <w:noWrap/>
          </w:tcPr>
          <w:p w14:paraId="730BB072" w14:textId="77777777" w:rsidR="000E48CE" w:rsidRDefault="00FF4C4E">
            <w:pPr>
              <w:pStyle w:val="P68B1DB1-Normal13"/>
              <w:spacing w:after="0"/>
              <w:rPr>
                <w:rFonts w:cs="Times New Roman"/>
                <w:noProof/>
              </w:rPr>
            </w:pPr>
            <w:r>
              <w:rPr>
                <w:noProof/>
              </w:rPr>
              <w:t>Veropetoksista ja -petoksista annetun lain voimaantulo</w:t>
            </w:r>
          </w:p>
        </w:tc>
        <w:tc>
          <w:tcPr>
            <w:tcW w:w="1134" w:type="dxa"/>
            <w:shd w:val="clear" w:color="auto" w:fill="C6EFCE"/>
            <w:noWrap/>
          </w:tcPr>
          <w:p w14:paraId="227CF5BC" w14:textId="77777777" w:rsidR="000E48CE" w:rsidRDefault="00FF4C4E">
            <w:pPr>
              <w:pStyle w:val="P68B1DB1-Normal13"/>
              <w:spacing w:after="0"/>
              <w:jc w:val="center"/>
              <w:rPr>
                <w:rFonts w:cs="Times New Roman"/>
                <w:noProof/>
              </w:rPr>
            </w:pPr>
            <w:r>
              <w:rPr>
                <w:noProof/>
              </w:rPr>
              <w:t xml:space="preserve">Lain säännös, josta käy ilmi sen voimaantulo </w:t>
            </w:r>
          </w:p>
        </w:tc>
        <w:tc>
          <w:tcPr>
            <w:tcW w:w="851" w:type="dxa"/>
            <w:shd w:val="clear" w:color="auto" w:fill="C6EFCE"/>
            <w:noWrap/>
          </w:tcPr>
          <w:p w14:paraId="2EEBEB90" w14:textId="77777777" w:rsidR="000E48CE" w:rsidRDefault="00FF4C4E">
            <w:pPr>
              <w:pStyle w:val="P68B1DB1-Normal13"/>
              <w:spacing w:after="0"/>
              <w:jc w:val="center"/>
              <w:rPr>
                <w:rFonts w:cs="Times New Roman"/>
                <w:noProof/>
              </w:rPr>
            </w:pPr>
            <w:r>
              <w:rPr>
                <w:noProof/>
              </w:rPr>
              <w:t xml:space="preserve"> </w:t>
            </w:r>
          </w:p>
        </w:tc>
        <w:tc>
          <w:tcPr>
            <w:tcW w:w="708" w:type="dxa"/>
            <w:shd w:val="clear" w:color="auto" w:fill="C6EFCE"/>
            <w:noWrap/>
          </w:tcPr>
          <w:p w14:paraId="2BB8CAFB" w14:textId="77777777" w:rsidR="000E48CE" w:rsidRDefault="00FF4C4E">
            <w:pPr>
              <w:pStyle w:val="P68B1DB1-Normal13"/>
              <w:spacing w:after="0"/>
              <w:jc w:val="right"/>
              <w:rPr>
                <w:rFonts w:cs="Times New Roman"/>
                <w:noProof/>
              </w:rPr>
            </w:pPr>
            <w:r>
              <w:rPr>
                <w:noProof/>
              </w:rPr>
              <w:t xml:space="preserve"> </w:t>
            </w:r>
          </w:p>
        </w:tc>
        <w:tc>
          <w:tcPr>
            <w:tcW w:w="709" w:type="dxa"/>
            <w:shd w:val="clear" w:color="auto" w:fill="C6EFCE"/>
            <w:noWrap/>
          </w:tcPr>
          <w:p w14:paraId="6B4FC697" w14:textId="77777777" w:rsidR="000E48CE" w:rsidRDefault="00FF4C4E">
            <w:pPr>
              <w:pStyle w:val="P68B1DB1-Normal13"/>
              <w:spacing w:after="0"/>
              <w:rPr>
                <w:rFonts w:cs="Times New Roman"/>
                <w:noProof/>
              </w:rPr>
            </w:pPr>
            <w:r>
              <w:rPr>
                <w:noProof/>
              </w:rPr>
              <w:t xml:space="preserve"> </w:t>
            </w:r>
          </w:p>
        </w:tc>
        <w:tc>
          <w:tcPr>
            <w:tcW w:w="425" w:type="dxa"/>
            <w:shd w:val="clear" w:color="auto" w:fill="C6EFCE"/>
            <w:noWrap/>
          </w:tcPr>
          <w:p w14:paraId="6E826CAA" w14:textId="77777777" w:rsidR="000E48CE" w:rsidRDefault="00FF4C4E">
            <w:pPr>
              <w:pStyle w:val="P68B1DB1-Normal13"/>
              <w:spacing w:after="0"/>
              <w:jc w:val="center"/>
              <w:rPr>
                <w:rFonts w:cs="Times New Roman"/>
                <w:noProof/>
              </w:rPr>
            </w:pPr>
            <w:r>
              <w:rPr>
                <w:noProof/>
              </w:rPr>
              <w:t>Q2</w:t>
            </w:r>
          </w:p>
        </w:tc>
        <w:tc>
          <w:tcPr>
            <w:tcW w:w="709" w:type="dxa"/>
            <w:shd w:val="clear" w:color="auto" w:fill="C6EFCE"/>
            <w:noWrap/>
          </w:tcPr>
          <w:p w14:paraId="1C8F9F7C" w14:textId="77777777" w:rsidR="000E48CE" w:rsidRDefault="00FF4C4E">
            <w:pPr>
              <w:pStyle w:val="P68B1DB1-Normal13"/>
              <w:spacing w:after="0"/>
              <w:jc w:val="center"/>
              <w:rPr>
                <w:rFonts w:cs="Times New Roman"/>
                <w:noProof/>
              </w:rPr>
            </w:pPr>
            <w:r>
              <w:rPr>
                <w:noProof/>
              </w:rPr>
              <w:t>2022</w:t>
            </w:r>
          </w:p>
        </w:tc>
        <w:tc>
          <w:tcPr>
            <w:tcW w:w="5131" w:type="dxa"/>
            <w:shd w:val="clear" w:color="auto" w:fill="C6EFCE"/>
            <w:noWrap/>
          </w:tcPr>
          <w:p w14:paraId="4CE616E9" w14:textId="77777777" w:rsidR="000E48CE" w:rsidRDefault="00FF4C4E">
            <w:pPr>
              <w:pStyle w:val="P68B1DB1-Normal13"/>
              <w:spacing w:after="0"/>
              <w:rPr>
                <w:rFonts w:cs="Times New Roman"/>
                <w:noProof/>
              </w:rPr>
            </w:pPr>
            <w:r>
              <w:rPr>
                <w:noProof/>
              </w:rPr>
              <w:t>Veropetoksista ja veropetoksista annetun lain (Ley de medidas de prevención y lucha contra el fraude fiscal, jäljempänä</w:t>
            </w:r>
            <w:r>
              <w:rPr>
                <w:i/>
                <w:noProof/>
              </w:rPr>
              <w:t>Ley de medidas de prev</w:t>
            </w:r>
            <w:r>
              <w:rPr>
                <w:i/>
                <w:noProof/>
              </w:rPr>
              <w:t>ención y lucha contra el fraude fiscal</w:t>
            </w:r>
            <w:r>
              <w:rPr>
                <w:noProof/>
              </w:rPr>
              <w:t>) voimaantulo, jossa</w:t>
            </w:r>
            <w:r>
              <w:rPr>
                <w:noProof/>
              </w:rPr>
              <w:br/>
              <w:t xml:space="preserve">—Laajentaa maksutapahtumia, joissa sähköiset maksut ovat pakollisia (yritykset ja ammattilaiset), ja asettaa lakisääteiset kynnysarvot käteismaksuille </w:t>
            </w:r>
            <w:r>
              <w:rPr>
                <w:noProof/>
              </w:rPr>
              <w:br/>
              <w:t>—Päivittää veroparatiisien luettelon avoimuud</w:t>
            </w:r>
            <w:r>
              <w:rPr>
                <w:noProof/>
              </w:rPr>
              <w:t>en, verotuksen ja haitallisten verojärjestelmien kriteerien mukaisesti.</w:t>
            </w:r>
            <w:r>
              <w:rPr>
                <w:noProof/>
              </w:rPr>
              <w:br/>
              <w:t>—Toteutetaan muutoksia sääntöihin, jotka koskevat verorästien saaneiden henkilöiden luettelointia.</w:t>
            </w:r>
            <w:r>
              <w:rPr>
                <w:noProof/>
              </w:rPr>
              <w:br/>
              <w:t>Otetaan käyttöön ”kaksikäyttöisten ohjelmistojen” kielto.</w:t>
            </w:r>
            <w:r>
              <w:rPr>
                <w:noProof/>
              </w:rPr>
              <w:br/>
              <w:t>—Ottaa kiinteistöverotukses</w:t>
            </w:r>
            <w:r>
              <w:rPr>
                <w:noProof/>
              </w:rPr>
              <w:t xml:space="preserve">sa käyttöön veropohjan viitearvon. </w:t>
            </w:r>
          </w:p>
        </w:tc>
      </w:tr>
      <w:tr w:rsidR="000E48CE" w14:paraId="45161A29" w14:textId="77777777">
        <w:trPr>
          <w:trHeight w:val="309"/>
        </w:trPr>
        <w:tc>
          <w:tcPr>
            <w:tcW w:w="709" w:type="dxa"/>
            <w:shd w:val="clear" w:color="auto" w:fill="C6EFCE"/>
            <w:noWrap/>
          </w:tcPr>
          <w:p w14:paraId="3DBE6677" w14:textId="77777777" w:rsidR="000E48CE" w:rsidRDefault="00FF4C4E">
            <w:pPr>
              <w:pStyle w:val="P68B1DB1-Normal13"/>
              <w:spacing w:after="0"/>
              <w:jc w:val="center"/>
              <w:rPr>
                <w:rFonts w:cs="Times New Roman"/>
                <w:noProof/>
              </w:rPr>
            </w:pPr>
            <w:r>
              <w:rPr>
                <w:noProof/>
              </w:rPr>
              <w:t>377</w:t>
            </w:r>
          </w:p>
        </w:tc>
        <w:tc>
          <w:tcPr>
            <w:tcW w:w="851" w:type="dxa"/>
            <w:shd w:val="clear" w:color="auto" w:fill="C6EFCE"/>
            <w:noWrap/>
          </w:tcPr>
          <w:p w14:paraId="4C6DC40A" w14:textId="77777777" w:rsidR="000E48CE" w:rsidRDefault="00FF4C4E">
            <w:pPr>
              <w:pStyle w:val="P68B1DB1-Normal13"/>
              <w:spacing w:after="0"/>
              <w:jc w:val="center"/>
              <w:rPr>
                <w:rFonts w:cs="Times New Roman"/>
                <w:noProof/>
              </w:rPr>
            </w:pPr>
            <w:r>
              <w:rPr>
                <w:noProof/>
              </w:rPr>
              <w:t>C27.R1</w:t>
            </w:r>
          </w:p>
        </w:tc>
        <w:tc>
          <w:tcPr>
            <w:tcW w:w="850" w:type="dxa"/>
            <w:shd w:val="clear" w:color="auto" w:fill="C6EFCE"/>
            <w:noWrap/>
          </w:tcPr>
          <w:p w14:paraId="2A06812F" w14:textId="77777777" w:rsidR="000E48CE" w:rsidRDefault="00FF4C4E">
            <w:pPr>
              <w:pStyle w:val="P68B1DB1-Normal13"/>
              <w:spacing w:after="0"/>
              <w:jc w:val="center"/>
              <w:rPr>
                <w:rFonts w:cs="Times New Roman"/>
                <w:noProof/>
              </w:rPr>
            </w:pPr>
            <w:r>
              <w:rPr>
                <w:noProof/>
              </w:rPr>
              <w:t>M</w:t>
            </w:r>
          </w:p>
        </w:tc>
        <w:tc>
          <w:tcPr>
            <w:tcW w:w="2977" w:type="dxa"/>
            <w:shd w:val="clear" w:color="auto" w:fill="C6EFCE"/>
            <w:noWrap/>
          </w:tcPr>
          <w:p w14:paraId="5696C1D6" w14:textId="77777777" w:rsidR="000E48CE" w:rsidRDefault="00FF4C4E">
            <w:pPr>
              <w:pStyle w:val="P68B1DB1-Normal13"/>
              <w:spacing w:after="0"/>
              <w:rPr>
                <w:rFonts w:cs="Times New Roman"/>
                <w:noProof/>
              </w:rPr>
            </w:pPr>
            <w:r>
              <w:rPr>
                <w:noProof/>
              </w:rPr>
              <w:t>Veropetoksista ja -petoksista annetun lain vaikutusten väliarviointi.</w:t>
            </w:r>
          </w:p>
        </w:tc>
        <w:tc>
          <w:tcPr>
            <w:tcW w:w="1134" w:type="dxa"/>
            <w:shd w:val="clear" w:color="auto" w:fill="C6EFCE"/>
            <w:noWrap/>
          </w:tcPr>
          <w:p w14:paraId="70971FCE" w14:textId="77777777" w:rsidR="000E48CE" w:rsidRDefault="00FF4C4E">
            <w:pPr>
              <w:pStyle w:val="P68B1DB1-Normal13"/>
              <w:spacing w:after="0"/>
              <w:jc w:val="center"/>
              <w:rPr>
                <w:rFonts w:cs="Times New Roman"/>
                <w:noProof/>
              </w:rPr>
            </w:pPr>
            <w:r>
              <w:rPr>
                <w:noProof/>
              </w:rPr>
              <w:t>Raportin julkaiseminen valtiovarainministeriön verkkosivuilla.</w:t>
            </w:r>
          </w:p>
        </w:tc>
        <w:tc>
          <w:tcPr>
            <w:tcW w:w="851" w:type="dxa"/>
            <w:shd w:val="clear" w:color="auto" w:fill="C6EFCE"/>
            <w:noWrap/>
          </w:tcPr>
          <w:p w14:paraId="70AC25B5" w14:textId="77777777" w:rsidR="000E48CE" w:rsidRDefault="00FF4C4E">
            <w:pPr>
              <w:pStyle w:val="P68B1DB1-Normal13"/>
              <w:spacing w:after="0"/>
              <w:jc w:val="center"/>
              <w:rPr>
                <w:rFonts w:cs="Times New Roman"/>
                <w:noProof/>
              </w:rPr>
            </w:pPr>
            <w:r>
              <w:rPr>
                <w:noProof/>
              </w:rPr>
              <w:t xml:space="preserve"> </w:t>
            </w:r>
          </w:p>
        </w:tc>
        <w:tc>
          <w:tcPr>
            <w:tcW w:w="708" w:type="dxa"/>
            <w:shd w:val="clear" w:color="auto" w:fill="C6EFCE"/>
            <w:noWrap/>
          </w:tcPr>
          <w:p w14:paraId="172F84F8" w14:textId="77777777" w:rsidR="000E48CE" w:rsidRDefault="00FF4C4E">
            <w:pPr>
              <w:pStyle w:val="P68B1DB1-Normal13"/>
              <w:spacing w:after="0"/>
              <w:jc w:val="right"/>
              <w:rPr>
                <w:rFonts w:cs="Times New Roman"/>
                <w:noProof/>
              </w:rPr>
            </w:pPr>
            <w:r>
              <w:rPr>
                <w:noProof/>
              </w:rPr>
              <w:t xml:space="preserve"> </w:t>
            </w:r>
          </w:p>
        </w:tc>
        <w:tc>
          <w:tcPr>
            <w:tcW w:w="709" w:type="dxa"/>
            <w:shd w:val="clear" w:color="auto" w:fill="C6EFCE"/>
            <w:noWrap/>
          </w:tcPr>
          <w:p w14:paraId="150CED72" w14:textId="77777777" w:rsidR="000E48CE" w:rsidRDefault="00FF4C4E">
            <w:pPr>
              <w:pStyle w:val="P68B1DB1-Normal13"/>
              <w:spacing w:after="0"/>
              <w:rPr>
                <w:rFonts w:cs="Times New Roman"/>
                <w:noProof/>
              </w:rPr>
            </w:pPr>
            <w:r>
              <w:rPr>
                <w:noProof/>
              </w:rPr>
              <w:t xml:space="preserve"> </w:t>
            </w:r>
          </w:p>
        </w:tc>
        <w:tc>
          <w:tcPr>
            <w:tcW w:w="425" w:type="dxa"/>
            <w:shd w:val="clear" w:color="auto" w:fill="C6EFCE"/>
            <w:noWrap/>
          </w:tcPr>
          <w:p w14:paraId="2BFDEF9A" w14:textId="77777777" w:rsidR="000E48CE" w:rsidRDefault="00FF4C4E">
            <w:pPr>
              <w:pStyle w:val="P68B1DB1-Normal13"/>
              <w:spacing w:after="0"/>
              <w:jc w:val="center"/>
              <w:rPr>
                <w:rFonts w:cs="Times New Roman"/>
                <w:noProof/>
              </w:rPr>
            </w:pPr>
            <w:r>
              <w:rPr>
                <w:noProof/>
              </w:rPr>
              <w:t>Q4</w:t>
            </w:r>
          </w:p>
        </w:tc>
        <w:tc>
          <w:tcPr>
            <w:tcW w:w="709" w:type="dxa"/>
            <w:shd w:val="clear" w:color="auto" w:fill="C6EFCE"/>
            <w:noWrap/>
          </w:tcPr>
          <w:p w14:paraId="47DDC1D5" w14:textId="77777777" w:rsidR="000E48CE" w:rsidRDefault="00FF4C4E">
            <w:pPr>
              <w:pStyle w:val="P68B1DB1-Normal13"/>
              <w:spacing w:after="0"/>
              <w:jc w:val="center"/>
              <w:rPr>
                <w:rFonts w:cs="Times New Roman"/>
                <w:noProof/>
              </w:rPr>
            </w:pPr>
            <w:r>
              <w:rPr>
                <w:noProof/>
              </w:rPr>
              <w:t>2022</w:t>
            </w:r>
          </w:p>
        </w:tc>
        <w:tc>
          <w:tcPr>
            <w:tcW w:w="5131" w:type="dxa"/>
            <w:shd w:val="clear" w:color="auto" w:fill="C6EFCE"/>
            <w:noWrap/>
          </w:tcPr>
          <w:p w14:paraId="2161EEE2" w14:textId="77777777" w:rsidR="000E48CE" w:rsidRDefault="00FF4C4E">
            <w:pPr>
              <w:pStyle w:val="P68B1DB1-Normal13"/>
              <w:spacing w:after="0"/>
              <w:rPr>
                <w:rFonts w:cs="Times New Roman"/>
                <w:noProof/>
              </w:rPr>
            </w:pPr>
            <w:r>
              <w:rPr>
                <w:noProof/>
              </w:rPr>
              <w:t xml:space="preserve">Valtiovarainministeriö tekee väliarvion veropetoksista ja </w:t>
            </w:r>
            <w:r>
              <w:rPr>
                <w:noProof/>
              </w:rPr>
              <w:t>veropetoksista annetusta laista. Tämä arviointi ja mahdolliset parannussuositukset julkaistaan valtiovarainministeriön verkkosivuilla.</w:t>
            </w:r>
          </w:p>
        </w:tc>
      </w:tr>
      <w:tr w:rsidR="000E48CE" w14:paraId="6EC44DEC" w14:textId="77777777">
        <w:trPr>
          <w:trHeight w:val="309"/>
        </w:trPr>
        <w:tc>
          <w:tcPr>
            <w:tcW w:w="709" w:type="dxa"/>
            <w:shd w:val="clear" w:color="auto" w:fill="C6EFCE"/>
            <w:noWrap/>
          </w:tcPr>
          <w:p w14:paraId="7BF66A5C" w14:textId="77777777" w:rsidR="000E48CE" w:rsidRDefault="00FF4C4E">
            <w:pPr>
              <w:pStyle w:val="P68B1DB1-Normal13"/>
              <w:spacing w:after="0"/>
              <w:jc w:val="center"/>
              <w:rPr>
                <w:rFonts w:cs="Times New Roman"/>
                <w:noProof/>
              </w:rPr>
            </w:pPr>
            <w:r>
              <w:rPr>
                <w:noProof/>
              </w:rPr>
              <w:t>378</w:t>
            </w:r>
          </w:p>
        </w:tc>
        <w:tc>
          <w:tcPr>
            <w:tcW w:w="851" w:type="dxa"/>
            <w:shd w:val="clear" w:color="auto" w:fill="C6EFCE"/>
            <w:noWrap/>
          </w:tcPr>
          <w:p w14:paraId="375B58F6" w14:textId="77777777" w:rsidR="000E48CE" w:rsidRDefault="00FF4C4E">
            <w:pPr>
              <w:pStyle w:val="P68B1DB1-Normal13"/>
              <w:spacing w:after="0"/>
              <w:jc w:val="center"/>
              <w:rPr>
                <w:rFonts w:cs="Times New Roman"/>
                <w:noProof/>
              </w:rPr>
            </w:pPr>
            <w:r>
              <w:rPr>
                <w:noProof/>
              </w:rPr>
              <w:t>C27.R2</w:t>
            </w:r>
          </w:p>
        </w:tc>
        <w:tc>
          <w:tcPr>
            <w:tcW w:w="850" w:type="dxa"/>
            <w:shd w:val="clear" w:color="auto" w:fill="C6EFCE"/>
            <w:noWrap/>
          </w:tcPr>
          <w:p w14:paraId="4670B3DA" w14:textId="77777777" w:rsidR="000E48CE" w:rsidRDefault="00FF4C4E">
            <w:pPr>
              <w:pStyle w:val="P68B1DB1-Normal13"/>
              <w:spacing w:after="0"/>
              <w:jc w:val="center"/>
              <w:rPr>
                <w:rFonts w:cs="Times New Roman"/>
                <w:noProof/>
              </w:rPr>
            </w:pPr>
            <w:r>
              <w:rPr>
                <w:noProof/>
              </w:rPr>
              <w:t>T</w:t>
            </w:r>
          </w:p>
        </w:tc>
        <w:tc>
          <w:tcPr>
            <w:tcW w:w="2977" w:type="dxa"/>
            <w:shd w:val="clear" w:color="auto" w:fill="C6EFCE"/>
            <w:noWrap/>
          </w:tcPr>
          <w:p w14:paraId="6CB08DE8" w14:textId="77777777" w:rsidR="000E48CE" w:rsidRDefault="00FF4C4E">
            <w:pPr>
              <w:pStyle w:val="P68B1DB1-Normal13"/>
              <w:spacing w:after="0"/>
              <w:rPr>
                <w:rFonts w:cs="Times New Roman"/>
                <w:noProof/>
              </w:rPr>
            </w:pPr>
            <w:r>
              <w:rPr>
                <w:noProof/>
              </w:rPr>
              <w:t>Veroviraston nykyaikaistaminen – Verohallinnon henkilöstön määrä</w:t>
            </w:r>
          </w:p>
        </w:tc>
        <w:tc>
          <w:tcPr>
            <w:tcW w:w="1134" w:type="dxa"/>
            <w:shd w:val="clear" w:color="auto" w:fill="C6EFCE"/>
            <w:noWrap/>
          </w:tcPr>
          <w:p w14:paraId="4C40E3B5" w14:textId="77777777" w:rsidR="000E48CE" w:rsidRDefault="00FF4C4E">
            <w:pPr>
              <w:pStyle w:val="P68B1DB1-Normal13"/>
              <w:spacing w:after="0"/>
              <w:jc w:val="center"/>
              <w:rPr>
                <w:rFonts w:cs="Times New Roman"/>
                <w:noProof/>
              </w:rPr>
            </w:pPr>
            <w:r>
              <w:rPr>
                <w:noProof/>
              </w:rPr>
              <w:t xml:space="preserve"> </w:t>
            </w:r>
          </w:p>
        </w:tc>
        <w:tc>
          <w:tcPr>
            <w:tcW w:w="851" w:type="dxa"/>
            <w:shd w:val="clear" w:color="auto" w:fill="C6EFCE"/>
            <w:noWrap/>
          </w:tcPr>
          <w:p w14:paraId="706C7C47" w14:textId="77777777" w:rsidR="000E48CE" w:rsidRDefault="00FF4C4E">
            <w:pPr>
              <w:pStyle w:val="P68B1DB1-Normal13"/>
              <w:spacing w:after="0"/>
              <w:jc w:val="center"/>
              <w:rPr>
                <w:rFonts w:cs="Times New Roman"/>
                <w:noProof/>
              </w:rPr>
            </w:pPr>
            <w:r>
              <w:rPr>
                <w:noProof/>
              </w:rPr>
              <w:t xml:space="preserve">Määrä </w:t>
            </w:r>
          </w:p>
        </w:tc>
        <w:tc>
          <w:tcPr>
            <w:tcW w:w="708" w:type="dxa"/>
            <w:shd w:val="clear" w:color="auto" w:fill="C6EFCE"/>
            <w:noWrap/>
          </w:tcPr>
          <w:p w14:paraId="0CE8B4B8" w14:textId="77777777" w:rsidR="000E48CE" w:rsidRDefault="00FF4C4E">
            <w:pPr>
              <w:pStyle w:val="P68B1DB1-Normal13"/>
              <w:spacing w:after="0"/>
              <w:jc w:val="right"/>
              <w:rPr>
                <w:rFonts w:cs="Times New Roman"/>
                <w:noProof/>
              </w:rPr>
            </w:pPr>
            <w:r>
              <w:rPr>
                <w:noProof/>
              </w:rPr>
              <w:t xml:space="preserve">25 325 </w:t>
            </w:r>
          </w:p>
        </w:tc>
        <w:tc>
          <w:tcPr>
            <w:tcW w:w="709" w:type="dxa"/>
            <w:shd w:val="clear" w:color="auto" w:fill="C6EFCE"/>
            <w:noWrap/>
          </w:tcPr>
          <w:p w14:paraId="5669B34F" w14:textId="77777777" w:rsidR="000E48CE" w:rsidRDefault="00FF4C4E">
            <w:pPr>
              <w:pStyle w:val="P68B1DB1-Normal13"/>
              <w:spacing w:after="0"/>
              <w:rPr>
                <w:rFonts w:cs="Times New Roman"/>
                <w:noProof/>
              </w:rPr>
            </w:pPr>
            <w:r>
              <w:rPr>
                <w:noProof/>
              </w:rPr>
              <w:t>26 320</w:t>
            </w:r>
          </w:p>
        </w:tc>
        <w:tc>
          <w:tcPr>
            <w:tcW w:w="425" w:type="dxa"/>
            <w:shd w:val="clear" w:color="auto" w:fill="C6EFCE"/>
            <w:noWrap/>
          </w:tcPr>
          <w:p w14:paraId="3010CDF1" w14:textId="77777777" w:rsidR="000E48CE" w:rsidRDefault="00FF4C4E">
            <w:pPr>
              <w:pStyle w:val="P68B1DB1-Normal13"/>
              <w:spacing w:after="0"/>
              <w:jc w:val="center"/>
              <w:rPr>
                <w:rFonts w:cs="Times New Roman"/>
                <w:noProof/>
              </w:rPr>
            </w:pPr>
            <w:r>
              <w:rPr>
                <w:noProof/>
              </w:rPr>
              <w:t>Q4</w:t>
            </w:r>
          </w:p>
        </w:tc>
        <w:tc>
          <w:tcPr>
            <w:tcW w:w="709" w:type="dxa"/>
            <w:shd w:val="clear" w:color="auto" w:fill="C6EFCE"/>
            <w:noWrap/>
          </w:tcPr>
          <w:p w14:paraId="0FB97424" w14:textId="77777777" w:rsidR="000E48CE" w:rsidRDefault="00FF4C4E">
            <w:pPr>
              <w:pStyle w:val="P68B1DB1-Normal13"/>
              <w:spacing w:after="0"/>
              <w:jc w:val="center"/>
              <w:rPr>
                <w:rFonts w:cs="Times New Roman"/>
                <w:noProof/>
              </w:rPr>
            </w:pPr>
            <w:r>
              <w:rPr>
                <w:noProof/>
              </w:rPr>
              <w:t>2021</w:t>
            </w:r>
          </w:p>
        </w:tc>
        <w:tc>
          <w:tcPr>
            <w:tcW w:w="5131" w:type="dxa"/>
            <w:shd w:val="clear" w:color="auto" w:fill="C6EFCE"/>
            <w:noWrap/>
          </w:tcPr>
          <w:p w14:paraId="58A93788" w14:textId="77777777" w:rsidR="000E48CE" w:rsidRDefault="00FF4C4E">
            <w:pPr>
              <w:pStyle w:val="P68B1DB1-Normal13"/>
              <w:spacing w:after="0"/>
              <w:rPr>
                <w:rFonts w:cs="Times New Roman"/>
                <w:noProof/>
              </w:rPr>
            </w:pPr>
            <w:r>
              <w:rPr>
                <w:noProof/>
              </w:rPr>
              <w:t xml:space="preserve">Lisätään verohallinnon henkilöstön määrää vähintään 26320 työntekijään. Lähtötilanteen päivämäärä: Joulukuuta 2020. </w:t>
            </w:r>
          </w:p>
        </w:tc>
      </w:tr>
      <w:tr w:rsidR="000E48CE" w14:paraId="7E1D7CFC" w14:textId="77777777">
        <w:trPr>
          <w:trHeight w:val="309"/>
        </w:trPr>
        <w:tc>
          <w:tcPr>
            <w:tcW w:w="709" w:type="dxa"/>
            <w:shd w:val="clear" w:color="auto" w:fill="C6EFCE"/>
            <w:noWrap/>
          </w:tcPr>
          <w:p w14:paraId="7BEE37B0" w14:textId="77777777" w:rsidR="000E48CE" w:rsidRDefault="00FF4C4E">
            <w:pPr>
              <w:pStyle w:val="P68B1DB1-Normal13"/>
              <w:spacing w:after="0"/>
              <w:jc w:val="center"/>
              <w:rPr>
                <w:rFonts w:eastAsia="Times New Roman" w:cs="Times New Roman"/>
                <w:noProof/>
              </w:rPr>
            </w:pPr>
            <w:r>
              <w:rPr>
                <w:noProof/>
              </w:rPr>
              <w:t>379</w:t>
            </w:r>
          </w:p>
        </w:tc>
        <w:tc>
          <w:tcPr>
            <w:tcW w:w="851" w:type="dxa"/>
            <w:shd w:val="clear" w:color="auto" w:fill="C6EFCE"/>
            <w:noWrap/>
          </w:tcPr>
          <w:p w14:paraId="7CDB5CEF" w14:textId="77777777" w:rsidR="000E48CE" w:rsidRDefault="00FF4C4E">
            <w:pPr>
              <w:pStyle w:val="P68B1DB1-Normal13"/>
              <w:spacing w:after="0"/>
              <w:jc w:val="center"/>
              <w:rPr>
                <w:rFonts w:eastAsia="Times New Roman" w:cs="Times New Roman"/>
                <w:noProof/>
              </w:rPr>
            </w:pPr>
            <w:r>
              <w:rPr>
                <w:noProof/>
              </w:rPr>
              <w:t>C27.R2</w:t>
            </w:r>
          </w:p>
        </w:tc>
        <w:tc>
          <w:tcPr>
            <w:tcW w:w="850" w:type="dxa"/>
            <w:shd w:val="clear" w:color="auto" w:fill="C6EFCE"/>
            <w:noWrap/>
          </w:tcPr>
          <w:p w14:paraId="068942BA" w14:textId="77777777" w:rsidR="000E48CE" w:rsidRDefault="00FF4C4E">
            <w:pPr>
              <w:pStyle w:val="P68B1DB1-Normal13"/>
              <w:spacing w:after="0"/>
              <w:jc w:val="center"/>
              <w:rPr>
                <w:rFonts w:eastAsia="Times New Roman" w:cs="Times New Roman"/>
                <w:noProof/>
              </w:rPr>
            </w:pPr>
            <w:r>
              <w:rPr>
                <w:noProof/>
              </w:rPr>
              <w:t>T</w:t>
            </w:r>
          </w:p>
        </w:tc>
        <w:tc>
          <w:tcPr>
            <w:tcW w:w="2977" w:type="dxa"/>
            <w:shd w:val="clear" w:color="auto" w:fill="C6EFCE"/>
            <w:noWrap/>
          </w:tcPr>
          <w:p w14:paraId="5AD17D76" w14:textId="77777777" w:rsidR="000E48CE" w:rsidRDefault="00FF4C4E">
            <w:pPr>
              <w:pStyle w:val="P68B1DB1-Normal13"/>
              <w:spacing w:after="0"/>
              <w:rPr>
                <w:rFonts w:eastAsia="Times New Roman" w:cs="Times New Roman"/>
                <w:noProof/>
              </w:rPr>
            </w:pPr>
            <w:r>
              <w:rPr>
                <w:noProof/>
              </w:rPr>
              <w:t>Veroviraston nykyaikaistaminen – Verotutkinta</w:t>
            </w:r>
          </w:p>
        </w:tc>
        <w:tc>
          <w:tcPr>
            <w:tcW w:w="1134" w:type="dxa"/>
            <w:shd w:val="clear" w:color="auto" w:fill="C6EFCE"/>
            <w:noWrap/>
          </w:tcPr>
          <w:p w14:paraId="31C6F1EF" w14:textId="77777777" w:rsidR="000E48CE" w:rsidRDefault="00FF4C4E">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383C1E0A" w14:textId="77777777" w:rsidR="000E48CE" w:rsidRDefault="00FF4C4E">
            <w:pPr>
              <w:pStyle w:val="P68B1DB1-Normal13"/>
              <w:spacing w:after="0"/>
              <w:jc w:val="center"/>
              <w:rPr>
                <w:rFonts w:eastAsia="Times New Roman" w:cs="Times New Roman"/>
                <w:noProof/>
              </w:rPr>
            </w:pPr>
            <w:r>
              <w:rPr>
                <w:noProof/>
              </w:rPr>
              <w:t>Määrä</w:t>
            </w:r>
          </w:p>
        </w:tc>
        <w:tc>
          <w:tcPr>
            <w:tcW w:w="708" w:type="dxa"/>
            <w:shd w:val="clear" w:color="auto" w:fill="C6EFCE"/>
            <w:noWrap/>
          </w:tcPr>
          <w:p w14:paraId="755932A8" w14:textId="77777777" w:rsidR="000E48CE" w:rsidRDefault="00FF4C4E">
            <w:pPr>
              <w:pStyle w:val="P68B1DB1-Normal13"/>
              <w:spacing w:after="0"/>
              <w:jc w:val="right"/>
              <w:rPr>
                <w:rFonts w:eastAsia="Times New Roman" w:cs="Times New Roman"/>
                <w:noProof/>
              </w:rPr>
            </w:pPr>
            <w:r>
              <w:rPr>
                <w:noProof/>
              </w:rPr>
              <w:t>5 743</w:t>
            </w:r>
          </w:p>
        </w:tc>
        <w:tc>
          <w:tcPr>
            <w:tcW w:w="709" w:type="dxa"/>
            <w:shd w:val="clear" w:color="auto" w:fill="C6EFCE"/>
            <w:noWrap/>
          </w:tcPr>
          <w:p w14:paraId="79F94CBE" w14:textId="77777777" w:rsidR="000E48CE" w:rsidRDefault="00FF4C4E">
            <w:pPr>
              <w:pStyle w:val="P68B1DB1-Normal13"/>
              <w:spacing w:after="0"/>
              <w:rPr>
                <w:rFonts w:eastAsia="Times New Roman" w:cs="Times New Roman"/>
                <w:noProof/>
              </w:rPr>
            </w:pPr>
            <w:r>
              <w:rPr>
                <w:noProof/>
              </w:rPr>
              <w:t>6 591</w:t>
            </w:r>
          </w:p>
        </w:tc>
        <w:tc>
          <w:tcPr>
            <w:tcW w:w="425" w:type="dxa"/>
            <w:shd w:val="clear" w:color="auto" w:fill="C6EFCE"/>
            <w:noWrap/>
          </w:tcPr>
          <w:p w14:paraId="6C01FCA6" w14:textId="77777777" w:rsidR="000E48CE" w:rsidRDefault="00FF4C4E">
            <w:pPr>
              <w:pStyle w:val="P68B1DB1-Normal13"/>
              <w:spacing w:after="0"/>
              <w:jc w:val="center"/>
              <w:rPr>
                <w:rFonts w:eastAsia="Times New Roman" w:cs="Times New Roman"/>
                <w:noProof/>
              </w:rPr>
            </w:pPr>
            <w:r>
              <w:rPr>
                <w:noProof/>
              </w:rPr>
              <w:t>Q4</w:t>
            </w:r>
          </w:p>
        </w:tc>
        <w:tc>
          <w:tcPr>
            <w:tcW w:w="709" w:type="dxa"/>
            <w:shd w:val="clear" w:color="auto" w:fill="C6EFCE"/>
            <w:noWrap/>
          </w:tcPr>
          <w:p w14:paraId="23464E3D" w14:textId="77777777" w:rsidR="000E48CE" w:rsidRDefault="00FF4C4E">
            <w:pPr>
              <w:pStyle w:val="P68B1DB1-Normal13"/>
              <w:spacing w:after="0"/>
              <w:jc w:val="center"/>
              <w:rPr>
                <w:rFonts w:eastAsia="Times New Roman" w:cs="Times New Roman"/>
                <w:noProof/>
              </w:rPr>
            </w:pPr>
            <w:r>
              <w:rPr>
                <w:noProof/>
              </w:rPr>
              <w:t>2021</w:t>
            </w:r>
          </w:p>
        </w:tc>
        <w:tc>
          <w:tcPr>
            <w:tcW w:w="5131" w:type="dxa"/>
            <w:shd w:val="clear" w:color="auto" w:fill="C6EFCE"/>
            <w:noWrap/>
          </w:tcPr>
          <w:p w14:paraId="5B343D38" w14:textId="77777777" w:rsidR="000E48CE" w:rsidRDefault="00FF4C4E">
            <w:pPr>
              <w:pStyle w:val="P68B1DB1-Normal13"/>
              <w:spacing w:after="0"/>
              <w:rPr>
                <w:rFonts w:eastAsia="Times New Roman" w:cs="Times New Roman"/>
                <w:noProof/>
              </w:rPr>
            </w:pPr>
            <w:r>
              <w:rPr>
                <w:noProof/>
              </w:rPr>
              <w:t>Viranomaisten on tehtävä 6591 verotutkintaa (vuonna</w:t>
            </w:r>
            <w:r>
              <w:rPr>
                <w:noProof/>
              </w:rPr>
              <w:t xml:space="preserve"> 2021 tehtyjen verotutkimusten lukumäärä) ilmoittamatta jätetyn verollisen toiminnan havaitsemiseksi. Lähtötilanteen päivämäärä: Joulukuuta 2020.</w:t>
            </w:r>
          </w:p>
        </w:tc>
      </w:tr>
      <w:tr w:rsidR="000E48CE" w14:paraId="12127392" w14:textId="77777777">
        <w:trPr>
          <w:trHeight w:val="433"/>
        </w:trPr>
        <w:tc>
          <w:tcPr>
            <w:tcW w:w="709" w:type="dxa"/>
            <w:shd w:val="clear" w:color="auto" w:fill="C6EFCE"/>
            <w:noWrap/>
          </w:tcPr>
          <w:p w14:paraId="4C50C21D" w14:textId="77777777" w:rsidR="000E48CE" w:rsidRDefault="00FF4C4E">
            <w:pPr>
              <w:pStyle w:val="P68B1DB1-Normal13"/>
              <w:spacing w:after="0"/>
              <w:jc w:val="center"/>
              <w:rPr>
                <w:rFonts w:eastAsia="Times New Roman" w:cs="Times New Roman"/>
                <w:noProof/>
              </w:rPr>
            </w:pPr>
            <w:r>
              <w:rPr>
                <w:noProof/>
              </w:rPr>
              <w:t>380</w:t>
            </w:r>
          </w:p>
        </w:tc>
        <w:tc>
          <w:tcPr>
            <w:tcW w:w="851" w:type="dxa"/>
            <w:shd w:val="clear" w:color="auto" w:fill="C6EFCE"/>
            <w:noWrap/>
          </w:tcPr>
          <w:p w14:paraId="5133A209" w14:textId="77777777" w:rsidR="000E48CE" w:rsidRDefault="00FF4C4E">
            <w:pPr>
              <w:pStyle w:val="P68B1DB1-Normal13"/>
              <w:spacing w:after="0"/>
              <w:jc w:val="center"/>
              <w:rPr>
                <w:rFonts w:eastAsia="Times New Roman" w:cs="Times New Roman"/>
                <w:noProof/>
              </w:rPr>
            </w:pPr>
            <w:r>
              <w:rPr>
                <w:noProof/>
              </w:rPr>
              <w:t>C27.R3</w:t>
            </w:r>
          </w:p>
        </w:tc>
        <w:tc>
          <w:tcPr>
            <w:tcW w:w="850" w:type="dxa"/>
            <w:shd w:val="clear" w:color="auto" w:fill="C6EFCE"/>
            <w:noWrap/>
          </w:tcPr>
          <w:p w14:paraId="44DC0265" w14:textId="77777777" w:rsidR="000E48CE" w:rsidRDefault="00FF4C4E">
            <w:pPr>
              <w:pStyle w:val="P68B1DB1-Normal13"/>
              <w:spacing w:after="0"/>
              <w:jc w:val="center"/>
              <w:rPr>
                <w:rFonts w:eastAsia="Times New Roman" w:cs="Times New Roman"/>
                <w:noProof/>
              </w:rPr>
            </w:pPr>
            <w:r>
              <w:rPr>
                <w:noProof/>
              </w:rPr>
              <w:t>T</w:t>
            </w:r>
          </w:p>
        </w:tc>
        <w:tc>
          <w:tcPr>
            <w:tcW w:w="2977" w:type="dxa"/>
            <w:shd w:val="clear" w:color="auto" w:fill="C6EFCE"/>
            <w:noWrap/>
          </w:tcPr>
          <w:p w14:paraId="4754AF56" w14:textId="77777777" w:rsidR="000E48CE" w:rsidRDefault="00FF4C4E">
            <w:pPr>
              <w:pStyle w:val="P68B1DB1-Normal13"/>
              <w:spacing w:after="0"/>
              <w:rPr>
                <w:rFonts w:eastAsia="Times New Roman" w:cs="Times New Roman"/>
                <w:noProof/>
              </w:rPr>
            </w:pPr>
            <w:r>
              <w:rPr>
                <w:noProof/>
              </w:rPr>
              <w:t xml:space="preserve">Tehostetun avun toimittaminen veronmaksajille – Sociedades Web parannettiin ja sitä on </w:t>
            </w:r>
            <w:r>
              <w:rPr>
                <w:noProof/>
              </w:rPr>
              <w:t>saatavilla vähintään 1666123 verovelvolliselle.</w:t>
            </w:r>
          </w:p>
        </w:tc>
        <w:tc>
          <w:tcPr>
            <w:tcW w:w="1134" w:type="dxa"/>
            <w:shd w:val="clear" w:color="auto" w:fill="C6EFCE"/>
            <w:noWrap/>
          </w:tcPr>
          <w:p w14:paraId="16D75D7F" w14:textId="77777777" w:rsidR="000E48CE" w:rsidRDefault="00FF4C4E">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5F2A9026" w14:textId="77777777" w:rsidR="000E48CE" w:rsidRDefault="00FF4C4E">
            <w:pPr>
              <w:pStyle w:val="P68B1DB1-Normal13"/>
              <w:spacing w:after="0"/>
              <w:jc w:val="center"/>
              <w:rPr>
                <w:rFonts w:eastAsia="Times New Roman" w:cs="Times New Roman"/>
                <w:noProof/>
              </w:rPr>
            </w:pPr>
            <w:r>
              <w:rPr>
                <w:noProof/>
              </w:rPr>
              <w:t>Määrä</w:t>
            </w:r>
          </w:p>
        </w:tc>
        <w:tc>
          <w:tcPr>
            <w:tcW w:w="708" w:type="dxa"/>
            <w:shd w:val="clear" w:color="auto" w:fill="C6EFCE"/>
            <w:noWrap/>
          </w:tcPr>
          <w:p w14:paraId="7EE8F8CA" w14:textId="77777777" w:rsidR="000E48CE" w:rsidRDefault="00FF4C4E">
            <w:pPr>
              <w:pStyle w:val="P68B1DB1-Normal13"/>
              <w:spacing w:after="0"/>
              <w:jc w:val="right"/>
              <w:rPr>
                <w:rFonts w:eastAsia="Times New Roman" w:cs="Times New Roman"/>
                <w:noProof/>
              </w:rPr>
            </w:pPr>
            <w:r>
              <w:rPr>
                <w:noProof/>
              </w:rPr>
              <w:t>0</w:t>
            </w:r>
          </w:p>
        </w:tc>
        <w:tc>
          <w:tcPr>
            <w:tcW w:w="709" w:type="dxa"/>
            <w:shd w:val="clear" w:color="auto" w:fill="C6EFCE"/>
            <w:noWrap/>
          </w:tcPr>
          <w:p w14:paraId="4A9D484E" w14:textId="77777777" w:rsidR="000E48CE" w:rsidRDefault="00FF4C4E">
            <w:pPr>
              <w:pStyle w:val="P68B1DB1-Normal13"/>
              <w:spacing w:after="0"/>
              <w:rPr>
                <w:rFonts w:eastAsia="Times New Roman" w:cs="Times New Roman"/>
                <w:noProof/>
              </w:rPr>
            </w:pPr>
            <w:r>
              <w:rPr>
                <w:noProof/>
              </w:rPr>
              <w:t>1 666 123</w:t>
            </w:r>
          </w:p>
        </w:tc>
        <w:tc>
          <w:tcPr>
            <w:tcW w:w="425" w:type="dxa"/>
            <w:shd w:val="clear" w:color="auto" w:fill="C6EFCE"/>
            <w:noWrap/>
          </w:tcPr>
          <w:p w14:paraId="0EEBB9F9" w14:textId="77777777" w:rsidR="000E48CE" w:rsidRDefault="00FF4C4E">
            <w:pPr>
              <w:pStyle w:val="P68B1DB1-Normal13"/>
              <w:spacing w:after="0"/>
              <w:jc w:val="center"/>
              <w:rPr>
                <w:rFonts w:eastAsia="Times New Roman" w:cs="Times New Roman"/>
                <w:noProof/>
              </w:rPr>
            </w:pPr>
            <w:r>
              <w:rPr>
                <w:noProof/>
              </w:rPr>
              <w:t>Q4</w:t>
            </w:r>
          </w:p>
        </w:tc>
        <w:tc>
          <w:tcPr>
            <w:tcW w:w="709" w:type="dxa"/>
            <w:shd w:val="clear" w:color="auto" w:fill="C6EFCE"/>
            <w:noWrap/>
          </w:tcPr>
          <w:p w14:paraId="044A2C93" w14:textId="77777777" w:rsidR="000E48CE" w:rsidRDefault="00FF4C4E">
            <w:pPr>
              <w:pStyle w:val="P68B1DB1-Normal13"/>
              <w:spacing w:after="0"/>
              <w:jc w:val="center"/>
              <w:rPr>
                <w:rFonts w:eastAsia="Times New Roman" w:cs="Times New Roman"/>
                <w:noProof/>
              </w:rPr>
            </w:pPr>
            <w:r>
              <w:rPr>
                <w:noProof/>
              </w:rPr>
              <w:t>2021</w:t>
            </w:r>
          </w:p>
        </w:tc>
        <w:tc>
          <w:tcPr>
            <w:tcW w:w="5131" w:type="dxa"/>
            <w:shd w:val="clear" w:color="auto" w:fill="C6EFCE"/>
            <w:noWrap/>
          </w:tcPr>
          <w:p w14:paraId="2C9CAFD6" w14:textId="77777777" w:rsidR="000E48CE" w:rsidRDefault="00FF4C4E">
            <w:pPr>
              <w:pStyle w:val="P68B1DB1-Normal13"/>
              <w:spacing w:after="0"/>
              <w:rPr>
                <w:rFonts w:eastAsia="Times New Roman" w:cs="Times New Roman"/>
                <w:noProof/>
              </w:rPr>
            </w:pPr>
            <w:r>
              <w:rPr>
                <w:i/>
                <w:noProof/>
              </w:rPr>
              <w:t>Sociedades Web</w:t>
            </w:r>
            <w:r>
              <w:rPr>
                <w:noProof/>
              </w:rPr>
              <w:t xml:space="preserve"> -palvelua, joka on tarkoitettu yhteisöverovelvollisille, on parannettava, ja sen on esitettävä automaattisesti veroilmoituksen kannalta merkitykselliset verotiedot, </w:t>
            </w:r>
            <w:r>
              <w:rPr>
                <w:noProof/>
              </w:rPr>
              <w:t>jotka yritykset ovat aiemmin ilmoittaneet julkishallinnolle. Kun päivitys on saatu päätökseen, palvelu on asetettava 1666123:n yhteisöverovelvollisen saataville. Lähtötilanteen päivämäärä: Joulukuuta 2020.</w:t>
            </w:r>
          </w:p>
        </w:tc>
      </w:tr>
      <w:tr w:rsidR="000E48CE" w14:paraId="11128318" w14:textId="77777777">
        <w:trPr>
          <w:trHeight w:val="309"/>
        </w:trPr>
        <w:tc>
          <w:tcPr>
            <w:tcW w:w="709" w:type="dxa"/>
            <w:shd w:val="clear" w:color="auto" w:fill="C6EFCE"/>
            <w:noWrap/>
          </w:tcPr>
          <w:p w14:paraId="68E85ECF" w14:textId="77777777" w:rsidR="000E48CE" w:rsidRDefault="00FF4C4E">
            <w:pPr>
              <w:pStyle w:val="P68B1DB1-Normal13"/>
              <w:spacing w:after="0"/>
              <w:jc w:val="center"/>
              <w:rPr>
                <w:rFonts w:cs="Times New Roman"/>
                <w:noProof/>
              </w:rPr>
            </w:pPr>
            <w:r>
              <w:rPr>
                <w:noProof/>
              </w:rPr>
              <w:t>381</w:t>
            </w:r>
          </w:p>
        </w:tc>
        <w:tc>
          <w:tcPr>
            <w:tcW w:w="851" w:type="dxa"/>
            <w:shd w:val="clear" w:color="auto" w:fill="C6EFCE"/>
            <w:noWrap/>
          </w:tcPr>
          <w:p w14:paraId="358A22F0" w14:textId="77777777" w:rsidR="000E48CE" w:rsidRDefault="00FF4C4E">
            <w:pPr>
              <w:pStyle w:val="P68B1DB1-Normal13"/>
              <w:spacing w:after="0"/>
              <w:jc w:val="center"/>
              <w:rPr>
                <w:rFonts w:cs="Times New Roman"/>
                <w:noProof/>
              </w:rPr>
            </w:pPr>
            <w:r>
              <w:rPr>
                <w:noProof/>
              </w:rPr>
              <w:t>C27.R3</w:t>
            </w:r>
          </w:p>
        </w:tc>
        <w:tc>
          <w:tcPr>
            <w:tcW w:w="850" w:type="dxa"/>
            <w:shd w:val="clear" w:color="auto" w:fill="C6EFCE"/>
            <w:noWrap/>
          </w:tcPr>
          <w:p w14:paraId="0F6B0EB5" w14:textId="77777777" w:rsidR="000E48CE" w:rsidRDefault="00FF4C4E">
            <w:pPr>
              <w:pStyle w:val="P68B1DB1-Normal13"/>
              <w:spacing w:after="0"/>
              <w:jc w:val="center"/>
              <w:rPr>
                <w:rFonts w:cs="Times New Roman"/>
                <w:noProof/>
              </w:rPr>
            </w:pPr>
            <w:r>
              <w:rPr>
                <w:noProof/>
              </w:rPr>
              <w:t>T</w:t>
            </w:r>
          </w:p>
        </w:tc>
        <w:tc>
          <w:tcPr>
            <w:tcW w:w="2977" w:type="dxa"/>
            <w:shd w:val="clear" w:color="auto" w:fill="C6EFCE"/>
            <w:noWrap/>
          </w:tcPr>
          <w:p w14:paraId="191FEE1A" w14:textId="77777777" w:rsidR="000E48CE" w:rsidRDefault="00FF4C4E">
            <w:pPr>
              <w:pStyle w:val="P68B1DB1-Normal13"/>
              <w:spacing w:after="0"/>
              <w:rPr>
                <w:rFonts w:cs="Times New Roman"/>
                <w:noProof/>
              </w:rPr>
            </w:pPr>
            <w:r>
              <w:rPr>
                <w:noProof/>
              </w:rPr>
              <w:t xml:space="preserve">Tehostettu apu veronmaksajille – </w:t>
            </w:r>
            <w:r>
              <w:rPr>
                <w:noProof/>
              </w:rPr>
              <w:t>Renta Web päivitetty ja saatavilla vähintään 1779505 verovelvolliselle</w:t>
            </w:r>
          </w:p>
        </w:tc>
        <w:tc>
          <w:tcPr>
            <w:tcW w:w="1134" w:type="dxa"/>
            <w:shd w:val="clear" w:color="auto" w:fill="C6EFCE"/>
            <w:noWrap/>
          </w:tcPr>
          <w:p w14:paraId="78FE25B2" w14:textId="77777777" w:rsidR="000E48CE" w:rsidRDefault="00FF4C4E">
            <w:pPr>
              <w:pStyle w:val="P68B1DB1-Normal13"/>
              <w:spacing w:after="0"/>
              <w:jc w:val="center"/>
              <w:rPr>
                <w:rFonts w:cs="Times New Roman"/>
                <w:noProof/>
              </w:rPr>
            </w:pPr>
            <w:r>
              <w:rPr>
                <w:noProof/>
              </w:rPr>
              <w:t> </w:t>
            </w:r>
          </w:p>
        </w:tc>
        <w:tc>
          <w:tcPr>
            <w:tcW w:w="851" w:type="dxa"/>
            <w:shd w:val="clear" w:color="auto" w:fill="C6EFCE"/>
            <w:noWrap/>
          </w:tcPr>
          <w:p w14:paraId="48F91E17" w14:textId="77777777" w:rsidR="000E48CE" w:rsidRDefault="00FF4C4E">
            <w:pPr>
              <w:pStyle w:val="P68B1DB1-Normal13"/>
              <w:spacing w:after="0"/>
              <w:jc w:val="center"/>
              <w:rPr>
                <w:rFonts w:cs="Times New Roman"/>
                <w:noProof/>
              </w:rPr>
            </w:pPr>
            <w:r>
              <w:rPr>
                <w:noProof/>
              </w:rPr>
              <w:t>Määrä</w:t>
            </w:r>
          </w:p>
        </w:tc>
        <w:tc>
          <w:tcPr>
            <w:tcW w:w="708" w:type="dxa"/>
            <w:shd w:val="clear" w:color="auto" w:fill="C6EFCE"/>
            <w:noWrap/>
          </w:tcPr>
          <w:p w14:paraId="18043F16" w14:textId="77777777" w:rsidR="000E48CE" w:rsidRDefault="00FF4C4E">
            <w:pPr>
              <w:pStyle w:val="P68B1DB1-Normal13"/>
              <w:spacing w:after="0"/>
              <w:rPr>
                <w:rFonts w:cs="Times New Roman"/>
                <w:noProof/>
              </w:rPr>
            </w:pPr>
            <w:r>
              <w:rPr>
                <w:noProof/>
              </w:rPr>
              <w:t>0</w:t>
            </w:r>
          </w:p>
        </w:tc>
        <w:tc>
          <w:tcPr>
            <w:tcW w:w="709" w:type="dxa"/>
            <w:shd w:val="clear" w:color="auto" w:fill="C6EFCE"/>
            <w:noWrap/>
          </w:tcPr>
          <w:p w14:paraId="75F4E397" w14:textId="77777777" w:rsidR="000E48CE" w:rsidRDefault="00FF4C4E">
            <w:pPr>
              <w:pStyle w:val="P68B1DB1-Normal13"/>
              <w:spacing w:after="0"/>
              <w:rPr>
                <w:rFonts w:cs="Times New Roman"/>
                <w:noProof/>
              </w:rPr>
            </w:pPr>
            <w:r>
              <w:rPr>
                <w:noProof/>
              </w:rPr>
              <w:t>1 779 505</w:t>
            </w:r>
          </w:p>
        </w:tc>
        <w:tc>
          <w:tcPr>
            <w:tcW w:w="425" w:type="dxa"/>
            <w:shd w:val="clear" w:color="auto" w:fill="C6EFCE"/>
            <w:noWrap/>
          </w:tcPr>
          <w:p w14:paraId="4ECC0553" w14:textId="77777777" w:rsidR="000E48CE" w:rsidRDefault="00FF4C4E">
            <w:pPr>
              <w:pStyle w:val="P68B1DB1-Normal13"/>
              <w:spacing w:after="0"/>
              <w:jc w:val="center"/>
              <w:rPr>
                <w:rFonts w:cs="Times New Roman"/>
                <w:noProof/>
              </w:rPr>
            </w:pPr>
            <w:r>
              <w:rPr>
                <w:noProof/>
              </w:rPr>
              <w:t>Q4</w:t>
            </w:r>
          </w:p>
        </w:tc>
        <w:tc>
          <w:tcPr>
            <w:tcW w:w="709" w:type="dxa"/>
            <w:shd w:val="clear" w:color="auto" w:fill="C6EFCE"/>
            <w:noWrap/>
          </w:tcPr>
          <w:p w14:paraId="03F52988" w14:textId="77777777" w:rsidR="000E48CE" w:rsidRDefault="00FF4C4E">
            <w:pPr>
              <w:pStyle w:val="P68B1DB1-Normal13"/>
              <w:spacing w:after="0"/>
              <w:jc w:val="center"/>
              <w:rPr>
                <w:rFonts w:cs="Times New Roman"/>
                <w:noProof/>
              </w:rPr>
            </w:pPr>
            <w:r>
              <w:rPr>
                <w:noProof/>
              </w:rPr>
              <w:t>2021</w:t>
            </w:r>
          </w:p>
        </w:tc>
        <w:tc>
          <w:tcPr>
            <w:tcW w:w="5131" w:type="dxa"/>
            <w:shd w:val="clear" w:color="auto" w:fill="C6EFCE"/>
            <w:noWrap/>
          </w:tcPr>
          <w:p w14:paraId="6F46FADA" w14:textId="77777777" w:rsidR="000E48CE" w:rsidRDefault="00FF4C4E">
            <w:pPr>
              <w:pStyle w:val="P68B1DB1-Normal13"/>
              <w:spacing w:after="0"/>
              <w:rPr>
                <w:rFonts w:cs="Times New Roman"/>
                <w:noProof/>
              </w:rPr>
            </w:pPr>
            <w:r>
              <w:rPr>
                <w:i/>
                <w:noProof/>
              </w:rPr>
              <w:t>Renta Web</w:t>
            </w:r>
            <w:r>
              <w:rPr>
                <w:noProof/>
              </w:rPr>
              <w:t xml:space="preserve"> on henkilökohtaiseen tuloveroon tarkoitettu ohjelmisto, jonka avulla ”libros</w:t>
            </w:r>
            <w:r>
              <w:rPr>
                <w:i/>
                <w:noProof/>
              </w:rPr>
              <w:t>registro”</w:t>
            </w:r>
            <w:r>
              <w:rPr>
                <w:noProof/>
              </w:rPr>
              <w:t xml:space="preserve">voidaan tuoda suoraan henkilökohtaisiin tuloveroilmoituksiin. </w:t>
            </w:r>
            <w:r>
              <w:rPr>
                <w:noProof/>
              </w:rPr>
              <w:t>Se on käytettävissä 1779505 henkilökohtaista tulovelvollista varten. Lähtötilanteen päivämäärä: Joulukuuta 2020.</w:t>
            </w:r>
          </w:p>
        </w:tc>
      </w:tr>
      <w:tr w:rsidR="000E48CE" w14:paraId="68C1902E" w14:textId="77777777">
        <w:trPr>
          <w:trHeight w:val="309"/>
        </w:trPr>
        <w:tc>
          <w:tcPr>
            <w:tcW w:w="709" w:type="dxa"/>
            <w:shd w:val="clear" w:color="auto" w:fill="C6EFCE"/>
            <w:noWrap/>
          </w:tcPr>
          <w:p w14:paraId="0E3BF9FA" w14:textId="77777777" w:rsidR="000E48CE" w:rsidRDefault="00FF4C4E">
            <w:pPr>
              <w:pStyle w:val="P68B1DB1-Normal13"/>
              <w:spacing w:after="0"/>
              <w:jc w:val="center"/>
              <w:rPr>
                <w:rFonts w:eastAsia="Times New Roman" w:cs="Times New Roman"/>
                <w:noProof/>
              </w:rPr>
            </w:pPr>
            <w:r>
              <w:rPr>
                <w:noProof/>
              </w:rPr>
              <w:t>382</w:t>
            </w:r>
          </w:p>
        </w:tc>
        <w:tc>
          <w:tcPr>
            <w:tcW w:w="851" w:type="dxa"/>
            <w:shd w:val="clear" w:color="auto" w:fill="C6EFCE"/>
            <w:noWrap/>
          </w:tcPr>
          <w:p w14:paraId="2DF19F86" w14:textId="77777777" w:rsidR="000E48CE" w:rsidRDefault="00FF4C4E">
            <w:pPr>
              <w:pStyle w:val="P68B1DB1-Normal13"/>
              <w:spacing w:after="0"/>
              <w:jc w:val="center"/>
              <w:rPr>
                <w:rFonts w:eastAsia="Times New Roman" w:cs="Times New Roman"/>
                <w:noProof/>
              </w:rPr>
            </w:pPr>
            <w:r>
              <w:rPr>
                <w:noProof/>
              </w:rPr>
              <w:t>C27.R3</w:t>
            </w:r>
          </w:p>
        </w:tc>
        <w:tc>
          <w:tcPr>
            <w:tcW w:w="850" w:type="dxa"/>
            <w:shd w:val="clear" w:color="auto" w:fill="C6EFCE"/>
            <w:noWrap/>
          </w:tcPr>
          <w:p w14:paraId="298197E5" w14:textId="77777777" w:rsidR="000E48CE" w:rsidRDefault="00FF4C4E">
            <w:pPr>
              <w:pStyle w:val="P68B1DB1-Normal13"/>
              <w:spacing w:after="0"/>
              <w:jc w:val="center"/>
              <w:rPr>
                <w:rFonts w:eastAsia="Times New Roman" w:cs="Times New Roman"/>
                <w:noProof/>
              </w:rPr>
            </w:pPr>
            <w:r>
              <w:rPr>
                <w:noProof/>
              </w:rPr>
              <w:t>M</w:t>
            </w:r>
          </w:p>
        </w:tc>
        <w:tc>
          <w:tcPr>
            <w:tcW w:w="2977" w:type="dxa"/>
            <w:shd w:val="clear" w:color="auto" w:fill="C6EFCE"/>
            <w:noWrap/>
          </w:tcPr>
          <w:p w14:paraId="6BACF937" w14:textId="77777777" w:rsidR="000E48CE" w:rsidRDefault="00FF4C4E">
            <w:pPr>
              <w:pStyle w:val="P68B1DB1-Normal13"/>
              <w:spacing w:after="0"/>
              <w:rPr>
                <w:rFonts w:eastAsia="Times New Roman" w:cs="Times New Roman"/>
                <w:noProof/>
              </w:rPr>
            </w:pPr>
            <w:r>
              <w:rPr>
                <w:noProof/>
              </w:rPr>
              <w:t>Neljän digitaalisen tukifoorumin toteuttaminen</w:t>
            </w:r>
          </w:p>
        </w:tc>
        <w:tc>
          <w:tcPr>
            <w:tcW w:w="1134" w:type="dxa"/>
            <w:shd w:val="clear" w:color="auto" w:fill="C6EFCE"/>
            <w:noWrap/>
          </w:tcPr>
          <w:p w14:paraId="65E1A8B1" w14:textId="77777777" w:rsidR="000E48CE" w:rsidRDefault="00FF4C4E">
            <w:pPr>
              <w:pStyle w:val="P68B1DB1-Normal13"/>
              <w:spacing w:after="0"/>
              <w:jc w:val="center"/>
              <w:rPr>
                <w:rFonts w:eastAsia="Times New Roman" w:cs="Times New Roman"/>
                <w:noProof/>
              </w:rPr>
            </w:pPr>
            <w:r>
              <w:rPr>
                <w:noProof/>
              </w:rPr>
              <w:t xml:space="preserve">Veroviraston kertomuksen julkaiseminen </w:t>
            </w:r>
          </w:p>
        </w:tc>
        <w:tc>
          <w:tcPr>
            <w:tcW w:w="851" w:type="dxa"/>
            <w:shd w:val="clear" w:color="auto" w:fill="C6EFCE"/>
            <w:noWrap/>
          </w:tcPr>
          <w:p w14:paraId="1D1175EE" w14:textId="77777777" w:rsidR="000E48CE" w:rsidRDefault="00FF4C4E">
            <w:pPr>
              <w:pStyle w:val="P68B1DB1-Normal13"/>
              <w:spacing w:after="0"/>
              <w:jc w:val="center"/>
              <w:rPr>
                <w:rFonts w:eastAsia="Times New Roman" w:cs="Times New Roman"/>
                <w:noProof/>
              </w:rPr>
            </w:pPr>
            <w:r>
              <w:rPr>
                <w:noProof/>
              </w:rPr>
              <w:t> </w:t>
            </w:r>
          </w:p>
        </w:tc>
        <w:tc>
          <w:tcPr>
            <w:tcW w:w="708" w:type="dxa"/>
            <w:shd w:val="clear" w:color="auto" w:fill="C6EFCE"/>
            <w:noWrap/>
          </w:tcPr>
          <w:p w14:paraId="41E5E6F4" w14:textId="77777777" w:rsidR="000E48CE" w:rsidRDefault="00FF4C4E">
            <w:pPr>
              <w:pStyle w:val="P68B1DB1-Normal13"/>
              <w:spacing w:after="0"/>
              <w:jc w:val="right"/>
              <w:rPr>
                <w:rFonts w:eastAsia="Times New Roman" w:cs="Times New Roman"/>
                <w:noProof/>
              </w:rPr>
            </w:pPr>
            <w:r>
              <w:rPr>
                <w:noProof/>
              </w:rPr>
              <w:t xml:space="preserve"> </w:t>
            </w:r>
          </w:p>
        </w:tc>
        <w:tc>
          <w:tcPr>
            <w:tcW w:w="709" w:type="dxa"/>
            <w:shd w:val="clear" w:color="auto" w:fill="C6EFCE"/>
            <w:noWrap/>
          </w:tcPr>
          <w:p w14:paraId="2BDA0106" w14:textId="77777777" w:rsidR="000E48CE" w:rsidRDefault="00FF4C4E">
            <w:pPr>
              <w:pStyle w:val="P68B1DB1-Normal13"/>
              <w:spacing w:after="0"/>
              <w:jc w:val="right"/>
              <w:rPr>
                <w:rFonts w:eastAsia="Times New Roman" w:cs="Times New Roman"/>
                <w:noProof/>
              </w:rPr>
            </w:pPr>
            <w:r>
              <w:rPr>
                <w:noProof/>
              </w:rPr>
              <w:t xml:space="preserve"> </w:t>
            </w:r>
          </w:p>
        </w:tc>
        <w:tc>
          <w:tcPr>
            <w:tcW w:w="425" w:type="dxa"/>
            <w:shd w:val="clear" w:color="auto" w:fill="C6EFCE"/>
            <w:noWrap/>
          </w:tcPr>
          <w:p w14:paraId="6566099C" w14:textId="77777777" w:rsidR="000E48CE" w:rsidRDefault="00FF4C4E">
            <w:pPr>
              <w:pStyle w:val="P68B1DB1-Normal13"/>
              <w:spacing w:after="0"/>
              <w:jc w:val="center"/>
              <w:rPr>
                <w:rFonts w:eastAsia="Times New Roman" w:cs="Times New Roman"/>
                <w:noProof/>
              </w:rPr>
            </w:pPr>
            <w:r>
              <w:rPr>
                <w:noProof/>
              </w:rPr>
              <w:t>Q4</w:t>
            </w:r>
          </w:p>
        </w:tc>
        <w:tc>
          <w:tcPr>
            <w:tcW w:w="709" w:type="dxa"/>
            <w:shd w:val="clear" w:color="auto" w:fill="C6EFCE"/>
            <w:noWrap/>
          </w:tcPr>
          <w:p w14:paraId="168B9BFD" w14:textId="77777777" w:rsidR="000E48CE" w:rsidRDefault="00FF4C4E">
            <w:pPr>
              <w:pStyle w:val="P68B1DB1-Normal13"/>
              <w:spacing w:after="0"/>
              <w:jc w:val="center"/>
              <w:rPr>
                <w:rFonts w:eastAsia="Times New Roman" w:cs="Times New Roman"/>
                <w:noProof/>
              </w:rPr>
            </w:pPr>
            <w:r>
              <w:rPr>
                <w:noProof/>
              </w:rPr>
              <w:t>2023</w:t>
            </w:r>
          </w:p>
        </w:tc>
        <w:tc>
          <w:tcPr>
            <w:tcW w:w="5131" w:type="dxa"/>
            <w:shd w:val="clear" w:color="auto" w:fill="C6EFCE"/>
            <w:noWrap/>
          </w:tcPr>
          <w:p w14:paraId="04EBE51F" w14:textId="77777777" w:rsidR="000E48CE" w:rsidRDefault="00FF4C4E">
            <w:pPr>
              <w:pStyle w:val="P68B1DB1-Normal13"/>
              <w:spacing w:after="0"/>
              <w:rPr>
                <w:rFonts w:eastAsia="Times New Roman" w:cs="Times New Roman"/>
                <w:noProof/>
              </w:rPr>
            </w:pPr>
            <w:r>
              <w:rPr>
                <w:noProof/>
              </w:rPr>
              <w:t>Veroviraston on perustettava</w:t>
            </w:r>
            <w:r>
              <w:rPr>
                <w:noProof/>
              </w:rPr>
              <w:t xml:space="preserve"> ja otettava käyttöön neljä verotuksellista digitaalista tukialustaa veronmaksajille tarjottavien palvelujen parantamiseksi. Digitaalisten palvelujen tarjoajien on toimittava virtuaalisina verkossa toimivina palvelupisteinä, jotka tarjoavat verovelvollisil</w:t>
            </w:r>
            <w:r>
              <w:rPr>
                <w:noProof/>
              </w:rPr>
              <w:t>le laajemman neuvontapalvelun, jonka avulla he voivat ottaa yhteyttä verovirastoon eri kielillä, jotta ne voivat hoitaa verkossa samat tukimenettelyt kuin perinteisessä toimistossa, kuten yleiset tietopalvelut, eri menettelyissä annettava apu ja myös veroi</w:t>
            </w:r>
            <w:r>
              <w:rPr>
                <w:noProof/>
              </w:rPr>
              <w:t>lmoitusten tekemisessä avustaminen.</w:t>
            </w:r>
          </w:p>
        </w:tc>
      </w:tr>
      <w:tr w:rsidR="000E48CE" w14:paraId="2CC903A3" w14:textId="77777777">
        <w:trPr>
          <w:trHeight w:val="309"/>
        </w:trPr>
        <w:tc>
          <w:tcPr>
            <w:tcW w:w="709" w:type="dxa"/>
            <w:shd w:val="clear" w:color="auto" w:fill="C6EFCE"/>
            <w:noWrap/>
          </w:tcPr>
          <w:p w14:paraId="64C51E35" w14:textId="77777777" w:rsidR="000E48CE" w:rsidRDefault="00FF4C4E">
            <w:pPr>
              <w:pStyle w:val="P68B1DB1-Normal13"/>
              <w:spacing w:after="0"/>
              <w:jc w:val="center"/>
              <w:rPr>
                <w:rFonts w:eastAsia="Times New Roman" w:cs="Times New Roman"/>
                <w:noProof/>
              </w:rPr>
            </w:pPr>
            <w:r>
              <w:rPr>
                <w:noProof/>
              </w:rPr>
              <w:t>383</w:t>
            </w:r>
          </w:p>
        </w:tc>
        <w:tc>
          <w:tcPr>
            <w:tcW w:w="851" w:type="dxa"/>
            <w:shd w:val="clear" w:color="auto" w:fill="C6EFCE"/>
            <w:noWrap/>
          </w:tcPr>
          <w:p w14:paraId="7924CDDD" w14:textId="77777777" w:rsidR="000E48CE" w:rsidRDefault="00FF4C4E">
            <w:pPr>
              <w:pStyle w:val="P68B1DB1-Normal13"/>
              <w:spacing w:after="0"/>
              <w:jc w:val="center"/>
              <w:rPr>
                <w:rFonts w:eastAsia="Times New Roman" w:cs="Times New Roman"/>
                <w:noProof/>
              </w:rPr>
            </w:pPr>
            <w:r>
              <w:rPr>
                <w:noProof/>
              </w:rPr>
              <w:t>C27.R4</w:t>
            </w:r>
          </w:p>
        </w:tc>
        <w:tc>
          <w:tcPr>
            <w:tcW w:w="850" w:type="dxa"/>
            <w:shd w:val="clear" w:color="auto" w:fill="C6EFCE"/>
            <w:noWrap/>
          </w:tcPr>
          <w:p w14:paraId="13FA85BC" w14:textId="77777777" w:rsidR="000E48CE" w:rsidRDefault="00FF4C4E">
            <w:pPr>
              <w:pStyle w:val="P68B1DB1-Normal13"/>
              <w:spacing w:after="0"/>
              <w:jc w:val="center"/>
              <w:rPr>
                <w:rFonts w:eastAsia="Times New Roman" w:cs="Times New Roman"/>
                <w:noProof/>
              </w:rPr>
            </w:pPr>
            <w:r>
              <w:rPr>
                <w:noProof/>
              </w:rPr>
              <w:t>T</w:t>
            </w:r>
          </w:p>
        </w:tc>
        <w:tc>
          <w:tcPr>
            <w:tcW w:w="2977" w:type="dxa"/>
            <w:shd w:val="clear" w:color="auto" w:fill="C6EFCE"/>
            <w:noWrap/>
          </w:tcPr>
          <w:p w14:paraId="0CE926E3" w14:textId="77777777" w:rsidR="000E48CE" w:rsidRDefault="00FF4C4E">
            <w:pPr>
              <w:pStyle w:val="P68B1DB1-Normal13"/>
              <w:spacing w:after="0"/>
              <w:rPr>
                <w:rFonts w:eastAsia="Times New Roman" w:cs="Times New Roman"/>
                <w:noProof/>
              </w:rPr>
            </w:pPr>
            <w:r>
              <w:rPr>
                <w:noProof/>
              </w:rPr>
              <w:t xml:space="preserve">Kansainvälinen ulottuvuus – rekisteröidyt ulkomaiset veronmaksajat tunnistettu </w:t>
            </w:r>
          </w:p>
        </w:tc>
        <w:tc>
          <w:tcPr>
            <w:tcW w:w="1134" w:type="dxa"/>
            <w:shd w:val="clear" w:color="auto" w:fill="C6EFCE"/>
            <w:noWrap/>
          </w:tcPr>
          <w:p w14:paraId="67857EAC" w14:textId="77777777" w:rsidR="000E48CE" w:rsidRDefault="00FF4C4E">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07596CC5" w14:textId="77777777" w:rsidR="000E48CE" w:rsidRDefault="00FF4C4E">
            <w:pPr>
              <w:pStyle w:val="P68B1DB1-Normal13"/>
              <w:spacing w:after="0"/>
              <w:jc w:val="center"/>
              <w:rPr>
                <w:rFonts w:eastAsia="Times New Roman" w:cs="Times New Roman"/>
                <w:noProof/>
              </w:rPr>
            </w:pPr>
            <w:r>
              <w:rPr>
                <w:noProof/>
              </w:rPr>
              <w:t>Lukumäärä (%)</w:t>
            </w:r>
          </w:p>
        </w:tc>
        <w:tc>
          <w:tcPr>
            <w:tcW w:w="708" w:type="dxa"/>
            <w:shd w:val="clear" w:color="auto" w:fill="C6EFCE"/>
            <w:noWrap/>
          </w:tcPr>
          <w:p w14:paraId="0CAE84B5" w14:textId="77777777" w:rsidR="000E48CE" w:rsidRDefault="00FF4C4E">
            <w:pPr>
              <w:pStyle w:val="P68B1DB1-Normal13"/>
              <w:spacing w:after="0"/>
              <w:jc w:val="right"/>
              <w:rPr>
                <w:rFonts w:eastAsia="Times New Roman" w:cs="Times New Roman"/>
                <w:noProof/>
              </w:rPr>
            </w:pPr>
            <w:r>
              <w:rPr>
                <w:noProof/>
              </w:rPr>
              <w:t>0</w:t>
            </w:r>
          </w:p>
        </w:tc>
        <w:tc>
          <w:tcPr>
            <w:tcW w:w="709" w:type="dxa"/>
            <w:shd w:val="clear" w:color="auto" w:fill="C6EFCE"/>
            <w:noWrap/>
          </w:tcPr>
          <w:p w14:paraId="1E25BDA4" w14:textId="77777777" w:rsidR="000E48CE" w:rsidRDefault="00FF4C4E">
            <w:pPr>
              <w:pStyle w:val="P68B1DB1-Normal13"/>
              <w:spacing w:after="0"/>
              <w:jc w:val="right"/>
              <w:rPr>
                <w:rFonts w:eastAsia="Times New Roman" w:cs="Times New Roman"/>
                <w:noProof/>
              </w:rPr>
            </w:pPr>
            <w:r>
              <w:rPr>
                <w:noProof/>
              </w:rPr>
              <w:t>85</w:t>
            </w:r>
          </w:p>
        </w:tc>
        <w:tc>
          <w:tcPr>
            <w:tcW w:w="425" w:type="dxa"/>
            <w:shd w:val="clear" w:color="auto" w:fill="C6EFCE"/>
            <w:noWrap/>
          </w:tcPr>
          <w:p w14:paraId="28E904A9" w14:textId="77777777" w:rsidR="000E48CE" w:rsidRDefault="00FF4C4E">
            <w:pPr>
              <w:pStyle w:val="P68B1DB1-Normal13"/>
              <w:spacing w:after="0"/>
              <w:jc w:val="center"/>
              <w:rPr>
                <w:rFonts w:eastAsia="Times New Roman" w:cs="Times New Roman"/>
                <w:noProof/>
              </w:rPr>
            </w:pPr>
            <w:r>
              <w:rPr>
                <w:noProof/>
              </w:rPr>
              <w:t>Q4</w:t>
            </w:r>
          </w:p>
        </w:tc>
        <w:tc>
          <w:tcPr>
            <w:tcW w:w="709" w:type="dxa"/>
            <w:shd w:val="clear" w:color="auto" w:fill="C6EFCE"/>
            <w:noWrap/>
          </w:tcPr>
          <w:p w14:paraId="0E649732" w14:textId="77777777" w:rsidR="000E48CE" w:rsidRDefault="00FF4C4E">
            <w:pPr>
              <w:pStyle w:val="P68B1DB1-Normal13"/>
              <w:spacing w:after="0"/>
              <w:jc w:val="center"/>
              <w:rPr>
                <w:rFonts w:eastAsia="Times New Roman" w:cs="Times New Roman"/>
                <w:noProof/>
              </w:rPr>
            </w:pPr>
            <w:r>
              <w:rPr>
                <w:noProof/>
              </w:rPr>
              <w:t>2021</w:t>
            </w:r>
          </w:p>
        </w:tc>
        <w:tc>
          <w:tcPr>
            <w:tcW w:w="5131" w:type="dxa"/>
            <w:shd w:val="clear" w:color="auto" w:fill="C6EFCE"/>
            <w:noWrap/>
          </w:tcPr>
          <w:p w14:paraId="44091DCC" w14:textId="77777777" w:rsidR="000E48CE" w:rsidRDefault="00FF4C4E">
            <w:pPr>
              <w:pStyle w:val="P68B1DB1-Normal13"/>
              <w:spacing w:after="0"/>
              <w:rPr>
                <w:rFonts w:eastAsia="Times New Roman" w:cs="Times New Roman"/>
                <w:noProof/>
              </w:rPr>
            </w:pPr>
            <w:r>
              <w:rPr>
                <w:noProof/>
              </w:rPr>
              <w:t>Verosäännösten noudattamisen parantamiseksi erityisesti niiden verovelvollisten osalta, jotka on merkitty rekisteriin ulkomaisina verovelvollisina, veroviraston on toteutettava hanke, jossa hyödynnetään eri kansainvälisistä lähteistä, kuten FATCAsta ja CRS</w:t>
            </w:r>
            <w:r>
              <w:rPr>
                <w:noProof/>
              </w:rPr>
              <w:t>:stä saatavia verovelvollisia koskevia uusia tietoja. Hankkeen päätyttyä saatujen kansainvälisten tietojen odotetaan soveltuvan riskianalyysiin. Hankkeen tavoitteena on, että verotiedot vähintään 85 prosentilta rekisteröidyistä ulkomaisista verovelvollisis</w:t>
            </w:r>
            <w:r>
              <w:rPr>
                <w:noProof/>
              </w:rPr>
              <w:t>ta, joista verovirasto sai tietoja vuonna 2019, on tunnistettu ja sen verotiedot on tarkastettu, jotta niitä voidaan käyttää riskianalyysissä 31 päivään joulukuuta 2021 mennessä. Lähtötilanteen päivämäärä: Joulukuuta 2020.</w:t>
            </w:r>
          </w:p>
        </w:tc>
      </w:tr>
      <w:tr w:rsidR="000E48CE" w14:paraId="2E94181E" w14:textId="77777777">
        <w:trPr>
          <w:trHeight w:val="309"/>
        </w:trPr>
        <w:tc>
          <w:tcPr>
            <w:tcW w:w="709" w:type="dxa"/>
            <w:shd w:val="clear" w:color="auto" w:fill="C6EFCE"/>
            <w:noWrap/>
          </w:tcPr>
          <w:p w14:paraId="369D469A" w14:textId="77777777" w:rsidR="000E48CE" w:rsidRDefault="00FF4C4E">
            <w:pPr>
              <w:pStyle w:val="P68B1DB1-Normal13"/>
              <w:spacing w:after="0"/>
              <w:jc w:val="center"/>
              <w:rPr>
                <w:rFonts w:eastAsia="Times New Roman" w:cs="Times New Roman"/>
                <w:noProof/>
              </w:rPr>
            </w:pPr>
            <w:r>
              <w:rPr>
                <w:noProof/>
              </w:rPr>
              <w:t>384</w:t>
            </w:r>
          </w:p>
        </w:tc>
        <w:tc>
          <w:tcPr>
            <w:tcW w:w="851" w:type="dxa"/>
            <w:shd w:val="clear" w:color="auto" w:fill="C6EFCE"/>
            <w:noWrap/>
          </w:tcPr>
          <w:p w14:paraId="4AAA593D" w14:textId="77777777" w:rsidR="000E48CE" w:rsidRDefault="00FF4C4E">
            <w:pPr>
              <w:pStyle w:val="P68B1DB1-Normal13"/>
              <w:spacing w:after="0"/>
              <w:jc w:val="center"/>
              <w:rPr>
                <w:rFonts w:eastAsia="Times New Roman" w:cs="Times New Roman"/>
                <w:noProof/>
              </w:rPr>
            </w:pPr>
            <w:r>
              <w:rPr>
                <w:noProof/>
              </w:rPr>
              <w:t>C27.R5</w:t>
            </w:r>
          </w:p>
        </w:tc>
        <w:tc>
          <w:tcPr>
            <w:tcW w:w="850" w:type="dxa"/>
            <w:shd w:val="clear" w:color="auto" w:fill="C6EFCE"/>
            <w:noWrap/>
          </w:tcPr>
          <w:p w14:paraId="042E4418" w14:textId="77777777" w:rsidR="000E48CE" w:rsidRDefault="00FF4C4E">
            <w:pPr>
              <w:pStyle w:val="P68B1DB1-Normal13"/>
              <w:spacing w:after="0"/>
              <w:jc w:val="center"/>
              <w:rPr>
                <w:rFonts w:eastAsia="Times New Roman" w:cs="Times New Roman"/>
                <w:noProof/>
              </w:rPr>
            </w:pPr>
            <w:r>
              <w:rPr>
                <w:noProof/>
              </w:rPr>
              <w:t>T</w:t>
            </w:r>
          </w:p>
        </w:tc>
        <w:tc>
          <w:tcPr>
            <w:tcW w:w="2977" w:type="dxa"/>
            <w:shd w:val="clear" w:color="auto" w:fill="C6EFCE"/>
            <w:noWrap/>
          </w:tcPr>
          <w:p w14:paraId="7DF6F267" w14:textId="77777777" w:rsidR="000E48CE" w:rsidRDefault="00FF4C4E">
            <w:pPr>
              <w:pStyle w:val="P68B1DB1-Normal13"/>
              <w:spacing w:after="0"/>
              <w:rPr>
                <w:rFonts w:eastAsia="Times New Roman" w:cs="Times New Roman"/>
                <w:noProof/>
              </w:rPr>
            </w:pPr>
            <w:r>
              <w:rPr>
                <w:noProof/>
              </w:rPr>
              <w:t xml:space="preserve">Yhteistyömalli – </w:t>
            </w:r>
            <w:r>
              <w:rPr>
                <w:noProof/>
              </w:rPr>
              <w:t>Avoimuusraportit</w:t>
            </w:r>
          </w:p>
        </w:tc>
        <w:tc>
          <w:tcPr>
            <w:tcW w:w="1134" w:type="dxa"/>
            <w:shd w:val="clear" w:color="auto" w:fill="C6EFCE"/>
            <w:noWrap/>
          </w:tcPr>
          <w:p w14:paraId="05BE67A3" w14:textId="77777777" w:rsidR="000E48CE" w:rsidRDefault="00FF4C4E">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749A8266" w14:textId="77777777" w:rsidR="000E48CE" w:rsidRDefault="00FF4C4E">
            <w:pPr>
              <w:pStyle w:val="P68B1DB1-Normal13"/>
              <w:spacing w:after="0"/>
              <w:jc w:val="center"/>
              <w:rPr>
                <w:rFonts w:eastAsia="Times New Roman" w:cs="Times New Roman"/>
                <w:noProof/>
              </w:rPr>
            </w:pPr>
            <w:r>
              <w:rPr>
                <w:noProof/>
              </w:rPr>
              <w:t xml:space="preserve">Määrä </w:t>
            </w:r>
          </w:p>
        </w:tc>
        <w:tc>
          <w:tcPr>
            <w:tcW w:w="708" w:type="dxa"/>
            <w:shd w:val="clear" w:color="auto" w:fill="C6EFCE"/>
            <w:noWrap/>
          </w:tcPr>
          <w:p w14:paraId="66896702" w14:textId="77777777" w:rsidR="000E48CE" w:rsidRDefault="00FF4C4E">
            <w:pPr>
              <w:pStyle w:val="P68B1DB1-Normal13"/>
              <w:spacing w:after="0"/>
              <w:jc w:val="right"/>
              <w:rPr>
                <w:rFonts w:eastAsia="Times New Roman" w:cs="Times New Roman"/>
                <w:noProof/>
              </w:rPr>
            </w:pPr>
            <w:r>
              <w:rPr>
                <w:noProof/>
              </w:rPr>
              <w:t>0</w:t>
            </w:r>
          </w:p>
        </w:tc>
        <w:tc>
          <w:tcPr>
            <w:tcW w:w="709" w:type="dxa"/>
            <w:shd w:val="clear" w:color="auto" w:fill="C6EFCE"/>
            <w:noWrap/>
          </w:tcPr>
          <w:p w14:paraId="40419D8E" w14:textId="77777777" w:rsidR="000E48CE" w:rsidRDefault="00FF4C4E">
            <w:pPr>
              <w:pStyle w:val="P68B1DB1-Normal13"/>
              <w:spacing w:after="0"/>
              <w:jc w:val="right"/>
              <w:rPr>
                <w:rFonts w:eastAsia="Times New Roman" w:cs="Times New Roman"/>
                <w:noProof/>
              </w:rPr>
            </w:pPr>
            <w:r>
              <w:rPr>
                <w:noProof/>
              </w:rPr>
              <w:t>20</w:t>
            </w:r>
          </w:p>
        </w:tc>
        <w:tc>
          <w:tcPr>
            <w:tcW w:w="425" w:type="dxa"/>
            <w:shd w:val="clear" w:color="auto" w:fill="C6EFCE"/>
            <w:noWrap/>
          </w:tcPr>
          <w:p w14:paraId="304624A8" w14:textId="77777777" w:rsidR="000E48CE" w:rsidRDefault="00FF4C4E">
            <w:pPr>
              <w:pStyle w:val="P68B1DB1-Normal13"/>
              <w:spacing w:after="0"/>
              <w:jc w:val="center"/>
              <w:rPr>
                <w:rFonts w:eastAsia="Times New Roman" w:cs="Times New Roman"/>
                <w:noProof/>
              </w:rPr>
            </w:pPr>
            <w:r>
              <w:rPr>
                <w:noProof/>
              </w:rPr>
              <w:t>Q4</w:t>
            </w:r>
          </w:p>
        </w:tc>
        <w:tc>
          <w:tcPr>
            <w:tcW w:w="709" w:type="dxa"/>
            <w:shd w:val="clear" w:color="auto" w:fill="C6EFCE"/>
            <w:noWrap/>
          </w:tcPr>
          <w:p w14:paraId="0DF9133B" w14:textId="77777777" w:rsidR="000E48CE" w:rsidRDefault="00FF4C4E">
            <w:pPr>
              <w:pStyle w:val="P68B1DB1-Normal13"/>
              <w:spacing w:after="0"/>
              <w:jc w:val="center"/>
              <w:rPr>
                <w:rFonts w:eastAsia="Times New Roman" w:cs="Times New Roman"/>
                <w:noProof/>
              </w:rPr>
            </w:pPr>
            <w:r>
              <w:rPr>
                <w:noProof/>
              </w:rPr>
              <w:t>2021</w:t>
            </w:r>
          </w:p>
        </w:tc>
        <w:tc>
          <w:tcPr>
            <w:tcW w:w="5131" w:type="dxa"/>
            <w:shd w:val="clear" w:color="auto" w:fill="C6EFCE"/>
            <w:noWrap/>
          </w:tcPr>
          <w:p w14:paraId="27637BE0" w14:textId="77777777" w:rsidR="000E48CE" w:rsidRDefault="00FF4C4E">
            <w:pPr>
              <w:pStyle w:val="P68B1DB1-Normal13"/>
              <w:spacing w:after="0"/>
              <w:rPr>
                <w:rFonts w:eastAsia="Times New Roman" w:cs="Times New Roman"/>
                <w:noProof/>
              </w:rPr>
            </w:pPr>
            <w:r>
              <w:rPr>
                <w:noProof/>
              </w:rPr>
              <w:t>Verovirasto toteuttaa vuonna 2021 hankkeen, jolla kannustetaan monikansallisia yrityksiä julkistamaan tietoja toiminnastaan. Näillä tiedoilla voi olla vaikutuksia kyseisten yhtiöiden verotukseen. Tavoitteena on 20 avo</w:t>
            </w:r>
            <w:r>
              <w:rPr>
                <w:noProof/>
              </w:rPr>
              <w:t>imuusraporttia, jotka toimitetaan vuonna 2021.</w:t>
            </w:r>
          </w:p>
        </w:tc>
      </w:tr>
    </w:tbl>
    <w:p w14:paraId="026E0547" w14:textId="77777777" w:rsidR="000E48CE" w:rsidRDefault="000E48CE">
      <w:pPr>
        <w:pStyle w:val="Text1"/>
        <w:ind w:left="709"/>
        <w:rPr>
          <w:rFonts w:ascii="Times New Roman" w:hAnsi="Times New Roman" w:cs="Times New Roman"/>
          <w:noProof/>
        </w:rPr>
      </w:pPr>
    </w:p>
    <w:p w14:paraId="51CD281E" w14:textId="77777777" w:rsidR="000E48CE" w:rsidRDefault="000E48CE">
      <w:pPr>
        <w:pStyle w:val="SectionTitle"/>
        <w:rPr>
          <w:rFonts w:ascii="Times New Roman" w:hAnsi="Times New Roman" w:cs="Times New Roman"/>
          <w:noProof/>
        </w:rPr>
        <w:sectPr w:rsidR="000E48CE" w:rsidSect="00C94F66">
          <w:headerReference w:type="even" r:id="rId513"/>
          <w:headerReference w:type="default" r:id="rId514"/>
          <w:footerReference w:type="even" r:id="rId515"/>
          <w:footerReference w:type="default" r:id="rId516"/>
          <w:headerReference w:type="first" r:id="rId517"/>
          <w:footerReference w:type="first" r:id="rId518"/>
          <w:pgSz w:w="16839" w:h="11907" w:orient="landscape"/>
          <w:pgMar w:top="1417" w:right="1134" w:bottom="1417" w:left="1134" w:header="709" w:footer="709" w:gutter="0"/>
          <w:cols w:space="720"/>
          <w:docGrid w:linePitch="360"/>
        </w:sectPr>
      </w:pPr>
    </w:p>
    <w:p w14:paraId="4688F100" w14:textId="77777777" w:rsidR="000E48CE" w:rsidRDefault="00FF4C4E">
      <w:pPr>
        <w:pStyle w:val="P68B1DB1-Heading12"/>
        <w:rPr>
          <w:rFonts w:cs="Times New Roman"/>
          <w:noProof/>
        </w:rPr>
      </w:pPr>
      <w:r>
        <w:rPr>
          <w:noProof/>
        </w:rPr>
        <w:t>AB. OSA-ALUE 28: Verojärjestelmän mukauttaminen 2000-luvun todellisuuteen</w:t>
      </w:r>
    </w:p>
    <w:p w14:paraId="0E925F46" w14:textId="33528176" w:rsidR="000E48CE" w:rsidRDefault="00FF4C4E">
      <w:pPr>
        <w:pStyle w:val="P68B1DB1-Text119"/>
        <w:ind w:left="0"/>
        <w:rPr>
          <w:rFonts w:cs="Times New Roman"/>
          <w:noProof/>
        </w:rPr>
      </w:pPr>
      <w:r>
        <w:rPr>
          <w:noProof/>
        </w:rPr>
        <w:t>Espanjan elpymis- ja palautumissuunnitelman osa-alueeseen 28 sisältyvät toimenpiteet sisältävät erilaisia verotoimenpiteitä, kuten hätätoimenpiteet, joista päätettiin talouskriisin äkillisessä vaiheessa vuonna 2020, uusien verojen käyttöönotto valtion vuod</w:t>
      </w:r>
      <w:r>
        <w:rPr>
          <w:noProof/>
        </w:rPr>
        <w:t>en 2021 talousarvion yhteydessä ja keskipitkän aikavälin hankkeet verojärjestelmän tarkistamiseksi ja kehittämiseksi paremmin sen tarkoituksen mukaiseksi. Toimenpiteisiin sisältyy myös verokannustimia vihreän siirtymän nopeuttamiseksi. Espanjan verojärjest</w:t>
      </w:r>
      <w:r>
        <w:rPr>
          <w:noProof/>
        </w:rPr>
        <w:t xml:space="preserve">elmän uudistuksen tavoitteena on tehdä siitä oikeudenmukaisempi, progressiivisempi, kestävämpi ja oikeudenmukaisempi samalla, kun vihreän verotuksen rakennetta syvennetään, sukupuolinäkökulma otetaan huomioon ja vahvistetaan yleistä etua koskevia julkisia </w:t>
      </w:r>
      <w:r>
        <w:rPr>
          <w:noProof/>
        </w:rPr>
        <w:t>politiikkoja, kuten terveydensuojelua. Uudistuksilla pyritään myös edistämään talouskasvua, työpaikkojen luomista, talouden selviytymiskykyä ja alueiden välistä yhteenkuuluvuutta. Koska verotulojen suhde BKT:hen on Espanjassa pienempi kuin vertaistalouksis</w:t>
      </w:r>
      <w:r>
        <w:rPr>
          <w:noProof/>
        </w:rPr>
        <w:t xml:space="preserve">sa, on mahdollista lisätä tuloja ja edistää julkisen talouden keskipitkän ja pitkän aikavälin kestävyyttä. </w:t>
      </w:r>
    </w:p>
    <w:p w14:paraId="205DC4D7" w14:textId="72087E5C" w:rsidR="000E48CE" w:rsidRDefault="00FF4C4E">
      <w:pPr>
        <w:pStyle w:val="P68B1DB1-Text119"/>
        <w:ind w:left="0"/>
        <w:rPr>
          <w:rFonts w:cs="Times New Roman"/>
          <w:noProof/>
        </w:rPr>
      </w:pPr>
      <w:r>
        <w:rPr>
          <w:noProof/>
        </w:rPr>
        <w:t>Osa-alueella käsitellään muun muassa maakohtaisia suosituksia julkisen talouden ja julkisten hankintojen kehysten vahvistamisesta kaikilla hallinnon</w:t>
      </w:r>
      <w:r>
        <w:rPr>
          <w:noProof/>
        </w:rPr>
        <w:t xml:space="preserve"> tasoilla (maakohtainen suositus 1 2019), finanssipolitiikkaa, jolla pyritään saavuttamaan maltillisella tasolla oleva julkisen talouden rahoitusasema keskipitkällä aikavälillä ja varmistamaan velkakestävyys samalla kun kannustetaan investointeihin (maakoh</w:t>
      </w:r>
      <w:r>
        <w:rPr>
          <w:noProof/>
        </w:rPr>
        <w:t>tainen suositus 1 2020), liikenteen sähköistämisestä (maakohtainen suositus 3 2023 ja 4 2022), ekologiseen ja digitaaliseen siirtymään tehtävien investointien lisäämisestä (maakohtainen suositus 1 2023, 1 2022 ja 3 2020) ja sosiaalisen ja kohtuuhintaisen e</w:t>
      </w:r>
      <w:r>
        <w:rPr>
          <w:noProof/>
        </w:rPr>
        <w:t xml:space="preserve">nergiatehokkaan asumisen saatavuuden parantamisesta erityisesti peruskorjausten avulla (maakohtaiset suositukset 3 2023 ja 4 2022). </w:t>
      </w:r>
    </w:p>
    <w:p w14:paraId="48553FBA" w14:textId="77777777" w:rsidR="000E48CE" w:rsidRDefault="00FF4C4E">
      <w:pPr>
        <w:pStyle w:val="P68B1DB1-Text119"/>
        <w:ind w:left="0"/>
        <w:rPr>
          <w:rFonts w:cs="Times New Roman"/>
          <w:noProof/>
        </w:rPr>
      </w:pPr>
      <w:r>
        <w:rPr>
          <w:noProof/>
        </w:rPr>
        <w:t>Minkään tämän komponentin toimenpiteen ei odoteta aiheuttavan asetuksen (EU) 2020/852 17 artiklassa tarkoitettua merkittävä</w:t>
      </w:r>
      <w:r>
        <w:rPr>
          <w:noProof/>
        </w:rPr>
        <w:t>ä haittaa ympäristötavoitteille, kun otetaan huomioon ”ei merkittävää haittaa” -periaatteen soveltamista koskevien teknisten ohjeiden (2021/C58/01) mukaiset elpymis- ja palautumissuunnitelmassa esitettyjen toimenpiteiden kuvaus ja lieventävät toimet.</w:t>
      </w:r>
    </w:p>
    <w:p w14:paraId="097A9153" w14:textId="77777777" w:rsidR="000E48CE" w:rsidRDefault="00FF4C4E">
      <w:pPr>
        <w:pStyle w:val="P68B1DB1-Text138"/>
        <w:ind w:left="709"/>
        <w:rPr>
          <w:rFonts w:cs="Times New Roman"/>
          <w:i/>
          <w:noProof/>
        </w:rPr>
      </w:pPr>
      <w:r>
        <w:rPr>
          <w:noProof/>
        </w:rPr>
        <w:t>AB.1.</w:t>
      </w:r>
      <w:r>
        <w:rPr>
          <w:noProof/>
        </w:rPr>
        <w:t xml:space="preserve"> </w:t>
      </w:r>
      <w:r>
        <w:rPr>
          <w:noProof/>
        </w:rPr>
        <w:tab/>
        <w:t>Kuvaus uudistuksista ja investoinneista, joita rahoitetaan rahoitustuella, jota ei makseta takaisin</w:t>
      </w:r>
    </w:p>
    <w:p w14:paraId="3E25CCF5" w14:textId="77777777" w:rsidR="000E48CE" w:rsidRDefault="00FF4C4E">
      <w:pPr>
        <w:pStyle w:val="P68B1DB1-Text120"/>
        <w:ind w:left="0"/>
        <w:rPr>
          <w:rFonts w:cs="Times New Roman"/>
          <w:noProof/>
        </w:rPr>
      </w:pPr>
      <w:r>
        <w:rPr>
          <w:noProof/>
        </w:rPr>
        <w:t>Uudistus 1 (C28.R1) – vuosina 2020 ja 2021 toteutetut toimenpiteet covid-19-pandemian vaikutusten lieventämiseksi</w:t>
      </w:r>
    </w:p>
    <w:p w14:paraId="4B34A87F" w14:textId="77777777" w:rsidR="000E48CE" w:rsidRDefault="00FF4C4E">
      <w:pPr>
        <w:pStyle w:val="P68B1DB1-Text119"/>
        <w:ind w:left="0"/>
        <w:rPr>
          <w:rFonts w:cs="Times New Roman"/>
          <w:noProof/>
        </w:rPr>
      </w:pPr>
      <w:r>
        <w:rPr>
          <w:noProof/>
        </w:rPr>
        <w:t>Espanja otti vuosina 2020 ja 2021 käyttö</w:t>
      </w:r>
      <w:r>
        <w:rPr>
          <w:noProof/>
        </w:rPr>
        <w:t>ön useita verotoimenpiteitä lieventääkseen covid-19-pandemian aiheuttaman talouskriisin kielteisiä vaikutuksia. Näitä toimenpiteitä olivat muun muassa vero- ja tullivelkojen lykkääminen, veromääräaikojen keskeyttäminen ja pidentäminen, mahdollisuudet yksin</w:t>
      </w:r>
      <w:r>
        <w:rPr>
          <w:noProof/>
        </w:rPr>
        <w:t>kertaistaa henkilökohtaista tuloveroa, pk-yritysten yhtiövero- ja alv-järjestelmät, tiettyjen tavaroiden alv-kannan väliaikainen alentaminen terveyskriisin torjumiseksi ja muiden kuin rahoitusalan yritysten maksukyvyttömyysrahaston perustaminen. Näiden toi</w:t>
      </w:r>
      <w:r>
        <w:rPr>
          <w:noProof/>
        </w:rPr>
        <w:t xml:space="preserve">menpiteiden tavoitteena oli lieventää pandemian taloudellisia ja sosiaalisia vaikutuksia. Nämä toimenpiteet tulevat voimaan 1 päivänä helmikuuta 2020, ja osa niistä jatkuu vuonna 2021. </w:t>
      </w:r>
    </w:p>
    <w:p w14:paraId="3E30F3A4" w14:textId="77777777" w:rsidR="000E48CE" w:rsidRDefault="00FF4C4E">
      <w:pPr>
        <w:pStyle w:val="P68B1DB1-Text119"/>
        <w:ind w:left="0"/>
        <w:rPr>
          <w:rFonts w:cs="Times New Roman"/>
          <w:noProof/>
        </w:rPr>
      </w:pPr>
      <w:r>
        <w:rPr>
          <w:noProof/>
        </w:rPr>
        <w:t>Toimenpiteen täytäntöönpano on saatettava päätökseen 31 päivään maalis</w:t>
      </w:r>
      <w:r>
        <w:rPr>
          <w:noProof/>
        </w:rPr>
        <w:t>kuuta 2021 mennessä.</w:t>
      </w:r>
    </w:p>
    <w:p w14:paraId="76FFBCCE" w14:textId="77777777" w:rsidR="000E48CE" w:rsidRDefault="00FF4C4E">
      <w:pPr>
        <w:pStyle w:val="P68B1DB1-Text120"/>
        <w:ind w:left="0"/>
        <w:rPr>
          <w:rFonts w:cs="Times New Roman"/>
          <w:noProof/>
        </w:rPr>
      </w:pPr>
      <w:r>
        <w:rPr>
          <w:noProof/>
        </w:rPr>
        <w:t>Uudistus 2 (C28.R2) – Vero-etuusanalyysi</w:t>
      </w:r>
    </w:p>
    <w:p w14:paraId="4BFB300F" w14:textId="77777777" w:rsidR="000E48CE" w:rsidRDefault="00FF4C4E">
      <w:pPr>
        <w:pStyle w:val="P68B1DB1-Text119"/>
        <w:ind w:left="0"/>
        <w:rPr>
          <w:rFonts w:cs="Times New Roman"/>
          <w:noProof/>
          <w:sz w:val="20"/>
        </w:rPr>
      </w:pPr>
      <w:r>
        <w:rPr>
          <w:noProof/>
        </w:rPr>
        <w:t>Riippumattoman veroviranomaisen (autoridad</w:t>
      </w:r>
      <w:r>
        <w:rPr>
          <w:i/>
          <w:noProof/>
        </w:rPr>
        <w:t>Independiente de Responsabilidad Fiscal</w:t>
      </w:r>
      <w:r>
        <w:rPr>
          <w:noProof/>
        </w:rPr>
        <w:t>, AIReF) tekemässä menojen uudelleentarkastelussa, joka koskee henkilökohtaista tuloveroa, valmisteveroja ja arvo</w:t>
      </w:r>
      <w:r>
        <w:rPr>
          <w:noProof/>
        </w:rPr>
        <w:t xml:space="preserve">nlisäveroa koskevia veroetuuksia, yksilöitiin mahdollisuuksia muuttaa tiettyjä veroetuuksia. Vuonna 2020 muutettiin henkilökohtaisten tuloverojärjestelmien veroetuuksia ja virvoitusjuomien ja -mehujen sekä tiettyjen lisättyä sokeria ja/tai makeutusaineita </w:t>
      </w:r>
      <w:r>
        <w:rPr>
          <w:noProof/>
        </w:rPr>
        <w:t>sisältävien juomien alennettua alv-kantaa. Uusien sääntelyuudistusten toteuttaminen 31 päivään maaliskuuta 2023 mennessä perustuu 15 veroedun arviointia varten perustetun työryhmän suosituksiin. Työryhmän tavoitteena on antaa suosituksia veroetuuksien muut</w:t>
      </w:r>
      <w:r>
        <w:rPr>
          <w:noProof/>
        </w:rPr>
        <w:t>tamisesta tai poistamisesta tulevina vuosina verojärjestelmän tehostamiseksi, tulojen lisäämiseksi, vihreän siirtymän tukemiseksi ja oikeudenmukaisuuden edistämiseksi.</w:t>
      </w:r>
      <w:r>
        <w:rPr>
          <w:noProof/>
          <w:sz w:val="20"/>
        </w:rPr>
        <w:t xml:space="preserve"> </w:t>
      </w:r>
    </w:p>
    <w:p w14:paraId="7E6F87C9" w14:textId="77777777" w:rsidR="000E48CE" w:rsidRDefault="00FF4C4E">
      <w:pPr>
        <w:pStyle w:val="P68B1DB1-Text119"/>
        <w:ind w:left="0"/>
        <w:rPr>
          <w:rFonts w:cs="Times New Roman"/>
          <w:noProof/>
        </w:rPr>
      </w:pPr>
      <w:r>
        <w:rPr>
          <w:noProof/>
        </w:rPr>
        <w:t>Toimenpiteen täytäntöönpano on saatettava päätökseen 31 päivään maaliskuuta 2023 mennes</w:t>
      </w:r>
      <w:r>
        <w:rPr>
          <w:noProof/>
        </w:rPr>
        <w:t>sä.</w:t>
      </w:r>
    </w:p>
    <w:p w14:paraId="17B93025" w14:textId="77777777" w:rsidR="000E48CE" w:rsidRDefault="00FF4C4E">
      <w:pPr>
        <w:pStyle w:val="P68B1DB1-Text120"/>
        <w:ind w:left="0"/>
        <w:rPr>
          <w:rFonts w:cs="Times New Roman"/>
          <w:noProof/>
        </w:rPr>
      </w:pPr>
      <w:r>
        <w:rPr>
          <w:noProof/>
        </w:rPr>
        <w:t>Uudistus 3 (C28.R3) – Verouudistuksen asiantuntijakomitean perustaminen</w:t>
      </w:r>
    </w:p>
    <w:p w14:paraId="3678B450" w14:textId="77777777" w:rsidR="000E48CE" w:rsidRDefault="00FF4C4E">
      <w:pPr>
        <w:pStyle w:val="P68B1DB1-Text119"/>
        <w:ind w:left="0"/>
        <w:rPr>
          <w:rFonts w:cs="Times New Roman"/>
          <w:noProof/>
        </w:rPr>
      </w:pPr>
      <w:r>
        <w:rPr>
          <w:noProof/>
        </w:rPr>
        <w:t>Viranomaiset perustavat 12 päivänä huhtikuuta 2021 asiantuntijakomitean tutkimaan optimaalisen verojärjestelmän piirteitä ja antamaan suosituksia siitä, miten nykyistä verotusta vo</w:t>
      </w:r>
      <w:r>
        <w:rPr>
          <w:noProof/>
        </w:rPr>
        <w:t>idaan nykyaikaistaa ja mukauttaa johdonmukaisella tavalla. Asiantuntijakomitea kiinnittää huomiota erityisesti seuraaviin aloihin:</w:t>
      </w:r>
    </w:p>
    <w:p w14:paraId="4FAA35BB" w14:textId="77777777" w:rsidR="000E48CE" w:rsidRDefault="00FF4C4E">
      <w:pPr>
        <w:pStyle w:val="P68B1DB1-Text119"/>
        <w:numPr>
          <w:ilvl w:val="0"/>
          <w:numId w:val="716"/>
        </w:numPr>
        <w:rPr>
          <w:rFonts w:cs="Times New Roman"/>
          <w:noProof/>
        </w:rPr>
      </w:pPr>
      <w:r>
        <w:rPr>
          <w:noProof/>
        </w:rPr>
        <w:t xml:space="preserve">ympäristöverotus; </w:t>
      </w:r>
    </w:p>
    <w:p w14:paraId="4FDC2A83" w14:textId="77777777" w:rsidR="000E48CE" w:rsidRDefault="00FF4C4E">
      <w:pPr>
        <w:pStyle w:val="P68B1DB1-Text119"/>
        <w:numPr>
          <w:ilvl w:val="0"/>
          <w:numId w:val="716"/>
        </w:numPr>
        <w:rPr>
          <w:rFonts w:cs="Times New Roman"/>
          <w:noProof/>
        </w:rPr>
      </w:pPr>
      <w:r>
        <w:rPr>
          <w:noProof/>
        </w:rPr>
        <w:t>yritysverotus</w:t>
      </w:r>
    </w:p>
    <w:p w14:paraId="4C57CCCA" w14:textId="77777777" w:rsidR="000E48CE" w:rsidRDefault="00FF4C4E">
      <w:pPr>
        <w:pStyle w:val="P68B1DB1-Text119"/>
        <w:numPr>
          <w:ilvl w:val="0"/>
          <w:numId w:val="716"/>
        </w:numPr>
        <w:rPr>
          <w:rFonts w:cs="Times New Roman"/>
          <w:noProof/>
        </w:rPr>
      </w:pPr>
      <w:r>
        <w:rPr>
          <w:noProof/>
        </w:rPr>
        <w:t>digitaalitalouden verotus;</w:t>
      </w:r>
    </w:p>
    <w:p w14:paraId="5F583C1F" w14:textId="77777777" w:rsidR="000E48CE" w:rsidRDefault="00FF4C4E">
      <w:pPr>
        <w:pStyle w:val="P68B1DB1-Text119"/>
        <w:numPr>
          <w:ilvl w:val="0"/>
          <w:numId w:val="716"/>
        </w:numPr>
        <w:rPr>
          <w:rFonts w:cs="Times New Roman"/>
          <w:noProof/>
        </w:rPr>
      </w:pPr>
      <w:r>
        <w:rPr>
          <w:noProof/>
        </w:rPr>
        <w:t>varallisuusverotus, mukaan lukien kiinteistöverotus ja yhdenmukai</w:t>
      </w:r>
      <w:r>
        <w:rPr>
          <w:noProof/>
        </w:rPr>
        <w:t>stamisen konkreettinen täytäntöönpano tällä alalla;</w:t>
      </w:r>
    </w:p>
    <w:p w14:paraId="570749D3" w14:textId="77777777" w:rsidR="000E48CE" w:rsidRDefault="00FF4C4E">
      <w:pPr>
        <w:pStyle w:val="P68B1DB1-Text119"/>
        <w:numPr>
          <w:ilvl w:val="0"/>
          <w:numId w:val="716"/>
        </w:numPr>
        <w:rPr>
          <w:rFonts w:cs="Times New Roman"/>
          <w:noProof/>
        </w:rPr>
      </w:pPr>
      <w:r>
        <w:rPr>
          <w:noProof/>
        </w:rPr>
        <w:t>uusien taloudellisten toimintojen verotus; ja</w:t>
      </w:r>
    </w:p>
    <w:p w14:paraId="4DA81851" w14:textId="77777777" w:rsidR="000E48CE" w:rsidRDefault="00FF4C4E">
      <w:pPr>
        <w:pStyle w:val="P68B1DB1-Text119"/>
        <w:numPr>
          <w:ilvl w:val="0"/>
          <w:numId w:val="716"/>
        </w:numPr>
        <w:rPr>
          <w:rFonts w:cs="Times New Roman"/>
          <w:noProof/>
        </w:rPr>
      </w:pPr>
      <w:r>
        <w:rPr>
          <w:noProof/>
        </w:rPr>
        <w:t>sukupuolten tasa-arvo.</w:t>
      </w:r>
    </w:p>
    <w:p w14:paraId="44B9AE26" w14:textId="77777777" w:rsidR="000E48CE" w:rsidRDefault="00FF4C4E">
      <w:pPr>
        <w:pStyle w:val="P68B1DB1-Text119"/>
        <w:ind w:left="0"/>
        <w:rPr>
          <w:rFonts w:cs="Times New Roman"/>
          <w:noProof/>
        </w:rPr>
      </w:pPr>
      <w:r>
        <w:rPr>
          <w:noProof/>
        </w:rPr>
        <w:t>Uudistukseen on myös liitettävä analyysi niiden jakaumavaikutuksista keskittyen erityisesti lapsiperheisiin. Analyysiin on sisällyttävä</w:t>
      </w:r>
      <w:r>
        <w:rPr>
          <w:noProof/>
        </w:rPr>
        <w:t xml:space="preserve"> ainakin seuraavat osatekijät: vaikutus verojärjestelmän yleiseen progressiivisuuteen julkisessa taloudessa; vaikutukset heikossa asemassa oleviin ryhmiin; vaikutukset lapsiperheisiin; suuryritysten verotus; ja v) verotuksen jakautuminen työn ja pääoman ve</w:t>
      </w:r>
      <w:r>
        <w:rPr>
          <w:noProof/>
        </w:rPr>
        <w:t>rotuksen välillä.</w:t>
      </w:r>
    </w:p>
    <w:p w14:paraId="225AAFAA" w14:textId="77777777" w:rsidR="000E48CE" w:rsidRDefault="00FF4C4E">
      <w:pPr>
        <w:pStyle w:val="P68B1DB1-Text119"/>
        <w:ind w:left="0"/>
        <w:rPr>
          <w:rFonts w:cs="Times New Roman"/>
          <w:noProof/>
        </w:rPr>
      </w:pPr>
      <w:r>
        <w:rPr>
          <w:noProof/>
        </w:rPr>
        <w:t xml:space="preserve">Asiantuntijakomitea julkaisee raporttinsa helmikuussa 2022. Kertomuksen suosituksiin perustuvat verojärjestelmän muutokset tulevat voimaan viimeistään 31 päivänä maaliskuuta 2023. </w:t>
      </w:r>
    </w:p>
    <w:p w14:paraId="0C11C7A8" w14:textId="77777777" w:rsidR="000E48CE" w:rsidRDefault="00FF4C4E">
      <w:pPr>
        <w:pStyle w:val="P68B1DB1-Text119"/>
        <w:ind w:left="0"/>
        <w:rPr>
          <w:rFonts w:cs="Times New Roman"/>
          <w:noProof/>
        </w:rPr>
      </w:pPr>
      <w:r>
        <w:rPr>
          <w:noProof/>
        </w:rPr>
        <w:t>Toimenpiteen täytäntöönpano on saatettava päätökseen 31 p</w:t>
      </w:r>
      <w:r>
        <w:rPr>
          <w:noProof/>
        </w:rPr>
        <w:t>äivään maaliskuuta 2023 mennessä.</w:t>
      </w:r>
    </w:p>
    <w:p w14:paraId="212522AB" w14:textId="77777777" w:rsidR="000E48CE" w:rsidRDefault="00FF4C4E">
      <w:pPr>
        <w:pStyle w:val="P68B1DB1-Text120"/>
        <w:ind w:left="0"/>
        <w:rPr>
          <w:rFonts w:cs="Times New Roman"/>
          <w:noProof/>
        </w:rPr>
      </w:pPr>
      <w:r>
        <w:rPr>
          <w:noProof/>
        </w:rPr>
        <w:t>Uudistus 4 (C28.R4) – ekologista siirtymää edistävien verotoimenpiteiden uudistus</w:t>
      </w:r>
    </w:p>
    <w:p w14:paraId="28AFBB29" w14:textId="77777777" w:rsidR="000E48CE" w:rsidRDefault="00FF4C4E">
      <w:pPr>
        <w:pStyle w:val="P68B1DB1-Text119"/>
        <w:ind w:left="0"/>
        <w:rPr>
          <w:rFonts w:cs="Times New Roman"/>
          <w:noProof/>
        </w:rPr>
      </w:pPr>
      <w:r>
        <w:rPr>
          <w:noProof/>
        </w:rPr>
        <w:t xml:space="preserve">Uudistus sisältää verotoimenpiteitä, joilla pyritään tukemaan vihreää siirtymää. Toimenpiteiden on sisällettävä seuraavaa: </w:t>
      </w:r>
    </w:p>
    <w:p w14:paraId="78ABE0D8" w14:textId="77777777" w:rsidR="000E48CE" w:rsidRDefault="00FF4C4E">
      <w:pPr>
        <w:pStyle w:val="P68B1DB1-Text119"/>
        <w:numPr>
          <w:ilvl w:val="0"/>
          <w:numId w:val="165"/>
        </w:numPr>
        <w:rPr>
          <w:rFonts w:cs="Times New Roman"/>
          <w:noProof/>
        </w:rPr>
      </w:pPr>
      <w:r>
        <w:rPr>
          <w:noProof/>
        </w:rPr>
        <w:t>jätteen sijoitta</w:t>
      </w:r>
      <w:r>
        <w:rPr>
          <w:noProof/>
        </w:rPr>
        <w:t>misesta kaatopaikoille ja polttolaitoksiin kannettavan veron käyttöönotto;</w:t>
      </w:r>
    </w:p>
    <w:p w14:paraId="74DDAD36" w14:textId="77777777" w:rsidR="000E48CE" w:rsidRDefault="00FF4C4E">
      <w:pPr>
        <w:pStyle w:val="P68B1DB1-Text119"/>
        <w:numPr>
          <w:ilvl w:val="0"/>
          <w:numId w:val="165"/>
        </w:numPr>
        <w:rPr>
          <w:rFonts w:cs="Times New Roman"/>
          <w:noProof/>
        </w:rPr>
      </w:pPr>
      <w:r>
        <w:rPr>
          <w:noProof/>
        </w:rPr>
        <w:t xml:space="preserve">kertakäyttöisiä muovipakkauksia koskevan veron käyttöönotto; </w:t>
      </w:r>
    </w:p>
    <w:p w14:paraId="774ADC70" w14:textId="77777777" w:rsidR="000E48CE" w:rsidRDefault="00FF4C4E">
      <w:pPr>
        <w:pStyle w:val="P68B1DB1-Text119"/>
        <w:numPr>
          <w:ilvl w:val="0"/>
          <w:numId w:val="165"/>
        </w:numPr>
        <w:rPr>
          <w:rFonts w:cs="Times New Roman"/>
          <w:noProof/>
        </w:rPr>
      </w:pPr>
      <w:r>
        <w:rPr>
          <w:noProof/>
        </w:rPr>
        <w:t xml:space="preserve">fluorattuja kasvihuonekaasuja koskevan veron muuttaminen; </w:t>
      </w:r>
    </w:p>
    <w:p w14:paraId="0DF79D37" w14:textId="77777777" w:rsidR="000E48CE" w:rsidRDefault="00FF4C4E">
      <w:pPr>
        <w:pStyle w:val="P68B1DB1-Text119"/>
        <w:numPr>
          <w:ilvl w:val="0"/>
          <w:numId w:val="165"/>
        </w:numPr>
        <w:rPr>
          <w:rFonts w:cs="Times New Roman"/>
          <w:noProof/>
        </w:rPr>
      </w:pPr>
      <w:r>
        <w:rPr>
          <w:noProof/>
        </w:rPr>
        <w:t>liikkuvuuteen liittyvät verot tai maksut, kuten tiemaksut ja</w:t>
      </w:r>
      <w:r>
        <w:rPr>
          <w:noProof/>
        </w:rPr>
        <w:t xml:space="preserve"> ajoneuvojen rekisteröintiverot; ja että</w:t>
      </w:r>
    </w:p>
    <w:p w14:paraId="6F570970" w14:textId="77777777" w:rsidR="000E48CE" w:rsidRDefault="00FF4C4E">
      <w:pPr>
        <w:pStyle w:val="P68B1DB1-Text119"/>
        <w:numPr>
          <w:ilvl w:val="0"/>
          <w:numId w:val="165"/>
        </w:numPr>
        <w:rPr>
          <w:rFonts w:cs="Times New Roman"/>
          <w:noProof/>
        </w:rPr>
      </w:pPr>
      <w:r>
        <w:rPr>
          <w:noProof/>
        </w:rPr>
        <w:t xml:space="preserve">polttoaineena käytettävien kivennäisöljyjen tukien tarkistaminen. </w:t>
      </w:r>
    </w:p>
    <w:p w14:paraId="7912124F" w14:textId="77777777" w:rsidR="000E48CE" w:rsidRDefault="00FF4C4E">
      <w:pPr>
        <w:pStyle w:val="P68B1DB1-Text119"/>
        <w:ind w:left="0"/>
        <w:rPr>
          <w:rFonts w:cs="Times New Roman"/>
          <w:noProof/>
        </w:rPr>
      </w:pPr>
      <w:r>
        <w:rPr>
          <w:noProof/>
        </w:rPr>
        <w:t xml:space="preserve">Toimenpiteiden täytäntöönpano on saatettava päätökseen viimeistään 30 päivänä kesäkuuta 2022. </w:t>
      </w:r>
    </w:p>
    <w:p w14:paraId="45554E05" w14:textId="77777777" w:rsidR="000E48CE" w:rsidRDefault="00FF4C4E">
      <w:pPr>
        <w:pStyle w:val="P68B1DB1-Text120"/>
        <w:ind w:left="0"/>
        <w:rPr>
          <w:rFonts w:cs="Times New Roman"/>
          <w:noProof/>
        </w:rPr>
      </w:pPr>
      <w:r>
        <w:rPr>
          <w:noProof/>
        </w:rPr>
        <w:t xml:space="preserve">Uudistus 5 (C28.R5) – Digitaalisten palvelujen veron </w:t>
      </w:r>
      <w:r>
        <w:rPr>
          <w:noProof/>
        </w:rPr>
        <w:t>hyväksyminen</w:t>
      </w:r>
    </w:p>
    <w:p w14:paraId="749EF041" w14:textId="77777777" w:rsidR="000E48CE" w:rsidRDefault="00FF4C4E">
      <w:pPr>
        <w:pStyle w:val="P68B1DB1-Text119"/>
        <w:ind w:left="0"/>
        <w:rPr>
          <w:rFonts w:cs="Times New Roman"/>
          <w:noProof/>
        </w:rPr>
      </w:pPr>
      <w:r>
        <w:rPr>
          <w:noProof/>
        </w:rPr>
        <w:t>Uudistuksella otetaan käyttöön maksu, joka perustuu sellaisten yritysten liikevaihtoon, joiden nettoliikevaihto on yli 750000000 euroa, ja tuloihin, jotka saadaan tiettyjen digitaalisten palvelujen, kuten verkkomainonnan ja välityspalvelujen t</w:t>
      </w:r>
      <w:r>
        <w:rPr>
          <w:noProof/>
        </w:rPr>
        <w:t>arjoamisesta Espanjassa. Maksu ei riipu siitä, asuuko yhtiö Espanjassa vai ei. Maksu tulee voimaan vuoden 2021 ensimmäisellä neljänneksellä. Uudistukseen on sisällyttävä myös toimenpiteen vaikutustenarviointiraportti, joka on annettava viimeistään 31 päivä</w:t>
      </w:r>
      <w:r>
        <w:rPr>
          <w:noProof/>
        </w:rPr>
        <w:t xml:space="preserve">nä maaliskuuta 2022 ja 2023. </w:t>
      </w:r>
    </w:p>
    <w:p w14:paraId="1073D0AC" w14:textId="77777777" w:rsidR="000E48CE" w:rsidRDefault="00FF4C4E">
      <w:pPr>
        <w:pStyle w:val="P68B1DB1-Text119"/>
        <w:ind w:left="0"/>
        <w:rPr>
          <w:rFonts w:cs="Times New Roman"/>
          <w:noProof/>
        </w:rPr>
      </w:pPr>
      <w:r>
        <w:rPr>
          <w:noProof/>
        </w:rPr>
        <w:t>Toimenpiteen täytäntöönpano on saatettava päätökseen 31 päivään maaliskuuta 2021 mennessä.</w:t>
      </w:r>
    </w:p>
    <w:p w14:paraId="46190F0E" w14:textId="77777777" w:rsidR="000E48CE" w:rsidRDefault="00FF4C4E">
      <w:pPr>
        <w:pStyle w:val="P68B1DB1-Text120"/>
        <w:ind w:left="0"/>
        <w:rPr>
          <w:rFonts w:cs="Times New Roman"/>
          <w:noProof/>
        </w:rPr>
      </w:pPr>
      <w:r>
        <w:rPr>
          <w:noProof/>
        </w:rPr>
        <w:t>Uudistus 6 (C28.R6) – Finanssitransaktioveron hyväksyminen</w:t>
      </w:r>
    </w:p>
    <w:p w14:paraId="4A636B3F" w14:textId="77777777" w:rsidR="000E48CE" w:rsidRDefault="00FF4C4E">
      <w:pPr>
        <w:pStyle w:val="P68B1DB1-Text119"/>
        <w:ind w:left="0"/>
        <w:rPr>
          <w:rFonts w:cs="Times New Roman"/>
          <w:noProof/>
        </w:rPr>
      </w:pPr>
      <w:r>
        <w:rPr>
          <w:noProof/>
        </w:rPr>
        <w:t>Tällä toimenpiteellä otetaan käyttöön maksu, joka perustuu sellaisten espanjalaisten pörssiyhtiöiden osakkeiden ostoarvoon, joiden markkina-arvo on yli 1000000000 euroa. Uudistuksen täytäntöönpano tuli voimaan vuoden 2021 ensimmäisellä neljänneksellä. Uudi</w:t>
      </w:r>
      <w:r>
        <w:rPr>
          <w:noProof/>
        </w:rPr>
        <w:t xml:space="preserve">stukseen on sisällyttävä myös toimenpiteen vaikutustenarviointiraportti, joka on annettava viimeistään 31 päivänä maaliskuuta 2022 ja 2023. </w:t>
      </w:r>
    </w:p>
    <w:p w14:paraId="63161D96" w14:textId="77777777" w:rsidR="000E48CE" w:rsidRDefault="00FF4C4E">
      <w:pPr>
        <w:pStyle w:val="P68B1DB1-Text119"/>
        <w:ind w:left="0"/>
        <w:rPr>
          <w:rFonts w:cs="Times New Roman"/>
          <w:noProof/>
        </w:rPr>
      </w:pPr>
      <w:r>
        <w:rPr>
          <w:noProof/>
        </w:rPr>
        <w:t>Toimenpiteen täytäntöönpano on saatettava päätökseen 31 päivään maaliskuuta 2021 mennessä.</w:t>
      </w:r>
    </w:p>
    <w:p w14:paraId="6279EB31" w14:textId="77777777" w:rsidR="000E48CE" w:rsidRDefault="00FF4C4E">
      <w:pPr>
        <w:pStyle w:val="P68B1DB1-Text120"/>
        <w:keepNext/>
        <w:ind w:left="0"/>
        <w:rPr>
          <w:rFonts w:cs="Times New Roman"/>
          <w:noProof/>
        </w:rPr>
      </w:pPr>
      <w:r>
        <w:rPr>
          <w:noProof/>
        </w:rPr>
        <w:t>Uudistus 7 (C28.R7) – He</w:t>
      </w:r>
      <w:r>
        <w:rPr>
          <w:noProof/>
        </w:rPr>
        <w:t>nkilöveroja koskevat lyhyen aikavälin verotoimenpiteet</w:t>
      </w:r>
    </w:p>
    <w:p w14:paraId="7A409F9F" w14:textId="77777777" w:rsidR="000E48CE" w:rsidRDefault="00FF4C4E">
      <w:pPr>
        <w:pStyle w:val="P68B1DB1-Text119"/>
        <w:keepNext/>
        <w:ind w:left="0"/>
        <w:rPr>
          <w:rFonts w:cs="Times New Roman"/>
          <w:noProof/>
        </w:rPr>
      </w:pPr>
      <w:r>
        <w:rPr>
          <w:noProof/>
        </w:rPr>
        <w:t>Uudistuksella lisätään henkilökohtaisen tuloveron progressiivisuutta ja uudelleenjakoa muuttamalla tuloverolakia ja varallisuusverolakia. Erityisesti se nostaa yleisen kansallisen asteikon verokantaa 2</w:t>
      </w:r>
      <w:r>
        <w:rPr>
          <w:noProof/>
        </w:rPr>
        <w:t xml:space="preserve"> prosenttiyksikköä yleisenä arviointiperusteena olevasta 300000 eurosta ja säästää 3 prosenttiyksikköä 200000 eurosta. Lisäksi yksilöllisten eläkemaksujen alennusta 8000 eurosta 2000 euroon alennetaan ja yhtiön työntekijälleen suorittamien maksujen nykyist</w:t>
      </w:r>
      <w:r>
        <w:rPr>
          <w:noProof/>
        </w:rPr>
        <w:t>ä ylärajaa nostetaan 8000 eurosta 10000 euroon. Lisäksi varallisuusveron osalta uudistuksessa korotetaan viimeiseen tariffiluokkaan sovellettavaa verokantaa yhdellä prosenttiyksiköllä 2,5 prosentista 3,5 prosenttiin (yli 10000000 euron arvoisten omaisuuser</w:t>
      </w:r>
      <w:r>
        <w:rPr>
          <w:noProof/>
        </w:rPr>
        <w:t>ien osalta). Uudistuksen täytäntöönpano oli määrä saada päätökseen 1. tammikuuta 2021 mennessä.</w:t>
      </w:r>
    </w:p>
    <w:p w14:paraId="1C389B63" w14:textId="77777777" w:rsidR="000E48CE" w:rsidRDefault="00FF4C4E">
      <w:pPr>
        <w:pStyle w:val="P68B1DB1-Text119"/>
        <w:ind w:left="0"/>
        <w:rPr>
          <w:rFonts w:cs="Times New Roman"/>
          <w:noProof/>
        </w:rPr>
      </w:pPr>
      <w:r>
        <w:rPr>
          <w:noProof/>
        </w:rPr>
        <w:t>Toimenpiteen täytäntöönpano on saatettava päätökseen 31 päivään maaliskuuta 2021 mennessä.</w:t>
      </w:r>
    </w:p>
    <w:p w14:paraId="42ADEBEC" w14:textId="77777777" w:rsidR="000E48CE" w:rsidRDefault="00FF4C4E">
      <w:pPr>
        <w:pStyle w:val="P68B1DB1-Text120"/>
        <w:ind w:left="0"/>
        <w:rPr>
          <w:rFonts w:cs="Times New Roman"/>
          <w:noProof/>
        </w:rPr>
      </w:pPr>
      <w:r>
        <w:rPr>
          <w:noProof/>
        </w:rPr>
        <w:t>Uudistus 8 (C28.R8) – Tilapäiset verotoimenpiteet yhtiöverotuksessa</w:t>
      </w:r>
    </w:p>
    <w:p w14:paraId="2540971A" w14:textId="77777777" w:rsidR="000E48CE" w:rsidRDefault="00FF4C4E">
      <w:pPr>
        <w:pStyle w:val="P68B1DB1-Normal4"/>
        <w:spacing w:before="120" w:after="120" w:line="240" w:lineRule="auto"/>
        <w:jc w:val="both"/>
        <w:rPr>
          <w:rFonts w:cs="Times New Roman"/>
          <w:noProof/>
        </w:rPr>
      </w:pPr>
      <w:r>
        <w:rPr>
          <w:noProof/>
        </w:rPr>
        <w:t>U</w:t>
      </w:r>
      <w:r>
        <w:rPr>
          <w:noProof/>
        </w:rPr>
        <w:t>udistuksella muutetaan yhtiöverolakia siten, että lisätään tämän veron osuutta julkisten menojen tukemisessa, ja samalla yksinkertaistetaan vapautuksia ja vähennyksiä, jotta varmistetaan veronmaksajien 15 prosentin vähimmäisverokanta. Sitä vastoin osinkoja</w:t>
      </w:r>
      <w:r>
        <w:rPr>
          <w:noProof/>
        </w:rPr>
        <w:t xml:space="preserve"> ja pääomavoittoja koskevaa vapautusta, joka määräytyy Espanjan alueelle ja sen ulkopuolelle sijoittautuneiden tytäryhtiöiden omistusosuuksien perusteella, on pienennettävä viidellä prosentilla. </w:t>
      </w:r>
    </w:p>
    <w:p w14:paraId="39F1762B" w14:textId="77777777" w:rsidR="000E48CE" w:rsidRDefault="00FF4C4E">
      <w:pPr>
        <w:pStyle w:val="P68B1DB1-Text119"/>
        <w:ind w:left="0"/>
        <w:rPr>
          <w:rFonts w:cs="Times New Roman"/>
          <w:noProof/>
        </w:rPr>
      </w:pPr>
      <w:r>
        <w:rPr>
          <w:noProof/>
        </w:rPr>
        <w:t>Toimenpiteen täytäntöönpano on saatettava päätökseen 31 päiv</w:t>
      </w:r>
      <w:r>
        <w:rPr>
          <w:noProof/>
        </w:rPr>
        <w:t>ään maaliskuuta 2021 mennessä.</w:t>
      </w:r>
    </w:p>
    <w:p w14:paraId="7F4F3286" w14:textId="77777777" w:rsidR="000E48CE" w:rsidRDefault="00FF4C4E">
      <w:pPr>
        <w:pStyle w:val="P68B1DB1-Normal6"/>
        <w:spacing w:before="120" w:after="120" w:line="240" w:lineRule="auto"/>
        <w:jc w:val="both"/>
        <w:rPr>
          <w:rFonts w:cs="Times New Roman"/>
          <w:noProof/>
        </w:rPr>
      </w:pPr>
      <w:r>
        <w:rPr>
          <w:noProof/>
        </w:rPr>
        <w:t>Uudistus 9 (C28.R9) – Välillisten verojen lyhyen aikavälin verotoimenpiteet</w:t>
      </w:r>
    </w:p>
    <w:p w14:paraId="1C5235E5" w14:textId="77777777" w:rsidR="000E48CE" w:rsidRDefault="00FF4C4E">
      <w:pPr>
        <w:pStyle w:val="P68B1DB1-Normal4"/>
        <w:spacing w:before="120" w:after="120" w:line="240" w:lineRule="auto"/>
        <w:jc w:val="both"/>
        <w:rPr>
          <w:rFonts w:cs="Times New Roman"/>
          <w:noProof/>
        </w:rPr>
      </w:pPr>
      <w:r>
        <w:rPr>
          <w:noProof/>
        </w:rPr>
        <w:t>Uudistuksella laajennetaan yleisen arvonlisäverokannan, joka on 21 prosenttia, soveltaminen koskemaan lisättyä sokeria sisältäviä virvoitusjuomia, mehuja ja kaasumaisia juomia. Tällainen toimenpide on sosiaalinen sitoumus edistää näiden juomaluokkien vastu</w:t>
      </w:r>
      <w:r>
        <w:rPr>
          <w:noProof/>
        </w:rPr>
        <w:t xml:space="preserve">ullista kulutusta ja vastaa tavoitetta rahoittaa Espanjan hyvinvointivaltion ulkoiset kustannukset, jotka tässä tapauksessa johtuvat epäterveellisestä ruokavaliosta. Lisäksi vakuutusmaksujen verokantaa korotetaan kahdella prosenttiyksiköllä 8 prosenttiin, </w:t>
      </w:r>
      <w:r>
        <w:rPr>
          <w:noProof/>
        </w:rPr>
        <w:t xml:space="preserve">mutta se pysyy kuitenkin keskitason alhaisessa veroluokassa suhteessa naapurimaihin. </w:t>
      </w:r>
    </w:p>
    <w:p w14:paraId="18EA455F" w14:textId="77777777" w:rsidR="000E48CE" w:rsidRDefault="00FF4C4E">
      <w:pPr>
        <w:pStyle w:val="P68B1DB1-Text119"/>
        <w:ind w:left="0"/>
        <w:rPr>
          <w:rFonts w:cs="Times New Roman"/>
          <w:noProof/>
        </w:rPr>
      </w:pPr>
      <w:r>
        <w:rPr>
          <w:noProof/>
        </w:rPr>
        <w:t>Toimenpiteen täytäntöönpano on saatettava päätökseen 31 päivään maaliskuuta 2021 mennessä.</w:t>
      </w:r>
    </w:p>
    <w:p w14:paraId="6E74034F" w14:textId="77777777" w:rsidR="000E48CE" w:rsidRDefault="00FF4C4E">
      <w:pPr>
        <w:pStyle w:val="P68B1DB1-Text138"/>
        <w:ind w:left="709"/>
        <w:rPr>
          <w:rFonts w:cs="Times New Roman"/>
          <w:noProof/>
        </w:rPr>
      </w:pPr>
      <w:r>
        <w:rPr>
          <w:noProof/>
        </w:rPr>
        <w:t xml:space="preserve">AB.2 </w:t>
      </w:r>
      <w:r>
        <w:rPr>
          <w:noProof/>
        </w:rPr>
        <w:tab/>
        <w:t>Seurantaa ja täytäntöönpanoa koskevat välitavoitteet, tavoitteet, indikaa</w:t>
      </w:r>
      <w:r>
        <w:rPr>
          <w:noProof/>
        </w:rPr>
        <w:t>ttorit ja aikataulu – rahoitustuki, jota ei makseta takaisin</w:t>
      </w:r>
    </w:p>
    <w:p w14:paraId="73AFD792" w14:textId="77777777" w:rsidR="000E48CE" w:rsidRDefault="00FF4C4E">
      <w:pPr>
        <w:pStyle w:val="P68B1DB1-Normal4"/>
        <w:spacing w:before="120" w:after="120" w:line="240" w:lineRule="auto"/>
        <w:rPr>
          <w:rFonts w:cs="Times New Roman"/>
          <w:noProof/>
        </w:rPr>
      </w:pPr>
      <w:r>
        <w:rPr>
          <w:i/>
          <w:noProof/>
        </w:rPr>
        <w:t>Ks. taulukko jäljempänä.</w:t>
      </w:r>
      <w:r>
        <w:rPr>
          <w:noProof/>
        </w:rPr>
        <w:t xml:space="preserve"> </w:t>
      </w:r>
      <w:r>
        <w:rPr>
          <w:i/>
          <w:noProof/>
        </w:rPr>
        <w:t>Kaikkien indikaattoreiden perustaso on 1. helmikuuta 2020, ellei toimen kuvauksessa toisin ilmoiteta. Taulukossa esitetyt määrät eivät sisällä arvonlisäveroa.</w:t>
      </w:r>
      <w:r>
        <w:rPr>
          <w:noProof/>
        </w:rPr>
        <w:t xml:space="preserve"> </w:t>
      </w:r>
    </w:p>
    <w:p w14:paraId="3BEDEF34" w14:textId="77777777" w:rsidR="000E48CE" w:rsidRDefault="000E48CE">
      <w:pPr>
        <w:pStyle w:val="Text1"/>
        <w:ind w:left="0"/>
        <w:rPr>
          <w:rFonts w:ascii="Times New Roman" w:hAnsi="Times New Roman" w:cs="Times New Roman"/>
          <w:noProof/>
        </w:rPr>
        <w:sectPr w:rsidR="000E48CE" w:rsidSect="00C94F66">
          <w:headerReference w:type="even" r:id="rId519"/>
          <w:headerReference w:type="default" r:id="rId520"/>
          <w:footerReference w:type="even" r:id="rId521"/>
          <w:footerReference w:type="default" r:id="rId522"/>
          <w:headerReference w:type="first" r:id="rId523"/>
          <w:footerReference w:type="first" r:id="rId524"/>
          <w:pgSz w:w="11907" w:h="16839"/>
          <w:pgMar w:top="1134" w:right="1417" w:bottom="1134" w:left="1417" w:header="709" w:footer="709" w:gutter="0"/>
          <w:cols w:space="720"/>
          <w:docGrid w:linePitch="360"/>
        </w:sectPr>
      </w:pPr>
    </w:p>
    <w:tbl>
      <w:tblPr>
        <w:tblW w:w="1508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8"/>
        <w:gridCol w:w="839"/>
        <w:gridCol w:w="838"/>
        <w:gridCol w:w="2792"/>
        <w:gridCol w:w="979"/>
        <w:gridCol w:w="420"/>
        <w:gridCol w:w="489"/>
        <w:gridCol w:w="490"/>
        <w:gridCol w:w="420"/>
        <w:gridCol w:w="559"/>
        <w:gridCol w:w="6502"/>
        <w:gridCol w:w="59"/>
      </w:tblGrid>
      <w:tr w:rsidR="000E48CE" w14:paraId="587DC8A2" w14:textId="77777777">
        <w:trPr>
          <w:gridAfter w:val="1"/>
          <w:wAfter w:w="59" w:type="dxa"/>
          <w:trHeight w:val="309"/>
          <w:tblHeader/>
        </w:trPr>
        <w:tc>
          <w:tcPr>
            <w:tcW w:w="698" w:type="dxa"/>
            <w:tcBorders>
              <w:bottom w:val="nil"/>
            </w:tcBorders>
            <w:shd w:val="clear" w:color="auto" w:fill="C6D9F1" w:themeFill="text2" w:themeFillTint="33"/>
            <w:noWrap/>
          </w:tcPr>
          <w:p w14:paraId="31FE7EC6" w14:textId="77777777" w:rsidR="000E48CE" w:rsidRDefault="00FF4C4E">
            <w:pPr>
              <w:pStyle w:val="P68B1DB1-Normal12"/>
              <w:spacing w:after="0"/>
              <w:jc w:val="center"/>
              <w:rPr>
                <w:rFonts w:cs="Times New Roman"/>
                <w:noProof/>
              </w:rPr>
            </w:pPr>
            <w:r>
              <w:rPr>
                <w:noProof/>
              </w:rPr>
              <w:t>Määrä</w:t>
            </w:r>
          </w:p>
        </w:tc>
        <w:tc>
          <w:tcPr>
            <w:tcW w:w="839" w:type="dxa"/>
            <w:tcBorders>
              <w:bottom w:val="nil"/>
            </w:tcBorders>
            <w:shd w:val="clear" w:color="auto" w:fill="C6D9F1" w:themeFill="text2" w:themeFillTint="33"/>
            <w:noWrap/>
          </w:tcPr>
          <w:p w14:paraId="0B524674" w14:textId="77777777" w:rsidR="000E48CE" w:rsidRDefault="00FF4C4E">
            <w:pPr>
              <w:pStyle w:val="P68B1DB1-Normal12"/>
              <w:spacing w:after="0"/>
              <w:jc w:val="center"/>
              <w:rPr>
                <w:rFonts w:cs="Times New Roman"/>
                <w:noProof/>
              </w:rPr>
            </w:pPr>
            <w:r>
              <w:rPr>
                <w:noProof/>
              </w:rPr>
              <w:t>Toimenpide</w:t>
            </w:r>
          </w:p>
        </w:tc>
        <w:tc>
          <w:tcPr>
            <w:tcW w:w="838" w:type="dxa"/>
            <w:tcBorders>
              <w:bottom w:val="nil"/>
            </w:tcBorders>
            <w:shd w:val="clear" w:color="auto" w:fill="C6D9F1" w:themeFill="text2" w:themeFillTint="33"/>
            <w:noWrap/>
          </w:tcPr>
          <w:p w14:paraId="6E657F6B" w14:textId="77777777" w:rsidR="000E48CE" w:rsidRDefault="00FF4C4E">
            <w:pPr>
              <w:pStyle w:val="P68B1DB1-Normal12"/>
              <w:spacing w:after="0"/>
              <w:jc w:val="center"/>
              <w:rPr>
                <w:rFonts w:cs="Times New Roman"/>
                <w:noProof/>
              </w:rPr>
            </w:pPr>
            <w:r>
              <w:rPr>
                <w:noProof/>
              </w:rPr>
              <w:t>Välitavoite</w:t>
            </w:r>
            <w:r>
              <w:rPr>
                <w:noProof/>
              </w:rPr>
              <w:br/>
              <w:t xml:space="preserve"> /Kohde</w:t>
            </w:r>
          </w:p>
        </w:tc>
        <w:tc>
          <w:tcPr>
            <w:tcW w:w="2792" w:type="dxa"/>
            <w:tcBorders>
              <w:bottom w:val="nil"/>
            </w:tcBorders>
            <w:shd w:val="clear" w:color="auto" w:fill="C6D9F1" w:themeFill="text2" w:themeFillTint="33"/>
            <w:noWrap/>
          </w:tcPr>
          <w:p w14:paraId="46D61D50" w14:textId="77777777" w:rsidR="000E48CE" w:rsidRDefault="00FF4C4E">
            <w:pPr>
              <w:pStyle w:val="P68B1DB1-Normal12"/>
              <w:spacing w:after="0"/>
              <w:jc w:val="center"/>
              <w:rPr>
                <w:rFonts w:cs="Times New Roman"/>
                <w:noProof/>
              </w:rPr>
            </w:pPr>
            <w:r>
              <w:rPr>
                <w:noProof/>
              </w:rPr>
              <w:t>Nimi</w:t>
            </w:r>
          </w:p>
        </w:tc>
        <w:tc>
          <w:tcPr>
            <w:tcW w:w="979" w:type="dxa"/>
            <w:tcBorders>
              <w:bottom w:val="nil"/>
            </w:tcBorders>
            <w:shd w:val="clear" w:color="auto" w:fill="C6D9F1" w:themeFill="text2" w:themeFillTint="33"/>
            <w:noWrap/>
          </w:tcPr>
          <w:p w14:paraId="1F2F6034" w14:textId="77777777" w:rsidR="000E48CE" w:rsidRDefault="00FF4C4E">
            <w:pPr>
              <w:pStyle w:val="P68B1DB1-Normal12"/>
              <w:spacing w:after="0"/>
              <w:jc w:val="center"/>
              <w:rPr>
                <w:rFonts w:cs="Times New Roman"/>
                <w:noProof/>
              </w:rPr>
            </w:pPr>
            <w:r>
              <w:rPr>
                <w:noProof/>
              </w:rPr>
              <w:t>Välitavoitteiden laadullinen indikaattori</w:t>
            </w:r>
          </w:p>
        </w:tc>
        <w:tc>
          <w:tcPr>
            <w:tcW w:w="1399" w:type="dxa"/>
            <w:gridSpan w:val="3"/>
            <w:shd w:val="clear" w:color="auto" w:fill="C6D9F1" w:themeFill="text2" w:themeFillTint="33"/>
            <w:noWrap/>
          </w:tcPr>
          <w:p w14:paraId="778A7212" w14:textId="77777777" w:rsidR="000E48CE" w:rsidRDefault="00FF4C4E">
            <w:pPr>
              <w:pStyle w:val="P68B1DB1-Normal12"/>
              <w:spacing w:after="0"/>
              <w:jc w:val="center"/>
              <w:rPr>
                <w:rFonts w:cs="Times New Roman"/>
                <w:noProof/>
              </w:rPr>
            </w:pPr>
            <w:r>
              <w:rPr>
                <w:noProof/>
              </w:rPr>
              <w:t>Määrällinen indikaattori tavoitteelle</w:t>
            </w:r>
          </w:p>
        </w:tc>
        <w:tc>
          <w:tcPr>
            <w:tcW w:w="979" w:type="dxa"/>
            <w:gridSpan w:val="2"/>
            <w:shd w:val="clear" w:color="auto" w:fill="C6D9F1" w:themeFill="text2" w:themeFillTint="33"/>
            <w:noWrap/>
          </w:tcPr>
          <w:p w14:paraId="15470BCF" w14:textId="77777777" w:rsidR="000E48CE" w:rsidRDefault="00FF4C4E">
            <w:pPr>
              <w:pStyle w:val="P68B1DB1-Normal12"/>
              <w:spacing w:after="0"/>
              <w:jc w:val="center"/>
              <w:rPr>
                <w:rFonts w:cs="Times New Roman"/>
                <w:noProof/>
              </w:rPr>
            </w:pPr>
            <w:r>
              <w:rPr>
                <w:noProof/>
              </w:rPr>
              <w:t>Aika</w:t>
            </w:r>
          </w:p>
        </w:tc>
        <w:tc>
          <w:tcPr>
            <w:tcW w:w="6502" w:type="dxa"/>
            <w:tcBorders>
              <w:bottom w:val="nil"/>
            </w:tcBorders>
            <w:shd w:val="clear" w:color="auto" w:fill="C6D9F1" w:themeFill="text2" w:themeFillTint="33"/>
            <w:noWrap/>
          </w:tcPr>
          <w:p w14:paraId="619CD3FF" w14:textId="77777777" w:rsidR="000E48CE" w:rsidRDefault="00FF4C4E">
            <w:pPr>
              <w:pStyle w:val="P68B1DB1-Normal12"/>
              <w:spacing w:after="0"/>
              <w:jc w:val="center"/>
              <w:rPr>
                <w:rFonts w:cs="Times New Roman"/>
                <w:noProof/>
              </w:rPr>
            </w:pPr>
            <w:r>
              <w:rPr>
                <w:noProof/>
              </w:rPr>
              <w:t>Kunkin välitavoitteen ja tavoitteen kuvaus</w:t>
            </w:r>
          </w:p>
        </w:tc>
      </w:tr>
      <w:tr w:rsidR="000E48CE" w14:paraId="7AF10250" w14:textId="77777777">
        <w:trPr>
          <w:gridAfter w:val="1"/>
          <w:wAfter w:w="59" w:type="dxa"/>
          <w:trHeight w:val="309"/>
          <w:tblHeader/>
        </w:trPr>
        <w:tc>
          <w:tcPr>
            <w:tcW w:w="698" w:type="dxa"/>
            <w:tcBorders>
              <w:top w:val="nil"/>
            </w:tcBorders>
            <w:shd w:val="clear" w:color="auto" w:fill="C6D9F1" w:themeFill="text2" w:themeFillTint="33"/>
            <w:noWrap/>
          </w:tcPr>
          <w:p w14:paraId="6C86D760" w14:textId="77777777" w:rsidR="000E48CE" w:rsidRDefault="000E48CE">
            <w:pPr>
              <w:spacing w:after="0"/>
              <w:jc w:val="center"/>
              <w:rPr>
                <w:rFonts w:ascii="Times New Roman" w:hAnsi="Times New Roman" w:cs="Times New Roman"/>
                <w:b/>
                <w:noProof/>
                <w:sz w:val="18"/>
              </w:rPr>
            </w:pPr>
          </w:p>
        </w:tc>
        <w:tc>
          <w:tcPr>
            <w:tcW w:w="839" w:type="dxa"/>
            <w:tcBorders>
              <w:top w:val="nil"/>
            </w:tcBorders>
            <w:shd w:val="clear" w:color="auto" w:fill="C6D9F1" w:themeFill="text2" w:themeFillTint="33"/>
            <w:noWrap/>
          </w:tcPr>
          <w:p w14:paraId="0C0166A1" w14:textId="77777777" w:rsidR="000E48CE" w:rsidRDefault="000E48CE">
            <w:pPr>
              <w:spacing w:after="0"/>
              <w:jc w:val="center"/>
              <w:rPr>
                <w:rFonts w:ascii="Times New Roman" w:hAnsi="Times New Roman" w:cs="Times New Roman"/>
                <w:b/>
                <w:noProof/>
                <w:sz w:val="18"/>
              </w:rPr>
            </w:pPr>
          </w:p>
        </w:tc>
        <w:tc>
          <w:tcPr>
            <w:tcW w:w="838" w:type="dxa"/>
            <w:tcBorders>
              <w:top w:val="nil"/>
            </w:tcBorders>
            <w:shd w:val="clear" w:color="auto" w:fill="C6D9F1" w:themeFill="text2" w:themeFillTint="33"/>
            <w:noWrap/>
          </w:tcPr>
          <w:p w14:paraId="2CCADF91" w14:textId="77777777" w:rsidR="000E48CE" w:rsidRDefault="000E48CE">
            <w:pPr>
              <w:spacing w:after="0"/>
              <w:jc w:val="center"/>
              <w:rPr>
                <w:rFonts w:ascii="Times New Roman" w:hAnsi="Times New Roman" w:cs="Times New Roman"/>
                <w:b/>
                <w:noProof/>
                <w:sz w:val="18"/>
              </w:rPr>
            </w:pPr>
          </w:p>
        </w:tc>
        <w:tc>
          <w:tcPr>
            <w:tcW w:w="2792" w:type="dxa"/>
            <w:tcBorders>
              <w:top w:val="nil"/>
            </w:tcBorders>
            <w:shd w:val="clear" w:color="auto" w:fill="C6D9F1" w:themeFill="text2" w:themeFillTint="33"/>
            <w:noWrap/>
          </w:tcPr>
          <w:p w14:paraId="7DEF968A" w14:textId="77777777" w:rsidR="000E48CE" w:rsidRDefault="000E48CE">
            <w:pPr>
              <w:spacing w:after="0"/>
              <w:rPr>
                <w:rFonts w:ascii="Times New Roman" w:hAnsi="Times New Roman" w:cs="Times New Roman"/>
                <w:b/>
                <w:noProof/>
                <w:sz w:val="18"/>
              </w:rPr>
            </w:pPr>
          </w:p>
        </w:tc>
        <w:tc>
          <w:tcPr>
            <w:tcW w:w="979" w:type="dxa"/>
            <w:tcBorders>
              <w:top w:val="nil"/>
            </w:tcBorders>
            <w:shd w:val="clear" w:color="auto" w:fill="C6D9F1" w:themeFill="text2" w:themeFillTint="33"/>
            <w:noWrap/>
          </w:tcPr>
          <w:p w14:paraId="6B6F164E" w14:textId="77777777" w:rsidR="000E48CE" w:rsidRDefault="000E48CE">
            <w:pPr>
              <w:spacing w:after="0"/>
              <w:jc w:val="center"/>
              <w:rPr>
                <w:rFonts w:ascii="Times New Roman" w:hAnsi="Times New Roman" w:cs="Times New Roman"/>
                <w:b/>
                <w:noProof/>
                <w:sz w:val="18"/>
              </w:rPr>
            </w:pPr>
          </w:p>
        </w:tc>
        <w:tc>
          <w:tcPr>
            <w:tcW w:w="420" w:type="dxa"/>
            <w:shd w:val="clear" w:color="auto" w:fill="C6D9F1" w:themeFill="text2" w:themeFillTint="33"/>
            <w:noWrap/>
          </w:tcPr>
          <w:p w14:paraId="1FB79703" w14:textId="77777777" w:rsidR="000E48CE" w:rsidRDefault="00FF4C4E">
            <w:pPr>
              <w:pStyle w:val="P68B1DB1-Normal12"/>
              <w:spacing w:after="0"/>
              <w:jc w:val="center"/>
              <w:rPr>
                <w:rFonts w:cs="Times New Roman"/>
                <w:noProof/>
              </w:rPr>
            </w:pPr>
            <w:r>
              <w:rPr>
                <w:noProof/>
              </w:rPr>
              <w:t>Yksikkö</w:t>
            </w:r>
          </w:p>
        </w:tc>
        <w:tc>
          <w:tcPr>
            <w:tcW w:w="489" w:type="dxa"/>
            <w:shd w:val="clear" w:color="auto" w:fill="C6D9F1" w:themeFill="text2" w:themeFillTint="33"/>
            <w:noWrap/>
          </w:tcPr>
          <w:p w14:paraId="61291E7C" w14:textId="77777777" w:rsidR="000E48CE" w:rsidRDefault="00FF4C4E">
            <w:pPr>
              <w:pStyle w:val="P68B1DB1-Normal12"/>
              <w:spacing w:after="0"/>
              <w:jc w:val="center"/>
              <w:rPr>
                <w:rFonts w:cs="Times New Roman"/>
                <w:noProof/>
              </w:rPr>
            </w:pPr>
            <w:r>
              <w:rPr>
                <w:noProof/>
              </w:rPr>
              <w:t>Perusviiva</w:t>
            </w:r>
          </w:p>
        </w:tc>
        <w:tc>
          <w:tcPr>
            <w:tcW w:w="490" w:type="dxa"/>
            <w:shd w:val="clear" w:color="auto" w:fill="C6D9F1" w:themeFill="text2" w:themeFillTint="33"/>
            <w:noWrap/>
          </w:tcPr>
          <w:p w14:paraId="0183776F" w14:textId="77777777" w:rsidR="000E48CE" w:rsidRDefault="00FF4C4E">
            <w:pPr>
              <w:pStyle w:val="P68B1DB1-Normal12"/>
              <w:spacing w:after="0"/>
              <w:jc w:val="center"/>
              <w:rPr>
                <w:rFonts w:cs="Times New Roman"/>
                <w:noProof/>
              </w:rPr>
            </w:pPr>
            <w:r>
              <w:rPr>
                <w:noProof/>
              </w:rPr>
              <w:t>Päämäärä</w:t>
            </w:r>
          </w:p>
        </w:tc>
        <w:tc>
          <w:tcPr>
            <w:tcW w:w="420" w:type="dxa"/>
            <w:shd w:val="clear" w:color="auto" w:fill="C6D9F1" w:themeFill="text2" w:themeFillTint="33"/>
            <w:noWrap/>
          </w:tcPr>
          <w:p w14:paraId="2B897E85" w14:textId="77777777" w:rsidR="000E48CE" w:rsidRDefault="00FF4C4E">
            <w:pPr>
              <w:pStyle w:val="P68B1DB1-Normal12"/>
              <w:spacing w:after="0"/>
              <w:jc w:val="center"/>
              <w:rPr>
                <w:rFonts w:cs="Times New Roman"/>
                <w:noProof/>
              </w:rPr>
            </w:pPr>
            <w:r>
              <w:rPr>
                <w:noProof/>
              </w:rPr>
              <w:t>Q</w:t>
            </w:r>
          </w:p>
        </w:tc>
        <w:tc>
          <w:tcPr>
            <w:tcW w:w="559" w:type="dxa"/>
            <w:shd w:val="clear" w:color="auto" w:fill="C6D9F1" w:themeFill="text2" w:themeFillTint="33"/>
            <w:noWrap/>
          </w:tcPr>
          <w:p w14:paraId="54C779B3" w14:textId="77777777" w:rsidR="000E48CE" w:rsidRDefault="00FF4C4E">
            <w:pPr>
              <w:pStyle w:val="P68B1DB1-Normal12"/>
              <w:spacing w:after="0"/>
              <w:jc w:val="center"/>
              <w:rPr>
                <w:rFonts w:cs="Times New Roman"/>
                <w:noProof/>
              </w:rPr>
            </w:pPr>
            <w:r>
              <w:rPr>
                <w:noProof/>
              </w:rPr>
              <w:t>Vuosi</w:t>
            </w:r>
          </w:p>
        </w:tc>
        <w:tc>
          <w:tcPr>
            <w:tcW w:w="6502" w:type="dxa"/>
            <w:tcBorders>
              <w:top w:val="nil"/>
            </w:tcBorders>
            <w:shd w:val="clear" w:color="auto" w:fill="C6D9F1" w:themeFill="text2" w:themeFillTint="33"/>
            <w:noWrap/>
          </w:tcPr>
          <w:p w14:paraId="0394B504" w14:textId="77777777" w:rsidR="000E48CE" w:rsidRDefault="000E48CE">
            <w:pPr>
              <w:spacing w:after="0"/>
              <w:rPr>
                <w:rFonts w:ascii="Times New Roman" w:hAnsi="Times New Roman" w:cs="Times New Roman"/>
                <w:b/>
                <w:noProof/>
                <w:sz w:val="18"/>
              </w:rPr>
            </w:pPr>
          </w:p>
        </w:tc>
      </w:tr>
      <w:tr w:rsidR="000E48CE" w14:paraId="73BE4C25" w14:textId="77777777">
        <w:trPr>
          <w:trHeight w:val="309"/>
        </w:trPr>
        <w:tc>
          <w:tcPr>
            <w:tcW w:w="698" w:type="dxa"/>
            <w:shd w:val="clear" w:color="auto" w:fill="C6EFCE"/>
            <w:noWrap/>
          </w:tcPr>
          <w:p w14:paraId="0AF2A92F" w14:textId="77777777" w:rsidR="000E48CE" w:rsidRDefault="00FF4C4E">
            <w:pPr>
              <w:pStyle w:val="P68B1DB1-Normal13"/>
              <w:spacing w:after="0"/>
              <w:jc w:val="center"/>
              <w:rPr>
                <w:rFonts w:eastAsia="Times New Roman" w:cs="Times New Roman"/>
                <w:noProof/>
              </w:rPr>
            </w:pPr>
            <w:r>
              <w:rPr>
                <w:noProof/>
              </w:rPr>
              <w:t>385</w:t>
            </w:r>
          </w:p>
        </w:tc>
        <w:tc>
          <w:tcPr>
            <w:tcW w:w="839" w:type="dxa"/>
            <w:shd w:val="clear" w:color="auto" w:fill="C6EFCE"/>
            <w:noWrap/>
          </w:tcPr>
          <w:p w14:paraId="1A5115C4" w14:textId="77777777" w:rsidR="000E48CE" w:rsidRDefault="00FF4C4E">
            <w:pPr>
              <w:pStyle w:val="P68B1DB1-Normal13"/>
              <w:spacing w:after="0"/>
              <w:jc w:val="center"/>
              <w:rPr>
                <w:rFonts w:eastAsia="Times New Roman" w:cs="Times New Roman"/>
                <w:noProof/>
              </w:rPr>
            </w:pPr>
            <w:r>
              <w:rPr>
                <w:noProof/>
              </w:rPr>
              <w:t>C28.R1</w:t>
            </w:r>
          </w:p>
        </w:tc>
        <w:tc>
          <w:tcPr>
            <w:tcW w:w="838" w:type="dxa"/>
            <w:shd w:val="clear" w:color="auto" w:fill="C6EFCE"/>
            <w:noWrap/>
          </w:tcPr>
          <w:p w14:paraId="33BCC1B1"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6B5F73B2" w14:textId="77777777" w:rsidR="000E48CE" w:rsidRDefault="00FF4C4E">
            <w:pPr>
              <w:pStyle w:val="P68B1DB1-Normal13"/>
              <w:spacing w:after="0"/>
              <w:rPr>
                <w:rFonts w:eastAsia="Times New Roman" w:cs="Times New Roman"/>
                <w:noProof/>
              </w:rPr>
            </w:pPr>
            <w:r>
              <w:rPr>
                <w:noProof/>
              </w:rPr>
              <w:t>Vuosina 2020 ja 2021 hyväksytyt finanssipoliittiset toimenpiteet covid-19-pandemian vaikutusten lieventämiseksi.</w:t>
            </w:r>
          </w:p>
        </w:tc>
        <w:tc>
          <w:tcPr>
            <w:tcW w:w="979" w:type="dxa"/>
            <w:shd w:val="clear" w:color="auto" w:fill="C6EFCE"/>
            <w:noWrap/>
          </w:tcPr>
          <w:p w14:paraId="47E6700B" w14:textId="77777777" w:rsidR="000E48CE" w:rsidRDefault="00FF4C4E">
            <w:pPr>
              <w:pStyle w:val="P68B1DB1-Normal13"/>
              <w:spacing w:after="0"/>
              <w:jc w:val="center"/>
              <w:rPr>
                <w:rFonts w:eastAsia="Times New Roman" w:cs="Times New Roman"/>
                <w:noProof/>
              </w:rPr>
            </w:pPr>
            <w:r>
              <w:rPr>
                <w:noProof/>
              </w:rPr>
              <w:t xml:space="preserve">Lakien ja kuninkaan asetusten säännökset, joista käy ilmi niiden voimaantulo </w:t>
            </w:r>
          </w:p>
        </w:tc>
        <w:tc>
          <w:tcPr>
            <w:tcW w:w="420" w:type="dxa"/>
            <w:shd w:val="clear" w:color="auto" w:fill="C6EFCE"/>
            <w:noWrap/>
          </w:tcPr>
          <w:p w14:paraId="6E6543EA"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DEB53C1"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07F8F4C0"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4D210DC" w14:textId="77777777" w:rsidR="000E48CE" w:rsidRDefault="00FF4C4E">
            <w:pPr>
              <w:pStyle w:val="P68B1DB1-Normal13"/>
              <w:spacing w:after="0"/>
              <w:jc w:val="center"/>
              <w:rPr>
                <w:rFonts w:eastAsia="Times New Roman" w:cs="Times New Roman"/>
                <w:noProof/>
              </w:rPr>
            </w:pPr>
            <w:r>
              <w:rPr>
                <w:noProof/>
              </w:rPr>
              <w:t>Q1</w:t>
            </w:r>
          </w:p>
        </w:tc>
        <w:tc>
          <w:tcPr>
            <w:tcW w:w="559" w:type="dxa"/>
            <w:shd w:val="clear" w:color="auto" w:fill="C6EFCE"/>
            <w:noWrap/>
          </w:tcPr>
          <w:p w14:paraId="39DDC115" w14:textId="77777777" w:rsidR="000E48CE" w:rsidRDefault="00FF4C4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B451188" w14:textId="77777777" w:rsidR="000E48CE" w:rsidRDefault="00FF4C4E">
            <w:pPr>
              <w:pStyle w:val="P68B1DB1-Normal13"/>
              <w:spacing w:after="0"/>
              <w:rPr>
                <w:rFonts w:eastAsia="Times New Roman" w:cs="Times New Roman"/>
                <w:noProof/>
              </w:rPr>
            </w:pPr>
            <w:r>
              <w:rPr>
                <w:noProof/>
              </w:rPr>
              <w:t xml:space="preserve">Covid-19-pandemian </w:t>
            </w:r>
            <w:r>
              <w:rPr>
                <w:noProof/>
              </w:rPr>
              <w:t>kielteisten taloudellisten ja sosiaalisten vaikutusten lieventämiseksi vuosina 2020 ja 2021 hyväksyttyjen verotoimenpiteiden voimaantulo:</w:t>
            </w:r>
            <w:r>
              <w:rPr>
                <w:noProof/>
              </w:rPr>
              <w:br/>
              <w:t>1. Siirtymäsäännökset: useat kuninkaalliset asetukset, jotka hallitus on hyväksynyt covid-19-pandemian alkamisen jälke</w:t>
            </w:r>
            <w:r>
              <w:rPr>
                <w:noProof/>
              </w:rPr>
              <w:t>en.</w:t>
            </w:r>
            <w:r>
              <w:rPr>
                <w:noProof/>
              </w:rPr>
              <w:br/>
              <w:t>2. Valtion säännösten muuttaminen:</w:t>
            </w:r>
            <w:r>
              <w:rPr>
                <w:noProof/>
              </w:rPr>
              <w:br/>
              <w:t>24.9.1993 annettu kuninkaan asetus (decreto legislativo) 1/1993, jolla hyväksytään postisiirtoverosta ja asiakirjoista kannettavaa veroa koskevan lain konsolidoitu teksti.</w:t>
            </w:r>
            <w:r>
              <w:rPr>
                <w:noProof/>
              </w:rPr>
              <w:br/>
              <w:t>Arvonlisäverosta 28.12.1992 annettu laki 37/1</w:t>
            </w:r>
            <w:r>
              <w:rPr>
                <w:noProof/>
              </w:rPr>
              <w:t>992.</w:t>
            </w:r>
            <w:r>
              <w:rPr>
                <w:noProof/>
              </w:rPr>
              <w:br/>
              <w:t>Laki 49/2002, annettu 23 päivänä joulukuuta 2002, voittoa tavoittelemattomien yhteisöjen verojärjestelmästä ja suojelijana toimimisen verokannustimista.</w:t>
            </w:r>
            <w:r>
              <w:rPr>
                <w:noProof/>
              </w:rPr>
              <w:br/>
              <w:t>Laki 58/2003, annettu 17 päivänä joulukuuta, yleinen vero.</w:t>
            </w:r>
            <w:r>
              <w:rPr>
                <w:noProof/>
              </w:rPr>
              <w:br/>
              <w:t>— Henkilötuloverosta 28.11.2010 annettu</w:t>
            </w:r>
            <w:r>
              <w:rPr>
                <w:noProof/>
              </w:rPr>
              <w:t xml:space="preserve"> laki 35/2006</w:t>
            </w:r>
          </w:p>
        </w:tc>
      </w:tr>
      <w:tr w:rsidR="000E48CE" w14:paraId="1B1174ED" w14:textId="77777777">
        <w:trPr>
          <w:trHeight w:val="309"/>
        </w:trPr>
        <w:tc>
          <w:tcPr>
            <w:tcW w:w="698" w:type="dxa"/>
            <w:shd w:val="clear" w:color="auto" w:fill="C6EFCE"/>
            <w:noWrap/>
          </w:tcPr>
          <w:p w14:paraId="667C1B0E" w14:textId="77777777" w:rsidR="000E48CE" w:rsidRDefault="00FF4C4E">
            <w:pPr>
              <w:pStyle w:val="P68B1DB1-Normal13"/>
              <w:spacing w:after="0"/>
              <w:jc w:val="center"/>
              <w:rPr>
                <w:rFonts w:eastAsia="Times New Roman" w:cs="Times New Roman"/>
                <w:noProof/>
              </w:rPr>
            </w:pPr>
            <w:r>
              <w:rPr>
                <w:noProof/>
              </w:rPr>
              <w:t>386</w:t>
            </w:r>
          </w:p>
        </w:tc>
        <w:tc>
          <w:tcPr>
            <w:tcW w:w="839" w:type="dxa"/>
            <w:shd w:val="clear" w:color="auto" w:fill="C6EFCE"/>
            <w:noWrap/>
          </w:tcPr>
          <w:p w14:paraId="4226CC6A" w14:textId="77777777" w:rsidR="000E48CE" w:rsidRDefault="00FF4C4E">
            <w:pPr>
              <w:pStyle w:val="P68B1DB1-Normal13"/>
              <w:spacing w:after="0"/>
              <w:jc w:val="center"/>
              <w:rPr>
                <w:rFonts w:eastAsia="Times New Roman" w:cs="Times New Roman"/>
                <w:noProof/>
              </w:rPr>
            </w:pPr>
            <w:r>
              <w:rPr>
                <w:noProof/>
              </w:rPr>
              <w:t>C28.R2</w:t>
            </w:r>
          </w:p>
        </w:tc>
        <w:tc>
          <w:tcPr>
            <w:tcW w:w="838" w:type="dxa"/>
            <w:shd w:val="clear" w:color="auto" w:fill="C6EFCE"/>
            <w:noWrap/>
          </w:tcPr>
          <w:p w14:paraId="657CE0A9"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02C3B1A7" w14:textId="77777777" w:rsidR="000E48CE" w:rsidRDefault="00FF4C4E">
            <w:pPr>
              <w:pStyle w:val="P68B1DB1-Normal13"/>
              <w:spacing w:after="0"/>
              <w:rPr>
                <w:rFonts w:eastAsia="Times New Roman" w:cs="Times New Roman"/>
                <w:noProof/>
              </w:rPr>
            </w:pPr>
            <w:r>
              <w:rPr>
                <w:noProof/>
              </w:rPr>
              <w:t>Veroetuuksien tarkastelu ja muutokset</w:t>
            </w:r>
          </w:p>
        </w:tc>
        <w:tc>
          <w:tcPr>
            <w:tcW w:w="979" w:type="dxa"/>
            <w:shd w:val="clear" w:color="auto" w:fill="C6EFCE"/>
            <w:noWrap/>
          </w:tcPr>
          <w:p w14:paraId="2883099E" w14:textId="77777777" w:rsidR="000E48CE" w:rsidRDefault="00FF4C4E">
            <w:pPr>
              <w:pStyle w:val="P68B1DB1-Normal13"/>
              <w:spacing w:after="0"/>
              <w:jc w:val="center"/>
              <w:rPr>
                <w:rFonts w:eastAsia="Times New Roman" w:cs="Times New Roman"/>
                <w:noProof/>
              </w:rPr>
            </w:pPr>
            <w:r>
              <w:rPr>
                <w:noProof/>
              </w:rPr>
              <w:t>Uudistusten säännökset, joista käy ilmi niiden voimaantulo, ja julkaistaan työryhmän suositusten rahoitusta koskevalla verkkosivulla</w:t>
            </w:r>
          </w:p>
        </w:tc>
        <w:tc>
          <w:tcPr>
            <w:tcW w:w="420" w:type="dxa"/>
            <w:shd w:val="clear" w:color="auto" w:fill="C6EFCE"/>
            <w:noWrap/>
          </w:tcPr>
          <w:p w14:paraId="4614C3D9"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25AA3752"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0E191650"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379C683" w14:textId="77777777" w:rsidR="000E48CE" w:rsidRDefault="00FF4C4E">
            <w:pPr>
              <w:pStyle w:val="P68B1DB1-Normal13"/>
              <w:spacing w:after="0"/>
              <w:jc w:val="center"/>
              <w:rPr>
                <w:rFonts w:eastAsia="Times New Roman" w:cs="Times New Roman"/>
                <w:noProof/>
              </w:rPr>
            </w:pPr>
            <w:r>
              <w:rPr>
                <w:noProof/>
              </w:rPr>
              <w:t>Q1</w:t>
            </w:r>
          </w:p>
        </w:tc>
        <w:tc>
          <w:tcPr>
            <w:tcW w:w="559" w:type="dxa"/>
            <w:shd w:val="clear" w:color="auto" w:fill="C6EFCE"/>
            <w:noWrap/>
          </w:tcPr>
          <w:p w14:paraId="21C18C6C" w14:textId="77777777" w:rsidR="000E48CE" w:rsidRDefault="00FF4C4E">
            <w:pPr>
              <w:pStyle w:val="P68B1DB1-Normal13"/>
              <w:spacing w:after="0"/>
              <w:jc w:val="center"/>
              <w:rPr>
                <w:rFonts w:eastAsia="Times New Roman" w:cs="Times New Roman"/>
                <w:noProof/>
              </w:rPr>
            </w:pPr>
            <w:r>
              <w:rPr>
                <w:noProof/>
              </w:rPr>
              <w:t>2023</w:t>
            </w:r>
          </w:p>
        </w:tc>
        <w:tc>
          <w:tcPr>
            <w:tcW w:w="6561" w:type="dxa"/>
            <w:gridSpan w:val="2"/>
            <w:shd w:val="clear" w:color="auto" w:fill="C6EFCE"/>
            <w:noWrap/>
          </w:tcPr>
          <w:p w14:paraId="1934D664" w14:textId="77777777" w:rsidR="000E48CE" w:rsidRDefault="00FF4C4E">
            <w:pPr>
              <w:pStyle w:val="P68B1DB1-Normal13"/>
              <w:spacing w:after="0"/>
              <w:rPr>
                <w:rFonts w:eastAsia="Times New Roman" w:cs="Times New Roman"/>
                <w:noProof/>
              </w:rPr>
            </w:pPr>
            <w:r>
              <w:rPr>
                <w:noProof/>
              </w:rPr>
              <w:t>15 veroedun muuttamista tai poistamista koskevien työryhmän suositusten täytäntöönpanemiseksi tarvittavien sääntelyuudistusten voimaantulo. Veroedut on valittava määrällisen ja laadullisen merkityksen perusteella, ja ne on arvioitava AIReF-menetelmän mukai</w:t>
            </w:r>
            <w:r>
              <w:rPr>
                <w:noProof/>
              </w:rPr>
              <w:t xml:space="preserve">sesti. Sääntelyuudistuksilla on pyrittävä tehostamaan verojärjestelmää, lisäämään tuloja, tukemaan vihreää siirtymää ja edistämään oikeudenmukaisuutta. </w:t>
            </w:r>
          </w:p>
        </w:tc>
      </w:tr>
      <w:tr w:rsidR="000E48CE" w14:paraId="15764595" w14:textId="77777777">
        <w:trPr>
          <w:trHeight w:val="309"/>
        </w:trPr>
        <w:tc>
          <w:tcPr>
            <w:tcW w:w="698" w:type="dxa"/>
            <w:shd w:val="clear" w:color="auto" w:fill="C6EFCE"/>
            <w:noWrap/>
          </w:tcPr>
          <w:p w14:paraId="07BF5D3A" w14:textId="77777777" w:rsidR="000E48CE" w:rsidRDefault="00FF4C4E">
            <w:pPr>
              <w:pStyle w:val="P68B1DB1-Normal13"/>
              <w:spacing w:after="0"/>
              <w:jc w:val="center"/>
              <w:rPr>
                <w:rFonts w:eastAsia="Times New Roman" w:cs="Times New Roman"/>
                <w:noProof/>
              </w:rPr>
            </w:pPr>
            <w:r>
              <w:rPr>
                <w:noProof/>
              </w:rPr>
              <w:t>387</w:t>
            </w:r>
          </w:p>
        </w:tc>
        <w:tc>
          <w:tcPr>
            <w:tcW w:w="839" w:type="dxa"/>
            <w:shd w:val="clear" w:color="auto" w:fill="C6EFCE"/>
            <w:noWrap/>
          </w:tcPr>
          <w:p w14:paraId="5368253A" w14:textId="77777777" w:rsidR="000E48CE" w:rsidRDefault="00FF4C4E">
            <w:pPr>
              <w:pStyle w:val="P68B1DB1-Normal13"/>
              <w:spacing w:after="0"/>
              <w:jc w:val="center"/>
              <w:rPr>
                <w:rFonts w:eastAsia="Times New Roman" w:cs="Times New Roman"/>
                <w:noProof/>
              </w:rPr>
            </w:pPr>
            <w:r>
              <w:rPr>
                <w:noProof/>
              </w:rPr>
              <w:t>C28.R3</w:t>
            </w:r>
          </w:p>
        </w:tc>
        <w:tc>
          <w:tcPr>
            <w:tcW w:w="838" w:type="dxa"/>
            <w:shd w:val="clear" w:color="auto" w:fill="C6EFCE"/>
            <w:noWrap/>
          </w:tcPr>
          <w:p w14:paraId="5D6913E3"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232CC1EF" w14:textId="77777777" w:rsidR="000E48CE" w:rsidRDefault="00FF4C4E">
            <w:pPr>
              <w:pStyle w:val="P68B1DB1-Normal13"/>
              <w:spacing w:after="0"/>
              <w:rPr>
                <w:rFonts w:eastAsia="Times New Roman" w:cs="Times New Roman"/>
                <w:noProof/>
              </w:rPr>
            </w:pPr>
            <w:r>
              <w:rPr>
                <w:noProof/>
              </w:rPr>
              <w:t>Valtiovarainministeri nimittää asiantuntijakomitean.</w:t>
            </w:r>
          </w:p>
        </w:tc>
        <w:tc>
          <w:tcPr>
            <w:tcW w:w="979" w:type="dxa"/>
            <w:shd w:val="clear" w:color="auto" w:fill="C6EFCE"/>
            <w:noWrap/>
          </w:tcPr>
          <w:p w14:paraId="0718B8D5" w14:textId="77777777" w:rsidR="000E48CE" w:rsidRDefault="00FF4C4E">
            <w:pPr>
              <w:pStyle w:val="P68B1DB1-Normal13"/>
              <w:spacing w:after="0"/>
              <w:jc w:val="center"/>
              <w:rPr>
                <w:rFonts w:eastAsia="Times New Roman" w:cs="Times New Roman"/>
                <w:noProof/>
              </w:rPr>
            </w:pPr>
            <w:r>
              <w:rPr>
                <w:noProof/>
              </w:rPr>
              <w:t>Julkaiseminen verkkosivustolla</w:t>
            </w:r>
          </w:p>
        </w:tc>
        <w:tc>
          <w:tcPr>
            <w:tcW w:w="420" w:type="dxa"/>
            <w:shd w:val="clear" w:color="auto" w:fill="C6EFCE"/>
            <w:noWrap/>
          </w:tcPr>
          <w:p w14:paraId="5A777009"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311ED00"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51BDE9C6"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DBE236C" w14:textId="77777777" w:rsidR="000E48CE" w:rsidRDefault="00FF4C4E">
            <w:pPr>
              <w:pStyle w:val="P68B1DB1-Normal13"/>
              <w:spacing w:after="0"/>
              <w:jc w:val="center"/>
              <w:rPr>
                <w:rFonts w:eastAsia="Times New Roman" w:cs="Times New Roman"/>
                <w:noProof/>
              </w:rPr>
            </w:pPr>
            <w:r>
              <w:rPr>
                <w:noProof/>
              </w:rPr>
              <w:t>Q2</w:t>
            </w:r>
          </w:p>
        </w:tc>
        <w:tc>
          <w:tcPr>
            <w:tcW w:w="559" w:type="dxa"/>
            <w:shd w:val="clear" w:color="auto" w:fill="C6EFCE"/>
            <w:noWrap/>
          </w:tcPr>
          <w:p w14:paraId="0261E5EB" w14:textId="77777777" w:rsidR="000E48CE" w:rsidRDefault="00FF4C4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0BE0945" w14:textId="77777777" w:rsidR="000E48CE" w:rsidRDefault="00FF4C4E">
            <w:pPr>
              <w:pStyle w:val="P68B1DB1-Normal13"/>
              <w:spacing w:after="0"/>
              <w:rPr>
                <w:rFonts w:eastAsia="Times New Roman" w:cs="Times New Roman"/>
                <w:noProof/>
              </w:rPr>
            </w:pPr>
            <w:r>
              <w:rPr>
                <w:noProof/>
              </w:rPr>
              <w:t>Verojärjestelmän uudistamista ohjaavan asiantuntijakomitean nimittäminen. Komitean tehtävänä on tehdä tekninen analyysi tarvittavista uudistuksista ottaen huomioon nykyinen skenaario sekä keskipitkällä ja pitkällä aikavälillä odotettavissa oleva t</w:t>
            </w:r>
            <w:r>
              <w:rPr>
                <w:noProof/>
              </w:rPr>
              <w:t>ilanne kiinnittäen erityistä huomiota seuraaviin aloihin: ympäristöverotus, yhtiöverotus, digitaalitalouden verotus, varallisuusverotus ja alan konkreettinen yhdenmukaistaminen sekä kehittyvien taloudellisten toimintojen verotus.</w:t>
            </w:r>
          </w:p>
        </w:tc>
      </w:tr>
      <w:tr w:rsidR="000E48CE" w14:paraId="61D5D730" w14:textId="77777777">
        <w:trPr>
          <w:trHeight w:val="309"/>
        </w:trPr>
        <w:tc>
          <w:tcPr>
            <w:tcW w:w="698" w:type="dxa"/>
            <w:shd w:val="clear" w:color="auto" w:fill="C6EFCE"/>
            <w:noWrap/>
          </w:tcPr>
          <w:p w14:paraId="7558215D" w14:textId="77777777" w:rsidR="000E48CE" w:rsidRDefault="00FF4C4E">
            <w:pPr>
              <w:pStyle w:val="P68B1DB1-Normal13"/>
              <w:spacing w:after="0"/>
              <w:jc w:val="center"/>
              <w:rPr>
                <w:rFonts w:eastAsia="Times New Roman" w:cs="Times New Roman"/>
                <w:noProof/>
              </w:rPr>
            </w:pPr>
            <w:r>
              <w:rPr>
                <w:noProof/>
              </w:rPr>
              <w:t>388</w:t>
            </w:r>
          </w:p>
        </w:tc>
        <w:tc>
          <w:tcPr>
            <w:tcW w:w="839" w:type="dxa"/>
            <w:shd w:val="clear" w:color="auto" w:fill="C6EFCE"/>
            <w:noWrap/>
          </w:tcPr>
          <w:p w14:paraId="5104DB5C" w14:textId="77777777" w:rsidR="000E48CE" w:rsidRDefault="00FF4C4E">
            <w:pPr>
              <w:pStyle w:val="P68B1DB1-Normal13"/>
              <w:spacing w:after="0"/>
              <w:jc w:val="center"/>
              <w:rPr>
                <w:rFonts w:eastAsia="Times New Roman" w:cs="Times New Roman"/>
                <w:noProof/>
              </w:rPr>
            </w:pPr>
            <w:r>
              <w:rPr>
                <w:noProof/>
              </w:rPr>
              <w:t>C28.R3</w:t>
            </w:r>
          </w:p>
        </w:tc>
        <w:tc>
          <w:tcPr>
            <w:tcW w:w="838" w:type="dxa"/>
            <w:shd w:val="clear" w:color="auto" w:fill="C6EFCE"/>
            <w:noWrap/>
          </w:tcPr>
          <w:p w14:paraId="42603E1A"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013B3195" w14:textId="77777777" w:rsidR="000E48CE" w:rsidRDefault="00FF4C4E">
            <w:pPr>
              <w:pStyle w:val="P68B1DB1-Normal13"/>
              <w:spacing w:after="0"/>
              <w:rPr>
                <w:rFonts w:eastAsia="Times New Roman" w:cs="Times New Roman"/>
                <w:noProof/>
              </w:rPr>
            </w:pPr>
            <w:r>
              <w:rPr>
                <w:noProof/>
              </w:rPr>
              <w:t xml:space="preserve">Komitean </w:t>
            </w:r>
            <w:r>
              <w:rPr>
                <w:noProof/>
              </w:rPr>
              <w:t>suosituksiin perustuvien uudistusten voimaantulo</w:t>
            </w:r>
          </w:p>
        </w:tc>
        <w:tc>
          <w:tcPr>
            <w:tcW w:w="979" w:type="dxa"/>
            <w:shd w:val="clear" w:color="auto" w:fill="C6EFCE"/>
            <w:noWrap/>
          </w:tcPr>
          <w:p w14:paraId="56E9D534" w14:textId="77777777" w:rsidR="000E48CE" w:rsidRDefault="00FF4C4E">
            <w:pPr>
              <w:pStyle w:val="P68B1DB1-Normal13"/>
              <w:spacing w:after="0"/>
              <w:jc w:val="center"/>
              <w:rPr>
                <w:rFonts w:eastAsia="Times New Roman" w:cs="Times New Roman"/>
                <w:noProof/>
              </w:rPr>
            </w:pPr>
            <w:r>
              <w:rPr>
                <w:noProof/>
              </w:rPr>
              <w:t xml:space="preserve">Uudistusten säännökset, joista käy ilmi niiden voimaantulo </w:t>
            </w:r>
          </w:p>
        </w:tc>
        <w:tc>
          <w:tcPr>
            <w:tcW w:w="420" w:type="dxa"/>
            <w:shd w:val="clear" w:color="auto" w:fill="C6EFCE"/>
            <w:noWrap/>
          </w:tcPr>
          <w:p w14:paraId="63A50EF2"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4E3B4429"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52B2C876"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2FC14277" w14:textId="77777777" w:rsidR="000E48CE" w:rsidRDefault="00FF4C4E">
            <w:pPr>
              <w:pStyle w:val="P68B1DB1-Normal13"/>
              <w:spacing w:after="0"/>
              <w:jc w:val="center"/>
              <w:rPr>
                <w:rFonts w:eastAsia="Times New Roman" w:cs="Times New Roman"/>
                <w:noProof/>
              </w:rPr>
            </w:pPr>
            <w:r>
              <w:rPr>
                <w:noProof/>
              </w:rPr>
              <w:t>Q1</w:t>
            </w:r>
          </w:p>
        </w:tc>
        <w:tc>
          <w:tcPr>
            <w:tcW w:w="559" w:type="dxa"/>
            <w:shd w:val="clear" w:color="auto" w:fill="C6EFCE"/>
            <w:noWrap/>
          </w:tcPr>
          <w:p w14:paraId="241FA2C7" w14:textId="77777777" w:rsidR="000E48CE" w:rsidRDefault="00FF4C4E">
            <w:pPr>
              <w:pStyle w:val="P68B1DB1-Normal13"/>
              <w:spacing w:after="0"/>
              <w:jc w:val="center"/>
              <w:rPr>
                <w:rFonts w:eastAsia="Times New Roman" w:cs="Times New Roman"/>
                <w:noProof/>
              </w:rPr>
            </w:pPr>
            <w:r>
              <w:rPr>
                <w:noProof/>
              </w:rPr>
              <w:t>2023</w:t>
            </w:r>
          </w:p>
        </w:tc>
        <w:tc>
          <w:tcPr>
            <w:tcW w:w="6561" w:type="dxa"/>
            <w:gridSpan w:val="2"/>
            <w:shd w:val="clear" w:color="auto" w:fill="C6EFCE"/>
            <w:noWrap/>
          </w:tcPr>
          <w:p w14:paraId="6CB47412" w14:textId="77777777" w:rsidR="000E48CE" w:rsidRDefault="00FF4C4E">
            <w:pPr>
              <w:pStyle w:val="P68B1DB1-Normal13"/>
              <w:spacing w:after="0"/>
              <w:rPr>
                <w:rFonts w:eastAsia="Times New Roman" w:cs="Times New Roman"/>
                <w:noProof/>
              </w:rPr>
            </w:pPr>
            <w:r>
              <w:rPr>
                <w:noProof/>
              </w:rPr>
              <w:t>Espanjan verojärjestelmän eri osatekijöihin liittyvistä asiantuntijakomitean suosituksista johdettujen uudistusten voimaantulo. Uudis</w:t>
            </w:r>
            <w:r>
              <w:rPr>
                <w:noProof/>
              </w:rPr>
              <w:t>tusten tavoitteena on lähentää Espanjan hallituksen tuloja suhteessa BKT:hen EU:n keskiarvoa, varmistaa yritysten vähimmäisverotus, tehostaa verojärjestelmää, nykyaikaistaa sitä ja mukauttaa sitä uusiin suuntauksiin, myös sukupuolinäkökulmaan, keskittyen y</w:t>
            </w:r>
            <w:r>
              <w:rPr>
                <w:noProof/>
              </w:rPr>
              <w:t>mpäristöverotukseen, yhtiöverotukseen, digitalisoidun talouden verotukseen, varallisuusverotuksen yhdenmukaistamiseen ja uusien taloudellisten toimintojen verotukseen. Uudistusten yhteydessä on myös analysoitava niiden jakaumavaikutuksia kiinnittäen erityi</w:t>
            </w:r>
            <w:r>
              <w:rPr>
                <w:noProof/>
              </w:rPr>
              <w:t>stä huomiota lapsiperheisiin.</w:t>
            </w:r>
          </w:p>
        </w:tc>
      </w:tr>
      <w:tr w:rsidR="000E48CE" w14:paraId="13CBA163" w14:textId="77777777">
        <w:trPr>
          <w:trHeight w:val="309"/>
        </w:trPr>
        <w:tc>
          <w:tcPr>
            <w:tcW w:w="698" w:type="dxa"/>
            <w:shd w:val="clear" w:color="auto" w:fill="C6EFCE"/>
            <w:noWrap/>
          </w:tcPr>
          <w:p w14:paraId="63AD47FE" w14:textId="77777777" w:rsidR="000E48CE" w:rsidRDefault="00FF4C4E">
            <w:pPr>
              <w:pStyle w:val="P68B1DB1-Normal13"/>
              <w:spacing w:after="0"/>
              <w:jc w:val="center"/>
              <w:rPr>
                <w:rFonts w:eastAsia="Times New Roman" w:cs="Times New Roman"/>
                <w:noProof/>
              </w:rPr>
            </w:pPr>
            <w:r>
              <w:rPr>
                <w:noProof/>
              </w:rPr>
              <w:t>389</w:t>
            </w:r>
          </w:p>
        </w:tc>
        <w:tc>
          <w:tcPr>
            <w:tcW w:w="839" w:type="dxa"/>
            <w:shd w:val="clear" w:color="auto" w:fill="C6EFCE"/>
            <w:noWrap/>
          </w:tcPr>
          <w:p w14:paraId="09AFC946" w14:textId="77777777" w:rsidR="000E48CE" w:rsidRDefault="00FF4C4E">
            <w:pPr>
              <w:pStyle w:val="P68B1DB1-Normal13"/>
              <w:spacing w:after="0"/>
              <w:jc w:val="center"/>
              <w:rPr>
                <w:rFonts w:eastAsia="Times New Roman" w:cs="Times New Roman"/>
                <w:noProof/>
              </w:rPr>
            </w:pPr>
            <w:r>
              <w:rPr>
                <w:noProof/>
              </w:rPr>
              <w:t>C28.R4</w:t>
            </w:r>
          </w:p>
        </w:tc>
        <w:tc>
          <w:tcPr>
            <w:tcW w:w="838" w:type="dxa"/>
            <w:shd w:val="clear" w:color="auto" w:fill="C6EFCE"/>
            <w:noWrap/>
          </w:tcPr>
          <w:p w14:paraId="37C9286B"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3B206E3B" w14:textId="77777777" w:rsidR="000E48CE" w:rsidRDefault="00FF4C4E">
            <w:pPr>
              <w:pStyle w:val="P68B1DB1-Normal13"/>
              <w:spacing w:after="0"/>
              <w:rPr>
                <w:rFonts w:eastAsia="Times New Roman" w:cs="Times New Roman"/>
                <w:noProof/>
              </w:rPr>
            </w:pPr>
            <w:r>
              <w:rPr>
                <w:noProof/>
              </w:rPr>
              <w:t>Kertakäyttömuovien ja -jätteen verot</w:t>
            </w:r>
          </w:p>
        </w:tc>
        <w:tc>
          <w:tcPr>
            <w:tcW w:w="979" w:type="dxa"/>
            <w:shd w:val="clear" w:color="auto" w:fill="C6EFCE"/>
            <w:noWrap/>
          </w:tcPr>
          <w:p w14:paraId="6631B3B5"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420" w:type="dxa"/>
            <w:shd w:val="clear" w:color="auto" w:fill="C6EFCE"/>
            <w:noWrap/>
          </w:tcPr>
          <w:p w14:paraId="1BC824A3"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68323AAF"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6A0231A0"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136B019" w14:textId="77777777" w:rsidR="000E48CE" w:rsidRDefault="00FF4C4E">
            <w:pPr>
              <w:pStyle w:val="P68B1DB1-Normal13"/>
              <w:spacing w:after="0"/>
              <w:jc w:val="center"/>
              <w:rPr>
                <w:rFonts w:eastAsia="Times New Roman" w:cs="Times New Roman"/>
                <w:noProof/>
              </w:rPr>
            </w:pPr>
            <w:r>
              <w:rPr>
                <w:noProof/>
              </w:rPr>
              <w:t>KOLMAS VUOSINELJÄNNES</w:t>
            </w:r>
          </w:p>
        </w:tc>
        <w:tc>
          <w:tcPr>
            <w:tcW w:w="559" w:type="dxa"/>
            <w:shd w:val="clear" w:color="auto" w:fill="C6EFCE"/>
            <w:noWrap/>
          </w:tcPr>
          <w:p w14:paraId="5A0E9B47" w14:textId="77777777" w:rsidR="000E48CE" w:rsidRDefault="00FF4C4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7D67D7B8" w14:textId="77777777" w:rsidR="000E48CE" w:rsidRDefault="00FF4C4E">
            <w:pPr>
              <w:pStyle w:val="P68B1DB1-Normal13"/>
              <w:spacing w:after="0"/>
              <w:rPr>
                <w:rFonts w:eastAsia="Times New Roman" w:cs="Times New Roman"/>
                <w:noProof/>
              </w:rPr>
            </w:pPr>
            <w:r>
              <w:rPr>
                <w:noProof/>
              </w:rPr>
              <w:t xml:space="preserve">Muoviveroja sekä jätteen sijoittamista ja polttamista koskevan lain voimaantulo kiertotalouden </w:t>
            </w:r>
            <w:r>
              <w:rPr>
                <w:noProof/>
              </w:rPr>
              <w:t>edistämiseksi ja kertakäyttömuovien käytön vähentämiseksi.</w:t>
            </w:r>
          </w:p>
        </w:tc>
      </w:tr>
      <w:tr w:rsidR="000E48CE" w14:paraId="37F913A7" w14:textId="77777777">
        <w:trPr>
          <w:trHeight w:val="309"/>
        </w:trPr>
        <w:tc>
          <w:tcPr>
            <w:tcW w:w="698" w:type="dxa"/>
            <w:shd w:val="clear" w:color="auto" w:fill="C6EFCE"/>
            <w:noWrap/>
          </w:tcPr>
          <w:p w14:paraId="05FB0A0A" w14:textId="77777777" w:rsidR="000E48CE" w:rsidRDefault="00FF4C4E">
            <w:pPr>
              <w:pStyle w:val="P68B1DB1-Normal13"/>
              <w:spacing w:after="0"/>
              <w:jc w:val="center"/>
              <w:rPr>
                <w:rFonts w:eastAsia="Times New Roman" w:cs="Times New Roman"/>
                <w:noProof/>
              </w:rPr>
            </w:pPr>
            <w:r>
              <w:rPr>
                <w:noProof/>
              </w:rPr>
              <w:t>390</w:t>
            </w:r>
          </w:p>
        </w:tc>
        <w:tc>
          <w:tcPr>
            <w:tcW w:w="839" w:type="dxa"/>
            <w:shd w:val="clear" w:color="auto" w:fill="C6EFCE"/>
            <w:noWrap/>
          </w:tcPr>
          <w:p w14:paraId="0ABCE885" w14:textId="77777777" w:rsidR="000E48CE" w:rsidRDefault="00FF4C4E">
            <w:pPr>
              <w:pStyle w:val="P68B1DB1-Normal13"/>
              <w:spacing w:after="0"/>
              <w:jc w:val="center"/>
              <w:rPr>
                <w:rFonts w:eastAsia="Times New Roman" w:cs="Times New Roman"/>
                <w:noProof/>
              </w:rPr>
            </w:pPr>
            <w:r>
              <w:rPr>
                <w:noProof/>
              </w:rPr>
              <w:t>C28.R4</w:t>
            </w:r>
          </w:p>
        </w:tc>
        <w:tc>
          <w:tcPr>
            <w:tcW w:w="838" w:type="dxa"/>
            <w:shd w:val="clear" w:color="auto" w:fill="C6EFCE"/>
            <w:noWrap/>
          </w:tcPr>
          <w:p w14:paraId="0C30E35A"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4A8EAD8A" w14:textId="77777777" w:rsidR="000E48CE" w:rsidRDefault="00FF4C4E">
            <w:pPr>
              <w:pStyle w:val="P68B1DB1-Normal13"/>
              <w:spacing w:after="0"/>
              <w:rPr>
                <w:rFonts w:eastAsia="Times New Roman" w:cs="Times New Roman"/>
                <w:noProof/>
              </w:rPr>
            </w:pPr>
            <w:r>
              <w:rPr>
                <w:noProof/>
              </w:rPr>
              <w:t>Ajoneuvojen rekisteröintiveron ja liikenneveron analyysi</w:t>
            </w:r>
          </w:p>
        </w:tc>
        <w:tc>
          <w:tcPr>
            <w:tcW w:w="979" w:type="dxa"/>
            <w:shd w:val="clear" w:color="auto" w:fill="C6EFCE"/>
            <w:noWrap/>
          </w:tcPr>
          <w:p w14:paraId="5EA469A9" w14:textId="77777777" w:rsidR="000E48CE" w:rsidRDefault="00FF4C4E">
            <w:pPr>
              <w:pStyle w:val="P68B1DB1-Normal13"/>
              <w:spacing w:after="0"/>
              <w:jc w:val="center"/>
              <w:rPr>
                <w:rFonts w:eastAsia="Times New Roman" w:cs="Times New Roman"/>
                <w:noProof/>
              </w:rPr>
            </w:pPr>
            <w:r>
              <w:rPr>
                <w:noProof/>
              </w:rPr>
              <w:t>Julkaiseminen verkkosivustolla</w:t>
            </w:r>
          </w:p>
        </w:tc>
        <w:tc>
          <w:tcPr>
            <w:tcW w:w="420" w:type="dxa"/>
            <w:shd w:val="clear" w:color="auto" w:fill="C6EFCE"/>
            <w:noWrap/>
          </w:tcPr>
          <w:p w14:paraId="64767320"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2F2B80B2"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32F4FFFC"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C0D3FC8" w14:textId="77777777" w:rsidR="000E48CE" w:rsidRDefault="00FF4C4E">
            <w:pPr>
              <w:pStyle w:val="P68B1DB1-Normal13"/>
              <w:spacing w:after="0"/>
              <w:jc w:val="center"/>
              <w:rPr>
                <w:rFonts w:eastAsia="Times New Roman" w:cs="Times New Roman"/>
                <w:noProof/>
              </w:rPr>
            </w:pPr>
            <w:r>
              <w:rPr>
                <w:noProof/>
              </w:rPr>
              <w:t>Q1</w:t>
            </w:r>
          </w:p>
        </w:tc>
        <w:tc>
          <w:tcPr>
            <w:tcW w:w="559" w:type="dxa"/>
            <w:shd w:val="clear" w:color="auto" w:fill="C6EFCE"/>
            <w:noWrap/>
          </w:tcPr>
          <w:p w14:paraId="2354E8AC" w14:textId="77777777" w:rsidR="000E48CE" w:rsidRDefault="00FF4C4E">
            <w:pPr>
              <w:pStyle w:val="P68B1DB1-Normal13"/>
              <w:spacing w:after="0"/>
              <w:jc w:val="center"/>
              <w:rPr>
                <w:rFonts w:eastAsia="Times New Roman" w:cs="Times New Roman"/>
                <w:noProof/>
              </w:rPr>
            </w:pPr>
            <w:r>
              <w:rPr>
                <w:noProof/>
              </w:rPr>
              <w:t>2022</w:t>
            </w:r>
          </w:p>
        </w:tc>
        <w:tc>
          <w:tcPr>
            <w:tcW w:w="6561" w:type="dxa"/>
            <w:gridSpan w:val="2"/>
            <w:shd w:val="clear" w:color="auto" w:fill="C6EFCE"/>
            <w:noWrap/>
          </w:tcPr>
          <w:p w14:paraId="0B6EE2A2" w14:textId="77777777" w:rsidR="000E48CE" w:rsidRDefault="00FF4C4E">
            <w:pPr>
              <w:pStyle w:val="P68B1DB1-Normal13"/>
              <w:spacing w:after="0"/>
              <w:rPr>
                <w:rFonts w:eastAsia="Times New Roman" w:cs="Times New Roman"/>
                <w:noProof/>
              </w:rPr>
            </w:pPr>
            <w:r>
              <w:rPr>
                <w:noProof/>
              </w:rPr>
              <w:t>Uudistuksessa analysoidaan ajoneuvojen rekisteröintiveroa, liikenneveroa tai tiemaksujen kaltaisia maksuja. Tämän analyysin perusteella on harkittava lainsäädännön tarkistamista, jotta voidaan edistää kestävämpää tieliikennettä ja vähentää kasvihuonekaasup</w:t>
            </w:r>
            <w:r>
              <w:rPr>
                <w:noProof/>
              </w:rPr>
              <w:t xml:space="preserve">äästöjä. </w:t>
            </w:r>
          </w:p>
        </w:tc>
      </w:tr>
      <w:tr w:rsidR="000E48CE" w14:paraId="687375F6" w14:textId="77777777">
        <w:trPr>
          <w:trHeight w:val="309"/>
        </w:trPr>
        <w:tc>
          <w:tcPr>
            <w:tcW w:w="698" w:type="dxa"/>
            <w:shd w:val="clear" w:color="auto" w:fill="C6EFCE"/>
            <w:noWrap/>
          </w:tcPr>
          <w:p w14:paraId="6973CD59" w14:textId="77777777" w:rsidR="000E48CE" w:rsidRDefault="00FF4C4E">
            <w:pPr>
              <w:pStyle w:val="P68B1DB1-Normal13"/>
              <w:spacing w:after="0"/>
              <w:jc w:val="center"/>
              <w:rPr>
                <w:rFonts w:eastAsia="Times New Roman" w:cs="Times New Roman"/>
                <w:noProof/>
              </w:rPr>
            </w:pPr>
            <w:r>
              <w:rPr>
                <w:noProof/>
              </w:rPr>
              <w:t>391</w:t>
            </w:r>
          </w:p>
        </w:tc>
        <w:tc>
          <w:tcPr>
            <w:tcW w:w="839" w:type="dxa"/>
            <w:shd w:val="clear" w:color="auto" w:fill="C6EFCE"/>
            <w:noWrap/>
          </w:tcPr>
          <w:p w14:paraId="1A99CDD0" w14:textId="77777777" w:rsidR="000E48CE" w:rsidRDefault="00FF4C4E">
            <w:pPr>
              <w:pStyle w:val="P68B1DB1-Normal13"/>
              <w:spacing w:after="0"/>
              <w:jc w:val="center"/>
              <w:rPr>
                <w:rFonts w:eastAsia="Times New Roman" w:cs="Times New Roman"/>
                <w:noProof/>
              </w:rPr>
            </w:pPr>
            <w:r>
              <w:rPr>
                <w:noProof/>
              </w:rPr>
              <w:t>C28.R4</w:t>
            </w:r>
          </w:p>
        </w:tc>
        <w:tc>
          <w:tcPr>
            <w:tcW w:w="838" w:type="dxa"/>
            <w:shd w:val="clear" w:color="auto" w:fill="C6EFCE"/>
            <w:noWrap/>
          </w:tcPr>
          <w:p w14:paraId="19796F6B"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62B420F4" w14:textId="77777777" w:rsidR="000E48CE" w:rsidRDefault="00FF4C4E">
            <w:pPr>
              <w:pStyle w:val="P68B1DB1-Normal13"/>
              <w:spacing w:after="0"/>
              <w:rPr>
                <w:rFonts w:eastAsia="Times New Roman" w:cs="Times New Roman"/>
                <w:noProof/>
              </w:rPr>
            </w:pPr>
            <w:r>
              <w:rPr>
                <w:noProof/>
              </w:rPr>
              <w:t xml:space="preserve">Fluorattujen kaasujen verouudistuksen voimaantulo </w:t>
            </w:r>
          </w:p>
        </w:tc>
        <w:tc>
          <w:tcPr>
            <w:tcW w:w="979" w:type="dxa"/>
            <w:shd w:val="clear" w:color="auto" w:fill="C6EFCE"/>
            <w:noWrap/>
          </w:tcPr>
          <w:p w14:paraId="33611C9D"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420" w:type="dxa"/>
            <w:shd w:val="clear" w:color="auto" w:fill="C6EFCE"/>
            <w:noWrap/>
          </w:tcPr>
          <w:p w14:paraId="2F93830F"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4917AFFD"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2CC75913" w14:textId="77777777" w:rsidR="000E48CE" w:rsidRDefault="00FF4C4E">
            <w:pPr>
              <w:pStyle w:val="P68B1DB1-Normal13"/>
              <w:spacing w:after="0"/>
              <w:rPr>
                <w:rFonts w:eastAsia="Times New Roman" w:cs="Times New Roman"/>
                <w:noProof/>
              </w:rPr>
            </w:pPr>
            <w:r>
              <w:rPr>
                <w:noProof/>
              </w:rPr>
              <w:t xml:space="preserve"> </w:t>
            </w:r>
          </w:p>
        </w:tc>
        <w:tc>
          <w:tcPr>
            <w:tcW w:w="420" w:type="dxa"/>
            <w:shd w:val="clear" w:color="auto" w:fill="C6EFCE"/>
            <w:noWrap/>
          </w:tcPr>
          <w:p w14:paraId="76B0F169" w14:textId="77777777" w:rsidR="000E48CE" w:rsidRDefault="00FF4C4E">
            <w:pPr>
              <w:pStyle w:val="P68B1DB1-Normal13"/>
              <w:spacing w:after="0"/>
              <w:jc w:val="center"/>
              <w:rPr>
                <w:rFonts w:eastAsia="Times New Roman" w:cs="Times New Roman"/>
                <w:noProof/>
              </w:rPr>
            </w:pPr>
            <w:r>
              <w:rPr>
                <w:noProof/>
              </w:rPr>
              <w:t>Q2</w:t>
            </w:r>
          </w:p>
        </w:tc>
        <w:tc>
          <w:tcPr>
            <w:tcW w:w="559" w:type="dxa"/>
            <w:shd w:val="clear" w:color="auto" w:fill="C6EFCE"/>
            <w:noWrap/>
          </w:tcPr>
          <w:p w14:paraId="7D2A3C3B" w14:textId="77777777" w:rsidR="000E48CE" w:rsidRDefault="00FF4C4E">
            <w:pPr>
              <w:pStyle w:val="P68B1DB1-Normal13"/>
              <w:spacing w:after="0"/>
              <w:jc w:val="center"/>
              <w:rPr>
                <w:rFonts w:eastAsia="Times New Roman" w:cs="Times New Roman"/>
                <w:noProof/>
              </w:rPr>
            </w:pPr>
            <w:r>
              <w:rPr>
                <w:noProof/>
              </w:rPr>
              <w:t>2022</w:t>
            </w:r>
          </w:p>
        </w:tc>
        <w:tc>
          <w:tcPr>
            <w:tcW w:w="6561" w:type="dxa"/>
            <w:gridSpan w:val="2"/>
            <w:shd w:val="clear" w:color="auto" w:fill="C6EFCE"/>
            <w:noWrap/>
          </w:tcPr>
          <w:p w14:paraId="5855A3A2" w14:textId="77777777" w:rsidR="000E48CE" w:rsidRDefault="00FF4C4E">
            <w:pPr>
              <w:pStyle w:val="P68B1DB1-Normal13"/>
              <w:spacing w:after="0"/>
              <w:rPr>
                <w:rFonts w:eastAsia="Times New Roman" w:cs="Times New Roman"/>
                <w:noProof/>
              </w:rPr>
            </w:pPr>
            <w:r>
              <w:rPr>
                <w:noProof/>
              </w:rPr>
              <w:t xml:space="preserve">Fluorattuja kaasuja koskevan veron uudistus tulee voimaan, jotta voidaan hillitä niiden käyttöä ja vähentää veronkiertoa. </w:t>
            </w:r>
          </w:p>
        </w:tc>
      </w:tr>
      <w:tr w:rsidR="000E48CE" w14:paraId="47F6F49D" w14:textId="77777777">
        <w:trPr>
          <w:trHeight w:val="309"/>
        </w:trPr>
        <w:tc>
          <w:tcPr>
            <w:tcW w:w="698" w:type="dxa"/>
            <w:shd w:val="clear" w:color="auto" w:fill="C6EFCE"/>
            <w:noWrap/>
          </w:tcPr>
          <w:p w14:paraId="30813EBA" w14:textId="77777777" w:rsidR="000E48CE" w:rsidRDefault="00FF4C4E">
            <w:pPr>
              <w:pStyle w:val="P68B1DB1-Normal13"/>
              <w:spacing w:after="0"/>
              <w:jc w:val="center"/>
              <w:rPr>
                <w:rFonts w:eastAsia="Times New Roman" w:cs="Times New Roman"/>
                <w:noProof/>
              </w:rPr>
            </w:pPr>
            <w:r>
              <w:rPr>
                <w:noProof/>
              </w:rPr>
              <w:t>392</w:t>
            </w:r>
          </w:p>
        </w:tc>
        <w:tc>
          <w:tcPr>
            <w:tcW w:w="839" w:type="dxa"/>
            <w:shd w:val="clear" w:color="auto" w:fill="C6EFCE"/>
            <w:noWrap/>
          </w:tcPr>
          <w:p w14:paraId="69502FAC" w14:textId="77777777" w:rsidR="000E48CE" w:rsidRDefault="00FF4C4E">
            <w:pPr>
              <w:pStyle w:val="P68B1DB1-Normal13"/>
              <w:spacing w:after="0"/>
              <w:jc w:val="center"/>
              <w:rPr>
                <w:rFonts w:eastAsia="Times New Roman" w:cs="Times New Roman"/>
                <w:noProof/>
              </w:rPr>
            </w:pPr>
            <w:r>
              <w:rPr>
                <w:noProof/>
              </w:rPr>
              <w:t>C28.R5</w:t>
            </w:r>
          </w:p>
        </w:tc>
        <w:tc>
          <w:tcPr>
            <w:tcW w:w="838" w:type="dxa"/>
            <w:shd w:val="clear" w:color="auto" w:fill="C6EFCE"/>
            <w:noWrap/>
          </w:tcPr>
          <w:p w14:paraId="4441CBFA"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2B3AFE47" w14:textId="77777777" w:rsidR="000E48CE" w:rsidRDefault="00FF4C4E">
            <w:pPr>
              <w:pStyle w:val="P68B1DB1-Normal13"/>
              <w:spacing w:after="0"/>
              <w:rPr>
                <w:rFonts w:eastAsia="Times New Roman" w:cs="Times New Roman"/>
                <w:noProof/>
              </w:rPr>
            </w:pPr>
            <w:r>
              <w:rPr>
                <w:noProof/>
              </w:rPr>
              <w:t>Digitaalisten palvelujen vero</w:t>
            </w:r>
          </w:p>
        </w:tc>
        <w:tc>
          <w:tcPr>
            <w:tcW w:w="979" w:type="dxa"/>
            <w:shd w:val="clear" w:color="auto" w:fill="C6EFCE"/>
            <w:noWrap/>
          </w:tcPr>
          <w:p w14:paraId="1139B613"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420" w:type="dxa"/>
            <w:shd w:val="clear" w:color="auto" w:fill="C6EFCE"/>
            <w:noWrap/>
          </w:tcPr>
          <w:p w14:paraId="6E0AA6EE"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29B2E2DC"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4EB5E910"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33BAEE2B" w14:textId="77777777" w:rsidR="000E48CE" w:rsidRDefault="00FF4C4E">
            <w:pPr>
              <w:pStyle w:val="P68B1DB1-Normal13"/>
              <w:spacing w:after="0"/>
              <w:jc w:val="center"/>
              <w:rPr>
                <w:rFonts w:eastAsia="Times New Roman" w:cs="Times New Roman"/>
                <w:noProof/>
              </w:rPr>
            </w:pPr>
            <w:r>
              <w:rPr>
                <w:noProof/>
              </w:rPr>
              <w:t>Q1</w:t>
            </w:r>
          </w:p>
        </w:tc>
        <w:tc>
          <w:tcPr>
            <w:tcW w:w="559" w:type="dxa"/>
            <w:shd w:val="clear" w:color="auto" w:fill="C6EFCE"/>
            <w:noWrap/>
          </w:tcPr>
          <w:p w14:paraId="254FBBEB" w14:textId="77777777" w:rsidR="000E48CE" w:rsidRDefault="00FF4C4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7EE8E71B" w14:textId="77777777" w:rsidR="000E48CE" w:rsidRDefault="00FF4C4E">
            <w:pPr>
              <w:pStyle w:val="P68B1DB1-Normal13"/>
              <w:spacing w:after="0"/>
              <w:rPr>
                <w:rFonts w:eastAsia="Times New Roman" w:cs="Times New Roman"/>
                <w:noProof/>
              </w:rPr>
            </w:pPr>
            <w:r>
              <w:rPr>
                <w:noProof/>
              </w:rPr>
              <w:t xml:space="preserve">Tietyistä digitaalisten </w:t>
            </w:r>
            <w:r>
              <w:rPr>
                <w:noProof/>
              </w:rPr>
              <w:t>palvelujen veroista annetun lain (</w:t>
            </w:r>
            <w:r>
              <w:rPr>
                <w:i/>
                <w:noProof/>
              </w:rPr>
              <w:t>Ley 4/2020, de 15 de octubre, del Impuesto sobre Determinados Servicios Digitales)</w:t>
            </w:r>
            <w:r>
              <w:rPr>
                <w:noProof/>
              </w:rPr>
              <w:t xml:space="preserve">voimaantulo uusien tulolähteiden luomiseksi hallitukselle kehittyvien liiketoiminta-alojen pohjalta samalla kun verojärjestelmää kehitetään </w:t>
            </w:r>
            <w:r>
              <w:rPr>
                <w:noProof/>
              </w:rPr>
              <w:t>johdonmukaisesti ja tarvittaessa kansainvälisessä kontekstissa.</w:t>
            </w:r>
          </w:p>
        </w:tc>
      </w:tr>
      <w:tr w:rsidR="000E48CE" w14:paraId="241694F9" w14:textId="77777777">
        <w:trPr>
          <w:trHeight w:val="309"/>
        </w:trPr>
        <w:tc>
          <w:tcPr>
            <w:tcW w:w="698" w:type="dxa"/>
            <w:shd w:val="clear" w:color="auto" w:fill="C6EFCE"/>
            <w:noWrap/>
          </w:tcPr>
          <w:p w14:paraId="681303F9" w14:textId="77777777" w:rsidR="000E48CE" w:rsidRDefault="00FF4C4E">
            <w:pPr>
              <w:pStyle w:val="P68B1DB1-Normal13"/>
              <w:spacing w:after="0"/>
              <w:jc w:val="center"/>
              <w:rPr>
                <w:rFonts w:eastAsia="Times New Roman" w:cs="Times New Roman"/>
                <w:noProof/>
              </w:rPr>
            </w:pPr>
            <w:r>
              <w:rPr>
                <w:noProof/>
              </w:rPr>
              <w:t>393</w:t>
            </w:r>
          </w:p>
        </w:tc>
        <w:tc>
          <w:tcPr>
            <w:tcW w:w="839" w:type="dxa"/>
            <w:shd w:val="clear" w:color="auto" w:fill="C6EFCE"/>
            <w:noWrap/>
          </w:tcPr>
          <w:p w14:paraId="3C8C5899" w14:textId="77777777" w:rsidR="000E48CE" w:rsidRDefault="00FF4C4E">
            <w:pPr>
              <w:pStyle w:val="P68B1DB1-Normal13"/>
              <w:spacing w:after="0"/>
              <w:jc w:val="center"/>
              <w:rPr>
                <w:rFonts w:eastAsia="Times New Roman" w:cs="Times New Roman"/>
                <w:noProof/>
              </w:rPr>
            </w:pPr>
            <w:r>
              <w:rPr>
                <w:noProof/>
              </w:rPr>
              <w:t>C28.R6</w:t>
            </w:r>
          </w:p>
        </w:tc>
        <w:tc>
          <w:tcPr>
            <w:tcW w:w="838" w:type="dxa"/>
            <w:shd w:val="clear" w:color="auto" w:fill="C6EFCE"/>
            <w:noWrap/>
          </w:tcPr>
          <w:p w14:paraId="6F2FCA0F"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1767918B" w14:textId="77777777" w:rsidR="000E48CE" w:rsidRDefault="00FF4C4E">
            <w:pPr>
              <w:pStyle w:val="P68B1DB1-Normal13"/>
              <w:spacing w:after="0"/>
              <w:rPr>
                <w:rFonts w:eastAsia="Times New Roman" w:cs="Times New Roman"/>
                <w:noProof/>
              </w:rPr>
            </w:pPr>
            <w:r>
              <w:rPr>
                <w:noProof/>
              </w:rPr>
              <w:t>Finanssitransaktiovero</w:t>
            </w:r>
          </w:p>
        </w:tc>
        <w:tc>
          <w:tcPr>
            <w:tcW w:w="979" w:type="dxa"/>
            <w:shd w:val="clear" w:color="auto" w:fill="C6EFCE"/>
            <w:noWrap/>
          </w:tcPr>
          <w:p w14:paraId="7B475124"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420" w:type="dxa"/>
            <w:shd w:val="clear" w:color="auto" w:fill="C6EFCE"/>
            <w:noWrap/>
          </w:tcPr>
          <w:p w14:paraId="7A00D580"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0D0B806C"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0D4A5886"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832C360" w14:textId="77777777" w:rsidR="000E48CE" w:rsidRDefault="00FF4C4E">
            <w:pPr>
              <w:pStyle w:val="P68B1DB1-Normal13"/>
              <w:spacing w:after="0"/>
              <w:jc w:val="center"/>
              <w:rPr>
                <w:rFonts w:eastAsia="Times New Roman" w:cs="Times New Roman"/>
                <w:noProof/>
              </w:rPr>
            </w:pPr>
            <w:r>
              <w:rPr>
                <w:noProof/>
              </w:rPr>
              <w:t>Q1</w:t>
            </w:r>
          </w:p>
        </w:tc>
        <w:tc>
          <w:tcPr>
            <w:tcW w:w="559" w:type="dxa"/>
            <w:shd w:val="clear" w:color="auto" w:fill="C6EFCE"/>
            <w:noWrap/>
          </w:tcPr>
          <w:p w14:paraId="4E7E2AA4" w14:textId="77777777" w:rsidR="000E48CE" w:rsidRDefault="00FF4C4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5936BDA7" w14:textId="77777777" w:rsidR="000E48CE" w:rsidRDefault="00FF4C4E">
            <w:pPr>
              <w:pStyle w:val="P68B1DB1-Normal13"/>
              <w:spacing w:after="0"/>
              <w:rPr>
                <w:rFonts w:eastAsia="Times New Roman" w:cs="Times New Roman"/>
                <w:noProof/>
              </w:rPr>
            </w:pPr>
            <w:r>
              <w:rPr>
                <w:noProof/>
              </w:rPr>
              <w:t>Finanssitransaktioverosta annetun lain (</w:t>
            </w:r>
            <w:r>
              <w:rPr>
                <w:i/>
                <w:noProof/>
              </w:rPr>
              <w:t xml:space="preserve">Ley 5/2020, de 15 de octubre, del Impuesto sobre las </w:t>
            </w:r>
            <w:r>
              <w:rPr>
                <w:i/>
                <w:noProof/>
              </w:rPr>
              <w:t>Transacciones Financieras</w:t>
            </w:r>
            <w:r>
              <w:rPr>
                <w:noProof/>
              </w:rPr>
              <w:t>) voimaantulo uusien tulonlähteiden luomiseksi hallitukselle samalla kun verojärjestelmää kehitetään johdonmukaisesti ja tarvittaessa kansainvälisessä kontekstissa.</w:t>
            </w:r>
          </w:p>
        </w:tc>
      </w:tr>
      <w:tr w:rsidR="000E48CE" w14:paraId="39BE8BCE" w14:textId="77777777">
        <w:trPr>
          <w:trHeight w:val="309"/>
        </w:trPr>
        <w:tc>
          <w:tcPr>
            <w:tcW w:w="698" w:type="dxa"/>
            <w:shd w:val="clear" w:color="auto" w:fill="C6EFCE"/>
            <w:noWrap/>
          </w:tcPr>
          <w:p w14:paraId="115DDE1D" w14:textId="77777777" w:rsidR="000E48CE" w:rsidRDefault="00FF4C4E">
            <w:pPr>
              <w:pStyle w:val="P68B1DB1-Normal13"/>
              <w:spacing w:after="0"/>
              <w:jc w:val="center"/>
              <w:rPr>
                <w:rFonts w:eastAsia="Times New Roman" w:cs="Times New Roman"/>
                <w:noProof/>
              </w:rPr>
            </w:pPr>
            <w:r>
              <w:rPr>
                <w:noProof/>
              </w:rPr>
              <w:t>394</w:t>
            </w:r>
          </w:p>
        </w:tc>
        <w:tc>
          <w:tcPr>
            <w:tcW w:w="839" w:type="dxa"/>
            <w:shd w:val="clear" w:color="auto" w:fill="C6EFCE"/>
            <w:noWrap/>
          </w:tcPr>
          <w:p w14:paraId="591EC737" w14:textId="77777777" w:rsidR="000E48CE" w:rsidRDefault="00FF4C4E">
            <w:pPr>
              <w:pStyle w:val="P68B1DB1-Normal13"/>
              <w:spacing w:after="0"/>
              <w:jc w:val="center"/>
              <w:rPr>
                <w:rFonts w:eastAsia="Times New Roman" w:cs="Times New Roman"/>
                <w:noProof/>
              </w:rPr>
            </w:pPr>
            <w:r>
              <w:rPr>
                <w:noProof/>
              </w:rPr>
              <w:t>C28.R7</w:t>
            </w:r>
          </w:p>
        </w:tc>
        <w:tc>
          <w:tcPr>
            <w:tcW w:w="838" w:type="dxa"/>
            <w:shd w:val="clear" w:color="auto" w:fill="C6EFCE"/>
            <w:noWrap/>
          </w:tcPr>
          <w:p w14:paraId="0CCD6A2A"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3F6E974A" w14:textId="77777777" w:rsidR="000E48CE" w:rsidRDefault="00FF4C4E">
            <w:pPr>
              <w:pStyle w:val="P68B1DB1-Normal13"/>
              <w:spacing w:after="0"/>
              <w:rPr>
                <w:rFonts w:eastAsia="Times New Roman" w:cs="Times New Roman"/>
                <w:noProof/>
              </w:rPr>
            </w:pPr>
            <w:r>
              <w:rPr>
                <w:noProof/>
              </w:rPr>
              <w:t xml:space="preserve">Henkilökohtaisen tuloveron ja varallisuusveron </w:t>
            </w:r>
            <w:r>
              <w:rPr>
                <w:noProof/>
              </w:rPr>
              <w:t>muutokset vuonna 2021</w:t>
            </w:r>
          </w:p>
        </w:tc>
        <w:tc>
          <w:tcPr>
            <w:tcW w:w="979" w:type="dxa"/>
            <w:shd w:val="clear" w:color="auto" w:fill="C6EFCE"/>
            <w:noWrap/>
          </w:tcPr>
          <w:p w14:paraId="10AEB70B" w14:textId="77777777" w:rsidR="000E48CE" w:rsidRDefault="00FF4C4E">
            <w:pPr>
              <w:pStyle w:val="P68B1DB1-Normal13"/>
              <w:spacing w:after="0"/>
              <w:jc w:val="center"/>
              <w:rPr>
                <w:rFonts w:eastAsia="Times New Roman" w:cs="Times New Roman"/>
                <w:noProof/>
              </w:rPr>
            </w:pPr>
            <w:r>
              <w:rPr>
                <w:noProof/>
              </w:rPr>
              <w:t xml:space="preserve">Talousarviolain säännös, josta käy ilmi sen voimaantulo </w:t>
            </w:r>
          </w:p>
        </w:tc>
        <w:tc>
          <w:tcPr>
            <w:tcW w:w="420" w:type="dxa"/>
            <w:shd w:val="clear" w:color="auto" w:fill="C6EFCE"/>
            <w:noWrap/>
          </w:tcPr>
          <w:p w14:paraId="19B0ED93"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396EC4E"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3FF44640"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1937DDE5" w14:textId="77777777" w:rsidR="000E48CE" w:rsidRDefault="00FF4C4E">
            <w:pPr>
              <w:pStyle w:val="P68B1DB1-Normal13"/>
              <w:spacing w:after="0"/>
              <w:jc w:val="center"/>
              <w:rPr>
                <w:rFonts w:eastAsia="Times New Roman" w:cs="Times New Roman"/>
                <w:noProof/>
              </w:rPr>
            </w:pPr>
            <w:r>
              <w:rPr>
                <w:noProof/>
              </w:rPr>
              <w:t>Q1</w:t>
            </w:r>
          </w:p>
        </w:tc>
        <w:tc>
          <w:tcPr>
            <w:tcW w:w="559" w:type="dxa"/>
            <w:shd w:val="clear" w:color="auto" w:fill="C6EFCE"/>
            <w:noWrap/>
          </w:tcPr>
          <w:p w14:paraId="0F48491A" w14:textId="77777777" w:rsidR="000E48CE" w:rsidRDefault="00FF4C4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632912AE" w14:textId="77777777" w:rsidR="000E48CE" w:rsidRDefault="00FF4C4E">
            <w:pPr>
              <w:pStyle w:val="P68B1DB1-Normal13"/>
              <w:spacing w:after="0"/>
              <w:rPr>
                <w:rFonts w:eastAsia="Times New Roman" w:cs="Times New Roman"/>
                <w:noProof/>
              </w:rPr>
            </w:pPr>
            <w:r>
              <w:rPr>
                <w:noProof/>
              </w:rPr>
              <w:t>Vuoden 2021 talousarviolailla käyttöön otettujen muutosten ja henkilötuloveroon ja varallisuusveroon liittyvien kehitysasetusten voimaantulo julkisen talouden alij</w:t>
            </w:r>
            <w:r>
              <w:rPr>
                <w:noProof/>
              </w:rPr>
              <w:t>äämän pienentämiseksi ja henkilökohtaisen tuloverotuksen progressiivisuuden lisäämiseksi.</w:t>
            </w:r>
          </w:p>
        </w:tc>
      </w:tr>
      <w:tr w:rsidR="000E48CE" w14:paraId="30F44239" w14:textId="77777777">
        <w:trPr>
          <w:trHeight w:val="309"/>
        </w:trPr>
        <w:tc>
          <w:tcPr>
            <w:tcW w:w="698" w:type="dxa"/>
            <w:shd w:val="clear" w:color="auto" w:fill="C6EFCE"/>
            <w:noWrap/>
          </w:tcPr>
          <w:p w14:paraId="5E063B92" w14:textId="77777777" w:rsidR="000E48CE" w:rsidRDefault="00FF4C4E">
            <w:pPr>
              <w:pStyle w:val="P68B1DB1-Normal13"/>
              <w:spacing w:after="0"/>
              <w:jc w:val="center"/>
              <w:rPr>
                <w:rFonts w:eastAsia="Times New Roman" w:cs="Times New Roman"/>
                <w:noProof/>
              </w:rPr>
            </w:pPr>
            <w:r>
              <w:rPr>
                <w:noProof/>
              </w:rPr>
              <w:t>395</w:t>
            </w:r>
          </w:p>
        </w:tc>
        <w:tc>
          <w:tcPr>
            <w:tcW w:w="839" w:type="dxa"/>
            <w:shd w:val="clear" w:color="auto" w:fill="C6EFCE"/>
            <w:noWrap/>
          </w:tcPr>
          <w:p w14:paraId="302832CC" w14:textId="77777777" w:rsidR="000E48CE" w:rsidRDefault="00FF4C4E">
            <w:pPr>
              <w:pStyle w:val="P68B1DB1-Normal13"/>
              <w:spacing w:after="0"/>
              <w:jc w:val="center"/>
              <w:rPr>
                <w:rFonts w:eastAsia="Times New Roman" w:cs="Times New Roman"/>
                <w:noProof/>
              </w:rPr>
            </w:pPr>
            <w:r>
              <w:rPr>
                <w:noProof/>
              </w:rPr>
              <w:t>C28.R8</w:t>
            </w:r>
          </w:p>
        </w:tc>
        <w:tc>
          <w:tcPr>
            <w:tcW w:w="838" w:type="dxa"/>
            <w:shd w:val="clear" w:color="auto" w:fill="C6EFCE"/>
            <w:noWrap/>
          </w:tcPr>
          <w:p w14:paraId="11317F06"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32E2C486" w14:textId="77777777" w:rsidR="000E48CE" w:rsidRDefault="00FF4C4E">
            <w:pPr>
              <w:pStyle w:val="P68B1DB1-Normal13"/>
              <w:spacing w:after="0"/>
              <w:rPr>
                <w:rFonts w:eastAsia="Times New Roman" w:cs="Times New Roman"/>
                <w:noProof/>
              </w:rPr>
            </w:pPr>
            <w:r>
              <w:rPr>
                <w:noProof/>
              </w:rPr>
              <w:t>Yhtiöveron muutokset vuonna 2021</w:t>
            </w:r>
          </w:p>
        </w:tc>
        <w:tc>
          <w:tcPr>
            <w:tcW w:w="979" w:type="dxa"/>
            <w:shd w:val="clear" w:color="auto" w:fill="C6EFCE"/>
            <w:noWrap/>
          </w:tcPr>
          <w:p w14:paraId="409A1D20" w14:textId="77777777" w:rsidR="000E48CE" w:rsidRDefault="00FF4C4E">
            <w:pPr>
              <w:pStyle w:val="P68B1DB1-Normal13"/>
              <w:spacing w:after="0"/>
              <w:jc w:val="center"/>
              <w:rPr>
                <w:rFonts w:eastAsia="Times New Roman" w:cs="Times New Roman"/>
                <w:noProof/>
              </w:rPr>
            </w:pPr>
            <w:r>
              <w:rPr>
                <w:noProof/>
              </w:rPr>
              <w:t xml:space="preserve">Talousarviolain säännös, josta käy ilmi sen voimaantulo </w:t>
            </w:r>
          </w:p>
        </w:tc>
        <w:tc>
          <w:tcPr>
            <w:tcW w:w="420" w:type="dxa"/>
            <w:shd w:val="clear" w:color="auto" w:fill="C6EFCE"/>
            <w:noWrap/>
          </w:tcPr>
          <w:p w14:paraId="735C234C"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0C3102C"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465041AC"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0FF44D96" w14:textId="77777777" w:rsidR="000E48CE" w:rsidRDefault="00FF4C4E">
            <w:pPr>
              <w:pStyle w:val="P68B1DB1-Normal13"/>
              <w:spacing w:after="0"/>
              <w:jc w:val="center"/>
              <w:rPr>
                <w:rFonts w:eastAsia="Times New Roman" w:cs="Times New Roman"/>
                <w:noProof/>
              </w:rPr>
            </w:pPr>
            <w:r>
              <w:rPr>
                <w:noProof/>
              </w:rPr>
              <w:t>Q1</w:t>
            </w:r>
          </w:p>
        </w:tc>
        <w:tc>
          <w:tcPr>
            <w:tcW w:w="559" w:type="dxa"/>
            <w:shd w:val="clear" w:color="auto" w:fill="C6EFCE"/>
            <w:noWrap/>
          </w:tcPr>
          <w:p w14:paraId="2A512EC3" w14:textId="77777777" w:rsidR="000E48CE" w:rsidRDefault="00FF4C4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77BBC52" w14:textId="77777777" w:rsidR="000E48CE" w:rsidRDefault="00FF4C4E">
            <w:pPr>
              <w:pStyle w:val="P68B1DB1-Normal13"/>
              <w:spacing w:after="0"/>
              <w:rPr>
                <w:rFonts w:eastAsia="Times New Roman" w:cs="Times New Roman"/>
                <w:noProof/>
              </w:rPr>
            </w:pPr>
            <w:r>
              <w:rPr>
                <w:noProof/>
              </w:rPr>
              <w:t xml:space="preserve">Vuoden 2021 talousarviolailla ja yhteisöveroon </w:t>
            </w:r>
            <w:r>
              <w:rPr>
                <w:noProof/>
              </w:rPr>
              <w:t>liittyvillä kehittämissäännöksillä tehtyjen muutosten voimaantulo yhtiöverotulojen lisäämiseksi.</w:t>
            </w:r>
          </w:p>
        </w:tc>
      </w:tr>
      <w:tr w:rsidR="000E48CE" w14:paraId="49B73336" w14:textId="77777777">
        <w:trPr>
          <w:trHeight w:val="309"/>
        </w:trPr>
        <w:tc>
          <w:tcPr>
            <w:tcW w:w="698" w:type="dxa"/>
            <w:shd w:val="clear" w:color="auto" w:fill="C6EFCE"/>
            <w:noWrap/>
          </w:tcPr>
          <w:p w14:paraId="259D5389" w14:textId="77777777" w:rsidR="000E48CE" w:rsidRDefault="00FF4C4E">
            <w:pPr>
              <w:pStyle w:val="P68B1DB1-Normal13"/>
              <w:spacing w:after="0"/>
              <w:jc w:val="center"/>
              <w:rPr>
                <w:rFonts w:eastAsia="Times New Roman" w:cs="Times New Roman"/>
                <w:noProof/>
              </w:rPr>
            </w:pPr>
            <w:r>
              <w:rPr>
                <w:noProof/>
              </w:rPr>
              <w:t>396</w:t>
            </w:r>
          </w:p>
        </w:tc>
        <w:tc>
          <w:tcPr>
            <w:tcW w:w="839" w:type="dxa"/>
            <w:shd w:val="clear" w:color="auto" w:fill="C6EFCE"/>
            <w:noWrap/>
          </w:tcPr>
          <w:p w14:paraId="1F9A658B" w14:textId="77777777" w:rsidR="000E48CE" w:rsidRDefault="00FF4C4E">
            <w:pPr>
              <w:pStyle w:val="P68B1DB1-Normal13"/>
              <w:spacing w:after="0"/>
              <w:jc w:val="center"/>
              <w:rPr>
                <w:rFonts w:eastAsia="Times New Roman" w:cs="Times New Roman"/>
                <w:noProof/>
              </w:rPr>
            </w:pPr>
            <w:r>
              <w:rPr>
                <w:noProof/>
              </w:rPr>
              <w:t>C28.R9</w:t>
            </w:r>
          </w:p>
        </w:tc>
        <w:tc>
          <w:tcPr>
            <w:tcW w:w="838" w:type="dxa"/>
            <w:shd w:val="clear" w:color="auto" w:fill="C6EFCE"/>
            <w:noWrap/>
          </w:tcPr>
          <w:p w14:paraId="013656DF" w14:textId="77777777" w:rsidR="000E48CE" w:rsidRDefault="00FF4C4E">
            <w:pPr>
              <w:pStyle w:val="P68B1DB1-Normal13"/>
              <w:spacing w:after="0"/>
              <w:jc w:val="center"/>
              <w:rPr>
                <w:rFonts w:eastAsia="Times New Roman" w:cs="Times New Roman"/>
                <w:noProof/>
              </w:rPr>
            </w:pPr>
            <w:r>
              <w:rPr>
                <w:noProof/>
              </w:rPr>
              <w:t>M</w:t>
            </w:r>
          </w:p>
        </w:tc>
        <w:tc>
          <w:tcPr>
            <w:tcW w:w="2792" w:type="dxa"/>
            <w:shd w:val="clear" w:color="auto" w:fill="C6EFCE"/>
            <w:noWrap/>
          </w:tcPr>
          <w:p w14:paraId="1CAF6688" w14:textId="77777777" w:rsidR="000E48CE" w:rsidRDefault="00FF4C4E">
            <w:pPr>
              <w:pStyle w:val="P68B1DB1-Normal13"/>
              <w:spacing w:after="0"/>
              <w:rPr>
                <w:rFonts w:eastAsia="Times New Roman" w:cs="Times New Roman"/>
                <w:noProof/>
              </w:rPr>
            </w:pPr>
            <w:r>
              <w:rPr>
                <w:noProof/>
              </w:rPr>
              <w:t>Välillisten verojen muutokset vuonna 2021</w:t>
            </w:r>
          </w:p>
        </w:tc>
        <w:tc>
          <w:tcPr>
            <w:tcW w:w="979" w:type="dxa"/>
            <w:shd w:val="clear" w:color="auto" w:fill="C6EFCE"/>
            <w:noWrap/>
          </w:tcPr>
          <w:p w14:paraId="0FFD27C2" w14:textId="77777777" w:rsidR="000E48CE" w:rsidRDefault="00FF4C4E">
            <w:pPr>
              <w:pStyle w:val="P68B1DB1-Normal13"/>
              <w:spacing w:after="0"/>
              <w:jc w:val="center"/>
              <w:rPr>
                <w:rFonts w:eastAsia="Times New Roman" w:cs="Times New Roman"/>
                <w:noProof/>
              </w:rPr>
            </w:pPr>
            <w:r>
              <w:rPr>
                <w:noProof/>
              </w:rPr>
              <w:t xml:space="preserve">Talousarviolain säännös, josta käy ilmi sen voimaantulo </w:t>
            </w:r>
          </w:p>
        </w:tc>
        <w:tc>
          <w:tcPr>
            <w:tcW w:w="420" w:type="dxa"/>
            <w:shd w:val="clear" w:color="auto" w:fill="C6EFCE"/>
            <w:noWrap/>
          </w:tcPr>
          <w:p w14:paraId="7DEAECDE" w14:textId="77777777" w:rsidR="000E48CE" w:rsidRDefault="00FF4C4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88DE95D" w14:textId="77777777" w:rsidR="000E48CE" w:rsidRDefault="00FF4C4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373E5573" w14:textId="77777777" w:rsidR="000E48CE" w:rsidRDefault="00FF4C4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6D60ED3F" w14:textId="77777777" w:rsidR="000E48CE" w:rsidRDefault="00FF4C4E">
            <w:pPr>
              <w:pStyle w:val="P68B1DB1-Normal13"/>
              <w:spacing w:after="0"/>
              <w:jc w:val="center"/>
              <w:rPr>
                <w:rFonts w:eastAsia="Times New Roman" w:cs="Times New Roman"/>
                <w:noProof/>
              </w:rPr>
            </w:pPr>
            <w:r>
              <w:rPr>
                <w:noProof/>
              </w:rPr>
              <w:t>Q1</w:t>
            </w:r>
          </w:p>
        </w:tc>
        <w:tc>
          <w:tcPr>
            <w:tcW w:w="559" w:type="dxa"/>
            <w:shd w:val="clear" w:color="auto" w:fill="C6EFCE"/>
            <w:noWrap/>
          </w:tcPr>
          <w:p w14:paraId="3A7A8D3D" w14:textId="77777777" w:rsidR="000E48CE" w:rsidRDefault="00FF4C4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A8920AD" w14:textId="77777777" w:rsidR="000E48CE" w:rsidRDefault="00FF4C4E">
            <w:pPr>
              <w:pStyle w:val="P68B1DB1-Normal13"/>
              <w:spacing w:after="0"/>
              <w:rPr>
                <w:rFonts w:eastAsia="Times New Roman" w:cs="Times New Roman"/>
                <w:noProof/>
              </w:rPr>
            </w:pPr>
            <w:r>
              <w:rPr>
                <w:noProof/>
              </w:rPr>
              <w:t xml:space="preserve">Vuoden 2021 talousarviolailla </w:t>
            </w:r>
            <w:r>
              <w:rPr>
                <w:noProof/>
              </w:rPr>
              <w:t>käyttöön otettujen muutosten ja välillisiin veroihin liittyvien kehitysasetusten voimaantulo, jotta voidaan edistää terveellisempiä ruokavalioita vähentämällä tiettyjen sokeripitoisten juomien kulutusta ja lisätä valtion tuloja korottamalla vakuutusmaksuve</w:t>
            </w:r>
            <w:r>
              <w:rPr>
                <w:noProof/>
              </w:rPr>
              <w:t>roa.</w:t>
            </w:r>
          </w:p>
        </w:tc>
      </w:tr>
    </w:tbl>
    <w:p w14:paraId="14347876" w14:textId="77777777" w:rsidR="000E48CE" w:rsidRDefault="000E48CE">
      <w:pPr>
        <w:pStyle w:val="SectionTitle"/>
        <w:jc w:val="left"/>
        <w:rPr>
          <w:rFonts w:ascii="Times New Roman" w:hAnsi="Times New Roman" w:cs="Times New Roman"/>
          <w:noProof/>
        </w:rPr>
        <w:sectPr w:rsidR="000E48CE" w:rsidSect="00C94F66">
          <w:headerReference w:type="even" r:id="rId525"/>
          <w:headerReference w:type="default" r:id="rId526"/>
          <w:footerReference w:type="even" r:id="rId527"/>
          <w:footerReference w:type="default" r:id="rId528"/>
          <w:headerReference w:type="first" r:id="rId529"/>
          <w:footerReference w:type="first" r:id="rId530"/>
          <w:pgSz w:w="16839" w:h="11907" w:orient="landscape"/>
          <w:pgMar w:top="1417" w:right="1134" w:bottom="1417" w:left="1134" w:header="709" w:footer="709" w:gutter="0"/>
          <w:cols w:space="720"/>
          <w:docGrid w:linePitch="360"/>
        </w:sectPr>
      </w:pPr>
    </w:p>
    <w:p w14:paraId="184081BD" w14:textId="77777777" w:rsidR="000E48CE" w:rsidRDefault="000E48CE">
      <w:pPr>
        <w:pStyle w:val="Text1"/>
        <w:rPr>
          <w:rFonts w:ascii="Times New Roman" w:hAnsi="Times New Roman" w:cs="Times New Roman"/>
          <w:noProof/>
        </w:rPr>
      </w:pPr>
    </w:p>
    <w:p w14:paraId="7DBDFDE2" w14:textId="6FA1EDBA" w:rsidR="000E48CE" w:rsidRDefault="00FF4C4E">
      <w:pPr>
        <w:pStyle w:val="P68B1DB1-Text138"/>
        <w:ind w:left="0" w:firstLine="720"/>
        <w:rPr>
          <w:rFonts w:cs="Times New Roman"/>
          <w:noProof/>
        </w:rPr>
      </w:pPr>
      <w:r>
        <w:rPr>
          <w:noProof/>
        </w:rPr>
        <w:t>AB.3.</w:t>
      </w:r>
      <w:r>
        <w:rPr>
          <w:noProof/>
        </w:rPr>
        <w:tab/>
        <w:t>Kuvaus lainatukeen liittyvistä uudistuksista ja investoinneista</w:t>
      </w:r>
    </w:p>
    <w:p w14:paraId="2EEB6566" w14:textId="77777777" w:rsidR="000E48CE" w:rsidRDefault="00FF4C4E">
      <w:pPr>
        <w:pStyle w:val="P68B1DB1-Normal6"/>
        <w:spacing w:before="120" w:after="120" w:line="240" w:lineRule="auto"/>
        <w:jc w:val="both"/>
        <w:rPr>
          <w:rFonts w:cs="Times New Roman"/>
          <w:noProof/>
        </w:rPr>
      </w:pPr>
      <w:r>
        <w:rPr>
          <w:noProof/>
        </w:rPr>
        <w:t>Investointi 1 (C28.I1) – Verokannustimet energiatehokkuutta parantaville perusparannuksille sekä sähköajoneuvojen ja</w:t>
      </w:r>
      <w:r>
        <w:rPr>
          <w:noProof/>
        </w:rPr>
        <w:t xml:space="preserve"> latauspisteiden hankinnalle</w:t>
      </w:r>
    </w:p>
    <w:p w14:paraId="179DBB9F" w14:textId="77777777" w:rsidR="000E48CE" w:rsidRDefault="00FF4C4E">
      <w:pPr>
        <w:pStyle w:val="P68B1DB1-Text119"/>
        <w:ind w:left="0"/>
        <w:rPr>
          <w:rFonts w:cs="Times New Roman"/>
          <w:noProof/>
        </w:rPr>
      </w:pPr>
      <w:r>
        <w:rPr>
          <w:noProof/>
        </w:rPr>
        <w:t>Tämän toimenpiteen tavoitteena on tarjota verokannustimia i) rakennusten peruskorjaustöiden edistämiseksi energiatehokkuuden parantamiseksi, ja ii) kannustaa sähköajoneuvojen ja latausasemien käyttöönottoon. Toimenpide perustuu</w:t>
      </w:r>
      <w:r>
        <w:rPr>
          <w:noProof/>
        </w:rPr>
        <w:t xml:space="preserve"> investointeihin C1.I2 ja C2.I1.</w:t>
      </w:r>
    </w:p>
    <w:p w14:paraId="65ECF819" w14:textId="0BF7FB2F" w:rsidR="000E48CE" w:rsidRDefault="00FF4C4E">
      <w:pPr>
        <w:pStyle w:val="P68B1DB1-Text119"/>
        <w:ind w:left="0"/>
        <w:rPr>
          <w:rFonts w:cs="Times New Roman"/>
          <w:noProof/>
        </w:rPr>
      </w:pPr>
      <w:r>
        <w:rPr>
          <w:noProof/>
        </w:rPr>
        <w:t>Toimenpiteen on johdettava perusparannustoimiin, joilla parannetaan energiatehokkuutta ja</w:t>
      </w:r>
      <w:bookmarkStart w:id="61" w:name="_Hlk145838357"/>
      <w:r>
        <w:rPr>
          <w:noProof/>
        </w:rPr>
        <w:t xml:space="preserve"> vähennetään veronmaksajien primäärienergian kulutusta keskimäärin vähintään 30 prosenttia. </w:t>
      </w:r>
    </w:p>
    <w:bookmarkEnd w:id="61"/>
    <w:p w14:paraId="4EF6C560" w14:textId="25C5FB97" w:rsidR="000E48CE" w:rsidRDefault="00FF4C4E">
      <w:pPr>
        <w:pStyle w:val="P68B1DB1-Text119"/>
        <w:ind w:left="0"/>
        <w:rPr>
          <w:rFonts w:cs="Times New Roman"/>
          <w:noProof/>
        </w:rPr>
      </w:pPr>
      <w:r>
        <w:rPr>
          <w:noProof/>
        </w:rPr>
        <w:t>Lisäksi tällä toimenpiteellä tarjotaan ko</w:t>
      </w:r>
      <w:r>
        <w:rPr>
          <w:noProof/>
        </w:rPr>
        <w:t xml:space="preserve">titalouksille verokannustimia sähkö- ja hybridiajoneuvojen ostamiseen ja latauspisteiden asentamiseen. Verokannustimet koostuvat verovähennyksistä, joilla tuetaan kotitalouksia uusien hybridi- ja sähköajoneuvojen (BEV, REEV, täyssähköajoneuvo, FCEV, FCHV) </w:t>
      </w:r>
      <w:r>
        <w:rPr>
          <w:noProof/>
        </w:rPr>
        <w:t>ja latausasemien ostossa.</w:t>
      </w:r>
    </w:p>
    <w:p w14:paraId="6BFEDC19" w14:textId="17E2B1FF" w:rsidR="000E48CE" w:rsidRDefault="00FF4C4E">
      <w:pPr>
        <w:pStyle w:val="Text1"/>
        <w:ind w:left="0"/>
        <w:rPr>
          <w:rFonts w:ascii="Times New Roman" w:hAnsi="Times New Roman" w:cs="Times New Roman"/>
          <w:noProof/>
        </w:rPr>
      </w:pPr>
      <w:r>
        <w:rPr>
          <w:rFonts w:ascii="Times New Roman" w:hAnsi="Times New Roman"/>
          <w:noProof/>
        </w:rPr>
        <w:t>Sen varmistamiseksi, että toimenpide on ”ei merkittävää haittaa” -ohjeiden (2021/C58/01) mukainen, verokannustimia koskevilla valintaperusteilla rahoitetaan ainoastaan päästöttömien tai vähäpäästöisten ajoneuvojen hankintaa</w:t>
      </w:r>
      <w:r>
        <w:rPr>
          <w:rStyle w:val="FootnoteReference"/>
          <w:rFonts w:ascii="Times New Roman" w:hAnsi="Times New Roman" w:cs="Times New Roman"/>
          <w:noProof/>
        </w:rPr>
        <w:footnoteReference w:id="212"/>
      </w:r>
      <w:r>
        <w:rPr>
          <w:rFonts w:ascii="Times New Roman" w:hAnsi="Times New Roman"/>
          <w:noProof/>
        </w:rPr>
        <w:t>.</w:t>
      </w:r>
    </w:p>
    <w:p w14:paraId="1DF51ED9" w14:textId="77777777" w:rsidR="000E48CE" w:rsidRDefault="00FF4C4E">
      <w:pPr>
        <w:pStyle w:val="P68B1DB1-Text119"/>
        <w:ind w:left="0"/>
        <w:rPr>
          <w:rFonts w:cs="Times New Roman"/>
          <w:noProof/>
        </w:rPr>
      </w:pPr>
      <w:r>
        <w:rPr>
          <w:noProof/>
        </w:rPr>
        <w:t>Toim</w:t>
      </w:r>
      <w:r>
        <w:rPr>
          <w:noProof/>
        </w:rPr>
        <w:t>enpiteiden täytäntöönpano on saatettava päätökseen viimeistään 31 päivänä elokuuta 2026.</w:t>
      </w:r>
    </w:p>
    <w:p w14:paraId="533113CE" w14:textId="1F20636F" w:rsidR="000E48CE" w:rsidRDefault="00FF4C4E">
      <w:pPr>
        <w:pStyle w:val="P68B1DB1-Text120"/>
        <w:ind w:left="720"/>
        <w:rPr>
          <w:rFonts w:cs="Times New Roman"/>
          <w:b/>
          <w:noProof/>
        </w:rPr>
      </w:pPr>
      <w:r>
        <w:rPr>
          <w:b/>
          <w:noProof/>
        </w:rPr>
        <w:t>AB.4</w:t>
      </w:r>
      <w:r>
        <w:rPr>
          <w:noProof/>
        </w:rPr>
        <w:tab/>
      </w:r>
      <w:r>
        <w:rPr>
          <w:b/>
          <w:noProof/>
        </w:rPr>
        <w:t>Lainatuen seurannan ja täytäntöönpanon välitavoitteet, tavoitteet, indikaattorit ja aikataulu</w:t>
      </w:r>
    </w:p>
    <w:p w14:paraId="00A56A71" w14:textId="5EB918D7" w:rsidR="000E48CE" w:rsidRDefault="00FF4C4E">
      <w:pPr>
        <w:pStyle w:val="P68B1DB1-Text119"/>
        <w:ind w:left="0"/>
        <w:rPr>
          <w:rFonts w:cs="Times New Roman"/>
          <w:noProof/>
        </w:rPr>
      </w:pPr>
      <w:r>
        <w:rPr>
          <w:i/>
          <w:noProof/>
        </w:rPr>
        <w:t>Ks. taulukko jäljempänä.</w:t>
      </w:r>
      <w:r>
        <w:rPr>
          <w:noProof/>
        </w:rPr>
        <w:t xml:space="preserve"> </w:t>
      </w:r>
      <w:r>
        <w:rPr>
          <w:i/>
          <w:noProof/>
        </w:rPr>
        <w:t>Kaikkien indikaattoreiden perustaso on 1. h</w:t>
      </w:r>
      <w:r>
        <w:rPr>
          <w:i/>
          <w:noProof/>
        </w:rPr>
        <w:t>elmikuuta 2020, ellei toimen kuvauksessa toisin ilmoiteta. Taulukossa esitetyt määrät eivät sisällä arvonlisäveroa.</w:t>
      </w:r>
      <w:r>
        <w:rPr>
          <w:noProof/>
        </w:rPr>
        <w:t xml:space="preserve"> </w:t>
      </w:r>
    </w:p>
    <w:p w14:paraId="64F128F2" w14:textId="77777777" w:rsidR="000E48CE" w:rsidRDefault="000E48CE">
      <w:pPr>
        <w:pStyle w:val="Text1"/>
        <w:ind w:left="0"/>
        <w:rPr>
          <w:rFonts w:ascii="Times New Roman" w:hAnsi="Times New Roman" w:cs="Times New Roman"/>
          <w:noProof/>
        </w:rPr>
        <w:sectPr w:rsidR="000E48CE" w:rsidSect="00C94F66">
          <w:headerReference w:type="even" r:id="rId531"/>
          <w:headerReference w:type="default" r:id="rId532"/>
          <w:footerReference w:type="even" r:id="rId533"/>
          <w:footerReference w:type="default" r:id="rId534"/>
          <w:headerReference w:type="first" r:id="rId535"/>
          <w:footerReference w:type="first" r:id="rId536"/>
          <w:pgSz w:w="11907" w:h="16839"/>
          <w:pgMar w:top="1134" w:right="1417" w:bottom="1134" w:left="1417" w:header="709" w:footer="709" w:gutter="0"/>
          <w:cols w:space="720"/>
          <w:docGrid w:linePitch="360"/>
        </w:sectPr>
      </w:pPr>
    </w:p>
    <w:p w14:paraId="12BCB917" w14:textId="77777777" w:rsidR="000E48CE" w:rsidRDefault="000E48CE">
      <w:pPr>
        <w:pStyle w:val="Text1"/>
        <w:ind w:left="0"/>
        <w:rPr>
          <w:rFonts w:ascii="Times New Roman" w:hAnsi="Times New Roman" w:cs="Times New Roman"/>
          <w:noProof/>
        </w:rPr>
      </w:pPr>
    </w:p>
    <w:p w14:paraId="6D1558E1" w14:textId="77777777" w:rsidR="000E48CE" w:rsidRDefault="000E48CE">
      <w:pPr>
        <w:pStyle w:val="Text1"/>
        <w:rPr>
          <w:rFonts w:ascii="Times New Roman" w:hAnsi="Times New Roman" w:cs="Times New Roman"/>
          <w:noProof/>
        </w:rPr>
      </w:pPr>
    </w:p>
    <w:tbl>
      <w:tblPr>
        <w:tblW w:w="152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1"/>
        <w:gridCol w:w="839"/>
        <w:gridCol w:w="838"/>
        <w:gridCol w:w="1675"/>
        <w:gridCol w:w="1118"/>
        <w:gridCol w:w="666"/>
        <w:gridCol w:w="732"/>
        <w:gridCol w:w="699"/>
        <w:gridCol w:w="419"/>
        <w:gridCol w:w="559"/>
        <w:gridCol w:w="7031"/>
      </w:tblGrid>
      <w:tr w:rsidR="000E48CE" w14:paraId="0202CF4E" w14:textId="77777777">
        <w:trPr>
          <w:trHeight w:val="309"/>
          <w:tblHeader/>
        </w:trPr>
        <w:tc>
          <w:tcPr>
            <w:tcW w:w="701" w:type="dxa"/>
            <w:tcBorders>
              <w:bottom w:val="nil"/>
            </w:tcBorders>
            <w:shd w:val="clear" w:color="auto" w:fill="C6D9F1" w:themeFill="text2" w:themeFillTint="33"/>
            <w:noWrap/>
            <w:vAlign w:val="center"/>
          </w:tcPr>
          <w:p w14:paraId="66FFB269" w14:textId="77777777" w:rsidR="000E48CE" w:rsidRDefault="00FF4C4E">
            <w:pPr>
              <w:pStyle w:val="P68B1DB1-Normal12"/>
              <w:spacing w:after="0" w:line="240" w:lineRule="auto"/>
              <w:jc w:val="center"/>
              <w:rPr>
                <w:rFonts w:cs="Times New Roman"/>
                <w:noProof/>
              </w:rPr>
            </w:pPr>
            <w:r>
              <w:rPr>
                <w:noProof/>
              </w:rPr>
              <w:t>Määrä</w:t>
            </w:r>
          </w:p>
        </w:tc>
        <w:tc>
          <w:tcPr>
            <w:tcW w:w="839" w:type="dxa"/>
            <w:tcBorders>
              <w:bottom w:val="nil"/>
            </w:tcBorders>
            <w:shd w:val="clear" w:color="auto" w:fill="C6D9F1" w:themeFill="text2" w:themeFillTint="33"/>
            <w:noWrap/>
            <w:vAlign w:val="center"/>
          </w:tcPr>
          <w:p w14:paraId="7A6C5DF4" w14:textId="77777777" w:rsidR="000E48CE" w:rsidRDefault="00FF4C4E">
            <w:pPr>
              <w:pStyle w:val="P68B1DB1-Normal12"/>
              <w:spacing w:after="0" w:line="240" w:lineRule="auto"/>
              <w:jc w:val="center"/>
              <w:rPr>
                <w:rFonts w:cs="Times New Roman"/>
                <w:noProof/>
              </w:rPr>
            </w:pPr>
            <w:r>
              <w:rPr>
                <w:noProof/>
              </w:rPr>
              <w:t>Toimenpide</w:t>
            </w:r>
          </w:p>
        </w:tc>
        <w:tc>
          <w:tcPr>
            <w:tcW w:w="838" w:type="dxa"/>
            <w:tcBorders>
              <w:bottom w:val="nil"/>
            </w:tcBorders>
            <w:shd w:val="clear" w:color="auto" w:fill="C6D9F1" w:themeFill="text2" w:themeFillTint="33"/>
            <w:noWrap/>
            <w:vAlign w:val="center"/>
          </w:tcPr>
          <w:p w14:paraId="2A5D447D" w14:textId="77777777" w:rsidR="000E48CE" w:rsidRDefault="00FF4C4E">
            <w:pPr>
              <w:pStyle w:val="P68B1DB1-Normal12"/>
              <w:spacing w:after="0" w:line="240" w:lineRule="auto"/>
              <w:jc w:val="center"/>
              <w:rPr>
                <w:rFonts w:cs="Times New Roman"/>
                <w:noProof/>
              </w:rPr>
            </w:pPr>
            <w:r>
              <w:rPr>
                <w:noProof/>
              </w:rPr>
              <w:t>Välitavoite</w:t>
            </w:r>
            <w:r>
              <w:rPr>
                <w:noProof/>
              </w:rPr>
              <w:br/>
              <w:t xml:space="preserve"> /Kohde</w:t>
            </w:r>
          </w:p>
        </w:tc>
        <w:tc>
          <w:tcPr>
            <w:tcW w:w="1675" w:type="dxa"/>
            <w:tcBorders>
              <w:bottom w:val="nil"/>
            </w:tcBorders>
            <w:shd w:val="clear" w:color="auto" w:fill="C6D9F1" w:themeFill="text2" w:themeFillTint="33"/>
            <w:noWrap/>
            <w:vAlign w:val="center"/>
          </w:tcPr>
          <w:p w14:paraId="57194A26" w14:textId="77777777" w:rsidR="000E48CE" w:rsidRDefault="00FF4C4E">
            <w:pPr>
              <w:pStyle w:val="P68B1DB1-Normal12"/>
              <w:spacing w:after="0" w:line="240" w:lineRule="auto"/>
              <w:jc w:val="center"/>
              <w:rPr>
                <w:rFonts w:cs="Times New Roman"/>
                <w:noProof/>
              </w:rPr>
            </w:pPr>
            <w:r>
              <w:rPr>
                <w:noProof/>
              </w:rPr>
              <w:t>Nimi</w:t>
            </w:r>
          </w:p>
        </w:tc>
        <w:tc>
          <w:tcPr>
            <w:tcW w:w="1118" w:type="dxa"/>
            <w:tcBorders>
              <w:bottom w:val="nil"/>
            </w:tcBorders>
            <w:shd w:val="clear" w:color="auto" w:fill="C6D9F1" w:themeFill="text2" w:themeFillTint="33"/>
            <w:noWrap/>
            <w:vAlign w:val="center"/>
          </w:tcPr>
          <w:p w14:paraId="003E6C60" w14:textId="77777777" w:rsidR="000E48CE" w:rsidRDefault="00FF4C4E">
            <w:pPr>
              <w:pStyle w:val="P68B1DB1-Normal12"/>
              <w:spacing w:after="0" w:line="240" w:lineRule="auto"/>
              <w:jc w:val="center"/>
              <w:rPr>
                <w:rFonts w:cs="Times New Roman"/>
                <w:noProof/>
              </w:rPr>
            </w:pPr>
            <w:r>
              <w:rPr>
                <w:noProof/>
              </w:rPr>
              <w:t xml:space="preserve">Välitavoitteiden laadullinen </w:t>
            </w:r>
            <w:r>
              <w:rPr>
                <w:noProof/>
              </w:rPr>
              <w:t>indikaattori</w:t>
            </w:r>
          </w:p>
        </w:tc>
        <w:tc>
          <w:tcPr>
            <w:tcW w:w="2097" w:type="dxa"/>
            <w:gridSpan w:val="3"/>
            <w:shd w:val="clear" w:color="auto" w:fill="C6D9F1" w:themeFill="text2" w:themeFillTint="33"/>
            <w:noWrap/>
            <w:vAlign w:val="center"/>
          </w:tcPr>
          <w:p w14:paraId="75D046CF" w14:textId="77777777" w:rsidR="000E48CE" w:rsidRDefault="00FF4C4E">
            <w:pPr>
              <w:pStyle w:val="P68B1DB1-Normal12"/>
              <w:spacing w:after="0" w:line="240" w:lineRule="auto"/>
              <w:jc w:val="center"/>
              <w:rPr>
                <w:rFonts w:cs="Times New Roman"/>
                <w:noProof/>
              </w:rPr>
            </w:pPr>
            <w:r>
              <w:rPr>
                <w:noProof/>
              </w:rPr>
              <w:t>Määrällinen indikaattori tavoitteelle</w:t>
            </w:r>
          </w:p>
        </w:tc>
        <w:tc>
          <w:tcPr>
            <w:tcW w:w="978" w:type="dxa"/>
            <w:gridSpan w:val="2"/>
            <w:shd w:val="clear" w:color="auto" w:fill="C6D9F1" w:themeFill="text2" w:themeFillTint="33"/>
            <w:noWrap/>
            <w:vAlign w:val="center"/>
          </w:tcPr>
          <w:p w14:paraId="52396C49" w14:textId="77777777" w:rsidR="000E48CE" w:rsidRDefault="00FF4C4E">
            <w:pPr>
              <w:pStyle w:val="P68B1DB1-Normal12"/>
              <w:spacing w:after="0" w:line="240" w:lineRule="auto"/>
              <w:jc w:val="center"/>
              <w:rPr>
                <w:rFonts w:cs="Times New Roman"/>
                <w:noProof/>
              </w:rPr>
            </w:pPr>
            <w:r>
              <w:rPr>
                <w:noProof/>
              </w:rPr>
              <w:t>Aika</w:t>
            </w:r>
          </w:p>
        </w:tc>
        <w:tc>
          <w:tcPr>
            <w:tcW w:w="7031" w:type="dxa"/>
            <w:tcBorders>
              <w:bottom w:val="nil"/>
            </w:tcBorders>
            <w:shd w:val="clear" w:color="auto" w:fill="C6D9F1" w:themeFill="text2" w:themeFillTint="33"/>
            <w:noWrap/>
            <w:vAlign w:val="center"/>
          </w:tcPr>
          <w:p w14:paraId="7FFC02C2" w14:textId="77777777" w:rsidR="000E48CE" w:rsidRDefault="00FF4C4E">
            <w:pPr>
              <w:pStyle w:val="P68B1DB1-Normal12"/>
              <w:spacing w:after="0" w:line="240" w:lineRule="auto"/>
              <w:jc w:val="center"/>
              <w:rPr>
                <w:rFonts w:cs="Times New Roman"/>
                <w:noProof/>
              </w:rPr>
            </w:pPr>
            <w:r>
              <w:rPr>
                <w:noProof/>
              </w:rPr>
              <w:t>Kunkin välitavoitteen ja tavoitteen kuvaus</w:t>
            </w:r>
          </w:p>
        </w:tc>
      </w:tr>
      <w:tr w:rsidR="000E48CE" w14:paraId="3465697A" w14:textId="77777777">
        <w:trPr>
          <w:trHeight w:val="309"/>
          <w:tblHeader/>
        </w:trPr>
        <w:tc>
          <w:tcPr>
            <w:tcW w:w="701" w:type="dxa"/>
            <w:tcBorders>
              <w:top w:val="nil"/>
              <w:left w:val="single" w:sz="4" w:space="0" w:color="auto"/>
              <w:bottom w:val="single" w:sz="4" w:space="0" w:color="auto"/>
              <w:right w:val="single" w:sz="4" w:space="0" w:color="auto"/>
            </w:tcBorders>
            <w:shd w:val="clear" w:color="auto" w:fill="C6D9F1" w:themeFill="text2" w:themeFillTint="33"/>
            <w:noWrap/>
          </w:tcPr>
          <w:p w14:paraId="40D79C82" w14:textId="77777777" w:rsidR="000E48CE" w:rsidRDefault="000E48CE">
            <w:pPr>
              <w:spacing w:after="0" w:line="240" w:lineRule="auto"/>
              <w:jc w:val="center"/>
              <w:rPr>
                <w:rFonts w:ascii="Times New Roman" w:hAnsi="Times New Roman" w:cs="Times New Roman"/>
                <w:b/>
                <w:noProof/>
                <w:sz w:val="18"/>
              </w:rPr>
            </w:pPr>
          </w:p>
        </w:tc>
        <w:tc>
          <w:tcPr>
            <w:tcW w:w="839" w:type="dxa"/>
            <w:tcBorders>
              <w:top w:val="nil"/>
              <w:left w:val="single" w:sz="4" w:space="0" w:color="auto"/>
              <w:bottom w:val="single" w:sz="4" w:space="0" w:color="auto"/>
              <w:right w:val="single" w:sz="4" w:space="0" w:color="auto"/>
            </w:tcBorders>
            <w:shd w:val="clear" w:color="auto" w:fill="C6D9F1" w:themeFill="text2" w:themeFillTint="33"/>
            <w:noWrap/>
          </w:tcPr>
          <w:p w14:paraId="2A9BF169" w14:textId="77777777" w:rsidR="000E48CE" w:rsidRDefault="000E48CE">
            <w:pPr>
              <w:spacing w:after="0" w:line="240" w:lineRule="auto"/>
              <w:jc w:val="center"/>
              <w:rPr>
                <w:rFonts w:ascii="Times New Roman" w:hAnsi="Times New Roman" w:cs="Times New Roman"/>
                <w:b/>
                <w:noProof/>
                <w:sz w:val="18"/>
              </w:rPr>
            </w:pPr>
          </w:p>
        </w:tc>
        <w:tc>
          <w:tcPr>
            <w:tcW w:w="838" w:type="dxa"/>
            <w:tcBorders>
              <w:top w:val="nil"/>
              <w:left w:val="single" w:sz="4" w:space="0" w:color="auto"/>
              <w:bottom w:val="single" w:sz="4" w:space="0" w:color="auto"/>
              <w:right w:val="single" w:sz="4" w:space="0" w:color="auto"/>
            </w:tcBorders>
            <w:shd w:val="clear" w:color="auto" w:fill="C6D9F1" w:themeFill="text2" w:themeFillTint="33"/>
            <w:noWrap/>
          </w:tcPr>
          <w:p w14:paraId="3B890CE1" w14:textId="77777777" w:rsidR="000E48CE" w:rsidRDefault="000E48CE">
            <w:pPr>
              <w:spacing w:after="0" w:line="240" w:lineRule="auto"/>
              <w:jc w:val="center"/>
              <w:rPr>
                <w:rFonts w:ascii="Times New Roman" w:hAnsi="Times New Roman" w:cs="Times New Roman"/>
                <w:b/>
                <w:noProof/>
                <w:sz w:val="18"/>
              </w:rPr>
            </w:pPr>
          </w:p>
        </w:tc>
        <w:tc>
          <w:tcPr>
            <w:tcW w:w="1675" w:type="dxa"/>
            <w:tcBorders>
              <w:top w:val="nil"/>
              <w:left w:val="single" w:sz="4" w:space="0" w:color="auto"/>
              <w:bottom w:val="single" w:sz="4" w:space="0" w:color="auto"/>
              <w:right w:val="single" w:sz="4" w:space="0" w:color="auto"/>
            </w:tcBorders>
            <w:shd w:val="clear" w:color="auto" w:fill="C6D9F1" w:themeFill="text2" w:themeFillTint="33"/>
            <w:noWrap/>
          </w:tcPr>
          <w:p w14:paraId="13BFF55F" w14:textId="77777777" w:rsidR="000E48CE" w:rsidRDefault="000E48CE">
            <w:pPr>
              <w:spacing w:after="0" w:line="240" w:lineRule="auto"/>
              <w:rPr>
                <w:rFonts w:ascii="Times New Roman" w:hAnsi="Times New Roman" w:cs="Times New Roman"/>
                <w:b/>
                <w:noProof/>
                <w:sz w:val="18"/>
              </w:rPr>
            </w:pPr>
          </w:p>
        </w:tc>
        <w:tc>
          <w:tcPr>
            <w:tcW w:w="1118" w:type="dxa"/>
            <w:tcBorders>
              <w:top w:val="nil"/>
              <w:left w:val="single" w:sz="4" w:space="0" w:color="auto"/>
              <w:bottom w:val="single" w:sz="4" w:space="0" w:color="auto"/>
              <w:right w:val="single" w:sz="4" w:space="0" w:color="auto"/>
            </w:tcBorders>
            <w:shd w:val="clear" w:color="auto" w:fill="C6D9F1" w:themeFill="text2" w:themeFillTint="33"/>
            <w:noWrap/>
          </w:tcPr>
          <w:p w14:paraId="46350AFD" w14:textId="77777777" w:rsidR="000E48CE" w:rsidRDefault="000E48CE">
            <w:pPr>
              <w:spacing w:after="0" w:line="240" w:lineRule="auto"/>
              <w:jc w:val="center"/>
              <w:rPr>
                <w:rFonts w:ascii="Times New Roman" w:hAnsi="Times New Roman" w:cs="Times New Roman"/>
                <w:b/>
                <w:noProof/>
                <w:sz w:val="18"/>
              </w:rPr>
            </w:pPr>
          </w:p>
        </w:tc>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BF35EB4" w14:textId="77777777" w:rsidR="000E48CE" w:rsidRDefault="00FF4C4E">
            <w:pPr>
              <w:pStyle w:val="P68B1DB1-Normal12"/>
              <w:spacing w:after="0" w:line="240" w:lineRule="auto"/>
              <w:jc w:val="center"/>
              <w:rPr>
                <w:rFonts w:cs="Times New Roman"/>
                <w:noProof/>
              </w:rPr>
            </w:pPr>
            <w:r>
              <w:rPr>
                <w:noProof/>
              </w:rPr>
              <w:t>Yksikkö</w:t>
            </w:r>
          </w:p>
        </w:tc>
        <w:tc>
          <w:tcPr>
            <w:tcW w:w="7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2851494" w14:textId="77777777" w:rsidR="000E48CE" w:rsidRDefault="00FF4C4E">
            <w:pPr>
              <w:pStyle w:val="P68B1DB1-Normal12"/>
              <w:spacing w:after="0" w:line="240" w:lineRule="auto"/>
              <w:jc w:val="center"/>
              <w:rPr>
                <w:rFonts w:cs="Times New Roman"/>
                <w:noProof/>
              </w:rPr>
            </w:pPr>
            <w:r>
              <w:rPr>
                <w:noProof/>
              </w:rPr>
              <w:t>Perusviiva</w:t>
            </w:r>
          </w:p>
        </w:tc>
        <w:tc>
          <w:tcPr>
            <w:tcW w:w="69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734EE8" w14:textId="77777777" w:rsidR="000E48CE" w:rsidRDefault="00FF4C4E">
            <w:pPr>
              <w:pStyle w:val="P68B1DB1-Normal12"/>
              <w:spacing w:after="0" w:line="240" w:lineRule="auto"/>
              <w:jc w:val="center"/>
              <w:rPr>
                <w:rFonts w:cs="Times New Roman"/>
                <w:noProof/>
              </w:rPr>
            </w:pPr>
            <w:r>
              <w:rPr>
                <w:noProof/>
              </w:rPr>
              <w:t>Päämäärä</w:t>
            </w:r>
          </w:p>
        </w:tc>
        <w:tc>
          <w:tcPr>
            <w:tcW w:w="41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0A6C54B" w14:textId="77777777" w:rsidR="000E48CE" w:rsidRDefault="00FF4C4E">
            <w:pPr>
              <w:pStyle w:val="P68B1DB1-Normal12"/>
              <w:spacing w:after="0" w:line="240" w:lineRule="auto"/>
              <w:jc w:val="center"/>
              <w:rPr>
                <w:rFonts w:cs="Times New Roman"/>
                <w:noProof/>
              </w:rPr>
            </w:pPr>
            <w:r>
              <w:rPr>
                <w:noProof/>
              </w:rPr>
              <w:t>Q</w:t>
            </w:r>
          </w:p>
        </w:tc>
        <w:tc>
          <w:tcPr>
            <w:tcW w:w="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8EB8BC3" w14:textId="77777777" w:rsidR="000E48CE" w:rsidRDefault="00FF4C4E">
            <w:pPr>
              <w:pStyle w:val="P68B1DB1-Normal12"/>
              <w:spacing w:after="0" w:line="240" w:lineRule="auto"/>
              <w:jc w:val="center"/>
              <w:rPr>
                <w:rFonts w:cs="Times New Roman"/>
                <w:noProof/>
              </w:rPr>
            </w:pPr>
            <w:r>
              <w:rPr>
                <w:noProof/>
              </w:rPr>
              <w:t>Vuosi</w:t>
            </w:r>
          </w:p>
        </w:tc>
        <w:tc>
          <w:tcPr>
            <w:tcW w:w="7031" w:type="dxa"/>
            <w:tcBorders>
              <w:top w:val="nil"/>
              <w:left w:val="single" w:sz="4" w:space="0" w:color="auto"/>
              <w:bottom w:val="single" w:sz="4" w:space="0" w:color="auto"/>
              <w:right w:val="single" w:sz="4" w:space="0" w:color="auto"/>
            </w:tcBorders>
            <w:shd w:val="clear" w:color="auto" w:fill="C6D9F1" w:themeFill="text2" w:themeFillTint="33"/>
            <w:noWrap/>
          </w:tcPr>
          <w:p w14:paraId="2F5D968D" w14:textId="77777777" w:rsidR="000E48CE" w:rsidRDefault="000E48CE">
            <w:pPr>
              <w:spacing w:after="0" w:line="240" w:lineRule="auto"/>
              <w:rPr>
                <w:rFonts w:ascii="Times New Roman" w:hAnsi="Times New Roman" w:cs="Times New Roman"/>
                <w:b/>
                <w:noProof/>
                <w:sz w:val="18"/>
              </w:rPr>
            </w:pPr>
          </w:p>
        </w:tc>
      </w:tr>
      <w:tr w:rsidR="000E48CE" w14:paraId="07329F71" w14:textId="77777777">
        <w:trPr>
          <w:trHeight w:val="309"/>
        </w:trPr>
        <w:tc>
          <w:tcPr>
            <w:tcW w:w="701" w:type="dxa"/>
            <w:tcBorders>
              <w:top w:val="single" w:sz="4" w:space="0" w:color="auto"/>
              <w:left w:val="single" w:sz="4" w:space="0" w:color="auto"/>
              <w:bottom w:val="single" w:sz="4" w:space="0" w:color="auto"/>
              <w:right w:val="single" w:sz="4" w:space="0" w:color="auto"/>
            </w:tcBorders>
            <w:shd w:val="clear" w:color="auto" w:fill="C6EFCE"/>
            <w:noWrap/>
          </w:tcPr>
          <w:p w14:paraId="318C4763" w14:textId="455D51D7" w:rsidR="000E48CE" w:rsidRDefault="00FF4C4E">
            <w:pPr>
              <w:pStyle w:val="P68B1DB1-Normal13"/>
              <w:spacing w:after="0" w:line="240" w:lineRule="auto"/>
              <w:jc w:val="center"/>
              <w:rPr>
                <w:rFonts w:eastAsia="Times New Roman" w:cs="Times New Roman"/>
                <w:noProof/>
              </w:rPr>
            </w:pPr>
            <w:r>
              <w:rPr>
                <w:noProof/>
              </w:rPr>
              <w:t>L81</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6D9B612D" w14:textId="77777777" w:rsidR="000E48CE" w:rsidRDefault="00FF4C4E">
            <w:pPr>
              <w:pStyle w:val="P68B1DB1-Normal13"/>
              <w:spacing w:after="0" w:line="240" w:lineRule="auto"/>
              <w:jc w:val="center"/>
              <w:rPr>
                <w:rFonts w:eastAsia="Times New Roman" w:cs="Times New Roman"/>
                <w:noProof/>
              </w:rPr>
            </w:pPr>
            <w:r>
              <w:rPr>
                <w:noProof/>
              </w:rPr>
              <w:t>C28.I1</w:t>
            </w:r>
          </w:p>
        </w:tc>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7CEBEEBC" w14:textId="77777777" w:rsidR="000E48CE" w:rsidRDefault="00FF4C4E">
            <w:pPr>
              <w:pStyle w:val="P68B1DB1-Normal13"/>
              <w:spacing w:after="0" w:line="240" w:lineRule="auto"/>
              <w:jc w:val="center"/>
              <w:rPr>
                <w:rFonts w:eastAsia="Times New Roman" w:cs="Times New Roman"/>
                <w:noProof/>
              </w:rPr>
            </w:pPr>
            <w:r>
              <w:rPr>
                <w:noProof/>
              </w:rPr>
              <w:t>T</w:t>
            </w:r>
          </w:p>
        </w:tc>
        <w:tc>
          <w:tcPr>
            <w:tcW w:w="1675" w:type="dxa"/>
            <w:tcBorders>
              <w:top w:val="single" w:sz="4" w:space="0" w:color="auto"/>
              <w:left w:val="single" w:sz="4" w:space="0" w:color="auto"/>
              <w:bottom w:val="single" w:sz="4" w:space="0" w:color="auto"/>
              <w:right w:val="single" w:sz="4" w:space="0" w:color="auto"/>
            </w:tcBorders>
            <w:shd w:val="clear" w:color="auto" w:fill="C6EFCE"/>
            <w:noWrap/>
          </w:tcPr>
          <w:p w14:paraId="02329803" w14:textId="77777777" w:rsidR="000E48CE" w:rsidRDefault="00FF4C4E">
            <w:pPr>
              <w:pStyle w:val="P68B1DB1-Normal13"/>
              <w:spacing w:after="0" w:line="240" w:lineRule="auto"/>
              <w:rPr>
                <w:rFonts w:eastAsia="Times New Roman" w:cs="Times New Roman"/>
                <w:noProof/>
              </w:rPr>
            </w:pPr>
            <w:r>
              <w:rPr>
                <w:noProof/>
              </w:rPr>
              <w:t>Asuinrakennusten perusparannustoimien loppuun saattaminen ja energiatehokkuuden parantaminen.</w:t>
            </w:r>
          </w:p>
        </w:tc>
        <w:tc>
          <w:tcPr>
            <w:tcW w:w="1118" w:type="dxa"/>
            <w:tcBorders>
              <w:top w:val="single" w:sz="4" w:space="0" w:color="auto"/>
              <w:left w:val="single" w:sz="4" w:space="0" w:color="auto"/>
              <w:bottom w:val="single" w:sz="4" w:space="0" w:color="auto"/>
              <w:right w:val="single" w:sz="4" w:space="0" w:color="auto"/>
            </w:tcBorders>
            <w:shd w:val="clear" w:color="auto" w:fill="C6EFCE"/>
            <w:noWrap/>
          </w:tcPr>
          <w:p w14:paraId="69FE6C5A" w14:textId="77777777" w:rsidR="000E48CE" w:rsidRDefault="000E48CE">
            <w:pPr>
              <w:spacing w:after="0" w:line="240" w:lineRule="auto"/>
              <w:rPr>
                <w:rFonts w:ascii="Times New Roman" w:eastAsia="Times New Roman" w:hAnsi="Times New Roman" w:cs="Times New Roman"/>
                <w:noProof/>
                <w:sz w:val="18"/>
              </w:rPr>
            </w:pPr>
          </w:p>
        </w:tc>
        <w:tc>
          <w:tcPr>
            <w:tcW w:w="666" w:type="dxa"/>
            <w:tcBorders>
              <w:top w:val="single" w:sz="4" w:space="0" w:color="auto"/>
              <w:left w:val="single" w:sz="4" w:space="0" w:color="auto"/>
              <w:bottom w:val="single" w:sz="4" w:space="0" w:color="auto"/>
              <w:right w:val="single" w:sz="4" w:space="0" w:color="auto"/>
            </w:tcBorders>
            <w:shd w:val="clear" w:color="auto" w:fill="C6EFCE"/>
            <w:noWrap/>
          </w:tcPr>
          <w:p w14:paraId="608F9A8D" w14:textId="77777777" w:rsidR="000E48CE" w:rsidRDefault="00FF4C4E">
            <w:pPr>
              <w:pStyle w:val="P68B1DB1-Normal13"/>
              <w:spacing w:after="0" w:line="240" w:lineRule="auto"/>
              <w:jc w:val="center"/>
              <w:rPr>
                <w:rFonts w:eastAsia="Times New Roman" w:cs="Times New Roman"/>
                <w:noProof/>
              </w:rPr>
            </w:pPr>
            <w:r>
              <w:rPr>
                <w:noProof/>
              </w:rPr>
              <w:t>Määrä</w:t>
            </w:r>
          </w:p>
        </w:tc>
        <w:tc>
          <w:tcPr>
            <w:tcW w:w="732" w:type="dxa"/>
            <w:tcBorders>
              <w:top w:val="single" w:sz="4" w:space="0" w:color="auto"/>
              <w:left w:val="single" w:sz="4" w:space="0" w:color="auto"/>
              <w:bottom w:val="single" w:sz="4" w:space="0" w:color="auto"/>
              <w:right w:val="single" w:sz="4" w:space="0" w:color="auto"/>
            </w:tcBorders>
            <w:shd w:val="clear" w:color="auto" w:fill="C6EFCE"/>
            <w:noWrap/>
          </w:tcPr>
          <w:p w14:paraId="00290C9C" w14:textId="3A551783" w:rsidR="000E48CE" w:rsidRDefault="00FF4C4E">
            <w:pPr>
              <w:pStyle w:val="P68B1DB1-Normal13"/>
              <w:spacing w:after="0" w:line="240" w:lineRule="auto"/>
              <w:jc w:val="center"/>
              <w:rPr>
                <w:rFonts w:eastAsia="Times New Roman" w:cs="Times New Roman"/>
                <w:noProof/>
              </w:rPr>
            </w:pPr>
            <w:r>
              <w:rPr>
                <w:noProof/>
              </w:rPr>
              <w:t>410 000</w:t>
            </w:r>
          </w:p>
        </w:tc>
        <w:tc>
          <w:tcPr>
            <w:tcW w:w="699" w:type="dxa"/>
            <w:tcBorders>
              <w:top w:val="single" w:sz="4" w:space="0" w:color="auto"/>
              <w:left w:val="single" w:sz="4" w:space="0" w:color="auto"/>
              <w:bottom w:val="single" w:sz="4" w:space="0" w:color="auto"/>
              <w:right w:val="single" w:sz="4" w:space="0" w:color="auto"/>
            </w:tcBorders>
            <w:shd w:val="clear" w:color="auto" w:fill="C6EFCE"/>
            <w:noWrap/>
          </w:tcPr>
          <w:p w14:paraId="41D57A0A" w14:textId="3DEB6947" w:rsidR="000E48CE" w:rsidRDefault="00FF4C4E">
            <w:pPr>
              <w:pStyle w:val="P68B1DB1-Normal13"/>
              <w:spacing w:after="0" w:line="240" w:lineRule="auto"/>
              <w:jc w:val="center"/>
              <w:rPr>
                <w:rFonts w:eastAsia="Times New Roman" w:cs="Times New Roman"/>
                <w:noProof/>
              </w:rPr>
            </w:pPr>
            <w:r>
              <w:rPr>
                <w:noProof/>
              </w:rPr>
              <w:t>510 000</w:t>
            </w:r>
          </w:p>
        </w:tc>
        <w:tc>
          <w:tcPr>
            <w:tcW w:w="419" w:type="dxa"/>
            <w:tcBorders>
              <w:top w:val="single" w:sz="4" w:space="0" w:color="auto"/>
              <w:left w:val="single" w:sz="4" w:space="0" w:color="auto"/>
              <w:bottom w:val="single" w:sz="4" w:space="0" w:color="auto"/>
              <w:right w:val="single" w:sz="4" w:space="0" w:color="auto"/>
            </w:tcBorders>
            <w:shd w:val="clear" w:color="auto" w:fill="C6EFCE"/>
            <w:noWrap/>
          </w:tcPr>
          <w:p w14:paraId="35B7A268" w14:textId="77777777" w:rsidR="000E48CE" w:rsidRDefault="00FF4C4E">
            <w:pPr>
              <w:pStyle w:val="P68B1DB1-Normal13"/>
              <w:spacing w:after="0" w:line="240" w:lineRule="auto"/>
              <w:jc w:val="center"/>
              <w:rPr>
                <w:rFonts w:eastAsia="Times New Roman" w:cs="Times New Roman"/>
                <w:noProof/>
              </w:rPr>
            </w:pPr>
            <w:r>
              <w:rPr>
                <w:noProof/>
              </w:rPr>
              <w:t>KOLMAS VUOSINELJÄNNES</w:t>
            </w:r>
          </w:p>
        </w:tc>
        <w:tc>
          <w:tcPr>
            <w:tcW w:w="559" w:type="dxa"/>
            <w:tcBorders>
              <w:top w:val="single" w:sz="4" w:space="0" w:color="auto"/>
              <w:left w:val="single" w:sz="4" w:space="0" w:color="auto"/>
              <w:bottom w:val="single" w:sz="4" w:space="0" w:color="auto"/>
              <w:right w:val="single" w:sz="4" w:space="0" w:color="auto"/>
            </w:tcBorders>
            <w:shd w:val="clear" w:color="auto" w:fill="C6EFCE"/>
            <w:noWrap/>
          </w:tcPr>
          <w:p w14:paraId="60DE50A9" w14:textId="77777777" w:rsidR="000E48CE" w:rsidRDefault="00FF4C4E">
            <w:pPr>
              <w:pStyle w:val="P68B1DB1-Normal13"/>
              <w:spacing w:after="0" w:line="240" w:lineRule="auto"/>
              <w:jc w:val="center"/>
              <w:rPr>
                <w:rFonts w:eastAsia="Times New Roman" w:cs="Times New Roman"/>
                <w:noProof/>
              </w:rPr>
            </w:pPr>
            <w:r>
              <w:rPr>
                <w:noProof/>
              </w:rPr>
              <w:t>2026</w:t>
            </w:r>
          </w:p>
        </w:tc>
        <w:tc>
          <w:tcPr>
            <w:tcW w:w="7031" w:type="dxa"/>
            <w:tcBorders>
              <w:top w:val="single" w:sz="4" w:space="0" w:color="auto"/>
              <w:left w:val="single" w:sz="4" w:space="0" w:color="auto"/>
              <w:bottom w:val="single" w:sz="4" w:space="0" w:color="auto"/>
              <w:right w:val="single" w:sz="4" w:space="0" w:color="auto"/>
            </w:tcBorders>
            <w:shd w:val="clear" w:color="auto" w:fill="C6EFCE"/>
            <w:noWrap/>
          </w:tcPr>
          <w:p w14:paraId="4BC95E47" w14:textId="6B16861C" w:rsidR="000E48CE" w:rsidRDefault="00FF4C4E">
            <w:pPr>
              <w:pStyle w:val="P68B1DB1-Normal13"/>
              <w:rPr>
                <w:rFonts w:eastAsia="Times New Roman" w:cs="Times New Roman"/>
                <w:noProof/>
              </w:rPr>
            </w:pPr>
            <w:r>
              <w:rPr>
                <w:noProof/>
              </w:rPr>
              <w:t>Vähintään 510000 asuinrakennusten peruskorjaustoimea vähintään 355000 yksittäisessä asunnossa, jotka on</w:t>
            </w:r>
            <w:r>
              <w:rPr>
                <w:noProof/>
              </w:rPr>
              <w:t xml:space="preserve"> saatu päätökseen ja joilla primäärienergian kysyntä vähenee keskimäärin vähintään 30 prosenttia (kumulatiiviset). Indikaattoria sovellettaessa asumisen käsitteen on oltava Eurostatin määritelmän mukainen (”asuminen on huone tai huoneiden kokonaisuus – muk</w:t>
            </w:r>
            <w:r>
              <w:rPr>
                <w:noProof/>
              </w:rPr>
              <w:t>aan lukien sen lisävarusteet, eturyhmät ja käytävät – pysyvässä rakennuksessa tai rakennuksen rakenteellisesti erillisessä osassa, joka on rakennettu, rakennettu uudelleen tai muunnettu siten, että se on tarkoitettu yhden yksityisen kotitalouden asumista v</w:t>
            </w:r>
            <w:r>
              <w:rPr>
                <w:noProof/>
              </w:rPr>
              <w:t>arten ympäri vuoden), ja siihen voi sisältyä tarvittaessa sosiaalinen tai julkinen asunto. Käytetyt energiatehokkuuden parannusindikaattorit on akkreditoitava rakennusten energiatehokkuudesta 19 päivänä toukokuuta 2010 annetun Euroopan parlamentin ja neuvo</w:t>
            </w:r>
            <w:r>
              <w:rPr>
                <w:noProof/>
              </w:rPr>
              <w:t>ston direktiivin 2010/31/EU mukaisella asiaankuuluvalla energiatehokkuustodistuksella. Asuntojen kuntoutusten lukumäärä on kaikkien verokannustimien avulla toteutettujen parannus- ja kuntoutustoimien summa. Primäärienergian kulutuksen keskimääräinen säästö</w:t>
            </w:r>
            <w:r>
              <w:rPr>
                <w:noProof/>
              </w:rPr>
              <w:t>prosentti 30 prosentin vähimmäisarvon noudattamiseksi saadaan painottamalla kunnostustoimien joukko elpymis- ja palautumissuunnitelman mukaisesti sovelletun tuen tai rahoituksen määrällä. Tämä indikaattori sisältää parannus- ja kuntoutustoimet kaikissa kun</w:t>
            </w:r>
            <w:r>
              <w:rPr>
                <w:noProof/>
              </w:rPr>
              <w:t>nissa niiden koosta riippumatta. Saavutettujen energiansäästöjen noudattamisen perustelemiseksi valmistuneiden töiden energiatehokkuustodistukset on koottava yhteen, jotta voidaan vahvistaa saavutetut keskimääräiset energiansäästöt. (Perustaso: Kesäkuuta 2</w:t>
            </w:r>
            <w:r>
              <w:rPr>
                <w:noProof/>
              </w:rPr>
              <w:t>026 osa-alueen 2 tavoitteen 29 mukaisesti</w:t>
            </w:r>
          </w:p>
        </w:tc>
      </w:tr>
      <w:tr w:rsidR="000E48CE" w14:paraId="6CFE415C" w14:textId="77777777">
        <w:trPr>
          <w:trHeight w:val="309"/>
        </w:trPr>
        <w:tc>
          <w:tcPr>
            <w:tcW w:w="701" w:type="dxa"/>
            <w:tcBorders>
              <w:top w:val="single" w:sz="4" w:space="0" w:color="auto"/>
              <w:left w:val="single" w:sz="4" w:space="0" w:color="auto"/>
              <w:bottom w:val="single" w:sz="4" w:space="0" w:color="auto"/>
              <w:right w:val="single" w:sz="4" w:space="0" w:color="auto"/>
            </w:tcBorders>
            <w:shd w:val="clear" w:color="auto" w:fill="C6EFCE"/>
            <w:noWrap/>
          </w:tcPr>
          <w:p w14:paraId="3C1B56C4" w14:textId="0B90D2B7" w:rsidR="000E48CE" w:rsidRDefault="00FF4C4E">
            <w:pPr>
              <w:pStyle w:val="P68B1DB1-Normal13"/>
              <w:spacing w:after="0" w:line="240" w:lineRule="auto"/>
              <w:jc w:val="center"/>
              <w:rPr>
                <w:rFonts w:eastAsia="Times New Roman" w:cs="Times New Roman"/>
                <w:noProof/>
              </w:rPr>
            </w:pPr>
            <w:r>
              <w:rPr>
                <w:noProof/>
              </w:rPr>
              <w:t xml:space="preserve">L82 </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7FDC7730" w14:textId="77777777" w:rsidR="000E48CE" w:rsidRDefault="00FF4C4E">
            <w:pPr>
              <w:pStyle w:val="P68B1DB1-Normal13"/>
              <w:spacing w:after="0" w:line="240" w:lineRule="auto"/>
              <w:jc w:val="center"/>
              <w:rPr>
                <w:rFonts w:cs="Times New Roman"/>
                <w:noProof/>
              </w:rPr>
            </w:pPr>
            <w:r>
              <w:rPr>
                <w:noProof/>
              </w:rPr>
              <w:t>C28.I1</w:t>
            </w:r>
          </w:p>
        </w:tc>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47D57269" w14:textId="77777777" w:rsidR="000E48CE" w:rsidRDefault="00FF4C4E">
            <w:pPr>
              <w:pStyle w:val="P68B1DB1-Normal13"/>
              <w:spacing w:after="0" w:line="240" w:lineRule="auto"/>
              <w:jc w:val="center"/>
              <w:rPr>
                <w:rFonts w:eastAsia="Times New Roman" w:cs="Times New Roman"/>
                <w:noProof/>
              </w:rPr>
            </w:pPr>
            <w:r>
              <w:rPr>
                <w:noProof/>
              </w:rPr>
              <w:t>T</w:t>
            </w:r>
          </w:p>
        </w:tc>
        <w:tc>
          <w:tcPr>
            <w:tcW w:w="1675" w:type="dxa"/>
            <w:tcBorders>
              <w:top w:val="single" w:sz="4" w:space="0" w:color="auto"/>
              <w:left w:val="single" w:sz="4" w:space="0" w:color="auto"/>
              <w:bottom w:val="single" w:sz="4" w:space="0" w:color="auto"/>
              <w:right w:val="single" w:sz="4" w:space="0" w:color="auto"/>
            </w:tcBorders>
            <w:shd w:val="clear" w:color="auto" w:fill="C6EFCE"/>
            <w:noWrap/>
          </w:tcPr>
          <w:p w14:paraId="6292F74A" w14:textId="5E3D422B" w:rsidR="000E48CE" w:rsidRDefault="00FF4C4E">
            <w:pPr>
              <w:pStyle w:val="P68B1DB1-Normal13"/>
              <w:spacing w:after="0" w:line="240" w:lineRule="auto"/>
              <w:rPr>
                <w:rFonts w:eastAsia="Times New Roman" w:cs="Times New Roman"/>
                <w:noProof/>
              </w:rPr>
            </w:pPr>
            <w:r>
              <w:rPr>
                <w:noProof/>
              </w:rPr>
              <w:t xml:space="preserve">Eurooppalainen vapaaehtoispalvelu ja latausinfrastruktuuri </w:t>
            </w:r>
          </w:p>
        </w:tc>
        <w:tc>
          <w:tcPr>
            <w:tcW w:w="1118" w:type="dxa"/>
            <w:tcBorders>
              <w:top w:val="single" w:sz="4" w:space="0" w:color="auto"/>
              <w:left w:val="single" w:sz="4" w:space="0" w:color="auto"/>
              <w:bottom w:val="single" w:sz="4" w:space="0" w:color="auto"/>
              <w:right w:val="single" w:sz="4" w:space="0" w:color="auto"/>
            </w:tcBorders>
            <w:shd w:val="clear" w:color="auto" w:fill="C6EFCE"/>
            <w:noWrap/>
          </w:tcPr>
          <w:p w14:paraId="3B25C739" w14:textId="77777777" w:rsidR="000E48CE" w:rsidRDefault="000E48CE">
            <w:pPr>
              <w:spacing w:after="0" w:line="240" w:lineRule="auto"/>
              <w:jc w:val="center"/>
              <w:rPr>
                <w:rFonts w:ascii="Times New Roman" w:eastAsia="Times New Roman" w:hAnsi="Times New Roman" w:cs="Times New Roman"/>
                <w:noProof/>
                <w:sz w:val="18"/>
              </w:rPr>
            </w:pPr>
          </w:p>
        </w:tc>
        <w:tc>
          <w:tcPr>
            <w:tcW w:w="666" w:type="dxa"/>
            <w:tcBorders>
              <w:top w:val="single" w:sz="4" w:space="0" w:color="auto"/>
              <w:left w:val="single" w:sz="4" w:space="0" w:color="auto"/>
              <w:bottom w:val="single" w:sz="4" w:space="0" w:color="auto"/>
              <w:right w:val="single" w:sz="4" w:space="0" w:color="auto"/>
            </w:tcBorders>
            <w:shd w:val="clear" w:color="auto" w:fill="C6EFCE"/>
            <w:noWrap/>
          </w:tcPr>
          <w:p w14:paraId="33589A6B" w14:textId="77777777" w:rsidR="000E48CE" w:rsidRDefault="00FF4C4E">
            <w:pPr>
              <w:pStyle w:val="P68B1DB1-Normal13"/>
              <w:spacing w:after="0" w:line="240" w:lineRule="auto"/>
              <w:jc w:val="center"/>
              <w:rPr>
                <w:rFonts w:cs="Times New Roman"/>
                <w:noProof/>
              </w:rPr>
            </w:pPr>
            <w:r>
              <w:rPr>
                <w:noProof/>
              </w:rPr>
              <w:t>Määrä</w:t>
            </w:r>
          </w:p>
        </w:tc>
        <w:tc>
          <w:tcPr>
            <w:tcW w:w="732" w:type="dxa"/>
            <w:tcBorders>
              <w:top w:val="single" w:sz="4" w:space="0" w:color="auto"/>
              <w:left w:val="single" w:sz="4" w:space="0" w:color="auto"/>
              <w:bottom w:val="single" w:sz="4" w:space="0" w:color="auto"/>
              <w:right w:val="single" w:sz="4" w:space="0" w:color="auto"/>
            </w:tcBorders>
            <w:shd w:val="clear" w:color="auto" w:fill="C6EFCE"/>
            <w:noWrap/>
          </w:tcPr>
          <w:p w14:paraId="6928C400" w14:textId="77777777" w:rsidR="000E48CE" w:rsidRDefault="00FF4C4E">
            <w:pPr>
              <w:pStyle w:val="P68B1DB1-Normal13"/>
              <w:spacing w:after="0" w:line="240" w:lineRule="auto"/>
              <w:jc w:val="center"/>
              <w:rPr>
                <w:rFonts w:cs="Times New Roman"/>
                <w:noProof/>
              </w:rPr>
            </w:pPr>
            <w:r>
              <w:rPr>
                <w:noProof/>
              </w:rPr>
              <w:t>238 000</w:t>
            </w:r>
          </w:p>
        </w:tc>
        <w:tc>
          <w:tcPr>
            <w:tcW w:w="699" w:type="dxa"/>
            <w:tcBorders>
              <w:top w:val="single" w:sz="4" w:space="0" w:color="auto"/>
              <w:left w:val="single" w:sz="4" w:space="0" w:color="auto"/>
              <w:bottom w:val="single" w:sz="4" w:space="0" w:color="auto"/>
              <w:right w:val="single" w:sz="4" w:space="0" w:color="auto"/>
            </w:tcBorders>
            <w:shd w:val="clear" w:color="auto" w:fill="C6EFCE"/>
            <w:noWrap/>
          </w:tcPr>
          <w:p w14:paraId="5BF418A1" w14:textId="77777777" w:rsidR="000E48CE" w:rsidRDefault="00FF4C4E">
            <w:pPr>
              <w:pStyle w:val="P68B1DB1-Normal13"/>
              <w:spacing w:after="0" w:line="240" w:lineRule="auto"/>
              <w:jc w:val="center"/>
              <w:rPr>
                <w:rFonts w:cs="Times New Roman"/>
                <w:noProof/>
              </w:rPr>
            </w:pPr>
            <w:r>
              <w:rPr>
                <w:noProof/>
              </w:rPr>
              <w:t xml:space="preserve">348 000 </w:t>
            </w:r>
          </w:p>
        </w:tc>
        <w:tc>
          <w:tcPr>
            <w:tcW w:w="419" w:type="dxa"/>
            <w:tcBorders>
              <w:top w:val="single" w:sz="4" w:space="0" w:color="auto"/>
              <w:left w:val="single" w:sz="4" w:space="0" w:color="auto"/>
              <w:bottom w:val="single" w:sz="4" w:space="0" w:color="auto"/>
              <w:right w:val="single" w:sz="4" w:space="0" w:color="auto"/>
            </w:tcBorders>
            <w:shd w:val="clear" w:color="auto" w:fill="C6EFCE"/>
            <w:noWrap/>
          </w:tcPr>
          <w:p w14:paraId="3E61B028" w14:textId="77777777" w:rsidR="000E48CE" w:rsidRDefault="00FF4C4E">
            <w:pPr>
              <w:pStyle w:val="P68B1DB1-Normal13"/>
              <w:spacing w:after="0" w:line="240" w:lineRule="auto"/>
              <w:jc w:val="center"/>
              <w:rPr>
                <w:rFonts w:eastAsia="Times New Roman" w:cs="Times New Roman"/>
                <w:noProof/>
              </w:rPr>
            </w:pPr>
            <w:r>
              <w:rPr>
                <w:noProof/>
              </w:rPr>
              <w:t>KOLMAS VUOSINELJÄNNES</w:t>
            </w:r>
          </w:p>
        </w:tc>
        <w:tc>
          <w:tcPr>
            <w:tcW w:w="559" w:type="dxa"/>
            <w:tcBorders>
              <w:top w:val="single" w:sz="4" w:space="0" w:color="auto"/>
              <w:left w:val="single" w:sz="4" w:space="0" w:color="auto"/>
              <w:bottom w:val="single" w:sz="4" w:space="0" w:color="auto"/>
              <w:right w:val="single" w:sz="4" w:space="0" w:color="auto"/>
            </w:tcBorders>
            <w:shd w:val="clear" w:color="auto" w:fill="C6EFCE"/>
            <w:noWrap/>
          </w:tcPr>
          <w:p w14:paraId="44AFB5F0" w14:textId="1AE2866A" w:rsidR="000E48CE" w:rsidRDefault="00FF4C4E">
            <w:pPr>
              <w:pStyle w:val="P68B1DB1-Normal13"/>
              <w:spacing w:after="0" w:line="240" w:lineRule="auto"/>
              <w:jc w:val="center"/>
              <w:rPr>
                <w:rFonts w:eastAsia="Times New Roman" w:cs="Times New Roman"/>
                <w:noProof/>
              </w:rPr>
            </w:pPr>
            <w:r>
              <w:rPr>
                <w:noProof/>
              </w:rPr>
              <w:t>2026</w:t>
            </w:r>
          </w:p>
        </w:tc>
        <w:tc>
          <w:tcPr>
            <w:tcW w:w="7031" w:type="dxa"/>
            <w:tcBorders>
              <w:top w:val="single" w:sz="4" w:space="0" w:color="auto"/>
              <w:left w:val="single" w:sz="4" w:space="0" w:color="auto"/>
              <w:bottom w:val="single" w:sz="4" w:space="0" w:color="auto"/>
              <w:right w:val="single" w:sz="4" w:space="0" w:color="auto"/>
            </w:tcBorders>
            <w:shd w:val="clear" w:color="auto" w:fill="C6EFCE"/>
            <w:noWrap/>
          </w:tcPr>
          <w:p w14:paraId="3FC8FA4F" w14:textId="37519251" w:rsidR="000E48CE" w:rsidRDefault="00FF4C4E">
            <w:pPr>
              <w:pStyle w:val="P68B1DB1-Normal13"/>
              <w:spacing w:after="0" w:line="240" w:lineRule="auto"/>
              <w:rPr>
                <w:rFonts w:eastAsia="Times New Roman" w:cs="Times New Roman"/>
                <w:noProof/>
              </w:rPr>
            </w:pPr>
            <w:r>
              <w:rPr>
                <w:noProof/>
              </w:rPr>
              <w:t xml:space="preserve">Verokannustimien soveltamisalaan kuuluvia uusia sähköajoneuvoja (BEV-, REEV-, </w:t>
            </w:r>
            <w:r>
              <w:rPr>
                <w:noProof/>
              </w:rPr>
              <w:t>täyssähkö-, FCEV- tai FCHV-ajoneuvoja) ja latausasemia on otettu käyttöön vähintään 110000.</w:t>
            </w:r>
          </w:p>
          <w:p w14:paraId="23E39600" w14:textId="4F670BAF" w:rsidR="000E48CE" w:rsidRDefault="00FF4C4E">
            <w:pPr>
              <w:pStyle w:val="P68B1DB1-Normal13"/>
              <w:spacing w:after="0" w:line="240" w:lineRule="auto"/>
              <w:rPr>
                <w:rFonts w:eastAsia="Times New Roman" w:cs="Times New Roman"/>
                <w:noProof/>
              </w:rPr>
            </w:pPr>
            <w:r>
              <w:rPr>
                <w:noProof/>
              </w:rPr>
              <w:t>(Perustaso: Joulukuuta 2025 osa-alueen 1 tavoitteen 419 mukaisesti</w:t>
            </w:r>
          </w:p>
        </w:tc>
      </w:tr>
    </w:tbl>
    <w:p w14:paraId="7D3D22D9" w14:textId="77777777" w:rsidR="000E48CE" w:rsidRDefault="000E48CE">
      <w:pPr>
        <w:pStyle w:val="Text1"/>
        <w:rPr>
          <w:rFonts w:ascii="Times New Roman" w:hAnsi="Times New Roman" w:cs="Times New Roman"/>
          <w:noProof/>
        </w:rPr>
        <w:sectPr w:rsidR="000E48CE" w:rsidSect="00C94F66">
          <w:headerReference w:type="even" r:id="rId537"/>
          <w:headerReference w:type="default" r:id="rId538"/>
          <w:footerReference w:type="even" r:id="rId539"/>
          <w:footerReference w:type="default" r:id="rId540"/>
          <w:headerReference w:type="first" r:id="rId541"/>
          <w:footerReference w:type="first" r:id="rId542"/>
          <w:pgSz w:w="16839" w:h="11907" w:orient="landscape"/>
          <w:pgMar w:top="1417" w:right="1134" w:bottom="1417" w:left="1134" w:header="709" w:footer="709" w:gutter="0"/>
          <w:cols w:space="720"/>
          <w:docGrid w:linePitch="360"/>
        </w:sectPr>
      </w:pPr>
    </w:p>
    <w:p w14:paraId="2D6EE182" w14:textId="77777777" w:rsidR="000E48CE" w:rsidRDefault="00FF4C4E">
      <w:pPr>
        <w:pStyle w:val="P68B1DB1-Heading12"/>
        <w:rPr>
          <w:rFonts w:cs="Times New Roman"/>
          <w:noProof/>
        </w:rPr>
      </w:pPr>
      <w:r>
        <w:rPr>
          <w:noProof/>
        </w:rPr>
        <w:t xml:space="preserve">AC. KOMPONENTTI 29: Julkisten </w:t>
      </w:r>
      <w:r>
        <w:rPr>
          <w:noProof/>
        </w:rPr>
        <w:t>menojen tehokkuuden parantaminen</w:t>
      </w:r>
    </w:p>
    <w:p w14:paraId="11CE09AD" w14:textId="77777777" w:rsidR="000E48CE" w:rsidRDefault="00FF4C4E">
      <w:pPr>
        <w:pStyle w:val="P68B1DB1-Text119"/>
        <w:ind w:left="0"/>
        <w:rPr>
          <w:rFonts w:cs="Times New Roman"/>
          <w:noProof/>
        </w:rPr>
      </w:pPr>
      <w:r>
        <w:rPr>
          <w:noProof/>
        </w:rPr>
        <w:t>Espanjan elpymis- ja palautumissuunnitelman osa-alueeseen 29 sisältyvillä uudistuksilla pyritään i) parantamaan julkisten menojen vaikuttavuutta vahvistamalla menojen uudelleentarkastelua koskevia puitteita ja käytäntöjä ja</w:t>
      </w:r>
      <w:r>
        <w:rPr>
          <w:noProof/>
        </w:rPr>
        <w:t xml:space="preserve"> ii) yhdenmukaistamaan valtion talousarvio kestävän kehityksen tavoitteiden ja vihreän budjetoinnin periaatteiden kanssa. </w:t>
      </w:r>
    </w:p>
    <w:p w14:paraId="2855F655" w14:textId="77777777" w:rsidR="000E48CE" w:rsidRDefault="00FF4C4E">
      <w:pPr>
        <w:pStyle w:val="P68B1DB1-Text119"/>
        <w:ind w:left="0"/>
        <w:rPr>
          <w:rFonts w:cs="Times New Roman"/>
          <w:noProof/>
        </w:rPr>
      </w:pPr>
      <w:r>
        <w:rPr>
          <w:noProof/>
        </w:rPr>
        <w:t>Suunnitelman osa-alueen tavoitteena on parantaa julkisten menojen laatua erityisesti tarkistamalla niiden koostumusta ja kohdentamall</w:t>
      </w:r>
      <w:r>
        <w:rPr>
          <w:noProof/>
        </w:rPr>
        <w:t>a niiden käyttöä uudelleen, tukea talouskasvua ja työpaikkojen luomista sekä viime kädessä parantaa julkisen talouden vakautta ja julkisen velan kestävyyttä keskipitkällä aikavälillä. Uudistuksilla vastataan myös uuden taloudellisen ja sosiaalisen todellis</w:t>
      </w:r>
      <w:r>
        <w:rPr>
          <w:noProof/>
        </w:rPr>
        <w:t xml:space="preserve">uuden asettamiin haasteisiin.  </w:t>
      </w:r>
    </w:p>
    <w:p w14:paraId="04D7F579" w14:textId="77777777" w:rsidR="000E48CE" w:rsidRDefault="00FF4C4E">
      <w:pPr>
        <w:pStyle w:val="P68B1DB1-Text119"/>
        <w:ind w:left="0"/>
        <w:rPr>
          <w:rFonts w:cs="Times New Roman"/>
          <w:noProof/>
        </w:rPr>
      </w:pPr>
      <w:r>
        <w:rPr>
          <w:noProof/>
        </w:rPr>
        <w:t>Osa-alue liittyy maakohtaiseen suositukseen, joka koskee taloustilanteen salliessa sellaisen finanssipolitiikan harjoittamista, jonka tavoitteena on saavuttaa maltillisella tasolla oleva julkisen talouden rahoitusasema keski</w:t>
      </w:r>
      <w:r>
        <w:rPr>
          <w:noProof/>
        </w:rPr>
        <w:t>pitkällä aikavälillä ja varmistaa velkakestävyys samalla kun kannustetaan investointeihin (maakohtainen suositus 1 2020).</w:t>
      </w:r>
    </w:p>
    <w:p w14:paraId="6BF0C738" w14:textId="77777777" w:rsidR="000E48CE" w:rsidRDefault="00FF4C4E">
      <w:pPr>
        <w:pStyle w:val="P68B1DB1-Text119"/>
        <w:ind w:left="0"/>
        <w:rPr>
          <w:rFonts w:cs="Times New Roman"/>
          <w:noProof/>
        </w:rPr>
      </w:pPr>
      <w:r>
        <w:rPr>
          <w:noProof/>
        </w:rPr>
        <w:t>Minkään tämän komponentin toimenpiteen ei odoteta aiheuttavan asetuksen (EU) 2020/852 17 artiklassa tarkoitettua merkittävää haittaa y</w:t>
      </w:r>
      <w:r>
        <w:rPr>
          <w:noProof/>
        </w:rPr>
        <w:t>mpäristötavoitteille, kun otetaan huomioon ”ei merkittävää haittaa” -periaatteen soveltamista koskevien teknisten ohjeiden (2021/C58/01) mukaiset elpymis- ja palautumissuunnitelmassa esitettyjen toimenpiteiden kuvaus ja lieventävät toimet.</w:t>
      </w:r>
    </w:p>
    <w:p w14:paraId="0F17AC41" w14:textId="77777777" w:rsidR="000E48CE" w:rsidRDefault="00FF4C4E">
      <w:pPr>
        <w:pStyle w:val="P68B1DB1-Text138"/>
        <w:ind w:left="709"/>
        <w:rPr>
          <w:rFonts w:cs="Times New Roman"/>
          <w:noProof/>
        </w:rPr>
      </w:pPr>
      <w:r>
        <w:rPr>
          <w:noProof/>
        </w:rPr>
        <w:t xml:space="preserve">AC.1. </w:t>
      </w:r>
      <w:r>
        <w:rPr>
          <w:noProof/>
        </w:rPr>
        <w:tab/>
        <w:t>Kuvaus uu</w:t>
      </w:r>
      <w:r>
        <w:rPr>
          <w:noProof/>
        </w:rPr>
        <w:t>distuksista ja investoinneista, joita rahoitetaan rahoitustuella, jota ei makseta takaisin</w:t>
      </w:r>
    </w:p>
    <w:p w14:paraId="1A37E54D" w14:textId="77777777" w:rsidR="000E48CE" w:rsidRDefault="00FF4C4E">
      <w:pPr>
        <w:pStyle w:val="P68B1DB1-Text120"/>
        <w:ind w:left="0"/>
        <w:rPr>
          <w:rFonts w:cs="Times New Roman"/>
          <w:noProof/>
        </w:rPr>
      </w:pPr>
      <w:r>
        <w:rPr>
          <w:noProof/>
        </w:rPr>
        <w:t>Uudistus 1 (C29.R1) – Julkisten menojen arviointiprosessi</w:t>
      </w:r>
    </w:p>
    <w:p w14:paraId="6D646A7A" w14:textId="77777777" w:rsidR="000E48CE" w:rsidRDefault="00FF4C4E">
      <w:pPr>
        <w:pStyle w:val="P68B1DB1-Text119"/>
        <w:ind w:left="0"/>
        <w:rPr>
          <w:rFonts w:cs="Times New Roman"/>
          <w:noProof/>
        </w:rPr>
      </w:pPr>
      <w:r>
        <w:rPr>
          <w:noProof/>
        </w:rPr>
        <w:t xml:space="preserve">Uudistuksen tavoitteena on luoda pysyvä kehys, jolla varmistetaan julkisten menojen laadun parantaminen ja </w:t>
      </w:r>
      <w:r>
        <w:rPr>
          <w:noProof/>
        </w:rPr>
        <w:t>vahvistetaan julkisen talouden vakautta ja julkisen talouden kestävyyttä. Uudistuksessa on neljä osa-aluetta:</w:t>
      </w:r>
    </w:p>
    <w:p w14:paraId="4055AA4E" w14:textId="77777777" w:rsidR="000E48CE" w:rsidRDefault="00FF4C4E">
      <w:pPr>
        <w:pStyle w:val="P68B1DB1-Text119"/>
        <w:numPr>
          <w:ilvl w:val="0"/>
          <w:numId w:val="166"/>
        </w:numPr>
        <w:rPr>
          <w:rFonts w:cs="Times New Roman"/>
          <w:noProof/>
        </w:rPr>
      </w:pPr>
      <w:r>
        <w:rPr>
          <w:noProof/>
        </w:rPr>
        <w:t>Menojen uudelleenarvioinnin 2018–2020 suositusten sisällyttäminen päätöksentekoprosessiin (vaihe I ja II): Vaiheen I ja II suositusten tehokkaan s</w:t>
      </w:r>
      <w:r>
        <w:rPr>
          <w:noProof/>
        </w:rPr>
        <w:t>eurannan varmistamiseksi suosituksia saaneille budjettiyksiköille on annettava määräaika, jonka kuluessa niiden on vastattava näihin suosituksiin ”noudata tai selitä” -periaatteen mukaisesti. Valtiovarainministeriön tehtävänä on seurata jatkotoimia ja laat</w:t>
      </w:r>
      <w:r>
        <w:rPr>
          <w:noProof/>
        </w:rPr>
        <w:t xml:space="preserve">ia vuosikertomus suositusten johdosta toteutetuista toimista. </w:t>
      </w:r>
    </w:p>
    <w:p w14:paraId="3173400A" w14:textId="77777777" w:rsidR="000E48CE" w:rsidRDefault="00FF4C4E">
      <w:pPr>
        <w:pStyle w:val="P68B1DB1-Text119"/>
        <w:numPr>
          <w:ilvl w:val="0"/>
          <w:numId w:val="166"/>
        </w:numPr>
        <w:rPr>
          <w:rFonts w:cs="Times New Roman"/>
          <w:noProof/>
        </w:rPr>
      </w:pPr>
      <w:r>
        <w:rPr>
          <w:noProof/>
        </w:rPr>
        <w:t xml:space="preserve">Vuoden 2021 menojen uudelleenarvioinnin kolmannen vaiheen käynnistäminen: Menojen uudelleentarkastelun kolmannessa vaiheessa on tarkoitus keskittyä rahoitusvälineisiin ja kuntien jätehuoltoon. </w:t>
      </w:r>
    </w:p>
    <w:p w14:paraId="2D6C80F9" w14:textId="77777777" w:rsidR="000E48CE" w:rsidRDefault="00FF4C4E">
      <w:pPr>
        <w:pStyle w:val="P68B1DB1-Text119"/>
        <w:numPr>
          <w:ilvl w:val="0"/>
          <w:numId w:val="166"/>
        </w:numPr>
        <w:rPr>
          <w:rFonts w:cs="Times New Roman"/>
          <w:noProof/>
        </w:rPr>
      </w:pPr>
      <w:r>
        <w:rPr>
          <w:noProof/>
        </w:rPr>
        <w:t>Uusi julkisten menojen arviointiprosessi (2022–2026): Tämän syklin tulevat menojen uudelleenarvioinnit suorittaisi riippumaton finanssipoliittinen viranomainen (autoridad</w:t>
      </w:r>
      <w:r>
        <w:rPr>
          <w:i/>
          <w:noProof/>
        </w:rPr>
        <w:t>Independiente de Responsabilidad Fiscal</w:t>
      </w:r>
      <w:r>
        <w:rPr>
          <w:noProof/>
        </w:rPr>
        <w:t>, AIReF). Ministerineuvosto päättää näiden tul</w:t>
      </w:r>
      <w:r>
        <w:rPr>
          <w:noProof/>
        </w:rPr>
        <w:t xml:space="preserve">evien tarkastelujen painopisteestä, kattavuudesta ja aikataulusta kuultuaan AIReF:ää. Tavoitteena on julkaista vuosittain kertomus vuosina 2022–2026. </w:t>
      </w:r>
    </w:p>
    <w:p w14:paraId="369C92EB" w14:textId="77777777" w:rsidR="000E48CE" w:rsidRDefault="00FF4C4E">
      <w:pPr>
        <w:pStyle w:val="P68B1DB1-Text119"/>
        <w:numPr>
          <w:ilvl w:val="0"/>
          <w:numId w:val="166"/>
        </w:numPr>
        <w:rPr>
          <w:rFonts w:cs="Times New Roman"/>
          <w:noProof/>
        </w:rPr>
      </w:pPr>
      <w:r>
        <w:rPr>
          <w:noProof/>
        </w:rPr>
        <w:t xml:space="preserve">Arvioijan valmiuksien vahvistaminen (AIReF): AIReF:n perussääntöä muutetaan siten, että luodaan uusi </w:t>
      </w:r>
      <w:r>
        <w:rPr>
          <w:noProof/>
        </w:rPr>
        <w:t>yksikkö, joka vastaa julkisten menojen uudelleentarkastelusta.</w:t>
      </w:r>
    </w:p>
    <w:p w14:paraId="2FBD1FA2" w14:textId="77777777" w:rsidR="000E48CE" w:rsidRDefault="00FF4C4E">
      <w:pPr>
        <w:pStyle w:val="P68B1DB1-Text119"/>
        <w:ind w:left="0"/>
        <w:rPr>
          <w:rFonts w:cs="Times New Roman"/>
          <w:noProof/>
        </w:rPr>
      </w:pPr>
      <w:r>
        <w:rPr>
          <w:noProof/>
        </w:rPr>
        <w:t>Uudistuksen 1 voidaan katsoa tukevan Espanjan elpymis- ja palautumissuunnitelman johdonmukaisuutta ja muita uudistuksia, erityisesti osa-alueilla 6, 17, 18, 21, 23 ja 28, joissa menojen uudelle</w:t>
      </w:r>
      <w:r>
        <w:rPr>
          <w:noProof/>
        </w:rPr>
        <w:t xml:space="preserve">entarkastelun vaiheeseen I ja II perustuvat suositukset ovat vaikuttaneet näihin uudistusprioriteetteihin. </w:t>
      </w:r>
    </w:p>
    <w:p w14:paraId="057350AA" w14:textId="77777777" w:rsidR="000E48CE" w:rsidRDefault="00FF4C4E">
      <w:pPr>
        <w:pStyle w:val="P68B1DB1-Text119"/>
        <w:ind w:left="0"/>
        <w:rPr>
          <w:rFonts w:cs="Times New Roman"/>
          <w:noProof/>
        </w:rPr>
      </w:pPr>
      <w:r>
        <w:rPr>
          <w:noProof/>
        </w:rPr>
        <w:t>Uudistus on tarkoitus saada päätökseen 30. kesäkuuta 2023 mennessä.</w:t>
      </w:r>
    </w:p>
    <w:p w14:paraId="33EA2FD3" w14:textId="77777777" w:rsidR="000E48CE" w:rsidRDefault="00FF4C4E">
      <w:pPr>
        <w:pStyle w:val="P68B1DB1-Text119"/>
        <w:ind w:left="0"/>
        <w:rPr>
          <w:rFonts w:cs="Times New Roman"/>
          <w:noProof/>
          <w:u w:val="single"/>
        </w:rPr>
      </w:pPr>
      <w:r>
        <w:rPr>
          <w:noProof/>
          <w:u w:val="single"/>
        </w:rPr>
        <w:t>Uudistus 2 (C29.R2) – Keskushallinnon talousarvion mukauttaminen Agenda 2030:n k</w:t>
      </w:r>
      <w:r>
        <w:rPr>
          <w:noProof/>
          <w:u w:val="single"/>
        </w:rPr>
        <w:t>estävänkehityksen tavoitteisiin</w:t>
      </w:r>
    </w:p>
    <w:p w14:paraId="3A396F9E" w14:textId="77777777" w:rsidR="000E48CE" w:rsidRDefault="00FF4C4E">
      <w:pPr>
        <w:pStyle w:val="P68B1DB1-Text119"/>
        <w:ind w:left="0"/>
        <w:rPr>
          <w:rFonts w:cs="Times New Roman"/>
          <w:noProof/>
        </w:rPr>
      </w:pPr>
      <w:r>
        <w:rPr>
          <w:noProof/>
        </w:rPr>
        <w:t>Uudistuksen tavoitteena on mukauttaa valtion talousarvio koko suunnitelman perustana oleviin kestävän kehityksen tavoitteisiin. Uudistuksessa julkaistaan valtion talousarvioprosessin yhteydessä kertomus, jossa otetaan ennalt</w:t>
      </w:r>
      <w:r>
        <w:rPr>
          <w:noProof/>
        </w:rPr>
        <w:t xml:space="preserve">a määritellyn menetelmän mukaisesti huomioon julkisten investointien yhdenmukaisuus kestävän kehityksen tavoitteiden kanssa. Uudistus perustuu menetelmiin ja seurantapuitteisiin, joita parhaillaan suunnitellaan EU:n teknisen tuen välineen tuella. </w:t>
      </w:r>
    </w:p>
    <w:p w14:paraId="487BE28E" w14:textId="77777777" w:rsidR="000E48CE" w:rsidRDefault="00FF4C4E">
      <w:pPr>
        <w:pStyle w:val="P68B1DB1-Text119"/>
        <w:ind w:left="0"/>
        <w:rPr>
          <w:rFonts w:cs="Times New Roman"/>
          <w:noProof/>
        </w:rPr>
      </w:pPr>
      <w:r>
        <w:rPr>
          <w:noProof/>
        </w:rPr>
        <w:t>Toimenpi</w:t>
      </w:r>
      <w:r>
        <w:rPr>
          <w:noProof/>
        </w:rPr>
        <w:t>teen täytäntöönpano on saatettava päätökseen viimeistään 30 päivänä syyskuuta 2021.</w:t>
      </w:r>
    </w:p>
    <w:p w14:paraId="53AF397A" w14:textId="77777777" w:rsidR="000E48CE" w:rsidRDefault="00FF4C4E">
      <w:pPr>
        <w:pStyle w:val="P68B1DB1-Text120"/>
        <w:ind w:left="0"/>
        <w:rPr>
          <w:rFonts w:cs="Times New Roman"/>
          <w:noProof/>
        </w:rPr>
      </w:pPr>
      <w:r>
        <w:rPr>
          <w:noProof/>
        </w:rPr>
        <w:t>Uudistus 3 (C29.R3) – Keskushallinnon talousarvion mukauttaminen vihreään budjetointiin</w:t>
      </w:r>
    </w:p>
    <w:p w14:paraId="043CD9A3" w14:textId="77777777" w:rsidR="000E48CE" w:rsidRDefault="00FF4C4E">
      <w:pPr>
        <w:pStyle w:val="P68B1DB1-Text119"/>
        <w:ind w:left="0"/>
        <w:rPr>
          <w:rFonts w:cs="Times New Roman"/>
          <w:noProof/>
        </w:rPr>
      </w:pPr>
      <w:r>
        <w:rPr>
          <w:noProof/>
        </w:rPr>
        <w:t>Uudistuksen tavoitteena on mukauttaa valtion talousarvio EU:n vihreän budjetoinnin v</w:t>
      </w:r>
      <w:r>
        <w:rPr>
          <w:noProof/>
        </w:rPr>
        <w:t>iitekehykseen keskipitkällä aikavälillä. Se vahvistaa uudistusta 2 ja yleisemmin suunnitelman vihreitä tavoitteita. Uudistuksessa julkaistaan keskushallinnon talousarvioprosessin yhteydessä kaksi kertomusta, joissa kartoitetaan vihreät ja ruskeat menot vuo</w:t>
      </w:r>
      <w:r>
        <w:rPr>
          <w:noProof/>
        </w:rPr>
        <w:t>sien 2023 ja 2024 talousarviolakeihin nähden. Uudistus perustuu menetelmiin ja seurantapuitteisiin, joita parhaillaan suunnitellaan EU:n teknisen tuen välineen tuella.</w:t>
      </w:r>
    </w:p>
    <w:p w14:paraId="2D75ED4D" w14:textId="77777777" w:rsidR="000E48CE" w:rsidRDefault="00FF4C4E">
      <w:pPr>
        <w:pStyle w:val="P68B1DB1-Text119"/>
        <w:ind w:left="0"/>
        <w:rPr>
          <w:rFonts w:cs="Times New Roman"/>
          <w:noProof/>
        </w:rPr>
      </w:pPr>
      <w:r>
        <w:rPr>
          <w:noProof/>
        </w:rPr>
        <w:t xml:space="preserve">Toimenpiteen täytäntöönpano on saatettava päätökseen viimeistään 30 päivänä syyskuuta </w:t>
      </w:r>
      <w:r>
        <w:rPr>
          <w:noProof/>
        </w:rPr>
        <w:t>2023.</w:t>
      </w:r>
    </w:p>
    <w:p w14:paraId="201D6776" w14:textId="77777777" w:rsidR="000E48CE" w:rsidRDefault="00FF4C4E">
      <w:pPr>
        <w:pStyle w:val="P68B1DB1-Text138"/>
        <w:ind w:left="709"/>
        <w:rPr>
          <w:rFonts w:cs="Times New Roman"/>
          <w:noProof/>
        </w:rPr>
      </w:pPr>
      <w:r>
        <w:rPr>
          <w:noProof/>
        </w:rPr>
        <w:t xml:space="preserve">AC.2. </w:t>
      </w:r>
      <w:r>
        <w:rPr>
          <w:noProof/>
        </w:rPr>
        <w:tab/>
        <w:t>Seurantaa ja täytäntöönpanoa koskevat välitavoitteet, tavoitteet, indikaattorit ja aikataulu – rahoitustuki, jota ei makseta takaisin</w:t>
      </w:r>
    </w:p>
    <w:p w14:paraId="2316CE18" w14:textId="77777777" w:rsidR="000E48CE" w:rsidRDefault="00FF4C4E">
      <w:pPr>
        <w:pStyle w:val="P68B1DB1-Normal4"/>
        <w:spacing w:before="120" w:after="120" w:line="240" w:lineRule="auto"/>
        <w:rPr>
          <w:rFonts w:cs="Times New Roman"/>
          <w:noProof/>
        </w:rPr>
      </w:pPr>
      <w:r>
        <w:rPr>
          <w:i/>
          <w:noProof/>
        </w:rPr>
        <w:t>Ks. taulukko jäljempänä.</w:t>
      </w:r>
      <w:r>
        <w:rPr>
          <w:noProof/>
        </w:rPr>
        <w:t xml:space="preserve"> </w:t>
      </w:r>
      <w:r>
        <w:rPr>
          <w:i/>
          <w:noProof/>
        </w:rPr>
        <w:t xml:space="preserve">Kaikkien indikaattoreiden perustaso on 1. helmikuuta 2020, ellei toimen kuvauksessa </w:t>
      </w:r>
      <w:r>
        <w:rPr>
          <w:i/>
          <w:noProof/>
        </w:rPr>
        <w:t>toisin ilmoiteta. Taulukossa esitetyt määrät eivät sisällä arvonlisäveroa.</w:t>
      </w:r>
      <w:r>
        <w:rPr>
          <w:noProof/>
        </w:rPr>
        <w:t xml:space="preserve"> </w:t>
      </w:r>
    </w:p>
    <w:p w14:paraId="3CED3959" w14:textId="77777777" w:rsidR="000E48CE" w:rsidRDefault="000E48CE">
      <w:pPr>
        <w:pStyle w:val="Text1"/>
        <w:ind w:left="0"/>
        <w:rPr>
          <w:rFonts w:ascii="Times New Roman" w:hAnsi="Times New Roman" w:cs="Times New Roman"/>
          <w:b/>
          <w:noProof/>
          <w:u w:val="single"/>
        </w:rPr>
      </w:pPr>
    </w:p>
    <w:p w14:paraId="73BDE1DF" w14:textId="77777777" w:rsidR="000E48CE" w:rsidRDefault="000E48CE">
      <w:pPr>
        <w:pStyle w:val="Text1"/>
        <w:ind w:left="709"/>
        <w:rPr>
          <w:rFonts w:ascii="Times New Roman" w:hAnsi="Times New Roman" w:cs="Times New Roman"/>
          <w:noProof/>
        </w:rPr>
        <w:sectPr w:rsidR="000E48CE" w:rsidSect="00C94F66">
          <w:headerReference w:type="even" r:id="rId543"/>
          <w:headerReference w:type="default" r:id="rId544"/>
          <w:footerReference w:type="even" r:id="rId545"/>
          <w:footerReference w:type="default" r:id="rId546"/>
          <w:headerReference w:type="first" r:id="rId547"/>
          <w:footerReference w:type="first" r:id="rId548"/>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694"/>
        <w:gridCol w:w="992"/>
        <w:gridCol w:w="709"/>
        <w:gridCol w:w="567"/>
        <w:gridCol w:w="708"/>
        <w:gridCol w:w="567"/>
        <w:gridCol w:w="567"/>
        <w:gridCol w:w="6096"/>
      </w:tblGrid>
      <w:tr w:rsidR="000E48CE" w14:paraId="526BF9FA" w14:textId="77777777">
        <w:trPr>
          <w:trHeight w:val="309"/>
          <w:tblHeader/>
        </w:trPr>
        <w:tc>
          <w:tcPr>
            <w:tcW w:w="709" w:type="dxa"/>
            <w:tcBorders>
              <w:bottom w:val="nil"/>
            </w:tcBorders>
            <w:shd w:val="clear" w:color="auto" w:fill="C6D9F1" w:themeFill="text2" w:themeFillTint="33"/>
            <w:noWrap/>
            <w:vAlign w:val="center"/>
          </w:tcPr>
          <w:p w14:paraId="568F2058" w14:textId="77777777" w:rsidR="000E48CE" w:rsidRDefault="00FF4C4E">
            <w:pPr>
              <w:pStyle w:val="P68B1DB1-Normal12"/>
              <w:spacing w:after="0"/>
              <w:jc w:val="center"/>
              <w:rPr>
                <w:rFonts w:cs="Times New Roman"/>
                <w:noProof/>
              </w:rPr>
            </w:pPr>
            <w:r>
              <w:rPr>
                <w:noProof/>
              </w:rPr>
              <w:t>Määrä</w:t>
            </w:r>
          </w:p>
        </w:tc>
        <w:tc>
          <w:tcPr>
            <w:tcW w:w="851" w:type="dxa"/>
            <w:tcBorders>
              <w:bottom w:val="nil"/>
            </w:tcBorders>
            <w:shd w:val="clear" w:color="auto" w:fill="C6D9F1" w:themeFill="text2" w:themeFillTint="33"/>
            <w:noWrap/>
            <w:vAlign w:val="center"/>
          </w:tcPr>
          <w:p w14:paraId="4BD8C562" w14:textId="77777777" w:rsidR="000E48CE" w:rsidRDefault="00FF4C4E">
            <w:pPr>
              <w:pStyle w:val="P68B1DB1-Normal12"/>
              <w:spacing w:after="0"/>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56190C47" w14:textId="77777777" w:rsidR="000E48CE" w:rsidRDefault="00FF4C4E">
            <w:pPr>
              <w:pStyle w:val="P68B1DB1-Normal12"/>
              <w:spacing w:after="0"/>
              <w:jc w:val="center"/>
              <w:rPr>
                <w:rFonts w:cs="Times New Roman"/>
                <w:noProof/>
              </w:rPr>
            </w:pPr>
            <w:r>
              <w:rPr>
                <w:noProof/>
              </w:rPr>
              <w:t>Välitavoite</w:t>
            </w:r>
            <w:r>
              <w:rPr>
                <w:noProof/>
              </w:rPr>
              <w:br/>
              <w:t xml:space="preserve"> /Kohde</w:t>
            </w:r>
          </w:p>
        </w:tc>
        <w:tc>
          <w:tcPr>
            <w:tcW w:w="2694" w:type="dxa"/>
            <w:tcBorders>
              <w:bottom w:val="nil"/>
            </w:tcBorders>
            <w:shd w:val="clear" w:color="auto" w:fill="C6D9F1" w:themeFill="text2" w:themeFillTint="33"/>
            <w:noWrap/>
            <w:vAlign w:val="center"/>
          </w:tcPr>
          <w:p w14:paraId="19F8EB2B" w14:textId="77777777" w:rsidR="000E48CE" w:rsidRDefault="00FF4C4E">
            <w:pPr>
              <w:pStyle w:val="P68B1DB1-Normal12"/>
              <w:spacing w:after="0"/>
              <w:jc w:val="center"/>
              <w:rPr>
                <w:rFonts w:cs="Times New Roman"/>
                <w:noProof/>
              </w:rPr>
            </w:pPr>
            <w:r>
              <w:rPr>
                <w:noProof/>
              </w:rPr>
              <w:t>Nimi</w:t>
            </w:r>
          </w:p>
        </w:tc>
        <w:tc>
          <w:tcPr>
            <w:tcW w:w="992" w:type="dxa"/>
            <w:tcBorders>
              <w:bottom w:val="nil"/>
            </w:tcBorders>
            <w:shd w:val="clear" w:color="auto" w:fill="C6D9F1" w:themeFill="text2" w:themeFillTint="33"/>
            <w:noWrap/>
            <w:vAlign w:val="center"/>
          </w:tcPr>
          <w:p w14:paraId="7D628F42" w14:textId="77777777" w:rsidR="000E48CE" w:rsidRDefault="00FF4C4E">
            <w:pPr>
              <w:pStyle w:val="P68B1DB1-Normal12"/>
              <w:spacing w:after="0"/>
              <w:jc w:val="center"/>
              <w:rPr>
                <w:rFonts w:cs="Times New Roman"/>
                <w:noProof/>
              </w:rPr>
            </w:pPr>
            <w:r>
              <w:rPr>
                <w:noProof/>
              </w:rPr>
              <w:t>Välitavoitteiden laadullinen indikaattori</w:t>
            </w:r>
          </w:p>
        </w:tc>
        <w:tc>
          <w:tcPr>
            <w:tcW w:w="1984" w:type="dxa"/>
            <w:gridSpan w:val="3"/>
            <w:shd w:val="clear" w:color="auto" w:fill="C6D9F1" w:themeFill="text2" w:themeFillTint="33"/>
            <w:noWrap/>
            <w:vAlign w:val="center"/>
          </w:tcPr>
          <w:p w14:paraId="491ED17C" w14:textId="77777777" w:rsidR="000E48CE" w:rsidRDefault="00FF4C4E">
            <w:pPr>
              <w:pStyle w:val="P68B1DB1-Normal12"/>
              <w:spacing w:after="0"/>
              <w:jc w:val="center"/>
              <w:rPr>
                <w:rFonts w:cs="Times New Roman"/>
                <w:noProof/>
              </w:rPr>
            </w:pPr>
            <w:r>
              <w:rPr>
                <w:noProof/>
              </w:rPr>
              <w:t>Määrällinen indikaattori tavoittee</w:t>
            </w:r>
            <w:r>
              <w:rPr>
                <w:noProof/>
              </w:rPr>
              <w:t>lle</w:t>
            </w:r>
          </w:p>
        </w:tc>
        <w:tc>
          <w:tcPr>
            <w:tcW w:w="1134" w:type="dxa"/>
            <w:gridSpan w:val="2"/>
            <w:shd w:val="clear" w:color="auto" w:fill="C6D9F1" w:themeFill="text2" w:themeFillTint="33"/>
            <w:noWrap/>
            <w:vAlign w:val="center"/>
          </w:tcPr>
          <w:p w14:paraId="3E575B49" w14:textId="77777777" w:rsidR="000E48CE" w:rsidRDefault="00FF4C4E">
            <w:pPr>
              <w:pStyle w:val="P68B1DB1-Normal12"/>
              <w:spacing w:after="0"/>
              <w:jc w:val="center"/>
              <w:rPr>
                <w:rFonts w:cs="Times New Roman"/>
                <w:noProof/>
              </w:rPr>
            </w:pPr>
            <w:r>
              <w:rPr>
                <w:noProof/>
              </w:rPr>
              <w:t>Aika</w:t>
            </w:r>
          </w:p>
        </w:tc>
        <w:tc>
          <w:tcPr>
            <w:tcW w:w="6096" w:type="dxa"/>
            <w:tcBorders>
              <w:bottom w:val="nil"/>
            </w:tcBorders>
            <w:shd w:val="clear" w:color="auto" w:fill="C6D9F1" w:themeFill="text2" w:themeFillTint="33"/>
            <w:noWrap/>
            <w:vAlign w:val="center"/>
          </w:tcPr>
          <w:p w14:paraId="3855E62C" w14:textId="77777777" w:rsidR="000E48CE" w:rsidRDefault="00FF4C4E">
            <w:pPr>
              <w:pStyle w:val="P68B1DB1-Normal12"/>
              <w:spacing w:after="0"/>
              <w:jc w:val="center"/>
              <w:rPr>
                <w:rFonts w:cs="Times New Roman"/>
                <w:noProof/>
              </w:rPr>
            </w:pPr>
            <w:r>
              <w:rPr>
                <w:noProof/>
              </w:rPr>
              <w:t>Kunkin välitavoitteen ja tavoitteen kuvaus</w:t>
            </w:r>
          </w:p>
        </w:tc>
      </w:tr>
      <w:tr w:rsidR="000E48CE" w14:paraId="35CF314C" w14:textId="77777777">
        <w:trPr>
          <w:trHeight w:val="309"/>
          <w:tblHeader/>
        </w:trPr>
        <w:tc>
          <w:tcPr>
            <w:tcW w:w="709" w:type="dxa"/>
            <w:tcBorders>
              <w:top w:val="nil"/>
            </w:tcBorders>
            <w:shd w:val="clear" w:color="auto" w:fill="C6D9F1" w:themeFill="text2" w:themeFillTint="33"/>
            <w:noWrap/>
          </w:tcPr>
          <w:p w14:paraId="1361DD6A" w14:textId="77777777" w:rsidR="000E48CE" w:rsidRDefault="000E48CE">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C77ED12" w14:textId="77777777" w:rsidR="000E48CE" w:rsidRDefault="000E48CE">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FCEA2E9" w14:textId="77777777" w:rsidR="000E48CE" w:rsidRDefault="000E48CE">
            <w:pPr>
              <w:spacing w:after="0"/>
              <w:jc w:val="center"/>
              <w:rPr>
                <w:rFonts w:ascii="Times New Roman" w:hAnsi="Times New Roman" w:cs="Times New Roman"/>
                <w:b/>
                <w:noProof/>
                <w:sz w:val="18"/>
              </w:rPr>
            </w:pPr>
          </w:p>
        </w:tc>
        <w:tc>
          <w:tcPr>
            <w:tcW w:w="2694" w:type="dxa"/>
            <w:tcBorders>
              <w:top w:val="nil"/>
            </w:tcBorders>
            <w:shd w:val="clear" w:color="auto" w:fill="C6D9F1" w:themeFill="text2" w:themeFillTint="33"/>
            <w:noWrap/>
          </w:tcPr>
          <w:p w14:paraId="054C702F" w14:textId="77777777" w:rsidR="000E48CE" w:rsidRDefault="000E48CE">
            <w:pPr>
              <w:spacing w:after="0"/>
              <w:rPr>
                <w:rFonts w:ascii="Times New Roman" w:hAnsi="Times New Roman" w:cs="Times New Roman"/>
                <w:b/>
                <w:noProof/>
                <w:sz w:val="18"/>
              </w:rPr>
            </w:pPr>
          </w:p>
        </w:tc>
        <w:tc>
          <w:tcPr>
            <w:tcW w:w="992" w:type="dxa"/>
            <w:tcBorders>
              <w:top w:val="nil"/>
            </w:tcBorders>
            <w:shd w:val="clear" w:color="auto" w:fill="C6D9F1" w:themeFill="text2" w:themeFillTint="33"/>
            <w:noWrap/>
          </w:tcPr>
          <w:p w14:paraId="60785CA4" w14:textId="77777777" w:rsidR="000E48CE" w:rsidRDefault="000E48CE">
            <w:pPr>
              <w:spacing w:after="0"/>
              <w:jc w:val="center"/>
              <w:rPr>
                <w:rFonts w:ascii="Times New Roman" w:hAnsi="Times New Roman" w:cs="Times New Roman"/>
                <w:b/>
                <w:noProof/>
                <w:sz w:val="18"/>
              </w:rPr>
            </w:pPr>
          </w:p>
        </w:tc>
        <w:tc>
          <w:tcPr>
            <w:tcW w:w="709" w:type="dxa"/>
            <w:shd w:val="clear" w:color="auto" w:fill="C6D9F1" w:themeFill="text2" w:themeFillTint="33"/>
            <w:noWrap/>
            <w:vAlign w:val="center"/>
          </w:tcPr>
          <w:p w14:paraId="0486E7CF" w14:textId="77777777" w:rsidR="000E48CE" w:rsidRDefault="00FF4C4E">
            <w:pPr>
              <w:pStyle w:val="P68B1DB1-Normal12"/>
              <w:spacing w:after="0"/>
              <w:jc w:val="center"/>
              <w:rPr>
                <w:rFonts w:cs="Times New Roman"/>
                <w:noProof/>
              </w:rPr>
            </w:pPr>
            <w:r>
              <w:rPr>
                <w:noProof/>
              </w:rPr>
              <w:t>Yksikkö</w:t>
            </w:r>
          </w:p>
        </w:tc>
        <w:tc>
          <w:tcPr>
            <w:tcW w:w="567" w:type="dxa"/>
            <w:shd w:val="clear" w:color="auto" w:fill="C6D9F1" w:themeFill="text2" w:themeFillTint="33"/>
            <w:noWrap/>
            <w:vAlign w:val="center"/>
          </w:tcPr>
          <w:p w14:paraId="467796B6" w14:textId="77777777" w:rsidR="000E48CE" w:rsidRDefault="00FF4C4E">
            <w:pPr>
              <w:pStyle w:val="P68B1DB1-Normal12"/>
              <w:spacing w:after="0"/>
              <w:jc w:val="center"/>
              <w:rPr>
                <w:rFonts w:cs="Times New Roman"/>
                <w:noProof/>
              </w:rPr>
            </w:pPr>
            <w:r>
              <w:rPr>
                <w:noProof/>
              </w:rPr>
              <w:t>Perusviiva</w:t>
            </w:r>
          </w:p>
        </w:tc>
        <w:tc>
          <w:tcPr>
            <w:tcW w:w="708" w:type="dxa"/>
            <w:shd w:val="clear" w:color="auto" w:fill="C6D9F1" w:themeFill="text2" w:themeFillTint="33"/>
            <w:noWrap/>
            <w:vAlign w:val="center"/>
          </w:tcPr>
          <w:p w14:paraId="74DDABE4" w14:textId="77777777" w:rsidR="000E48CE" w:rsidRDefault="00FF4C4E">
            <w:pPr>
              <w:pStyle w:val="P68B1DB1-Normal12"/>
              <w:spacing w:after="0"/>
              <w:jc w:val="center"/>
              <w:rPr>
                <w:rFonts w:cs="Times New Roman"/>
                <w:noProof/>
              </w:rPr>
            </w:pPr>
            <w:r>
              <w:rPr>
                <w:noProof/>
              </w:rPr>
              <w:t>Päämäärä</w:t>
            </w:r>
          </w:p>
        </w:tc>
        <w:tc>
          <w:tcPr>
            <w:tcW w:w="567" w:type="dxa"/>
            <w:shd w:val="clear" w:color="auto" w:fill="C6D9F1" w:themeFill="text2" w:themeFillTint="33"/>
            <w:noWrap/>
            <w:vAlign w:val="center"/>
          </w:tcPr>
          <w:p w14:paraId="7718399E" w14:textId="77777777" w:rsidR="000E48CE" w:rsidRDefault="00FF4C4E">
            <w:pPr>
              <w:pStyle w:val="P68B1DB1-Normal12"/>
              <w:spacing w:after="0"/>
              <w:jc w:val="center"/>
              <w:rPr>
                <w:rFonts w:cs="Times New Roman"/>
                <w:noProof/>
              </w:rPr>
            </w:pPr>
            <w:r>
              <w:rPr>
                <w:noProof/>
              </w:rPr>
              <w:t>Q</w:t>
            </w:r>
          </w:p>
        </w:tc>
        <w:tc>
          <w:tcPr>
            <w:tcW w:w="567" w:type="dxa"/>
            <w:shd w:val="clear" w:color="auto" w:fill="C6D9F1" w:themeFill="text2" w:themeFillTint="33"/>
            <w:noWrap/>
            <w:vAlign w:val="center"/>
          </w:tcPr>
          <w:p w14:paraId="776762E6" w14:textId="77777777" w:rsidR="000E48CE" w:rsidRDefault="00FF4C4E">
            <w:pPr>
              <w:pStyle w:val="P68B1DB1-Normal12"/>
              <w:spacing w:after="0"/>
              <w:jc w:val="center"/>
              <w:rPr>
                <w:rFonts w:cs="Times New Roman"/>
                <w:noProof/>
              </w:rPr>
            </w:pPr>
            <w:r>
              <w:rPr>
                <w:noProof/>
              </w:rPr>
              <w:t>Vuosi</w:t>
            </w:r>
          </w:p>
        </w:tc>
        <w:tc>
          <w:tcPr>
            <w:tcW w:w="6096" w:type="dxa"/>
            <w:tcBorders>
              <w:top w:val="nil"/>
            </w:tcBorders>
            <w:shd w:val="clear" w:color="auto" w:fill="C6D9F1" w:themeFill="text2" w:themeFillTint="33"/>
            <w:noWrap/>
          </w:tcPr>
          <w:p w14:paraId="5449FF2D" w14:textId="77777777" w:rsidR="000E48CE" w:rsidRDefault="000E48CE">
            <w:pPr>
              <w:spacing w:after="0"/>
              <w:rPr>
                <w:rFonts w:ascii="Times New Roman" w:hAnsi="Times New Roman" w:cs="Times New Roman"/>
                <w:b/>
                <w:noProof/>
                <w:sz w:val="18"/>
              </w:rPr>
            </w:pPr>
          </w:p>
        </w:tc>
      </w:tr>
      <w:tr w:rsidR="000E48CE" w14:paraId="2F15455E" w14:textId="77777777">
        <w:trPr>
          <w:trHeight w:val="309"/>
        </w:trPr>
        <w:tc>
          <w:tcPr>
            <w:tcW w:w="709" w:type="dxa"/>
            <w:shd w:val="clear" w:color="auto" w:fill="C6EFCE"/>
            <w:noWrap/>
          </w:tcPr>
          <w:p w14:paraId="68A3032E" w14:textId="77777777" w:rsidR="000E48CE" w:rsidRDefault="00FF4C4E">
            <w:pPr>
              <w:pStyle w:val="P68B1DB1-Normal13"/>
              <w:spacing w:after="0"/>
              <w:jc w:val="center"/>
              <w:rPr>
                <w:rFonts w:eastAsia="Times New Roman" w:cs="Times New Roman"/>
                <w:noProof/>
              </w:rPr>
            </w:pPr>
            <w:r>
              <w:rPr>
                <w:noProof/>
              </w:rPr>
              <w:t>397</w:t>
            </w:r>
          </w:p>
        </w:tc>
        <w:tc>
          <w:tcPr>
            <w:tcW w:w="851" w:type="dxa"/>
            <w:shd w:val="clear" w:color="auto" w:fill="C6EFCE"/>
            <w:noWrap/>
          </w:tcPr>
          <w:p w14:paraId="50BDDBFE" w14:textId="77777777" w:rsidR="000E48CE" w:rsidRDefault="00FF4C4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1EAD88C6" w14:textId="77777777" w:rsidR="000E48CE" w:rsidRDefault="00FF4C4E">
            <w:pPr>
              <w:pStyle w:val="P68B1DB1-Normal13"/>
              <w:spacing w:after="0"/>
              <w:jc w:val="center"/>
              <w:rPr>
                <w:rFonts w:eastAsia="Times New Roman" w:cs="Times New Roman"/>
                <w:noProof/>
              </w:rPr>
            </w:pPr>
            <w:r>
              <w:rPr>
                <w:noProof/>
              </w:rPr>
              <w:t>M</w:t>
            </w:r>
          </w:p>
        </w:tc>
        <w:tc>
          <w:tcPr>
            <w:tcW w:w="2694" w:type="dxa"/>
            <w:shd w:val="clear" w:color="auto" w:fill="C6EFCE"/>
            <w:noWrap/>
          </w:tcPr>
          <w:p w14:paraId="0264E42F" w14:textId="6F2057AA" w:rsidR="000E48CE" w:rsidRDefault="00FF4C4E">
            <w:pPr>
              <w:pStyle w:val="P68B1DB1-Normal13"/>
              <w:spacing w:after="0"/>
              <w:rPr>
                <w:rFonts w:eastAsia="Times New Roman" w:cs="Times New Roman"/>
                <w:noProof/>
              </w:rPr>
            </w:pPr>
            <w:r>
              <w:rPr>
                <w:noProof/>
              </w:rPr>
              <w:t>Pysyvän ryhmän perustaminen valtiovarainministeriöön menojen uudelleenarviointien tulosten täytäntöönpanon aktiivista seurantaa varten ja vuotuisen</w:t>
            </w:r>
            <w:r>
              <w:rPr>
                <w:noProof/>
              </w:rPr>
              <w:t xml:space="preserve"> talousarviolain laatimista koskevan määräyksen hyväksyminen</w:t>
            </w:r>
          </w:p>
        </w:tc>
        <w:tc>
          <w:tcPr>
            <w:tcW w:w="992" w:type="dxa"/>
            <w:shd w:val="clear" w:color="auto" w:fill="C6EFCE"/>
            <w:noWrap/>
          </w:tcPr>
          <w:p w14:paraId="739280CA" w14:textId="77777777" w:rsidR="000E48CE" w:rsidRDefault="00FF4C4E">
            <w:pPr>
              <w:pStyle w:val="P68B1DB1-Normal13"/>
              <w:spacing w:after="0"/>
              <w:jc w:val="center"/>
              <w:rPr>
                <w:rFonts w:eastAsia="Times New Roman" w:cs="Times New Roman"/>
                <w:noProof/>
              </w:rPr>
            </w:pPr>
            <w:r>
              <w:rPr>
                <w:noProof/>
              </w:rPr>
              <w:t>Lain säännökset, joista käy ilmi sen voimaantulo. Vuotuisen talousarviolain laatimisjärjestys</w:t>
            </w:r>
          </w:p>
        </w:tc>
        <w:tc>
          <w:tcPr>
            <w:tcW w:w="709" w:type="dxa"/>
            <w:shd w:val="clear" w:color="auto" w:fill="C6EFCE"/>
            <w:noWrap/>
          </w:tcPr>
          <w:p w14:paraId="5663BB8C" w14:textId="77777777" w:rsidR="000E48CE" w:rsidRDefault="00FF4C4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4B1EC57F" w14:textId="77777777" w:rsidR="000E48CE" w:rsidRDefault="00FF4C4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768B7898"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5F9E48CB" w14:textId="77777777" w:rsidR="000E48CE" w:rsidRDefault="00FF4C4E">
            <w:pPr>
              <w:pStyle w:val="P68B1DB1-Normal13"/>
              <w:spacing w:after="0"/>
              <w:jc w:val="center"/>
              <w:rPr>
                <w:rFonts w:eastAsia="Times New Roman" w:cs="Times New Roman"/>
                <w:noProof/>
              </w:rPr>
            </w:pPr>
            <w:r>
              <w:rPr>
                <w:noProof/>
              </w:rPr>
              <w:t>Q2</w:t>
            </w:r>
          </w:p>
        </w:tc>
        <w:tc>
          <w:tcPr>
            <w:tcW w:w="567" w:type="dxa"/>
            <w:shd w:val="clear" w:color="auto" w:fill="C6EFCE"/>
            <w:noWrap/>
          </w:tcPr>
          <w:p w14:paraId="565B6B09" w14:textId="77777777" w:rsidR="000E48CE" w:rsidRDefault="00FF4C4E">
            <w:pPr>
              <w:pStyle w:val="P68B1DB1-Normal13"/>
              <w:spacing w:after="0"/>
              <w:jc w:val="center"/>
              <w:rPr>
                <w:rFonts w:eastAsia="Times New Roman" w:cs="Times New Roman"/>
                <w:noProof/>
              </w:rPr>
            </w:pPr>
            <w:r>
              <w:rPr>
                <w:noProof/>
              </w:rPr>
              <w:t>2021</w:t>
            </w:r>
          </w:p>
        </w:tc>
        <w:tc>
          <w:tcPr>
            <w:tcW w:w="6096" w:type="dxa"/>
            <w:shd w:val="clear" w:color="auto" w:fill="C6EFCE"/>
            <w:noWrap/>
          </w:tcPr>
          <w:p w14:paraId="0C262991" w14:textId="77777777" w:rsidR="000E48CE" w:rsidRDefault="00FF4C4E">
            <w:pPr>
              <w:pStyle w:val="P68B1DB1-Normal13"/>
              <w:spacing w:after="0"/>
              <w:rPr>
                <w:rFonts w:eastAsia="Times New Roman" w:cs="Times New Roman"/>
                <w:noProof/>
              </w:rPr>
            </w:pPr>
            <w:r>
              <w:rPr>
                <w:noProof/>
              </w:rPr>
              <w:t>Tulee voimaan i) pysyvä ryhmä, jonka tehtävänä on seurata aktiivisesti menojen uudellee</w:t>
            </w:r>
            <w:r>
              <w:rPr>
                <w:noProof/>
              </w:rPr>
              <w:t>narviointien tulosten täytäntöönpanoa ja edistää ”noudata tai selitä” -periaatetta (valtiovarainministeriön budjetti- ja menosihteeristöön) ja ii) valtiovarainministeriön sitoumuksesta julkaista vuosikertomus, joka sisältää vastaukset kaikkiin AIReF:n anta</w:t>
            </w:r>
            <w:r>
              <w:rPr>
                <w:noProof/>
              </w:rPr>
              <w:t>miin menojen uudelleentarkastelua koskeviin suosituksiin. Vuotuista talousarviolakia koskevaan lakiin sisältyy keskushallinnon ja sosiaaliturvan sitoumus seurata ja seurata talousarviosyklin aikana menojen uudelleenarviointien suosituksia, mukaan lukien to</w:t>
            </w:r>
            <w:r>
              <w:rPr>
                <w:noProof/>
              </w:rPr>
              <w:t>imenpiteet, jotka on toteutettu tai jotka on tarkoitus toteuttaa seuraavana vuonna.</w:t>
            </w:r>
          </w:p>
        </w:tc>
      </w:tr>
      <w:tr w:rsidR="000E48CE" w14:paraId="3C7FAF28" w14:textId="77777777">
        <w:trPr>
          <w:trHeight w:val="309"/>
        </w:trPr>
        <w:tc>
          <w:tcPr>
            <w:tcW w:w="709" w:type="dxa"/>
            <w:shd w:val="clear" w:color="auto" w:fill="C6EFCE"/>
            <w:noWrap/>
          </w:tcPr>
          <w:p w14:paraId="5E12E8A2" w14:textId="77777777" w:rsidR="000E48CE" w:rsidRDefault="00FF4C4E">
            <w:pPr>
              <w:pStyle w:val="P68B1DB1-Normal13"/>
              <w:spacing w:after="0"/>
              <w:jc w:val="center"/>
              <w:rPr>
                <w:rFonts w:eastAsia="Times New Roman" w:cs="Times New Roman"/>
                <w:noProof/>
              </w:rPr>
            </w:pPr>
            <w:r>
              <w:rPr>
                <w:noProof/>
              </w:rPr>
              <w:t>398</w:t>
            </w:r>
          </w:p>
        </w:tc>
        <w:tc>
          <w:tcPr>
            <w:tcW w:w="851" w:type="dxa"/>
            <w:shd w:val="clear" w:color="auto" w:fill="C6EFCE"/>
            <w:noWrap/>
          </w:tcPr>
          <w:p w14:paraId="1673859E" w14:textId="77777777" w:rsidR="000E48CE" w:rsidRDefault="00FF4C4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68D9AE0D" w14:textId="77777777" w:rsidR="000E48CE" w:rsidRDefault="00FF4C4E">
            <w:pPr>
              <w:pStyle w:val="P68B1DB1-Normal13"/>
              <w:spacing w:after="0"/>
              <w:jc w:val="center"/>
              <w:rPr>
                <w:rFonts w:eastAsia="Times New Roman" w:cs="Times New Roman"/>
                <w:noProof/>
              </w:rPr>
            </w:pPr>
            <w:r>
              <w:rPr>
                <w:noProof/>
              </w:rPr>
              <w:t>M</w:t>
            </w:r>
          </w:p>
        </w:tc>
        <w:tc>
          <w:tcPr>
            <w:tcW w:w="2694" w:type="dxa"/>
            <w:shd w:val="clear" w:color="auto" w:fill="C6EFCE"/>
            <w:noWrap/>
          </w:tcPr>
          <w:p w14:paraId="01F716A6" w14:textId="77777777" w:rsidR="000E48CE" w:rsidRDefault="00FF4C4E">
            <w:pPr>
              <w:pStyle w:val="P68B1DB1-Normal13"/>
              <w:spacing w:after="0"/>
              <w:rPr>
                <w:rFonts w:eastAsia="Times New Roman" w:cs="Times New Roman"/>
                <w:noProof/>
              </w:rPr>
            </w:pPr>
            <w:r>
              <w:rPr>
                <w:noProof/>
              </w:rPr>
              <w:t>Menojen uudelleentarkastelun vaihe III</w:t>
            </w:r>
          </w:p>
        </w:tc>
        <w:tc>
          <w:tcPr>
            <w:tcW w:w="992" w:type="dxa"/>
            <w:shd w:val="clear" w:color="auto" w:fill="C6EFCE"/>
            <w:noWrap/>
          </w:tcPr>
          <w:p w14:paraId="7F2C7D52" w14:textId="77777777" w:rsidR="000E48CE" w:rsidRDefault="00FF4C4E">
            <w:pPr>
              <w:pStyle w:val="P68B1DB1-Normal13"/>
              <w:spacing w:after="0"/>
              <w:jc w:val="center"/>
              <w:rPr>
                <w:rFonts w:eastAsia="Times New Roman" w:cs="Times New Roman"/>
                <w:noProof/>
              </w:rPr>
            </w:pPr>
            <w:r>
              <w:rPr>
                <w:noProof/>
              </w:rPr>
              <w:t>Ministerineuvoston hyväksyntä:</w:t>
            </w:r>
          </w:p>
        </w:tc>
        <w:tc>
          <w:tcPr>
            <w:tcW w:w="709" w:type="dxa"/>
            <w:shd w:val="clear" w:color="auto" w:fill="C6EFCE"/>
            <w:noWrap/>
          </w:tcPr>
          <w:p w14:paraId="68D0BAA2" w14:textId="77777777" w:rsidR="000E48CE" w:rsidRDefault="00FF4C4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2A94D5C2" w14:textId="77777777" w:rsidR="000E48CE" w:rsidRDefault="00FF4C4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2AD94573"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6C4A1BAD" w14:textId="77777777" w:rsidR="000E48CE" w:rsidRDefault="00FF4C4E">
            <w:pPr>
              <w:pStyle w:val="P68B1DB1-Normal13"/>
              <w:spacing w:after="0"/>
              <w:jc w:val="center"/>
              <w:rPr>
                <w:rFonts w:eastAsia="Times New Roman" w:cs="Times New Roman"/>
                <w:noProof/>
              </w:rPr>
            </w:pPr>
            <w:r>
              <w:rPr>
                <w:noProof/>
              </w:rPr>
              <w:t>Q2</w:t>
            </w:r>
          </w:p>
        </w:tc>
        <w:tc>
          <w:tcPr>
            <w:tcW w:w="567" w:type="dxa"/>
            <w:shd w:val="clear" w:color="auto" w:fill="C6EFCE"/>
            <w:noWrap/>
          </w:tcPr>
          <w:p w14:paraId="72149FF3" w14:textId="77777777" w:rsidR="000E48CE" w:rsidRDefault="00FF4C4E">
            <w:pPr>
              <w:pStyle w:val="P68B1DB1-Normal13"/>
              <w:spacing w:after="0"/>
              <w:jc w:val="center"/>
              <w:rPr>
                <w:rFonts w:eastAsia="Times New Roman" w:cs="Times New Roman"/>
                <w:noProof/>
              </w:rPr>
            </w:pPr>
            <w:r>
              <w:rPr>
                <w:noProof/>
              </w:rPr>
              <w:t>2021</w:t>
            </w:r>
          </w:p>
        </w:tc>
        <w:tc>
          <w:tcPr>
            <w:tcW w:w="6096" w:type="dxa"/>
            <w:shd w:val="clear" w:color="auto" w:fill="C6EFCE"/>
            <w:noWrap/>
          </w:tcPr>
          <w:p w14:paraId="1C4920E5" w14:textId="77777777" w:rsidR="000E48CE" w:rsidRDefault="00FF4C4E">
            <w:pPr>
              <w:pStyle w:val="P68B1DB1-Normal13"/>
              <w:spacing w:after="0"/>
              <w:rPr>
                <w:rFonts w:eastAsia="Times New Roman" w:cs="Times New Roman"/>
                <w:noProof/>
              </w:rPr>
            </w:pPr>
            <w:r>
              <w:rPr>
                <w:noProof/>
              </w:rPr>
              <w:t>Ministerineuvosto päättää menojen uudelleentarkastelun vaiheen III käynnistämisestä vuonna 2021. Menojen uudelleentarkastelun kolmannessa vaiheessa on käsiteltävä vähintään kahta alaa:  rahoitusvälineet ja yhdyskuntajätehuolto. AIReF suorittaa menojen uude</w:t>
            </w:r>
            <w:r>
              <w:rPr>
                <w:noProof/>
              </w:rPr>
              <w:t xml:space="preserve">lleentarkastelun. </w:t>
            </w:r>
          </w:p>
        </w:tc>
      </w:tr>
      <w:tr w:rsidR="000E48CE" w14:paraId="6A6D47CF" w14:textId="77777777">
        <w:trPr>
          <w:trHeight w:val="309"/>
        </w:trPr>
        <w:tc>
          <w:tcPr>
            <w:tcW w:w="709" w:type="dxa"/>
            <w:shd w:val="clear" w:color="auto" w:fill="C6EFCE"/>
            <w:noWrap/>
          </w:tcPr>
          <w:p w14:paraId="096F73B1" w14:textId="77777777" w:rsidR="000E48CE" w:rsidRDefault="00FF4C4E">
            <w:pPr>
              <w:pStyle w:val="P68B1DB1-Normal13"/>
              <w:spacing w:after="0"/>
              <w:jc w:val="center"/>
              <w:rPr>
                <w:rFonts w:cs="Times New Roman"/>
                <w:noProof/>
              </w:rPr>
            </w:pPr>
            <w:r>
              <w:rPr>
                <w:noProof/>
              </w:rPr>
              <w:t>399</w:t>
            </w:r>
          </w:p>
        </w:tc>
        <w:tc>
          <w:tcPr>
            <w:tcW w:w="851" w:type="dxa"/>
            <w:shd w:val="clear" w:color="auto" w:fill="C6EFCE"/>
            <w:noWrap/>
          </w:tcPr>
          <w:p w14:paraId="13B5FED5" w14:textId="77777777" w:rsidR="000E48CE" w:rsidRDefault="00FF4C4E">
            <w:pPr>
              <w:pStyle w:val="P68B1DB1-Normal13"/>
              <w:spacing w:after="0"/>
              <w:jc w:val="center"/>
              <w:rPr>
                <w:rFonts w:cs="Times New Roman"/>
                <w:noProof/>
              </w:rPr>
            </w:pPr>
            <w:r>
              <w:rPr>
                <w:noProof/>
              </w:rPr>
              <w:t>C29.R1</w:t>
            </w:r>
          </w:p>
        </w:tc>
        <w:tc>
          <w:tcPr>
            <w:tcW w:w="850" w:type="dxa"/>
            <w:shd w:val="clear" w:color="auto" w:fill="C6EFCE"/>
            <w:noWrap/>
          </w:tcPr>
          <w:p w14:paraId="47FDE754" w14:textId="77777777" w:rsidR="000E48CE" w:rsidRDefault="00FF4C4E">
            <w:pPr>
              <w:pStyle w:val="P68B1DB1-Normal13"/>
              <w:spacing w:after="0"/>
              <w:jc w:val="center"/>
              <w:rPr>
                <w:rFonts w:cs="Times New Roman"/>
                <w:noProof/>
              </w:rPr>
            </w:pPr>
            <w:r>
              <w:rPr>
                <w:noProof/>
              </w:rPr>
              <w:t>M</w:t>
            </w:r>
          </w:p>
        </w:tc>
        <w:tc>
          <w:tcPr>
            <w:tcW w:w="2694" w:type="dxa"/>
            <w:shd w:val="clear" w:color="auto" w:fill="C6EFCE"/>
            <w:noWrap/>
          </w:tcPr>
          <w:p w14:paraId="72A052F6" w14:textId="77777777" w:rsidR="000E48CE" w:rsidRDefault="00FF4C4E">
            <w:pPr>
              <w:pStyle w:val="P68B1DB1-Normal13"/>
              <w:spacing w:after="0"/>
              <w:rPr>
                <w:rFonts w:cs="Times New Roman"/>
                <w:noProof/>
              </w:rPr>
            </w:pPr>
            <w:r>
              <w:rPr>
                <w:noProof/>
              </w:rPr>
              <w:t>Perustetaan AIReF:ään pysyvä yksikkö, joka vastaa hallituksen valtuuttamien menojen uudelleentarkastelujen suorittamisesta.</w:t>
            </w:r>
          </w:p>
        </w:tc>
        <w:tc>
          <w:tcPr>
            <w:tcW w:w="992" w:type="dxa"/>
            <w:shd w:val="clear" w:color="auto" w:fill="C6EFCE"/>
            <w:noWrap/>
          </w:tcPr>
          <w:p w14:paraId="0B9B9238" w14:textId="77777777" w:rsidR="000E48CE" w:rsidRDefault="00FF4C4E">
            <w:pPr>
              <w:pStyle w:val="P68B1DB1-Normal13"/>
              <w:spacing w:after="0"/>
              <w:jc w:val="center"/>
              <w:rPr>
                <w:rFonts w:cs="Times New Roman"/>
                <w:noProof/>
              </w:rPr>
            </w:pPr>
            <w:r>
              <w:rPr>
                <w:noProof/>
              </w:rPr>
              <w:t>Maaseudun kehittämisasetuksen säännökset, joista käy ilmi sen voimaantulo</w:t>
            </w:r>
          </w:p>
        </w:tc>
        <w:tc>
          <w:tcPr>
            <w:tcW w:w="709" w:type="dxa"/>
            <w:shd w:val="clear" w:color="auto" w:fill="C6EFCE"/>
            <w:noWrap/>
          </w:tcPr>
          <w:p w14:paraId="6A4522B7" w14:textId="77777777" w:rsidR="000E48CE" w:rsidRDefault="00FF4C4E">
            <w:pPr>
              <w:pStyle w:val="P68B1DB1-Normal13"/>
              <w:spacing w:after="0"/>
              <w:jc w:val="center"/>
              <w:rPr>
                <w:rFonts w:cs="Times New Roman"/>
                <w:noProof/>
              </w:rPr>
            </w:pPr>
            <w:r>
              <w:rPr>
                <w:noProof/>
              </w:rPr>
              <w:t xml:space="preserve"> </w:t>
            </w:r>
          </w:p>
        </w:tc>
        <w:tc>
          <w:tcPr>
            <w:tcW w:w="567" w:type="dxa"/>
            <w:shd w:val="clear" w:color="auto" w:fill="C6EFCE"/>
            <w:noWrap/>
          </w:tcPr>
          <w:p w14:paraId="7951C568" w14:textId="77777777" w:rsidR="000E48CE" w:rsidRDefault="00FF4C4E">
            <w:pPr>
              <w:pStyle w:val="P68B1DB1-Normal13"/>
              <w:spacing w:after="0"/>
              <w:jc w:val="right"/>
              <w:rPr>
                <w:rFonts w:cs="Times New Roman"/>
                <w:noProof/>
              </w:rPr>
            </w:pPr>
            <w:r>
              <w:rPr>
                <w:noProof/>
              </w:rPr>
              <w:t xml:space="preserve"> </w:t>
            </w:r>
          </w:p>
        </w:tc>
        <w:tc>
          <w:tcPr>
            <w:tcW w:w="708" w:type="dxa"/>
            <w:shd w:val="clear" w:color="auto" w:fill="C6EFCE"/>
            <w:noWrap/>
          </w:tcPr>
          <w:p w14:paraId="510F1B72" w14:textId="77777777" w:rsidR="000E48CE" w:rsidRDefault="00FF4C4E">
            <w:pPr>
              <w:pStyle w:val="P68B1DB1-Normal13"/>
              <w:spacing w:after="0"/>
              <w:jc w:val="right"/>
              <w:rPr>
                <w:rFonts w:cs="Times New Roman"/>
                <w:noProof/>
              </w:rPr>
            </w:pPr>
            <w:r>
              <w:rPr>
                <w:noProof/>
              </w:rPr>
              <w:t xml:space="preserve"> </w:t>
            </w:r>
          </w:p>
        </w:tc>
        <w:tc>
          <w:tcPr>
            <w:tcW w:w="567" w:type="dxa"/>
            <w:shd w:val="clear" w:color="auto" w:fill="C6EFCE"/>
            <w:noWrap/>
          </w:tcPr>
          <w:p w14:paraId="4B9CB736" w14:textId="77777777" w:rsidR="000E48CE" w:rsidRDefault="00FF4C4E">
            <w:pPr>
              <w:pStyle w:val="P68B1DB1-Normal13"/>
              <w:spacing w:after="0"/>
              <w:jc w:val="center"/>
              <w:rPr>
                <w:rFonts w:cs="Times New Roman"/>
                <w:noProof/>
              </w:rPr>
            </w:pPr>
            <w:r>
              <w:rPr>
                <w:noProof/>
              </w:rPr>
              <w:t>Q2</w:t>
            </w:r>
          </w:p>
        </w:tc>
        <w:tc>
          <w:tcPr>
            <w:tcW w:w="567" w:type="dxa"/>
            <w:shd w:val="clear" w:color="auto" w:fill="C6EFCE"/>
            <w:noWrap/>
          </w:tcPr>
          <w:p w14:paraId="562D6171" w14:textId="77777777" w:rsidR="000E48CE" w:rsidRDefault="00FF4C4E">
            <w:pPr>
              <w:pStyle w:val="P68B1DB1-Normal13"/>
              <w:spacing w:after="0"/>
              <w:jc w:val="center"/>
              <w:rPr>
                <w:rFonts w:cs="Times New Roman"/>
                <w:noProof/>
              </w:rPr>
            </w:pPr>
            <w:r>
              <w:rPr>
                <w:noProof/>
              </w:rPr>
              <w:t>2021</w:t>
            </w:r>
          </w:p>
        </w:tc>
        <w:tc>
          <w:tcPr>
            <w:tcW w:w="6096" w:type="dxa"/>
            <w:shd w:val="clear" w:color="auto" w:fill="C6EFCE"/>
            <w:noWrap/>
          </w:tcPr>
          <w:p w14:paraId="26000930" w14:textId="77777777" w:rsidR="000E48CE" w:rsidRDefault="00FF4C4E">
            <w:pPr>
              <w:pStyle w:val="P68B1DB1-Normal13"/>
              <w:spacing w:after="0"/>
              <w:rPr>
                <w:rFonts w:cs="Times New Roman"/>
                <w:noProof/>
              </w:rPr>
            </w:pPr>
            <w:r>
              <w:rPr>
                <w:noProof/>
              </w:rPr>
              <w:t xml:space="preserve">AIReF:n luonnonmukaista tuotantoa koskevasta perussäännöstä annetun kuninkaallisen asetuksen 215/2014 muutoksen voimaantulo siten, että perustetaan pysyvä yksikkö, joka vastaa hallituksen tilaamien menojen uudelleentarkastelujen suorittamisesta. </w:t>
            </w:r>
          </w:p>
        </w:tc>
      </w:tr>
      <w:tr w:rsidR="000E48CE" w14:paraId="2C879550" w14:textId="77777777">
        <w:trPr>
          <w:trHeight w:val="309"/>
        </w:trPr>
        <w:tc>
          <w:tcPr>
            <w:tcW w:w="709" w:type="dxa"/>
            <w:shd w:val="clear" w:color="auto" w:fill="C6EFCE"/>
            <w:noWrap/>
          </w:tcPr>
          <w:p w14:paraId="7D68B413" w14:textId="77777777" w:rsidR="000E48CE" w:rsidRDefault="00FF4C4E">
            <w:pPr>
              <w:pStyle w:val="P68B1DB1-Normal13"/>
              <w:spacing w:after="0"/>
              <w:jc w:val="center"/>
              <w:rPr>
                <w:rFonts w:eastAsia="Times New Roman" w:cs="Times New Roman"/>
                <w:noProof/>
              </w:rPr>
            </w:pPr>
            <w:r>
              <w:rPr>
                <w:noProof/>
              </w:rPr>
              <w:t>400</w:t>
            </w:r>
          </w:p>
        </w:tc>
        <w:tc>
          <w:tcPr>
            <w:tcW w:w="851" w:type="dxa"/>
            <w:shd w:val="clear" w:color="auto" w:fill="C6EFCE"/>
            <w:noWrap/>
          </w:tcPr>
          <w:p w14:paraId="34D141FA" w14:textId="77777777" w:rsidR="000E48CE" w:rsidRDefault="00FF4C4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5ADCDE13" w14:textId="77777777" w:rsidR="000E48CE" w:rsidRDefault="00FF4C4E">
            <w:pPr>
              <w:pStyle w:val="P68B1DB1-Normal13"/>
              <w:spacing w:after="0"/>
              <w:jc w:val="center"/>
              <w:rPr>
                <w:rFonts w:eastAsia="Times New Roman" w:cs="Times New Roman"/>
                <w:noProof/>
              </w:rPr>
            </w:pPr>
            <w:r>
              <w:rPr>
                <w:noProof/>
              </w:rPr>
              <w:t>M</w:t>
            </w:r>
          </w:p>
        </w:tc>
        <w:tc>
          <w:tcPr>
            <w:tcW w:w="2694" w:type="dxa"/>
            <w:shd w:val="clear" w:color="auto" w:fill="C6EFCE"/>
            <w:noWrap/>
          </w:tcPr>
          <w:p w14:paraId="664058F7" w14:textId="77777777" w:rsidR="000E48CE" w:rsidRDefault="00FF4C4E">
            <w:pPr>
              <w:pStyle w:val="P68B1DB1-Normal13"/>
              <w:spacing w:after="0"/>
              <w:rPr>
                <w:rFonts w:eastAsia="Times New Roman" w:cs="Times New Roman"/>
                <w:noProof/>
              </w:rPr>
            </w:pPr>
            <w:r>
              <w:rPr>
                <w:noProof/>
              </w:rPr>
              <w:t>Ministerineuvoston hyväksyntä AIReF:lle tilattavien menojen uudelleenarviointien uudelle syklille (2022–26).</w:t>
            </w:r>
          </w:p>
        </w:tc>
        <w:tc>
          <w:tcPr>
            <w:tcW w:w="992" w:type="dxa"/>
            <w:shd w:val="clear" w:color="auto" w:fill="C6EFCE"/>
            <w:noWrap/>
          </w:tcPr>
          <w:p w14:paraId="4DA1E24F" w14:textId="77777777" w:rsidR="000E48CE" w:rsidRDefault="00FF4C4E">
            <w:pPr>
              <w:pStyle w:val="P68B1DB1-Normal13"/>
              <w:spacing w:after="0"/>
              <w:jc w:val="center"/>
              <w:rPr>
                <w:rFonts w:eastAsia="Times New Roman" w:cs="Times New Roman"/>
                <w:noProof/>
              </w:rPr>
            </w:pPr>
            <w:r>
              <w:rPr>
                <w:noProof/>
              </w:rPr>
              <w:t>Ministerineuvoston sopimuksen määräys, jossa ilmoitetaan sopimuksen voimaantulo</w:t>
            </w:r>
          </w:p>
        </w:tc>
        <w:tc>
          <w:tcPr>
            <w:tcW w:w="709" w:type="dxa"/>
            <w:shd w:val="clear" w:color="auto" w:fill="C6EFCE"/>
            <w:noWrap/>
          </w:tcPr>
          <w:p w14:paraId="5673BDB9" w14:textId="77777777" w:rsidR="000E48CE" w:rsidRDefault="00FF4C4E">
            <w:pPr>
              <w:pStyle w:val="P68B1DB1-Normal13"/>
              <w:spacing w:after="0"/>
              <w:jc w:val="center"/>
              <w:rPr>
                <w:rFonts w:eastAsia="Times New Roman" w:cs="Times New Roman"/>
                <w:noProof/>
              </w:rPr>
            </w:pPr>
            <w:r>
              <w:rPr>
                <w:noProof/>
              </w:rPr>
              <w:t> </w:t>
            </w:r>
          </w:p>
        </w:tc>
        <w:tc>
          <w:tcPr>
            <w:tcW w:w="567" w:type="dxa"/>
            <w:shd w:val="clear" w:color="auto" w:fill="C6EFCE"/>
            <w:noWrap/>
          </w:tcPr>
          <w:p w14:paraId="314257EC" w14:textId="77777777" w:rsidR="000E48CE" w:rsidRDefault="00FF4C4E">
            <w:pPr>
              <w:pStyle w:val="P68B1DB1-Normal13"/>
              <w:spacing w:after="0"/>
              <w:jc w:val="right"/>
              <w:rPr>
                <w:rFonts w:eastAsia="Times New Roman" w:cs="Times New Roman"/>
                <w:noProof/>
              </w:rPr>
            </w:pPr>
            <w:r>
              <w:rPr>
                <w:noProof/>
              </w:rPr>
              <w:t> </w:t>
            </w:r>
          </w:p>
        </w:tc>
        <w:tc>
          <w:tcPr>
            <w:tcW w:w="708" w:type="dxa"/>
            <w:shd w:val="clear" w:color="auto" w:fill="C6EFCE"/>
            <w:noWrap/>
          </w:tcPr>
          <w:p w14:paraId="5933B9EC" w14:textId="77777777" w:rsidR="000E48CE" w:rsidRDefault="00FF4C4E">
            <w:pPr>
              <w:pStyle w:val="P68B1DB1-Normal13"/>
              <w:spacing w:after="0"/>
              <w:rPr>
                <w:rFonts w:eastAsia="Times New Roman" w:cs="Times New Roman"/>
                <w:noProof/>
              </w:rPr>
            </w:pPr>
            <w:r>
              <w:rPr>
                <w:noProof/>
              </w:rPr>
              <w:t> </w:t>
            </w:r>
          </w:p>
        </w:tc>
        <w:tc>
          <w:tcPr>
            <w:tcW w:w="567" w:type="dxa"/>
            <w:shd w:val="clear" w:color="auto" w:fill="C6EFCE"/>
            <w:noWrap/>
          </w:tcPr>
          <w:p w14:paraId="30706DA0" w14:textId="77777777" w:rsidR="000E48CE" w:rsidRDefault="00FF4C4E">
            <w:pPr>
              <w:pStyle w:val="P68B1DB1-Normal13"/>
              <w:spacing w:after="0"/>
              <w:jc w:val="center"/>
              <w:rPr>
                <w:rFonts w:eastAsia="Times New Roman" w:cs="Times New Roman"/>
                <w:noProof/>
              </w:rPr>
            </w:pPr>
            <w:r>
              <w:rPr>
                <w:noProof/>
              </w:rPr>
              <w:t>Q4</w:t>
            </w:r>
          </w:p>
        </w:tc>
        <w:tc>
          <w:tcPr>
            <w:tcW w:w="567" w:type="dxa"/>
            <w:shd w:val="clear" w:color="auto" w:fill="C6EFCE"/>
            <w:noWrap/>
          </w:tcPr>
          <w:p w14:paraId="642A5343" w14:textId="77777777" w:rsidR="000E48CE" w:rsidRDefault="00FF4C4E">
            <w:pPr>
              <w:pStyle w:val="P68B1DB1-Normal13"/>
              <w:spacing w:after="0"/>
              <w:jc w:val="center"/>
              <w:rPr>
                <w:rFonts w:eastAsia="Times New Roman" w:cs="Times New Roman"/>
                <w:noProof/>
              </w:rPr>
            </w:pPr>
            <w:r>
              <w:rPr>
                <w:noProof/>
              </w:rPr>
              <w:t>2021</w:t>
            </w:r>
          </w:p>
        </w:tc>
        <w:tc>
          <w:tcPr>
            <w:tcW w:w="6096" w:type="dxa"/>
            <w:shd w:val="clear" w:color="auto" w:fill="C6EFCE"/>
            <w:noWrap/>
          </w:tcPr>
          <w:p w14:paraId="46C91DC3" w14:textId="77777777" w:rsidR="000E48CE" w:rsidRDefault="00FF4C4E">
            <w:pPr>
              <w:pStyle w:val="P68B1DB1-Normal13"/>
              <w:spacing w:after="0"/>
              <w:rPr>
                <w:rFonts w:eastAsia="Times New Roman" w:cs="Times New Roman"/>
                <w:noProof/>
              </w:rPr>
            </w:pPr>
            <w:r>
              <w:rPr>
                <w:noProof/>
              </w:rPr>
              <w:t>Uusi monivuotinen julkisten menojen arviointikierros kattaa vuodet 2022–2026. Jotta hakemus voidaan suunnitella asianmukaisesti ja kerätä tarvittavat tiedot menojen uudelleenarvioinnin kutakin vaihetta varten, ministerineuvosto päättää ja julkaisee AIReF:ä</w:t>
            </w:r>
            <w:r>
              <w:rPr>
                <w:noProof/>
              </w:rPr>
              <w:t xml:space="preserve">ä kuultuaan ainakin politiikan alat, asianomaiset julkisyhteisöt ja analyysin kattamat ajanjaksot sekä asiaankuuluvat metodologiset näkökohdat. </w:t>
            </w:r>
          </w:p>
        </w:tc>
      </w:tr>
      <w:tr w:rsidR="000E48CE" w14:paraId="3B5884ED" w14:textId="77777777">
        <w:trPr>
          <w:trHeight w:val="390"/>
        </w:trPr>
        <w:tc>
          <w:tcPr>
            <w:tcW w:w="709" w:type="dxa"/>
            <w:shd w:val="clear" w:color="auto" w:fill="C6EFCE"/>
            <w:noWrap/>
          </w:tcPr>
          <w:p w14:paraId="6877DEE0" w14:textId="77777777" w:rsidR="000E48CE" w:rsidRDefault="00FF4C4E">
            <w:pPr>
              <w:pStyle w:val="P68B1DB1-Normal13"/>
              <w:spacing w:after="0"/>
              <w:jc w:val="center"/>
              <w:rPr>
                <w:rFonts w:eastAsia="Times New Roman" w:cs="Times New Roman"/>
                <w:noProof/>
              </w:rPr>
            </w:pPr>
            <w:r>
              <w:rPr>
                <w:noProof/>
              </w:rPr>
              <w:t>401</w:t>
            </w:r>
          </w:p>
        </w:tc>
        <w:tc>
          <w:tcPr>
            <w:tcW w:w="851" w:type="dxa"/>
            <w:shd w:val="clear" w:color="auto" w:fill="C6EFCE"/>
            <w:noWrap/>
          </w:tcPr>
          <w:p w14:paraId="59AE15C9" w14:textId="77777777" w:rsidR="000E48CE" w:rsidRDefault="00FF4C4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068694C4" w14:textId="77777777" w:rsidR="000E48CE" w:rsidRDefault="00FF4C4E">
            <w:pPr>
              <w:pStyle w:val="P68B1DB1-Normal13"/>
              <w:spacing w:after="0"/>
              <w:jc w:val="center"/>
              <w:rPr>
                <w:rFonts w:eastAsia="Times New Roman" w:cs="Times New Roman"/>
                <w:noProof/>
              </w:rPr>
            </w:pPr>
            <w:r>
              <w:rPr>
                <w:noProof/>
              </w:rPr>
              <w:t>M</w:t>
            </w:r>
          </w:p>
        </w:tc>
        <w:tc>
          <w:tcPr>
            <w:tcW w:w="2694" w:type="dxa"/>
            <w:shd w:val="clear" w:color="auto" w:fill="C6EFCE"/>
            <w:noWrap/>
          </w:tcPr>
          <w:p w14:paraId="7405E763" w14:textId="77777777" w:rsidR="000E48CE" w:rsidRDefault="00FF4C4E">
            <w:pPr>
              <w:pStyle w:val="P68B1DB1-Normal13"/>
              <w:spacing w:after="0"/>
              <w:rPr>
                <w:rFonts w:eastAsia="Times New Roman" w:cs="Times New Roman"/>
                <w:noProof/>
              </w:rPr>
            </w:pPr>
            <w:r>
              <w:rPr>
                <w:noProof/>
              </w:rPr>
              <w:t>Seurantakertomuksen julkaiseminen</w:t>
            </w:r>
          </w:p>
        </w:tc>
        <w:tc>
          <w:tcPr>
            <w:tcW w:w="992" w:type="dxa"/>
            <w:shd w:val="clear" w:color="auto" w:fill="C6EFCE"/>
            <w:noWrap/>
          </w:tcPr>
          <w:p w14:paraId="218AA60C" w14:textId="77777777" w:rsidR="000E48CE" w:rsidRDefault="00FF4C4E">
            <w:pPr>
              <w:pStyle w:val="P68B1DB1-Normal13"/>
              <w:spacing w:after="0"/>
              <w:jc w:val="center"/>
              <w:rPr>
                <w:rFonts w:eastAsia="Times New Roman" w:cs="Times New Roman"/>
                <w:noProof/>
              </w:rPr>
            </w:pPr>
            <w:r>
              <w:rPr>
                <w:noProof/>
              </w:rPr>
              <w:t>Julkaisu valtiovarainministeriön verkkosivustolla</w:t>
            </w:r>
          </w:p>
        </w:tc>
        <w:tc>
          <w:tcPr>
            <w:tcW w:w="709" w:type="dxa"/>
            <w:shd w:val="clear" w:color="auto" w:fill="C6EFCE"/>
            <w:noWrap/>
          </w:tcPr>
          <w:p w14:paraId="5F10CF2F" w14:textId="77777777" w:rsidR="000E48CE" w:rsidRDefault="00FF4C4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22E91A17" w14:textId="77777777" w:rsidR="000E48CE" w:rsidRDefault="00FF4C4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639A99ED"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3D10146E" w14:textId="77777777" w:rsidR="000E48CE" w:rsidRDefault="00FF4C4E">
            <w:pPr>
              <w:pStyle w:val="P68B1DB1-Normal13"/>
              <w:spacing w:after="0"/>
              <w:jc w:val="center"/>
              <w:rPr>
                <w:rFonts w:eastAsia="Times New Roman" w:cs="Times New Roman"/>
                <w:noProof/>
              </w:rPr>
            </w:pPr>
            <w:r>
              <w:rPr>
                <w:noProof/>
              </w:rPr>
              <w:t>Q1</w:t>
            </w:r>
          </w:p>
        </w:tc>
        <w:tc>
          <w:tcPr>
            <w:tcW w:w="567" w:type="dxa"/>
            <w:shd w:val="clear" w:color="auto" w:fill="C6EFCE"/>
            <w:noWrap/>
          </w:tcPr>
          <w:p w14:paraId="2CEC990D" w14:textId="77777777" w:rsidR="000E48CE" w:rsidRDefault="00FF4C4E">
            <w:pPr>
              <w:pStyle w:val="P68B1DB1-Normal13"/>
              <w:spacing w:after="0"/>
              <w:jc w:val="center"/>
              <w:rPr>
                <w:rFonts w:eastAsia="Times New Roman" w:cs="Times New Roman"/>
                <w:noProof/>
              </w:rPr>
            </w:pPr>
            <w:r>
              <w:rPr>
                <w:noProof/>
              </w:rPr>
              <w:t>2022</w:t>
            </w:r>
          </w:p>
        </w:tc>
        <w:tc>
          <w:tcPr>
            <w:tcW w:w="6096" w:type="dxa"/>
            <w:shd w:val="clear" w:color="auto" w:fill="C6EFCE"/>
            <w:noWrap/>
          </w:tcPr>
          <w:p w14:paraId="0BB86071" w14:textId="77777777" w:rsidR="000E48CE" w:rsidRDefault="00FF4C4E">
            <w:pPr>
              <w:pStyle w:val="P68B1DB1-Normal13"/>
              <w:spacing w:after="0"/>
              <w:rPr>
                <w:rFonts w:eastAsia="Times New Roman" w:cs="Times New Roman"/>
                <w:noProof/>
              </w:rPr>
            </w:pPr>
            <w:r>
              <w:rPr>
                <w:noProof/>
              </w:rPr>
              <w:t>Seurantakertomuksen julkaiseminen vuosittain. Raportissa on lueteltava AIReF:n antamat suositukset ja esitettävä yksityiskohtaisesti sääntelyn muutokset tai muut niiden korjaamiseksi toteutetut toimenpiteet. Jos rahoituskeskukset, joille suositukset on os</w:t>
            </w:r>
            <w:r>
              <w:rPr>
                <w:noProof/>
              </w:rPr>
              <w:t>oitettu, eivät ole samaa mieltä suositusten kanssa, on esitettävä asianmukaiset perustelut.</w:t>
            </w:r>
          </w:p>
        </w:tc>
      </w:tr>
      <w:tr w:rsidR="000E48CE" w14:paraId="1AAEC9ED" w14:textId="77777777">
        <w:trPr>
          <w:trHeight w:val="309"/>
        </w:trPr>
        <w:tc>
          <w:tcPr>
            <w:tcW w:w="709" w:type="dxa"/>
            <w:shd w:val="clear" w:color="auto" w:fill="C6EFCE"/>
            <w:noWrap/>
          </w:tcPr>
          <w:p w14:paraId="4DF04293" w14:textId="77777777" w:rsidR="000E48CE" w:rsidRDefault="00FF4C4E">
            <w:pPr>
              <w:pStyle w:val="P68B1DB1-Normal13"/>
              <w:spacing w:after="0"/>
              <w:jc w:val="center"/>
              <w:rPr>
                <w:rFonts w:eastAsia="Times New Roman" w:cs="Times New Roman"/>
                <w:noProof/>
              </w:rPr>
            </w:pPr>
            <w:r>
              <w:rPr>
                <w:noProof/>
              </w:rPr>
              <w:t>402</w:t>
            </w:r>
          </w:p>
        </w:tc>
        <w:tc>
          <w:tcPr>
            <w:tcW w:w="851" w:type="dxa"/>
            <w:shd w:val="clear" w:color="auto" w:fill="C6EFCE"/>
            <w:noWrap/>
          </w:tcPr>
          <w:p w14:paraId="1536F060" w14:textId="77777777" w:rsidR="000E48CE" w:rsidRDefault="00FF4C4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77B046B9" w14:textId="77777777" w:rsidR="000E48CE" w:rsidRDefault="00FF4C4E">
            <w:pPr>
              <w:pStyle w:val="P68B1DB1-Normal13"/>
              <w:spacing w:after="0"/>
              <w:jc w:val="center"/>
              <w:rPr>
                <w:rFonts w:eastAsia="Times New Roman" w:cs="Times New Roman"/>
                <w:noProof/>
              </w:rPr>
            </w:pPr>
            <w:r>
              <w:rPr>
                <w:noProof/>
              </w:rPr>
              <w:t>M</w:t>
            </w:r>
          </w:p>
        </w:tc>
        <w:tc>
          <w:tcPr>
            <w:tcW w:w="2694" w:type="dxa"/>
            <w:shd w:val="clear" w:color="auto" w:fill="C6EFCE"/>
            <w:noWrap/>
          </w:tcPr>
          <w:p w14:paraId="40961BB9" w14:textId="77777777" w:rsidR="000E48CE" w:rsidRDefault="00FF4C4E">
            <w:pPr>
              <w:pStyle w:val="P68B1DB1-Normal13"/>
              <w:spacing w:after="0"/>
              <w:rPr>
                <w:rFonts w:eastAsia="Times New Roman" w:cs="Times New Roman"/>
                <w:noProof/>
              </w:rPr>
            </w:pPr>
            <w:r>
              <w:rPr>
                <w:noProof/>
              </w:rPr>
              <w:t>Menojen uudelleentarkastelun vaihe III</w:t>
            </w:r>
          </w:p>
        </w:tc>
        <w:tc>
          <w:tcPr>
            <w:tcW w:w="992" w:type="dxa"/>
            <w:shd w:val="clear" w:color="auto" w:fill="C6EFCE"/>
            <w:noWrap/>
          </w:tcPr>
          <w:p w14:paraId="59B24D11" w14:textId="77777777" w:rsidR="000E48CE" w:rsidRDefault="00FF4C4E">
            <w:pPr>
              <w:pStyle w:val="P68B1DB1-Normal13"/>
              <w:spacing w:after="0"/>
              <w:jc w:val="center"/>
              <w:rPr>
                <w:rFonts w:eastAsia="Times New Roman" w:cs="Times New Roman"/>
                <w:noProof/>
              </w:rPr>
            </w:pPr>
            <w:r>
              <w:rPr>
                <w:noProof/>
              </w:rPr>
              <w:t>Raporttien julkaiseminen AIReF-verkkosivustolla</w:t>
            </w:r>
          </w:p>
        </w:tc>
        <w:tc>
          <w:tcPr>
            <w:tcW w:w="709" w:type="dxa"/>
            <w:shd w:val="clear" w:color="auto" w:fill="C6EFCE"/>
            <w:noWrap/>
          </w:tcPr>
          <w:p w14:paraId="28435C3F" w14:textId="77777777" w:rsidR="000E48CE" w:rsidRDefault="00FF4C4E">
            <w:pPr>
              <w:pStyle w:val="P68B1DB1-Normal13"/>
              <w:spacing w:after="0"/>
              <w:jc w:val="center"/>
              <w:rPr>
                <w:rFonts w:eastAsia="Times New Roman" w:cs="Times New Roman"/>
                <w:noProof/>
              </w:rPr>
            </w:pPr>
            <w:r>
              <w:rPr>
                <w:noProof/>
              </w:rPr>
              <w:t> </w:t>
            </w:r>
          </w:p>
        </w:tc>
        <w:tc>
          <w:tcPr>
            <w:tcW w:w="567" w:type="dxa"/>
            <w:shd w:val="clear" w:color="auto" w:fill="C6EFCE"/>
            <w:noWrap/>
          </w:tcPr>
          <w:p w14:paraId="3B3692E9" w14:textId="77777777" w:rsidR="000E48CE" w:rsidRDefault="00FF4C4E">
            <w:pPr>
              <w:pStyle w:val="P68B1DB1-Normal13"/>
              <w:spacing w:after="0"/>
              <w:jc w:val="right"/>
              <w:rPr>
                <w:rFonts w:eastAsia="Times New Roman" w:cs="Times New Roman"/>
                <w:noProof/>
              </w:rPr>
            </w:pPr>
            <w:r>
              <w:rPr>
                <w:noProof/>
              </w:rPr>
              <w:t> </w:t>
            </w:r>
          </w:p>
        </w:tc>
        <w:tc>
          <w:tcPr>
            <w:tcW w:w="708" w:type="dxa"/>
            <w:shd w:val="clear" w:color="auto" w:fill="C6EFCE"/>
            <w:noWrap/>
          </w:tcPr>
          <w:p w14:paraId="37AECD10" w14:textId="77777777" w:rsidR="000E48CE" w:rsidRDefault="00FF4C4E">
            <w:pPr>
              <w:pStyle w:val="P68B1DB1-Normal13"/>
              <w:spacing w:after="0"/>
              <w:jc w:val="right"/>
              <w:rPr>
                <w:rFonts w:eastAsia="Times New Roman" w:cs="Times New Roman"/>
                <w:noProof/>
              </w:rPr>
            </w:pPr>
            <w:r>
              <w:rPr>
                <w:noProof/>
              </w:rPr>
              <w:t> </w:t>
            </w:r>
          </w:p>
        </w:tc>
        <w:tc>
          <w:tcPr>
            <w:tcW w:w="567" w:type="dxa"/>
            <w:shd w:val="clear" w:color="auto" w:fill="C6EFCE"/>
            <w:noWrap/>
          </w:tcPr>
          <w:p w14:paraId="47FD9F2D" w14:textId="77777777" w:rsidR="000E48CE" w:rsidRDefault="00FF4C4E">
            <w:pPr>
              <w:pStyle w:val="P68B1DB1-Normal13"/>
              <w:spacing w:after="0"/>
              <w:jc w:val="center"/>
              <w:rPr>
                <w:rFonts w:eastAsia="Times New Roman" w:cs="Times New Roman"/>
                <w:noProof/>
              </w:rPr>
            </w:pPr>
            <w:r>
              <w:rPr>
                <w:noProof/>
              </w:rPr>
              <w:t>Q2</w:t>
            </w:r>
          </w:p>
        </w:tc>
        <w:tc>
          <w:tcPr>
            <w:tcW w:w="567" w:type="dxa"/>
            <w:shd w:val="clear" w:color="auto" w:fill="C6EFCE"/>
            <w:noWrap/>
          </w:tcPr>
          <w:p w14:paraId="67D05C4F" w14:textId="77777777" w:rsidR="000E48CE" w:rsidRDefault="00FF4C4E">
            <w:pPr>
              <w:pStyle w:val="P68B1DB1-Normal13"/>
              <w:spacing w:after="0"/>
              <w:jc w:val="center"/>
              <w:rPr>
                <w:rFonts w:eastAsia="Times New Roman" w:cs="Times New Roman"/>
                <w:noProof/>
              </w:rPr>
            </w:pPr>
            <w:r>
              <w:rPr>
                <w:noProof/>
              </w:rPr>
              <w:t>2023</w:t>
            </w:r>
          </w:p>
        </w:tc>
        <w:tc>
          <w:tcPr>
            <w:tcW w:w="6096" w:type="dxa"/>
            <w:shd w:val="clear" w:color="auto" w:fill="C6EFCE"/>
            <w:noWrap/>
          </w:tcPr>
          <w:p w14:paraId="3F72302B" w14:textId="77777777" w:rsidR="000E48CE" w:rsidRDefault="00FF4C4E">
            <w:pPr>
              <w:pStyle w:val="P68B1DB1-Normal13"/>
              <w:spacing w:after="0"/>
              <w:rPr>
                <w:rFonts w:eastAsia="Times New Roman" w:cs="Times New Roman"/>
                <w:noProof/>
              </w:rPr>
            </w:pPr>
            <w:r>
              <w:rPr>
                <w:noProof/>
              </w:rPr>
              <w:t xml:space="preserve">AIReF:n menojen arvioinnin kolmatta vaihetta </w:t>
            </w:r>
            <w:r>
              <w:rPr>
                <w:noProof/>
              </w:rPr>
              <w:t>koskevien kertomusten julkaiseminen.</w:t>
            </w:r>
          </w:p>
        </w:tc>
      </w:tr>
      <w:tr w:rsidR="000E48CE" w14:paraId="4BC432FA" w14:textId="77777777">
        <w:trPr>
          <w:trHeight w:val="309"/>
        </w:trPr>
        <w:tc>
          <w:tcPr>
            <w:tcW w:w="709" w:type="dxa"/>
            <w:shd w:val="clear" w:color="auto" w:fill="C6EFCE"/>
            <w:noWrap/>
          </w:tcPr>
          <w:p w14:paraId="3E853694" w14:textId="77777777" w:rsidR="000E48CE" w:rsidRDefault="00FF4C4E">
            <w:pPr>
              <w:pStyle w:val="P68B1DB1-Normal13"/>
              <w:spacing w:after="0"/>
              <w:jc w:val="center"/>
              <w:rPr>
                <w:rFonts w:eastAsia="Times New Roman" w:cs="Times New Roman"/>
                <w:noProof/>
              </w:rPr>
            </w:pPr>
            <w:r>
              <w:rPr>
                <w:noProof/>
              </w:rPr>
              <w:t>403</w:t>
            </w:r>
          </w:p>
        </w:tc>
        <w:tc>
          <w:tcPr>
            <w:tcW w:w="851" w:type="dxa"/>
            <w:shd w:val="clear" w:color="auto" w:fill="C6EFCE"/>
            <w:noWrap/>
          </w:tcPr>
          <w:p w14:paraId="178BAF6C" w14:textId="77777777" w:rsidR="000E48CE" w:rsidRDefault="00FF4C4E">
            <w:pPr>
              <w:pStyle w:val="P68B1DB1-Normal13"/>
              <w:spacing w:after="0"/>
              <w:jc w:val="center"/>
              <w:rPr>
                <w:rFonts w:eastAsia="Times New Roman" w:cs="Times New Roman"/>
                <w:noProof/>
              </w:rPr>
            </w:pPr>
            <w:r>
              <w:rPr>
                <w:noProof/>
              </w:rPr>
              <w:t>C29.R2</w:t>
            </w:r>
          </w:p>
        </w:tc>
        <w:tc>
          <w:tcPr>
            <w:tcW w:w="850" w:type="dxa"/>
            <w:shd w:val="clear" w:color="auto" w:fill="C6EFCE"/>
            <w:noWrap/>
          </w:tcPr>
          <w:p w14:paraId="64D58C09" w14:textId="77777777" w:rsidR="000E48CE" w:rsidRDefault="00FF4C4E">
            <w:pPr>
              <w:pStyle w:val="P68B1DB1-Normal13"/>
              <w:spacing w:after="0"/>
              <w:jc w:val="center"/>
              <w:rPr>
                <w:rFonts w:eastAsia="Times New Roman" w:cs="Times New Roman"/>
                <w:noProof/>
              </w:rPr>
            </w:pPr>
            <w:r>
              <w:rPr>
                <w:noProof/>
              </w:rPr>
              <w:t>M</w:t>
            </w:r>
          </w:p>
        </w:tc>
        <w:tc>
          <w:tcPr>
            <w:tcW w:w="2694" w:type="dxa"/>
            <w:shd w:val="clear" w:color="auto" w:fill="C6EFCE"/>
            <w:noWrap/>
          </w:tcPr>
          <w:p w14:paraId="6F6A323F" w14:textId="77777777" w:rsidR="000E48CE" w:rsidRDefault="00FF4C4E">
            <w:pPr>
              <w:pStyle w:val="P68B1DB1-Normal13"/>
              <w:spacing w:after="0"/>
              <w:rPr>
                <w:rFonts w:eastAsia="Times New Roman" w:cs="Times New Roman"/>
                <w:noProof/>
              </w:rPr>
            </w:pPr>
            <w:r>
              <w:rPr>
                <w:noProof/>
              </w:rPr>
              <w:t>Kertomus talousarvion mukauttamisesta kestävän kehityksen tavoitteisiin</w:t>
            </w:r>
          </w:p>
        </w:tc>
        <w:tc>
          <w:tcPr>
            <w:tcW w:w="992" w:type="dxa"/>
            <w:shd w:val="clear" w:color="auto" w:fill="C6EFCE"/>
            <w:noWrap/>
          </w:tcPr>
          <w:p w14:paraId="58169A30" w14:textId="77777777" w:rsidR="000E48CE" w:rsidRDefault="00FF4C4E">
            <w:pPr>
              <w:pStyle w:val="P68B1DB1-Normal13"/>
              <w:spacing w:after="0"/>
              <w:jc w:val="center"/>
              <w:rPr>
                <w:rFonts w:eastAsia="Times New Roman" w:cs="Times New Roman"/>
                <w:noProof/>
              </w:rPr>
            </w:pPr>
            <w:r>
              <w:rPr>
                <w:noProof/>
              </w:rPr>
              <w:t>Julkaiseminen täydentävänä asiakirjana vuotuisessa talousarviolaissa</w:t>
            </w:r>
          </w:p>
        </w:tc>
        <w:tc>
          <w:tcPr>
            <w:tcW w:w="709" w:type="dxa"/>
            <w:shd w:val="clear" w:color="auto" w:fill="C6EFCE"/>
            <w:noWrap/>
          </w:tcPr>
          <w:p w14:paraId="762614A7" w14:textId="77777777" w:rsidR="000E48CE" w:rsidRDefault="00FF4C4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2DF3361E" w14:textId="77777777" w:rsidR="000E48CE" w:rsidRDefault="00FF4C4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666FE2A8"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6D5724FD" w14:textId="77777777" w:rsidR="000E48CE" w:rsidRDefault="00FF4C4E">
            <w:pPr>
              <w:pStyle w:val="P68B1DB1-Normal13"/>
              <w:spacing w:after="0"/>
              <w:jc w:val="center"/>
              <w:rPr>
                <w:rFonts w:eastAsia="Times New Roman" w:cs="Times New Roman"/>
                <w:noProof/>
              </w:rPr>
            </w:pPr>
            <w:r>
              <w:rPr>
                <w:noProof/>
              </w:rPr>
              <w:t>KOLMAS VUOSINELJÄNNES</w:t>
            </w:r>
          </w:p>
        </w:tc>
        <w:tc>
          <w:tcPr>
            <w:tcW w:w="567" w:type="dxa"/>
            <w:shd w:val="clear" w:color="auto" w:fill="C6EFCE"/>
            <w:noWrap/>
          </w:tcPr>
          <w:p w14:paraId="4332F592" w14:textId="77777777" w:rsidR="000E48CE" w:rsidRDefault="00FF4C4E">
            <w:pPr>
              <w:pStyle w:val="P68B1DB1-Normal13"/>
              <w:spacing w:after="0"/>
              <w:jc w:val="center"/>
              <w:rPr>
                <w:rFonts w:eastAsia="Times New Roman" w:cs="Times New Roman"/>
                <w:noProof/>
              </w:rPr>
            </w:pPr>
            <w:r>
              <w:rPr>
                <w:noProof/>
              </w:rPr>
              <w:t>2021</w:t>
            </w:r>
          </w:p>
        </w:tc>
        <w:tc>
          <w:tcPr>
            <w:tcW w:w="6096" w:type="dxa"/>
            <w:shd w:val="clear" w:color="auto" w:fill="C6EFCE"/>
            <w:noWrap/>
          </w:tcPr>
          <w:p w14:paraId="1503BF07" w14:textId="77777777" w:rsidR="000E48CE" w:rsidRDefault="00FF4C4E">
            <w:pPr>
              <w:pStyle w:val="P68B1DB1-Normal13"/>
              <w:spacing w:after="0"/>
              <w:rPr>
                <w:rFonts w:eastAsia="Times New Roman" w:cs="Times New Roman"/>
                <w:noProof/>
              </w:rPr>
            </w:pPr>
            <w:r>
              <w:rPr>
                <w:noProof/>
              </w:rPr>
              <w:t xml:space="preserve">Vuoden 2022 </w:t>
            </w:r>
            <w:r>
              <w:rPr>
                <w:noProof/>
              </w:rPr>
              <w:t>talousarvioesitykseen liitetyn kertomuksen julkaiseminen sen mukauttamisesta kestävän kehityksen tavoitteisiin.</w:t>
            </w:r>
          </w:p>
        </w:tc>
      </w:tr>
      <w:tr w:rsidR="000E48CE" w14:paraId="30A10A31" w14:textId="77777777">
        <w:trPr>
          <w:trHeight w:val="309"/>
        </w:trPr>
        <w:tc>
          <w:tcPr>
            <w:tcW w:w="709" w:type="dxa"/>
            <w:shd w:val="clear" w:color="auto" w:fill="C6EFCE"/>
            <w:noWrap/>
          </w:tcPr>
          <w:p w14:paraId="40E48CF1" w14:textId="77777777" w:rsidR="000E48CE" w:rsidRDefault="00FF4C4E">
            <w:pPr>
              <w:pStyle w:val="P68B1DB1-Normal13"/>
              <w:spacing w:after="0"/>
              <w:jc w:val="center"/>
              <w:rPr>
                <w:rFonts w:eastAsia="Times New Roman" w:cs="Times New Roman"/>
                <w:noProof/>
              </w:rPr>
            </w:pPr>
            <w:r>
              <w:rPr>
                <w:noProof/>
              </w:rPr>
              <w:t>404</w:t>
            </w:r>
          </w:p>
        </w:tc>
        <w:tc>
          <w:tcPr>
            <w:tcW w:w="851" w:type="dxa"/>
            <w:shd w:val="clear" w:color="auto" w:fill="C6EFCE"/>
            <w:noWrap/>
          </w:tcPr>
          <w:p w14:paraId="1AFFD783" w14:textId="77777777" w:rsidR="000E48CE" w:rsidRDefault="00FF4C4E">
            <w:pPr>
              <w:pStyle w:val="P68B1DB1-Normal13"/>
              <w:spacing w:after="0"/>
              <w:jc w:val="center"/>
              <w:rPr>
                <w:rFonts w:eastAsia="Times New Roman" w:cs="Times New Roman"/>
                <w:noProof/>
              </w:rPr>
            </w:pPr>
            <w:r>
              <w:rPr>
                <w:noProof/>
              </w:rPr>
              <w:t>C29.R3</w:t>
            </w:r>
          </w:p>
        </w:tc>
        <w:tc>
          <w:tcPr>
            <w:tcW w:w="850" w:type="dxa"/>
            <w:shd w:val="clear" w:color="auto" w:fill="C6EFCE"/>
            <w:noWrap/>
          </w:tcPr>
          <w:p w14:paraId="63FB8DE3" w14:textId="77777777" w:rsidR="000E48CE" w:rsidRDefault="00FF4C4E">
            <w:pPr>
              <w:pStyle w:val="P68B1DB1-Normal13"/>
              <w:spacing w:after="0"/>
              <w:jc w:val="center"/>
              <w:rPr>
                <w:rFonts w:eastAsia="Times New Roman" w:cs="Times New Roman"/>
                <w:noProof/>
              </w:rPr>
            </w:pPr>
            <w:r>
              <w:rPr>
                <w:noProof/>
              </w:rPr>
              <w:t>M</w:t>
            </w:r>
          </w:p>
        </w:tc>
        <w:tc>
          <w:tcPr>
            <w:tcW w:w="2694" w:type="dxa"/>
            <w:shd w:val="clear" w:color="auto" w:fill="C6EFCE"/>
            <w:noWrap/>
          </w:tcPr>
          <w:p w14:paraId="447F1A60" w14:textId="77777777" w:rsidR="000E48CE" w:rsidRDefault="00FF4C4E">
            <w:pPr>
              <w:pStyle w:val="P68B1DB1-Normal13"/>
              <w:spacing w:after="0"/>
              <w:rPr>
                <w:rFonts w:eastAsia="Times New Roman" w:cs="Times New Roman"/>
                <w:noProof/>
              </w:rPr>
            </w:pPr>
            <w:r>
              <w:rPr>
                <w:noProof/>
              </w:rPr>
              <w:t>Vihreän budjetoinnin yhdenmukaistamista koskeva kertomus</w:t>
            </w:r>
          </w:p>
        </w:tc>
        <w:tc>
          <w:tcPr>
            <w:tcW w:w="992" w:type="dxa"/>
            <w:shd w:val="clear" w:color="auto" w:fill="C6EFCE"/>
            <w:noWrap/>
          </w:tcPr>
          <w:p w14:paraId="5B23B7B4" w14:textId="77777777" w:rsidR="000E48CE" w:rsidRDefault="00FF4C4E">
            <w:pPr>
              <w:pStyle w:val="P68B1DB1-Normal13"/>
              <w:spacing w:after="0"/>
              <w:jc w:val="center"/>
              <w:rPr>
                <w:rFonts w:eastAsia="Times New Roman" w:cs="Times New Roman"/>
                <w:noProof/>
              </w:rPr>
            </w:pPr>
            <w:r>
              <w:rPr>
                <w:noProof/>
              </w:rPr>
              <w:t>Julkaiseminen täydentävänä asiakirjana vuotuisessa talousarviolaissa</w:t>
            </w:r>
          </w:p>
        </w:tc>
        <w:tc>
          <w:tcPr>
            <w:tcW w:w="709" w:type="dxa"/>
            <w:shd w:val="clear" w:color="auto" w:fill="C6EFCE"/>
            <w:noWrap/>
          </w:tcPr>
          <w:p w14:paraId="044B64A3" w14:textId="77777777" w:rsidR="000E48CE" w:rsidRDefault="00FF4C4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5B607870" w14:textId="77777777" w:rsidR="000E48CE" w:rsidRDefault="00FF4C4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1EF93582"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59868761" w14:textId="77777777" w:rsidR="000E48CE" w:rsidRDefault="00FF4C4E">
            <w:pPr>
              <w:pStyle w:val="P68B1DB1-Normal13"/>
              <w:spacing w:after="0"/>
              <w:jc w:val="center"/>
              <w:rPr>
                <w:rFonts w:eastAsia="Times New Roman" w:cs="Times New Roman"/>
                <w:noProof/>
              </w:rPr>
            </w:pPr>
            <w:r>
              <w:rPr>
                <w:noProof/>
              </w:rPr>
              <w:t>KOLMAS VUOSINELJÄNNES</w:t>
            </w:r>
          </w:p>
        </w:tc>
        <w:tc>
          <w:tcPr>
            <w:tcW w:w="567" w:type="dxa"/>
            <w:shd w:val="clear" w:color="auto" w:fill="C6EFCE"/>
            <w:noWrap/>
          </w:tcPr>
          <w:p w14:paraId="19047533" w14:textId="77777777" w:rsidR="000E48CE" w:rsidRDefault="00FF4C4E">
            <w:pPr>
              <w:pStyle w:val="P68B1DB1-Normal13"/>
              <w:spacing w:after="0"/>
              <w:jc w:val="center"/>
              <w:rPr>
                <w:rFonts w:eastAsia="Times New Roman" w:cs="Times New Roman"/>
                <w:noProof/>
              </w:rPr>
            </w:pPr>
            <w:r>
              <w:rPr>
                <w:noProof/>
              </w:rPr>
              <w:t>2022</w:t>
            </w:r>
          </w:p>
        </w:tc>
        <w:tc>
          <w:tcPr>
            <w:tcW w:w="6096" w:type="dxa"/>
            <w:shd w:val="clear" w:color="auto" w:fill="C6EFCE"/>
            <w:noWrap/>
          </w:tcPr>
          <w:p w14:paraId="5B10DAA6" w14:textId="77777777" w:rsidR="000E48CE" w:rsidRDefault="00FF4C4E">
            <w:pPr>
              <w:pStyle w:val="P68B1DB1-Normal13"/>
              <w:spacing w:after="0"/>
              <w:rPr>
                <w:rFonts w:eastAsia="Times New Roman" w:cs="Times New Roman"/>
                <w:noProof/>
              </w:rPr>
            </w:pPr>
            <w:r>
              <w:rPr>
                <w:noProof/>
              </w:rPr>
              <w:t>Vihreää talousarviota (vihreä ulottuvuus) koskeva kertomus, joka liittyy vuoden 2023 talousarviolakiin. Kertomuksessa kartoitetaan vihreät menot vuotuisessa talousarviolainsäädännössä ja laaditaan EU:n teknisen tuen välineen tu</w:t>
            </w:r>
            <w:r>
              <w:rPr>
                <w:noProof/>
              </w:rPr>
              <w:t>ella suunnitellun metodologian ja seurantakehyksen mukaisesti.</w:t>
            </w:r>
          </w:p>
        </w:tc>
      </w:tr>
      <w:tr w:rsidR="000E48CE" w14:paraId="279F1ECF" w14:textId="77777777">
        <w:trPr>
          <w:trHeight w:val="309"/>
        </w:trPr>
        <w:tc>
          <w:tcPr>
            <w:tcW w:w="709" w:type="dxa"/>
            <w:shd w:val="clear" w:color="auto" w:fill="C6EFCE"/>
            <w:noWrap/>
          </w:tcPr>
          <w:p w14:paraId="2D10C541" w14:textId="77777777" w:rsidR="000E48CE" w:rsidRDefault="00FF4C4E">
            <w:pPr>
              <w:pStyle w:val="P68B1DB1-Normal13"/>
              <w:spacing w:after="0"/>
              <w:jc w:val="center"/>
              <w:rPr>
                <w:rFonts w:cs="Times New Roman"/>
                <w:noProof/>
              </w:rPr>
            </w:pPr>
            <w:r>
              <w:rPr>
                <w:noProof/>
              </w:rPr>
              <w:t>405</w:t>
            </w:r>
          </w:p>
        </w:tc>
        <w:tc>
          <w:tcPr>
            <w:tcW w:w="851" w:type="dxa"/>
            <w:shd w:val="clear" w:color="auto" w:fill="C6EFCE"/>
            <w:noWrap/>
          </w:tcPr>
          <w:p w14:paraId="776C2514" w14:textId="77777777" w:rsidR="000E48CE" w:rsidRDefault="00FF4C4E">
            <w:pPr>
              <w:pStyle w:val="P68B1DB1-Normal13"/>
              <w:spacing w:after="0"/>
              <w:jc w:val="center"/>
              <w:rPr>
                <w:rFonts w:cs="Times New Roman"/>
                <w:noProof/>
              </w:rPr>
            </w:pPr>
            <w:r>
              <w:rPr>
                <w:noProof/>
              </w:rPr>
              <w:t>C29.R3</w:t>
            </w:r>
          </w:p>
        </w:tc>
        <w:tc>
          <w:tcPr>
            <w:tcW w:w="850" w:type="dxa"/>
            <w:shd w:val="clear" w:color="auto" w:fill="C6EFCE"/>
            <w:noWrap/>
          </w:tcPr>
          <w:p w14:paraId="0AD761A3" w14:textId="77777777" w:rsidR="000E48CE" w:rsidRDefault="00FF4C4E">
            <w:pPr>
              <w:pStyle w:val="P68B1DB1-Normal13"/>
              <w:spacing w:after="0"/>
              <w:jc w:val="center"/>
              <w:rPr>
                <w:rFonts w:cs="Times New Roman"/>
                <w:noProof/>
              </w:rPr>
            </w:pPr>
            <w:r>
              <w:rPr>
                <w:noProof/>
              </w:rPr>
              <w:t>M</w:t>
            </w:r>
          </w:p>
        </w:tc>
        <w:tc>
          <w:tcPr>
            <w:tcW w:w="2694" w:type="dxa"/>
            <w:shd w:val="clear" w:color="auto" w:fill="C6EFCE"/>
            <w:noWrap/>
          </w:tcPr>
          <w:p w14:paraId="03C956F3" w14:textId="77777777" w:rsidR="000E48CE" w:rsidRDefault="00FF4C4E">
            <w:pPr>
              <w:pStyle w:val="P68B1DB1-Normal13"/>
              <w:spacing w:after="0"/>
              <w:rPr>
                <w:rFonts w:cs="Times New Roman"/>
                <w:noProof/>
              </w:rPr>
            </w:pPr>
            <w:r>
              <w:rPr>
                <w:noProof/>
              </w:rPr>
              <w:t>Vihreän budjetoinnin yhdenmukaistamista koskeva kertomus</w:t>
            </w:r>
          </w:p>
        </w:tc>
        <w:tc>
          <w:tcPr>
            <w:tcW w:w="992" w:type="dxa"/>
            <w:shd w:val="clear" w:color="auto" w:fill="C6EFCE"/>
            <w:noWrap/>
          </w:tcPr>
          <w:p w14:paraId="5E196C9C" w14:textId="77777777" w:rsidR="000E48CE" w:rsidRDefault="00FF4C4E">
            <w:pPr>
              <w:pStyle w:val="P68B1DB1-Normal13"/>
              <w:spacing w:after="0"/>
              <w:jc w:val="center"/>
              <w:rPr>
                <w:rFonts w:cs="Times New Roman"/>
                <w:noProof/>
              </w:rPr>
            </w:pPr>
            <w:r>
              <w:rPr>
                <w:noProof/>
              </w:rPr>
              <w:t>Julkaiseminen täydentävänä asiakirjana vuotuisessa talousarviolaissa</w:t>
            </w:r>
          </w:p>
        </w:tc>
        <w:tc>
          <w:tcPr>
            <w:tcW w:w="709" w:type="dxa"/>
            <w:shd w:val="clear" w:color="auto" w:fill="C6EFCE"/>
            <w:noWrap/>
          </w:tcPr>
          <w:p w14:paraId="10688FB1" w14:textId="77777777" w:rsidR="000E48CE" w:rsidRDefault="00FF4C4E">
            <w:pPr>
              <w:pStyle w:val="P68B1DB1-Normal13"/>
              <w:spacing w:after="0"/>
              <w:jc w:val="center"/>
              <w:rPr>
                <w:rFonts w:cs="Times New Roman"/>
                <w:noProof/>
              </w:rPr>
            </w:pPr>
            <w:r>
              <w:rPr>
                <w:noProof/>
              </w:rPr>
              <w:t xml:space="preserve"> </w:t>
            </w:r>
          </w:p>
        </w:tc>
        <w:tc>
          <w:tcPr>
            <w:tcW w:w="567" w:type="dxa"/>
            <w:shd w:val="clear" w:color="auto" w:fill="C6EFCE"/>
            <w:noWrap/>
          </w:tcPr>
          <w:p w14:paraId="165D25D0" w14:textId="77777777" w:rsidR="000E48CE" w:rsidRDefault="00FF4C4E">
            <w:pPr>
              <w:pStyle w:val="P68B1DB1-Normal13"/>
              <w:spacing w:after="0"/>
              <w:jc w:val="right"/>
              <w:rPr>
                <w:rFonts w:cs="Times New Roman"/>
                <w:noProof/>
              </w:rPr>
            </w:pPr>
            <w:r>
              <w:rPr>
                <w:noProof/>
              </w:rPr>
              <w:t xml:space="preserve"> </w:t>
            </w:r>
          </w:p>
        </w:tc>
        <w:tc>
          <w:tcPr>
            <w:tcW w:w="708" w:type="dxa"/>
            <w:shd w:val="clear" w:color="auto" w:fill="C6EFCE"/>
            <w:noWrap/>
          </w:tcPr>
          <w:p w14:paraId="0E804BFF" w14:textId="77777777" w:rsidR="000E48CE" w:rsidRDefault="00FF4C4E">
            <w:pPr>
              <w:pStyle w:val="P68B1DB1-Normal13"/>
              <w:spacing w:after="0"/>
              <w:jc w:val="right"/>
              <w:rPr>
                <w:rFonts w:cs="Times New Roman"/>
                <w:noProof/>
              </w:rPr>
            </w:pPr>
            <w:r>
              <w:rPr>
                <w:noProof/>
              </w:rPr>
              <w:t xml:space="preserve"> </w:t>
            </w:r>
          </w:p>
        </w:tc>
        <w:tc>
          <w:tcPr>
            <w:tcW w:w="567" w:type="dxa"/>
            <w:shd w:val="clear" w:color="auto" w:fill="C6EFCE"/>
            <w:noWrap/>
          </w:tcPr>
          <w:p w14:paraId="6AF02849" w14:textId="77777777" w:rsidR="000E48CE" w:rsidRDefault="00FF4C4E">
            <w:pPr>
              <w:pStyle w:val="P68B1DB1-Normal13"/>
              <w:spacing w:after="0"/>
              <w:jc w:val="center"/>
              <w:rPr>
                <w:rFonts w:cs="Times New Roman"/>
                <w:noProof/>
              </w:rPr>
            </w:pPr>
            <w:r>
              <w:rPr>
                <w:noProof/>
              </w:rPr>
              <w:t>KOLMAS VUOSINELJÄNNES</w:t>
            </w:r>
          </w:p>
        </w:tc>
        <w:tc>
          <w:tcPr>
            <w:tcW w:w="567" w:type="dxa"/>
            <w:shd w:val="clear" w:color="auto" w:fill="C6EFCE"/>
            <w:noWrap/>
          </w:tcPr>
          <w:p w14:paraId="1A4670A2" w14:textId="77777777" w:rsidR="000E48CE" w:rsidRDefault="00FF4C4E">
            <w:pPr>
              <w:pStyle w:val="P68B1DB1-Normal13"/>
              <w:spacing w:after="0"/>
              <w:jc w:val="center"/>
              <w:rPr>
                <w:rFonts w:cs="Times New Roman"/>
                <w:noProof/>
              </w:rPr>
            </w:pPr>
            <w:r>
              <w:rPr>
                <w:noProof/>
              </w:rPr>
              <w:t>2023</w:t>
            </w:r>
          </w:p>
        </w:tc>
        <w:tc>
          <w:tcPr>
            <w:tcW w:w="6096" w:type="dxa"/>
            <w:shd w:val="clear" w:color="auto" w:fill="C6EFCE"/>
            <w:noWrap/>
          </w:tcPr>
          <w:p w14:paraId="1B5BB0EC" w14:textId="77777777" w:rsidR="000E48CE" w:rsidRDefault="00FF4C4E">
            <w:pPr>
              <w:pStyle w:val="P68B1DB1-Normal13"/>
              <w:spacing w:after="0"/>
              <w:rPr>
                <w:rFonts w:cs="Times New Roman"/>
                <w:noProof/>
              </w:rPr>
            </w:pPr>
            <w:r>
              <w:rPr>
                <w:noProof/>
              </w:rPr>
              <w:t xml:space="preserve">Vihreää </w:t>
            </w:r>
            <w:r>
              <w:rPr>
                <w:noProof/>
              </w:rPr>
              <w:t>talousarviota (ruskea ulottuvuus) koskeva kertomus, joka liittyy vuoden 2024 talousarviolakiin. Kertomuksessa kartoitetaan ruskeat menot vuotuisessa talousarviolaissa ja laaditaan EU:n teknisen tuen välineen tuella suunnitellun metodologian ja seurantakehy</w:t>
            </w:r>
            <w:r>
              <w:rPr>
                <w:noProof/>
              </w:rPr>
              <w:t>ksen mukaisesti.</w:t>
            </w:r>
          </w:p>
        </w:tc>
      </w:tr>
    </w:tbl>
    <w:p w14:paraId="1E6DB335" w14:textId="77777777" w:rsidR="000E48CE" w:rsidRDefault="000E48CE">
      <w:pPr>
        <w:pStyle w:val="SectionTitle"/>
        <w:rPr>
          <w:rFonts w:ascii="Times New Roman" w:hAnsi="Times New Roman" w:cs="Times New Roman"/>
          <w:noProof/>
          <w:sz w:val="2"/>
        </w:rPr>
        <w:sectPr w:rsidR="000E48CE" w:rsidSect="00C94F66">
          <w:headerReference w:type="even" r:id="rId549"/>
          <w:headerReference w:type="default" r:id="rId550"/>
          <w:footerReference w:type="even" r:id="rId551"/>
          <w:footerReference w:type="default" r:id="rId552"/>
          <w:headerReference w:type="first" r:id="rId553"/>
          <w:footerReference w:type="first" r:id="rId554"/>
          <w:pgSz w:w="16839" w:h="11907" w:orient="landscape"/>
          <w:pgMar w:top="1417" w:right="1134" w:bottom="1417" w:left="1134" w:header="709" w:footer="709" w:gutter="0"/>
          <w:cols w:space="720"/>
          <w:docGrid w:linePitch="360"/>
        </w:sectPr>
      </w:pPr>
    </w:p>
    <w:p w14:paraId="7180C115" w14:textId="77777777" w:rsidR="000E48CE" w:rsidRDefault="00FF4C4E">
      <w:pPr>
        <w:pStyle w:val="P68B1DB1-Heading12"/>
        <w:rPr>
          <w:rFonts w:cs="Times New Roman"/>
          <w:noProof/>
        </w:rPr>
      </w:pPr>
      <w:r>
        <w:rPr>
          <w:noProof/>
        </w:rPr>
        <w:t>AD. KOMPONENTTI 30: Eläkkeet</w:t>
      </w:r>
    </w:p>
    <w:p w14:paraId="737C31BF" w14:textId="77777777" w:rsidR="000E48CE" w:rsidRDefault="00FF4C4E">
      <w:pPr>
        <w:pStyle w:val="Text1"/>
        <w:ind w:left="0"/>
        <w:rPr>
          <w:rStyle w:val="IntenseEmphasis"/>
          <w:rFonts w:ascii="Times New Roman" w:hAnsi="Times New Roman" w:cs="Times New Roman"/>
          <w:i w:val="0"/>
          <w:noProof/>
          <w:color w:val="auto"/>
        </w:rPr>
      </w:pPr>
      <w:r>
        <w:rPr>
          <w:rFonts w:ascii="Times New Roman" w:hAnsi="Times New Roman"/>
          <w:noProof/>
        </w:rPr>
        <w:t xml:space="preserve">Espanjan elpymis- ja palautumissuunnitelman osan tavoitteena on uudistaa eläkejärjestelmää i) järjestelmän taloudellisen kestävyyden </w:t>
      </w:r>
      <w:r>
        <w:rPr>
          <w:rFonts w:ascii="Times New Roman" w:hAnsi="Times New Roman"/>
          <w:noProof/>
        </w:rPr>
        <w:t>varmistamiseksi lyhyellä, keskipitkällä ja pitkällä aikavälillä, ii) eläkkeiden ostovoiman säilyttämiseksi, iii) eläkkeiden riittävyyden säilyttämiseksi, iv) eläkeläisten suojelemiseksi köyhyydeltä ja v) sukupolvien välisen oikeudenmukaisuuden varmistamise</w:t>
      </w:r>
      <w:r>
        <w:rPr>
          <w:rFonts w:ascii="Times New Roman" w:hAnsi="Times New Roman"/>
          <w:noProof/>
        </w:rPr>
        <w:t>ksi. Uudistustoimenpiteet perustuvat parlamentin laajaan yhteisymmärrykseen Toledon sopimuksen suositusten hyväksymisestä</w:t>
      </w:r>
      <w:r>
        <w:rPr>
          <w:rStyle w:val="FootnoteReference"/>
          <w:rFonts w:ascii="Times New Roman" w:hAnsi="Times New Roman" w:cs="Times New Roman"/>
          <w:noProof/>
        </w:rPr>
        <w:footnoteReference w:id="213"/>
      </w:r>
      <w:r>
        <w:rPr>
          <w:rFonts w:ascii="Times New Roman" w:hAnsi="Times New Roman"/>
          <w:noProof/>
        </w:rPr>
        <w:t>. Toimenpiteitä, jotka ovat edelleen työmarkkinaosapuolten vuoropuhelun kohteena, ovat muun muassa seuraavat: rahoituslähteiden erotta</w:t>
      </w:r>
      <w:r>
        <w:rPr>
          <w:rFonts w:ascii="Times New Roman" w:hAnsi="Times New Roman"/>
          <w:noProof/>
        </w:rPr>
        <w:t>minen toisistaan, ii) eläke-etuuksien indeksointimekanismin tarkistaminen, iii) kannustimet eläkkeelle siirtymisen viivästymiseen ja varhaiseläkkeelle siirtymistä koskevat sääntelymuutokset, iv) eläkemaksukauden muutokset vanhuuseläkkeen laskemista varten,</w:t>
      </w:r>
      <w:r>
        <w:rPr>
          <w:rFonts w:ascii="Times New Roman" w:hAnsi="Times New Roman"/>
          <w:noProof/>
        </w:rPr>
        <w:t xml:space="preserve"> v) itsenäisten ammatinharjoittajien reaalituloihin perustuva uusi maksujärjestelmä ja vi) ammatillisten lisäeläkejärjestelmien kehittäminen työehtosopimusneuvottelujen avulla.</w:t>
      </w:r>
    </w:p>
    <w:p w14:paraId="7E8D549C" w14:textId="77777777" w:rsidR="000E48CE" w:rsidRDefault="00FF4C4E">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Osa-alue kattaa maakohtaiset suositukset eläkejärjestelmän kestävyyden säilyttä</w:t>
      </w:r>
      <w:r>
        <w:rPr>
          <w:rStyle w:val="IntenseEmphasis"/>
          <w:rFonts w:ascii="Times New Roman" w:hAnsi="Times New Roman"/>
          <w:i w:val="0"/>
          <w:noProof/>
          <w:color w:val="auto"/>
        </w:rPr>
        <w:t>misestä (maakohtainen suositus 1 2019) ja harjoittaa taloustilanteen salliessa finanssipolitiikkaa, jolla pyritään saavuttamaan maltillisella tasolla oleva julkisen talouden rahoitusasema keskipitkällä aikavälillä ja varmistamaan velkakestävyys samalla kun</w:t>
      </w:r>
      <w:r>
        <w:rPr>
          <w:rStyle w:val="IntenseEmphasis"/>
          <w:rFonts w:ascii="Times New Roman" w:hAnsi="Times New Roman"/>
          <w:i w:val="0"/>
          <w:noProof/>
          <w:color w:val="auto"/>
        </w:rPr>
        <w:t xml:space="preserve"> kannustetaan investointeihin (maakohtainen suositus 1 2020). </w:t>
      </w:r>
    </w:p>
    <w:p w14:paraId="0EF3D7FD" w14:textId="77777777" w:rsidR="000E48CE" w:rsidRDefault="00FF4C4E">
      <w:pPr>
        <w:pStyle w:val="P68B1DB1-Text119"/>
        <w:ind w:left="0"/>
        <w:rPr>
          <w:rFonts w:cs="Times New Roman"/>
          <w:noProof/>
        </w:rPr>
      </w:pPr>
      <w:r>
        <w:rPr>
          <w:noProof/>
        </w:rPr>
        <w:t xml:space="preserve">Minkään tämän komponentin toimenpiteen ei odoteta aiheuttavan asetuksen (EU) 2020/852 17 artiklassa tarkoitettua merkittävää haittaa ympäristötavoitteille, kun otetaan huomioon ”ei merkittävää </w:t>
      </w:r>
      <w:r>
        <w:rPr>
          <w:noProof/>
        </w:rPr>
        <w:t>haittaa” -periaatteen soveltamista koskevien teknisten ohjeiden (2021/C58/01) mukaiset elpymis- ja palautumissuunnitelmassa esitettyjen toimenpiteiden kuvaus ja lieventävät toimet.</w:t>
      </w:r>
    </w:p>
    <w:p w14:paraId="3BB1CD5E" w14:textId="77777777" w:rsidR="000E48CE" w:rsidRDefault="00FF4C4E">
      <w:pPr>
        <w:pStyle w:val="P68B1DB1-Text138"/>
        <w:ind w:left="709"/>
        <w:rPr>
          <w:rFonts w:cs="Times New Roman"/>
          <w:noProof/>
        </w:rPr>
      </w:pPr>
      <w:r>
        <w:rPr>
          <w:noProof/>
        </w:rPr>
        <w:t xml:space="preserve">AD.1. </w:t>
      </w:r>
      <w:r>
        <w:rPr>
          <w:noProof/>
        </w:rPr>
        <w:tab/>
        <w:t>Kuvaus uudistuksista ja investoinneista, joita rahoitetaan rahoitust</w:t>
      </w:r>
      <w:r>
        <w:rPr>
          <w:noProof/>
        </w:rPr>
        <w:t>uella, jota ei makseta takaisin</w:t>
      </w:r>
    </w:p>
    <w:p w14:paraId="2F205B6D" w14:textId="77777777" w:rsidR="000E48CE" w:rsidRDefault="00FF4C4E">
      <w:pPr>
        <w:pStyle w:val="P68B1DB1-Text120"/>
        <w:ind w:left="0"/>
        <w:rPr>
          <w:rFonts w:cs="Times New Roman"/>
          <w:noProof/>
        </w:rPr>
      </w:pPr>
      <w:r>
        <w:rPr>
          <w:noProof/>
        </w:rPr>
        <w:t>Uudistus 1 (C30.R1) – Sosiaaliturvan rahoituslähteiden erottaminen</w:t>
      </w:r>
    </w:p>
    <w:p w14:paraId="07603AFE" w14:textId="77777777" w:rsidR="000E48CE" w:rsidRDefault="00FF4C4E">
      <w:pPr>
        <w:pStyle w:val="P68B1DB1-Normal4"/>
        <w:spacing w:before="120" w:after="120" w:line="240" w:lineRule="auto"/>
        <w:jc w:val="both"/>
        <w:rPr>
          <w:rFonts w:cs="Times New Roman"/>
          <w:noProof/>
        </w:rPr>
      </w:pPr>
      <w:r>
        <w:rPr>
          <w:noProof/>
        </w:rPr>
        <w:t>Uudistuksen tavoitteena on muuttaa eläkejärjestelmän rahoitusta Toledon sopimuksen suositusten mukaisesti siten, että maksuihin perustuvat etuudet rahoitetaa</w:t>
      </w:r>
      <w:r>
        <w:rPr>
          <w:noProof/>
        </w:rPr>
        <w:t>n sosiaaliturvamaksuilla ja maksuihin perustumattomat etuudet maksetaan valtion talousarviosta. Uudistus koostuu siitä, että valtio ottaa vastatakseen useiden sellaisten menoerien rahoittamisesta, jotka tällä hetkellä katetaan sosiaaliturvamaksuilla. Uudis</w:t>
      </w:r>
      <w:r>
        <w:rPr>
          <w:noProof/>
        </w:rPr>
        <w:t xml:space="preserve">tuksella vahvistetaan maksuosuuksien ja etuuksien välistä yhteyttä ja parannetaan maksuperusteisen järjestelmän taloudellista kestävyyttä. </w:t>
      </w:r>
    </w:p>
    <w:p w14:paraId="11C3E650" w14:textId="77777777" w:rsidR="000E48CE" w:rsidRDefault="00FF4C4E">
      <w:pPr>
        <w:pStyle w:val="P68B1DB1-Normal4"/>
        <w:spacing w:before="120" w:after="120" w:line="240" w:lineRule="auto"/>
        <w:jc w:val="both"/>
        <w:rPr>
          <w:rFonts w:cs="Times New Roman"/>
          <w:noProof/>
        </w:rPr>
      </w:pPr>
      <w:r>
        <w:rPr>
          <w:noProof/>
        </w:rPr>
        <w:t>Aiemmin sosiaaliturvamaksuilla rahoitettuja menoeriä pidetään maksuihin perustumattomina ja valtion talousarviosta r</w:t>
      </w:r>
      <w:r>
        <w:rPr>
          <w:noProof/>
        </w:rPr>
        <w:t>ahoitettuina menoerinä: i) osa maksuihin perustumattomista työllisyyspolitiikoista, ii) sosiaaliturvamaksujen alennukset työllisyyden edistämiseksi, iii) synnytys- ja lastenhoitoavustukset, iv) varhaiseläkkeelle siirtymiseen liittyvät menot, v) äitiyseläkk</w:t>
      </w:r>
      <w:r>
        <w:rPr>
          <w:noProof/>
        </w:rPr>
        <w:t xml:space="preserve">een lisä, v) perheenjäsenten eläkkeet, vi) erityisjärjestelmiin liittyvät tukitoimenpiteet (implisiittiset tuet) ja vii) kustannukset, jotka aiheutuvat vakuutusmaksuerojen täydentämisestä vanhuuseläkettä laskettaessa. </w:t>
      </w:r>
    </w:p>
    <w:p w14:paraId="23673BD8" w14:textId="77777777" w:rsidR="000E48CE" w:rsidRDefault="00FF4C4E">
      <w:pPr>
        <w:pStyle w:val="P68B1DB1-Normal4"/>
        <w:spacing w:before="120" w:after="120" w:line="240" w:lineRule="auto"/>
        <w:jc w:val="both"/>
        <w:rPr>
          <w:rFonts w:cs="Times New Roman"/>
          <w:noProof/>
        </w:rPr>
      </w:pPr>
      <w:r>
        <w:rPr>
          <w:noProof/>
        </w:rPr>
        <w:t>Uudistus on aloitettu vuoden 2021 yle</w:t>
      </w:r>
      <w:r>
        <w:rPr>
          <w:noProof/>
        </w:rPr>
        <w:t xml:space="preserve">iseen talousarvioon sisältyvillä säännöksillä, ja se toteutetaan asteittain valtion talousarviosta sosiaaliturvabudjettiin tehtävillä siirroilla. </w:t>
      </w:r>
    </w:p>
    <w:p w14:paraId="4A6F8A76" w14:textId="77777777" w:rsidR="000E48CE" w:rsidRDefault="00FF4C4E">
      <w:pPr>
        <w:pStyle w:val="P68B1DB1-Normal4"/>
        <w:spacing w:before="120" w:after="120" w:line="240" w:lineRule="auto"/>
        <w:jc w:val="both"/>
        <w:rPr>
          <w:rFonts w:cs="Times New Roman"/>
          <w:noProof/>
        </w:rPr>
      </w:pPr>
      <w:r>
        <w:rPr>
          <w:noProof/>
        </w:rPr>
        <w:t>Toimenpide on pantava täytäntöön viimeistään 31 päivänä joulukuuta 2023.</w:t>
      </w:r>
    </w:p>
    <w:p w14:paraId="341FA52A" w14:textId="77777777" w:rsidR="000E48CE" w:rsidRDefault="00FF4C4E">
      <w:pPr>
        <w:pStyle w:val="P68B1DB1-Text119"/>
        <w:ind w:left="0"/>
        <w:rPr>
          <w:rFonts w:cs="Times New Roman"/>
          <w:noProof/>
          <w:u w:val="single"/>
        </w:rPr>
      </w:pPr>
      <w:r>
        <w:rPr>
          <w:noProof/>
          <w:u w:val="single"/>
        </w:rPr>
        <w:t>Uudistus 2 (C30.R2) – Eläkkeiden ost</w:t>
      </w:r>
      <w:r>
        <w:rPr>
          <w:noProof/>
          <w:u w:val="single"/>
        </w:rPr>
        <w:t>ovoiman säilyttäminen,</w:t>
      </w:r>
      <w:r>
        <w:rPr>
          <w:noProof/>
        </w:rPr>
        <w:t xml:space="preserve"> </w:t>
      </w:r>
      <w:r>
        <w:rPr>
          <w:noProof/>
          <w:u w:val="single"/>
        </w:rPr>
        <w:t>tosiasiallisen eläkeiän mukauttaminen lakisääteiseen eläkeikään, vanhuuseläkkeen laskentajakson mukauttaminen uusiin työuriin ja kestävyystekijän korvaaminen sukupolvien välisellätasa-arvomekanismilla</w:t>
      </w:r>
    </w:p>
    <w:p w14:paraId="3D0FFCFF" w14:textId="77777777" w:rsidR="000E48CE" w:rsidRDefault="00FF4C4E">
      <w:pPr>
        <w:pStyle w:val="P68B1DB1-Normal4"/>
        <w:spacing w:before="120" w:after="120" w:line="240" w:lineRule="auto"/>
        <w:jc w:val="both"/>
        <w:rPr>
          <w:rFonts w:cs="Times New Roman"/>
          <w:noProof/>
        </w:rPr>
      </w:pPr>
      <w:r>
        <w:rPr>
          <w:noProof/>
        </w:rPr>
        <w:t>Uudistuksen tavoitteena on i) ta</w:t>
      </w:r>
      <w:r>
        <w:rPr>
          <w:noProof/>
        </w:rPr>
        <w:t>ata eläkeläisten ostovoima, ii) lisätä työvoimaosuutta lähellä lakisääteistä eläkeikää, iii) lykätä eläkkeelle siirtymistä, iv) vahvistaa maksujärjestelmän progressiivisuutta, v) mukauttaa nykyistä sääntelyä epäjatkuvaan urakehitykseen ja muihin epätyypill</w:t>
      </w:r>
      <w:r>
        <w:rPr>
          <w:noProof/>
        </w:rPr>
        <w:t xml:space="preserve">isen työn muotoihin ja vi) puuttua tulevien väestörakenteen muutosten vaikutuksiin heikentämättä nykyisten ja tulevien eläkkeiden riittävyyttä. Uudistus koostuu neljästä erillisestä sääntelyuudistuksesta, jotka ovat Toledon sopimuksen suositusten mukaisia </w:t>
      </w:r>
      <w:r>
        <w:rPr>
          <w:noProof/>
        </w:rPr>
        <w:t xml:space="preserve">ja jotka on määrä hyväksyä kahdessa vaiheessa. </w:t>
      </w:r>
    </w:p>
    <w:p w14:paraId="29699A14" w14:textId="77777777" w:rsidR="000E48CE" w:rsidRDefault="00FF4C4E">
      <w:pPr>
        <w:pStyle w:val="P68B1DB1-Normal4"/>
        <w:spacing w:before="120" w:after="120" w:line="240" w:lineRule="auto"/>
        <w:rPr>
          <w:rFonts w:cs="Times New Roman"/>
          <w:noProof/>
        </w:rPr>
      </w:pPr>
      <w:r>
        <w:rPr>
          <w:noProof/>
        </w:rPr>
        <w:t>Uudistukset, jotka tulevat voimaan 31. joulukuuta 2021 mennessä, ovat seuraavat:</w:t>
      </w:r>
    </w:p>
    <w:p w14:paraId="5348CA21" w14:textId="77777777" w:rsidR="000E48CE" w:rsidRDefault="00FF4C4E">
      <w:pPr>
        <w:pStyle w:val="P68B1DB1-ListParagraph7"/>
        <w:numPr>
          <w:ilvl w:val="0"/>
          <w:numId w:val="718"/>
        </w:numPr>
        <w:spacing w:before="120" w:after="120" w:line="240" w:lineRule="auto"/>
        <w:jc w:val="both"/>
        <w:rPr>
          <w:rFonts w:cs="Times New Roman"/>
          <w:noProof/>
        </w:rPr>
      </w:pPr>
      <w:r>
        <w:rPr>
          <w:noProof/>
        </w:rPr>
        <w:t>Uusi indeksointimekanismi, jossa eläke-etuudet kytketään inflaatioon ja jonka tavoitteena on taata eläkeläisten ostovoima pysyv</w:t>
      </w:r>
      <w:r>
        <w:rPr>
          <w:noProof/>
        </w:rPr>
        <w:t xml:space="preserve">ästi. </w:t>
      </w:r>
    </w:p>
    <w:p w14:paraId="2A7F3E2A" w14:textId="77777777" w:rsidR="000E48CE" w:rsidRDefault="00FF4C4E">
      <w:pPr>
        <w:pStyle w:val="P68B1DB1-ListParagraph7"/>
        <w:numPr>
          <w:ilvl w:val="0"/>
          <w:numId w:val="718"/>
        </w:numPr>
        <w:spacing w:before="120" w:after="120" w:line="240" w:lineRule="auto"/>
        <w:jc w:val="both"/>
        <w:rPr>
          <w:rFonts w:cs="Times New Roman"/>
          <w:noProof/>
        </w:rPr>
      </w:pPr>
      <w:r>
        <w:rPr>
          <w:noProof/>
        </w:rPr>
        <w:t>Tosiasiallisen eläkkeellesiirtymisiän mukauttaminen lakisääteiseen eläkeikään, tavoitteena on lisätä työvoimaosuutta lakisääteisen eläkeiän läheisyydessä ja lykätä eläkkeelle siirtymistä. Toimenpide koostuu seuraavista sääntelymuutoksista:</w:t>
      </w:r>
    </w:p>
    <w:p w14:paraId="6E80937E" w14:textId="77777777" w:rsidR="000E48CE" w:rsidRDefault="00FF4C4E">
      <w:pPr>
        <w:pStyle w:val="P68B1DB1-ListParagraph7"/>
        <w:numPr>
          <w:ilvl w:val="1"/>
          <w:numId w:val="167"/>
        </w:numPr>
        <w:spacing w:before="120" w:after="120" w:line="240" w:lineRule="auto"/>
        <w:jc w:val="both"/>
        <w:rPr>
          <w:rFonts w:cs="Times New Roman"/>
          <w:noProof/>
        </w:rPr>
      </w:pPr>
      <w:r>
        <w:rPr>
          <w:noProof/>
        </w:rPr>
        <w:t xml:space="preserve"> Uusien kannustimien luominen eläkkeelle jäämisen lykkäämiseksi (suuremmat taloudelliset kannustimet eläkkeelle jäämisen lykkäämiseksi sekä työn ja eläkkeiden yhteensopivuuden edistäminen). Erityisesti niillä työntekijöillä, jotka lykkäävät eläkkeelle siir</w:t>
      </w:r>
      <w:r>
        <w:rPr>
          <w:noProof/>
        </w:rPr>
        <w:t>tymistä, on oikeus valita seuraavista: eläkkeen määrän korotus jokaista täyttä maksuvuotta kohti, joka lasketaan lakisääteisen eläkeiän ja tosiasiallisen eläkkeelle siirtymisen välisenä aikana; kiinteämääräinen maksu; ja kahden ensin mainitun yhdistelmä.</w:t>
      </w:r>
    </w:p>
    <w:p w14:paraId="55A7387E" w14:textId="77777777" w:rsidR="000E48CE" w:rsidRDefault="00FF4C4E">
      <w:pPr>
        <w:pStyle w:val="P68B1DB1-ListParagraph7"/>
        <w:numPr>
          <w:ilvl w:val="1"/>
          <w:numId w:val="167"/>
        </w:numPr>
        <w:spacing w:before="120" w:after="120" w:line="240" w:lineRule="auto"/>
        <w:jc w:val="both"/>
        <w:rPr>
          <w:rFonts w:cs="Times New Roman"/>
          <w:noProof/>
        </w:rPr>
      </w:pPr>
      <w:r>
        <w:rPr>
          <w:noProof/>
        </w:rPr>
        <w:t>V</w:t>
      </w:r>
      <w:r>
        <w:rPr>
          <w:noProof/>
        </w:rPr>
        <w:t xml:space="preserve">ahvistetaan pidäkkeitä varhaiseläkkeelle siirtymisen nykyisen sääntelyn varhaiseläketekijöiden sääntelyssä. Varhaiseläkkeelle siirtymistä koskevaa vähennysastetta on muutettava tosiasiallisen eläkeiän nostamiseksi ja niiden eläkkeensaajien erityiskohtelun </w:t>
      </w:r>
      <w:r>
        <w:rPr>
          <w:noProof/>
        </w:rPr>
        <w:t>poistamiseksi, joilla on enimmäismaksuperuste. Kollektiivisia neuvotteluja koskevat määräykset, jotka velvoittavat saamaan eläkettä tavanomaisessa eläkeiässä, on kiellettävä.</w:t>
      </w:r>
    </w:p>
    <w:p w14:paraId="0B2F0D06" w14:textId="77777777" w:rsidR="000E48CE" w:rsidRDefault="00FF4C4E">
      <w:pPr>
        <w:pStyle w:val="P68B1DB1-Normal4"/>
        <w:spacing w:before="120" w:after="120" w:line="240" w:lineRule="auto"/>
        <w:rPr>
          <w:rFonts w:cs="Times New Roman"/>
          <w:noProof/>
        </w:rPr>
      </w:pPr>
      <w:r>
        <w:rPr>
          <w:noProof/>
        </w:rPr>
        <w:t>Uudistukset, jotka tulevat voimaan 31. joulukuuta 2022 mennessä, ovat seuraavat:</w:t>
      </w:r>
    </w:p>
    <w:p w14:paraId="27134B17" w14:textId="77777777" w:rsidR="000E48CE" w:rsidRDefault="00FF4C4E">
      <w:pPr>
        <w:pStyle w:val="P68B1DB1-ListParagraph7"/>
        <w:numPr>
          <w:ilvl w:val="0"/>
          <w:numId w:val="717"/>
        </w:numPr>
        <w:spacing w:before="120" w:after="120" w:line="240" w:lineRule="auto"/>
        <w:jc w:val="both"/>
        <w:rPr>
          <w:rFonts w:cs="Times New Roman"/>
          <w:noProof/>
        </w:rPr>
      </w:pPr>
      <w:r>
        <w:rPr>
          <w:noProof/>
        </w:rPr>
        <w:t xml:space="preserve">Maksukauden mukauttaminen vanhuuseläkkeen laskemista varten tavoitteena vahvistaa järjestelmän progressiivisuutta ja mukauttaa nykyistä sääntelyä epäjatkuvaan urakehitykseen ja muihin epätyypillisen työn muotoihin. </w:t>
      </w:r>
    </w:p>
    <w:p w14:paraId="2A3475C4" w14:textId="77777777" w:rsidR="000E48CE" w:rsidRDefault="00FF4C4E">
      <w:pPr>
        <w:pStyle w:val="P68B1DB1-ListParagraph7"/>
        <w:numPr>
          <w:ilvl w:val="0"/>
          <w:numId w:val="717"/>
        </w:numPr>
        <w:spacing w:before="120" w:after="120" w:line="240" w:lineRule="auto"/>
        <w:jc w:val="both"/>
        <w:rPr>
          <w:rFonts w:cs="Times New Roman"/>
          <w:noProof/>
        </w:rPr>
      </w:pPr>
      <w:r>
        <w:rPr>
          <w:noProof/>
        </w:rPr>
        <w:t>Kestävyystekijän korvaaminen mekanismill</w:t>
      </w:r>
      <w:r>
        <w:rPr>
          <w:noProof/>
        </w:rPr>
        <w:t xml:space="preserve">a, jolla taataan sukupolvien välinen oikeudenmukaisuus ja julkisen talouden kestävyys. Toimenpiteen tavoitteena on puuttua tulevien väestörakenteen muutosten vaikutuksiin heikentämättä nykyisten ja tulevien eläkkeiden riittävyyttä. </w:t>
      </w:r>
    </w:p>
    <w:p w14:paraId="3996B3D3" w14:textId="77777777" w:rsidR="000E48CE" w:rsidRDefault="00FF4C4E">
      <w:pPr>
        <w:pStyle w:val="P68B1DB1-Normal4"/>
        <w:spacing w:before="120" w:after="120" w:line="240" w:lineRule="auto"/>
        <w:jc w:val="both"/>
        <w:rPr>
          <w:rFonts w:cs="Times New Roman"/>
          <w:noProof/>
        </w:rPr>
      </w:pPr>
      <w:r>
        <w:rPr>
          <w:noProof/>
        </w:rPr>
        <w:t>Toimenpide on pantava t</w:t>
      </w:r>
      <w:r>
        <w:rPr>
          <w:noProof/>
        </w:rPr>
        <w:t>äytäntöön 31 päivään joulukuuta 2022 mennessä.</w:t>
      </w:r>
    </w:p>
    <w:p w14:paraId="657D7466" w14:textId="77777777" w:rsidR="000E48CE" w:rsidRDefault="00FF4C4E">
      <w:pPr>
        <w:pStyle w:val="P68B1DB1-Normal6"/>
        <w:keepNext/>
        <w:spacing w:before="120" w:after="120" w:line="240" w:lineRule="auto"/>
        <w:rPr>
          <w:rFonts w:cs="Times New Roman"/>
          <w:noProof/>
        </w:rPr>
      </w:pPr>
      <w:r>
        <w:rPr>
          <w:noProof/>
        </w:rPr>
        <w:t>Uudistus 3 (C30.R3) – Itsenäisten ammatinharjoittajien sosiaaliturvamaksujärjestelmän uudistus</w:t>
      </w:r>
    </w:p>
    <w:p w14:paraId="18E76997" w14:textId="77777777" w:rsidR="000E48CE" w:rsidRDefault="00FF4C4E">
      <w:pPr>
        <w:pStyle w:val="P68B1DB1-Normal4"/>
        <w:spacing w:before="120" w:after="120" w:line="240" w:lineRule="auto"/>
        <w:jc w:val="both"/>
        <w:rPr>
          <w:rFonts w:cs="Times New Roman"/>
          <w:noProof/>
        </w:rPr>
      </w:pPr>
      <w:r>
        <w:rPr>
          <w:noProof/>
        </w:rPr>
        <w:t>Uudistuksen tavoitteena on yhdenmukaistaa työntekijöiden ja itsenäisten ammatinharjoittajien kohtelu, lisätä eläke</w:t>
      </w:r>
      <w:r>
        <w:rPr>
          <w:noProof/>
        </w:rPr>
        <w:t>järjestelmään suoritettavia maksuja ja varmistaa, että itsenäiset ammatinharjoittajat saavat riittävät eläketulot. Uudistuksella muutetaan itsenäisten ammatinharjoittajien maksujärjestelmää. Uudistuksessa itsenäisten ammatinharjoittajien maksuosuudet perus</w:t>
      </w:r>
      <w:r>
        <w:rPr>
          <w:noProof/>
        </w:rPr>
        <w:t>tuvat Toledon sopimuksen suositusten mukaisesti itse valitseman maksupohjan sijasta reaalituloihin. Lopullinen maksu lasketaan veroviranomaisten toimittamien itsenäisten ammatinharjoittajien ammattitulojen perusteella. Uudistus toteutetaan asteittain korot</w:t>
      </w:r>
      <w:r>
        <w:rPr>
          <w:noProof/>
        </w:rPr>
        <w:t>tamalla vähimmäismaksupohjaa, jotta voidaan mukautua uuteen järjestelmään.</w:t>
      </w:r>
    </w:p>
    <w:p w14:paraId="00CA74FD" w14:textId="77777777" w:rsidR="000E48CE" w:rsidRDefault="00FF4C4E">
      <w:pPr>
        <w:pStyle w:val="P68B1DB1-Normal4"/>
        <w:spacing w:before="120" w:after="120" w:line="240" w:lineRule="auto"/>
        <w:rPr>
          <w:rFonts w:cs="Times New Roman"/>
          <w:noProof/>
        </w:rPr>
      </w:pPr>
      <w:r>
        <w:rPr>
          <w:noProof/>
        </w:rPr>
        <w:t>Toimenpide on pantava täytäntöön viimeistään 30 päivänä kesäkuuta 2022.</w:t>
      </w:r>
    </w:p>
    <w:p w14:paraId="71F6CB0D" w14:textId="77777777" w:rsidR="000E48CE" w:rsidRDefault="00FF4C4E">
      <w:pPr>
        <w:pStyle w:val="P68B1DB1-Normal6"/>
        <w:keepNext/>
        <w:spacing w:before="120" w:after="120" w:line="240" w:lineRule="auto"/>
        <w:rPr>
          <w:rFonts w:cs="Times New Roman"/>
          <w:noProof/>
        </w:rPr>
      </w:pPr>
      <w:r>
        <w:rPr>
          <w:noProof/>
        </w:rPr>
        <w:t>Uudistus 4 (C30.R4) – äitiyteen liittyvien korotusten yksinkertaistaminen</w:t>
      </w:r>
    </w:p>
    <w:p w14:paraId="23D893F5" w14:textId="77777777" w:rsidR="000E48CE" w:rsidRDefault="00FF4C4E">
      <w:pPr>
        <w:pStyle w:val="P68B1DB1-Normal4"/>
        <w:keepNext/>
        <w:spacing w:before="120" w:after="120" w:line="240" w:lineRule="auto"/>
        <w:jc w:val="both"/>
        <w:rPr>
          <w:rFonts w:cs="Times New Roman"/>
          <w:noProof/>
        </w:rPr>
      </w:pPr>
      <w:r>
        <w:rPr>
          <w:noProof/>
        </w:rPr>
        <w:t xml:space="preserve">Uudistuksen tavoitteena on korvata </w:t>
      </w:r>
      <w:r>
        <w:rPr>
          <w:noProof/>
        </w:rPr>
        <w:t>vanhemmille, pääasiassa äideille, syntymä- ja lastenhoitokustannukset sukupuolten välisen eläke-eron kaventamiseksi. Uudistuksella suunnitellaan äitiyslisä uudelleen, ja se on jo hyväksytty (2. helmikuuta 2021 annettu kuninkaallinen asetus 3/2021). Euroopa</w:t>
      </w:r>
      <w:r>
        <w:rPr>
          <w:noProof/>
        </w:rPr>
        <w:t>n unionin tuomioistuin katsoi 12. joulukuuta 2019 antamassaan tuomiossa, että aiempi äitiyslisä, joka oli voimassa vuodesta 2016 lähtien, syrjii miehiä. Uudistetun äitiysvapaalisän odotetaan olevan tuomioistuimen päätöksen mukainen ja ehkäisevän syrjintää.</w:t>
      </w:r>
      <w:r>
        <w:rPr>
          <w:noProof/>
        </w:rPr>
        <w:t xml:space="preserve"> Uusi täydennysosa perustuu maksupolkujen analyysiin, jotta voidaan määrittää, kumpi vanhemmista on ollut maksuperusteisessa urassaan lapsen syntymän vuoksi epäedullisessa asemassa, edellyttäen, että erityisen epäedullisessa asemassa olevan vanhemman puutt</w:t>
      </w:r>
      <w:r>
        <w:rPr>
          <w:noProof/>
        </w:rPr>
        <w:t>uessa äidille myönnetään lisä.</w:t>
      </w:r>
    </w:p>
    <w:p w14:paraId="46B0E21D" w14:textId="77777777" w:rsidR="000E48CE" w:rsidRDefault="00FF4C4E">
      <w:pPr>
        <w:pStyle w:val="P68B1DB1-Normal4"/>
        <w:spacing w:before="120" w:after="120" w:line="240" w:lineRule="auto"/>
        <w:rPr>
          <w:rFonts w:cs="Times New Roman"/>
          <w:noProof/>
        </w:rPr>
      </w:pPr>
      <w:r>
        <w:rPr>
          <w:noProof/>
        </w:rPr>
        <w:t>Toimenpide on pantava täytäntöön viimeistään 31 päivänä maaliskuuta 2021.</w:t>
      </w:r>
    </w:p>
    <w:p w14:paraId="0ADF50A6" w14:textId="77777777" w:rsidR="000E48CE" w:rsidRDefault="00FF4C4E">
      <w:pPr>
        <w:pStyle w:val="P68B1DB1-Normal6"/>
        <w:spacing w:before="120" w:after="120" w:line="240" w:lineRule="auto"/>
        <w:rPr>
          <w:rFonts w:cs="Times New Roman"/>
          <w:noProof/>
        </w:rPr>
      </w:pPr>
      <w:r>
        <w:rPr>
          <w:noProof/>
        </w:rPr>
        <w:t>Uudistus 5 (C30.R5) – Nykyisen lisäeläkejärjestelmän tarkistaminen</w:t>
      </w:r>
    </w:p>
    <w:p w14:paraId="3425A92D" w14:textId="77777777" w:rsidR="000E48CE" w:rsidRDefault="00FF4C4E">
      <w:pPr>
        <w:pStyle w:val="P68B1DB1-Normal4"/>
        <w:spacing w:before="120" w:after="120" w:line="240" w:lineRule="auto"/>
        <w:jc w:val="both"/>
        <w:rPr>
          <w:rFonts w:cs="Times New Roman"/>
          <w:noProof/>
        </w:rPr>
      </w:pPr>
      <w:r>
        <w:rPr>
          <w:noProof/>
        </w:rPr>
        <w:t xml:space="preserve">Uudistuksella tarkistetaan lisäeläkejärjestelmän sääntelykehystä tavoitteena lisätä </w:t>
      </w:r>
      <w:r>
        <w:rPr>
          <w:noProof/>
        </w:rPr>
        <w:t>työehtosopimusneuvotteluissa sovittujen ammatillisten lisäeläkejärjestelmien kattavuutta mieluiten alakohtaisella tasolla. Ammatillisia lisäeläkejärjestelmiä koskevan uuden oikeudellisen kehyksen tarkoituksena on kattaa työntekijät, joilla ei ole ammatilli</w:t>
      </w:r>
      <w:r>
        <w:rPr>
          <w:noProof/>
        </w:rPr>
        <w:t xml:space="preserve">sia lisäeläkkeitä yrityksissään, ja itsenäiset ammatinharjoittajat, joilla ei tällä hetkellä ole pääsyä näihin toisen pilarin järjestelmiin. </w:t>
      </w:r>
    </w:p>
    <w:p w14:paraId="23D7F805" w14:textId="77777777" w:rsidR="000E48CE" w:rsidRDefault="00FF4C4E">
      <w:pPr>
        <w:pStyle w:val="P68B1DB1-Normal4"/>
        <w:spacing w:before="120" w:after="120" w:line="240" w:lineRule="auto"/>
        <w:rPr>
          <w:rFonts w:cs="Times New Roman"/>
          <w:noProof/>
        </w:rPr>
      </w:pPr>
      <w:r>
        <w:rPr>
          <w:noProof/>
        </w:rPr>
        <w:t>Uudistuksen erityistoimenpiteisiin kuuluvat seuraavat:</w:t>
      </w:r>
    </w:p>
    <w:p w14:paraId="2F529509" w14:textId="77777777" w:rsidR="000E48CE" w:rsidRDefault="00FF4C4E">
      <w:pPr>
        <w:pStyle w:val="P68B1DB1-ListParagraph7"/>
        <w:numPr>
          <w:ilvl w:val="0"/>
          <w:numId w:val="168"/>
        </w:numPr>
        <w:spacing w:before="120" w:after="120" w:line="240" w:lineRule="auto"/>
        <w:rPr>
          <w:rFonts w:cs="Times New Roman"/>
          <w:noProof/>
        </w:rPr>
      </w:pPr>
      <w:r>
        <w:rPr>
          <w:noProof/>
        </w:rPr>
        <w:t>Perustetaan julkisesti tuettuja, yksityisen sektorin hallin</w:t>
      </w:r>
      <w:r>
        <w:rPr>
          <w:noProof/>
        </w:rPr>
        <w:t xml:space="preserve">noimia ammatillisia lisäeläkkeitä tarjoavia rahastoja. </w:t>
      </w:r>
    </w:p>
    <w:p w14:paraId="0E2C3D1C" w14:textId="77777777" w:rsidR="000E48CE" w:rsidRDefault="00FF4C4E">
      <w:pPr>
        <w:pStyle w:val="P68B1DB1-ListParagraph7"/>
        <w:numPr>
          <w:ilvl w:val="0"/>
          <w:numId w:val="168"/>
        </w:numPr>
        <w:spacing w:before="120" w:after="120" w:line="240" w:lineRule="auto"/>
        <w:rPr>
          <w:rFonts w:cs="Times New Roman"/>
          <w:noProof/>
        </w:rPr>
      </w:pPr>
      <w:r>
        <w:rPr>
          <w:noProof/>
        </w:rPr>
        <w:t>Kannustimet ja sääntelymuutokset, joilla lisätään työehtosopimusneuvotteluissa sovittujen ammatillisten lisäeläkejärjestelmien kattavuutta.</w:t>
      </w:r>
    </w:p>
    <w:p w14:paraId="52310F8C" w14:textId="77777777" w:rsidR="000E48CE" w:rsidRDefault="00FF4C4E">
      <w:pPr>
        <w:pStyle w:val="P68B1DB1-ListParagraph7"/>
        <w:numPr>
          <w:ilvl w:val="0"/>
          <w:numId w:val="168"/>
        </w:numPr>
        <w:spacing w:before="120" w:after="120" w:line="240" w:lineRule="auto"/>
        <w:rPr>
          <w:rFonts w:cs="Times New Roman"/>
          <w:noProof/>
        </w:rPr>
      </w:pPr>
      <w:r>
        <w:rPr>
          <w:noProof/>
        </w:rPr>
        <w:t>Eläkejärjestelmiä koskevien menettelyjen yksinkertaistaminen</w:t>
      </w:r>
      <w:r>
        <w:rPr>
          <w:noProof/>
        </w:rPr>
        <w:t>.</w:t>
      </w:r>
    </w:p>
    <w:p w14:paraId="3F2E466D" w14:textId="77777777" w:rsidR="000E48CE" w:rsidRDefault="00FF4C4E">
      <w:pPr>
        <w:pStyle w:val="P68B1DB1-ListParagraph7"/>
        <w:numPr>
          <w:ilvl w:val="0"/>
          <w:numId w:val="168"/>
        </w:numPr>
        <w:spacing w:before="120" w:after="120" w:line="240" w:lineRule="auto"/>
        <w:rPr>
          <w:rFonts w:cs="Times New Roman"/>
          <w:noProof/>
        </w:rPr>
      </w:pPr>
      <w:r>
        <w:rPr>
          <w:noProof/>
        </w:rPr>
        <w:t>Sääntelymuutokset, joilla edistetään työntekijöiden liikkuvuutta eri yritysten ja alojen välillä.</w:t>
      </w:r>
    </w:p>
    <w:p w14:paraId="6D5091E5" w14:textId="77777777" w:rsidR="000E48CE" w:rsidRDefault="00FF4C4E">
      <w:pPr>
        <w:pStyle w:val="P68B1DB1-ListParagraph7"/>
        <w:numPr>
          <w:ilvl w:val="0"/>
          <w:numId w:val="168"/>
        </w:numPr>
        <w:spacing w:before="120" w:after="120" w:line="240" w:lineRule="auto"/>
        <w:rPr>
          <w:rFonts w:cs="Times New Roman"/>
          <w:noProof/>
        </w:rPr>
      </w:pPr>
      <w:r>
        <w:rPr>
          <w:noProof/>
        </w:rPr>
        <w:t>Verokannustimet, joilla edistetään osallistumista kollektiivisiin ammatillisiin järjestelmiin</w:t>
      </w:r>
    </w:p>
    <w:p w14:paraId="46F9F747" w14:textId="77777777" w:rsidR="000E48CE" w:rsidRDefault="00FF4C4E">
      <w:pPr>
        <w:pStyle w:val="P68B1DB1-ListParagraph7"/>
        <w:numPr>
          <w:ilvl w:val="0"/>
          <w:numId w:val="168"/>
        </w:numPr>
        <w:spacing w:before="120" w:after="120" w:line="240" w:lineRule="auto"/>
        <w:rPr>
          <w:rFonts w:cs="Times New Roman"/>
          <w:noProof/>
        </w:rPr>
      </w:pPr>
      <w:r>
        <w:rPr>
          <w:noProof/>
        </w:rPr>
        <w:t xml:space="preserve">Rajoitetaan kollektiivisten ammattijärjestelmien </w:t>
      </w:r>
      <w:r>
        <w:rPr>
          <w:noProof/>
        </w:rPr>
        <w:t>hallinnointikustannuksia alle 0,30 prosenttiin hoidettavina olevista varoista.</w:t>
      </w:r>
    </w:p>
    <w:p w14:paraId="7E9026A5" w14:textId="77777777" w:rsidR="000E48CE" w:rsidRDefault="00FF4C4E">
      <w:pPr>
        <w:pStyle w:val="P68B1DB1-Normal4"/>
        <w:spacing w:before="120" w:after="120" w:line="240" w:lineRule="auto"/>
        <w:jc w:val="both"/>
        <w:rPr>
          <w:rFonts w:cs="Times New Roman"/>
          <w:noProof/>
        </w:rPr>
      </w:pPr>
      <w:r>
        <w:rPr>
          <w:noProof/>
        </w:rPr>
        <w:t>Uudistuksen täytäntöönpano on aloitettu valtion vuoden 2021 yleiseen talousarvioon sisältyvillä säännöksillä, joilla siirretään aiemmin yksilöllisiin eläkejärjestelmiin liittyvi</w:t>
      </w:r>
      <w:r>
        <w:rPr>
          <w:noProof/>
        </w:rPr>
        <w:t xml:space="preserve">ä verokannustimia kollektiivisten järjestelmien hyväksi (toimenpide v. edellä) ja edistämällä julkisesti ammatillisia lisäeläkkeitä tarjoavia rahastoja (edellä mainittu toimenpide i). </w:t>
      </w:r>
    </w:p>
    <w:p w14:paraId="7B278F8F" w14:textId="77777777" w:rsidR="000E48CE" w:rsidRDefault="00FF4C4E">
      <w:pPr>
        <w:pStyle w:val="P68B1DB1-Normal4"/>
        <w:spacing w:before="120" w:after="120" w:line="240" w:lineRule="auto"/>
        <w:jc w:val="both"/>
        <w:rPr>
          <w:rFonts w:cs="Times New Roman"/>
          <w:noProof/>
        </w:rPr>
      </w:pPr>
      <w:r>
        <w:rPr>
          <w:noProof/>
        </w:rPr>
        <w:t>Toimenpide on pantava täytäntöön viimeistään 30 päivänä kesäkuuta 2022.</w:t>
      </w:r>
    </w:p>
    <w:p w14:paraId="37BB5876" w14:textId="77777777" w:rsidR="000E48CE" w:rsidRDefault="00FF4C4E">
      <w:pPr>
        <w:pStyle w:val="P68B1DB1-Normal6"/>
        <w:spacing w:before="120" w:after="120" w:line="240" w:lineRule="auto"/>
        <w:rPr>
          <w:rFonts w:cs="Times New Roman"/>
          <w:noProof/>
        </w:rPr>
      </w:pPr>
      <w:r>
        <w:rPr>
          <w:noProof/>
        </w:rPr>
        <w:t>Uudistus 6 (C30.R6) – Enimmäismaksupohjan mukauttaminen</w:t>
      </w:r>
    </w:p>
    <w:p w14:paraId="293D75EB" w14:textId="77777777" w:rsidR="000E48CE" w:rsidRDefault="00FF4C4E">
      <w:pPr>
        <w:spacing w:before="120" w:after="120" w:line="240" w:lineRule="auto"/>
        <w:jc w:val="both"/>
        <w:rPr>
          <w:rFonts w:ascii="Times New Roman" w:hAnsi="Times New Roman" w:cs="Times New Roman"/>
          <w:noProof/>
          <w:sz w:val="24"/>
        </w:rPr>
      </w:pPr>
      <w:r>
        <w:rPr>
          <w:rFonts w:ascii="Times New Roman" w:hAnsi="Times New Roman"/>
          <w:noProof/>
          <w:sz w:val="24"/>
        </w:rPr>
        <w:t>Uudistuksella lisätään eläkejärjestelmän enimmäismaksupohjaa ja mukautetaan eläkkeiden enimmäismääriä maksuperustan laajentamiseksi, eläkejärjestelmän progressiivisuuden lisäämiseksi ja kokonaistuloj</w:t>
      </w:r>
      <w:r>
        <w:rPr>
          <w:rFonts w:ascii="Times New Roman" w:hAnsi="Times New Roman"/>
          <w:noProof/>
          <w:sz w:val="24"/>
        </w:rPr>
        <w:t>en lisäämiseksi. Toimenpiteet ovat Toledon sopimuksen suositusten mukaisia. Järjestelmää mukautetaan asteittain, jotta tietolähteet voivat mukautua muutoksiin. Eläkkeiden enimmäismääriä ja vakuutusmaksujen enimmäisperusteita korotetaan vastaavasti järjeste</w:t>
      </w:r>
      <w:r>
        <w:rPr>
          <w:rFonts w:ascii="Times New Roman" w:hAnsi="Times New Roman"/>
          <w:noProof/>
          <w:sz w:val="24"/>
        </w:rPr>
        <w:t>lmän maksuperusteisuuden säilyttämiseksi. Uudistus toteutetaan asteittain</w:t>
      </w:r>
      <w:r>
        <w:rPr>
          <w:rStyle w:val="normaltextrun"/>
          <w:rFonts w:ascii="Times New Roman" w:hAnsi="Times New Roman"/>
          <w:noProof/>
          <w:sz w:val="24"/>
          <w:bdr w:val="none" w:sz="0" w:space="0" w:color="auto" w:frame="1"/>
        </w:rPr>
        <w:t xml:space="preserve"> </w:t>
      </w:r>
      <w:r>
        <w:rPr>
          <w:rFonts w:ascii="Times New Roman" w:hAnsi="Times New Roman"/>
          <w:noProof/>
          <w:sz w:val="24"/>
        </w:rPr>
        <w:t>seuraavien 30 vuoden aikana.</w:t>
      </w:r>
    </w:p>
    <w:p w14:paraId="35E1840D" w14:textId="77777777" w:rsidR="000E48CE" w:rsidRDefault="00FF4C4E">
      <w:pPr>
        <w:pStyle w:val="P68B1DB1-Normal4"/>
        <w:spacing w:before="120" w:after="120" w:line="240" w:lineRule="auto"/>
        <w:jc w:val="both"/>
        <w:rPr>
          <w:rFonts w:cs="Times New Roman"/>
          <w:noProof/>
        </w:rPr>
      </w:pPr>
      <w:r>
        <w:rPr>
          <w:noProof/>
        </w:rPr>
        <w:t xml:space="preserve">Toimenpide tulee voimaan viimeistään 31 päivänä joulukuuta 2022. </w:t>
      </w:r>
    </w:p>
    <w:p w14:paraId="2793ABBC" w14:textId="77777777" w:rsidR="000E48CE" w:rsidRDefault="00FF4C4E">
      <w:pPr>
        <w:pStyle w:val="P68B1DB1-Text138"/>
        <w:ind w:left="709"/>
        <w:rPr>
          <w:rFonts w:cs="Times New Roman"/>
          <w:noProof/>
        </w:rPr>
      </w:pPr>
      <w:r>
        <w:rPr>
          <w:noProof/>
        </w:rPr>
        <w:t xml:space="preserve">AD.2. </w:t>
      </w:r>
      <w:r>
        <w:rPr>
          <w:noProof/>
        </w:rPr>
        <w:tab/>
        <w:t xml:space="preserve">Seurantaa ja täytäntöönpanoa koskevat välitavoitteet, tavoitteet, indikaattorit </w:t>
      </w:r>
      <w:r>
        <w:rPr>
          <w:noProof/>
        </w:rPr>
        <w:t>ja aikataulu – rahoitustuki, jota ei makseta takaisin</w:t>
      </w:r>
    </w:p>
    <w:p w14:paraId="673009EF" w14:textId="77777777" w:rsidR="000E48CE" w:rsidRDefault="00FF4C4E">
      <w:pPr>
        <w:pStyle w:val="P68B1DB1-Normal4"/>
        <w:spacing w:before="120" w:after="120" w:line="240" w:lineRule="auto"/>
        <w:jc w:val="both"/>
        <w:rPr>
          <w:rFonts w:cs="Times New Roman"/>
          <w:noProof/>
        </w:rPr>
      </w:pPr>
      <w:r>
        <w:rPr>
          <w:i/>
          <w:noProof/>
        </w:rPr>
        <w:t>Ks. taulukko jäljempänä.</w:t>
      </w:r>
      <w:r>
        <w:rPr>
          <w:noProof/>
        </w:rPr>
        <w:t xml:space="preserve"> </w:t>
      </w:r>
      <w:r>
        <w:rPr>
          <w:i/>
          <w:noProof/>
        </w:rPr>
        <w:t>Kaikkien indikaattoreiden perustaso on 1. helmikuuta 2020, ellei toimen kuvauksessa toisin ilmoiteta. Taulukossa esitetyt määrät eivät sisällä arvonlisäveroa.</w:t>
      </w:r>
      <w:r>
        <w:rPr>
          <w:noProof/>
        </w:rPr>
        <w:t xml:space="preserve"> </w:t>
      </w:r>
    </w:p>
    <w:p w14:paraId="38FA1055" w14:textId="77777777" w:rsidR="000E48CE" w:rsidRDefault="000E48CE">
      <w:pPr>
        <w:pStyle w:val="Text1"/>
        <w:ind w:left="709"/>
        <w:rPr>
          <w:rFonts w:ascii="Times New Roman" w:hAnsi="Times New Roman" w:cs="Times New Roman"/>
          <w:noProof/>
        </w:rPr>
        <w:sectPr w:rsidR="000E48CE" w:rsidSect="00C94F66">
          <w:headerReference w:type="even" r:id="rId555"/>
          <w:headerReference w:type="default" r:id="rId556"/>
          <w:footerReference w:type="even" r:id="rId557"/>
          <w:footerReference w:type="default" r:id="rId558"/>
          <w:headerReference w:type="first" r:id="rId559"/>
          <w:footerReference w:type="first" r:id="rId560"/>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552"/>
        <w:gridCol w:w="992"/>
        <w:gridCol w:w="567"/>
        <w:gridCol w:w="425"/>
        <w:gridCol w:w="567"/>
        <w:gridCol w:w="426"/>
        <w:gridCol w:w="567"/>
        <w:gridCol w:w="6804"/>
      </w:tblGrid>
      <w:tr w:rsidR="000E48CE" w14:paraId="363FFDC5" w14:textId="77777777">
        <w:trPr>
          <w:trHeight w:val="309"/>
          <w:tblHeader/>
        </w:trPr>
        <w:tc>
          <w:tcPr>
            <w:tcW w:w="709" w:type="dxa"/>
            <w:tcBorders>
              <w:bottom w:val="nil"/>
            </w:tcBorders>
            <w:shd w:val="clear" w:color="auto" w:fill="C6D9F1" w:themeFill="text2" w:themeFillTint="33"/>
            <w:noWrap/>
          </w:tcPr>
          <w:p w14:paraId="6C51660B" w14:textId="77777777" w:rsidR="000E48CE" w:rsidRDefault="00FF4C4E">
            <w:pPr>
              <w:pStyle w:val="P68B1DB1-Normal12"/>
              <w:spacing w:after="0"/>
              <w:jc w:val="center"/>
              <w:rPr>
                <w:rFonts w:cs="Times New Roman"/>
                <w:noProof/>
              </w:rPr>
            </w:pPr>
            <w:r>
              <w:rPr>
                <w:noProof/>
              </w:rPr>
              <w:t>Määrä</w:t>
            </w:r>
          </w:p>
        </w:tc>
        <w:tc>
          <w:tcPr>
            <w:tcW w:w="851" w:type="dxa"/>
            <w:tcBorders>
              <w:bottom w:val="nil"/>
            </w:tcBorders>
            <w:shd w:val="clear" w:color="auto" w:fill="C6D9F1" w:themeFill="text2" w:themeFillTint="33"/>
            <w:noWrap/>
          </w:tcPr>
          <w:p w14:paraId="09C493AF" w14:textId="77777777" w:rsidR="000E48CE" w:rsidRDefault="00FF4C4E">
            <w:pPr>
              <w:pStyle w:val="P68B1DB1-Normal12"/>
              <w:spacing w:after="0"/>
              <w:jc w:val="center"/>
              <w:rPr>
                <w:rFonts w:cs="Times New Roman"/>
                <w:noProof/>
              </w:rPr>
            </w:pPr>
            <w:r>
              <w:rPr>
                <w:noProof/>
              </w:rPr>
              <w:t>Toimenpide</w:t>
            </w:r>
          </w:p>
        </w:tc>
        <w:tc>
          <w:tcPr>
            <w:tcW w:w="850" w:type="dxa"/>
            <w:tcBorders>
              <w:bottom w:val="nil"/>
            </w:tcBorders>
            <w:shd w:val="clear" w:color="auto" w:fill="C6D9F1" w:themeFill="text2" w:themeFillTint="33"/>
            <w:noWrap/>
          </w:tcPr>
          <w:p w14:paraId="55625267" w14:textId="77777777" w:rsidR="000E48CE" w:rsidRDefault="00FF4C4E">
            <w:pPr>
              <w:pStyle w:val="P68B1DB1-Normal12"/>
              <w:spacing w:after="0"/>
              <w:jc w:val="center"/>
              <w:rPr>
                <w:rFonts w:cs="Times New Roman"/>
                <w:noProof/>
              </w:rPr>
            </w:pPr>
            <w:r>
              <w:rPr>
                <w:noProof/>
              </w:rPr>
              <w:t>Välitavoite</w:t>
            </w:r>
            <w:r>
              <w:rPr>
                <w:noProof/>
              </w:rPr>
              <w:br/>
              <w:t xml:space="preserve"> /Kohde</w:t>
            </w:r>
          </w:p>
        </w:tc>
        <w:tc>
          <w:tcPr>
            <w:tcW w:w="2552" w:type="dxa"/>
            <w:tcBorders>
              <w:bottom w:val="nil"/>
            </w:tcBorders>
            <w:shd w:val="clear" w:color="auto" w:fill="C6D9F1" w:themeFill="text2" w:themeFillTint="33"/>
            <w:noWrap/>
          </w:tcPr>
          <w:p w14:paraId="38000B3E" w14:textId="77777777" w:rsidR="000E48CE" w:rsidRDefault="00FF4C4E">
            <w:pPr>
              <w:pStyle w:val="P68B1DB1-Normal12"/>
              <w:spacing w:after="0"/>
              <w:jc w:val="center"/>
              <w:rPr>
                <w:rFonts w:cs="Times New Roman"/>
                <w:noProof/>
              </w:rPr>
            </w:pPr>
            <w:r>
              <w:rPr>
                <w:noProof/>
              </w:rPr>
              <w:t>Nimi</w:t>
            </w:r>
          </w:p>
        </w:tc>
        <w:tc>
          <w:tcPr>
            <w:tcW w:w="992" w:type="dxa"/>
            <w:tcBorders>
              <w:bottom w:val="nil"/>
            </w:tcBorders>
            <w:shd w:val="clear" w:color="auto" w:fill="C6D9F1" w:themeFill="text2" w:themeFillTint="33"/>
            <w:noWrap/>
          </w:tcPr>
          <w:p w14:paraId="74BC0A7C" w14:textId="77777777" w:rsidR="000E48CE" w:rsidRDefault="00FF4C4E">
            <w:pPr>
              <w:pStyle w:val="P68B1DB1-Normal12"/>
              <w:spacing w:after="0"/>
              <w:jc w:val="center"/>
              <w:rPr>
                <w:rFonts w:cs="Times New Roman"/>
                <w:noProof/>
              </w:rPr>
            </w:pPr>
            <w:r>
              <w:rPr>
                <w:noProof/>
              </w:rPr>
              <w:t>Välitavoitteiden laadullinen indikaattori</w:t>
            </w:r>
          </w:p>
        </w:tc>
        <w:tc>
          <w:tcPr>
            <w:tcW w:w="1559" w:type="dxa"/>
            <w:gridSpan w:val="3"/>
            <w:shd w:val="clear" w:color="auto" w:fill="C6D9F1" w:themeFill="text2" w:themeFillTint="33"/>
            <w:noWrap/>
          </w:tcPr>
          <w:p w14:paraId="6CEB2364" w14:textId="77777777" w:rsidR="000E48CE" w:rsidRDefault="00FF4C4E">
            <w:pPr>
              <w:pStyle w:val="P68B1DB1-Normal12"/>
              <w:spacing w:after="0"/>
              <w:jc w:val="center"/>
              <w:rPr>
                <w:rFonts w:cs="Times New Roman"/>
                <w:noProof/>
              </w:rPr>
            </w:pPr>
            <w:r>
              <w:rPr>
                <w:noProof/>
              </w:rPr>
              <w:t>Määrällinen indikaattori tavoitteelle</w:t>
            </w:r>
          </w:p>
        </w:tc>
        <w:tc>
          <w:tcPr>
            <w:tcW w:w="993" w:type="dxa"/>
            <w:gridSpan w:val="2"/>
            <w:shd w:val="clear" w:color="auto" w:fill="C6D9F1" w:themeFill="text2" w:themeFillTint="33"/>
            <w:noWrap/>
          </w:tcPr>
          <w:p w14:paraId="13B9A659" w14:textId="77777777" w:rsidR="000E48CE" w:rsidRDefault="00FF4C4E">
            <w:pPr>
              <w:pStyle w:val="P68B1DB1-Normal12"/>
              <w:spacing w:after="0"/>
              <w:jc w:val="center"/>
              <w:rPr>
                <w:rFonts w:cs="Times New Roman"/>
                <w:noProof/>
              </w:rPr>
            </w:pPr>
            <w:r>
              <w:rPr>
                <w:noProof/>
              </w:rPr>
              <w:t>Aika</w:t>
            </w:r>
          </w:p>
        </w:tc>
        <w:tc>
          <w:tcPr>
            <w:tcW w:w="6804" w:type="dxa"/>
            <w:tcBorders>
              <w:bottom w:val="nil"/>
            </w:tcBorders>
            <w:shd w:val="clear" w:color="auto" w:fill="C6D9F1" w:themeFill="text2" w:themeFillTint="33"/>
            <w:noWrap/>
          </w:tcPr>
          <w:p w14:paraId="542F50EA" w14:textId="77777777" w:rsidR="000E48CE" w:rsidRDefault="00FF4C4E">
            <w:pPr>
              <w:pStyle w:val="P68B1DB1-Normal12"/>
              <w:spacing w:after="0"/>
              <w:jc w:val="center"/>
              <w:rPr>
                <w:rFonts w:cs="Times New Roman"/>
                <w:noProof/>
              </w:rPr>
            </w:pPr>
            <w:r>
              <w:rPr>
                <w:noProof/>
              </w:rPr>
              <w:t>Kunkin välitavoitteen ja tavoitteen kuvaus</w:t>
            </w:r>
          </w:p>
        </w:tc>
      </w:tr>
      <w:tr w:rsidR="000E48CE" w14:paraId="51E2E2CF" w14:textId="77777777">
        <w:trPr>
          <w:trHeight w:val="309"/>
          <w:tblHeader/>
        </w:trPr>
        <w:tc>
          <w:tcPr>
            <w:tcW w:w="709" w:type="dxa"/>
            <w:tcBorders>
              <w:top w:val="nil"/>
            </w:tcBorders>
            <w:shd w:val="clear" w:color="auto" w:fill="C6D9F1" w:themeFill="text2" w:themeFillTint="33"/>
            <w:noWrap/>
          </w:tcPr>
          <w:p w14:paraId="4FF74376" w14:textId="77777777" w:rsidR="000E48CE" w:rsidRDefault="000E48CE">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BE3D7FD" w14:textId="77777777" w:rsidR="000E48CE" w:rsidRDefault="000E48CE">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EE1E1BF" w14:textId="77777777" w:rsidR="000E48CE" w:rsidRDefault="000E48CE">
            <w:pPr>
              <w:spacing w:after="0"/>
              <w:jc w:val="center"/>
              <w:rPr>
                <w:rFonts w:ascii="Times New Roman" w:hAnsi="Times New Roman" w:cs="Times New Roman"/>
                <w:b/>
                <w:noProof/>
                <w:sz w:val="18"/>
              </w:rPr>
            </w:pPr>
          </w:p>
        </w:tc>
        <w:tc>
          <w:tcPr>
            <w:tcW w:w="2552" w:type="dxa"/>
            <w:tcBorders>
              <w:top w:val="nil"/>
            </w:tcBorders>
            <w:shd w:val="clear" w:color="auto" w:fill="C6D9F1" w:themeFill="text2" w:themeFillTint="33"/>
            <w:noWrap/>
          </w:tcPr>
          <w:p w14:paraId="4A9E3840" w14:textId="77777777" w:rsidR="000E48CE" w:rsidRDefault="000E48CE">
            <w:pPr>
              <w:spacing w:after="0"/>
              <w:rPr>
                <w:rFonts w:ascii="Times New Roman" w:hAnsi="Times New Roman" w:cs="Times New Roman"/>
                <w:b/>
                <w:noProof/>
                <w:sz w:val="18"/>
              </w:rPr>
            </w:pPr>
          </w:p>
        </w:tc>
        <w:tc>
          <w:tcPr>
            <w:tcW w:w="992" w:type="dxa"/>
            <w:tcBorders>
              <w:top w:val="nil"/>
            </w:tcBorders>
            <w:shd w:val="clear" w:color="auto" w:fill="C6D9F1" w:themeFill="text2" w:themeFillTint="33"/>
            <w:noWrap/>
          </w:tcPr>
          <w:p w14:paraId="32E0BD40" w14:textId="77777777" w:rsidR="000E48CE" w:rsidRDefault="000E48CE">
            <w:pPr>
              <w:spacing w:after="0"/>
              <w:jc w:val="center"/>
              <w:rPr>
                <w:rFonts w:ascii="Times New Roman" w:hAnsi="Times New Roman" w:cs="Times New Roman"/>
                <w:b/>
                <w:noProof/>
                <w:sz w:val="18"/>
              </w:rPr>
            </w:pPr>
          </w:p>
        </w:tc>
        <w:tc>
          <w:tcPr>
            <w:tcW w:w="567" w:type="dxa"/>
            <w:shd w:val="clear" w:color="auto" w:fill="C6D9F1" w:themeFill="text2" w:themeFillTint="33"/>
            <w:noWrap/>
          </w:tcPr>
          <w:p w14:paraId="72C91D75" w14:textId="77777777" w:rsidR="000E48CE" w:rsidRDefault="00FF4C4E">
            <w:pPr>
              <w:pStyle w:val="P68B1DB1-Normal12"/>
              <w:spacing w:after="0"/>
              <w:jc w:val="center"/>
              <w:rPr>
                <w:rFonts w:cs="Times New Roman"/>
                <w:noProof/>
              </w:rPr>
            </w:pPr>
            <w:r>
              <w:rPr>
                <w:noProof/>
              </w:rPr>
              <w:t>Yksikkö</w:t>
            </w:r>
          </w:p>
        </w:tc>
        <w:tc>
          <w:tcPr>
            <w:tcW w:w="425" w:type="dxa"/>
            <w:shd w:val="clear" w:color="auto" w:fill="C6D9F1" w:themeFill="text2" w:themeFillTint="33"/>
            <w:noWrap/>
          </w:tcPr>
          <w:p w14:paraId="287C1036" w14:textId="77777777" w:rsidR="000E48CE" w:rsidRDefault="00FF4C4E">
            <w:pPr>
              <w:pStyle w:val="P68B1DB1-Normal12"/>
              <w:spacing w:after="0"/>
              <w:jc w:val="center"/>
              <w:rPr>
                <w:rFonts w:cs="Times New Roman"/>
                <w:noProof/>
              </w:rPr>
            </w:pPr>
            <w:r>
              <w:rPr>
                <w:noProof/>
              </w:rPr>
              <w:t>Perusviiva</w:t>
            </w:r>
          </w:p>
        </w:tc>
        <w:tc>
          <w:tcPr>
            <w:tcW w:w="567" w:type="dxa"/>
            <w:shd w:val="clear" w:color="auto" w:fill="C6D9F1" w:themeFill="text2" w:themeFillTint="33"/>
            <w:noWrap/>
          </w:tcPr>
          <w:p w14:paraId="3A86A116" w14:textId="77777777" w:rsidR="000E48CE" w:rsidRDefault="00FF4C4E">
            <w:pPr>
              <w:pStyle w:val="P68B1DB1-Normal12"/>
              <w:spacing w:after="0"/>
              <w:jc w:val="center"/>
              <w:rPr>
                <w:rFonts w:cs="Times New Roman"/>
                <w:noProof/>
              </w:rPr>
            </w:pPr>
            <w:r>
              <w:rPr>
                <w:noProof/>
              </w:rPr>
              <w:t>Päämäärä</w:t>
            </w:r>
          </w:p>
        </w:tc>
        <w:tc>
          <w:tcPr>
            <w:tcW w:w="426" w:type="dxa"/>
            <w:shd w:val="clear" w:color="auto" w:fill="C6D9F1" w:themeFill="text2" w:themeFillTint="33"/>
            <w:noWrap/>
          </w:tcPr>
          <w:p w14:paraId="59DEAF0B" w14:textId="77777777" w:rsidR="000E48CE" w:rsidRDefault="00FF4C4E">
            <w:pPr>
              <w:pStyle w:val="P68B1DB1-Normal12"/>
              <w:spacing w:after="0"/>
              <w:jc w:val="center"/>
              <w:rPr>
                <w:rFonts w:cs="Times New Roman"/>
                <w:noProof/>
              </w:rPr>
            </w:pPr>
            <w:r>
              <w:rPr>
                <w:noProof/>
              </w:rPr>
              <w:t>Q</w:t>
            </w:r>
          </w:p>
        </w:tc>
        <w:tc>
          <w:tcPr>
            <w:tcW w:w="567" w:type="dxa"/>
            <w:shd w:val="clear" w:color="auto" w:fill="C6D9F1" w:themeFill="text2" w:themeFillTint="33"/>
            <w:noWrap/>
          </w:tcPr>
          <w:p w14:paraId="4EEE21F8" w14:textId="77777777" w:rsidR="000E48CE" w:rsidRDefault="00FF4C4E">
            <w:pPr>
              <w:pStyle w:val="P68B1DB1-Normal12"/>
              <w:spacing w:after="0"/>
              <w:jc w:val="center"/>
              <w:rPr>
                <w:rFonts w:cs="Times New Roman"/>
                <w:noProof/>
              </w:rPr>
            </w:pPr>
            <w:r>
              <w:rPr>
                <w:noProof/>
              </w:rPr>
              <w:t>Vuosi</w:t>
            </w:r>
          </w:p>
        </w:tc>
        <w:tc>
          <w:tcPr>
            <w:tcW w:w="6804" w:type="dxa"/>
            <w:tcBorders>
              <w:top w:val="nil"/>
            </w:tcBorders>
            <w:shd w:val="clear" w:color="auto" w:fill="C6D9F1" w:themeFill="text2" w:themeFillTint="33"/>
            <w:noWrap/>
          </w:tcPr>
          <w:p w14:paraId="209A134B" w14:textId="77777777" w:rsidR="000E48CE" w:rsidRDefault="000E48CE">
            <w:pPr>
              <w:spacing w:after="0"/>
              <w:rPr>
                <w:rFonts w:ascii="Times New Roman" w:hAnsi="Times New Roman" w:cs="Times New Roman"/>
                <w:b/>
                <w:noProof/>
                <w:sz w:val="18"/>
              </w:rPr>
            </w:pPr>
          </w:p>
        </w:tc>
      </w:tr>
      <w:tr w:rsidR="000E48CE" w14:paraId="2DB6F3D3" w14:textId="77777777">
        <w:trPr>
          <w:trHeight w:val="309"/>
        </w:trPr>
        <w:tc>
          <w:tcPr>
            <w:tcW w:w="709" w:type="dxa"/>
            <w:shd w:val="clear" w:color="auto" w:fill="C6EFCE"/>
            <w:noWrap/>
          </w:tcPr>
          <w:p w14:paraId="082412BE" w14:textId="77777777" w:rsidR="000E48CE" w:rsidRDefault="00FF4C4E">
            <w:pPr>
              <w:pStyle w:val="P68B1DB1-Normal13"/>
              <w:spacing w:after="0"/>
              <w:jc w:val="center"/>
              <w:rPr>
                <w:rFonts w:eastAsia="Times New Roman" w:cs="Times New Roman"/>
                <w:noProof/>
              </w:rPr>
            </w:pPr>
            <w:r>
              <w:rPr>
                <w:noProof/>
              </w:rPr>
              <w:t>406</w:t>
            </w:r>
          </w:p>
        </w:tc>
        <w:tc>
          <w:tcPr>
            <w:tcW w:w="851" w:type="dxa"/>
            <w:shd w:val="clear" w:color="auto" w:fill="C6EFCE"/>
            <w:noWrap/>
          </w:tcPr>
          <w:p w14:paraId="6AEFB9F2" w14:textId="77777777" w:rsidR="000E48CE" w:rsidRDefault="00FF4C4E">
            <w:pPr>
              <w:pStyle w:val="P68B1DB1-Normal13"/>
              <w:spacing w:after="0"/>
              <w:jc w:val="center"/>
              <w:rPr>
                <w:rFonts w:eastAsia="Times New Roman" w:cs="Times New Roman"/>
                <w:noProof/>
              </w:rPr>
            </w:pPr>
            <w:r>
              <w:rPr>
                <w:noProof/>
              </w:rPr>
              <w:t>C30.R1</w:t>
            </w:r>
          </w:p>
        </w:tc>
        <w:tc>
          <w:tcPr>
            <w:tcW w:w="850" w:type="dxa"/>
            <w:shd w:val="clear" w:color="auto" w:fill="C6EFCE"/>
            <w:noWrap/>
          </w:tcPr>
          <w:p w14:paraId="09BD583A"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3FEE5E58" w14:textId="77777777" w:rsidR="000E48CE" w:rsidRDefault="00FF4C4E">
            <w:pPr>
              <w:pStyle w:val="P68B1DB1-Normal13"/>
              <w:spacing w:after="0"/>
              <w:rPr>
                <w:rFonts w:eastAsia="Times New Roman" w:cs="Times New Roman"/>
                <w:noProof/>
              </w:rPr>
            </w:pPr>
            <w:r>
              <w:rPr>
                <w:noProof/>
              </w:rPr>
              <w:t>Sosiaaliturvan rahoituksen erottaminen toisistaan</w:t>
            </w:r>
          </w:p>
        </w:tc>
        <w:tc>
          <w:tcPr>
            <w:tcW w:w="992" w:type="dxa"/>
            <w:shd w:val="clear" w:color="auto" w:fill="C6EFCE"/>
            <w:noWrap/>
          </w:tcPr>
          <w:p w14:paraId="36A6356E"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567" w:type="dxa"/>
            <w:shd w:val="clear" w:color="auto" w:fill="C6EFCE"/>
            <w:noWrap/>
          </w:tcPr>
          <w:p w14:paraId="215C802C"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74ADEF33"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4FBE61DA"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55BCB871" w14:textId="77777777" w:rsidR="000E48CE" w:rsidRDefault="00FF4C4E">
            <w:pPr>
              <w:pStyle w:val="P68B1DB1-Normal13"/>
              <w:spacing w:after="0"/>
              <w:jc w:val="center"/>
              <w:rPr>
                <w:rFonts w:eastAsia="Times New Roman" w:cs="Times New Roman"/>
                <w:noProof/>
              </w:rPr>
            </w:pPr>
            <w:r>
              <w:rPr>
                <w:noProof/>
              </w:rPr>
              <w:t>Q4</w:t>
            </w:r>
          </w:p>
        </w:tc>
        <w:tc>
          <w:tcPr>
            <w:tcW w:w="567" w:type="dxa"/>
            <w:shd w:val="clear" w:color="auto" w:fill="C6EFCE"/>
            <w:noWrap/>
          </w:tcPr>
          <w:p w14:paraId="43FCB57F" w14:textId="77777777" w:rsidR="000E48CE" w:rsidRDefault="00FF4C4E">
            <w:pPr>
              <w:pStyle w:val="P68B1DB1-Normal13"/>
              <w:spacing w:after="0"/>
              <w:jc w:val="center"/>
              <w:rPr>
                <w:rFonts w:eastAsia="Times New Roman" w:cs="Times New Roman"/>
                <w:noProof/>
              </w:rPr>
            </w:pPr>
            <w:r>
              <w:rPr>
                <w:noProof/>
              </w:rPr>
              <w:t>2020</w:t>
            </w:r>
          </w:p>
        </w:tc>
        <w:tc>
          <w:tcPr>
            <w:tcW w:w="6804" w:type="dxa"/>
            <w:shd w:val="clear" w:color="auto" w:fill="C6EFCE"/>
            <w:noWrap/>
          </w:tcPr>
          <w:p w14:paraId="50CB98EF" w14:textId="77777777" w:rsidR="000E48CE" w:rsidRDefault="00FF4C4E">
            <w:pPr>
              <w:pStyle w:val="P68B1DB1-Normal13"/>
              <w:spacing w:after="0"/>
              <w:rPr>
                <w:rFonts w:eastAsia="Times New Roman" w:cs="Times New Roman"/>
                <w:noProof/>
              </w:rPr>
            </w:pPr>
            <w:r>
              <w:rPr>
                <w:noProof/>
              </w:rPr>
              <w:t xml:space="preserve">Sosiaaliturvan rahoituslähteiden erottamisesta valtion vuoden 2021 talousarviosta 30. joulukuuta annetun lain 11/2020 voimaantulo. </w:t>
            </w:r>
            <w:r>
              <w:rPr>
                <w:noProof/>
              </w:rPr>
              <w:t>Valtio siirtää vuosittain sosiaaliturvajärjestelmään summan, joka vastaa maksuihin perustumattomia menoja. Tämä mahdollistaa sosiaaliturvavajeen supistamisen ja sen siirtämisen keskushallinnolle, jolla on asianmukaiset välineet sen korjaamiseksi. Se hälven</w:t>
            </w:r>
            <w:r>
              <w:rPr>
                <w:noProof/>
              </w:rPr>
              <w:t>tää myös epäilyt järjestelmän vakavaraisuudesta, kun parannetaan edellytyksiä vastata keskipitkän ja pitkän aikavälin haasteisiin. Valtion vuoden 2021 talousarviolaissa säädetään ensimmäisestä ja merkittävästä askelesta tähän suuntaan.</w:t>
            </w:r>
          </w:p>
        </w:tc>
      </w:tr>
      <w:tr w:rsidR="000E48CE" w14:paraId="16C2201F" w14:textId="77777777">
        <w:trPr>
          <w:trHeight w:val="309"/>
        </w:trPr>
        <w:tc>
          <w:tcPr>
            <w:tcW w:w="709" w:type="dxa"/>
            <w:shd w:val="clear" w:color="auto" w:fill="C6EFCE"/>
            <w:noWrap/>
          </w:tcPr>
          <w:p w14:paraId="5EB4A7D0" w14:textId="77777777" w:rsidR="000E48CE" w:rsidRDefault="00FF4C4E">
            <w:pPr>
              <w:pStyle w:val="P68B1DB1-Normal13"/>
              <w:spacing w:after="0"/>
              <w:jc w:val="center"/>
              <w:rPr>
                <w:rFonts w:eastAsia="Times New Roman" w:cs="Times New Roman"/>
                <w:noProof/>
              </w:rPr>
            </w:pPr>
            <w:r>
              <w:rPr>
                <w:noProof/>
              </w:rPr>
              <w:t>407</w:t>
            </w:r>
          </w:p>
        </w:tc>
        <w:tc>
          <w:tcPr>
            <w:tcW w:w="851" w:type="dxa"/>
            <w:shd w:val="clear" w:color="auto" w:fill="C6EFCE"/>
            <w:noWrap/>
          </w:tcPr>
          <w:p w14:paraId="5396BF50" w14:textId="77777777" w:rsidR="000E48CE" w:rsidRDefault="00FF4C4E">
            <w:pPr>
              <w:pStyle w:val="P68B1DB1-Normal13"/>
              <w:spacing w:after="0"/>
              <w:jc w:val="center"/>
              <w:rPr>
                <w:rFonts w:eastAsia="Times New Roman" w:cs="Times New Roman"/>
                <w:noProof/>
              </w:rPr>
            </w:pPr>
            <w:r>
              <w:rPr>
                <w:noProof/>
              </w:rPr>
              <w:t>C30.R2</w:t>
            </w:r>
          </w:p>
        </w:tc>
        <w:tc>
          <w:tcPr>
            <w:tcW w:w="850" w:type="dxa"/>
            <w:shd w:val="clear" w:color="auto" w:fill="C6EFCE"/>
            <w:noWrap/>
          </w:tcPr>
          <w:p w14:paraId="5936375A"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0FF668FD" w14:textId="77777777" w:rsidR="000E48CE" w:rsidRDefault="00FF4C4E">
            <w:pPr>
              <w:pStyle w:val="P68B1DB1-Normal13"/>
              <w:spacing w:after="0"/>
              <w:rPr>
                <w:rFonts w:eastAsia="Times New Roman" w:cs="Times New Roman"/>
                <w:noProof/>
              </w:rPr>
            </w:pPr>
            <w:r>
              <w:rPr>
                <w:noProof/>
              </w:rPr>
              <w:t>Eläkkeiden ostovoiman säilyttäminen sekä tosiasiallisen eläkeiän ja lakisääteisen eläkeiän yhdenmukaistaminen</w:t>
            </w:r>
          </w:p>
        </w:tc>
        <w:tc>
          <w:tcPr>
            <w:tcW w:w="992" w:type="dxa"/>
            <w:shd w:val="clear" w:color="auto" w:fill="C6EFCE"/>
            <w:noWrap/>
          </w:tcPr>
          <w:p w14:paraId="7B267DF6"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567" w:type="dxa"/>
            <w:shd w:val="clear" w:color="auto" w:fill="C6EFCE"/>
            <w:noWrap/>
          </w:tcPr>
          <w:p w14:paraId="0EBB2E39"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3DE8EAE4"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2B8810C9"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1DF8AE56" w14:textId="77777777" w:rsidR="000E48CE" w:rsidRDefault="00FF4C4E">
            <w:pPr>
              <w:pStyle w:val="P68B1DB1-Normal13"/>
              <w:spacing w:after="0"/>
              <w:jc w:val="center"/>
              <w:rPr>
                <w:rFonts w:eastAsia="Times New Roman" w:cs="Times New Roman"/>
                <w:noProof/>
              </w:rPr>
            </w:pPr>
            <w:r>
              <w:rPr>
                <w:noProof/>
              </w:rPr>
              <w:t>Q4</w:t>
            </w:r>
          </w:p>
        </w:tc>
        <w:tc>
          <w:tcPr>
            <w:tcW w:w="567" w:type="dxa"/>
            <w:shd w:val="clear" w:color="auto" w:fill="C6EFCE"/>
            <w:noWrap/>
          </w:tcPr>
          <w:p w14:paraId="6844DF5F" w14:textId="77777777" w:rsidR="000E48CE" w:rsidRDefault="00FF4C4E">
            <w:pPr>
              <w:pStyle w:val="P68B1DB1-Normal13"/>
              <w:spacing w:after="0"/>
              <w:jc w:val="center"/>
              <w:rPr>
                <w:rFonts w:eastAsia="Times New Roman" w:cs="Times New Roman"/>
                <w:noProof/>
              </w:rPr>
            </w:pPr>
            <w:r>
              <w:rPr>
                <w:noProof/>
              </w:rPr>
              <w:t>2021</w:t>
            </w:r>
          </w:p>
        </w:tc>
        <w:tc>
          <w:tcPr>
            <w:tcW w:w="6804" w:type="dxa"/>
            <w:shd w:val="clear" w:color="auto" w:fill="C6EFCE"/>
            <w:noWrap/>
          </w:tcPr>
          <w:p w14:paraId="353A4050" w14:textId="77777777" w:rsidR="000E48CE" w:rsidRDefault="00FF4C4E">
            <w:pPr>
              <w:pStyle w:val="P68B1DB1-Normal13"/>
              <w:spacing w:after="0"/>
              <w:rPr>
                <w:rFonts w:eastAsia="Times New Roman" w:cs="Times New Roman"/>
                <w:noProof/>
              </w:rPr>
            </w:pPr>
            <w:r>
              <w:rPr>
                <w:noProof/>
              </w:rPr>
              <w:t>Euroopan unionin virallisessa lehdessä julkaistun lainsäädännön voimaantulo</w:t>
            </w:r>
            <w:r>
              <w:rPr>
                <w:noProof/>
              </w:rPr>
              <w:br/>
              <w:t>eläkkeiden</w:t>
            </w:r>
            <w:r>
              <w:rPr>
                <w:noProof/>
              </w:rPr>
              <w:t xml:space="preserve"> ostovoiman säilyttäminen: kehitetään uusi uudelleenarvostusmekanismi, jossa eläkkeet kytketään inflaatioon, jotta varmistetaan, että eläkeläisten ostovoima taataan pysyvästi. </w:t>
            </w:r>
            <w:r>
              <w:rPr>
                <w:noProof/>
              </w:rPr>
              <w:br/>
              <w:t>tosiasiallisen eläkeiän ja lakisääteisen eläkeiän mukauttaminen: kannustimien t</w:t>
            </w:r>
            <w:r>
              <w:rPr>
                <w:noProof/>
              </w:rPr>
              <w:t xml:space="preserve">arjoaminen eläkkeelle jäämisen lykkäämiseksi, mukaan lukien taloudellisten kannustimien lisääminen sekä työn ja eläkkeelle siirtymisen yhteensovittamisen edistäminen, jotta voidaan lisätä työmarkkinoille osallistumista lakisääteisen eläkeiän läheisyydessä </w:t>
            </w:r>
            <w:r>
              <w:rPr>
                <w:noProof/>
              </w:rPr>
              <w:t>ja lykätä eläkkeelle siirtymistä.</w:t>
            </w:r>
          </w:p>
        </w:tc>
      </w:tr>
      <w:tr w:rsidR="000E48CE" w14:paraId="76FB77AA" w14:textId="77777777">
        <w:trPr>
          <w:trHeight w:val="309"/>
        </w:trPr>
        <w:tc>
          <w:tcPr>
            <w:tcW w:w="709" w:type="dxa"/>
            <w:shd w:val="clear" w:color="auto" w:fill="C6EFCE"/>
            <w:noWrap/>
          </w:tcPr>
          <w:p w14:paraId="3056FDAF" w14:textId="77777777" w:rsidR="000E48CE" w:rsidRDefault="00FF4C4E">
            <w:pPr>
              <w:pStyle w:val="P68B1DB1-Normal13"/>
              <w:spacing w:after="0"/>
              <w:jc w:val="center"/>
              <w:rPr>
                <w:rFonts w:eastAsia="Times New Roman" w:cs="Times New Roman"/>
                <w:noProof/>
              </w:rPr>
            </w:pPr>
            <w:r>
              <w:rPr>
                <w:noProof/>
              </w:rPr>
              <w:t>408</w:t>
            </w:r>
          </w:p>
        </w:tc>
        <w:tc>
          <w:tcPr>
            <w:tcW w:w="851" w:type="dxa"/>
            <w:shd w:val="clear" w:color="auto" w:fill="C6EFCE"/>
            <w:noWrap/>
          </w:tcPr>
          <w:p w14:paraId="144EF3CD" w14:textId="77777777" w:rsidR="000E48CE" w:rsidRDefault="00FF4C4E">
            <w:pPr>
              <w:pStyle w:val="P68B1DB1-Normal13"/>
              <w:spacing w:after="0"/>
              <w:jc w:val="center"/>
              <w:rPr>
                <w:rFonts w:eastAsia="Times New Roman" w:cs="Times New Roman"/>
                <w:noProof/>
              </w:rPr>
            </w:pPr>
            <w:r>
              <w:rPr>
                <w:noProof/>
              </w:rPr>
              <w:t>C30.R2</w:t>
            </w:r>
          </w:p>
        </w:tc>
        <w:tc>
          <w:tcPr>
            <w:tcW w:w="850" w:type="dxa"/>
            <w:shd w:val="clear" w:color="auto" w:fill="C6EFCE"/>
            <w:noWrap/>
          </w:tcPr>
          <w:p w14:paraId="33EBAF0E"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73A76CAC" w14:textId="77777777" w:rsidR="000E48CE" w:rsidRDefault="00FF4C4E">
            <w:pPr>
              <w:pStyle w:val="P68B1DB1-Normal13"/>
              <w:spacing w:after="0"/>
              <w:rPr>
                <w:rFonts w:eastAsia="Times New Roman" w:cs="Times New Roman"/>
                <w:noProof/>
              </w:rPr>
            </w:pPr>
            <w:r>
              <w:rPr>
                <w:noProof/>
              </w:rPr>
              <w:t xml:space="preserve">Vanhuuseläkkeen laskennassa käytettävän laskentajakson mukauttaminen </w:t>
            </w:r>
          </w:p>
        </w:tc>
        <w:tc>
          <w:tcPr>
            <w:tcW w:w="992" w:type="dxa"/>
            <w:shd w:val="clear" w:color="auto" w:fill="C6EFCE"/>
            <w:noWrap/>
          </w:tcPr>
          <w:p w14:paraId="7900F259"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567" w:type="dxa"/>
            <w:shd w:val="clear" w:color="auto" w:fill="C6EFCE"/>
            <w:noWrap/>
          </w:tcPr>
          <w:p w14:paraId="345E47E1"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1FF84CD8"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13A8C699"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4CD7A40A" w14:textId="77777777" w:rsidR="000E48CE" w:rsidRDefault="00FF4C4E">
            <w:pPr>
              <w:pStyle w:val="P68B1DB1-Normal13"/>
              <w:spacing w:after="0"/>
              <w:jc w:val="center"/>
              <w:rPr>
                <w:rFonts w:eastAsia="Times New Roman" w:cs="Times New Roman"/>
                <w:noProof/>
              </w:rPr>
            </w:pPr>
            <w:r>
              <w:rPr>
                <w:noProof/>
              </w:rPr>
              <w:t>Q4</w:t>
            </w:r>
          </w:p>
        </w:tc>
        <w:tc>
          <w:tcPr>
            <w:tcW w:w="567" w:type="dxa"/>
            <w:shd w:val="clear" w:color="auto" w:fill="C6EFCE"/>
            <w:noWrap/>
          </w:tcPr>
          <w:p w14:paraId="07BCDFEA" w14:textId="77777777" w:rsidR="000E48CE" w:rsidRDefault="00FF4C4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73E6C409" w14:textId="77777777" w:rsidR="000E48CE" w:rsidRDefault="00FF4C4E">
            <w:pPr>
              <w:pStyle w:val="P68B1DB1-Normal13"/>
              <w:spacing w:after="0"/>
              <w:rPr>
                <w:rFonts w:eastAsia="Times New Roman" w:cs="Times New Roman"/>
                <w:noProof/>
              </w:rPr>
            </w:pPr>
            <w:r>
              <w:rPr>
                <w:noProof/>
              </w:rPr>
              <w:t xml:space="preserve">Laskentajakson mukauttamista koskevan lainsäädännön voimaantulo ja vanhuuseläkkeen laskennan laskenta-ajan pidentäminen. </w:t>
            </w:r>
          </w:p>
        </w:tc>
      </w:tr>
      <w:tr w:rsidR="000E48CE" w14:paraId="3CDCC6A4" w14:textId="77777777">
        <w:trPr>
          <w:trHeight w:val="309"/>
        </w:trPr>
        <w:tc>
          <w:tcPr>
            <w:tcW w:w="709" w:type="dxa"/>
            <w:shd w:val="clear" w:color="auto" w:fill="C6EFCE"/>
            <w:noWrap/>
          </w:tcPr>
          <w:p w14:paraId="282AB244" w14:textId="77777777" w:rsidR="000E48CE" w:rsidRDefault="00FF4C4E">
            <w:pPr>
              <w:pStyle w:val="P68B1DB1-Normal13"/>
              <w:spacing w:after="0"/>
              <w:jc w:val="center"/>
              <w:rPr>
                <w:rFonts w:eastAsia="Times New Roman" w:cs="Times New Roman"/>
                <w:noProof/>
              </w:rPr>
            </w:pPr>
            <w:r>
              <w:rPr>
                <w:noProof/>
              </w:rPr>
              <w:t>409</w:t>
            </w:r>
          </w:p>
        </w:tc>
        <w:tc>
          <w:tcPr>
            <w:tcW w:w="851" w:type="dxa"/>
            <w:shd w:val="clear" w:color="auto" w:fill="C6EFCE"/>
            <w:noWrap/>
          </w:tcPr>
          <w:p w14:paraId="090597C6" w14:textId="77777777" w:rsidR="000E48CE" w:rsidRDefault="00FF4C4E">
            <w:pPr>
              <w:pStyle w:val="P68B1DB1-Normal13"/>
              <w:spacing w:after="0"/>
              <w:jc w:val="center"/>
              <w:rPr>
                <w:rFonts w:eastAsia="Times New Roman" w:cs="Times New Roman"/>
                <w:noProof/>
              </w:rPr>
            </w:pPr>
            <w:r>
              <w:rPr>
                <w:noProof/>
              </w:rPr>
              <w:t>C30.R2</w:t>
            </w:r>
          </w:p>
        </w:tc>
        <w:tc>
          <w:tcPr>
            <w:tcW w:w="850" w:type="dxa"/>
            <w:shd w:val="clear" w:color="auto" w:fill="C6EFCE"/>
            <w:noWrap/>
          </w:tcPr>
          <w:p w14:paraId="369C3BD4"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22B016FF" w14:textId="77777777" w:rsidR="000E48CE" w:rsidRDefault="00FF4C4E">
            <w:pPr>
              <w:pStyle w:val="P68B1DB1-Normal13"/>
              <w:spacing w:after="0"/>
              <w:rPr>
                <w:rFonts w:eastAsia="Times New Roman" w:cs="Times New Roman"/>
                <w:noProof/>
              </w:rPr>
            </w:pPr>
            <w:r>
              <w:rPr>
                <w:noProof/>
              </w:rPr>
              <w:t>Kestävyystekijän korvaaminen sukupolvien välisellä tasa-arvomekanismilla</w:t>
            </w:r>
          </w:p>
        </w:tc>
        <w:tc>
          <w:tcPr>
            <w:tcW w:w="992" w:type="dxa"/>
            <w:shd w:val="clear" w:color="auto" w:fill="C6EFCE"/>
            <w:noWrap/>
          </w:tcPr>
          <w:p w14:paraId="586F0C74" w14:textId="77777777" w:rsidR="000E48CE" w:rsidRDefault="00FF4C4E">
            <w:pPr>
              <w:pStyle w:val="P68B1DB1-Normal13"/>
              <w:spacing w:after="0"/>
              <w:jc w:val="center"/>
              <w:rPr>
                <w:rFonts w:eastAsia="Times New Roman" w:cs="Times New Roman"/>
                <w:noProof/>
              </w:rPr>
            </w:pPr>
            <w:r>
              <w:rPr>
                <w:noProof/>
              </w:rPr>
              <w:t>Lain säännös, josta käy ilmi sen voimaantulo</w:t>
            </w:r>
          </w:p>
        </w:tc>
        <w:tc>
          <w:tcPr>
            <w:tcW w:w="567" w:type="dxa"/>
            <w:shd w:val="clear" w:color="auto" w:fill="C6EFCE"/>
            <w:noWrap/>
          </w:tcPr>
          <w:p w14:paraId="373D937C"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504FD19D"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21295E83"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4B1B7F56" w14:textId="77777777" w:rsidR="000E48CE" w:rsidRDefault="00FF4C4E">
            <w:pPr>
              <w:pStyle w:val="P68B1DB1-Normal13"/>
              <w:spacing w:after="0"/>
              <w:jc w:val="center"/>
              <w:rPr>
                <w:rFonts w:eastAsia="Times New Roman" w:cs="Times New Roman"/>
                <w:noProof/>
              </w:rPr>
            </w:pPr>
            <w:r>
              <w:rPr>
                <w:noProof/>
              </w:rPr>
              <w:t>Q4</w:t>
            </w:r>
          </w:p>
        </w:tc>
        <w:tc>
          <w:tcPr>
            <w:tcW w:w="567" w:type="dxa"/>
            <w:shd w:val="clear" w:color="auto" w:fill="C6EFCE"/>
            <w:noWrap/>
          </w:tcPr>
          <w:p w14:paraId="78F0E579" w14:textId="77777777" w:rsidR="000E48CE" w:rsidRDefault="00FF4C4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4CA04DFD" w14:textId="77777777" w:rsidR="000E48CE" w:rsidRDefault="00FF4C4E">
            <w:pPr>
              <w:pStyle w:val="P68B1DB1-Normal13"/>
              <w:spacing w:after="0"/>
              <w:rPr>
                <w:rFonts w:eastAsia="Times New Roman" w:cs="Times New Roman"/>
                <w:noProof/>
              </w:rPr>
            </w:pPr>
            <w:r>
              <w:rPr>
                <w:noProof/>
              </w:rPr>
              <w:t xml:space="preserve">Nykyisen kestävyystekijän, joka yhdistää eläkkeet elinajanodotteeseen, korvaamista koskeva lainsäädäntö tulee voimaan mekanismilla, jolla taataan sukupolvien välinen oikeudenmukaisuus ja julkisen talouden kestävyys mukautumalla väestörakenteen </w:t>
            </w:r>
            <w:r>
              <w:rPr>
                <w:noProof/>
              </w:rPr>
              <w:t>muutoksiin.</w:t>
            </w:r>
          </w:p>
        </w:tc>
      </w:tr>
      <w:tr w:rsidR="000E48CE" w14:paraId="290F56ED" w14:textId="77777777">
        <w:trPr>
          <w:trHeight w:val="309"/>
        </w:trPr>
        <w:tc>
          <w:tcPr>
            <w:tcW w:w="709" w:type="dxa"/>
            <w:shd w:val="clear" w:color="auto" w:fill="C6EFCE"/>
            <w:noWrap/>
          </w:tcPr>
          <w:p w14:paraId="7CBD5259" w14:textId="77777777" w:rsidR="000E48CE" w:rsidRDefault="00FF4C4E">
            <w:pPr>
              <w:pStyle w:val="P68B1DB1-Normal13"/>
              <w:spacing w:after="0"/>
              <w:jc w:val="center"/>
              <w:rPr>
                <w:rFonts w:eastAsia="Times New Roman" w:cs="Times New Roman"/>
                <w:noProof/>
              </w:rPr>
            </w:pPr>
            <w:r>
              <w:rPr>
                <w:noProof/>
              </w:rPr>
              <w:t>410</w:t>
            </w:r>
          </w:p>
        </w:tc>
        <w:tc>
          <w:tcPr>
            <w:tcW w:w="851" w:type="dxa"/>
            <w:shd w:val="clear" w:color="auto" w:fill="C6EFCE"/>
            <w:noWrap/>
          </w:tcPr>
          <w:p w14:paraId="060D1932" w14:textId="77777777" w:rsidR="000E48CE" w:rsidRDefault="00FF4C4E">
            <w:pPr>
              <w:pStyle w:val="P68B1DB1-Normal13"/>
              <w:spacing w:after="0"/>
              <w:jc w:val="center"/>
              <w:rPr>
                <w:rFonts w:eastAsia="Times New Roman" w:cs="Times New Roman"/>
                <w:noProof/>
              </w:rPr>
            </w:pPr>
            <w:r>
              <w:rPr>
                <w:noProof/>
              </w:rPr>
              <w:t>C30.R2</w:t>
            </w:r>
          </w:p>
        </w:tc>
        <w:tc>
          <w:tcPr>
            <w:tcW w:w="850" w:type="dxa"/>
            <w:shd w:val="clear" w:color="auto" w:fill="C6EFCE"/>
            <w:noWrap/>
          </w:tcPr>
          <w:p w14:paraId="3F8C4631"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036D9408" w14:textId="77777777" w:rsidR="000E48CE" w:rsidRDefault="00FF4C4E">
            <w:pPr>
              <w:pStyle w:val="P68B1DB1-Normal13"/>
              <w:spacing w:after="0"/>
              <w:rPr>
                <w:rFonts w:eastAsia="Times New Roman" w:cs="Times New Roman"/>
                <w:noProof/>
              </w:rPr>
            </w:pPr>
            <w:r>
              <w:rPr>
                <w:noProof/>
              </w:rPr>
              <w:t>Päivitetyt ennusteet, joista käy ilmi, miten vuosina 2021 ja 2022 toteutetuilla eläkeuudistuksilla varmistetaan julkisen talouden pitkän aikavälin kestävyys</w:t>
            </w:r>
          </w:p>
        </w:tc>
        <w:tc>
          <w:tcPr>
            <w:tcW w:w="992" w:type="dxa"/>
            <w:shd w:val="clear" w:color="auto" w:fill="C6EFCE"/>
            <w:noWrap/>
          </w:tcPr>
          <w:p w14:paraId="1DD49C4C" w14:textId="77777777" w:rsidR="000E48CE" w:rsidRDefault="00FF4C4E">
            <w:pPr>
              <w:pStyle w:val="P68B1DB1-Normal13"/>
              <w:spacing w:after="0"/>
              <w:jc w:val="center"/>
              <w:rPr>
                <w:rFonts w:eastAsia="Times New Roman" w:cs="Times New Roman"/>
                <w:noProof/>
              </w:rPr>
            </w:pPr>
            <w:r>
              <w:rPr>
                <w:noProof/>
              </w:rPr>
              <w:t>Raportin julkaiseminen sosiaaliturvan verkkosivustolla</w:t>
            </w:r>
          </w:p>
        </w:tc>
        <w:tc>
          <w:tcPr>
            <w:tcW w:w="567" w:type="dxa"/>
            <w:shd w:val="clear" w:color="auto" w:fill="C6EFCE"/>
            <w:noWrap/>
          </w:tcPr>
          <w:p w14:paraId="007CDB97"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5100EA60"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2B2C3966"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5AA2B8CC" w14:textId="77777777" w:rsidR="000E48CE" w:rsidRDefault="00FF4C4E">
            <w:pPr>
              <w:pStyle w:val="P68B1DB1-Normal13"/>
              <w:spacing w:after="0"/>
              <w:jc w:val="center"/>
              <w:rPr>
                <w:rFonts w:eastAsia="Times New Roman" w:cs="Times New Roman"/>
                <w:noProof/>
              </w:rPr>
            </w:pPr>
            <w:r>
              <w:rPr>
                <w:noProof/>
              </w:rPr>
              <w:t>Q4</w:t>
            </w:r>
          </w:p>
        </w:tc>
        <w:tc>
          <w:tcPr>
            <w:tcW w:w="567" w:type="dxa"/>
            <w:shd w:val="clear" w:color="auto" w:fill="C6EFCE"/>
            <w:noWrap/>
          </w:tcPr>
          <w:p w14:paraId="2F985389" w14:textId="77777777" w:rsidR="000E48CE" w:rsidRDefault="00FF4C4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01C9780E" w14:textId="77777777" w:rsidR="000E48CE" w:rsidRDefault="00FF4C4E">
            <w:pPr>
              <w:pStyle w:val="P68B1DB1-Normal13"/>
              <w:spacing w:after="0"/>
              <w:rPr>
                <w:rFonts w:eastAsia="Times New Roman" w:cs="Times New Roman"/>
                <w:noProof/>
              </w:rPr>
            </w:pPr>
            <w:r>
              <w:rPr>
                <w:noProof/>
              </w:rPr>
              <w:t>Julkaistaan päivitetyt ennusteet, joista käy ilmi, miten vuosina 2021 ja 2022 toteutetuilla eläkeuudistuksilla varmistetaan julkisen talouden pitkän aikavälin kestävyys, ottaen huomioon myös muiden rakenneuudistusten, kuten työmarkkinauudistusten, vaikutuk</w:t>
            </w:r>
            <w:r>
              <w:rPr>
                <w:noProof/>
              </w:rPr>
              <w:t>set.</w:t>
            </w:r>
          </w:p>
        </w:tc>
      </w:tr>
      <w:tr w:rsidR="000E48CE" w14:paraId="342F6CB7" w14:textId="77777777">
        <w:trPr>
          <w:trHeight w:val="309"/>
        </w:trPr>
        <w:tc>
          <w:tcPr>
            <w:tcW w:w="709" w:type="dxa"/>
            <w:shd w:val="clear" w:color="auto" w:fill="C6EFCE"/>
            <w:noWrap/>
          </w:tcPr>
          <w:p w14:paraId="4C869186" w14:textId="77777777" w:rsidR="000E48CE" w:rsidRDefault="00FF4C4E">
            <w:pPr>
              <w:pStyle w:val="P68B1DB1-Normal13"/>
              <w:spacing w:after="0"/>
              <w:jc w:val="center"/>
              <w:rPr>
                <w:rFonts w:eastAsia="Times New Roman" w:cs="Times New Roman"/>
                <w:noProof/>
              </w:rPr>
            </w:pPr>
            <w:r>
              <w:rPr>
                <w:noProof/>
              </w:rPr>
              <w:t>411</w:t>
            </w:r>
          </w:p>
        </w:tc>
        <w:tc>
          <w:tcPr>
            <w:tcW w:w="851" w:type="dxa"/>
            <w:shd w:val="clear" w:color="auto" w:fill="C6EFCE"/>
            <w:noWrap/>
          </w:tcPr>
          <w:p w14:paraId="6189A0D6" w14:textId="77777777" w:rsidR="000E48CE" w:rsidRDefault="00FF4C4E">
            <w:pPr>
              <w:pStyle w:val="P68B1DB1-Normal13"/>
              <w:spacing w:after="0"/>
              <w:jc w:val="center"/>
              <w:rPr>
                <w:rFonts w:eastAsia="Times New Roman" w:cs="Times New Roman"/>
                <w:noProof/>
              </w:rPr>
            </w:pPr>
            <w:r>
              <w:rPr>
                <w:noProof/>
              </w:rPr>
              <w:t>C30.R3</w:t>
            </w:r>
          </w:p>
        </w:tc>
        <w:tc>
          <w:tcPr>
            <w:tcW w:w="850" w:type="dxa"/>
            <w:shd w:val="clear" w:color="auto" w:fill="C6EFCE"/>
            <w:noWrap/>
          </w:tcPr>
          <w:p w14:paraId="77EC25CE"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3973378A" w14:textId="77777777" w:rsidR="000E48CE" w:rsidRDefault="00FF4C4E">
            <w:pPr>
              <w:pStyle w:val="P68B1DB1-Normal13"/>
              <w:spacing w:after="0"/>
              <w:rPr>
                <w:rFonts w:eastAsia="Times New Roman" w:cs="Times New Roman"/>
                <w:noProof/>
              </w:rPr>
            </w:pPr>
            <w:r>
              <w:rPr>
                <w:noProof/>
              </w:rPr>
              <w:t>Itsenäisten ammatinharjoittajien sosiaaliturvamaksujärjestelmän uudistus</w:t>
            </w:r>
          </w:p>
        </w:tc>
        <w:tc>
          <w:tcPr>
            <w:tcW w:w="992" w:type="dxa"/>
            <w:shd w:val="clear" w:color="auto" w:fill="C6EFCE"/>
            <w:noWrap/>
          </w:tcPr>
          <w:p w14:paraId="14266B99"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567" w:type="dxa"/>
            <w:shd w:val="clear" w:color="auto" w:fill="C6EFCE"/>
            <w:noWrap/>
          </w:tcPr>
          <w:p w14:paraId="20FA847B"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45B9297E"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6B799333"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3210EFDC" w14:textId="77777777" w:rsidR="000E48CE" w:rsidRDefault="00FF4C4E">
            <w:pPr>
              <w:pStyle w:val="P68B1DB1-Normal13"/>
              <w:spacing w:after="0"/>
              <w:jc w:val="center"/>
              <w:rPr>
                <w:rFonts w:eastAsia="Times New Roman" w:cs="Times New Roman"/>
                <w:noProof/>
              </w:rPr>
            </w:pPr>
            <w:r>
              <w:rPr>
                <w:noProof/>
              </w:rPr>
              <w:t>Q2</w:t>
            </w:r>
          </w:p>
        </w:tc>
        <w:tc>
          <w:tcPr>
            <w:tcW w:w="567" w:type="dxa"/>
            <w:shd w:val="clear" w:color="auto" w:fill="C6EFCE"/>
            <w:noWrap/>
          </w:tcPr>
          <w:p w14:paraId="4ECE86CA" w14:textId="77777777" w:rsidR="000E48CE" w:rsidRDefault="00FF4C4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6415D23D" w14:textId="77777777" w:rsidR="000E48CE" w:rsidRDefault="00FF4C4E">
            <w:pPr>
              <w:pStyle w:val="P68B1DB1-Normal13"/>
              <w:spacing w:after="0"/>
              <w:rPr>
                <w:rFonts w:eastAsia="Times New Roman" w:cs="Times New Roman"/>
                <w:noProof/>
              </w:rPr>
            </w:pPr>
            <w:r>
              <w:rPr>
                <w:noProof/>
              </w:rPr>
              <w:t xml:space="preserve">Itsenäisten ammatinharjoittajien sosiaaliturvamaksujärjestelmän uudistusta koskevan lainsäädännön </w:t>
            </w:r>
            <w:r>
              <w:rPr>
                <w:noProof/>
              </w:rPr>
              <w:t>voimaantulo muuttamalla asteittain maksujärjestelmä reaalitulojen perusteella.</w:t>
            </w:r>
          </w:p>
        </w:tc>
      </w:tr>
      <w:tr w:rsidR="000E48CE" w14:paraId="07B2E1AD" w14:textId="77777777">
        <w:trPr>
          <w:trHeight w:val="309"/>
        </w:trPr>
        <w:tc>
          <w:tcPr>
            <w:tcW w:w="709" w:type="dxa"/>
            <w:shd w:val="clear" w:color="auto" w:fill="C6EFCE"/>
            <w:noWrap/>
          </w:tcPr>
          <w:p w14:paraId="1A6A7A4E" w14:textId="77777777" w:rsidR="000E48CE" w:rsidRDefault="00FF4C4E">
            <w:pPr>
              <w:pStyle w:val="P68B1DB1-Normal13"/>
              <w:spacing w:after="0"/>
              <w:jc w:val="center"/>
              <w:rPr>
                <w:rFonts w:eastAsia="Times New Roman" w:cs="Times New Roman"/>
                <w:noProof/>
              </w:rPr>
            </w:pPr>
            <w:r>
              <w:rPr>
                <w:noProof/>
              </w:rPr>
              <w:t>412</w:t>
            </w:r>
          </w:p>
        </w:tc>
        <w:tc>
          <w:tcPr>
            <w:tcW w:w="851" w:type="dxa"/>
            <w:shd w:val="clear" w:color="auto" w:fill="C6EFCE"/>
            <w:noWrap/>
          </w:tcPr>
          <w:p w14:paraId="01E2C34E" w14:textId="77777777" w:rsidR="000E48CE" w:rsidRDefault="00FF4C4E">
            <w:pPr>
              <w:pStyle w:val="P68B1DB1-Normal13"/>
              <w:spacing w:after="0"/>
              <w:jc w:val="center"/>
              <w:rPr>
                <w:rFonts w:eastAsia="Times New Roman" w:cs="Times New Roman"/>
                <w:noProof/>
              </w:rPr>
            </w:pPr>
            <w:r>
              <w:rPr>
                <w:noProof/>
              </w:rPr>
              <w:t>C30.R4</w:t>
            </w:r>
          </w:p>
        </w:tc>
        <w:tc>
          <w:tcPr>
            <w:tcW w:w="850" w:type="dxa"/>
            <w:shd w:val="clear" w:color="auto" w:fill="C6EFCE"/>
            <w:noWrap/>
          </w:tcPr>
          <w:p w14:paraId="736B26F4"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70C25181" w14:textId="77777777" w:rsidR="000E48CE" w:rsidRDefault="00FF4C4E">
            <w:pPr>
              <w:pStyle w:val="P68B1DB1-Normal13"/>
              <w:spacing w:after="0"/>
              <w:rPr>
                <w:rFonts w:eastAsia="Times New Roman" w:cs="Times New Roman"/>
                <w:noProof/>
              </w:rPr>
            </w:pPr>
            <w:r>
              <w:rPr>
                <w:noProof/>
              </w:rPr>
              <w:t>Äitiyteen liittyvien lisäyksien virtaviivaistaminen</w:t>
            </w:r>
          </w:p>
        </w:tc>
        <w:tc>
          <w:tcPr>
            <w:tcW w:w="992" w:type="dxa"/>
            <w:shd w:val="clear" w:color="auto" w:fill="C6EFCE"/>
            <w:noWrap/>
          </w:tcPr>
          <w:p w14:paraId="69BDC429" w14:textId="77777777" w:rsidR="000E48CE" w:rsidRDefault="00FF4C4E">
            <w:pPr>
              <w:pStyle w:val="P68B1DB1-Normal13"/>
              <w:spacing w:after="0"/>
              <w:jc w:val="center"/>
              <w:rPr>
                <w:rFonts w:eastAsia="Times New Roman" w:cs="Times New Roman"/>
                <w:noProof/>
              </w:rPr>
            </w:pPr>
            <w:r>
              <w:rPr>
                <w:noProof/>
              </w:rPr>
              <w:t xml:space="preserve">RDL:n määräys, josta käy ilmi sen voimaantulo </w:t>
            </w:r>
          </w:p>
        </w:tc>
        <w:tc>
          <w:tcPr>
            <w:tcW w:w="567" w:type="dxa"/>
            <w:shd w:val="clear" w:color="auto" w:fill="C6EFCE"/>
            <w:noWrap/>
          </w:tcPr>
          <w:p w14:paraId="301B544D"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237DEE08"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31217D80"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6CD8741C" w14:textId="77777777" w:rsidR="000E48CE" w:rsidRDefault="00FF4C4E">
            <w:pPr>
              <w:pStyle w:val="P68B1DB1-Normal13"/>
              <w:spacing w:after="0"/>
              <w:jc w:val="center"/>
              <w:rPr>
                <w:rFonts w:eastAsia="Times New Roman" w:cs="Times New Roman"/>
                <w:noProof/>
              </w:rPr>
            </w:pPr>
            <w:r>
              <w:rPr>
                <w:noProof/>
              </w:rPr>
              <w:t>Q1</w:t>
            </w:r>
          </w:p>
        </w:tc>
        <w:tc>
          <w:tcPr>
            <w:tcW w:w="567" w:type="dxa"/>
            <w:shd w:val="clear" w:color="auto" w:fill="C6EFCE"/>
            <w:noWrap/>
          </w:tcPr>
          <w:p w14:paraId="46EB437E" w14:textId="77777777" w:rsidR="000E48CE" w:rsidRDefault="00FF4C4E">
            <w:pPr>
              <w:pStyle w:val="P68B1DB1-Normal13"/>
              <w:spacing w:after="0"/>
              <w:jc w:val="center"/>
              <w:rPr>
                <w:rFonts w:eastAsia="Times New Roman" w:cs="Times New Roman"/>
                <w:noProof/>
              </w:rPr>
            </w:pPr>
            <w:r>
              <w:rPr>
                <w:noProof/>
              </w:rPr>
              <w:t>2021</w:t>
            </w:r>
          </w:p>
        </w:tc>
        <w:tc>
          <w:tcPr>
            <w:tcW w:w="6804" w:type="dxa"/>
            <w:shd w:val="clear" w:color="auto" w:fill="C6EFCE"/>
            <w:noWrap/>
          </w:tcPr>
          <w:p w14:paraId="4A891336" w14:textId="77777777" w:rsidR="000E48CE" w:rsidRDefault="00FF4C4E">
            <w:pPr>
              <w:pStyle w:val="P68B1DB1-Normal13"/>
              <w:spacing w:after="0"/>
              <w:rPr>
                <w:rFonts w:eastAsia="Times New Roman" w:cs="Times New Roman"/>
                <w:noProof/>
              </w:rPr>
            </w:pPr>
            <w:r>
              <w:rPr>
                <w:noProof/>
              </w:rPr>
              <w:t xml:space="preserve">Äitiyteen liittyvien lisävaatimusten </w:t>
            </w:r>
            <w:r>
              <w:rPr>
                <w:noProof/>
              </w:rPr>
              <w:t>yksinkertaistamisesta 3. helmikuuta 2021 annetun kuninkaallisen asetuksen 3/2021 voimaantulo. Unionin tuomioistuimen 12. joulukuuta 2019 antaman tuomion noudattamiseksi eläkelisäyksiä on virtaviivaistettava ja keskityttävä sukupuolten välisen kuilun kavent</w:t>
            </w:r>
            <w:r>
              <w:rPr>
                <w:noProof/>
              </w:rPr>
              <w:t>amiseen. Vanhemmille, joiden työelämää on muutettu välittömästi vanhemmuuden jälkeen, maksetaan kiinteä korvaus.</w:t>
            </w:r>
          </w:p>
        </w:tc>
      </w:tr>
      <w:tr w:rsidR="000E48CE" w14:paraId="571DC049" w14:textId="77777777">
        <w:trPr>
          <w:trHeight w:val="309"/>
        </w:trPr>
        <w:tc>
          <w:tcPr>
            <w:tcW w:w="709" w:type="dxa"/>
            <w:shd w:val="clear" w:color="auto" w:fill="C6EFCE"/>
            <w:noWrap/>
          </w:tcPr>
          <w:p w14:paraId="74886244" w14:textId="77777777" w:rsidR="000E48CE" w:rsidRDefault="00FF4C4E">
            <w:pPr>
              <w:pStyle w:val="P68B1DB1-Normal13"/>
              <w:spacing w:after="0"/>
              <w:jc w:val="center"/>
              <w:rPr>
                <w:rFonts w:eastAsia="Times New Roman" w:cs="Times New Roman"/>
                <w:noProof/>
              </w:rPr>
            </w:pPr>
            <w:r>
              <w:rPr>
                <w:noProof/>
              </w:rPr>
              <w:t>413</w:t>
            </w:r>
          </w:p>
        </w:tc>
        <w:tc>
          <w:tcPr>
            <w:tcW w:w="851" w:type="dxa"/>
            <w:shd w:val="clear" w:color="auto" w:fill="C6EFCE"/>
            <w:noWrap/>
          </w:tcPr>
          <w:p w14:paraId="2F2EC24A" w14:textId="77777777" w:rsidR="000E48CE" w:rsidRDefault="00FF4C4E">
            <w:pPr>
              <w:pStyle w:val="P68B1DB1-Normal13"/>
              <w:spacing w:after="0"/>
              <w:jc w:val="center"/>
              <w:rPr>
                <w:rFonts w:eastAsia="Times New Roman" w:cs="Times New Roman"/>
                <w:noProof/>
              </w:rPr>
            </w:pPr>
            <w:r>
              <w:rPr>
                <w:noProof/>
              </w:rPr>
              <w:t>C30.R5</w:t>
            </w:r>
          </w:p>
        </w:tc>
        <w:tc>
          <w:tcPr>
            <w:tcW w:w="850" w:type="dxa"/>
            <w:shd w:val="clear" w:color="auto" w:fill="C6EFCE"/>
            <w:noWrap/>
          </w:tcPr>
          <w:p w14:paraId="2FE066D4"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4ED5939A" w14:textId="6CF1DE84" w:rsidR="000E48CE" w:rsidRDefault="00FF4C4E">
            <w:pPr>
              <w:pStyle w:val="P68B1DB1-Normal13"/>
              <w:spacing w:after="0"/>
              <w:rPr>
                <w:rFonts w:eastAsia="Times New Roman" w:cs="Times New Roman"/>
                <w:noProof/>
              </w:rPr>
            </w:pPr>
            <w:r>
              <w:rPr>
                <w:noProof/>
              </w:rPr>
              <w:t>Nykyiseen lisäeläkejärjestelmään liittyvien verohelpotusten tarkistaminen</w:t>
            </w:r>
          </w:p>
        </w:tc>
        <w:tc>
          <w:tcPr>
            <w:tcW w:w="992" w:type="dxa"/>
            <w:shd w:val="clear" w:color="auto" w:fill="C6EFCE"/>
            <w:noWrap/>
          </w:tcPr>
          <w:p w14:paraId="728C6ACF" w14:textId="77777777" w:rsidR="000E48CE" w:rsidRDefault="00FF4C4E">
            <w:pPr>
              <w:pStyle w:val="P68B1DB1-Normal13"/>
              <w:spacing w:after="0"/>
              <w:jc w:val="center"/>
              <w:rPr>
                <w:rFonts w:eastAsia="Times New Roman" w:cs="Times New Roman"/>
                <w:noProof/>
              </w:rPr>
            </w:pPr>
            <w:r>
              <w:rPr>
                <w:noProof/>
              </w:rPr>
              <w:t xml:space="preserve">Lain säännös, jossa ilmoitetaan loppusäännöksen 11 ja </w:t>
            </w:r>
            <w:r>
              <w:rPr>
                <w:noProof/>
              </w:rPr>
              <w:t xml:space="preserve">62 artiklan voimaantulo </w:t>
            </w:r>
          </w:p>
        </w:tc>
        <w:tc>
          <w:tcPr>
            <w:tcW w:w="567" w:type="dxa"/>
            <w:shd w:val="clear" w:color="auto" w:fill="C6EFCE"/>
            <w:noWrap/>
          </w:tcPr>
          <w:p w14:paraId="0FEA8EAC"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34701F8C"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4C770724"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0D59BC49" w14:textId="77777777" w:rsidR="000E48CE" w:rsidRDefault="00FF4C4E">
            <w:pPr>
              <w:pStyle w:val="P68B1DB1-Normal13"/>
              <w:spacing w:after="0"/>
              <w:jc w:val="center"/>
              <w:rPr>
                <w:rFonts w:eastAsia="Times New Roman" w:cs="Times New Roman"/>
                <w:noProof/>
              </w:rPr>
            </w:pPr>
            <w:r>
              <w:rPr>
                <w:noProof/>
              </w:rPr>
              <w:t>Q4</w:t>
            </w:r>
          </w:p>
        </w:tc>
        <w:tc>
          <w:tcPr>
            <w:tcW w:w="567" w:type="dxa"/>
            <w:shd w:val="clear" w:color="auto" w:fill="C6EFCE"/>
            <w:noWrap/>
          </w:tcPr>
          <w:p w14:paraId="4698E595" w14:textId="77777777" w:rsidR="000E48CE" w:rsidRDefault="00FF4C4E">
            <w:pPr>
              <w:pStyle w:val="P68B1DB1-Normal13"/>
              <w:spacing w:after="0"/>
              <w:jc w:val="center"/>
              <w:rPr>
                <w:rFonts w:eastAsia="Times New Roman" w:cs="Times New Roman"/>
                <w:noProof/>
              </w:rPr>
            </w:pPr>
            <w:r>
              <w:rPr>
                <w:noProof/>
              </w:rPr>
              <w:t>2020</w:t>
            </w:r>
          </w:p>
        </w:tc>
        <w:tc>
          <w:tcPr>
            <w:tcW w:w="6804" w:type="dxa"/>
            <w:shd w:val="clear" w:color="auto" w:fill="C6EFCE"/>
            <w:noWrap/>
          </w:tcPr>
          <w:p w14:paraId="72AC4D48" w14:textId="77777777" w:rsidR="000E48CE" w:rsidRDefault="00FF4C4E">
            <w:pPr>
              <w:pStyle w:val="P68B1DB1-Normal13"/>
              <w:spacing w:after="0"/>
              <w:rPr>
                <w:rFonts w:eastAsia="Times New Roman" w:cs="Times New Roman"/>
                <w:noProof/>
              </w:rPr>
            </w:pPr>
            <w:r>
              <w:rPr>
                <w:noProof/>
              </w:rPr>
              <w:t>Valtion vuoden 2021 yleisestä talousarviosta 30 päivänä joulukuuta annetun lain 11/2020 voimaantulo nykyiseen lisäeläkejärjestelmään liittyvien verohelpotusten tarkistamisesta. Oikeus veronhuojennuksiin siirretään yks</w:t>
            </w:r>
            <w:r>
              <w:rPr>
                <w:noProof/>
              </w:rPr>
              <w:t>ilöllisistä yksityisistä eläkejärjestelmistä työehtosopimuksiin perustuviin ammatillisiin lisäeläkejärjestelmiin. Uuden kehyksen käyttöönottoa koskevat talousarviolain säännökset ovat LPGE:n loppusäännös 11 ja 62 §.</w:t>
            </w:r>
          </w:p>
        </w:tc>
      </w:tr>
      <w:tr w:rsidR="000E48CE" w14:paraId="3E04544D" w14:textId="77777777">
        <w:trPr>
          <w:trHeight w:val="309"/>
        </w:trPr>
        <w:tc>
          <w:tcPr>
            <w:tcW w:w="709" w:type="dxa"/>
            <w:shd w:val="clear" w:color="auto" w:fill="C6EFCE"/>
            <w:noWrap/>
          </w:tcPr>
          <w:p w14:paraId="2B66978C" w14:textId="77777777" w:rsidR="000E48CE" w:rsidRDefault="00FF4C4E">
            <w:pPr>
              <w:pStyle w:val="P68B1DB1-Normal13"/>
              <w:spacing w:after="0"/>
              <w:jc w:val="center"/>
              <w:rPr>
                <w:rFonts w:eastAsia="Times New Roman" w:cs="Times New Roman"/>
                <w:noProof/>
              </w:rPr>
            </w:pPr>
            <w:r>
              <w:rPr>
                <w:noProof/>
              </w:rPr>
              <w:t>414</w:t>
            </w:r>
          </w:p>
        </w:tc>
        <w:tc>
          <w:tcPr>
            <w:tcW w:w="851" w:type="dxa"/>
            <w:shd w:val="clear" w:color="auto" w:fill="C6EFCE"/>
            <w:noWrap/>
          </w:tcPr>
          <w:p w14:paraId="19D0A656" w14:textId="77777777" w:rsidR="000E48CE" w:rsidRDefault="00FF4C4E">
            <w:pPr>
              <w:pStyle w:val="P68B1DB1-Normal13"/>
              <w:spacing w:after="0"/>
              <w:jc w:val="center"/>
              <w:rPr>
                <w:rFonts w:eastAsia="Times New Roman" w:cs="Times New Roman"/>
                <w:noProof/>
              </w:rPr>
            </w:pPr>
            <w:r>
              <w:rPr>
                <w:noProof/>
              </w:rPr>
              <w:t>C30.R5</w:t>
            </w:r>
          </w:p>
        </w:tc>
        <w:tc>
          <w:tcPr>
            <w:tcW w:w="850" w:type="dxa"/>
            <w:shd w:val="clear" w:color="auto" w:fill="C6EFCE"/>
            <w:noWrap/>
          </w:tcPr>
          <w:p w14:paraId="7489E7DD"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6990F315" w14:textId="77777777" w:rsidR="000E48CE" w:rsidRDefault="00FF4C4E">
            <w:pPr>
              <w:pStyle w:val="P68B1DB1-Normal13"/>
              <w:spacing w:after="0"/>
              <w:rPr>
                <w:rFonts w:eastAsia="Times New Roman" w:cs="Times New Roman"/>
                <w:noProof/>
              </w:rPr>
            </w:pPr>
            <w:r>
              <w:rPr>
                <w:noProof/>
              </w:rPr>
              <w:t xml:space="preserve">Nykyisen </w:t>
            </w:r>
            <w:r>
              <w:rPr>
                <w:noProof/>
              </w:rPr>
              <w:t>lisäeläkejärjestelmän tarkistaminen</w:t>
            </w:r>
          </w:p>
        </w:tc>
        <w:tc>
          <w:tcPr>
            <w:tcW w:w="992" w:type="dxa"/>
            <w:shd w:val="clear" w:color="auto" w:fill="C6EFCE"/>
            <w:noWrap/>
          </w:tcPr>
          <w:p w14:paraId="78CA58BF"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567" w:type="dxa"/>
            <w:shd w:val="clear" w:color="auto" w:fill="C6EFCE"/>
            <w:noWrap/>
          </w:tcPr>
          <w:p w14:paraId="05BB9BB7"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09516691"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12D88D2A"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18AC387C" w14:textId="77777777" w:rsidR="000E48CE" w:rsidRDefault="00FF4C4E">
            <w:pPr>
              <w:pStyle w:val="P68B1DB1-Normal13"/>
              <w:spacing w:after="0"/>
              <w:jc w:val="center"/>
              <w:rPr>
                <w:rFonts w:eastAsia="Times New Roman" w:cs="Times New Roman"/>
                <w:noProof/>
              </w:rPr>
            </w:pPr>
            <w:r>
              <w:rPr>
                <w:noProof/>
              </w:rPr>
              <w:t>Q2</w:t>
            </w:r>
          </w:p>
        </w:tc>
        <w:tc>
          <w:tcPr>
            <w:tcW w:w="567" w:type="dxa"/>
            <w:shd w:val="clear" w:color="auto" w:fill="C6EFCE"/>
            <w:noWrap/>
          </w:tcPr>
          <w:p w14:paraId="21FFB7AD" w14:textId="77777777" w:rsidR="000E48CE" w:rsidRDefault="00FF4C4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6A363E63" w14:textId="77777777" w:rsidR="000E48CE" w:rsidRDefault="00FF4C4E">
            <w:pPr>
              <w:pStyle w:val="P68B1DB1-Normal13"/>
              <w:spacing w:after="0"/>
              <w:rPr>
                <w:rFonts w:eastAsia="Times New Roman" w:cs="Times New Roman"/>
                <w:noProof/>
              </w:rPr>
            </w:pPr>
            <w:r>
              <w:rPr>
                <w:noProof/>
              </w:rPr>
              <w:t>Nykyisen lisäeläkejärjestelmän tarkistamista koskevan lainsäädännön voimaantulo eläkejärjestelmien edistämiseksi perustamalla kaikille yrityksille ja työntekijö</w:t>
            </w:r>
            <w:r>
              <w:rPr>
                <w:noProof/>
              </w:rPr>
              <w:t>ille avoimia eläkerahastoja.</w:t>
            </w:r>
          </w:p>
        </w:tc>
      </w:tr>
      <w:tr w:rsidR="000E48CE" w14:paraId="46E1F473" w14:textId="77777777">
        <w:trPr>
          <w:trHeight w:val="309"/>
        </w:trPr>
        <w:tc>
          <w:tcPr>
            <w:tcW w:w="709" w:type="dxa"/>
            <w:shd w:val="clear" w:color="auto" w:fill="C6EFCE"/>
            <w:noWrap/>
          </w:tcPr>
          <w:p w14:paraId="4722DCDF" w14:textId="77777777" w:rsidR="000E48CE" w:rsidRDefault="00FF4C4E">
            <w:pPr>
              <w:pStyle w:val="P68B1DB1-Normal13"/>
              <w:spacing w:after="0"/>
              <w:jc w:val="center"/>
              <w:rPr>
                <w:rFonts w:eastAsia="Times New Roman" w:cs="Times New Roman"/>
                <w:noProof/>
              </w:rPr>
            </w:pPr>
            <w:r>
              <w:rPr>
                <w:noProof/>
              </w:rPr>
              <w:t>415</w:t>
            </w:r>
          </w:p>
        </w:tc>
        <w:tc>
          <w:tcPr>
            <w:tcW w:w="851" w:type="dxa"/>
            <w:shd w:val="clear" w:color="auto" w:fill="C6EFCE"/>
            <w:noWrap/>
          </w:tcPr>
          <w:p w14:paraId="1F803B1E" w14:textId="77777777" w:rsidR="000E48CE" w:rsidRDefault="00FF4C4E">
            <w:pPr>
              <w:pStyle w:val="P68B1DB1-Normal13"/>
              <w:spacing w:after="0"/>
              <w:jc w:val="center"/>
              <w:rPr>
                <w:rFonts w:eastAsia="Times New Roman" w:cs="Times New Roman"/>
                <w:noProof/>
              </w:rPr>
            </w:pPr>
            <w:r>
              <w:rPr>
                <w:noProof/>
              </w:rPr>
              <w:t>C30.R6</w:t>
            </w:r>
          </w:p>
        </w:tc>
        <w:tc>
          <w:tcPr>
            <w:tcW w:w="850" w:type="dxa"/>
            <w:shd w:val="clear" w:color="auto" w:fill="C6EFCE"/>
            <w:noWrap/>
          </w:tcPr>
          <w:p w14:paraId="1568BB27" w14:textId="77777777" w:rsidR="000E48CE" w:rsidRDefault="00FF4C4E">
            <w:pPr>
              <w:pStyle w:val="P68B1DB1-Normal13"/>
              <w:spacing w:after="0"/>
              <w:jc w:val="center"/>
              <w:rPr>
                <w:rFonts w:eastAsia="Times New Roman" w:cs="Times New Roman"/>
                <w:noProof/>
              </w:rPr>
            </w:pPr>
            <w:r>
              <w:rPr>
                <w:noProof/>
              </w:rPr>
              <w:t>M</w:t>
            </w:r>
          </w:p>
        </w:tc>
        <w:tc>
          <w:tcPr>
            <w:tcW w:w="2552" w:type="dxa"/>
            <w:shd w:val="clear" w:color="auto" w:fill="C6EFCE"/>
            <w:noWrap/>
          </w:tcPr>
          <w:p w14:paraId="6DE0850E" w14:textId="77777777" w:rsidR="000E48CE" w:rsidRDefault="00FF4C4E">
            <w:pPr>
              <w:pStyle w:val="P68B1DB1-Normal13"/>
              <w:spacing w:after="0"/>
              <w:rPr>
                <w:rFonts w:eastAsia="Times New Roman" w:cs="Times New Roman"/>
                <w:noProof/>
              </w:rPr>
            </w:pPr>
            <w:r>
              <w:rPr>
                <w:noProof/>
              </w:rPr>
              <w:t>Enimmäisrahoituspohjan mukauttaminen</w:t>
            </w:r>
          </w:p>
        </w:tc>
        <w:tc>
          <w:tcPr>
            <w:tcW w:w="992" w:type="dxa"/>
            <w:shd w:val="clear" w:color="auto" w:fill="C6EFCE"/>
            <w:noWrap/>
          </w:tcPr>
          <w:p w14:paraId="595D6BA3" w14:textId="77777777" w:rsidR="000E48CE" w:rsidRDefault="00FF4C4E">
            <w:pPr>
              <w:pStyle w:val="P68B1DB1-Normal13"/>
              <w:spacing w:after="0"/>
              <w:jc w:val="center"/>
              <w:rPr>
                <w:rFonts w:eastAsia="Times New Roman" w:cs="Times New Roman"/>
                <w:noProof/>
              </w:rPr>
            </w:pPr>
            <w:r>
              <w:rPr>
                <w:noProof/>
              </w:rPr>
              <w:t xml:space="preserve">Lain säännös, josta käy ilmi sen voimaantulo </w:t>
            </w:r>
          </w:p>
        </w:tc>
        <w:tc>
          <w:tcPr>
            <w:tcW w:w="567" w:type="dxa"/>
            <w:shd w:val="clear" w:color="auto" w:fill="C6EFCE"/>
            <w:noWrap/>
          </w:tcPr>
          <w:p w14:paraId="6FF7284D" w14:textId="77777777" w:rsidR="000E48CE" w:rsidRDefault="00FF4C4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77D1F4E0" w14:textId="77777777" w:rsidR="000E48CE" w:rsidRDefault="00FF4C4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4CAC2C96" w14:textId="77777777" w:rsidR="000E48CE" w:rsidRDefault="00FF4C4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04375009" w14:textId="77777777" w:rsidR="000E48CE" w:rsidRDefault="00FF4C4E">
            <w:pPr>
              <w:pStyle w:val="P68B1DB1-Normal13"/>
              <w:spacing w:after="0"/>
              <w:jc w:val="center"/>
              <w:rPr>
                <w:rFonts w:eastAsia="Times New Roman" w:cs="Times New Roman"/>
                <w:noProof/>
              </w:rPr>
            </w:pPr>
            <w:r>
              <w:rPr>
                <w:noProof/>
              </w:rPr>
              <w:t>Q4</w:t>
            </w:r>
          </w:p>
        </w:tc>
        <w:tc>
          <w:tcPr>
            <w:tcW w:w="567" w:type="dxa"/>
            <w:shd w:val="clear" w:color="auto" w:fill="C6EFCE"/>
            <w:noWrap/>
          </w:tcPr>
          <w:p w14:paraId="59061F11" w14:textId="77777777" w:rsidR="000E48CE" w:rsidRDefault="00FF4C4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5AE2B90C" w14:textId="77777777" w:rsidR="000E48CE" w:rsidRDefault="00FF4C4E">
            <w:pPr>
              <w:pStyle w:val="P68B1DB1-Normal13"/>
              <w:spacing w:after="0"/>
              <w:rPr>
                <w:rFonts w:eastAsia="Times New Roman" w:cs="Times New Roman"/>
                <w:noProof/>
              </w:rPr>
            </w:pPr>
            <w:r>
              <w:rPr>
                <w:noProof/>
              </w:rPr>
              <w:t xml:space="preserve">Maksupohjan enimmäismäärän mukauttamista koskevan lainsäädännön voimaantulo: järjestelmän enimmäismaksupohjan </w:t>
            </w:r>
            <w:r>
              <w:rPr>
                <w:noProof/>
              </w:rPr>
              <w:t>asteittainen lisääminen ja eläkkeiden enimmäismäärien mukauttaminen maksuperustan ja järjestelmän progressiivisuuden laajentamiseksi ja kokonaistulojen lisäämiseksi.</w:t>
            </w:r>
          </w:p>
        </w:tc>
      </w:tr>
    </w:tbl>
    <w:p w14:paraId="656BB99D" w14:textId="77777777" w:rsidR="000E48CE" w:rsidRDefault="000E48CE">
      <w:pPr>
        <w:pStyle w:val="Text1"/>
        <w:ind w:left="0"/>
        <w:rPr>
          <w:rFonts w:ascii="Times New Roman" w:hAnsi="Times New Roman" w:cs="Times New Roman"/>
          <w:noProof/>
        </w:rPr>
        <w:sectPr w:rsidR="000E48CE" w:rsidSect="00C94F66">
          <w:headerReference w:type="even" r:id="rId561"/>
          <w:headerReference w:type="default" r:id="rId562"/>
          <w:footerReference w:type="even" r:id="rId563"/>
          <w:footerReference w:type="default" r:id="rId564"/>
          <w:headerReference w:type="first" r:id="rId565"/>
          <w:footerReference w:type="first" r:id="rId566"/>
          <w:pgSz w:w="16839" w:h="11907" w:orient="landscape"/>
          <w:pgMar w:top="1417" w:right="1134" w:bottom="1417" w:left="1134" w:header="709" w:footer="709" w:gutter="0"/>
          <w:cols w:space="720"/>
          <w:docGrid w:linePitch="360"/>
        </w:sectPr>
      </w:pPr>
    </w:p>
    <w:p w14:paraId="70BCB411" w14:textId="77777777" w:rsidR="000E48CE" w:rsidRDefault="00FF4C4E">
      <w:pPr>
        <w:pStyle w:val="P68B1DB1-Heading12"/>
        <w:rPr>
          <w:rFonts w:cs="Times New Roman"/>
          <w:noProof/>
        </w:rPr>
      </w:pPr>
      <w:r>
        <w:rPr>
          <w:noProof/>
        </w:rPr>
        <w:t xml:space="preserve">AE. OSA-ALUE 31: </w:t>
      </w:r>
      <w:r>
        <w:rPr>
          <w:noProof/>
        </w:rPr>
        <w:t>REPowerEU-luku</w:t>
      </w:r>
    </w:p>
    <w:p w14:paraId="1254EFEE" w14:textId="77777777" w:rsidR="000E48CE" w:rsidRDefault="00FF4C4E">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REPowerEU-luvun tavoitteena on vähentää yleistä riippuvuutta fossiilisista polttoaineista ja erityisesti yksinkertaistaa uusien sähköverkkojen ja uusiutuvaa energiaa koskevien hankkeiden lupia, tukea uusiutuvan energian ja uusiutuvan vedyn tuotantoa, paran</w:t>
      </w:r>
      <w:r>
        <w:rPr>
          <w:rStyle w:val="IntenseEmphasis"/>
          <w:rFonts w:ascii="Times New Roman" w:hAnsi="Times New Roman"/>
          <w:i w:val="0"/>
          <w:noProof/>
          <w:color w:val="auto"/>
        </w:rPr>
        <w:t xml:space="preserve">taa uusiutuvien energialähteiden arvoketjua ja edistää teollisuuden hiilestä irtautumista. </w:t>
      </w:r>
    </w:p>
    <w:p w14:paraId="5F854BC2" w14:textId="76DDF745" w:rsidR="000E48CE" w:rsidRDefault="00FF4C4E">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Komponentissa käsitellään maakohtaisia suosituksia, jotka liittyvät yleisen riippuvuuden vähentämiseen fossiilisista polttoaineista vuosina 2022 ja 2023. Se edistää</w:t>
      </w:r>
      <w:r>
        <w:rPr>
          <w:rStyle w:val="IntenseEmphasis"/>
          <w:rFonts w:ascii="Times New Roman" w:hAnsi="Times New Roman"/>
          <w:i w:val="0"/>
          <w:noProof/>
          <w:color w:val="auto"/>
        </w:rPr>
        <w:t xml:space="preserve"> toimenpiteillä uusiutuvan energian käyttöönoton nopeuttamista keskittyen hajautettuihin laitoksiin ja omaan kulutukseen, muun muassa yksinkertaistamalla edelleen lupamenettelyjä ja parantamalla verkkoon pääsyä. Sillä tuetaan myös täydentäviä investointeja</w:t>
      </w:r>
      <w:r>
        <w:rPr>
          <w:rStyle w:val="IntenseEmphasis"/>
          <w:rFonts w:ascii="Times New Roman" w:hAnsi="Times New Roman"/>
          <w:i w:val="0"/>
          <w:noProof/>
          <w:color w:val="auto"/>
        </w:rPr>
        <w:t xml:space="preserve"> varastointiin, verkkoinfrastruktuuriin ja uusiutuvaan vetyyn (maakohtainen suositus 4 2022 ja maakohtainen suositus 3 2023). </w:t>
      </w:r>
    </w:p>
    <w:p w14:paraId="17B84A90" w14:textId="77777777" w:rsidR="000E48CE" w:rsidRDefault="00FF4C4E">
      <w:pPr>
        <w:pStyle w:val="P68B1DB1-Text119"/>
        <w:ind w:left="0"/>
        <w:rPr>
          <w:rFonts w:cs="Times New Roman"/>
          <w:noProof/>
        </w:rPr>
      </w:pPr>
      <w:r>
        <w:rPr>
          <w:noProof/>
        </w:rPr>
        <w:t xml:space="preserve">Mikään tämän osa-alueen toimenpiteistä ei saa aiheuttaa merkittävää haittaa asetuksen (EU) 2020/852 17 artiklassa tarkoitetuille </w:t>
      </w:r>
      <w:r>
        <w:rPr>
          <w:noProof/>
        </w:rPr>
        <w:t>ympäristötavoitteille, kun otetaan huomioon elpymis- ja palautumissuunnitelmassa esitettyjen toimenpiteiden ja lieventävien toimenpiteiden kuvaus ”ei merkittävää haittaa” -periaatteen soveltamista koskevien teknisten ohjeiden (2021/C58/01) mukaisesti.</w:t>
      </w:r>
    </w:p>
    <w:p w14:paraId="14113E2C" w14:textId="77777777" w:rsidR="000E48CE" w:rsidRDefault="00FF4C4E">
      <w:pPr>
        <w:pStyle w:val="P68B1DB1-Text138"/>
        <w:ind w:left="709"/>
        <w:rPr>
          <w:rFonts w:cs="Times New Roman"/>
          <w:noProof/>
        </w:rPr>
      </w:pPr>
      <w:r>
        <w:rPr>
          <w:noProof/>
        </w:rPr>
        <w:t>AE.1</w:t>
      </w:r>
      <w:r>
        <w:rPr>
          <w:noProof/>
        </w:rPr>
        <w:t xml:space="preserve"> </w:t>
      </w:r>
      <w:r>
        <w:rPr>
          <w:noProof/>
        </w:rPr>
        <w:tab/>
        <w:t>Kuvaus uudistuksista ja investoinneista, joita rahoitetaan rahoitustuella, jota ei makseta takaisin</w:t>
      </w:r>
    </w:p>
    <w:p w14:paraId="748AD8E0" w14:textId="3713CBA6" w:rsidR="000E48CE" w:rsidRDefault="00FF4C4E">
      <w:pPr>
        <w:pStyle w:val="P68B1DB1-Text120"/>
        <w:ind w:left="0"/>
        <w:rPr>
          <w:rFonts w:cs="Times New Roman"/>
          <w:noProof/>
        </w:rPr>
      </w:pPr>
      <w:r>
        <w:rPr>
          <w:noProof/>
        </w:rPr>
        <w:t>Uudistus 1 (C31.R1) – Uusiutuvan energian tuotantohankkeiden ja sähköverkkoinfrastruktuurin lupamenettelyjen parantaminen</w:t>
      </w:r>
    </w:p>
    <w:p w14:paraId="0DAF00BD" w14:textId="3F3825BF" w:rsidR="000E48CE" w:rsidRDefault="00FF4C4E">
      <w:pPr>
        <w:pStyle w:val="P68B1DB1-Normal4"/>
        <w:spacing w:before="120" w:after="120" w:line="240" w:lineRule="auto"/>
        <w:jc w:val="both"/>
        <w:rPr>
          <w:rFonts w:cs="Times New Roman"/>
          <w:noProof/>
        </w:rPr>
      </w:pPr>
      <w:r>
        <w:rPr>
          <w:noProof/>
        </w:rPr>
        <w:t>Uudistuksella on kaksi tavoitett</w:t>
      </w:r>
      <w:r>
        <w:rPr>
          <w:noProof/>
        </w:rPr>
        <w:t>a. Ensinnäkin yksinkertaistetaan uusiutuvan energian tuotantoa ja sähköverkkoinfrastruktuuria koskevia lupamenettelyjä ja toiseksi virtaviivaistetaan lupahakemusten käsittelyä. Ensimmäisen tavoitteen osalta uudistus koostuu lainsäädännöstä, jolla yksinkert</w:t>
      </w:r>
      <w:r>
        <w:rPr>
          <w:noProof/>
        </w:rPr>
        <w:t>aistetaan uusiutuvan energian hankkeita ja sähköverkkoinfrastruktuuria koskevia menettelyjä. Tältä osin uudistukseen on sisällyttävä seuraavat osatekijät:</w:t>
      </w:r>
    </w:p>
    <w:p w14:paraId="0DBC13C7" w14:textId="77777777" w:rsidR="000E48CE" w:rsidRDefault="00FF4C4E">
      <w:pPr>
        <w:pStyle w:val="P68B1DB1-ListParagraph7"/>
        <w:numPr>
          <w:ilvl w:val="0"/>
          <w:numId w:val="643"/>
        </w:numPr>
        <w:spacing w:before="120" w:after="120" w:line="240" w:lineRule="auto"/>
        <w:jc w:val="both"/>
        <w:rPr>
          <w:rFonts w:cs="Times New Roman"/>
          <w:noProof/>
        </w:rPr>
      </w:pPr>
      <w:r>
        <w:rPr>
          <w:noProof/>
        </w:rPr>
        <w:t xml:space="preserve">tiettyjä hankeluokkia koskevien menettelyjen yksinkertaistaminen, mukaan lukien ympäristövaikutusten </w:t>
      </w:r>
      <w:r>
        <w:rPr>
          <w:noProof/>
        </w:rPr>
        <w:t>arviointi ja lupamenettely;</w:t>
      </w:r>
    </w:p>
    <w:p w14:paraId="034F66DA" w14:textId="77777777" w:rsidR="000E48CE" w:rsidRDefault="00FF4C4E">
      <w:pPr>
        <w:pStyle w:val="P68B1DB1-ListParagraph7"/>
        <w:numPr>
          <w:ilvl w:val="0"/>
          <w:numId w:val="643"/>
        </w:numPr>
        <w:spacing w:before="120" w:after="120" w:line="240" w:lineRule="auto"/>
        <w:jc w:val="both"/>
        <w:rPr>
          <w:rFonts w:cs="Times New Roman"/>
          <w:noProof/>
        </w:rPr>
      </w:pPr>
      <w:r>
        <w:rPr>
          <w:noProof/>
        </w:rPr>
        <w:t>selkeyttää ja keventää tiettyjen hankkeiden hallinnollista taakkaa siltä osin kuin on kyse uusiutuvien kaasujen syöttämisestä kaasuverkkoon;</w:t>
      </w:r>
    </w:p>
    <w:p w14:paraId="18297D75" w14:textId="77777777" w:rsidR="000E48CE" w:rsidRDefault="00FF4C4E">
      <w:pPr>
        <w:pStyle w:val="P68B1DB1-ListParagraph7"/>
        <w:numPr>
          <w:ilvl w:val="0"/>
          <w:numId w:val="643"/>
        </w:numPr>
        <w:spacing w:before="120" w:after="120" w:line="240" w:lineRule="auto"/>
        <w:jc w:val="both"/>
        <w:rPr>
          <w:rFonts w:cs="Times New Roman"/>
          <w:noProof/>
        </w:rPr>
      </w:pPr>
      <w:r>
        <w:rPr>
          <w:noProof/>
        </w:rPr>
        <w:t>Vahvistetaan määräaika, jonka kuluessa CNMC:n on annettava raportti uusien uusiutuvaa e</w:t>
      </w:r>
      <w:r>
        <w:rPr>
          <w:noProof/>
        </w:rPr>
        <w:t>nergiaa koskevien hankkeiden hyväksymisestä;</w:t>
      </w:r>
    </w:p>
    <w:p w14:paraId="0ABEB731" w14:textId="77777777" w:rsidR="000E48CE" w:rsidRDefault="00FF4C4E">
      <w:pPr>
        <w:pStyle w:val="P68B1DB1-ListParagraph7"/>
        <w:numPr>
          <w:ilvl w:val="0"/>
          <w:numId w:val="643"/>
        </w:numPr>
        <w:spacing w:before="120" w:after="120" w:line="240" w:lineRule="auto"/>
        <w:jc w:val="both"/>
        <w:rPr>
          <w:rFonts w:cs="Times New Roman"/>
          <w:noProof/>
        </w:rPr>
      </w:pPr>
      <w:r>
        <w:rPr>
          <w:noProof/>
        </w:rPr>
        <w:t>Oman kulutuksen käyttöä koskevien rajoitusten poistaminen ja lupamenettelyjen yksinkertaistaminen;</w:t>
      </w:r>
    </w:p>
    <w:p w14:paraId="51869A6E" w14:textId="77777777" w:rsidR="000E48CE" w:rsidRDefault="00FF4C4E">
      <w:pPr>
        <w:pStyle w:val="P68B1DB1-ListParagraph7"/>
        <w:numPr>
          <w:ilvl w:val="0"/>
          <w:numId w:val="643"/>
        </w:numPr>
        <w:spacing w:before="120" w:after="120" w:line="240" w:lineRule="auto"/>
        <w:jc w:val="both"/>
        <w:rPr>
          <w:rFonts w:cs="Times New Roman"/>
          <w:noProof/>
        </w:rPr>
      </w:pPr>
      <w:r>
        <w:rPr>
          <w:noProof/>
        </w:rPr>
        <w:t>Verkkokapasiteetin jakamisen parantaminen.</w:t>
      </w:r>
    </w:p>
    <w:p w14:paraId="33DF60AD" w14:textId="77777777" w:rsidR="000E48CE" w:rsidRDefault="00FF4C4E">
      <w:pPr>
        <w:pStyle w:val="P68B1DB1-Normal4"/>
        <w:spacing w:before="120" w:after="120" w:line="240" w:lineRule="auto"/>
        <w:jc w:val="both"/>
        <w:rPr>
          <w:rFonts w:cs="Times New Roman"/>
          <w:noProof/>
        </w:rPr>
      </w:pPr>
      <w:r>
        <w:rPr>
          <w:noProof/>
        </w:rPr>
        <w:t>Toisen tavoitteen osalta uudistuksessa perustetaan keskushallintoon u</w:t>
      </w:r>
      <w:r>
        <w:rPr>
          <w:noProof/>
        </w:rPr>
        <w:t>usi hallinnollinen yksikkö, joka tukee uusiutuvaa energiaa koskevien hankkeiden lupahakemusten käsittelyä.</w:t>
      </w:r>
    </w:p>
    <w:p w14:paraId="1B8CAA36"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30 päivänä syyskuuta 2023.</w:t>
      </w:r>
    </w:p>
    <w:p w14:paraId="7E6A9987" w14:textId="77777777" w:rsidR="000E48CE" w:rsidRDefault="000E48CE">
      <w:pPr>
        <w:spacing w:before="120" w:after="120" w:line="240" w:lineRule="auto"/>
        <w:jc w:val="both"/>
        <w:rPr>
          <w:rFonts w:ascii="Times New Roman" w:hAnsi="Times New Roman" w:cs="Times New Roman"/>
          <w:noProof/>
          <w:sz w:val="24"/>
        </w:rPr>
      </w:pPr>
    </w:p>
    <w:p w14:paraId="5A90CDEC" w14:textId="77777777" w:rsidR="000E48CE" w:rsidRDefault="00FF4C4E">
      <w:pPr>
        <w:pStyle w:val="P68B1DB1-Text120"/>
        <w:keepNext/>
        <w:keepLines/>
        <w:ind w:left="0"/>
        <w:rPr>
          <w:rFonts w:cs="Times New Roman"/>
          <w:noProof/>
        </w:rPr>
      </w:pPr>
      <w:r>
        <w:rPr>
          <w:noProof/>
        </w:rPr>
        <w:t>Investointi 1 (C31.I1) – Investoinnit, joilla edistetään</w:t>
      </w:r>
      <w:r>
        <w:rPr>
          <w:noProof/>
        </w:rPr>
        <w:t xml:space="preserve"> omaa kulutusta (perustuu uusiutuvaan energiaan ja mittarin takaiseen varastointiin) ja energiayhteisöihin</w:t>
      </w:r>
    </w:p>
    <w:p w14:paraId="0038B692" w14:textId="77777777" w:rsidR="000E48CE" w:rsidRDefault="00FF4C4E">
      <w:pPr>
        <w:pStyle w:val="P68B1DB1-Normal4"/>
        <w:keepNext/>
        <w:keepLines/>
        <w:spacing w:before="120" w:after="120" w:line="240" w:lineRule="auto"/>
        <w:jc w:val="both"/>
        <w:rPr>
          <w:rFonts w:cs="Times New Roman"/>
          <w:noProof/>
        </w:rPr>
      </w:pPr>
      <w:r>
        <w:rPr>
          <w:noProof/>
        </w:rPr>
        <w:t>Tällä investoinnilla laajennetaan toimenpiteitä C7.I1, C7.R3 ja C8.I1. Investoinnin tarkoituksena on edistää itse tuotetun kulutuksen sovelluksia, mi</w:t>
      </w:r>
      <w:r>
        <w:rPr>
          <w:noProof/>
        </w:rPr>
        <w:t>ttarin takana olevaa varastointia ja energiayhteisöjä. Investoinnilla on tuettava seuraavia:</w:t>
      </w:r>
    </w:p>
    <w:p w14:paraId="1AC0BEBB" w14:textId="77777777" w:rsidR="000E48CE" w:rsidRDefault="00FF4C4E">
      <w:pPr>
        <w:pStyle w:val="P68B1DB1-ListParagraph7"/>
        <w:numPr>
          <w:ilvl w:val="0"/>
          <w:numId w:val="640"/>
        </w:numPr>
        <w:spacing w:before="120" w:after="120" w:line="240" w:lineRule="auto"/>
        <w:jc w:val="both"/>
        <w:rPr>
          <w:rFonts w:cs="Times New Roman"/>
          <w:noProof/>
        </w:rPr>
      </w:pPr>
      <w:r>
        <w:rPr>
          <w:noProof/>
        </w:rPr>
        <w:t>itse tuotetun kulutuksen sovellukset, jotka on integroitu rakennuksiin tai tuotantoprosesseihin ja jotka perustuvat uusiutuvaan energiaan liittyviin teknologioihin</w:t>
      </w:r>
      <w:r>
        <w:rPr>
          <w:noProof/>
        </w:rPr>
        <w:t xml:space="preserve"> tai mittarin takaisiin varastointiratkaisuihin; ja</w:t>
      </w:r>
    </w:p>
    <w:p w14:paraId="6F61CE8B" w14:textId="680CDCD0" w:rsidR="000E48CE" w:rsidRDefault="00FF4C4E">
      <w:pPr>
        <w:pStyle w:val="P68B1DB1-ListParagraph7"/>
        <w:numPr>
          <w:ilvl w:val="0"/>
          <w:numId w:val="640"/>
        </w:numPr>
        <w:spacing w:before="120" w:after="120" w:line="240" w:lineRule="auto"/>
        <w:jc w:val="both"/>
        <w:rPr>
          <w:rFonts w:cs="Times New Roman"/>
          <w:noProof/>
        </w:rPr>
      </w:pPr>
      <w:r>
        <w:rPr>
          <w:noProof/>
        </w:rPr>
        <w:t xml:space="preserve">aloitteet, joita energiayhteisöt toteuttavat joko asentamalla uusiutuvaa energiaa tai energiatehokkuutta koskevia ratkaisuja tai toteuttamalla osallistavia ja yhteisöllisiä rakennusprosesseja. </w:t>
      </w:r>
    </w:p>
    <w:p w14:paraId="163DA515" w14:textId="0441C799" w:rsidR="000E48CE" w:rsidRDefault="00FF4C4E">
      <w:pPr>
        <w:pStyle w:val="P68B1DB1-Normal4"/>
        <w:spacing w:before="120" w:after="120" w:line="240" w:lineRule="auto"/>
        <w:jc w:val="both"/>
        <w:rPr>
          <w:rFonts w:cs="Times New Roman"/>
          <w:noProof/>
        </w:rPr>
      </w:pPr>
      <w:r>
        <w:rPr>
          <w:noProof/>
        </w:rPr>
        <w:t>C7.I1, C7.</w:t>
      </w:r>
      <w:r>
        <w:rPr>
          <w:noProof/>
        </w:rPr>
        <w:t>R3 ja C8.I1 mukaisilla oikeudellisilla välineillä voidaan edistää tämän toimenpiteen täytäntöönpanoa, kunhan ne eivät aiheuta päällekkäistä rahoitusta.</w:t>
      </w:r>
    </w:p>
    <w:p w14:paraId="55F2D066" w14:textId="77777777" w:rsidR="000E48CE" w:rsidRDefault="00FF4C4E">
      <w:pPr>
        <w:pStyle w:val="P68B1DB1-Normal4"/>
        <w:spacing w:before="120" w:after="120" w:line="240" w:lineRule="auto"/>
        <w:jc w:val="both"/>
        <w:rPr>
          <w:rFonts w:cs="Times New Roman"/>
          <w:noProof/>
        </w:rPr>
      </w:pPr>
      <w:r>
        <w:rPr>
          <w:noProof/>
        </w:rPr>
        <w:t>Toimenpiteen täytäntöönpano on saatettava päätökseen viimeistään 31 päivänä elokuuta 2026.</w:t>
      </w:r>
    </w:p>
    <w:p w14:paraId="5F31B49E" w14:textId="5899E68B" w:rsidR="000E48CE" w:rsidRDefault="00FF4C4E">
      <w:pPr>
        <w:pStyle w:val="P68B1DB1-Text120"/>
        <w:ind w:left="0"/>
        <w:rPr>
          <w:rFonts w:cs="Times New Roman"/>
          <w:noProof/>
        </w:rPr>
      </w:pPr>
      <w:r>
        <w:rPr>
          <w:noProof/>
        </w:rPr>
        <w:t>Investointi 2</w:t>
      </w:r>
      <w:r>
        <w:rPr>
          <w:noProof/>
        </w:rPr>
        <w:t xml:space="preserve"> (C31.I2) – Järjestelmä uusiutuvan vedyn tuotannon ja käyttöönoton tukemiseksi</w:t>
      </w:r>
    </w:p>
    <w:p w14:paraId="1F1B972A" w14:textId="507FFBE4" w:rsidR="000E48CE" w:rsidRDefault="00FF4C4E">
      <w:pPr>
        <w:pStyle w:val="P68B1DB1-Normal4"/>
        <w:spacing w:before="120" w:after="120" w:line="240" w:lineRule="auto"/>
        <w:jc w:val="both"/>
        <w:rPr>
          <w:rFonts w:cs="Times New Roman"/>
          <w:noProof/>
        </w:rPr>
      </w:pPr>
      <w:r>
        <w:rPr>
          <w:noProof/>
        </w:rPr>
        <w:t xml:space="preserve">Tämä toimenpide koostuu julkisesta investoinnista tukijärjestelmään, joka kattaa tuet ja mahdollisesti oman pääoman, myös riskipääoman, jolla tuetaan uusiutuvan vedyn tuotantoa </w:t>
      </w:r>
      <w:r>
        <w:rPr>
          <w:noProof/>
        </w:rPr>
        <w:t>ja käyttöönottoa. Järjestelmä toimii tarjoamalla taloudellisia kannustimia myöntämällä avustuksia tai pääomasijoituksia, riskipääoma mukaan lukien, yksityiselle sektorille sekä vastaavaa toimintaa harjoittaville julkisyhteisöille ja julkisoikeudellisille l</w:t>
      </w:r>
      <w:r>
        <w:rPr>
          <w:noProof/>
        </w:rPr>
        <w:t>aitoksille. Elpymis- ja palautumistukivälineen investointien perusteella tukijärjestelmän tarkoituksena on aluksi tarjota rahoitusta vähintään 1600000000 euroa. Ohjelmaa hallinnoi toteutuskumppanina ”Instituto de Diversificación y Ahorro de la Energía” (ID</w:t>
      </w:r>
      <w:r>
        <w:rPr>
          <w:noProof/>
        </w:rPr>
        <w:t xml:space="preserve">AE). </w:t>
      </w:r>
    </w:p>
    <w:p w14:paraId="0082D6BE" w14:textId="60D50E3F" w:rsidR="000E48CE" w:rsidRDefault="00FF4C4E">
      <w:pPr>
        <w:pStyle w:val="P68B1DB1-Normal4"/>
        <w:spacing w:before="120" w:after="120" w:line="240" w:lineRule="auto"/>
        <w:jc w:val="both"/>
        <w:rPr>
          <w:rFonts w:cs="Times New Roman"/>
          <w:noProof/>
        </w:rPr>
      </w:pPr>
      <w:r>
        <w:rPr>
          <w:noProof/>
        </w:rPr>
        <w:t>Ohjelmaan tehtävän investoinnin toteuttamiseksi Espanjan on hyväksyttävä yksi tai useampi oikeudellinen väline (pääomasijoitusten tapauksessa tämä väline olisi investointipolitiikka, joka IDAE:n on hyväksyttävä) ja jolla perustetaan järjestelmä, joho</w:t>
      </w:r>
      <w:r>
        <w:rPr>
          <w:noProof/>
        </w:rPr>
        <w:t>n sisältyvät seuraavat osatekijät:</w:t>
      </w:r>
    </w:p>
    <w:p w14:paraId="3674D825" w14:textId="49FE8BE6" w:rsidR="000E48CE" w:rsidRDefault="00FF4C4E">
      <w:pPr>
        <w:pStyle w:val="P68B1DB1-ListParagraph7"/>
        <w:numPr>
          <w:ilvl w:val="0"/>
          <w:numId w:val="685"/>
        </w:numPr>
        <w:spacing w:before="120" w:after="120" w:line="240" w:lineRule="auto"/>
        <w:jc w:val="both"/>
        <w:rPr>
          <w:rFonts w:cs="Times New Roman"/>
          <w:noProof/>
        </w:rPr>
      </w:pPr>
      <w:r>
        <w:rPr>
          <w:noProof/>
        </w:rPr>
        <w:t>Luettelo tukikelpoisista toimista, joiden on oltava vähintään yksi seuraavista:</w:t>
      </w:r>
    </w:p>
    <w:p w14:paraId="54DDDFA0" w14:textId="6A879C26" w:rsidR="000E48CE" w:rsidRDefault="00FF4C4E">
      <w:pPr>
        <w:pStyle w:val="P68B1DB1-ListParagraph7"/>
        <w:numPr>
          <w:ilvl w:val="1"/>
          <w:numId w:val="685"/>
        </w:numPr>
        <w:spacing w:before="120" w:after="120" w:line="240" w:lineRule="auto"/>
        <w:jc w:val="both"/>
        <w:rPr>
          <w:rFonts w:cs="Times New Roman"/>
          <w:noProof/>
        </w:rPr>
      </w:pPr>
      <w:r>
        <w:rPr>
          <w:noProof/>
        </w:rPr>
        <w:t>Innovoinnin tukeminen uusiutuvan vedyn arvoketjussa ja tietopohjassa: tähän lohkoon voi sisältyä tutkimusta ja kehittämistä, teknologian siir</w:t>
      </w:r>
      <w:r>
        <w:rPr>
          <w:noProof/>
        </w:rPr>
        <w:t>toa sekä valmistus- ja testausjärjestelmiä ja -komponentteja.</w:t>
      </w:r>
    </w:p>
    <w:p w14:paraId="5ED8DAA2" w14:textId="77777777" w:rsidR="000E48CE" w:rsidRDefault="00FF4C4E">
      <w:pPr>
        <w:pStyle w:val="P68B1DB1-ListParagraph7"/>
        <w:numPr>
          <w:ilvl w:val="1"/>
          <w:numId w:val="685"/>
        </w:numPr>
        <w:spacing w:before="120" w:after="120" w:line="240" w:lineRule="auto"/>
        <w:jc w:val="both"/>
        <w:rPr>
          <w:rFonts w:cs="Times New Roman"/>
          <w:noProof/>
        </w:rPr>
      </w:pPr>
      <w:r>
        <w:rPr>
          <w:noProof/>
        </w:rPr>
        <w:t>Perustetaan uusiutuvan vedyn klustereita, jotka integroisivat tuotannon, jalostuksen ja kulutuksen laajamittaisesti.</w:t>
      </w:r>
    </w:p>
    <w:p w14:paraId="40486D11" w14:textId="77777777" w:rsidR="000E48CE" w:rsidRDefault="00FF4C4E">
      <w:pPr>
        <w:pStyle w:val="P68B1DB1-ListParagraph7"/>
        <w:numPr>
          <w:ilvl w:val="1"/>
          <w:numId w:val="685"/>
        </w:numPr>
        <w:spacing w:before="120" w:after="120" w:line="240" w:lineRule="auto"/>
        <w:jc w:val="both"/>
        <w:rPr>
          <w:rFonts w:cs="Times New Roman"/>
          <w:noProof/>
        </w:rPr>
      </w:pPr>
      <w:r>
        <w:rPr>
          <w:noProof/>
        </w:rPr>
        <w:t>Kehitetään uraauurtavia hankkeita, jotka mahdollistaisivat uusiutuvan vedyn k</w:t>
      </w:r>
      <w:r>
        <w:rPr>
          <w:noProof/>
        </w:rPr>
        <w:t>äyttöönoton pienemmässä mittakaavassa eri aloilla, kuten teollisuudessa, sähköntuotannossa, lämpökäytössä ja liikenteessä.</w:t>
      </w:r>
    </w:p>
    <w:p w14:paraId="358CF473" w14:textId="54D8E812" w:rsidR="000E48CE" w:rsidRDefault="00FF4C4E">
      <w:pPr>
        <w:pStyle w:val="P68B1DB1-ListParagraph7"/>
        <w:numPr>
          <w:ilvl w:val="1"/>
          <w:numId w:val="685"/>
        </w:numPr>
        <w:spacing w:before="120" w:after="120" w:line="240" w:lineRule="auto"/>
        <w:jc w:val="both"/>
        <w:rPr>
          <w:rFonts w:cs="Times New Roman"/>
          <w:noProof/>
        </w:rPr>
      </w:pPr>
      <w:r>
        <w:rPr>
          <w:noProof/>
        </w:rPr>
        <w:t>Tuetaan Espanjan uusiutuvan vedyn järjestelmän integrointia eurooppalaiseen järjestelmään, esimerkiksi tukemalla yrityksiä eurooppala</w:t>
      </w:r>
      <w:r>
        <w:rPr>
          <w:noProof/>
        </w:rPr>
        <w:t>isissa hankkeissa, kuten IPCEI-aloitteissa. Näiden IPCEI-aloitteiden tuloksena toteutettavien hankkeiden on oltava edellä mainittujen kolmen tukikelpoisen toimen (arvoketju, klusterit, uraauurtavat hankkeet) mukaisia.</w:t>
      </w:r>
    </w:p>
    <w:p w14:paraId="7B8AC05B" w14:textId="77777777" w:rsidR="000E48CE" w:rsidRDefault="000E48CE">
      <w:pPr>
        <w:pStyle w:val="ListParagraph"/>
        <w:spacing w:before="120" w:after="120" w:line="240" w:lineRule="auto"/>
        <w:ind w:left="1440"/>
        <w:jc w:val="both"/>
        <w:rPr>
          <w:rFonts w:ascii="Times New Roman" w:hAnsi="Times New Roman" w:cs="Times New Roman"/>
          <w:noProof/>
          <w:sz w:val="24"/>
        </w:rPr>
      </w:pPr>
    </w:p>
    <w:p w14:paraId="1502686F" w14:textId="04352246" w:rsidR="000E48CE" w:rsidRDefault="00FF4C4E">
      <w:pPr>
        <w:pStyle w:val="P68B1DB1-ListParagraph7"/>
        <w:numPr>
          <w:ilvl w:val="0"/>
          <w:numId w:val="685"/>
        </w:numPr>
        <w:spacing w:before="120" w:after="120" w:line="240" w:lineRule="auto"/>
        <w:jc w:val="both"/>
        <w:rPr>
          <w:rFonts w:cs="Times New Roman"/>
          <w:noProof/>
        </w:rPr>
      </w:pPr>
      <w:r>
        <w:rPr>
          <w:noProof/>
        </w:rPr>
        <w:t>Kuvaus järjestelmän päätöksentekoprosessista: Hakemusten arvioinnin ja lopullisiin myöntämispäätöksiin tai investointipäätöksiin sisällytettävien tuensaajien valinnan tekee investointikomitea tai tekninen arviointikomitea, ja ne hyväksytään äänten enemmist</w:t>
      </w:r>
      <w:r>
        <w:rPr>
          <w:noProof/>
        </w:rPr>
        <w:t>öllä hallituksesta riippumattomilta jäseniltä, mikä tarkoittaa, että heidän on oltava joko IDAE:n palveluksessa olevaa henkilöstöä ja/tai muita riippumattomia asiantuntijoita. Järjestelmän mukaiset lopulliset myöntämispäätökset tai investointipäätökset raj</w:t>
      </w:r>
      <w:r>
        <w:rPr>
          <w:noProof/>
        </w:rPr>
        <w:t>oitetaan investointikomitean tai vastaavan hallintoelimen ehdottamien myöntämis- tai investointipäätösten hyväksymiseen (muutoksitta) tai veto-oikeuden käyttämiseen. Jos IDAE osallistuu johonkin hakijoista ja tämän ehdotuspyynnön talousarvio ei riitä katta</w:t>
      </w:r>
      <w:r>
        <w:rPr>
          <w:noProof/>
        </w:rPr>
        <w:t xml:space="preserve">maan kaikkia vastaanotettuja hakemuksia, arviointiprosessi tarkastetaan ulkoisesti IDAE:n ”Plan de Mitigación de potenciales Conflictos de Interés en Sociedades Participadas” mukaisesti. </w:t>
      </w:r>
    </w:p>
    <w:p w14:paraId="186D2A17" w14:textId="77777777" w:rsidR="000E48CE" w:rsidRDefault="000E48CE">
      <w:pPr>
        <w:pStyle w:val="ListParagraph"/>
        <w:spacing w:before="120" w:after="120" w:line="240" w:lineRule="auto"/>
        <w:jc w:val="both"/>
        <w:rPr>
          <w:rFonts w:ascii="Times New Roman" w:hAnsi="Times New Roman" w:cs="Times New Roman"/>
          <w:noProof/>
          <w:sz w:val="24"/>
        </w:rPr>
      </w:pPr>
    </w:p>
    <w:p w14:paraId="2EF47DF0" w14:textId="3FE0D6B7" w:rsidR="000E48CE" w:rsidRDefault="00FF4C4E">
      <w:pPr>
        <w:pStyle w:val="P68B1DB1-ListParagraph7"/>
        <w:numPr>
          <w:ilvl w:val="0"/>
          <w:numId w:val="685"/>
        </w:numPr>
        <w:spacing w:before="120" w:after="120" w:line="240" w:lineRule="auto"/>
        <w:jc w:val="both"/>
        <w:rPr>
          <w:rFonts w:cs="Times New Roman"/>
          <w:noProof/>
          <w:sz w:val="28"/>
        </w:rPr>
      </w:pPr>
      <w:r>
        <w:rPr>
          <w:noProof/>
        </w:rPr>
        <w:t>Vaatimus noudattaa elpymis- ja palautumistukivälineen ”ei merkittäv</w:t>
      </w:r>
      <w:r>
        <w:rPr>
          <w:noProof/>
        </w:rPr>
        <w:t>ää haittaa” -periaatetta, sellaisena kuin se on esitetty ”ei merkittävää haittaa” -periaatetta koskevissa teknisissä ohjeissa (2021/C58/01). Kun kyseessä on yleinen tuki yrityksille (pääoma- ja riskipääomatuki mukaan lukien), oikeudelliset välineet sulkeva</w:t>
      </w:r>
      <w:r>
        <w:rPr>
          <w:noProof/>
        </w:rPr>
        <w:t>t pois yritykset,</w:t>
      </w:r>
      <w:r>
        <w:rPr>
          <w:noProof/>
        </w:rPr>
        <w:footnoteReference w:id="214"/>
      </w:r>
      <w:r>
        <w:rPr>
          <w:noProof/>
        </w:rPr>
        <w:t xml:space="preserve"> jotka keskittyvät erityisesti seuraaviin aloihin: fossiilisiin polttoaineisiin perustuva energiantuotanto ja siihen liittyvä toiminta</w:t>
      </w:r>
      <w:r>
        <w:rPr>
          <w:noProof/>
        </w:rPr>
        <w:footnoteReference w:id="215"/>
      </w:r>
      <w:r>
        <w:rPr>
          <w:noProof/>
        </w:rPr>
        <w:t>; energiaintensiiviset ja/tai paljon hiilidioksidipäästöjä aiheuttavat teollisuudenalat</w:t>
      </w:r>
      <w:r>
        <w:rPr>
          <w:noProof/>
        </w:rPr>
        <w:footnoteReference w:id="216"/>
      </w:r>
      <w:r>
        <w:rPr>
          <w:noProof/>
        </w:rPr>
        <w:t>; saastuttavien</w:t>
      </w:r>
      <w:r>
        <w:rPr>
          <w:noProof/>
        </w:rPr>
        <w:t xml:space="preserve"> ajoneuvojen tuotanto, vuokraus tai myynti</w:t>
      </w:r>
      <w:r>
        <w:rPr>
          <w:noProof/>
        </w:rPr>
        <w:footnoteReference w:id="217"/>
      </w:r>
      <w:r>
        <w:rPr>
          <w:noProof/>
        </w:rPr>
        <w:t>; jätteiden keruu, käsittely ja loppusijoitus</w:t>
      </w:r>
      <w:r>
        <w:rPr>
          <w:noProof/>
        </w:rPr>
        <w:footnoteReference w:id="218"/>
      </w:r>
      <w:r>
        <w:rPr>
          <w:noProof/>
        </w:rPr>
        <w:t xml:space="preserve">, v) ydinpolttoaineen käsittely ja ydinenergian tuotanto. Lisäksi oikeudellisissa välineissä on edellytettävä tukijärjestelmien lopullisten tuensaajien asiaankuuluvan </w:t>
      </w:r>
      <w:r>
        <w:rPr>
          <w:noProof/>
        </w:rPr>
        <w:t>EU:n ja kansallisen ympäristölainsäädännön noudattamista.</w:t>
      </w:r>
    </w:p>
    <w:p w14:paraId="749021E6" w14:textId="77777777" w:rsidR="000E48CE" w:rsidRDefault="000E48CE">
      <w:pPr>
        <w:pStyle w:val="ListParagraph"/>
        <w:rPr>
          <w:rFonts w:ascii="Times New Roman" w:hAnsi="Times New Roman" w:cs="Times New Roman"/>
          <w:noProof/>
          <w:sz w:val="24"/>
        </w:rPr>
      </w:pPr>
    </w:p>
    <w:p w14:paraId="587159DB" w14:textId="77777777" w:rsidR="000E48CE" w:rsidRDefault="00FF4C4E">
      <w:pPr>
        <w:pStyle w:val="P68B1DB1-ListParagraph7"/>
        <w:numPr>
          <w:ilvl w:val="0"/>
          <w:numId w:val="685"/>
        </w:numPr>
        <w:rPr>
          <w:rFonts w:cs="Times New Roman"/>
          <w:noProof/>
        </w:rPr>
      </w:pPr>
      <w:r>
        <w:rPr>
          <w:noProof/>
        </w:rPr>
        <w:t>Vaatimus, jonka mukaan lainajärjestelyn lopulliset edunsaajat eivät saa tukea muista unionin välineistä samojen kustannusten kattamiseksi.</w:t>
      </w:r>
    </w:p>
    <w:p w14:paraId="437F1A94" w14:textId="77777777" w:rsidR="000E48CE" w:rsidRDefault="000E48CE">
      <w:pPr>
        <w:pStyle w:val="ListParagraph"/>
        <w:rPr>
          <w:rFonts w:ascii="Times New Roman" w:hAnsi="Times New Roman" w:cs="Times New Roman"/>
          <w:noProof/>
          <w:sz w:val="24"/>
        </w:rPr>
      </w:pPr>
    </w:p>
    <w:p w14:paraId="3D2CCAAB" w14:textId="057099D2" w:rsidR="000E48CE" w:rsidRDefault="00FF4C4E">
      <w:pPr>
        <w:pStyle w:val="P68B1DB1-ListParagraph7"/>
        <w:numPr>
          <w:ilvl w:val="0"/>
          <w:numId w:val="685"/>
        </w:numPr>
        <w:jc w:val="both"/>
        <w:rPr>
          <w:rFonts w:cs="Times New Roman"/>
          <w:noProof/>
        </w:rPr>
      </w:pPr>
      <w:r>
        <w:rPr>
          <w:noProof/>
        </w:rPr>
        <w:t>Järjestelmän kattama määrä ja vaatimus, jonka mukaan järj</w:t>
      </w:r>
      <w:r>
        <w:rPr>
          <w:noProof/>
        </w:rPr>
        <w:t>estelmästä mahdollisesti saatavat käyttämättömät tulot on investoitava uudelleen edellä lueteltuihin toimintoihin, myös vuoden 2026 jälkeen.</w:t>
      </w:r>
    </w:p>
    <w:p w14:paraId="3595B9C6" w14:textId="77777777" w:rsidR="000E48CE" w:rsidRDefault="000E48CE">
      <w:pPr>
        <w:pStyle w:val="ListParagraph"/>
        <w:rPr>
          <w:rFonts w:ascii="Times New Roman" w:hAnsi="Times New Roman" w:cs="Times New Roman"/>
          <w:noProof/>
          <w:sz w:val="24"/>
        </w:rPr>
      </w:pPr>
    </w:p>
    <w:p w14:paraId="3ABE6782" w14:textId="62DAE74C" w:rsidR="000E48CE" w:rsidRDefault="00FF4C4E">
      <w:pPr>
        <w:pStyle w:val="ListParagraph"/>
        <w:numPr>
          <w:ilvl w:val="0"/>
          <w:numId w:val="685"/>
        </w:numPr>
        <w:jc w:val="both"/>
        <w:rPr>
          <w:rFonts w:ascii="Times New Roman" w:hAnsi="Times New Roman" w:cs="Times New Roman"/>
          <w:noProof/>
          <w:sz w:val="24"/>
        </w:rPr>
      </w:pPr>
      <w:r>
        <w:rPr>
          <w:rFonts w:ascii="Times New Roman" w:hAnsi="Times New Roman"/>
          <w:noProof/>
          <w:sz w:val="24"/>
        </w:rPr>
        <w:t>Tukijärjestelmään liittyviä ilmastoinvestointeja koskevat raportointivaatimukset</w:t>
      </w:r>
      <w:r>
        <w:rPr>
          <w:rStyle w:val="FootnoteReference"/>
          <w:rFonts w:ascii="Times New Roman" w:hAnsi="Times New Roman" w:cs="Times New Roman"/>
          <w:noProof/>
          <w:sz w:val="24"/>
        </w:rPr>
        <w:footnoteReference w:id="219"/>
      </w:r>
      <w:r>
        <w:rPr>
          <w:rFonts w:ascii="Times New Roman" w:hAnsi="Times New Roman"/>
          <w:noProof/>
          <w:sz w:val="24"/>
        </w:rPr>
        <w:t>.</w:t>
      </w:r>
    </w:p>
    <w:p w14:paraId="653F2BC5" w14:textId="650A1E78" w:rsidR="000E48CE" w:rsidRDefault="000E48CE">
      <w:pPr>
        <w:pStyle w:val="ListParagraph"/>
        <w:rPr>
          <w:rFonts w:ascii="Times New Roman" w:hAnsi="Times New Roman" w:cs="Times New Roman"/>
          <w:noProof/>
          <w:sz w:val="24"/>
        </w:rPr>
      </w:pPr>
    </w:p>
    <w:p w14:paraId="677D9A98" w14:textId="4CBC5F6F" w:rsidR="000E48CE" w:rsidRDefault="00FF4C4E">
      <w:pPr>
        <w:pStyle w:val="P68B1DB1-ListParagraph7"/>
        <w:numPr>
          <w:ilvl w:val="0"/>
          <w:numId w:val="685"/>
        </w:numPr>
        <w:spacing w:before="120" w:after="120" w:line="240" w:lineRule="auto"/>
        <w:jc w:val="both"/>
        <w:rPr>
          <w:rFonts w:cs="Times New Roman"/>
          <w:noProof/>
        </w:rPr>
      </w:pPr>
      <w:r>
        <w:rPr>
          <w:noProof/>
        </w:rPr>
        <w:t xml:space="preserve">Oman pääoman ehtoisten </w:t>
      </w:r>
      <w:r>
        <w:rPr>
          <w:noProof/>
        </w:rPr>
        <w:t>sijoitusten, myös riskipääoman, osalta sijoituspolitiikan keskeisiin vaatimuksiin, jotka koskevat mahdollista varojen myöntämistä oman pääoman ehtoisille sijoituksille, riskipääoma mukaan lukien, on sisällyttävä seuraavat:</w:t>
      </w:r>
    </w:p>
    <w:p w14:paraId="247597BE" w14:textId="70F6C82D" w:rsidR="000E48CE" w:rsidRDefault="00FF4C4E">
      <w:pPr>
        <w:pStyle w:val="P68B1DB1-ListParagraph7"/>
        <w:numPr>
          <w:ilvl w:val="0"/>
          <w:numId w:val="710"/>
        </w:numPr>
        <w:spacing w:before="120" w:after="120" w:line="240" w:lineRule="auto"/>
        <w:jc w:val="both"/>
        <w:rPr>
          <w:rFonts w:cs="Times New Roman"/>
          <w:noProof/>
        </w:rPr>
      </w:pPr>
      <w:r>
        <w:rPr>
          <w:noProof/>
        </w:rPr>
        <w:t>Kuvaus rahoitustuotteita koskevis</w:t>
      </w:r>
      <w:r>
        <w:rPr>
          <w:noProof/>
        </w:rPr>
        <w:t>ta budjettikohdista ja tukikelpoisista lopullisista edunsaajista</w:t>
      </w:r>
    </w:p>
    <w:p w14:paraId="3314A103" w14:textId="365AC497" w:rsidR="000E48CE" w:rsidRDefault="00FF4C4E">
      <w:pPr>
        <w:pStyle w:val="P68B1DB1-ListParagraph7"/>
        <w:numPr>
          <w:ilvl w:val="0"/>
          <w:numId w:val="710"/>
        </w:numPr>
        <w:spacing w:before="120" w:after="120" w:line="240" w:lineRule="auto"/>
        <w:jc w:val="both"/>
        <w:rPr>
          <w:rFonts w:cs="Times New Roman"/>
          <w:noProof/>
        </w:rPr>
      </w:pPr>
      <w:r>
        <w:rPr>
          <w:noProof/>
        </w:rPr>
        <w:t>Kaikkien tuettujen investointien on oltava taloudellisesti kannattavia.</w:t>
      </w:r>
    </w:p>
    <w:p w14:paraId="1B5B1E05" w14:textId="77777777" w:rsidR="000E48CE" w:rsidRDefault="000E48CE">
      <w:pPr>
        <w:pStyle w:val="ListParagraph"/>
        <w:rPr>
          <w:rFonts w:ascii="Times New Roman" w:hAnsi="Times New Roman" w:cs="Times New Roman"/>
          <w:noProof/>
          <w:sz w:val="24"/>
        </w:rPr>
      </w:pPr>
    </w:p>
    <w:p w14:paraId="4D08A146" w14:textId="259E26FD" w:rsidR="000E48CE" w:rsidRDefault="00FF4C4E">
      <w:pPr>
        <w:pStyle w:val="P68B1DB1-ListParagraph7"/>
        <w:numPr>
          <w:ilvl w:val="0"/>
          <w:numId w:val="685"/>
        </w:numPr>
        <w:spacing w:before="120" w:after="120" w:line="240" w:lineRule="auto"/>
        <w:jc w:val="both"/>
        <w:rPr>
          <w:rFonts w:cs="Times New Roman"/>
          <w:noProof/>
        </w:rPr>
      </w:pPr>
      <w:r>
        <w:rPr>
          <w:noProof/>
        </w:rPr>
        <w:t>Pääomasijoitusten, myös riskipääoman, osalta seuraavat seuranta-, tarkastus- ja valvontavaatimukset:</w:t>
      </w:r>
    </w:p>
    <w:p w14:paraId="0FEDB7AD" w14:textId="1A85DC8A" w:rsidR="000E48CE" w:rsidRDefault="00FF4C4E">
      <w:pPr>
        <w:pStyle w:val="P68B1DB1-ListParagraph7"/>
        <w:numPr>
          <w:ilvl w:val="0"/>
          <w:numId w:val="706"/>
        </w:numPr>
        <w:rPr>
          <w:rFonts w:cs="Times New Roman"/>
          <w:noProof/>
        </w:rPr>
      </w:pPr>
      <w:r>
        <w:rPr>
          <w:noProof/>
        </w:rPr>
        <w:t>Kuvaus IDAE:n seu</w:t>
      </w:r>
      <w:r>
        <w:rPr>
          <w:noProof/>
        </w:rPr>
        <w:t>rantajärjestelmästä, jolla raportoidaan liikkeelle saaduista investoinneista.</w:t>
      </w:r>
    </w:p>
    <w:p w14:paraId="2DAC249E" w14:textId="1C6A607E" w:rsidR="000E48CE" w:rsidRDefault="00FF4C4E">
      <w:pPr>
        <w:pStyle w:val="P68B1DB1-ListParagraph7"/>
        <w:numPr>
          <w:ilvl w:val="0"/>
          <w:numId w:val="706"/>
        </w:numPr>
        <w:spacing w:before="120" w:after="120" w:line="240" w:lineRule="auto"/>
        <w:jc w:val="both"/>
        <w:rPr>
          <w:rFonts w:cs="Times New Roman"/>
          <w:noProof/>
        </w:rPr>
      </w:pPr>
      <w:r>
        <w:rPr>
          <w:noProof/>
        </w:rPr>
        <w:t xml:space="preserve">Kuvaus IDAE:n menettelyistä, joilla varmistetaan petosten, lahjonnan ja eturistiriitojen ehkäiseminen, havaitseminen ja korjaaminen. </w:t>
      </w:r>
    </w:p>
    <w:p w14:paraId="3EA93286" w14:textId="046A78D2" w:rsidR="000E48CE" w:rsidRDefault="00FF4C4E">
      <w:pPr>
        <w:pStyle w:val="P68B1DB1-ListParagraph7"/>
        <w:numPr>
          <w:ilvl w:val="0"/>
          <w:numId w:val="706"/>
        </w:numPr>
        <w:spacing w:before="120" w:after="120" w:line="240" w:lineRule="auto"/>
        <w:jc w:val="both"/>
        <w:rPr>
          <w:rFonts w:cs="Times New Roman"/>
          <w:noProof/>
        </w:rPr>
      </w:pPr>
      <w:r>
        <w:rPr>
          <w:noProof/>
        </w:rPr>
        <w:t>Velvollisuus tarkistaa jokaisen toimen tukik</w:t>
      </w:r>
      <w:r>
        <w:rPr>
          <w:noProof/>
        </w:rPr>
        <w:t>elpoisuus järjestelmän perustamista koskevassa säädöksessä vahvistettujen vaatimusten mukaisesti ennen kuin se sitoutuu rahoittamaan toimea.</w:t>
      </w:r>
    </w:p>
    <w:p w14:paraId="75DAF728" w14:textId="5D763AEC" w:rsidR="000E48CE" w:rsidRDefault="00FF4C4E">
      <w:pPr>
        <w:pStyle w:val="P68B1DB1-ListParagraph7"/>
        <w:numPr>
          <w:ilvl w:val="0"/>
          <w:numId w:val="706"/>
        </w:numPr>
        <w:spacing w:before="120" w:after="120" w:line="240" w:lineRule="auto"/>
        <w:jc w:val="both"/>
        <w:rPr>
          <w:rFonts w:cs="Times New Roman"/>
          <w:noProof/>
        </w:rPr>
      </w:pPr>
      <w:r>
        <w:rPr>
          <w:noProof/>
        </w:rPr>
        <w:t>Velvollisuus suorittaa riskiperusteisia jälkitarkastuksia IDAE:n tarkastussuunnitelman mukaisesti. Näillä tarkastuk</w:t>
      </w:r>
      <w:r>
        <w:rPr>
          <w:noProof/>
        </w:rPr>
        <w:t>silla on varmistettava i) valvontajärjestelmien tehokkuus, mukaan lukien petosten, lahjonnan ja eturistiriitojen havaitseminen;  ”ei merkittävää haittaa” -periaatteen, valtiontukisääntöjen sekä ilmastotavoitteita ja digitaalisia tavoitteita koskevien vaati</w:t>
      </w:r>
      <w:r>
        <w:rPr>
          <w:noProof/>
        </w:rPr>
        <w:t>musten noudattaminen; ja iii) että noudatetaan vaatimusta, jonka mukaan IDAE:n on todennettava, että lopullinen tuensaaja esittää vastuullisen ilmoituksen sen valvomiseksi, katetaanko samat kustannukset toisesta unionin välineestä. Tarkastuksissa on myös v</w:t>
      </w:r>
      <w:r>
        <w:rPr>
          <w:noProof/>
        </w:rPr>
        <w:t xml:space="preserve">armistettava tapahtumien laillisuus ja se, että järjestelmän perustamista koskevan sovellettavan oikeudellisen välineen tai sovellettavien oikeudellisten välineiden ehtoja noudatetaan. </w:t>
      </w:r>
    </w:p>
    <w:p w14:paraId="3D3DF0B7" w14:textId="77777777" w:rsidR="000E48CE" w:rsidRDefault="00FF4C4E">
      <w:pPr>
        <w:pStyle w:val="P68B1DB1-Normal4"/>
        <w:spacing w:before="120" w:after="120" w:line="240" w:lineRule="auto"/>
        <w:jc w:val="both"/>
        <w:rPr>
          <w:rFonts w:cs="Times New Roman"/>
          <w:noProof/>
        </w:rPr>
      </w:pPr>
      <w:r>
        <w:rPr>
          <w:noProof/>
        </w:rPr>
        <w:t>Investointi on toteutettava viimeistään 31 päivänä elokuuta 2026.</w:t>
      </w:r>
    </w:p>
    <w:p w14:paraId="0C487F77" w14:textId="0EC3D453" w:rsidR="000E48CE" w:rsidRDefault="00FF4C4E">
      <w:pPr>
        <w:pStyle w:val="P68B1DB1-Text120"/>
        <w:ind w:left="0"/>
        <w:rPr>
          <w:rFonts w:cs="Times New Roman"/>
          <w:noProof/>
        </w:rPr>
      </w:pPr>
      <w:r>
        <w:rPr>
          <w:noProof/>
        </w:rPr>
        <w:t>Investointi 3 (C31.I3) – Tukijärjestelmä uusiutuvien energialähteiden arvoketjun ja varastoinnin tukemiseksi</w:t>
      </w:r>
    </w:p>
    <w:p w14:paraId="544EA9AF" w14:textId="6C539A4A" w:rsidR="000E48CE" w:rsidRDefault="00FF4C4E">
      <w:pPr>
        <w:pStyle w:val="P68B1DB1-Normal4"/>
        <w:spacing w:before="120" w:after="120" w:line="240" w:lineRule="auto"/>
        <w:jc w:val="both"/>
        <w:rPr>
          <w:rFonts w:cs="Times New Roman"/>
          <w:noProof/>
        </w:rPr>
      </w:pPr>
      <w:r>
        <w:rPr>
          <w:noProof/>
        </w:rPr>
        <w:t xml:space="preserve">Tämä toimenpide koostuu julkisesta investoinnista tukijärjestelmään, joka kattaa tuet ja mahdollisesti oman pääoman, myös riskipääoman, uusiutuvan </w:t>
      </w:r>
      <w:r>
        <w:rPr>
          <w:noProof/>
        </w:rPr>
        <w:t>energian arvoketjun ja varastoinnin tukemiseksi. Järjestelmä toimii tarjoamalla taloudellisia kannustimia myöntämällä avustuksia tai pääomasijoituksia, riskipääoma mukaan lukien, yksityiselle sektorille sekä vastaavaa toimintaa harjoittaville julkisyhteisö</w:t>
      </w:r>
      <w:r>
        <w:rPr>
          <w:noProof/>
        </w:rPr>
        <w:t>ille ja julkisoikeudellisille laitoksille. Elpymis- ja palautumistukivälineen investointien perusteella tukijärjestelmän tarkoituksena on aluksi tarjota rahoitusta vähintään 1000000000 euroa. Ohjelmaa hallinnoi toteutuskumppanina ”Instituto de Diversificac</w:t>
      </w:r>
      <w:r>
        <w:rPr>
          <w:noProof/>
        </w:rPr>
        <w:t xml:space="preserve">ión y Ahorro de la Energía” (IDAE). </w:t>
      </w:r>
    </w:p>
    <w:p w14:paraId="68D073EA" w14:textId="6C0985BE" w:rsidR="000E48CE" w:rsidRDefault="00FF4C4E">
      <w:pPr>
        <w:pStyle w:val="P68B1DB1-Normal4"/>
        <w:spacing w:before="120" w:after="120" w:line="240" w:lineRule="auto"/>
        <w:jc w:val="both"/>
        <w:rPr>
          <w:rFonts w:cs="Times New Roman"/>
          <w:noProof/>
        </w:rPr>
      </w:pPr>
      <w:r>
        <w:rPr>
          <w:noProof/>
        </w:rPr>
        <w:t>Valtion on investoinnin toteuttamiseksi hyväksyttävä yksi tai useampi oikeudellinen väline (oman pääoman ehtoisten sijoitusten tapauksessa tämä väline olisi investointipolitiikka, joka IDAE:n on hyväksyttävä), jolla per</w:t>
      </w:r>
      <w:r>
        <w:rPr>
          <w:noProof/>
        </w:rPr>
        <w:t>ustetaan järjestelmä, johon sisältyvät seuraavat osatekijät:</w:t>
      </w:r>
    </w:p>
    <w:p w14:paraId="1FFBD3F1" w14:textId="5C7BEB29" w:rsidR="000E48CE" w:rsidRDefault="00FF4C4E">
      <w:pPr>
        <w:pStyle w:val="P68B1DB1-ListParagraph7"/>
        <w:numPr>
          <w:ilvl w:val="0"/>
          <w:numId w:val="707"/>
        </w:numPr>
        <w:spacing w:before="120" w:after="120" w:line="240" w:lineRule="auto"/>
        <w:jc w:val="both"/>
        <w:rPr>
          <w:rFonts w:cs="Times New Roman"/>
          <w:noProof/>
        </w:rPr>
      </w:pPr>
      <w:bookmarkStart w:id="62" w:name="_Hlk145070219"/>
      <w:r>
        <w:rPr>
          <w:noProof/>
        </w:rPr>
        <w:t>Luettelo tukikelpoisista toimista, joiden on oltava vähintään yksi seuraavista: nettopäästöttömään talouteen siirtymisen kannalta merkityksellisten teknologioiden ja komponenttien suunnittelu, va</w:t>
      </w:r>
      <w:r>
        <w:rPr>
          <w:noProof/>
        </w:rPr>
        <w:t>lmistus, varastointi, kierrätys tai tutkimus ja kehittäminen. Esimerkkejä näistä teknologioista tai komponenteista ovat akut, aurinkopaneelit, tuuliturbiinit ja lämpöpumput. Myös näiden teknologioiden valmistuksessa tarvittavien raaka-aineiden talteenottoa</w:t>
      </w:r>
      <w:r>
        <w:rPr>
          <w:noProof/>
        </w:rPr>
        <w:t xml:space="preserve"> voidaan tukea</w:t>
      </w:r>
      <w:bookmarkEnd w:id="62"/>
      <w:r>
        <w:rPr>
          <w:noProof/>
        </w:rPr>
        <w:t>.</w:t>
      </w:r>
    </w:p>
    <w:p w14:paraId="1AFE88AA" w14:textId="77777777" w:rsidR="000E48CE" w:rsidRDefault="000E48CE">
      <w:pPr>
        <w:pStyle w:val="ListParagraph"/>
        <w:spacing w:before="120" w:after="120" w:line="240" w:lineRule="auto"/>
        <w:jc w:val="both"/>
        <w:rPr>
          <w:rFonts w:ascii="Times New Roman" w:hAnsi="Times New Roman" w:cs="Times New Roman"/>
          <w:noProof/>
          <w:sz w:val="24"/>
        </w:rPr>
      </w:pPr>
    </w:p>
    <w:p w14:paraId="31CD9981" w14:textId="4B1A93FC" w:rsidR="000E48CE" w:rsidRDefault="00FF4C4E">
      <w:pPr>
        <w:pStyle w:val="P68B1DB1-ListParagraph7"/>
        <w:numPr>
          <w:ilvl w:val="0"/>
          <w:numId w:val="707"/>
        </w:numPr>
        <w:spacing w:before="120" w:after="120" w:line="240" w:lineRule="auto"/>
        <w:jc w:val="both"/>
        <w:rPr>
          <w:rFonts w:cs="Times New Roman"/>
          <w:noProof/>
        </w:rPr>
      </w:pPr>
      <w:r>
        <w:rPr>
          <w:noProof/>
        </w:rPr>
        <w:t>Kuvaus järjestelmän päätöksentekoprosessista: Hakemusten arvioinnin ja lopullisiin myöntämispäätöksiin tai investointipäätöksiin sisällytettävien tuensaajien valinnan tekee investointikomitea tai tekninen arviointikomitea, ja ne hyväksytää</w:t>
      </w:r>
      <w:r>
        <w:rPr>
          <w:noProof/>
        </w:rPr>
        <w:t>n äänten enemmistöllä hallituksesta riippumattomilta jäseniltä, mikä tarkoittaa, että heidän on oltava joko IDAE:n palveluksessa olevaa henkilöstöä ja/tai muita riippumattomia asiantuntijoita. Tukijärjestelmän mukaiset lopulliset myöntämispäätökset tai inv</w:t>
      </w:r>
      <w:r>
        <w:rPr>
          <w:noProof/>
        </w:rPr>
        <w:t>estointipäätökset rajoitetaan investointikomitean tai vastaavan hallintoelimen ehdottamien myöntämis- tai investointipäätösten hyväksymiseen (muutoksitta) tai veto-oikeuden käyttämiseen. Jos IDAE osallistuu johonkin hakijoista ja tämän ehdotuspyynnön talou</w:t>
      </w:r>
      <w:r>
        <w:rPr>
          <w:noProof/>
        </w:rPr>
        <w:t>sarvio ei riitä kattamaan kaikkia vastaanotettuja hakemuksia, arviointiprosessi tarkastetaan ulkoisesti IDAE:n ”Plan de Mitigación de potenciales Conflictos de Interés en Sociedades Participadas” mukaisesti.</w:t>
      </w:r>
    </w:p>
    <w:p w14:paraId="3786C919" w14:textId="77777777" w:rsidR="000E48CE" w:rsidRDefault="000E48CE">
      <w:pPr>
        <w:pStyle w:val="ListParagraph"/>
        <w:spacing w:before="120" w:after="120" w:line="240" w:lineRule="auto"/>
        <w:jc w:val="both"/>
        <w:rPr>
          <w:rFonts w:ascii="Times New Roman" w:hAnsi="Times New Roman" w:cs="Times New Roman"/>
          <w:noProof/>
          <w:sz w:val="24"/>
        </w:rPr>
      </w:pPr>
    </w:p>
    <w:p w14:paraId="48DD98C0" w14:textId="60DFF60F" w:rsidR="000E48CE" w:rsidRDefault="00FF4C4E">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Vaatimus noudattaa elpymis- ja palautumistukivä</w:t>
      </w:r>
      <w:r>
        <w:rPr>
          <w:rFonts w:ascii="Times New Roman" w:hAnsi="Times New Roman"/>
          <w:noProof/>
          <w:sz w:val="24"/>
        </w:rPr>
        <w:t>lineen ”ei merkittävää haittaa” -periaatetta, sellaisena kuin se on vahvistettu ”ei merkittävää haittaa” -periaatetta koskevissa teknisissä ohjeissa (2021/C58/01). Oikeudellinen väline (oikeudelliset välineet) sulkee pois erityisesti seuraavat toiminnot: f</w:t>
      </w:r>
      <w:r>
        <w:rPr>
          <w:rFonts w:ascii="Times New Roman" w:hAnsi="Times New Roman"/>
          <w:noProof/>
          <w:sz w:val="24"/>
        </w:rPr>
        <w:t>ossiilisiin polttoaineisiin liittyvät toiminnot, mukaan lukien käyttö loppupäässä</w:t>
      </w:r>
      <w:r>
        <w:rPr>
          <w:rStyle w:val="FootnoteReference"/>
          <w:rFonts w:ascii="Times New Roman" w:hAnsi="Times New Roman" w:cs="Times New Roman"/>
          <w:noProof/>
          <w:sz w:val="24"/>
        </w:rPr>
        <w:footnoteReference w:id="220"/>
      </w:r>
      <w:r>
        <w:rPr>
          <w:rFonts w:ascii="Times New Roman" w:hAnsi="Times New Roman"/>
          <w:noProof/>
          <w:sz w:val="24"/>
        </w:rPr>
        <w:t>; II) EU:n päästökauppajärjestelmään kuuluvat toimet, joilla saavutetaan ennustetut kasvihuonekaasupäästöt, jotka eivät alita asiaankuuluvia vertailuarvoja</w:t>
      </w:r>
      <w:r>
        <w:rPr>
          <w:rStyle w:val="FootnoteReference"/>
          <w:rFonts w:ascii="Times New Roman" w:hAnsi="Times New Roman" w:cs="Times New Roman"/>
          <w:noProof/>
          <w:sz w:val="24"/>
        </w:rPr>
        <w:footnoteReference w:id="221"/>
      </w:r>
      <w:r>
        <w:rPr>
          <w:rFonts w:ascii="Times New Roman" w:hAnsi="Times New Roman"/>
          <w:noProof/>
          <w:sz w:val="24"/>
        </w:rPr>
        <w:t>; ja iii) jätteide</w:t>
      </w:r>
      <w:r>
        <w:rPr>
          <w:rFonts w:ascii="Times New Roman" w:hAnsi="Times New Roman"/>
          <w:noProof/>
          <w:sz w:val="24"/>
        </w:rPr>
        <w:t>n kaatopaikkoihin, polttolaitoksiin</w:t>
      </w:r>
      <w:r>
        <w:rPr>
          <w:rStyle w:val="FootnoteReference"/>
          <w:rFonts w:ascii="Times New Roman" w:hAnsi="Times New Roman" w:cs="Times New Roman"/>
          <w:noProof/>
          <w:sz w:val="24"/>
        </w:rPr>
        <w:footnoteReference w:id="222"/>
      </w:r>
      <w:r>
        <w:rPr>
          <w:rFonts w:ascii="Times New Roman" w:hAnsi="Times New Roman"/>
          <w:noProof/>
          <w:sz w:val="24"/>
        </w:rPr>
        <w:t xml:space="preserve"> ja mekaanisiin biologisiin käsittelylaitoksiin liittyvät toimet</w:t>
      </w:r>
      <w:r>
        <w:rPr>
          <w:rStyle w:val="FootnoteReference"/>
          <w:rFonts w:ascii="Times New Roman" w:hAnsi="Times New Roman" w:cs="Times New Roman"/>
          <w:noProof/>
          <w:sz w:val="24"/>
        </w:rPr>
        <w:footnoteReference w:id="223"/>
      </w:r>
      <w:r>
        <w:rPr>
          <w:rFonts w:ascii="Times New Roman" w:hAnsi="Times New Roman"/>
          <w:noProof/>
          <w:sz w:val="24"/>
        </w:rPr>
        <w:t>. Kun kyseessä on yleinen tuki yrityksille (pääoma- ja riskipääomatuki mukaan lukien), oikeudelliset välineet sulkevat pois yritykset,</w:t>
      </w:r>
      <w:r>
        <w:rPr>
          <w:rFonts w:ascii="Times New Roman" w:hAnsi="Times New Roman"/>
          <w:noProof/>
          <w:sz w:val="24"/>
        </w:rPr>
        <w:footnoteReference w:id="224"/>
      </w:r>
      <w:r>
        <w:rPr>
          <w:rFonts w:ascii="Times New Roman" w:hAnsi="Times New Roman"/>
          <w:noProof/>
          <w:sz w:val="24"/>
        </w:rPr>
        <w:t xml:space="preserve"> jotka keskittyvät e</w:t>
      </w:r>
      <w:r>
        <w:rPr>
          <w:rFonts w:ascii="Times New Roman" w:hAnsi="Times New Roman"/>
          <w:noProof/>
          <w:sz w:val="24"/>
        </w:rPr>
        <w:t>rityisesti seuraaviin aloihin: fossiilisiin polttoaineisiin perustuva energiantuotanto ja siihen liittyvä toiminta</w:t>
      </w:r>
      <w:r>
        <w:rPr>
          <w:rFonts w:ascii="Times New Roman" w:hAnsi="Times New Roman"/>
          <w:noProof/>
          <w:sz w:val="24"/>
        </w:rPr>
        <w:footnoteReference w:id="225"/>
      </w:r>
      <w:r>
        <w:rPr>
          <w:rFonts w:ascii="Times New Roman" w:hAnsi="Times New Roman"/>
          <w:noProof/>
          <w:sz w:val="24"/>
        </w:rPr>
        <w:t>; energiaintensiiviset ja/tai paljon hiilidioksidipäästöjä aiheuttavat teollisuudenalat</w:t>
      </w:r>
      <w:r>
        <w:rPr>
          <w:rFonts w:ascii="Times New Roman" w:hAnsi="Times New Roman"/>
          <w:noProof/>
          <w:sz w:val="24"/>
        </w:rPr>
        <w:footnoteReference w:id="226"/>
      </w:r>
      <w:r>
        <w:rPr>
          <w:rFonts w:ascii="Times New Roman" w:hAnsi="Times New Roman"/>
          <w:noProof/>
          <w:sz w:val="24"/>
        </w:rPr>
        <w:t>; saastuttavien ajoneuvojen tuotanto, vuokraus tai my</w:t>
      </w:r>
      <w:r>
        <w:rPr>
          <w:rFonts w:ascii="Times New Roman" w:hAnsi="Times New Roman"/>
          <w:noProof/>
          <w:sz w:val="24"/>
        </w:rPr>
        <w:t>ynti</w:t>
      </w:r>
      <w:r>
        <w:rPr>
          <w:rFonts w:ascii="Times New Roman" w:hAnsi="Times New Roman"/>
          <w:noProof/>
          <w:sz w:val="24"/>
        </w:rPr>
        <w:footnoteReference w:id="227"/>
      </w:r>
      <w:r>
        <w:rPr>
          <w:rFonts w:ascii="Times New Roman" w:hAnsi="Times New Roman"/>
          <w:noProof/>
          <w:sz w:val="24"/>
        </w:rPr>
        <w:t>; jätteiden keruu, käsittely ja loppusijoitus</w:t>
      </w:r>
      <w:r>
        <w:rPr>
          <w:rFonts w:ascii="Times New Roman" w:hAnsi="Times New Roman"/>
          <w:noProof/>
          <w:sz w:val="24"/>
        </w:rPr>
        <w:footnoteReference w:id="228"/>
      </w:r>
      <w:r>
        <w:rPr>
          <w:rFonts w:ascii="Times New Roman" w:hAnsi="Times New Roman"/>
          <w:noProof/>
          <w:sz w:val="24"/>
        </w:rPr>
        <w:t>, v) ydinpolttoaineen käsittely ja ydinenergian tuotanto. Lisäksi oikeudellisissa välineissä on edellytettävä tukijärjestelmien lopullisten tuensaajien asiaankuuluvan EU:n ja kansallisen ympäristölainsäädä</w:t>
      </w:r>
      <w:r>
        <w:rPr>
          <w:rFonts w:ascii="Times New Roman" w:hAnsi="Times New Roman"/>
          <w:noProof/>
          <w:sz w:val="24"/>
        </w:rPr>
        <w:t>nnön noudattamista.</w:t>
      </w:r>
    </w:p>
    <w:p w14:paraId="03F8977B" w14:textId="77777777" w:rsidR="000E48CE" w:rsidRDefault="000E48CE">
      <w:pPr>
        <w:pStyle w:val="ListParagraph"/>
        <w:spacing w:before="120" w:after="120" w:line="240" w:lineRule="auto"/>
        <w:jc w:val="both"/>
        <w:rPr>
          <w:rFonts w:ascii="Times New Roman" w:hAnsi="Times New Roman" w:cs="Times New Roman"/>
          <w:noProof/>
          <w:sz w:val="24"/>
        </w:rPr>
      </w:pPr>
    </w:p>
    <w:p w14:paraId="089313FD" w14:textId="7B198AA4" w:rsidR="000E48CE" w:rsidRDefault="00FF4C4E">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Tukijärjestelmään liittyviä ilmastoinvestointeja koskevat vaatimukset: tukijärjestelmään tehtävistä investoinneista vähintään 902000000 eurolla on edistettävä ilmastonmuutostavoitetta elpymis- ja palautumistukivälinettä koskevan asetuk</w:t>
      </w:r>
      <w:r>
        <w:rPr>
          <w:rFonts w:ascii="Times New Roman" w:hAnsi="Times New Roman"/>
          <w:noProof/>
          <w:sz w:val="24"/>
        </w:rPr>
        <w:t>sen liitteen VI mukaisesti.</w:t>
      </w:r>
      <w:r>
        <w:rPr>
          <w:rStyle w:val="FootnoteReference"/>
          <w:rFonts w:ascii="Times New Roman" w:hAnsi="Times New Roman" w:cs="Times New Roman"/>
          <w:noProof/>
          <w:sz w:val="24"/>
        </w:rPr>
        <w:footnoteReference w:id="229"/>
      </w:r>
      <w:r>
        <w:rPr>
          <w:rFonts w:ascii="Times New Roman" w:hAnsi="Times New Roman"/>
          <w:noProof/>
          <w:sz w:val="24"/>
        </w:rPr>
        <w:t xml:space="preserve"> </w:t>
      </w:r>
    </w:p>
    <w:p w14:paraId="7839E154" w14:textId="77777777" w:rsidR="000E48CE" w:rsidRDefault="000E48CE">
      <w:pPr>
        <w:pStyle w:val="ListParagraph"/>
        <w:spacing w:before="120" w:after="120" w:line="240" w:lineRule="auto"/>
        <w:jc w:val="both"/>
        <w:rPr>
          <w:rFonts w:ascii="Times New Roman" w:hAnsi="Times New Roman" w:cs="Times New Roman"/>
          <w:noProof/>
          <w:sz w:val="24"/>
        </w:rPr>
      </w:pPr>
    </w:p>
    <w:p w14:paraId="5F863CB7" w14:textId="77777777" w:rsidR="000E48CE" w:rsidRDefault="00FF4C4E">
      <w:pPr>
        <w:pStyle w:val="P68B1DB1-ListParagraph7"/>
        <w:numPr>
          <w:ilvl w:val="0"/>
          <w:numId w:val="711"/>
        </w:numPr>
        <w:spacing w:before="120" w:after="120" w:line="240" w:lineRule="auto"/>
        <w:jc w:val="both"/>
        <w:rPr>
          <w:rFonts w:cs="Times New Roman"/>
          <w:noProof/>
        </w:rPr>
      </w:pPr>
      <w:r>
        <w:rPr>
          <w:noProof/>
        </w:rPr>
        <w:t>Vaatimus, jonka mukaan lainajärjestelyn lopulliset edunsaajat eivät saa tukea muista unionin välineistä samojen kustannusten kattamiseksi.</w:t>
      </w:r>
    </w:p>
    <w:p w14:paraId="2D795EFF" w14:textId="77777777" w:rsidR="000E48CE" w:rsidRDefault="000E48CE">
      <w:pPr>
        <w:pStyle w:val="ListParagraph"/>
        <w:rPr>
          <w:rFonts w:ascii="Times New Roman" w:hAnsi="Times New Roman" w:cs="Times New Roman"/>
          <w:noProof/>
          <w:sz w:val="24"/>
        </w:rPr>
      </w:pPr>
    </w:p>
    <w:p w14:paraId="0645499A" w14:textId="77777777" w:rsidR="000E48CE" w:rsidRDefault="00FF4C4E">
      <w:pPr>
        <w:pStyle w:val="P68B1DB1-ListParagraph7"/>
        <w:numPr>
          <w:ilvl w:val="0"/>
          <w:numId w:val="711"/>
        </w:numPr>
        <w:jc w:val="both"/>
        <w:rPr>
          <w:rFonts w:cs="Times New Roman"/>
          <w:noProof/>
        </w:rPr>
      </w:pPr>
      <w:r>
        <w:rPr>
          <w:noProof/>
        </w:rPr>
        <w:t>Järjestelmän kattama määrä ja vaatimus, jonka mukaan järjestelmästä mahdollisesti saa</w:t>
      </w:r>
      <w:r>
        <w:rPr>
          <w:noProof/>
        </w:rPr>
        <w:t>tavat käyttämättömät tulot on investoitava uudelleen edellä lueteltuihin toimintoihin, myös vuoden 2026 jälkeen.</w:t>
      </w:r>
    </w:p>
    <w:p w14:paraId="3BD41338" w14:textId="77777777" w:rsidR="000E48CE" w:rsidRDefault="000E48CE">
      <w:pPr>
        <w:pStyle w:val="ListParagraph"/>
        <w:spacing w:before="120" w:after="120" w:line="240" w:lineRule="auto"/>
        <w:jc w:val="both"/>
        <w:rPr>
          <w:rFonts w:ascii="Times New Roman" w:hAnsi="Times New Roman" w:cs="Times New Roman"/>
          <w:noProof/>
          <w:sz w:val="24"/>
        </w:rPr>
      </w:pPr>
    </w:p>
    <w:p w14:paraId="51F223E9" w14:textId="36BEE354" w:rsidR="000E48CE" w:rsidRDefault="00FF4C4E">
      <w:pPr>
        <w:pStyle w:val="P68B1DB1-ListParagraph7"/>
        <w:numPr>
          <w:ilvl w:val="0"/>
          <w:numId w:val="711"/>
        </w:numPr>
        <w:spacing w:before="120" w:after="120" w:line="240" w:lineRule="auto"/>
        <w:jc w:val="both"/>
        <w:rPr>
          <w:rFonts w:cs="Times New Roman"/>
          <w:noProof/>
        </w:rPr>
      </w:pPr>
      <w:r>
        <w:rPr>
          <w:noProof/>
        </w:rPr>
        <w:t>Oman pääoman ehtoisten sijoitusten, myös riskipääoman, osalta sijoituspolitiikan keskeisiin vaatimuksiin on sisällyttävä seuraavat:</w:t>
      </w:r>
    </w:p>
    <w:p w14:paraId="51586FF2" w14:textId="77777777" w:rsidR="000E48CE" w:rsidRDefault="000E48CE">
      <w:pPr>
        <w:pStyle w:val="ListParagraph"/>
        <w:spacing w:before="120" w:after="120" w:line="240" w:lineRule="auto"/>
        <w:jc w:val="both"/>
        <w:rPr>
          <w:rFonts w:ascii="Times New Roman" w:hAnsi="Times New Roman" w:cs="Times New Roman"/>
          <w:noProof/>
          <w:sz w:val="24"/>
        </w:rPr>
      </w:pPr>
    </w:p>
    <w:p w14:paraId="48CB69A2" w14:textId="77777777" w:rsidR="000E48CE" w:rsidRDefault="00FF4C4E">
      <w:pPr>
        <w:pStyle w:val="P68B1DB1-ListParagraph7"/>
        <w:numPr>
          <w:ilvl w:val="0"/>
          <w:numId w:val="712"/>
        </w:numPr>
        <w:spacing w:before="120" w:after="120" w:line="240" w:lineRule="auto"/>
        <w:jc w:val="both"/>
        <w:rPr>
          <w:rFonts w:cs="Times New Roman"/>
          <w:noProof/>
        </w:rPr>
      </w:pPr>
      <w:r>
        <w:rPr>
          <w:noProof/>
        </w:rPr>
        <w:t xml:space="preserve">Kuvaus </w:t>
      </w:r>
      <w:r>
        <w:rPr>
          <w:noProof/>
        </w:rPr>
        <w:t>rahoitustuotteita koskevista budjettikohdista ja tukikelpoisista lopullisista edunsaajista</w:t>
      </w:r>
    </w:p>
    <w:p w14:paraId="3EA05A12" w14:textId="77777777" w:rsidR="000E48CE" w:rsidRDefault="00FF4C4E">
      <w:pPr>
        <w:pStyle w:val="P68B1DB1-ListParagraph7"/>
        <w:numPr>
          <w:ilvl w:val="0"/>
          <w:numId w:val="712"/>
        </w:numPr>
        <w:spacing w:before="120" w:after="120" w:line="240" w:lineRule="auto"/>
        <w:jc w:val="both"/>
        <w:rPr>
          <w:rFonts w:cs="Times New Roman"/>
          <w:noProof/>
        </w:rPr>
      </w:pPr>
      <w:r>
        <w:rPr>
          <w:noProof/>
        </w:rPr>
        <w:t>Kaikkien tuettujen investointien on oltava taloudellisesti kannattavia.</w:t>
      </w:r>
    </w:p>
    <w:p w14:paraId="73FE741B" w14:textId="77777777" w:rsidR="000E48CE" w:rsidRDefault="000E48CE">
      <w:pPr>
        <w:pStyle w:val="ListParagraph"/>
        <w:rPr>
          <w:rFonts w:ascii="Times New Roman" w:hAnsi="Times New Roman" w:cs="Times New Roman"/>
          <w:noProof/>
          <w:sz w:val="24"/>
        </w:rPr>
      </w:pPr>
    </w:p>
    <w:p w14:paraId="64C4FEC0" w14:textId="5527B1B6" w:rsidR="000E48CE" w:rsidRDefault="00FF4C4E">
      <w:pPr>
        <w:pStyle w:val="P68B1DB1-ListParagraph7"/>
        <w:numPr>
          <w:ilvl w:val="0"/>
          <w:numId w:val="714"/>
        </w:numPr>
        <w:spacing w:before="120" w:after="120" w:line="240" w:lineRule="auto"/>
        <w:jc w:val="both"/>
        <w:rPr>
          <w:rFonts w:cs="Times New Roman"/>
          <w:noProof/>
        </w:rPr>
      </w:pPr>
      <w:r>
        <w:rPr>
          <w:noProof/>
        </w:rPr>
        <w:t>Pääomasijoitusten, myös riskipääoman, osalta seuraavat seuranta-, tarkastus- ja valvontavaat</w:t>
      </w:r>
      <w:r>
        <w:rPr>
          <w:noProof/>
        </w:rPr>
        <w:t>imukset:</w:t>
      </w:r>
    </w:p>
    <w:p w14:paraId="383E55D2" w14:textId="7F81A7AC" w:rsidR="000E48CE" w:rsidRDefault="00FF4C4E">
      <w:pPr>
        <w:pStyle w:val="P68B1DB1-ListParagraph7"/>
        <w:numPr>
          <w:ilvl w:val="0"/>
          <w:numId w:val="706"/>
        </w:numPr>
        <w:rPr>
          <w:rFonts w:cs="Times New Roman"/>
          <w:noProof/>
        </w:rPr>
      </w:pPr>
      <w:r>
        <w:rPr>
          <w:noProof/>
        </w:rPr>
        <w:t>Kuvaus IDAE:n seurantajärjestelmästä, jolla raportoidaan liikkeelle saaduista investoinneista.</w:t>
      </w:r>
    </w:p>
    <w:p w14:paraId="4A6F23D8" w14:textId="2C0A6447" w:rsidR="000E48CE" w:rsidRDefault="00FF4C4E">
      <w:pPr>
        <w:pStyle w:val="P68B1DB1-ListParagraph7"/>
        <w:numPr>
          <w:ilvl w:val="0"/>
          <w:numId w:val="706"/>
        </w:numPr>
        <w:spacing w:before="120" w:after="120" w:line="240" w:lineRule="auto"/>
        <w:jc w:val="both"/>
        <w:rPr>
          <w:rFonts w:cs="Times New Roman"/>
          <w:noProof/>
        </w:rPr>
      </w:pPr>
      <w:r>
        <w:rPr>
          <w:noProof/>
        </w:rPr>
        <w:t xml:space="preserve">Kuvaus IDAE:n menettelyistä, joilla varmistetaan petosten, lahjonnan ja eturistiriitojen ehkäiseminen, havaitseminen ja korjaaminen. </w:t>
      </w:r>
    </w:p>
    <w:p w14:paraId="24BEE50B" w14:textId="77777777" w:rsidR="000E48CE" w:rsidRDefault="00FF4C4E">
      <w:pPr>
        <w:pStyle w:val="P68B1DB1-ListParagraph7"/>
        <w:numPr>
          <w:ilvl w:val="0"/>
          <w:numId w:val="706"/>
        </w:numPr>
        <w:spacing w:before="120" w:after="120" w:line="240" w:lineRule="auto"/>
        <w:jc w:val="both"/>
        <w:rPr>
          <w:rFonts w:cs="Times New Roman"/>
          <w:noProof/>
        </w:rPr>
      </w:pPr>
      <w:r>
        <w:rPr>
          <w:noProof/>
        </w:rPr>
        <w:t>Velvollisuus tarki</w:t>
      </w:r>
      <w:r>
        <w:rPr>
          <w:noProof/>
        </w:rPr>
        <w:t>staa jokaisen toimen tukikelpoisuus järjestelmän perustamista koskevassa säädöksessä vahvistettujen vaatimusten mukaisesti ennen kuin se sitoutuu rahoittamaan toimea.</w:t>
      </w:r>
    </w:p>
    <w:p w14:paraId="4A65AD17" w14:textId="5E094F3F" w:rsidR="000E48CE" w:rsidRDefault="00FF4C4E">
      <w:pPr>
        <w:pStyle w:val="P68B1DB1-ListParagraph7"/>
        <w:numPr>
          <w:ilvl w:val="0"/>
          <w:numId w:val="706"/>
        </w:numPr>
        <w:spacing w:before="120" w:after="120" w:line="240" w:lineRule="auto"/>
        <w:jc w:val="both"/>
        <w:rPr>
          <w:rFonts w:cs="Times New Roman"/>
          <w:noProof/>
        </w:rPr>
      </w:pPr>
      <w:r>
        <w:rPr>
          <w:noProof/>
        </w:rPr>
        <w:t>Velvollisuus suorittaa riskiperusteisia jälkitarkastuksia IDAE:n tarkastussuunnitelman mu</w:t>
      </w:r>
      <w:r>
        <w:rPr>
          <w:noProof/>
        </w:rPr>
        <w:t>kaisesti. Näillä tarkastuksilla on varmistettava valvontajärjestelmät ovat tehokkaita, mukaan lukien petosten, lahjonnan ja eturistiriitojen havaitseminen;  ”ei merkittävää haittaa” -periaatteen, valtiontukisääntöjen sekä ilmastotavoitteita ja digitaalisia</w:t>
      </w:r>
      <w:r>
        <w:rPr>
          <w:noProof/>
        </w:rPr>
        <w:t xml:space="preserve"> tavoitteita koskevien vaatimusten noudattaminen; ja iii) että noudatetaan vaatimusta, jonka mukaan IDAE:n on todennettava, että lopullinen tuensaaja esittää vastuullisen ilmoituksen sen valvomiseksi, katetaanko samat kustannukset toisesta unionin välinees</w:t>
      </w:r>
      <w:r>
        <w:rPr>
          <w:noProof/>
        </w:rPr>
        <w:t xml:space="preserve">tä. Tarkastuksissa on myös varmistettava tapahtumien laillisuus ja se, että järjestelmän perustamista koskevan sovellettavan oikeudellisen välineen tai sovellettavien oikeudellisten välineiden ehtoja noudatetaan. </w:t>
      </w:r>
    </w:p>
    <w:p w14:paraId="46DD05F4" w14:textId="77777777" w:rsidR="000E48CE" w:rsidRDefault="00FF4C4E">
      <w:pPr>
        <w:pStyle w:val="P68B1DB1-Normal4"/>
        <w:spacing w:before="120" w:after="120" w:line="240" w:lineRule="auto"/>
        <w:jc w:val="both"/>
        <w:rPr>
          <w:rFonts w:cs="Times New Roman"/>
          <w:noProof/>
        </w:rPr>
      </w:pPr>
      <w:r>
        <w:rPr>
          <w:noProof/>
        </w:rPr>
        <w:t xml:space="preserve">Investointi on toteutettava 30 päivään </w:t>
      </w:r>
      <w:r>
        <w:rPr>
          <w:noProof/>
        </w:rPr>
        <w:t>kesäkuuta 2026 mennessä.</w:t>
      </w:r>
    </w:p>
    <w:p w14:paraId="283A2AFF" w14:textId="77777777" w:rsidR="000E48CE" w:rsidRDefault="00FF4C4E">
      <w:pPr>
        <w:pStyle w:val="P68B1DB1-Text120"/>
        <w:ind w:left="0"/>
        <w:rPr>
          <w:rFonts w:cs="Times New Roman"/>
          <w:noProof/>
        </w:rPr>
      </w:pPr>
      <w:r>
        <w:rPr>
          <w:noProof/>
        </w:rPr>
        <w:t>Investointi 4 (C31.I4) – Investoinnit sähköverkkoinfrastruktuurin tukemiseen</w:t>
      </w:r>
    </w:p>
    <w:p w14:paraId="5A904BCE" w14:textId="77777777" w:rsidR="000E48CE" w:rsidRDefault="00FF4C4E">
      <w:pPr>
        <w:pStyle w:val="P68B1DB1-Normal4"/>
        <w:spacing w:before="120" w:after="120" w:line="240" w:lineRule="auto"/>
        <w:jc w:val="both"/>
        <w:rPr>
          <w:rFonts w:cs="Times New Roman"/>
          <w:noProof/>
        </w:rPr>
      </w:pPr>
      <w:r>
        <w:rPr>
          <w:noProof/>
        </w:rPr>
        <w:t>Investoinnin tavoitteena on tukea Espanjan sähkönsiirtoverkon kehittämistä. Investointi koostuu tukikelpoisten hankkeiden loppuun saattamisesta Espanjan v</w:t>
      </w:r>
      <w:r>
        <w:rPr>
          <w:noProof/>
        </w:rPr>
        <w:t>uosien 2021–2026 verkon kehittämissuunnitelman, jäljempänä ’suunnitelma’, puitteissa. Ennen tuen myöntämistä Espanja vahvistaa tukikelpoisuusperusteet, jotka Espanjan vuosien 2021–2026 verkon kehittämissuunnitelmasta valittavien hankkeiden on täytettävä se</w:t>
      </w:r>
      <w:r>
        <w:rPr>
          <w:noProof/>
        </w:rPr>
        <w:t>uraavien seikkojen perusteella:</w:t>
      </w:r>
    </w:p>
    <w:p w14:paraId="6CB90F80" w14:textId="77777777" w:rsidR="000E48CE" w:rsidRDefault="00FF4C4E">
      <w:pPr>
        <w:pStyle w:val="P68B1DB1-ListParagraph7"/>
        <w:numPr>
          <w:ilvl w:val="0"/>
          <w:numId w:val="639"/>
        </w:numPr>
        <w:spacing w:before="120" w:after="120" w:line="240" w:lineRule="auto"/>
        <w:jc w:val="both"/>
        <w:rPr>
          <w:rFonts w:cs="Times New Roman"/>
          <w:noProof/>
        </w:rPr>
      </w:pPr>
      <w:r>
        <w:rPr>
          <w:noProof/>
        </w:rPr>
        <w:t>Hankkeet, jotka täyttävät REPowerEU-tavoitteet, ja erityisesti hankkeet, jotka edistävät uusiutuvien energialähteiden integrointia, teollisuuden hiilestä irtautumista, päästötöntä liikennettä ja sisäisiin ruuhkiin puuttumist</w:t>
      </w:r>
      <w:r>
        <w:rPr>
          <w:noProof/>
        </w:rPr>
        <w:t>a; ja</w:t>
      </w:r>
    </w:p>
    <w:p w14:paraId="12949066" w14:textId="45CA2F3C" w:rsidR="000E48CE" w:rsidRDefault="00FF4C4E">
      <w:pPr>
        <w:pStyle w:val="P68B1DB1-ListParagraph7"/>
        <w:numPr>
          <w:ilvl w:val="0"/>
          <w:numId w:val="639"/>
        </w:numPr>
        <w:spacing w:before="120" w:after="120" w:line="240" w:lineRule="auto"/>
        <w:jc w:val="both"/>
        <w:rPr>
          <w:rFonts w:cs="Times New Roman"/>
          <w:noProof/>
        </w:rPr>
      </w:pPr>
      <w:r>
        <w:rPr>
          <w:noProof/>
        </w:rPr>
        <w:t>hankkeet, jotka on saatettava päätökseen viimeistään 31 päivänä elokuuta 2026.</w:t>
      </w:r>
    </w:p>
    <w:p w14:paraId="687445EF" w14:textId="77777777" w:rsidR="000E48CE" w:rsidRDefault="00FF4C4E">
      <w:pPr>
        <w:pStyle w:val="P68B1DB1-Normal4"/>
        <w:spacing w:before="120" w:after="120" w:line="240" w:lineRule="auto"/>
        <w:jc w:val="both"/>
        <w:rPr>
          <w:rFonts w:cs="Times New Roman"/>
          <w:noProof/>
        </w:rPr>
      </w:pPr>
      <w:r>
        <w:rPr>
          <w:noProof/>
        </w:rPr>
        <w:t>Investointi on toteutettava viimeistään 31 päivänä elokuuta 2026.</w:t>
      </w:r>
    </w:p>
    <w:p w14:paraId="75F18260" w14:textId="77777777" w:rsidR="000E48CE" w:rsidRDefault="00FF4C4E">
      <w:pPr>
        <w:pStyle w:val="P68B1DB1-Text120"/>
        <w:ind w:left="0"/>
        <w:rPr>
          <w:rFonts w:cs="Times New Roman"/>
          <w:noProof/>
        </w:rPr>
      </w:pPr>
      <w:r>
        <w:rPr>
          <w:noProof/>
        </w:rPr>
        <w:t>Investointi 5 (C31.I5) – Investoinnit teollisuuden hiilestä irtautumisen tukemiseksi (avustukset)</w:t>
      </w:r>
    </w:p>
    <w:p w14:paraId="6A2DA582" w14:textId="12F902EA" w:rsidR="000E48CE" w:rsidRDefault="00FF4C4E">
      <w:pPr>
        <w:pStyle w:val="Text1"/>
        <w:ind w:left="0"/>
        <w:rPr>
          <w:rStyle w:val="IntenseEmphasis"/>
          <w:rFonts w:ascii="Times New Roman" w:hAnsi="Times New Roman" w:cs="Times New Roman"/>
          <w:i w:val="0"/>
          <w:noProof/>
          <w:color w:val="auto"/>
          <w:sz w:val="22"/>
        </w:rPr>
      </w:pPr>
      <w:r>
        <w:rPr>
          <w:rStyle w:val="IntenseEmphasis"/>
          <w:rFonts w:ascii="Times New Roman" w:hAnsi="Times New Roman"/>
          <w:i w:val="0"/>
          <w:noProof/>
          <w:color w:val="auto"/>
        </w:rPr>
        <w:t>Tämä to</w:t>
      </w:r>
      <w:r>
        <w:rPr>
          <w:rStyle w:val="IntenseEmphasis"/>
          <w:rFonts w:ascii="Times New Roman" w:hAnsi="Times New Roman"/>
          <w:i w:val="0"/>
          <w:noProof/>
          <w:color w:val="auto"/>
        </w:rPr>
        <w:t>imenpide on osa teollisuuden hiilestä irtautumista koskevaa strategista hanketta, ja sen tavoitteena on tukea teollisten prosessien hiilestä irtautumista. Toimenpiteen on koostuttava sellaisten hankkeiden täytäntöönpanosta, joiden tavoitteena on valmistust</w:t>
      </w:r>
      <w:r>
        <w:rPr>
          <w:rStyle w:val="IntenseEmphasis"/>
          <w:rFonts w:ascii="Times New Roman" w:hAnsi="Times New Roman"/>
          <w:i w:val="0"/>
          <w:noProof/>
          <w:color w:val="auto"/>
        </w:rPr>
        <w:t xml:space="preserve">eollisuuden hiilestä irtautuminen, esimerkiksi hankkeet, joilla pyritään vähentämään kasvihuonekaasupäästöjä, sekä uusien erittäin tehokkaiden ja hiilettömien tuotantolaitosten kehittämisestä. </w:t>
      </w:r>
    </w:p>
    <w:p w14:paraId="30E2F416" w14:textId="0F718873" w:rsidR="000E48CE" w:rsidRDefault="00FF4C4E">
      <w:pPr>
        <w:pStyle w:val="Text1"/>
        <w:ind w:left="0"/>
        <w:rPr>
          <w:rFonts w:ascii="Times New Roman" w:hAnsi="Times New Roman" w:cs="Times New Roman"/>
          <w:noProof/>
        </w:rPr>
      </w:pPr>
      <w:r>
        <w:rPr>
          <w:rFonts w:ascii="Times New Roman" w:hAnsi="Times New Roman"/>
          <w:noProof/>
        </w:rPr>
        <w:t>Päätöksessä, jolla hyväksytään teollisuuden hiilestä irtautumi</w:t>
      </w:r>
      <w:r>
        <w:rPr>
          <w:rFonts w:ascii="Times New Roman" w:hAnsi="Times New Roman"/>
          <w:noProof/>
        </w:rPr>
        <w:t>sta koskeva PERTE-suunnitelma, on sisällettävä valintaperusteet, joilla varmistetaan ”ei merkittävää haittaa” -periaatteen noudattaminen (2021/C58/01). Sen varmistamiseksi, että toimenpide noudattaa ”ei merkittävää haittaa” -periaatetta koskevaa teknistä o</w:t>
      </w:r>
      <w:r>
        <w:rPr>
          <w:rFonts w:ascii="Times New Roman" w:hAnsi="Times New Roman"/>
          <w:noProof/>
        </w:rPr>
        <w:t>hjetta (2021/C58/01), tulevien hankepyyntöjen tehtävänmääritykseen sisältyviin tukikelpoisuusperusteisiin ei lueta seuraavia toimia: EU:n päästökauppajärjestelmään kuuluvat toimet, joilla saavutetaan ennustetut kasvihuonekaasupäästöt, jotka eivät alita asi</w:t>
      </w:r>
      <w:r>
        <w:rPr>
          <w:rFonts w:ascii="Times New Roman" w:hAnsi="Times New Roman"/>
          <w:noProof/>
        </w:rPr>
        <w:t>aankuuluvia vertailuarvoja</w:t>
      </w:r>
      <w:r>
        <w:rPr>
          <w:rStyle w:val="FootnoteReference"/>
          <w:rFonts w:ascii="Times New Roman" w:hAnsi="Times New Roman" w:cs="Times New Roman"/>
          <w:noProof/>
        </w:rPr>
        <w:footnoteReference w:id="230"/>
      </w:r>
      <w:r>
        <w:rPr>
          <w:rFonts w:ascii="Times New Roman" w:hAnsi="Times New Roman"/>
          <w:noProof/>
        </w:rPr>
        <w:t>; fossiilisiin polttoaineisiin liittyvät toimet, mukaan lukien loppupään käyttö, päästökauppajärjestelmien ulkopuolella</w:t>
      </w:r>
      <w:r>
        <w:rPr>
          <w:rStyle w:val="FootnoteReference"/>
          <w:rFonts w:ascii="Times New Roman" w:hAnsi="Times New Roman" w:cs="Times New Roman"/>
          <w:noProof/>
        </w:rPr>
        <w:footnoteReference w:id="231"/>
      </w:r>
      <w:r>
        <w:rPr>
          <w:rFonts w:ascii="Times New Roman" w:hAnsi="Times New Roman"/>
          <w:noProof/>
        </w:rPr>
        <w:t>. Valintaperusteissa on lisäksi edellytettävä, että ainoastaan asiaa koskevan EU:n ja kansallisen ympäristöla</w:t>
      </w:r>
      <w:r>
        <w:rPr>
          <w:rFonts w:ascii="Times New Roman" w:hAnsi="Times New Roman"/>
          <w:noProof/>
        </w:rPr>
        <w:t xml:space="preserve">insäädännön mukaisia toimintoja voidaan valita. </w:t>
      </w:r>
    </w:p>
    <w:p w14:paraId="0DBABB13" w14:textId="77777777" w:rsidR="000E48CE" w:rsidRDefault="00FF4C4E">
      <w:pPr>
        <w:pStyle w:val="P68B1DB1-Text119"/>
        <w:ind w:left="0"/>
        <w:rPr>
          <w:rFonts w:cs="Times New Roman"/>
          <w:noProof/>
        </w:rPr>
      </w:pPr>
      <w:r>
        <w:rPr>
          <w:noProof/>
        </w:rPr>
        <w:t>Seuraavien tämän investoinnin mukaisten T &amp; K &amp; I-toimien katsotaan olevan ”ei merkittävää haittaa” -periaatteen mukaisia (2021/C58/01): Tämän investoinnin mukaiset T &amp; K &amp; I-toimet, joilla pyritään lisäämää</w:t>
      </w:r>
      <w:r>
        <w:rPr>
          <w:noProof/>
        </w:rPr>
        <w:t>n merkittävästi yritysten ympäristökestävyyttä (kuten hiilestä irtautuminen, saastumisen vähentäminen ja kiertotalous), jos tämän investoinnin T &amp; K &amp; I-toimissa keskitytään ensisijaisesti sellaisten vaihtoehtojen kehittämiseen tai mukauttamiseen, joilla o</w:t>
      </w:r>
      <w:r>
        <w:rPr>
          <w:noProof/>
        </w:rPr>
        <w:t xml:space="preserve">n mahdollisimman vähän ympäristövaikutuksia alalla. </w:t>
      </w:r>
    </w:p>
    <w:p w14:paraId="4FA77B87" w14:textId="0F528DE1" w:rsidR="000E48CE" w:rsidRDefault="00FF4C4E">
      <w:pPr>
        <w:pStyle w:val="Text1"/>
        <w:ind w:left="0"/>
        <w:rPr>
          <w:rStyle w:val="IntenseEmphasis"/>
          <w:rFonts w:ascii="Times New Roman" w:hAnsi="Times New Roman" w:cs="Times New Roman"/>
          <w:i w:val="0"/>
          <w:noProof/>
          <w:color w:val="auto"/>
        </w:rPr>
      </w:pPr>
      <w:r>
        <w:rPr>
          <w:rFonts w:ascii="Times New Roman" w:hAnsi="Times New Roman"/>
          <w:noProof/>
        </w:rPr>
        <w:t xml:space="preserve">Valintaperusteilla on varmistettava, että vähintään 236000000 euroa eli 40 prosenttia toimenpiteen arvioiduista kustannuksista edistää ilmastonmuutosta koskevien tavoitteiden saavuttamista elpymis- ja </w:t>
      </w:r>
      <w:r>
        <w:rPr>
          <w:rFonts w:ascii="Times New Roman" w:hAnsi="Times New Roman"/>
          <w:noProof/>
        </w:rPr>
        <w:t>palautumistukivälinettä koskevan asetuksen liitteen VI mukaisesti.</w:t>
      </w:r>
      <w:r>
        <w:rPr>
          <w:rStyle w:val="FootnoteReference"/>
          <w:rFonts w:ascii="Times New Roman" w:hAnsi="Times New Roman" w:cs="Times New Roman"/>
          <w:noProof/>
        </w:rPr>
        <w:footnoteReference w:id="232"/>
      </w:r>
    </w:p>
    <w:p w14:paraId="673AC9A6" w14:textId="77777777" w:rsidR="000E48CE" w:rsidRDefault="00FF4C4E">
      <w:pPr>
        <w:pStyle w:val="Text1"/>
        <w:ind w:left="0"/>
        <w:rPr>
          <w:rFonts w:ascii="Times New Roman" w:hAnsi="Times New Roman" w:cs="Times New Roman"/>
          <w:noProof/>
        </w:rPr>
      </w:pPr>
      <w:r>
        <w:rPr>
          <w:rStyle w:val="IntenseEmphasis"/>
          <w:rFonts w:ascii="Times New Roman" w:hAnsi="Times New Roman"/>
          <w:i w:val="0"/>
          <w:noProof/>
          <w:color w:val="auto"/>
        </w:rPr>
        <w:t>Toimenpiteen täytäntöönpano on saatettava päätökseen viimeistään</w:t>
      </w:r>
      <w:r>
        <w:rPr>
          <w:rFonts w:ascii="Times New Roman" w:hAnsi="Times New Roman"/>
          <w:i/>
          <w:noProof/>
        </w:rPr>
        <w:t xml:space="preserve"> </w:t>
      </w:r>
      <w:r>
        <w:rPr>
          <w:rFonts w:ascii="Times New Roman" w:hAnsi="Times New Roman"/>
          <w:noProof/>
        </w:rPr>
        <w:t xml:space="preserve">31 päivänä elokuuta 2026. </w:t>
      </w:r>
    </w:p>
    <w:p w14:paraId="5556DCD0" w14:textId="77777777" w:rsidR="000E48CE" w:rsidRDefault="000E48CE">
      <w:pPr>
        <w:spacing w:after="0" w:line="240" w:lineRule="auto"/>
        <w:jc w:val="both"/>
        <w:rPr>
          <w:rFonts w:ascii="Times New Roman" w:hAnsi="Times New Roman" w:cs="Times New Roman"/>
          <w:noProof/>
        </w:rPr>
      </w:pPr>
    </w:p>
    <w:p w14:paraId="00620CE8" w14:textId="5E52E87D" w:rsidR="000E48CE" w:rsidRDefault="00FF4C4E">
      <w:pPr>
        <w:pStyle w:val="P68B1DB1-Normal6"/>
        <w:rPr>
          <w:rFonts w:cs="Times New Roman"/>
          <w:noProof/>
        </w:rPr>
      </w:pPr>
      <w:r>
        <w:rPr>
          <w:noProof/>
        </w:rPr>
        <w:t>Investointi 6 (C31.I6) – Tukiohjelma hiilestä irtautumista koskeville hankkeille (avustukset)</w:t>
      </w:r>
    </w:p>
    <w:p w14:paraId="5BCED0EA" w14:textId="71CA3698" w:rsidR="000E48CE" w:rsidRDefault="00FF4C4E">
      <w:pPr>
        <w:pStyle w:val="P68B1DB1-paragraph25"/>
        <w:spacing w:before="120" w:after="120"/>
        <w:jc w:val="both"/>
        <w:textAlignment w:val="baseline"/>
        <w:rPr>
          <w:rFonts w:cs="Times New Roman"/>
          <w:noProof/>
        </w:rPr>
      </w:pPr>
      <w:r>
        <w:rPr>
          <w:noProof/>
        </w:rPr>
        <w:t>T</w:t>
      </w:r>
      <w:r>
        <w:rPr>
          <w:noProof/>
        </w:rPr>
        <w:t>oimenpiteen on koostuttava julkisesta investoinnista julkiseen tukijärjestelmään yksityisten investointien kannustamiseksi. Järjestelmällä edistetään teollisuusprosessien hiilestä irtautumista ja uusien erittäin tehokkaiden ja hiilettömien tuotantolaitoste</w:t>
      </w:r>
      <w:r>
        <w:rPr>
          <w:noProof/>
        </w:rPr>
        <w:t>n kehittämistä ministerineuvoston hyväksymän strategisen dekarb-hankkeen (PERTE) puitteissa. Elpymis- ja palautumistukivälineen investointien perusteella tukijärjestelmän tarkoituksena on aluksi tarjota rahoitusta vähintään 430000000 euroa.</w:t>
      </w:r>
    </w:p>
    <w:p w14:paraId="28317DC5" w14:textId="4A9E4048" w:rsidR="000E48CE" w:rsidRDefault="00FF4C4E">
      <w:pPr>
        <w:pStyle w:val="P68B1DB1-paragraph25"/>
        <w:spacing w:before="120" w:after="120"/>
        <w:jc w:val="both"/>
        <w:textAlignment w:val="baseline"/>
        <w:rPr>
          <w:rFonts w:cs="Times New Roman"/>
          <w:noProof/>
        </w:rPr>
      </w:pPr>
      <w:r>
        <w:rPr>
          <w:noProof/>
        </w:rPr>
        <w:t>Järjestelmää ha</w:t>
      </w:r>
      <w:r>
        <w:rPr>
          <w:noProof/>
        </w:rPr>
        <w:t xml:space="preserve">llinnoi toteutuskumppanina toimiva ENISA. Asiaankuuluvalla säädöksellä ENISA muutetaan julkiseksi yritykseksi tämän investoinnin toteuttamiseksi. </w:t>
      </w:r>
    </w:p>
    <w:p w14:paraId="0DB2C377" w14:textId="421903AA" w:rsidR="000E48CE" w:rsidRDefault="00FF4C4E">
      <w:pPr>
        <w:pStyle w:val="P68B1DB1-paragraph25"/>
        <w:spacing w:before="120" w:after="120"/>
        <w:jc w:val="both"/>
        <w:textAlignment w:val="baseline"/>
        <w:rPr>
          <w:rFonts w:cs="Times New Roman"/>
          <w:noProof/>
        </w:rPr>
      </w:pPr>
      <w:r>
        <w:rPr>
          <w:noProof/>
        </w:rPr>
        <w:t>Ohjelmaan tehtävän investoinnin toteuttamiseksi hallitus hyväksyy yhden tai useamman tukijärjestelmän perusta</w:t>
      </w:r>
      <w:r>
        <w:rPr>
          <w:noProof/>
        </w:rPr>
        <w:t xml:space="preserve">mista koskevan säädöksen, joka sisältää seuraavat seikat:  </w:t>
      </w:r>
    </w:p>
    <w:p w14:paraId="1E0157FE" w14:textId="775B50D3" w:rsidR="000E48CE" w:rsidRDefault="00FF4C4E">
      <w:pPr>
        <w:pStyle w:val="P68B1DB1-paragraph25"/>
        <w:numPr>
          <w:ilvl w:val="0"/>
          <w:numId w:val="778"/>
        </w:numPr>
        <w:spacing w:before="120" w:after="120"/>
        <w:jc w:val="both"/>
        <w:textAlignment w:val="baseline"/>
        <w:rPr>
          <w:rFonts w:cs="Times New Roman"/>
          <w:noProof/>
        </w:rPr>
      </w:pPr>
      <w:r>
        <w:rPr>
          <w:noProof/>
        </w:rPr>
        <w:t>Kuvaus järjestelmän päätöksentekoprosessista: Arviointikomitea tai muu vastaava hallintoelin arvioi hakemukset ja valitsee edunsaajat, jotka sisällytetään ohjelman mukaisiin lopullisiin myöntämisp</w:t>
      </w:r>
      <w:r>
        <w:rPr>
          <w:noProof/>
        </w:rPr>
        <w:t>äätöksiin tai investointipäätöksiin, ja ne hyväksytään äänten enemmistöllä Espanjan hallituksesta riippumattomilta jäseniltä, mikä tarkoittaa, että heidän on oltava joko ENISAn palveluksessa olevaa henkilöstöä ja/tai muita riippumattomia asiantuntijoita. J</w:t>
      </w:r>
      <w:r>
        <w:rPr>
          <w:noProof/>
        </w:rPr>
        <w:t xml:space="preserve">ärjestelmän lopullinen investointipäätös on rajoitettava arviointikomitean tai vastaavan hallintoelimen ehdottaman investointipäätöksen hyväksymiseen (muutoksitta) tai veto-oikeuden käyttämiseen.  </w:t>
      </w:r>
    </w:p>
    <w:p w14:paraId="349961BF" w14:textId="759D5F46" w:rsidR="000E48CE" w:rsidRDefault="00FF4C4E">
      <w:pPr>
        <w:pStyle w:val="P68B1DB1-paragraph25"/>
        <w:numPr>
          <w:ilvl w:val="0"/>
          <w:numId w:val="778"/>
        </w:numPr>
        <w:spacing w:before="120" w:after="120"/>
        <w:jc w:val="both"/>
        <w:textAlignment w:val="baseline"/>
        <w:rPr>
          <w:rFonts w:cs="Times New Roman"/>
          <w:noProof/>
        </w:rPr>
      </w:pPr>
      <w:r>
        <w:rPr>
          <w:noProof/>
        </w:rPr>
        <w:t>Luettelo alan vihreään ja digitaaliseen muutokseen liittyv</w:t>
      </w:r>
      <w:r>
        <w:rPr>
          <w:noProof/>
        </w:rPr>
        <w:t>istä toimista, jotka ovat tukikelpoisia ja joiden määrä on vähintään 430000000 euroa. Toimenpiteellä tuetaan innovatiivisia hankkeita, joihin liittyy merkittävä teollisuuden muutos energiatehokkuuden, kestävyyden ja digitalisaation osalta, sekä uusien erit</w:t>
      </w:r>
      <w:r>
        <w:rPr>
          <w:noProof/>
        </w:rPr>
        <w:t>täin tehokkaiden ja hiilettömien tuotantolaitosten kehittämistä.</w:t>
      </w:r>
    </w:p>
    <w:p w14:paraId="09743D41" w14:textId="71209F0A" w:rsidR="000E48CE" w:rsidRDefault="00FF4C4E">
      <w:pPr>
        <w:pStyle w:val="paragraph"/>
        <w:numPr>
          <w:ilvl w:val="0"/>
          <w:numId w:val="778"/>
        </w:numPr>
        <w:spacing w:before="120" w:after="120"/>
        <w:jc w:val="both"/>
        <w:textAlignment w:val="baseline"/>
        <w:rPr>
          <w:rFonts w:ascii="Times New Roman" w:hAnsi="Times New Roman" w:cs="Times New Roman"/>
          <w:noProof/>
        </w:rPr>
      </w:pPr>
      <w:r>
        <w:rPr>
          <w:rFonts w:ascii="Times New Roman" w:hAnsi="Times New Roman"/>
          <w:noProof/>
        </w:rPr>
        <w:t>Vaatimus noudattaa elpymis- ja palautumistukivälineen ”ei merkittävää haittaa” -periaatetta, sellaisena kuin se on esitetty ”ei merkittävää haittaa” -periaatetta koskevissa teknisissä ohjeiss</w:t>
      </w:r>
      <w:r>
        <w:rPr>
          <w:rFonts w:ascii="Times New Roman" w:hAnsi="Times New Roman"/>
          <w:noProof/>
        </w:rPr>
        <w:t>a (2021/C58/01). Oikeudellinen väline (oikeudelliset välineet) sulkee pois erityisesti seuraavat toiminnot: EU:n päästökauppajärjestelmään kuuluvat toimet, joilla saavutetaan ennustetut kasvihuonekaasupäästöt, jotka eivät alita asiaankuuluvia vertailuarvoj</w:t>
      </w:r>
      <w:r>
        <w:rPr>
          <w:rFonts w:ascii="Times New Roman" w:hAnsi="Times New Roman"/>
          <w:noProof/>
        </w:rPr>
        <w:t>a</w:t>
      </w:r>
      <w:r>
        <w:rPr>
          <w:rStyle w:val="FootnoteReference"/>
          <w:rFonts w:ascii="Times New Roman" w:hAnsi="Times New Roman" w:cs="Times New Roman"/>
          <w:noProof/>
        </w:rPr>
        <w:footnoteReference w:id="233"/>
      </w:r>
      <w:r>
        <w:rPr>
          <w:rFonts w:ascii="Times New Roman" w:hAnsi="Times New Roman"/>
          <w:noProof/>
        </w:rPr>
        <w:t>; fossiilisiin polttoaineisiin liittyvät toimet, mukaan lukien loppupään käyttö, päästökauppajärjestelmien ulkopuolella</w:t>
      </w:r>
      <w:r>
        <w:rPr>
          <w:rStyle w:val="FootnoteReference"/>
          <w:rFonts w:ascii="Times New Roman" w:hAnsi="Times New Roman" w:cs="Times New Roman"/>
          <w:noProof/>
        </w:rPr>
        <w:footnoteReference w:id="234"/>
      </w:r>
      <w:r>
        <w:rPr>
          <w:rFonts w:ascii="Times New Roman" w:hAnsi="Times New Roman"/>
          <w:noProof/>
        </w:rPr>
        <w:t>. Lisäksi oikeudellisissa välineissä on edellytettävä tukijärjestelmien lopullisten tuensaajien asiaankuuluvan EU:n ja kansallisen ymp</w:t>
      </w:r>
      <w:r>
        <w:rPr>
          <w:rFonts w:ascii="Times New Roman" w:hAnsi="Times New Roman"/>
          <w:noProof/>
        </w:rPr>
        <w:t>äristölainsäädännön noudattamista. Seuraavien tämän investoinnin mukaisten T &amp; K &amp; I-toimien katsotaan olevan ”ei merkittävää haittaa” -periaatteen mukaisia (2021/C58/01): Tämän investoinnin mukaiset T &amp; K &amp; I-toimet, joilla pyritään lisäämään merkittäväst</w:t>
      </w:r>
      <w:r>
        <w:rPr>
          <w:rFonts w:ascii="Times New Roman" w:hAnsi="Times New Roman"/>
          <w:noProof/>
        </w:rPr>
        <w:t>i yritysten ympäristökestävyyttä (kuten hiilestä irtautuminen, saastumisen vähentäminen ja kiertotalous), jos tämän investoinnin T &amp; K &amp; I-toimissa keskitytään ensisijaisesti sellaisten vaihtoehtojen kehittämiseen tai mukauttamiseen, joilla on mahdollisimm</w:t>
      </w:r>
      <w:r>
        <w:rPr>
          <w:rFonts w:ascii="Times New Roman" w:hAnsi="Times New Roman"/>
          <w:noProof/>
        </w:rPr>
        <w:t xml:space="preserve">an vähän ympäristövaikutuksia alalla. Lisäksi oikeudellisissa välineissä on edellytettävä tukijärjestelmien lopullisten tuensaajien asiaankuuluvan EU:n ja kansallisen ympäristölainsäädännön noudattamista.  </w:t>
      </w:r>
    </w:p>
    <w:p w14:paraId="4B5E9D89" w14:textId="4F304DB4" w:rsidR="000E48CE" w:rsidRDefault="00FF4C4E">
      <w:pPr>
        <w:pStyle w:val="paragraph"/>
        <w:numPr>
          <w:ilvl w:val="0"/>
          <w:numId w:val="778"/>
        </w:numPr>
        <w:spacing w:before="120" w:after="120"/>
        <w:jc w:val="both"/>
        <w:textAlignment w:val="baseline"/>
        <w:rPr>
          <w:rFonts w:ascii="Times New Roman" w:hAnsi="Times New Roman" w:cs="Times New Roman"/>
          <w:noProof/>
        </w:rPr>
      </w:pPr>
      <w:r>
        <w:rPr>
          <w:rFonts w:ascii="Times New Roman" w:hAnsi="Times New Roman"/>
          <w:noProof/>
        </w:rPr>
        <w:t xml:space="preserve">Tukijärjestelmään liittyviä ilmastoinvestointeja </w:t>
      </w:r>
      <w:r>
        <w:rPr>
          <w:rFonts w:ascii="Times New Roman" w:hAnsi="Times New Roman"/>
          <w:noProof/>
        </w:rPr>
        <w:t>koskevat vaatimukset: vähintään 172000000 euron elpymis- ja palautumistukivälineen investoinneista järjestelmään on edistettävä ilmastonmuutosta koskevien tavoitteiden saavuttamista elpymis- ja palautumistukivälinettä koskevan asetuksen liitteen VI mukaise</w:t>
      </w:r>
      <w:r>
        <w:rPr>
          <w:rFonts w:ascii="Times New Roman" w:hAnsi="Times New Roman"/>
          <w:noProof/>
        </w:rPr>
        <w:t>sti.</w:t>
      </w:r>
      <w:r>
        <w:rPr>
          <w:rStyle w:val="FootnoteReference"/>
          <w:rFonts w:ascii="Times New Roman" w:hAnsi="Times New Roman" w:cs="Times New Roman"/>
          <w:noProof/>
        </w:rPr>
        <w:footnoteReference w:id="235"/>
      </w:r>
      <w:r>
        <w:rPr>
          <w:rFonts w:ascii="Times New Roman" w:hAnsi="Times New Roman"/>
          <w:noProof/>
        </w:rPr>
        <w:t xml:space="preserve"> </w:t>
      </w:r>
    </w:p>
    <w:p w14:paraId="07CE7015" w14:textId="77777777" w:rsidR="000E48CE" w:rsidRDefault="00FF4C4E">
      <w:pPr>
        <w:pStyle w:val="P68B1DB1-paragraph25"/>
        <w:numPr>
          <w:ilvl w:val="0"/>
          <w:numId w:val="778"/>
        </w:numPr>
        <w:spacing w:before="120" w:after="120"/>
        <w:jc w:val="both"/>
        <w:textAlignment w:val="baseline"/>
        <w:rPr>
          <w:rFonts w:cs="Times New Roman"/>
          <w:noProof/>
        </w:rPr>
      </w:pPr>
      <w:r>
        <w:rPr>
          <w:noProof/>
        </w:rPr>
        <w:t>Vaatimus, jonka mukaan tukijärjestelmän lopulliset edunsaajat eivät saa tukea muista unionin välineistä samojen kustannusten kattamiseksi.</w:t>
      </w:r>
    </w:p>
    <w:p w14:paraId="64F04B98" w14:textId="37DD96F3" w:rsidR="000E48CE" w:rsidRDefault="00FF4C4E">
      <w:pPr>
        <w:pStyle w:val="P68B1DB1-paragraph25"/>
        <w:numPr>
          <w:ilvl w:val="0"/>
          <w:numId w:val="778"/>
        </w:numPr>
        <w:spacing w:before="120" w:after="120"/>
        <w:jc w:val="both"/>
        <w:textAlignment w:val="baseline"/>
        <w:rPr>
          <w:rFonts w:cs="Times New Roman"/>
          <w:noProof/>
        </w:rPr>
      </w:pPr>
      <w:r>
        <w:rPr>
          <w:noProof/>
        </w:rPr>
        <w:t>Järjestelmän kattama määrä ja vaatimus investoida tukijärjestelmästä käyttämättä jääneet tulot uudelleen edell</w:t>
      </w:r>
      <w:r>
        <w:rPr>
          <w:noProof/>
        </w:rPr>
        <w:t xml:space="preserve">ä lueteltuihin toimintoihin, myös vuoden 2026 jälkeen. </w:t>
      </w:r>
    </w:p>
    <w:p w14:paraId="7190FCC1" w14:textId="77777777" w:rsidR="000E48CE" w:rsidRDefault="00FF4C4E">
      <w:pPr>
        <w:pStyle w:val="P68B1DB1-paragraph25"/>
        <w:spacing w:before="120" w:beforeAutospacing="0" w:after="120" w:afterAutospacing="0"/>
        <w:jc w:val="both"/>
        <w:textAlignment w:val="baseline"/>
        <w:rPr>
          <w:rFonts w:cs="Times New Roman"/>
          <w:noProof/>
        </w:rPr>
      </w:pPr>
      <w:r>
        <w:rPr>
          <w:noProof/>
        </w:rPr>
        <w:t>Investoinnin toteuttaminen on saatettava päätökseen viimeistään 31 päivänä elokuuta 2026.</w:t>
      </w:r>
    </w:p>
    <w:p w14:paraId="236B8678" w14:textId="77777777" w:rsidR="000E48CE" w:rsidRDefault="00FF4C4E">
      <w:pPr>
        <w:pStyle w:val="P68B1DB1-Text141"/>
        <w:spacing w:before="0" w:after="160" w:line="259" w:lineRule="auto"/>
        <w:rPr>
          <w:rFonts w:cs="Times New Roman"/>
          <w:noProof/>
        </w:rPr>
      </w:pPr>
      <w:r>
        <w:rPr>
          <w:noProof/>
          <w:u w:val="single"/>
        </w:rPr>
        <w:t xml:space="preserve">AE.2 </w:t>
      </w:r>
      <w:r>
        <w:rPr>
          <w:noProof/>
          <w:u w:val="single"/>
        </w:rPr>
        <w:tab/>
        <w:t>Seurantaa ja täytäntöönpanoa koskevat välitavoitteet, tavoitteet, indikaattorit ja aikataulu – rahoitust</w:t>
      </w:r>
      <w:r>
        <w:rPr>
          <w:noProof/>
          <w:u w:val="single"/>
        </w:rPr>
        <w:t>uki, jota ei makseta takaisin</w:t>
      </w:r>
      <w:r>
        <w:rPr>
          <w:noProof/>
        </w:rPr>
        <w:t xml:space="preserve"> </w:t>
      </w:r>
    </w:p>
    <w:p w14:paraId="6F1268C1" w14:textId="3DE96705" w:rsidR="000E48CE" w:rsidRDefault="00FF4C4E">
      <w:pPr>
        <w:pStyle w:val="P68B1DB1-Normal18"/>
        <w:spacing w:after="160" w:line="259" w:lineRule="auto"/>
        <w:jc w:val="both"/>
        <w:rPr>
          <w:rFonts w:cs="Times New Roman"/>
          <w:noProof/>
        </w:rPr>
      </w:pPr>
      <w:r>
        <w:rPr>
          <w:noProof/>
        </w:rPr>
        <w:t xml:space="preserve">Ks. taulukko jäljempänä. Kaikkien indikaattoreiden perustaso on 1. helmikuuta 2022, ellei toimen kuvauksessa toisin ilmoiteta. Taulukossa esitetyt määrät eivät sisällä arvonlisäveroa.  </w:t>
      </w:r>
    </w:p>
    <w:p w14:paraId="3049B90A" w14:textId="77777777" w:rsidR="000E48CE" w:rsidRDefault="000E48CE">
      <w:pPr>
        <w:pStyle w:val="Text1"/>
        <w:ind w:left="490"/>
        <w:rPr>
          <w:rFonts w:ascii="Times New Roman" w:hAnsi="Times New Roman" w:cs="Times New Roman"/>
          <w:noProof/>
        </w:rPr>
      </w:pPr>
    </w:p>
    <w:p w14:paraId="174C711A" w14:textId="77777777" w:rsidR="000E48CE" w:rsidRDefault="000E48CE">
      <w:pPr>
        <w:spacing w:before="120" w:after="120" w:line="240" w:lineRule="auto"/>
        <w:jc w:val="both"/>
        <w:rPr>
          <w:rFonts w:ascii="Times New Roman" w:hAnsi="Times New Roman" w:cs="Times New Roman"/>
          <w:noProof/>
          <w:sz w:val="24"/>
          <w:highlight w:val="yellow"/>
        </w:rPr>
      </w:pPr>
    </w:p>
    <w:p w14:paraId="6A9BBC53" w14:textId="77777777" w:rsidR="000E48CE" w:rsidRDefault="000E48CE">
      <w:pPr>
        <w:pStyle w:val="Text1"/>
        <w:ind w:left="0"/>
        <w:rPr>
          <w:rFonts w:ascii="Times New Roman" w:eastAsia="Times New Roman" w:hAnsi="Times New Roman" w:cs="Times New Roman"/>
          <w:noProof/>
          <w:u w:val="single"/>
        </w:rPr>
        <w:sectPr w:rsidR="000E48CE" w:rsidSect="00C94F66">
          <w:headerReference w:type="even" r:id="rId567"/>
          <w:headerReference w:type="default" r:id="rId568"/>
          <w:footerReference w:type="even" r:id="rId569"/>
          <w:footerReference w:type="default" r:id="rId570"/>
          <w:headerReference w:type="first" r:id="rId571"/>
          <w:footerReference w:type="first" r:id="rId572"/>
          <w:pgSz w:w="11907" w:h="16839"/>
          <w:pgMar w:top="1134" w:right="1417" w:bottom="1134" w:left="1417" w:header="709" w:footer="709" w:gutter="0"/>
          <w:cols w:space="720"/>
          <w:docGrid w:linePitch="360"/>
        </w:sectPr>
      </w:pPr>
    </w:p>
    <w:tbl>
      <w:tblPr>
        <w:tblW w:w="1530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73"/>
        <w:gridCol w:w="804"/>
        <w:gridCol w:w="900"/>
        <w:gridCol w:w="2296"/>
        <w:gridCol w:w="1215"/>
        <w:gridCol w:w="600"/>
        <w:gridCol w:w="436"/>
        <w:gridCol w:w="556"/>
        <w:gridCol w:w="426"/>
        <w:gridCol w:w="502"/>
        <w:gridCol w:w="6869"/>
        <w:gridCol w:w="31"/>
      </w:tblGrid>
      <w:tr w:rsidR="000E48CE" w14:paraId="267E4B0F" w14:textId="77777777">
        <w:trPr>
          <w:trHeight w:val="309"/>
          <w:tblHeader/>
        </w:trPr>
        <w:tc>
          <w:tcPr>
            <w:tcW w:w="673" w:type="dxa"/>
            <w:tcBorders>
              <w:bottom w:val="nil"/>
            </w:tcBorders>
            <w:shd w:val="clear" w:color="auto" w:fill="C6D9F1" w:themeFill="text2" w:themeFillTint="33"/>
            <w:noWrap/>
            <w:vAlign w:val="center"/>
          </w:tcPr>
          <w:p w14:paraId="739499BC" w14:textId="77777777" w:rsidR="000E48CE" w:rsidRDefault="00FF4C4E">
            <w:pPr>
              <w:pStyle w:val="P68B1DB1-Normal12"/>
              <w:spacing w:after="0"/>
              <w:jc w:val="center"/>
              <w:rPr>
                <w:rFonts w:cs="Times New Roman"/>
                <w:noProof/>
              </w:rPr>
            </w:pPr>
            <w:r>
              <w:rPr>
                <w:noProof/>
              </w:rPr>
              <w:t>Määrä</w:t>
            </w:r>
          </w:p>
        </w:tc>
        <w:tc>
          <w:tcPr>
            <w:tcW w:w="804" w:type="dxa"/>
            <w:tcBorders>
              <w:bottom w:val="nil"/>
            </w:tcBorders>
            <w:shd w:val="clear" w:color="auto" w:fill="C6D9F1" w:themeFill="text2" w:themeFillTint="33"/>
            <w:noWrap/>
            <w:vAlign w:val="center"/>
          </w:tcPr>
          <w:p w14:paraId="26DABC7B" w14:textId="77777777" w:rsidR="000E48CE" w:rsidRDefault="00FF4C4E">
            <w:pPr>
              <w:pStyle w:val="P68B1DB1-Normal12"/>
              <w:spacing w:after="0"/>
              <w:jc w:val="center"/>
              <w:rPr>
                <w:rFonts w:cs="Times New Roman"/>
                <w:noProof/>
              </w:rPr>
            </w:pPr>
            <w:r>
              <w:rPr>
                <w:noProof/>
              </w:rPr>
              <w:t>Toimenpide</w:t>
            </w:r>
          </w:p>
        </w:tc>
        <w:tc>
          <w:tcPr>
            <w:tcW w:w="900" w:type="dxa"/>
            <w:tcBorders>
              <w:bottom w:val="nil"/>
            </w:tcBorders>
            <w:shd w:val="clear" w:color="auto" w:fill="C6D9F1" w:themeFill="text2" w:themeFillTint="33"/>
            <w:noWrap/>
            <w:vAlign w:val="center"/>
          </w:tcPr>
          <w:p w14:paraId="307D85D7" w14:textId="77777777" w:rsidR="000E48CE" w:rsidRDefault="00FF4C4E">
            <w:pPr>
              <w:pStyle w:val="P68B1DB1-Normal12"/>
              <w:spacing w:after="0"/>
              <w:jc w:val="center"/>
              <w:rPr>
                <w:rFonts w:cs="Times New Roman"/>
                <w:noProof/>
              </w:rPr>
            </w:pPr>
            <w:r>
              <w:rPr>
                <w:noProof/>
              </w:rPr>
              <w:t>Välitavoite</w:t>
            </w:r>
            <w:r>
              <w:rPr>
                <w:noProof/>
              </w:rPr>
              <w:br/>
              <w:t xml:space="preserve"> /Kohde</w:t>
            </w:r>
          </w:p>
        </w:tc>
        <w:tc>
          <w:tcPr>
            <w:tcW w:w="2296" w:type="dxa"/>
            <w:tcBorders>
              <w:bottom w:val="nil"/>
            </w:tcBorders>
            <w:shd w:val="clear" w:color="auto" w:fill="C6D9F1" w:themeFill="text2" w:themeFillTint="33"/>
            <w:noWrap/>
            <w:vAlign w:val="center"/>
          </w:tcPr>
          <w:p w14:paraId="5A8443B3" w14:textId="77777777" w:rsidR="000E48CE" w:rsidRDefault="00FF4C4E">
            <w:pPr>
              <w:pStyle w:val="P68B1DB1-Normal12"/>
              <w:spacing w:after="0"/>
              <w:jc w:val="center"/>
              <w:rPr>
                <w:rFonts w:cs="Times New Roman"/>
                <w:noProof/>
              </w:rPr>
            </w:pPr>
            <w:r>
              <w:rPr>
                <w:noProof/>
              </w:rPr>
              <w:t>Nimi</w:t>
            </w:r>
          </w:p>
        </w:tc>
        <w:tc>
          <w:tcPr>
            <w:tcW w:w="1215" w:type="dxa"/>
            <w:tcBorders>
              <w:bottom w:val="nil"/>
            </w:tcBorders>
            <w:shd w:val="clear" w:color="auto" w:fill="C6D9F1" w:themeFill="text2" w:themeFillTint="33"/>
            <w:noWrap/>
            <w:vAlign w:val="center"/>
          </w:tcPr>
          <w:p w14:paraId="1F260584" w14:textId="77777777" w:rsidR="000E48CE" w:rsidRDefault="00FF4C4E">
            <w:pPr>
              <w:pStyle w:val="P68B1DB1-Normal12"/>
              <w:spacing w:after="0"/>
              <w:jc w:val="center"/>
              <w:rPr>
                <w:rFonts w:cs="Times New Roman"/>
                <w:noProof/>
              </w:rPr>
            </w:pPr>
            <w:r>
              <w:rPr>
                <w:noProof/>
              </w:rPr>
              <w:t>Välitavoitteiden laadullinen indikaattori</w:t>
            </w:r>
          </w:p>
        </w:tc>
        <w:tc>
          <w:tcPr>
            <w:tcW w:w="1592" w:type="dxa"/>
            <w:gridSpan w:val="3"/>
            <w:shd w:val="clear" w:color="auto" w:fill="C6D9F1" w:themeFill="text2" w:themeFillTint="33"/>
            <w:noWrap/>
            <w:vAlign w:val="center"/>
          </w:tcPr>
          <w:p w14:paraId="10AE6A7A" w14:textId="77777777" w:rsidR="000E48CE" w:rsidRDefault="00FF4C4E">
            <w:pPr>
              <w:pStyle w:val="P68B1DB1-Normal12"/>
              <w:spacing w:after="0"/>
              <w:jc w:val="center"/>
              <w:rPr>
                <w:rFonts w:cs="Times New Roman"/>
                <w:noProof/>
              </w:rPr>
            </w:pPr>
            <w:r>
              <w:rPr>
                <w:noProof/>
              </w:rPr>
              <w:t>Määrällinen indikaattori tavoitteelle</w:t>
            </w:r>
          </w:p>
        </w:tc>
        <w:tc>
          <w:tcPr>
            <w:tcW w:w="928" w:type="dxa"/>
            <w:gridSpan w:val="2"/>
            <w:shd w:val="clear" w:color="auto" w:fill="C6D9F1" w:themeFill="text2" w:themeFillTint="33"/>
            <w:noWrap/>
            <w:vAlign w:val="center"/>
          </w:tcPr>
          <w:p w14:paraId="0E3795C7" w14:textId="77777777" w:rsidR="000E48CE" w:rsidRDefault="00FF4C4E">
            <w:pPr>
              <w:pStyle w:val="P68B1DB1-Normal12"/>
              <w:spacing w:after="0"/>
              <w:jc w:val="center"/>
              <w:rPr>
                <w:rFonts w:cs="Times New Roman"/>
                <w:noProof/>
              </w:rPr>
            </w:pPr>
            <w:r>
              <w:rPr>
                <w:noProof/>
              </w:rPr>
              <w:t>Aika</w:t>
            </w:r>
          </w:p>
        </w:tc>
        <w:tc>
          <w:tcPr>
            <w:tcW w:w="6900" w:type="dxa"/>
            <w:gridSpan w:val="2"/>
            <w:tcBorders>
              <w:bottom w:val="nil"/>
            </w:tcBorders>
            <w:shd w:val="clear" w:color="auto" w:fill="C6D9F1" w:themeFill="text2" w:themeFillTint="33"/>
            <w:noWrap/>
            <w:vAlign w:val="center"/>
          </w:tcPr>
          <w:p w14:paraId="0579A367" w14:textId="77777777" w:rsidR="000E48CE" w:rsidRDefault="00FF4C4E">
            <w:pPr>
              <w:pStyle w:val="P68B1DB1-Normal12"/>
              <w:spacing w:after="0"/>
              <w:jc w:val="center"/>
              <w:rPr>
                <w:rFonts w:cs="Times New Roman"/>
                <w:noProof/>
              </w:rPr>
            </w:pPr>
            <w:r>
              <w:rPr>
                <w:noProof/>
              </w:rPr>
              <w:t>Kunkin välitavoitteen ja tavoitteen kuvaus</w:t>
            </w:r>
          </w:p>
        </w:tc>
      </w:tr>
      <w:tr w:rsidR="000E48CE" w14:paraId="03DBCC2E" w14:textId="77777777">
        <w:trPr>
          <w:trHeight w:val="309"/>
          <w:tblHeader/>
        </w:trPr>
        <w:tc>
          <w:tcPr>
            <w:tcW w:w="673" w:type="dxa"/>
            <w:tcBorders>
              <w:top w:val="nil"/>
            </w:tcBorders>
            <w:shd w:val="clear" w:color="auto" w:fill="C6D9F1" w:themeFill="text2" w:themeFillTint="33"/>
            <w:noWrap/>
          </w:tcPr>
          <w:p w14:paraId="56125178" w14:textId="77777777" w:rsidR="000E48CE" w:rsidRDefault="000E48CE">
            <w:pPr>
              <w:spacing w:after="0"/>
              <w:jc w:val="center"/>
              <w:rPr>
                <w:rFonts w:ascii="Times New Roman" w:hAnsi="Times New Roman" w:cs="Times New Roman"/>
                <w:b/>
                <w:noProof/>
                <w:sz w:val="18"/>
              </w:rPr>
            </w:pPr>
          </w:p>
        </w:tc>
        <w:tc>
          <w:tcPr>
            <w:tcW w:w="804" w:type="dxa"/>
            <w:tcBorders>
              <w:top w:val="nil"/>
            </w:tcBorders>
            <w:shd w:val="clear" w:color="auto" w:fill="C6D9F1" w:themeFill="text2" w:themeFillTint="33"/>
            <w:noWrap/>
          </w:tcPr>
          <w:p w14:paraId="17CC4C53" w14:textId="77777777" w:rsidR="000E48CE" w:rsidRDefault="000E48CE">
            <w:pPr>
              <w:spacing w:after="0"/>
              <w:jc w:val="center"/>
              <w:rPr>
                <w:rFonts w:ascii="Times New Roman" w:hAnsi="Times New Roman" w:cs="Times New Roman"/>
                <w:b/>
                <w:noProof/>
                <w:sz w:val="18"/>
              </w:rPr>
            </w:pPr>
          </w:p>
        </w:tc>
        <w:tc>
          <w:tcPr>
            <w:tcW w:w="900" w:type="dxa"/>
            <w:tcBorders>
              <w:top w:val="nil"/>
            </w:tcBorders>
            <w:shd w:val="clear" w:color="auto" w:fill="C6D9F1" w:themeFill="text2" w:themeFillTint="33"/>
            <w:noWrap/>
          </w:tcPr>
          <w:p w14:paraId="1398DCEE" w14:textId="77777777" w:rsidR="000E48CE" w:rsidRDefault="000E48CE">
            <w:pPr>
              <w:spacing w:after="0"/>
              <w:jc w:val="center"/>
              <w:rPr>
                <w:rFonts w:ascii="Times New Roman" w:hAnsi="Times New Roman" w:cs="Times New Roman"/>
                <w:b/>
                <w:noProof/>
                <w:sz w:val="18"/>
              </w:rPr>
            </w:pPr>
          </w:p>
        </w:tc>
        <w:tc>
          <w:tcPr>
            <w:tcW w:w="2296" w:type="dxa"/>
            <w:tcBorders>
              <w:top w:val="nil"/>
            </w:tcBorders>
            <w:shd w:val="clear" w:color="auto" w:fill="C6D9F1" w:themeFill="text2" w:themeFillTint="33"/>
            <w:noWrap/>
          </w:tcPr>
          <w:p w14:paraId="6A604297" w14:textId="77777777" w:rsidR="000E48CE" w:rsidRDefault="000E48CE">
            <w:pPr>
              <w:spacing w:after="0"/>
              <w:rPr>
                <w:rFonts w:ascii="Times New Roman" w:hAnsi="Times New Roman" w:cs="Times New Roman"/>
                <w:b/>
                <w:noProof/>
                <w:sz w:val="18"/>
              </w:rPr>
            </w:pPr>
          </w:p>
        </w:tc>
        <w:tc>
          <w:tcPr>
            <w:tcW w:w="1215" w:type="dxa"/>
            <w:tcBorders>
              <w:top w:val="nil"/>
            </w:tcBorders>
            <w:shd w:val="clear" w:color="auto" w:fill="C6D9F1" w:themeFill="text2" w:themeFillTint="33"/>
            <w:noWrap/>
          </w:tcPr>
          <w:p w14:paraId="09E79A89" w14:textId="77777777" w:rsidR="000E48CE" w:rsidRDefault="000E48CE">
            <w:pPr>
              <w:spacing w:after="0"/>
              <w:jc w:val="center"/>
              <w:rPr>
                <w:rFonts w:ascii="Times New Roman" w:hAnsi="Times New Roman" w:cs="Times New Roman"/>
                <w:b/>
                <w:noProof/>
                <w:sz w:val="18"/>
              </w:rPr>
            </w:pPr>
          </w:p>
        </w:tc>
        <w:tc>
          <w:tcPr>
            <w:tcW w:w="600" w:type="dxa"/>
            <w:shd w:val="clear" w:color="auto" w:fill="C6D9F1" w:themeFill="text2" w:themeFillTint="33"/>
            <w:noWrap/>
          </w:tcPr>
          <w:p w14:paraId="15204107" w14:textId="77777777" w:rsidR="000E48CE" w:rsidRDefault="00FF4C4E">
            <w:pPr>
              <w:pStyle w:val="P68B1DB1-Normal12"/>
              <w:spacing w:after="0"/>
              <w:jc w:val="center"/>
              <w:rPr>
                <w:rFonts w:cs="Times New Roman"/>
                <w:noProof/>
              </w:rPr>
            </w:pPr>
            <w:r>
              <w:rPr>
                <w:noProof/>
              </w:rPr>
              <w:t>Yksikkö</w:t>
            </w:r>
          </w:p>
        </w:tc>
        <w:tc>
          <w:tcPr>
            <w:tcW w:w="436" w:type="dxa"/>
            <w:shd w:val="clear" w:color="auto" w:fill="C6D9F1" w:themeFill="text2" w:themeFillTint="33"/>
            <w:noWrap/>
          </w:tcPr>
          <w:p w14:paraId="116B796B" w14:textId="77777777" w:rsidR="000E48CE" w:rsidRDefault="00FF4C4E">
            <w:pPr>
              <w:pStyle w:val="P68B1DB1-Normal12"/>
              <w:spacing w:after="0"/>
              <w:jc w:val="center"/>
              <w:rPr>
                <w:rFonts w:cs="Times New Roman"/>
                <w:noProof/>
              </w:rPr>
            </w:pPr>
            <w:r>
              <w:rPr>
                <w:noProof/>
              </w:rPr>
              <w:t>Perusviiva</w:t>
            </w:r>
          </w:p>
        </w:tc>
        <w:tc>
          <w:tcPr>
            <w:tcW w:w="556" w:type="dxa"/>
            <w:shd w:val="clear" w:color="auto" w:fill="C6D9F1" w:themeFill="text2" w:themeFillTint="33"/>
            <w:noWrap/>
          </w:tcPr>
          <w:p w14:paraId="631DC979" w14:textId="77777777" w:rsidR="000E48CE" w:rsidRDefault="00FF4C4E">
            <w:pPr>
              <w:pStyle w:val="P68B1DB1-Normal12"/>
              <w:spacing w:after="0"/>
              <w:jc w:val="center"/>
              <w:rPr>
                <w:rFonts w:cs="Times New Roman"/>
                <w:noProof/>
              </w:rPr>
            </w:pPr>
            <w:r>
              <w:rPr>
                <w:noProof/>
              </w:rPr>
              <w:t>Päämäärä</w:t>
            </w:r>
          </w:p>
        </w:tc>
        <w:tc>
          <w:tcPr>
            <w:tcW w:w="426" w:type="dxa"/>
            <w:shd w:val="clear" w:color="auto" w:fill="C6D9F1" w:themeFill="text2" w:themeFillTint="33"/>
            <w:noWrap/>
          </w:tcPr>
          <w:p w14:paraId="08C70B5D" w14:textId="77777777" w:rsidR="000E48CE" w:rsidRDefault="00FF4C4E">
            <w:pPr>
              <w:pStyle w:val="P68B1DB1-Normal12"/>
              <w:spacing w:after="0"/>
              <w:jc w:val="center"/>
              <w:rPr>
                <w:rFonts w:cs="Times New Roman"/>
                <w:noProof/>
              </w:rPr>
            </w:pPr>
            <w:r>
              <w:rPr>
                <w:noProof/>
              </w:rPr>
              <w:t>Q</w:t>
            </w:r>
          </w:p>
        </w:tc>
        <w:tc>
          <w:tcPr>
            <w:tcW w:w="502" w:type="dxa"/>
            <w:shd w:val="clear" w:color="auto" w:fill="C6D9F1" w:themeFill="text2" w:themeFillTint="33"/>
            <w:noWrap/>
          </w:tcPr>
          <w:p w14:paraId="570BB18C" w14:textId="77777777" w:rsidR="000E48CE" w:rsidRDefault="00FF4C4E">
            <w:pPr>
              <w:pStyle w:val="P68B1DB1-Normal12"/>
              <w:spacing w:after="0"/>
              <w:jc w:val="center"/>
              <w:rPr>
                <w:rFonts w:cs="Times New Roman"/>
                <w:noProof/>
              </w:rPr>
            </w:pPr>
            <w:r>
              <w:rPr>
                <w:noProof/>
              </w:rPr>
              <w:t>Vuosi</w:t>
            </w:r>
          </w:p>
        </w:tc>
        <w:tc>
          <w:tcPr>
            <w:tcW w:w="6900" w:type="dxa"/>
            <w:gridSpan w:val="2"/>
            <w:tcBorders>
              <w:top w:val="nil"/>
            </w:tcBorders>
            <w:shd w:val="clear" w:color="auto" w:fill="C6D9F1" w:themeFill="text2" w:themeFillTint="33"/>
            <w:noWrap/>
          </w:tcPr>
          <w:p w14:paraId="76A71BA0" w14:textId="77777777" w:rsidR="000E48CE" w:rsidRDefault="000E48CE">
            <w:pPr>
              <w:spacing w:after="0"/>
              <w:rPr>
                <w:rFonts w:ascii="Times New Roman" w:hAnsi="Times New Roman" w:cs="Times New Roman"/>
                <w:b/>
                <w:noProof/>
                <w:sz w:val="18"/>
              </w:rPr>
            </w:pPr>
          </w:p>
        </w:tc>
      </w:tr>
      <w:tr w:rsidR="000E48CE" w14:paraId="184BB870" w14:textId="77777777">
        <w:trPr>
          <w:trHeight w:val="309"/>
        </w:trPr>
        <w:tc>
          <w:tcPr>
            <w:tcW w:w="673" w:type="dxa"/>
            <w:shd w:val="clear" w:color="auto" w:fill="C6EFCE"/>
            <w:noWrap/>
          </w:tcPr>
          <w:p w14:paraId="2234A85A" w14:textId="35A9F5D9" w:rsidR="000E48CE" w:rsidRDefault="00FF4C4E">
            <w:pPr>
              <w:pStyle w:val="P68B1DB1-Normal13"/>
              <w:spacing w:after="0"/>
              <w:jc w:val="center"/>
              <w:rPr>
                <w:rFonts w:eastAsia="Times New Roman" w:cs="Times New Roman"/>
                <w:noProof/>
              </w:rPr>
            </w:pPr>
            <w:r>
              <w:rPr>
                <w:noProof/>
              </w:rPr>
              <w:t>477</w:t>
            </w:r>
          </w:p>
        </w:tc>
        <w:tc>
          <w:tcPr>
            <w:tcW w:w="804" w:type="dxa"/>
            <w:shd w:val="clear" w:color="auto" w:fill="C6EFCE"/>
            <w:noWrap/>
          </w:tcPr>
          <w:p w14:paraId="592B3B8B" w14:textId="77777777" w:rsidR="000E48CE" w:rsidRDefault="00FF4C4E">
            <w:pPr>
              <w:pStyle w:val="P68B1DB1-Normal13"/>
              <w:spacing w:after="0"/>
              <w:jc w:val="center"/>
              <w:rPr>
                <w:rFonts w:eastAsia="Times New Roman" w:cs="Times New Roman"/>
                <w:noProof/>
              </w:rPr>
            </w:pPr>
            <w:r>
              <w:rPr>
                <w:noProof/>
              </w:rPr>
              <w:t>C31.R1</w:t>
            </w:r>
          </w:p>
        </w:tc>
        <w:tc>
          <w:tcPr>
            <w:tcW w:w="900" w:type="dxa"/>
            <w:shd w:val="clear" w:color="auto" w:fill="C6EFCE"/>
            <w:noWrap/>
          </w:tcPr>
          <w:p w14:paraId="6A981BD6" w14:textId="77777777" w:rsidR="000E48CE" w:rsidRDefault="00FF4C4E">
            <w:pPr>
              <w:pStyle w:val="P68B1DB1-Normal13"/>
              <w:spacing w:after="0"/>
              <w:jc w:val="center"/>
              <w:rPr>
                <w:rFonts w:eastAsia="Times New Roman" w:cs="Times New Roman"/>
                <w:noProof/>
              </w:rPr>
            </w:pPr>
            <w:r>
              <w:rPr>
                <w:noProof/>
              </w:rPr>
              <w:t>M</w:t>
            </w:r>
          </w:p>
        </w:tc>
        <w:tc>
          <w:tcPr>
            <w:tcW w:w="2296" w:type="dxa"/>
            <w:shd w:val="clear" w:color="auto" w:fill="C6EFCE"/>
            <w:noWrap/>
          </w:tcPr>
          <w:p w14:paraId="6870C080" w14:textId="77777777" w:rsidR="000E48CE" w:rsidRDefault="00FF4C4E">
            <w:pPr>
              <w:pStyle w:val="P68B1DB1-Normal13"/>
              <w:spacing w:after="0"/>
              <w:rPr>
                <w:rFonts w:eastAsia="Times New Roman" w:cs="Times New Roman"/>
                <w:noProof/>
              </w:rPr>
            </w:pPr>
            <w:r>
              <w:rPr>
                <w:noProof/>
              </w:rPr>
              <w:t>Uusiutuvan energian tuotannon ja sähköverkkoinfrastruktuurin lupamenettelyjen parantaminen</w:t>
            </w:r>
          </w:p>
        </w:tc>
        <w:tc>
          <w:tcPr>
            <w:tcW w:w="1215" w:type="dxa"/>
            <w:shd w:val="clear" w:color="auto" w:fill="C6EFCE"/>
            <w:noWrap/>
          </w:tcPr>
          <w:p w14:paraId="4895CD95" w14:textId="29762458" w:rsidR="000E48CE" w:rsidRDefault="00FF4C4E">
            <w:pPr>
              <w:pStyle w:val="P68B1DB1-Normal13"/>
              <w:spacing w:after="0"/>
              <w:jc w:val="center"/>
              <w:rPr>
                <w:rFonts w:eastAsia="Times New Roman" w:cs="Times New Roman"/>
                <w:noProof/>
              </w:rPr>
            </w:pPr>
            <w:r>
              <w:rPr>
                <w:noProof/>
              </w:rPr>
              <w:t>Asiaa koskevien säädösten säännösten voimaantulo</w:t>
            </w:r>
          </w:p>
        </w:tc>
        <w:tc>
          <w:tcPr>
            <w:tcW w:w="600" w:type="dxa"/>
            <w:shd w:val="clear" w:color="auto" w:fill="C6EFCE"/>
            <w:noWrap/>
          </w:tcPr>
          <w:p w14:paraId="35FCBA3A" w14:textId="77777777"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3B810888" w14:textId="77777777" w:rsidR="000E48CE" w:rsidRDefault="000E48CE">
            <w:pPr>
              <w:spacing w:after="0"/>
              <w:jc w:val="right"/>
              <w:rPr>
                <w:rFonts w:ascii="Times New Roman" w:eastAsia="Times New Roman" w:hAnsi="Times New Roman" w:cs="Times New Roman"/>
                <w:noProof/>
                <w:sz w:val="18"/>
              </w:rPr>
            </w:pPr>
          </w:p>
        </w:tc>
        <w:tc>
          <w:tcPr>
            <w:tcW w:w="556" w:type="dxa"/>
            <w:shd w:val="clear" w:color="auto" w:fill="C6EFCE"/>
            <w:noWrap/>
          </w:tcPr>
          <w:p w14:paraId="60310B7E" w14:textId="77777777" w:rsidR="000E48CE" w:rsidRDefault="000E48CE">
            <w:pPr>
              <w:spacing w:after="0"/>
              <w:jc w:val="right"/>
              <w:rPr>
                <w:rFonts w:ascii="Times New Roman" w:eastAsia="Times New Roman" w:hAnsi="Times New Roman" w:cs="Times New Roman"/>
                <w:noProof/>
                <w:sz w:val="18"/>
              </w:rPr>
            </w:pPr>
          </w:p>
        </w:tc>
        <w:tc>
          <w:tcPr>
            <w:tcW w:w="426" w:type="dxa"/>
            <w:shd w:val="clear" w:color="auto" w:fill="C6EFCE"/>
            <w:noWrap/>
          </w:tcPr>
          <w:p w14:paraId="5492C28E" w14:textId="77777777" w:rsidR="000E48CE" w:rsidRDefault="00FF4C4E">
            <w:pPr>
              <w:pStyle w:val="P68B1DB1-Normal13"/>
              <w:spacing w:after="0"/>
              <w:jc w:val="center"/>
              <w:rPr>
                <w:rFonts w:eastAsia="Times New Roman" w:cs="Times New Roman"/>
                <w:noProof/>
              </w:rPr>
            </w:pPr>
            <w:r>
              <w:rPr>
                <w:noProof/>
              </w:rPr>
              <w:t>KOLMAS VUOSINELJÄNNES</w:t>
            </w:r>
          </w:p>
        </w:tc>
        <w:tc>
          <w:tcPr>
            <w:tcW w:w="502" w:type="dxa"/>
            <w:shd w:val="clear" w:color="auto" w:fill="C6EFCE"/>
            <w:noWrap/>
          </w:tcPr>
          <w:p w14:paraId="1D3E9D00" w14:textId="77777777" w:rsidR="000E48CE" w:rsidRDefault="00FF4C4E">
            <w:pPr>
              <w:pStyle w:val="P68B1DB1-Normal13"/>
              <w:spacing w:after="0"/>
              <w:jc w:val="center"/>
              <w:rPr>
                <w:rFonts w:eastAsia="Times New Roman" w:cs="Times New Roman"/>
                <w:noProof/>
              </w:rPr>
            </w:pPr>
            <w:r>
              <w:rPr>
                <w:noProof/>
              </w:rPr>
              <w:t>2023</w:t>
            </w:r>
          </w:p>
        </w:tc>
        <w:tc>
          <w:tcPr>
            <w:tcW w:w="6900" w:type="dxa"/>
            <w:gridSpan w:val="2"/>
            <w:shd w:val="clear" w:color="auto" w:fill="C6EFCE"/>
            <w:noWrap/>
          </w:tcPr>
          <w:p w14:paraId="0619D38F" w14:textId="77777777" w:rsidR="000E48CE" w:rsidRDefault="00FF4C4E">
            <w:pPr>
              <w:pStyle w:val="P68B1DB1-Normal13"/>
              <w:spacing w:after="0"/>
              <w:rPr>
                <w:rFonts w:eastAsia="Times New Roman" w:cs="Times New Roman"/>
                <w:noProof/>
              </w:rPr>
            </w:pPr>
            <w:r>
              <w:rPr>
                <w:noProof/>
              </w:rPr>
              <w:t>Tämä välitavoite sisältää kaksi osatekijää.</w:t>
            </w:r>
          </w:p>
          <w:p w14:paraId="27D5BE29" w14:textId="5AD73102" w:rsidR="000E48CE" w:rsidRDefault="00FF4C4E">
            <w:pPr>
              <w:pStyle w:val="P68B1DB1-ListParagraph14"/>
              <w:numPr>
                <w:ilvl w:val="0"/>
                <w:numId w:val="641"/>
              </w:numPr>
              <w:spacing w:after="0"/>
              <w:rPr>
                <w:rFonts w:eastAsia="Times New Roman" w:cs="Times New Roman"/>
                <w:noProof/>
              </w:rPr>
            </w:pPr>
            <w:r>
              <w:rPr>
                <w:noProof/>
              </w:rPr>
              <w:t xml:space="preserve">Ensinnäkin kuninkaan asetusten 14/2022, 17/2022, 18/2022 ja 20/2022 voimaantulo. Näihin kuninkaallisiin lakeihin sisältyvillä energiatoimenpiteillä pyritään yksinkertaistamaan uusiutuvan energian hankkeiden ja sähköverkkoinfrastruktuurin lupia. </w:t>
            </w:r>
          </w:p>
          <w:p w14:paraId="4DED00FD" w14:textId="77777777" w:rsidR="000E48CE" w:rsidRDefault="00FF4C4E">
            <w:pPr>
              <w:pStyle w:val="P68B1DB1-ListParagraph14"/>
              <w:numPr>
                <w:ilvl w:val="0"/>
                <w:numId w:val="641"/>
              </w:numPr>
              <w:spacing w:after="0"/>
              <w:rPr>
                <w:rFonts w:eastAsia="Times New Roman" w:cs="Times New Roman"/>
                <w:noProof/>
              </w:rPr>
            </w:pPr>
            <w:r>
              <w:rPr>
                <w:noProof/>
              </w:rPr>
              <w:t>Toiseksi t</w:t>
            </w:r>
            <w:r>
              <w:rPr>
                <w:noProof/>
              </w:rPr>
              <w:t>uli voimaan Orden TED/189/2023, jolla perustettiin keskushallintoon uusi hallinnollinen yksikkö, joka tukee uusiutuvan energian hankkeiden lupahakemusten käsittelyä.</w:t>
            </w:r>
          </w:p>
        </w:tc>
      </w:tr>
      <w:tr w:rsidR="000E48CE" w14:paraId="2782EDCD" w14:textId="77777777">
        <w:trPr>
          <w:trHeight w:val="761"/>
        </w:trPr>
        <w:tc>
          <w:tcPr>
            <w:tcW w:w="673" w:type="dxa"/>
            <w:shd w:val="clear" w:color="auto" w:fill="C6EFCE"/>
            <w:noWrap/>
          </w:tcPr>
          <w:p w14:paraId="2BEF61F4" w14:textId="695613C8" w:rsidR="000E48CE" w:rsidRDefault="00FF4C4E">
            <w:pPr>
              <w:pStyle w:val="P68B1DB1-Normal13"/>
              <w:spacing w:after="0"/>
              <w:jc w:val="center"/>
              <w:rPr>
                <w:rFonts w:eastAsia="Times New Roman" w:cs="Times New Roman"/>
                <w:noProof/>
              </w:rPr>
            </w:pPr>
            <w:r>
              <w:rPr>
                <w:noProof/>
              </w:rPr>
              <w:t>478</w:t>
            </w:r>
          </w:p>
        </w:tc>
        <w:tc>
          <w:tcPr>
            <w:tcW w:w="804" w:type="dxa"/>
            <w:shd w:val="clear" w:color="auto" w:fill="C6EFCE"/>
            <w:noWrap/>
          </w:tcPr>
          <w:p w14:paraId="198D8923" w14:textId="77777777" w:rsidR="000E48CE" w:rsidRDefault="00FF4C4E">
            <w:pPr>
              <w:pStyle w:val="P68B1DB1-Normal13"/>
              <w:spacing w:after="0"/>
              <w:jc w:val="center"/>
              <w:rPr>
                <w:rFonts w:eastAsia="Times New Roman" w:cs="Times New Roman"/>
                <w:noProof/>
              </w:rPr>
            </w:pPr>
            <w:r>
              <w:rPr>
                <w:noProof/>
              </w:rPr>
              <w:t>C31.I1</w:t>
            </w:r>
          </w:p>
        </w:tc>
        <w:tc>
          <w:tcPr>
            <w:tcW w:w="900" w:type="dxa"/>
            <w:shd w:val="clear" w:color="auto" w:fill="C6EFCE"/>
            <w:noWrap/>
          </w:tcPr>
          <w:p w14:paraId="65D2BFBB" w14:textId="77777777" w:rsidR="000E48CE" w:rsidRDefault="00FF4C4E">
            <w:pPr>
              <w:pStyle w:val="P68B1DB1-Normal13"/>
              <w:spacing w:after="0"/>
              <w:jc w:val="center"/>
              <w:rPr>
                <w:rFonts w:eastAsia="Times New Roman" w:cs="Times New Roman"/>
                <w:noProof/>
              </w:rPr>
            </w:pPr>
            <w:r>
              <w:rPr>
                <w:noProof/>
              </w:rPr>
              <w:t>T</w:t>
            </w:r>
          </w:p>
        </w:tc>
        <w:tc>
          <w:tcPr>
            <w:tcW w:w="2296" w:type="dxa"/>
            <w:shd w:val="clear" w:color="auto" w:fill="C6EFCE"/>
            <w:noWrap/>
          </w:tcPr>
          <w:p w14:paraId="611255BA" w14:textId="13D8B2C8" w:rsidR="000E48CE" w:rsidRDefault="00FF4C4E">
            <w:pPr>
              <w:pStyle w:val="P68B1DB1-Normal13"/>
              <w:spacing w:after="0"/>
              <w:rPr>
                <w:rFonts w:eastAsia="Times New Roman" w:cs="Times New Roman"/>
                <w:noProof/>
              </w:rPr>
            </w:pPr>
            <w:r>
              <w:rPr>
                <w:noProof/>
              </w:rPr>
              <w:t xml:space="preserve">Investoinnit, joilla edistetään energian varastointia tai itse tuotetun </w:t>
            </w:r>
            <w:r>
              <w:rPr>
                <w:noProof/>
              </w:rPr>
              <w:t>energian kulutusta, joka perustuu uusiutuvan energian tuotantoon tai mittarin takaiseen varastointiin</w:t>
            </w:r>
          </w:p>
        </w:tc>
        <w:tc>
          <w:tcPr>
            <w:tcW w:w="1215" w:type="dxa"/>
            <w:shd w:val="clear" w:color="auto" w:fill="C6EFCE"/>
            <w:noWrap/>
          </w:tcPr>
          <w:p w14:paraId="176FB6E3" w14:textId="77777777" w:rsidR="000E48CE" w:rsidRDefault="000E48CE">
            <w:pPr>
              <w:spacing w:after="0"/>
              <w:rPr>
                <w:rFonts w:ascii="Times New Roman" w:eastAsia="Times New Roman" w:hAnsi="Times New Roman" w:cs="Times New Roman"/>
                <w:noProof/>
                <w:sz w:val="18"/>
              </w:rPr>
            </w:pPr>
          </w:p>
        </w:tc>
        <w:tc>
          <w:tcPr>
            <w:tcW w:w="600" w:type="dxa"/>
            <w:shd w:val="clear" w:color="auto" w:fill="C6EFCE"/>
            <w:noWrap/>
          </w:tcPr>
          <w:p w14:paraId="33C7CEAC" w14:textId="77777777" w:rsidR="000E48CE" w:rsidRDefault="00FF4C4E">
            <w:pPr>
              <w:pStyle w:val="P68B1DB1-Normal13"/>
              <w:spacing w:after="0"/>
              <w:jc w:val="center"/>
              <w:rPr>
                <w:rFonts w:eastAsia="Times New Roman" w:cs="Times New Roman"/>
                <w:noProof/>
              </w:rPr>
            </w:pPr>
            <w:r>
              <w:rPr>
                <w:noProof/>
              </w:rPr>
              <w:t>MW</w:t>
            </w:r>
          </w:p>
        </w:tc>
        <w:tc>
          <w:tcPr>
            <w:tcW w:w="436" w:type="dxa"/>
            <w:shd w:val="clear" w:color="auto" w:fill="C6EFCE"/>
            <w:noWrap/>
          </w:tcPr>
          <w:p w14:paraId="13507CC5" w14:textId="77777777" w:rsidR="000E48CE" w:rsidRDefault="00FF4C4E">
            <w:pPr>
              <w:pStyle w:val="P68B1DB1-Normal13"/>
              <w:spacing w:after="0"/>
              <w:jc w:val="right"/>
              <w:rPr>
                <w:rFonts w:eastAsia="Times New Roman" w:cs="Times New Roman"/>
                <w:noProof/>
              </w:rPr>
            </w:pPr>
            <w:r>
              <w:rPr>
                <w:noProof/>
              </w:rPr>
              <w:t>4400</w:t>
            </w:r>
          </w:p>
        </w:tc>
        <w:tc>
          <w:tcPr>
            <w:tcW w:w="556" w:type="dxa"/>
            <w:shd w:val="clear" w:color="auto" w:fill="C6EFCE"/>
            <w:noWrap/>
          </w:tcPr>
          <w:p w14:paraId="11CF54B5" w14:textId="77777777" w:rsidR="000E48CE" w:rsidRDefault="00FF4C4E">
            <w:pPr>
              <w:pStyle w:val="P68B1DB1-Normal13"/>
              <w:spacing w:after="0"/>
              <w:jc w:val="right"/>
              <w:rPr>
                <w:rFonts w:eastAsia="Times New Roman" w:cs="Times New Roman"/>
                <w:noProof/>
              </w:rPr>
            </w:pPr>
            <w:r>
              <w:rPr>
                <w:noProof/>
              </w:rPr>
              <w:t>5100</w:t>
            </w:r>
          </w:p>
        </w:tc>
        <w:tc>
          <w:tcPr>
            <w:tcW w:w="426" w:type="dxa"/>
            <w:shd w:val="clear" w:color="auto" w:fill="C6EFCE"/>
            <w:noWrap/>
          </w:tcPr>
          <w:p w14:paraId="59F14DA3" w14:textId="0B21E33C" w:rsidR="000E48CE" w:rsidRDefault="00FF4C4E">
            <w:pPr>
              <w:pStyle w:val="P68B1DB1-Normal13"/>
              <w:spacing w:after="0"/>
              <w:jc w:val="center"/>
              <w:rPr>
                <w:rFonts w:eastAsia="Times New Roman" w:cs="Times New Roman"/>
                <w:noProof/>
              </w:rPr>
            </w:pPr>
            <w:r>
              <w:rPr>
                <w:noProof/>
              </w:rPr>
              <w:t xml:space="preserve">KOLMAS VUOSINELJÄNNES </w:t>
            </w:r>
          </w:p>
        </w:tc>
        <w:tc>
          <w:tcPr>
            <w:tcW w:w="502" w:type="dxa"/>
            <w:shd w:val="clear" w:color="auto" w:fill="C6EFCE"/>
            <w:noWrap/>
          </w:tcPr>
          <w:p w14:paraId="193C54A9" w14:textId="77777777" w:rsidR="000E48CE" w:rsidRDefault="00FF4C4E">
            <w:pPr>
              <w:pStyle w:val="P68B1DB1-Normal13"/>
              <w:spacing w:after="0"/>
              <w:jc w:val="center"/>
              <w:rPr>
                <w:rFonts w:eastAsia="Times New Roman" w:cs="Times New Roman"/>
                <w:noProof/>
              </w:rPr>
            </w:pPr>
            <w:r>
              <w:rPr>
                <w:noProof/>
              </w:rPr>
              <w:t>2026</w:t>
            </w:r>
          </w:p>
        </w:tc>
        <w:tc>
          <w:tcPr>
            <w:tcW w:w="6900" w:type="dxa"/>
            <w:gridSpan w:val="2"/>
            <w:shd w:val="clear" w:color="auto" w:fill="C6EFCE"/>
            <w:noWrap/>
          </w:tcPr>
          <w:p w14:paraId="3A88A732" w14:textId="4C9B72A2" w:rsidR="000E48CE" w:rsidRDefault="00FF4C4E">
            <w:pPr>
              <w:pStyle w:val="P68B1DB1-Normal13"/>
              <w:spacing w:after="0"/>
              <w:rPr>
                <w:rFonts w:eastAsia="Times New Roman" w:cs="Times New Roman"/>
                <w:noProof/>
              </w:rPr>
            </w:pPr>
            <w:r>
              <w:rPr>
                <w:noProof/>
              </w:rPr>
              <w:t>700 megawattia asennettua kapasiteettia energian varastoinnissa tai itse tuotetun kulutuksen sovelluksissa, jotk</w:t>
            </w:r>
            <w:r>
              <w:rPr>
                <w:noProof/>
              </w:rPr>
              <w:t>a on integroitu rakennuksiin tai tuotantoprosesseihin. Itse tuotetun energian sovellusten on perustuttava uusiutuvaan energiaan liittyviin teknologioihin tai mittarin ulkopuolisiin varastointiratkaisuihin. (Perustaso: päivämäärä Q2 2026, tavoitteen 117 tav</w:t>
            </w:r>
            <w:r>
              <w:rPr>
                <w:noProof/>
              </w:rPr>
              <w:t>oite ja päivämäärä Q2 2026; tavoitteen 126 tavoite)</w:t>
            </w:r>
          </w:p>
        </w:tc>
      </w:tr>
      <w:tr w:rsidR="000E48CE" w14:paraId="46C02275" w14:textId="77777777">
        <w:trPr>
          <w:trHeight w:val="309"/>
        </w:trPr>
        <w:tc>
          <w:tcPr>
            <w:tcW w:w="673" w:type="dxa"/>
            <w:shd w:val="clear" w:color="auto" w:fill="C6EFCE"/>
            <w:noWrap/>
          </w:tcPr>
          <w:p w14:paraId="64E993A2" w14:textId="035C7708" w:rsidR="000E48CE" w:rsidRDefault="00FF4C4E">
            <w:pPr>
              <w:pStyle w:val="P68B1DB1-Normal13"/>
              <w:spacing w:after="0"/>
              <w:jc w:val="center"/>
              <w:rPr>
                <w:rFonts w:eastAsia="Times New Roman" w:cs="Times New Roman"/>
                <w:noProof/>
              </w:rPr>
            </w:pPr>
            <w:r>
              <w:rPr>
                <w:noProof/>
              </w:rPr>
              <w:t>479</w:t>
            </w:r>
          </w:p>
        </w:tc>
        <w:tc>
          <w:tcPr>
            <w:tcW w:w="804" w:type="dxa"/>
            <w:shd w:val="clear" w:color="auto" w:fill="C6EFCE"/>
            <w:noWrap/>
          </w:tcPr>
          <w:p w14:paraId="6FD19699" w14:textId="77777777" w:rsidR="000E48CE" w:rsidRDefault="00FF4C4E">
            <w:pPr>
              <w:pStyle w:val="P68B1DB1-Normal13"/>
              <w:spacing w:after="0"/>
              <w:jc w:val="center"/>
              <w:rPr>
                <w:rFonts w:eastAsia="Times New Roman" w:cs="Times New Roman"/>
                <w:noProof/>
              </w:rPr>
            </w:pPr>
            <w:r>
              <w:rPr>
                <w:noProof/>
              </w:rPr>
              <w:t>C31.I1</w:t>
            </w:r>
          </w:p>
        </w:tc>
        <w:tc>
          <w:tcPr>
            <w:tcW w:w="900" w:type="dxa"/>
            <w:shd w:val="clear" w:color="auto" w:fill="C6EFCE"/>
            <w:noWrap/>
          </w:tcPr>
          <w:p w14:paraId="568B693C" w14:textId="77777777" w:rsidR="000E48CE" w:rsidRDefault="00FF4C4E">
            <w:pPr>
              <w:pStyle w:val="P68B1DB1-Normal13"/>
              <w:spacing w:after="0"/>
              <w:jc w:val="center"/>
              <w:rPr>
                <w:rFonts w:eastAsia="Times New Roman" w:cs="Times New Roman"/>
                <w:noProof/>
              </w:rPr>
            </w:pPr>
            <w:r>
              <w:rPr>
                <w:noProof/>
              </w:rPr>
              <w:t>T</w:t>
            </w:r>
          </w:p>
        </w:tc>
        <w:tc>
          <w:tcPr>
            <w:tcW w:w="2296" w:type="dxa"/>
            <w:shd w:val="clear" w:color="auto" w:fill="C6EFCE"/>
            <w:noWrap/>
          </w:tcPr>
          <w:p w14:paraId="3D51142A" w14:textId="77777777" w:rsidR="000E48CE" w:rsidRDefault="00FF4C4E">
            <w:pPr>
              <w:pStyle w:val="P68B1DB1-Normal13"/>
              <w:spacing w:after="0"/>
              <w:rPr>
                <w:rFonts w:eastAsia="Times New Roman" w:cs="Times New Roman"/>
                <w:noProof/>
              </w:rPr>
            </w:pPr>
            <w:r>
              <w:rPr>
                <w:noProof/>
              </w:rPr>
              <w:t>Energiayhteisöjen toteuttamien aloitteiden lukumäärä</w:t>
            </w:r>
          </w:p>
        </w:tc>
        <w:tc>
          <w:tcPr>
            <w:tcW w:w="1215" w:type="dxa"/>
            <w:shd w:val="clear" w:color="auto" w:fill="C6EFCE"/>
            <w:noWrap/>
          </w:tcPr>
          <w:p w14:paraId="6A7F6247" w14:textId="77777777" w:rsidR="000E48CE" w:rsidRDefault="000E48CE">
            <w:pPr>
              <w:spacing w:after="0"/>
              <w:jc w:val="center"/>
              <w:rPr>
                <w:rFonts w:ascii="Times New Roman" w:eastAsia="Times New Roman" w:hAnsi="Times New Roman" w:cs="Times New Roman"/>
                <w:noProof/>
                <w:sz w:val="18"/>
              </w:rPr>
            </w:pPr>
          </w:p>
        </w:tc>
        <w:tc>
          <w:tcPr>
            <w:tcW w:w="600" w:type="dxa"/>
            <w:shd w:val="clear" w:color="auto" w:fill="C6EFCE"/>
            <w:noWrap/>
          </w:tcPr>
          <w:p w14:paraId="33EA2186" w14:textId="77777777" w:rsidR="000E48CE" w:rsidRDefault="00FF4C4E">
            <w:pPr>
              <w:pStyle w:val="P68B1DB1-Normal13"/>
              <w:spacing w:after="0"/>
              <w:jc w:val="center"/>
              <w:rPr>
                <w:rFonts w:eastAsia="Times New Roman" w:cs="Times New Roman"/>
                <w:noProof/>
              </w:rPr>
            </w:pPr>
            <w:r>
              <w:rPr>
                <w:noProof/>
              </w:rPr>
              <w:t>Määrä</w:t>
            </w:r>
          </w:p>
        </w:tc>
        <w:tc>
          <w:tcPr>
            <w:tcW w:w="436" w:type="dxa"/>
            <w:shd w:val="clear" w:color="auto" w:fill="C6EFCE"/>
            <w:noWrap/>
          </w:tcPr>
          <w:p w14:paraId="3814E274" w14:textId="77777777" w:rsidR="000E48CE" w:rsidRDefault="00FF4C4E">
            <w:pPr>
              <w:pStyle w:val="P68B1DB1-Normal13"/>
              <w:spacing w:after="0"/>
              <w:jc w:val="right"/>
              <w:rPr>
                <w:rFonts w:eastAsia="Times New Roman" w:cs="Times New Roman"/>
                <w:noProof/>
              </w:rPr>
            </w:pPr>
            <w:r>
              <w:rPr>
                <w:noProof/>
              </w:rPr>
              <w:t>37</w:t>
            </w:r>
          </w:p>
        </w:tc>
        <w:tc>
          <w:tcPr>
            <w:tcW w:w="556" w:type="dxa"/>
            <w:shd w:val="clear" w:color="auto" w:fill="C6EFCE"/>
            <w:noWrap/>
          </w:tcPr>
          <w:p w14:paraId="14404EA4" w14:textId="77777777" w:rsidR="000E48CE" w:rsidRDefault="00FF4C4E">
            <w:pPr>
              <w:pStyle w:val="P68B1DB1-Normal13"/>
              <w:spacing w:after="0"/>
              <w:jc w:val="right"/>
              <w:rPr>
                <w:rFonts w:eastAsia="Times New Roman" w:cs="Times New Roman"/>
                <w:noProof/>
              </w:rPr>
            </w:pPr>
            <w:r>
              <w:rPr>
                <w:noProof/>
              </w:rPr>
              <w:t>77</w:t>
            </w:r>
          </w:p>
        </w:tc>
        <w:tc>
          <w:tcPr>
            <w:tcW w:w="426" w:type="dxa"/>
            <w:shd w:val="clear" w:color="auto" w:fill="C6EFCE"/>
            <w:noWrap/>
          </w:tcPr>
          <w:p w14:paraId="02159C89" w14:textId="02897F01" w:rsidR="000E48CE" w:rsidRDefault="00FF4C4E">
            <w:pPr>
              <w:pStyle w:val="P68B1DB1-Normal13"/>
              <w:spacing w:after="0"/>
              <w:jc w:val="center"/>
              <w:rPr>
                <w:rFonts w:eastAsia="Times New Roman" w:cs="Times New Roman"/>
                <w:noProof/>
              </w:rPr>
            </w:pPr>
            <w:r>
              <w:rPr>
                <w:noProof/>
              </w:rPr>
              <w:t>KOLMAS VUOSINELJÄNNES</w:t>
            </w:r>
          </w:p>
        </w:tc>
        <w:tc>
          <w:tcPr>
            <w:tcW w:w="502" w:type="dxa"/>
            <w:shd w:val="clear" w:color="auto" w:fill="C6EFCE"/>
            <w:noWrap/>
          </w:tcPr>
          <w:p w14:paraId="1222D4AB" w14:textId="77777777" w:rsidR="000E48CE" w:rsidRDefault="00FF4C4E">
            <w:pPr>
              <w:pStyle w:val="P68B1DB1-Normal13"/>
              <w:spacing w:after="0"/>
              <w:jc w:val="center"/>
              <w:rPr>
                <w:rFonts w:eastAsia="Times New Roman" w:cs="Times New Roman"/>
                <w:noProof/>
              </w:rPr>
            </w:pPr>
            <w:r>
              <w:rPr>
                <w:noProof/>
              </w:rPr>
              <w:t>2026</w:t>
            </w:r>
          </w:p>
        </w:tc>
        <w:tc>
          <w:tcPr>
            <w:tcW w:w="6900" w:type="dxa"/>
            <w:gridSpan w:val="2"/>
            <w:shd w:val="clear" w:color="auto" w:fill="C6EFCE"/>
            <w:noWrap/>
          </w:tcPr>
          <w:p w14:paraId="5D454DA2" w14:textId="77777777" w:rsidR="000E48CE" w:rsidRDefault="00FF4C4E">
            <w:pPr>
              <w:pStyle w:val="P68B1DB1-Normal13"/>
              <w:spacing w:after="0"/>
              <w:rPr>
                <w:rFonts w:eastAsia="Times New Roman" w:cs="Times New Roman"/>
                <w:noProof/>
              </w:rPr>
            </w:pPr>
            <w:r>
              <w:rPr>
                <w:noProof/>
              </w:rPr>
              <w:t xml:space="preserve">Energiayhteisöjen toteuttamien 40 aloitteen loppuun saattaminen joko asentamalla uusiutuvaa </w:t>
            </w:r>
            <w:r>
              <w:rPr>
                <w:noProof/>
              </w:rPr>
              <w:t>energiaa tai energiatehokkuusratkaisuja tai toteuttamalla osallistavia ja yhteisöllisiä rakennusprosesseja. (Perustaso: päivämäärä Q4 2024, tavoitteen 111 tavoite)</w:t>
            </w:r>
          </w:p>
        </w:tc>
      </w:tr>
      <w:tr w:rsidR="000E48CE" w14:paraId="6B615A15" w14:textId="77777777">
        <w:trPr>
          <w:trHeight w:val="309"/>
        </w:trPr>
        <w:tc>
          <w:tcPr>
            <w:tcW w:w="673" w:type="dxa"/>
            <w:shd w:val="clear" w:color="auto" w:fill="C6EFCE"/>
            <w:noWrap/>
          </w:tcPr>
          <w:p w14:paraId="0FC1D4A1" w14:textId="6B2F684D" w:rsidR="000E48CE" w:rsidRDefault="00FF4C4E">
            <w:pPr>
              <w:pStyle w:val="P68B1DB1-Normal13"/>
              <w:spacing w:after="0"/>
              <w:jc w:val="center"/>
              <w:rPr>
                <w:rFonts w:eastAsia="Times New Roman" w:cs="Times New Roman"/>
                <w:noProof/>
              </w:rPr>
            </w:pPr>
            <w:r>
              <w:rPr>
                <w:noProof/>
              </w:rPr>
              <w:t>483</w:t>
            </w:r>
          </w:p>
        </w:tc>
        <w:tc>
          <w:tcPr>
            <w:tcW w:w="804" w:type="dxa"/>
            <w:shd w:val="clear" w:color="auto" w:fill="C6EFCE"/>
            <w:noWrap/>
          </w:tcPr>
          <w:p w14:paraId="1A06E288" w14:textId="14C14C7C" w:rsidR="000E48CE" w:rsidRDefault="00FF4C4E">
            <w:pPr>
              <w:pStyle w:val="P68B1DB1-Normal13"/>
              <w:spacing w:after="0"/>
              <w:jc w:val="center"/>
              <w:rPr>
                <w:rFonts w:eastAsia="Times New Roman" w:cs="Times New Roman"/>
                <w:noProof/>
              </w:rPr>
            </w:pPr>
            <w:r>
              <w:rPr>
                <w:noProof/>
              </w:rPr>
              <w:t>C31.I2</w:t>
            </w:r>
          </w:p>
        </w:tc>
        <w:tc>
          <w:tcPr>
            <w:tcW w:w="900" w:type="dxa"/>
            <w:shd w:val="clear" w:color="auto" w:fill="C6EFCE"/>
            <w:noWrap/>
          </w:tcPr>
          <w:p w14:paraId="152D3E2C" w14:textId="569FE3EC" w:rsidR="000E48CE" w:rsidRDefault="00FF4C4E">
            <w:pPr>
              <w:pStyle w:val="P68B1DB1-Normal13"/>
              <w:spacing w:after="0"/>
              <w:jc w:val="center"/>
              <w:rPr>
                <w:rFonts w:eastAsia="Times New Roman" w:cs="Times New Roman"/>
                <w:noProof/>
              </w:rPr>
            </w:pPr>
            <w:r>
              <w:rPr>
                <w:noProof/>
              </w:rPr>
              <w:t>M</w:t>
            </w:r>
          </w:p>
        </w:tc>
        <w:tc>
          <w:tcPr>
            <w:tcW w:w="2296" w:type="dxa"/>
            <w:shd w:val="clear" w:color="auto" w:fill="C6EFCE"/>
            <w:noWrap/>
          </w:tcPr>
          <w:p w14:paraId="03B6CB65" w14:textId="4EF7BB63" w:rsidR="000E48CE" w:rsidRDefault="00FF4C4E">
            <w:pPr>
              <w:pStyle w:val="P68B1DB1-Normal13"/>
              <w:spacing w:after="0"/>
              <w:rPr>
                <w:rFonts w:eastAsia="Times New Roman" w:cs="Times New Roman"/>
                <w:noProof/>
              </w:rPr>
            </w:pPr>
            <w:r>
              <w:rPr>
                <w:noProof/>
              </w:rPr>
              <w:t xml:space="preserve">Uusiutuvan vedyn tukijärjestelmä: Ministeriö on saattanut investoinnin </w:t>
            </w:r>
            <w:r>
              <w:rPr>
                <w:noProof/>
              </w:rPr>
              <w:t>päätökseen</w:t>
            </w:r>
          </w:p>
        </w:tc>
        <w:tc>
          <w:tcPr>
            <w:tcW w:w="1215" w:type="dxa"/>
            <w:shd w:val="clear" w:color="auto" w:fill="C6EFCE"/>
            <w:noWrap/>
          </w:tcPr>
          <w:p w14:paraId="16A59804" w14:textId="10DC98F6" w:rsidR="000E48CE" w:rsidRDefault="00FF4C4E">
            <w:pPr>
              <w:pStyle w:val="P68B1DB1-Normal13"/>
              <w:spacing w:after="0"/>
              <w:jc w:val="center"/>
              <w:rPr>
                <w:rFonts w:eastAsia="Times New Roman" w:cs="Times New Roman"/>
                <w:noProof/>
              </w:rPr>
            </w:pPr>
            <w:r>
              <w:rPr>
                <w:noProof/>
              </w:rPr>
              <w:t>Siirtotodistus</w:t>
            </w:r>
          </w:p>
        </w:tc>
        <w:tc>
          <w:tcPr>
            <w:tcW w:w="600" w:type="dxa"/>
            <w:shd w:val="clear" w:color="auto" w:fill="C6EFCE"/>
            <w:noWrap/>
          </w:tcPr>
          <w:p w14:paraId="69C59F60" w14:textId="77777777"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5D80227B" w14:textId="77777777" w:rsidR="000E48CE" w:rsidRDefault="000E48CE">
            <w:pPr>
              <w:spacing w:after="0"/>
              <w:jc w:val="right"/>
              <w:rPr>
                <w:rFonts w:ascii="Times New Roman" w:eastAsia="Times New Roman" w:hAnsi="Times New Roman" w:cs="Times New Roman"/>
                <w:noProof/>
                <w:sz w:val="18"/>
              </w:rPr>
            </w:pPr>
          </w:p>
        </w:tc>
        <w:tc>
          <w:tcPr>
            <w:tcW w:w="556" w:type="dxa"/>
            <w:shd w:val="clear" w:color="auto" w:fill="C6EFCE"/>
            <w:noWrap/>
          </w:tcPr>
          <w:p w14:paraId="17B7A526" w14:textId="77777777" w:rsidR="000E48CE" w:rsidRDefault="000E48CE">
            <w:pPr>
              <w:spacing w:after="0"/>
              <w:jc w:val="right"/>
              <w:rPr>
                <w:rFonts w:ascii="Times New Roman" w:eastAsia="Times New Roman" w:hAnsi="Times New Roman" w:cs="Times New Roman"/>
                <w:noProof/>
                <w:sz w:val="18"/>
              </w:rPr>
            </w:pPr>
          </w:p>
        </w:tc>
        <w:tc>
          <w:tcPr>
            <w:tcW w:w="426" w:type="dxa"/>
            <w:shd w:val="clear" w:color="auto" w:fill="C6EFCE"/>
            <w:noWrap/>
          </w:tcPr>
          <w:p w14:paraId="7B475BD2" w14:textId="0253E3D5" w:rsidR="000E48CE" w:rsidRDefault="00FF4C4E">
            <w:pPr>
              <w:pStyle w:val="P68B1DB1-Normal13"/>
              <w:spacing w:after="0"/>
              <w:jc w:val="center"/>
              <w:rPr>
                <w:rFonts w:eastAsia="Times New Roman" w:cs="Times New Roman"/>
                <w:noProof/>
              </w:rPr>
            </w:pPr>
            <w:r>
              <w:rPr>
                <w:noProof/>
              </w:rPr>
              <w:t>Q2</w:t>
            </w:r>
          </w:p>
        </w:tc>
        <w:tc>
          <w:tcPr>
            <w:tcW w:w="502" w:type="dxa"/>
            <w:shd w:val="clear" w:color="auto" w:fill="C6EFCE"/>
            <w:noWrap/>
          </w:tcPr>
          <w:p w14:paraId="7B9A9041" w14:textId="675816C0" w:rsidR="000E48CE" w:rsidRDefault="00FF4C4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739D0F50" w14:textId="396DC2AE" w:rsidR="000E48CE" w:rsidRDefault="00FF4C4E">
            <w:pPr>
              <w:pStyle w:val="P68B1DB1-Normal13"/>
              <w:spacing w:after="0"/>
              <w:rPr>
                <w:rFonts w:eastAsia="Times New Roman" w:cs="Times New Roman"/>
                <w:noProof/>
              </w:rPr>
            </w:pPr>
            <w:r>
              <w:rPr>
                <w:noProof/>
              </w:rPr>
              <w:t>Espanjan on siirrettävä vähintään 1600 miljoonaa euroa IDAE:lle tukijärjestelmää varten.</w:t>
            </w:r>
          </w:p>
        </w:tc>
      </w:tr>
      <w:tr w:rsidR="000E48CE" w14:paraId="67B00CEE" w14:textId="77777777">
        <w:trPr>
          <w:trHeight w:val="309"/>
        </w:trPr>
        <w:tc>
          <w:tcPr>
            <w:tcW w:w="673" w:type="dxa"/>
            <w:shd w:val="clear" w:color="auto" w:fill="C6EFCE"/>
            <w:noWrap/>
          </w:tcPr>
          <w:p w14:paraId="53F6BDD7" w14:textId="085049AD" w:rsidR="000E48CE" w:rsidRDefault="00FF4C4E">
            <w:pPr>
              <w:pStyle w:val="P68B1DB1-Normal13"/>
              <w:spacing w:after="0"/>
              <w:jc w:val="center"/>
              <w:rPr>
                <w:rFonts w:eastAsia="Times New Roman" w:cs="Times New Roman"/>
                <w:noProof/>
              </w:rPr>
            </w:pPr>
            <w:r>
              <w:rPr>
                <w:noProof/>
              </w:rPr>
              <w:t>480</w:t>
            </w:r>
          </w:p>
        </w:tc>
        <w:tc>
          <w:tcPr>
            <w:tcW w:w="804" w:type="dxa"/>
            <w:shd w:val="clear" w:color="auto" w:fill="C6EFCE"/>
            <w:noWrap/>
          </w:tcPr>
          <w:p w14:paraId="3BDDCB0E" w14:textId="77777777" w:rsidR="000E48CE" w:rsidRDefault="00FF4C4E">
            <w:pPr>
              <w:pStyle w:val="P68B1DB1-Normal13"/>
              <w:spacing w:after="0"/>
              <w:jc w:val="center"/>
              <w:rPr>
                <w:rFonts w:eastAsia="Times New Roman" w:cs="Times New Roman"/>
                <w:noProof/>
              </w:rPr>
            </w:pPr>
            <w:r>
              <w:rPr>
                <w:noProof/>
              </w:rPr>
              <w:t>C31.I2</w:t>
            </w:r>
          </w:p>
        </w:tc>
        <w:tc>
          <w:tcPr>
            <w:tcW w:w="900" w:type="dxa"/>
            <w:shd w:val="clear" w:color="auto" w:fill="C6EFCE"/>
            <w:noWrap/>
          </w:tcPr>
          <w:p w14:paraId="46C3ABC8" w14:textId="77777777" w:rsidR="000E48CE" w:rsidRDefault="00FF4C4E">
            <w:pPr>
              <w:pStyle w:val="P68B1DB1-Normal13"/>
              <w:spacing w:after="0"/>
              <w:jc w:val="center"/>
              <w:rPr>
                <w:rFonts w:eastAsia="Times New Roman" w:cs="Times New Roman"/>
                <w:noProof/>
              </w:rPr>
            </w:pPr>
            <w:r>
              <w:rPr>
                <w:noProof/>
              </w:rPr>
              <w:t>M</w:t>
            </w:r>
          </w:p>
        </w:tc>
        <w:tc>
          <w:tcPr>
            <w:tcW w:w="2296" w:type="dxa"/>
            <w:shd w:val="clear" w:color="auto" w:fill="C6EFCE"/>
            <w:noWrap/>
          </w:tcPr>
          <w:p w14:paraId="5BA1ED5F" w14:textId="41482004" w:rsidR="000E48CE" w:rsidRDefault="00FF4C4E">
            <w:pPr>
              <w:pStyle w:val="P68B1DB1-Normal13"/>
              <w:spacing w:after="0"/>
              <w:rPr>
                <w:rFonts w:eastAsia="Times New Roman" w:cs="Times New Roman"/>
                <w:noProof/>
              </w:rPr>
            </w:pPr>
            <w:r>
              <w:rPr>
                <w:noProof/>
              </w:rPr>
              <w:t>Uusiutuvan vedyn tukijärjestelmä: Järjestelmän perustaminen</w:t>
            </w:r>
          </w:p>
        </w:tc>
        <w:tc>
          <w:tcPr>
            <w:tcW w:w="1215" w:type="dxa"/>
            <w:shd w:val="clear" w:color="auto" w:fill="C6EFCE"/>
            <w:noWrap/>
          </w:tcPr>
          <w:p w14:paraId="6E1C4DEB" w14:textId="07010FC6" w:rsidR="000E48CE" w:rsidRDefault="00FF4C4E">
            <w:pPr>
              <w:pStyle w:val="P68B1DB1-Normal13"/>
              <w:spacing w:after="0"/>
              <w:jc w:val="center"/>
              <w:rPr>
                <w:rFonts w:eastAsia="Times New Roman" w:cs="Times New Roman"/>
                <w:noProof/>
              </w:rPr>
            </w:pPr>
            <w:r>
              <w:rPr>
                <w:noProof/>
              </w:rPr>
              <w:t>Asiaa koskevien oikeudellisten välineiden voimaantulo</w:t>
            </w:r>
          </w:p>
        </w:tc>
        <w:tc>
          <w:tcPr>
            <w:tcW w:w="600" w:type="dxa"/>
            <w:shd w:val="clear" w:color="auto" w:fill="C6EFCE"/>
            <w:noWrap/>
          </w:tcPr>
          <w:p w14:paraId="4EE62C9A" w14:textId="77777777"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6F49F013" w14:textId="77777777" w:rsidR="000E48CE" w:rsidRDefault="000E48CE">
            <w:pPr>
              <w:spacing w:after="0"/>
              <w:jc w:val="right"/>
              <w:rPr>
                <w:rFonts w:ascii="Times New Roman" w:eastAsia="Times New Roman" w:hAnsi="Times New Roman" w:cs="Times New Roman"/>
                <w:noProof/>
                <w:sz w:val="18"/>
              </w:rPr>
            </w:pPr>
          </w:p>
        </w:tc>
        <w:tc>
          <w:tcPr>
            <w:tcW w:w="556" w:type="dxa"/>
            <w:shd w:val="clear" w:color="auto" w:fill="C6EFCE"/>
            <w:noWrap/>
          </w:tcPr>
          <w:p w14:paraId="028C0AD5" w14:textId="77777777" w:rsidR="000E48CE" w:rsidRDefault="000E48CE">
            <w:pPr>
              <w:spacing w:after="0"/>
              <w:jc w:val="right"/>
              <w:rPr>
                <w:rFonts w:ascii="Times New Roman" w:eastAsia="Times New Roman" w:hAnsi="Times New Roman" w:cs="Times New Roman"/>
                <w:noProof/>
                <w:sz w:val="18"/>
              </w:rPr>
            </w:pPr>
          </w:p>
        </w:tc>
        <w:tc>
          <w:tcPr>
            <w:tcW w:w="426" w:type="dxa"/>
            <w:shd w:val="clear" w:color="auto" w:fill="C6EFCE"/>
            <w:noWrap/>
          </w:tcPr>
          <w:p w14:paraId="51883FA8" w14:textId="77777777" w:rsidR="000E48CE" w:rsidRDefault="00FF4C4E">
            <w:pPr>
              <w:pStyle w:val="P68B1DB1-Normal13"/>
              <w:spacing w:after="0"/>
              <w:jc w:val="center"/>
              <w:rPr>
                <w:rFonts w:eastAsia="Times New Roman" w:cs="Times New Roman"/>
                <w:noProof/>
                <w:highlight w:val="yellow"/>
              </w:rPr>
            </w:pPr>
            <w:r>
              <w:rPr>
                <w:noProof/>
              </w:rPr>
              <w:t>Q4</w:t>
            </w:r>
          </w:p>
        </w:tc>
        <w:tc>
          <w:tcPr>
            <w:tcW w:w="502" w:type="dxa"/>
            <w:shd w:val="clear" w:color="auto" w:fill="C6EFCE"/>
            <w:noWrap/>
          </w:tcPr>
          <w:p w14:paraId="72FEE54D" w14:textId="467CD09A" w:rsidR="000E48CE" w:rsidRDefault="00FF4C4E">
            <w:pPr>
              <w:pStyle w:val="P68B1DB1-Normal13"/>
              <w:spacing w:after="0"/>
              <w:jc w:val="center"/>
              <w:rPr>
                <w:rFonts w:eastAsia="Times New Roman" w:cs="Times New Roman"/>
                <w:noProof/>
                <w:highlight w:val="yellow"/>
              </w:rPr>
            </w:pPr>
            <w:r>
              <w:rPr>
                <w:noProof/>
              </w:rPr>
              <w:t>2024</w:t>
            </w:r>
          </w:p>
        </w:tc>
        <w:tc>
          <w:tcPr>
            <w:tcW w:w="6900" w:type="dxa"/>
            <w:gridSpan w:val="2"/>
            <w:shd w:val="clear" w:color="auto" w:fill="C6EFCE"/>
            <w:noWrap/>
          </w:tcPr>
          <w:p w14:paraId="37AFA094" w14:textId="4EC6DBFF" w:rsidR="000E48CE" w:rsidRDefault="00FF4C4E">
            <w:pPr>
              <w:pStyle w:val="P68B1DB1-Normal13"/>
              <w:spacing w:after="0"/>
              <w:rPr>
                <w:rFonts w:eastAsia="Times New Roman" w:cs="Times New Roman"/>
                <w:noProof/>
              </w:rPr>
            </w:pPr>
            <w:r>
              <w:rPr>
                <w:noProof/>
              </w:rPr>
              <w:t>Niiden säädösten voimaantulo, joilla tukijärjestelmä perustetaan toimenpiteen kuvauksessa täsmennettyjen vaatimusten mukaisesti.</w:t>
            </w:r>
          </w:p>
        </w:tc>
      </w:tr>
      <w:tr w:rsidR="000E48CE" w14:paraId="3AFE826F" w14:textId="77777777">
        <w:trPr>
          <w:trHeight w:val="309"/>
        </w:trPr>
        <w:tc>
          <w:tcPr>
            <w:tcW w:w="673" w:type="dxa"/>
            <w:shd w:val="clear" w:color="auto" w:fill="C6EFCE"/>
            <w:noWrap/>
          </w:tcPr>
          <w:p w14:paraId="67ECE505" w14:textId="75CF15BF" w:rsidR="000E48CE" w:rsidRDefault="00FF4C4E">
            <w:pPr>
              <w:pStyle w:val="P68B1DB1-Normal13"/>
              <w:spacing w:after="0"/>
              <w:jc w:val="center"/>
              <w:rPr>
                <w:rFonts w:eastAsia="Times New Roman" w:cs="Times New Roman"/>
                <w:noProof/>
              </w:rPr>
            </w:pPr>
            <w:r>
              <w:rPr>
                <w:noProof/>
              </w:rPr>
              <w:t>481</w:t>
            </w:r>
          </w:p>
        </w:tc>
        <w:tc>
          <w:tcPr>
            <w:tcW w:w="804" w:type="dxa"/>
            <w:shd w:val="clear" w:color="auto" w:fill="C6EFCE"/>
            <w:noWrap/>
          </w:tcPr>
          <w:p w14:paraId="061AD380" w14:textId="77777777" w:rsidR="000E48CE" w:rsidRDefault="00FF4C4E">
            <w:pPr>
              <w:pStyle w:val="P68B1DB1-Normal13"/>
              <w:spacing w:after="0"/>
              <w:jc w:val="center"/>
              <w:rPr>
                <w:rFonts w:eastAsia="Times New Roman" w:cs="Times New Roman"/>
                <w:noProof/>
              </w:rPr>
            </w:pPr>
            <w:r>
              <w:rPr>
                <w:noProof/>
              </w:rPr>
              <w:t>C31.I2</w:t>
            </w:r>
          </w:p>
        </w:tc>
        <w:tc>
          <w:tcPr>
            <w:tcW w:w="900" w:type="dxa"/>
            <w:shd w:val="clear" w:color="auto" w:fill="C6EFCE"/>
            <w:noWrap/>
          </w:tcPr>
          <w:p w14:paraId="4E309171" w14:textId="77777777" w:rsidR="000E48CE" w:rsidRDefault="00FF4C4E">
            <w:pPr>
              <w:pStyle w:val="P68B1DB1-Normal13"/>
              <w:spacing w:after="0"/>
              <w:jc w:val="center"/>
              <w:rPr>
                <w:rFonts w:eastAsia="Times New Roman" w:cs="Times New Roman"/>
                <w:noProof/>
              </w:rPr>
            </w:pPr>
            <w:r>
              <w:rPr>
                <w:noProof/>
              </w:rPr>
              <w:t>T</w:t>
            </w:r>
          </w:p>
        </w:tc>
        <w:tc>
          <w:tcPr>
            <w:tcW w:w="2296" w:type="dxa"/>
            <w:shd w:val="clear" w:color="auto" w:fill="C6EFCE"/>
            <w:noWrap/>
          </w:tcPr>
          <w:p w14:paraId="384881E1" w14:textId="3753B807" w:rsidR="000E48CE" w:rsidRDefault="00FF4C4E">
            <w:pPr>
              <w:pStyle w:val="P68B1DB1-Normal13"/>
              <w:spacing w:after="0"/>
              <w:rPr>
                <w:rFonts w:eastAsia="Times New Roman" w:cs="Times New Roman"/>
                <w:noProof/>
              </w:rPr>
            </w:pPr>
            <w:r>
              <w:rPr>
                <w:noProof/>
              </w:rPr>
              <w:t xml:space="preserve">Uusiutuvan vedyn tukijärjestelmä: Lopullisten edunsaajien kanssa allekirjoitetut oikeudelliset </w:t>
            </w:r>
            <w:r>
              <w:rPr>
                <w:noProof/>
              </w:rPr>
              <w:t>sopimukset tai lopulliset myöntämispäätökset julkaistu (I)</w:t>
            </w:r>
          </w:p>
        </w:tc>
        <w:tc>
          <w:tcPr>
            <w:tcW w:w="1215" w:type="dxa"/>
            <w:shd w:val="clear" w:color="auto" w:fill="C6EFCE"/>
            <w:noWrap/>
          </w:tcPr>
          <w:p w14:paraId="50AB68CF" w14:textId="27095E3B" w:rsidR="000E48CE" w:rsidRDefault="00FF4C4E">
            <w:pPr>
              <w:pStyle w:val="P68B1DB1-Normal13"/>
              <w:spacing w:after="0"/>
              <w:jc w:val="center"/>
              <w:rPr>
                <w:rFonts w:eastAsia="Times New Roman" w:cs="Times New Roman"/>
                <w:noProof/>
              </w:rPr>
            </w:pPr>
            <w:r>
              <w:rPr>
                <w:noProof/>
              </w:rPr>
              <w:t>Oikeudellisten rahoitussopimusten voimaantulo tai lopullisten myöntämispäätösten julkaiseminen</w:t>
            </w:r>
          </w:p>
        </w:tc>
        <w:tc>
          <w:tcPr>
            <w:tcW w:w="600" w:type="dxa"/>
            <w:shd w:val="clear" w:color="auto" w:fill="C6EFCE"/>
            <w:noWrap/>
          </w:tcPr>
          <w:p w14:paraId="5AE09F65" w14:textId="2D70B4BB"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764FC97E" w14:textId="77777777" w:rsidR="000E48CE" w:rsidRDefault="00FF4C4E">
            <w:pPr>
              <w:pStyle w:val="P68B1DB1-Normal13"/>
              <w:spacing w:after="0"/>
              <w:jc w:val="right"/>
              <w:rPr>
                <w:rFonts w:eastAsia="Times New Roman" w:cs="Times New Roman"/>
                <w:noProof/>
              </w:rPr>
            </w:pPr>
            <w:r>
              <w:rPr>
                <w:noProof/>
              </w:rPr>
              <w:t>0</w:t>
            </w:r>
          </w:p>
        </w:tc>
        <w:tc>
          <w:tcPr>
            <w:tcW w:w="556" w:type="dxa"/>
            <w:shd w:val="clear" w:color="auto" w:fill="C6EFCE"/>
            <w:noWrap/>
          </w:tcPr>
          <w:p w14:paraId="6DF1E4E0" w14:textId="57D245B8" w:rsidR="000E48CE" w:rsidRDefault="00FF4C4E">
            <w:pPr>
              <w:pStyle w:val="P68B1DB1-Normal13"/>
              <w:spacing w:after="0"/>
              <w:jc w:val="right"/>
              <w:rPr>
                <w:rFonts w:eastAsia="Times New Roman" w:cs="Times New Roman"/>
                <w:noProof/>
              </w:rPr>
            </w:pPr>
            <w:r>
              <w:rPr>
                <w:noProof/>
              </w:rPr>
              <w:t>50 %</w:t>
            </w:r>
          </w:p>
        </w:tc>
        <w:tc>
          <w:tcPr>
            <w:tcW w:w="426" w:type="dxa"/>
            <w:shd w:val="clear" w:color="auto" w:fill="C6EFCE"/>
            <w:noWrap/>
          </w:tcPr>
          <w:p w14:paraId="73E65A2F" w14:textId="17590ACA" w:rsidR="000E48CE" w:rsidRDefault="00FF4C4E">
            <w:pPr>
              <w:pStyle w:val="P68B1DB1-Normal13"/>
              <w:spacing w:after="0"/>
              <w:jc w:val="center"/>
              <w:rPr>
                <w:rFonts w:eastAsia="Times New Roman" w:cs="Times New Roman"/>
                <w:noProof/>
                <w:highlight w:val="yellow"/>
              </w:rPr>
            </w:pPr>
            <w:r>
              <w:rPr>
                <w:noProof/>
              </w:rPr>
              <w:t>Q2</w:t>
            </w:r>
          </w:p>
        </w:tc>
        <w:tc>
          <w:tcPr>
            <w:tcW w:w="502" w:type="dxa"/>
            <w:shd w:val="clear" w:color="auto" w:fill="C6EFCE"/>
            <w:noWrap/>
          </w:tcPr>
          <w:p w14:paraId="671EC42B" w14:textId="4DFFA38D" w:rsidR="000E48CE" w:rsidRDefault="00FF4C4E">
            <w:pPr>
              <w:pStyle w:val="P68B1DB1-Normal13"/>
              <w:spacing w:after="0"/>
              <w:jc w:val="center"/>
              <w:rPr>
                <w:rFonts w:eastAsia="Times New Roman" w:cs="Times New Roman"/>
                <w:noProof/>
                <w:highlight w:val="yellow"/>
              </w:rPr>
            </w:pPr>
            <w:r>
              <w:rPr>
                <w:noProof/>
              </w:rPr>
              <w:t>2025</w:t>
            </w:r>
          </w:p>
        </w:tc>
        <w:tc>
          <w:tcPr>
            <w:tcW w:w="6900" w:type="dxa"/>
            <w:gridSpan w:val="2"/>
            <w:shd w:val="clear" w:color="auto" w:fill="C6EFCE"/>
            <w:noWrap/>
          </w:tcPr>
          <w:p w14:paraId="225892A5" w14:textId="4E9E3743" w:rsidR="000E48CE" w:rsidRDefault="00FF4C4E">
            <w:pPr>
              <w:pStyle w:val="P68B1DB1-Normal13"/>
              <w:spacing w:after="0"/>
              <w:rPr>
                <w:rFonts w:eastAsia="Times New Roman" w:cs="Times New Roman"/>
                <w:noProof/>
              </w:rPr>
            </w:pPr>
            <w:r>
              <w:rPr>
                <w:noProof/>
              </w:rPr>
              <w:t>IDAE on julkaissut lopulliset myöntämispäätökset tai lopullisten edunsaajien kanssa te</w:t>
            </w:r>
            <w:r>
              <w:rPr>
                <w:noProof/>
              </w:rPr>
              <w:t>htyjen rahoitussopimusten voimaantulon vähintään 50 prosentille elpymis- ja palautumistukivälineen investoinneista tukijärjestelmään (välilliset kustannukset mukaan luettuina).</w:t>
            </w:r>
          </w:p>
        </w:tc>
      </w:tr>
      <w:tr w:rsidR="000E48CE" w14:paraId="263EEC4D" w14:textId="77777777">
        <w:trPr>
          <w:gridAfter w:val="1"/>
          <w:wAfter w:w="31" w:type="dxa"/>
          <w:trHeight w:val="309"/>
        </w:trPr>
        <w:tc>
          <w:tcPr>
            <w:tcW w:w="673" w:type="dxa"/>
            <w:shd w:val="clear" w:color="auto" w:fill="C6EFCE"/>
            <w:noWrap/>
          </w:tcPr>
          <w:p w14:paraId="50DEA288" w14:textId="7A5F7288" w:rsidR="000E48CE" w:rsidRDefault="00FF4C4E">
            <w:pPr>
              <w:pStyle w:val="P68B1DB1-Normal13"/>
              <w:spacing w:after="0"/>
              <w:jc w:val="center"/>
              <w:rPr>
                <w:rFonts w:eastAsia="Times New Roman" w:cs="Times New Roman"/>
                <w:noProof/>
              </w:rPr>
            </w:pPr>
            <w:r>
              <w:rPr>
                <w:noProof/>
              </w:rPr>
              <w:t>482</w:t>
            </w:r>
          </w:p>
        </w:tc>
        <w:tc>
          <w:tcPr>
            <w:tcW w:w="804" w:type="dxa"/>
            <w:shd w:val="clear" w:color="auto" w:fill="C6EFCE"/>
            <w:noWrap/>
          </w:tcPr>
          <w:p w14:paraId="080E1CD1" w14:textId="77777777" w:rsidR="000E48CE" w:rsidRDefault="00FF4C4E">
            <w:pPr>
              <w:pStyle w:val="P68B1DB1-Normal13"/>
              <w:spacing w:after="0"/>
              <w:jc w:val="center"/>
              <w:rPr>
                <w:rFonts w:eastAsia="Times New Roman" w:cs="Times New Roman"/>
                <w:noProof/>
              </w:rPr>
            </w:pPr>
            <w:r>
              <w:rPr>
                <w:noProof/>
              </w:rPr>
              <w:t>C31.I2</w:t>
            </w:r>
          </w:p>
        </w:tc>
        <w:tc>
          <w:tcPr>
            <w:tcW w:w="900" w:type="dxa"/>
            <w:shd w:val="clear" w:color="auto" w:fill="C6EFCE"/>
            <w:noWrap/>
          </w:tcPr>
          <w:p w14:paraId="20743680" w14:textId="77777777" w:rsidR="000E48CE" w:rsidRDefault="00FF4C4E">
            <w:pPr>
              <w:pStyle w:val="P68B1DB1-Normal13"/>
              <w:spacing w:after="0"/>
              <w:jc w:val="center"/>
              <w:rPr>
                <w:rFonts w:eastAsia="Times New Roman" w:cs="Times New Roman"/>
                <w:noProof/>
              </w:rPr>
            </w:pPr>
            <w:r>
              <w:rPr>
                <w:noProof/>
              </w:rPr>
              <w:t>T</w:t>
            </w:r>
          </w:p>
        </w:tc>
        <w:tc>
          <w:tcPr>
            <w:tcW w:w="2296" w:type="dxa"/>
            <w:shd w:val="clear" w:color="auto" w:fill="C6EFCE"/>
            <w:noWrap/>
          </w:tcPr>
          <w:p w14:paraId="255B854C" w14:textId="21C7C80D" w:rsidR="000E48CE" w:rsidRDefault="00FF4C4E">
            <w:pPr>
              <w:pStyle w:val="P68B1DB1-Normal13"/>
              <w:spacing w:after="0"/>
              <w:rPr>
                <w:rFonts w:eastAsia="Times New Roman" w:cs="Times New Roman"/>
                <w:noProof/>
              </w:rPr>
            </w:pPr>
            <w:r>
              <w:rPr>
                <w:noProof/>
              </w:rPr>
              <w:t xml:space="preserve">Uusiutuvan vedyn tukijärjestelmä: Lopullisten edunsaajien kanssa </w:t>
            </w:r>
            <w:r>
              <w:rPr>
                <w:noProof/>
              </w:rPr>
              <w:t>allekirjoitetut oikeudelliset sopimukset tai tuen myöntämistä koskevat lopulliset päätökset on julkaistu (II)</w:t>
            </w:r>
          </w:p>
        </w:tc>
        <w:tc>
          <w:tcPr>
            <w:tcW w:w="1215" w:type="dxa"/>
            <w:shd w:val="clear" w:color="auto" w:fill="C6EFCE"/>
            <w:noWrap/>
          </w:tcPr>
          <w:p w14:paraId="4315824F" w14:textId="6EEA4E13" w:rsidR="000E48CE" w:rsidRDefault="00FF4C4E">
            <w:pPr>
              <w:pStyle w:val="P68B1DB1-Normal13"/>
              <w:spacing w:after="0"/>
              <w:jc w:val="center"/>
              <w:rPr>
                <w:rFonts w:eastAsia="Times New Roman" w:cs="Times New Roman"/>
                <w:noProof/>
              </w:rPr>
            </w:pPr>
            <w:r>
              <w:rPr>
                <w:noProof/>
              </w:rPr>
              <w:t>Oikeudellisten rahoitussopimusten voimaantulo tai lopullisten myöntämispäätösten julkaiseminen</w:t>
            </w:r>
          </w:p>
        </w:tc>
        <w:tc>
          <w:tcPr>
            <w:tcW w:w="600" w:type="dxa"/>
            <w:shd w:val="clear" w:color="auto" w:fill="C6EFCE"/>
            <w:noWrap/>
          </w:tcPr>
          <w:p w14:paraId="2B34F867" w14:textId="2DC2291D"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2A2A49E2" w14:textId="0CAFFAE8" w:rsidR="000E48CE" w:rsidRDefault="00FF4C4E">
            <w:pPr>
              <w:pStyle w:val="P68B1DB1-Normal13"/>
              <w:spacing w:after="0"/>
              <w:jc w:val="right"/>
              <w:rPr>
                <w:rFonts w:eastAsia="Times New Roman" w:cs="Times New Roman"/>
                <w:noProof/>
              </w:rPr>
            </w:pPr>
            <w:r>
              <w:rPr>
                <w:noProof/>
              </w:rPr>
              <w:t>50 %</w:t>
            </w:r>
          </w:p>
        </w:tc>
        <w:tc>
          <w:tcPr>
            <w:tcW w:w="556" w:type="dxa"/>
            <w:shd w:val="clear" w:color="auto" w:fill="C6EFCE"/>
            <w:noWrap/>
          </w:tcPr>
          <w:p w14:paraId="33611B00" w14:textId="563940B1" w:rsidR="000E48CE" w:rsidRDefault="00FF4C4E">
            <w:pPr>
              <w:pStyle w:val="P68B1DB1-Normal13"/>
              <w:spacing w:after="0"/>
              <w:jc w:val="right"/>
              <w:rPr>
                <w:rFonts w:eastAsia="Times New Roman" w:cs="Times New Roman"/>
                <w:noProof/>
              </w:rPr>
            </w:pPr>
            <w:r>
              <w:rPr>
                <w:noProof/>
              </w:rPr>
              <w:t>100 %</w:t>
            </w:r>
          </w:p>
        </w:tc>
        <w:tc>
          <w:tcPr>
            <w:tcW w:w="426" w:type="dxa"/>
            <w:shd w:val="clear" w:color="auto" w:fill="C6EFCE"/>
            <w:noWrap/>
          </w:tcPr>
          <w:p w14:paraId="2F5595CF" w14:textId="6FDA0E25" w:rsidR="000E48CE" w:rsidRDefault="00FF4C4E">
            <w:pPr>
              <w:pStyle w:val="P68B1DB1-Normal13"/>
              <w:spacing w:after="0"/>
              <w:jc w:val="center"/>
              <w:rPr>
                <w:rFonts w:eastAsia="Times New Roman" w:cs="Times New Roman"/>
                <w:noProof/>
                <w:highlight w:val="yellow"/>
              </w:rPr>
            </w:pPr>
            <w:r>
              <w:rPr>
                <w:noProof/>
              </w:rPr>
              <w:t>KOLMAS VUOSINELJÄNNES</w:t>
            </w:r>
          </w:p>
        </w:tc>
        <w:tc>
          <w:tcPr>
            <w:tcW w:w="502" w:type="dxa"/>
            <w:shd w:val="clear" w:color="auto" w:fill="C6EFCE"/>
            <w:noWrap/>
          </w:tcPr>
          <w:p w14:paraId="0160F2A1" w14:textId="3900C86F" w:rsidR="000E48CE" w:rsidRDefault="00FF4C4E">
            <w:pPr>
              <w:pStyle w:val="P68B1DB1-Normal13"/>
              <w:spacing w:after="0"/>
              <w:jc w:val="center"/>
              <w:rPr>
                <w:rFonts w:eastAsia="Times New Roman" w:cs="Times New Roman"/>
                <w:noProof/>
                <w:highlight w:val="yellow"/>
              </w:rPr>
            </w:pPr>
            <w:r>
              <w:rPr>
                <w:noProof/>
              </w:rPr>
              <w:t>2026</w:t>
            </w:r>
          </w:p>
        </w:tc>
        <w:tc>
          <w:tcPr>
            <w:tcW w:w="6869" w:type="dxa"/>
            <w:shd w:val="clear" w:color="auto" w:fill="C6EFCE"/>
            <w:noWrap/>
          </w:tcPr>
          <w:p w14:paraId="7F48C873" w14:textId="07D4E2E2" w:rsidR="000E48CE" w:rsidRDefault="00FF4C4E">
            <w:pPr>
              <w:pStyle w:val="P68B1DB1-Normal13"/>
              <w:spacing w:after="0"/>
              <w:rPr>
                <w:rFonts w:eastAsia="Times New Roman" w:cs="Times New Roman"/>
                <w:noProof/>
              </w:rPr>
            </w:pPr>
            <w:r>
              <w:rPr>
                <w:noProof/>
              </w:rPr>
              <w:t>IDAE on julk</w:t>
            </w:r>
            <w:r>
              <w:rPr>
                <w:noProof/>
              </w:rPr>
              <w:t>aissut lopulliset myöntämispäätökset tai lopullisten edunsaajien kanssa tehtyjen rahoitussopimusten voimaantulon, kun 100 prosenttia elpymis- ja palautumistukivälineen investoinneista tukijärjestelmään on tehty (välilliset kustannukset mukaan luettuina).</w:t>
            </w:r>
          </w:p>
        </w:tc>
      </w:tr>
      <w:tr w:rsidR="000E48CE" w14:paraId="668FE02C" w14:textId="77777777">
        <w:trPr>
          <w:trHeight w:val="309"/>
        </w:trPr>
        <w:tc>
          <w:tcPr>
            <w:tcW w:w="673" w:type="dxa"/>
            <w:shd w:val="clear" w:color="auto" w:fill="C6EFCE"/>
            <w:noWrap/>
          </w:tcPr>
          <w:p w14:paraId="062E20ED" w14:textId="73DA41CE" w:rsidR="000E48CE" w:rsidRDefault="00FF4C4E">
            <w:pPr>
              <w:pStyle w:val="P68B1DB1-Normal13"/>
              <w:spacing w:after="0"/>
              <w:jc w:val="center"/>
              <w:rPr>
                <w:rFonts w:eastAsia="Times New Roman" w:cs="Times New Roman"/>
                <w:noProof/>
              </w:rPr>
            </w:pPr>
            <w:r>
              <w:rPr>
                <w:noProof/>
              </w:rPr>
              <w:t>487</w:t>
            </w:r>
          </w:p>
        </w:tc>
        <w:tc>
          <w:tcPr>
            <w:tcW w:w="804" w:type="dxa"/>
            <w:shd w:val="clear" w:color="auto" w:fill="C6EFCE"/>
            <w:noWrap/>
          </w:tcPr>
          <w:p w14:paraId="32B1D913" w14:textId="171B767F" w:rsidR="000E48CE" w:rsidRDefault="00FF4C4E">
            <w:pPr>
              <w:pStyle w:val="P68B1DB1-Normal13"/>
              <w:spacing w:after="0"/>
              <w:jc w:val="center"/>
              <w:rPr>
                <w:rFonts w:eastAsia="Times New Roman" w:cs="Times New Roman"/>
                <w:noProof/>
              </w:rPr>
            </w:pPr>
            <w:r>
              <w:rPr>
                <w:noProof/>
              </w:rPr>
              <w:t>C31.I3</w:t>
            </w:r>
          </w:p>
        </w:tc>
        <w:tc>
          <w:tcPr>
            <w:tcW w:w="900" w:type="dxa"/>
            <w:shd w:val="clear" w:color="auto" w:fill="C6EFCE"/>
            <w:noWrap/>
          </w:tcPr>
          <w:p w14:paraId="6BE1717C" w14:textId="139DA6F4" w:rsidR="000E48CE" w:rsidRDefault="00FF4C4E">
            <w:pPr>
              <w:pStyle w:val="P68B1DB1-Normal13"/>
              <w:spacing w:after="0"/>
              <w:jc w:val="center"/>
              <w:rPr>
                <w:rFonts w:eastAsia="Times New Roman" w:cs="Times New Roman"/>
                <w:noProof/>
              </w:rPr>
            </w:pPr>
            <w:r>
              <w:rPr>
                <w:noProof/>
              </w:rPr>
              <w:t>M</w:t>
            </w:r>
          </w:p>
        </w:tc>
        <w:tc>
          <w:tcPr>
            <w:tcW w:w="2296" w:type="dxa"/>
            <w:shd w:val="clear" w:color="auto" w:fill="C6EFCE"/>
            <w:noWrap/>
          </w:tcPr>
          <w:p w14:paraId="42CB9C1B" w14:textId="221A96B0" w:rsidR="000E48CE" w:rsidRDefault="00FF4C4E">
            <w:pPr>
              <w:pStyle w:val="P68B1DB1-Normal13"/>
              <w:spacing w:after="0"/>
              <w:rPr>
                <w:rFonts w:eastAsia="Times New Roman" w:cs="Times New Roman"/>
                <w:noProof/>
              </w:rPr>
            </w:pPr>
            <w:r>
              <w:rPr>
                <w:noProof/>
              </w:rPr>
              <w:t>Arvoketjun tukijärjestelmä: Ministeriö on saattanut investoinnin päätökseen</w:t>
            </w:r>
          </w:p>
        </w:tc>
        <w:tc>
          <w:tcPr>
            <w:tcW w:w="1215" w:type="dxa"/>
            <w:shd w:val="clear" w:color="auto" w:fill="C6EFCE"/>
            <w:noWrap/>
          </w:tcPr>
          <w:p w14:paraId="18308D9B" w14:textId="7113B2AE" w:rsidR="000E48CE" w:rsidRDefault="00FF4C4E">
            <w:pPr>
              <w:pStyle w:val="P68B1DB1-Normal13"/>
              <w:spacing w:after="0"/>
              <w:jc w:val="center"/>
              <w:rPr>
                <w:rFonts w:eastAsia="Times New Roman" w:cs="Times New Roman"/>
                <w:noProof/>
              </w:rPr>
            </w:pPr>
            <w:r>
              <w:rPr>
                <w:noProof/>
              </w:rPr>
              <w:t>Siirtotodistus</w:t>
            </w:r>
          </w:p>
        </w:tc>
        <w:tc>
          <w:tcPr>
            <w:tcW w:w="600" w:type="dxa"/>
            <w:shd w:val="clear" w:color="auto" w:fill="C6EFCE"/>
            <w:noWrap/>
          </w:tcPr>
          <w:p w14:paraId="19B525F6" w14:textId="77777777"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557E201D" w14:textId="77777777" w:rsidR="000E48CE" w:rsidRDefault="000E48CE">
            <w:pPr>
              <w:spacing w:after="0"/>
              <w:jc w:val="right"/>
              <w:rPr>
                <w:rFonts w:ascii="Times New Roman" w:eastAsia="Times New Roman" w:hAnsi="Times New Roman" w:cs="Times New Roman"/>
                <w:noProof/>
                <w:sz w:val="18"/>
              </w:rPr>
            </w:pPr>
          </w:p>
        </w:tc>
        <w:tc>
          <w:tcPr>
            <w:tcW w:w="556" w:type="dxa"/>
            <w:shd w:val="clear" w:color="auto" w:fill="C6EFCE"/>
            <w:noWrap/>
          </w:tcPr>
          <w:p w14:paraId="62A2D8E4" w14:textId="77777777" w:rsidR="000E48CE" w:rsidRDefault="000E48CE">
            <w:pPr>
              <w:spacing w:after="0"/>
              <w:jc w:val="right"/>
              <w:rPr>
                <w:rFonts w:ascii="Times New Roman" w:eastAsia="Times New Roman" w:hAnsi="Times New Roman" w:cs="Times New Roman"/>
                <w:noProof/>
                <w:sz w:val="18"/>
              </w:rPr>
            </w:pPr>
          </w:p>
        </w:tc>
        <w:tc>
          <w:tcPr>
            <w:tcW w:w="426" w:type="dxa"/>
            <w:shd w:val="clear" w:color="auto" w:fill="C6EFCE"/>
            <w:noWrap/>
          </w:tcPr>
          <w:p w14:paraId="1C67934C" w14:textId="1BBAA7C3" w:rsidR="000E48CE" w:rsidRDefault="00FF4C4E">
            <w:pPr>
              <w:pStyle w:val="P68B1DB1-Normal13"/>
              <w:spacing w:after="0"/>
              <w:jc w:val="center"/>
              <w:rPr>
                <w:rFonts w:eastAsia="Times New Roman" w:cs="Times New Roman"/>
                <w:noProof/>
              </w:rPr>
            </w:pPr>
            <w:r>
              <w:rPr>
                <w:noProof/>
              </w:rPr>
              <w:t>Q2</w:t>
            </w:r>
          </w:p>
        </w:tc>
        <w:tc>
          <w:tcPr>
            <w:tcW w:w="502" w:type="dxa"/>
            <w:shd w:val="clear" w:color="auto" w:fill="C6EFCE"/>
            <w:noWrap/>
          </w:tcPr>
          <w:p w14:paraId="4C8A96BC" w14:textId="62C2A2B4" w:rsidR="000E48CE" w:rsidRDefault="00FF4C4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7BC5991D" w14:textId="5FE8BC70" w:rsidR="000E48CE" w:rsidRDefault="00FF4C4E">
            <w:pPr>
              <w:pStyle w:val="P68B1DB1-Normal13"/>
              <w:spacing w:after="0"/>
              <w:rPr>
                <w:rFonts w:eastAsia="Times New Roman" w:cs="Times New Roman"/>
                <w:noProof/>
              </w:rPr>
            </w:pPr>
            <w:r>
              <w:rPr>
                <w:noProof/>
              </w:rPr>
              <w:t xml:space="preserve">Espanjan on siirrettävä 1000 miljoonaa euroa IDAE:lle tukijärjestelmää varten. </w:t>
            </w:r>
          </w:p>
        </w:tc>
      </w:tr>
      <w:tr w:rsidR="000E48CE" w14:paraId="4997CE3A" w14:textId="77777777">
        <w:trPr>
          <w:trHeight w:val="309"/>
        </w:trPr>
        <w:tc>
          <w:tcPr>
            <w:tcW w:w="673" w:type="dxa"/>
            <w:shd w:val="clear" w:color="auto" w:fill="C6EFCE"/>
            <w:noWrap/>
          </w:tcPr>
          <w:p w14:paraId="2C9D9912" w14:textId="07AC69DB" w:rsidR="000E48CE" w:rsidRDefault="00FF4C4E">
            <w:pPr>
              <w:pStyle w:val="P68B1DB1-Normal13"/>
              <w:spacing w:after="0"/>
              <w:jc w:val="center"/>
              <w:rPr>
                <w:rFonts w:eastAsia="Times New Roman" w:cs="Times New Roman"/>
                <w:noProof/>
              </w:rPr>
            </w:pPr>
            <w:r>
              <w:rPr>
                <w:noProof/>
              </w:rPr>
              <w:t>484</w:t>
            </w:r>
          </w:p>
        </w:tc>
        <w:tc>
          <w:tcPr>
            <w:tcW w:w="804" w:type="dxa"/>
            <w:shd w:val="clear" w:color="auto" w:fill="C6EFCE"/>
            <w:noWrap/>
          </w:tcPr>
          <w:p w14:paraId="35061C95" w14:textId="77777777" w:rsidR="000E48CE" w:rsidRDefault="00FF4C4E">
            <w:pPr>
              <w:pStyle w:val="P68B1DB1-Normal13"/>
              <w:spacing w:after="0"/>
              <w:jc w:val="center"/>
              <w:rPr>
                <w:rFonts w:eastAsia="Times New Roman" w:cs="Times New Roman"/>
                <w:noProof/>
              </w:rPr>
            </w:pPr>
            <w:r>
              <w:rPr>
                <w:noProof/>
              </w:rPr>
              <w:t>C31.I3</w:t>
            </w:r>
          </w:p>
        </w:tc>
        <w:tc>
          <w:tcPr>
            <w:tcW w:w="900" w:type="dxa"/>
            <w:shd w:val="clear" w:color="auto" w:fill="C6EFCE"/>
            <w:noWrap/>
          </w:tcPr>
          <w:p w14:paraId="46836030" w14:textId="77777777" w:rsidR="000E48CE" w:rsidRDefault="00FF4C4E">
            <w:pPr>
              <w:pStyle w:val="P68B1DB1-Normal13"/>
              <w:spacing w:after="0"/>
              <w:jc w:val="center"/>
              <w:rPr>
                <w:rFonts w:eastAsia="Times New Roman" w:cs="Times New Roman"/>
                <w:noProof/>
              </w:rPr>
            </w:pPr>
            <w:r>
              <w:rPr>
                <w:noProof/>
              </w:rPr>
              <w:t>M</w:t>
            </w:r>
          </w:p>
        </w:tc>
        <w:tc>
          <w:tcPr>
            <w:tcW w:w="2296" w:type="dxa"/>
            <w:shd w:val="clear" w:color="auto" w:fill="C6EFCE"/>
            <w:noWrap/>
          </w:tcPr>
          <w:p w14:paraId="390DE608" w14:textId="48058EC9" w:rsidR="000E48CE" w:rsidRDefault="00FF4C4E">
            <w:pPr>
              <w:pStyle w:val="P68B1DB1-Normal13"/>
              <w:spacing w:after="0"/>
              <w:rPr>
                <w:rFonts w:eastAsia="Times New Roman" w:cs="Times New Roman"/>
                <w:noProof/>
              </w:rPr>
            </w:pPr>
            <w:r>
              <w:rPr>
                <w:noProof/>
              </w:rPr>
              <w:t xml:space="preserve">Arvoketjun tukijärjestelmä: Järjestelmän </w:t>
            </w:r>
            <w:r>
              <w:rPr>
                <w:noProof/>
              </w:rPr>
              <w:t>perustaminen</w:t>
            </w:r>
          </w:p>
        </w:tc>
        <w:tc>
          <w:tcPr>
            <w:tcW w:w="1215" w:type="dxa"/>
            <w:shd w:val="clear" w:color="auto" w:fill="C6EFCE"/>
            <w:noWrap/>
          </w:tcPr>
          <w:p w14:paraId="653E9D84" w14:textId="75B7BDF7" w:rsidR="000E48CE" w:rsidRDefault="00FF4C4E">
            <w:pPr>
              <w:pStyle w:val="P68B1DB1-Normal13"/>
              <w:spacing w:after="0"/>
              <w:jc w:val="center"/>
              <w:rPr>
                <w:rFonts w:eastAsia="Times New Roman" w:cs="Times New Roman"/>
                <w:noProof/>
              </w:rPr>
            </w:pPr>
            <w:r>
              <w:rPr>
                <w:noProof/>
              </w:rPr>
              <w:t>Ministeriön päätöksen voimaantulo</w:t>
            </w:r>
          </w:p>
        </w:tc>
        <w:tc>
          <w:tcPr>
            <w:tcW w:w="600" w:type="dxa"/>
            <w:shd w:val="clear" w:color="auto" w:fill="C6EFCE"/>
            <w:noWrap/>
          </w:tcPr>
          <w:p w14:paraId="2E2DBE46" w14:textId="77777777"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2BE95DCB" w14:textId="77777777" w:rsidR="000E48CE" w:rsidRDefault="000E48CE">
            <w:pPr>
              <w:spacing w:after="0"/>
              <w:jc w:val="right"/>
              <w:rPr>
                <w:rFonts w:ascii="Times New Roman" w:eastAsia="Times New Roman" w:hAnsi="Times New Roman" w:cs="Times New Roman"/>
                <w:noProof/>
                <w:sz w:val="18"/>
              </w:rPr>
            </w:pPr>
          </w:p>
        </w:tc>
        <w:tc>
          <w:tcPr>
            <w:tcW w:w="556" w:type="dxa"/>
            <w:shd w:val="clear" w:color="auto" w:fill="C6EFCE"/>
            <w:noWrap/>
          </w:tcPr>
          <w:p w14:paraId="32C010D6" w14:textId="77777777" w:rsidR="000E48CE" w:rsidRDefault="000E48CE">
            <w:pPr>
              <w:spacing w:after="0"/>
              <w:jc w:val="right"/>
              <w:rPr>
                <w:rFonts w:ascii="Times New Roman" w:eastAsia="Times New Roman" w:hAnsi="Times New Roman" w:cs="Times New Roman"/>
                <w:noProof/>
                <w:sz w:val="18"/>
              </w:rPr>
            </w:pPr>
          </w:p>
        </w:tc>
        <w:tc>
          <w:tcPr>
            <w:tcW w:w="426" w:type="dxa"/>
            <w:shd w:val="clear" w:color="auto" w:fill="C6EFCE"/>
            <w:noWrap/>
          </w:tcPr>
          <w:p w14:paraId="0D529E4A" w14:textId="77777777" w:rsidR="000E48CE" w:rsidRDefault="00FF4C4E">
            <w:pPr>
              <w:pStyle w:val="P68B1DB1-Normal13"/>
              <w:spacing w:after="0"/>
              <w:jc w:val="center"/>
              <w:rPr>
                <w:rFonts w:eastAsia="Times New Roman" w:cs="Times New Roman"/>
                <w:noProof/>
                <w:highlight w:val="yellow"/>
              </w:rPr>
            </w:pPr>
            <w:r>
              <w:rPr>
                <w:noProof/>
              </w:rPr>
              <w:t>Q4</w:t>
            </w:r>
          </w:p>
        </w:tc>
        <w:tc>
          <w:tcPr>
            <w:tcW w:w="502" w:type="dxa"/>
            <w:shd w:val="clear" w:color="auto" w:fill="C6EFCE"/>
            <w:noWrap/>
          </w:tcPr>
          <w:p w14:paraId="358F275E" w14:textId="63EF6B72" w:rsidR="000E48CE" w:rsidRDefault="00FF4C4E">
            <w:pPr>
              <w:pStyle w:val="P68B1DB1-Normal13"/>
              <w:spacing w:after="0"/>
              <w:jc w:val="center"/>
              <w:rPr>
                <w:rFonts w:eastAsia="Times New Roman" w:cs="Times New Roman"/>
                <w:noProof/>
                <w:highlight w:val="yellow"/>
              </w:rPr>
            </w:pPr>
            <w:r>
              <w:rPr>
                <w:noProof/>
              </w:rPr>
              <w:t>2024</w:t>
            </w:r>
          </w:p>
        </w:tc>
        <w:tc>
          <w:tcPr>
            <w:tcW w:w="6900" w:type="dxa"/>
            <w:gridSpan w:val="2"/>
            <w:shd w:val="clear" w:color="auto" w:fill="C6EFCE"/>
            <w:noWrap/>
          </w:tcPr>
          <w:p w14:paraId="4FE61A9D" w14:textId="42D4101E" w:rsidR="000E48CE" w:rsidRDefault="00FF4C4E">
            <w:pPr>
              <w:pStyle w:val="P68B1DB1-Normal13"/>
              <w:spacing w:after="0"/>
              <w:rPr>
                <w:rFonts w:eastAsia="Times New Roman" w:cs="Times New Roman"/>
                <w:noProof/>
              </w:rPr>
            </w:pPr>
            <w:r>
              <w:rPr>
                <w:noProof/>
              </w:rPr>
              <w:t>Tukijärjestelmän perustamista koskevien oikeudellisten välineiden voimaantulo toimenpiteen kuvauksessa täsmennettyjen vaatimusten mukaisesti.</w:t>
            </w:r>
          </w:p>
        </w:tc>
      </w:tr>
      <w:tr w:rsidR="000E48CE" w14:paraId="20ABF11D" w14:textId="77777777">
        <w:trPr>
          <w:trHeight w:val="309"/>
        </w:trPr>
        <w:tc>
          <w:tcPr>
            <w:tcW w:w="673" w:type="dxa"/>
            <w:shd w:val="clear" w:color="auto" w:fill="C6EFCE"/>
            <w:noWrap/>
          </w:tcPr>
          <w:p w14:paraId="5FCF7510" w14:textId="19C6135E" w:rsidR="000E48CE" w:rsidRDefault="00FF4C4E">
            <w:pPr>
              <w:pStyle w:val="P68B1DB1-Normal13"/>
              <w:spacing w:after="0"/>
              <w:jc w:val="center"/>
              <w:rPr>
                <w:rFonts w:eastAsia="Times New Roman" w:cs="Times New Roman"/>
                <w:noProof/>
              </w:rPr>
            </w:pPr>
            <w:r>
              <w:rPr>
                <w:noProof/>
              </w:rPr>
              <w:t>485</w:t>
            </w:r>
          </w:p>
        </w:tc>
        <w:tc>
          <w:tcPr>
            <w:tcW w:w="804" w:type="dxa"/>
            <w:shd w:val="clear" w:color="auto" w:fill="C6EFCE"/>
            <w:noWrap/>
          </w:tcPr>
          <w:p w14:paraId="34CAD987" w14:textId="77777777" w:rsidR="000E48CE" w:rsidRDefault="00FF4C4E">
            <w:pPr>
              <w:pStyle w:val="P68B1DB1-Normal13"/>
              <w:spacing w:after="0"/>
              <w:jc w:val="center"/>
              <w:rPr>
                <w:rFonts w:eastAsia="Times New Roman" w:cs="Times New Roman"/>
                <w:noProof/>
              </w:rPr>
            </w:pPr>
            <w:r>
              <w:rPr>
                <w:noProof/>
              </w:rPr>
              <w:t>C31.I3</w:t>
            </w:r>
          </w:p>
        </w:tc>
        <w:tc>
          <w:tcPr>
            <w:tcW w:w="900" w:type="dxa"/>
            <w:shd w:val="clear" w:color="auto" w:fill="C6EFCE"/>
            <w:noWrap/>
          </w:tcPr>
          <w:p w14:paraId="6507ED67" w14:textId="77777777" w:rsidR="000E48CE" w:rsidRDefault="00FF4C4E">
            <w:pPr>
              <w:pStyle w:val="P68B1DB1-Normal13"/>
              <w:spacing w:after="0"/>
              <w:jc w:val="center"/>
              <w:rPr>
                <w:rFonts w:eastAsia="Times New Roman" w:cs="Times New Roman"/>
                <w:noProof/>
              </w:rPr>
            </w:pPr>
            <w:r>
              <w:rPr>
                <w:noProof/>
              </w:rPr>
              <w:t>T</w:t>
            </w:r>
          </w:p>
        </w:tc>
        <w:tc>
          <w:tcPr>
            <w:tcW w:w="2296" w:type="dxa"/>
            <w:shd w:val="clear" w:color="auto" w:fill="C6EFCE"/>
            <w:noWrap/>
          </w:tcPr>
          <w:p w14:paraId="7C2B6EB1" w14:textId="1B5D97E8" w:rsidR="000E48CE" w:rsidRDefault="00FF4C4E">
            <w:pPr>
              <w:pStyle w:val="P68B1DB1-Normal13"/>
              <w:spacing w:after="0"/>
              <w:rPr>
                <w:rFonts w:eastAsia="Times New Roman" w:cs="Times New Roman"/>
                <w:noProof/>
              </w:rPr>
            </w:pPr>
            <w:r>
              <w:rPr>
                <w:noProof/>
              </w:rPr>
              <w:t xml:space="preserve">Arvoketjun tukijärjestelmä: Lopullisten </w:t>
            </w:r>
            <w:r>
              <w:rPr>
                <w:noProof/>
              </w:rPr>
              <w:t>edunsaajien kanssa allekirjoitetut oikeudelliset sopimukset tai lopulliset myöntämispäätökset julkaistu (I)</w:t>
            </w:r>
          </w:p>
        </w:tc>
        <w:tc>
          <w:tcPr>
            <w:tcW w:w="1215" w:type="dxa"/>
            <w:shd w:val="clear" w:color="auto" w:fill="C6EFCE"/>
            <w:noWrap/>
          </w:tcPr>
          <w:p w14:paraId="29427A2F" w14:textId="191137EA" w:rsidR="000E48CE" w:rsidRDefault="00FF4C4E">
            <w:pPr>
              <w:pStyle w:val="P68B1DB1-Normal13"/>
              <w:spacing w:after="0"/>
              <w:jc w:val="center"/>
              <w:rPr>
                <w:rFonts w:eastAsia="Times New Roman" w:cs="Times New Roman"/>
                <w:noProof/>
              </w:rPr>
            </w:pPr>
            <w:r>
              <w:rPr>
                <w:noProof/>
              </w:rPr>
              <w:t>Oikeudellisten rahoitussopimusten voimaantulo tai lopullisten myöntämispäätösten julkaiseminen</w:t>
            </w:r>
          </w:p>
        </w:tc>
        <w:tc>
          <w:tcPr>
            <w:tcW w:w="600" w:type="dxa"/>
            <w:shd w:val="clear" w:color="auto" w:fill="C6EFCE"/>
            <w:noWrap/>
          </w:tcPr>
          <w:p w14:paraId="7656168B" w14:textId="449AC494"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5FABB88C" w14:textId="77777777" w:rsidR="000E48CE" w:rsidRDefault="00FF4C4E">
            <w:pPr>
              <w:pStyle w:val="P68B1DB1-Normal13"/>
              <w:spacing w:after="0"/>
              <w:jc w:val="right"/>
              <w:rPr>
                <w:rFonts w:eastAsia="Times New Roman" w:cs="Times New Roman"/>
                <w:noProof/>
              </w:rPr>
            </w:pPr>
            <w:r>
              <w:rPr>
                <w:noProof/>
              </w:rPr>
              <w:t>0</w:t>
            </w:r>
          </w:p>
        </w:tc>
        <w:tc>
          <w:tcPr>
            <w:tcW w:w="556" w:type="dxa"/>
            <w:shd w:val="clear" w:color="auto" w:fill="C6EFCE"/>
            <w:noWrap/>
          </w:tcPr>
          <w:p w14:paraId="59D3BBFC" w14:textId="007440EE" w:rsidR="000E48CE" w:rsidRDefault="00FF4C4E">
            <w:pPr>
              <w:pStyle w:val="P68B1DB1-Normal13"/>
              <w:spacing w:after="0"/>
              <w:jc w:val="right"/>
              <w:rPr>
                <w:rFonts w:eastAsia="Times New Roman" w:cs="Times New Roman"/>
                <w:noProof/>
              </w:rPr>
            </w:pPr>
            <w:r>
              <w:rPr>
                <w:noProof/>
              </w:rPr>
              <w:t>50 %</w:t>
            </w:r>
          </w:p>
        </w:tc>
        <w:tc>
          <w:tcPr>
            <w:tcW w:w="426" w:type="dxa"/>
            <w:shd w:val="clear" w:color="auto" w:fill="C6EFCE"/>
            <w:noWrap/>
          </w:tcPr>
          <w:p w14:paraId="2ADF8651" w14:textId="77777777" w:rsidR="000E48CE" w:rsidRDefault="00FF4C4E">
            <w:pPr>
              <w:pStyle w:val="P68B1DB1-Normal13"/>
              <w:spacing w:after="0"/>
              <w:jc w:val="center"/>
              <w:rPr>
                <w:rFonts w:eastAsia="Times New Roman" w:cs="Times New Roman"/>
                <w:noProof/>
              </w:rPr>
            </w:pPr>
            <w:r>
              <w:rPr>
                <w:noProof/>
              </w:rPr>
              <w:t>Q2</w:t>
            </w:r>
          </w:p>
        </w:tc>
        <w:tc>
          <w:tcPr>
            <w:tcW w:w="502" w:type="dxa"/>
            <w:shd w:val="clear" w:color="auto" w:fill="C6EFCE"/>
            <w:noWrap/>
          </w:tcPr>
          <w:p w14:paraId="5C30AE1C" w14:textId="77777777" w:rsidR="000E48CE" w:rsidRDefault="00FF4C4E">
            <w:pPr>
              <w:pStyle w:val="P68B1DB1-Normal13"/>
              <w:spacing w:after="0"/>
              <w:jc w:val="center"/>
              <w:rPr>
                <w:rFonts w:eastAsia="Times New Roman" w:cs="Times New Roman"/>
                <w:noProof/>
              </w:rPr>
            </w:pPr>
            <w:r>
              <w:rPr>
                <w:noProof/>
              </w:rPr>
              <w:t>2025</w:t>
            </w:r>
          </w:p>
        </w:tc>
        <w:tc>
          <w:tcPr>
            <w:tcW w:w="6900" w:type="dxa"/>
            <w:gridSpan w:val="2"/>
            <w:shd w:val="clear" w:color="auto" w:fill="C6EFCE"/>
            <w:noWrap/>
          </w:tcPr>
          <w:p w14:paraId="52945C76" w14:textId="00269C6A" w:rsidR="000E48CE" w:rsidRDefault="00FF4C4E">
            <w:pPr>
              <w:pStyle w:val="P68B1DB1-Normal13"/>
              <w:spacing w:after="0"/>
              <w:rPr>
                <w:rFonts w:eastAsia="Times New Roman" w:cs="Times New Roman"/>
                <w:noProof/>
              </w:rPr>
            </w:pPr>
            <w:r>
              <w:rPr>
                <w:noProof/>
              </w:rPr>
              <w:t>IDAE on julkaissut lopulliset myöntäm</w:t>
            </w:r>
            <w:r>
              <w:rPr>
                <w:noProof/>
              </w:rPr>
              <w:t>ispäätökset tai lopullisten edunsaajien kanssa tehtyjen rahoitussopimusten voimaantulon vähintään 50 prosentille elpymis- ja palautumistukivälineen investoinneista tukijärjestelmään (välilliset kustannukset mukaan luettuina).</w:t>
            </w:r>
          </w:p>
        </w:tc>
      </w:tr>
      <w:tr w:rsidR="000E48CE" w14:paraId="3AB9A45D" w14:textId="77777777">
        <w:trPr>
          <w:trHeight w:val="309"/>
        </w:trPr>
        <w:tc>
          <w:tcPr>
            <w:tcW w:w="673" w:type="dxa"/>
            <w:shd w:val="clear" w:color="auto" w:fill="C6EFCE"/>
            <w:noWrap/>
          </w:tcPr>
          <w:p w14:paraId="7F4D9BA1" w14:textId="0F164B79" w:rsidR="000E48CE" w:rsidRDefault="00FF4C4E">
            <w:pPr>
              <w:pStyle w:val="P68B1DB1-Normal13"/>
              <w:spacing w:after="0"/>
              <w:jc w:val="center"/>
              <w:rPr>
                <w:rFonts w:eastAsia="Times New Roman" w:cs="Times New Roman"/>
                <w:noProof/>
              </w:rPr>
            </w:pPr>
            <w:r>
              <w:rPr>
                <w:noProof/>
              </w:rPr>
              <w:t>486</w:t>
            </w:r>
          </w:p>
        </w:tc>
        <w:tc>
          <w:tcPr>
            <w:tcW w:w="804" w:type="dxa"/>
            <w:shd w:val="clear" w:color="auto" w:fill="C6EFCE"/>
            <w:noWrap/>
          </w:tcPr>
          <w:p w14:paraId="5F58753C" w14:textId="77777777" w:rsidR="000E48CE" w:rsidRDefault="00FF4C4E">
            <w:pPr>
              <w:pStyle w:val="P68B1DB1-Normal13"/>
              <w:spacing w:after="0"/>
              <w:jc w:val="center"/>
              <w:rPr>
                <w:rFonts w:eastAsia="Times New Roman" w:cs="Times New Roman"/>
                <w:noProof/>
              </w:rPr>
            </w:pPr>
            <w:r>
              <w:rPr>
                <w:noProof/>
              </w:rPr>
              <w:t>C31.I3</w:t>
            </w:r>
          </w:p>
        </w:tc>
        <w:tc>
          <w:tcPr>
            <w:tcW w:w="900" w:type="dxa"/>
            <w:shd w:val="clear" w:color="auto" w:fill="C6EFCE"/>
            <w:noWrap/>
          </w:tcPr>
          <w:p w14:paraId="5F96617A" w14:textId="77777777" w:rsidR="000E48CE" w:rsidRDefault="00FF4C4E">
            <w:pPr>
              <w:pStyle w:val="P68B1DB1-Normal13"/>
              <w:spacing w:after="0"/>
              <w:jc w:val="center"/>
              <w:rPr>
                <w:rFonts w:eastAsia="Times New Roman" w:cs="Times New Roman"/>
                <w:noProof/>
              </w:rPr>
            </w:pPr>
            <w:r>
              <w:rPr>
                <w:noProof/>
              </w:rPr>
              <w:t>T</w:t>
            </w:r>
          </w:p>
        </w:tc>
        <w:tc>
          <w:tcPr>
            <w:tcW w:w="2296" w:type="dxa"/>
            <w:shd w:val="clear" w:color="auto" w:fill="C6EFCE"/>
            <w:noWrap/>
          </w:tcPr>
          <w:p w14:paraId="272667A1" w14:textId="7099706D" w:rsidR="000E48CE" w:rsidRDefault="00FF4C4E">
            <w:pPr>
              <w:pStyle w:val="P68B1DB1-Normal13"/>
              <w:spacing w:after="0"/>
              <w:rPr>
                <w:rFonts w:eastAsia="Times New Roman" w:cs="Times New Roman"/>
                <w:noProof/>
              </w:rPr>
            </w:pPr>
            <w:r>
              <w:rPr>
                <w:noProof/>
              </w:rPr>
              <w:t xml:space="preserve">Arvoketjun </w:t>
            </w:r>
            <w:r>
              <w:rPr>
                <w:noProof/>
              </w:rPr>
              <w:t>tukijärjestelmä: Lopullisten edunsaajien kanssa allekirjoitetut oikeudelliset sopimukset tai tuen myöntämistä koskevat lopulliset päätökset on julkaistu (II)</w:t>
            </w:r>
          </w:p>
        </w:tc>
        <w:tc>
          <w:tcPr>
            <w:tcW w:w="1215" w:type="dxa"/>
            <w:shd w:val="clear" w:color="auto" w:fill="C6EFCE"/>
            <w:noWrap/>
          </w:tcPr>
          <w:p w14:paraId="07624AF5" w14:textId="71BF0842" w:rsidR="000E48CE" w:rsidRDefault="00FF4C4E">
            <w:pPr>
              <w:pStyle w:val="P68B1DB1-Normal13"/>
              <w:spacing w:after="0"/>
              <w:jc w:val="center"/>
              <w:rPr>
                <w:rFonts w:eastAsia="Times New Roman" w:cs="Times New Roman"/>
                <w:noProof/>
              </w:rPr>
            </w:pPr>
            <w:r>
              <w:rPr>
                <w:noProof/>
              </w:rPr>
              <w:t>Oikeudellisten rahoitussopimusten voimaantulo tai lopullisten myöntämispäätösten julkaiseminen</w:t>
            </w:r>
          </w:p>
        </w:tc>
        <w:tc>
          <w:tcPr>
            <w:tcW w:w="600" w:type="dxa"/>
            <w:shd w:val="clear" w:color="auto" w:fill="C6EFCE"/>
            <w:noWrap/>
          </w:tcPr>
          <w:p w14:paraId="60E246B5" w14:textId="48ACB16E"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63BF8650" w14:textId="241FA0B4" w:rsidR="000E48CE" w:rsidRDefault="00FF4C4E">
            <w:pPr>
              <w:pStyle w:val="P68B1DB1-Normal13"/>
              <w:spacing w:after="0"/>
              <w:jc w:val="right"/>
              <w:rPr>
                <w:rFonts w:eastAsia="Times New Roman" w:cs="Times New Roman"/>
                <w:noProof/>
              </w:rPr>
            </w:pPr>
            <w:r>
              <w:rPr>
                <w:noProof/>
              </w:rPr>
              <w:t>50</w:t>
            </w:r>
            <w:r>
              <w:rPr>
                <w:noProof/>
              </w:rPr>
              <w:t> %</w:t>
            </w:r>
          </w:p>
        </w:tc>
        <w:tc>
          <w:tcPr>
            <w:tcW w:w="556" w:type="dxa"/>
            <w:shd w:val="clear" w:color="auto" w:fill="C6EFCE"/>
            <w:noWrap/>
          </w:tcPr>
          <w:p w14:paraId="45908EDE" w14:textId="6C64E7C3" w:rsidR="000E48CE" w:rsidRDefault="00FF4C4E">
            <w:pPr>
              <w:pStyle w:val="P68B1DB1-Normal13"/>
              <w:spacing w:after="0"/>
              <w:jc w:val="right"/>
              <w:rPr>
                <w:rFonts w:eastAsia="Times New Roman" w:cs="Times New Roman"/>
                <w:noProof/>
              </w:rPr>
            </w:pPr>
            <w:r>
              <w:rPr>
                <w:noProof/>
              </w:rPr>
              <w:t>100 %</w:t>
            </w:r>
          </w:p>
        </w:tc>
        <w:tc>
          <w:tcPr>
            <w:tcW w:w="426" w:type="dxa"/>
            <w:shd w:val="clear" w:color="auto" w:fill="C6EFCE"/>
            <w:noWrap/>
          </w:tcPr>
          <w:p w14:paraId="55C5B263" w14:textId="497AFAEF" w:rsidR="000E48CE" w:rsidRDefault="00FF4C4E">
            <w:pPr>
              <w:pStyle w:val="P68B1DB1-Normal13"/>
              <w:spacing w:after="0"/>
              <w:jc w:val="center"/>
              <w:rPr>
                <w:rFonts w:eastAsia="Times New Roman" w:cs="Times New Roman"/>
                <w:noProof/>
                <w:highlight w:val="yellow"/>
              </w:rPr>
            </w:pPr>
            <w:r>
              <w:rPr>
                <w:noProof/>
              </w:rPr>
              <w:t>KOLMAS VUOSINELJÄNNES</w:t>
            </w:r>
          </w:p>
        </w:tc>
        <w:tc>
          <w:tcPr>
            <w:tcW w:w="502" w:type="dxa"/>
            <w:shd w:val="clear" w:color="auto" w:fill="C6EFCE"/>
            <w:noWrap/>
          </w:tcPr>
          <w:p w14:paraId="1C5974B5" w14:textId="4B6307CC" w:rsidR="000E48CE" w:rsidRDefault="00FF4C4E">
            <w:pPr>
              <w:pStyle w:val="P68B1DB1-Normal13"/>
              <w:spacing w:after="0"/>
              <w:jc w:val="center"/>
              <w:rPr>
                <w:rFonts w:eastAsia="Times New Roman" w:cs="Times New Roman"/>
                <w:noProof/>
                <w:highlight w:val="yellow"/>
              </w:rPr>
            </w:pPr>
            <w:r>
              <w:rPr>
                <w:noProof/>
              </w:rPr>
              <w:t>2026</w:t>
            </w:r>
          </w:p>
        </w:tc>
        <w:tc>
          <w:tcPr>
            <w:tcW w:w="6900" w:type="dxa"/>
            <w:gridSpan w:val="2"/>
            <w:shd w:val="clear" w:color="auto" w:fill="C6EFCE"/>
            <w:noWrap/>
          </w:tcPr>
          <w:p w14:paraId="2EDEF715" w14:textId="0DF98E0D" w:rsidR="000E48CE" w:rsidRDefault="00FF4C4E">
            <w:pPr>
              <w:pStyle w:val="P68B1DB1-Normal13"/>
              <w:spacing w:after="0"/>
              <w:rPr>
                <w:rFonts w:eastAsia="Times New Roman" w:cs="Times New Roman"/>
                <w:noProof/>
              </w:rPr>
            </w:pPr>
            <w:r>
              <w:rPr>
                <w:noProof/>
              </w:rPr>
              <w:t xml:space="preserve">IDAE on julkaissut lopulliset myöntämispäätökset tai lopullisten edunsaajien kanssa tehtyjen rahoitussopimusten voimaantulon vähintään 100 prosentille elpymis- ja palautumistukivälineen investoinneista tukijärjestelmään </w:t>
            </w:r>
            <w:r>
              <w:rPr>
                <w:noProof/>
              </w:rPr>
              <w:t>(välilliset kustannukset mukaan luettuina). IDAE:n on varmistettava, että vähintään 90 prosentilla tästä rahoituksesta edistetään ilmastotavoitteiden saavuttamista elpymis- ja palautumistukivälinettä koskevan asetuksen liitteessä VI esitetyn menetelmän muk</w:t>
            </w:r>
            <w:r>
              <w:rPr>
                <w:noProof/>
              </w:rPr>
              <w:t>aisesti.</w:t>
            </w:r>
          </w:p>
        </w:tc>
      </w:tr>
      <w:tr w:rsidR="000E48CE" w14:paraId="17361FC2" w14:textId="77777777">
        <w:trPr>
          <w:trHeight w:val="309"/>
        </w:trPr>
        <w:tc>
          <w:tcPr>
            <w:tcW w:w="673" w:type="dxa"/>
            <w:shd w:val="clear" w:color="auto" w:fill="C6EFCE"/>
            <w:noWrap/>
          </w:tcPr>
          <w:p w14:paraId="7120F279" w14:textId="48B38B84" w:rsidR="000E48CE" w:rsidRDefault="00FF4C4E">
            <w:pPr>
              <w:pStyle w:val="P68B1DB1-Normal13"/>
              <w:spacing w:after="0"/>
              <w:jc w:val="center"/>
              <w:rPr>
                <w:rFonts w:eastAsia="Times New Roman" w:cs="Times New Roman"/>
                <w:noProof/>
              </w:rPr>
            </w:pPr>
            <w:r>
              <w:rPr>
                <w:noProof/>
              </w:rPr>
              <w:t>488</w:t>
            </w:r>
          </w:p>
        </w:tc>
        <w:tc>
          <w:tcPr>
            <w:tcW w:w="804" w:type="dxa"/>
            <w:shd w:val="clear" w:color="auto" w:fill="C6EFCE"/>
            <w:noWrap/>
          </w:tcPr>
          <w:p w14:paraId="180307E4" w14:textId="77777777" w:rsidR="000E48CE" w:rsidRDefault="00FF4C4E">
            <w:pPr>
              <w:pStyle w:val="P68B1DB1-Normal13"/>
              <w:spacing w:after="0"/>
              <w:jc w:val="center"/>
              <w:rPr>
                <w:rFonts w:eastAsia="Times New Roman" w:cs="Times New Roman"/>
                <w:noProof/>
              </w:rPr>
            </w:pPr>
            <w:r>
              <w:rPr>
                <w:noProof/>
              </w:rPr>
              <w:t>C31.I4</w:t>
            </w:r>
          </w:p>
        </w:tc>
        <w:tc>
          <w:tcPr>
            <w:tcW w:w="900" w:type="dxa"/>
            <w:shd w:val="clear" w:color="auto" w:fill="C6EFCE"/>
            <w:noWrap/>
          </w:tcPr>
          <w:p w14:paraId="47527A16" w14:textId="77777777" w:rsidR="000E48CE" w:rsidRDefault="00FF4C4E">
            <w:pPr>
              <w:pStyle w:val="P68B1DB1-Normal13"/>
              <w:spacing w:after="0"/>
              <w:jc w:val="center"/>
              <w:rPr>
                <w:rFonts w:eastAsia="Times New Roman" w:cs="Times New Roman"/>
                <w:noProof/>
              </w:rPr>
            </w:pPr>
            <w:r>
              <w:rPr>
                <w:noProof/>
              </w:rPr>
              <w:t>M</w:t>
            </w:r>
          </w:p>
        </w:tc>
        <w:tc>
          <w:tcPr>
            <w:tcW w:w="2296" w:type="dxa"/>
            <w:shd w:val="clear" w:color="auto" w:fill="C6EFCE"/>
            <w:noWrap/>
          </w:tcPr>
          <w:p w14:paraId="42228A0A" w14:textId="77777777" w:rsidR="000E48CE" w:rsidRDefault="00FF4C4E">
            <w:pPr>
              <w:pStyle w:val="P68B1DB1-Normal13"/>
              <w:spacing w:after="0"/>
              <w:rPr>
                <w:rFonts w:eastAsia="Times New Roman" w:cs="Times New Roman"/>
                <w:noProof/>
              </w:rPr>
            </w:pPr>
            <w:r>
              <w:rPr>
                <w:noProof/>
              </w:rPr>
              <w:t>Sähkönsiirtohankkeiden valintaperusteiden julkaiseminen</w:t>
            </w:r>
          </w:p>
        </w:tc>
        <w:tc>
          <w:tcPr>
            <w:tcW w:w="1215" w:type="dxa"/>
            <w:shd w:val="clear" w:color="auto" w:fill="C6EFCE"/>
            <w:noWrap/>
          </w:tcPr>
          <w:p w14:paraId="421678A0" w14:textId="77777777" w:rsidR="000E48CE" w:rsidRDefault="00FF4C4E">
            <w:pPr>
              <w:pStyle w:val="P68B1DB1-Normal13"/>
              <w:spacing w:after="0"/>
              <w:jc w:val="center"/>
              <w:rPr>
                <w:rFonts w:eastAsia="Times New Roman" w:cs="Times New Roman"/>
                <w:noProof/>
              </w:rPr>
            </w:pPr>
            <w:r>
              <w:rPr>
                <w:noProof/>
              </w:rPr>
              <w:t>Asiaa koskevan säädöksen voimaantulo</w:t>
            </w:r>
          </w:p>
        </w:tc>
        <w:tc>
          <w:tcPr>
            <w:tcW w:w="600" w:type="dxa"/>
            <w:shd w:val="clear" w:color="auto" w:fill="C6EFCE"/>
            <w:noWrap/>
          </w:tcPr>
          <w:p w14:paraId="731E678A" w14:textId="77777777"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70771C08" w14:textId="77777777" w:rsidR="000E48CE" w:rsidRDefault="000E48CE">
            <w:pPr>
              <w:spacing w:after="0"/>
              <w:jc w:val="right"/>
              <w:rPr>
                <w:rFonts w:ascii="Times New Roman" w:eastAsia="Times New Roman" w:hAnsi="Times New Roman" w:cs="Times New Roman"/>
                <w:noProof/>
                <w:sz w:val="18"/>
              </w:rPr>
            </w:pPr>
          </w:p>
        </w:tc>
        <w:tc>
          <w:tcPr>
            <w:tcW w:w="556" w:type="dxa"/>
            <w:shd w:val="clear" w:color="auto" w:fill="C6EFCE"/>
            <w:noWrap/>
          </w:tcPr>
          <w:p w14:paraId="247B4556" w14:textId="77777777" w:rsidR="000E48CE" w:rsidRDefault="000E48CE">
            <w:pPr>
              <w:spacing w:after="0"/>
              <w:jc w:val="right"/>
              <w:rPr>
                <w:rFonts w:ascii="Times New Roman" w:eastAsia="Times New Roman" w:hAnsi="Times New Roman" w:cs="Times New Roman"/>
                <w:noProof/>
                <w:sz w:val="18"/>
              </w:rPr>
            </w:pPr>
          </w:p>
        </w:tc>
        <w:tc>
          <w:tcPr>
            <w:tcW w:w="426" w:type="dxa"/>
            <w:shd w:val="clear" w:color="auto" w:fill="C6EFCE"/>
            <w:noWrap/>
          </w:tcPr>
          <w:p w14:paraId="281FB369" w14:textId="77777777" w:rsidR="000E48CE" w:rsidRDefault="00FF4C4E">
            <w:pPr>
              <w:pStyle w:val="P68B1DB1-Normal13"/>
              <w:spacing w:after="0"/>
              <w:jc w:val="center"/>
              <w:rPr>
                <w:rFonts w:eastAsia="Times New Roman" w:cs="Times New Roman"/>
                <w:noProof/>
              </w:rPr>
            </w:pPr>
            <w:r>
              <w:rPr>
                <w:noProof/>
              </w:rPr>
              <w:t>Q1</w:t>
            </w:r>
          </w:p>
        </w:tc>
        <w:tc>
          <w:tcPr>
            <w:tcW w:w="502" w:type="dxa"/>
            <w:shd w:val="clear" w:color="auto" w:fill="C6EFCE"/>
            <w:noWrap/>
          </w:tcPr>
          <w:p w14:paraId="63327B57" w14:textId="77777777" w:rsidR="000E48CE" w:rsidRDefault="00FF4C4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22B29B4A" w14:textId="39CB396D" w:rsidR="000E48CE" w:rsidRDefault="00FF4C4E">
            <w:pPr>
              <w:pStyle w:val="P68B1DB1-Normal13"/>
              <w:spacing w:after="0"/>
              <w:rPr>
                <w:rFonts w:eastAsia="Times New Roman" w:cs="Times New Roman"/>
                <w:noProof/>
              </w:rPr>
            </w:pPr>
            <w:r>
              <w:rPr>
                <w:noProof/>
              </w:rPr>
              <w:t xml:space="preserve">Tulee voimaan kuninkaan asetus, jossa vahvistetaan kelpoisuusperusteet, jotka Espanjan verkon kehittämissuunnitelmasta 2021–2026 </w:t>
            </w:r>
            <w:r>
              <w:rPr>
                <w:noProof/>
              </w:rPr>
              <w:t>valittavien sähkönsiirtohankkeiden on täytettävä seuraavien seikkojen perusteella:</w:t>
            </w:r>
          </w:p>
          <w:p w14:paraId="38FC21D4" w14:textId="77777777" w:rsidR="000E48CE" w:rsidRDefault="00FF4C4E">
            <w:pPr>
              <w:pStyle w:val="P68B1DB1-ListParagraph14"/>
              <w:numPr>
                <w:ilvl w:val="0"/>
                <w:numId w:val="684"/>
              </w:numPr>
              <w:spacing w:after="0"/>
              <w:rPr>
                <w:rFonts w:eastAsia="Times New Roman" w:cs="Times New Roman"/>
                <w:noProof/>
              </w:rPr>
            </w:pPr>
            <w:r>
              <w:rPr>
                <w:noProof/>
              </w:rPr>
              <w:t>Hankkeet, jotka täyttävät REPowerEU-tavoitteet, ja erityisesti hankkeet, jotka edistävät uusiutuvien energialähteiden integrointia, teollisuuden hiilestä irtautumista, pääst</w:t>
            </w:r>
            <w:r>
              <w:rPr>
                <w:noProof/>
              </w:rPr>
              <w:t>ötöntä liikennettä tai sisäisiin ruuhkiin puuttumista; ja</w:t>
            </w:r>
          </w:p>
          <w:p w14:paraId="3BAA817B" w14:textId="56BD3C48" w:rsidR="000E48CE" w:rsidRDefault="00FF4C4E">
            <w:pPr>
              <w:pStyle w:val="P68B1DB1-ListParagraph14"/>
              <w:numPr>
                <w:ilvl w:val="0"/>
                <w:numId w:val="684"/>
              </w:numPr>
              <w:spacing w:after="0"/>
              <w:rPr>
                <w:rFonts w:eastAsia="Times New Roman" w:cs="Times New Roman"/>
                <w:noProof/>
              </w:rPr>
            </w:pPr>
            <w:r>
              <w:rPr>
                <w:noProof/>
              </w:rPr>
              <w:t>hankkeet, jotka on saatettava päätökseen vuoden 2026 toiseen neljännekseen mennessä.</w:t>
            </w:r>
          </w:p>
        </w:tc>
      </w:tr>
      <w:tr w:rsidR="000E48CE" w14:paraId="7A14FA0D" w14:textId="77777777">
        <w:trPr>
          <w:trHeight w:val="309"/>
        </w:trPr>
        <w:tc>
          <w:tcPr>
            <w:tcW w:w="673" w:type="dxa"/>
            <w:shd w:val="clear" w:color="auto" w:fill="C6EFCE"/>
            <w:noWrap/>
          </w:tcPr>
          <w:p w14:paraId="126D0150" w14:textId="6F2C747B" w:rsidR="000E48CE" w:rsidRDefault="00FF4C4E">
            <w:pPr>
              <w:pStyle w:val="P68B1DB1-Normal13"/>
              <w:spacing w:after="0"/>
              <w:jc w:val="center"/>
              <w:rPr>
                <w:rFonts w:eastAsia="Times New Roman" w:cs="Times New Roman"/>
                <w:noProof/>
              </w:rPr>
            </w:pPr>
            <w:r>
              <w:rPr>
                <w:noProof/>
              </w:rPr>
              <w:t>489</w:t>
            </w:r>
          </w:p>
        </w:tc>
        <w:tc>
          <w:tcPr>
            <w:tcW w:w="804" w:type="dxa"/>
            <w:shd w:val="clear" w:color="auto" w:fill="C6EFCE"/>
            <w:noWrap/>
          </w:tcPr>
          <w:p w14:paraId="7AD81780" w14:textId="77777777" w:rsidR="000E48CE" w:rsidRDefault="00FF4C4E">
            <w:pPr>
              <w:pStyle w:val="P68B1DB1-Normal13"/>
              <w:spacing w:after="0"/>
              <w:jc w:val="center"/>
              <w:rPr>
                <w:rFonts w:eastAsia="Times New Roman" w:cs="Times New Roman"/>
                <w:noProof/>
              </w:rPr>
            </w:pPr>
            <w:r>
              <w:rPr>
                <w:noProof/>
              </w:rPr>
              <w:t>C31.I4</w:t>
            </w:r>
          </w:p>
        </w:tc>
        <w:tc>
          <w:tcPr>
            <w:tcW w:w="900" w:type="dxa"/>
            <w:shd w:val="clear" w:color="auto" w:fill="C6EFCE"/>
            <w:noWrap/>
          </w:tcPr>
          <w:p w14:paraId="4F0A879B" w14:textId="77777777" w:rsidR="000E48CE" w:rsidRDefault="00FF4C4E">
            <w:pPr>
              <w:pStyle w:val="P68B1DB1-Normal13"/>
              <w:spacing w:after="0"/>
              <w:jc w:val="center"/>
              <w:rPr>
                <w:rFonts w:eastAsia="Times New Roman" w:cs="Times New Roman"/>
                <w:noProof/>
              </w:rPr>
            </w:pPr>
            <w:r>
              <w:rPr>
                <w:noProof/>
              </w:rPr>
              <w:t>M</w:t>
            </w:r>
          </w:p>
        </w:tc>
        <w:tc>
          <w:tcPr>
            <w:tcW w:w="2296" w:type="dxa"/>
            <w:shd w:val="clear" w:color="auto" w:fill="C6EFCE"/>
            <w:noWrap/>
          </w:tcPr>
          <w:p w14:paraId="620113C2" w14:textId="77777777" w:rsidR="000E48CE" w:rsidRDefault="00FF4C4E">
            <w:pPr>
              <w:pStyle w:val="P68B1DB1-Normal13"/>
              <w:spacing w:after="0"/>
              <w:rPr>
                <w:rFonts w:eastAsia="Times New Roman" w:cs="Times New Roman"/>
                <w:noProof/>
              </w:rPr>
            </w:pPr>
            <w:r>
              <w:rPr>
                <w:noProof/>
              </w:rPr>
              <w:t>Tuettujen sähkönsiirtohankkeiden luettelon hyväksyminen</w:t>
            </w:r>
          </w:p>
        </w:tc>
        <w:tc>
          <w:tcPr>
            <w:tcW w:w="1215" w:type="dxa"/>
            <w:shd w:val="clear" w:color="auto" w:fill="C6EFCE"/>
            <w:noWrap/>
          </w:tcPr>
          <w:p w14:paraId="5E5FDA22" w14:textId="77777777" w:rsidR="000E48CE" w:rsidRDefault="00FF4C4E">
            <w:pPr>
              <w:pStyle w:val="P68B1DB1-Normal13"/>
              <w:spacing w:after="0"/>
              <w:jc w:val="center"/>
              <w:rPr>
                <w:rFonts w:eastAsia="Times New Roman" w:cs="Times New Roman"/>
                <w:noProof/>
              </w:rPr>
            </w:pPr>
            <w:r>
              <w:rPr>
                <w:noProof/>
              </w:rPr>
              <w:t>Hankeluettelon julkaiseminen</w:t>
            </w:r>
          </w:p>
        </w:tc>
        <w:tc>
          <w:tcPr>
            <w:tcW w:w="600" w:type="dxa"/>
            <w:shd w:val="clear" w:color="auto" w:fill="C6EFCE"/>
            <w:noWrap/>
          </w:tcPr>
          <w:p w14:paraId="1E403055" w14:textId="77777777"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1F8AE886" w14:textId="77777777" w:rsidR="000E48CE" w:rsidRDefault="000E48CE">
            <w:pPr>
              <w:spacing w:after="0"/>
              <w:jc w:val="right"/>
              <w:rPr>
                <w:rFonts w:ascii="Times New Roman" w:eastAsia="Times New Roman" w:hAnsi="Times New Roman" w:cs="Times New Roman"/>
                <w:noProof/>
                <w:sz w:val="18"/>
              </w:rPr>
            </w:pPr>
          </w:p>
        </w:tc>
        <w:tc>
          <w:tcPr>
            <w:tcW w:w="556" w:type="dxa"/>
            <w:shd w:val="clear" w:color="auto" w:fill="C6EFCE"/>
            <w:noWrap/>
          </w:tcPr>
          <w:p w14:paraId="2F0726A3" w14:textId="77777777" w:rsidR="000E48CE" w:rsidRDefault="000E48CE">
            <w:pPr>
              <w:spacing w:after="0"/>
              <w:jc w:val="right"/>
              <w:rPr>
                <w:rFonts w:ascii="Times New Roman" w:eastAsia="Times New Roman" w:hAnsi="Times New Roman" w:cs="Times New Roman"/>
                <w:noProof/>
                <w:sz w:val="18"/>
              </w:rPr>
            </w:pPr>
          </w:p>
        </w:tc>
        <w:tc>
          <w:tcPr>
            <w:tcW w:w="426" w:type="dxa"/>
            <w:shd w:val="clear" w:color="auto" w:fill="C6EFCE"/>
            <w:noWrap/>
          </w:tcPr>
          <w:p w14:paraId="4061F968" w14:textId="77777777" w:rsidR="000E48CE" w:rsidRDefault="00FF4C4E">
            <w:pPr>
              <w:pStyle w:val="P68B1DB1-Normal13"/>
              <w:spacing w:after="0"/>
              <w:jc w:val="center"/>
              <w:rPr>
                <w:rFonts w:eastAsia="Times New Roman" w:cs="Times New Roman"/>
                <w:noProof/>
              </w:rPr>
            </w:pPr>
            <w:r>
              <w:rPr>
                <w:noProof/>
              </w:rPr>
              <w:t>Q4</w:t>
            </w:r>
          </w:p>
        </w:tc>
        <w:tc>
          <w:tcPr>
            <w:tcW w:w="502" w:type="dxa"/>
            <w:shd w:val="clear" w:color="auto" w:fill="C6EFCE"/>
            <w:noWrap/>
          </w:tcPr>
          <w:p w14:paraId="09A9DB7C" w14:textId="77777777" w:rsidR="000E48CE" w:rsidRDefault="00FF4C4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5455C936" w14:textId="090F3F03" w:rsidR="000E48CE" w:rsidRDefault="00FF4C4E">
            <w:pPr>
              <w:pStyle w:val="P68B1DB1-Normal13"/>
              <w:spacing w:after="0"/>
              <w:rPr>
                <w:rFonts w:eastAsia="Times New Roman" w:cs="Times New Roman"/>
                <w:noProof/>
              </w:rPr>
            </w:pPr>
            <w:r>
              <w:rPr>
                <w:noProof/>
              </w:rPr>
              <w:t>Asiasta vastaava ministeriö hyväksyy luettelon tuetuista sähkönsiirtohankkeista, joiden arvo on 931 miljoonaa euroa ja jotka täyttävät välitavoite 488:n mukaiset valintaperusteet.</w:t>
            </w:r>
          </w:p>
        </w:tc>
      </w:tr>
      <w:tr w:rsidR="000E48CE" w14:paraId="54FD447B" w14:textId="77777777">
        <w:trPr>
          <w:trHeight w:val="600"/>
        </w:trPr>
        <w:tc>
          <w:tcPr>
            <w:tcW w:w="673" w:type="dxa"/>
            <w:shd w:val="clear" w:color="auto" w:fill="C6EFCE"/>
            <w:noWrap/>
          </w:tcPr>
          <w:p w14:paraId="11C9B1F9" w14:textId="664C8CE7" w:rsidR="000E48CE" w:rsidRDefault="00FF4C4E">
            <w:pPr>
              <w:pStyle w:val="P68B1DB1-Normal13"/>
              <w:spacing w:after="0"/>
              <w:jc w:val="center"/>
              <w:rPr>
                <w:rFonts w:eastAsia="Times New Roman" w:cs="Times New Roman"/>
                <w:noProof/>
              </w:rPr>
            </w:pPr>
            <w:r>
              <w:rPr>
                <w:noProof/>
              </w:rPr>
              <w:t>490</w:t>
            </w:r>
          </w:p>
        </w:tc>
        <w:tc>
          <w:tcPr>
            <w:tcW w:w="804" w:type="dxa"/>
            <w:tcBorders>
              <w:bottom w:val="single" w:sz="4" w:space="0" w:color="auto"/>
            </w:tcBorders>
            <w:shd w:val="clear" w:color="auto" w:fill="C6EFCE"/>
            <w:noWrap/>
          </w:tcPr>
          <w:p w14:paraId="01BD4AA5" w14:textId="77777777" w:rsidR="000E48CE" w:rsidRDefault="00FF4C4E">
            <w:pPr>
              <w:pStyle w:val="P68B1DB1-Normal13"/>
              <w:spacing w:after="0"/>
              <w:jc w:val="center"/>
              <w:rPr>
                <w:rFonts w:eastAsia="Times New Roman" w:cs="Times New Roman"/>
                <w:noProof/>
              </w:rPr>
            </w:pPr>
            <w:r>
              <w:rPr>
                <w:noProof/>
              </w:rPr>
              <w:t>C31.I4</w:t>
            </w:r>
          </w:p>
        </w:tc>
        <w:tc>
          <w:tcPr>
            <w:tcW w:w="900" w:type="dxa"/>
            <w:tcBorders>
              <w:bottom w:val="single" w:sz="4" w:space="0" w:color="auto"/>
            </w:tcBorders>
            <w:shd w:val="clear" w:color="auto" w:fill="C6EFCE"/>
            <w:noWrap/>
          </w:tcPr>
          <w:p w14:paraId="55E53D5C" w14:textId="77777777" w:rsidR="000E48CE" w:rsidRDefault="00FF4C4E">
            <w:pPr>
              <w:pStyle w:val="P68B1DB1-Normal13"/>
              <w:spacing w:after="0"/>
              <w:jc w:val="center"/>
              <w:rPr>
                <w:rFonts w:eastAsia="Times New Roman" w:cs="Times New Roman"/>
                <w:noProof/>
              </w:rPr>
            </w:pPr>
            <w:r>
              <w:rPr>
                <w:noProof/>
              </w:rPr>
              <w:t>M</w:t>
            </w:r>
          </w:p>
        </w:tc>
        <w:tc>
          <w:tcPr>
            <w:tcW w:w="2296" w:type="dxa"/>
            <w:tcBorders>
              <w:bottom w:val="single" w:sz="4" w:space="0" w:color="auto"/>
            </w:tcBorders>
            <w:shd w:val="clear" w:color="auto" w:fill="C6EFCE"/>
            <w:noWrap/>
          </w:tcPr>
          <w:p w14:paraId="566FCCB6" w14:textId="4466E6FC" w:rsidR="000E48CE" w:rsidRDefault="00FF4C4E">
            <w:pPr>
              <w:pStyle w:val="P68B1DB1-Normal13"/>
              <w:spacing w:after="0"/>
              <w:rPr>
                <w:rFonts w:eastAsia="Times New Roman" w:cs="Times New Roman"/>
                <w:noProof/>
              </w:rPr>
            </w:pPr>
            <w:r>
              <w:rPr>
                <w:noProof/>
              </w:rPr>
              <w:t>Tuettujen sähkönsiirtohankkeiden loppuun saattaminen</w:t>
            </w:r>
          </w:p>
        </w:tc>
        <w:tc>
          <w:tcPr>
            <w:tcW w:w="1215" w:type="dxa"/>
            <w:tcBorders>
              <w:bottom w:val="single" w:sz="4" w:space="0" w:color="auto"/>
            </w:tcBorders>
            <w:shd w:val="clear" w:color="auto" w:fill="C6EFCE"/>
            <w:noWrap/>
          </w:tcPr>
          <w:p w14:paraId="1A0D4E3E" w14:textId="77777777" w:rsidR="000E48CE" w:rsidRDefault="00FF4C4E">
            <w:pPr>
              <w:pStyle w:val="P68B1DB1-Normal13"/>
              <w:spacing w:after="0"/>
              <w:jc w:val="center"/>
              <w:rPr>
                <w:rFonts w:eastAsia="Times New Roman" w:cs="Times New Roman"/>
                <w:noProof/>
              </w:rPr>
            </w:pPr>
            <w:r>
              <w:rPr>
                <w:noProof/>
              </w:rPr>
              <w:t>Täyttötodistus</w:t>
            </w:r>
          </w:p>
        </w:tc>
        <w:tc>
          <w:tcPr>
            <w:tcW w:w="600" w:type="dxa"/>
            <w:tcBorders>
              <w:bottom w:val="single" w:sz="4" w:space="0" w:color="auto"/>
            </w:tcBorders>
            <w:shd w:val="clear" w:color="auto" w:fill="C6EFCE"/>
            <w:noWrap/>
          </w:tcPr>
          <w:p w14:paraId="0B7F5820" w14:textId="77777777" w:rsidR="000E48CE" w:rsidRDefault="000E48CE">
            <w:pPr>
              <w:spacing w:after="0"/>
              <w:jc w:val="center"/>
              <w:rPr>
                <w:rFonts w:ascii="Times New Roman" w:eastAsia="Times New Roman" w:hAnsi="Times New Roman" w:cs="Times New Roman"/>
                <w:noProof/>
                <w:sz w:val="18"/>
              </w:rPr>
            </w:pPr>
          </w:p>
        </w:tc>
        <w:tc>
          <w:tcPr>
            <w:tcW w:w="436" w:type="dxa"/>
            <w:tcBorders>
              <w:bottom w:val="single" w:sz="4" w:space="0" w:color="auto"/>
            </w:tcBorders>
            <w:shd w:val="clear" w:color="auto" w:fill="C6EFCE"/>
            <w:noWrap/>
          </w:tcPr>
          <w:p w14:paraId="2F646E8F" w14:textId="77777777" w:rsidR="000E48CE" w:rsidRDefault="000E48CE">
            <w:pPr>
              <w:spacing w:after="0"/>
              <w:jc w:val="right"/>
              <w:rPr>
                <w:rFonts w:ascii="Times New Roman" w:eastAsia="Times New Roman" w:hAnsi="Times New Roman" w:cs="Times New Roman"/>
                <w:noProof/>
                <w:sz w:val="18"/>
              </w:rPr>
            </w:pPr>
          </w:p>
        </w:tc>
        <w:tc>
          <w:tcPr>
            <w:tcW w:w="556" w:type="dxa"/>
            <w:tcBorders>
              <w:bottom w:val="single" w:sz="4" w:space="0" w:color="auto"/>
            </w:tcBorders>
            <w:shd w:val="clear" w:color="auto" w:fill="C6EFCE"/>
            <w:noWrap/>
          </w:tcPr>
          <w:p w14:paraId="3AF240DC" w14:textId="77777777" w:rsidR="000E48CE" w:rsidRDefault="000E48CE">
            <w:pPr>
              <w:spacing w:after="0"/>
              <w:jc w:val="right"/>
              <w:rPr>
                <w:rFonts w:ascii="Times New Roman" w:eastAsia="Times New Roman" w:hAnsi="Times New Roman" w:cs="Times New Roman"/>
                <w:noProof/>
                <w:sz w:val="18"/>
              </w:rPr>
            </w:pPr>
          </w:p>
        </w:tc>
        <w:tc>
          <w:tcPr>
            <w:tcW w:w="426" w:type="dxa"/>
            <w:tcBorders>
              <w:bottom w:val="single" w:sz="4" w:space="0" w:color="auto"/>
            </w:tcBorders>
            <w:shd w:val="clear" w:color="auto" w:fill="C6EFCE"/>
            <w:noWrap/>
          </w:tcPr>
          <w:p w14:paraId="7AAF1AC0" w14:textId="3AB829F7" w:rsidR="000E48CE" w:rsidRDefault="00FF4C4E">
            <w:pPr>
              <w:pStyle w:val="P68B1DB1-Normal13"/>
              <w:spacing w:after="0"/>
              <w:jc w:val="center"/>
              <w:rPr>
                <w:rFonts w:eastAsia="Times New Roman" w:cs="Times New Roman"/>
                <w:noProof/>
              </w:rPr>
            </w:pPr>
            <w:r>
              <w:rPr>
                <w:noProof/>
              </w:rPr>
              <w:t>KOLMAS VUOSINELJÄNNES</w:t>
            </w:r>
          </w:p>
        </w:tc>
        <w:tc>
          <w:tcPr>
            <w:tcW w:w="502" w:type="dxa"/>
            <w:tcBorders>
              <w:bottom w:val="single" w:sz="4" w:space="0" w:color="auto"/>
            </w:tcBorders>
            <w:shd w:val="clear" w:color="auto" w:fill="C6EFCE"/>
            <w:noWrap/>
          </w:tcPr>
          <w:p w14:paraId="2AA227FF" w14:textId="77777777" w:rsidR="000E48CE" w:rsidRDefault="00FF4C4E">
            <w:pPr>
              <w:pStyle w:val="P68B1DB1-Normal13"/>
              <w:spacing w:after="0"/>
              <w:jc w:val="center"/>
              <w:rPr>
                <w:rFonts w:eastAsia="Times New Roman" w:cs="Times New Roman"/>
                <w:noProof/>
              </w:rPr>
            </w:pPr>
            <w:r>
              <w:rPr>
                <w:noProof/>
              </w:rPr>
              <w:t>2026</w:t>
            </w:r>
          </w:p>
        </w:tc>
        <w:tc>
          <w:tcPr>
            <w:tcW w:w="6900" w:type="dxa"/>
            <w:gridSpan w:val="2"/>
            <w:tcBorders>
              <w:bottom w:val="single" w:sz="4" w:space="0" w:color="auto"/>
            </w:tcBorders>
            <w:shd w:val="clear" w:color="auto" w:fill="C6EFCE"/>
            <w:noWrap/>
          </w:tcPr>
          <w:p w14:paraId="29E51903" w14:textId="3E0D2734" w:rsidR="000E48CE" w:rsidRDefault="00FF4C4E">
            <w:pPr>
              <w:pStyle w:val="P68B1DB1-Normal13"/>
              <w:spacing w:after="0"/>
              <w:rPr>
                <w:rFonts w:eastAsia="Times New Roman" w:cs="Times New Roman"/>
                <w:noProof/>
              </w:rPr>
            </w:pPr>
            <w:r>
              <w:rPr>
                <w:noProof/>
              </w:rPr>
              <w:t>Välitavoitteen 489 tuloksena hyväksyttyyn luetteloon sisältyvien tuettujen sähkönsiirtohankkeiden loppuun saattaminen.</w:t>
            </w:r>
          </w:p>
        </w:tc>
      </w:tr>
      <w:tr w:rsidR="000E48CE" w14:paraId="2BC4AB72" w14:textId="77777777">
        <w:trPr>
          <w:trHeight w:val="309"/>
        </w:trPr>
        <w:tc>
          <w:tcPr>
            <w:tcW w:w="673" w:type="dxa"/>
            <w:shd w:val="clear" w:color="auto" w:fill="C6EFCE"/>
            <w:noWrap/>
          </w:tcPr>
          <w:p w14:paraId="13390BF6" w14:textId="65B90AC1" w:rsidR="000E48CE" w:rsidRDefault="00FF4C4E">
            <w:pPr>
              <w:pStyle w:val="P68B1DB1-Normal13"/>
              <w:spacing w:after="0"/>
              <w:jc w:val="center"/>
              <w:rPr>
                <w:rFonts w:eastAsia="Times New Roman" w:cs="Times New Roman"/>
                <w:noProof/>
              </w:rPr>
            </w:pPr>
            <w:r>
              <w:rPr>
                <w:noProof/>
              </w:rPr>
              <w:t>491</w:t>
            </w:r>
          </w:p>
        </w:tc>
        <w:tc>
          <w:tcPr>
            <w:tcW w:w="804" w:type="dxa"/>
            <w:shd w:val="clear" w:color="auto" w:fill="C6EFCE"/>
            <w:noWrap/>
          </w:tcPr>
          <w:p w14:paraId="0E8C97B7" w14:textId="77777777" w:rsidR="000E48CE" w:rsidRDefault="00FF4C4E">
            <w:pPr>
              <w:pStyle w:val="P68B1DB1-Normal13"/>
              <w:spacing w:after="0"/>
              <w:jc w:val="center"/>
              <w:rPr>
                <w:rFonts w:eastAsia="Times New Roman" w:cs="Times New Roman"/>
                <w:noProof/>
              </w:rPr>
            </w:pPr>
            <w:r>
              <w:rPr>
                <w:noProof/>
              </w:rPr>
              <w:t xml:space="preserve">C31.I5 </w:t>
            </w:r>
          </w:p>
        </w:tc>
        <w:tc>
          <w:tcPr>
            <w:tcW w:w="900" w:type="dxa"/>
            <w:shd w:val="clear" w:color="auto" w:fill="C6EFCE"/>
            <w:noWrap/>
          </w:tcPr>
          <w:p w14:paraId="42A4F590" w14:textId="77777777" w:rsidR="000E48CE" w:rsidRDefault="00FF4C4E">
            <w:pPr>
              <w:pStyle w:val="P68B1DB1-Normal13"/>
              <w:spacing w:after="0"/>
              <w:jc w:val="center"/>
              <w:rPr>
                <w:rFonts w:eastAsia="Times New Roman" w:cs="Times New Roman"/>
                <w:noProof/>
              </w:rPr>
            </w:pPr>
            <w:r>
              <w:rPr>
                <w:noProof/>
              </w:rPr>
              <w:t>M</w:t>
            </w:r>
          </w:p>
        </w:tc>
        <w:tc>
          <w:tcPr>
            <w:tcW w:w="2296" w:type="dxa"/>
            <w:shd w:val="clear" w:color="auto" w:fill="C6EFCE"/>
            <w:noWrap/>
          </w:tcPr>
          <w:p w14:paraId="4D6D63FD" w14:textId="2B483BE5" w:rsidR="000E48CE" w:rsidRDefault="00FF4C4E">
            <w:pPr>
              <w:pStyle w:val="P68B1DB1-Normal13"/>
              <w:spacing w:after="0"/>
              <w:rPr>
                <w:rFonts w:eastAsia="Times New Roman" w:cs="Times New Roman"/>
                <w:noProof/>
              </w:rPr>
            </w:pPr>
            <w:r>
              <w:rPr>
                <w:noProof/>
              </w:rPr>
              <w:t xml:space="preserve">Teollisuuden hiilestä irtautumista koskevan tuen myöntämistä koskevien </w:t>
            </w:r>
            <w:r>
              <w:rPr>
                <w:noProof/>
              </w:rPr>
              <w:t>ehdotuspyyntöjen ja sääntöjen julkaiseminen</w:t>
            </w:r>
          </w:p>
        </w:tc>
        <w:tc>
          <w:tcPr>
            <w:tcW w:w="1215" w:type="dxa"/>
            <w:shd w:val="clear" w:color="auto" w:fill="C6EFCE"/>
            <w:noWrap/>
          </w:tcPr>
          <w:p w14:paraId="78A1B01B" w14:textId="77777777" w:rsidR="000E48CE" w:rsidRDefault="00FF4C4E">
            <w:pPr>
              <w:pStyle w:val="P68B1DB1-Normal13"/>
              <w:spacing w:after="0"/>
              <w:jc w:val="center"/>
              <w:rPr>
                <w:rFonts w:eastAsia="Times New Roman" w:cs="Times New Roman"/>
                <w:noProof/>
              </w:rPr>
            </w:pPr>
            <w:r>
              <w:rPr>
                <w:noProof/>
              </w:rPr>
              <w:t>Julkaiseminen</w:t>
            </w:r>
          </w:p>
        </w:tc>
        <w:tc>
          <w:tcPr>
            <w:tcW w:w="600" w:type="dxa"/>
            <w:shd w:val="clear" w:color="auto" w:fill="C6EFCE"/>
            <w:noWrap/>
          </w:tcPr>
          <w:p w14:paraId="6DEDFBC9" w14:textId="77777777" w:rsidR="000E48CE" w:rsidRDefault="000E48CE">
            <w:pPr>
              <w:spacing w:after="0"/>
              <w:jc w:val="center"/>
              <w:rPr>
                <w:rFonts w:ascii="Times New Roman" w:eastAsia="Times New Roman" w:hAnsi="Times New Roman" w:cs="Times New Roman"/>
                <w:noProof/>
                <w:sz w:val="18"/>
              </w:rPr>
            </w:pPr>
          </w:p>
        </w:tc>
        <w:tc>
          <w:tcPr>
            <w:tcW w:w="436" w:type="dxa"/>
            <w:shd w:val="clear" w:color="auto" w:fill="C6EFCE"/>
            <w:noWrap/>
          </w:tcPr>
          <w:p w14:paraId="5DE13126" w14:textId="77777777" w:rsidR="000E48CE" w:rsidRDefault="000E48CE">
            <w:pPr>
              <w:spacing w:after="0"/>
              <w:jc w:val="right"/>
              <w:rPr>
                <w:rFonts w:ascii="Times New Roman" w:eastAsia="Times New Roman" w:hAnsi="Times New Roman" w:cs="Times New Roman"/>
                <w:noProof/>
                <w:sz w:val="18"/>
              </w:rPr>
            </w:pPr>
          </w:p>
        </w:tc>
        <w:tc>
          <w:tcPr>
            <w:tcW w:w="556" w:type="dxa"/>
            <w:shd w:val="clear" w:color="auto" w:fill="C6EFCE"/>
            <w:noWrap/>
          </w:tcPr>
          <w:p w14:paraId="232764A2" w14:textId="77777777" w:rsidR="000E48CE" w:rsidRDefault="000E48CE">
            <w:pPr>
              <w:spacing w:after="0"/>
              <w:jc w:val="right"/>
              <w:rPr>
                <w:rFonts w:ascii="Times New Roman" w:eastAsia="Times New Roman" w:hAnsi="Times New Roman" w:cs="Times New Roman"/>
                <w:noProof/>
                <w:sz w:val="18"/>
              </w:rPr>
            </w:pPr>
          </w:p>
        </w:tc>
        <w:tc>
          <w:tcPr>
            <w:tcW w:w="426" w:type="dxa"/>
            <w:shd w:val="clear" w:color="auto" w:fill="C6EFCE"/>
            <w:noWrap/>
          </w:tcPr>
          <w:p w14:paraId="394C6EEC" w14:textId="77777777" w:rsidR="000E48CE" w:rsidRDefault="00FF4C4E">
            <w:pPr>
              <w:pStyle w:val="P68B1DB1-Normal13"/>
              <w:spacing w:after="0"/>
              <w:jc w:val="center"/>
              <w:rPr>
                <w:rFonts w:eastAsia="Times New Roman" w:cs="Times New Roman"/>
                <w:noProof/>
              </w:rPr>
            </w:pPr>
            <w:r>
              <w:rPr>
                <w:noProof/>
              </w:rPr>
              <w:t>Q2</w:t>
            </w:r>
          </w:p>
        </w:tc>
        <w:tc>
          <w:tcPr>
            <w:tcW w:w="502" w:type="dxa"/>
            <w:shd w:val="clear" w:color="auto" w:fill="C6EFCE"/>
            <w:noWrap/>
          </w:tcPr>
          <w:p w14:paraId="444825EE" w14:textId="77777777" w:rsidR="000E48CE" w:rsidRDefault="00FF4C4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1EE3FF45" w14:textId="235D679B" w:rsidR="000E48CE" w:rsidRDefault="00FF4C4E">
            <w:pPr>
              <w:pStyle w:val="P68B1DB1-Normal13"/>
              <w:spacing w:after="0"/>
              <w:rPr>
                <w:rFonts w:eastAsia="Times New Roman" w:cs="Times New Roman"/>
                <w:noProof/>
              </w:rPr>
            </w:pPr>
            <w:r>
              <w:rPr>
                <w:noProof/>
              </w:rPr>
              <w:t>Hyväksytään ehdotuspyynnöt ja säännöt, jotka koskevat avustusten muodossa myönnettävää tukea valmistusteollisuuden hiilestä irtautumista koskeville hankkeille sekä uusien erittäin tehokka</w:t>
            </w:r>
            <w:r>
              <w:rPr>
                <w:noProof/>
              </w:rPr>
              <w:t>iden ja hiilettömien tuotantolaitosten kehittämistä. Ehdotuspyynnöillä ja hankeavustuksina myönnettävää tukea koskevilla säännöillä on varmistettava, että toimenpide on ”ei merkittävää haittaa” -ohjelman teknisten ohjeiden (2021/C58/01) mukainen käyttämäll</w:t>
            </w:r>
            <w:r>
              <w:rPr>
                <w:noProof/>
              </w:rPr>
              <w:t>ä poissulkemisluetteloa ja vaatimusta noudattaa asiaankuuluvaa EU:n ja kansallista ympäristölainsäädäntöä.</w:t>
            </w:r>
          </w:p>
        </w:tc>
      </w:tr>
      <w:tr w:rsidR="000E48CE" w14:paraId="4128DA45" w14:textId="77777777">
        <w:trPr>
          <w:trHeight w:val="309"/>
        </w:trPr>
        <w:tc>
          <w:tcPr>
            <w:tcW w:w="673" w:type="dxa"/>
            <w:tcBorders>
              <w:bottom w:val="single" w:sz="4" w:space="0" w:color="4F81BD" w:themeColor="accent1"/>
            </w:tcBorders>
            <w:shd w:val="clear" w:color="auto" w:fill="C6EFCE"/>
            <w:noWrap/>
          </w:tcPr>
          <w:p w14:paraId="32F202CA" w14:textId="142D1754" w:rsidR="000E48CE" w:rsidRDefault="00FF4C4E">
            <w:pPr>
              <w:pStyle w:val="P68B1DB1-Normal13"/>
              <w:spacing w:after="0"/>
              <w:jc w:val="center"/>
              <w:rPr>
                <w:rFonts w:eastAsia="Times New Roman" w:cs="Times New Roman"/>
                <w:noProof/>
              </w:rPr>
            </w:pPr>
            <w:r>
              <w:rPr>
                <w:noProof/>
              </w:rPr>
              <w:t>492</w:t>
            </w:r>
          </w:p>
        </w:tc>
        <w:tc>
          <w:tcPr>
            <w:tcW w:w="804" w:type="dxa"/>
            <w:tcBorders>
              <w:bottom w:val="single" w:sz="4" w:space="0" w:color="auto"/>
            </w:tcBorders>
            <w:shd w:val="clear" w:color="auto" w:fill="C6EFCE"/>
            <w:noWrap/>
          </w:tcPr>
          <w:p w14:paraId="0961D913" w14:textId="77777777" w:rsidR="000E48CE" w:rsidRDefault="00FF4C4E">
            <w:pPr>
              <w:pStyle w:val="P68B1DB1-Normal13"/>
              <w:spacing w:after="0"/>
              <w:jc w:val="center"/>
              <w:rPr>
                <w:rFonts w:eastAsia="Times New Roman" w:cs="Times New Roman"/>
                <w:noProof/>
              </w:rPr>
            </w:pPr>
            <w:r>
              <w:rPr>
                <w:noProof/>
              </w:rPr>
              <w:t>C31.I5</w:t>
            </w:r>
          </w:p>
        </w:tc>
        <w:tc>
          <w:tcPr>
            <w:tcW w:w="900" w:type="dxa"/>
            <w:tcBorders>
              <w:bottom w:val="single" w:sz="4" w:space="0" w:color="auto"/>
            </w:tcBorders>
            <w:shd w:val="clear" w:color="auto" w:fill="C6EFCE"/>
            <w:noWrap/>
          </w:tcPr>
          <w:p w14:paraId="09D171A4" w14:textId="77777777" w:rsidR="000E48CE" w:rsidRDefault="00FF4C4E">
            <w:pPr>
              <w:pStyle w:val="P68B1DB1-Normal13"/>
              <w:spacing w:after="0"/>
              <w:jc w:val="center"/>
              <w:rPr>
                <w:rFonts w:eastAsia="Times New Roman" w:cs="Times New Roman"/>
                <w:noProof/>
              </w:rPr>
            </w:pPr>
            <w:r>
              <w:rPr>
                <w:noProof/>
              </w:rPr>
              <w:t>M</w:t>
            </w:r>
          </w:p>
        </w:tc>
        <w:tc>
          <w:tcPr>
            <w:tcW w:w="2296" w:type="dxa"/>
            <w:tcBorders>
              <w:bottom w:val="single" w:sz="4" w:space="0" w:color="auto"/>
            </w:tcBorders>
            <w:shd w:val="clear" w:color="auto" w:fill="C6EFCE"/>
            <w:noWrap/>
          </w:tcPr>
          <w:p w14:paraId="43015BD9" w14:textId="5C160BFE" w:rsidR="000E48CE" w:rsidRDefault="00FF4C4E">
            <w:pPr>
              <w:pStyle w:val="P68B1DB1-Normal13"/>
              <w:spacing w:after="0"/>
              <w:rPr>
                <w:rFonts w:eastAsia="Times New Roman" w:cs="Times New Roman"/>
                <w:noProof/>
              </w:rPr>
            </w:pPr>
            <w:r>
              <w:rPr>
                <w:noProof/>
              </w:rPr>
              <w:t xml:space="preserve">Hiilestä irtautumista koskevien hankkeiden palkintojen julkaiseminen </w:t>
            </w:r>
          </w:p>
        </w:tc>
        <w:tc>
          <w:tcPr>
            <w:tcW w:w="1215" w:type="dxa"/>
            <w:tcBorders>
              <w:bottom w:val="single" w:sz="4" w:space="0" w:color="auto"/>
            </w:tcBorders>
            <w:shd w:val="clear" w:color="auto" w:fill="C6EFCE"/>
            <w:noWrap/>
          </w:tcPr>
          <w:p w14:paraId="262D614F" w14:textId="77777777" w:rsidR="000E48CE" w:rsidRDefault="00FF4C4E">
            <w:pPr>
              <w:pStyle w:val="P68B1DB1-Normal13"/>
              <w:spacing w:after="0"/>
              <w:jc w:val="center"/>
              <w:rPr>
                <w:rFonts w:eastAsia="Times New Roman" w:cs="Times New Roman"/>
                <w:noProof/>
              </w:rPr>
            </w:pPr>
            <w:r>
              <w:rPr>
                <w:noProof/>
              </w:rPr>
              <w:t>Myöntämispäätösten julkaiseminen</w:t>
            </w:r>
          </w:p>
        </w:tc>
        <w:tc>
          <w:tcPr>
            <w:tcW w:w="600" w:type="dxa"/>
            <w:tcBorders>
              <w:bottom w:val="single" w:sz="4" w:space="0" w:color="auto"/>
            </w:tcBorders>
            <w:shd w:val="clear" w:color="auto" w:fill="C6EFCE"/>
            <w:noWrap/>
          </w:tcPr>
          <w:p w14:paraId="00EBF89E" w14:textId="77777777" w:rsidR="000E48CE" w:rsidRDefault="00FF4C4E">
            <w:pPr>
              <w:pStyle w:val="P68B1DB1-Normal13"/>
              <w:spacing w:after="0"/>
              <w:jc w:val="center"/>
              <w:rPr>
                <w:rFonts w:eastAsia="Times New Roman" w:cs="Times New Roman"/>
                <w:noProof/>
              </w:rPr>
            </w:pPr>
            <w:r>
              <w:rPr>
                <w:noProof/>
              </w:rPr>
              <w:t>Miljoonaa</w:t>
            </w:r>
          </w:p>
          <w:p w14:paraId="35FAE67F" w14:textId="5157125C" w:rsidR="000E48CE" w:rsidRDefault="00FF4C4E">
            <w:pPr>
              <w:pStyle w:val="P68B1DB1-Normal13"/>
              <w:spacing w:after="0"/>
              <w:jc w:val="center"/>
              <w:rPr>
                <w:rFonts w:eastAsia="Times New Roman" w:cs="Times New Roman"/>
                <w:noProof/>
              </w:rPr>
            </w:pPr>
            <w:r>
              <w:rPr>
                <w:noProof/>
              </w:rPr>
              <w:t>EUR</w:t>
            </w:r>
          </w:p>
        </w:tc>
        <w:tc>
          <w:tcPr>
            <w:tcW w:w="436" w:type="dxa"/>
            <w:tcBorders>
              <w:bottom w:val="single" w:sz="4" w:space="0" w:color="auto"/>
            </w:tcBorders>
            <w:shd w:val="clear" w:color="auto" w:fill="C6EFCE"/>
            <w:noWrap/>
          </w:tcPr>
          <w:p w14:paraId="756964F5" w14:textId="365F2A8E" w:rsidR="000E48CE" w:rsidRDefault="00FF4C4E">
            <w:pPr>
              <w:pStyle w:val="P68B1DB1-Normal13"/>
              <w:spacing w:after="0"/>
              <w:jc w:val="right"/>
              <w:rPr>
                <w:rFonts w:eastAsia="Times New Roman" w:cs="Times New Roman"/>
                <w:noProof/>
              </w:rPr>
            </w:pPr>
            <w:r>
              <w:rPr>
                <w:noProof/>
              </w:rPr>
              <w:t>0</w:t>
            </w:r>
          </w:p>
        </w:tc>
        <w:tc>
          <w:tcPr>
            <w:tcW w:w="556" w:type="dxa"/>
            <w:tcBorders>
              <w:bottom w:val="single" w:sz="4" w:space="0" w:color="auto"/>
            </w:tcBorders>
            <w:shd w:val="clear" w:color="auto" w:fill="C6EFCE"/>
            <w:noWrap/>
          </w:tcPr>
          <w:p w14:paraId="67530E80" w14:textId="059A78AF" w:rsidR="000E48CE" w:rsidRDefault="00FF4C4E">
            <w:pPr>
              <w:pStyle w:val="P68B1DB1-Normal13"/>
              <w:spacing w:after="0"/>
              <w:jc w:val="right"/>
              <w:rPr>
                <w:rFonts w:eastAsia="Times New Roman" w:cs="Times New Roman"/>
                <w:noProof/>
              </w:rPr>
            </w:pPr>
            <w:r>
              <w:rPr>
                <w:noProof/>
              </w:rPr>
              <w:t>531</w:t>
            </w:r>
          </w:p>
        </w:tc>
        <w:tc>
          <w:tcPr>
            <w:tcW w:w="426" w:type="dxa"/>
            <w:tcBorders>
              <w:bottom w:val="single" w:sz="4" w:space="0" w:color="auto"/>
            </w:tcBorders>
            <w:shd w:val="clear" w:color="auto" w:fill="C6EFCE"/>
            <w:noWrap/>
          </w:tcPr>
          <w:p w14:paraId="78603C4F" w14:textId="77777777" w:rsidR="000E48CE" w:rsidRDefault="00FF4C4E">
            <w:pPr>
              <w:pStyle w:val="P68B1DB1-Normal13"/>
              <w:spacing w:after="0"/>
              <w:jc w:val="center"/>
              <w:rPr>
                <w:rFonts w:eastAsia="Times New Roman" w:cs="Times New Roman"/>
                <w:noProof/>
              </w:rPr>
            </w:pPr>
            <w:r>
              <w:rPr>
                <w:noProof/>
              </w:rPr>
              <w:t>Q4</w:t>
            </w:r>
          </w:p>
        </w:tc>
        <w:tc>
          <w:tcPr>
            <w:tcW w:w="502" w:type="dxa"/>
            <w:tcBorders>
              <w:bottom w:val="single" w:sz="4" w:space="0" w:color="auto"/>
            </w:tcBorders>
            <w:shd w:val="clear" w:color="auto" w:fill="C6EFCE"/>
            <w:noWrap/>
          </w:tcPr>
          <w:p w14:paraId="1EF68D8D" w14:textId="77777777" w:rsidR="000E48CE" w:rsidRDefault="00FF4C4E">
            <w:pPr>
              <w:pStyle w:val="P68B1DB1-Normal13"/>
              <w:spacing w:after="0"/>
              <w:jc w:val="center"/>
              <w:rPr>
                <w:rFonts w:eastAsia="Times New Roman" w:cs="Times New Roman"/>
                <w:noProof/>
              </w:rPr>
            </w:pPr>
            <w:r>
              <w:rPr>
                <w:noProof/>
              </w:rPr>
              <w:t>2024</w:t>
            </w:r>
          </w:p>
        </w:tc>
        <w:tc>
          <w:tcPr>
            <w:tcW w:w="6900" w:type="dxa"/>
            <w:gridSpan w:val="2"/>
            <w:tcBorders>
              <w:bottom w:val="single" w:sz="4" w:space="0" w:color="auto"/>
            </w:tcBorders>
            <w:shd w:val="clear" w:color="auto" w:fill="C6EFCE"/>
            <w:noWrap/>
          </w:tcPr>
          <w:p w14:paraId="693F6C41" w14:textId="7AC573FC" w:rsidR="000E48CE" w:rsidRDefault="00FF4C4E">
            <w:pPr>
              <w:spacing w:after="0"/>
              <w:rPr>
                <w:rFonts w:ascii="Times New Roman" w:eastAsia="Times New Roman" w:hAnsi="Times New Roman" w:cs="Times New Roman"/>
                <w:noProof/>
                <w:sz w:val="18"/>
              </w:rPr>
            </w:pPr>
            <w:r>
              <w:rPr>
                <w:rFonts w:ascii="Times New Roman" w:hAnsi="Times New Roman"/>
                <w:noProof/>
                <w:sz w:val="18"/>
              </w:rPr>
              <w:t>Lopullisille tuensaajille on myönnetty vähintään 531000000 euroa (vähintään 40 prosenttia kokonaisvaroista, joilla edistetään ilmastotavoitteita elpymis- ja palautumistukivälinettä koskevan asetuksen liitteessä VI esitetyn menetelmän mukaisesti).</w:t>
            </w:r>
            <w:r>
              <w:rPr>
                <w:noProof/>
              </w:rPr>
              <w:t xml:space="preserve"> </w:t>
            </w:r>
          </w:p>
        </w:tc>
      </w:tr>
      <w:tr w:rsidR="000E48CE" w14:paraId="75E9CC47" w14:textId="77777777">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574A6F0B" w14:textId="442675F2" w:rsidR="000E48CE" w:rsidRDefault="00FF4C4E">
            <w:pPr>
              <w:pStyle w:val="P68B1DB1-Normal13"/>
              <w:spacing w:after="0"/>
              <w:jc w:val="center"/>
              <w:rPr>
                <w:rFonts w:eastAsia="Times New Roman" w:cs="Times New Roman"/>
                <w:noProof/>
              </w:rPr>
            </w:pPr>
            <w:r>
              <w:rPr>
                <w:noProof/>
              </w:rPr>
              <w:t>493</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D92DB00" w14:textId="77777777" w:rsidR="000E48CE" w:rsidRDefault="00FF4C4E">
            <w:pPr>
              <w:pStyle w:val="P68B1DB1-Normal13"/>
              <w:spacing w:after="0"/>
              <w:jc w:val="center"/>
              <w:rPr>
                <w:rFonts w:eastAsia="Times New Roman" w:cs="Times New Roman"/>
                <w:noProof/>
              </w:rPr>
            </w:pPr>
            <w:r>
              <w:rPr>
                <w:noProof/>
              </w:rPr>
              <w:t>C31.I5</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65E87F51" w14:textId="77777777" w:rsidR="000E48CE" w:rsidRDefault="00FF4C4E">
            <w:pPr>
              <w:pStyle w:val="P68B1DB1-Normal13"/>
              <w:spacing w:after="0"/>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3692AFB" w14:textId="77777777" w:rsidR="000E48CE" w:rsidRDefault="00FF4C4E">
            <w:pPr>
              <w:pStyle w:val="P68B1DB1-Normal13"/>
              <w:spacing w:after="0"/>
              <w:rPr>
                <w:rFonts w:eastAsia="Times New Roman" w:cs="Times New Roman"/>
                <w:noProof/>
              </w:rPr>
            </w:pPr>
            <w:r>
              <w:rPr>
                <w:noProof/>
              </w:rPr>
              <w:t>Hiilestä irtautumista koskevien hankkeiden loppuun saattaminen</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14A2AFE2" w14:textId="77777777" w:rsidR="000E48CE" w:rsidRDefault="00FF4C4E">
            <w:pPr>
              <w:pStyle w:val="P68B1DB1-Normal13"/>
              <w:spacing w:after="0"/>
              <w:jc w:val="center"/>
              <w:rPr>
                <w:rFonts w:eastAsia="Times New Roman" w:cs="Times New Roman"/>
                <w:noProof/>
              </w:rPr>
            </w:pPr>
            <w:r>
              <w:rPr>
                <w:noProof/>
              </w:rPr>
              <w:t>Täyttötodistus</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40423CA1" w14:textId="77777777" w:rsidR="000E48CE" w:rsidRDefault="000E48CE">
            <w:pPr>
              <w:spacing w:after="0"/>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481CC9EC" w14:textId="4C741D47" w:rsidR="000E48CE" w:rsidRDefault="000E48CE">
            <w:pPr>
              <w:spacing w:after="0"/>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7B4FFC" w14:textId="77777777" w:rsidR="000E48CE" w:rsidRDefault="000E48CE">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7CB82393" w14:textId="03FF8788" w:rsidR="000E48CE" w:rsidRDefault="00FF4C4E">
            <w:pPr>
              <w:pStyle w:val="P68B1DB1-Normal13"/>
              <w:spacing w:after="0"/>
              <w:jc w:val="center"/>
              <w:rPr>
                <w:rFonts w:eastAsia="Times New Roman" w:cs="Times New Roman"/>
                <w:noProof/>
              </w:rPr>
            </w:pPr>
            <w:r>
              <w:rPr>
                <w:noProof/>
              </w:rPr>
              <w:t>KOLMAS VUOSINELJÄNNES</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F39C4F9" w14:textId="77777777" w:rsidR="000E48CE" w:rsidRDefault="00FF4C4E">
            <w:pPr>
              <w:pStyle w:val="P68B1DB1-Normal13"/>
              <w:spacing w:after="0"/>
              <w:jc w:val="center"/>
              <w:rPr>
                <w:rFonts w:eastAsia="Times New Roman" w:cs="Times New Roman"/>
                <w:noProof/>
              </w:rPr>
            </w:pPr>
            <w:r>
              <w:rPr>
                <w:noProof/>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264666FD" w14:textId="7CFF1EFB" w:rsidR="000E48CE" w:rsidRDefault="00FF4C4E">
            <w:pPr>
              <w:pStyle w:val="P68B1DB1-Normal13"/>
              <w:spacing w:after="0"/>
              <w:rPr>
                <w:rFonts w:eastAsia="Times New Roman" w:cs="Times New Roman"/>
                <w:noProof/>
              </w:rPr>
            </w:pPr>
            <w:r>
              <w:rPr>
                <w:noProof/>
              </w:rPr>
              <w:t xml:space="preserve">Sellaisten hankkeiden loppuun saattaminen, joiden kokonaisbudjetti on vähintään 531000000 euroa. </w:t>
            </w:r>
          </w:p>
        </w:tc>
      </w:tr>
      <w:tr w:rsidR="000E48CE" w14:paraId="0F90CD58" w14:textId="77777777">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254EADDD" w14:textId="532ABE6B" w:rsidR="000E48CE" w:rsidRDefault="00FF4C4E">
            <w:pPr>
              <w:pStyle w:val="P68B1DB1-Normal13"/>
              <w:jc w:val="center"/>
              <w:rPr>
                <w:rFonts w:eastAsia="Times New Roman" w:cs="Times New Roman"/>
                <w:noProof/>
              </w:rPr>
            </w:pPr>
            <w:r>
              <w:rPr>
                <w:noProof/>
              </w:rPr>
              <w:t>494</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670CAAE" w14:textId="77777777" w:rsidR="000E48CE" w:rsidRDefault="00FF4C4E">
            <w:pPr>
              <w:pStyle w:val="P68B1DB1-Normal13"/>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01C556B" w14:textId="77777777" w:rsidR="000E48CE" w:rsidRDefault="00FF4C4E">
            <w:pPr>
              <w:pStyle w:val="P68B1DB1-Normal13"/>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1A05CC68" w14:textId="0EC8B090" w:rsidR="000E48CE" w:rsidRDefault="00FF4C4E">
            <w:pPr>
              <w:pStyle w:val="P68B1DB1-Normal13"/>
              <w:rPr>
                <w:rFonts w:eastAsia="Times New Roman" w:cs="Times New Roman"/>
                <w:noProof/>
              </w:rPr>
            </w:pPr>
            <w:r>
              <w:rPr>
                <w:noProof/>
              </w:rPr>
              <w:t xml:space="preserve">Teollisuuden hiilestä </w:t>
            </w:r>
            <w:r>
              <w:rPr>
                <w:noProof/>
              </w:rPr>
              <w:t>irtautumista koskeva tukijärjestelmä: ENISAn muuttaminen julkiseksi yritykseksi</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B7F5FC9" w14:textId="77777777" w:rsidR="000E48CE" w:rsidRDefault="00FF4C4E">
            <w:pPr>
              <w:pStyle w:val="P68B1DB1-Normal13"/>
              <w:jc w:val="center"/>
              <w:rPr>
                <w:rFonts w:eastAsia="Times New Roman" w:cs="Times New Roman"/>
                <w:noProof/>
              </w:rPr>
            </w:pPr>
            <w:r>
              <w:rPr>
                <w:noProof/>
              </w:rPr>
              <w:t>Säädöksen voimaantulo</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108A9018" w14:textId="77777777" w:rsidR="000E48CE" w:rsidRDefault="000E48CE">
            <w:pPr>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2EC695C1" w14:textId="77777777" w:rsidR="000E48CE" w:rsidRDefault="000E48CE">
            <w:pPr>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6BC6F6" w14:textId="77777777" w:rsidR="000E48CE" w:rsidRDefault="000E48CE">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28BC8789" w14:textId="77777777" w:rsidR="000E48CE" w:rsidRDefault="00FF4C4E">
            <w:pPr>
              <w:pStyle w:val="P68B1DB1-Normal13"/>
              <w:jc w:val="center"/>
              <w:rPr>
                <w:rFonts w:eastAsia="Times New Roman" w:cs="Times New Roman"/>
                <w:noProof/>
              </w:rPr>
            </w:pPr>
            <w:r>
              <w:rPr>
                <w:noProof/>
              </w:rPr>
              <w:t>Q2</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63A86723" w14:textId="77777777" w:rsidR="000E48CE" w:rsidRDefault="00FF4C4E">
            <w:pPr>
              <w:pStyle w:val="P68B1DB1-Normal13"/>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4E8997C9" w14:textId="77777777" w:rsidR="000E48CE" w:rsidRDefault="00FF4C4E">
            <w:pPr>
              <w:pStyle w:val="P68B1DB1-Normal13"/>
              <w:rPr>
                <w:rFonts w:eastAsia="Times New Roman" w:cs="Times New Roman"/>
                <w:noProof/>
              </w:rPr>
            </w:pPr>
            <w:r>
              <w:rPr>
                <w:noProof/>
              </w:rPr>
              <w:t>Sellaisen asiaankuuluvan säädöksen voimaantulo, jolla ENISA muutetaan julkiseksi yritykseksi tukijärjestelmän täytäntöönpanoa varten</w:t>
            </w:r>
          </w:p>
        </w:tc>
      </w:tr>
      <w:tr w:rsidR="000E48CE" w14:paraId="6663D00E" w14:textId="77777777">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6E4E79B7" w14:textId="5A9BB16C" w:rsidR="000E48CE" w:rsidRDefault="00FF4C4E">
            <w:pPr>
              <w:jc w:val="center"/>
              <w:rPr>
                <w:rFonts w:ascii="Times New Roman" w:eastAsia="Times New Roman" w:hAnsi="Times New Roman" w:cs="Times New Roman"/>
                <w:noProof/>
                <w:sz w:val="18"/>
              </w:rPr>
            </w:pPr>
            <w:r>
              <w:rPr>
                <w:rStyle w:val="normaltextrun"/>
                <w:rFonts w:ascii="Times New Roman" w:hAnsi="Times New Roman"/>
                <w:noProof/>
                <w:sz w:val="18"/>
              </w:rPr>
              <w:t>497</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3A0565E" w14:textId="21F26057" w:rsidR="000E48CE" w:rsidRDefault="00FF4C4E">
            <w:pPr>
              <w:pStyle w:val="P68B1DB1-Normal13"/>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91E3BC6" w14:textId="6A66B6DB" w:rsidR="000E48CE" w:rsidRDefault="00FF4C4E">
            <w:pPr>
              <w:pStyle w:val="P68B1DB1-Normal13"/>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7E7FCCA" w14:textId="0181D3D1" w:rsidR="000E48CE" w:rsidRDefault="00FF4C4E">
            <w:pPr>
              <w:pStyle w:val="P68B1DB1-Normal13"/>
              <w:rPr>
                <w:rFonts w:eastAsia="Times New Roman" w:cs="Times New Roman"/>
                <w:noProof/>
              </w:rPr>
            </w:pPr>
            <w:r>
              <w:rPr>
                <w:noProof/>
              </w:rPr>
              <w:t>Teollisuuden hiilestä irtautumista koskeva tukijärjestelmä: Ministeriö on saattanut investoinnin päätökseen</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09D98D67" w14:textId="6CA7ADBF" w:rsidR="000E48CE" w:rsidRDefault="00FF4C4E">
            <w:pPr>
              <w:pStyle w:val="P68B1DB1-Normal13"/>
              <w:jc w:val="center"/>
              <w:rPr>
                <w:rFonts w:eastAsia="Times New Roman" w:cs="Times New Roman"/>
                <w:noProof/>
              </w:rPr>
            </w:pPr>
            <w:r>
              <w:rPr>
                <w:noProof/>
              </w:rPr>
              <w:t>Todistus maksujen suorittamisesta ENISAlle</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7A126ED9" w14:textId="77777777" w:rsidR="000E48CE" w:rsidRDefault="000E48CE">
            <w:pPr>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30337125" w14:textId="77777777" w:rsidR="000E48CE" w:rsidRDefault="000E48CE">
            <w:pPr>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40886B16" w14:textId="77777777" w:rsidR="000E48CE" w:rsidRDefault="000E48CE">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C81123E" w14:textId="77C17AC3" w:rsidR="000E48CE" w:rsidRDefault="00FF4C4E">
            <w:pPr>
              <w:pStyle w:val="P68B1DB1-Normal13"/>
              <w:jc w:val="center"/>
              <w:rPr>
                <w:rFonts w:eastAsia="Times New Roman" w:cs="Times New Roman"/>
                <w:noProof/>
              </w:rPr>
            </w:pPr>
            <w:r>
              <w:rPr>
                <w:noProof/>
              </w:rPr>
              <w:t>Q2</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0EA5B9E8" w14:textId="548F7251" w:rsidR="000E48CE" w:rsidRDefault="00FF4C4E">
            <w:pPr>
              <w:pStyle w:val="P68B1DB1-Normal13"/>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6D9A38B" w14:textId="62547453" w:rsidR="000E48CE" w:rsidRDefault="00FF4C4E">
            <w:pPr>
              <w:pStyle w:val="P68B1DB1-Normal13"/>
              <w:rPr>
                <w:rFonts w:eastAsia="Times New Roman" w:cs="Times New Roman"/>
                <w:noProof/>
              </w:rPr>
            </w:pPr>
            <w:r>
              <w:rPr>
                <w:noProof/>
              </w:rPr>
              <w:t>Espanjan on siirrettävä järjestelmää varten ENISAlle 430000000 euroa.</w:t>
            </w:r>
          </w:p>
        </w:tc>
      </w:tr>
      <w:tr w:rsidR="000E48CE" w14:paraId="0B256555" w14:textId="77777777">
        <w:trPr>
          <w:trHeight w:val="309"/>
        </w:trPr>
        <w:tc>
          <w:tcPr>
            <w:tcW w:w="673" w:type="dxa"/>
            <w:tcBorders>
              <w:top w:val="single" w:sz="4" w:space="0" w:color="auto"/>
              <w:left w:val="single" w:sz="4" w:space="0" w:color="auto"/>
              <w:bottom w:val="single" w:sz="4" w:space="0" w:color="auto"/>
              <w:right w:val="single" w:sz="4" w:space="0" w:color="auto"/>
            </w:tcBorders>
            <w:shd w:val="clear" w:color="auto" w:fill="C6EFCE"/>
            <w:noWrap/>
          </w:tcPr>
          <w:p w14:paraId="41225BD8" w14:textId="3BEAE0A9" w:rsidR="000E48CE" w:rsidRDefault="00FF4C4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495</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E2A541E" w14:textId="3607417C" w:rsidR="000E48CE" w:rsidRDefault="00FF4C4E">
            <w:pPr>
              <w:pStyle w:val="P68B1DB1-Normal13"/>
              <w:spacing w:after="0"/>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18E9FD42" w14:textId="66B0C8B8" w:rsidR="000E48CE" w:rsidRDefault="00FF4C4E">
            <w:pPr>
              <w:pStyle w:val="P68B1DB1-Normal13"/>
              <w:spacing w:after="0"/>
              <w:jc w:val="center"/>
              <w:rPr>
                <w:rFonts w:eastAsia="Times New Roman" w:cs="Times New Roman"/>
                <w:noProof/>
              </w:rPr>
            </w:pPr>
            <w:r>
              <w:rPr>
                <w:noProof/>
              </w:rPr>
              <w:t>M</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3A59834" w14:textId="2F5BB03F" w:rsidR="000E48CE" w:rsidRDefault="00FF4C4E">
            <w:pPr>
              <w:pStyle w:val="P68B1DB1-Normal13"/>
              <w:spacing w:after="0"/>
              <w:rPr>
                <w:rFonts w:eastAsia="Times New Roman" w:cs="Times New Roman"/>
                <w:noProof/>
              </w:rPr>
            </w:pPr>
            <w:r>
              <w:rPr>
                <w:noProof/>
              </w:rPr>
              <w:t>Teollisuuden hiilestä irtautumista koskeva tukijärjestelmä: Järjestelmän perustaminen</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2CCEAD0" w14:textId="6DB56B12" w:rsidR="000E48CE" w:rsidRDefault="00FF4C4E">
            <w:pPr>
              <w:pStyle w:val="P68B1DB1-Normal13"/>
              <w:spacing w:after="0"/>
              <w:jc w:val="center"/>
              <w:rPr>
                <w:rFonts w:eastAsia="Times New Roman" w:cs="Times New Roman"/>
                <w:noProof/>
              </w:rPr>
            </w:pPr>
            <w:r>
              <w:rPr>
                <w:noProof/>
              </w:rPr>
              <w:t>Asiaa koskevien säädösten voimaantulo</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6A592B4A" w14:textId="63D994BD" w:rsidR="000E48CE" w:rsidRDefault="000E48CE">
            <w:pPr>
              <w:spacing w:after="0"/>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79DEAE24" w14:textId="2D2BF299" w:rsidR="000E48CE" w:rsidRDefault="000E48CE">
            <w:pPr>
              <w:spacing w:after="0"/>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6ECB895F" w14:textId="0A06AC8E" w:rsidR="000E48CE" w:rsidRDefault="000E48CE">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1161E9BD" w14:textId="5CFF78C8" w:rsidR="000E48CE" w:rsidRDefault="00FF4C4E">
            <w:pPr>
              <w:pStyle w:val="P68B1DB1-Normal13"/>
              <w:spacing w:after="0"/>
              <w:jc w:val="center"/>
              <w:rPr>
                <w:rFonts w:eastAsia="Times New Roman" w:cs="Times New Roman"/>
                <w:noProof/>
              </w:rPr>
            </w:pPr>
            <w:r>
              <w:rPr>
                <w:noProof/>
              </w:rPr>
              <w:t>KOLMAS VUOSINELJÄNNES</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7450C49C" w14:textId="55D6ECE2" w:rsidR="000E48CE" w:rsidRDefault="00FF4C4E">
            <w:pPr>
              <w:pStyle w:val="P68B1DB1-Normal13"/>
              <w:spacing w:after="0"/>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93836A" w14:textId="5DADA110" w:rsidR="000E48CE" w:rsidRDefault="00FF4C4E">
            <w:pPr>
              <w:pStyle w:val="P68B1DB1-Normal13"/>
              <w:spacing w:after="0"/>
              <w:rPr>
                <w:rStyle w:val="normaltextrun"/>
                <w:rFonts w:cs="Times New Roman"/>
                <w:noProof/>
              </w:rPr>
            </w:pPr>
            <w:r>
              <w:rPr>
                <w:noProof/>
              </w:rPr>
              <w:t>Tukijärjestelmän perustamista koskevien oikeudellisten välineiden voimaantulo toimenpiteen kuvauksessa</w:t>
            </w:r>
            <w:r>
              <w:rPr>
                <w:noProof/>
              </w:rPr>
              <w:t xml:space="preserve"> täsmennettyjen vaatimusten mukaisesti.</w:t>
            </w:r>
          </w:p>
        </w:tc>
      </w:tr>
      <w:tr w:rsidR="000E48CE" w14:paraId="53F0675F" w14:textId="77777777">
        <w:trPr>
          <w:trHeight w:val="309"/>
        </w:trPr>
        <w:tc>
          <w:tcPr>
            <w:tcW w:w="673" w:type="dxa"/>
            <w:tcBorders>
              <w:top w:val="single" w:sz="4" w:space="0" w:color="auto"/>
              <w:left w:val="single" w:sz="4" w:space="0" w:color="auto"/>
              <w:bottom w:val="single" w:sz="4" w:space="0" w:color="auto"/>
              <w:right w:val="single" w:sz="4" w:space="0" w:color="auto"/>
            </w:tcBorders>
            <w:shd w:val="clear" w:color="auto" w:fill="C6EFCE"/>
            <w:noWrap/>
          </w:tcPr>
          <w:p w14:paraId="34AD2FF7" w14:textId="137951C1" w:rsidR="000E48CE" w:rsidRDefault="00FF4C4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496</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7315F882" w14:textId="74E9207C" w:rsidR="000E48CE" w:rsidRDefault="00FF4C4E">
            <w:pPr>
              <w:pStyle w:val="P68B1DB1-Normal13"/>
              <w:spacing w:after="0"/>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2CEB9501" w14:textId="2E902B83" w:rsidR="000E48CE" w:rsidRDefault="00FF4C4E">
            <w:pPr>
              <w:pStyle w:val="P68B1DB1-Normal13"/>
              <w:spacing w:after="0"/>
              <w:jc w:val="center"/>
              <w:rPr>
                <w:rFonts w:eastAsia="Times New Roman" w:cs="Times New Roman"/>
                <w:noProof/>
              </w:rPr>
            </w:pPr>
            <w:r>
              <w:rPr>
                <w:noProof/>
              </w:rPr>
              <w:t>T</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4C011EA" w14:textId="575FB635" w:rsidR="000E48CE" w:rsidRDefault="00FF4C4E">
            <w:pPr>
              <w:pStyle w:val="P68B1DB1-Normal13"/>
              <w:spacing w:after="0"/>
              <w:rPr>
                <w:rFonts w:eastAsia="Times New Roman" w:cs="Times New Roman"/>
                <w:noProof/>
              </w:rPr>
            </w:pPr>
            <w:r>
              <w:rPr>
                <w:noProof/>
              </w:rPr>
              <w:t>Teollisuuden hiilestä irtautumista koskeva tukijärjestelmä: Lopullisten edunsaajien kanssa allekirjoitetut oikeudelliset sopimukset tai lopulliset myöntämispäätökset julkaistu</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377C33F2" w14:textId="142B1ECA" w:rsidR="000E48CE" w:rsidRDefault="00FF4C4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 xml:space="preserve">Julkaistujen </w:t>
            </w:r>
            <w:r>
              <w:rPr>
                <w:rStyle w:val="normaltextrun"/>
                <w:rFonts w:ascii="Times New Roman" w:hAnsi="Times New Roman"/>
                <w:noProof/>
                <w:sz w:val="18"/>
              </w:rPr>
              <w:t>oikeudellisten rahoitussopimusten tai lopullisten myöntämispäätösten voimaantulo</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32E1A102" w14:textId="4FC96852" w:rsidR="000E48CE" w:rsidRDefault="000E48CE">
            <w:pPr>
              <w:spacing w:after="0"/>
              <w:jc w:val="center"/>
              <w:rPr>
                <w:rStyle w:val="eop"/>
                <w:rFonts w:ascii="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14EA9841" w14:textId="2F0F4DF5" w:rsidR="000E48CE" w:rsidRDefault="00FF4C4E">
            <w:pPr>
              <w:pStyle w:val="P68B1DB1-Normal13"/>
              <w:spacing w:after="0"/>
              <w:jc w:val="right"/>
              <w:rPr>
                <w:rStyle w:val="eop"/>
                <w:rFonts w:cs="Times New Roman"/>
                <w:noProof/>
              </w:rPr>
            </w:pPr>
            <w:r>
              <w:rPr>
                <w:noProof/>
              </w:rPr>
              <w:t>0</w:t>
            </w: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06DFB6E1" w14:textId="1B577234" w:rsidR="000E48CE" w:rsidRDefault="00FF4C4E">
            <w:pPr>
              <w:pStyle w:val="P68B1DB1-Normal13"/>
              <w:spacing w:after="0"/>
              <w:jc w:val="right"/>
              <w:rPr>
                <w:rStyle w:val="eop"/>
                <w:rFonts w:cs="Times New Roman"/>
                <w:noProof/>
              </w:rPr>
            </w:pPr>
            <w:r>
              <w:rPr>
                <w:noProof/>
              </w:rPr>
              <w:t>100 %</w:t>
            </w: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F77913B" w14:textId="04C4F3AF" w:rsidR="000E48CE" w:rsidRDefault="00FF4C4E">
            <w:pPr>
              <w:pStyle w:val="P68B1DB1-Normal13"/>
              <w:spacing w:after="0"/>
              <w:jc w:val="center"/>
              <w:rPr>
                <w:rFonts w:eastAsia="Times New Roman" w:cs="Times New Roman"/>
                <w:noProof/>
              </w:rPr>
            </w:pPr>
            <w:r>
              <w:rPr>
                <w:noProof/>
              </w:rPr>
              <w:t>KOLMAS VUOSINELJÄNNES</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90B66D1" w14:textId="66A564EB" w:rsidR="000E48CE" w:rsidRDefault="00FF4C4E">
            <w:pPr>
              <w:pStyle w:val="P68B1DB1-Normal13"/>
              <w:spacing w:after="0"/>
              <w:jc w:val="center"/>
              <w:rPr>
                <w:rFonts w:eastAsia="Times New Roman" w:cs="Times New Roman"/>
                <w:noProof/>
              </w:rPr>
            </w:pPr>
            <w:r>
              <w:rPr>
                <w:noProof/>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574265D" w14:textId="5C1192A2" w:rsidR="000E48CE" w:rsidRDefault="00FF4C4E">
            <w:pPr>
              <w:pStyle w:val="P68B1DB1-Normal13"/>
              <w:spacing w:after="0"/>
              <w:rPr>
                <w:rFonts w:eastAsia="Times New Roman" w:cs="Times New Roman"/>
                <w:noProof/>
              </w:rPr>
            </w:pPr>
            <w:r>
              <w:rPr>
                <w:noProof/>
              </w:rPr>
              <w:t>ENISA on julkaissut lopulliset myöntämispäätökset tai tehnyt lopullisten edunsaajien kanssa oikeudellisia rahoitussopimuksia määrästä, joka</w:t>
            </w:r>
            <w:r>
              <w:rPr>
                <w:noProof/>
              </w:rPr>
              <w:t xml:space="preserve"> on tarpeen elpymis- ja palautumistukivälineen 100 prosentin investointien (välilliset kustannukset mukaan luettuina) käyttämiseksi järjestelmässä. ENISA on varmistanut, että vähintään 40 prosentilla tästä rahoituksesta edistetään ilmastotavoitteiden saavu</w:t>
            </w:r>
            <w:r>
              <w:rPr>
                <w:noProof/>
              </w:rPr>
              <w:t xml:space="preserve">ttamista elpymis- ja palautumistukivälinettä koskevan asetuksen liitteessä VI esitettyä menetelmää käyttäen.  </w:t>
            </w:r>
          </w:p>
        </w:tc>
      </w:tr>
    </w:tbl>
    <w:p w14:paraId="0C2BD2FC" w14:textId="77777777" w:rsidR="000E48CE" w:rsidRDefault="000E48CE">
      <w:pPr>
        <w:rPr>
          <w:rFonts w:ascii="Times New Roman" w:hAnsi="Times New Roman" w:cs="Times New Roman"/>
          <w:noProof/>
          <w:highlight w:val="yellow"/>
        </w:rPr>
        <w:sectPr w:rsidR="000E48CE" w:rsidSect="00C94F66">
          <w:headerReference w:type="even" r:id="rId573"/>
          <w:headerReference w:type="default" r:id="rId574"/>
          <w:footerReference w:type="even" r:id="rId575"/>
          <w:footerReference w:type="default" r:id="rId576"/>
          <w:headerReference w:type="first" r:id="rId577"/>
          <w:footerReference w:type="first" r:id="rId578"/>
          <w:pgSz w:w="16839" w:h="11907" w:orient="landscape"/>
          <w:pgMar w:top="1417" w:right="1134" w:bottom="1417" w:left="1134" w:header="709" w:footer="709" w:gutter="0"/>
          <w:cols w:space="720"/>
          <w:docGrid w:linePitch="360"/>
        </w:sectPr>
      </w:pPr>
    </w:p>
    <w:p w14:paraId="1B2ECE51" w14:textId="43168ACD" w:rsidR="000E48CE" w:rsidRDefault="00FF4C4E">
      <w:pPr>
        <w:pStyle w:val="P68B1DB1-Normal42"/>
        <w:ind w:firstLine="720"/>
        <w:rPr>
          <w:b/>
          <w:noProof/>
        </w:rPr>
      </w:pPr>
      <w:r>
        <w:rPr>
          <w:rFonts w:ascii="Times New Roman" w:hAnsi="Times New Roman"/>
          <w:b/>
          <w:noProof/>
          <w:sz w:val="24"/>
        </w:rPr>
        <w:t>AE.3</w:t>
      </w:r>
      <w:r>
        <w:rPr>
          <w:noProof/>
        </w:rPr>
        <w:tab/>
      </w:r>
      <w:r>
        <w:rPr>
          <w:rFonts w:ascii="Times New Roman" w:hAnsi="Times New Roman"/>
          <w:b/>
          <w:noProof/>
          <w:sz w:val="24"/>
        </w:rPr>
        <w:t>Kuvaus lainatukeen liittyvistä uudistuksista ja investoinneista</w:t>
      </w:r>
    </w:p>
    <w:p w14:paraId="12871D72" w14:textId="77777777" w:rsidR="000E48CE" w:rsidRDefault="00FF4C4E">
      <w:pPr>
        <w:pStyle w:val="P68B1DB1-Text120"/>
        <w:ind w:left="0"/>
        <w:rPr>
          <w:rFonts w:eastAsia="Times New Roman" w:cs="Times New Roman"/>
          <w:noProof/>
        </w:rPr>
      </w:pPr>
      <w:r>
        <w:rPr>
          <w:noProof/>
        </w:rPr>
        <w:t>Investointi 7 (C31.I7) – Investoinnit teollisuuden hiilestä irtautumisen tukemiseen (lainat)</w:t>
      </w:r>
    </w:p>
    <w:p w14:paraId="5351656B" w14:textId="08525698" w:rsidR="000E48CE" w:rsidRDefault="00FF4C4E">
      <w:pPr>
        <w:pStyle w:val="P68B1DB1-Normal4"/>
        <w:spacing w:before="120" w:after="120" w:line="240" w:lineRule="auto"/>
        <w:jc w:val="both"/>
        <w:rPr>
          <w:rFonts w:cs="Times New Roman"/>
          <w:noProof/>
        </w:rPr>
      </w:pPr>
      <w:r>
        <w:rPr>
          <w:noProof/>
        </w:rPr>
        <w:t>Toimenpiteen, joka on osa teollisuuden hiilestä irtautumista koskevaa strategista hanketta, tavoitteena on myöntää tukea lainoina hankkeille, joiden tavoitteena on</w:t>
      </w:r>
      <w:r>
        <w:rPr>
          <w:noProof/>
        </w:rPr>
        <w:t xml:space="preserve"> teollisuuden hiilestä irtautuminen. Investointitoimenpiteen on koostuttava vähintään yhdestä seuraavista kolmesta toimintalinjasta: </w:t>
      </w:r>
    </w:p>
    <w:p w14:paraId="2900FDC7" w14:textId="0681C78E" w:rsidR="000E48CE" w:rsidRDefault="00FF4C4E">
      <w:pPr>
        <w:pStyle w:val="P68B1DB1-ListParagraph7"/>
        <w:numPr>
          <w:ilvl w:val="0"/>
          <w:numId w:val="635"/>
        </w:numPr>
        <w:spacing w:before="120" w:after="120" w:line="240" w:lineRule="auto"/>
        <w:jc w:val="both"/>
        <w:rPr>
          <w:rFonts w:cs="Times New Roman"/>
          <w:noProof/>
        </w:rPr>
      </w:pPr>
      <w:r>
        <w:rPr>
          <w:noProof/>
        </w:rPr>
        <w:t>tuki lainoina hankkeille, joilla toteutetaan valmistusteollisuuden hiilestä irtautumista, esimerkiksi kasvihuonekaasupääst</w:t>
      </w:r>
      <w:r>
        <w:rPr>
          <w:noProof/>
        </w:rPr>
        <w:t>öjä vähentäviä hankkeita;</w:t>
      </w:r>
    </w:p>
    <w:p w14:paraId="3F0388F1" w14:textId="59D0BDB7" w:rsidR="000E48CE" w:rsidRDefault="00FF4C4E">
      <w:pPr>
        <w:pStyle w:val="P68B1DB1-ListParagraph24"/>
        <w:numPr>
          <w:ilvl w:val="0"/>
          <w:numId w:val="635"/>
        </w:numPr>
        <w:spacing w:before="120" w:after="120" w:line="240" w:lineRule="auto"/>
        <w:jc w:val="both"/>
        <w:rPr>
          <w:rFonts w:cs="Times New Roman"/>
          <w:noProof/>
          <w:sz w:val="24"/>
        </w:rPr>
      </w:pPr>
      <w:r>
        <w:rPr>
          <w:noProof/>
          <w:sz w:val="24"/>
        </w:rPr>
        <w:t>saatetaan päätökseen pilottihanke, jolla kannustetaan yrityksiä investoimaan suuriin teollisuuden hiilestä irtautumista koskeviin investointihankkeisiin ja merkittäviin kasvihuonekaasupäästöjen vähennyksiin</w:t>
      </w:r>
      <w:r>
        <w:rPr>
          <w:noProof/>
        </w:rPr>
        <w:t xml:space="preserve"> </w:t>
      </w:r>
      <w:r>
        <w:rPr>
          <w:noProof/>
          <w:sz w:val="24"/>
        </w:rPr>
        <w:t>maksamalla tiettynä aja</w:t>
      </w:r>
      <w:r>
        <w:rPr>
          <w:noProof/>
          <w:sz w:val="24"/>
        </w:rPr>
        <w:t>njaksona kiinteä hiilen hinta (hiilisopimus hinnaneroista); ja</w:t>
      </w:r>
    </w:p>
    <w:p w14:paraId="064740CB" w14:textId="7A1D824F" w:rsidR="000E48CE" w:rsidRDefault="00FF4C4E">
      <w:pPr>
        <w:pStyle w:val="P68B1DB1-ListParagraph7"/>
        <w:numPr>
          <w:ilvl w:val="0"/>
          <w:numId w:val="635"/>
        </w:numPr>
        <w:spacing w:before="120" w:line="240" w:lineRule="auto"/>
        <w:jc w:val="both"/>
        <w:rPr>
          <w:rFonts w:cs="Times New Roman"/>
          <w:noProof/>
        </w:rPr>
      </w:pPr>
      <w:r>
        <w:rPr>
          <w:noProof/>
        </w:rPr>
        <w:t>tuki lainoina uusien erittäin tehokkaiden ja hiilettömien tuotantolaitosten kehittämiseen.</w:t>
      </w:r>
    </w:p>
    <w:p w14:paraId="7DA59DDC" w14:textId="7885F78E" w:rsidR="000E48CE" w:rsidRDefault="00FF4C4E">
      <w:pPr>
        <w:pStyle w:val="Text1"/>
        <w:spacing w:after="160"/>
        <w:ind w:left="0"/>
        <w:rPr>
          <w:rFonts w:ascii="Times New Roman" w:hAnsi="Times New Roman" w:cs="Times New Roman"/>
          <w:noProof/>
        </w:rPr>
      </w:pPr>
      <w:r>
        <w:rPr>
          <w:rFonts w:ascii="Times New Roman" w:hAnsi="Times New Roman"/>
          <w:noProof/>
        </w:rPr>
        <w:t>Ministerineuvoston päätös teollisuuden hiilestä irtautumista koskevan PERTE-ohjelman hyväksymisestä si</w:t>
      </w:r>
      <w:r>
        <w:rPr>
          <w:rFonts w:ascii="Times New Roman" w:hAnsi="Times New Roman"/>
          <w:noProof/>
        </w:rPr>
        <w:t xml:space="preserve">sältää yksityiskohtaiset valintaperusteet, joilla varmistetaan ”ei merkittävää haittaa” -periaatteen noudattaminen (2021/C58/01). Sen varmistamiseksi, että toimenpide noudattaa ”ei merkittävää haittaa” -periaatetta koskevaa teknistä ohjetta (2021/C58/01), </w:t>
      </w:r>
      <w:r>
        <w:rPr>
          <w:rFonts w:ascii="Times New Roman" w:hAnsi="Times New Roman"/>
          <w:noProof/>
        </w:rPr>
        <w:t>tulevien hankepyyntöjen tehtävänmääritykseen sisältyviin tukikelpoisuusperusteisiin ei lueta seuraavia toimia: EU:n päästökauppajärjestelmään kuuluvat toimet, joilla saavutetaan ennustetut</w:t>
      </w:r>
      <w:r>
        <w:rPr>
          <w:rFonts w:ascii="Times New Roman" w:hAnsi="Times New Roman"/>
          <w:noProof/>
          <w:vertAlign w:val="subscript"/>
        </w:rPr>
        <w:t>hiilidioksidiekvivalenttipäästöt</w:t>
      </w:r>
      <w:r>
        <w:rPr>
          <w:rFonts w:ascii="Times New Roman" w:hAnsi="Times New Roman"/>
          <w:noProof/>
        </w:rPr>
        <w:t>, jotka eivät ole merkittävästi alha</w:t>
      </w:r>
      <w:r>
        <w:rPr>
          <w:rFonts w:ascii="Times New Roman" w:hAnsi="Times New Roman"/>
          <w:noProof/>
        </w:rPr>
        <w:t>isempia kuin asiaankuuluvat maksutta jaettavien päästöoikeuksien vertailuarvot</w:t>
      </w:r>
      <w:r>
        <w:rPr>
          <w:rStyle w:val="FootnoteReference"/>
          <w:rFonts w:ascii="Times New Roman" w:hAnsi="Times New Roman" w:cs="Times New Roman"/>
          <w:noProof/>
        </w:rPr>
        <w:footnoteReference w:id="236"/>
      </w:r>
      <w:r>
        <w:rPr>
          <w:rFonts w:ascii="Times New Roman" w:hAnsi="Times New Roman"/>
          <w:noProof/>
        </w:rPr>
        <w:t>; ja ii) toimet, jotka liittyvät fossiilisiin polttoaineisiin, mukaan lukien loppupään käyttö, päästökauppajärjestelmien ulkopuolella</w:t>
      </w:r>
      <w:r>
        <w:rPr>
          <w:rStyle w:val="FootnoteReference"/>
          <w:rFonts w:ascii="Times New Roman" w:hAnsi="Times New Roman" w:cs="Times New Roman"/>
          <w:noProof/>
        </w:rPr>
        <w:footnoteReference w:id="237"/>
      </w:r>
      <w:r>
        <w:rPr>
          <w:rFonts w:ascii="Times New Roman" w:hAnsi="Times New Roman"/>
          <w:noProof/>
        </w:rPr>
        <w:t>. Tehtävänmäärityksessä on lisäksi edellyte</w:t>
      </w:r>
      <w:r>
        <w:rPr>
          <w:rFonts w:ascii="Times New Roman" w:hAnsi="Times New Roman"/>
          <w:noProof/>
        </w:rPr>
        <w:t xml:space="preserve">ttävä, että ainoastaan asiaa koskevan EU:n ja kansallisen ympäristölainsäädännön mukaisia toimintoja voidaan valita. </w:t>
      </w:r>
    </w:p>
    <w:p w14:paraId="55A5FFD9" w14:textId="77777777" w:rsidR="000E48CE" w:rsidRDefault="00FF4C4E">
      <w:pPr>
        <w:pStyle w:val="P68B1DB1-Text119"/>
        <w:ind w:left="0"/>
        <w:rPr>
          <w:rFonts w:cs="Times New Roman"/>
          <w:noProof/>
        </w:rPr>
      </w:pPr>
      <w:r>
        <w:rPr>
          <w:noProof/>
        </w:rPr>
        <w:t>Seuraavien tämän investoinnin mukaisten T &amp; K &amp; I-toimien katsotaan olevan ”ei merkittävää haittaa” -periaatteen mukaisia (2021/C58/01): T</w:t>
      </w:r>
      <w:r>
        <w:rPr>
          <w:noProof/>
        </w:rPr>
        <w:t>ämän investoinnin mukaiset T &amp; K &amp; I-toimet, joilla pyritään lisäämään merkittävästi yritysten ympäristökestävyyttä (kuten hiilestä irtautuminen, saastumisen vähentäminen ja kiertotalous), jos tämän investoinnin T &amp; K &amp; I-toimissa keskitytään ensisijaisest</w:t>
      </w:r>
      <w:r>
        <w:rPr>
          <w:noProof/>
        </w:rPr>
        <w:t xml:space="preserve">i sellaisten vaihtoehtojen kehittämiseen tai mukauttamiseen, joilla on mahdollisimman vähän ympäristövaikutuksia alalla. </w:t>
      </w:r>
    </w:p>
    <w:p w14:paraId="5C551CA5" w14:textId="0753E613" w:rsidR="000E48CE" w:rsidRDefault="00FF4C4E">
      <w:pPr>
        <w:pStyle w:val="Text1"/>
        <w:ind w:left="0"/>
        <w:rPr>
          <w:rFonts w:ascii="Times New Roman" w:hAnsi="Times New Roman" w:cs="Times New Roman"/>
          <w:noProof/>
        </w:rPr>
      </w:pPr>
      <w:r>
        <w:rPr>
          <w:rFonts w:ascii="Times New Roman" w:hAnsi="Times New Roman"/>
          <w:noProof/>
        </w:rPr>
        <w:t>Valintaperusteilla on varmistettava, että vähintään 260000000 euroa eli 40 prosenttia toimenpiteen arvioiduista kustannuksista edistää</w:t>
      </w:r>
      <w:r>
        <w:rPr>
          <w:rFonts w:ascii="Times New Roman" w:hAnsi="Times New Roman"/>
          <w:noProof/>
        </w:rPr>
        <w:t xml:space="preserve"> ilmastonmuutosta koskevien tavoitteiden saavuttamista elpymis- ja palautumistukivälinettä koskevan asetuksen liitteen VI mukaisesti.</w:t>
      </w:r>
      <w:r>
        <w:rPr>
          <w:rStyle w:val="FootnoteReference"/>
          <w:rFonts w:ascii="Times New Roman" w:hAnsi="Times New Roman" w:cs="Times New Roman"/>
          <w:noProof/>
        </w:rPr>
        <w:footnoteReference w:id="238"/>
      </w:r>
    </w:p>
    <w:p w14:paraId="4838C699" w14:textId="5043D238" w:rsidR="000E48CE" w:rsidRDefault="00FF4C4E">
      <w:pPr>
        <w:pStyle w:val="P68B1DB1-Normal4"/>
        <w:rPr>
          <w:rFonts w:cs="Times New Roman"/>
          <w:noProof/>
        </w:rPr>
      </w:pPr>
      <w:r>
        <w:rPr>
          <w:noProof/>
        </w:rPr>
        <w:t>Rahoitustoimiin liittyvät takaisin saadut varat on sijoitettava uudelleen uusiin toimiin samalla politiikan alalla, paits</w:t>
      </w:r>
      <w:r>
        <w:rPr>
          <w:noProof/>
        </w:rPr>
        <w:t xml:space="preserve">i jos niitä käytetään elpymis- ja palautumistukivälineen lainan takaisinmaksuun.  </w:t>
      </w:r>
    </w:p>
    <w:p w14:paraId="28CAC13E" w14:textId="77777777" w:rsidR="000E48CE" w:rsidRDefault="00FF4C4E">
      <w:pPr>
        <w:pStyle w:val="P68B1DB1-Normal4"/>
        <w:rPr>
          <w:rFonts w:cs="Times New Roman"/>
          <w:noProof/>
        </w:rPr>
      </w:pPr>
      <w:r>
        <w:rPr>
          <w:noProof/>
        </w:rPr>
        <w:t xml:space="preserve">Investoinnin toteuttaminen on saatettava päätökseen viimeistään 31 päivänä elokuuta 2026. </w:t>
      </w:r>
    </w:p>
    <w:p w14:paraId="3315BCF6" w14:textId="7DB44A5B" w:rsidR="000E48CE" w:rsidRDefault="00FF4C4E">
      <w:pPr>
        <w:pStyle w:val="P68B1DB1-Normal6"/>
        <w:rPr>
          <w:rFonts w:cs="Times New Roman"/>
          <w:noProof/>
        </w:rPr>
      </w:pPr>
      <w:r>
        <w:rPr>
          <w:noProof/>
        </w:rPr>
        <w:t xml:space="preserve">Investointi 8 (C31.I8) – hiilestä irtautumista koskevien hankkeiden </w:t>
      </w:r>
      <w:r>
        <w:rPr>
          <w:noProof/>
        </w:rPr>
        <w:t>tukijärjestelmä (lainat)</w:t>
      </w:r>
    </w:p>
    <w:p w14:paraId="65D0A169" w14:textId="0F94D258" w:rsidR="000E48CE" w:rsidRDefault="00FF4C4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Tämä toimenpide koostuu investoinnista tukijärjestelmään, jolla kannustetaan yksityisiä investointeja teollisuuden hiilestä irtautumiseen lainojen avulla. </w:t>
      </w:r>
    </w:p>
    <w:p w14:paraId="7B5EE69F" w14:textId="5B562C3F" w:rsidR="000E48CE" w:rsidRDefault="00FF4C4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Järjestelmällä edistetään teollisuusprosessien hiilestä irtautumista ja uus</w:t>
      </w:r>
      <w:r>
        <w:rPr>
          <w:rStyle w:val="normaltextrun"/>
          <w:rFonts w:ascii="Times New Roman" w:hAnsi="Times New Roman"/>
          <w:noProof/>
          <w:sz w:val="24"/>
        </w:rPr>
        <w:t>ien erittäin tehokkaiden ja hiilettömien tuotantolaitosten kehittämistä myöntämällä lainoja yksityiselle sektorille ministerineuvoston hyväksymän teollisuuden hiilestä irtautumista koskevan strategisen hankkeen puitteissa. Elpymis- ja palautumistukivälinee</w:t>
      </w:r>
      <w:r>
        <w:rPr>
          <w:rStyle w:val="normaltextrun"/>
          <w:rFonts w:ascii="Times New Roman" w:hAnsi="Times New Roman"/>
          <w:noProof/>
          <w:sz w:val="24"/>
        </w:rPr>
        <w:t>n investointien perusteella tukijärjestelmän tarkoituksena on aluksi tarjota vähintään 1050000000 euron rahoitus lainoina.</w:t>
      </w:r>
    </w:p>
    <w:p w14:paraId="02C26E08" w14:textId="13EC4228" w:rsidR="000E48CE" w:rsidRDefault="00FF4C4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Järjestelmää hallinnoi toteutuskumppanina toimiva ENISA. Asiaankuuluvalla säädöksellä ENISA muutetaan julkiseksi yritykseksi tämän in</w:t>
      </w:r>
      <w:r>
        <w:rPr>
          <w:rStyle w:val="normaltextrun"/>
          <w:rFonts w:ascii="Times New Roman" w:hAnsi="Times New Roman"/>
          <w:noProof/>
          <w:sz w:val="24"/>
        </w:rPr>
        <w:t>vestoinnin toteuttamiseksi (tämä on Espanjan elpymis- ja palautumissuunnitelman osa-alueen 31 investoinnin 6 virstanpylväs).</w:t>
      </w:r>
    </w:p>
    <w:p w14:paraId="7803E91E" w14:textId="77777777" w:rsidR="000E48CE" w:rsidRDefault="00FF4C4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Ohjelmaan tehtävän investoinnin toteuttamiseksi hallitus hyväksyy yhden tai useamman lainajärjestelmän perustamista koskevan oikeud</w:t>
      </w:r>
      <w:r>
        <w:rPr>
          <w:rStyle w:val="normaltextrun"/>
          <w:rFonts w:ascii="Times New Roman" w:hAnsi="Times New Roman"/>
          <w:noProof/>
          <w:sz w:val="24"/>
        </w:rPr>
        <w:t xml:space="preserve">ellisen välineen, joka sisältää seuraavat osat:  </w:t>
      </w:r>
    </w:p>
    <w:p w14:paraId="4913174A" w14:textId="7858B4C0" w:rsidR="000E48CE" w:rsidRDefault="00FF4C4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Kuvaus järjestelmän päätöksentekoprosessista:</w:t>
      </w:r>
      <w:r>
        <w:rPr>
          <w:rFonts w:ascii="Times New Roman" w:hAnsi="Times New Roman"/>
          <w:noProof/>
        </w:rPr>
        <w:t xml:space="preserve"> </w:t>
      </w:r>
      <w:r>
        <w:rPr>
          <w:rFonts w:ascii="Times New Roman" w:hAnsi="Times New Roman"/>
          <w:noProof/>
          <w:sz w:val="24"/>
        </w:rPr>
        <w:t>Hakemusten arvioinnin ja edunsaajien valinnan, jotka sisällytetään ohjelman mukaisiin lopullisiin myöntämispäätöksiin tai investointipäätöksiin, tekee investoin</w:t>
      </w:r>
      <w:r>
        <w:rPr>
          <w:rFonts w:ascii="Times New Roman" w:hAnsi="Times New Roman"/>
          <w:noProof/>
          <w:sz w:val="24"/>
        </w:rPr>
        <w:t>tikomitea tai muu vastaava hallintoelin, ja ne hyväksytään äänten enemmistöllä Espanjan hallituksesta riippumattomilta jäseniltä, mikä tarkoittaa, että heidän on oltava joko ENISAn palveluksessa olevaa henkilöstöä ja/tai muita riippumattomia asiantuntijoit</w:t>
      </w:r>
      <w:r>
        <w:rPr>
          <w:rFonts w:ascii="Times New Roman" w:hAnsi="Times New Roman"/>
          <w:noProof/>
          <w:sz w:val="24"/>
        </w:rPr>
        <w:t>a. Järjestelmän lopullinen investointipäätös on rajoitettava investointikomitean tai vastaavan hallintoelimen ehdottaman investointipäätöksen hyväksymiseen (muutoksitta) tai veto-oikeuden käyttämiseen.</w:t>
      </w:r>
    </w:p>
    <w:p w14:paraId="7C71584E" w14:textId="69B2C721" w:rsidR="000E48CE" w:rsidRDefault="00FF4C4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Luettelo alan vihreään ja digitaaliseen muutokseen lii</w:t>
      </w:r>
      <w:r>
        <w:rPr>
          <w:rStyle w:val="normaltextrun"/>
          <w:rFonts w:ascii="Times New Roman" w:hAnsi="Times New Roman"/>
          <w:noProof/>
          <w:sz w:val="24"/>
        </w:rPr>
        <w:t>ttyvistä toimista, jotka ovat tukikelpoisia ja joiden määrä on vähintään 1050000000 euroa. Toimenpiteellä tuetaan innovatiivisia hankkeita, joihin liittyy merkittävä teollisuuden muutos energiatehokkuuden, kestävyyden ja digitalisaation osalta.</w:t>
      </w:r>
    </w:p>
    <w:p w14:paraId="29ED13E9" w14:textId="31B89C66" w:rsidR="000E48CE" w:rsidRDefault="00FF4C4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Vaatimukset</w:t>
      </w:r>
      <w:r>
        <w:rPr>
          <w:rStyle w:val="normaltextrun"/>
          <w:rFonts w:ascii="Times New Roman" w:hAnsi="Times New Roman"/>
          <w:noProof/>
          <w:sz w:val="24"/>
        </w:rPr>
        <w:t xml:space="preserve"> noudattaa elpymis- ja palautumistukivälineen ”ei merkittävää haittaa” -periaatetta, sellaisena kuin se on esitetty ”ei merkittävää haittaa” -periaatetta koskevissa teknisissä ohjeissa (2021/C58/01). Oikeudellinen väline (oikeudelliset välineet) sulkee poi</w:t>
      </w:r>
      <w:r>
        <w:rPr>
          <w:rStyle w:val="normaltextrun"/>
          <w:rFonts w:ascii="Times New Roman" w:hAnsi="Times New Roman"/>
          <w:noProof/>
          <w:sz w:val="24"/>
        </w:rPr>
        <w:t>s erityisesti seuraavat toiminnot: EU:n päästökauppajärjestelmään kuuluvat toimet, joilla saavutetaan ennustetut</w:t>
      </w:r>
      <w:r>
        <w:rPr>
          <w:rFonts w:ascii="Times New Roman" w:hAnsi="Times New Roman"/>
          <w:noProof/>
          <w:sz w:val="24"/>
          <w:vertAlign w:val="subscript"/>
        </w:rPr>
        <w:t>hiilidioksidiekvivalenttipäästöt</w:t>
      </w:r>
      <w:r>
        <w:rPr>
          <w:rFonts w:ascii="Times New Roman" w:hAnsi="Times New Roman"/>
          <w:noProof/>
          <w:sz w:val="24"/>
        </w:rPr>
        <w:t>, jotka eivät ole merkittävästi alhaisempia kuin asiaankuuluvat maksutta jaettavien päästöoikeuksien vertailuarv</w:t>
      </w:r>
      <w:r>
        <w:rPr>
          <w:rFonts w:ascii="Times New Roman" w:hAnsi="Times New Roman"/>
          <w:noProof/>
          <w:sz w:val="24"/>
        </w:rPr>
        <w:t>ot</w:t>
      </w:r>
      <w:r>
        <w:rPr>
          <w:rStyle w:val="FootnoteReference"/>
          <w:rFonts w:ascii="Times New Roman" w:hAnsi="Times New Roman" w:cs="Times New Roman"/>
          <w:noProof/>
          <w:sz w:val="24"/>
        </w:rPr>
        <w:footnoteReference w:id="239"/>
      </w:r>
      <w:r>
        <w:rPr>
          <w:rFonts w:ascii="Times New Roman" w:hAnsi="Times New Roman"/>
          <w:noProof/>
          <w:sz w:val="24"/>
        </w:rPr>
        <w:t>; ja ii) toimet, jotka liittyvät fossiilisiin polttoaineisiin, mukaan lukien loppupään käyttö, päästökauppajärjestelmien ulkopuolella</w:t>
      </w:r>
      <w:r>
        <w:rPr>
          <w:rStyle w:val="FootnoteReference"/>
          <w:rFonts w:ascii="Times New Roman" w:hAnsi="Times New Roman" w:cs="Times New Roman"/>
          <w:noProof/>
          <w:sz w:val="24"/>
        </w:rPr>
        <w:footnoteReference w:id="240"/>
      </w:r>
      <w:r>
        <w:rPr>
          <w:rStyle w:val="normaltextrun"/>
          <w:rFonts w:ascii="Times New Roman" w:hAnsi="Times New Roman"/>
          <w:noProof/>
          <w:sz w:val="24"/>
        </w:rPr>
        <w:t>. Lisäksi oikeudellisissa välineissä on edellytettävä lainajärjestelmien lopullisten edunsaajien asiaankuuluvan EU:n ja</w:t>
      </w:r>
      <w:r>
        <w:rPr>
          <w:rStyle w:val="normaltextrun"/>
          <w:rFonts w:ascii="Times New Roman" w:hAnsi="Times New Roman"/>
          <w:noProof/>
          <w:sz w:val="24"/>
        </w:rPr>
        <w:t xml:space="preserve"> kansallisen ympäristölainsäädännön noudattamista. Seuraavien tämän investoinnin mukaisten T &amp; K &amp; I-toimien katsotaan olevan ”ei merkittävää haittaa” -periaatteen mukaisia (2021/C58/01): Tämän investoinnin mukaiset T &amp; K &amp; I-toimet, joilla pyritään lisääm</w:t>
      </w:r>
      <w:r>
        <w:rPr>
          <w:rStyle w:val="normaltextrun"/>
          <w:rFonts w:ascii="Times New Roman" w:hAnsi="Times New Roman"/>
          <w:noProof/>
          <w:sz w:val="24"/>
        </w:rPr>
        <w:t>ään merkittävästi yritysten ympäristökestävyyttä (kuten hiilestä irtautuminen, saastumisen vähentäminen ja kiertotalous), jos tämän investoinnin T &amp; K &amp; I-toimissa keskitytään ensisijaisesti sellaisten vaihtoehtojen kehittämiseen tai mukauttamiseen, joilla</w:t>
      </w:r>
      <w:r>
        <w:rPr>
          <w:rStyle w:val="normaltextrun"/>
          <w:rFonts w:ascii="Times New Roman" w:hAnsi="Times New Roman"/>
          <w:noProof/>
          <w:sz w:val="24"/>
        </w:rPr>
        <w:t xml:space="preserve"> on mahdollisimman vähän ympäristövaikutuksia alalla. Lisäksi oikeudellisissa välineissä on edellytettävä lainajärjestelmien lopullisten edunsaajien asiaankuuluvan EU:n ja kansallisen ympäristölainsäädännön noudattamista.</w:t>
      </w:r>
    </w:p>
    <w:p w14:paraId="0721A006" w14:textId="0A8E2B96" w:rsidR="000E48CE" w:rsidRDefault="00FF4C4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Ilmastoinvestointeja koskevat vaat</w:t>
      </w:r>
      <w:r>
        <w:rPr>
          <w:rStyle w:val="normaltextrun"/>
          <w:rFonts w:ascii="Times New Roman" w:hAnsi="Times New Roman"/>
          <w:noProof/>
          <w:sz w:val="24"/>
        </w:rPr>
        <w:t>imukset: vähintään 420000000 euron elpymis- ja palautumistukivälineen investoinneista järjestelmään on edistettävä ilmastonmuutosta koskevien tavoitteiden saavuttamista elpymis- ja palautumistukivälinettä koskevan asetuksen liitteen VI mukaisesti.</w:t>
      </w:r>
      <w:r>
        <w:rPr>
          <w:rStyle w:val="FootnoteReference"/>
          <w:rFonts w:ascii="Times New Roman" w:hAnsi="Times New Roman" w:cs="Times New Roman"/>
          <w:noProof/>
          <w:sz w:val="24"/>
        </w:rPr>
        <w:footnoteReference w:id="241"/>
      </w:r>
    </w:p>
    <w:p w14:paraId="3004B982" w14:textId="77777777" w:rsidR="000E48CE" w:rsidRDefault="00FF4C4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Vaatimu</w:t>
      </w:r>
      <w:r>
        <w:rPr>
          <w:rStyle w:val="normaltextrun"/>
          <w:rFonts w:ascii="Times New Roman" w:hAnsi="Times New Roman"/>
          <w:noProof/>
          <w:sz w:val="24"/>
        </w:rPr>
        <w:t>s, jonka mukaan lainajärjestelmän lopulliset edunsaajat eivät saa tukea muista unionin välineistä samojen kustannusten kattamiseksi.</w:t>
      </w:r>
    </w:p>
    <w:p w14:paraId="404D73F6" w14:textId="77777777" w:rsidR="000E48CE" w:rsidRDefault="00FF4C4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Järjestelmän kattama määrä ja vaatimus sijoittaa lainajärjestelmästä käyttämättä jääneet tulot uudelleen edellä lueteltuihi</w:t>
      </w:r>
      <w:r>
        <w:rPr>
          <w:rStyle w:val="normaltextrun"/>
          <w:rFonts w:ascii="Times New Roman" w:hAnsi="Times New Roman"/>
          <w:noProof/>
          <w:sz w:val="24"/>
        </w:rPr>
        <w:t>n toimintoihin, myös vuoden 2026 jälkeen.</w:t>
      </w:r>
    </w:p>
    <w:p w14:paraId="6DCCFD46" w14:textId="77777777" w:rsidR="000E48CE" w:rsidRDefault="00FF4C4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Investoinnin toteuttaminen on saatettava päätökseen viimeistään 31 päivänä elokuuta 2026.</w:t>
      </w:r>
    </w:p>
    <w:p w14:paraId="0F91CCEB" w14:textId="3D4C4E77" w:rsidR="000E48CE" w:rsidRDefault="00FF4C4E">
      <w:pPr>
        <w:pStyle w:val="P68B1DB1-Normal8"/>
        <w:spacing w:before="120" w:after="120" w:line="240" w:lineRule="auto"/>
        <w:ind w:left="720" w:hanging="720"/>
        <w:jc w:val="both"/>
        <w:rPr>
          <w:rFonts w:eastAsia="Times New Roman" w:cs="Times New Roman"/>
          <w:b/>
          <w:noProof/>
          <w:sz w:val="24"/>
          <w:u w:val="single"/>
        </w:rPr>
      </w:pPr>
      <w:r>
        <w:rPr>
          <w:noProof/>
          <w:sz w:val="24"/>
        </w:rPr>
        <w:tab/>
      </w:r>
      <w:r>
        <w:rPr>
          <w:b/>
          <w:noProof/>
          <w:sz w:val="24"/>
          <w:u w:val="single"/>
        </w:rPr>
        <w:t>AE.4</w:t>
      </w:r>
      <w:r>
        <w:rPr>
          <w:noProof/>
          <w:u w:val="single"/>
        </w:rPr>
        <w:tab/>
      </w:r>
      <w:r>
        <w:rPr>
          <w:b/>
          <w:noProof/>
          <w:sz w:val="24"/>
          <w:u w:val="single"/>
        </w:rPr>
        <w:t>Lainatuen seurannan ja täytäntöönpanon välitavoitteet, tavoitteet, indikaattorit ja aikataulu</w:t>
      </w:r>
    </w:p>
    <w:p w14:paraId="1D563C71" w14:textId="4CF0538D" w:rsidR="000E48CE" w:rsidRDefault="00FF4C4E">
      <w:pPr>
        <w:pStyle w:val="P68B1DB1-Normal18"/>
        <w:spacing w:before="120" w:after="120" w:line="240" w:lineRule="auto"/>
        <w:jc w:val="both"/>
        <w:rPr>
          <w:rFonts w:eastAsia="Times New Roman" w:cs="Times New Roman"/>
          <w:noProof/>
          <w:u w:val="single"/>
        </w:rPr>
        <w:sectPr w:rsidR="000E48CE" w:rsidSect="009144BD">
          <w:headerReference w:type="even" r:id="rId579"/>
          <w:headerReference w:type="default" r:id="rId580"/>
          <w:footerReference w:type="even" r:id="rId581"/>
          <w:footerReference w:type="default" r:id="rId582"/>
          <w:headerReference w:type="first" r:id="rId583"/>
          <w:footerReference w:type="first" r:id="rId584"/>
          <w:pgSz w:w="11907" w:h="16839"/>
          <w:pgMar w:top="1134" w:right="1417" w:bottom="1134" w:left="1417" w:header="709" w:footer="709" w:gutter="0"/>
          <w:cols w:space="720"/>
          <w:docGrid w:linePitch="360"/>
        </w:sectPr>
      </w:pPr>
      <w:r>
        <w:rPr>
          <w:noProof/>
        </w:rPr>
        <w:t xml:space="preserve">Ks. taulukko jäljempänä. Kaikkien indikaattoreiden perustaso on 1. helmikuuta 2022, ellei toimen kuvauksessa toisin ilmoiteta. Taulukossa esitetyt määrät eivät sisällä arvonlisäveroa.   </w:t>
      </w:r>
    </w:p>
    <w:p w14:paraId="71E8FCCD" w14:textId="3C36EC54" w:rsidR="000E48CE" w:rsidRDefault="000E48CE">
      <w:pPr>
        <w:tabs>
          <w:tab w:val="left" w:pos="3222"/>
        </w:tabs>
        <w:spacing w:before="120" w:after="120" w:line="240" w:lineRule="auto"/>
        <w:jc w:val="both"/>
        <w:rPr>
          <w:rFonts w:ascii="Times New Roman" w:eastAsia="Times New Roman" w:hAnsi="Times New Roman" w:cs="Times New Roman"/>
          <w:i/>
          <w:noProof/>
          <w:sz w:val="24"/>
          <w:u w:val="single"/>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18"/>
        <w:gridCol w:w="742"/>
        <w:gridCol w:w="850"/>
        <w:gridCol w:w="2519"/>
        <w:gridCol w:w="1025"/>
        <w:gridCol w:w="676"/>
        <w:gridCol w:w="425"/>
        <w:gridCol w:w="567"/>
        <w:gridCol w:w="425"/>
        <w:gridCol w:w="567"/>
        <w:gridCol w:w="6696"/>
      </w:tblGrid>
      <w:tr w:rsidR="000E48CE" w14:paraId="4EAD7CF6" w14:textId="77777777">
        <w:trPr>
          <w:trHeight w:val="309"/>
          <w:tblHeader/>
        </w:trPr>
        <w:tc>
          <w:tcPr>
            <w:tcW w:w="818" w:type="dxa"/>
            <w:tcBorders>
              <w:bottom w:val="nil"/>
            </w:tcBorders>
            <w:shd w:val="clear" w:color="auto" w:fill="C6D9F1" w:themeFill="text2" w:themeFillTint="33"/>
            <w:noWrap/>
            <w:vAlign w:val="center"/>
          </w:tcPr>
          <w:p w14:paraId="42C73024" w14:textId="4BDA542B" w:rsidR="000E48CE" w:rsidRDefault="00FF4C4E">
            <w:pPr>
              <w:pStyle w:val="P68B1DB1-Normal8"/>
              <w:spacing w:after="0"/>
              <w:jc w:val="center"/>
              <w:rPr>
                <w:rFonts w:cs="Times New Roman"/>
                <w:b/>
                <w:noProof/>
                <w:sz w:val="18"/>
              </w:rPr>
            </w:pPr>
            <w:r>
              <w:rPr>
                <w:noProof/>
                <w:sz w:val="24"/>
              </w:rPr>
              <w:tab/>
            </w:r>
            <w:r>
              <w:rPr>
                <w:b/>
                <w:noProof/>
                <w:sz w:val="18"/>
              </w:rPr>
              <w:t>Määrä</w:t>
            </w:r>
          </w:p>
        </w:tc>
        <w:tc>
          <w:tcPr>
            <w:tcW w:w="742" w:type="dxa"/>
            <w:tcBorders>
              <w:bottom w:val="nil"/>
            </w:tcBorders>
            <w:shd w:val="clear" w:color="auto" w:fill="C6D9F1" w:themeFill="text2" w:themeFillTint="33"/>
            <w:noWrap/>
            <w:vAlign w:val="center"/>
          </w:tcPr>
          <w:p w14:paraId="6E8EA519" w14:textId="77777777" w:rsidR="000E48CE" w:rsidRDefault="00FF4C4E">
            <w:pPr>
              <w:pStyle w:val="P68B1DB1-Normal12"/>
              <w:spacing w:after="0"/>
              <w:jc w:val="center"/>
              <w:rPr>
                <w:rFonts w:cs="Times New Roman"/>
                <w:noProof/>
              </w:rPr>
            </w:pPr>
            <w:r>
              <w:rPr>
                <w:noProof/>
              </w:rPr>
              <w:t>Toimenpide</w:t>
            </w:r>
          </w:p>
        </w:tc>
        <w:tc>
          <w:tcPr>
            <w:tcW w:w="850" w:type="dxa"/>
            <w:tcBorders>
              <w:bottom w:val="nil"/>
            </w:tcBorders>
            <w:shd w:val="clear" w:color="auto" w:fill="C6D9F1" w:themeFill="text2" w:themeFillTint="33"/>
            <w:noWrap/>
            <w:vAlign w:val="center"/>
          </w:tcPr>
          <w:p w14:paraId="7160AFFB" w14:textId="77777777" w:rsidR="000E48CE" w:rsidRDefault="00FF4C4E">
            <w:pPr>
              <w:pStyle w:val="P68B1DB1-Normal12"/>
              <w:spacing w:after="0"/>
              <w:jc w:val="center"/>
              <w:rPr>
                <w:rFonts w:cs="Times New Roman"/>
                <w:noProof/>
              </w:rPr>
            </w:pPr>
            <w:r>
              <w:rPr>
                <w:noProof/>
              </w:rPr>
              <w:t>Välitavoite</w:t>
            </w:r>
            <w:r>
              <w:rPr>
                <w:noProof/>
              </w:rPr>
              <w:br/>
              <w:t xml:space="preserve"> /Kohde</w:t>
            </w:r>
          </w:p>
        </w:tc>
        <w:tc>
          <w:tcPr>
            <w:tcW w:w="2519" w:type="dxa"/>
            <w:tcBorders>
              <w:bottom w:val="nil"/>
            </w:tcBorders>
            <w:shd w:val="clear" w:color="auto" w:fill="C6D9F1" w:themeFill="text2" w:themeFillTint="33"/>
            <w:noWrap/>
            <w:vAlign w:val="center"/>
          </w:tcPr>
          <w:p w14:paraId="254C32C9" w14:textId="77777777" w:rsidR="000E48CE" w:rsidRDefault="00FF4C4E">
            <w:pPr>
              <w:pStyle w:val="P68B1DB1-Normal12"/>
              <w:spacing w:after="0"/>
              <w:jc w:val="center"/>
              <w:rPr>
                <w:rFonts w:cs="Times New Roman"/>
                <w:noProof/>
              </w:rPr>
            </w:pPr>
            <w:r>
              <w:rPr>
                <w:noProof/>
              </w:rPr>
              <w:t>Nimi</w:t>
            </w:r>
          </w:p>
        </w:tc>
        <w:tc>
          <w:tcPr>
            <w:tcW w:w="1025" w:type="dxa"/>
            <w:tcBorders>
              <w:bottom w:val="nil"/>
            </w:tcBorders>
            <w:shd w:val="clear" w:color="auto" w:fill="C6D9F1" w:themeFill="text2" w:themeFillTint="33"/>
            <w:noWrap/>
            <w:vAlign w:val="center"/>
          </w:tcPr>
          <w:p w14:paraId="77451392" w14:textId="77777777" w:rsidR="000E48CE" w:rsidRDefault="00FF4C4E">
            <w:pPr>
              <w:pStyle w:val="P68B1DB1-Normal12"/>
              <w:spacing w:after="0"/>
              <w:jc w:val="center"/>
              <w:rPr>
                <w:rFonts w:cs="Times New Roman"/>
                <w:noProof/>
              </w:rPr>
            </w:pPr>
            <w:r>
              <w:rPr>
                <w:noProof/>
              </w:rPr>
              <w:t>Välitavoitteiden laadullinen indikaattori</w:t>
            </w:r>
          </w:p>
        </w:tc>
        <w:tc>
          <w:tcPr>
            <w:tcW w:w="1668" w:type="dxa"/>
            <w:gridSpan w:val="3"/>
            <w:shd w:val="clear" w:color="auto" w:fill="C6D9F1" w:themeFill="text2" w:themeFillTint="33"/>
            <w:noWrap/>
            <w:vAlign w:val="center"/>
          </w:tcPr>
          <w:p w14:paraId="300CBDFA" w14:textId="77777777" w:rsidR="000E48CE" w:rsidRDefault="00FF4C4E">
            <w:pPr>
              <w:pStyle w:val="P68B1DB1-Normal12"/>
              <w:spacing w:after="0"/>
              <w:jc w:val="center"/>
              <w:rPr>
                <w:rFonts w:cs="Times New Roman"/>
                <w:noProof/>
              </w:rPr>
            </w:pPr>
            <w:r>
              <w:rPr>
                <w:noProof/>
              </w:rPr>
              <w:t>Määrällinen indikaattori tavoitteelle</w:t>
            </w:r>
          </w:p>
        </w:tc>
        <w:tc>
          <w:tcPr>
            <w:tcW w:w="992" w:type="dxa"/>
            <w:gridSpan w:val="2"/>
            <w:shd w:val="clear" w:color="auto" w:fill="C6D9F1" w:themeFill="text2" w:themeFillTint="33"/>
            <w:noWrap/>
            <w:vAlign w:val="center"/>
          </w:tcPr>
          <w:p w14:paraId="73E0F60F" w14:textId="77777777" w:rsidR="000E48CE" w:rsidRDefault="00FF4C4E">
            <w:pPr>
              <w:pStyle w:val="P68B1DB1-Normal12"/>
              <w:spacing w:after="0"/>
              <w:jc w:val="center"/>
              <w:rPr>
                <w:rFonts w:cs="Times New Roman"/>
                <w:noProof/>
              </w:rPr>
            </w:pPr>
            <w:r>
              <w:rPr>
                <w:noProof/>
              </w:rPr>
              <w:t>Aika</w:t>
            </w:r>
          </w:p>
        </w:tc>
        <w:tc>
          <w:tcPr>
            <w:tcW w:w="6696" w:type="dxa"/>
            <w:tcBorders>
              <w:bottom w:val="nil"/>
            </w:tcBorders>
            <w:shd w:val="clear" w:color="auto" w:fill="C6D9F1" w:themeFill="text2" w:themeFillTint="33"/>
            <w:noWrap/>
            <w:vAlign w:val="center"/>
          </w:tcPr>
          <w:p w14:paraId="184CA047" w14:textId="77777777" w:rsidR="000E48CE" w:rsidRDefault="00FF4C4E">
            <w:pPr>
              <w:pStyle w:val="P68B1DB1-Normal12"/>
              <w:spacing w:after="0"/>
              <w:jc w:val="center"/>
              <w:rPr>
                <w:rFonts w:cs="Times New Roman"/>
                <w:noProof/>
              </w:rPr>
            </w:pPr>
            <w:r>
              <w:rPr>
                <w:noProof/>
              </w:rPr>
              <w:t>Kunkin välitavoitteen ja tavoitteen kuvaus</w:t>
            </w:r>
          </w:p>
        </w:tc>
      </w:tr>
      <w:tr w:rsidR="000E48CE" w14:paraId="0CD0749F" w14:textId="77777777">
        <w:trPr>
          <w:trHeight w:val="309"/>
          <w:tblHeader/>
        </w:trPr>
        <w:tc>
          <w:tcPr>
            <w:tcW w:w="818" w:type="dxa"/>
            <w:tcBorders>
              <w:top w:val="nil"/>
            </w:tcBorders>
            <w:shd w:val="clear" w:color="auto" w:fill="C6D9F1" w:themeFill="text2" w:themeFillTint="33"/>
            <w:noWrap/>
          </w:tcPr>
          <w:p w14:paraId="709FD9E8" w14:textId="77777777" w:rsidR="000E48CE" w:rsidRDefault="000E48CE">
            <w:pPr>
              <w:spacing w:after="0"/>
              <w:jc w:val="center"/>
              <w:rPr>
                <w:rFonts w:ascii="Times New Roman" w:hAnsi="Times New Roman" w:cs="Times New Roman"/>
                <w:b/>
                <w:noProof/>
                <w:sz w:val="18"/>
              </w:rPr>
            </w:pPr>
          </w:p>
        </w:tc>
        <w:tc>
          <w:tcPr>
            <w:tcW w:w="742" w:type="dxa"/>
            <w:tcBorders>
              <w:top w:val="nil"/>
            </w:tcBorders>
            <w:shd w:val="clear" w:color="auto" w:fill="C6D9F1" w:themeFill="text2" w:themeFillTint="33"/>
            <w:noWrap/>
          </w:tcPr>
          <w:p w14:paraId="3F7792BE" w14:textId="77777777" w:rsidR="000E48CE" w:rsidRDefault="000E48CE">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945476E" w14:textId="77777777" w:rsidR="000E48CE" w:rsidRDefault="000E48CE">
            <w:pPr>
              <w:spacing w:after="0"/>
              <w:jc w:val="center"/>
              <w:rPr>
                <w:rFonts w:ascii="Times New Roman" w:hAnsi="Times New Roman" w:cs="Times New Roman"/>
                <w:b/>
                <w:noProof/>
                <w:sz w:val="18"/>
              </w:rPr>
            </w:pPr>
          </w:p>
        </w:tc>
        <w:tc>
          <w:tcPr>
            <w:tcW w:w="2519" w:type="dxa"/>
            <w:tcBorders>
              <w:top w:val="nil"/>
            </w:tcBorders>
            <w:shd w:val="clear" w:color="auto" w:fill="C6D9F1" w:themeFill="text2" w:themeFillTint="33"/>
            <w:noWrap/>
          </w:tcPr>
          <w:p w14:paraId="21D240F2" w14:textId="77777777" w:rsidR="000E48CE" w:rsidRDefault="000E48CE">
            <w:pPr>
              <w:spacing w:after="0"/>
              <w:rPr>
                <w:rFonts w:ascii="Times New Roman" w:hAnsi="Times New Roman" w:cs="Times New Roman"/>
                <w:b/>
                <w:noProof/>
                <w:sz w:val="18"/>
              </w:rPr>
            </w:pPr>
          </w:p>
        </w:tc>
        <w:tc>
          <w:tcPr>
            <w:tcW w:w="1025" w:type="dxa"/>
            <w:tcBorders>
              <w:top w:val="nil"/>
            </w:tcBorders>
            <w:shd w:val="clear" w:color="auto" w:fill="C6D9F1" w:themeFill="text2" w:themeFillTint="33"/>
            <w:noWrap/>
          </w:tcPr>
          <w:p w14:paraId="1A1252AB" w14:textId="77777777" w:rsidR="000E48CE" w:rsidRDefault="000E48CE">
            <w:pPr>
              <w:spacing w:after="0"/>
              <w:jc w:val="center"/>
              <w:rPr>
                <w:rFonts w:ascii="Times New Roman" w:hAnsi="Times New Roman" w:cs="Times New Roman"/>
                <w:b/>
                <w:noProof/>
                <w:sz w:val="18"/>
              </w:rPr>
            </w:pPr>
          </w:p>
        </w:tc>
        <w:tc>
          <w:tcPr>
            <w:tcW w:w="676" w:type="dxa"/>
            <w:shd w:val="clear" w:color="auto" w:fill="C6D9F1" w:themeFill="text2" w:themeFillTint="33"/>
            <w:noWrap/>
          </w:tcPr>
          <w:p w14:paraId="4BFA19ED" w14:textId="77777777" w:rsidR="000E48CE" w:rsidRDefault="00FF4C4E">
            <w:pPr>
              <w:pStyle w:val="P68B1DB1-Normal12"/>
              <w:spacing w:after="0"/>
              <w:jc w:val="center"/>
              <w:rPr>
                <w:rFonts w:cs="Times New Roman"/>
                <w:noProof/>
              </w:rPr>
            </w:pPr>
            <w:r>
              <w:rPr>
                <w:noProof/>
              </w:rPr>
              <w:t>Yksikkö</w:t>
            </w:r>
          </w:p>
        </w:tc>
        <w:tc>
          <w:tcPr>
            <w:tcW w:w="425" w:type="dxa"/>
            <w:shd w:val="clear" w:color="auto" w:fill="C6D9F1" w:themeFill="text2" w:themeFillTint="33"/>
            <w:noWrap/>
          </w:tcPr>
          <w:p w14:paraId="54C16E97" w14:textId="77777777" w:rsidR="000E48CE" w:rsidRDefault="00FF4C4E">
            <w:pPr>
              <w:pStyle w:val="P68B1DB1-Normal12"/>
              <w:spacing w:after="0"/>
              <w:jc w:val="center"/>
              <w:rPr>
                <w:rFonts w:cs="Times New Roman"/>
                <w:noProof/>
              </w:rPr>
            </w:pPr>
            <w:r>
              <w:rPr>
                <w:noProof/>
              </w:rPr>
              <w:t>Perusviiva</w:t>
            </w:r>
          </w:p>
        </w:tc>
        <w:tc>
          <w:tcPr>
            <w:tcW w:w="567" w:type="dxa"/>
            <w:shd w:val="clear" w:color="auto" w:fill="C6D9F1" w:themeFill="text2" w:themeFillTint="33"/>
            <w:noWrap/>
          </w:tcPr>
          <w:p w14:paraId="1BBC7A5D" w14:textId="77777777" w:rsidR="000E48CE" w:rsidRDefault="00FF4C4E">
            <w:pPr>
              <w:pStyle w:val="P68B1DB1-Normal12"/>
              <w:spacing w:after="0"/>
              <w:jc w:val="center"/>
              <w:rPr>
                <w:rFonts w:cs="Times New Roman"/>
                <w:noProof/>
              </w:rPr>
            </w:pPr>
            <w:r>
              <w:rPr>
                <w:noProof/>
              </w:rPr>
              <w:t>Päämäärä</w:t>
            </w:r>
          </w:p>
        </w:tc>
        <w:tc>
          <w:tcPr>
            <w:tcW w:w="425" w:type="dxa"/>
            <w:shd w:val="clear" w:color="auto" w:fill="C6D9F1" w:themeFill="text2" w:themeFillTint="33"/>
            <w:noWrap/>
          </w:tcPr>
          <w:p w14:paraId="28AEFDA8" w14:textId="77777777" w:rsidR="000E48CE" w:rsidRDefault="00FF4C4E">
            <w:pPr>
              <w:pStyle w:val="P68B1DB1-Normal12"/>
              <w:spacing w:after="0"/>
              <w:jc w:val="center"/>
              <w:rPr>
                <w:rFonts w:cs="Times New Roman"/>
                <w:noProof/>
              </w:rPr>
            </w:pPr>
            <w:r>
              <w:rPr>
                <w:noProof/>
              </w:rPr>
              <w:t>Q</w:t>
            </w:r>
          </w:p>
        </w:tc>
        <w:tc>
          <w:tcPr>
            <w:tcW w:w="567" w:type="dxa"/>
            <w:shd w:val="clear" w:color="auto" w:fill="C6D9F1" w:themeFill="text2" w:themeFillTint="33"/>
            <w:noWrap/>
          </w:tcPr>
          <w:p w14:paraId="5C45CE87" w14:textId="77777777" w:rsidR="000E48CE" w:rsidRDefault="00FF4C4E">
            <w:pPr>
              <w:pStyle w:val="P68B1DB1-Normal12"/>
              <w:spacing w:after="0"/>
              <w:jc w:val="center"/>
              <w:rPr>
                <w:rFonts w:cs="Times New Roman"/>
                <w:noProof/>
              </w:rPr>
            </w:pPr>
            <w:r>
              <w:rPr>
                <w:noProof/>
              </w:rPr>
              <w:t>Vuosi</w:t>
            </w:r>
          </w:p>
        </w:tc>
        <w:tc>
          <w:tcPr>
            <w:tcW w:w="6696" w:type="dxa"/>
            <w:tcBorders>
              <w:top w:val="nil"/>
            </w:tcBorders>
            <w:shd w:val="clear" w:color="auto" w:fill="C6D9F1" w:themeFill="text2" w:themeFillTint="33"/>
            <w:noWrap/>
          </w:tcPr>
          <w:p w14:paraId="7D10E93B" w14:textId="77777777" w:rsidR="000E48CE" w:rsidRDefault="000E48CE">
            <w:pPr>
              <w:spacing w:after="0"/>
              <w:rPr>
                <w:rFonts w:ascii="Times New Roman" w:hAnsi="Times New Roman" w:cs="Times New Roman"/>
                <w:b/>
                <w:noProof/>
                <w:sz w:val="18"/>
              </w:rPr>
            </w:pPr>
          </w:p>
        </w:tc>
      </w:tr>
      <w:tr w:rsidR="000E48CE" w14:paraId="74F77746" w14:textId="77777777">
        <w:trPr>
          <w:trHeight w:val="309"/>
        </w:trPr>
        <w:tc>
          <w:tcPr>
            <w:tcW w:w="818" w:type="dxa"/>
            <w:shd w:val="clear" w:color="auto" w:fill="C6EFCE"/>
            <w:noWrap/>
          </w:tcPr>
          <w:p w14:paraId="3416B8BA" w14:textId="4BB83DDD" w:rsidR="000E48CE" w:rsidRDefault="00FF4C4E">
            <w:pPr>
              <w:pStyle w:val="P68B1DB1-Normal13"/>
              <w:spacing w:after="0"/>
              <w:jc w:val="center"/>
              <w:rPr>
                <w:rFonts w:eastAsia="Times New Roman" w:cs="Times New Roman"/>
                <w:noProof/>
              </w:rPr>
            </w:pPr>
            <w:r>
              <w:rPr>
                <w:noProof/>
              </w:rPr>
              <w:t>L83</w:t>
            </w:r>
          </w:p>
        </w:tc>
        <w:tc>
          <w:tcPr>
            <w:tcW w:w="742" w:type="dxa"/>
            <w:shd w:val="clear" w:color="auto" w:fill="C6EFCE"/>
            <w:noWrap/>
          </w:tcPr>
          <w:p w14:paraId="66B97D8D" w14:textId="77777777" w:rsidR="000E48CE" w:rsidRDefault="00FF4C4E">
            <w:pPr>
              <w:pStyle w:val="P68B1DB1-Normal13"/>
              <w:spacing w:after="0"/>
              <w:jc w:val="center"/>
              <w:rPr>
                <w:rFonts w:eastAsia="Times New Roman" w:cs="Times New Roman"/>
                <w:noProof/>
              </w:rPr>
            </w:pPr>
            <w:r>
              <w:rPr>
                <w:noProof/>
              </w:rPr>
              <w:t xml:space="preserve">C31.I7 </w:t>
            </w:r>
          </w:p>
        </w:tc>
        <w:tc>
          <w:tcPr>
            <w:tcW w:w="850" w:type="dxa"/>
            <w:shd w:val="clear" w:color="auto" w:fill="C6EFCE"/>
            <w:noWrap/>
          </w:tcPr>
          <w:p w14:paraId="75127D16" w14:textId="77777777" w:rsidR="000E48CE" w:rsidRDefault="00FF4C4E">
            <w:pPr>
              <w:pStyle w:val="P68B1DB1-Normal13"/>
              <w:spacing w:after="0"/>
              <w:jc w:val="center"/>
              <w:rPr>
                <w:rFonts w:eastAsia="Times New Roman" w:cs="Times New Roman"/>
                <w:noProof/>
              </w:rPr>
            </w:pPr>
            <w:r>
              <w:rPr>
                <w:noProof/>
              </w:rPr>
              <w:t>M</w:t>
            </w:r>
          </w:p>
        </w:tc>
        <w:tc>
          <w:tcPr>
            <w:tcW w:w="2519" w:type="dxa"/>
            <w:shd w:val="clear" w:color="auto" w:fill="C6EFCE"/>
            <w:noWrap/>
          </w:tcPr>
          <w:p w14:paraId="6155A04A" w14:textId="77777777" w:rsidR="000E48CE" w:rsidRDefault="00FF4C4E">
            <w:pPr>
              <w:pStyle w:val="P68B1DB1-Normal13"/>
              <w:spacing w:after="0"/>
              <w:rPr>
                <w:rFonts w:eastAsia="Times New Roman" w:cs="Times New Roman"/>
                <w:noProof/>
              </w:rPr>
            </w:pPr>
            <w:r>
              <w:rPr>
                <w:noProof/>
              </w:rPr>
              <w:t xml:space="preserve">Teollisuuden hiilestä irtautumista koskevan tuen myöntämistä koskevien ehdotuspyyntöjen ja sääntöjen julkaiseminen. </w:t>
            </w:r>
          </w:p>
        </w:tc>
        <w:tc>
          <w:tcPr>
            <w:tcW w:w="1025" w:type="dxa"/>
            <w:shd w:val="clear" w:color="auto" w:fill="C6EFCE"/>
            <w:noWrap/>
          </w:tcPr>
          <w:p w14:paraId="2CF314EB" w14:textId="77777777" w:rsidR="000E48CE" w:rsidRDefault="00FF4C4E">
            <w:pPr>
              <w:pStyle w:val="P68B1DB1-Normal13"/>
              <w:spacing w:after="0"/>
              <w:jc w:val="center"/>
              <w:rPr>
                <w:rFonts w:eastAsia="Times New Roman" w:cs="Times New Roman"/>
                <w:noProof/>
              </w:rPr>
            </w:pPr>
            <w:r>
              <w:rPr>
                <w:noProof/>
              </w:rPr>
              <w:t>Julkaiseminen</w:t>
            </w:r>
          </w:p>
        </w:tc>
        <w:tc>
          <w:tcPr>
            <w:tcW w:w="676" w:type="dxa"/>
            <w:shd w:val="clear" w:color="auto" w:fill="C6EFCE"/>
            <w:noWrap/>
          </w:tcPr>
          <w:p w14:paraId="047653A4" w14:textId="77777777" w:rsidR="000E48CE" w:rsidRDefault="000E48CE">
            <w:pPr>
              <w:spacing w:after="0"/>
              <w:jc w:val="center"/>
              <w:rPr>
                <w:rFonts w:ascii="Times New Roman" w:eastAsia="Times New Roman" w:hAnsi="Times New Roman" w:cs="Times New Roman"/>
                <w:noProof/>
                <w:sz w:val="18"/>
              </w:rPr>
            </w:pPr>
          </w:p>
        </w:tc>
        <w:tc>
          <w:tcPr>
            <w:tcW w:w="425" w:type="dxa"/>
            <w:shd w:val="clear" w:color="auto" w:fill="C6EFCE"/>
            <w:noWrap/>
          </w:tcPr>
          <w:p w14:paraId="4A736D01" w14:textId="77777777" w:rsidR="000E48CE" w:rsidRDefault="000E48CE">
            <w:pPr>
              <w:spacing w:after="0"/>
              <w:jc w:val="right"/>
              <w:rPr>
                <w:rFonts w:ascii="Times New Roman" w:eastAsia="Times New Roman" w:hAnsi="Times New Roman" w:cs="Times New Roman"/>
                <w:noProof/>
                <w:sz w:val="18"/>
              </w:rPr>
            </w:pPr>
          </w:p>
        </w:tc>
        <w:tc>
          <w:tcPr>
            <w:tcW w:w="567" w:type="dxa"/>
            <w:shd w:val="clear" w:color="auto" w:fill="C6EFCE"/>
            <w:noWrap/>
          </w:tcPr>
          <w:p w14:paraId="4929A291" w14:textId="77777777" w:rsidR="000E48CE" w:rsidRDefault="000E48CE">
            <w:pPr>
              <w:spacing w:after="0"/>
              <w:jc w:val="right"/>
              <w:rPr>
                <w:rFonts w:ascii="Times New Roman" w:eastAsia="Times New Roman" w:hAnsi="Times New Roman" w:cs="Times New Roman"/>
                <w:noProof/>
                <w:sz w:val="18"/>
              </w:rPr>
            </w:pPr>
          </w:p>
        </w:tc>
        <w:tc>
          <w:tcPr>
            <w:tcW w:w="425" w:type="dxa"/>
            <w:shd w:val="clear" w:color="auto" w:fill="C6EFCE"/>
            <w:noWrap/>
          </w:tcPr>
          <w:p w14:paraId="5D4E8165" w14:textId="77777777" w:rsidR="000E48CE" w:rsidRDefault="00FF4C4E">
            <w:pPr>
              <w:pStyle w:val="P68B1DB1-Normal13"/>
              <w:spacing w:after="0"/>
              <w:jc w:val="center"/>
              <w:rPr>
                <w:rFonts w:eastAsia="Times New Roman" w:cs="Times New Roman"/>
                <w:noProof/>
              </w:rPr>
            </w:pPr>
            <w:r>
              <w:rPr>
                <w:noProof/>
              </w:rPr>
              <w:t>Q2</w:t>
            </w:r>
          </w:p>
        </w:tc>
        <w:tc>
          <w:tcPr>
            <w:tcW w:w="567" w:type="dxa"/>
            <w:shd w:val="clear" w:color="auto" w:fill="C6EFCE"/>
            <w:noWrap/>
          </w:tcPr>
          <w:p w14:paraId="27C6EF09" w14:textId="77777777" w:rsidR="000E48CE" w:rsidRDefault="00FF4C4E">
            <w:pPr>
              <w:pStyle w:val="P68B1DB1-Normal13"/>
              <w:spacing w:after="0"/>
              <w:jc w:val="center"/>
              <w:rPr>
                <w:rFonts w:eastAsia="Times New Roman" w:cs="Times New Roman"/>
                <w:noProof/>
              </w:rPr>
            </w:pPr>
            <w:r>
              <w:rPr>
                <w:noProof/>
              </w:rPr>
              <w:t>2024</w:t>
            </w:r>
          </w:p>
        </w:tc>
        <w:tc>
          <w:tcPr>
            <w:tcW w:w="6696" w:type="dxa"/>
            <w:shd w:val="clear" w:color="auto" w:fill="C6EFCE"/>
            <w:noWrap/>
          </w:tcPr>
          <w:p w14:paraId="15CD02F7" w14:textId="6F092510" w:rsidR="000E48CE" w:rsidRDefault="00FF4C4E">
            <w:pPr>
              <w:pStyle w:val="P68B1DB1-Normal13"/>
              <w:spacing w:after="0"/>
              <w:rPr>
                <w:rFonts w:eastAsia="Times New Roman" w:cs="Times New Roman"/>
                <w:noProof/>
              </w:rPr>
            </w:pPr>
            <w:r>
              <w:rPr>
                <w:noProof/>
              </w:rPr>
              <w:t>Hyväksytään ehdotuspyynnöt ja säännöt, jotka koskevat tukea lainoina hankkeille, joilla pyritään vähentämään valmi</w:t>
            </w:r>
            <w:r>
              <w:rPr>
                <w:noProof/>
              </w:rPr>
              <w:t>stusteollisuuden hiilestä irtautumista ja kehittämään uusia erittäin tehokkaita ja hiilettömiä tuotantolaitoksia koskevia investointeja. Ehdotuspyynnöillä ja hankelainoina myönnettävää tukea koskevilla säännöillä on varmistettava, että toimenpide on ”ei me</w:t>
            </w:r>
            <w:r>
              <w:rPr>
                <w:noProof/>
              </w:rPr>
              <w:t>rkittävää haittaa” -periaatteen mukainen käyttämällä poissulkemisluetteloa ja vaatimusta noudattaa asiaankuuluvaa EU:n ja kansallista ympäristölainsäädäntöä.</w:t>
            </w:r>
          </w:p>
        </w:tc>
      </w:tr>
      <w:tr w:rsidR="000E48CE" w14:paraId="449C83AF" w14:textId="77777777">
        <w:trPr>
          <w:trHeight w:val="309"/>
        </w:trPr>
        <w:tc>
          <w:tcPr>
            <w:tcW w:w="818" w:type="dxa"/>
            <w:shd w:val="clear" w:color="auto" w:fill="C6EFCE"/>
            <w:noWrap/>
          </w:tcPr>
          <w:p w14:paraId="54A7A573" w14:textId="35259F8E" w:rsidR="000E48CE" w:rsidRDefault="00FF4C4E">
            <w:pPr>
              <w:pStyle w:val="P68B1DB1-Normal13"/>
              <w:spacing w:after="0"/>
              <w:jc w:val="center"/>
              <w:rPr>
                <w:rFonts w:eastAsia="Times New Roman" w:cs="Times New Roman"/>
                <w:noProof/>
              </w:rPr>
            </w:pPr>
            <w:r>
              <w:rPr>
                <w:noProof/>
              </w:rPr>
              <w:t>L84</w:t>
            </w:r>
          </w:p>
        </w:tc>
        <w:tc>
          <w:tcPr>
            <w:tcW w:w="742" w:type="dxa"/>
            <w:shd w:val="clear" w:color="auto" w:fill="C6EFCE"/>
            <w:noWrap/>
          </w:tcPr>
          <w:p w14:paraId="3E8311B5" w14:textId="77777777" w:rsidR="000E48CE" w:rsidRDefault="00FF4C4E">
            <w:pPr>
              <w:pStyle w:val="P68B1DB1-Normal13"/>
              <w:spacing w:after="0"/>
              <w:jc w:val="center"/>
              <w:rPr>
                <w:rFonts w:eastAsia="Times New Roman" w:cs="Times New Roman"/>
                <w:noProof/>
              </w:rPr>
            </w:pPr>
            <w:r>
              <w:rPr>
                <w:noProof/>
              </w:rPr>
              <w:t>C31.I7</w:t>
            </w:r>
          </w:p>
        </w:tc>
        <w:tc>
          <w:tcPr>
            <w:tcW w:w="850" w:type="dxa"/>
            <w:shd w:val="clear" w:color="auto" w:fill="C6EFCE"/>
            <w:noWrap/>
          </w:tcPr>
          <w:p w14:paraId="454B19EE" w14:textId="5C13FFBB" w:rsidR="000E48CE" w:rsidRDefault="00FF4C4E">
            <w:pPr>
              <w:pStyle w:val="P68B1DB1-Normal13"/>
              <w:spacing w:after="0"/>
              <w:jc w:val="center"/>
              <w:rPr>
                <w:rFonts w:eastAsia="Times New Roman" w:cs="Times New Roman"/>
                <w:noProof/>
              </w:rPr>
            </w:pPr>
            <w:r>
              <w:rPr>
                <w:noProof/>
              </w:rPr>
              <w:t>T</w:t>
            </w:r>
          </w:p>
        </w:tc>
        <w:tc>
          <w:tcPr>
            <w:tcW w:w="2519" w:type="dxa"/>
            <w:shd w:val="clear" w:color="auto" w:fill="C6EFCE"/>
            <w:noWrap/>
          </w:tcPr>
          <w:p w14:paraId="6D2E9CBF" w14:textId="77777777" w:rsidR="000E48CE" w:rsidRDefault="00FF4C4E">
            <w:pPr>
              <w:pStyle w:val="P68B1DB1-Normal13"/>
              <w:spacing w:after="0"/>
              <w:rPr>
                <w:rFonts w:eastAsia="Times New Roman" w:cs="Times New Roman"/>
                <w:noProof/>
              </w:rPr>
            </w:pPr>
            <w:r>
              <w:rPr>
                <w:noProof/>
              </w:rPr>
              <w:t>Hiilestä irtautumista koskevien hankkeiden palkintojen julkaiseminen</w:t>
            </w:r>
          </w:p>
        </w:tc>
        <w:tc>
          <w:tcPr>
            <w:tcW w:w="1025" w:type="dxa"/>
            <w:shd w:val="clear" w:color="auto" w:fill="C6EFCE"/>
            <w:noWrap/>
          </w:tcPr>
          <w:p w14:paraId="30402AB2" w14:textId="77777777" w:rsidR="000E48CE" w:rsidRDefault="000E48CE">
            <w:pPr>
              <w:spacing w:after="0"/>
              <w:jc w:val="center"/>
              <w:rPr>
                <w:rFonts w:ascii="Times New Roman" w:eastAsia="Times New Roman" w:hAnsi="Times New Roman" w:cs="Times New Roman"/>
                <w:noProof/>
                <w:sz w:val="18"/>
              </w:rPr>
            </w:pPr>
          </w:p>
        </w:tc>
        <w:tc>
          <w:tcPr>
            <w:tcW w:w="676" w:type="dxa"/>
            <w:shd w:val="clear" w:color="auto" w:fill="C6EFCE"/>
            <w:noWrap/>
          </w:tcPr>
          <w:p w14:paraId="28B2CA4E" w14:textId="52D7AA0C" w:rsidR="000E48CE" w:rsidRDefault="00FF4C4E">
            <w:pPr>
              <w:pStyle w:val="P68B1DB1-Normal13"/>
              <w:spacing w:after="0"/>
              <w:jc w:val="center"/>
              <w:rPr>
                <w:rFonts w:eastAsia="Times New Roman" w:cs="Times New Roman"/>
                <w:noProof/>
              </w:rPr>
            </w:pPr>
            <w:r>
              <w:rPr>
                <w:noProof/>
              </w:rPr>
              <w:t xml:space="preserve">Miljoonaa </w:t>
            </w:r>
            <w:r>
              <w:rPr>
                <w:noProof/>
              </w:rPr>
              <w:t>euroa</w:t>
            </w:r>
          </w:p>
        </w:tc>
        <w:tc>
          <w:tcPr>
            <w:tcW w:w="425" w:type="dxa"/>
            <w:shd w:val="clear" w:color="auto" w:fill="C6EFCE"/>
            <w:noWrap/>
          </w:tcPr>
          <w:p w14:paraId="6E07CB6E" w14:textId="77777777" w:rsidR="000E48CE" w:rsidRDefault="00FF4C4E">
            <w:pPr>
              <w:pStyle w:val="P68B1DB1-Normal13"/>
              <w:spacing w:after="0"/>
              <w:jc w:val="right"/>
              <w:rPr>
                <w:rFonts w:eastAsia="Times New Roman" w:cs="Times New Roman"/>
                <w:noProof/>
              </w:rPr>
            </w:pPr>
            <w:r>
              <w:rPr>
                <w:noProof/>
              </w:rPr>
              <w:t>0</w:t>
            </w:r>
          </w:p>
        </w:tc>
        <w:tc>
          <w:tcPr>
            <w:tcW w:w="567" w:type="dxa"/>
            <w:shd w:val="clear" w:color="auto" w:fill="C6EFCE"/>
            <w:noWrap/>
          </w:tcPr>
          <w:p w14:paraId="3C142489" w14:textId="2A692C5B" w:rsidR="000E48CE" w:rsidRDefault="00FF4C4E">
            <w:pPr>
              <w:pStyle w:val="P68B1DB1-Normal13"/>
              <w:spacing w:after="0"/>
              <w:jc w:val="right"/>
              <w:rPr>
                <w:rFonts w:eastAsia="Times New Roman" w:cs="Times New Roman"/>
                <w:noProof/>
              </w:rPr>
            </w:pPr>
            <w:r>
              <w:rPr>
                <w:noProof/>
              </w:rPr>
              <w:t xml:space="preserve">585 </w:t>
            </w:r>
          </w:p>
        </w:tc>
        <w:tc>
          <w:tcPr>
            <w:tcW w:w="425" w:type="dxa"/>
            <w:shd w:val="clear" w:color="auto" w:fill="C6EFCE"/>
            <w:noWrap/>
          </w:tcPr>
          <w:p w14:paraId="6BCA730F" w14:textId="77777777" w:rsidR="000E48CE" w:rsidRDefault="00FF4C4E">
            <w:pPr>
              <w:pStyle w:val="P68B1DB1-Normal13"/>
              <w:spacing w:after="0"/>
              <w:jc w:val="center"/>
              <w:rPr>
                <w:rFonts w:eastAsia="Times New Roman" w:cs="Times New Roman"/>
                <w:noProof/>
              </w:rPr>
            </w:pPr>
            <w:r>
              <w:rPr>
                <w:noProof/>
              </w:rPr>
              <w:t>Q4</w:t>
            </w:r>
          </w:p>
        </w:tc>
        <w:tc>
          <w:tcPr>
            <w:tcW w:w="567" w:type="dxa"/>
            <w:shd w:val="clear" w:color="auto" w:fill="C6EFCE"/>
            <w:noWrap/>
          </w:tcPr>
          <w:p w14:paraId="50ACF7BD" w14:textId="77777777" w:rsidR="000E48CE" w:rsidRDefault="00FF4C4E">
            <w:pPr>
              <w:pStyle w:val="P68B1DB1-Normal13"/>
              <w:spacing w:after="0"/>
              <w:jc w:val="center"/>
              <w:rPr>
                <w:rFonts w:eastAsia="Times New Roman" w:cs="Times New Roman"/>
                <w:noProof/>
              </w:rPr>
            </w:pPr>
            <w:r>
              <w:rPr>
                <w:noProof/>
              </w:rPr>
              <w:t>2024</w:t>
            </w:r>
          </w:p>
        </w:tc>
        <w:tc>
          <w:tcPr>
            <w:tcW w:w="6696" w:type="dxa"/>
            <w:shd w:val="clear" w:color="auto" w:fill="C6EFCE"/>
            <w:noWrap/>
          </w:tcPr>
          <w:p w14:paraId="56137C83" w14:textId="2699947F" w:rsidR="000E48CE" w:rsidRDefault="00FF4C4E">
            <w:pPr>
              <w:pStyle w:val="P68B1DB1-Normal13"/>
              <w:spacing w:after="0"/>
              <w:rPr>
                <w:rFonts w:eastAsia="Times New Roman" w:cs="Times New Roman"/>
                <w:noProof/>
              </w:rPr>
            </w:pPr>
            <w:r>
              <w:rPr>
                <w:noProof/>
              </w:rPr>
              <w:t>Lopullisille tuensaajille on myönnetty vähintään 585000000 euroa (vähintään 40 prosenttia kokonaisvaroista, joilla edistetään ilmastotavoitteita elpymis- ja palautumistukivälinettä koskevan asetuksen liitteessä VI esitetyn menetelmän m</w:t>
            </w:r>
            <w:r>
              <w:rPr>
                <w:noProof/>
              </w:rPr>
              <w:t xml:space="preserve">ukaisesti). </w:t>
            </w:r>
          </w:p>
        </w:tc>
      </w:tr>
      <w:tr w:rsidR="000E48CE" w14:paraId="446017A3" w14:textId="77777777">
        <w:trPr>
          <w:trHeight w:val="309"/>
        </w:trPr>
        <w:tc>
          <w:tcPr>
            <w:tcW w:w="818" w:type="dxa"/>
            <w:shd w:val="clear" w:color="auto" w:fill="C6EFCE"/>
            <w:noWrap/>
          </w:tcPr>
          <w:p w14:paraId="43749F19" w14:textId="2DF72407" w:rsidR="000E48CE" w:rsidRDefault="00FF4C4E">
            <w:pPr>
              <w:pStyle w:val="P68B1DB1-Normal13"/>
              <w:spacing w:after="0"/>
              <w:jc w:val="center"/>
              <w:rPr>
                <w:rFonts w:eastAsia="Times New Roman" w:cs="Times New Roman"/>
                <w:noProof/>
              </w:rPr>
            </w:pPr>
            <w:r>
              <w:rPr>
                <w:noProof/>
              </w:rPr>
              <w:t>L85</w:t>
            </w:r>
          </w:p>
        </w:tc>
        <w:tc>
          <w:tcPr>
            <w:tcW w:w="742" w:type="dxa"/>
            <w:shd w:val="clear" w:color="auto" w:fill="C6EFCE"/>
            <w:noWrap/>
          </w:tcPr>
          <w:p w14:paraId="6C0869B5" w14:textId="77777777" w:rsidR="000E48CE" w:rsidRDefault="00FF4C4E">
            <w:pPr>
              <w:pStyle w:val="P68B1DB1-Normal13"/>
              <w:spacing w:after="0"/>
              <w:jc w:val="center"/>
              <w:rPr>
                <w:rFonts w:eastAsia="Times New Roman" w:cs="Times New Roman"/>
                <w:noProof/>
              </w:rPr>
            </w:pPr>
            <w:r>
              <w:rPr>
                <w:noProof/>
              </w:rPr>
              <w:t>C31.I7</w:t>
            </w:r>
          </w:p>
        </w:tc>
        <w:tc>
          <w:tcPr>
            <w:tcW w:w="850" w:type="dxa"/>
            <w:shd w:val="clear" w:color="auto" w:fill="C6EFCE"/>
            <w:noWrap/>
          </w:tcPr>
          <w:p w14:paraId="19CC269D" w14:textId="77777777" w:rsidR="000E48CE" w:rsidRDefault="00FF4C4E">
            <w:pPr>
              <w:pStyle w:val="P68B1DB1-Normal13"/>
              <w:spacing w:after="0"/>
              <w:jc w:val="center"/>
              <w:rPr>
                <w:rFonts w:eastAsia="Times New Roman" w:cs="Times New Roman"/>
                <w:noProof/>
              </w:rPr>
            </w:pPr>
            <w:r>
              <w:rPr>
                <w:noProof/>
              </w:rPr>
              <w:t>M</w:t>
            </w:r>
          </w:p>
        </w:tc>
        <w:tc>
          <w:tcPr>
            <w:tcW w:w="2519" w:type="dxa"/>
            <w:shd w:val="clear" w:color="auto" w:fill="C6EFCE"/>
            <w:noWrap/>
          </w:tcPr>
          <w:p w14:paraId="47F21134" w14:textId="41530ECA" w:rsidR="000E48CE" w:rsidRDefault="00FF4C4E">
            <w:pPr>
              <w:pStyle w:val="P68B1DB1-Normal13"/>
              <w:spacing w:after="0"/>
              <w:rPr>
                <w:rStyle w:val="eop"/>
                <w:noProof/>
              </w:rPr>
            </w:pPr>
            <w:r>
              <w:rPr>
                <w:noProof/>
              </w:rPr>
              <w:t>Hiilestä irtautumista koskevien hankkeiden loppuun saattaminen</w:t>
            </w:r>
          </w:p>
        </w:tc>
        <w:tc>
          <w:tcPr>
            <w:tcW w:w="1025" w:type="dxa"/>
            <w:shd w:val="clear" w:color="auto" w:fill="C6EFCE"/>
            <w:noWrap/>
          </w:tcPr>
          <w:p w14:paraId="2C8ACC43" w14:textId="7BB2F7C0" w:rsidR="000E48CE" w:rsidRDefault="00FF4C4E">
            <w:pPr>
              <w:pStyle w:val="P68B1DB1-Normal13"/>
              <w:spacing w:after="0"/>
              <w:jc w:val="center"/>
              <w:rPr>
                <w:rFonts w:eastAsia="Times New Roman" w:cs="Times New Roman"/>
                <w:noProof/>
              </w:rPr>
            </w:pPr>
            <w:r>
              <w:rPr>
                <w:noProof/>
              </w:rPr>
              <w:t>Täyttötodistus</w:t>
            </w:r>
          </w:p>
        </w:tc>
        <w:tc>
          <w:tcPr>
            <w:tcW w:w="676" w:type="dxa"/>
            <w:shd w:val="clear" w:color="auto" w:fill="C6EFCE"/>
            <w:noWrap/>
          </w:tcPr>
          <w:p w14:paraId="63CAEE0B" w14:textId="77777777" w:rsidR="000E48CE" w:rsidRDefault="000E48CE">
            <w:pPr>
              <w:spacing w:after="0"/>
              <w:jc w:val="center"/>
              <w:rPr>
                <w:rFonts w:ascii="Times New Roman" w:eastAsia="Times New Roman" w:hAnsi="Times New Roman" w:cs="Times New Roman"/>
                <w:noProof/>
                <w:sz w:val="18"/>
              </w:rPr>
            </w:pPr>
          </w:p>
        </w:tc>
        <w:tc>
          <w:tcPr>
            <w:tcW w:w="425" w:type="dxa"/>
            <w:shd w:val="clear" w:color="auto" w:fill="C6EFCE"/>
            <w:noWrap/>
          </w:tcPr>
          <w:p w14:paraId="7B1B15AD" w14:textId="77777777" w:rsidR="000E48CE" w:rsidRDefault="000E48CE">
            <w:pPr>
              <w:spacing w:after="0"/>
              <w:jc w:val="right"/>
              <w:rPr>
                <w:rFonts w:ascii="Times New Roman" w:eastAsia="Times New Roman" w:hAnsi="Times New Roman" w:cs="Times New Roman"/>
                <w:noProof/>
                <w:sz w:val="18"/>
              </w:rPr>
            </w:pPr>
          </w:p>
        </w:tc>
        <w:tc>
          <w:tcPr>
            <w:tcW w:w="567" w:type="dxa"/>
            <w:shd w:val="clear" w:color="auto" w:fill="C6EFCE"/>
            <w:noWrap/>
          </w:tcPr>
          <w:p w14:paraId="591B8D73" w14:textId="77777777" w:rsidR="000E48CE" w:rsidRDefault="000E48CE">
            <w:pPr>
              <w:spacing w:after="0"/>
              <w:jc w:val="right"/>
              <w:rPr>
                <w:rFonts w:ascii="Times New Roman" w:eastAsia="Times New Roman" w:hAnsi="Times New Roman" w:cs="Times New Roman"/>
                <w:noProof/>
                <w:sz w:val="18"/>
              </w:rPr>
            </w:pPr>
          </w:p>
        </w:tc>
        <w:tc>
          <w:tcPr>
            <w:tcW w:w="425" w:type="dxa"/>
            <w:shd w:val="clear" w:color="auto" w:fill="C6EFCE"/>
            <w:noWrap/>
          </w:tcPr>
          <w:p w14:paraId="110E5B82" w14:textId="6CE2A5C0" w:rsidR="000E48CE" w:rsidRDefault="00FF4C4E">
            <w:pPr>
              <w:pStyle w:val="P68B1DB1-Normal13"/>
              <w:spacing w:after="0"/>
              <w:jc w:val="center"/>
              <w:rPr>
                <w:rFonts w:eastAsia="Times New Roman" w:cs="Times New Roman"/>
                <w:noProof/>
              </w:rPr>
            </w:pPr>
            <w:r>
              <w:rPr>
                <w:noProof/>
              </w:rPr>
              <w:t>KOLMAS VUOSINELJÄNNES</w:t>
            </w:r>
          </w:p>
        </w:tc>
        <w:tc>
          <w:tcPr>
            <w:tcW w:w="567" w:type="dxa"/>
            <w:shd w:val="clear" w:color="auto" w:fill="C6EFCE"/>
            <w:noWrap/>
          </w:tcPr>
          <w:p w14:paraId="6ED93ED3" w14:textId="77777777" w:rsidR="000E48CE" w:rsidRDefault="00FF4C4E">
            <w:pPr>
              <w:pStyle w:val="P68B1DB1-Normal13"/>
              <w:spacing w:after="0"/>
              <w:jc w:val="center"/>
              <w:rPr>
                <w:rFonts w:eastAsia="Times New Roman" w:cs="Times New Roman"/>
                <w:noProof/>
              </w:rPr>
            </w:pPr>
            <w:r>
              <w:rPr>
                <w:noProof/>
              </w:rPr>
              <w:t>2026</w:t>
            </w:r>
          </w:p>
        </w:tc>
        <w:tc>
          <w:tcPr>
            <w:tcW w:w="6696" w:type="dxa"/>
            <w:shd w:val="clear" w:color="auto" w:fill="C6EFCE"/>
            <w:noWrap/>
          </w:tcPr>
          <w:p w14:paraId="1F4C1220" w14:textId="15053292" w:rsidR="000E48CE" w:rsidRDefault="00FF4C4E">
            <w:pPr>
              <w:pStyle w:val="P68B1DB1-Normal13"/>
              <w:spacing w:after="0"/>
              <w:rPr>
                <w:rFonts w:eastAsia="Times New Roman" w:cs="Times New Roman"/>
                <w:noProof/>
              </w:rPr>
            </w:pPr>
            <w:r>
              <w:rPr>
                <w:noProof/>
              </w:rPr>
              <w:t xml:space="preserve">Sellaisten hankkeiden loppuun saattaminen, joiden kokonaisbudjetti on vähintään 585000000 euroa.  Jos hiilen hinnanerosopimusta koskevaa pilottihanketta rahoitetaan, sille myönnetyn talousarvion katsotaan vastaavan pilottihankkeen kattamia eroja koskevaan </w:t>
            </w:r>
            <w:r>
              <w:rPr>
                <w:noProof/>
              </w:rPr>
              <w:t xml:space="preserve">hiilisopimukseen liittyvien takuiden suuruutta.   </w:t>
            </w:r>
          </w:p>
        </w:tc>
      </w:tr>
      <w:tr w:rsidR="000E48CE" w14:paraId="52773FAC" w14:textId="77777777">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38CA746C" w14:textId="0371B8C0" w:rsidR="000E48CE" w:rsidRDefault="00FF4C4E">
            <w:pPr>
              <w:spacing w:after="0"/>
              <w:jc w:val="center"/>
              <w:rPr>
                <w:rStyle w:val="normaltextrun"/>
                <w:rFonts w:ascii="Times New Roman" w:hAnsi="Times New Roman" w:cs="Times New Roman"/>
                <w:noProof/>
                <w:sz w:val="18"/>
              </w:rPr>
            </w:pPr>
            <w:r>
              <w:rPr>
                <w:rStyle w:val="normaltextrun"/>
                <w:rFonts w:ascii="Times New Roman" w:hAnsi="Times New Roman"/>
                <w:noProof/>
                <w:sz w:val="18"/>
              </w:rPr>
              <w:t>L86</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49E12D99" w14:textId="49EB613A" w:rsidR="000E48CE" w:rsidRDefault="00FF4C4E">
            <w:pPr>
              <w:pStyle w:val="P68B1DB1-Normal13"/>
              <w:spacing w:after="0"/>
              <w:jc w:val="center"/>
              <w:rPr>
                <w:rFonts w:cs="Times New Roman"/>
                <w:noProof/>
              </w:rPr>
            </w:pPr>
            <w:r>
              <w:rPr>
                <w:noProof/>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E9F22AB" w14:textId="65FDCAFB" w:rsidR="000E48CE" w:rsidRDefault="00FF4C4E">
            <w:pPr>
              <w:pStyle w:val="P68B1DB1-Normal13"/>
              <w:spacing w:after="0"/>
              <w:jc w:val="center"/>
              <w:rPr>
                <w:rFonts w:cs="Times New Roman"/>
                <w:noProof/>
              </w:rPr>
            </w:pPr>
            <w:r>
              <w:rPr>
                <w:noProof/>
              </w:rPr>
              <w:t>M</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1A01DD07" w14:textId="5460E203" w:rsidR="000E48CE" w:rsidRDefault="00FF4C4E">
            <w:pPr>
              <w:spacing w:after="0"/>
              <w:rPr>
                <w:rFonts w:ascii="Times New Roman" w:hAnsi="Times New Roman" w:cs="Times New Roman"/>
                <w:noProof/>
                <w:sz w:val="18"/>
              </w:rPr>
            </w:pPr>
            <w:r>
              <w:rPr>
                <w:rStyle w:val="normaltextrun"/>
                <w:rFonts w:ascii="Times New Roman" w:hAnsi="Times New Roman"/>
                <w:noProof/>
                <w:sz w:val="18"/>
              </w:rPr>
              <w:t>Teollisuuden hiilestä irtautumista koskeva tukijärjestelmä (lainat): Ministeriö on saattanut investoinnin päätökseen</w:t>
            </w: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54892664" w14:textId="23CB7D56" w:rsidR="000E48CE" w:rsidRDefault="00FF4C4E">
            <w:pPr>
              <w:pStyle w:val="P68B1DB1-Normal13"/>
              <w:spacing w:after="0"/>
              <w:jc w:val="center"/>
              <w:rPr>
                <w:rFonts w:cs="Times New Roman"/>
                <w:noProof/>
              </w:rPr>
            </w:pPr>
            <w:r>
              <w:rPr>
                <w:noProof/>
              </w:rPr>
              <w:t>Todistus maksujen suorittamisesta ENISAlle</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2C92A3CB" w14:textId="77777777" w:rsidR="000E48CE" w:rsidRDefault="000E48CE">
            <w:pPr>
              <w:spacing w:after="0"/>
              <w:jc w:val="center"/>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0A277F1" w14:textId="77777777" w:rsidR="000E48CE" w:rsidRDefault="000E48CE">
            <w:pPr>
              <w:spacing w:after="0"/>
              <w:jc w:val="right"/>
              <w:rPr>
                <w:rStyle w:val="eop"/>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E0202F" w14:textId="77777777" w:rsidR="000E48CE" w:rsidRDefault="000E48CE">
            <w:pPr>
              <w:spacing w:after="0"/>
              <w:jc w:val="right"/>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083F776E" w14:textId="2B0CD14E" w:rsidR="000E48CE" w:rsidRDefault="00FF4C4E">
            <w:pPr>
              <w:pStyle w:val="P68B1DB1-Normal13"/>
              <w:spacing w:after="0"/>
              <w:jc w:val="center"/>
              <w:rPr>
                <w:rFonts w:cs="Times New Roman"/>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5D56DF6" w14:textId="3CC94995" w:rsidR="000E48CE" w:rsidRDefault="00FF4C4E">
            <w:pPr>
              <w:pStyle w:val="P68B1DB1-Normal13"/>
              <w:spacing w:after="0"/>
              <w:jc w:val="center"/>
              <w:rPr>
                <w:rFonts w:cs="Times New Roman"/>
                <w:noProof/>
              </w:rPr>
            </w:pPr>
            <w:r>
              <w:rPr>
                <w:noProof/>
              </w:rPr>
              <w:t>2024</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67E83647" w14:textId="6599CD0C" w:rsidR="000E48CE" w:rsidRDefault="00FF4C4E">
            <w:pPr>
              <w:pStyle w:val="P68B1DB1-Normal13"/>
              <w:spacing w:after="0"/>
              <w:rPr>
                <w:rFonts w:cs="Times New Roman"/>
                <w:noProof/>
              </w:rPr>
            </w:pPr>
            <w:r>
              <w:rPr>
                <w:noProof/>
              </w:rPr>
              <w:t xml:space="preserve">Espanjan on </w:t>
            </w:r>
            <w:r>
              <w:rPr>
                <w:noProof/>
              </w:rPr>
              <w:t>siirrettävä järjestelmää varten ENISAlle 1050000000 euroa.</w:t>
            </w:r>
          </w:p>
        </w:tc>
      </w:tr>
      <w:tr w:rsidR="000E48CE" w14:paraId="64B7776B" w14:textId="77777777">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3577A307" w14:textId="1118BCF0" w:rsidR="000E48CE" w:rsidRDefault="00FF4C4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L87</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49B62314" w14:textId="02E31D82" w:rsidR="000E48CE" w:rsidRDefault="00FF4C4E">
            <w:pPr>
              <w:pStyle w:val="P68B1DB1-Normal13"/>
              <w:spacing w:after="0"/>
              <w:jc w:val="center"/>
              <w:rPr>
                <w:rFonts w:eastAsia="Times New Roman" w:cs="Times New Roman"/>
                <w:noProof/>
              </w:rPr>
            </w:pPr>
            <w:r>
              <w:rPr>
                <w:noProof/>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B6C8071" w14:textId="4F50729C" w:rsidR="000E48CE" w:rsidRDefault="00FF4C4E">
            <w:pPr>
              <w:pStyle w:val="P68B1DB1-Normal13"/>
              <w:spacing w:after="0"/>
              <w:jc w:val="center"/>
              <w:rPr>
                <w:rFonts w:eastAsia="Times New Roman" w:cs="Times New Roman"/>
                <w:noProof/>
              </w:rPr>
            </w:pPr>
            <w:r>
              <w:rPr>
                <w:noProof/>
              </w:rPr>
              <w:t>M</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3C886883" w14:textId="2FF2164B" w:rsidR="000E48CE" w:rsidRDefault="00FF4C4E">
            <w:pPr>
              <w:pStyle w:val="P68B1DB1-Normal13"/>
              <w:spacing w:after="0"/>
              <w:rPr>
                <w:rStyle w:val="normaltextrun"/>
                <w:rFonts w:cs="Times New Roman"/>
                <w:noProof/>
              </w:rPr>
            </w:pPr>
            <w:r>
              <w:rPr>
                <w:noProof/>
              </w:rPr>
              <w:t>Lainajärjestelmän perustaminen</w:t>
            </w: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581E2E00" w14:textId="4E07B01F" w:rsidR="000E48CE" w:rsidRDefault="00FF4C4E">
            <w:pPr>
              <w:pStyle w:val="P68B1DB1-Normal13"/>
              <w:spacing w:after="0"/>
              <w:jc w:val="center"/>
              <w:rPr>
                <w:rFonts w:eastAsia="Times New Roman" w:cs="Times New Roman"/>
                <w:noProof/>
              </w:rPr>
            </w:pPr>
            <w:r>
              <w:rPr>
                <w:noProof/>
              </w:rPr>
              <w:t>Asiaa koskevien säädösten voimaantulo</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18D7899F" w14:textId="17FC81FC" w:rsidR="000E48CE" w:rsidRDefault="000E48CE">
            <w:pPr>
              <w:spacing w:after="0"/>
              <w:jc w:val="center"/>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FC76783" w14:textId="4D136987" w:rsidR="000E48CE" w:rsidRDefault="000E48CE">
            <w:pPr>
              <w:spacing w:after="0"/>
              <w:jc w:val="right"/>
              <w:rPr>
                <w:rStyle w:val="eop"/>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FDAE2C2" w14:textId="7CC436BB" w:rsidR="000E48CE" w:rsidRDefault="000E48CE">
            <w:pPr>
              <w:spacing w:after="0"/>
              <w:jc w:val="right"/>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B3A01F8" w14:textId="2CB279EA" w:rsidR="000E48CE" w:rsidRDefault="00FF4C4E">
            <w:pPr>
              <w:pStyle w:val="P68B1DB1-Normal13"/>
              <w:spacing w:after="0"/>
              <w:jc w:val="center"/>
              <w:rPr>
                <w:rFonts w:eastAsia="Times New Roman" w:cs="Times New Roman"/>
                <w:noProof/>
              </w:rPr>
            </w:pPr>
            <w:r>
              <w:rPr>
                <w:noProof/>
              </w:rPr>
              <w:t>KOLMAS VUOSINELJÄNNES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B6A6A9A" w14:textId="36AE28B5" w:rsidR="000E48CE" w:rsidRDefault="00FF4C4E">
            <w:pPr>
              <w:pStyle w:val="P68B1DB1-Normal13"/>
              <w:spacing w:after="0"/>
              <w:jc w:val="center"/>
              <w:rPr>
                <w:rFonts w:eastAsia="Times New Roman" w:cs="Times New Roman"/>
                <w:noProof/>
              </w:rPr>
            </w:pPr>
            <w:r>
              <w:rPr>
                <w:noProof/>
              </w:rPr>
              <w:t>2024</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0C8851D1" w14:textId="3DD4654D" w:rsidR="000E48CE" w:rsidRDefault="00FF4C4E">
            <w:pPr>
              <w:pStyle w:val="P68B1DB1-Normal13"/>
              <w:spacing w:after="0"/>
              <w:rPr>
                <w:rFonts w:eastAsia="Times New Roman" w:cs="Times New Roman"/>
                <w:noProof/>
              </w:rPr>
            </w:pPr>
            <w:r>
              <w:rPr>
                <w:noProof/>
              </w:rPr>
              <w:t xml:space="preserve">Lainaohjelman perustamista koskevien oikeudellisten välineiden voimaantulo </w:t>
            </w:r>
            <w:r>
              <w:rPr>
                <w:noProof/>
              </w:rPr>
              <w:t>toimenpiteen kuvauksessa täsmennettyjen vaatimusten mukaisesti.</w:t>
            </w:r>
          </w:p>
        </w:tc>
      </w:tr>
      <w:tr w:rsidR="000E48CE" w14:paraId="043D661F" w14:textId="77777777">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6D6D426C" w14:textId="7D14F490" w:rsidR="000E48CE" w:rsidRDefault="00FF4C4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L88</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139A216C" w14:textId="76534C2C" w:rsidR="000E48CE" w:rsidRDefault="00FF4C4E">
            <w:pPr>
              <w:pStyle w:val="P68B1DB1-Normal13"/>
              <w:spacing w:after="0"/>
              <w:jc w:val="center"/>
              <w:rPr>
                <w:rFonts w:eastAsia="Times New Roman" w:cs="Times New Roman"/>
                <w:noProof/>
              </w:rPr>
            </w:pPr>
            <w:r>
              <w:rPr>
                <w:noProof/>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B00ED33" w14:textId="749E280C" w:rsidR="000E48CE" w:rsidRDefault="00FF4C4E">
            <w:pPr>
              <w:pStyle w:val="P68B1DB1-Normal13"/>
              <w:spacing w:after="0"/>
              <w:jc w:val="center"/>
              <w:rPr>
                <w:rFonts w:eastAsia="Times New Roman" w:cs="Times New Roman"/>
                <w:noProof/>
              </w:rPr>
            </w:pPr>
            <w:r>
              <w:rPr>
                <w:noProof/>
              </w:rPr>
              <w:t>T</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72CD1DD2" w14:textId="77777777" w:rsidR="000E48CE" w:rsidRDefault="00FF4C4E">
            <w:pPr>
              <w:spacing w:after="0"/>
              <w:rPr>
                <w:rStyle w:val="eop"/>
                <w:rFonts w:ascii="Times New Roman" w:hAnsi="Times New Roman" w:cs="Times New Roman"/>
                <w:noProof/>
                <w:sz w:val="18"/>
              </w:rPr>
            </w:pPr>
            <w:r>
              <w:rPr>
                <w:rStyle w:val="normaltextrun"/>
                <w:rFonts w:ascii="Times New Roman" w:hAnsi="Times New Roman"/>
                <w:noProof/>
                <w:sz w:val="18"/>
              </w:rPr>
              <w:t xml:space="preserve">Teollisuuden hiilestä irtautumista koskeva tukijärjestelmä (lainat): Lopullisten edunsaajien kanssa allekirjoitetut oikeudelliset sopimukset tai tuen myöntämistä koskevat </w:t>
            </w:r>
            <w:r>
              <w:rPr>
                <w:rStyle w:val="normaltextrun"/>
                <w:rFonts w:ascii="Times New Roman" w:hAnsi="Times New Roman"/>
                <w:noProof/>
                <w:sz w:val="18"/>
              </w:rPr>
              <w:t>lopulliset päätökset on julkaistu.</w:t>
            </w:r>
          </w:p>
          <w:p w14:paraId="0D988384" w14:textId="6F6031A4" w:rsidR="000E48CE" w:rsidRDefault="000E48CE">
            <w:pPr>
              <w:spacing w:after="0"/>
              <w:rPr>
                <w:rFonts w:ascii="Times New Roman" w:eastAsia="Times New Roman" w:hAnsi="Times New Roman" w:cs="Times New Roman"/>
                <w:noProof/>
                <w:sz w:val="18"/>
              </w:rPr>
            </w:pP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2EFA0518" w14:textId="1D85D1F4" w:rsidR="000E48CE" w:rsidRDefault="00FF4C4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 xml:space="preserve">Julkaistujen oikeudellisten rahoitussopimusten tai lopullisten myöntämispäätösten voimaantulo </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48A22EA7" w14:textId="5242C00F" w:rsidR="000E48CE" w:rsidRDefault="000E48CE">
            <w:pPr>
              <w:spacing w:after="0"/>
              <w:jc w:val="center"/>
              <w:rPr>
                <w:rStyle w:val="normaltextrun"/>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0E49AB5" w14:textId="65CEF263" w:rsidR="000E48CE" w:rsidRDefault="00FF4C4E">
            <w:pPr>
              <w:pStyle w:val="P68B1DB1-Normal13"/>
              <w:spacing w:after="0"/>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D0FC3A8" w14:textId="0AB369F7" w:rsidR="000E48CE" w:rsidRDefault="00FF4C4E">
            <w:pPr>
              <w:pStyle w:val="P68B1DB1-Normal13"/>
              <w:spacing w:after="0"/>
              <w:jc w:val="right"/>
              <w:rPr>
                <w:rStyle w:val="eop"/>
                <w:rFonts w:cs="Times New Roman"/>
                <w:noProof/>
              </w:rPr>
            </w:pPr>
            <w:r>
              <w:rPr>
                <w:noProof/>
              </w:rPr>
              <w:t xml:space="preserve">100 %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50D1DCD2" w14:textId="27F72D0D" w:rsidR="000E48CE" w:rsidRDefault="00FF4C4E">
            <w:pPr>
              <w:pStyle w:val="P68B1DB1-Normal13"/>
              <w:spacing w:after="0"/>
              <w:jc w:val="center"/>
              <w:rPr>
                <w:rStyle w:val="eop"/>
                <w:rFonts w:cs="Times New Roman"/>
                <w:noProof/>
              </w:rPr>
            </w:pPr>
            <w:r>
              <w:rPr>
                <w:noProof/>
              </w:rPr>
              <w:t>KOLMAS VUOSINELJÄNNES</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11477F" w14:textId="192BD438" w:rsidR="000E48CE" w:rsidRDefault="00FF4C4E">
            <w:pPr>
              <w:pStyle w:val="P68B1DB1-Normal13"/>
              <w:spacing w:after="0"/>
              <w:jc w:val="center"/>
              <w:rPr>
                <w:rFonts w:eastAsia="Times New Roman" w:cs="Times New Roman"/>
                <w:noProof/>
              </w:rPr>
            </w:pPr>
            <w:r>
              <w:rPr>
                <w:noProof/>
              </w:rPr>
              <w:t>2026</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17F0997F" w14:textId="29BE4D6E" w:rsidR="000E48CE" w:rsidRDefault="00FF4C4E">
            <w:pPr>
              <w:pStyle w:val="P68B1DB1-Normal13"/>
              <w:spacing w:after="0"/>
              <w:rPr>
                <w:rFonts w:cs="Times New Roman"/>
                <w:noProof/>
              </w:rPr>
            </w:pPr>
            <w:r>
              <w:rPr>
                <w:noProof/>
              </w:rPr>
              <w:t>ENISA on julkaissut lopulliset myöntämispäätökset tai tehnyt lopullisten edunsaajien kan</w:t>
            </w:r>
            <w:r>
              <w:rPr>
                <w:noProof/>
              </w:rPr>
              <w:t>ssa oikeudellisia rahoitussopimuksia määrästä, joka on tarpeen elpymis- ja palautumistukivälineen 100 prosentin investointien (välilliset kustannukset mukaan luettuina) käyttämiseksi järjestelmässä. ENISA on varmistanut, että vähintään 40 prosentilla tästä</w:t>
            </w:r>
            <w:r>
              <w:rPr>
                <w:noProof/>
              </w:rPr>
              <w:t xml:space="preserve"> rahoituksesta edistetään ilmastotavoitteiden saavuttamista elpymis- ja palautumistukivälinettä koskevan asetuksen liitteessä VI esitettyä menetelmää käyttäen.  </w:t>
            </w:r>
          </w:p>
        </w:tc>
      </w:tr>
    </w:tbl>
    <w:p w14:paraId="1A8F52C7" w14:textId="77777777" w:rsidR="000E48CE" w:rsidRDefault="000E48CE">
      <w:pPr>
        <w:rPr>
          <w:rFonts w:ascii="Times New Roman" w:hAnsi="Times New Roman" w:cs="Times New Roman"/>
          <w:noProof/>
        </w:rPr>
      </w:pPr>
    </w:p>
    <w:p w14:paraId="5B1460E4" w14:textId="77777777" w:rsidR="000E48CE" w:rsidRDefault="000E48CE">
      <w:pPr>
        <w:pStyle w:val="Text1"/>
        <w:ind w:left="0"/>
        <w:rPr>
          <w:rFonts w:ascii="Times New Roman" w:hAnsi="Times New Roman" w:cs="Times New Roman"/>
          <w:noProof/>
        </w:rPr>
        <w:sectPr w:rsidR="000E48CE" w:rsidSect="009144BD">
          <w:headerReference w:type="even" r:id="rId585"/>
          <w:headerReference w:type="default" r:id="rId586"/>
          <w:footerReference w:type="even" r:id="rId587"/>
          <w:footerReference w:type="default" r:id="rId588"/>
          <w:headerReference w:type="first" r:id="rId589"/>
          <w:footerReference w:type="first" r:id="rId590"/>
          <w:pgSz w:w="16839" w:h="11907" w:orient="landscape"/>
          <w:pgMar w:top="1417" w:right="1134" w:bottom="1417" w:left="1134" w:header="709" w:footer="709" w:gutter="0"/>
          <w:cols w:space="720"/>
          <w:docGrid w:linePitch="360"/>
        </w:sectPr>
      </w:pPr>
    </w:p>
    <w:p w14:paraId="5B5F53E3" w14:textId="77777777" w:rsidR="000E48CE" w:rsidRDefault="00FF4C4E">
      <w:pPr>
        <w:pStyle w:val="P68B1DB1-Normal43"/>
        <w:numPr>
          <w:ilvl w:val="0"/>
          <w:numId w:val="50"/>
        </w:numPr>
        <w:spacing w:before="120" w:after="120" w:line="240" w:lineRule="auto"/>
        <w:jc w:val="both"/>
        <w:rPr>
          <w:rFonts w:eastAsia="Calibri" w:cs="Times New Roman"/>
          <w:noProof/>
        </w:rPr>
      </w:pPr>
      <w:r>
        <w:rPr>
          <w:noProof/>
        </w:rPr>
        <w:t xml:space="preserve">Elpymis- ja </w:t>
      </w:r>
      <w:r>
        <w:rPr>
          <w:noProof/>
        </w:rPr>
        <w:t>palautumissuunnitelman arvioidut kokonaiskustannukset</w:t>
      </w:r>
    </w:p>
    <w:p w14:paraId="732200E1" w14:textId="125C3D4F" w:rsidR="000E48CE" w:rsidRDefault="00FF4C4E">
      <w:pPr>
        <w:pStyle w:val="P68B1DB1-Normal4"/>
        <w:spacing w:before="120" w:after="120" w:line="240" w:lineRule="auto"/>
        <w:ind w:left="850"/>
        <w:jc w:val="both"/>
        <w:rPr>
          <w:rFonts w:eastAsia="Calibri" w:cs="Times New Roman"/>
          <w:noProof/>
        </w:rPr>
      </w:pPr>
      <w:r>
        <w:rPr>
          <w:noProof/>
        </w:rPr>
        <w:t>Espanjan elpymis- ja palautumissuunnitelman arvioidut kokonaiskustannukset ovat 163029653473 euroa.</w:t>
      </w:r>
    </w:p>
    <w:p w14:paraId="7A88BAA2" w14:textId="77777777" w:rsidR="000E48CE" w:rsidRDefault="000E48CE">
      <w:pPr>
        <w:spacing w:before="120" w:after="120" w:line="240" w:lineRule="auto"/>
        <w:jc w:val="both"/>
        <w:rPr>
          <w:rFonts w:ascii="Times New Roman" w:eastAsia="Calibri" w:hAnsi="Times New Roman" w:cs="Times New Roman"/>
          <w:noProof/>
          <w:sz w:val="24"/>
        </w:rPr>
      </w:pPr>
    </w:p>
    <w:p w14:paraId="6A6CE5A4" w14:textId="77777777" w:rsidR="000E48CE" w:rsidRDefault="00FF4C4E">
      <w:pPr>
        <w:pStyle w:val="P68B1DB1-Normal43"/>
        <w:spacing w:before="120" w:after="120" w:line="240" w:lineRule="auto"/>
        <w:jc w:val="both"/>
        <w:rPr>
          <w:rFonts w:eastAsia="Calibri" w:cs="Times New Roman"/>
          <w:noProof/>
        </w:rPr>
      </w:pPr>
      <w:r>
        <w:rPr>
          <w:noProof/>
        </w:rPr>
        <w:t xml:space="preserve">2 JAKSO: TALOUDELLINEN TUKI </w:t>
      </w:r>
    </w:p>
    <w:p w14:paraId="6EB2AA1A" w14:textId="77777777" w:rsidR="000E48CE" w:rsidRDefault="00FF4C4E">
      <w:pPr>
        <w:pStyle w:val="P68B1DB1-NumPar144"/>
        <w:numPr>
          <w:ilvl w:val="0"/>
          <w:numId w:val="191"/>
        </w:numPr>
        <w:rPr>
          <w:rFonts w:cs="Times New Roman"/>
          <w:noProof/>
        </w:rPr>
      </w:pPr>
      <w:r>
        <w:rPr>
          <w:noProof/>
        </w:rPr>
        <w:t xml:space="preserve">Rahoitusosuus </w:t>
      </w:r>
    </w:p>
    <w:p w14:paraId="5734AC5E" w14:textId="77777777" w:rsidR="000E48CE" w:rsidRDefault="00FF4C4E">
      <w:pPr>
        <w:pStyle w:val="P68B1DB1-Normal4"/>
        <w:spacing w:before="120" w:after="120" w:line="240" w:lineRule="auto"/>
        <w:ind w:left="850"/>
        <w:jc w:val="both"/>
        <w:rPr>
          <w:rFonts w:eastAsia="Calibri" w:cs="Times New Roman"/>
          <w:noProof/>
        </w:rPr>
      </w:pPr>
      <w:r>
        <w:rPr>
          <w:noProof/>
        </w:rPr>
        <w:t>Päätöksen 2 artiklan 2 kohdassa tarkoitetut erät muodoste</w:t>
      </w:r>
      <w:r>
        <w:rPr>
          <w:noProof/>
        </w:rPr>
        <w:t>taan seuraavasti:</w:t>
      </w:r>
    </w:p>
    <w:p w14:paraId="24258B11"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Ensimmäinen erä (avustusmuotoinen tuki): </w:t>
      </w:r>
    </w:p>
    <w:tbl>
      <w:tblPr>
        <w:tblW w:w="9677" w:type="dxa"/>
        <w:tblInd w:w="113" w:type="dxa"/>
        <w:tblLook w:val="04A0" w:firstRow="1" w:lastRow="0" w:firstColumn="1" w:lastColumn="0" w:noHBand="0" w:noVBand="1"/>
      </w:tblPr>
      <w:tblGrid>
        <w:gridCol w:w="1027"/>
        <w:gridCol w:w="1407"/>
        <w:gridCol w:w="1783"/>
        <w:gridCol w:w="6096"/>
        <w:gridCol w:w="13"/>
      </w:tblGrid>
      <w:tr w:rsidR="000E48CE" w14:paraId="19034D7E" w14:textId="77777777">
        <w:trPr>
          <w:trHeight w:val="807"/>
          <w:tblHeader/>
        </w:trPr>
        <w:tc>
          <w:tcPr>
            <w:tcW w:w="10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F54C266"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B297E1"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793787"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6109" w:type="dxa"/>
            <w:gridSpan w:val="2"/>
            <w:vMerge w:val="restart"/>
            <w:tcBorders>
              <w:top w:val="single" w:sz="4" w:space="0" w:color="auto"/>
              <w:left w:val="nil"/>
              <w:bottom w:val="single" w:sz="4" w:space="0" w:color="000000"/>
              <w:right w:val="single" w:sz="4" w:space="0" w:color="auto"/>
            </w:tcBorders>
            <w:shd w:val="clear" w:color="auto" w:fill="BDD7EE"/>
            <w:vAlign w:val="center"/>
            <w:hideMark/>
          </w:tcPr>
          <w:p w14:paraId="34541701"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6CAFC044" w14:textId="77777777">
        <w:trPr>
          <w:trHeight w:val="509"/>
        </w:trPr>
        <w:tc>
          <w:tcPr>
            <w:tcW w:w="1027" w:type="dxa"/>
            <w:vMerge/>
            <w:tcBorders>
              <w:top w:val="single" w:sz="4" w:space="0" w:color="auto"/>
              <w:left w:val="single" w:sz="4" w:space="0" w:color="auto"/>
              <w:bottom w:val="single" w:sz="4" w:space="0" w:color="000000"/>
              <w:right w:val="single" w:sz="4" w:space="0" w:color="auto"/>
            </w:tcBorders>
            <w:vAlign w:val="center"/>
            <w:hideMark/>
          </w:tcPr>
          <w:p w14:paraId="2EC0A33B" w14:textId="77777777" w:rsidR="000E48CE" w:rsidRDefault="000E48CE">
            <w:pPr>
              <w:spacing w:after="0" w:line="240" w:lineRule="auto"/>
              <w:rPr>
                <w:rFonts w:ascii="Times New Roman" w:eastAsia="Times New Roman" w:hAnsi="Times New Roman" w:cs="Times New Roman"/>
                <w:b/>
                <w:noProof/>
                <w:sz w:val="20"/>
              </w:rPr>
            </w:pPr>
          </w:p>
        </w:tc>
        <w:tc>
          <w:tcPr>
            <w:tcW w:w="1407" w:type="dxa"/>
            <w:vMerge/>
            <w:tcBorders>
              <w:top w:val="single" w:sz="4" w:space="0" w:color="auto"/>
              <w:left w:val="single" w:sz="4" w:space="0" w:color="auto"/>
              <w:bottom w:val="single" w:sz="4" w:space="0" w:color="000000"/>
              <w:right w:val="single" w:sz="4" w:space="0" w:color="auto"/>
            </w:tcBorders>
            <w:vAlign w:val="center"/>
            <w:hideMark/>
          </w:tcPr>
          <w:p w14:paraId="2F42DAB6" w14:textId="77777777" w:rsidR="000E48CE" w:rsidRDefault="000E48CE">
            <w:pPr>
              <w:spacing w:after="0" w:line="240" w:lineRule="auto"/>
              <w:rPr>
                <w:rFonts w:ascii="Times New Roman" w:eastAsia="Times New Roman" w:hAnsi="Times New Roman" w:cs="Times New Roman"/>
                <w:b/>
                <w:noProof/>
                <w:sz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2CD4E83" w14:textId="77777777" w:rsidR="000E48CE" w:rsidRDefault="000E48CE">
            <w:pPr>
              <w:spacing w:after="0" w:line="240" w:lineRule="auto"/>
              <w:rPr>
                <w:rFonts w:ascii="Times New Roman" w:eastAsia="Times New Roman" w:hAnsi="Times New Roman" w:cs="Times New Roman"/>
                <w:b/>
                <w:noProof/>
                <w:sz w:val="20"/>
              </w:rPr>
            </w:pPr>
          </w:p>
        </w:tc>
        <w:tc>
          <w:tcPr>
            <w:tcW w:w="6109" w:type="dxa"/>
            <w:gridSpan w:val="2"/>
            <w:vMerge/>
            <w:tcBorders>
              <w:top w:val="single" w:sz="4" w:space="0" w:color="auto"/>
              <w:left w:val="nil"/>
              <w:bottom w:val="single" w:sz="4" w:space="0" w:color="000000"/>
              <w:right w:val="single" w:sz="4" w:space="0" w:color="auto"/>
            </w:tcBorders>
            <w:vAlign w:val="center"/>
            <w:hideMark/>
          </w:tcPr>
          <w:p w14:paraId="0949BBA1" w14:textId="77777777" w:rsidR="000E48CE" w:rsidRDefault="000E48CE">
            <w:pPr>
              <w:spacing w:after="0" w:line="240" w:lineRule="auto"/>
              <w:rPr>
                <w:rFonts w:ascii="Times New Roman" w:eastAsia="Times New Roman" w:hAnsi="Times New Roman" w:cs="Times New Roman"/>
                <w:b/>
                <w:noProof/>
                <w:sz w:val="20"/>
              </w:rPr>
            </w:pPr>
          </w:p>
        </w:tc>
      </w:tr>
      <w:tr w:rsidR="000E48CE" w14:paraId="225A0F7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FD40F" w14:textId="77777777" w:rsidR="000E48CE" w:rsidRDefault="00FF4C4E">
            <w:pPr>
              <w:pStyle w:val="P68B1DB1-Normal46"/>
              <w:spacing w:after="0" w:line="240" w:lineRule="auto"/>
              <w:jc w:val="center"/>
              <w:rPr>
                <w:rFonts w:eastAsia="Times New Roman" w:cs="Times New Roman"/>
                <w:noProof/>
              </w:rPr>
            </w:pPr>
            <w:r>
              <w:rPr>
                <w:noProof/>
              </w:rPr>
              <w:t>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62717E5" w14:textId="77777777" w:rsidR="000E48CE" w:rsidRDefault="00FF4C4E">
            <w:pPr>
              <w:pStyle w:val="P68B1DB1-Normal46"/>
              <w:spacing w:after="0" w:line="240" w:lineRule="auto"/>
              <w:jc w:val="center"/>
              <w:rPr>
                <w:rFonts w:eastAsia="Times New Roman" w:cs="Times New Roman"/>
                <w:noProof/>
              </w:rPr>
            </w:pPr>
            <w:r>
              <w:rPr>
                <w:noProof/>
              </w:rPr>
              <w:t>C1.R1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CC7ADE"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39265DA" w14:textId="77777777" w:rsidR="000E48CE" w:rsidRDefault="00FF4C4E">
            <w:pPr>
              <w:pStyle w:val="P68B1DB1-Normal46"/>
              <w:spacing w:after="0" w:line="240" w:lineRule="auto"/>
              <w:rPr>
                <w:rFonts w:eastAsia="Times New Roman" w:cs="Times New Roman"/>
                <w:noProof/>
              </w:rPr>
            </w:pPr>
            <w:r>
              <w:rPr>
                <w:noProof/>
              </w:rPr>
              <w:t>Määräys TMA/178/2020 ja kuninkaan asetus 23/2020</w:t>
            </w:r>
          </w:p>
        </w:tc>
      </w:tr>
      <w:tr w:rsidR="000E48CE" w14:paraId="2480D24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F6B8B" w14:textId="77777777" w:rsidR="000E48CE" w:rsidRDefault="00FF4C4E">
            <w:pPr>
              <w:pStyle w:val="P68B1DB1-Normal46"/>
              <w:spacing w:after="0" w:line="240" w:lineRule="auto"/>
              <w:jc w:val="center"/>
              <w:rPr>
                <w:rFonts w:eastAsia="Times New Roman" w:cs="Times New Roman"/>
                <w:noProof/>
              </w:rPr>
            </w:pPr>
            <w:r>
              <w:rPr>
                <w:noProof/>
              </w:rPr>
              <w:t>21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E9D9941" w14:textId="77777777" w:rsidR="000E48CE" w:rsidRDefault="00FF4C4E">
            <w:pPr>
              <w:pStyle w:val="P68B1DB1-Normal46"/>
              <w:spacing w:after="0" w:line="240" w:lineRule="auto"/>
              <w:jc w:val="center"/>
              <w:rPr>
                <w:rFonts w:eastAsia="Times New Roman" w:cs="Times New Roman"/>
                <w:noProof/>
              </w:rPr>
            </w:pPr>
            <w:r>
              <w:rPr>
                <w:noProof/>
              </w:rPr>
              <w:t>C2.R1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F0CF980"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FCC87C1" w14:textId="77777777" w:rsidR="000E48CE" w:rsidRDefault="00FF4C4E">
            <w:pPr>
              <w:pStyle w:val="P68B1DB1-Normal46"/>
              <w:spacing w:after="0" w:line="240" w:lineRule="auto"/>
              <w:rPr>
                <w:rFonts w:eastAsia="Times New Roman" w:cs="Times New Roman"/>
                <w:noProof/>
              </w:rPr>
            </w:pPr>
            <w:r>
              <w:rPr>
                <w:noProof/>
              </w:rPr>
              <w:t xml:space="preserve">Espanjan kaupunkiagendan ja rakennusalan energian kunnostamista koskevan pitkän aikavälin strategian voimaantulo Espanjassa </w:t>
            </w:r>
          </w:p>
        </w:tc>
      </w:tr>
      <w:tr w:rsidR="000E48CE" w14:paraId="415FB51A"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0AFFB" w14:textId="77777777" w:rsidR="000E48CE" w:rsidRDefault="00FF4C4E">
            <w:pPr>
              <w:pStyle w:val="P68B1DB1-Normal46"/>
              <w:spacing w:after="0" w:line="240" w:lineRule="auto"/>
              <w:jc w:val="center"/>
              <w:rPr>
                <w:rFonts w:eastAsia="Times New Roman" w:cs="Times New Roman"/>
                <w:noProof/>
              </w:rPr>
            </w:pPr>
            <w:r>
              <w:rPr>
                <w:noProof/>
              </w:rPr>
              <w:t>39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43C327D" w14:textId="77777777" w:rsidR="000E48CE" w:rsidRDefault="00FF4C4E">
            <w:pPr>
              <w:pStyle w:val="P68B1DB1-Normal46"/>
              <w:spacing w:after="0" w:line="240" w:lineRule="auto"/>
              <w:jc w:val="center"/>
              <w:rPr>
                <w:rFonts w:eastAsia="Times New Roman" w:cs="Times New Roman"/>
                <w:noProof/>
              </w:rPr>
            </w:pPr>
            <w:r>
              <w:rPr>
                <w:noProof/>
              </w:rPr>
              <w:t>C3.R1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699418"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163166A" w14:textId="77777777" w:rsidR="000E48CE" w:rsidRDefault="00FF4C4E">
            <w:pPr>
              <w:pStyle w:val="P68B1DB1-Normal46"/>
              <w:spacing w:after="0" w:line="240" w:lineRule="auto"/>
              <w:rPr>
                <w:rFonts w:eastAsia="Times New Roman" w:cs="Times New Roman"/>
                <w:noProof/>
              </w:rPr>
            </w:pPr>
            <w:r>
              <w:rPr>
                <w:noProof/>
              </w:rPr>
              <w:t>Maataloutta ja elintarvikkeita koskevista kiireellisistä toimenpiteistä annetun kuninkaan asetuksen 5/2020 ja elintarvi</w:t>
            </w:r>
            <w:r>
              <w:rPr>
                <w:noProof/>
              </w:rPr>
              <w:t>keketjun toimintaa parantavista toimenpiteistä annetun lain 12/2013 muuttamisesta annetun lain 12/2013 muuttamisesta annetun lain 8/2020 voimaantulo</w:t>
            </w:r>
          </w:p>
        </w:tc>
      </w:tr>
      <w:tr w:rsidR="000E48CE" w14:paraId="256249B1"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3830F" w14:textId="77777777" w:rsidR="000E48CE" w:rsidRDefault="00FF4C4E">
            <w:pPr>
              <w:pStyle w:val="P68B1DB1-Normal46"/>
              <w:spacing w:after="0" w:line="240" w:lineRule="auto"/>
              <w:jc w:val="center"/>
              <w:rPr>
                <w:rFonts w:eastAsia="Times New Roman" w:cs="Times New Roman"/>
                <w:noProof/>
              </w:rPr>
            </w:pPr>
            <w:r>
              <w:rPr>
                <w:noProof/>
              </w:rPr>
              <w:t>63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4B79D67" w14:textId="77777777" w:rsidR="000E48CE" w:rsidRDefault="00FF4C4E">
            <w:pPr>
              <w:pStyle w:val="P68B1DB1-Normal46"/>
              <w:spacing w:after="0" w:line="240" w:lineRule="auto"/>
              <w:jc w:val="center"/>
              <w:rPr>
                <w:rFonts w:eastAsia="Times New Roman" w:cs="Times New Roman"/>
                <w:noProof/>
              </w:rPr>
            </w:pPr>
            <w:r>
              <w:rPr>
                <w:noProof/>
              </w:rPr>
              <w:t>C4.R2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1E7925"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31A5CAF" w14:textId="77777777" w:rsidR="000E48CE" w:rsidRDefault="00FF4C4E">
            <w:pPr>
              <w:pStyle w:val="P68B1DB1-Normal46"/>
              <w:spacing w:after="0" w:line="240" w:lineRule="auto"/>
              <w:rPr>
                <w:rFonts w:eastAsia="Times New Roman" w:cs="Times New Roman"/>
                <w:noProof/>
              </w:rPr>
            </w:pPr>
            <w:r>
              <w:rPr>
                <w:noProof/>
              </w:rPr>
              <w:t xml:space="preserve">Vihreää infrastruktuuria, yhteyksiä ja ekologista ennallistamista koskevan kansallisen </w:t>
            </w:r>
            <w:r>
              <w:rPr>
                <w:noProof/>
              </w:rPr>
              <w:t>strategian hyväksyminen</w:t>
            </w:r>
          </w:p>
        </w:tc>
      </w:tr>
      <w:tr w:rsidR="000E48CE" w14:paraId="01448C79"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1D3E9" w14:textId="77777777" w:rsidR="000E48CE" w:rsidRDefault="00FF4C4E">
            <w:pPr>
              <w:pStyle w:val="P68B1DB1-Normal46"/>
              <w:spacing w:after="0" w:line="240" w:lineRule="auto"/>
              <w:jc w:val="center"/>
              <w:rPr>
                <w:rFonts w:eastAsia="Times New Roman" w:cs="Times New Roman"/>
                <w:noProof/>
              </w:rPr>
            </w:pPr>
            <w:r>
              <w:rPr>
                <w:noProof/>
              </w:rPr>
              <w:t>82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F1B5C80" w14:textId="77777777" w:rsidR="000E48CE" w:rsidRDefault="00FF4C4E">
            <w:pPr>
              <w:pStyle w:val="P68B1DB1-Normal46"/>
              <w:spacing w:after="0" w:line="240" w:lineRule="auto"/>
              <w:jc w:val="center"/>
              <w:rPr>
                <w:rFonts w:eastAsia="Times New Roman" w:cs="Times New Roman"/>
                <w:noProof/>
              </w:rPr>
            </w:pPr>
            <w:r>
              <w:rPr>
                <w:noProof/>
              </w:rPr>
              <w:t>C6.R1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7B85F95"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737C31B" w14:textId="77777777" w:rsidR="000E48CE" w:rsidRDefault="00FF4C4E">
            <w:pPr>
              <w:pStyle w:val="P68B1DB1-Normal46"/>
              <w:spacing w:after="0" w:line="240" w:lineRule="auto"/>
              <w:rPr>
                <w:rFonts w:eastAsia="Times New Roman" w:cs="Times New Roman"/>
                <w:noProof/>
              </w:rPr>
            </w:pPr>
            <w:r>
              <w:rPr>
                <w:noProof/>
              </w:rPr>
              <w:t>Kestävän, turvallisen ja verkotetun liikkuvuuden strategia (julkinen kuuleminen)</w:t>
            </w:r>
          </w:p>
        </w:tc>
      </w:tr>
      <w:tr w:rsidR="000E48CE" w14:paraId="7297BF1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DB122" w14:textId="77777777" w:rsidR="000E48CE" w:rsidRDefault="00FF4C4E">
            <w:pPr>
              <w:pStyle w:val="P68B1DB1-Normal46"/>
              <w:spacing w:after="0" w:line="240" w:lineRule="auto"/>
              <w:jc w:val="center"/>
              <w:rPr>
                <w:rFonts w:eastAsia="Times New Roman" w:cs="Times New Roman"/>
                <w:noProof/>
              </w:rPr>
            </w:pPr>
            <w:r>
              <w:rPr>
                <w:noProof/>
              </w:rPr>
              <w:t>102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7114184" w14:textId="77777777" w:rsidR="000E48CE" w:rsidRDefault="00FF4C4E">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C0B33EE"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4D3F62C" w14:textId="77777777" w:rsidR="000E48CE" w:rsidRDefault="00FF4C4E">
            <w:pPr>
              <w:pStyle w:val="P68B1DB1-Normal46"/>
              <w:spacing w:after="0" w:line="240" w:lineRule="auto"/>
              <w:rPr>
                <w:rFonts w:eastAsia="Times New Roman" w:cs="Times New Roman"/>
                <w:noProof/>
              </w:rPr>
            </w:pPr>
            <w:r>
              <w:rPr>
                <w:noProof/>
              </w:rPr>
              <w:t>Kuninkaan asetuksen 23/2020 voimaantulo (energiatoimenpiteet)</w:t>
            </w:r>
          </w:p>
        </w:tc>
      </w:tr>
      <w:tr w:rsidR="000E48CE" w14:paraId="3728630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BA02A" w14:textId="77777777" w:rsidR="000E48CE" w:rsidRDefault="00FF4C4E">
            <w:pPr>
              <w:pStyle w:val="P68B1DB1-Normal46"/>
              <w:spacing w:after="0" w:line="240" w:lineRule="auto"/>
              <w:jc w:val="center"/>
              <w:rPr>
                <w:rFonts w:eastAsia="Times New Roman" w:cs="Times New Roman"/>
                <w:noProof/>
              </w:rPr>
            </w:pPr>
            <w:r>
              <w:rPr>
                <w:noProof/>
              </w:rPr>
              <w:t>103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18C4301" w14:textId="77777777" w:rsidR="000E48CE" w:rsidRDefault="00FF4C4E">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CF3255F"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6EDAD91" w14:textId="77777777" w:rsidR="000E48CE" w:rsidRDefault="00FF4C4E">
            <w:pPr>
              <w:pStyle w:val="P68B1DB1-Normal46"/>
              <w:spacing w:after="0" w:line="240" w:lineRule="auto"/>
              <w:rPr>
                <w:rFonts w:eastAsia="Times New Roman" w:cs="Times New Roman"/>
                <w:noProof/>
              </w:rPr>
            </w:pPr>
            <w:r>
              <w:rPr>
                <w:noProof/>
              </w:rPr>
              <w:t xml:space="preserve">Kuninkaan asetuksen 960/2020 voimaantulo </w:t>
            </w:r>
            <w:r>
              <w:rPr>
                <w:noProof/>
              </w:rPr>
              <w:t>(uusiutuvan energian taloudellinen järjestelmä)</w:t>
            </w:r>
          </w:p>
        </w:tc>
      </w:tr>
      <w:tr w:rsidR="000E48CE" w14:paraId="7A01B14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BC4BC" w14:textId="77777777" w:rsidR="000E48CE" w:rsidRDefault="00FF4C4E">
            <w:pPr>
              <w:pStyle w:val="P68B1DB1-Normal46"/>
              <w:spacing w:after="0" w:line="240" w:lineRule="auto"/>
              <w:jc w:val="center"/>
              <w:rPr>
                <w:rFonts w:eastAsia="Times New Roman" w:cs="Times New Roman"/>
                <w:noProof/>
              </w:rPr>
            </w:pPr>
            <w:r>
              <w:rPr>
                <w:noProof/>
              </w:rPr>
              <w:t>104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86714D2" w14:textId="77777777" w:rsidR="000E48CE" w:rsidRDefault="00FF4C4E">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596A2CB"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EF00BCE" w14:textId="77777777" w:rsidR="000E48CE" w:rsidRDefault="00FF4C4E">
            <w:pPr>
              <w:pStyle w:val="P68B1DB1-Normal46"/>
              <w:spacing w:after="0" w:line="240" w:lineRule="auto"/>
              <w:rPr>
                <w:rFonts w:eastAsia="Times New Roman" w:cs="Times New Roman"/>
                <w:noProof/>
              </w:rPr>
            </w:pPr>
            <w:r>
              <w:rPr>
                <w:noProof/>
              </w:rPr>
              <w:t>Kuninkaan asetuksen 1183/2020 voimaantulo (uusiutuvien energialähteiden liittäminen sähköverkkoon)</w:t>
            </w:r>
          </w:p>
        </w:tc>
      </w:tr>
      <w:tr w:rsidR="000E48CE" w14:paraId="51C4256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BE483" w14:textId="77777777" w:rsidR="000E48CE" w:rsidRDefault="00FF4C4E">
            <w:pPr>
              <w:pStyle w:val="P68B1DB1-Normal46"/>
              <w:spacing w:after="0" w:line="240" w:lineRule="auto"/>
              <w:jc w:val="center"/>
              <w:rPr>
                <w:rFonts w:eastAsia="Times New Roman" w:cs="Times New Roman"/>
                <w:noProof/>
              </w:rPr>
            </w:pPr>
            <w:r>
              <w:rPr>
                <w:noProof/>
              </w:rPr>
              <w:t>105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37A5413" w14:textId="77777777" w:rsidR="000E48CE" w:rsidRDefault="00FF4C4E">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6F8389D"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BA0C577" w14:textId="77777777" w:rsidR="000E48CE" w:rsidRDefault="00FF4C4E">
            <w:pPr>
              <w:pStyle w:val="P68B1DB1-Normal46"/>
              <w:spacing w:after="0" w:line="240" w:lineRule="auto"/>
              <w:rPr>
                <w:rFonts w:eastAsia="Times New Roman" w:cs="Times New Roman"/>
                <w:noProof/>
              </w:rPr>
            </w:pPr>
            <w:r>
              <w:rPr>
                <w:noProof/>
              </w:rPr>
              <w:t xml:space="preserve">Ilmastonmuutosta ja energiasiirtymää koskevan lain voimaantulo </w:t>
            </w:r>
          </w:p>
        </w:tc>
      </w:tr>
      <w:tr w:rsidR="000E48CE" w14:paraId="0D65DCDF"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B7240" w14:textId="77777777" w:rsidR="000E48CE" w:rsidRDefault="00FF4C4E">
            <w:pPr>
              <w:pStyle w:val="P68B1DB1-Normal46"/>
              <w:spacing w:after="0" w:line="240" w:lineRule="auto"/>
              <w:jc w:val="center"/>
              <w:rPr>
                <w:rFonts w:eastAsia="Times New Roman" w:cs="Times New Roman"/>
                <w:noProof/>
              </w:rPr>
            </w:pPr>
            <w:r>
              <w:rPr>
                <w:noProof/>
              </w:rPr>
              <w:t>121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9BAE3EE" w14:textId="77777777" w:rsidR="000E48CE" w:rsidRDefault="00FF4C4E">
            <w:pPr>
              <w:pStyle w:val="P68B1DB1-Normal46"/>
              <w:spacing w:after="0" w:line="240" w:lineRule="auto"/>
              <w:jc w:val="center"/>
              <w:rPr>
                <w:rFonts w:eastAsia="Times New Roman" w:cs="Times New Roman"/>
                <w:noProof/>
              </w:rPr>
            </w:pPr>
            <w:r>
              <w:rPr>
                <w:noProof/>
              </w:rPr>
              <w:t>C8.R1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C703D7"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AEB3BE6" w14:textId="77777777" w:rsidR="000E48CE" w:rsidRDefault="00FF4C4E">
            <w:pPr>
              <w:pStyle w:val="P68B1DB1-Normal46"/>
              <w:spacing w:after="0" w:line="240" w:lineRule="auto"/>
              <w:rPr>
                <w:rFonts w:eastAsia="Times New Roman" w:cs="Times New Roman"/>
                <w:noProof/>
              </w:rPr>
            </w:pPr>
            <w:r>
              <w:rPr>
                <w:noProof/>
              </w:rPr>
              <w:t>Hiilestä irtautumista koskevan pitkän aikavälin strategian (ELP2050) hyväksyminen.</w:t>
            </w:r>
          </w:p>
        </w:tc>
      </w:tr>
      <w:tr w:rsidR="000E48CE" w14:paraId="5F4A8EF4"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D70339" w14:textId="77777777" w:rsidR="000E48CE" w:rsidRDefault="00FF4C4E">
            <w:pPr>
              <w:pStyle w:val="P68B1DB1-Normal46"/>
              <w:spacing w:after="0" w:line="240" w:lineRule="auto"/>
              <w:jc w:val="center"/>
              <w:rPr>
                <w:rFonts w:eastAsia="Times New Roman" w:cs="Times New Roman"/>
                <w:noProof/>
              </w:rPr>
            </w:pPr>
            <w:r>
              <w:rPr>
                <w:noProof/>
              </w:rPr>
              <w:t>122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EA35BA1" w14:textId="77777777" w:rsidR="000E48CE" w:rsidRDefault="00FF4C4E">
            <w:pPr>
              <w:pStyle w:val="P68B1DB1-Normal46"/>
              <w:spacing w:after="0" w:line="240" w:lineRule="auto"/>
              <w:jc w:val="center"/>
              <w:rPr>
                <w:rFonts w:eastAsia="Times New Roman" w:cs="Times New Roman"/>
                <w:noProof/>
              </w:rPr>
            </w:pPr>
            <w:r>
              <w:rPr>
                <w:noProof/>
              </w:rPr>
              <w:t>C8.R2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BFEF2A0"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AEB460" w14:textId="77777777" w:rsidR="000E48CE" w:rsidRDefault="00FF4C4E">
            <w:pPr>
              <w:pStyle w:val="P68B1DB1-Normal46"/>
              <w:spacing w:after="0" w:line="240" w:lineRule="auto"/>
              <w:rPr>
                <w:rFonts w:eastAsia="Times New Roman" w:cs="Times New Roman"/>
                <w:noProof/>
              </w:rPr>
            </w:pPr>
            <w:r>
              <w:rPr>
                <w:noProof/>
              </w:rPr>
              <w:t>Energian varastointiratkaisun kehittämistä edistävien suunnittelu-, lainsäädäntö- ja sääntelyuudistusten voimaantulo.</w:t>
            </w:r>
          </w:p>
        </w:tc>
      </w:tr>
      <w:tr w:rsidR="000E48CE" w14:paraId="102F31C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B1CCD" w14:textId="77777777" w:rsidR="000E48CE" w:rsidRDefault="00FF4C4E">
            <w:pPr>
              <w:pStyle w:val="P68B1DB1-Normal46"/>
              <w:spacing w:after="0" w:line="240" w:lineRule="auto"/>
              <w:jc w:val="center"/>
              <w:rPr>
                <w:rFonts w:eastAsia="Times New Roman" w:cs="Times New Roman"/>
                <w:noProof/>
              </w:rPr>
            </w:pPr>
            <w:r>
              <w:rPr>
                <w:noProof/>
              </w:rPr>
              <w:t>129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46CCF79" w14:textId="77777777" w:rsidR="000E48CE" w:rsidRDefault="00FF4C4E">
            <w:pPr>
              <w:pStyle w:val="P68B1DB1-Normal46"/>
              <w:spacing w:after="0" w:line="240" w:lineRule="auto"/>
              <w:jc w:val="center"/>
              <w:rPr>
                <w:rFonts w:eastAsia="Times New Roman" w:cs="Times New Roman"/>
                <w:noProof/>
              </w:rPr>
            </w:pPr>
            <w:r>
              <w:rPr>
                <w:noProof/>
              </w:rPr>
              <w:t>C9.R1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D60171E"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A63C2A5" w14:textId="77777777" w:rsidR="000E48CE" w:rsidRDefault="00FF4C4E">
            <w:pPr>
              <w:pStyle w:val="P68B1DB1-Normal46"/>
              <w:spacing w:after="0" w:line="240" w:lineRule="auto"/>
              <w:rPr>
                <w:rFonts w:eastAsia="Times New Roman" w:cs="Times New Roman"/>
                <w:noProof/>
              </w:rPr>
            </w:pPr>
            <w:r>
              <w:rPr>
                <w:noProof/>
              </w:rPr>
              <w:t xml:space="preserve">Vetyä koskeva etenemissuunnitelma </w:t>
            </w:r>
          </w:p>
        </w:tc>
      </w:tr>
      <w:tr w:rsidR="000E48CE" w14:paraId="3AFE742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4540" w14:textId="77777777" w:rsidR="000E48CE" w:rsidRDefault="00FF4C4E">
            <w:pPr>
              <w:pStyle w:val="P68B1DB1-Normal46"/>
              <w:spacing w:after="0" w:line="240" w:lineRule="auto"/>
              <w:jc w:val="center"/>
              <w:rPr>
                <w:rFonts w:eastAsia="Times New Roman" w:cs="Times New Roman"/>
                <w:noProof/>
              </w:rPr>
            </w:pPr>
            <w:r>
              <w:rPr>
                <w:noProof/>
              </w:rPr>
              <w:t>137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C31926D" w14:textId="77777777" w:rsidR="000E48CE" w:rsidRDefault="00FF4C4E">
            <w:pPr>
              <w:pStyle w:val="P68B1DB1-Normal46"/>
              <w:spacing w:after="0" w:line="240" w:lineRule="auto"/>
              <w:jc w:val="center"/>
              <w:rPr>
                <w:rFonts w:eastAsia="Times New Roman" w:cs="Times New Roman"/>
                <w:noProof/>
              </w:rPr>
            </w:pPr>
            <w:r>
              <w:rPr>
                <w:noProof/>
              </w:rPr>
              <w:t>C10.R1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4CB21E9"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FE0B7F9" w14:textId="77777777" w:rsidR="000E48CE" w:rsidRDefault="00FF4C4E">
            <w:pPr>
              <w:pStyle w:val="P68B1DB1-Normal46"/>
              <w:spacing w:after="0" w:line="240" w:lineRule="auto"/>
              <w:rPr>
                <w:rFonts w:eastAsia="Times New Roman" w:cs="Times New Roman"/>
                <w:noProof/>
              </w:rPr>
            </w:pPr>
            <w:r>
              <w:rPr>
                <w:noProof/>
              </w:rPr>
              <w:t xml:space="preserve">Oikeudenmukaisen siirtymän rahaston instituutin perustaminen </w:t>
            </w:r>
          </w:p>
        </w:tc>
      </w:tr>
      <w:tr w:rsidR="000E48CE" w14:paraId="1C1B59B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BA7B1E" w14:textId="77777777" w:rsidR="000E48CE" w:rsidRDefault="00FF4C4E">
            <w:pPr>
              <w:pStyle w:val="P68B1DB1-Normal46"/>
              <w:spacing w:after="0" w:line="240" w:lineRule="auto"/>
              <w:jc w:val="center"/>
              <w:rPr>
                <w:rFonts w:eastAsia="Times New Roman" w:cs="Times New Roman"/>
                <w:noProof/>
              </w:rPr>
            </w:pPr>
            <w:r>
              <w:rPr>
                <w:noProof/>
              </w:rPr>
              <w:t>144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3121945" w14:textId="77777777" w:rsidR="000E48CE" w:rsidRDefault="00FF4C4E">
            <w:pPr>
              <w:pStyle w:val="P68B1DB1-Normal46"/>
              <w:spacing w:after="0" w:line="240" w:lineRule="auto"/>
              <w:jc w:val="center"/>
              <w:rPr>
                <w:rFonts w:eastAsia="Times New Roman" w:cs="Times New Roman"/>
                <w:noProof/>
              </w:rPr>
            </w:pPr>
            <w:r>
              <w:rPr>
                <w:noProof/>
              </w:rPr>
              <w:t>C11.R1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8605112"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212F3AF" w14:textId="77777777" w:rsidR="000E48CE" w:rsidRDefault="00FF4C4E">
            <w:pPr>
              <w:pStyle w:val="P68B1DB1-Normal46"/>
              <w:spacing w:after="0" w:line="240" w:lineRule="auto"/>
              <w:rPr>
                <w:rFonts w:eastAsia="Times New Roman" w:cs="Times New Roman"/>
                <w:noProof/>
              </w:rPr>
            </w:pPr>
            <w:r>
              <w:rPr>
                <w:noProof/>
              </w:rPr>
              <w:t>Julkishallinnon tilapäisten työsuhteiden vähentämistä koskevan säädöksen voimaantulo</w:t>
            </w:r>
          </w:p>
        </w:tc>
      </w:tr>
      <w:tr w:rsidR="000E48CE" w14:paraId="4B8826F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E8758" w14:textId="77777777" w:rsidR="000E48CE" w:rsidRDefault="00FF4C4E">
            <w:pPr>
              <w:pStyle w:val="P68B1DB1-Normal46"/>
              <w:spacing w:after="0" w:line="240" w:lineRule="auto"/>
              <w:jc w:val="center"/>
              <w:rPr>
                <w:rFonts w:eastAsia="Times New Roman" w:cs="Times New Roman"/>
                <w:noProof/>
              </w:rPr>
            </w:pPr>
            <w:r>
              <w:rPr>
                <w:noProof/>
              </w:rPr>
              <w:t>151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FAB1316" w14:textId="77777777" w:rsidR="000E48CE" w:rsidRDefault="00FF4C4E">
            <w:pPr>
              <w:pStyle w:val="P68B1DB1-Normal46"/>
              <w:spacing w:after="0" w:line="240" w:lineRule="auto"/>
              <w:jc w:val="center"/>
              <w:rPr>
                <w:rFonts w:eastAsia="Times New Roman" w:cs="Times New Roman"/>
                <w:noProof/>
              </w:rPr>
            </w:pPr>
            <w:r>
              <w:rPr>
                <w:noProof/>
              </w:rPr>
              <w:t>C11.R2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107FDD9"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AA232EA" w14:textId="77777777" w:rsidR="000E48CE" w:rsidRDefault="00FF4C4E">
            <w:pPr>
              <w:pStyle w:val="P68B1DB1-Normal46"/>
              <w:spacing w:after="0" w:line="240" w:lineRule="auto"/>
              <w:rPr>
                <w:rFonts w:eastAsia="Times New Roman" w:cs="Times New Roman"/>
                <w:noProof/>
              </w:rPr>
            </w:pPr>
            <w:r>
              <w:rPr>
                <w:noProof/>
              </w:rPr>
              <w:t xml:space="preserve">Menettelyllisistä ja </w:t>
            </w:r>
            <w:r>
              <w:rPr>
                <w:noProof/>
              </w:rPr>
              <w:t>organisatorisista toimenpiteistä oikeusalalla annetun lain 3/2020 voimaantulo</w:t>
            </w:r>
          </w:p>
        </w:tc>
      </w:tr>
      <w:tr w:rsidR="000E48CE" w14:paraId="6ECFDD41"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C3B35" w14:textId="77777777" w:rsidR="000E48CE" w:rsidRDefault="00FF4C4E">
            <w:pPr>
              <w:pStyle w:val="P68B1DB1-Normal46"/>
              <w:spacing w:after="0" w:line="240" w:lineRule="auto"/>
              <w:jc w:val="center"/>
              <w:rPr>
                <w:rFonts w:eastAsia="Times New Roman" w:cs="Times New Roman"/>
                <w:noProof/>
              </w:rPr>
            </w:pPr>
            <w:r>
              <w:rPr>
                <w:noProof/>
              </w:rPr>
              <w:t>153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48839CC" w14:textId="77777777" w:rsidR="000E48CE" w:rsidRDefault="00FF4C4E">
            <w:pPr>
              <w:pStyle w:val="P68B1DB1-Normal46"/>
              <w:spacing w:after="0" w:line="240" w:lineRule="auto"/>
              <w:jc w:val="center"/>
              <w:rPr>
                <w:rFonts w:eastAsia="Times New Roman" w:cs="Times New Roman"/>
                <w:noProof/>
              </w:rPr>
            </w:pPr>
            <w:r>
              <w:rPr>
                <w:noProof/>
              </w:rPr>
              <w:t>C11.R3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91DFCE9"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E7C3A28" w14:textId="77777777" w:rsidR="000E48CE" w:rsidRDefault="00FF4C4E">
            <w:pPr>
              <w:pStyle w:val="P68B1DB1-Normal46"/>
              <w:spacing w:after="0" w:line="240" w:lineRule="auto"/>
              <w:rPr>
                <w:rFonts w:eastAsia="Times New Roman" w:cs="Times New Roman"/>
                <w:noProof/>
              </w:rPr>
            </w:pPr>
            <w:r>
              <w:rPr>
                <w:noProof/>
              </w:rPr>
              <w:t>Caja General de Depósitosin sääntelystä annetun kuninkaan asetuksen 937/2020 voimaantulo</w:t>
            </w:r>
          </w:p>
        </w:tc>
      </w:tr>
      <w:tr w:rsidR="000E48CE" w14:paraId="14EC4688"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6806D1" w14:textId="77777777" w:rsidR="000E48CE" w:rsidRDefault="00FF4C4E">
            <w:pPr>
              <w:pStyle w:val="P68B1DB1-Normal46"/>
              <w:spacing w:after="0" w:line="240" w:lineRule="auto"/>
              <w:jc w:val="center"/>
              <w:rPr>
                <w:rFonts w:eastAsia="Times New Roman" w:cs="Times New Roman"/>
                <w:noProof/>
              </w:rPr>
            </w:pPr>
            <w:r>
              <w:rPr>
                <w:noProof/>
              </w:rPr>
              <w:t>154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CDA51AD" w14:textId="77777777" w:rsidR="000E48CE" w:rsidRDefault="00FF4C4E">
            <w:pPr>
              <w:pStyle w:val="P68B1DB1-Normal46"/>
              <w:spacing w:after="0" w:line="240" w:lineRule="auto"/>
              <w:jc w:val="center"/>
              <w:rPr>
                <w:rFonts w:eastAsia="Times New Roman" w:cs="Times New Roman"/>
                <w:noProof/>
              </w:rPr>
            </w:pPr>
            <w:r>
              <w:rPr>
                <w:noProof/>
              </w:rPr>
              <w:t>C11.R3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7C13D7"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9120F94" w14:textId="77777777" w:rsidR="000E48CE" w:rsidRDefault="00FF4C4E">
            <w:pPr>
              <w:pStyle w:val="P68B1DB1-Normal46"/>
              <w:spacing w:after="0" w:line="240" w:lineRule="auto"/>
              <w:rPr>
                <w:rFonts w:eastAsia="Times New Roman" w:cs="Times New Roman"/>
                <w:noProof/>
              </w:rPr>
            </w:pPr>
            <w:r>
              <w:rPr>
                <w:noProof/>
              </w:rPr>
              <w:t xml:space="preserve">Kuninkaan asetus tilintarkastuksesta 20 päivänä heinäkuuta </w:t>
            </w:r>
            <w:r>
              <w:rPr>
                <w:noProof/>
              </w:rPr>
              <w:t>2015 annetun lain 22/2015 täytäntöönpanoasetuksen hyväksymisestä tulee voimaan</w:t>
            </w:r>
          </w:p>
        </w:tc>
      </w:tr>
      <w:tr w:rsidR="000E48CE" w14:paraId="0910866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5A97DD" w14:textId="77777777" w:rsidR="000E48CE" w:rsidRDefault="00FF4C4E">
            <w:pPr>
              <w:pStyle w:val="P68B1DB1-Normal46"/>
              <w:spacing w:after="0" w:line="240" w:lineRule="auto"/>
              <w:jc w:val="center"/>
              <w:rPr>
                <w:rFonts w:eastAsia="Times New Roman" w:cs="Times New Roman"/>
                <w:noProof/>
              </w:rPr>
            </w:pPr>
            <w:r>
              <w:rPr>
                <w:noProof/>
              </w:rPr>
              <w:t>157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980C58F" w14:textId="77777777" w:rsidR="000E48CE" w:rsidRDefault="00FF4C4E">
            <w:pPr>
              <w:pStyle w:val="P68B1DB1-Normal46"/>
              <w:spacing w:after="0" w:line="240" w:lineRule="auto"/>
              <w:jc w:val="center"/>
              <w:rPr>
                <w:rFonts w:eastAsia="Times New Roman" w:cs="Times New Roman"/>
                <w:noProof/>
              </w:rPr>
            </w:pPr>
            <w:r>
              <w:rPr>
                <w:noProof/>
              </w:rPr>
              <w:t>C11.R5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27FBB4"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4F012DE" w14:textId="77777777" w:rsidR="000E48CE" w:rsidRDefault="00FF4C4E">
            <w:pPr>
              <w:pStyle w:val="P68B1DB1-Normal46"/>
              <w:spacing w:after="0" w:line="240" w:lineRule="auto"/>
              <w:rPr>
                <w:rFonts w:eastAsia="Times New Roman" w:cs="Times New Roman"/>
                <w:noProof/>
              </w:rPr>
            </w:pPr>
            <w:r>
              <w:rPr>
                <w:noProof/>
              </w:rPr>
              <w:t>Elpymis-, muutos- ja palautumissuunnitelman täytäntöönpanosta annetun kuninkaan asetuksen 36/2020 voimaantulo</w:t>
            </w:r>
          </w:p>
        </w:tc>
      </w:tr>
      <w:tr w:rsidR="000E48CE" w14:paraId="11B8D24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0AFED" w14:textId="77777777" w:rsidR="000E48CE" w:rsidRDefault="00FF4C4E">
            <w:pPr>
              <w:pStyle w:val="P68B1DB1-Normal46"/>
              <w:spacing w:after="0" w:line="240" w:lineRule="auto"/>
              <w:jc w:val="center"/>
              <w:rPr>
                <w:rFonts w:eastAsia="Times New Roman" w:cs="Times New Roman"/>
                <w:noProof/>
              </w:rPr>
            </w:pPr>
            <w:r>
              <w:rPr>
                <w:noProof/>
              </w:rPr>
              <w:t>158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769EBC4" w14:textId="77777777" w:rsidR="000E48CE" w:rsidRDefault="00FF4C4E">
            <w:pPr>
              <w:pStyle w:val="P68B1DB1-Normal46"/>
              <w:spacing w:after="0" w:line="240" w:lineRule="auto"/>
              <w:jc w:val="center"/>
              <w:rPr>
                <w:rFonts w:eastAsia="Times New Roman" w:cs="Times New Roman"/>
                <w:noProof/>
              </w:rPr>
            </w:pPr>
            <w:r>
              <w:rPr>
                <w:noProof/>
              </w:rPr>
              <w:t>C11.R5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586A1C8"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8F95EDA" w14:textId="77777777" w:rsidR="000E48CE" w:rsidRDefault="00FF4C4E">
            <w:pPr>
              <w:pStyle w:val="P68B1DB1-Normal46"/>
              <w:spacing w:after="0" w:line="240" w:lineRule="auto"/>
              <w:rPr>
                <w:rFonts w:eastAsia="Times New Roman" w:cs="Times New Roman"/>
                <w:noProof/>
              </w:rPr>
            </w:pPr>
            <w:r>
              <w:rPr>
                <w:noProof/>
              </w:rPr>
              <w:t>Uusien elinten perustaminen keskushalli</w:t>
            </w:r>
            <w:r>
              <w:rPr>
                <w:noProof/>
              </w:rPr>
              <w:t>ntoon suunnitelman täytäntöönpanon, valvonnan ja tarkastuksen seurantaa varten.</w:t>
            </w:r>
          </w:p>
        </w:tc>
      </w:tr>
      <w:tr w:rsidR="000E48CE" w14:paraId="3139CDE1" w14:textId="77777777">
        <w:trPr>
          <w:gridAfter w:val="1"/>
          <w:wAfter w:w="13" w:type="dxa"/>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C51AE2" w14:textId="77777777" w:rsidR="000E48CE" w:rsidRDefault="00FF4C4E">
            <w:pPr>
              <w:pStyle w:val="P68B1DB1-Normal46"/>
              <w:spacing w:after="0" w:line="240" w:lineRule="auto"/>
              <w:jc w:val="center"/>
              <w:rPr>
                <w:rFonts w:eastAsia="Times New Roman" w:cs="Times New Roman"/>
                <w:noProof/>
              </w:rPr>
            </w:pPr>
            <w:r>
              <w:rPr>
                <w:noProof/>
              </w:rPr>
              <w:t>159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8A4FDCE" w14:textId="77777777" w:rsidR="000E48CE" w:rsidRDefault="00FF4C4E">
            <w:pPr>
              <w:pStyle w:val="P68B1DB1-Normal46"/>
              <w:spacing w:after="0" w:line="240" w:lineRule="auto"/>
              <w:jc w:val="center"/>
              <w:rPr>
                <w:rFonts w:eastAsia="Times New Roman" w:cs="Times New Roman"/>
                <w:noProof/>
              </w:rPr>
            </w:pPr>
            <w:r>
              <w:rPr>
                <w:noProof/>
              </w:rPr>
              <w:t>C11.R5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CA9C066" w14:textId="77777777" w:rsidR="000E48CE" w:rsidRDefault="00FF4C4E">
            <w:pPr>
              <w:pStyle w:val="P68B1DB1-Normal46"/>
              <w:spacing w:after="0" w:line="240" w:lineRule="auto"/>
              <w:jc w:val="center"/>
              <w:rPr>
                <w:rFonts w:eastAsia="Times New Roman" w:cs="Times New Roman"/>
                <w:noProof/>
              </w:rPr>
            </w:pPr>
            <w:r>
              <w:rPr>
                <w:noProof/>
              </w:rPr>
              <w:t>M</w:t>
            </w:r>
          </w:p>
        </w:tc>
        <w:tc>
          <w:tcPr>
            <w:tcW w:w="6096" w:type="dxa"/>
            <w:tcBorders>
              <w:top w:val="single" w:sz="4" w:space="0" w:color="auto"/>
              <w:left w:val="nil"/>
              <w:bottom w:val="single" w:sz="4" w:space="0" w:color="auto"/>
              <w:right w:val="single" w:sz="4" w:space="0" w:color="auto"/>
            </w:tcBorders>
            <w:shd w:val="clear" w:color="auto" w:fill="C6EFCE"/>
            <w:noWrap/>
            <w:vAlign w:val="bottom"/>
          </w:tcPr>
          <w:p w14:paraId="3746C67F" w14:textId="77777777" w:rsidR="000E48CE" w:rsidRDefault="00FF4C4E">
            <w:pPr>
              <w:pStyle w:val="P68B1DB1-Normal46"/>
              <w:spacing w:after="0" w:line="240" w:lineRule="auto"/>
              <w:rPr>
                <w:rFonts w:eastAsia="Times New Roman" w:cs="Times New Roman"/>
                <w:noProof/>
              </w:rPr>
            </w:pPr>
            <w:r>
              <w:rPr>
                <w:noProof/>
              </w:rPr>
              <w:t>Määräys elpymis- ja palautumissuunnitelman seurantaa ja menojen kirjanpidollista toteuttamista varten jaettavien tietojen muodon määrittelemisestä</w:t>
            </w:r>
          </w:p>
        </w:tc>
      </w:tr>
      <w:tr w:rsidR="000E48CE" w14:paraId="4F59C612" w14:textId="77777777">
        <w:trPr>
          <w:gridAfter w:val="1"/>
          <w:wAfter w:w="13" w:type="dxa"/>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9BFF1E" w14:textId="77777777" w:rsidR="000E48CE" w:rsidRDefault="00FF4C4E">
            <w:pPr>
              <w:pStyle w:val="P68B1DB1-Normal46"/>
              <w:spacing w:after="0" w:line="240" w:lineRule="auto"/>
              <w:jc w:val="center"/>
              <w:rPr>
                <w:rFonts w:eastAsia="Times New Roman" w:cs="Times New Roman"/>
                <w:noProof/>
              </w:rPr>
            </w:pPr>
            <w:r>
              <w:rPr>
                <w:noProof/>
              </w:rPr>
              <w:t>173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896D53A" w14:textId="77777777" w:rsidR="000E48CE" w:rsidRDefault="00FF4C4E">
            <w:pPr>
              <w:pStyle w:val="P68B1DB1-Normal46"/>
              <w:spacing w:after="0" w:line="240" w:lineRule="auto"/>
              <w:jc w:val="center"/>
              <w:rPr>
                <w:rFonts w:eastAsia="Times New Roman" w:cs="Times New Roman"/>
                <w:noProof/>
              </w:rPr>
            </w:pPr>
            <w:r>
              <w:rPr>
                <w:noProof/>
              </w:rPr>
              <w:t>C11.I5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D7ED5CE" w14:textId="77777777" w:rsidR="000E48CE" w:rsidRDefault="00FF4C4E">
            <w:pPr>
              <w:pStyle w:val="P68B1DB1-Normal46"/>
              <w:spacing w:after="0" w:line="240" w:lineRule="auto"/>
              <w:jc w:val="center"/>
              <w:rPr>
                <w:rFonts w:eastAsia="Times New Roman" w:cs="Times New Roman"/>
                <w:noProof/>
              </w:rPr>
            </w:pPr>
            <w:r>
              <w:rPr>
                <w:noProof/>
              </w:rPr>
              <w:t>M</w:t>
            </w:r>
          </w:p>
        </w:tc>
        <w:tc>
          <w:tcPr>
            <w:tcW w:w="6096" w:type="dxa"/>
            <w:tcBorders>
              <w:top w:val="single" w:sz="4" w:space="0" w:color="auto"/>
              <w:left w:val="nil"/>
              <w:bottom w:val="single" w:sz="4" w:space="0" w:color="auto"/>
              <w:right w:val="single" w:sz="4" w:space="0" w:color="auto"/>
            </w:tcBorders>
            <w:shd w:val="clear" w:color="auto" w:fill="C6EFCE"/>
            <w:noWrap/>
            <w:vAlign w:val="bottom"/>
          </w:tcPr>
          <w:p w14:paraId="45DD2178" w14:textId="77777777" w:rsidR="000E48CE" w:rsidRDefault="00FF4C4E">
            <w:pPr>
              <w:pStyle w:val="P68B1DB1-Normal46"/>
              <w:spacing w:after="0" w:line="240" w:lineRule="auto"/>
              <w:rPr>
                <w:rFonts w:eastAsia="Times New Roman" w:cs="Times New Roman"/>
                <w:noProof/>
              </w:rPr>
            </w:pPr>
            <w:r>
              <w:rPr>
                <w:noProof/>
              </w:rPr>
              <w:t>Elpymis- ja palautumistukivälineen yhdennetty tietojärjestelmä</w:t>
            </w:r>
          </w:p>
        </w:tc>
      </w:tr>
      <w:tr w:rsidR="000E48CE" w14:paraId="0089867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68863F" w14:textId="77777777" w:rsidR="000E48CE" w:rsidRDefault="00FF4C4E">
            <w:pPr>
              <w:pStyle w:val="P68B1DB1-Normal46"/>
              <w:spacing w:after="0" w:line="240" w:lineRule="auto"/>
              <w:jc w:val="center"/>
              <w:rPr>
                <w:rFonts w:eastAsia="Times New Roman" w:cs="Times New Roman"/>
                <w:noProof/>
              </w:rPr>
            </w:pPr>
            <w:r>
              <w:rPr>
                <w:noProof/>
              </w:rPr>
              <w:t>177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6F31A85" w14:textId="77777777" w:rsidR="000E48CE" w:rsidRDefault="00FF4C4E">
            <w:pPr>
              <w:pStyle w:val="P68B1DB1-Normal46"/>
              <w:spacing w:after="0" w:line="240" w:lineRule="auto"/>
              <w:jc w:val="center"/>
              <w:rPr>
                <w:rFonts w:eastAsia="Times New Roman" w:cs="Times New Roman"/>
                <w:noProof/>
              </w:rPr>
            </w:pPr>
            <w:r>
              <w:rPr>
                <w:noProof/>
              </w:rPr>
              <w:t>C12.R2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74D2F12"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7137558" w14:textId="77777777" w:rsidR="000E48CE" w:rsidRDefault="00FF4C4E">
            <w:pPr>
              <w:pStyle w:val="P68B1DB1-Normal46"/>
              <w:spacing w:after="0" w:line="240" w:lineRule="auto"/>
              <w:rPr>
                <w:rFonts w:eastAsia="Times New Roman" w:cs="Times New Roman"/>
                <w:noProof/>
              </w:rPr>
            </w:pPr>
            <w:r>
              <w:rPr>
                <w:noProof/>
              </w:rPr>
              <w:t>Espanjan kiertotalousstrategia</w:t>
            </w:r>
          </w:p>
        </w:tc>
      </w:tr>
      <w:tr w:rsidR="000E48CE" w14:paraId="47407B3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8405F" w14:textId="77777777" w:rsidR="000E48CE" w:rsidRDefault="00FF4C4E">
            <w:pPr>
              <w:pStyle w:val="P68B1DB1-Normal46"/>
              <w:spacing w:after="0" w:line="240" w:lineRule="auto"/>
              <w:jc w:val="center"/>
              <w:rPr>
                <w:rFonts w:eastAsia="Times New Roman" w:cs="Times New Roman"/>
                <w:noProof/>
              </w:rPr>
            </w:pPr>
            <w:r>
              <w:rPr>
                <w:noProof/>
              </w:rPr>
              <w:t>181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CCA5EBE" w14:textId="77777777" w:rsidR="000E48CE" w:rsidRDefault="00FF4C4E">
            <w:pPr>
              <w:pStyle w:val="P68B1DB1-Normal46"/>
              <w:spacing w:after="0" w:line="240" w:lineRule="auto"/>
              <w:jc w:val="center"/>
              <w:rPr>
                <w:rFonts w:eastAsia="Times New Roman" w:cs="Times New Roman"/>
                <w:noProof/>
              </w:rPr>
            </w:pPr>
            <w:r>
              <w:rPr>
                <w:noProof/>
              </w:rPr>
              <w:t>C12.I2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AA18959"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21EEB95" w14:textId="77777777" w:rsidR="000E48CE" w:rsidRDefault="00FF4C4E">
            <w:pPr>
              <w:pStyle w:val="P68B1DB1-Normal46"/>
              <w:spacing w:after="0" w:line="240" w:lineRule="auto"/>
              <w:rPr>
                <w:rFonts w:eastAsia="Times New Roman" w:cs="Times New Roman"/>
                <w:noProof/>
              </w:rPr>
            </w:pPr>
            <w:r>
              <w:rPr>
                <w:noProof/>
              </w:rPr>
              <w:t>Suunnitelma autoteollisuuden arvoketjun edistämiseksi kohti kestävää ja verkottunutta liikkuvuutta</w:t>
            </w:r>
          </w:p>
        </w:tc>
      </w:tr>
      <w:tr w:rsidR="000E48CE" w14:paraId="7D88A5E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C3966B" w14:textId="77777777" w:rsidR="000E48CE" w:rsidRDefault="00FF4C4E">
            <w:pPr>
              <w:pStyle w:val="P68B1DB1-Normal46"/>
              <w:spacing w:after="0" w:line="240" w:lineRule="auto"/>
              <w:jc w:val="center"/>
              <w:rPr>
                <w:rFonts w:eastAsia="Times New Roman" w:cs="Times New Roman"/>
                <w:noProof/>
              </w:rPr>
            </w:pPr>
            <w:r>
              <w:rPr>
                <w:noProof/>
              </w:rPr>
              <w:t>199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D6E4B81" w14:textId="77777777" w:rsidR="000E48CE" w:rsidRDefault="00FF4C4E">
            <w:pPr>
              <w:pStyle w:val="P68B1DB1-Normal46"/>
              <w:spacing w:after="0" w:line="240" w:lineRule="auto"/>
              <w:jc w:val="center"/>
              <w:rPr>
                <w:rFonts w:eastAsia="Times New Roman" w:cs="Times New Roman"/>
                <w:noProof/>
              </w:rPr>
            </w:pPr>
            <w:r>
              <w:rPr>
                <w:noProof/>
              </w:rPr>
              <w:t>C13.I3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B537C63"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CD7CAB6" w14:textId="77777777" w:rsidR="000E48CE" w:rsidRDefault="00FF4C4E">
            <w:pPr>
              <w:pStyle w:val="P68B1DB1-Normal46"/>
              <w:spacing w:after="0" w:line="240" w:lineRule="auto"/>
              <w:rPr>
                <w:rFonts w:eastAsia="Times New Roman" w:cs="Times New Roman"/>
                <w:noProof/>
              </w:rPr>
            </w:pPr>
            <w:r>
              <w:rPr>
                <w:noProof/>
              </w:rPr>
              <w:t xml:space="preserve">Pk-yritysten </w:t>
            </w:r>
            <w:r>
              <w:rPr>
                <w:noProof/>
              </w:rPr>
              <w:t>digitalisointisuunnitelma 2021–2025</w:t>
            </w:r>
          </w:p>
        </w:tc>
      </w:tr>
      <w:tr w:rsidR="000E48CE" w14:paraId="15A33561"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5227AC" w14:textId="77777777" w:rsidR="000E48CE" w:rsidRDefault="00FF4C4E">
            <w:pPr>
              <w:pStyle w:val="P68B1DB1-Normal46"/>
              <w:spacing w:after="0" w:line="240" w:lineRule="auto"/>
              <w:jc w:val="center"/>
              <w:rPr>
                <w:rFonts w:eastAsia="Times New Roman" w:cs="Times New Roman"/>
                <w:noProof/>
              </w:rPr>
            </w:pPr>
            <w:r>
              <w:rPr>
                <w:noProof/>
              </w:rPr>
              <w:t>214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0C8E2B4" w14:textId="77777777" w:rsidR="000E48CE" w:rsidRDefault="00FF4C4E">
            <w:pPr>
              <w:pStyle w:val="P68B1DB1-Normal46"/>
              <w:spacing w:after="0" w:line="240" w:lineRule="auto"/>
              <w:jc w:val="center"/>
              <w:rPr>
                <w:rFonts w:eastAsia="Times New Roman" w:cs="Times New Roman"/>
                <w:noProof/>
              </w:rPr>
            </w:pPr>
            <w:r>
              <w:rPr>
                <w:noProof/>
              </w:rPr>
              <w:t>C14.R1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5ADD88D"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95965CD" w14:textId="77777777" w:rsidR="000E48CE" w:rsidRDefault="00FF4C4E">
            <w:pPr>
              <w:pStyle w:val="P68B1DB1-Normal46"/>
              <w:spacing w:after="0" w:line="240" w:lineRule="auto"/>
              <w:rPr>
                <w:rFonts w:eastAsia="Times New Roman" w:cs="Times New Roman"/>
                <w:noProof/>
              </w:rPr>
            </w:pPr>
            <w:r>
              <w:rPr>
                <w:noProof/>
              </w:rPr>
              <w:t>Matkailualan edistämissuunnitelma</w:t>
            </w:r>
          </w:p>
        </w:tc>
      </w:tr>
      <w:tr w:rsidR="000E48CE" w14:paraId="41036978"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37DCA" w14:textId="77777777" w:rsidR="000E48CE" w:rsidRDefault="00FF4C4E">
            <w:pPr>
              <w:pStyle w:val="P68B1DB1-Normal46"/>
              <w:spacing w:after="0" w:line="240" w:lineRule="auto"/>
              <w:jc w:val="center"/>
              <w:rPr>
                <w:rFonts w:eastAsia="Times New Roman" w:cs="Times New Roman"/>
                <w:noProof/>
              </w:rPr>
            </w:pPr>
            <w:r>
              <w:rPr>
                <w:noProof/>
              </w:rPr>
              <w:t>215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53D8707" w14:textId="77777777" w:rsidR="000E48CE" w:rsidRDefault="00FF4C4E">
            <w:pPr>
              <w:pStyle w:val="P68B1DB1-Normal46"/>
              <w:spacing w:after="0" w:line="240" w:lineRule="auto"/>
              <w:jc w:val="center"/>
              <w:rPr>
                <w:rFonts w:eastAsia="Times New Roman" w:cs="Times New Roman"/>
                <w:noProof/>
              </w:rPr>
            </w:pPr>
            <w:r>
              <w:rPr>
                <w:noProof/>
              </w:rPr>
              <w:t>C14.R1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471C673"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BD6F861" w14:textId="77777777" w:rsidR="000E48CE" w:rsidRDefault="00FF4C4E">
            <w:pPr>
              <w:pStyle w:val="P68B1DB1-Normal46"/>
              <w:spacing w:after="0" w:line="240" w:lineRule="auto"/>
              <w:rPr>
                <w:rFonts w:eastAsia="Times New Roman" w:cs="Times New Roman"/>
                <w:noProof/>
              </w:rPr>
            </w:pPr>
            <w:r>
              <w:rPr>
                <w:noProof/>
              </w:rPr>
              <w:t>Matkailutietoa keräävän DATAESTUR-verkkosivuston käynnistäminen</w:t>
            </w:r>
          </w:p>
        </w:tc>
      </w:tr>
      <w:tr w:rsidR="000E48CE" w14:paraId="61B30B6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1FE54" w14:textId="77777777" w:rsidR="000E48CE" w:rsidRDefault="00FF4C4E">
            <w:pPr>
              <w:pStyle w:val="P68B1DB1-Normal46"/>
              <w:spacing w:after="0" w:line="240" w:lineRule="auto"/>
              <w:jc w:val="center"/>
              <w:rPr>
                <w:rFonts w:eastAsia="Times New Roman" w:cs="Times New Roman"/>
                <w:noProof/>
              </w:rPr>
            </w:pPr>
            <w:r>
              <w:rPr>
                <w:noProof/>
              </w:rPr>
              <w:t>230</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0B6BF45" w14:textId="77777777" w:rsidR="000E48CE" w:rsidRDefault="00FF4C4E">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DD4A358"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18B2263" w14:textId="77777777" w:rsidR="000E48CE" w:rsidRDefault="00FF4C4E">
            <w:pPr>
              <w:pStyle w:val="P68B1DB1-Normal46"/>
              <w:spacing w:after="0" w:line="240" w:lineRule="auto"/>
              <w:rPr>
                <w:rFonts w:eastAsia="Times New Roman" w:cs="Times New Roman"/>
                <w:noProof/>
              </w:rPr>
            </w:pPr>
            <w:r>
              <w:rPr>
                <w:noProof/>
              </w:rPr>
              <w:t xml:space="preserve">Vuoden 2025 digitaalinen Espanjan suunnitelma ja strategia 5G-teknologian </w:t>
            </w:r>
            <w:r>
              <w:rPr>
                <w:noProof/>
              </w:rPr>
              <w:t>edistämiseksi</w:t>
            </w:r>
          </w:p>
        </w:tc>
      </w:tr>
      <w:tr w:rsidR="000E48CE" w14:paraId="33B6CDC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C852CB" w14:textId="77777777" w:rsidR="000E48CE" w:rsidRDefault="00FF4C4E">
            <w:pPr>
              <w:pStyle w:val="P68B1DB1-Normal46"/>
              <w:spacing w:after="0" w:line="240" w:lineRule="auto"/>
              <w:jc w:val="center"/>
              <w:rPr>
                <w:rFonts w:eastAsia="Times New Roman" w:cs="Times New Roman"/>
                <w:noProof/>
              </w:rPr>
            </w:pPr>
            <w:r>
              <w:rPr>
                <w:noProof/>
              </w:rPr>
              <w:t>231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C1D0553" w14:textId="77777777" w:rsidR="000E48CE" w:rsidRDefault="00FF4C4E">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061F0E2"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862DCA0" w14:textId="77777777" w:rsidR="000E48CE" w:rsidRDefault="00FF4C4E">
            <w:pPr>
              <w:pStyle w:val="P68B1DB1-Normal46"/>
              <w:spacing w:after="0" w:line="240" w:lineRule="auto"/>
              <w:rPr>
                <w:rFonts w:eastAsia="Times New Roman" w:cs="Times New Roman"/>
                <w:noProof/>
              </w:rPr>
            </w:pPr>
            <w:r>
              <w:rPr>
                <w:noProof/>
              </w:rPr>
              <w:t>700 MHz:n taajuusalueen vapauttaminen</w:t>
            </w:r>
          </w:p>
        </w:tc>
      </w:tr>
      <w:tr w:rsidR="000E48CE" w14:paraId="2CE7277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0209C" w14:textId="77777777" w:rsidR="000E48CE" w:rsidRDefault="00FF4C4E">
            <w:pPr>
              <w:pStyle w:val="P68B1DB1-Normal46"/>
              <w:spacing w:after="0" w:line="240" w:lineRule="auto"/>
              <w:jc w:val="center"/>
              <w:rPr>
                <w:rFonts w:eastAsia="Times New Roman" w:cs="Times New Roman"/>
                <w:noProof/>
              </w:rPr>
            </w:pPr>
            <w:r>
              <w:rPr>
                <w:noProof/>
              </w:rPr>
              <w:t>249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AEFBCB1" w14:textId="77777777" w:rsidR="000E48CE" w:rsidRDefault="00FF4C4E">
            <w:pPr>
              <w:pStyle w:val="P68B1DB1-Normal46"/>
              <w:spacing w:after="0" w:line="240" w:lineRule="auto"/>
              <w:jc w:val="center"/>
              <w:rPr>
                <w:rFonts w:eastAsia="Times New Roman" w:cs="Times New Roman"/>
                <w:noProof/>
              </w:rPr>
            </w:pPr>
            <w:r>
              <w:rPr>
                <w:noProof/>
              </w:rPr>
              <w:t>C16.R1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A2698BC"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5BE343F" w14:textId="77777777" w:rsidR="000E48CE" w:rsidRDefault="00FF4C4E">
            <w:pPr>
              <w:pStyle w:val="P68B1DB1-Normal46"/>
              <w:spacing w:after="0" w:line="240" w:lineRule="auto"/>
              <w:rPr>
                <w:rFonts w:eastAsia="Times New Roman" w:cs="Times New Roman"/>
                <w:noProof/>
              </w:rPr>
            </w:pPr>
            <w:r>
              <w:rPr>
                <w:noProof/>
              </w:rPr>
              <w:t xml:space="preserve">Kansallinen tekoälystrategia </w:t>
            </w:r>
          </w:p>
        </w:tc>
      </w:tr>
      <w:tr w:rsidR="000E48CE" w14:paraId="4362552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193CA" w14:textId="77777777" w:rsidR="000E48CE" w:rsidRDefault="00FF4C4E">
            <w:pPr>
              <w:pStyle w:val="P68B1DB1-Normal46"/>
              <w:spacing w:after="0" w:line="240" w:lineRule="auto"/>
              <w:jc w:val="center"/>
              <w:rPr>
                <w:rFonts w:eastAsia="Times New Roman" w:cs="Times New Roman"/>
                <w:noProof/>
              </w:rPr>
            </w:pPr>
            <w:r>
              <w:rPr>
                <w:noProof/>
              </w:rPr>
              <w:t>255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AEF6F84" w14:textId="77777777" w:rsidR="000E48CE" w:rsidRDefault="00FF4C4E">
            <w:pPr>
              <w:pStyle w:val="P68B1DB1-Normal46"/>
              <w:spacing w:after="0" w:line="240" w:lineRule="auto"/>
              <w:jc w:val="center"/>
              <w:rPr>
                <w:rFonts w:eastAsia="Times New Roman" w:cs="Times New Roman"/>
                <w:noProof/>
              </w:rPr>
            </w:pPr>
            <w:r>
              <w:rPr>
                <w:noProof/>
              </w:rPr>
              <w:t>C17.R2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961190"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2CAFD4" w14:textId="77777777" w:rsidR="000E48CE" w:rsidRDefault="00FF4C4E">
            <w:pPr>
              <w:pStyle w:val="P68B1DB1-Normal46"/>
              <w:spacing w:after="0" w:line="240" w:lineRule="auto"/>
              <w:rPr>
                <w:rFonts w:eastAsia="Times New Roman" w:cs="Times New Roman"/>
                <w:noProof/>
              </w:rPr>
            </w:pPr>
            <w:r>
              <w:rPr>
                <w:noProof/>
              </w:rPr>
              <w:t>Espanjan tiede-, teknologia- ja innovaatiostrategian 2021–2027 julkaiseminen</w:t>
            </w:r>
          </w:p>
        </w:tc>
      </w:tr>
      <w:tr w:rsidR="000E48CE" w14:paraId="1B21B86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95378" w14:textId="77777777" w:rsidR="000E48CE" w:rsidRDefault="00FF4C4E">
            <w:pPr>
              <w:pStyle w:val="P68B1DB1-Normal46"/>
              <w:spacing w:after="0" w:line="240" w:lineRule="auto"/>
              <w:jc w:val="center"/>
              <w:rPr>
                <w:rFonts w:eastAsia="Times New Roman" w:cs="Times New Roman"/>
                <w:noProof/>
              </w:rPr>
            </w:pPr>
            <w:r>
              <w:rPr>
                <w:noProof/>
              </w:rPr>
              <w:t>257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9B3F312" w14:textId="77777777" w:rsidR="000E48CE" w:rsidRDefault="00FF4C4E">
            <w:pPr>
              <w:pStyle w:val="P68B1DB1-Normal46"/>
              <w:spacing w:after="0" w:line="240" w:lineRule="auto"/>
              <w:jc w:val="center"/>
              <w:rPr>
                <w:rFonts w:eastAsia="Times New Roman" w:cs="Times New Roman"/>
                <w:noProof/>
              </w:rPr>
            </w:pPr>
            <w:r>
              <w:rPr>
                <w:noProof/>
              </w:rPr>
              <w:t>C17.R3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80B02A"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F2FEB2" w14:textId="77777777" w:rsidR="000E48CE" w:rsidRDefault="00FF4C4E">
            <w:pPr>
              <w:pStyle w:val="P68B1DB1-Normal46"/>
              <w:spacing w:after="0" w:line="240" w:lineRule="auto"/>
              <w:rPr>
                <w:rFonts w:eastAsia="Times New Roman" w:cs="Times New Roman"/>
                <w:noProof/>
              </w:rPr>
            </w:pPr>
            <w:r>
              <w:rPr>
                <w:noProof/>
              </w:rPr>
              <w:t xml:space="preserve">Julkisten tutkimusorganisaatioiden uudelleenjärjestelystä annetun kuninkaallisen asetuksen voimaantulo. </w:t>
            </w:r>
          </w:p>
        </w:tc>
      </w:tr>
      <w:tr w:rsidR="000E48CE" w14:paraId="31BB636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CE531" w14:textId="77777777" w:rsidR="000E48CE" w:rsidRDefault="00FF4C4E">
            <w:pPr>
              <w:pStyle w:val="P68B1DB1-Normal46"/>
              <w:spacing w:after="0" w:line="240" w:lineRule="auto"/>
              <w:jc w:val="center"/>
              <w:rPr>
                <w:rFonts w:eastAsia="Times New Roman" w:cs="Times New Roman"/>
                <w:noProof/>
              </w:rPr>
            </w:pPr>
            <w:r>
              <w:rPr>
                <w:noProof/>
              </w:rPr>
              <w:t>285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EE18076" w14:textId="77777777" w:rsidR="000E48CE" w:rsidRDefault="00FF4C4E">
            <w:pPr>
              <w:pStyle w:val="P68B1DB1-Normal46"/>
              <w:spacing w:after="0" w:line="240" w:lineRule="auto"/>
              <w:jc w:val="center"/>
              <w:rPr>
                <w:rFonts w:eastAsia="Times New Roman" w:cs="Times New Roman"/>
                <w:noProof/>
              </w:rPr>
            </w:pPr>
            <w:r>
              <w:rPr>
                <w:noProof/>
              </w:rPr>
              <w:t>C19.R1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C0A0BDA"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87593FE" w14:textId="77777777" w:rsidR="000E48CE" w:rsidRDefault="00FF4C4E">
            <w:pPr>
              <w:pStyle w:val="P68B1DB1-Normal46"/>
              <w:spacing w:after="0" w:line="240" w:lineRule="auto"/>
              <w:rPr>
                <w:rFonts w:eastAsia="Times New Roman" w:cs="Times New Roman"/>
                <w:noProof/>
              </w:rPr>
            </w:pPr>
            <w:r>
              <w:rPr>
                <w:noProof/>
              </w:rPr>
              <w:t>Kansallisen digitaalista osaamista koskevan suunnitelman hyväksyminen ministerineuvostossa</w:t>
            </w:r>
          </w:p>
        </w:tc>
      </w:tr>
      <w:tr w:rsidR="000E48CE" w14:paraId="65CB87EA"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0F7A6" w14:textId="77777777" w:rsidR="000E48CE" w:rsidRDefault="00FF4C4E">
            <w:pPr>
              <w:pStyle w:val="P68B1DB1-Normal46"/>
              <w:spacing w:after="0" w:line="240" w:lineRule="auto"/>
              <w:jc w:val="center"/>
              <w:rPr>
                <w:rFonts w:eastAsia="Times New Roman" w:cs="Times New Roman"/>
                <w:noProof/>
              </w:rPr>
            </w:pPr>
            <w:r>
              <w:rPr>
                <w:noProof/>
              </w:rPr>
              <w:t>295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D8992F7" w14:textId="77777777" w:rsidR="000E48CE" w:rsidRDefault="00FF4C4E">
            <w:pPr>
              <w:pStyle w:val="P68B1DB1-Normal46"/>
              <w:spacing w:after="0" w:line="240" w:lineRule="auto"/>
              <w:jc w:val="center"/>
              <w:rPr>
                <w:rFonts w:eastAsia="Times New Roman" w:cs="Times New Roman"/>
                <w:noProof/>
              </w:rPr>
            </w:pPr>
            <w:r>
              <w:rPr>
                <w:noProof/>
              </w:rPr>
              <w:t>C20.R1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1D7EAB8"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3545847" w14:textId="77777777" w:rsidR="000E48CE" w:rsidRDefault="00FF4C4E">
            <w:pPr>
              <w:pStyle w:val="P68B1DB1-Normal46"/>
              <w:spacing w:after="0" w:line="240" w:lineRule="auto"/>
              <w:rPr>
                <w:rFonts w:eastAsia="Times New Roman" w:cs="Times New Roman"/>
                <w:noProof/>
              </w:rPr>
            </w:pPr>
            <w:r>
              <w:rPr>
                <w:noProof/>
              </w:rPr>
              <w:t xml:space="preserve">Ammatillisen koulutuksen </w:t>
            </w:r>
            <w:r>
              <w:rPr>
                <w:noProof/>
              </w:rPr>
              <w:t>nykyaikaistamissuunnitelma ja siihen liittyvät kuninkaan asetukset</w:t>
            </w:r>
          </w:p>
        </w:tc>
      </w:tr>
      <w:tr w:rsidR="000E48CE" w14:paraId="0F90DF7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A10F8" w14:textId="77777777" w:rsidR="000E48CE" w:rsidRDefault="00FF4C4E">
            <w:pPr>
              <w:pStyle w:val="P68B1DB1-Normal46"/>
              <w:spacing w:after="0" w:line="240" w:lineRule="auto"/>
              <w:jc w:val="center"/>
              <w:rPr>
                <w:rFonts w:eastAsia="Times New Roman" w:cs="Times New Roman"/>
                <w:noProof/>
              </w:rPr>
            </w:pPr>
            <w:r>
              <w:rPr>
                <w:noProof/>
              </w:rPr>
              <w:t>303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4D9E8B1" w14:textId="77777777" w:rsidR="000E48CE" w:rsidRDefault="00FF4C4E">
            <w:pPr>
              <w:pStyle w:val="P68B1DB1-Normal46"/>
              <w:spacing w:after="0" w:line="240" w:lineRule="auto"/>
              <w:jc w:val="center"/>
              <w:rPr>
                <w:rFonts w:eastAsia="Times New Roman" w:cs="Times New Roman"/>
                <w:noProof/>
              </w:rPr>
            </w:pPr>
            <w:r>
              <w:rPr>
                <w:noProof/>
              </w:rPr>
              <w:t>C21.R1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6C085AC"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2D4FA3E" w14:textId="77777777" w:rsidR="000E48CE" w:rsidRDefault="00FF4C4E">
            <w:pPr>
              <w:pStyle w:val="P68B1DB1-Normal46"/>
              <w:spacing w:after="0" w:line="240" w:lineRule="auto"/>
              <w:rPr>
                <w:rFonts w:eastAsia="Times New Roman" w:cs="Times New Roman"/>
                <w:noProof/>
              </w:rPr>
            </w:pPr>
            <w:r>
              <w:rPr>
                <w:noProof/>
              </w:rPr>
              <w:t xml:space="preserve">Koulutusta koskevan orgaanisen lain voimaantulo </w:t>
            </w:r>
          </w:p>
        </w:tc>
      </w:tr>
      <w:tr w:rsidR="000E48CE" w14:paraId="41765BB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8708" w14:textId="77777777" w:rsidR="000E48CE" w:rsidRDefault="00FF4C4E">
            <w:pPr>
              <w:pStyle w:val="P68B1DB1-Normal46"/>
              <w:spacing w:after="0" w:line="240" w:lineRule="auto"/>
              <w:jc w:val="center"/>
              <w:rPr>
                <w:rFonts w:eastAsia="Times New Roman" w:cs="Times New Roman"/>
                <w:noProof/>
              </w:rPr>
            </w:pPr>
            <w:r>
              <w:rPr>
                <w:noProof/>
              </w:rPr>
              <w:t>318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4C11259" w14:textId="77777777" w:rsidR="000E48CE" w:rsidRDefault="00FF4C4E">
            <w:pPr>
              <w:pStyle w:val="P68B1DB1-Normal46"/>
              <w:spacing w:after="0" w:line="240" w:lineRule="auto"/>
              <w:jc w:val="center"/>
              <w:rPr>
                <w:rFonts w:eastAsia="Times New Roman" w:cs="Times New Roman"/>
                <w:noProof/>
              </w:rPr>
            </w:pPr>
            <w:r>
              <w:rPr>
                <w:noProof/>
              </w:rPr>
              <w:t>C22.R5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DE9D55E"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AB6CB5" w14:textId="77777777" w:rsidR="000E48CE" w:rsidRDefault="00FF4C4E">
            <w:pPr>
              <w:pStyle w:val="P68B1DB1-Normal46"/>
              <w:spacing w:after="0" w:line="240" w:lineRule="auto"/>
              <w:rPr>
                <w:rFonts w:eastAsia="Times New Roman" w:cs="Times New Roman"/>
                <w:noProof/>
              </w:rPr>
            </w:pPr>
            <w:r>
              <w:rPr>
                <w:noProof/>
              </w:rPr>
              <w:t xml:space="preserve">Elintärkeiden vähimmäistulojen hyväksymisestä 29 päivänä toukokuuta 2020 annetun kuninkaallisen asetuksen </w:t>
            </w:r>
            <w:r>
              <w:rPr>
                <w:noProof/>
              </w:rPr>
              <w:t>20/2020 voimaantulo</w:t>
            </w:r>
          </w:p>
        </w:tc>
      </w:tr>
      <w:tr w:rsidR="000E48CE" w14:paraId="1C570DE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9F810" w14:textId="77777777" w:rsidR="000E48CE" w:rsidRDefault="00FF4C4E">
            <w:pPr>
              <w:pStyle w:val="P68B1DB1-Normal46"/>
              <w:spacing w:after="0" w:line="240" w:lineRule="auto"/>
              <w:jc w:val="center"/>
              <w:rPr>
                <w:rFonts w:eastAsia="Times New Roman" w:cs="Times New Roman"/>
                <w:noProof/>
              </w:rPr>
            </w:pPr>
            <w:r>
              <w:rPr>
                <w:noProof/>
              </w:rPr>
              <w:t>329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79E6391" w14:textId="77777777" w:rsidR="000E48CE" w:rsidRDefault="00FF4C4E">
            <w:pPr>
              <w:pStyle w:val="P68B1DB1-Normal46"/>
              <w:spacing w:after="0" w:line="240" w:lineRule="auto"/>
              <w:jc w:val="center"/>
              <w:rPr>
                <w:rFonts w:eastAsia="Times New Roman" w:cs="Times New Roman"/>
                <w:noProof/>
              </w:rPr>
            </w:pPr>
            <w:r>
              <w:rPr>
                <w:noProof/>
              </w:rPr>
              <w:t>C23.R1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25E7EED"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382E5B" w14:textId="77777777" w:rsidR="000E48CE" w:rsidRDefault="00FF4C4E">
            <w:pPr>
              <w:pStyle w:val="P68B1DB1-Normal46"/>
              <w:spacing w:after="0" w:line="240" w:lineRule="auto"/>
              <w:rPr>
                <w:rFonts w:eastAsia="Times New Roman" w:cs="Times New Roman"/>
                <w:noProof/>
              </w:rPr>
            </w:pPr>
            <w:r>
              <w:rPr>
                <w:noProof/>
              </w:rPr>
              <w:t>Kaksi kuninkaallista asetusta, joilla säännellään etätyötä yksityisellä sektorilla ja julkishallinnossa, tulee voimaan</w:t>
            </w:r>
          </w:p>
        </w:tc>
      </w:tr>
      <w:tr w:rsidR="000E48CE" w14:paraId="6C75E02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C731D" w14:textId="77777777" w:rsidR="000E48CE" w:rsidRDefault="00FF4C4E">
            <w:pPr>
              <w:pStyle w:val="P68B1DB1-Normal46"/>
              <w:spacing w:after="0" w:line="240" w:lineRule="auto"/>
              <w:jc w:val="center"/>
              <w:rPr>
                <w:rFonts w:eastAsia="Times New Roman" w:cs="Times New Roman"/>
                <w:noProof/>
              </w:rPr>
            </w:pPr>
            <w:r>
              <w:rPr>
                <w:noProof/>
              </w:rPr>
              <w:t>330</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298FB79" w14:textId="77777777" w:rsidR="000E48CE" w:rsidRDefault="00FF4C4E">
            <w:pPr>
              <w:pStyle w:val="P68B1DB1-Normal46"/>
              <w:spacing w:after="0" w:line="240" w:lineRule="auto"/>
              <w:jc w:val="center"/>
              <w:rPr>
                <w:rFonts w:eastAsia="Times New Roman" w:cs="Times New Roman"/>
                <w:noProof/>
              </w:rPr>
            </w:pPr>
            <w:r>
              <w:rPr>
                <w:noProof/>
              </w:rPr>
              <w:t>C23.R2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1F425ED"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5FCE2F" w14:textId="77777777" w:rsidR="000E48CE" w:rsidRDefault="00FF4C4E">
            <w:pPr>
              <w:pStyle w:val="P68B1DB1-Normal46"/>
              <w:spacing w:after="0" w:line="240" w:lineRule="auto"/>
              <w:rPr>
                <w:rFonts w:eastAsia="Times New Roman" w:cs="Times New Roman"/>
                <w:noProof/>
              </w:rPr>
            </w:pPr>
            <w:r>
              <w:rPr>
                <w:noProof/>
              </w:rPr>
              <w:t xml:space="preserve">Naisten ja miesten samapalkkaisuutta ja tasa-arvosuunnitelmia ja niiden rekisteröintiä </w:t>
            </w:r>
            <w:r>
              <w:rPr>
                <w:noProof/>
              </w:rPr>
              <w:t>koskevien kahden määräyksen voimaantulo</w:t>
            </w:r>
          </w:p>
        </w:tc>
      </w:tr>
      <w:tr w:rsidR="000E48CE" w14:paraId="44371A8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251469" w14:textId="77777777" w:rsidR="000E48CE" w:rsidRDefault="00FF4C4E">
            <w:pPr>
              <w:pStyle w:val="P68B1DB1-Normal46"/>
              <w:spacing w:after="0" w:line="240" w:lineRule="auto"/>
              <w:jc w:val="center"/>
              <w:rPr>
                <w:rFonts w:eastAsia="Times New Roman" w:cs="Times New Roman"/>
                <w:noProof/>
              </w:rPr>
            </w:pPr>
            <w:r>
              <w:rPr>
                <w:noProof/>
              </w:rPr>
              <w:t>333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68CA457" w14:textId="77777777" w:rsidR="000E48CE" w:rsidRDefault="00FF4C4E">
            <w:pPr>
              <w:pStyle w:val="P68B1DB1-Normal46"/>
              <w:spacing w:after="0" w:line="240" w:lineRule="auto"/>
              <w:jc w:val="center"/>
              <w:rPr>
                <w:rFonts w:eastAsia="Times New Roman" w:cs="Times New Roman"/>
                <w:noProof/>
              </w:rPr>
            </w:pPr>
            <w:r>
              <w:rPr>
                <w:noProof/>
              </w:rPr>
              <w:t>C23.R5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8946D1"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96EA185" w14:textId="77777777" w:rsidR="000E48CE" w:rsidRDefault="00FF4C4E">
            <w:pPr>
              <w:pStyle w:val="P68B1DB1-Normal46"/>
              <w:spacing w:after="0" w:line="240" w:lineRule="auto"/>
              <w:rPr>
                <w:rFonts w:eastAsia="Times New Roman" w:cs="Times New Roman"/>
                <w:noProof/>
              </w:rPr>
            </w:pPr>
            <w:r>
              <w:rPr>
                <w:noProof/>
              </w:rPr>
              <w:t xml:space="preserve">Nuorisotyöttömyyden torjuntaa koskevan toimintasuunnitelman voimaantulo </w:t>
            </w:r>
          </w:p>
        </w:tc>
      </w:tr>
      <w:tr w:rsidR="000E48CE" w14:paraId="59388524"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014ACB" w14:textId="77777777" w:rsidR="000E48CE" w:rsidRDefault="00FF4C4E">
            <w:pPr>
              <w:pStyle w:val="P68B1DB1-Normal46"/>
              <w:spacing w:after="0" w:line="240" w:lineRule="auto"/>
              <w:jc w:val="center"/>
              <w:rPr>
                <w:rFonts w:eastAsia="Times New Roman" w:cs="Times New Roman"/>
                <w:noProof/>
              </w:rPr>
            </w:pPr>
            <w:r>
              <w:rPr>
                <w:noProof/>
              </w:rPr>
              <w:t>363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99F057D" w14:textId="77777777" w:rsidR="000E48CE" w:rsidRDefault="00FF4C4E">
            <w:pPr>
              <w:pStyle w:val="P68B1DB1-Normal46"/>
              <w:spacing w:after="0" w:line="240" w:lineRule="auto"/>
              <w:jc w:val="center"/>
              <w:rPr>
                <w:rFonts w:eastAsia="Times New Roman" w:cs="Times New Roman"/>
                <w:noProof/>
              </w:rPr>
            </w:pPr>
            <w:r>
              <w:rPr>
                <w:noProof/>
              </w:rPr>
              <w:t>C25.R1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4A29201"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BC82B78" w14:textId="77777777" w:rsidR="000E48CE" w:rsidRDefault="00FF4C4E">
            <w:pPr>
              <w:pStyle w:val="P68B1DB1-Normal46"/>
              <w:spacing w:after="0" w:line="240" w:lineRule="auto"/>
              <w:rPr>
                <w:rFonts w:eastAsia="Times New Roman" w:cs="Times New Roman"/>
                <w:noProof/>
              </w:rPr>
            </w:pPr>
            <w:r>
              <w:rPr>
                <w:noProof/>
              </w:rPr>
              <w:t>Suunnitelma: ”Espanja, Euroopan audiovisuaalinen keskus”.</w:t>
            </w:r>
          </w:p>
        </w:tc>
      </w:tr>
      <w:tr w:rsidR="000E48CE" w14:paraId="4FA78BE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9B27" w14:textId="77777777" w:rsidR="000E48CE" w:rsidRDefault="00FF4C4E">
            <w:pPr>
              <w:pStyle w:val="P68B1DB1-Normal46"/>
              <w:spacing w:after="0" w:line="240" w:lineRule="auto"/>
              <w:jc w:val="center"/>
              <w:rPr>
                <w:rFonts w:eastAsia="Times New Roman" w:cs="Times New Roman"/>
                <w:noProof/>
              </w:rPr>
            </w:pPr>
            <w:r>
              <w:rPr>
                <w:noProof/>
              </w:rPr>
              <w:t>385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A4528A5" w14:textId="77777777" w:rsidR="000E48CE" w:rsidRDefault="00FF4C4E">
            <w:pPr>
              <w:pStyle w:val="P68B1DB1-Normal46"/>
              <w:spacing w:after="0" w:line="240" w:lineRule="auto"/>
              <w:jc w:val="center"/>
              <w:rPr>
                <w:rFonts w:eastAsia="Times New Roman" w:cs="Times New Roman"/>
                <w:noProof/>
              </w:rPr>
            </w:pPr>
            <w:r>
              <w:rPr>
                <w:noProof/>
              </w:rPr>
              <w:t>C28.R1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A3516FC"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1BFA19B" w14:textId="77777777" w:rsidR="000E48CE" w:rsidRDefault="00FF4C4E">
            <w:pPr>
              <w:pStyle w:val="P68B1DB1-Normal46"/>
              <w:spacing w:after="0" w:line="240" w:lineRule="auto"/>
              <w:rPr>
                <w:rFonts w:eastAsia="Times New Roman" w:cs="Times New Roman"/>
                <w:noProof/>
              </w:rPr>
            </w:pPr>
            <w:r>
              <w:rPr>
                <w:noProof/>
              </w:rPr>
              <w:t xml:space="preserve">Vuosina 2020 ja 2021 hyväksytyt </w:t>
            </w:r>
            <w:r>
              <w:rPr>
                <w:noProof/>
              </w:rPr>
              <w:t>finanssipoliittiset toimenpiteet covid-19-pandemian vaikutusten lieventämiseksi.</w:t>
            </w:r>
          </w:p>
        </w:tc>
      </w:tr>
      <w:tr w:rsidR="000E48CE" w14:paraId="2BF8B17A"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EF987" w14:textId="77777777" w:rsidR="000E48CE" w:rsidRDefault="00FF4C4E">
            <w:pPr>
              <w:pStyle w:val="P68B1DB1-Normal46"/>
              <w:spacing w:after="0" w:line="240" w:lineRule="auto"/>
              <w:jc w:val="center"/>
              <w:rPr>
                <w:rFonts w:eastAsia="Times New Roman" w:cs="Times New Roman"/>
                <w:noProof/>
              </w:rPr>
            </w:pPr>
            <w:r>
              <w:rPr>
                <w:noProof/>
              </w:rPr>
              <w:t>387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8A79D5C" w14:textId="77777777" w:rsidR="000E48CE" w:rsidRDefault="00FF4C4E">
            <w:pPr>
              <w:pStyle w:val="P68B1DB1-Normal46"/>
              <w:spacing w:after="0" w:line="240" w:lineRule="auto"/>
              <w:jc w:val="center"/>
              <w:rPr>
                <w:rFonts w:eastAsia="Times New Roman" w:cs="Times New Roman"/>
                <w:noProof/>
              </w:rPr>
            </w:pPr>
            <w:r>
              <w:rPr>
                <w:noProof/>
              </w:rPr>
              <w:t>C28.R3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4CD326"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B4D350C" w14:textId="77777777" w:rsidR="000E48CE" w:rsidRDefault="00FF4C4E">
            <w:pPr>
              <w:pStyle w:val="P68B1DB1-Normal46"/>
              <w:spacing w:after="0" w:line="240" w:lineRule="auto"/>
              <w:rPr>
                <w:rFonts w:eastAsia="Times New Roman" w:cs="Times New Roman"/>
                <w:noProof/>
              </w:rPr>
            </w:pPr>
            <w:r>
              <w:rPr>
                <w:noProof/>
              </w:rPr>
              <w:t>Valtiovarainministeri nimittää asiantuntijakomitean.</w:t>
            </w:r>
          </w:p>
        </w:tc>
      </w:tr>
      <w:tr w:rsidR="000E48CE" w14:paraId="2DD40F4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BD5DEC" w14:textId="77777777" w:rsidR="000E48CE" w:rsidRDefault="00FF4C4E">
            <w:pPr>
              <w:pStyle w:val="P68B1DB1-Normal46"/>
              <w:spacing w:after="0" w:line="240" w:lineRule="auto"/>
              <w:jc w:val="center"/>
              <w:rPr>
                <w:rFonts w:eastAsia="Times New Roman" w:cs="Times New Roman"/>
                <w:noProof/>
              </w:rPr>
            </w:pPr>
            <w:r>
              <w:rPr>
                <w:noProof/>
              </w:rPr>
              <w:t>392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1C92750" w14:textId="77777777" w:rsidR="000E48CE" w:rsidRDefault="00FF4C4E">
            <w:pPr>
              <w:pStyle w:val="P68B1DB1-Normal46"/>
              <w:spacing w:after="0" w:line="240" w:lineRule="auto"/>
              <w:jc w:val="center"/>
              <w:rPr>
                <w:rFonts w:eastAsia="Times New Roman" w:cs="Times New Roman"/>
                <w:noProof/>
              </w:rPr>
            </w:pPr>
            <w:r>
              <w:rPr>
                <w:noProof/>
              </w:rPr>
              <w:t>C28.R5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F5F636"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2F360C3" w14:textId="77777777" w:rsidR="000E48CE" w:rsidRDefault="00FF4C4E">
            <w:pPr>
              <w:pStyle w:val="P68B1DB1-Normal46"/>
              <w:spacing w:after="0" w:line="240" w:lineRule="auto"/>
              <w:rPr>
                <w:rFonts w:eastAsia="Times New Roman" w:cs="Times New Roman"/>
                <w:noProof/>
              </w:rPr>
            </w:pPr>
            <w:r>
              <w:rPr>
                <w:noProof/>
              </w:rPr>
              <w:t>Digitaalisten palvelujen vero</w:t>
            </w:r>
          </w:p>
        </w:tc>
      </w:tr>
      <w:tr w:rsidR="000E48CE" w14:paraId="19A73E5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BDD7B" w14:textId="77777777" w:rsidR="000E48CE" w:rsidRDefault="00FF4C4E">
            <w:pPr>
              <w:pStyle w:val="P68B1DB1-Normal46"/>
              <w:spacing w:after="0" w:line="240" w:lineRule="auto"/>
              <w:jc w:val="center"/>
              <w:rPr>
                <w:rFonts w:eastAsia="Times New Roman" w:cs="Times New Roman"/>
                <w:noProof/>
              </w:rPr>
            </w:pPr>
            <w:r>
              <w:rPr>
                <w:noProof/>
              </w:rPr>
              <w:t>393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E4C8FB9" w14:textId="77777777" w:rsidR="000E48CE" w:rsidRDefault="00FF4C4E">
            <w:pPr>
              <w:pStyle w:val="P68B1DB1-Normal46"/>
              <w:spacing w:after="0" w:line="240" w:lineRule="auto"/>
              <w:jc w:val="center"/>
              <w:rPr>
                <w:rFonts w:eastAsia="Times New Roman" w:cs="Times New Roman"/>
                <w:noProof/>
              </w:rPr>
            </w:pPr>
            <w:r>
              <w:rPr>
                <w:noProof/>
              </w:rPr>
              <w:t>C28.R6</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A329674"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1C2CFB6" w14:textId="77777777" w:rsidR="000E48CE" w:rsidRDefault="00FF4C4E">
            <w:pPr>
              <w:pStyle w:val="P68B1DB1-Normal46"/>
              <w:spacing w:after="0" w:line="240" w:lineRule="auto"/>
              <w:rPr>
                <w:rFonts w:eastAsia="Times New Roman" w:cs="Times New Roman"/>
                <w:noProof/>
              </w:rPr>
            </w:pPr>
            <w:r>
              <w:rPr>
                <w:noProof/>
              </w:rPr>
              <w:t>Finanssitransaktiovero</w:t>
            </w:r>
          </w:p>
        </w:tc>
      </w:tr>
      <w:tr w:rsidR="000E48CE" w14:paraId="4FDBCE8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0FD63E" w14:textId="77777777" w:rsidR="000E48CE" w:rsidRDefault="00FF4C4E">
            <w:pPr>
              <w:pStyle w:val="P68B1DB1-Normal46"/>
              <w:spacing w:after="0" w:line="240" w:lineRule="auto"/>
              <w:jc w:val="center"/>
              <w:rPr>
                <w:rFonts w:eastAsia="Times New Roman" w:cs="Times New Roman"/>
                <w:noProof/>
              </w:rPr>
            </w:pPr>
            <w:r>
              <w:rPr>
                <w:noProof/>
              </w:rPr>
              <w:t>394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A9AD04E" w14:textId="77777777" w:rsidR="000E48CE" w:rsidRDefault="00FF4C4E">
            <w:pPr>
              <w:pStyle w:val="P68B1DB1-Normal46"/>
              <w:spacing w:after="0" w:line="240" w:lineRule="auto"/>
              <w:jc w:val="center"/>
              <w:rPr>
                <w:rFonts w:eastAsia="Times New Roman" w:cs="Times New Roman"/>
                <w:noProof/>
              </w:rPr>
            </w:pPr>
            <w:r>
              <w:rPr>
                <w:noProof/>
              </w:rPr>
              <w:t>C28.R7</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0361A9F"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6A8413F" w14:textId="77777777" w:rsidR="000E48CE" w:rsidRDefault="00FF4C4E">
            <w:pPr>
              <w:pStyle w:val="P68B1DB1-Normal46"/>
              <w:spacing w:after="0" w:line="240" w:lineRule="auto"/>
              <w:rPr>
                <w:rFonts w:eastAsia="Times New Roman" w:cs="Times New Roman"/>
                <w:noProof/>
              </w:rPr>
            </w:pPr>
            <w:r>
              <w:rPr>
                <w:noProof/>
              </w:rPr>
              <w:t>Henkilökohtaisen tuloveron ja varallisuusveron muutokset vuonna 2021</w:t>
            </w:r>
          </w:p>
        </w:tc>
      </w:tr>
      <w:tr w:rsidR="000E48CE" w14:paraId="7E5243A2"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FC7B2" w14:textId="77777777" w:rsidR="000E48CE" w:rsidRDefault="00FF4C4E">
            <w:pPr>
              <w:pStyle w:val="P68B1DB1-Normal46"/>
              <w:spacing w:after="0" w:line="240" w:lineRule="auto"/>
              <w:jc w:val="center"/>
              <w:rPr>
                <w:rFonts w:eastAsia="Times New Roman" w:cs="Times New Roman"/>
                <w:noProof/>
              </w:rPr>
            </w:pPr>
            <w:r>
              <w:rPr>
                <w:noProof/>
              </w:rPr>
              <w:t>395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CECD4A7" w14:textId="77777777" w:rsidR="000E48CE" w:rsidRDefault="00FF4C4E">
            <w:pPr>
              <w:pStyle w:val="P68B1DB1-Normal46"/>
              <w:spacing w:after="0" w:line="240" w:lineRule="auto"/>
              <w:jc w:val="center"/>
              <w:rPr>
                <w:rFonts w:eastAsia="Times New Roman" w:cs="Times New Roman"/>
                <w:noProof/>
              </w:rPr>
            </w:pPr>
            <w:r>
              <w:rPr>
                <w:noProof/>
              </w:rPr>
              <w:t>C28.R8</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A6CE1B"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E3DA791" w14:textId="77777777" w:rsidR="000E48CE" w:rsidRDefault="00FF4C4E">
            <w:pPr>
              <w:pStyle w:val="P68B1DB1-Normal46"/>
              <w:spacing w:after="0" w:line="240" w:lineRule="auto"/>
              <w:rPr>
                <w:rFonts w:eastAsia="Times New Roman" w:cs="Times New Roman"/>
                <w:noProof/>
              </w:rPr>
            </w:pPr>
            <w:r>
              <w:rPr>
                <w:noProof/>
              </w:rPr>
              <w:t>Yhtiöveron muutokset vuonna 2021</w:t>
            </w:r>
          </w:p>
        </w:tc>
      </w:tr>
      <w:tr w:rsidR="000E48CE" w14:paraId="7722624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F99583" w14:textId="77777777" w:rsidR="000E48CE" w:rsidRDefault="00FF4C4E">
            <w:pPr>
              <w:pStyle w:val="P68B1DB1-Normal46"/>
              <w:spacing w:after="0" w:line="240" w:lineRule="auto"/>
              <w:jc w:val="center"/>
              <w:rPr>
                <w:rFonts w:eastAsia="Times New Roman" w:cs="Times New Roman"/>
                <w:noProof/>
              </w:rPr>
            </w:pPr>
            <w:r>
              <w:rPr>
                <w:noProof/>
              </w:rPr>
              <w:t>396</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5E99F93" w14:textId="77777777" w:rsidR="000E48CE" w:rsidRDefault="00FF4C4E">
            <w:pPr>
              <w:pStyle w:val="P68B1DB1-Normal46"/>
              <w:spacing w:after="0" w:line="240" w:lineRule="auto"/>
              <w:jc w:val="center"/>
              <w:rPr>
                <w:rFonts w:eastAsia="Times New Roman" w:cs="Times New Roman"/>
                <w:noProof/>
              </w:rPr>
            </w:pPr>
            <w:r>
              <w:rPr>
                <w:noProof/>
              </w:rPr>
              <w:t>C28.R9</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9BB433"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65CF4A6" w14:textId="77777777" w:rsidR="000E48CE" w:rsidRDefault="00FF4C4E">
            <w:pPr>
              <w:pStyle w:val="P68B1DB1-Normal46"/>
              <w:spacing w:after="0" w:line="240" w:lineRule="auto"/>
              <w:rPr>
                <w:rFonts w:eastAsia="Times New Roman" w:cs="Times New Roman"/>
                <w:noProof/>
              </w:rPr>
            </w:pPr>
            <w:r>
              <w:rPr>
                <w:noProof/>
              </w:rPr>
              <w:t>Välillisten verojen muutokset vuonna 2021</w:t>
            </w:r>
          </w:p>
        </w:tc>
      </w:tr>
      <w:tr w:rsidR="000E48CE" w14:paraId="4701633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09BFF" w14:textId="77777777" w:rsidR="000E48CE" w:rsidRDefault="00FF4C4E">
            <w:pPr>
              <w:pStyle w:val="P68B1DB1-Normal46"/>
              <w:spacing w:after="0" w:line="240" w:lineRule="auto"/>
              <w:jc w:val="center"/>
              <w:rPr>
                <w:rFonts w:eastAsia="Times New Roman" w:cs="Times New Roman"/>
                <w:noProof/>
              </w:rPr>
            </w:pPr>
            <w:r>
              <w:rPr>
                <w:noProof/>
              </w:rPr>
              <w:t>397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70D88FC" w14:textId="77777777" w:rsidR="000E48CE" w:rsidRDefault="00FF4C4E">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D4D156D"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13B9CF6" w14:textId="77777777" w:rsidR="000E48CE" w:rsidRDefault="00FF4C4E">
            <w:pPr>
              <w:pStyle w:val="P68B1DB1-Normal46"/>
              <w:spacing w:after="0" w:line="240" w:lineRule="auto"/>
              <w:rPr>
                <w:rFonts w:eastAsia="Times New Roman" w:cs="Times New Roman"/>
                <w:noProof/>
              </w:rPr>
            </w:pPr>
            <w:r>
              <w:rPr>
                <w:noProof/>
              </w:rPr>
              <w:t xml:space="preserve">Pysyvän ryhmän perustaminen valtiovarainministeriöön menojen </w:t>
            </w:r>
            <w:r>
              <w:rPr>
                <w:noProof/>
              </w:rPr>
              <w:t>uudelleenarviointien tulosten täytäntöönpanon aktiivista seurantaa varten ja vuotuisen talousarviolain laatimista koskevan määräyksen hyväksyminen</w:t>
            </w:r>
          </w:p>
        </w:tc>
      </w:tr>
      <w:tr w:rsidR="000E48CE" w14:paraId="0185B91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7B9EE" w14:textId="77777777" w:rsidR="000E48CE" w:rsidRDefault="00FF4C4E">
            <w:pPr>
              <w:pStyle w:val="P68B1DB1-Normal46"/>
              <w:spacing w:after="0" w:line="240" w:lineRule="auto"/>
              <w:jc w:val="center"/>
              <w:rPr>
                <w:rFonts w:eastAsia="Times New Roman" w:cs="Times New Roman"/>
                <w:noProof/>
              </w:rPr>
            </w:pPr>
            <w:r>
              <w:rPr>
                <w:noProof/>
              </w:rPr>
              <w:t>398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9B4927D" w14:textId="77777777" w:rsidR="000E48CE" w:rsidRDefault="00FF4C4E">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6493A3"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0809FF8" w14:textId="77777777" w:rsidR="000E48CE" w:rsidRDefault="00FF4C4E">
            <w:pPr>
              <w:pStyle w:val="P68B1DB1-Normal46"/>
              <w:spacing w:after="0" w:line="240" w:lineRule="auto"/>
              <w:rPr>
                <w:rFonts w:eastAsia="Times New Roman" w:cs="Times New Roman"/>
                <w:noProof/>
              </w:rPr>
            </w:pPr>
            <w:r>
              <w:rPr>
                <w:noProof/>
              </w:rPr>
              <w:t>Menojen uudelleentarkastelun vaihe III</w:t>
            </w:r>
          </w:p>
        </w:tc>
      </w:tr>
      <w:tr w:rsidR="000E48CE" w14:paraId="339E507F"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9C86D" w14:textId="77777777" w:rsidR="000E48CE" w:rsidRDefault="00FF4C4E">
            <w:pPr>
              <w:pStyle w:val="P68B1DB1-Normal46"/>
              <w:spacing w:after="0" w:line="240" w:lineRule="auto"/>
              <w:jc w:val="center"/>
              <w:rPr>
                <w:rFonts w:eastAsia="Times New Roman" w:cs="Times New Roman"/>
                <w:noProof/>
              </w:rPr>
            </w:pPr>
            <w:r>
              <w:rPr>
                <w:noProof/>
              </w:rPr>
              <w:t>399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22AABC1" w14:textId="77777777" w:rsidR="000E48CE" w:rsidRDefault="00FF4C4E">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A0BEC42"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67362B4" w14:textId="77777777" w:rsidR="000E48CE" w:rsidRDefault="00FF4C4E">
            <w:pPr>
              <w:pStyle w:val="P68B1DB1-Normal46"/>
              <w:spacing w:after="0" w:line="240" w:lineRule="auto"/>
              <w:rPr>
                <w:rFonts w:eastAsia="Times New Roman" w:cs="Times New Roman"/>
                <w:noProof/>
              </w:rPr>
            </w:pPr>
            <w:r>
              <w:rPr>
                <w:noProof/>
              </w:rPr>
              <w:t>Perustetaan AIReF:ään pysyvä yksikkö, joka</w:t>
            </w:r>
            <w:r>
              <w:rPr>
                <w:noProof/>
              </w:rPr>
              <w:t xml:space="preserve"> vastaa hallituksen valtuuttamien menojen uudelleentarkastelujen suorittamisesta.</w:t>
            </w:r>
          </w:p>
        </w:tc>
      </w:tr>
      <w:tr w:rsidR="000E48CE" w14:paraId="0C03F91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2E3B3" w14:textId="77777777" w:rsidR="000E48CE" w:rsidRDefault="00FF4C4E">
            <w:pPr>
              <w:pStyle w:val="P68B1DB1-Normal46"/>
              <w:spacing w:after="0" w:line="240" w:lineRule="auto"/>
              <w:jc w:val="center"/>
              <w:rPr>
                <w:rFonts w:eastAsia="Times New Roman" w:cs="Times New Roman"/>
                <w:noProof/>
              </w:rPr>
            </w:pPr>
            <w:r>
              <w:rPr>
                <w:noProof/>
              </w:rPr>
              <w:t>406</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7663E21" w14:textId="77777777" w:rsidR="000E48CE" w:rsidRDefault="00FF4C4E">
            <w:pPr>
              <w:pStyle w:val="P68B1DB1-Normal46"/>
              <w:spacing w:after="0" w:line="240" w:lineRule="auto"/>
              <w:jc w:val="center"/>
              <w:rPr>
                <w:rFonts w:eastAsia="Times New Roman" w:cs="Times New Roman"/>
                <w:noProof/>
              </w:rPr>
            </w:pPr>
            <w:r>
              <w:rPr>
                <w:noProof/>
              </w:rPr>
              <w:t>C30.R1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86A4FF4"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18A26EB" w14:textId="77777777" w:rsidR="000E48CE" w:rsidRDefault="00FF4C4E">
            <w:pPr>
              <w:pStyle w:val="P68B1DB1-Normal46"/>
              <w:spacing w:after="0" w:line="240" w:lineRule="auto"/>
              <w:rPr>
                <w:rFonts w:eastAsia="Times New Roman" w:cs="Times New Roman"/>
                <w:noProof/>
              </w:rPr>
            </w:pPr>
            <w:r>
              <w:rPr>
                <w:noProof/>
              </w:rPr>
              <w:t>Sosiaaliturvan rahoituksen erottaminen toisistaan</w:t>
            </w:r>
          </w:p>
        </w:tc>
      </w:tr>
      <w:tr w:rsidR="000E48CE" w14:paraId="53616CB8"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69FAD" w14:textId="77777777" w:rsidR="000E48CE" w:rsidRDefault="00FF4C4E">
            <w:pPr>
              <w:pStyle w:val="P68B1DB1-Normal46"/>
              <w:spacing w:after="0" w:line="240" w:lineRule="auto"/>
              <w:jc w:val="center"/>
              <w:rPr>
                <w:rFonts w:eastAsia="Times New Roman" w:cs="Times New Roman"/>
                <w:noProof/>
              </w:rPr>
            </w:pPr>
            <w:r>
              <w:rPr>
                <w:noProof/>
              </w:rPr>
              <w:t>412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4D8608D" w14:textId="77777777" w:rsidR="000E48CE" w:rsidRDefault="00FF4C4E">
            <w:pPr>
              <w:pStyle w:val="P68B1DB1-Normal46"/>
              <w:spacing w:after="0" w:line="240" w:lineRule="auto"/>
              <w:jc w:val="center"/>
              <w:rPr>
                <w:rFonts w:eastAsia="Times New Roman" w:cs="Times New Roman"/>
                <w:noProof/>
              </w:rPr>
            </w:pPr>
            <w:r>
              <w:rPr>
                <w:noProof/>
              </w:rPr>
              <w:t>C30.R4</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BFCDD9D"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ECE8215" w14:textId="77777777" w:rsidR="000E48CE" w:rsidRDefault="00FF4C4E">
            <w:pPr>
              <w:pStyle w:val="P68B1DB1-Normal46"/>
              <w:spacing w:after="0" w:line="240" w:lineRule="auto"/>
              <w:rPr>
                <w:rFonts w:eastAsia="Times New Roman" w:cs="Times New Roman"/>
                <w:noProof/>
              </w:rPr>
            </w:pPr>
            <w:r>
              <w:rPr>
                <w:noProof/>
              </w:rPr>
              <w:t>Äitiyteen liittyvien lisäyksien virtaviivaistaminen</w:t>
            </w:r>
          </w:p>
        </w:tc>
      </w:tr>
      <w:tr w:rsidR="000E48CE" w14:paraId="7400C45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4A9E1" w14:textId="77777777" w:rsidR="000E48CE" w:rsidRDefault="00FF4C4E">
            <w:pPr>
              <w:pStyle w:val="P68B1DB1-Normal46"/>
              <w:spacing w:after="0" w:line="240" w:lineRule="auto"/>
              <w:jc w:val="center"/>
              <w:rPr>
                <w:rFonts w:eastAsia="Times New Roman" w:cs="Times New Roman"/>
                <w:noProof/>
              </w:rPr>
            </w:pPr>
            <w:r>
              <w:rPr>
                <w:noProof/>
              </w:rPr>
              <w:t>413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146112D" w14:textId="77777777" w:rsidR="000E48CE" w:rsidRDefault="00FF4C4E">
            <w:pPr>
              <w:pStyle w:val="P68B1DB1-Normal46"/>
              <w:spacing w:after="0" w:line="240" w:lineRule="auto"/>
              <w:jc w:val="center"/>
              <w:rPr>
                <w:rFonts w:eastAsia="Times New Roman" w:cs="Times New Roman"/>
                <w:noProof/>
              </w:rPr>
            </w:pPr>
            <w:r>
              <w:rPr>
                <w:noProof/>
              </w:rPr>
              <w:t>C30.R5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80DCF87" w14:textId="77777777" w:rsidR="000E48CE" w:rsidRDefault="00FF4C4E">
            <w:pPr>
              <w:pStyle w:val="P68B1DB1-Normal46"/>
              <w:spacing w:after="0" w:line="240" w:lineRule="auto"/>
              <w:jc w:val="center"/>
              <w:rPr>
                <w:rFonts w:eastAsia="Times New Roman" w:cs="Times New Roman"/>
                <w:noProof/>
              </w:rPr>
            </w:pPr>
            <w:r>
              <w:rPr>
                <w:noProof/>
              </w:rPr>
              <w:t>M</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4DF4257" w14:textId="77777777" w:rsidR="000E48CE" w:rsidRDefault="00FF4C4E">
            <w:pPr>
              <w:pStyle w:val="P68B1DB1-Normal46"/>
              <w:spacing w:after="0" w:line="240" w:lineRule="auto"/>
              <w:rPr>
                <w:rFonts w:eastAsia="Times New Roman" w:cs="Times New Roman"/>
                <w:noProof/>
              </w:rPr>
            </w:pPr>
            <w:r>
              <w:rPr>
                <w:noProof/>
              </w:rPr>
              <w:t xml:space="preserve">Nykyiseen </w:t>
            </w:r>
            <w:r>
              <w:rPr>
                <w:noProof/>
              </w:rPr>
              <w:t>lisäeläkejärjestelmään liittyvien verohelpotusten tarkistaminen</w:t>
            </w:r>
          </w:p>
        </w:tc>
      </w:tr>
      <w:tr w:rsidR="000E48CE" w14:paraId="1FBF721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93B69" w14:textId="77777777" w:rsidR="000E48CE" w:rsidRDefault="000E48CE">
            <w:pPr>
              <w:spacing w:after="0" w:line="240" w:lineRule="auto"/>
              <w:jc w:val="center"/>
              <w:rPr>
                <w:rFonts w:ascii="Times New Roman" w:eastAsia="Times New Roman" w:hAnsi="Times New Roman" w:cs="Times New Roman"/>
                <w:noProof/>
                <w:sz w:val="20"/>
              </w:rPr>
            </w:pP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1E90416" w14:textId="77777777" w:rsidR="000E48CE" w:rsidRDefault="000E48CE">
            <w:pPr>
              <w:spacing w:after="0" w:line="240" w:lineRule="auto"/>
              <w:rPr>
                <w:rFonts w:ascii="Times New Roman" w:eastAsia="Times New Roman" w:hAnsi="Times New Roman" w:cs="Times New Roman"/>
                <w:noProof/>
                <w:sz w:val="20"/>
              </w:rPr>
            </w:pP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34E8AC5" w14:textId="77777777" w:rsidR="000E48CE" w:rsidRDefault="00FF4C4E">
            <w:pPr>
              <w:pStyle w:val="P68B1DB1-Normal45"/>
              <w:spacing w:after="0" w:line="240" w:lineRule="auto"/>
              <w:rPr>
                <w:rFonts w:eastAsia="Times New Roman" w:cs="Times New Roman"/>
                <w:noProof/>
              </w:rPr>
            </w:pPr>
            <w:r>
              <w:rPr>
                <w:noProof/>
              </w:rPr>
              <w:t>Erän suuruus</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72E8C0D" w14:textId="05D2F4A5" w:rsidR="000E48CE" w:rsidRDefault="00FF4C4E">
            <w:pPr>
              <w:pStyle w:val="P68B1DB1-Normal45"/>
              <w:spacing w:after="0" w:line="240" w:lineRule="auto"/>
              <w:rPr>
                <w:rFonts w:eastAsia="Times New Roman" w:cs="Times New Roman"/>
                <w:noProof/>
              </w:rPr>
            </w:pPr>
            <w:r>
              <w:rPr>
                <w:noProof/>
              </w:rPr>
              <w:t>VÄHIMMÄISPÄÄOMA: 11494252874 EUROA</w:t>
            </w:r>
          </w:p>
        </w:tc>
      </w:tr>
    </w:tbl>
    <w:p w14:paraId="0E88AC02" w14:textId="77777777" w:rsidR="000E48CE" w:rsidRDefault="000E48CE">
      <w:pPr>
        <w:spacing w:before="120" w:after="120" w:line="240" w:lineRule="auto"/>
        <w:jc w:val="both"/>
        <w:rPr>
          <w:rFonts w:ascii="Times New Roman" w:eastAsia="Calibri" w:hAnsi="Times New Roman" w:cs="Times New Roman"/>
          <w:noProof/>
          <w:sz w:val="24"/>
        </w:rPr>
      </w:pPr>
    </w:p>
    <w:p w14:paraId="2C3B7F6D"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Toinen erä (avustusmuotoinen tuki): </w:t>
      </w:r>
    </w:p>
    <w:tbl>
      <w:tblPr>
        <w:tblW w:w="9663" w:type="dxa"/>
        <w:tblInd w:w="113" w:type="dxa"/>
        <w:tblLook w:val="04A0" w:firstRow="1" w:lastRow="0" w:firstColumn="1" w:lastColumn="0" w:noHBand="0" w:noVBand="1"/>
      </w:tblPr>
      <w:tblGrid>
        <w:gridCol w:w="1027"/>
        <w:gridCol w:w="1407"/>
        <w:gridCol w:w="1783"/>
        <w:gridCol w:w="6095"/>
      </w:tblGrid>
      <w:tr w:rsidR="000E48CE" w14:paraId="49E29A45" w14:textId="77777777">
        <w:trPr>
          <w:trHeight w:val="906"/>
          <w:tblHeader/>
        </w:trPr>
        <w:tc>
          <w:tcPr>
            <w:tcW w:w="10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944301"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DB3F00"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90CC157"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6095" w:type="dxa"/>
            <w:vMerge w:val="restart"/>
            <w:tcBorders>
              <w:top w:val="single" w:sz="4" w:space="0" w:color="auto"/>
              <w:left w:val="nil"/>
              <w:bottom w:val="single" w:sz="4" w:space="0" w:color="000000"/>
              <w:right w:val="single" w:sz="4" w:space="0" w:color="auto"/>
            </w:tcBorders>
            <w:shd w:val="clear" w:color="auto" w:fill="BDD7EE"/>
            <w:vAlign w:val="center"/>
            <w:hideMark/>
          </w:tcPr>
          <w:p w14:paraId="4961D985"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48B02ED2" w14:textId="77777777">
        <w:trPr>
          <w:trHeight w:val="509"/>
        </w:trPr>
        <w:tc>
          <w:tcPr>
            <w:tcW w:w="1027" w:type="dxa"/>
            <w:vMerge/>
            <w:tcBorders>
              <w:top w:val="single" w:sz="4" w:space="0" w:color="auto"/>
              <w:left w:val="single" w:sz="4" w:space="0" w:color="auto"/>
              <w:bottom w:val="single" w:sz="4" w:space="0" w:color="000000"/>
              <w:right w:val="single" w:sz="4" w:space="0" w:color="auto"/>
            </w:tcBorders>
            <w:vAlign w:val="center"/>
            <w:hideMark/>
          </w:tcPr>
          <w:p w14:paraId="15452E39" w14:textId="77777777" w:rsidR="000E48CE" w:rsidRDefault="000E48CE">
            <w:pPr>
              <w:spacing w:after="0" w:line="240" w:lineRule="auto"/>
              <w:rPr>
                <w:rFonts w:ascii="Times New Roman" w:eastAsia="Times New Roman" w:hAnsi="Times New Roman" w:cs="Times New Roman"/>
                <w:b/>
                <w:noProof/>
                <w:sz w:val="20"/>
              </w:rPr>
            </w:pPr>
          </w:p>
        </w:tc>
        <w:tc>
          <w:tcPr>
            <w:tcW w:w="1407" w:type="dxa"/>
            <w:vMerge/>
            <w:tcBorders>
              <w:top w:val="single" w:sz="4" w:space="0" w:color="auto"/>
              <w:left w:val="single" w:sz="4" w:space="0" w:color="auto"/>
              <w:bottom w:val="single" w:sz="4" w:space="0" w:color="000000"/>
              <w:right w:val="single" w:sz="4" w:space="0" w:color="auto"/>
            </w:tcBorders>
            <w:vAlign w:val="center"/>
            <w:hideMark/>
          </w:tcPr>
          <w:p w14:paraId="1A0AFC6D" w14:textId="77777777" w:rsidR="000E48CE" w:rsidRDefault="000E48CE">
            <w:pPr>
              <w:spacing w:after="0" w:line="240" w:lineRule="auto"/>
              <w:rPr>
                <w:rFonts w:ascii="Times New Roman" w:eastAsia="Times New Roman" w:hAnsi="Times New Roman" w:cs="Times New Roman"/>
                <w:b/>
                <w:noProof/>
                <w:sz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282B285" w14:textId="77777777" w:rsidR="000E48CE" w:rsidRDefault="000E48CE">
            <w:pPr>
              <w:spacing w:after="0" w:line="240" w:lineRule="auto"/>
              <w:rPr>
                <w:rFonts w:ascii="Times New Roman" w:eastAsia="Times New Roman" w:hAnsi="Times New Roman" w:cs="Times New Roman"/>
                <w:b/>
                <w:noProof/>
                <w:sz w:val="20"/>
              </w:rPr>
            </w:pPr>
          </w:p>
        </w:tc>
        <w:tc>
          <w:tcPr>
            <w:tcW w:w="6095" w:type="dxa"/>
            <w:vMerge/>
            <w:tcBorders>
              <w:top w:val="single" w:sz="4" w:space="0" w:color="auto"/>
              <w:left w:val="nil"/>
              <w:bottom w:val="single" w:sz="4" w:space="0" w:color="000000"/>
              <w:right w:val="single" w:sz="4" w:space="0" w:color="auto"/>
            </w:tcBorders>
            <w:vAlign w:val="center"/>
            <w:hideMark/>
          </w:tcPr>
          <w:p w14:paraId="5B0778BF" w14:textId="77777777" w:rsidR="000E48CE" w:rsidRDefault="000E48CE">
            <w:pPr>
              <w:spacing w:after="0" w:line="240" w:lineRule="auto"/>
              <w:rPr>
                <w:rFonts w:ascii="Times New Roman" w:eastAsia="Times New Roman" w:hAnsi="Times New Roman" w:cs="Times New Roman"/>
                <w:b/>
                <w:noProof/>
                <w:sz w:val="20"/>
              </w:rPr>
            </w:pPr>
          </w:p>
        </w:tc>
      </w:tr>
      <w:tr w:rsidR="000E48CE" w14:paraId="1A37BBB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011CA9" w14:textId="77777777" w:rsidR="000E48CE" w:rsidRDefault="00FF4C4E">
            <w:pPr>
              <w:pStyle w:val="P68B1DB1-Normal46"/>
              <w:spacing w:after="0" w:line="240" w:lineRule="auto"/>
              <w:jc w:val="center"/>
              <w:rPr>
                <w:rFonts w:eastAsia="Times New Roman" w:cs="Times New Roman"/>
                <w:noProof/>
              </w:rPr>
            </w:pPr>
            <w:r>
              <w:rPr>
                <w:noProof/>
              </w:rPr>
              <w:t>24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7B5483B" w14:textId="77777777" w:rsidR="000E48CE" w:rsidRDefault="00FF4C4E">
            <w:pPr>
              <w:pStyle w:val="P68B1DB1-Normal46"/>
              <w:spacing w:after="0" w:line="240" w:lineRule="auto"/>
              <w:jc w:val="center"/>
              <w:rPr>
                <w:rFonts w:eastAsia="Times New Roman" w:cs="Times New Roman"/>
                <w:noProof/>
              </w:rPr>
            </w:pPr>
            <w:r>
              <w:rPr>
                <w:noProof/>
              </w:rPr>
              <w:t>C2.R5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A0A1D3"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D6D03CE" w14:textId="77777777" w:rsidR="000E48CE" w:rsidRDefault="00FF4C4E">
            <w:pPr>
              <w:pStyle w:val="P68B1DB1-Normal46"/>
              <w:spacing w:after="0" w:line="240" w:lineRule="auto"/>
              <w:rPr>
                <w:rFonts w:eastAsia="Times New Roman" w:cs="Times New Roman"/>
                <w:noProof/>
              </w:rPr>
            </w:pPr>
            <w:r>
              <w:rPr>
                <w:noProof/>
              </w:rPr>
              <w:t xml:space="preserve">Kuninkaallinen asetus perusparannustoimistoista (yhden luukunnallinen palvelupiste) tulee voimaan </w:t>
            </w:r>
          </w:p>
        </w:tc>
      </w:tr>
      <w:tr w:rsidR="000E48CE" w14:paraId="79DEBF0C"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2A53EB" w14:textId="77777777" w:rsidR="000E48CE" w:rsidRDefault="00FF4C4E">
            <w:pPr>
              <w:pStyle w:val="P68B1DB1-Normal46"/>
              <w:spacing w:after="0" w:line="240" w:lineRule="auto"/>
              <w:jc w:val="center"/>
              <w:rPr>
                <w:rFonts w:eastAsia="Times New Roman" w:cs="Times New Roman"/>
                <w:noProof/>
              </w:rPr>
            </w:pPr>
            <w:r>
              <w:rPr>
                <w:noProof/>
              </w:rPr>
              <w:t>26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DE24DCA" w14:textId="77777777" w:rsidR="000E48CE" w:rsidRDefault="00FF4C4E">
            <w:pPr>
              <w:pStyle w:val="P68B1DB1-Normal46"/>
              <w:spacing w:after="0" w:line="240" w:lineRule="auto"/>
              <w:jc w:val="center"/>
              <w:rPr>
                <w:rFonts w:eastAsia="Times New Roman" w:cs="Times New Roman"/>
                <w:noProof/>
              </w:rPr>
            </w:pPr>
            <w:r>
              <w:rPr>
                <w:noProof/>
              </w:rPr>
              <w:t>C2.I1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DCF1C0B"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D73ADC9" w14:textId="77777777" w:rsidR="000E48CE" w:rsidRDefault="00FF4C4E">
            <w:pPr>
              <w:pStyle w:val="P68B1DB1-Normal46"/>
              <w:spacing w:after="0" w:line="240" w:lineRule="auto"/>
              <w:rPr>
                <w:rFonts w:eastAsia="Times New Roman" w:cs="Times New Roman"/>
                <w:noProof/>
              </w:rPr>
            </w:pPr>
            <w:r>
              <w:rPr>
                <w:noProof/>
              </w:rPr>
              <w:t xml:space="preserve">Uudistamisohjelman täytäntöönpanon sääntelykehyksestä annetun kuninkaallisen asetuksen voimaantulo; ja kuninkaallinen asetus, jolla säännellään henkilökohtaisia tuloverokannustimia ohjelman tukemiseksi </w:t>
            </w:r>
          </w:p>
        </w:tc>
      </w:tr>
      <w:tr w:rsidR="000E48CE" w14:paraId="4798EE4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54370D" w14:textId="77777777" w:rsidR="000E48CE" w:rsidRDefault="00FF4C4E">
            <w:pPr>
              <w:pStyle w:val="P68B1DB1-Normal46"/>
              <w:spacing w:after="0" w:line="240" w:lineRule="auto"/>
              <w:jc w:val="center"/>
              <w:rPr>
                <w:rFonts w:eastAsia="Times New Roman" w:cs="Times New Roman"/>
                <w:noProof/>
              </w:rPr>
            </w:pPr>
            <w:r>
              <w:rPr>
                <w:noProof/>
              </w:rPr>
              <w:t>30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6D0EC20" w14:textId="77777777" w:rsidR="000E48CE" w:rsidRDefault="00FF4C4E">
            <w:pPr>
              <w:pStyle w:val="P68B1DB1-Normal46"/>
              <w:spacing w:after="0" w:line="240" w:lineRule="auto"/>
              <w:jc w:val="center"/>
              <w:rPr>
                <w:rFonts w:eastAsia="Times New Roman" w:cs="Times New Roman"/>
                <w:noProof/>
              </w:rPr>
            </w:pPr>
            <w:r>
              <w:rPr>
                <w:noProof/>
              </w:rPr>
              <w:t>C2.I2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7FF71F2"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DC34772" w14:textId="77777777" w:rsidR="000E48CE" w:rsidRDefault="00FF4C4E">
            <w:pPr>
              <w:pStyle w:val="P68B1DB1-Normal46"/>
              <w:spacing w:after="0" w:line="240" w:lineRule="auto"/>
              <w:rPr>
                <w:rFonts w:eastAsia="Times New Roman" w:cs="Times New Roman"/>
                <w:noProof/>
              </w:rPr>
            </w:pPr>
            <w:r>
              <w:rPr>
                <w:noProof/>
              </w:rPr>
              <w:t>Energiatehokkaita sosiaalisia vuokra-asun</w:t>
            </w:r>
            <w:r>
              <w:rPr>
                <w:noProof/>
              </w:rPr>
              <w:t xml:space="preserve">toja koskevan ohjelman täytäntöönpanoa koskevan sääntelykehyksen määrittelystä annetun kuninkaallisen asetuksen voimaantulo </w:t>
            </w:r>
          </w:p>
        </w:tc>
      </w:tr>
      <w:tr w:rsidR="000E48CE" w14:paraId="3393379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9079B" w14:textId="77777777" w:rsidR="000E48CE" w:rsidRDefault="00FF4C4E">
            <w:pPr>
              <w:pStyle w:val="P68B1DB1-Normal46"/>
              <w:spacing w:after="0" w:line="240" w:lineRule="auto"/>
              <w:jc w:val="center"/>
              <w:rPr>
                <w:rFonts w:eastAsia="Times New Roman" w:cs="Times New Roman"/>
                <w:noProof/>
              </w:rPr>
            </w:pPr>
            <w:r>
              <w:rPr>
                <w:noProof/>
              </w:rPr>
              <w:t>40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7CA5B6E6" w14:textId="77777777" w:rsidR="000E48CE" w:rsidRDefault="00FF4C4E">
            <w:pPr>
              <w:pStyle w:val="P68B1DB1-Normal46"/>
              <w:spacing w:after="0" w:line="240" w:lineRule="auto"/>
              <w:jc w:val="center"/>
              <w:rPr>
                <w:rFonts w:eastAsia="Times New Roman" w:cs="Times New Roman"/>
                <w:noProof/>
              </w:rPr>
            </w:pPr>
            <w:r>
              <w:rPr>
                <w:noProof/>
              </w:rPr>
              <w:t>C3.R1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C667D7A"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2E8AF21" w14:textId="77777777" w:rsidR="000E48CE" w:rsidRDefault="00FF4C4E">
            <w:pPr>
              <w:pStyle w:val="P68B1DB1-Normal46"/>
              <w:spacing w:after="0" w:line="240" w:lineRule="auto"/>
              <w:rPr>
                <w:rFonts w:eastAsia="Times New Roman" w:cs="Times New Roman"/>
                <w:noProof/>
              </w:rPr>
            </w:pPr>
            <w:r>
              <w:rPr>
                <w:noProof/>
              </w:rPr>
              <w:t xml:space="preserve">Elintarvikeketjun toimintaa parantavista toimenpiteistä annetun lain 12/2013 toisen muutoksen voimaantulo </w:t>
            </w:r>
          </w:p>
        </w:tc>
      </w:tr>
      <w:tr w:rsidR="000E48CE" w14:paraId="61B9AA8B"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C78075" w14:textId="77777777" w:rsidR="000E48CE" w:rsidRDefault="00FF4C4E">
            <w:pPr>
              <w:pStyle w:val="P68B1DB1-Normal46"/>
              <w:spacing w:after="0" w:line="240" w:lineRule="auto"/>
              <w:jc w:val="center"/>
              <w:rPr>
                <w:rFonts w:eastAsia="Times New Roman" w:cs="Times New Roman"/>
                <w:noProof/>
              </w:rPr>
            </w:pPr>
            <w:r>
              <w:rPr>
                <w:noProof/>
              </w:rPr>
              <w:t>46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D97DD9F" w14:textId="77777777" w:rsidR="000E48CE" w:rsidRDefault="00FF4C4E">
            <w:pPr>
              <w:pStyle w:val="P68B1DB1-Normal46"/>
              <w:spacing w:after="0" w:line="240" w:lineRule="auto"/>
              <w:jc w:val="center"/>
              <w:rPr>
                <w:rFonts w:eastAsia="Times New Roman" w:cs="Times New Roman"/>
                <w:noProof/>
              </w:rPr>
            </w:pPr>
            <w:r>
              <w:rPr>
                <w:noProof/>
              </w:rPr>
              <w:t>C3.I1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61E03C9" w14:textId="77777777" w:rsidR="000E48CE" w:rsidRDefault="00FF4C4E">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8842CDB" w14:textId="77777777" w:rsidR="000E48CE" w:rsidRDefault="00FF4C4E">
            <w:pPr>
              <w:pStyle w:val="P68B1DB1-Normal46"/>
              <w:spacing w:after="0" w:line="240" w:lineRule="auto"/>
              <w:rPr>
                <w:rFonts w:eastAsia="Times New Roman" w:cs="Times New Roman"/>
                <w:noProof/>
              </w:rPr>
            </w:pPr>
            <w:r>
              <w:rPr>
                <w:noProof/>
              </w:rPr>
              <w:t>Maatalous-, kalastus- ja elintarvikeministeriön (MAPA) ja SEIASAn välisen sopimuksen voimaantulo kasteltujen alueiden parantamisen ja kestävyyden tukemiseksi (I vaihe)</w:t>
            </w:r>
          </w:p>
        </w:tc>
      </w:tr>
      <w:tr w:rsidR="000E48CE" w14:paraId="3B45D08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D0804C" w14:textId="77777777" w:rsidR="000E48CE" w:rsidRDefault="00FF4C4E">
            <w:pPr>
              <w:pStyle w:val="P68B1DB1-Normal46"/>
              <w:spacing w:after="0" w:line="240" w:lineRule="auto"/>
              <w:jc w:val="center"/>
              <w:rPr>
                <w:rFonts w:eastAsia="Times New Roman" w:cs="Times New Roman"/>
                <w:noProof/>
              </w:rPr>
            </w:pPr>
            <w:r>
              <w:rPr>
                <w:noProof/>
              </w:rPr>
              <w:t>56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BD6A95F" w14:textId="77777777" w:rsidR="000E48CE" w:rsidRDefault="00FF4C4E">
            <w:pPr>
              <w:pStyle w:val="P68B1DB1-Normal46"/>
              <w:spacing w:after="0" w:line="240" w:lineRule="auto"/>
              <w:jc w:val="center"/>
              <w:rPr>
                <w:rFonts w:eastAsia="Times New Roman" w:cs="Times New Roman"/>
                <w:noProof/>
              </w:rPr>
            </w:pPr>
            <w:r>
              <w:rPr>
                <w:noProof/>
              </w:rPr>
              <w:t>C3.I7</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52C591D"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61635878" w14:textId="77777777" w:rsidR="000E48CE" w:rsidRDefault="00FF4C4E">
            <w:pPr>
              <w:pStyle w:val="P68B1DB1-Normal46"/>
              <w:spacing w:after="0" w:line="240" w:lineRule="auto"/>
              <w:rPr>
                <w:rFonts w:eastAsia="Times New Roman" w:cs="Times New Roman"/>
                <w:noProof/>
              </w:rPr>
            </w:pPr>
            <w:r>
              <w:rPr>
                <w:noProof/>
              </w:rPr>
              <w:t>Sopimukset julkisten tutkimuslaitosten kanssa</w:t>
            </w:r>
          </w:p>
        </w:tc>
      </w:tr>
      <w:tr w:rsidR="000E48CE" w14:paraId="6AD2D41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5CC7B3" w14:textId="77777777" w:rsidR="000E48CE" w:rsidRDefault="00FF4C4E">
            <w:pPr>
              <w:pStyle w:val="P68B1DB1-Normal46"/>
              <w:spacing w:after="0" w:line="240" w:lineRule="auto"/>
              <w:jc w:val="center"/>
              <w:rPr>
                <w:rFonts w:eastAsia="Times New Roman" w:cs="Times New Roman"/>
                <w:noProof/>
              </w:rPr>
            </w:pPr>
            <w:r>
              <w:rPr>
                <w:noProof/>
              </w:rPr>
              <w:t>74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265C18C" w14:textId="77777777" w:rsidR="000E48CE" w:rsidRDefault="00FF4C4E">
            <w:pPr>
              <w:pStyle w:val="P68B1DB1-Normal46"/>
              <w:spacing w:after="0" w:line="240" w:lineRule="auto"/>
              <w:jc w:val="center"/>
              <w:rPr>
                <w:rFonts w:eastAsia="Times New Roman" w:cs="Times New Roman"/>
                <w:noProof/>
              </w:rPr>
            </w:pPr>
            <w:r>
              <w:rPr>
                <w:noProof/>
              </w:rPr>
              <w:t>C5.R1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4BECF16"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71B3BD2" w14:textId="77777777" w:rsidR="000E48CE" w:rsidRDefault="00FF4C4E">
            <w:pPr>
              <w:pStyle w:val="P68B1DB1-Normal46"/>
              <w:spacing w:after="0" w:line="240" w:lineRule="auto"/>
              <w:rPr>
                <w:rFonts w:eastAsia="Times New Roman" w:cs="Times New Roman"/>
                <w:noProof/>
              </w:rPr>
            </w:pPr>
            <w:r>
              <w:rPr>
                <w:noProof/>
              </w:rPr>
              <w:t xml:space="preserve">Hydrologisesta suunnittelusta annetun asetuksen muutosten voimaantulo </w:t>
            </w:r>
          </w:p>
        </w:tc>
      </w:tr>
      <w:tr w:rsidR="000E48CE" w14:paraId="6C3BD0AB"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208FFD" w14:textId="77777777" w:rsidR="000E48CE" w:rsidRDefault="00FF4C4E">
            <w:pPr>
              <w:pStyle w:val="P68B1DB1-Normal46"/>
              <w:spacing w:after="0" w:line="240" w:lineRule="auto"/>
              <w:jc w:val="center"/>
              <w:rPr>
                <w:rFonts w:eastAsia="Times New Roman" w:cs="Times New Roman"/>
                <w:noProof/>
              </w:rPr>
            </w:pPr>
            <w:r>
              <w:rPr>
                <w:noProof/>
              </w:rPr>
              <w:t>83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40B7F3" w14:textId="77777777" w:rsidR="000E48CE" w:rsidRDefault="00FF4C4E">
            <w:pPr>
              <w:pStyle w:val="P68B1DB1-Normal46"/>
              <w:spacing w:after="0" w:line="240" w:lineRule="auto"/>
              <w:jc w:val="center"/>
              <w:rPr>
                <w:rFonts w:eastAsia="Times New Roman" w:cs="Times New Roman"/>
                <w:noProof/>
              </w:rPr>
            </w:pPr>
            <w:r>
              <w:rPr>
                <w:noProof/>
              </w:rPr>
              <w:t>C6.R1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6DDB359"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23667E0" w14:textId="77777777" w:rsidR="000E48CE" w:rsidRDefault="00FF4C4E">
            <w:pPr>
              <w:pStyle w:val="P68B1DB1-Normal46"/>
              <w:spacing w:after="0" w:line="240" w:lineRule="auto"/>
              <w:rPr>
                <w:rFonts w:eastAsia="Times New Roman" w:cs="Times New Roman"/>
                <w:noProof/>
              </w:rPr>
            </w:pPr>
            <w:r>
              <w:rPr>
                <w:noProof/>
              </w:rPr>
              <w:t xml:space="preserve">Kestävän, turvallisen ja verkotetun liikkuvuuden strategia (hyväksyntä) </w:t>
            </w:r>
          </w:p>
        </w:tc>
      </w:tr>
      <w:tr w:rsidR="000E48CE" w14:paraId="24E452D9"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C11739" w14:textId="77777777" w:rsidR="000E48CE" w:rsidRDefault="00FF4C4E">
            <w:pPr>
              <w:pStyle w:val="P68B1DB1-Normal46"/>
              <w:spacing w:after="0" w:line="240" w:lineRule="auto"/>
              <w:jc w:val="center"/>
              <w:rPr>
                <w:rFonts w:eastAsia="Times New Roman" w:cs="Times New Roman"/>
                <w:noProof/>
              </w:rPr>
            </w:pPr>
            <w:r>
              <w:rPr>
                <w:noProof/>
              </w:rPr>
              <w:t>108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3A4BD27" w14:textId="77777777" w:rsidR="000E48CE" w:rsidRDefault="00FF4C4E">
            <w:pPr>
              <w:pStyle w:val="P68B1DB1-Normal46"/>
              <w:spacing w:after="0" w:line="240" w:lineRule="auto"/>
              <w:jc w:val="center"/>
              <w:rPr>
                <w:rFonts w:eastAsia="Times New Roman" w:cs="Times New Roman"/>
                <w:noProof/>
              </w:rPr>
            </w:pPr>
            <w:r>
              <w:rPr>
                <w:noProof/>
              </w:rPr>
              <w:t>C7.R2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1F933AB"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040114C" w14:textId="77777777" w:rsidR="000E48CE" w:rsidRDefault="00FF4C4E">
            <w:pPr>
              <w:pStyle w:val="P68B1DB1-Normal46"/>
              <w:spacing w:after="0" w:line="240" w:lineRule="auto"/>
              <w:rPr>
                <w:rFonts w:eastAsia="Times New Roman" w:cs="Times New Roman"/>
                <w:noProof/>
              </w:rPr>
            </w:pPr>
            <w:r>
              <w:rPr>
                <w:noProof/>
              </w:rPr>
              <w:t>Kansallinen oman kulutuksen strategia</w:t>
            </w:r>
          </w:p>
        </w:tc>
      </w:tr>
      <w:tr w:rsidR="000E48CE" w14:paraId="3A54A1F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4B182F" w14:textId="77777777" w:rsidR="000E48CE" w:rsidRDefault="00FF4C4E">
            <w:pPr>
              <w:pStyle w:val="P68B1DB1-Normal46"/>
              <w:spacing w:after="0" w:line="240" w:lineRule="auto"/>
              <w:jc w:val="center"/>
              <w:rPr>
                <w:rFonts w:eastAsia="Times New Roman" w:cs="Times New Roman"/>
                <w:noProof/>
              </w:rPr>
            </w:pPr>
            <w:r>
              <w:rPr>
                <w:noProof/>
              </w:rPr>
              <w:t>112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9EBBC9B" w14:textId="77777777" w:rsidR="000E48CE" w:rsidRDefault="00FF4C4E">
            <w:pPr>
              <w:pStyle w:val="P68B1DB1-Normal46"/>
              <w:spacing w:after="0" w:line="240" w:lineRule="auto"/>
              <w:jc w:val="center"/>
              <w:rPr>
                <w:rFonts w:eastAsia="Times New Roman" w:cs="Times New Roman"/>
                <w:noProof/>
              </w:rPr>
            </w:pPr>
            <w:r>
              <w:rPr>
                <w:noProof/>
              </w:rPr>
              <w:t>C7.R4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3AF77FA"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D9A7A5A" w14:textId="77777777" w:rsidR="000E48CE" w:rsidRDefault="00FF4C4E">
            <w:pPr>
              <w:pStyle w:val="P68B1DB1-Normal46"/>
              <w:spacing w:after="0" w:line="240" w:lineRule="auto"/>
              <w:rPr>
                <w:rFonts w:eastAsia="Times New Roman" w:cs="Times New Roman"/>
                <w:noProof/>
              </w:rPr>
            </w:pPr>
            <w:r>
              <w:rPr>
                <w:noProof/>
              </w:rPr>
              <w:t xml:space="preserve">Merituulivoimaa ja muuta </w:t>
            </w:r>
            <w:r>
              <w:rPr>
                <w:noProof/>
              </w:rPr>
              <w:t>merienergiaa koskeva etenemissuunnitelma</w:t>
            </w:r>
          </w:p>
        </w:tc>
      </w:tr>
      <w:tr w:rsidR="000E48CE" w14:paraId="7C77981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D56CD2" w14:textId="77777777" w:rsidR="000E48CE" w:rsidRDefault="00FF4C4E">
            <w:pPr>
              <w:pStyle w:val="P68B1DB1-Normal46"/>
              <w:spacing w:after="0" w:line="240" w:lineRule="auto"/>
              <w:jc w:val="center"/>
              <w:rPr>
                <w:rFonts w:eastAsia="Times New Roman" w:cs="Times New Roman"/>
                <w:noProof/>
              </w:rPr>
            </w:pPr>
            <w:r>
              <w:rPr>
                <w:noProof/>
              </w:rPr>
              <w:t>139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5BC9F10" w14:textId="77777777" w:rsidR="000E48CE" w:rsidRDefault="00FF4C4E">
            <w:pPr>
              <w:pStyle w:val="P68B1DB1-Normal46"/>
              <w:spacing w:after="0" w:line="240" w:lineRule="auto"/>
              <w:jc w:val="center"/>
              <w:rPr>
                <w:rFonts w:eastAsia="Times New Roman" w:cs="Times New Roman"/>
                <w:noProof/>
              </w:rPr>
            </w:pPr>
            <w:r>
              <w:rPr>
                <w:noProof/>
              </w:rPr>
              <w:t>C10.I1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2EFC6F"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596FD13" w14:textId="77777777" w:rsidR="000E48CE" w:rsidRDefault="00FF4C4E">
            <w:pPr>
              <w:pStyle w:val="P68B1DB1-Normal46"/>
              <w:spacing w:after="0" w:line="240" w:lineRule="auto"/>
              <w:rPr>
                <w:rFonts w:eastAsia="Times New Roman" w:cs="Times New Roman"/>
                <w:noProof/>
              </w:rPr>
            </w:pPr>
            <w:r>
              <w:rPr>
                <w:noProof/>
              </w:rPr>
              <w:t>Oikeudenmukaisen siirtymän koulutusohjelma ja tuen myöntäminen oikeudenmukaisen siirtymän alueiden taloudelliseen kehitykseen</w:t>
            </w:r>
          </w:p>
        </w:tc>
      </w:tr>
      <w:tr w:rsidR="000E48CE" w14:paraId="2F542DB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11C009" w14:textId="77777777" w:rsidR="000E48CE" w:rsidRDefault="00FF4C4E">
            <w:pPr>
              <w:pStyle w:val="P68B1DB1-Normal46"/>
              <w:spacing w:after="0" w:line="240" w:lineRule="auto"/>
              <w:jc w:val="center"/>
              <w:rPr>
                <w:rFonts w:eastAsia="Times New Roman" w:cs="Times New Roman"/>
                <w:noProof/>
              </w:rPr>
            </w:pPr>
            <w:r>
              <w:rPr>
                <w:noProof/>
              </w:rPr>
              <w:t>155</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B00D67D" w14:textId="77777777" w:rsidR="000E48CE" w:rsidRDefault="00FF4C4E">
            <w:pPr>
              <w:pStyle w:val="P68B1DB1-Normal46"/>
              <w:spacing w:after="0" w:line="240" w:lineRule="auto"/>
              <w:jc w:val="center"/>
              <w:rPr>
                <w:rFonts w:eastAsia="Times New Roman" w:cs="Times New Roman"/>
                <w:noProof/>
              </w:rPr>
            </w:pPr>
            <w:r>
              <w:rPr>
                <w:noProof/>
              </w:rPr>
              <w:t>C11.R4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A313C3F"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DE117A0" w14:textId="77777777" w:rsidR="000E48CE" w:rsidRDefault="00FF4C4E">
            <w:pPr>
              <w:pStyle w:val="P68B1DB1-Normal46"/>
              <w:spacing w:after="0" w:line="240" w:lineRule="auto"/>
              <w:rPr>
                <w:rFonts w:eastAsia="Times New Roman" w:cs="Times New Roman"/>
                <w:noProof/>
              </w:rPr>
            </w:pPr>
            <w:r>
              <w:rPr>
                <w:noProof/>
              </w:rPr>
              <w:t xml:space="preserve">Kansallisen arviointiviraston perustamisesta annetun ministeriön päätöksen voimaantulo </w:t>
            </w:r>
          </w:p>
        </w:tc>
      </w:tr>
      <w:tr w:rsidR="000E48CE" w14:paraId="05B6D33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39DBA8" w14:textId="77777777" w:rsidR="000E48CE" w:rsidRDefault="00FF4C4E">
            <w:pPr>
              <w:pStyle w:val="P68B1DB1-Normal46"/>
              <w:spacing w:after="0" w:line="240" w:lineRule="auto"/>
              <w:jc w:val="center"/>
              <w:rPr>
                <w:rFonts w:eastAsia="Times New Roman" w:cs="Times New Roman"/>
                <w:noProof/>
              </w:rPr>
            </w:pPr>
            <w:r>
              <w:rPr>
                <w:noProof/>
              </w:rPr>
              <w:t>189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8AC96B1" w14:textId="77777777" w:rsidR="000E48CE" w:rsidRDefault="00FF4C4E">
            <w:pPr>
              <w:pStyle w:val="P68B1DB1-Normal46"/>
              <w:spacing w:after="0" w:line="240" w:lineRule="auto"/>
              <w:jc w:val="center"/>
              <w:rPr>
                <w:rFonts w:eastAsia="Times New Roman" w:cs="Times New Roman"/>
                <w:noProof/>
              </w:rPr>
            </w:pPr>
            <w:r>
              <w:rPr>
                <w:noProof/>
              </w:rPr>
              <w:t>C13.R1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01DFC42"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96368C3" w14:textId="77777777" w:rsidR="000E48CE" w:rsidRDefault="00FF4C4E">
            <w:pPr>
              <w:pStyle w:val="P68B1DB1-Normal46"/>
              <w:spacing w:after="0" w:line="240" w:lineRule="auto"/>
              <w:rPr>
                <w:rFonts w:eastAsia="Times New Roman" w:cs="Times New Roman"/>
                <w:noProof/>
              </w:rPr>
            </w:pPr>
            <w:r>
              <w:rPr>
                <w:noProof/>
              </w:rPr>
              <w:t xml:space="preserve">Laki asianajajien ja procuradorien ammatteihin pääsystä annetun lain 34/2006 muuttamisesta annetun lain voimaantulo  </w:t>
            </w:r>
          </w:p>
        </w:tc>
      </w:tr>
      <w:tr w:rsidR="000E48CE" w14:paraId="788E0D7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0A3D1" w14:textId="77777777" w:rsidR="000E48CE" w:rsidRDefault="00FF4C4E">
            <w:pPr>
              <w:pStyle w:val="P68B1DB1-Normal46"/>
              <w:spacing w:after="0" w:line="240" w:lineRule="auto"/>
              <w:jc w:val="center"/>
              <w:rPr>
                <w:rFonts w:eastAsia="Times New Roman" w:cs="Times New Roman"/>
                <w:noProof/>
              </w:rPr>
            </w:pPr>
            <w:r>
              <w:rPr>
                <w:noProof/>
              </w:rPr>
              <w:t>216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C29586D" w14:textId="77777777" w:rsidR="000E48CE" w:rsidRDefault="00FF4C4E">
            <w:pPr>
              <w:pStyle w:val="P68B1DB1-Normal46"/>
              <w:spacing w:after="0" w:line="240" w:lineRule="auto"/>
              <w:jc w:val="center"/>
              <w:rPr>
                <w:rFonts w:eastAsia="Times New Roman" w:cs="Times New Roman"/>
                <w:noProof/>
              </w:rPr>
            </w:pPr>
            <w:r>
              <w:rPr>
                <w:noProof/>
              </w:rPr>
              <w:t>C14.R1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9321CB8"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284B7DA" w14:textId="77777777" w:rsidR="000E48CE" w:rsidRDefault="00FF4C4E">
            <w:pPr>
              <w:pStyle w:val="P68B1DB1-Normal46"/>
              <w:spacing w:after="0" w:line="240" w:lineRule="auto"/>
              <w:rPr>
                <w:rFonts w:eastAsia="Times New Roman" w:cs="Times New Roman"/>
                <w:noProof/>
              </w:rPr>
            </w:pPr>
            <w:r>
              <w:rPr>
                <w:noProof/>
              </w:rPr>
              <w:t>Kuninkaallinen asetus,</w:t>
            </w:r>
            <w:r>
              <w:rPr>
                <w:noProof/>
              </w:rPr>
              <w:t xml:space="preserve"> jolla pannaan täytäntöön valtion matkailualan kilpailukykyrahasto, tulee voimaan </w:t>
            </w:r>
          </w:p>
        </w:tc>
      </w:tr>
      <w:tr w:rsidR="000E48CE" w14:paraId="210A1BA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A6B3CA" w14:textId="77777777" w:rsidR="000E48CE" w:rsidRDefault="00FF4C4E">
            <w:pPr>
              <w:pStyle w:val="P68B1DB1-Normal46"/>
              <w:spacing w:after="0" w:line="240" w:lineRule="auto"/>
              <w:jc w:val="center"/>
              <w:rPr>
                <w:rFonts w:eastAsia="Times New Roman" w:cs="Times New Roman"/>
                <w:noProof/>
              </w:rPr>
            </w:pPr>
            <w:r>
              <w:rPr>
                <w:noProof/>
              </w:rPr>
              <w:t>217</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24C4372" w14:textId="77777777" w:rsidR="000E48CE" w:rsidRDefault="00FF4C4E">
            <w:pPr>
              <w:pStyle w:val="P68B1DB1-Normal46"/>
              <w:spacing w:after="0" w:line="240" w:lineRule="auto"/>
              <w:jc w:val="center"/>
              <w:rPr>
                <w:rFonts w:eastAsia="Times New Roman" w:cs="Times New Roman"/>
                <w:noProof/>
              </w:rPr>
            </w:pPr>
            <w:r>
              <w:rPr>
                <w:noProof/>
              </w:rPr>
              <w:t>C14.I1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2C43804" w14:textId="77777777" w:rsidR="000E48CE" w:rsidRDefault="00FF4C4E">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A5D5DC" w14:textId="77777777" w:rsidR="000E48CE" w:rsidRDefault="00FF4C4E">
            <w:pPr>
              <w:pStyle w:val="P68B1DB1-Normal46"/>
              <w:spacing w:after="0" w:line="240" w:lineRule="auto"/>
              <w:rPr>
                <w:rFonts w:eastAsia="Times New Roman" w:cs="Times New Roman"/>
                <w:noProof/>
              </w:rPr>
            </w:pPr>
            <w:r>
              <w:rPr>
                <w:noProof/>
              </w:rPr>
              <w:t>Matkailun kestävyyttä edistäville suunnitelmille myönnettävä talousarvio</w:t>
            </w:r>
          </w:p>
        </w:tc>
      </w:tr>
      <w:tr w:rsidR="000E48CE" w14:paraId="5995A86C"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D4DC59" w14:textId="77777777" w:rsidR="000E48CE" w:rsidRDefault="00FF4C4E">
            <w:pPr>
              <w:pStyle w:val="P68B1DB1-Normal46"/>
              <w:spacing w:after="0" w:line="240" w:lineRule="auto"/>
              <w:jc w:val="center"/>
              <w:rPr>
                <w:rFonts w:eastAsia="Times New Roman" w:cs="Times New Roman"/>
                <w:noProof/>
              </w:rPr>
            </w:pPr>
            <w:r>
              <w:rPr>
                <w:noProof/>
              </w:rPr>
              <w:t>232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015F8A8" w14:textId="77777777" w:rsidR="000E48CE" w:rsidRDefault="00FF4C4E">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5F112F4"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C71173F" w14:textId="77777777" w:rsidR="000E48CE" w:rsidRDefault="00FF4C4E">
            <w:pPr>
              <w:pStyle w:val="P68B1DB1-Normal46"/>
              <w:spacing w:after="0" w:line="240" w:lineRule="auto"/>
              <w:rPr>
                <w:rFonts w:eastAsia="Times New Roman" w:cs="Times New Roman"/>
                <w:noProof/>
              </w:rPr>
            </w:pPr>
            <w:r>
              <w:rPr>
                <w:noProof/>
              </w:rPr>
              <w:t>700 MHz:n taajuusalueen osoittaminen</w:t>
            </w:r>
          </w:p>
        </w:tc>
      </w:tr>
      <w:tr w:rsidR="000E48CE" w14:paraId="3F6862D5"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6B1D96" w14:textId="77777777" w:rsidR="000E48CE" w:rsidRDefault="00FF4C4E">
            <w:pPr>
              <w:pStyle w:val="P68B1DB1-Normal46"/>
              <w:spacing w:after="0" w:line="240" w:lineRule="auto"/>
              <w:jc w:val="center"/>
              <w:rPr>
                <w:rFonts w:eastAsia="Times New Roman" w:cs="Times New Roman"/>
                <w:noProof/>
              </w:rPr>
            </w:pPr>
            <w:r>
              <w:rPr>
                <w:noProof/>
              </w:rPr>
              <w:t>233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715AE1F9" w14:textId="77777777" w:rsidR="000E48CE" w:rsidRDefault="00FF4C4E">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69C0F88"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6C0CBAD5" w14:textId="77777777" w:rsidR="000E48CE" w:rsidRDefault="00FF4C4E">
            <w:pPr>
              <w:pStyle w:val="P68B1DB1-Normal46"/>
              <w:spacing w:after="0" w:line="240" w:lineRule="auto"/>
              <w:rPr>
                <w:rFonts w:eastAsia="Times New Roman" w:cs="Times New Roman"/>
                <w:noProof/>
              </w:rPr>
            </w:pPr>
            <w:r>
              <w:rPr>
                <w:noProof/>
              </w:rPr>
              <w:t xml:space="preserve">5G-taajuuksien </w:t>
            </w:r>
            <w:r>
              <w:rPr>
                <w:noProof/>
              </w:rPr>
              <w:t>verotuksen keventämistä koskevan säädöksen voimaantulo</w:t>
            </w:r>
          </w:p>
        </w:tc>
      </w:tr>
      <w:tr w:rsidR="000E48CE" w14:paraId="143E051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45D1F" w14:textId="77777777" w:rsidR="000E48CE" w:rsidRDefault="00FF4C4E">
            <w:pPr>
              <w:pStyle w:val="P68B1DB1-Normal46"/>
              <w:spacing w:after="0" w:line="240" w:lineRule="auto"/>
              <w:jc w:val="center"/>
              <w:rPr>
                <w:rFonts w:eastAsia="Times New Roman" w:cs="Times New Roman"/>
                <w:noProof/>
              </w:rPr>
            </w:pPr>
            <w:r>
              <w:rPr>
                <w:noProof/>
              </w:rPr>
              <w:t>250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6953CA4" w14:textId="77777777" w:rsidR="000E48CE" w:rsidRDefault="00FF4C4E">
            <w:pPr>
              <w:pStyle w:val="P68B1DB1-Normal46"/>
              <w:spacing w:after="0" w:line="240" w:lineRule="auto"/>
              <w:jc w:val="center"/>
              <w:rPr>
                <w:rFonts w:eastAsia="Times New Roman" w:cs="Times New Roman"/>
                <w:noProof/>
              </w:rPr>
            </w:pPr>
            <w:r>
              <w:rPr>
                <w:noProof/>
              </w:rPr>
              <w:t>C16.R1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64412E7"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C961205" w14:textId="77777777" w:rsidR="000E48CE" w:rsidRDefault="00FF4C4E">
            <w:pPr>
              <w:pStyle w:val="P68B1DB1-Normal46"/>
              <w:spacing w:after="0" w:line="240" w:lineRule="auto"/>
              <w:rPr>
                <w:rFonts w:eastAsia="Times New Roman" w:cs="Times New Roman"/>
                <w:noProof/>
              </w:rPr>
            </w:pPr>
            <w:r>
              <w:rPr>
                <w:noProof/>
              </w:rPr>
              <w:t>Digitaalisten oikeuksien peruskirja</w:t>
            </w:r>
          </w:p>
        </w:tc>
      </w:tr>
      <w:tr w:rsidR="000E48CE" w14:paraId="3E47B5B5"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55EA78" w14:textId="77777777" w:rsidR="000E48CE" w:rsidRDefault="00FF4C4E">
            <w:pPr>
              <w:pStyle w:val="P68B1DB1-Normal46"/>
              <w:spacing w:after="0" w:line="240" w:lineRule="auto"/>
              <w:jc w:val="center"/>
              <w:rPr>
                <w:rFonts w:eastAsia="Times New Roman" w:cs="Times New Roman"/>
                <w:noProof/>
              </w:rPr>
            </w:pPr>
            <w:r>
              <w:rPr>
                <w:noProof/>
              </w:rPr>
              <w:t>258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10D064" w14:textId="77777777" w:rsidR="000E48CE" w:rsidRDefault="00FF4C4E">
            <w:pPr>
              <w:pStyle w:val="P68B1DB1-Normal46"/>
              <w:spacing w:after="0" w:line="240" w:lineRule="auto"/>
              <w:jc w:val="center"/>
              <w:rPr>
                <w:rFonts w:eastAsia="Times New Roman" w:cs="Times New Roman"/>
                <w:noProof/>
              </w:rPr>
            </w:pPr>
            <w:r>
              <w:rPr>
                <w:noProof/>
              </w:rPr>
              <w:t>C17.I1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9175B27" w14:textId="77777777" w:rsidR="000E48CE" w:rsidRDefault="00FF4C4E">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010C44E" w14:textId="77777777" w:rsidR="000E48CE" w:rsidRDefault="00FF4C4E">
            <w:pPr>
              <w:pStyle w:val="P68B1DB1-Normal46"/>
              <w:spacing w:after="0" w:line="240" w:lineRule="auto"/>
              <w:rPr>
                <w:rFonts w:eastAsia="Times New Roman" w:cs="Times New Roman"/>
                <w:noProof/>
              </w:rPr>
            </w:pPr>
            <w:r>
              <w:rPr>
                <w:noProof/>
              </w:rPr>
              <w:t>Tiede- ja innovaatioministeriön itsehallintoalueiden kanssa allekirjoittamat sopimukset täydentävien T &amp; K-suunnitelmien täytäntöönpanost</w:t>
            </w:r>
            <w:r>
              <w:rPr>
                <w:noProof/>
              </w:rPr>
              <w:t xml:space="preserve">a. </w:t>
            </w:r>
          </w:p>
        </w:tc>
      </w:tr>
      <w:tr w:rsidR="000E48CE" w14:paraId="6FE2883C"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12C4A2" w14:textId="77777777" w:rsidR="000E48CE" w:rsidRDefault="00FF4C4E">
            <w:pPr>
              <w:pStyle w:val="P68B1DB1-Normal46"/>
              <w:spacing w:after="0" w:line="240" w:lineRule="auto"/>
              <w:jc w:val="center"/>
              <w:rPr>
                <w:rFonts w:eastAsia="Times New Roman" w:cs="Times New Roman"/>
                <w:noProof/>
              </w:rPr>
            </w:pPr>
            <w:r>
              <w:rPr>
                <w:noProof/>
              </w:rPr>
              <w:t>273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B0E5990" w14:textId="77777777" w:rsidR="000E48CE" w:rsidRDefault="00FF4C4E">
            <w:pPr>
              <w:pStyle w:val="P68B1DB1-Normal46"/>
              <w:spacing w:after="0" w:line="240" w:lineRule="auto"/>
              <w:jc w:val="center"/>
              <w:rPr>
                <w:rFonts w:eastAsia="Times New Roman" w:cs="Times New Roman"/>
                <w:noProof/>
              </w:rPr>
            </w:pPr>
            <w:r>
              <w:rPr>
                <w:noProof/>
              </w:rPr>
              <w:t>C18.R1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008EB392"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D8B9BBC" w14:textId="77777777" w:rsidR="000E48CE" w:rsidRDefault="00FF4C4E">
            <w:pPr>
              <w:pStyle w:val="P68B1DB1-Normal46"/>
              <w:spacing w:after="0" w:line="240" w:lineRule="auto"/>
              <w:rPr>
                <w:rFonts w:eastAsia="Times New Roman" w:cs="Times New Roman"/>
                <w:noProof/>
              </w:rPr>
            </w:pPr>
            <w:r>
              <w:rPr>
                <w:noProof/>
              </w:rPr>
              <w:t>Perusterveydenhuoltoa ja yhteisöhoitoa koskeva toimintasuunnitelma</w:t>
            </w:r>
          </w:p>
        </w:tc>
      </w:tr>
      <w:tr w:rsidR="000E48CE" w14:paraId="50516EF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9164CC" w14:textId="77777777" w:rsidR="000E48CE" w:rsidRDefault="00FF4C4E">
            <w:pPr>
              <w:pStyle w:val="P68B1DB1-Normal46"/>
              <w:spacing w:after="0" w:line="240" w:lineRule="auto"/>
              <w:jc w:val="center"/>
              <w:rPr>
                <w:rFonts w:eastAsia="Times New Roman" w:cs="Times New Roman"/>
                <w:noProof/>
              </w:rPr>
            </w:pPr>
            <w:r>
              <w:rPr>
                <w:noProof/>
              </w:rPr>
              <w:t>278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4D4E1D1" w14:textId="77777777" w:rsidR="000E48CE" w:rsidRDefault="00FF4C4E">
            <w:pPr>
              <w:pStyle w:val="P68B1DB1-Normal46"/>
              <w:spacing w:after="0" w:line="240" w:lineRule="auto"/>
              <w:jc w:val="center"/>
              <w:rPr>
                <w:rFonts w:eastAsia="Times New Roman" w:cs="Times New Roman"/>
                <w:noProof/>
              </w:rPr>
            </w:pPr>
            <w:r>
              <w:rPr>
                <w:noProof/>
              </w:rPr>
              <w:t>C18.I1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5E7E47F"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35A040" w14:textId="77777777" w:rsidR="000E48CE" w:rsidRDefault="00FF4C4E">
            <w:pPr>
              <w:pStyle w:val="P68B1DB1-Normal46"/>
              <w:spacing w:after="0" w:line="240" w:lineRule="auto"/>
              <w:rPr>
                <w:rFonts w:eastAsia="Times New Roman" w:cs="Times New Roman"/>
                <w:noProof/>
              </w:rPr>
            </w:pPr>
            <w:r>
              <w:rPr>
                <w:noProof/>
              </w:rPr>
              <w:t xml:space="preserve">Laiteinvestointisuunnitelman hyväksyminen ja varojen jakaminen </w:t>
            </w:r>
          </w:p>
        </w:tc>
      </w:tr>
      <w:tr w:rsidR="000E48CE" w14:paraId="664D40DD"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1C0BDE" w14:textId="77777777" w:rsidR="000E48CE" w:rsidRDefault="00FF4C4E">
            <w:pPr>
              <w:pStyle w:val="P68B1DB1-Normal46"/>
              <w:spacing w:after="0" w:line="240" w:lineRule="auto"/>
              <w:jc w:val="center"/>
              <w:rPr>
                <w:rFonts w:eastAsia="Times New Roman" w:cs="Times New Roman"/>
                <w:noProof/>
              </w:rPr>
            </w:pPr>
            <w:r>
              <w:rPr>
                <w:noProof/>
              </w:rPr>
              <w:t>289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2003EAE" w14:textId="77777777" w:rsidR="000E48CE" w:rsidRDefault="00FF4C4E">
            <w:pPr>
              <w:pStyle w:val="P68B1DB1-Normal46"/>
              <w:spacing w:after="0" w:line="240" w:lineRule="auto"/>
              <w:jc w:val="center"/>
              <w:rPr>
                <w:rFonts w:eastAsia="Times New Roman" w:cs="Times New Roman"/>
                <w:noProof/>
              </w:rPr>
            </w:pPr>
            <w:r>
              <w:rPr>
                <w:noProof/>
              </w:rPr>
              <w:t>C19.I2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E717CCA"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2CD3A96" w14:textId="77777777" w:rsidR="000E48CE" w:rsidRDefault="00FF4C4E">
            <w:pPr>
              <w:pStyle w:val="P68B1DB1-Normal46"/>
              <w:spacing w:after="0" w:line="240" w:lineRule="auto"/>
              <w:rPr>
                <w:rFonts w:eastAsia="Times New Roman" w:cs="Times New Roman"/>
                <w:noProof/>
              </w:rPr>
            </w:pPr>
            <w:r>
              <w:rPr>
                <w:noProof/>
              </w:rPr>
              <w:t xml:space="preserve">Ohjelma julkisten ja julkisesti tuettujen koulujen varustamiseksi </w:t>
            </w:r>
            <w:r>
              <w:rPr>
                <w:noProof/>
              </w:rPr>
              <w:t>digitaalisilla välineillä</w:t>
            </w:r>
          </w:p>
        </w:tc>
      </w:tr>
      <w:tr w:rsidR="000E48CE" w14:paraId="2535707A"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BE5D37" w14:textId="77777777" w:rsidR="000E48CE" w:rsidRDefault="00FF4C4E">
            <w:pPr>
              <w:pStyle w:val="P68B1DB1-Normal46"/>
              <w:spacing w:after="0" w:line="240" w:lineRule="auto"/>
              <w:jc w:val="center"/>
              <w:rPr>
                <w:rFonts w:eastAsia="Times New Roman" w:cs="Times New Roman"/>
                <w:noProof/>
              </w:rPr>
            </w:pPr>
            <w:r>
              <w:rPr>
                <w:noProof/>
              </w:rPr>
              <w:t>306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E0AD547" w14:textId="77777777" w:rsidR="000E48CE" w:rsidRDefault="00FF4C4E">
            <w:pPr>
              <w:pStyle w:val="P68B1DB1-Normal46"/>
              <w:spacing w:after="0" w:line="240" w:lineRule="auto"/>
              <w:jc w:val="center"/>
              <w:rPr>
                <w:rFonts w:eastAsia="Times New Roman" w:cs="Times New Roman"/>
                <w:noProof/>
              </w:rPr>
            </w:pPr>
            <w:r>
              <w:rPr>
                <w:noProof/>
              </w:rPr>
              <w:t>C21.R3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0A4FDE1"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4AC6898" w14:textId="77777777" w:rsidR="000E48CE" w:rsidRDefault="00FF4C4E">
            <w:pPr>
              <w:pStyle w:val="P68B1DB1-Normal46"/>
              <w:spacing w:after="0" w:line="240" w:lineRule="auto"/>
              <w:rPr>
                <w:rFonts w:eastAsia="Times New Roman" w:cs="Times New Roman"/>
                <w:noProof/>
              </w:rPr>
            </w:pPr>
            <w:r>
              <w:rPr>
                <w:noProof/>
              </w:rPr>
              <w:t>Yliopistojen organisaatiosta annettujen kuninkaallisten asetusten voimaantulo</w:t>
            </w:r>
          </w:p>
        </w:tc>
      </w:tr>
      <w:tr w:rsidR="000E48CE" w14:paraId="3FB31BA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28C952" w14:textId="77777777" w:rsidR="000E48CE" w:rsidRDefault="00FF4C4E">
            <w:pPr>
              <w:pStyle w:val="P68B1DB1-Normal46"/>
              <w:spacing w:after="0" w:line="240" w:lineRule="auto"/>
              <w:jc w:val="center"/>
              <w:rPr>
                <w:rFonts w:eastAsia="Times New Roman" w:cs="Times New Roman"/>
                <w:noProof/>
              </w:rPr>
            </w:pPr>
            <w:r>
              <w:rPr>
                <w:noProof/>
              </w:rPr>
              <w:t>331</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DC00FD4" w14:textId="77777777" w:rsidR="000E48CE" w:rsidRDefault="00FF4C4E">
            <w:pPr>
              <w:pStyle w:val="P68B1DB1-Normal46"/>
              <w:spacing w:after="0" w:line="240" w:lineRule="auto"/>
              <w:jc w:val="center"/>
              <w:rPr>
                <w:rFonts w:eastAsia="Times New Roman" w:cs="Times New Roman"/>
                <w:noProof/>
              </w:rPr>
            </w:pPr>
            <w:r>
              <w:rPr>
                <w:noProof/>
              </w:rPr>
              <w:t>C23.R3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C2C04F7"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FC7667A" w14:textId="77777777" w:rsidR="000E48CE" w:rsidRDefault="00FF4C4E">
            <w:pPr>
              <w:pStyle w:val="P68B1DB1-Normal46"/>
              <w:spacing w:after="0" w:line="240" w:lineRule="auto"/>
              <w:rPr>
                <w:rFonts w:eastAsia="Times New Roman" w:cs="Times New Roman"/>
                <w:noProof/>
              </w:rPr>
            </w:pPr>
            <w:r>
              <w:rPr>
                <w:noProof/>
              </w:rPr>
              <w:t>Teknisin keinoin kolmansille osapuolille jakelutoimintaa harjoittavien työntekijöiden suojelusta annetun kuninkaan asetuksen</w:t>
            </w:r>
            <w:r>
              <w:rPr>
                <w:noProof/>
              </w:rPr>
              <w:t xml:space="preserve"> voimaantulo</w:t>
            </w:r>
          </w:p>
        </w:tc>
      </w:tr>
      <w:tr w:rsidR="000E48CE" w14:paraId="15080A9A"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7CA00" w14:textId="77777777" w:rsidR="000E48CE" w:rsidRDefault="00FF4C4E">
            <w:pPr>
              <w:pStyle w:val="P68B1DB1-Normal46"/>
              <w:spacing w:after="0" w:line="240" w:lineRule="auto"/>
              <w:jc w:val="center"/>
              <w:rPr>
                <w:rFonts w:eastAsia="Times New Roman" w:cs="Times New Roman"/>
                <w:noProof/>
              </w:rPr>
            </w:pPr>
            <w:r>
              <w:rPr>
                <w:noProof/>
              </w:rPr>
              <w:t>332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84D4C06" w14:textId="77777777" w:rsidR="000E48CE" w:rsidRDefault="00FF4C4E">
            <w:pPr>
              <w:pStyle w:val="P68B1DB1-Normal46"/>
              <w:spacing w:after="0" w:line="240" w:lineRule="auto"/>
              <w:jc w:val="center"/>
              <w:rPr>
                <w:rFonts w:eastAsia="Times New Roman" w:cs="Times New Roman"/>
                <w:noProof/>
              </w:rPr>
            </w:pPr>
            <w:r>
              <w:rPr>
                <w:noProof/>
              </w:rPr>
              <w:t>C23.R4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86A5CD8"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3789C12" w14:textId="77777777" w:rsidR="000E48CE" w:rsidRDefault="00FF4C4E">
            <w:pPr>
              <w:pStyle w:val="P68B1DB1-Normal46"/>
              <w:spacing w:after="0" w:line="240" w:lineRule="auto"/>
              <w:rPr>
                <w:rFonts w:eastAsia="Times New Roman" w:cs="Times New Roman"/>
                <w:noProof/>
              </w:rPr>
            </w:pPr>
            <w:r>
              <w:rPr>
                <w:noProof/>
              </w:rPr>
              <w:t>Työntekijöiden asemaa koskevien sääntöjen muuttaminen tilapäisten työsuhteiden vähentämisen tukemiseksi yksinkertaistamalla sopimustyyppien määrää</w:t>
            </w:r>
          </w:p>
        </w:tc>
      </w:tr>
      <w:tr w:rsidR="000E48CE" w14:paraId="62C886C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8B61ED" w14:textId="77777777" w:rsidR="000E48CE" w:rsidRDefault="00FF4C4E">
            <w:pPr>
              <w:pStyle w:val="P68B1DB1-Normal46"/>
              <w:spacing w:after="0" w:line="240" w:lineRule="auto"/>
              <w:jc w:val="center"/>
              <w:rPr>
                <w:rFonts w:eastAsia="Times New Roman" w:cs="Times New Roman"/>
                <w:noProof/>
              </w:rPr>
            </w:pPr>
            <w:r>
              <w:rPr>
                <w:noProof/>
              </w:rPr>
              <w:t>334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E38B2D7" w14:textId="77777777" w:rsidR="000E48CE" w:rsidRDefault="00FF4C4E">
            <w:pPr>
              <w:pStyle w:val="P68B1DB1-Normal46"/>
              <w:spacing w:after="0" w:line="240" w:lineRule="auto"/>
              <w:jc w:val="center"/>
              <w:rPr>
                <w:rFonts w:eastAsia="Times New Roman" w:cs="Times New Roman"/>
                <w:noProof/>
              </w:rPr>
            </w:pPr>
            <w:r>
              <w:rPr>
                <w:noProof/>
              </w:rPr>
              <w:t>C23.R5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31B1C1"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D7D162D" w14:textId="77777777" w:rsidR="000E48CE" w:rsidRDefault="00FF4C4E">
            <w:pPr>
              <w:pStyle w:val="P68B1DB1-Normal46"/>
              <w:spacing w:after="0" w:line="240" w:lineRule="auto"/>
              <w:rPr>
                <w:rFonts w:eastAsia="Times New Roman" w:cs="Times New Roman"/>
                <w:noProof/>
              </w:rPr>
            </w:pPr>
            <w:r>
              <w:rPr>
                <w:noProof/>
              </w:rPr>
              <w:t>Kuninkaan asetus Espanjan uudesta työllisyysstrategiasta 2021–2024</w:t>
            </w:r>
          </w:p>
        </w:tc>
      </w:tr>
      <w:tr w:rsidR="000E48CE" w14:paraId="21B068B8"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E65BC0" w14:textId="77777777" w:rsidR="000E48CE" w:rsidRDefault="00FF4C4E">
            <w:pPr>
              <w:pStyle w:val="P68B1DB1-Normal46"/>
              <w:spacing w:after="0" w:line="240" w:lineRule="auto"/>
              <w:jc w:val="center"/>
              <w:rPr>
                <w:rFonts w:eastAsia="Times New Roman" w:cs="Times New Roman"/>
                <w:noProof/>
              </w:rPr>
            </w:pPr>
            <w:r>
              <w:rPr>
                <w:noProof/>
              </w:rPr>
              <w:t>336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5AB316" w14:textId="77777777" w:rsidR="000E48CE" w:rsidRDefault="00FF4C4E">
            <w:pPr>
              <w:pStyle w:val="P68B1DB1-Normal46"/>
              <w:spacing w:after="0" w:line="240" w:lineRule="auto"/>
              <w:jc w:val="center"/>
              <w:rPr>
                <w:rFonts w:eastAsia="Times New Roman" w:cs="Times New Roman"/>
                <w:noProof/>
              </w:rPr>
            </w:pPr>
            <w:r>
              <w:rPr>
                <w:noProof/>
              </w:rPr>
              <w:t>C23.R6</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B9520C4"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316EDE0" w14:textId="77777777" w:rsidR="000E48CE" w:rsidRDefault="00FF4C4E">
            <w:pPr>
              <w:pStyle w:val="P68B1DB1-Normal46"/>
              <w:spacing w:after="0" w:line="240" w:lineRule="auto"/>
              <w:rPr>
                <w:rFonts w:eastAsia="Times New Roman" w:cs="Times New Roman"/>
                <w:noProof/>
              </w:rPr>
            </w:pPr>
            <w:r>
              <w:rPr>
                <w:noProof/>
              </w:rPr>
              <w:t>Työntekijöiden asemaa koskevien sääntöjen muuttaminen siten, että luodaan järjestelmä suhdanne- ja rakennehäiriöihin sopeutumiseksi, mukaan lukien järjestelmä, joka tarjoaa yrityksille sisäistä joustavuutta ja vakautta työntekijöille</w:t>
            </w:r>
          </w:p>
        </w:tc>
      </w:tr>
      <w:tr w:rsidR="000E48CE" w14:paraId="2D2B038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AE131F" w14:textId="77777777" w:rsidR="000E48CE" w:rsidRDefault="00FF4C4E">
            <w:pPr>
              <w:pStyle w:val="P68B1DB1-Normal46"/>
              <w:spacing w:after="0" w:line="240" w:lineRule="auto"/>
              <w:jc w:val="center"/>
              <w:rPr>
                <w:rFonts w:eastAsia="Times New Roman" w:cs="Times New Roman"/>
                <w:noProof/>
              </w:rPr>
            </w:pPr>
            <w:r>
              <w:rPr>
                <w:noProof/>
              </w:rPr>
              <w:t>338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C204030" w14:textId="77777777" w:rsidR="000E48CE" w:rsidRDefault="00FF4C4E">
            <w:pPr>
              <w:pStyle w:val="P68B1DB1-Normal46"/>
              <w:spacing w:after="0" w:line="240" w:lineRule="auto"/>
              <w:jc w:val="center"/>
              <w:rPr>
                <w:rFonts w:eastAsia="Times New Roman" w:cs="Times New Roman"/>
                <w:noProof/>
              </w:rPr>
            </w:pPr>
            <w:r>
              <w:rPr>
                <w:noProof/>
              </w:rPr>
              <w:t>C23.R8</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C4B468E"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EDE9C9D" w14:textId="77777777" w:rsidR="000E48CE" w:rsidRDefault="00FF4C4E">
            <w:pPr>
              <w:pStyle w:val="P68B1DB1-Normal46"/>
              <w:spacing w:after="0" w:line="240" w:lineRule="auto"/>
              <w:rPr>
                <w:rFonts w:eastAsia="Times New Roman" w:cs="Times New Roman"/>
                <w:noProof/>
              </w:rPr>
            </w:pPr>
            <w:r>
              <w:rPr>
                <w:noProof/>
              </w:rPr>
              <w:t xml:space="preserve">Työntekijöiden sääntöjen muuttaminen työehtosopimusneuvotteluja koskevien oikeudellisten sääntöjen parantamiseksi </w:t>
            </w:r>
          </w:p>
        </w:tc>
      </w:tr>
      <w:tr w:rsidR="000E48CE" w14:paraId="11FCB514"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326F36" w14:textId="77777777" w:rsidR="000E48CE" w:rsidRDefault="00FF4C4E">
            <w:pPr>
              <w:pStyle w:val="P68B1DB1-Normal46"/>
              <w:spacing w:after="0" w:line="240" w:lineRule="auto"/>
              <w:jc w:val="center"/>
              <w:rPr>
                <w:rFonts w:eastAsia="Times New Roman" w:cs="Times New Roman"/>
                <w:noProof/>
              </w:rPr>
            </w:pPr>
            <w:r>
              <w:rPr>
                <w:noProof/>
              </w:rPr>
              <w:t>339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7E1546B" w14:textId="77777777" w:rsidR="000E48CE" w:rsidRDefault="00FF4C4E">
            <w:pPr>
              <w:pStyle w:val="P68B1DB1-Normal46"/>
              <w:spacing w:after="0" w:line="240" w:lineRule="auto"/>
              <w:jc w:val="center"/>
              <w:rPr>
                <w:rFonts w:eastAsia="Times New Roman" w:cs="Times New Roman"/>
                <w:noProof/>
              </w:rPr>
            </w:pPr>
            <w:r>
              <w:rPr>
                <w:noProof/>
              </w:rPr>
              <w:t>C23.R9</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A7052A1"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21EC873" w14:textId="77777777" w:rsidR="000E48CE" w:rsidRDefault="00FF4C4E">
            <w:pPr>
              <w:pStyle w:val="P68B1DB1-Normal46"/>
              <w:spacing w:after="0" w:line="240" w:lineRule="auto"/>
              <w:rPr>
                <w:rFonts w:eastAsia="Times New Roman" w:cs="Times New Roman"/>
                <w:noProof/>
              </w:rPr>
            </w:pPr>
            <w:r>
              <w:rPr>
                <w:noProof/>
              </w:rPr>
              <w:t>Työntekijöiden asemaa koskevien sääntöjen muuttaminen alihankintayrityksissä työskentelevien henkilöiden oikeuksien pa</w:t>
            </w:r>
            <w:r>
              <w:rPr>
                <w:noProof/>
              </w:rPr>
              <w:t>rantamiseksi</w:t>
            </w:r>
          </w:p>
        </w:tc>
      </w:tr>
      <w:tr w:rsidR="000E48CE" w14:paraId="6171C868"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BB76D1" w14:textId="77777777" w:rsidR="000E48CE" w:rsidRDefault="00FF4C4E">
            <w:pPr>
              <w:pStyle w:val="P68B1DB1-Normal46"/>
              <w:spacing w:after="0" w:line="240" w:lineRule="auto"/>
              <w:jc w:val="center"/>
              <w:rPr>
                <w:rFonts w:eastAsia="Times New Roman" w:cs="Times New Roman"/>
                <w:noProof/>
              </w:rPr>
            </w:pPr>
            <w:r>
              <w:rPr>
                <w:noProof/>
              </w:rPr>
              <w:t>345</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0C9EC66" w14:textId="77777777" w:rsidR="000E48CE" w:rsidRDefault="00FF4C4E">
            <w:pPr>
              <w:pStyle w:val="P68B1DB1-Normal46"/>
              <w:spacing w:after="0" w:line="240" w:lineRule="auto"/>
              <w:jc w:val="center"/>
              <w:rPr>
                <w:rFonts w:eastAsia="Times New Roman" w:cs="Times New Roman"/>
                <w:noProof/>
              </w:rPr>
            </w:pPr>
            <w:r>
              <w:rPr>
                <w:noProof/>
              </w:rPr>
              <w:t>C23.I4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D7EA892"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F15C6A0" w14:textId="77777777" w:rsidR="000E48CE" w:rsidRDefault="00FF4C4E">
            <w:pPr>
              <w:pStyle w:val="P68B1DB1-Normal46"/>
              <w:spacing w:after="0" w:line="240" w:lineRule="auto"/>
              <w:rPr>
                <w:rFonts w:eastAsia="Times New Roman" w:cs="Times New Roman"/>
                <w:noProof/>
              </w:rPr>
            </w:pPr>
            <w:r>
              <w:rPr>
                <w:noProof/>
              </w:rPr>
              <w:t xml:space="preserve">Heikossa asemassa olevia ryhmiä, yrittäjyyttä ja mikroyrityksiä koskeviin alueellisiin hankkeisiin osoitettavien varojen alueellisen kohdentamisen hyväksyminen. </w:t>
            </w:r>
          </w:p>
        </w:tc>
      </w:tr>
      <w:tr w:rsidR="000E48CE" w14:paraId="7D5A64A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222747" w14:textId="77777777" w:rsidR="000E48CE" w:rsidRDefault="00FF4C4E">
            <w:pPr>
              <w:pStyle w:val="P68B1DB1-Normal46"/>
              <w:spacing w:after="0" w:line="240" w:lineRule="auto"/>
              <w:jc w:val="center"/>
              <w:rPr>
                <w:rFonts w:eastAsia="Times New Roman" w:cs="Times New Roman"/>
                <w:noProof/>
              </w:rPr>
            </w:pPr>
            <w:r>
              <w:rPr>
                <w:noProof/>
              </w:rPr>
              <w:t>378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A49C567" w14:textId="77777777" w:rsidR="000E48CE" w:rsidRDefault="00FF4C4E">
            <w:pPr>
              <w:pStyle w:val="P68B1DB1-Normal46"/>
              <w:spacing w:after="0" w:line="240" w:lineRule="auto"/>
              <w:jc w:val="center"/>
              <w:rPr>
                <w:rFonts w:eastAsia="Times New Roman" w:cs="Times New Roman"/>
                <w:noProof/>
              </w:rPr>
            </w:pPr>
            <w:r>
              <w:rPr>
                <w:noProof/>
              </w:rPr>
              <w:t>C27.R2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B26EEDD" w14:textId="77777777" w:rsidR="000E48CE" w:rsidRDefault="00FF4C4E">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FA66416" w14:textId="77777777" w:rsidR="000E48CE" w:rsidRDefault="00FF4C4E">
            <w:pPr>
              <w:pStyle w:val="P68B1DB1-Normal46"/>
              <w:spacing w:after="0" w:line="240" w:lineRule="auto"/>
              <w:rPr>
                <w:rFonts w:eastAsia="Times New Roman" w:cs="Times New Roman"/>
                <w:noProof/>
              </w:rPr>
            </w:pPr>
            <w:r>
              <w:rPr>
                <w:noProof/>
              </w:rPr>
              <w:t xml:space="preserve">Veroviraston nykyaikaistaminen – Verohallinnon </w:t>
            </w:r>
            <w:r>
              <w:rPr>
                <w:noProof/>
              </w:rPr>
              <w:t>henkilöstön määrä</w:t>
            </w:r>
          </w:p>
        </w:tc>
      </w:tr>
      <w:tr w:rsidR="000E48CE" w14:paraId="399D84E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D336A7" w14:textId="77777777" w:rsidR="000E48CE" w:rsidRDefault="00FF4C4E">
            <w:pPr>
              <w:pStyle w:val="P68B1DB1-Normal46"/>
              <w:spacing w:after="0" w:line="240" w:lineRule="auto"/>
              <w:jc w:val="center"/>
              <w:rPr>
                <w:rFonts w:eastAsia="Times New Roman" w:cs="Times New Roman"/>
                <w:noProof/>
              </w:rPr>
            </w:pPr>
            <w:r>
              <w:rPr>
                <w:noProof/>
              </w:rPr>
              <w:t>379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4E46721" w14:textId="77777777" w:rsidR="000E48CE" w:rsidRDefault="00FF4C4E">
            <w:pPr>
              <w:pStyle w:val="P68B1DB1-Normal46"/>
              <w:spacing w:after="0" w:line="240" w:lineRule="auto"/>
              <w:jc w:val="center"/>
              <w:rPr>
                <w:rFonts w:eastAsia="Times New Roman" w:cs="Times New Roman"/>
                <w:noProof/>
              </w:rPr>
            </w:pPr>
            <w:r>
              <w:rPr>
                <w:noProof/>
              </w:rPr>
              <w:t>C27.R2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9553B40" w14:textId="77777777" w:rsidR="000E48CE" w:rsidRDefault="00FF4C4E">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5CECD0F" w14:textId="77777777" w:rsidR="000E48CE" w:rsidRDefault="00FF4C4E">
            <w:pPr>
              <w:pStyle w:val="P68B1DB1-Normal46"/>
              <w:spacing w:after="0" w:line="240" w:lineRule="auto"/>
              <w:rPr>
                <w:rFonts w:eastAsia="Times New Roman" w:cs="Times New Roman"/>
                <w:noProof/>
              </w:rPr>
            </w:pPr>
            <w:r>
              <w:rPr>
                <w:noProof/>
              </w:rPr>
              <w:t>Veroviraston nykyaikaistaminen – Verotutkinta</w:t>
            </w:r>
          </w:p>
        </w:tc>
      </w:tr>
      <w:tr w:rsidR="000E48CE" w14:paraId="6102C70A"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FF69B4" w14:textId="77777777" w:rsidR="000E48CE" w:rsidRDefault="00FF4C4E">
            <w:pPr>
              <w:pStyle w:val="P68B1DB1-Normal46"/>
              <w:spacing w:after="0" w:line="240" w:lineRule="auto"/>
              <w:jc w:val="center"/>
              <w:rPr>
                <w:rFonts w:eastAsia="Times New Roman" w:cs="Times New Roman"/>
                <w:noProof/>
              </w:rPr>
            </w:pPr>
            <w:r>
              <w:rPr>
                <w:noProof/>
              </w:rPr>
              <w:t>380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387008B" w14:textId="77777777" w:rsidR="000E48CE" w:rsidRDefault="00FF4C4E">
            <w:pPr>
              <w:pStyle w:val="P68B1DB1-Normal46"/>
              <w:spacing w:after="0" w:line="240" w:lineRule="auto"/>
              <w:jc w:val="center"/>
              <w:rPr>
                <w:rFonts w:eastAsia="Times New Roman" w:cs="Times New Roman"/>
                <w:noProof/>
              </w:rPr>
            </w:pPr>
            <w:r>
              <w:rPr>
                <w:noProof/>
              </w:rPr>
              <w:t>C27.R3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D2CD2E6" w14:textId="77777777" w:rsidR="000E48CE" w:rsidRDefault="00FF4C4E">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BA3ABCD" w14:textId="77777777" w:rsidR="000E48CE" w:rsidRDefault="00FF4C4E">
            <w:pPr>
              <w:pStyle w:val="P68B1DB1-Normal46"/>
              <w:spacing w:after="0" w:line="240" w:lineRule="auto"/>
              <w:rPr>
                <w:rFonts w:eastAsia="Times New Roman" w:cs="Times New Roman"/>
                <w:noProof/>
              </w:rPr>
            </w:pPr>
            <w:r>
              <w:rPr>
                <w:noProof/>
              </w:rPr>
              <w:t>Tehostetun avun toimittaminen veronmaksajille – Sociedades Web parannettiin ja sitä on saatavilla vähintään 1666123 verovelvolliselle.</w:t>
            </w:r>
          </w:p>
        </w:tc>
      </w:tr>
      <w:tr w:rsidR="000E48CE" w14:paraId="7F48A70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9AB63B" w14:textId="77777777" w:rsidR="000E48CE" w:rsidRDefault="00FF4C4E">
            <w:pPr>
              <w:pStyle w:val="P68B1DB1-Normal46"/>
              <w:spacing w:after="0" w:line="240" w:lineRule="auto"/>
              <w:jc w:val="center"/>
              <w:rPr>
                <w:rFonts w:eastAsia="Times New Roman" w:cs="Times New Roman"/>
                <w:noProof/>
              </w:rPr>
            </w:pPr>
            <w:r>
              <w:rPr>
                <w:noProof/>
              </w:rPr>
              <w:t>381</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44DC8FB" w14:textId="77777777" w:rsidR="000E48CE" w:rsidRDefault="00FF4C4E">
            <w:pPr>
              <w:pStyle w:val="P68B1DB1-Normal46"/>
              <w:spacing w:after="0" w:line="240" w:lineRule="auto"/>
              <w:jc w:val="center"/>
              <w:rPr>
                <w:rFonts w:eastAsia="Times New Roman" w:cs="Times New Roman"/>
                <w:noProof/>
              </w:rPr>
            </w:pPr>
            <w:r>
              <w:rPr>
                <w:noProof/>
              </w:rPr>
              <w:t>C27.R3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7240CF6" w14:textId="77777777" w:rsidR="000E48CE" w:rsidRDefault="00FF4C4E">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D123A05" w14:textId="77777777" w:rsidR="000E48CE" w:rsidRDefault="00FF4C4E">
            <w:pPr>
              <w:pStyle w:val="P68B1DB1-Normal46"/>
              <w:spacing w:after="0" w:line="240" w:lineRule="auto"/>
              <w:rPr>
                <w:rFonts w:eastAsia="Times New Roman" w:cs="Times New Roman"/>
                <w:noProof/>
              </w:rPr>
            </w:pPr>
            <w:r>
              <w:rPr>
                <w:noProof/>
              </w:rPr>
              <w:t xml:space="preserve">Tehostettu apu </w:t>
            </w:r>
            <w:r>
              <w:rPr>
                <w:noProof/>
              </w:rPr>
              <w:t>veronmaksajille – Renta Web päivitetty ja saatavilla vähintään 1779505 verovelvolliselle</w:t>
            </w:r>
          </w:p>
        </w:tc>
      </w:tr>
      <w:tr w:rsidR="000E48CE" w14:paraId="5D1E0B5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BE5B9" w14:textId="77777777" w:rsidR="000E48CE" w:rsidRDefault="00FF4C4E">
            <w:pPr>
              <w:pStyle w:val="P68B1DB1-Normal46"/>
              <w:spacing w:after="0" w:line="240" w:lineRule="auto"/>
              <w:jc w:val="center"/>
              <w:rPr>
                <w:rFonts w:eastAsia="Times New Roman" w:cs="Times New Roman"/>
                <w:noProof/>
              </w:rPr>
            </w:pPr>
            <w:r>
              <w:rPr>
                <w:noProof/>
              </w:rPr>
              <w:t>383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1E8B690" w14:textId="77777777" w:rsidR="000E48CE" w:rsidRDefault="00FF4C4E">
            <w:pPr>
              <w:pStyle w:val="P68B1DB1-Normal46"/>
              <w:spacing w:after="0" w:line="240" w:lineRule="auto"/>
              <w:jc w:val="center"/>
              <w:rPr>
                <w:rFonts w:eastAsia="Times New Roman" w:cs="Times New Roman"/>
                <w:noProof/>
              </w:rPr>
            </w:pPr>
            <w:r>
              <w:rPr>
                <w:noProof/>
              </w:rPr>
              <w:t>C27.R4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7B06950" w14:textId="77777777" w:rsidR="000E48CE" w:rsidRDefault="00FF4C4E">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5C4E1FA" w14:textId="77777777" w:rsidR="000E48CE" w:rsidRDefault="00FF4C4E">
            <w:pPr>
              <w:pStyle w:val="P68B1DB1-Normal46"/>
              <w:spacing w:after="0" w:line="240" w:lineRule="auto"/>
              <w:rPr>
                <w:rFonts w:eastAsia="Times New Roman" w:cs="Times New Roman"/>
                <w:noProof/>
              </w:rPr>
            </w:pPr>
            <w:r>
              <w:rPr>
                <w:noProof/>
              </w:rPr>
              <w:t xml:space="preserve">Kansainvälinen ulottuvuus – rekisteröidyt ulkomaiset veronmaksajat tunnistettu </w:t>
            </w:r>
          </w:p>
        </w:tc>
      </w:tr>
      <w:tr w:rsidR="000E48CE" w14:paraId="11B29C5D"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4A5C213" w14:textId="77777777" w:rsidR="000E48CE" w:rsidRDefault="00FF4C4E">
            <w:pPr>
              <w:pStyle w:val="P68B1DB1-Normal46"/>
              <w:spacing w:after="0" w:line="240" w:lineRule="auto"/>
              <w:jc w:val="center"/>
              <w:rPr>
                <w:rFonts w:eastAsia="Times New Roman" w:cs="Times New Roman"/>
                <w:noProof/>
              </w:rPr>
            </w:pPr>
            <w:r>
              <w:rPr>
                <w:noProof/>
              </w:rPr>
              <w:t>384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61338F4" w14:textId="77777777" w:rsidR="000E48CE" w:rsidRDefault="00FF4C4E">
            <w:pPr>
              <w:pStyle w:val="P68B1DB1-Normal46"/>
              <w:spacing w:after="0" w:line="240" w:lineRule="auto"/>
              <w:jc w:val="center"/>
              <w:rPr>
                <w:rFonts w:eastAsia="Times New Roman" w:cs="Times New Roman"/>
                <w:noProof/>
              </w:rPr>
            </w:pPr>
            <w:r>
              <w:rPr>
                <w:noProof/>
              </w:rPr>
              <w:t>C27.R5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A7CD19D" w14:textId="77777777" w:rsidR="000E48CE" w:rsidRDefault="00FF4C4E">
            <w:pPr>
              <w:pStyle w:val="P68B1DB1-Normal46"/>
              <w:spacing w:after="0" w:line="240" w:lineRule="auto"/>
              <w:jc w:val="center"/>
              <w:rPr>
                <w:rFonts w:eastAsia="Times New Roman" w:cs="Times New Roman"/>
                <w:noProof/>
              </w:rPr>
            </w:pPr>
            <w:r>
              <w:rPr>
                <w:noProof/>
              </w:rPr>
              <w:t>T</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182603B" w14:textId="77777777" w:rsidR="000E48CE" w:rsidRDefault="00FF4C4E">
            <w:pPr>
              <w:pStyle w:val="P68B1DB1-Normal46"/>
              <w:spacing w:after="0" w:line="240" w:lineRule="auto"/>
              <w:rPr>
                <w:rFonts w:eastAsia="Times New Roman" w:cs="Times New Roman"/>
                <w:noProof/>
              </w:rPr>
            </w:pPr>
            <w:r>
              <w:rPr>
                <w:noProof/>
              </w:rPr>
              <w:t>Yhteistyömalli – Avoimuusraportit</w:t>
            </w:r>
          </w:p>
        </w:tc>
      </w:tr>
      <w:tr w:rsidR="000E48CE" w14:paraId="410E88F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2568F7" w14:textId="77777777" w:rsidR="000E48CE" w:rsidRDefault="00FF4C4E">
            <w:pPr>
              <w:pStyle w:val="P68B1DB1-Normal46"/>
              <w:spacing w:after="0" w:line="240" w:lineRule="auto"/>
              <w:jc w:val="center"/>
              <w:rPr>
                <w:rFonts w:eastAsia="Times New Roman" w:cs="Times New Roman"/>
                <w:noProof/>
              </w:rPr>
            </w:pPr>
            <w:r>
              <w:rPr>
                <w:noProof/>
              </w:rPr>
              <w:t>389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23882A8" w14:textId="77777777" w:rsidR="000E48CE" w:rsidRDefault="00FF4C4E">
            <w:pPr>
              <w:pStyle w:val="P68B1DB1-Normal46"/>
              <w:spacing w:after="0" w:line="240" w:lineRule="auto"/>
              <w:jc w:val="center"/>
              <w:rPr>
                <w:rFonts w:eastAsia="Times New Roman" w:cs="Times New Roman"/>
                <w:noProof/>
              </w:rPr>
            </w:pPr>
            <w:r>
              <w:rPr>
                <w:noProof/>
              </w:rPr>
              <w:t>C28.R4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CF91FFB"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4C9576" w14:textId="77777777" w:rsidR="000E48CE" w:rsidRDefault="00FF4C4E">
            <w:pPr>
              <w:pStyle w:val="P68B1DB1-Normal46"/>
              <w:spacing w:after="0" w:line="240" w:lineRule="auto"/>
              <w:rPr>
                <w:rFonts w:eastAsia="Times New Roman" w:cs="Times New Roman"/>
                <w:noProof/>
              </w:rPr>
            </w:pPr>
            <w:r>
              <w:rPr>
                <w:noProof/>
              </w:rPr>
              <w:t>Kertakäyttömuovien ja -jätteen verot</w:t>
            </w:r>
          </w:p>
        </w:tc>
      </w:tr>
      <w:tr w:rsidR="000E48CE" w14:paraId="1405C77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A92EF0" w14:textId="77777777" w:rsidR="000E48CE" w:rsidRDefault="00FF4C4E">
            <w:pPr>
              <w:pStyle w:val="P68B1DB1-Normal46"/>
              <w:spacing w:after="0" w:line="240" w:lineRule="auto"/>
              <w:jc w:val="center"/>
              <w:rPr>
                <w:rFonts w:eastAsia="Times New Roman" w:cs="Times New Roman"/>
                <w:noProof/>
              </w:rPr>
            </w:pPr>
            <w:r>
              <w:rPr>
                <w:noProof/>
              </w:rPr>
              <w:t>400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67AAAC5" w14:textId="77777777" w:rsidR="000E48CE" w:rsidRDefault="00FF4C4E">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AF60B87"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C250A37" w14:textId="77777777" w:rsidR="000E48CE" w:rsidRDefault="00FF4C4E">
            <w:pPr>
              <w:pStyle w:val="P68B1DB1-Normal46"/>
              <w:spacing w:after="0" w:line="240" w:lineRule="auto"/>
              <w:rPr>
                <w:rFonts w:eastAsia="Times New Roman" w:cs="Times New Roman"/>
                <w:noProof/>
              </w:rPr>
            </w:pPr>
            <w:r>
              <w:rPr>
                <w:noProof/>
              </w:rPr>
              <w:t>Ministerineuvoston hyväksyntä AIReF:lle tilattavien menojen uudelleenarviointien uudelle syklille (2022–26).</w:t>
            </w:r>
          </w:p>
        </w:tc>
      </w:tr>
      <w:tr w:rsidR="000E48CE" w14:paraId="3294852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A76D" w14:textId="77777777" w:rsidR="000E48CE" w:rsidRDefault="00FF4C4E">
            <w:pPr>
              <w:pStyle w:val="P68B1DB1-Normal46"/>
              <w:spacing w:after="0" w:line="240" w:lineRule="auto"/>
              <w:jc w:val="center"/>
              <w:rPr>
                <w:rFonts w:eastAsia="Times New Roman" w:cs="Times New Roman"/>
                <w:noProof/>
              </w:rPr>
            </w:pPr>
            <w:r>
              <w:rPr>
                <w:noProof/>
              </w:rPr>
              <w:t>403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C40C4DB" w14:textId="77777777" w:rsidR="000E48CE" w:rsidRDefault="00FF4C4E">
            <w:pPr>
              <w:pStyle w:val="P68B1DB1-Normal46"/>
              <w:spacing w:after="0" w:line="240" w:lineRule="auto"/>
              <w:jc w:val="center"/>
              <w:rPr>
                <w:rFonts w:eastAsia="Times New Roman" w:cs="Times New Roman"/>
                <w:noProof/>
              </w:rPr>
            </w:pPr>
            <w:r>
              <w:rPr>
                <w:noProof/>
              </w:rPr>
              <w:t>C29.R2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0BCCF19C"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05D9E73" w14:textId="77777777" w:rsidR="000E48CE" w:rsidRDefault="00FF4C4E">
            <w:pPr>
              <w:pStyle w:val="P68B1DB1-Normal46"/>
              <w:spacing w:after="0" w:line="240" w:lineRule="auto"/>
              <w:rPr>
                <w:rFonts w:eastAsia="Times New Roman" w:cs="Times New Roman"/>
                <w:noProof/>
              </w:rPr>
            </w:pPr>
            <w:r>
              <w:rPr>
                <w:noProof/>
              </w:rPr>
              <w:t>Kertomus talousarvion mukauttamisesta kestävän kehityksen tavoitteisiin</w:t>
            </w:r>
          </w:p>
        </w:tc>
      </w:tr>
      <w:tr w:rsidR="000E48CE" w14:paraId="49B99F65"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C43DA6" w14:textId="77777777" w:rsidR="000E48CE" w:rsidRDefault="00FF4C4E">
            <w:pPr>
              <w:pStyle w:val="P68B1DB1-Normal46"/>
              <w:spacing w:after="0" w:line="240" w:lineRule="auto"/>
              <w:jc w:val="center"/>
              <w:rPr>
                <w:rFonts w:eastAsia="Times New Roman" w:cs="Times New Roman"/>
                <w:noProof/>
              </w:rPr>
            </w:pPr>
            <w:r>
              <w:rPr>
                <w:noProof/>
              </w:rPr>
              <w:t>407</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17DCA0B" w14:textId="77777777" w:rsidR="000E48CE" w:rsidRDefault="00FF4C4E">
            <w:pPr>
              <w:pStyle w:val="P68B1DB1-Normal46"/>
              <w:spacing w:after="0" w:line="240" w:lineRule="auto"/>
              <w:jc w:val="center"/>
              <w:rPr>
                <w:rFonts w:eastAsia="Times New Roman" w:cs="Times New Roman"/>
                <w:noProof/>
              </w:rPr>
            </w:pPr>
            <w:r>
              <w:rPr>
                <w:noProof/>
              </w:rPr>
              <w:t>C30.R2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1BCDF70" w14:textId="77777777" w:rsidR="000E48CE" w:rsidRDefault="00FF4C4E">
            <w:pPr>
              <w:pStyle w:val="P68B1DB1-Normal46"/>
              <w:spacing w:after="0" w:line="240" w:lineRule="auto"/>
              <w:jc w:val="center"/>
              <w:rPr>
                <w:rFonts w:eastAsia="Times New Roman" w:cs="Times New Roman"/>
                <w:noProof/>
              </w:rPr>
            </w:pPr>
            <w:r>
              <w:rPr>
                <w:noProof/>
              </w:rPr>
              <w:t>M</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5D4A48E" w14:textId="77777777" w:rsidR="000E48CE" w:rsidRDefault="00FF4C4E">
            <w:pPr>
              <w:pStyle w:val="P68B1DB1-Normal46"/>
              <w:spacing w:after="0" w:line="240" w:lineRule="auto"/>
              <w:rPr>
                <w:rFonts w:eastAsia="Times New Roman" w:cs="Times New Roman"/>
                <w:noProof/>
              </w:rPr>
            </w:pPr>
            <w:r>
              <w:rPr>
                <w:noProof/>
              </w:rPr>
              <w:t>Eläkkeiden ostovoiman säilyttäminen sekä tosiasiallisen eläkeiän ja lakisääteisen eläkeiän yhdenmukaistaminen</w:t>
            </w:r>
          </w:p>
        </w:tc>
      </w:tr>
      <w:tr w:rsidR="000E48CE" w14:paraId="45708A5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24CE4A" w14:textId="77777777" w:rsidR="000E48CE" w:rsidRDefault="000E48CE">
            <w:pPr>
              <w:spacing w:after="0" w:line="240" w:lineRule="auto"/>
              <w:jc w:val="center"/>
              <w:rPr>
                <w:rFonts w:ascii="Times New Roman" w:eastAsia="Times New Roman" w:hAnsi="Times New Roman" w:cs="Times New Roman"/>
                <w:noProof/>
                <w:sz w:val="20"/>
              </w:rPr>
            </w:pP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C0ADC9A" w14:textId="77777777" w:rsidR="000E48CE" w:rsidRDefault="000E48CE">
            <w:pPr>
              <w:spacing w:after="0" w:line="240" w:lineRule="auto"/>
              <w:jc w:val="center"/>
              <w:rPr>
                <w:rFonts w:ascii="Times New Roman" w:eastAsia="Times New Roman" w:hAnsi="Times New Roman" w:cs="Times New Roman"/>
                <w:noProof/>
                <w:sz w:val="20"/>
              </w:rPr>
            </w:pP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BDD331" w14:textId="77777777" w:rsidR="000E48CE" w:rsidRDefault="00FF4C4E">
            <w:pPr>
              <w:pStyle w:val="P68B1DB1-Normal45"/>
              <w:spacing w:after="0" w:line="240" w:lineRule="auto"/>
              <w:jc w:val="center"/>
              <w:rPr>
                <w:rFonts w:eastAsia="Times New Roman" w:cs="Times New Roman"/>
                <w:noProof/>
              </w:rPr>
            </w:pPr>
            <w:r>
              <w:rPr>
                <w:noProof/>
              </w:rPr>
              <w:t>Erän suuruus</w:t>
            </w:r>
          </w:p>
        </w:tc>
        <w:tc>
          <w:tcPr>
            <w:tcW w:w="6095" w:type="dxa"/>
            <w:tcBorders>
              <w:top w:val="single" w:sz="4" w:space="0" w:color="auto"/>
              <w:left w:val="nil"/>
              <w:bottom w:val="single" w:sz="4" w:space="0" w:color="auto"/>
              <w:right w:val="single" w:sz="4" w:space="0" w:color="auto"/>
            </w:tcBorders>
            <w:shd w:val="clear" w:color="auto" w:fill="C6EFCE"/>
            <w:noWrap/>
            <w:vAlign w:val="center"/>
          </w:tcPr>
          <w:p w14:paraId="085BD113" w14:textId="20E59525" w:rsidR="000E48CE" w:rsidRDefault="00FF4C4E">
            <w:pPr>
              <w:pStyle w:val="P68B1DB1-Normal45"/>
              <w:spacing w:after="0" w:line="240" w:lineRule="auto"/>
              <w:rPr>
                <w:rFonts w:eastAsia="Times New Roman" w:cs="Times New Roman"/>
                <w:noProof/>
              </w:rPr>
            </w:pPr>
            <w:r>
              <w:rPr>
                <w:noProof/>
              </w:rPr>
              <w:t>VÄHIMMÄISPÄÄOMA: 13793103448 EUROA</w:t>
            </w:r>
          </w:p>
        </w:tc>
      </w:tr>
    </w:tbl>
    <w:p w14:paraId="0976F2B0" w14:textId="77777777" w:rsidR="000E48CE" w:rsidRDefault="000E48CE">
      <w:pPr>
        <w:spacing w:before="120" w:after="120" w:line="240" w:lineRule="auto"/>
        <w:jc w:val="both"/>
        <w:rPr>
          <w:rFonts w:ascii="Times New Roman" w:eastAsia="Calibri" w:hAnsi="Times New Roman" w:cs="Times New Roman"/>
          <w:noProof/>
          <w:sz w:val="24"/>
        </w:rPr>
      </w:pPr>
    </w:p>
    <w:p w14:paraId="3348F253"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Kolmas erä (avustusmuotoinen tuki): </w:t>
      </w:r>
    </w:p>
    <w:tbl>
      <w:tblPr>
        <w:tblW w:w="9663" w:type="dxa"/>
        <w:tblInd w:w="113" w:type="dxa"/>
        <w:tblLook w:val="04A0" w:firstRow="1" w:lastRow="0" w:firstColumn="1" w:lastColumn="0" w:noHBand="0" w:noVBand="1"/>
      </w:tblPr>
      <w:tblGrid>
        <w:gridCol w:w="1300"/>
        <w:gridCol w:w="1443"/>
        <w:gridCol w:w="1783"/>
        <w:gridCol w:w="5670"/>
      </w:tblGrid>
      <w:tr w:rsidR="000E48CE" w14:paraId="3EF5B9F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0853053"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09B8F48" w14:textId="77777777" w:rsidR="000E48CE" w:rsidRDefault="00FF4C4E">
            <w:pPr>
              <w:pStyle w:val="P68B1DB1-Normal45"/>
              <w:spacing w:after="0" w:line="240" w:lineRule="auto"/>
              <w:jc w:val="center"/>
              <w:rPr>
                <w:rFonts w:eastAsia="Times New Roman" w:cs="Times New Roman"/>
                <w:noProof/>
              </w:rPr>
            </w:pPr>
            <w:r>
              <w:rPr>
                <w:noProof/>
              </w:rPr>
              <w:t xml:space="preserve">Toimenpide (uudistus tai </w:t>
            </w:r>
            <w:r>
              <w:rPr>
                <w:noProof/>
              </w:rPr>
              <w:t>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AD4A0A9"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A2455A0"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415F646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3ECD0BC"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F10B47B"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EE8BA03"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134CB12" w14:textId="77777777" w:rsidR="000E48CE" w:rsidRDefault="000E48CE">
            <w:pPr>
              <w:spacing w:after="0" w:line="240" w:lineRule="auto"/>
              <w:rPr>
                <w:rFonts w:ascii="Times New Roman" w:eastAsia="Times New Roman" w:hAnsi="Times New Roman" w:cs="Times New Roman"/>
                <w:b/>
                <w:noProof/>
                <w:sz w:val="20"/>
              </w:rPr>
            </w:pPr>
          </w:p>
        </w:tc>
      </w:tr>
      <w:tr w:rsidR="000E48CE" w14:paraId="304944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9BAEB8" w14:textId="77777777" w:rsidR="000E48CE" w:rsidRDefault="00FF4C4E">
            <w:pPr>
              <w:pStyle w:val="P68B1DB1-Normal46"/>
              <w:spacing w:after="0" w:line="240" w:lineRule="auto"/>
              <w:jc w:val="center"/>
              <w:rPr>
                <w:rFonts w:eastAsia="Times New Roman" w:cs="Times New Roman"/>
                <w:noProof/>
              </w:rPr>
            </w:pPr>
            <w:r>
              <w:rPr>
                <w:noProof/>
              </w:rPr>
              <w:t>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A8085" w14:textId="77777777" w:rsidR="000E48CE" w:rsidRDefault="00FF4C4E">
            <w:pPr>
              <w:pStyle w:val="P68B1DB1-Normal46"/>
              <w:spacing w:after="0" w:line="240" w:lineRule="auto"/>
              <w:rPr>
                <w:rFonts w:eastAsia="Times New Roman" w:cs="Times New Roman"/>
                <w:noProof/>
              </w:rPr>
            </w:pPr>
            <w:r>
              <w:rPr>
                <w:noProof/>
              </w:rPr>
              <w:t>C1.R1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1203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EDDD23" w14:textId="77777777" w:rsidR="000E48CE" w:rsidRDefault="00FF4C4E">
            <w:pPr>
              <w:pStyle w:val="P68B1DB1-Normal46"/>
              <w:spacing w:after="0" w:line="240" w:lineRule="auto"/>
              <w:rPr>
                <w:rFonts w:eastAsia="Times New Roman" w:cs="Times New Roman"/>
                <w:noProof/>
              </w:rPr>
            </w:pPr>
            <w:r>
              <w:rPr>
                <w:noProof/>
              </w:rPr>
              <w:t xml:space="preserve">Muutokset rakentamista koskevaan tekniseen säännöstöön (vahvistetaan myöhemmin), pienjännitesähkötekniseen sääntöön (laver) ja kuninkaallisen asetuksen hyväksyminen julkisten latauspalvelujen </w:t>
            </w:r>
            <w:r>
              <w:rPr>
                <w:noProof/>
              </w:rPr>
              <w:t>sääntelystä</w:t>
            </w:r>
          </w:p>
        </w:tc>
      </w:tr>
      <w:tr w:rsidR="000E48CE" w14:paraId="5EDC68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D7E850" w14:textId="77777777" w:rsidR="000E48CE" w:rsidRDefault="00FF4C4E">
            <w:pPr>
              <w:pStyle w:val="P68B1DB1-Normal46"/>
              <w:spacing w:after="0" w:line="240" w:lineRule="auto"/>
              <w:jc w:val="center"/>
              <w:rPr>
                <w:rFonts w:eastAsia="Times New Roman" w:cs="Times New Roman"/>
                <w:noProof/>
              </w:rPr>
            </w:pPr>
            <w:r>
              <w:rPr>
                <w:noProof/>
              </w:rPr>
              <w:t>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F7E7AE" w14:textId="77777777" w:rsidR="000E48CE" w:rsidRDefault="00FF4C4E">
            <w:pPr>
              <w:pStyle w:val="P68B1DB1-Normal46"/>
              <w:spacing w:after="0" w:line="240" w:lineRule="auto"/>
              <w:rPr>
                <w:rFonts w:eastAsia="Times New Roman" w:cs="Times New Roman"/>
                <w:noProof/>
              </w:rPr>
            </w:pPr>
            <w:r>
              <w:rPr>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7FD4E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1781D3" w14:textId="77777777" w:rsidR="000E48CE" w:rsidRDefault="00FF4C4E">
            <w:pPr>
              <w:pStyle w:val="P68B1DB1-Normal46"/>
              <w:spacing w:after="0" w:line="240" w:lineRule="auto"/>
              <w:rPr>
                <w:rFonts w:eastAsia="Times New Roman" w:cs="Times New Roman"/>
                <w:noProof/>
              </w:rPr>
            </w:pPr>
            <w:r>
              <w:rPr>
                <w:noProof/>
              </w:rPr>
              <w:t xml:space="preserve">Kansallisten kalastusalueiden hallinnoinnista annetun kuninkaallisen asetuksen voimaantulo </w:t>
            </w:r>
          </w:p>
        </w:tc>
      </w:tr>
      <w:tr w:rsidR="000E48CE" w14:paraId="7E0696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A87356" w14:textId="77777777" w:rsidR="000E48CE" w:rsidRDefault="00FF4C4E">
            <w:pPr>
              <w:pStyle w:val="P68B1DB1-Normal46"/>
              <w:spacing w:after="0" w:line="240" w:lineRule="auto"/>
              <w:jc w:val="center"/>
              <w:rPr>
                <w:rFonts w:eastAsia="Times New Roman" w:cs="Times New Roman"/>
                <w:noProof/>
              </w:rPr>
            </w:pPr>
            <w:r>
              <w:rPr>
                <w:noProof/>
              </w:rPr>
              <w:t>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5D96D1" w14:textId="77777777" w:rsidR="000E48CE" w:rsidRDefault="00FF4C4E">
            <w:pPr>
              <w:pStyle w:val="P68B1DB1-Normal46"/>
              <w:spacing w:after="0" w:line="240" w:lineRule="auto"/>
              <w:rPr>
                <w:rFonts w:eastAsia="Times New Roman" w:cs="Times New Roman"/>
                <w:noProof/>
              </w:rPr>
            </w:pPr>
            <w:r>
              <w:rPr>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F8AF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332B08" w14:textId="77777777" w:rsidR="000E48CE" w:rsidRDefault="00FF4C4E">
            <w:pPr>
              <w:pStyle w:val="P68B1DB1-Normal46"/>
              <w:spacing w:after="0" w:line="240" w:lineRule="auto"/>
              <w:rPr>
                <w:rFonts w:eastAsia="Times New Roman" w:cs="Times New Roman"/>
                <w:noProof/>
              </w:rPr>
            </w:pPr>
            <w:r>
              <w:rPr>
                <w:noProof/>
              </w:rPr>
              <w:t xml:space="preserve">Investointisuunnitelma maatalouden ja karjankasvatuksen kestävyyden ja kilpailukyvyn edistämiseksi </w:t>
            </w:r>
          </w:p>
        </w:tc>
      </w:tr>
      <w:tr w:rsidR="000E48CE" w14:paraId="483C79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C1750B" w14:textId="77777777" w:rsidR="000E48CE" w:rsidRDefault="00FF4C4E">
            <w:pPr>
              <w:pStyle w:val="P68B1DB1-Normal46"/>
              <w:spacing w:after="0" w:line="240" w:lineRule="auto"/>
              <w:jc w:val="center"/>
              <w:rPr>
                <w:rFonts w:eastAsia="Times New Roman" w:cs="Times New Roman"/>
                <w:noProof/>
              </w:rPr>
            </w:pPr>
            <w:r>
              <w:rPr>
                <w:noProof/>
              </w:rPr>
              <w:t>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41C1B" w14:textId="77777777" w:rsidR="000E48CE" w:rsidRDefault="00FF4C4E">
            <w:pPr>
              <w:pStyle w:val="P68B1DB1-Normal46"/>
              <w:spacing w:after="0" w:line="240" w:lineRule="auto"/>
              <w:rPr>
                <w:rFonts w:eastAsia="Times New Roman" w:cs="Times New Roman"/>
                <w:noProof/>
              </w:rPr>
            </w:pPr>
            <w:r>
              <w:rPr>
                <w:noProof/>
              </w:rPr>
              <w:t>C3.I7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A7345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A8FC31A" w14:textId="77777777" w:rsidR="000E48CE" w:rsidRDefault="00FF4C4E">
            <w:pPr>
              <w:pStyle w:val="P68B1DB1-Normal46"/>
              <w:spacing w:after="0" w:line="240" w:lineRule="auto"/>
              <w:rPr>
                <w:rFonts w:eastAsia="Times New Roman" w:cs="Times New Roman"/>
                <w:noProof/>
              </w:rPr>
            </w:pPr>
            <w:r>
              <w:rPr>
                <w:noProof/>
              </w:rPr>
              <w:t xml:space="preserve">Akustisten </w:t>
            </w:r>
            <w:r>
              <w:rPr>
                <w:noProof/>
              </w:rPr>
              <w:t>näytteenottimien hankinta kalastusalan tutkimusta varten</w:t>
            </w:r>
          </w:p>
        </w:tc>
      </w:tr>
      <w:tr w:rsidR="000E48CE" w14:paraId="197099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1151B9" w14:textId="77777777" w:rsidR="000E48CE" w:rsidRDefault="00FF4C4E">
            <w:pPr>
              <w:pStyle w:val="P68B1DB1-Normal46"/>
              <w:spacing w:after="0" w:line="240" w:lineRule="auto"/>
              <w:jc w:val="center"/>
              <w:rPr>
                <w:rFonts w:eastAsia="Times New Roman" w:cs="Times New Roman"/>
                <w:noProof/>
              </w:rPr>
            </w:pPr>
            <w:r>
              <w:rPr>
                <w:noProof/>
              </w:rPr>
              <w:t>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790511" w14:textId="77777777" w:rsidR="000E48CE" w:rsidRDefault="00FF4C4E">
            <w:pPr>
              <w:pStyle w:val="P68B1DB1-Normal46"/>
              <w:spacing w:after="0" w:line="240" w:lineRule="auto"/>
              <w:rPr>
                <w:rFonts w:eastAsia="Times New Roman" w:cs="Times New Roman"/>
                <w:noProof/>
              </w:rPr>
            </w:pPr>
            <w:r>
              <w:rPr>
                <w:noProof/>
              </w:rPr>
              <w:t>C3.I11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C4355D"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54028F8" w14:textId="77777777" w:rsidR="000E48CE" w:rsidRDefault="00FF4C4E">
            <w:pPr>
              <w:pStyle w:val="P68B1DB1-Normal46"/>
              <w:spacing w:after="0" w:line="240" w:lineRule="auto"/>
              <w:rPr>
                <w:rFonts w:eastAsia="Times New Roman" w:cs="Times New Roman"/>
                <w:noProof/>
              </w:rPr>
            </w:pPr>
            <w:r>
              <w:rPr>
                <w:noProof/>
              </w:rPr>
              <w:t>Kalatalousalan investointihankkeiden rahoitus</w:t>
            </w:r>
          </w:p>
        </w:tc>
      </w:tr>
      <w:tr w:rsidR="000E48CE" w14:paraId="44AA27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BA8A38" w14:textId="77777777" w:rsidR="000E48CE" w:rsidRDefault="00FF4C4E">
            <w:pPr>
              <w:pStyle w:val="P68B1DB1-Normal46"/>
              <w:spacing w:after="0" w:line="240" w:lineRule="auto"/>
              <w:jc w:val="center"/>
              <w:rPr>
                <w:rFonts w:eastAsia="Times New Roman" w:cs="Times New Roman"/>
                <w:noProof/>
              </w:rPr>
            </w:pPr>
            <w:r>
              <w:rPr>
                <w:noProof/>
              </w:rPr>
              <w:t>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5552DA" w14:textId="77777777" w:rsidR="000E48CE" w:rsidRDefault="00FF4C4E">
            <w:pPr>
              <w:pStyle w:val="P68B1DB1-Normal46"/>
              <w:spacing w:after="0" w:line="240" w:lineRule="auto"/>
              <w:rPr>
                <w:rFonts w:eastAsia="Times New Roman" w:cs="Times New Roman"/>
                <w:noProof/>
              </w:rPr>
            </w:pPr>
            <w:r>
              <w:rPr>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5813C5"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FB243E" w14:textId="77777777" w:rsidR="000E48CE" w:rsidRDefault="00FF4C4E">
            <w:pPr>
              <w:pStyle w:val="P68B1DB1-Normal46"/>
              <w:spacing w:after="0" w:line="240" w:lineRule="auto"/>
              <w:rPr>
                <w:rFonts w:eastAsia="Times New Roman" w:cs="Times New Roman"/>
                <w:noProof/>
              </w:rPr>
            </w:pPr>
            <w:r>
              <w:rPr>
                <w:noProof/>
              </w:rPr>
              <w:t>Palontorjuntaan tarkoitettuja ilma-aluksia koskevien sopimusten tekeminen ja biologista monimuotoisuutta koskevan tietämyksen se</w:t>
            </w:r>
            <w:r>
              <w:rPr>
                <w:noProof/>
              </w:rPr>
              <w:t>uranta- ja hallintajärjestelmän perustaminen</w:t>
            </w:r>
          </w:p>
        </w:tc>
      </w:tr>
      <w:tr w:rsidR="000E48CE" w14:paraId="724B1D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B776AF" w14:textId="77777777" w:rsidR="000E48CE" w:rsidRDefault="00FF4C4E">
            <w:pPr>
              <w:pStyle w:val="P68B1DB1-Normal46"/>
              <w:spacing w:after="0" w:line="240" w:lineRule="auto"/>
              <w:jc w:val="center"/>
              <w:rPr>
                <w:rFonts w:eastAsia="Times New Roman" w:cs="Times New Roman"/>
                <w:noProof/>
              </w:rPr>
            </w:pPr>
            <w:r>
              <w:rPr>
                <w:noProof/>
              </w:rPr>
              <w:t>110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50FB9A" w14:textId="77777777" w:rsidR="000E48CE" w:rsidRDefault="00FF4C4E">
            <w:pPr>
              <w:pStyle w:val="P68B1DB1-Normal46"/>
              <w:spacing w:after="0" w:line="240" w:lineRule="auto"/>
              <w:rPr>
                <w:rFonts w:eastAsia="Times New Roman" w:cs="Times New Roman"/>
                <w:noProof/>
              </w:rPr>
            </w:pPr>
            <w:r>
              <w:rPr>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D12F9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1B9C61" w14:textId="77777777" w:rsidR="000E48CE" w:rsidRDefault="00FF4C4E">
            <w:pPr>
              <w:pStyle w:val="P68B1DB1-Normal46"/>
              <w:spacing w:after="0" w:line="240" w:lineRule="auto"/>
              <w:rPr>
                <w:rFonts w:eastAsia="Times New Roman" w:cs="Times New Roman"/>
                <w:noProof/>
              </w:rPr>
            </w:pPr>
            <w:r>
              <w:rPr>
                <w:noProof/>
              </w:rPr>
              <w:t xml:space="preserve">Energiayhteisöjä koskeva pilottihanke </w:t>
            </w:r>
          </w:p>
        </w:tc>
      </w:tr>
      <w:tr w:rsidR="000E48CE" w14:paraId="6A4DED1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A4A34" w14:textId="77777777" w:rsidR="000E48CE" w:rsidRDefault="00FF4C4E">
            <w:pPr>
              <w:pStyle w:val="P68B1DB1-Normal46"/>
              <w:spacing w:after="0" w:line="240" w:lineRule="auto"/>
              <w:jc w:val="center"/>
              <w:rPr>
                <w:rFonts w:eastAsia="Times New Roman" w:cs="Times New Roman"/>
                <w:noProof/>
              </w:rPr>
            </w:pPr>
            <w:r>
              <w:rPr>
                <w:noProof/>
              </w:rPr>
              <w:t>115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8D77E5" w14:textId="77777777" w:rsidR="000E48CE" w:rsidRDefault="00FF4C4E">
            <w:pPr>
              <w:pStyle w:val="P68B1DB1-Normal46"/>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3D5F37"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47A7E5A" w14:textId="77777777" w:rsidR="000E48CE" w:rsidRDefault="00FF4C4E">
            <w:pPr>
              <w:pStyle w:val="P68B1DB1-Normal46"/>
              <w:spacing w:after="0" w:line="240" w:lineRule="auto"/>
              <w:rPr>
                <w:rFonts w:eastAsia="Times New Roman" w:cs="Times New Roman"/>
                <w:noProof/>
              </w:rPr>
            </w:pPr>
            <w:r>
              <w:rPr>
                <w:noProof/>
              </w:rPr>
              <w:t>Tarjouskilpailu, joka koskee investointitukea innovatiiviseen tai uusiutuvan energian lisäarvoon perustuvaan kapasiteettiin</w:t>
            </w:r>
          </w:p>
        </w:tc>
      </w:tr>
      <w:tr w:rsidR="000E48CE" w14:paraId="4DE38C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DF74E" w14:textId="77777777" w:rsidR="000E48CE" w:rsidRDefault="00FF4C4E">
            <w:pPr>
              <w:pStyle w:val="P68B1DB1-Normal46"/>
              <w:spacing w:after="0" w:line="240" w:lineRule="auto"/>
              <w:jc w:val="center"/>
              <w:rPr>
                <w:rFonts w:eastAsia="Times New Roman" w:cs="Times New Roman"/>
                <w:noProof/>
              </w:rPr>
            </w:pPr>
            <w:r>
              <w:rPr>
                <w:noProof/>
              </w:rPr>
              <w:t>124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5544A7" w14:textId="77777777" w:rsidR="000E48CE" w:rsidRDefault="00FF4C4E">
            <w:pPr>
              <w:pStyle w:val="P68B1DB1-Normal46"/>
              <w:spacing w:after="0" w:line="240" w:lineRule="auto"/>
              <w:rPr>
                <w:rFonts w:eastAsia="Times New Roman" w:cs="Times New Roman"/>
                <w:noProof/>
              </w:rPr>
            </w:pPr>
            <w:r>
              <w:rPr>
                <w:noProof/>
              </w:rPr>
              <w:t>C8.R4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3781ED"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030F9" w14:textId="77777777" w:rsidR="000E48CE" w:rsidRDefault="00FF4C4E">
            <w:pPr>
              <w:pStyle w:val="P68B1DB1-Normal46"/>
              <w:spacing w:after="0" w:line="240" w:lineRule="auto"/>
              <w:rPr>
                <w:rFonts w:eastAsia="Times New Roman" w:cs="Times New Roman"/>
                <w:noProof/>
              </w:rPr>
            </w:pPr>
            <w:r>
              <w:rPr>
                <w:noProof/>
              </w:rPr>
              <w:t>Sääntelyn</w:t>
            </w:r>
            <w:r>
              <w:rPr>
                <w:noProof/>
              </w:rPr>
              <w:t xml:space="preserve"> testiympäristöjä edistävien toimenpiteiden voimaantulo sähköalan tutkimuksen ja innovoinnin edistämiseksi.</w:t>
            </w:r>
          </w:p>
        </w:tc>
      </w:tr>
      <w:tr w:rsidR="000E48CE" w14:paraId="0E23F5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80FFDB" w14:textId="77777777" w:rsidR="000E48CE" w:rsidRDefault="00FF4C4E">
            <w:pPr>
              <w:pStyle w:val="P68B1DB1-Normal46"/>
              <w:spacing w:after="0" w:line="240" w:lineRule="auto"/>
              <w:jc w:val="center"/>
              <w:rPr>
                <w:rFonts w:eastAsia="Times New Roman" w:cs="Times New Roman"/>
                <w:noProof/>
              </w:rPr>
            </w:pPr>
            <w:r>
              <w:rPr>
                <w:noProof/>
              </w:rPr>
              <w:t>130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E43752" w14:textId="77777777" w:rsidR="000E48CE" w:rsidRDefault="00FF4C4E">
            <w:pPr>
              <w:pStyle w:val="P68B1DB1-Normal46"/>
              <w:spacing w:after="0" w:line="240" w:lineRule="auto"/>
              <w:rPr>
                <w:rFonts w:eastAsia="Times New Roman" w:cs="Times New Roman"/>
                <w:noProof/>
              </w:rPr>
            </w:pPr>
            <w:r>
              <w:rPr>
                <w:noProof/>
              </w:rPr>
              <w:t>C9.R1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B188E"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5A02A2" w14:textId="77777777" w:rsidR="000E48CE" w:rsidRDefault="00FF4C4E">
            <w:pPr>
              <w:pStyle w:val="P68B1DB1-Normal46"/>
              <w:spacing w:after="0" w:line="240" w:lineRule="auto"/>
              <w:rPr>
                <w:rFonts w:eastAsia="Times New Roman" w:cs="Times New Roman"/>
                <w:noProof/>
              </w:rPr>
            </w:pPr>
            <w:r>
              <w:rPr>
                <w:noProof/>
              </w:rPr>
              <w:t>Uusiutuvien kaasujen alkuperätakuista annetun asetuksen voimaantulo</w:t>
            </w:r>
          </w:p>
        </w:tc>
      </w:tr>
      <w:tr w:rsidR="000E48CE" w14:paraId="027EC3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831C45" w14:textId="77777777" w:rsidR="000E48CE" w:rsidRDefault="00FF4C4E">
            <w:pPr>
              <w:pStyle w:val="P68B1DB1-Normal46"/>
              <w:spacing w:after="0" w:line="240" w:lineRule="auto"/>
              <w:jc w:val="center"/>
              <w:rPr>
                <w:rFonts w:eastAsia="Times New Roman" w:cs="Times New Roman"/>
                <w:noProof/>
              </w:rPr>
            </w:pPr>
            <w:r>
              <w:rPr>
                <w:noProof/>
              </w:rPr>
              <w:t>190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E03C04" w14:textId="77777777" w:rsidR="000E48CE" w:rsidRDefault="00FF4C4E">
            <w:pPr>
              <w:pStyle w:val="P68B1DB1-Normal46"/>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6B1AB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ED3108" w14:textId="77777777" w:rsidR="000E48CE" w:rsidRDefault="00FF4C4E">
            <w:pPr>
              <w:pStyle w:val="P68B1DB1-Normal46"/>
              <w:spacing w:after="0" w:line="240" w:lineRule="auto"/>
              <w:rPr>
                <w:rFonts w:eastAsia="Times New Roman" w:cs="Times New Roman"/>
                <w:noProof/>
              </w:rPr>
            </w:pPr>
            <w:r>
              <w:rPr>
                <w:noProof/>
              </w:rPr>
              <w:t xml:space="preserve">Maksukyvyttömyyslain uudistamista koskevan lain </w:t>
            </w:r>
            <w:r>
              <w:rPr>
                <w:noProof/>
              </w:rPr>
              <w:t>voimaantulo</w:t>
            </w:r>
          </w:p>
        </w:tc>
      </w:tr>
      <w:tr w:rsidR="000E48CE" w14:paraId="2953DD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02D1D" w14:textId="77777777" w:rsidR="000E48CE" w:rsidRDefault="00FF4C4E">
            <w:pPr>
              <w:pStyle w:val="P68B1DB1-Normal46"/>
              <w:spacing w:after="0" w:line="240" w:lineRule="auto"/>
              <w:jc w:val="center"/>
              <w:rPr>
                <w:rFonts w:eastAsia="Times New Roman" w:cs="Times New Roman"/>
                <w:noProof/>
              </w:rPr>
            </w:pPr>
            <w:r>
              <w:rPr>
                <w:noProof/>
              </w:rPr>
              <w:t>229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9F9BDD" w14:textId="77777777" w:rsidR="000E48CE" w:rsidRDefault="00FF4C4E">
            <w:pPr>
              <w:pStyle w:val="P68B1DB1-Normal46"/>
              <w:spacing w:after="0" w:line="240" w:lineRule="auto"/>
              <w:rPr>
                <w:rFonts w:eastAsia="Times New Roman" w:cs="Times New Roman"/>
                <w:noProof/>
              </w:rPr>
            </w:pPr>
            <w:r>
              <w:rPr>
                <w:noProof/>
              </w:rPr>
              <w:t>C15.R1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2B2E1A"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494537D" w14:textId="77777777" w:rsidR="000E48CE" w:rsidRDefault="00FF4C4E">
            <w:pPr>
              <w:pStyle w:val="P68B1DB1-Normal46"/>
              <w:spacing w:after="0" w:line="240" w:lineRule="auto"/>
              <w:rPr>
                <w:rFonts w:eastAsia="Times New Roman" w:cs="Times New Roman"/>
                <w:noProof/>
              </w:rPr>
            </w:pPr>
            <w:r>
              <w:rPr>
                <w:noProof/>
              </w:rPr>
              <w:t>Televiestintälain voimaantulo</w:t>
            </w:r>
          </w:p>
        </w:tc>
      </w:tr>
      <w:tr w:rsidR="000E48CE" w14:paraId="62FC46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65FB81" w14:textId="77777777" w:rsidR="000E48CE" w:rsidRDefault="00FF4C4E">
            <w:pPr>
              <w:pStyle w:val="P68B1DB1-Normal46"/>
              <w:spacing w:after="0" w:line="240" w:lineRule="auto"/>
              <w:jc w:val="center"/>
              <w:rPr>
                <w:rFonts w:eastAsia="Times New Roman" w:cs="Times New Roman"/>
                <w:noProof/>
              </w:rPr>
            </w:pPr>
            <w:r>
              <w:rPr>
                <w:noProof/>
              </w:rPr>
              <w:t>254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6E4295" w14:textId="77777777" w:rsidR="000E48CE" w:rsidRDefault="00FF4C4E">
            <w:pPr>
              <w:pStyle w:val="P68B1DB1-Normal46"/>
              <w:spacing w:after="0" w:line="240" w:lineRule="auto"/>
              <w:rPr>
                <w:rFonts w:eastAsia="Times New Roman" w:cs="Times New Roman"/>
                <w:noProof/>
              </w:rPr>
            </w:pPr>
            <w:r>
              <w:rPr>
                <w:noProof/>
              </w:rPr>
              <w:t>C17.R1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FD02E0"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446C8" w14:textId="77777777" w:rsidR="000E48CE" w:rsidRDefault="00FF4C4E">
            <w:pPr>
              <w:pStyle w:val="P68B1DB1-Normal46"/>
              <w:spacing w:after="0" w:line="240" w:lineRule="auto"/>
              <w:rPr>
                <w:rFonts w:eastAsia="Times New Roman" w:cs="Times New Roman"/>
                <w:noProof/>
              </w:rPr>
            </w:pPr>
            <w:r>
              <w:rPr>
                <w:noProof/>
              </w:rPr>
              <w:t>Tieteestä, teknologiasta ja innovoinnista 1. kesäkuuta annetun lain 14/2011 muutoksen voimaantulo.</w:t>
            </w:r>
          </w:p>
        </w:tc>
      </w:tr>
      <w:tr w:rsidR="000E48CE" w14:paraId="1A935B0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348EF3" w14:textId="77777777" w:rsidR="000E48CE" w:rsidRDefault="00FF4C4E">
            <w:pPr>
              <w:pStyle w:val="P68B1DB1-Normal46"/>
              <w:spacing w:after="0" w:line="240" w:lineRule="auto"/>
              <w:jc w:val="center"/>
              <w:rPr>
                <w:rFonts w:eastAsia="Times New Roman" w:cs="Times New Roman"/>
                <w:noProof/>
              </w:rPr>
            </w:pPr>
            <w:r>
              <w:rPr>
                <w:noProof/>
              </w:rPr>
              <w:t>270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5CB268" w14:textId="77777777" w:rsidR="000E48CE" w:rsidRDefault="00FF4C4E">
            <w:pPr>
              <w:pStyle w:val="P68B1DB1-Normal46"/>
              <w:spacing w:after="0" w:line="240" w:lineRule="auto"/>
              <w:rPr>
                <w:rFonts w:eastAsia="Times New Roman" w:cs="Times New Roman"/>
                <w:noProof/>
              </w:rPr>
            </w:pPr>
            <w:r>
              <w:rPr>
                <w:noProof/>
              </w:rPr>
              <w:t>C17.I8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35071E"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5ED161" w14:textId="77777777" w:rsidR="000E48CE" w:rsidRDefault="00FF4C4E">
            <w:pPr>
              <w:pStyle w:val="P68B1DB1-Normal46"/>
              <w:spacing w:after="0" w:line="240" w:lineRule="auto"/>
              <w:rPr>
                <w:rFonts w:eastAsia="Times New Roman" w:cs="Times New Roman"/>
                <w:noProof/>
              </w:rPr>
            </w:pPr>
            <w:r>
              <w:rPr>
                <w:noProof/>
              </w:rPr>
              <w:t xml:space="preserve">Tuki kestävää autoteollisuutta koskeville T &amp; K &amp; I-hankkeille </w:t>
            </w:r>
          </w:p>
        </w:tc>
      </w:tr>
      <w:tr w:rsidR="000E48CE" w14:paraId="727BAF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178E0F" w14:textId="77777777" w:rsidR="000E48CE" w:rsidRDefault="00FF4C4E">
            <w:pPr>
              <w:pStyle w:val="P68B1DB1-Normal46"/>
              <w:spacing w:after="0" w:line="240" w:lineRule="auto"/>
              <w:jc w:val="center"/>
              <w:rPr>
                <w:rFonts w:eastAsia="Times New Roman" w:cs="Times New Roman"/>
                <w:noProof/>
              </w:rPr>
            </w:pPr>
            <w:r>
              <w:rPr>
                <w:noProof/>
              </w:rPr>
              <w:t>274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1949C" w14:textId="77777777" w:rsidR="000E48CE" w:rsidRDefault="00FF4C4E">
            <w:pPr>
              <w:pStyle w:val="P68B1DB1-Normal46"/>
              <w:spacing w:after="0" w:line="240" w:lineRule="auto"/>
              <w:rPr>
                <w:rFonts w:eastAsia="Times New Roman" w:cs="Times New Roman"/>
                <w:noProof/>
              </w:rPr>
            </w:pPr>
            <w:r>
              <w:rPr>
                <w:noProof/>
              </w:rPr>
              <w:t>C18.R2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39F299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0B8F0C" w14:textId="77777777" w:rsidR="000E48CE" w:rsidRDefault="00FF4C4E">
            <w:pPr>
              <w:pStyle w:val="P68B1DB1-Normal46"/>
              <w:spacing w:after="0" w:line="240" w:lineRule="auto"/>
              <w:rPr>
                <w:rFonts w:eastAsia="Times New Roman" w:cs="Times New Roman"/>
                <w:noProof/>
              </w:rPr>
            </w:pPr>
            <w:r>
              <w:rPr>
                <w:noProof/>
              </w:rPr>
              <w:t xml:space="preserve">Espanjan kansanterveysstrategian hyväksyminen </w:t>
            </w:r>
          </w:p>
        </w:tc>
      </w:tr>
      <w:tr w:rsidR="000E48CE" w14:paraId="44B0B2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0C8489" w14:textId="77777777" w:rsidR="000E48CE" w:rsidRDefault="00FF4C4E">
            <w:pPr>
              <w:pStyle w:val="P68B1DB1-Normal46"/>
              <w:spacing w:after="0" w:line="240" w:lineRule="auto"/>
              <w:jc w:val="center"/>
              <w:rPr>
                <w:rFonts w:eastAsia="Times New Roman" w:cs="Times New Roman"/>
                <w:noProof/>
              </w:rPr>
            </w:pPr>
            <w:r>
              <w:rPr>
                <w:noProof/>
              </w:rPr>
              <w:t>296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452A4E" w14:textId="77777777" w:rsidR="000E48CE" w:rsidRDefault="00FF4C4E">
            <w:pPr>
              <w:pStyle w:val="P68B1DB1-Normal46"/>
              <w:spacing w:after="0" w:line="240" w:lineRule="auto"/>
              <w:rPr>
                <w:rFonts w:eastAsia="Times New Roman" w:cs="Times New Roman"/>
                <w:noProof/>
              </w:rPr>
            </w:pPr>
            <w:r>
              <w:rPr>
                <w:noProof/>
              </w:rPr>
              <w:t>C20.R2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749E1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E1DB8F" w14:textId="77777777" w:rsidR="000E48CE" w:rsidRDefault="00FF4C4E">
            <w:pPr>
              <w:pStyle w:val="P68B1DB1-Normal46"/>
              <w:spacing w:after="0" w:line="240" w:lineRule="auto"/>
              <w:rPr>
                <w:rFonts w:eastAsia="Times New Roman" w:cs="Times New Roman"/>
                <w:noProof/>
              </w:rPr>
            </w:pPr>
            <w:r>
              <w:rPr>
                <w:noProof/>
              </w:rPr>
              <w:t>Yhtenäisestä ammatillisesta koulutusjärjestelmästä annetun lain voimaantulo tavoitteena järjestelmän nykyaikaistaminen</w:t>
            </w:r>
          </w:p>
        </w:tc>
      </w:tr>
      <w:tr w:rsidR="000E48CE" w14:paraId="705E64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BAB3C7" w14:textId="77777777" w:rsidR="000E48CE" w:rsidRDefault="00FF4C4E">
            <w:pPr>
              <w:pStyle w:val="P68B1DB1-Normal46"/>
              <w:spacing w:after="0" w:line="240" w:lineRule="auto"/>
              <w:jc w:val="center"/>
              <w:rPr>
                <w:rFonts w:eastAsia="Times New Roman" w:cs="Times New Roman"/>
                <w:noProof/>
              </w:rPr>
            </w:pPr>
            <w:r>
              <w:rPr>
                <w:noProof/>
              </w:rPr>
              <w:t>304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FB682" w14:textId="77777777" w:rsidR="000E48CE" w:rsidRDefault="00FF4C4E">
            <w:pPr>
              <w:pStyle w:val="P68B1DB1-Normal46"/>
              <w:spacing w:after="0" w:line="240" w:lineRule="auto"/>
              <w:rPr>
                <w:rFonts w:eastAsia="Times New Roman" w:cs="Times New Roman"/>
                <w:noProof/>
              </w:rPr>
            </w:pPr>
            <w:r>
              <w:rPr>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94B35"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6E9A5" w14:textId="77777777" w:rsidR="000E48CE" w:rsidRDefault="00FF4C4E">
            <w:pPr>
              <w:pStyle w:val="P68B1DB1-Normal46"/>
              <w:spacing w:after="0" w:line="240" w:lineRule="auto"/>
              <w:rPr>
                <w:rFonts w:eastAsia="Times New Roman" w:cs="Times New Roman"/>
                <w:noProof/>
              </w:rPr>
            </w:pPr>
            <w:r>
              <w:rPr>
                <w:noProof/>
              </w:rPr>
              <w:t xml:space="preserve">Opetuksen vähimmäisvaatimuksista annetun kuninkaallisen asetuksen voimaantulo </w:t>
            </w:r>
          </w:p>
        </w:tc>
      </w:tr>
      <w:tr w:rsidR="000E48CE" w14:paraId="06E9132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3E1722" w14:textId="77777777" w:rsidR="000E48CE" w:rsidRDefault="00FF4C4E">
            <w:pPr>
              <w:pStyle w:val="P68B1DB1-Normal46"/>
              <w:spacing w:after="0" w:line="240" w:lineRule="auto"/>
              <w:jc w:val="center"/>
              <w:rPr>
                <w:rFonts w:eastAsia="Times New Roman" w:cs="Times New Roman"/>
                <w:noProof/>
              </w:rPr>
            </w:pPr>
            <w:r>
              <w:rPr>
                <w:noProof/>
              </w:rPr>
              <w:t>314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0A6638" w14:textId="77777777" w:rsidR="000E48CE" w:rsidRDefault="00FF4C4E">
            <w:pPr>
              <w:pStyle w:val="P68B1DB1-Normal46"/>
              <w:spacing w:after="0" w:line="240" w:lineRule="auto"/>
              <w:rPr>
                <w:rFonts w:eastAsia="Times New Roman" w:cs="Times New Roman"/>
                <w:noProof/>
              </w:rPr>
            </w:pPr>
            <w:r>
              <w:rPr>
                <w:noProof/>
              </w:rPr>
              <w:t>C22.R1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00375A"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585CB4" w14:textId="77777777" w:rsidR="000E48CE" w:rsidRDefault="00FF4C4E">
            <w:pPr>
              <w:pStyle w:val="P68B1DB1-Normal46"/>
              <w:spacing w:after="0" w:line="240" w:lineRule="auto"/>
              <w:rPr>
                <w:rFonts w:eastAsia="Times New Roman" w:cs="Times New Roman"/>
                <w:noProof/>
              </w:rPr>
            </w:pPr>
            <w:r>
              <w:rPr>
                <w:noProof/>
              </w:rPr>
              <w:t xml:space="preserve">Itsehallinto- ja hoivajärjestelmää (SAAD) koskevan arvioinnin hyväksyminen alueneuvostossa. </w:t>
            </w:r>
          </w:p>
        </w:tc>
      </w:tr>
      <w:tr w:rsidR="000E48CE" w14:paraId="37F331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915826" w14:textId="77777777" w:rsidR="000E48CE" w:rsidRDefault="00FF4C4E">
            <w:pPr>
              <w:pStyle w:val="P68B1DB1-Normal46"/>
              <w:spacing w:after="0" w:line="240" w:lineRule="auto"/>
              <w:jc w:val="center"/>
              <w:rPr>
                <w:rFonts w:eastAsia="Times New Roman" w:cs="Times New Roman"/>
                <w:noProof/>
              </w:rPr>
            </w:pPr>
            <w:r>
              <w:rPr>
                <w:noProof/>
              </w:rPr>
              <w:t>317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EF897E" w14:textId="77777777" w:rsidR="000E48CE" w:rsidRDefault="00FF4C4E">
            <w:pPr>
              <w:pStyle w:val="P68B1DB1-Normal46"/>
              <w:spacing w:after="0" w:line="240" w:lineRule="auto"/>
              <w:rPr>
                <w:rFonts w:eastAsia="Times New Roman" w:cs="Times New Roman"/>
                <w:noProof/>
              </w:rPr>
            </w:pPr>
            <w:r>
              <w:rPr>
                <w:noProof/>
              </w:rPr>
              <w:t>C22.R4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07A588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A2FDE5" w14:textId="77777777" w:rsidR="000E48CE" w:rsidRDefault="00FF4C4E">
            <w:pPr>
              <w:pStyle w:val="P68B1DB1-Normal46"/>
              <w:spacing w:after="0" w:line="240" w:lineRule="auto"/>
              <w:rPr>
                <w:rFonts w:eastAsia="Times New Roman" w:cs="Times New Roman"/>
                <w:noProof/>
              </w:rPr>
            </w:pPr>
            <w:r>
              <w:rPr>
                <w:noProof/>
              </w:rPr>
              <w:t>Maahanmuuttajien ja kansainvälistä suojelua hakevien hen</w:t>
            </w:r>
            <w:r>
              <w:rPr>
                <w:noProof/>
              </w:rPr>
              <w:t xml:space="preserve">kilöiden vastaanottojärjestelmää koskevan lainsäädäntöuudistuksen voimaantulo Espanjassa </w:t>
            </w:r>
          </w:p>
        </w:tc>
      </w:tr>
      <w:tr w:rsidR="000E48CE" w14:paraId="47CAE6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B0EF73" w14:textId="77777777" w:rsidR="000E48CE" w:rsidRDefault="00FF4C4E">
            <w:pPr>
              <w:pStyle w:val="P68B1DB1-Normal46"/>
              <w:spacing w:after="0" w:line="240" w:lineRule="auto"/>
              <w:jc w:val="center"/>
              <w:rPr>
                <w:rFonts w:eastAsia="Times New Roman" w:cs="Times New Roman"/>
                <w:noProof/>
              </w:rPr>
            </w:pPr>
            <w:r>
              <w:rPr>
                <w:noProof/>
              </w:rPr>
              <w:t>350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DEB930" w14:textId="77777777" w:rsidR="000E48CE" w:rsidRDefault="00FF4C4E">
            <w:pPr>
              <w:pStyle w:val="P68B1DB1-Normal46"/>
              <w:spacing w:after="0" w:line="240" w:lineRule="auto"/>
              <w:rPr>
                <w:rFonts w:eastAsia="Times New Roman" w:cs="Times New Roman"/>
                <w:noProof/>
              </w:rPr>
            </w:pPr>
            <w:r>
              <w:rPr>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7338EF"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5C0224" w14:textId="77777777" w:rsidR="000E48CE" w:rsidRDefault="00FF4C4E">
            <w:pPr>
              <w:pStyle w:val="P68B1DB1-Normal46"/>
              <w:spacing w:after="0" w:line="240" w:lineRule="auto"/>
              <w:rPr>
                <w:rFonts w:eastAsia="Times New Roman" w:cs="Times New Roman"/>
                <w:noProof/>
              </w:rPr>
            </w:pPr>
            <w:r>
              <w:rPr>
                <w:noProof/>
              </w:rPr>
              <w:t>Vähimmäistulon käyttöasteen parantaminen ja sen vaikuttavuuden lisääminen osallisuutta edistävien politiikkojen avulla</w:t>
            </w:r>
          </w:p>
        </w:tc>
      </w:tr>
      <w:tr w:rsidR="000E48CE" w14:paraId="1ABA29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F3411D" w14:textId="77777777" w:rsidR="000E48CE" w:rsidRDefault="00FF4C4E">
            <w:pPr>
              <w:pStyle w:val="P68B1DB1-Normal46"/>
              <w:spacing w:after="0" w:line="240" w:lineRule="auto"/>
              <w:jc w:val="center"/>
              <w:rPr>
                <w:rFonts w:eastAsia="Times New Roman" w:cs="Times New Roman"/>
                <w:noProof/>
              </w:rPr>
            </w:pPr>
            <w:r>
              <w:rPr>
                <w:noProof/>
              </w:rPr>
              <w:t>360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15E781" w14:textId="77777777" w:rsidR="000E48CE" w:rsidRDefault="00FF4C4E">
            <w:pPr>
              <w:pStyle w:val="P68B1DB1-Normal46"/>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5EFDE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F700C" w14:textId="77777777" w:rsidR="000E48CE" w:rsidRDefault="00FF4C4E">
            <w:pPr>
              <w:pStyle w:val="P68B1DB1-Normal46"/>
              <w:spacing w:after="0" w:line="240" w:lineRule="auto"/>
              <w:rPr>
                <w:rFonts w:eastAsia="Times New Roman" w:cs="Times New Roman"/>
                <w:noProof/>
              </w:rPr>
            </w:pPr>
            <w:r>
              <w:rPr>
                <w:noProof/>
              </w:rPr>
              <w:t xml:space="preserve">Digitalisaatio ja tärkeimpien kulttuuripalvelujen edistäminen </w:t>
            </w:r>
          </w:p>
        </w:tc>
      </w:tr>
      <w:tr w:rsidR="000E48CE" w14:paraId="47F43A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E120E3" w14:textId="77777777" w:rsidR="000E48CE" w:rsidRDefault="00FF4C4E">
            <w:pPr>
              <w:pStyle w:val="P68B1DB1-Normal46"/>
              <w:spacing w:after="0" w:line="240" w:lineRule="auto"/>
              <w:jc w:val="center"/>
              <w:rPr>
                <w:rFonts w:eastAsia="Times New Roman" w:cs="Times New Roman"/>
                <w:noProof/>
              </w:rPr>
            </w:pPr>
            <w:r>
              <w:rPr>
                <w:noProof/>
              </w:rPr>
              <w:t>364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B798C1" w14:textId="77777777" w:rsidR="000E48CE" w:rsidRDefault="00FF4C4E">
            <w:pPr>
              <w:pStyle w:val="P68B1DB1-Normal46"/>
              <w:spacing w:after="0" w:line="240" w:lineRule="auto"/>
              <w:rPr>
                <w:rFonts w:eastAsia="Times New Roman" w:cs="Times New Roman"/>
                <w:noProof/>
              </w:rPr>
            </w:pPr>
            <w:r>
              <w:rPr>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6BFA5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705185" w14:textId="77777777" w:rsidR="000E48CE" w:rsidRDefault="00FF4C4E">
            <w:pPr>
              <w:pStyle w:val="P68B1DB1-Normal46"/>
              <w:spacing w:after="0" w:line="240" w:lineRule="auto"/>
              <w:rPr>
                <w:rFonts w:eastAsia="Times New Roman" w:cs="Times New Roman"/>
                <w:noProof/>
              </w:rPr>
            </w:pPr>
            <w:r>
              <w:rPr>
                <w:noProof/>
              </w:rPr>
              <w:t>Audiovisuaalista viestintää koskevan yleisen lain voimaantulo.</w:t>
            </w:r>
          </w:p>
        </w:tc>
      </w:tr>
      <w:tr w:rsidR="000E48CE" w14:paraId="76832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7CC7A1" w14:textId="77777777" w:rsidR="000E48CE" w:rsidRDefault="00FF4C4E">
            <w:pPr>
              <w:pStyle w:val="P68B1DB1-Normal46"/>
              <w:spacing w:after="0" w:line="240" w:lineRule="auto"/>
              <w:jc w:val="center"/>
              <w:rPr>
                <w:rFonts w:eastAsia="Times New Roman" w:cs="Times New Roman"/>
                <w:noProof/>
              </w:rPr>
            </w:pPr>
            <w:r>
              <w:rPr>
                <w:noProof/>
              </w:rPr>
              <w:t>374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036D30" w14:textId="77777777" w:rsidR="000E48CE" w:rsidRDefault="00FF4C4E">
            <w:pPr>
              <w:pStyle w:val="P68B1DB1-Normal46"/>
              <w:spacing w:after="0" w:line="240" w:lineRule="auto"/>
              <w:rPr>
                <w:rFonts w:eastAsia="Times New Roman" w:cs="Times New Roman"/>
                <w:noProof/>
              </w:rPr>
            </w:pPr>
            <w:r>
              <w:rPr>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80B476"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397ED9C" w14:textId="77777777" w:rsidR="000E48CE" w:rsidRDefault="00FF4C4E">
            <w:pPr>
              <w:pStyle w:val="P68B1DB1-Normal46"/>
              <w:spacing w:after="0" w:line="240" w:lineRule="auto"/>
              <w:rPr>
                <w:rFonts w:eastAsia="Times New Roman" w:cs="Times New Roman"/>
                <w:noProof/>
              </w:rPr>
            </w:pPr>
            <w:r>
              <w:rPr>
                <w:noProof/>
              </w:rPr>
              <w:t xml:space="preserve">Hankkeet tasa-arvon edistämiseksi urheilussa </w:t>
            </w:r>
          </w:p>
        </w:tc>
      </w:tr>
      <w:tr w:rsidR="000E48CE" w14:paraId="744A87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6FEAD" w14:textId="77777777" w:rsidR="000E48CE" w:rsidRDefault="00FF4C4E">
            <w:pPr>
              <w:pStyle w:val="P68B1DB1-Normal46"/>
              <w:spacing w:after="0" w:line="240" w:lineRule="auto"/>
              <w:jc w:val="center"/>
              <w:rPr>
                <w:rFonts w:eastAsia="Times New Roman" w:cs="Times New Roman"/>
                <w:noProof/>
              </w:rPr>
            </w:pPr>
            <w:r>
              <w:rPr>
                <w:noProof/>
              </w:rPr>
              <w:t>376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D505A4" w14:textId="77777777" w:rsidR="000E48CE" w:rsidRDefault="00FF4C4E">
            <w:pPr>
              <w:pStyle w:val="P68B1DB1-Normal46"/>
              <w:spacing w:after="0" w:line="240" w:lineRule="auto"/>
              <w:rPr>
                <w:rFonts w:eastAsia="Times New Roman" w:cs="Times New Roman"/>
                <w:noProof/>
              </w:rPr>
            </w:pPr>
            <w:r>
              <w:rPr>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4659C4"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EE9156" w14:textId="77777777" w:rsidR="000E48CE" w:rsidRDefault="00FF4C4E">
            <w:pPr>
              <w:pStyle w:val="P68B1DB1-Normal46"/>
              <w:spacing w:after="0" w:line="240" w:lineRule="auto"/>
              <w:rPr>
                <w:rFonts w:eastAsia="Times New Roman" w:cs="Times New Roman"/>
                <w:noProof/>
              </w:rPr>
            </w:pPr>
            <w:r>
              <w:rPr>
                <w:noProof/>
              </w:rPr>
              <w:t>Veropetoksista ja -petoksista annetun lain</w:t>
            </w:r>
            <w:r>
              <w:rPr>
                <w:noProof/>
              </w:rPr>
              <w:t xml:space="preserve"> voimaantulo</w:t>
            </w:r>
          </w:p>
        </w:tc>
      </w:tr>
      <w:tr w:rsidR="000E48CE" w14:paraId="035DF4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4F65D9" w14:textId="77777777" w:rsidR="000E48CE" w:rsidRDefault="00FF4C4E">
            <w:pPr>
              <w:pStyle w:val="P68B1DB1-Normal46"/>
              <w:spacing w:after="0" w:line="240" w:lineRule="auto"/>
              <w:jc w:val="center"/>
              <w:rPr>
                <w:rFonts w:eastAsia="Times New Roman" w:cs="Times New Roman"/>
                <w:noProof/>
              </w:rPr>
            </w:pPr>
            <w:r>
              <w:rPr>
                <w:noProof/>
              </w:rPr>
              <w:t>390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03228F" w14:textId="77777777" w:rsidR="000E48CE" w:rsidRDefault="00FF4C4E">
            <w:pPr>
              <w:pStyle w:val="P68B1DB1-Normal46"/>
              <w:spacing w:after="0" w:line="240" w:lineRule="auto"/>
              <w:rPr>
                <w:rFonts w:eastAsia="Times New Roman" w:cs="Times New Roman"/>
                <w:noProof/>
              </w:rPr>
            </w:pPr>
            <w:r>
              <w:rPr>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A516A91"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721360" w14:textId="77777777" w:rsidR="000E48CE" w:rsidRDefault="00FF4C4E">
            <w:pPr>
              <w:pStyle w:val="P68B1DB1-Normal46"/>
              <w:spacing w:after="0" w:line="240" w:lineRule="auto"/>
              <w:rPr>
                <w:rFonts w:eastAsia="Times New Roman" w:cs="Times New Roman"/>
                <w:noProof/>
              </w:rPr>
            </w:pPr>
            <w:r>
              <w:rPr>
                <w:noProof/>
              </w:rPr>
              <w:t>Ajoneuvojen rekisteröintiveron ja liikenneveron analyysi</w:t>
            </w:r>
          </w:p>
        </w:tc>
      </w:tr>
      <w:tr w:rsidR="000E48CE" w14:paraId="7D113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68C767" w14:textId="77777777" w:rsidR="000E48CE" w:rsidRDefault="00FF4C4E">
            <w:pPr>
              <w:pStyle w:val="P68B1DB1-Normal46"/>
              <w:spacing w:after="0" w:line="240" w:lineRule="auto"/>
              <w:jc w:val="center"/>
              <w:rPr>
                <w:rFonts w:eastAsia="Times New Roman" w:cs="Times New Roman"/>
                <w:noProof/>
              </w:rPr>
            </w:pPr>
            <w:r>
              <w:rPr>
                <w:noProof/>
              </w:rPr>
              <w:t>391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B6A019" w14:textId="77777777" w:rsidR="000E48CE" w:rsidRDefault="00FF4C4E">
            <w:pPr>
              <w:pStyle w:val="P68B1DB1-Normal46"/>
              <w:spacing w:after="0" w:line="240" w:lineRule="auto"/>
              <w:rPr>
                <w:rFonts w:eastAsia="Times New Roman" w:cs="Times New Roman"/>
                <w:noProof/>
              </w:rPr>
            </w:pPr>
            <w:r>
              <w:rPr>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28A537"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57096B" w14:textId="77777777" w:rsidR="000E48CE" w:rsidRDefault="00FF4C4E">
            <w:pPr>
              <w:pStyle w:val="P68B1DB1-Normal46"/>
              <w:spacing w:after="0" w:line="240" w:lineRule="auto"/>
              <w:rPr>
                <w:rFonts w:eastAsia="Times New Roman" w:cs="Times New Roman"/>
                <w:noProof/>
              </w:rPr>
            </w:pPr>
            <w:r>
              <w:rPr>
                <w:noProof/>
              </w:rPr>
              <w:t xml:space="preserve">Fluorattujen kaasujen verouudistuksen voimaantulo </w:t>
            </w:r>
          </w:p>
        </w:tc>
      </w:tr>
      <w:tr w:rsidR="000E48CE" w14:paraId="3F89D6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8ED2E2" w14:textId="77777777" w:rsidR="000E48CE" w:rsidRDefault="00FF4C4E">
            <w:pPr>
              <w:pStyle w:val="P68B1DB1-Normal46"/>
              <w:spacing w:after="0" w:line="240" w:lineRule="auto"/>
              <w:jc w:val="center"/>
              <w:rPr>
                <w:rFonts w:eastAsia="Times New Roman" w:cs="Times New Roman"/>
                <w:noProof/>
              </w:rPr>
            </w:pPr>
            <w:r>
              <w:rPr>
                <w:noProof/>
              </w:rPr>
              <w:t>401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CF966" w14:textId="77777777" w:rsidR="000E48CE" w:rsidRDefault="00FF4C4E">
            <w:pPr>
              <w:pStyle w:val="P68B1DB1-Normal46"/>
              <w:spacing w:after="0" w:line="240" w:lineRule="auto"/>
              <w:rPr>
                <w:rFonts w:eastAsia="Times New Roman" w:cs="Times New Roman"/>
                <w:noProof/>
              </w:rPr>
            </w:pPr>
            <w:r>
              <w:rPr>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389AF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DD890" w14:textId="77777777" w:rsidR="000E48CE" w:rsidRDefault="00FF4C4E">
            <w:pPr>
              <w:pStyle w:val="P68B1DB1-Normal46"/>
              <w:spacing w:after="0" w:line="240" w:lineRule="auto"/>
              <w:rPr>
                <w:rFonts w:eastAsia="Times New Roman" w:cs="Times New Roman"/>
                <w:noProof/>
              </w:rPr>
            </w:pPr>
            <w:r>
              <w:rPr>
                <w:noProof/>
              </w:rPr>
              <w:t>Seurantakertomuksen julkaiseminen</w:t>
            </w:r>
          </w:p>
        </w:tc>
      </w:tr>
      <w:tr w:rsidR="000E48CE" w14:paraId="0D7700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EAF363" w14:textId="77777777" w:rsidR="000E48CE" w:rsidRDefault="00FF4C4E">
            <w:pPr>
              <w:pStyle w:val="P68B1DB1-Normal46"/>
              <w:spacing w:after="0" w:line="240" w:lineRule="auto"/>
              <w:jc w:val="center"/>
              <w:rPr>
                <w:rFonts w:eastAsia="Times New Roman" w:cs="Times New Roman"/>
                <w:noProof/>
              </w:rPr>
            </w:pPr>
            <w:r>
              <w:rPr>
                <w:noProof/>
              </w:rPr>
              <w:t>411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87F1C9" w14:textId="77777777" w:rsidR="000E48CE" w:rsidRDefault="00FF4C4E">
            <w:pPr>
              <w:pStyle w:val="P68B1DB1-Normal46"/>
              <w:spacing w:after="0" w:line="240" w:lineRule="auto"/>
              <w:rPr>
                <w:rFonts w:eastAsia="Times New Roman" w:cs="Times New Roman"/>
                <w:noProof/>
              </w:rPr>
            </w:pPr>
            <w:r>
              <w:rPr>
                <w:noProof/>
              </w:rPr>
              <w:t>C30.R3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53772D"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0FB3F0" w14:textId="77777777" w:rsidR="000E48CE" w:rsidRDefault="00FF4C4E">
            <w:pPr>
              <w:pStyle w:val="P68B1DB1-Normal46"/>
              <w:spacing w:after="0" w:line="240" w:lineRule="auto"/>
              <w:rPr>
                <w:rFonts w:eastAsia="Times New Roman" w:cs="Times New Roman"/>
                <w:noProof/>
              </w:rPr>
            </w:pPr>
            <w:r>
              <w:rPr>
                <w:noProof/>
              </w:rPr>
              <w:t xml:space="preserve">Itsenäisten ammatinharjoittajien </w:t>
            </w:r>
            <w:r>
              <w:rPr>
                <w:noProof/>
              </w:rPr>
              <w:t>sosiaaliturvamaksujärjestelmän uudistus</w:t>
            </w:r>
          </w:p>
        </w:tc>
      </w:tr>
      <w:tr w:rsidR="000E48CE" w14:paraId="42BC5E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49513B" w14:textId="77777777" w:rsidR="000E48CE" w:rsidRDefault="00FF4C4E">
            <w:pPr>
              <w:pStyle w:val="P68B1DB1-Normal46"/>
              <w:spacing w:after="0" w:line="240" w:lineRule="auto"/>
              <w:jc w:val="center"/>
              <w:rPr>
                <w:rFonts w:eastAsia="Times New Roman" w:cs="Times New Roman"/>
                <w:noProof/>
              </w:rPr>
            </w:pPr>
            <w:r>
              <w:rPr>
                <w:noProof/>
              </w:rPr>
              <w:t>414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E16DA" w14:textId="77777777" w:rsidR="000E48CE" w:rsidRDefault="00FF4C4E">
            <w:pPr>
              <w:pStyle w:val="P68B1DB1-Normal46"/>
              <w:spacing w:after="0" w:line="240" w:lineRule="auto"/>
              <w:rPr>
                <w:rFonts w:eastAsia="Times New Roman" w:cs="Times New Roman"/>
                <w:noProof/>
              </w:rPr>
            </w:pPr>
            <w:r>
              <w:rPr>
                <w:noProof/>
              </w:rPr>
              <w:t>C30.R5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7FA1E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730CBB" w14:textId="77777777" w:rsidR="000E48CE" w:rsidRDefault="00FF4C4E">
            <w:pPr>
              <w:pStyle w:val="P68B1DB1-Normal46"/>
              <w:spacing w:after="0" w:line="240" w:lineRule="auto"/>
              <w:rPr>
                <w:rFonts w:eastAsia="Times New Roman" w:cs="Times New Roman"/>
                <w:noProof/>
              </w:rPr>
            </w:pPr>
            <w:r>
              <w:rPr>
                <w:noProof/>
              </w:rPr>
              <w:t>Nykyisen lisäeläkejärjestelmän tarkistaminen</w:t>
            </w:r>
          </w:p>
        </w:tc>
      </w:tr>
      <w:tr w:rsidR="000E48CE" w14:paraId="67E66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8C505B"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F39404"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8238F1" w14:textId="77777777" w:rsidR="000E48CE" w:rsidRDefault="00FF4C4E">
            <w:pPr>
              <w:pStyle w:val="P68B1DB1-Normal45"/>
              <w:spacing w:after="0" w:line="240" w:lineRule="auto"/>
              <w:rPr>
                <w:rFonts w:eastAsia="Times New Roman" w:cs="Times New Roman"/>
                <w:noProof/>
              </w:rPr>
            </w:pPr>
            <w:r>
              <w:rPr>
                <w:noProof/>
              </w:rPr>
              <w:t>Erän 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CF4712" w14:textId="3E00CFF3" w:rsidR="000E48CE" w:rsidRDefault="00FF4C4E">
            <w:pPr>
              <w:pStyle w:val="P68B1DB1-Normal45"/>
              <w:spacing w:after="0" w:line="240" w:lineRule="auto"/>
              <w:rPr>
                <w:rFonts w:eastAsia="Times New Roman" w:cs="Times New Roman"/>
                <w:noProof/>
              </w:rPr>
            </w:pPr>
            <w:r>
              <w:rPr>
                <w:noProof/>
              </w:rPr>
              <w:t>VÄHIMMÄISPÄÄOMA: 6896551724 EUROA</w:t>
            </w:r>
          </w:p>
        </w:tc>
      </w:tr>
    </w:tbl>
    <w:p w14:paraId="0E4ACC87" w14:textId="77777777" w:rsidR="000E48CE" w:rsidRDefault="000E48CE">
      <w:pPr>
        <w:spacing w:before="120" w:after="120" w:line="240" w:lineRule="auto"/>
        <w:jc w:val="both"/>
        <w:rPr>
          <w:rFonts w:ascii="Times New Roman" w:eastAsia="Calibri" w:hAnsi="Times New Roman" w:cs="Times New Roman"/>
          <w:noProof/>
          <w:sz w:val="24"/>
        </w:rPr>
      </w:pPr>
    </w:p>
    <w:p w14:paraId="6695220B"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Neljäs erä (tuki, jota ei makseta takaisin): </w:t>
      </w:r>
    </w:p>
    <w:tbl>
      <w:tblPr>
        <w:tblW w:w="9663" w:type="dxa"/>
        <w:tblInd w:w="113" w:type="dxa"/>
        <w:tblLook w:val="04A0" w:firstRow="1" w:lastRow="0" w:firstColumn="1" w:lastColumn="0" w:noHBand="0" w:noVBand="1"/>
      </w:tblPr>
      <w:tblGrid>
        <w:gridCol w:w="1300"/>
        <w:gridCol w:w="1443"/>
        <w:gridCol w:w="1783"/>
        <w:gridCol w:w="5670"/>
      </w:tblGrid>
      <w:tr w:rsidR="000E48CE" w14:paraId="0556E70F"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247F962"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E36E1F8"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A87B7DF"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3A5A927"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57DCDFA0"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1EACC2A"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A75D6B"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AB7BCF1"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5D8590C" w14:textId="77777777" w:rsidR="000E48CE" w:rsidRDefault="000E48CE">
            <w:pPr>
              <w:spacing w:after="0" w:line="240" w:lineRule="auto"/>
              <w:rPr>
                <w:rFonts w:ascii="Times New Roman" w:eastAsia="Times New Roman" w:hAnsi="Times New Roman" w:cs="Times New Roman"/>
                <w:b/>
                <w:noProof/>
                <w:sz w:val="20"/>
              </w:rPr>
            </w:pPr>
          </w:p>
        </w:tc>
      </w:tr>
      <w:tr w:rsidR="000E48CE" w14:paraId="1A13C9A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7BD4CA" w14:textId="77777777" w:rsidR="000E48CE" w:rsidRDefault="00FF4C4E">
            <w:pPr>
              <w:pStyle w:val="P68B1DB1-Normal46"/>
              <w:spacing w:after="0" w:line="240" w:lineRule="auto"/>
              <w:jc w:val="center"/>
              <w:rPr>
                <w:rFonts w:eastAsia="Times New Roman" w:cs="Times New Roman"/>
                <w:noProof/>
              </w:rPr>
            </w:pPr>
            <w:r>
              <w:rPr>
                <w:noProof/>
              </w:rPr>
              <w:t>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9F3727" w14:textId="77777777" w:rsidR="000E48CE" w:rsidRDefault="00FF4C4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13B0FA"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9508C" w14:textId="77777777" w:rsidR="000E48CE" w:rsidRDefault="00FF4C4E">
            <w:pPr>
              <w:pStyle w:val="P68B1DB1-Normal46"/>
              <w:spacing w:after="0" w:line="240" w:lineRule="auto"/>
              <w:rPr>
                <w:rFonts w:eastAsia="Times New Roman" w:cs="Times New Roman"/>
                <w:noProof/>
              </w:rPr>
            </w:pPr>
            <w:r>
              <w:rPr>
                <w:noProof/>
              </w:rPr>
              <w:t>Kestävän liikkuvuuden edistämiseen tähtäävät kuntien ostot tai myöntämät määrärahat</w:t>
            </w:r>
          </w:p>
        </w:tc>
      </w:tr>
      <w:tr w:rsidR="000E48CE" w14:paraId="159974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4E4E92" w14:textId="77777777" w:rsidR="000E48CE" w:rsidRDefault="00FF4C4E">
            <w:pPr>
              <w:pStyle w:val="P68B1DB1-Normal46"/>
              <w:spacing w:after="0" w:line="240" w:lineRule="auto"/>
              <w:jc w:val="center"/>
              <w:rPr>
                <w:rFonts w:eastAsia="Times New Roman" w:cs="Times New Roman"/>
                <w:noProof/>
              </w:rPr>
            </w:pPr>
            <w:r>
              <w:rPr>
                <w:noProof/>
              </w:rPr>
              <w:t>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28FDC6" w14:textId="77777777" w:rsidR="000E48CE" w:rsidRDefault="00FF4C4E">
            <w:pPr>
              <w:pStyle w:val="P68B1DB1-Normal46"/>
              <w:spacing w:after="0" w:line="240" w:lineRule="auto"/>
              <w:rPr>
                <w:rFonts w:eastAsia="Times New Roman" w:cs="Times New Roman"/>
                <w:noProof/>
              </w:rPr>
            </w:pPr>
            <w:r>
              <w:rPr>
                <w:noProof/>
              </w:rPr>
              <w:t>C2.R3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C5A63"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44706B" w14:textId="77777777" w:rsidR="000E48CE" w:rsidRDefault="00FF4C4E">
            <w:pPr>
              <w:pStyle w:val="P68B1DB1-Normal46"/>
              <w:spacing w:after="0" w:line="240" w:lineRule="auto"/>
              <w:rPr>
                <w:rFonts w:eastAsia="Times New Roman" w:cs="Times New Roman"/>
                <w:noProof/>
              </w:rPr>
            </w:pPr>
            <w:r>
              <w:rPr>
                <w:noProof/>
              </w:rPr>
              <w:t xml:space="preserve">Asuntolain voimaantulo, mukaan lukien toimet, joilla tuetaan asuntotarjonnan lisäämistä lähes nollaenergiarakennusten mukaisesti </w:t>
            </w:r>
          </w:p>
        </w:tc>
      </w:tr>
      <w:tr w:rsidR="000E48CE" w14:paraId="3FCC53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0F164C" w14:textId="77777777" w:rsidR="000E48CE" w:rsidRDefault="00FF4C4E">
            <w:pPr>
              <w:pStyle w:val="P68B1DB1-Normal46"/>
              <w:spacing w:after="0" w:line="240" w:lineRule="auto"/>
              <w:jc w:val="center"/>
              <w:rPr>
                <w:rFonts w:eastAsia="Times New Roman" w:cs="Times New Roman"/>
                <w:noProof/>
              </w:rPr>
            </w:pPr>
            <w:r>
              <w:rPr>
                <w:noProof/>
              </w:rPr>
              <w:t>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72C2A" w14:textId="77777777" w:rsidR="000E48CE" w:rsidRDefault="00FF4C4E">
            <w:pPr>
              <w:pStyle w:val="P68B1DB1-Normal46"/>
              <w:spacing w:after="0" w:line="240" w:lineRule="auto"/>
              <w:rPr>
                <w:rFonts w:eastAsia="Times New Roman" w:cs="Times New Roman"/>
                <w:noProof/>
              </w:rPr>
            </w:pPr>
            <w:r>
              <w:rPr>
                <w:noProof/>
              </w:rPr>
              <w:t>C2.R4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C616D4"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66BF79" w14:textId="77777777" w:rsidR="000E48CE" w:rsidRDefault="00FF4C4E">
            <w:pPr>
              <w:pStyle w:val="P68B1DB1-Normal46"/>
              <w:spacing w:after="0" w:line="240" w:lineRule="auto"/>
              <w:rPr>
                <w:rFonts w:eastAsia="Times New Roman" w:cs="Times New Roman"/>
                <w:noProof/>
              </w:rPr>
            </w:pPr>
            <w:r>
              <w:rPr>
                <w:noProof/>
              </w:rPr>
              <w:t xml:space="preserve">Arkkitehtuurin laatua ja rakennusympäristöä koskevan lain voimaantulo </w:t>
            </w:r>
          </w:p>
        </w:tc>
      </w:tr>
      <w:tr w:rsidR="000E48CE" w14:paraId="51EA53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AE5D2F" w14:textId="77777777" w:rsidR="000E48CE" w:rsidRDefault="00FF4C4E">
            <w:pPr>
              <w:pStyle w:val="P68B1DB1-Normal46"/>
              <w:spacing w:after="0" w:line="240" w:lineRule="auto"/>
              <w:jc w:val="center"/>
              <w:rPr>
                <w:rFonts w:eastAsia="Times New Roman" w:cs="Times New Roman"/>
                <w:noProof/>
              </w:rPr>
            </w:pPr>
            <w:r>
              <w:rPr>
                <w:noProof/>
              </w:rPr>
              <w:t>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398B72" w14:textId="77777777" w:rsidR="000E48CE" w:rsidRDefault="00FF4C4E">
            <w:pPr>
              <w:pStyle w:val="P68B1DB1-Normal46"/>
              <w:spacing w:after="0" w:line="240" w:lineRule="auto"/>
              <w:rPr>
                <w:rFonts w:eastAsia="Times New Roman" w:cs="Times New Roman"/>
                <w:noProof/>
              </w:rPr>
            </w:pPr>
            <w:r>
              <w:rPr>
                <w:noProof/>
              </w:rPr>
              <w:t>C2.R6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A7772C"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9395E5" w14:textId="77777777" w:rsidR="000E48CE" w:rsidRDefault="00FF4C4E">
            <w:pPr>
              <w:pStyle w:val="P68B1DB1-Normal46"/>
              <w:spacing w:after="0" w:line="240" w:lineRule="auto"/>
              <w:rPr>
                <w:rFonts w:eastAsia="Times New Roman" w:cs="Times New Roman"/>
                <w:noProof/>
              </w:rPr>
            </w:pPr>
            <w:r>
              <w:rPr>
                <w:noProof/>
              </w:rPr>
              <w:t xml:space="preserve">Horisontaalista omaisuuslakia koskevien muutosten voimaantulo kuntoutuksen rahoituksen helpottamiseksi </w:t>
            </w:r>
          </w:p>
        </w:tc>
      </w:tr>
      <w:tr w:rsidR="000E48CE" w14:paraId="23FEC7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A18A14" w14:textId="77777777" w:rsidR="000E48CE" w:rsidRDefault="00FF4C4E">
            <w:pPr>
              <w:pStyle w:val="P68B1DB1-Normal46"/>
              <w:spacing w:after="0" w:line="240" w:lineRule="auto"/>
              <w:jc w:val="center"/>
              <w:rPr>
                <w:rFonts w:eastAsia="Times New Roman" w:cs="Times New Roman"/>
                <w:noProof/>
              </w:rPr>
            </w:pPr>
            <w:r>
              <w:rPr>
                <w:noProof/>
              </w:rPr>
              <w:t>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3AEDD8" w14:textId="77777777" w:rsidR="000E48CE" w:rsidRDefault="00FF4C4E">
            <w:pPr>
              <w:pStyle w:val="P68B1DB1-Normal46"/>
              <w:spacing w:after="0" w:line="240" w:lineRule="auto"/>
              <w:rPr>
                <w:rFonts w:eastAsia="Times New Roman" w:cs="Times New Roman"/>
                <w:noProof/>
              </w:rPr>
            </w:pPr>
            <w:r>
              <w:rPr>
                <w:noProof/>
              </w:rPr>
              <w:t>C2.I6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C34360"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FC6D6D" w14:textId="77777777" w:rsidR="000E48CE" w:rsidRDefault="00FF4C4E">
            <w:pPr>
              <w:pStyle w:val="P68B1DB1-Normal46"/>
              <w:spacing w:after="0" w:line="240" w:lineRule="auto"/>
              <w:rPr>
                <w:rFonts w:eastAsia="Times New Roman" w:cs="Times New Roman"/>
                <w:noProof/>
              </w:rPr>
            </w:pPr>
            <w:r>
              <w:rPr>
                <w:noProof/>
              </w:rPr>
              <w:t xml:space="preserve">Espanjan kaupunkiagendan toimintasuunnitelmat </w:t>
            </w:r>
          </w:p>
        </w:tc>
      </w:tr>
      <w:tr w:rsidR="000E48CE" w14:paraId="735121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2E446F" w14:textId="77777777" w:rsidR="000E48CE" w:rsidRDefault="00FF4C4E">
            <w:pPr>
              <w:pStyle w:val="P68B1DB1-Normal46"/>
              <w:spacing w:after="0" w:line="240" w:lineRule="auto"/>
              <w:jc w:val="center"/>
              <w:rPr>
                <w:rFonts w:eastAsia="Times New Roman" w:cs="Times New Roman"/>
                <w:noProof/>
              </w:rPr>
            </w:pPr>
            <w:r>
              <w:rPr>
                <w:noProof/>
              </w:rPr>
              <w:t>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3FE90" w14:textId="77777777" w:rsidR="000E48CE" w:rsidRDefault="00FF4C4E">
            <w:pPr>
              <w:pStyle w:val="P68B1DB1-Normal46"/>
              <w:spacing w:after="0" w:line="240" w:lineRule="auto"/>
              <w:rPr>
                <w:rFonts w:eastAsia="Times New Roman" w:cs="Times New Roman"/>
                <w:noProof/>
              </w:rPr>
            </w:pPr>
            <w:r>
              <w:rPr>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49A28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ED9A9B" w14:textId="77777777" w:rsidR="000E48CE" w:rsidRDefault="00FF4C4E">
            <w:pPr>
              <w:pStyle w:val="P68B1DB1-Normal46"/>
              <w:spacing w:after="0" w:line="240" w:lineRule="auto"/>
              <w:rPr>
                <w:rFonts w:eastAsia="Times New Roman" w:cs="Times New Roman"/>
                <w:noProof/>
              </w:rPr>
            </w:pPr>
            <w:r>
              <w:rPr>
                <w:noProof/>
              </w:rPr>
              <w:t>Sääntelykehyksen voimaantulo, jotta voidaan kehittää maatilojen parhaita käytettä</w:t>
            </w:r>
            <w:r>
              <w:rPr>
                <w:noProof/>
              </w:rPr>
              <w:t>vissä olevia tekniikoita koskeva yleinen rekisteri epäpuhtaus- ja kasvihuonekaasupäästöistä tiedottamista varten, ja uudistaa suunnittelulainsäädäntöä siten, että otetaan huomioon eri alojen maatiloille sovellettavat kriteerit</w:t>
            </w:r>
          </w:p>
        </w:tc>
      </w:tr>
      <w:tr w:rsidR="000E48CE" w14:paraId="2003BD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792289" w14:textId="77777777" w:rsidR="000E48CE" w:rsidRDefault="00FF4C4E">
            <w:pPr>
              <w:pStyle w:val="P68B1DB1-Normal46"/>
              <w:spacing w:after="0" w:line="240" w:lineRule="auto"/>
              <w:jc w:val="center"/>
              <w:rPr>
                <w:rFonts w:eastAsia="Times New Roman" w:cs="Times New Roman"/>
                <w:noProof/>
              </w:rPr>
            </w:pPr>
            <w:r>
              <w:rPr>
                <w:noProof/>
              </w:rPr>
              <w:t>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E9518" w14:textId="77777777" w:rsidR="000E48CE" w:rsidRDefault="00FF4C4E">
            <w:pPr>
              <w:pStyle w:val="P68B1DB1-Normal46"/>
              <w:spacing w:after="0" w:line="240" w:lineRule="auto"/>
              <w:rPr>
                <w:rFonts w:eastAsia="Times New Roman" w:cs="Times New Roman"/>
                <w:noProof/>
              </w:rPr>
            </w:pPr>
            <w:r>
              <w:rPr>
                <w:noProof/>
              </w:rPr>
              <w:t>C3.R4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1AA3D1"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0B6A8F" w14:textId="77777777" w:rsidR="000E48CE" w:rsidRDefault="00FF4C4E">
            <w:pPr>
              <w:pStyle w:val="P68B1DB1-Normal46"/>
              <w:spacing w:after="0" w:line="240" w:lineRule="auto"/>
              <w:rPr>
                <w:rFonts w:eastAsia="Times New Roman" w:cs="Times New Roman"/>
                <w:noProof/>
              </w:rPr>
            </w:pPr>
            <w:r>
              <w:rPr>
                <w:noProof/>
              </w:rPr>
              <w:t xml:space="preserve">Kuninkaallinen </w:t>
            </w:r>
            <w:r>
              <w:rPr>
                <w:noProof/>
              </w:rPr>
              <w:t>asetus hallintomekanismista Espanjan kastelujärjestelmän parantamiseksi on tullut voimaan.</w:t>
            </w:r>
          </w:p>
        </w:tc>
      </w:tr>
      <w:tr w:rsidR="000E48CE" w14:paraId="1070FD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6D165" w14:textId="77777777" w:rsidR="000E48CE" w:rsidRDefault="00FF4C4E">
            <w:pPr>
              <w:pStyle w:val="P68B1DB1-Normal46"/>
              <w:spacing w:after="0" w:line="240" w:lineRule="auto"/>
              <w:jc w:val="center"/>
              <w:rPr>
                <w:rFonts w:eastAsia="Times New Roman" w:cs="Times New Roman"/>
                <w:noProof/>
              </w:rPr>
            </w:pPr>
            <w:r>
              <w:rPr>
                <w:noProof/>
              </w:rPr>
              <w:t>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1BDE84" w14:textId="77777777" w:rsidR="000E48CE" w:rsidRDefault="00FF4C4E">
            <w:pPr>
              <w:pStyle w:val="P68B1DB1-Normal46"/>
              <w:spacing w:after="0" w:line="240" w:lineRule="auto"/>
              <w:rPr>
                <w:rFonts w:eastAsia="Times New Roman" w:cs="Times New Roman"/>
                <w:noProof/>
              </w:rPr>
            </w:pPr>
            <w:r>
              <w:rPr>
                <w:noProof/>
              </w:rPr>
              <w:t>C3.R5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344B1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3182BB" w14:textId="77777777" w:rsidR="000E48CE" w:rsidRDefault="00FF4C4E">
            <w:pPr>
              <w:pStyle w:val="P68B1DB1-Normal46"/>
              <w:spacing w:after="0" w:line="240" w:lineRule="auto"/>
              <w:rPr>
                <w:rFonts w:eastAsia="Times New Roman" w:cs="Times New Roman"/>
                <w:noProof/>
              </w:rPr>
            </w:pPr>
            <w:r>
              <w:rPr>
                <w:noProof/>
              </w:rPr>
              <w:t>Hyväksytään maatalouselintarvikealan ja maaseutualueiden digitalisointistrategian toinen toimintasuunnitelma.</w:t>
            </w:r>
          </w:p>
        </w:tc>
      </w:tr>
      <w:tr w:rsidR="000E48CE" w14:paraId="08936E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B8037C" w14:textId="77777777" w:rsidR="000E48CE" w:rsidRDefault="00FF4C4E">
            <w:pPr>
              <w:pStyle w:val="P68B1DB1-Normal46"/>
              <w:spacing w:after="0" w:line="240" w:lineRule="auto"/>
              <w:jc w:val="center"/>
              <w:rPr>
                <w:rFonts w:eastAsia="Times New Roman" w:cs="Times New Roman"/>
                <w:noProof/>
              </w:rPr>
            </w:pPr>
            <w:r>
              <w:rPr>
                <w:noProof/>
              </w:rPr>
              <w:t>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6A9CAB" w14:textId="77777777" w:rsidR="000E48CE" w:rsidRDefault="00FF4C4E">
            <w:pPr>
              <w:pStyle w:val="P68B1DB1-Normal46"/>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8FFD3"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4B01DD" w14:textId="77777777" w:rsidR="000E48CE" w:rsidRDefault="00FF4C4E">
            <w:pPr>
              <w:pStyle w:val="P68B1DB1-Normal46"/>
              <w:spacing w:after="0" w:line="240" w:lineRule="auto"/>
              <w:rPr>
                <w:rFonts w:eastAsia="Times New Roman" w:cs="Times New Roman"/>
                <w:noProof/>
              </w:rPr>
            </w:pPr>
            <w:r>
              <w:rPr>
                <w:noProof/>
              </w:rPr>
              <w:t xml:space="preserve">Maatalous-, kalastus- ja </w:t>
            </w:r>
            <w:r>
              <w:rPr>
                <w:noProof/>
              </w:rPr>
              <w:t>elintarvikeministeriön (MAPA) ja SEIASAn välisen sopimuksen täytäntöönpano kasteltujen alueiden parantamisen ja kestävyyden tukemiseksi (vaihe II)</w:t>
            </w:r>
          </w:p>
        </w:tc>
      </w:tr>
      <w:tr w:rsidR="000E48CE" w14:paraId="6C3C6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09B233" w14:textId="77777777" w:rsidR="000E48CE" w:rsidRDefault="00FF4C4E">
            <w:pPr>
              <w:pStyle w:val="P68B1DB1-Normal46"/>
              <w:spacing w:after="0" w:line="240" w:lineRule="auto"/>
              <w:jc w:val="center"/>
              <w:rPr>
                <w:rFonts w:eastAsia="Times New Roman" w:cs="Times New Roman"/>
                <w:noProof/>
              </w:rPr>
            </w:pPr>
            <w:r>
              <w:rPr>
                <w:noProof/>
              </w:rPr>
              <w:t>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060FB7" w14:textId="77777777" w:rsidR="000E48CE" w:rsidRDefault="00FF4C4E">
            <w:pPr>
              <w:pStyle w:val="P68B1DB1-Normal46"/>
              <w:spacing w:after="0" w:line="240" w:lineRule="auto"/>
              <w:rPr>
                <w:rFonts w:eastAsia="Times New Roman" w:cs="Times New Roman"/>
                <w:noProof/>
              </w:rPr>
            </w:pPr>
            <w:r>
              <w:rPr>
                <w:noProof/>
              </w:rPr>
              <w:t>C3.I6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95BA5F"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1B8EA6" w14:textId="77777777" w:rsidR="000E48CE" w:rsidRDefault="00FF4C4E">
            <w:pPr>
              <w:pStyle w:val="P68B1DB1-Normal46"/>
              <w:spacing w:after="0" w:line="240" w:lineRule="auto"/>
              <w:rPr>
                <w:rFonts w:eastAsia="Times New Roman" w:cs="Times New Roman"/>
                <w:noProof/>
              </w:rPr>
            </w:pPr>
            <w:r>
              <w:rPr>
                <w:noProof/>
              </w:rPr>
              <w:t>Tieto- ja viestintäteknisten laitteiden hankinta kalastuskorkoja varten ja erityisalusten hankint</w:t>
            </w:r>
            <w:r>
              <w:rPr>
                <w:noProof/>
              </w:rPr>
              <w:t>asopimukset merivarantoja varten</w:t>
            </w:r>
          </w:p>
        </w:tc>
      </w:tr>
      <w:tr w:rsidR="000E48CE" w14:paraId="67314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A44D1D" w14:textId="77777777" w:rsidR="000E48CE" w:rsidRDefault="00FF4C4E">
            <w:pPr>
              <w:pStyle w:val="P68B1DB1-Normal46"/>
              <w:spacing w:after="0" w:line="240" w:lineRule="auto"/>
              <w:jc w:val="center"/>
              <w:rPr>
                <w:rFonts w:eastAsia="Times New Roman" w:cs="Times New Roman"/>
                <w:noProof/>
              </w:rPr>
            </w:pPr>
            <w:r>
              <w:rPr>
                <w:noProof/>
              </w:rPr>
              <w:t>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2F3FC2" w14:textId="77777777" w:rsidR="000E48CE" w:rsidRDefault="00FF4C4E">
            <w:pPr>
              <w:pStyle w:val="P68B1DB1-Normal46"/>
              <w:spacing w:after="0" w:line="240" w:lineRule="auto"/>
              <w:rPr>
                <w:rFonts w:eastAsia="Times New Roman" w:cs="Times New Roman"/>
                <w:noProof/>
              </w:rPr>
            </w:pPr>
            <w:r>
              <w:rPr>
                <w:noProof/>
              </w:rPr>
              <w:t>C3.I10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ADB05E"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E53FD83" w14:textId="77777777" w:rsidR="000E48CE" w:rsidRDefault="00FF4C4E">
            <w:pPr>
              <w:pStyle w:val="P68B1DB1-Normal46"/>
              <w:spacing w:after="0" w:line="240" w:lineRule="auto"/>
              <w:rPr>
                <w:rFonts w:eastAsia="Times New Roman" w:cs="Times New Roman"/>
                <w:noProof/>
              </w:rPr>
            </w:pPr>
            <w:r>
              <w:rPr>
                <w:noProof/>
              </w:rPr>
              <w:t xml:space="preserve">Kevyiden partioalusten ja aavan meren partioalusten hankinta laittoman, ilmoittamattoman ja sääntelemättömän kalastuksen torjumiseksi </w:t>
            </w:r>
          </w:p>
        </w:tc>
      </w:tr>
      <w:tr w:rsidR="000E48CE" w14:paraId="08C877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320C4F" w14:textId="77777777" w:rsidR="000E48CE" w:rsidRDefault="00FF4C4E">
            <w:pPr>
              <w:pStyle w:val="P68B1DB1-Normal46"/>
              <w:spacing w:after="0" w:line="240" w:lineRule="auto"/>
              <w:jc w:val="center"/>
              <w:rPr>
                <w:rFonts w:eastAsia="Times New Roman" w:cs="Times New Roman"/>
                <w:noProof/>
              </w:rPr>
            </w:pPr>
            <w:r>
              <w:rPr>
                <w:noProof/>
              </w:rPr>
              <w:t>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F1D53" w14:textId="77777777" w:rsidR="000E48CE" w:rsidRDefault="00FF4C4E">
            <w:pPr>
              <w:pStyle w:val="P68B1DB1-Normal46"/>
              <w:spacing w:after="0" w:line="240" w:lineRule="auto"/>
              <w:rPr>
                <w:rFonts w:eastAsia="Times New Roman" w:cs="Times New Roman"/>
                <w:noProof/>
              </w:rPr>
            </w:pPr>
            <w:r>
              <w:rPr>
                <w:noProof/>
              </w:rPr>
              <w:t>C4.R1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E4BED7"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879EEBC" w14:textId="77777777" w:rsidR="000E48CE" w:rsidRDefault="00FF4C4E">
            <w:pPr>
              <w:pStyle w:val="P68B1DB1-Normal46"/>
              <w:spacing w:after="0" w:line="240" w:lineRule="auto"/>
              <w:rPr>
                <w:rFonts w:eastAsia="Times New Roman" w:cs="Times New Roman"/>
                <w:noProof/>
              </w:rPr>
            </w:pPr>
            <w:r>
              <w:rPr>
                <w:noProof/>
              </w:rPr>
              <w:t xml:space="preserve">Luonnonperintöä ja biologista monimuotoisuutta koskeva strateginen suunnitelma ja suojeltujen merialueiden verkostoa koskeva suunnitelma </w:t>
            </w:r>
          </w:p>
        </w:tc>
      </w:tr>
      <w:tr w:rsidR="000E48CE" w14:paraId="4D5929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A58405" w14:textId="77777777" w:rsidR="000E48CE" w:rsidRDefault="00FF4C4E">
            <w:pPr>
              <w:pStyle w:val="P68B1DB1-Normal46"/>
              <w:spacing w:after="0" w:line="240" w:lineRule="auto"/>
              <w:jc w:val="center"/>
              <w:rPr>
                <w:rFonts w:eastAsia="Times New Roman" w:cs="Times New Roman"/>
                <w:noProof/>
              </w:rPr>
            </w:pPr>
            <w:r>
              <w:rPr>
                <w:noProof/>
              </w:rPr>
              <w:t>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C673CF" w14:textId="77777777" w:rsidR="000E48CE" w:rsidRDefault="00FF4C4E">
            <w:pPr>
              <w:pStyle w:val="P68B1DB1-Normal46"/>
              <w:spacing w:after="0" w:line="240" w:lineRule="auto"/>
              <w:rPr>
                <w:rFonts w:eastAsia="Times New Roman" w:cs="Times New Roman"/>
                <w:noProof/>
              </w:rPr>
            </w:pPr>
            <w:r>
              <w:rPr>
                <w:noProof/>
              </w:rPr>
              <w:t>C4.R3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55845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C21980" w14:textId="77777777" w:rsidR="000E48CE" w:rsidRDefault="00FF4C4E">
            <w:pPr>
              <w:pStyle w:val="P68B1DB1-Normal46"/>
              <w:spacing w:after="0" w:line="240" w:lineRule="auto"/>
              <w:rPr>
                <w:rFonts w:eastAsia="Times New Roman" w:cs="Times New Roman"/>
                <w:noProof/>
              </w:rPr>
            </w:pPr>
            <w:r>
              <w:rPr>
                <w:noProof/>
              </w:rPr>
              <w:t>Espanjan metsästrategian ja tukisuunnitelman hyväksyminen</w:t>
            </w:r>
          </w:p>
        </w:tc>
      </w:tr>
      <w:tr w:rsidR="000E48CE" w14:paraId="63EC54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AA4E8C" w14:textId="77777777" w:rsidR="000E48CE" w:rsidRDefault="00FF4C4E">
            <w:pPr>
              <w:pStyle w:val="P68B1DB1-Normal46"/>
              <w:spacing w:after="0" w:line="240" w:lineRule="auto"/>
              <w:jc w:val="center"/>
              <w:rPr>
                <w:rFonts w:eastAsia="Times New Roman" w:cs="Times New Roman"/>
                <w:noProof/>
              </w:rPr>
            </w:pPr>
            <w:r>
              <w:rPr>
                <w:noProof/>
              </w:rPr>
              <w:t>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44ED0" w14:textId="77777777" w:rsidR="000E48CE" w:rsidRDefault="00FF4C4E">
            <w:pPr>
              <w:pStyle w:val="P68B1DB1-Normal46"/>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A06870"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D37995" w14:textId="77777777" w:rsidR="000E48CE" w:rsidRDefault="00FF4C4E">
            <w:pPr>
              <w:pStyle w:val="P68B1DB1-Normal46"/>
              <w:spacing w:after="0" w:line="240" w:lineRule="auto"/>
              <w:rPr>
                <w:rFonts w:eastAsia="Times New Roman" w:cs="Times New Roman"/>
                <w:noProof/>
              </w:rPr>
            </w:pPr>
            <w:r>
              <w:rPr>
                <w:noProof/>
              </w:rPr>
              <w:t>Jokirantojen suojelu tulvariskeiltä</w:t>
            </w:r>
          </w:p>
        </w:tc>
      </w:tr>
      <w:tr w:rsidR="000E48CE" w14:paraId="31A1A9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AFFF7" w14:textId="77777777" w:rsidR="000E48CE" w:rsidRDefault="00FF4C4E">
            <w:pPr>
              <w:pStyle w:val="P68B1DB1-Normal46"/>
              <w:spacing w:after="0" w:line="240" w:lineRule="auto"/>
              <w:jc w:val="center"/>
              <w:rPr>
                <w:rFonts w:eastAsia="Times New Roman" w:cs="Times New Roman"/>
                <w:noProof/>
              </w:rPr>
            </w:pPr>
            <w:r>
              <w:rPr>
                <w:noProof/>
              </w:rPr>
              <w:t>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BAA0DE" w14:textId="77777777" w:rsidR="000E48CE" w:rsidRDefault="00FF4C4E">
            <w:pPr>
              <w:pStyle w:val="P68B1DB1-Normal46"/>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BA1B1F"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AF5021" w14:textId="77777777" w:rsidR="000E48CE" w:rsidRDefault="00FF4C4E">
            <w:pPr>
              <w:pStyle w:val="P68B1DB1-Normal46"/>
              <w:spacing w:after="0" w:line="240" w:lineRule="auto"/>
              <w:rPr>
                <w:rFonts w:eastAsia="Times New Roman" w:cs="Times New Roman"/>
                <w:noProof/>
              </w:rPr>
            </w:pPr>
            <w:r>
              <w:rPr>
                <w:noProof/>
              </w:rPr>
              <w:t xml:space="preserve">Huonontuneiden alueiden ja ekosysteemien ennallistaminen vähintään 50 kilometrin päähän rannikosta </w:t>
            </w:r>
          </w:p>
        </w:tc>
      </w:tr>
      <w:tr w:rsidR="000E48CE" w14:paraId="70190C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F53C57" w14:textId="77777777" w:rsidR="000E48CE" w:rsidRDefault="00FF4C4E">
            <w:pPr>
              <w:pStyle w:val="P68B1DB1-Normal46"/>
              <w:spacing w:after="0" w:line="240" w:lineRule="auto"/>
              <w:jc w:val="center"/>
              <w:rPr>
                <w:rFonts w:eastAsia="Times New Roman" w:cs="Times New Roman"/>
                <w:noProof/>
              </w:rPr>
            </w:pPr>
            <w:r>
              <w:rPr>
                <w:noProof/>
              </w:rPr>
              <w:t>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88795" w14:textId="77777777" w:rsidR="000E48CE" w:rsidRDefault="00FF4C4E">
            <w:pPr>
              <w:pStyle w:val="P68B1DB1-Normal46"/>
              <w:spacing w:after="0" w:line="240" w:lineRule="auto"/>
              <w:rPr>
                <w:rFonts w:eastAsia="Times New Roman" w:cs="Times New Roman"/>
                <w:noProof/>
              </w:rPr>
            </w:pPr>
            <w:r>
              <w:rPr>
                <w:noProof/>
              </w:rPr>
              <w:t>C6.R2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163EE3"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77698D" w14:textId="77777777" w:rsidR="000E48CE" w:rsidRDefault="00FF4C4E">
            <w:pPr>
              <w:pStyle w:val="P68B1DB1-Normal46"/>
              <w:spacing w:after="0" w:line="240" w:lineRule="auto"/>
              <w:rPr>
                <w:rFonts w:eastAsia="Times New Roman" w:cs="Times New Roman"/>
                <w:noProof/>
              </w:rPr>
            </w:pPr>
            <w:r>
              <w:rPr>
                <w:noProof/>
              </w:rPr>
              <w:t>Suuntaa-antava rautatiestrategia</w:t>
            </w:r>
          </w:p>
        </w:tc>
      </w:tr>
      <w:tr w:rsidR="000E48CE" w14:paraId="587A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12D877" w14:textId="77777777" w:rsidR="000E48CE" w:rsidRDefault="00FF4C4E">
            <w:pPr>
              <w:pStyle w:val="P68B1DB1-Normal46"/>
              <w:spacing w:after="0" w:line="240" w:lineRule="auto"/>
              <w:jc w:val="center"/>
              <w:rPr>
                <w:rFonts w:eastAsia="Times New Roman" w:cs="Times New Roman"/>
                <w:noProof/>
              </w:rPr>
            </w:pPr>
            <w:r>
              <w:rPr>
                <w:noProof/>
              </w:rPr>
              <w:t>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070F64" w14:textId="77777777" w:rsidR="000E48CE" w:rsidRDefault="00FF4C4E">
            <w:pPr>
              <w:pStyle w:val="P68B1DB1-Normal46"/>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65815"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ECDCE8F" w14:textId="77777777" w:rsidR="000E48CE" w:rsidRDefault="00FF4C4E">
            <w:pPr>
              <w:pStyle w:val="P68B1DB1-Normal46"/>
              <w:spacing w:after="0" w:line="240" w:lineRule="auto"/>
              <w:rPr>
                <w:rFonts w:eastAsia="Times New Roman" w:cs="Times New Roman"/>
                <w:noProof/>
              </w:rPr>
            </w:pPr>
            <w:r>
              <w:rPr>
                <w:noProof/>
              </w:rPr>
              <w:t>TEN-T-ydinverkko: hankkeiden myöntäminen</w:t>
            </w:r>
          </w:p>
        </w:tc>
      </w:tr>
      <w:tr w:rsidR="000E48CE" w14:paraId="3617DE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9999CA" w14:textId="77777777" w:rsidR="000E48CE" w:rsidRDefault="00FF4C4E">
            <w:pPr>
              <w:pStyle w:val="P68B1DB1-Normal46"/>
              <w:spacing w:after="0" w:line="240" w:lineRule="auto"/>
              <w:jc w:val="center"/>
              <w:rPr>
                <w:rFonts w:eastAsia="Times New Roman" w:cs="Times New Roman"/>
                <w:noProof/>
              </w:rPr>
            </w:pPr>
            <w:r>
              <w:rPr>
                <w:noProof/>
              </w:rPr>
              <w:t>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ADC23B" w14:textId="77777777" w:rsidR="000E48CE" w:rsidRDefault="00FF4C4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14831"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53B7C2E" w14:textId="77777777" w:rsidR="000E48CE" w:rsidRDefault="00FF4C4E">
            <w:pPr>
              <w:pStyle w:val="P68B1DB1-Normal46"/>
              <w:spacing w:after="0" w:line="240" w:lineRule="auto"/>
              <w:rPr>
                <w:rFonts w:eastAsia="Times New Roman" w:cs="Times New Roman"/>
                <w:noProof/>
              </w:rPr>
            </w:pPr>
            <w:r>
              <w:rPr>
                <w:noProof/>
              </w:rPr>
              <w:t xml:space="preserve">TEN-T-verkon eri liikennemuodot </w:t>
            </w:r>
            <w:r>
              <w:rPr>
                <w:noProof/>
              </w:rPr>
              <w:t>(rautatie- ja maantieliikenne): osittainen talousarvio</w:t>
            </w:r>
          </w:p>
        </w:tc>
      </w:tr>
      <w:tr w:rsidR="000E48CE" w14:paraId="2E0610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4B23C" w14:textId="77777777" w:rsidR="000E48CE" w:rsidRDefault="00FF4C4E">
            <w:pPr>
              <w:pStyle w:val="P68B1DB1-Normal46"/>
              <w:spacing w:after="0" w:line="240" w:lineRule="auto"/>
              <w:jc w:val="center"/>
              <w:rPr>
                <w:rFonts w:eastAsia="Times New Roman" w:cs="Times New Roman"/>
                <w:noProof/>
              </w:rPr>
            </w:pPr>
            <w:r>
              <w:rPr>
                <w:noProof/>
              </w:rPr>
              <w:t>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F68948" w14:textId="77777777" w:rsidR="000E48CE" w:rsidRDefault="00FF4C4E">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FD4EB1"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C0DDB4" w14:textId="77777777" w:rsidR="000E48CE" w:rsidRDefault="00FF4C4E">
            <w:pPr>
              <w:pStyle w:val="P68B1DB1-Normal46"/>
              <w:spacing w:after="0" w:line="240" w:lineRule="auto"/>
              <w:rPr>
                <w:rFonts w:eastAsia="Times New Roman" w:cs="Times New Roman"/>
                <w:noProof/>
              </w:rPr>
            </w:pPr>
            <w:r>
              <w:rPr>
                <w:noProof/>
              </w:rPr>
              <w:t xml:space="preserve">Intermodaaliset ja logistiset infrastruktuurit: osittainen talousarvio </w:t>
            </w:r>
          </w:p>
        </w:tc>
      </w:tr>
      <w:tr w:rsidR="000E48CE" w14:paraId="0288A6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56948" w14:textId="77777777" w:rsidR="000E48CE" w:rsidRDefault="00FF4C4E">
            <w:pPr>
              <w:pStyle w:val="P68B1DB1-Normal46"/>
              <w:spacing w:after="0" w:line="240" w:lineRule="auto"/>
              <w:jc w:val="center"/>
              <w:rPr>
                <w:rFonts w:eastAsia="Times New Roman" w:cs="Times New Roman"/>
                <w:noProof/>
              </w:rPr>
            </w:pPr>
            <w:r>
              <w:rPr>
                <w:noProof/>
              </w:rPr>
              <w:t>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94BF40" w14:textId="77777777" w:rsidR="000E48CE" w:rsidRDefault="00FF4C4E">
            <w:pPr>
              <w:pStyle w:val="P68B1DB1-Normal46"/>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7A0120"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89DA4D" w14:textId="77777777" w:rsidR="000E48CE" w:rsidRDefault="00FF4C4E">
            <w:pPr>
              <w:pStyle w:val="P68B1DB1-Normal46"/>
              <w:spacing w:after="0" w:line="240" w:lineRule="auto"/>
              <w:rPr>
                <w:rFonts w:eastAsia="Times New Roman" w:cs="Times New Roman"/>
                <w:noProof/>
              </w:rPr>
            </w:pPr>
            <w:r>
              <w:rPr>
                <w:noProof/>
              </w:rPr>
              <w:t xml:space="preserve">Tuki kestävän ja digitaalisen liikenteen ohjelmalle. </w:t>
            </w:r>
          </w:p>
        </w:tc>
      </w:tr>
      <w:tr w:rsidR="000E48CE" w14:paraId="551F9F8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5DA1E9" w14:textId="77777777" w:rsidR="000E48CE" w:rsidRDefault="00FF4C4E">
            <w:pPr>
              <w:pStyle w:val="P68B1DB1-Normal46"/>
              <w:spacing w:after="0" w:line="240" w:lineRule="auto"/>
              <w:jc w:val="center"/>
              <w:rPr>
                <w:rFonts w:eastAsia="Times New Roman" w:cs="Times New Roman"/>
                <w:noProof/>
              </w:rPr>
            </w:pPr>
            <w:r>
              <w:rPr>
                <w:noProof/>
              </w:rPr>
              <w:t>140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9533E" w14:textId="77777777" w:rsidR="000E48CE" w:rsidRDefault="00FF4C4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9B5C13"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28039D" w14:textId="77777777" w:rsidR="000E48CE" w:rsidRDefault="00FF4C4E">
            <w:pPr>
              <w:pStyle w:val="P68B1DB1-Normal46"/>
              <w:spacing w:after="0" w:line="240" w:lineRule="auto"/>
              <w:rPr>
                <w:rFonts w:eastAsia="Times New Roman" w:cs="Times New Roman"/>
                <w:noProof/>
              </w:rPr>
            </w:pPr>
            <w:r>
              <w:rPr>
                <w:noProof/>
              </w:rPr>
              <w:t xml:space="preserve">Tuki ympäristöalan, digitaalisen ja </w:t>
            </w:r>
            <w:r>
              <w:rPr>
                <w:noProof/>
              </w:rPr>
              <w:t>sosiaalisen infrastruktuurin hankkeille.</w:t>
            </w:r>
          </w:p>
        </w:tc>
      </w:tr>
      <w:tr w:rsidR="000E48CE" w14:paraId="3D16B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3739A2" w14:textId="77777777" w:rsidR="000E48CE" w:rsidRDefault="00FF4C4E">
            <w:pPr>
              <w:pStyle w:val="P68B1DB1-Normal46"/>
              <w:spacing w:after="0" w:line="240" w:lineRule="auto"/>
              <w:jc w:val="center"/>
              <w:rPr>
                <w:rFonts w:eastAsia="Times New Roman" w:cs="Times New Roman"/>
                <w:noProof/>
              </w:rPr>
            </w:pPr>
            <w:r>
              <w:rPr>
                <w:noProof/>
              </w:rPr>
              <w:t>145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ADBEA" w14:textId="77777777" w:rsidR="000E48CE" w:rsidRDefault="00FF4C4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C34E3D"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9D56C5" w14:textId="77777777" w:rsidR="000E48CE" w:rsidRDefault="00FF4C4E">
            <w:pPr>
              <w:pStyle w:val="P68B1DB1-Normal46"/>
              <w:spacing w:after="0" w:line="240" w:lineRule="auto"/>
              <w:rPr>
                <w:rFonts w:eastAsia="Times New Roman" w:cs="Times New Roman"/>
                <w:noProof/>
              </w:rPr>
            </w:pPr>
            <w:r>
              <w:rPr>
                <w:noProof/>
              </w:rPr>
              <w:t>Lakiin 40/2015 tehdyn muutoksen ja alue- ja paikallisyhteisöjen välisen yhteistyön vahvistamisesta annettujen ministerien päätösten voimaantulo</w:t>
            </w:r>
          </w:p>
        </w:tc>
      </w:tr>
      <w:tr w:rsidR="000E48CE" w14:paraId="737001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8CCED4" w14:textId="77777777" w:rsidR="000E48CE" w:rsidRDefault="00FF4C4E">
            <w:pPr>
              <w:pStyle w:val="P68B1DB1-Normal46"/>
              <w:spacing w:after="0" w:line="240" w:lineRule="auto"/>
              <w:jc w:val="center"/>
              <w:rPr>
                <w:rFonts w:eastAsia="Times New Roman" w:cs="Times New Roman"/>
                <w:noProof/>
              </w:rPr>
            </w:pPr>
            <w:r>
              <w:rPr>
                <w:noProof/>
              </w:rPr>
              <w:t>146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E77719" w14:textId="77777777" w:rsidR="000E48CE" w:rsidRDefault="00FF4C4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D1035A"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7A648A" w14:textId="77777777" w:rsidR="000E48CE" w:rsidRDefault="00FF4C4E">
            <w:pPr>
              <w:pStyle w:val="P68B1DB1-Normal46"/>
              <w:spacing w:after="0" w:line="240" w:lineRule="auto"/>
              <w:rPr>
                <w:rFonts w:eastAsia="Times New Roman" w:cs="Times New Roman"/>
                <w:noProof/>
              </w:rPr>
            </w:pPr>
            <w:r>
              <w:rPr>
                <w:noProof/>
              </w:rPr>
              <w:t xml:space="preserve">Julkisen politiikan arviointia vahvistavan </w:t>
            </w:r>
            <w:r>
              <w:rPr>
                <w:noProof/>
              </w:rPr>
              <w:t>lain voimaantulo</w:t>
            </w:r>
          </w:p>
        </w:tc>
      </w:tr>
      <w:tr w:rsidR="000E48CE" w14:paraId="10CDB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80FB6" w14:textId="77777777" w:rsidR="000E48CE" w:rsidRDefault="00FF4C4E">
            <w:pPr>
              <w:pStyle w:val="P68B1DB1-Normal46"/>
              <w:spacing w:after="0" w:line="240" w:lineRule="auto"/>
              <w:jc w:val="center"/>
              <w:rPr>
                <w:rFonts w:eastAsia="Times New Roman" w:cs="Times New Roman"/>
                <w:noProof/>
              </w:rPr>
            </w:pPr>
            <w:r>
              <w:rPr>
                <w:noProof/>
              </w:rPr>
              <w:t>147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4F8EC2" w14:textId="77777777" w:rsidR="000E48CE" w:rsidRDefault="00FF4C4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2499E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31A682" w14:textId="77777777" w:rsidR="000E48CE" w:rsidRDefault="00FF4C4E">
            <w:pPr>
              <w:pStyle w:val="P68B1DB1-Normal46"/>
              <w:spacing w:after="0" w:line="240" w:lineRule="auto"/>
              <w:rPr>
                <w:rFonts w:eastAsia="Times New Roman" w:cs="Times New Roman"/>
                <w:noProof/>
              </w:rPr>
            </w:pPr>
            <w:r>
              <w:rPr>
                <w:noProof/>
              </w:rPr>
              <w:t>Paikallishallinnosta annetun lain 7/1985 uudistuksen voimaantulo ja 11 päivänä heinäkuuta 1986 annetun kuninkaallisen asetuksen 1690/1986 muutos, jolla hyväksyttiin asetus asukasluvusta ja paikallisyhteisöjen alueellisesta ra</w:t>
            </w:r>
            <w:r>
              <w:rPr>
                <w:noProof/>
              </w:rPr>
              <w:t>jaamisesta</w:t>
            </w:r>
          </w:p>
        </w:tc>
      </w:tr>
      <w:tr w:rsidR="000E48CE" w14:paraId="771924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992D6" w14:textId="77777777" w:rsidR="000E48CE" w:rsidRDefault="00FF4C4E">
            <w:pPr>
              <w:pStyle w:val="P68B1DB1-Normal46"/>
              <w:spacing w:after="0" w:line="240" w:lineRule="auto"/>
              <w:jc w:val="center"/>
              <w:rPr>
                <w:rFonts w:eastAsia="Times New Roman" w:cs="Times New Roman"/>
                <w:noProof/>
              </w:rPr>
            </w:pPr>
            <w:r>
              <w:rPr>
                <w:noProof/>
              </w:rPr>
              <w:t>148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B2EB78" w14:textId="77777777" w:rsidR="000E48CE" w:rsidRDefault="00FF4C4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00184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AF889F" w14:textId="77777777" w:rsidR="000E48CE" w:rsidRDefault="00FF4C4E">
            <w:pPr>
              <w:pStyle w:val="P68B1DB1-Normal46"/>
              <w:spacing w:after="0" w:line="240" w:lineRule="auto"/>
              <w:rPr>
                <w:rFonts w:eastAsia="Times New Roman" w:cs="Times New Roman"/>
                <w:noProof/>
              </w:rPr>
            </w:pPr>
            <w:r>
              <w:rPr>
                <w:noProof/>
              </w:rPr>
              <w:t>Valtionhallinnon virkamieskuntaa koskevien sääntelytoimenpiteiden voimaantulo</w:t>
            </w:r>
          </w:p>
        </w:tc>
      </w:tr>
      <w:tr w:rsidR="000E48CE" w14:paraId="319CC0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8C2D88" w14:textId="77777777" w:rsidR="000E48CE" w:rsidRDefault="00FF4C4E">
            <w:pPr>
              <w:pStyle w:val="P68B1DB1-Normal46"/>
              <w:spacing w:after="0" w:line="240" w:lineRule="auto"/>
              <w:jc w:val="center"/>
              <w:rPr>
                <w:rFonts w:eastAsia="Times New Roman" w:cs="Times New Roman"/>
                <w:noProof/>
              </w:rPr>
            </w:pPr>
            <w:r>
              <w:rPr>
                <w:noProof/>
              </w:rPr>
              <w:t>152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BB7394" w14:textId="77777777" w:rsidR="000E48CE" w:rsidRDefault="00FF4C4E">
            <w:pPr>
              <w:pStyle w:val="P68B1DB1-Normal46"/>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4DBEF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31D02" w14:textId="77777777" w:rsidR="000E48CE" w:rsidRDefault="00FF4C4E">
            <w:pPr>
              <w:pStyle w:val="P68B1DB1-Normal46"/>
              <w:spacing w:after="0" w:line="240" w:lineRule="auto"/>
              <w:rPr>
                <w:rFonts w:eastAsia="Times New Roman" w:cs="Times New Roman"/>
                <w:noProof/>
              </w:rPr>
            </w:pPr>
            <w:r>
              <w:rPr>
                <w:noProof/>
              </w:rPr>
              <w:t xml:space="preserve">Oikeudenkäyntimenettelyjen tehokkuuden parantamisesta annetun kuninkaan asetuksen ja digitaalista tehokkuutta koskevan kuninkaan asetuksen </w:t>
            </w:r>
            <w:r>
              <w:rPr>
                <w:noProof/>
              </w:rPr>
              <w:t>voimaantulo</w:t>
            </w:r>
          </w:p>
        </w:tc>
      </w:tr>
      <w:tr w:rsidR="000E48CE" w14:paraId="23C7C8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8EE23F" w14:textId="77777777" w:rsidR="000E48CE" w:rsidRDefault="00FF4C4E">
            <w:pPr>
              <w:pStyle w:val="P68B1DB1-Normal46"/>
              <w:spacing w:after="0" w:line="240" w:lineRule="auto"/>
              <w:jc w:val="center"/>
              <w:rPr>
                <w:rFonts w:eastAsia="Times New Roman" w:cs="Times New Roman"/>
                <w:noProof/>
              </w:rPr>
            </w:pPr>
            <w:r>
              <w:rPr>
                <w:noProof/>
              </w:rPr>
              <w:t>156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8A841F" w14:textId="77777777" w:rsidR="000E48CE" w:rsidRDefault="00FF4C4E">
            <w:pPr>
              <w:pStyle w:val="P68B1DB1-Normal46"/>
              <w:spacing w:after="0" w:line="240" w:lineRule="auto"/>
              <w:rPr>
                <w:rFonts w:eastAsia="Times New Roman" w:cs="Times New Roman"/>
                <w:noProof/>
              </w:rPr>
            </w:pPr>
            <w:r>
              <w:rPr>
                <w:noProof/>
              </w:rPr>
              <w:t>C11.R4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B6F0F"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E0451A" w14:textId="77777777" w:rsidR="000E48CE" w:rsidRDefault="00FF4C4E">
            <w:pPr>
              <w:pStyle w:val="P68B1DB1-Normal46"/>
              <w:spacing w:after="0" w:line="240" w:lineRule="auto"/>
              <w:rPr>
                <w:rFonts w:eastAsia="Times New Roman" w:cs="Times New Roman"/>
                <w:noProof/>
              </w:rPr>
            </w:pPr>
            <w:r>
              <w:rPr>
                <w:noProof/>
              </w:rPr>
              <w:t>Kansallinen hankintastrategia</w:t>
            </w:r>
          </w:p>
        </w:tc>
      </w:tr>
      <w:tr w:rsidR="000E48CE" w14:paraId="49C72A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57E029" w14:textId="77777777" w:rsidR="000E48CE" w:rsidRDefault="00FF4C4E">
            <w:pPr>
              <w:pStyle w:val="P68B1DB1-Normal46"/>
              <w:spacing w:after="0" w:line="240" w:lineRule="auto"/>
              <w:jc w:val="center"/>
              <w:rPr>
                <w:rFonts w:eastAsia="Times New Roman" w:cs="Times New Roman"/>
                <w:noProof/>
              </w:rPr>
            </w:pPr>
            <w:r>
              <w:rPr>
                <w:noProof/>
              </w:rPr>
              <w:t>164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3F4F00" w14:textId="77777777" w:rsidR="000E48CE" w:rsidRDefault="00FF4C4E">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C67F20"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07DD71" w14:textId="77777777" w:rsidR="000E48CE" w:rsidRDefault="00FF4C4E">
            <w:pPr>
              <w:pStyle w:val="P68B1DB1-Normal46"/>
              <w:spacing w:after="0" w:line="240" w:lineRule="auto"/>
              <w:rPr>
                <w:rFonts w:eastAsia="Times New Roman" w:cs="Times New Roman"/>
                <w:noProof/>
              </w:rPr>
            </w:pPr>
            <w:r>
              <w:rPr>
                <w:noProof/>
              </w:rPr>
              <w:t>Sähköisesti suoritettavat oikeudenkäyntimenettelyt</w:t>
            </w:r>
          </w:p>
        </w:tc>
      </w:tr>
      <w:tr w:rsidR="000E48CE" w14:paraId="6EC9F9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BD9ED7" w14:textId="77777777" w:rsidR="000E48CE" w:rsidRDefault="00FF4C4E">
            <w:pPr>
              <w:pStyle w:val="P68B1DB1-Normal46"/>
              <w:spacing w:after="0" w:line="240" w:lineRule="auto"/>
              <w:jc w:val="center"/>
              <w:rPr>
                <w:rFonts w:eastAsia="Times New Roman" w:cs="Times New Roman"/>
                <w:noProof/>
              </w:rPr>
            </w:pPr>
            <w:r>
              <w:rPr>
                <w:noProof/>
              </w:rPr>
              <w:t>174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D839671" w14:textId="77777777" w:rsidR="000E48CE" w:rsidRDefault="00FF4C4E">
            <w:pPr>
              <w:pStyle w:val="P68B1DB1-Normal46"/>
              <w:spacing w:after="0" w:line="240" w:lineRule="auto"/>
              <w:rPr>
                <w:rFonts w:eastAsia="Times New Roman" w:cs="Times New Roman"/>
                <w:noProof/>
              </w:rPr>
            </w:pPr>
            <w:r>
              <w:rPr>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2F3C19"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217D20" w14:textId="77777777" w:rsidR="000E48CE" w:rsidRDefault="00FF4C4E">
            <w:pPr>
              <w:pStyle w:val="P68B1DB1-Normal46"/>
              <w:spacing w:after="0" w:line="240" w:lineRule="auto"/>
              <w:rPr>
                <w:rFonts w:eastAsia="Times New Roman" w:cs="Times New Roman"/>
                <w:noProof/>
              </w:rPr>
            </w:pPr>
            <w:r>
              <w:rPr>
                <w:noProof/>
              </w:rPr>
              <w:t>Uudet viestintävälineet ja -toimet</w:t>
            </w:r>
          </w:p>
        </w:tc>
      </w:tr>
      <w:tr w:rsidR="000E48CE" w14:paraId="3DE015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7AA0DB" w14:textId="77777777" w:rsidR="000E48CE" w:rsidRDefault="00FF4C4E">
            <w:pPr>
              <w:pStyle w:val="P68B1DB1-Normal46"/>
              <w:spacing w:after="0" w:line="240" w:lineRule="auto"/>
              <w:jc w:val="center"/>
              <w:rPr>
                <w:rFonts w:eastAsia="Times New Roman" w:cs="Times New Roman"/>
                <w:noProof/>
              </w:rPr>
            </w:pPr>
            <w:r>
              <w:rPr>
                <w:noProof/>
              </w:rPr>
              <w:t>178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79C5B4" w14:textId="77777777" w:rsidR="000E48CE" w:rsidRDefault="00FF4C4E">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A2638E"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D21E45" w14:textId="77777777" w:rsidR="000E48CE" w:rsidRDefault="00FF4C4E">
            <w:pPr>
              <w:pStyle w:val="P68B1DB1-Normal46"/>
              <w:spacing w:after="0" w:line="240" w:lineRule="auto"/>
              <w:rPr>
                <w:rFonts w:eastAsia="Times New Roman" w:cs="Times New Roman"/>
                <w:noProof/>
              </w:rPr>
            </w:pPr>
            <w:r>
              <w:rPr>
                <w:noProof/>
              </w:rPr>
              <w:t>Kiertotalouspakettiin kuuluvien säädösten voimaantulo</w:t>
            </w:r>
          </w:p>
        </w:tc>
      </w:tr>
      <w:tr w:rsidR="000E48CE" w14:paraId="2F2386F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9976ED" w14:textId="77777777" w:rsidR="000E48CE" w:rsidRDefault="00FF4C4E">
            <w:pPr>
              <w:pStyle w:val="P68B1DB1-Normal46"/>
              <w:spacing w:after="0" w:line="240" w:lineRule="auto"/>
              <w:jc w:val="center"/>
              <w:rPr>
                <w:rFonts w:eastAsia="Times New Roman" w:cs="Times New Roman"/>
                <w:noProof/>
              </w:rPr>
            </w:pPr>
            <w:r>
              <w:rPr>
                <w:noProof/>
              </w:rPr>
              <w:t>179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4D8C" w14:textId="77777777" w:rsidR="000E48CE" w:rsidRDefault="00FF4C4E">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CFB97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0B009E" w14:textId="77777777" w:rsidR="000E48CE" w:rsidRDefault="00FF4C4E">
            <w:pPr>
              <w:pStyle w:val="P68B1DB1-Normal46"/>
              <w:spacing w:after="0" w:line="240" w:lineRule="auto"/>
              <w:rPr>
                <w:rFonts w:eastAsia="Times New Roman" w:cs="Times New Roman"/>
                <w:noProof/>
              </w:rPr>
            </w:pPr>
            <w:r>
              <w:rPr>
                <w:noProof/>
              </w:rPr>
              <w:t xml:space="preserve">Jätteistä ja pilaantuneesta maaperästä annetun lain voimaantulo </w:t>
            </w:r>
          </w:p>
        </w:tc>
      </w:tr>
      <w:tr w:rsidR="000E48CE" w14:paraId="612894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FC815A" w14:textId="77777777" w:rsidR="000E48CE" w:rsidRDefault="00FF4C4E">
            <w:pPr>
              <w:pStyle w:val="P68B1DB1-Normal46"/>
              <w:spacing w:after="0" w:line="240" w:lineRule="auto"/>
              <w:jc w:val="center"/>
              <w:rPr>
                <w:rFonts w:eastAsia="Times New Roman" w:cs="Times New Roman"/>
                <w:noProof/>
              </w:rPr>
            </w:pPr>
            <w:r>
              <w:rPr>
                <w:noProof/>
              </w:rPr>
              <w:t>182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FB1D34" w14:textId="77777777" w:rsidR="000E48CE" w:rsidRDefault="00FF4C4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9C46F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5BF091" w14:textId="77777777" w:rsidR="000E48CE" w:rsidRDefault="00FF4C4E">
            <w:pPr>
              <w:pStyle w:val="P68B1DB1-Normal46"/>
              <w:spacing w:after="0" w:line="240" w:lineRule="auto"/>
              <w:rPr>
                <w:rFonts w:eastAsia="Times New Roman" w:cs="Times New Roman"/>
                <w:noProof/>
              </w:rPr>
            </w:pPr>
            <w:r>
              <w:rPr>
                <w:noProof/>
              </w:rPr>
              <w:t>Sähköajoneuvojen alan PERTE</w:t>
            </w:r>
          </w:p>
        </w:tc>
      </w:tr>
      <w:tr w:rsidR="000E48CE" w14:paraId="1D07B1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67FBF" w14:textId="77777777" w:rsidR="000E48CE" w:rsidRDefault="00FF4C4E">
            <w:pPr>
              <w:pStyle w:val="P68B1DB1-Normal46"/>
              <w:spacing w:after="0" w:line="240" w:lineRule="auto"/>
              <w:jc w:val="center"/>
              <w:rPr>
                <w:rFonts w:eastAsia="Times New Roman" w:cs="Times New Roman"/>
                <w:noProof/>
              </w:rPr>
            </w:pPr>
            <w:r>
              <w:rPr>
                <w:noProof/>
              </w:rPr>
              <w:t>183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FA3F1" w14:textId="77777777" w:rsidR="000E48CE" w:rsidRDefault="00FF4C4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14193"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3D62E5" w14:textId="77777777" w:rsidR="000E48CE" w:rsidRDefault="00FF4C4E">
            <w:pPr>
              <w:pStyle w:val="P68B1DB1-Normal46"/>
              <w:spacing w:after="0" w:line="240" w:lineRule="auto"/>
              <w:rPr>
                <w:rFonts w:eastAsia="Times New Roman" w:cs="Times New Roman"/>
                <w:noProof/>
              </w:rPr>
            </w:pPr>
            <w:r>
              <w:rPr>
                <w:noProof/>
              </w:rPr>
              <w:t xml:space="preserve">PERTE-hankkeet suunnitelmassa määritellyillä strategisilla aloilla </w:t>
            </w:r>
          </w:p>
        </w:tc>
      </w:tr>
      <w:tr w:rsidR="000E48CE" w14:paraId="4D06C3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7776" w14:textId="77777777" w:rsidR="000E48CE" w:rsidRDefault="00FF4C4E">
            <w:pPr>
              <w:pStyle w:val="P68B1DB1-Normal46"/>
              <w:spacing w:after="0" w:line="240" w:lineRule="auto"/>
              <w:jc w:val="center"/>
              <w:rPr>
                <w:rFonts w:eastAsia="Times New Roman" w:cs="Times New Roman"/>
                <w:noProof/>
              </w:rPr>
            </w:pPr>
            <w:r>
              <w:rPr>
                <w:noProof/>
              </w:rPr>
              <w:t>184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4CC8CE" w14:textId="77777777" w:rsidR="000E48CE" w:rsidRDefault="00FF4C4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03FA1"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55F78E" w14:textId="77777777" w:rsidR="000E48CE" w:rsidRDefault="00FF4C4E">
            <w:pPr>
              <w:pStyle w:val="P68B1DB1-Normal46"/>
              <w:spacing w:after="0" w:line="240" w:lineRule="auto"/>
              <w:rPr>
                <w:rFonts w:eastAsia="Times New Roman" w:cs="Times New Roman"/>
                <w:noProof/>
              </w:rPr>
            </w:pPr>
            <w:r>
              <w:rPr>
                <w:noProof/>
              </w:rPr>
              <w:t xml:space="preserve">Innovatiiviset hankkeet teollisuuden muuttamiseksi energiatehokkuuden, kestävyyden ja digitalisaation osalta </w:t>
            </w:r>
          </w:p>
        </w:tc>
      </w:tr>
      <w:tr w:rsidR="000E48CE" w14:paraId="3B0C9B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971D90" w14:textId="77777777" w:rsidR="000E48CE" w:rsidRDefault="00FF4C4E">
            <w:pPr>
              <w:pStyle w:val="P68B1DB1-Normal46"/>
              <w:spacing w:after="0" w:line="240" w:lineRule="auto"/>
              <w:jc w:val="center"/>
              <w:rPr>
                <w:rFonts w:eastAsia="Times New Roman" w:cs="Times New Roman"/>
                <w:noProof/>
              </w:rPr>
            </w:pPr>
            <w:r>
              <w:rPr>
                <w:noProof/>
              </w:rPr>
              <w:t>191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5D536" w14:textId="77777777" w:rsidR="000E48CE" w:rsidRDefault="00FF4C4E">
            <w:pPr>
              <w:pStyle w:val="P68B1DB1-Normal46"/>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E13F6D"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4B0506" w14:textId="77777777" w:rsidR="000E48CE" w:rsidRDefault="00FF4C4E">
            <w:pPr>
              <w:pStyle w:val="P68B1DB1-Normal46"/>
              <w:spacing w:after="0" w:line="240" w:lineRule="auto"/>
              <w:rPr>
                <w:rFonts w:eastAsia="Times New Roman" w:cs="Times New Roman"/>
                <w:noProof/>
              </w:rPr>
            </w:pPr>
            <w:r>
              <w:rPr>
                <w:noProof/>
              </w:rPr>
              <w:t>Yritysten perustamista ja kasvua koskevan lain voimaantulo</w:t>
            </w:r>
          </w:p>
        </w:tc>
      </w:tr>
      <w:tr w:rsidR="000E48CE" w14:paraId="1F16E3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6AC61" w14:textId="77777777" w:rsidR="000E48CE" w:rsidRDefault="00FF4C4E">
            <w:pPr>
              <w:pStyle w:val="P68B1DB1-Normal46"/>
              <w:spacing w:after="0" w:line="240" w:lineRule="auto"/>
              <w:jc w:val="center"/>
              <w:rPr>
                <w:rFonts w:eastAsia="Times New Roman" w:cs="Times New Roman"/>
                <w:noProof/>
              </w:rPr>
            </w:pPr>
            <w:r>
              <w:rPr>
                <w:noProof/>
              </w:rPr>
              <w:t>192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00037F" w14:textId="77777777" w:rsidR="000E48CE" w:rsidRDefault="00FF4C4E">
            <w:pPr>
              <w:pStyle w:val="P68B1DB1-Normal46"/>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92D52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F085E50" w14:textId="77777777" w:rsidR="000E48CE" w:rsidRDefault="00FF4C4E">
            <w:pPr>
              <w:pStyle w:val="P68B1DB1-Normal46"/>
              <w:spacing w:after="0" w:line="240" w:lineRule="auto"/>
              <w:rPr>
                <w:rFonts w:eastAsia="Times New Roman" w:cs="Times New Roman"/>
                <w:noProof/>
              </w:rPr>
            </w:pPr>
            <w:r>
              <w:rPr>
                <w:noProof/>
              </w:rPr>
              <w:t>Startup-yrityksiä koskevan lain voimaantulo</w:t>
            </w:r>
          </w:p>
        </w:tc>
      </w:tr>
      <w:tr w:rsidR="000E48CE" w14:paraId="6B8EDE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1FA78F" w14:textId="77777777" w:rsidR="000E48CE" w:rsidRDefault="00FF4C4E">
            <w:pPr>
              <w:pStyle w:val="P68B1DB1-Normal46"/>
              <w:spacing w:after="0" w:line="240" w:lineRule="auto"/>
              <w:jc w:val="center"/>
              <w:rPr>
                <w:rFonts w:eastAsia="Times New Roman" w:cs="Times New Roman"/>
                <w:noProof/>
              </w:rPr>
            </w:pPr>
            <w:r>
              <w:rPr>
                <w:noProof/>
              </w:rPr>
              <w:t>450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6C066B" w14:textId="77777777" w:rsidR="000E48CE" w:rsidRDefault="00FF4C4E">
            <w:pPr>
              <w:pStyle w:val="P68B1DB1-Normal46"/>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3F1F2C"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9BAED5" w14:textId="77777777" w:rsidR="000E48CE" w:rsidRDefault="00FF4C4E">
            <w:pPr>
              <w:pStyle w:val="P68B1DB1-Normal46"/>
              <w:spacing w:after="0" w:line="240" w:lineRule="auto"/>
              <w:rPr>
                <w:rFonts w:eastAsia="Times New Roman" w:cs="Times New Roman"/>
                <w:noProof/>
              </w:rPr>
            </w:pPr>
            <w:r>
              <w:rPr>
                <w:noProof/>
              </w:rPr>
              <w:t>Ulkomaalaisten oikeuksista ja vapauksista Espanjassa annetun lain 4/2000 muuttamisesta 26. heinäkuuta annetun kuninkaan asetuksen 629/2022 voimaantulo</w:t>
            </w:r>
          </w:p>
        </w:tc>
      </w:tr>
      <w:tr w:rsidR="000E48CE" w14:paraId="2C6264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13649" w14:textId="77777777" w:rsidR="000E48CE" w:rsidRDefault="00FF4C4E">
            <w:pPr>
              <w:pStyle w:val="P68B1DB1-Normal46"/>
              <w:spacing w:after="0" w:line="240" w:lineRule="auto"/>
              <w:jc w:val="center"/>
              <w:rPr>
                <w:rFonts w:eastAsia="Times New Roman" w:cs="Times New Roman"/>
                <w:noProof/>
              </w:rPr>
            </w:pPr>
            <w:r>
              <w:rPr>
                <w:noProof/>
              </w:rPr>
              <w:t>200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8C8B93"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3664F"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08D1B8" w14:textId="77777777" w:rsidR="000E48CE" w:rsidRDefault="00FF4C4E">
            <w:pPr>
              <w:pStyle w:val="P68B1DB1-Normal46"/>
              <w:spacing w:after="0" w:line="240" w:lineRule="auto"/>
              <w:rPr>
                <w:rFonts w:eastAsia="Times New Roman" w:cs="Times New Roman"/>
                <w:noProof/>
              </w:rPr>
            </w:pPr>
            <w:r>
              <w:rPr>
                <w:noProof/>
              </w:rPr>
              <w:t>Digital Toolkit -ohjelmaan sidotut määrärahat</w:t>
            </w:r>
          </w:p>
        </w:tc>
      </w:tr>
      <w:tr w:rsidR="000E48CE" w14:paraId="6D562E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C0CD1B" w14:textId="77777777" w:rsidR="000E48CE" w:rsidRDefault="00FF4C4E">
            <w:pPr>
              <w:pStyle w:val="P68B1DB1-Normal46"/>
              <w:spacing w:after="0" w:line="240" w:lineRule="auto"/>
              <w:jc w:val="center"/>
              <w:rPr>
                <w:rFonts w:eastAsia="Times New Roman" w:cs="Times New Roman"/>
                <w:noProof/>
              </w:rPr>
            </w:pPr>
            <w:r>
              <w:rPr>
                <w:noProof/>
              </w:rPr>
              <w:t>201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896218"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851208"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11722E" w14:textId="77777777" w:rsidR="000E48CE" w:rsidRDefault="00FF4C4E">
            <w:pPr>
              <w:pStyle w:val="P68B1DB1-Normal46"/>
              <w:spacing w:after="0" w:line="240" w:lineRule="auto"/>
              <w:rPr>
                <w:rFonts w:eastAsia="Times New Roman" w:cs="Times New Roman"/>
                <w:noProof/>
              </w:rPr>
            </w:pPr>
            <w:r>
              <w:rPr>
                <w:noProof/>
              </w:rPr>
              <w:t>Muutosohjelman toimihenkilöille</w:t>
            </w:r>
            <w:r>
              <w:rPr>
                <w:noProof/>
              </w:rPr>
              <w:t xml:space="preserve"> sidotut määrärahat</w:t>
            </w:r>
          </w:p>
        </w:tc>
      </w:tr>
      <w:tr w:rsidR="000E48CE" w14:paraId="71FEF5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361133" w14:textId="77777777" w:rsidR="000E48CE" w:rsidRDefault="00FF4C4E">
            <w:pPr>
              <w:pStyle w:val="P68B1DB1-Normal46"/>
              <w:spacing w:after="0" w:line="240" w:lineRule="auto"/>
              <w:jc w:val="center"/>
              <w:rPr>
                <w:rFonts w:eastAsia="Times New Roman" w:cs="Times New Roman"/>
                <w:noProof/>
              </w:rPr>
            </w:pPr>
            <w:r>
              <w:rPr>
                <w:noProof/>
              </w:rPr>
              <w:t>202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3E8275"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1F8D6F"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D81A75F" w14:textId="77777777" w:rsidR="000E48CE" w:rsidRDefault="00FF4C4E">
            <w:pPr>
              <w:pStyle w:val="P68B1DB1-Normal46"/>
              <w:spacing w:after="0" w:line="240" w:lineRule="auto"/>
              <w:rPr>
                <w:rFonts w:eastAsia="Times New Roman" w:cs="Times New Roman"/>
                <w:noProof/>
              </w:rPr>
            </w:pPr>
            <w:r>
              <w:rPr>
                <w:noProof/>
              </w:rPr>
              <w:t>Innovatiivisen yritysklusterin tukiohjelmaan sidotut määrärahat</w:t>
            </w:r>
          </w:p>
        </w:tc>
      </w:tr>
      <w:tr w:rsidR="000E48CE" w14:paraId="0125B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25B11E" w14:textId="77777777" w:rsidR="000E48CE" w:rsidRDefault="00FF4C4E">
            <w:pPr>
              <w:pStyle w:val="P68B1DB1-Normal46"/>
              <w:spacing w:after="0" w:line="240" w:lineRule="auto"/>
              <w:jc w:val="center"/>
              <w:rPr>
                <w:rFonts w:eastAsia="Times New Roman" w:cs="Times New Roman"/>
                <w:noProof/>
              </w:rPr>
            </w:pPr>
            <w:r>
              <w:rPr>
                <w:noProof/>
              </w:rPr>
              <w:t>203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8AFEE"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5203BF"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667867" w14:textId="77777777" w:rsidR="000E48CE" w:rsidRDefault="00FF4C4E">
            <w:pPr>
              <w:pStyle w:val="P68B1DB1-Normal46"/>
              <w:spacing w:after="0" w:line="240" w:lineRule="auto"/>
              <w:rPr>
                <w:rFonts w:eastAsia="Times New Roman" w:cs="Times New Roman"/>
                <w:noProof/>
              </w:rPr>
            </w:pPr>
            <w:r>
              <w:rPr>
                <w:noProof/>
              </w:rPr>
              <w:t>Digitaali-innovointikeskittymiä koskevaan ohjelmaan sidotut määrärahat</w:t>
            </w:r>
          </w:p>
        </w:tc>
      </w:tr>
      <w:tr w:rsidR="000E48CE" w14:paraId="1B9A0A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5132F" w14:textId="77777777" w:rsidR="000E48CE" w:rsidRDefault="00FF4C4E">
            <w:pPr>
              <w:pStyle w:val="P68B1DB1-Normal46"/>
              <w:spacing w:after="0" w:line="240" w:lineRule="auto"/>
              <w:jc w:val="center"/>
              <w:rPr>
                <w:rFonts w:eastAsia="Times New Roman" w:cs="Times New Roman"/>
                <w:noProof/>
              </w:rPr>
            </w:pPr>
            <w:r>
              <w:rPr>
                <w:noProof/>
              </w:rPr>
              <w:t>218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DBC42" w14:textId="77777777" w:rsidR="000E48CE" w:rsidRDefault="00FF4C4E">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8BE836"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583299" w14:textId="77777777" w:rsidR="000E48CE" w:rsidRDefault="00FF4C4E">
            <w:pPr>
              <w:pStyle w:val="P68B1DB1-Normal46"/>
              <w:spacing w:after="0" w:line="240" w:lineRule="auto"/>
              <w:rPr>
                <w:rFonts w:eastAsia="Times New Roman" w:cs="Times New Roman"/>
                <w:noProof/>
              </w:rPr>
            </w:pPr>
            <w:r>
              <w:rPr>
                <w:noProof/>
              </w:rPr>
              <w:t xml:space="preserve">Matkailun kestävyyttä edistäville suunnitelmille </w:t>
            </w:r>
            <w:r>
              <w:rPr>
                <w:noProof/>
              </w:rPr>
              <w:t>myönnettävä talousarvio</w:t>
            </w:r>
          </w:p>
        </w:tc>
      </w:tr>
      <w:tr w:rsidR="000E48CE" w14:paraId="4857B8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A3C1CD" w14:textId="77777777" w:rsidR="000E48CE" w:rsidRDefault="00FF4C4E">
            <w:pPr>
              <w:pStyle w:val="P68B1DB1-Normal46"/>
              <w:spacing w:after="0" w:line="240" w:lineRule="auto"/>
              <w:jc w:val="center"/>
              <w:rPr>
                <w:rFonts w:eastAsia="Times New Roman" w:cs="Times New Roman"/>
                <w:noProof/>
              </w:rPr>
            </w:pPr>
            <w:r>
              <w:rPr>
                <w:noProof/>
              </w:rPr>
              <w:t>234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4EE363" w14:textId="77777777" w:rsidR="000E48CE" w:rsidRDefault="00FF4C4E">
            <w:pPr>
              <w:pStyle w:val="P68B1DB1-Normal46"/>
              <w:spacing w:after="0" w:line="240" w:lineRule="auto"/>
              <w:rPr>
                <w:rFonts w:eastAsia="Times New Roman" w:cs="Times New Roman"/>
                <w:noProof/>
              </w:rPr>
            </w:pPr>
            <w:r>
              <w:rPr>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762801"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E97C70" w14:textId="77777777" w:rsidR="000E48CE" w:rsidRDefault="00FF4C4E">
            <w:pPr>
              <w:pStyle w:val="P68B1DB1-Normal46"/>
              <w:spacing w:after="0" w:line="240" w:lineRule="auto"/>
              <w:rPr>
                <w:rFonts w:eastAsia="Times New Roman" w:cs="Times New Roman"/>
                <w:noProof/>
              </w:rPr>
            </w:pPr>
            <w:r>
              <w:rPr>
                <w:noProof/>
              </w:rPr>
              <w:t>26 GHz:n taajuusalueen osoittaminen</w:t>
            </w:r>
          </w:p>
        </w:tc>
      </w:tr>
      <w:tr w:rsidR="000E48CE" w14:paraId="2F369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5BF0F1" w14:textId="77777777" w:rsidR="000E48CE" w:rsidRDefault="00FF4C4E">
            <w:pPr>
              <w:pStyle w:val="P68B1DB1-Normal46"/>
              <w:spacing w:after="0" w:line="240" w:lineRule="auto"/>
              <w:jc w:val="center"/>
              <w:rPr>
                <w:rFonts w:eastAsia="Times New Roman" w:cs="Times New Roman"/>
                <w:noProof/>
              </w:rPr>
            </w:pPr>
            <w:r>
              <w:rPr>
                <w:noProof/>
              </w:rPr>
              <w:t>235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3734A7" w14:textId="77777777" w:rsidR="000E48CE" w:rsidRDefault="00FF4C4E">
            <w:pPr>
              <w:pStyle w:val="P68B1DB1-Normal46"/>
              <w:spacing w:after="0" w:line="240" w:lineRule="auto"/>
              <w:rPr>
                <w:rFonts w:eastAsia="Times New Roman" w:cs="Times New Roman"/>
                <w:noProof/>
              </w:rPr>
            </w:pPr>
            <w:r>
              <w:rPr>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EBC21D"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828509" w14:textId="77777777" w:rsidR="000E48CE" w:rsidRDefault="00FF4C4E">
            <w:pPr>
              <w:pStyle w:val="P68B1DB1-Normal46"/>
              <w:spacing w:after="0" w:line="240" w:lineRule="auto"/>
              <w:rPr>
                <w:rFonts w:eastAsia="Times New Roman" w:cs="Times New Roman"/>
                <w:noProof/>
              </w:rPr>
            </w:pPr>
            <w:r>
              <w:rPr>
                <w:noProof/>
              </w:rPr>
              <w:t xml:space="preserve">5G-kyberturvallisuuslain voimaantulo </w:t>
            </w:r>
          </w:p>
        </w:tc>
      </w:tr>
      <w:tr w:rsidR="000E48CE" w14:paraId="29F5CC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99BA6" w14:textId="77777777" w:rsidR="000E48CE" w:rsidRDefault="00FF4C4E">
            <w:pPr>
              <w:pStyle w:val="P68B1DB1-Normal46"/>
              <w:spacing w:after="0" w:line="240" w:lineRule="auto"/>
              <w:jc w:val="center"/>
              <w:rPr>
                <w:rFonts w:eastAsia="Times New Roman" w:cs="Times New Roman"/>
                <w:noProof/>
              </w:rPr>
            </w:pPr>
            <w:r>
              <w:rPr>
                <w:noProof/>
              </w:rPr>
              <w:t>245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051F06" w14:textId="77777777" w:rsidR="000E48CE" w:rsidRDefault="00FF4C4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83FC5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74D3FF" w14:textId="77777777" w:rsidR="000E48CE" w:rsidRDefault="00FF4C4E">
            <w:pPr>
              <w:pStyle w:val="P68B1DB1-Normal46"/>
              <w:spacing w:after="0" w:line="240" w:lineRule="auto"/>
              <w:rPr>
                <w:rFonts w:eastAsia="Times New Roman" w:cs="Times New Roman"/>
                <w:noProof/>
              </w:rPr>
            </w:pPr>
            <w:r>
              <w:rPr>
                <w:noProof/>
              </w:rPr>
              <w:t xml:space="preserve">Kansallisen kyberturvallisuusteollisuuden tukiohjelman, maailmanlaajuisen turvallisuusinnovointiohjelman ja siihen </w:t>
            </w:r>
            <w:r>
              <w:rPr>
                <w:noProof/>
              </w:rPr>
              <w:t>liittyvien toimien käynnistäminen.</w:t>
            </w:r>
          </w:p>
        </w:tc>
      </w:tr>
      <w:tr w:rsidR="000E48CE" w14:paraId="4FBFE5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B450A7" w14:textId="77777777" w:rsidR="000E48CE" w:rsidRDefault="00FF4C4E">
            <w:pPr>
              <w:pStyle w:val="P68B1DB1-Normal46"/>
              <w:spacing w:after="0" w:line="240" w:lineRule="auto"/>
              <w:jc w:val="center"/>
              <w:rPr>
                <w:rFonts w:eastAsia="Times New Roman" w:cs="Times New Roman"/>
                <w:noProof/>
              </w:rPr>
            </w:pPr>
            <w:r>
              <w:rPr>
                <w:noProof/>
              </w:rPr>
              <w:t>247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86E8F2" w14:textId="77777777" w:rsidR="000E48CE" w:rsidRDefault="00FF4C4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A329F6"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D95FE" w14:textId="77777777" w:rsidR="000E48CE" w:rsidRDefault="00FF4C4E">
            <w:pPr>
              <w:pStyle w:val="P68B1DB1-Normal46"/>
              <w:spacing w:after="0" w:line="240" w:lineRule="auto"/>
              <w:rPr>
                <w:rFonts w:eastAsia="Times New Roman" w:cs="Times New Roman"/>
                <w:noProof/>
              </w:rPr>
            </w:pPr>
            <w:r>
              <w:rPr>
                <w:noProof/>
              </w:rPr>
              <w:t>Kyberturvallisuusvalmiuksien vahvistaminen ja parantaminen: Kyberturvallisuuden tukilinja</w:t>
            </w:r>
          </w:p>
        </w:tc>
      </w:tr>
      <w:tr w:rsidR="000E48CE" w14:paraId="250C02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C73AB7" w14:textId="77777777" w:rsidR="000E48CE" w:rsidRDefault="00FF4C4E">
            <w:pPr>
              <w:pStyle w:val="P68B1DB1-Normal46"/>
              <w:spacing w:after="0" w:line="240" w:lineRule="auto"/>
              <w:jc w:val="center"/>
              <w:rPr>
                <w:rFonts w:eastAsia="Times New Roman" w:cs="Times New Roman"/>
                <w:noProof/>
              </w:rPr>
            </w:pPr>
            <w:r>
              <w:rPr>
                <w:noProof/>
              </w:rPr>
              <w:t>259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242DFC" w14:textId="77777777" w:rsidR="000E48CE" w:rsidRDefault="00FF4C4E">
            <w:pPr>
              <w:pStyle w:val="P68B1DB1-Normal46"/>
              <w:spacing w:after="0" w:line="240" w:lineRule="auto"/>
              <w:rPr>
                <w:rFonts w:eastAsia="Times New Roman" w:cs="Times New Roman"/>
                <w:noProof/>
              </w:rPr>
            </w:pPr>
            <w:r>
              <w:rPr>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4FC88"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58BB08" w14:textId="77777777" w:rsidR="000E48CE" w:rsidRDefault="00FF4C4E">
            <w:pPr>
              <w:pStyle w:val="P68B1DB1-Normal46"/>
              <w:spacing w:after="0" w:line="240" w:lineRule="auto"/>
              <w:rPr>
                <w:rFonts w:eastAsia="Times New Roman" w:cs="Times New Roman"/>
                <w:noProof/>
              </w:rPr>
            </w:pPr>
            <w:r>
              <w:rPr>
                <w:noProof/>
              </w:rPr>
              <w:t>Palkinnot hankkeille, joilla parannetaan Espanjan tiedeteknologia- ja innovointijärjestelmän kansallisia tieteellisiä infrastruktuureja ja valmiuksia, sekä kansainvälisten yhteisöjen ja muiden välineiden kanssa allekirjoitetut kahdenväliset sopimukset euro</w:t>
            </w:r>
            <w:r>
              <w:rPr>
                <w:noProof/>
              </w:rPr>
              <w:t xml:space="preserve">oppalaisten ja kansainvälisten infrastruktuurihankkeiden rahoittamiseksi. </w:t>
            </w:r>
          </w:p>
        </w:tc>
      </w:tr>
      <w:tr w:rsidR="000E48CE" w14:paraId="15E654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CE1429" w14:textId="77777777" w:rsidR="000E48CE" w:rsidRDefault="00FF4C4E">
            <w:pPr>
              <w:pStyle w:val="P68B1DB1-Normal46"/>
              <w:spacing w:after="0" w:line="240" w:lineRule="auto"/>
              <w:jc w:val="center"/>
              <w:rPr>
                <w:rFonts w:eastAsia="Times New Roman" w:cs="Times New Roman"/>
                <w:noProof/>
              </w:rPr>
            </w:pPr>
            <w:r>
              <w:rPr>
                <w:noProof/>
              </w:rPr>
              <w:t>261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E846C7" w14:textId="77777777" w:rsidR="000E48CE" w:rsidRDefault="00FF4C4E">
            <w:pPr>
              <w:pStyle w:val="P68B1DB1-Normal46"/>
              <w:spacing w:after="0" w:line="240" w:lineRule="auto"/>
              <w:rPr>
                <w:rFonts w:eastAsia="Times New Roman" w:cs="Times New Roman"/>
                <w:noProof/>
              </w:rPr>
            </w:pPr>
            <w:r>
              <w:rPr>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F030FD"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941494" w14:textId="77777777" w:rsidR="000E48CE" w:rsidRDefault="00FF4C4E">
            <w:pPr>
              <w:pStyle w:val="P68B1DB1-Normal46"/>
              <w:spacing w:after="0" w:line="240" w:lineRule="auto"/>
              <w:rPr>
                <w:rFonts w:eastAsia="Times New Roman" w:cs="Times New Roman"/>
                <w:noProof/>
              </w:rPr>
            </w:pPr>
            <w:r>
              <w:rPr>
                <w:noProof/>
              </w:rPr>
              <w:t xml:space="preserve">Uusien yksityisten, tieteidenvälisten, julkisten T &amp; K &amp; I-hankkeiden, konseptitestien, kansainvälisten kilpailuun perustuvien ehdotuspyyntöjen ja sosiaalisiin haasteisiin keskittyvän huipputason T &amp; K-hankkeiden myöntäminen </w:t>
            </w:r>
          </w:p>
        </w:tc>
      </w:tr>
      <w:tr w:rsidR="000E48CE" w14:paraId="075FD5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39DC1C" w14:textId="77777777" w:rsidR="000E48CE" w:rsidRDefault="00FF4C4E">
            <w:pPr>
              <w:pStyle w:val="P68B1DB1-Normal46"/>
              <w:spacing w:after="0" w:line="240" w:lineRule="auto"/>
              <w:jc w:val="center"/>
              <w:rPr>
                <w:rFonts w:eastAsia="Times New Roman" w:cs="Times New Roman"/>
                <w:noProof/>
              </w:rPr>
            </w:pPr>
            <w:r>
              <w:rPr>
                <w:noProof/>
              </w:rPr>
              <w:t>300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BDEA01" w14:textId="77777777" w:rsidR="000E48CE" w:rsidRDefault="00FF4C4E">
            <w:pPr>
              <w:pStyle w:val="P68B1DB1-Normal46"/>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6D4F2"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E424AC" w14:textId="77777777" w:rsidR="000E48CE" w:rsidRDefault="00FF4C4E">
            <w:pPr>
              <w:pStyle w:val="P68B1DB1-Normal46"/>
              <w:spacing w:after="0" w:line="240" w:lineRule="auto"/>
              <w:rPr>
                <w:rFonts w:eastAsia="Times New Roman" w:cs="Times New Roman"/>
                <w:noProof/>
              </w:rPr>
            </w:pPr>
            <w:r>
              <w:rPr>
                <w:noProof/>
              </w:rPr>
              <w:t xml:space="preserve">Vähintään 50000 </w:t>
            </w:r>
            <w:r>
              <w:rPr>
                <w:noProof/>
              </w:rPr>
              <w:t>uutta ammatillisen koulutuksen paikkaa verrattuna vuoden 2020 loppuun.</w:t>
            </w:r>
          </w:p>
        </w:tc>
      </w:tr>
      <w:tr w:rsidR="000E48CE" w14:paraId="4908B9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97AC39" w14:textId="77777777" w:rsidR="000E48CE" w:rsidRDefault="00FF4C4E">
            <w:pPr>
              <w:pStyle w:val="P68B1DB1-Normal46"/>
              <w:spacing w:after="0" w:line="240" w:lineRule="auto"/>
              <w:jc w:val="center"/>
              <w:rPr>
                <w:rFonts w:eastAsia="Times New Roman" w:cs="Times New Roman"/>
                <w:noProof/>
              </w:rPr>
            </w:pPr>
            <w:r>
              <w:rPr>
                <w:noProof/>
              </w:rPr>
              <w:t>319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B6C427" w14:textId="77777777" w:rsidR="000E48CE" w:rsidRDefault="00FF4C4E">
            <w:pPr>
              <w:pStyle w:val="P68B1DB1-Normal46"/>
              <w:spacing w:after="0" w:line="240" w:lineRule="auto"/>
              <w:rPr>
                <w:rFonts w:eastAsia="Times New Roman" w:cs="Times New Roman"/>
                <w:noProof/>
              </w:rPr>
            </w:pPr>
            <w:r>
              <w:rPr>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8FBD8C"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67893D" w14:textId="77777777" w:rsidR="000E48CE" w:rsidRDefault="00FF4C4E">
            <w:pPr>
              <w:pStyle w:val="P68B1DB1-Normal46"/>
              <w:spacing w:after="0" w:line="240" w:lineRule="auto"/>
              <w:rPr>
                <w:rFonts w:eastAsia="Times New Roman" w:cs="Times New Roman"/>
                <w:noProof/>
              </w:rPr>
            </w:pPr>
            <w:r>
              <w:rPr>
                <w:noProof/>
              </w:rPr>
              <w:t>Valtionhallinnon maksuihin perustumattomia taloudellisia etuuksia koskevan järjestelmän uudelleenorganisointia ja yksinkertaistamista koskevan suunnitelman julkaiseminen.</w:t>
            </w:r>
          </w:p>
        </w:tc>
      </w:tr>
      <w:tr w:rsidR="000E48CE" w14:paraId="613703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CEF872" w14:textId="77777777" w:rsidR="000E48CE" w:rsidRDefault="00FF4C4E">
            <w:pPr>
              <w:pStyle w:val="P68B1DB1-Normal46"/>
              <w:spacing w:after="0" w:line="240" w:lineRule="auto"/>
              <w:jc w:val="center"/>
              <w:rPr>
                <w:rFonts w:eastAsia="Times New Roman" w:cs="Times New Roman"/>
                <w:noProof/>
              </w:rPr>
            </w:pPr>
            <w:r>
              <w:rPr>
                <w:noProof/>
              </w:rPr>
              <w:t>335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1E3137" w14:textId="77777777" w:rsidR="000E48CE" w:rsidRDefault="00FF4C4E">
            <w:pPr>
              <w:pStyle w:val="P68B1DB1-Normal46"/>
              <w:spacing w:after="0" w:line="240" w:lineRule="auto"/>
              <w:rPr>
                <w:rFonts w:eastAsia="Times New Roman" w:cs="Times New Roman"/>
                <w:noProof/>
              </w:rPr>
            </w:pPr>
            <w:r>
              <w:rPr>
                <w:noProof/>
              </w:rPr>
              <w:t>C23.R5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52D1F0"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4CBE8C" w14:textId="77777777" w:rsidR="000E48CE" w:rsidRDefault="00FF4C4E">
            <w:pPr>
              <w:pStyle w:val="P68B1DB1-Normal46"/>
              <w:spacing w:after="0" w:line="240" w:lineRule="auto"/>
              <w:rPr>
                <w:rFonts w:eastAsia="Times New Roman" w:cs="Times New Roman"/>
                <w:noProof/>
              </w:rPr>
            </w:pPr>
            <w:r>
              <w:rPr>
                <w:noProof/>
              </w:rPr>
              <w:t>Työlain muutoksen voimaantulo (kuninkaan asetus 3/2015)</w:t>
            </w:r>
          </w:p>
        </w:tc>
      </w:tr>
      <w:tr w:rsidR="000E48CE" w14:paraId="0D8C5F6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D0AF" w14:textId="77777777" w:rsidR="000E48CE" w:rsidRDefault="00FF4C4E">
            <w:pPr>
              <w:pStyle w:val="P68B1DB1-Normal46"/>
              <w:spacing w:after="0" w:line="240" w:lineRule="auto"/>
              <w:jc w:val="center"/>
              <w:rPr>
                <w:rFonts w:eastAsia="Times New Roman" w:cs="Times New Roman"/>
                <w:noProof/>
              </w:rPr>
            </w:pPr>
            <w:r>
              <w:rPr>
                <w:noProof/>
              </w:rPr>
              <w:t>337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007B07" w14:textId="77777777" w:rsidR="000E48CE" w:rsidRDefault="00FF4C4E">
            <w:pPr>
              <w:pStyle w:val="P68B1DB1-Normal46"/>
              <w:spacing w:after="0" w:line="240" w:lineRule="auto"/>
              <w:rPr>
                <w:rFonts w:eastAsia="Times New Roman" w:cs="Times New Roman"/>
                <w:noProof/>
              </w:rPr>
            </w:pPr>
            <w:r>
              <w:rPr>
                <w:noProof/>
              </w:rPr>
              <w:t>C23.R7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7C90E3"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2A09" w14:textId="77777777" w:rsidR="000E48CE" w:rsidRDefault="00FF4C4E">
            <w:pPr>
              <w:pStyle w:val="P68B1DB1-Normal46"/>
              <w:spacing w:after="0" w:line="240" w:lineRule="auto"/>
              <w:rPr>
                <w:rFonts w:eastAsia="Times New Roman" w:cs="Times New Roman"/>
                <w:noProof/>
              </w:rPr>
            </w:pPr>
            <w:r>
              <w:rPr>
                <w:noProof/>
              </w:rPr>
              <w:t>Lain 43/2006 uudistuksen voimaantulo rekrytointikannustinjärjestelmän yksinkertaistamiseksi ja tehostamiseksi ottaen huomioon AIReF:n antamat suositukset</w:t>
            </w:r>
          </w:p>
        </w:tc>
      </w:tr>
      <w:tr w:rsidR="000E48CE" w14:paraId="3F9525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33EA59" w14:textId="77777777" w:rsidR="000E48CE" w:rsidRDefault="00FF4C4E">
            <w:pPr>
              <w:pStyle w:val="P68B1DB1-Normal46"/>
              <w:spacing w:after="0" w:line="240" w:lineRule="auto"/>
              <w:jc w:val="center"/>
              <w:rPr>
                <w:rFonts w:eastAsia="Times New Roman" w:cs="Times New Roman"/>
                <w:noProof/>
              </w:rPr>
            </w:pPr>
            <w:r>
              <w:rPr>
                <w:noProof/>
              </w:rPr>
              <w:t>340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B23791" w14:textId="77777777" w:rsidR="000E48CE" w:rsidRDefault="00FF4C4E">
            <w:pPr>
              <w:pStyle w:val="P68B1DB1-Normal46"/>
              <w:spacing w:after="0" w:line="240" w:lineRule="auto"/>
              <w:rPr>
                <w:rFonts w:eastAsia="Times New Roman" w:cs="Times New Roman"/>
                <w:noProof/>
              </w:rPr>
            </w:pPr>
            <w:r>
              <w:rPr>
                <w:noProof/>
              </w:rPr>
              <w:t>C23.R10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0A8A5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6A358D" w14:textId="77777777" w:rsidR="000E48CE" w:rsidRDefault="00FF4C4E">
            <w:pPr>
              <w:pStyle w:val="P68B1DB1-Normal46"/>
              <w:spacing w:after="0" w:line="240" w:lineRule="auto"/>
              <w:rPr>
                <w:rFonts w:eastAsia="Times New Roman" w:cs="Times New Roman"/>
                <w:noProof/>
              </w:rPr>
            </w:pPr>
            <w:r>
              <w:rPr>
                <w:noProof/>
              </w:rPr>
              <w:t>Maksuihin perustumatonta työttömyystukea koskevan asetuksen uudistamisesta annetun kuninkaan asetuksen 8/2015 muutoksen voimaantulo</w:t>
            </w:r>
          </w:p>
        </w:tc>
      </w:tr>
      <w:tr w:rsidR="000E48CE" w14:paraId="1FC884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BE6B0F" w14:textId="77777777" w:rsidR="000E48CE" w:rsidRDefault="00FF4C4E">
            <w:pPr>
              <w:pStyle w:val="P68B1DB1-Normal46"/>
              <w:spacing w:after="0" w:line="240" w:lineRule="auto"/>
              <w:jc w:val="center"/>
              <w:rPr>
                <w:rFonts w:eastAsia="Times New Roman" w:cs="Times New Roman"/>
                <w:noProof/>
              </w:rPr>
            </w:pPr>
            <w:r>
              <w:rPr>
                <w:noProof/>
              </w:rPr>
              <w:t>352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E09E6" w14:textId="77777777" w:rsidR="000E48CE" w:rsidRDefault="00FF4C4E">
            <w:pPr>
              <w:pStyle w:val="P68B1DB1-Normal46"/>
              <w:spacing w:after="0" w:line="240" w:lineRule="auto"/>
              <w:rPr>
                <w:rFonts w:eastAsia="Times New Roman" w:cs="Times New Roman"/>
                <w:noProof/>
              </w:rPr>
            </w:pPr>
            <w:r>
              <w:rPr>
                <w:noProof/>
              </w:rPr>
              <w:t>C24.R1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E822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845547" w14:textId="77777777" w:rsidR="000E48CE" w:rsidRDefault="00FF4C4E">
            <w:pPr>
              <w:pStyle w:val="P68B1DB1-Normal46"/>
              <w:spacing w:after="0" w:line="240" w:lineRule="auto"/>
              <w:rPr>
                <w:rFonts w:eastAsia="Times New Roman" w:cs="Times New Roman"/>
                <w:noProof/>
              </w:rPr>
            </w:pPr>
            <w:r>
              <w:rPr>
                <w:noProof/>
              </w:rPr>
              <w:t>Taiteilijan perussäännön, sponsoroinnin ja verokannustinjärjestelmän voimaantulo.</w:t>
            </w:r>
          </w:p>
        </w:tc>
      </w:tr>
      <w:tr w:rsidR="000E48CE" w14:paraId="150424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977CE6" w14:textId="77777777" w:rsidR="000E48CE" w:rsidRDefault="00FF4C4E">
            <w:pPr>
              <w:pStyle w:val="P68B1DB1-Normal46"/>
              <w:spacing w:after="0" w:line="240" w:lineRule="auto"/>
              <w:jc w:val="center"/>
              <w:rPr>
                <w:rFonts w:eastAsia="Times New Roman" w:cs="Times New Roman"/>
                <w:noProof/>
              </w:rPr>
            </w:pPr>
            <w:r>
              <w:rPr>
                <w:noProof/>
              </w:rPr>
              <w:t>367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F7465" w14:textId="77777777" w:rsidR="000E48CE" w:rsidRDefault="00FF4C4E">
            <w:pPr>
              <w:pStyle w:val="P68B1DB1-Normal46"/>
              <w:spacing w:after="0" w:line="240" w:lineRule="auto"/>
              <w:rPr>
                <w:rFonts w:eastAsia="Times New Roman" w:cs="Times New Roman"/>
                <w:noProof/>
              </w:rPr>
            </w:pPr>
            <w:r>
              <w:rPr>
                <w:noProof/>
              </w:rPr>
              <w:t>C26.R1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135AA"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B46E9C" w14:textId="77777777" w:rsidR="000E48CE" w:rsidRDefault="00FF4C4E">
            <w:pPr>
              <w:pStyle w:val="P68B1DB1-Normal46"/>
              <w:spacing w:after="0" w:line="240" w:lineRule="auto"/>
              <w:rPr>
                <w:rFonts w:eastAsia="Times New Roman" w:cs="Times New Roman"/>
                <w:noProof/>
              </w:rPr>
            </w:pPr>
            <w:r>
              <w:rPr>
                <w:noProof/>
              </w:rPr>
              <w:t xml:space="preserve">Urheilulain voimaantulo </w:t>
            </w:r>
          </w:p>
        </w:tc>
      </w:tr>
      <w:tr w:rsidR="000E48CE" w14:paraId="03964C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05776F" w14:textId="77777777" w:rsidR="000E48CE" w:rsidRDefault="00FF4C4E">
            <w:pPr>
              <w:pStyle w:val="P68B1DB1-Normal46"/>
              <w:spacing w:after="0" w:line="240" w:lineRule="auto"/>
              <w:jc w:val="center"/>
              <w:rPr>
                <w:rFonts w:eastAsia="Times New Roman" w:cs="Times New Roman"/>
                <w:noProof/>
              </w:rPr>
            </w:pPr>
            <w:r>
              <w:rPr>
                <w:noProof/>
              </w:rPr>
              <w:t>377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C3D3C8" w14:textId="77777777" w:rsidR="000E48CE" w:rsidRDefault="00FF4C4E">
            <w:pPr>
              <w:pStyle w:val="P68B1DB1-Normal46"/>
              <w:spacing w:after="0" w:line="240" w:lineRule="auto"/>
              <w:rPr>
                <w:rFonts w:eastAsia="Times New Roman" w:cs="Times New Roman"/>
                <w:noProof/>
              </w:rPr>
            </w:pPr>
            <w:r>
              <w:rPr>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A0A687"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216116" w14:textId="77777777" w:rsidR="000E48CE" w:rsidRDefault="00FF4C4E">
            <w:pPr>
              <w:pStyle w:val="P68B1DB1-Normal46"/>
              <w:spacing w:after="0" w:line="240" w:lineRule="auto"/>
              <w:rPr>
                <w:rFonts w:eastAsia="Times New Roman" w:cs="Times New Roman"/>
                <w:noProof/>
              </w:rPr>
            </w:pPr>
            <w:r>
              <w:rPr>
                <w:noProof/>
              </w:rPr>
              <w:t>Veropetoksista ja -petoksista annetun lain vaikutusten väliarviointi.</w:t>
            </w:r>
          </w:p>
        </w:tc>
      </w:tr>
      <w:tr w:rsidR="000E48CE" w14:paraId="04E54C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101CF2" w14:textId="77777777" w:rsidR="000E48CE" w:rsidRDefault="00FF4C4E">
            <w:pPr>
              <w:pStyle w:val="P68B1DB1-Normal46"/>
              <w:spacing w:after="0" w:line="240" w:lineRule="auto"/>
              <w:jc w:val="center"/>
              <w:rPr>
                <w:rFonts w:eastAsia="Times New Roman" w:cs="Times New Roman"/>
                <w:noProof/>
              </w:rPr>
            </w:pPr>
            <w:r>
              <w:rPr>
                <w:noProof/>
              </w:rPr>
              <w:t>404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33525" w14:textId="77777777" w:rsidR="000E48CE" w:rsidRDefault="00FF4C4E">
            <w:pPr>
              <w:pStyle w:val="P68B1DB1-Normal46"/>
              <w:spacing w:after="0" w:line="240" w:lineRule="auto"/>
              <w:rPr>
                <w:rFonts w:eastAsia="Times New Roman" w:cs="Times New Roman"/>
                <w:noProof/>
              </w:rPr>
            </w:pPr>
            <w:r>
              <w:rPr>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8AC65A"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E8327A" w14:textId="77777777" w:rsidR="000E48CE" w:rsidRDefault="00FF4C4E">
            <w:pPr>
              <w:pStyle w:val="P68B1DB1-Normal46"/>
              <w:spacing w:after="0" w:line="240" w:lineRule="auto"/>
              <w:rPr>
                <w:rFonts w:eastAsia="Times New Roman" w:cs="Times New Roman"/>
                <w:noProof/>
              </w:rPr>
            </w:pPr>
            <w:r>
              <w:rPr>
                <w:noProof/>
              </w:rPr>
              <w:t>Vihreän budjetoinnin yhdenmukaistamista koskeva kertomus</w:t>
            </w:r>
          </w:p>
        </w:tc>
      </w:tr>
      <w:tr w:rsidR="000E48CE" w14:paraId="171B8E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B8D1CA" w14:textId="77777777" w:rsidR="000E48CE" w:rsidRDefault="00FF4C4E">
            <w:pPr>
              <w:pStyle w:val="P68B1DB1-Normal46"/>
              <w:spacing w:after="0" w:line="240" w:lineRule="auto"/>
              <w:jc w:val="center"/>
              <w:rPr>
                <w:rFonts w:eastAsia="Times New Roman" w:cs="Times New Roman"/>
                <w:noProof/>
              </w:rPr>
            </w:pPr>
            <w:r>
              <w:rPr>
                <w:noProof/>
              </w:rPr>
              <w:t>408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551969" w14:textId="77777777" w:rsidR="000E48CE" w:rsidRDefault="00FF4C4E">
            <w:pPr>
              <w:pStyle w:val="P68B1DB1-Normal46"/>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BCA1B1"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93E740" w14:textId="77777777" w:rsidR="000E48CE" w:rsidRDefault="00FF4C4E">
            <w:pPr>
              <w:pStyle w:val="P68B1DB1-Normal46"/>
              <w:spacing w:after="0" w:line="240" w:lineRule="auto"/>
              <w:rPr>
                <w:rFonts w:eastAsia="Times New Roman" w:cs="Times New Roman"/>
                <w:noProof/>
              </w:rPr>
            </w:pPr>
            <w:r>
              <w:rPr>
                <w:noProof/>
              </w:rPr>
              <w:t xml:space="preserve">Vanhuuseläkkeen laskennassa käytettävän laskentajakson mukauttaminen </w:t>
            </w:r>
          </w:p>
        </w:tc>
      </w:tr>
      <w:tr w:rsidR="000E48CE" w14:paraId="4A39EC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2E9975" w14:textId="77777777" w:rsidR="000E48CE" w:rsidRDefault="00FF4C4E">
            <w:pPr>
              <w:pStyle w:val="P68B1DB1-Normal46"/>
              <w:spacing w:after="0" w:line="240" w:lineRule="auto"/>
              <w:jc w:val="center"/>
              <w:rPr>
                <w:rFonts w:eastAsia="Times New Roman" w:cs="Times New Roman"/>
                <w:noProof/>
              </w:rPr>
            </w:pPr>
            <w:r>
              <w:rPr>
                <w:noProof/>
              </w:rPr>
              <w:t>409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C1D88B" w14:textId="77777777" w:rsidR="000E48CE" w:rsidRDefault="00FF4C4E">
            <w:pPr>
              <w:pStyle w:val="P68B1DB1-Normal46"/>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9D51C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57B7FC" w14:textId="77777777" w:rsidR="000E48CE" w:rsidRDefault="00FF4C4E">
            <w:pPr>
              <w:pStyle w:val="P68B1DB1-Normal46"/>
              <w:spacing w:after="0" w:line="240" w:lineRule="auto"/>
              <w:rPr>
                <w:rFonts w:eastAsia="Times New Roman" w:cs="Times New Roman"/>
                <w:noProof/>
              </w:rPr>
            </w:pPr>
            <w:r>
              <w:rPr>
                <w:noProof/>
              </w:rPr>
              <w:t>Kestävyystekijän korvaaminen sukupolvien välisellä tasa-arvomekanismilla</w:t>
            </w:r>
          </w:p>
        </w:tc>
      </w:tr>
      <w:tr w:rsidR="000E48CE" w14:paraId="254164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404AC7" w14:textId="77777777" w:rsidR="000E48CE" w:rsidRDefault="00FF4C4E">
            <w:pPr>
              <w:pStyle w:val="P68B1DB1-Normal46"/>
              <w:spacing w:after="0" w:line="240" w:lineRule="auto"/>
              <w:jc w:val="center"/>
              <w:rPr>
                <w:rFonts w:eastAsia="Times New Roman" w:cs="Times New Roman"/>
                <w:noProof/>
              </w:rPr>
            </w:pPr>
            <w:r>
              <w:rPr>
                <w:noProof/>
              </w:rPr>
              <w:t>410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817721" w14:textId="77777777" w:rsidR="000E48CE" w:rsidRDefault="00FF4C4E">
            <w:pPr>
              <w:pStyle w:val="P68B1DB1-Normal46"/>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C407B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694323" w14:textId="77777777" w:rsidR="000E48CE" w:rsidRDefault="00FF4C4E">
            <w:pPr>
              <w:pStyle w:val="P68B1DB1-Normal46"/>
              <w:spacing w:after="0" w:line="240" w:lineRule="auto"/>
              <w:rPr>
                <w:rFonts w:eastAsia="Times New Roman" w:cs="Times New Roman"/>
                <w:noProof/>
              </w:rPr>
            </w:pPr>
            <w:r>
              <w:rPr>
                <w:noProof/>
              </w:rPr>
              <w:t xml:space="preserve">Päivitetyt ennusteet, joista käy ilmi, miten vuosina 2021 ja 2022 toteutetuilla </w:t>
            </w:r>
            <w:r>
              <w:rPr>
                <w:noProof/>
              </w:rPr>
              <w:t>eläkeuudistuksilla varmistetaan julkisen talouden pitkän aikavälin kestävyys</w:t>
            </w:r>
          </w:p>
        </w:tc>
      </w:tr>
      <w:tr w:rsidR="000E48CE" w14:paraId="4CA8C9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AC7FEA" w14:textId="77777777" w:rsidR="000E48CE" w:rsidRDefault="00FF4C4E">
            <w:pPr>
              <w:pStyle w:val="P68B1DB1-Normal46"/>
              <w:spacing w:after="0" w:line="240" w:lineRule="auto"/>
              <w:jc w:val="center"/>
              <w:rPr>
                <w:rFonts w:eastAsia="Times New Roman" w:cs="Times New Roman"/>
                <w:noProof/>
              </w:rPr>
            </w:pPr>
            <w:r>
              <w:rPr>
                <w:noProof/>
              </w:rPr>
              <w:t>415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B419FC" w14:textId="77777777" w:rsidR="000E48CE" w:rsidRDefault="00FF4C4E">
            <w:pPr>
              <w:pStyle w:val="P68B1DB1-Normal46"/>
              <w:spacing w:after="0" w:line="240" w:lineRule="auto"/>
              <w:rPr>
                <w:rFonts w:eastAsia="Times New Roman" w:cs="Times New Roman"/>
                <w:noProof/>
              </w:rPr>
            </w:pPr>
            <w:r>
              <w:rPr>
                <w:noProof/>
              </w:rPr>
              <w:t>C30.R6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55BA8D"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E2A389" w14:textId="77777777" w:rsidR="000E48CE" w:rsidRDefault="00FF4C4E">
            <w:pPr>
              <w:pStyle w:val="P68B1DB1-Normal46"/>
              <w:spacing w:after="0" w:line="240" w:lineRule="auto"/>
              <w:rPr>
                <w:rFonts w:eastAsia="Times New Roman" w:cs="Times New Roman"/>
                <w:noProof/>
              </w:rPr>
            </w:pPr>
            <w:r>
              <w:rPr>
                <w:noProof/>
              </w:rPr>
              <w:t>Enimmäisrahoituspohjan mukauttaminen</w:t>
            </w:r>
          </w:p>
        </w:tc>
      </w:tr>
      <w:tr w:rsidR="000E48CE" w14:paraId="2737D7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630D0"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BB6704"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6BDAEC" w14:textId="2E25C3E9" w:rsidR="000E48CE" w:rsidRDefault="00FF4C4E">
            <w:pPr>
              <w:pStyle w:val="P68B1DB1-Normal45"/>
              <w:spacing w:after="0" w:line="240" w:lineRule="auto"/>
              <w:rPr>
                <w:rFonts w:eastAsia="Times New Roman" w:cs="Times New Roman"/>
                <w:noProof/>
              </w:rPr>
            </w:pPr>
            <w:r>
              <w:rPr>
                <w:noProof/>
              </w:rPr>
              <w:t>Erän 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BBA5ABD" w14:textId="722451D9" w:rsidR="000E48CE" w:rsidRDefault="00FF4C4E">
            <w:pPr>
              <w:pStyle w:val="P68B1DB1-Normal45"/>
              <w:spacing w:after="0" w:line="240" w:lineRule="auto"/>
              <w:rPr>
                <w:rFonts w:eastAsia="Times New Roman" w:cs="Times New Roman"/>
                <w:noProof/>
              </w:rPr>
            </w:pPr>
            <w:r>
              <w:rPr>
                <w:noProof/>
              </w:rPr>
              <w:t>VÄHIMMÄISPÄÄOMA: 11435531581 EUROA</w:t>
            </w:r>
          </w:p>
        </w:tc>
      </w:tr>
    </w:tbl>
    <w:p w14:paraId="4C121253" w14:textId="77777777" w:rsidR="000E48CE" w:rsidRDefault="000E48CE">
      <w:pPr>
        <w:spacing w:before="120" w:after="120" w:line="240" w:lineRule="auto"/>
        <w:jc w:val="both"/>
        <w:rPr>
          <w:rFonts w:ascii="Times New Roman" w:eastAsia="Calibri" w:hAnsi="Times New Roman" w:cs="Times New Roman"/>
          <w:noProof/>
          <w:sz w:val="24"/>
        </w:rPr>
      </w:pPr>
    </w:p>
    <w:p w14:paraId="6C55E346"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Viides erä (tuki, jota ei makseta takaisin): </w:t>
      </w:r>
    </w:p>
    <w:tbl>
      <w:tblPr>
        <w:tblW w:w="9663" w:type="dxa"/>
        <w:tblInd w:w="113" w:type="dxa"/>
        <w:tblLook w:val="04A0" w:firstRow="1" w:lastRow="0" w:firstColumn="1" w:lastColumn="0" w:noHBand="0" w:noVBand="1"/>
      </w:tblPr>
      <w:tblGrid>
        <w:gridCol w:w="1300"/>
        <w:gridCol w:w="1443"/>
        <w:gridCol w:w="1783"/>
        <w:gridCol w:w="5670"/>
      </w:tblGrid>
      <w:tr w:rsidR="000E48CE" w14:paraId="7D39B07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5FCEE90"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58E726" w14:textId="77777777" w:rsidR="000E48CE" w:rsidRDefault="00FF4C4E">
            <w:pPr>
              <w:pStyle w:val="P68B1DB1-Normal45"/>
              <w:spacing w:after="0" w:line="240" w:lineRule="auto"/>
              <w:jc w:val="center"/>
              <w:rPr>
                <w:rFonts w:eastAsia="Times New Roman" w:cs="Times New Roman"/>
                <w:noProof/>
              </w:rPr>
            </w:pPr>
            <w:r>
              <w:rPr>
                <w:noProof/>
              </w:rPr>
              <w:t xml:space="preserve">Toimenpide </w:t>
            </w:r>
            <w:r>
              <w:rPr>
                <w:noProof/>
              </w:rPr>
              <w:t>(uudistus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4A878AB"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E2A0620"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25D26112"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933EA4D"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7B04571"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5064E61A"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9DC5C6B" w14:textId="77777777" w:rsidR="000E48CE" w:rsidRDefault="000E48CE">
            <w:pPr>
              <w:spacing w:after="0" w:line="240" w:lineRule="auto"/>
              <w:rPr>
                <w:rFonts w:ascii="Times New Roman" w:eastAsia="Times New Roman" w:hAnsi="Times New Roman" w:cs="Times New Roman"/>
                <w:b/>
                <w:noProof/>
                <w:sz w:val="20"/>
              </w:rPr>
            </w:pPr>
          </w:p>
        </w:tc>
      </w:tr>
      <w:tr w:rsidR="000E48CE" w14:paraId="73AA3C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6B816E" w14:textId="77777777" w:rsidR="000E48CE" w:rsidRDefault="00FF4C4E">
            <w:pPr>
              <w:pStyle w:val="P68B1DB1-Normal46"/>
              <w:spacing w:after="0" w:line="240" w:lineRule="auto"/>
              <w:jc w:val="center"/>
              <w:rPr>
                <w:rFonts w:eastAsia="Times New Roman" w:cs="Times New Roman"/>
                <w:noProof/>
              </w:rPr>
            </w:pPr>
            <w:r>
              <w:rPr>
                <w:noProof/>
              </w:rPr>
              <w:t>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130DB" w14:textId="77777777" w:rsidR="000E48CE" w:rsidRDefault="00FF4C4E">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BF783"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E307AC" w14:textId="77777777" w:rsidR="000E48CE" w:rsidRDefault="00FF4C4E">
            <w:pPr>
              <w:pStyle w:val="P68B1DB1-Normal46"/>
              <w:spacing w:after="0" w:line="240" w:lineRule="auto"/>
              <w:rPr>
                <w:rFonts w:eastAsia="Times New Roman" w:cs="Times New Roman"/>
                <w:noProof/>
              </w:rPr>
            </w:pPr>
            <w:r>
              <w:rPr>
                <w:noProof/>
              </w:rPr>
              <w:t xml:space="preserve">Sähköistä liikkuvuutta edistävien innovatiivisten hankkeiden myöntäminen </w:t>
            </w:r>
          </w:p>
        </w:tc>
      </w:tr>
      <w:tr w:rsidR="000E48CE" w14:paraId="1C1B53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9A32DB8" w14:textId="77777777" w:rsidR="000E48CE" w:rsidRDefault="00FF4C4E">
            <w:pPr>
              <w:pStyle w:val="P68B1DB1-Normal46"/>
              <w:spacing w:after="0" w:line="240" w:lineRule="auto"/>
              <w:jc w:val="center"/>
              <w:rPr>
                <w:rFonts w:eastAsia="Times New Roman" w:cs="Times New Roman"/>
                <w:noProof/>
              </w:rPr>
            </w:pPr>
            <w:r>
              <w:rPr>
                <w:noProof/>
              </w:rPr>
              <w:t>21 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1DBB0C" w14:textId="77777777" w:rsidR="000E48CE" w:rsidRDefault="00FF4C4E">
            <w:pPr>
              <w:pStyle w:val="P68B1DB1-Normal46"/>
              <w:spacing w:after="0" w:line="240" w:lineRule="auto"/>
              <w:rPr>
                <w:rFonts w:eastAsia="Times New Roman" w:cs="Times New Roman"/>
                <w:noProof/>
              </w:rPr>
            </w:pPr>
            <w:r>
              <w:rPr>
                <w:noProof/>
              </w:rPr>
              <w:t>C2.R2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9D6E9D"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939CD" w14:textId="77777777" w:rsidR="000E48CE" w:rsidRDefault="00FF4C4E">
            <w:pPr>
              <w:pStyle w:val="P68B1DB1-Normal46"/>
              <w:spacing w:after="0" w:line="240" w:lineRule="auto"/>
              <w:rPr>
                <w:rFonts w:eastAsia="Times New Roman" w:cs="Times New Roman"/>
                <w:noProof/>
              </w:rPr>
            </w:pPr>
            <w:r>
              <w:rPr>
                <w:noProof/>
              </w:rPr>
              <w:t xml:space="preserve">Espanjan pitkän aikavälin peruskorjausstrategian täytäntöönpanoa käsittelevien työryhmien </w:t>
            </w:r>
            <w:r>
              <w:rPr>
                <w:noProof/>
              </w:rPr>
              <w:t>suositusten julkaiseminen</w:t>
            </w:r>
          </w:p>
        </w:tc>
      </w:tr>
      <w:tr w:rsidR="000E48CE" w14:paraId="2ADF48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4A52C" w14:textId="77777777" w:rsidR="000E48CE" w:rsidRDefault="00FF4C4E">
            <w:pPr>
              <w:pStyle w:val="P68B1DB1-Normal46"/>
              <w:spacing w:after="0" w:line="240" w:lineRule="auto"/>
              <w:jc w:val="center"/>
              <w:rPr>
                <w:rFonts w:eastAsia="Times New Roman" w:cs="Times New Roman"/>
                <w:noProof/>
              </w:rPr>
            </w:pPr>
            <w:r>
              <w:rPr>
                <w:noProof/>
              </w:rPr>
              <w:t>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515F4D" w14:textId="77777777" w:rsidR="000E48CE" w:rsidRDefault="00FF4C4E">
            <w:pPr>
              <w:pStyle w:val="P68B1DB1-Normal46"/>
              <w:spacing w:after="0" w:line="240" w:lineRule="auto"/>
              <w:rPr>
                <w:rFonts w:eastAsia="Times New Roman" w:cs="Times New Roman"/>
                <w:noProof/>
              </w:rPr>
            </w:pPr>
            <w:r>
              <w:rPr>
                <w:noProof/>
              </w:rPr>
              <w:t>C3.R3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C1F067"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C307AAE" w14:textId="77777777" w:rsidR="000E48CE" w:rsidRDefault="00FF4C4E">
            <w:pPr>
              <w:pStyle w:val="P68B1DB1-Normal46"/>
              <w:spacing w:after="0" w:line="240" w:lineRule="auto"/>
              <w:rPr>
                <w:rFonts w:eastAsia="Times New Roman" w:cs="Times New Roman"/>
                <w:noProof/>
              </w:rPr>
            </w:pPr>
            <w:r>
              <w:rPr>
                <w:noProof/>
              </w:rPr>
              <w:t>Maatalousmaiden kestävää ravitsemusta koskevan normatiivisen kehyksen voimaantulo.</w:t>
            </w:r>
          </w:p>
        </w:tc>
      </w:tr>
      <w:tr w:rsidR="000E48CE" w14:paraId="28E8C2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E1579E" w14:textId="77777777" w:rsidR="000E48CE" w:rsidRDefault="00FF4C4E">
            <w:pPr>
              <w:pStyle w:val="P68B1DB1-Normal46"/>
              <w:spacing w:after="0" w:line="240" w:lineRule="auto"/>
              <w:jc w:val="center"/>
              <w:rPr>
                <w:rFonts w:eastAsia="Times New Roman" w:cs="Times New Roman"/>
                <w:noProof/>
              </w:rPr>
            </w:pPr>
            <w:r>
              <w:rPr>
                <w:noProof/>
              </w:rPr>
              <w:t>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EB1DBE" w14:textId="77777777" w:rsidR="000E48CE" w:rsidRDefault="00FF4C4E">
            <w:pPr>
              <w:pStyle w:val="P68B1DB1-Normal46"/>
              <w:spacing w:after="0" w:line="240" w:lineRule="auto"/>
              <w:rPr>
                <w:rFonts w:eastAsia="Times New Roman" w:cs="Times New Roman"/>
                <w:noProof/>
              </w:rPr>
            </w:pPr>
            <w:r>
              <w:rPr>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E0D798"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BBBA654" w14:textId="77777777" w:rsidR="000E48CE" w:rsidRDefault="00FF4C4E">
            <w:pPr>
              <w:pStyle w:val="P68B1DB1-Normal46"/>
              <w:spacing w:after="0" w:line="240" w:lineRule="auto"/>
              <w:rPr>
                <w:rFonts w:eastAsia="Times New Roman" w:cs="Times New Roman"/>
                <w:noProof/>
              </w:rPr>
            </w:pPr>
            <w:r>
              <w:rPr>
                <w:noProof/>
              </w:rPr>
              <w:t>Maatalous-, kalastus- ja elintarvikeministeriön (MAPA) ja ENISAn välisten sopimusten allekirjoittaminen</w:t>
            </w:r>
          </w:p>
        </w:tc>
      </w:tr>
      <w:tr w:rsidR="000E48CE" w14:paraId="443DE8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7F535D" w14:textId="77777777" w:rsidR="000E48CE" w:rsidRDefault="00FF4C4E">
            <w:pPr>
              <w:pStyle w:val="P68B1DB1-Normal46"/>
              <w:spacing w:after="0" w:line="240" w:lineRule="auto"/>
              <w:jc w:val="center"/>
              <w:rPr>
                <w:rFonts w:eastAsia="Times New Roman" w:cs="Times New Roman"/>
                <w:noProof/>
              </w:rPr>
            </w:pPr>
            <w:r>
              <w:rPr>
                <w:noProof/>
              </w:rPr>
              <w:t>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ADC518" w14:textId="77777777" w:rsidR="000E48CE" w:rsidRDefault="00FF4C4E">
            <w:pPr>
              <w:pStyle w:val="P68B1DB1-Normal46"/>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6EE6EF"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9E4807" w14:textId="77777777" w:rsidR="000E48CE" w:rsidRDefault="00FF4C4E">
            <w:pPr>
              <w:pStyle w:val="P68B1DB1-Normal46"/>
              <w:spacing w:after="0" w:line="240" w:lineRule="auto"/>
              <w:rPr>
                <w:rFonts w:eastAsia="Times New Roman" w:cs="Times New Roman"/>
                <w:noProof/>
              </w:rPr>
            </w:pPr>
            <w:r>
              <w:rPr>
                <w:noProof/>
              </w:rPr>
              <w:t>Entisten kaivosalueiden kunnostaminen (ainakin 20 entistä kaivosaluetta)</w:t>
            </w:r>
          </w:p>
        </w:tc>
      </w:tr>
      <w:tr w:rsidR="000E48CE" w14:paraId="5E4090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1D57F0" w14:textId="77777777" w:rsidR="000E48CE" w:rsidRDefault="00FF4C4E">
            <w:pPr>
              <w:pStyle w:val="P68B1DB1-Normal46"/>
              <w:spacing w:after="0" w:line="240" w:lineRule="auto"/>
              <w:jc w:val="center"/>
              <w:rPr>
                <w:rFonts w:eastAsia="Times New Roman" w:cs="Times New Roman"/>
                <w:noProof/>
              </w:rPr>
            </w:pPr>
            <w:r>
              <w:rPr>
                <w:noProof/>
              </w:rPr>
              <w:t>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C3607C" w14:textId="77777777" w:rsidR="000E48CE" w:rsidRDefault="00FF4C4E">
            <w:pPr>
              <w:pStyle w:val="P68B1DB1-Normal46"/>
              <w:spacing w:after="0" w:line="240" w:lineRule="auto"/>
              <w:rPr>
                <w:rFonts w:eastAsia="Times New Roman" w:cs="Times New Roman"/>
                <w:noProof/>
              </w:rPr>
            </w:pPr>
            <w:r>
              <w:rPr>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596E2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E2D636" w14:textId="77777777" w:rsidR="000E48CE" w:rsidRDefault="00FF4C4E">
            <w:pPr>
              <w:pStyle w:val="P68B1DB1-Normal46"/>
              <w:spacing w:after="0" w:line="240" w:lineRule="auto"/>
              <w:rPr>
                <w:rFonts w:eastAsia="Times New Roman" w:cs="Times New Roman"/>
                <w:noProof/>
              </w:rPr>
            </w:pPr>
            <w:r>
              <w:rPr>
                <w:noProof/>
              </w:rPr>
              <w:t xml:space="preserve">Kestävää metsänhoitoa koskevat toimet </w:t>
            </w:r>
          </w:p>
        </w:tc>
      </w:tr>
      <w:tr w:rsidR="000E48CE" w14:paraId="49A460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F4C296" w14:textId="77777777" w:rsidR="000E48CE" w:rsidRDefault="00FF4C4E">
            <w:pPr>
              <w:pStyle w:val="P68B1DB1-Normal46"/>
              <w:spacing w:after="0" w:line="240" w:lineRule="auto"/>
              <w:jc w:val="center"/>
              <w:rPr>
                <w:rFonts w:eastAsia="Times New Roman" w:cs="Times New Roman"/>
                <w:noProof/>
              </w:rPr>
            </w:pPr>
            <w:r>
              <w:rPr>
                <w:noProof/>
              </w:rPr>
              <w:t>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D9DBE4" w14:textId="77777777" w:rsidR="000E48CE" w:rsidRDefault="00FF4C4E">
            <w:pPr>
              <w:pStyle w:val="P68B1DB1-Normal46"/>
              <w:spacing w:after="0" w:line="240" w:lineRule="auto"/>
              <w:rPr>
                <w:rFonts w:eastAsia="Times New Roman" w:cs="Times New Roman"/>
                <w:noProof/>
              </w:rPr>
            </w:pPr>
            <w:r>
              <w:rPr>
                <w:noProof/>
              </w:rPr>
              <w:t>C5.R1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D5AD24"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602CD3" w14:textId="77777777" w:rsidR="000E48CE" w:rsidRDefault="00FF4C4E">
            <w:pPr>
              <w:pStyle w:val="P68B1DB1-Normal46"/>
              <w:spacing w:after="0" w:line="240" w:lineRule="auto"/>
              <w:rPr>
                <w:rFonts w:eastAsia="Times New Roman" w:cs="Times New Roman"/>
                <w:noProof/>
              </w:rPr>
            </w:pPr>
            <w:r>
              <w:rPr>
                <w:noProof/>
              </w:rPr>
              <w:t>Vesilain muutoksen ja kuninkaan asetuksen 1620/2007 korvaavan uuden asetuksen voimaantulo</w:t>
            </w:r>
          </w:p>
        </w:tc>
      </w:tr>
      <w:tr w:rsidR="000E48CE" w14:paraId="0F253F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07FA9F" w14:textId="77777777" w:rsidR="000E48CE" w:rsidRDefault="00FF4C4E">
            <w:pPr>
              <w:pStyle w:val="P68B1DB1-Normal46"/>
              <w:spacing w:after="0" w:line="240" w:lineRule="auto"/>
              <w:jc w:val="center"/>
              <w:rPr>
                <w:rFonts w:eastAsia="Times New Roman" w:cs="Times New Roman"/>
                <w:noProof/>
              </w:rPr>
            </w:pPr>
            <w:r>
              <w:rPr>
                <w:noProof/>
              </w:rPr>
              <w:t>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26878B" w14:textId="77777777" w:rsidR="000E48CE" w:rsidRDefault="00FF4C4E">
            <w:pPr>
              <w:pStyle w:val="P68B1DB1-Normal46"/>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ABAE9"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514732" w14:textId="77777777" w:rsidR="000E48CE" w:rsidRDefault="00FF4C4E">
            <w:pPr>
              <w:pStyle w:val="P68B1DB1-Normal46"/>
              <w:spacing w:after="0" w:line="240" w:lineRule="auto"/>
              <w:rPr>
                <w:rFonts w:eastAsia="Times New Roman" w:cs="Times New Roman"/>
                <w:noProof/>
              </w:rPr>
            </w:pPr>
            <w:r>
              <w:rPr>
                <w:noProof/>
              </w:rPr>
              <w:t xml:space="preserve">Vesi- ja jätevesihuollon infrastruktuurien parantaminen </w:t>
            </w:r>
          </w:p>
        </w:tc>
      </w:tr>
      <w:tr w:rsidR="000E48CE" w14:paraId="4F2DC99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9EB1" w14:textId="77777777" w:rsidR="000E48CE" w:rsidRDefault="00FF4C4E">
            <w:pPr>
              <w:pStyle w:val="P68B1DB1-Normal46"/>
              <w:spacing w:after="0" w:line="240" w:lineRule="auto"/>
              <w:jc w:val="center"/>
              <w:rPr>
                <w:rFonts w:eastAsia="Times New Roman" w:cs="Times New Roman"/>
                <w:noProof/>
              </w:rPr>
            </w:pPr>
            <w:r>
              <w:rPr>
                <w:noProof/>
              </w:rPr>
              <w:t>109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BEA266" w14:textId="77777777" w:rsidR="000E48CE" w:rsidRDefault="00FF4C4E">
            <w:pPr>
              <w:pStyle w:val="P68B1DB1-Normal46"/>
              <w:spacing w:after="0" w:line="240" w:lineRule="auto"/>
              <w:rPr>
                <w:rFonts w:eastAsia="Times New Roman" w:cs="Times New Roman"/>
                <w:noProof/>
              </w:rPr>
            </w:pPr>
            <w:r>
              <w:rPr>
                <w:noProof/>
              </w:rPr>
              <w:t>C7.R2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690270"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8F654C" w14:textId="77777777" w:rsidR="000E48CE" w:rsidRDefault="00FF4C4E">
            <w:pPr>
              <w:pStyle w:val="P68B1DB1-Normal46"/>
              <w:spacing w:after="0" w:line="240" w:lineRule="auto"/>
              <w:rPr>
                <w:rFonts w:eastAsia="Times New Roman" w:cs="Times New Roman"/>
                <w:noProof/>
              </w:rPr>
            </w:pPr>
            <w:r>
              <w:rPr>
                <w:noProof/>
              </w:rPr>
              <w:t>Oman kulutuksen kansallisen strategian mukaisten toimenpiteiden loppuun saattaminen</w:t>
            </w:r>
          </w:p>
        </w:tc>
      </w:tr>
      <w:tr w:rsidR="000E48CE" w14:paraId="069F93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B4314" w14:textId="77777777" w:rsidR="000E48CE" w:rsidRDefault="00FF4C4E">
            <w:pPr>
              <w:pStyle w:val="P68B1DB1-Normal46"/>
              <w:spacing w:after="0" w:line="240" w:lineRule="auto"/>
              <w:jc w:val="center"/>
              <w:rPr>
                <w:rFonts w:eastAsia="Times New Roman" w:cs="Times New Roman"/>
                <w:noProof/>
              </w:rPr>
            </w:pPr>
            <w:r>
              <w:rPr>
                <w:noProof/>
              </w:rPr>
              <w:t>113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929F6" w14:textId="77777777" w:rsidR="000E48CE" w:rsidRDefault="00FF4C4E">
            <w:pPr>
              <w:pStyle w:val="P68B1DB1-Normal46"/>
              <w:spacing w:after="0" w:line="240" w:lineRule="auto"/>
              <w:rPr>
                <w:rFonts w:eastAsia="Times New Roman" w:cs="Times New Roman"/>
                <w:noProof/>
              </w:rPr>
            </w:pPr>
            <w:r>
              <w:rPr>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7B9815"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86560A" w14:textId="77777777" w:rsidR="000E48CE" w:rsidRDefault="00FF4C4E">
            <w:pPr>
              <w:pStyle w:val="P68B1DB1-Normal46"/>
              <w:spacing w:after="0" w:line="240" w:lineRule="auto"/>
              <w:rPr>
                <w:rFonts w:eastAsia="Times New Roman" w:cs="Times New Roman"/>
                <w:noProof/>
              </w:rPr>
            </w:pPr>
            <w:r>
              <w:rPr>
                <w:noProof/>
              </w:rPr>
              <w:t xml:space="preserve">Merituulivoimaa ja muuta merienergiaa koskevassa kartassa yksilöityjen </w:t>
            </w:r>
            <w:r>
              <w:rPr>
                <w:noProof/>
              </w:rPr>
              <w:t>sääntelytoimenpiteiden voimaantulo</w:t>
            </w:r>
          </w:p>
        </w:tc>
      </w:tr>
      <w:tr w:rsidR="000E48CE" w14:paraId="626A32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EA757C" w14:textId="77777777" w:rsidR="000E48CE" w:rsidRDefault="00FF4C4E">
            <w:pPr>
              <w:pStyle w:val="P68B1DB1-Normal46"/>
              <w:spacing w:after="0" w:line="240" w:lineRule="auto"/>
              <w:jc w:val="center"/>
              <w:rPr>
                <w:rFonts w:eastAsia="Times New Roman" w:cs="Times New Roman"/>
                <w:noProof/>
              </w:rPr>
            </w:pPr>
            <w:r>
              <w:rPr>
                <w:noProof/>
              </w:rPr>
              <w:t>131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9E3AC" w14:textId="77777777" w:rsidR="000E48CE" w:rsidRDefault="00FF4C4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901E3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E410ED" w14:textId="77777777" w:rsidR="000E48CE" w:rsidRDefault="00FF4C4E">
            <w:pPr>
              <w:pStyle w:val="P68B1DB1-Normal46"/>
              <w:spacing w:after="0" w:line="240" w:lineRule="auto"/>
              <w:rPr>
                <w:rFonts w:eastAsia="Times New Roman" w:cs="Times New Roman"/>
                <w:noProof/>
              </w:rPr>
            </w:pPr>
            <w:r>
              <w:rPr>
                <w:noProof/>
              </w:rPr>
              <w:t>Pk-yritysten rahoitus vedyn arvoketjun vahvistamiseksi</w:t>
            </w:r>
          </w:p>
        </w:tc>
      </w:tr>
      <w:tr w:rsidR="000E48CE" w14:paraId="72E35E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21A9F" w14:textId="77777777" w:rsidR="000E48CE" w:rsidRDefault="00FF4C4E">
            <w:pPr>
              <w:pStyle w:val="P68B1DB1-Normal46"/>
              <w:spacing w:after="0" w:line="240" w:lineRule="auto"/>
              <w:jc w:val="center"/>
              <w:rPr>
                <w:rFonts w:eastAsia="Times New Roman" w:cs="Times New Roman"/>
                <w:noProof/>
              </w:rPr>
            </w:pPr>
            <w:r>
              <w:rPr>
                <w:noProof/>
              </w:rPr>
              <w:t>138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3F831" w14:textId="77777777" w:rsidR="000E48CE" w:rsidRDefault="00FF4C4E">
            <w:pPr>
              <w:pStyle w:val="P68B1DB1-Normal46"/>
              <w:spacing w:after="0" w:line="240" w:lineRule="auto"/>
              <w:rPr>
                <w:rFonts w:eastAsia="Times New Roman" w:cs="Times New Roman"/>
                <w:noProof/>
              </w:rPr>
            </w:pPr>
            <w:r>
              <w:rPr>
                <w:noProof/>
              </w:rPr>
              <w:t>C10.R1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A52CA5"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AE7C4C" w14:textId="77777777" w:rsidR="000E48CE" w:rsidRDefault="00FF4C4E">
            <w:pPr>
              <w:pStyle w:val="P68B1DB1-Normal46"/>
              <w:spacing w:after="0" w:line="240" w:lineRule="auto"/>
              <w:rPr>
                <w:rFonts w:eastAsia="Times New Roman" w:cs="Times New Roman"/>
                <w:noProof/>
              </w:rPr>
            </w:pPr>
            <w:r>
              <w:rPr>
                <w:noProof/>
              </w:rPr>
              <w:t xml:space="preserve">Oikeudenmukaisen siirtymän pöytäkirjat ja neuvoa-antava toimikunta </w:t>
            </w:r>
          </w:p>
        </w:tc>
      </w:tr>
      <w:tr w:rsidR="000E48CE" w14:paraId="70D2BA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BE8D56" w14:textId="77777777" w:rsidR="000E48CE" w:rsidRDefault="00FF4C4E">
            <w:pPr>
              <w:pStyle w:val="P68B1DB1-Normal46"/>
              <w:spacing w:after="0" w:line="240" w:lineRule="auto"/>
              <w:jc w:val="center"/>
              <w:rPr>
                <w:rFonts w:eastAsia="Times New Roman" w:cs="Times New Roman"/>
                <w:noProof/>
              </w:rPr>
            </w:pPr>
            <w:r>
              <w:rPr>
                <w:noProof/>
              </w:rPr>
              <w:t>433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0D5DE" w14:textId="77777777" w:rsidR="000E48CE" w:rsidRDefault="00FF4C4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594CE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E86760" w14:textId="77777777" w:rsidR="000E48CE" w:rsidRDefault="00FF4C4E">
            <w:pPr>
              <w:pStyle w:val="P68B1DB1-Normal46"/>
              <w:spacing w:after="0" w:line="240" w:lineRule="auto"/>
              <w:rPr>
                <w:rFonts w:eastAsia="Times New Roman" w:cs="Times New Roman"/>
                <w:noProof/>
              </w:rPr>
            </w:pPr>
            <w:r>
              <w:rPr>
                <w:noProof/>
              </w:rPr>
              <w:t>Kansallisen turvallisuuskehyksen päivittäminen</w:t>
            </w:r>
          </w:p>
        </w:tc>
      </w:tr>
      <w:tr w:rsidR="000E48CE" w14:paraId="275E01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5E853" w14:textId="77777777" w:rsidR="000E48CE" w:rsidRDefault="00FF4C4E">
            <w:pPr>
              <w:pStyle w:val="P68B1DB1-Normal46"/>
              <w:spacing w:after="0" w:line="240" w:lineRule="auto"/>
              <w:jc w:val="center"/>
              <w:rPr>
                <w:rFonts w:eastAsia="Times New Roman" w:cs="Times New Roman"/>
                <w:noProof/>
              </w:rPr>
            </w:pPr>
            <w:r>
              <w:rPr>
                <w:noProof/>
              </w:rPr>
              <w:t>453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DBE907D" w14:textId="77777777" w:rsidR="000E48CE" w:rsidRDefault="00FF4C4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BA118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3F6DA5" w14:textId="77777777" w:rsidR="000E48CE" w:rsidRDefault="00FF4C4E">
            <w:pPr>
              <w:pStyle w:val="P68B1DB1-Normal46"/>
              <w:spacing w:after="0" w:line="240" w:lineRule="auto"/>
              <w:rPr>
                <w:rFonts w:eastAsia="Times New Roman" w:cs="Times New Roman"/>
                <w:noProof/>
              </w:rPr>
            </w:pPr>
            <w:r>
              <w:rPr>
                <w:noProof/>
              </w:rPr>
              <w:t>Kansallisen kyberturvallisuusteollisuuden tukiohjelman, maailmanlaajuisen turvallisuusinnovointiohjelman ja siihen liittyvien toimien käynnistäminen.</w:t>
            </w:r>
          </w:p>
        </w:tc>
      </w:tr>
      <w:tr w:rsidR="000E48CE" w14:paraId="604871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62B177" w14:textId="77777777" w:rsidR="000E48CE" w:rsidRDefault="00FF4C4E">
            <w:pPr>
              <w:pStyle w:val="P68B1DB1-Normal46"/>
              <w:spacing w:after="0" w:line="240" w:lineRule="auto"/>
              <w:jc w:val="center"/>
              <w:rPr>
                <w:rFonts w:eastAsia="Times New Roman" w:cs="Times New Roman"/>
                <w:noProof/>
              </w:rPr>
            </w:pPr>
            <w:r>
              <w:rPr>
                <w:noProof/>
              </w:rPr>
              <w:t>307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13F0B6E" w14:textId="77777777" w:rsidR="000E48CE" w:rsidRDefault="00FF4C4E">
            <w:pPr>
              <w:pStyle w:val="P68B1DB1-Normal46"/>
              <w:spacing w:after="0" w:line="240" w:lineRule="auto"/>
              <w:rPr>
                <w:rFonts w:eastAsia="Times New Roman" w:cs="Times New Roman"/>
                <w:noProof/>
              </w:rPr>
            </w:pPr>
            <w:r>
              <w:rPr>
                <w:noProof/>
              </w:rPr>
              <w:t>C21.R3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A655B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328C97" w14:textId="77777777" w:rsidR="000E48CE" w:rsidRDefault="00FF4C4E">
            <w:pPr>
              <w:pStyle w:val="P68B1DB1-Normal46"/>
              <w:spacing w:after="0" w:line="240" w:lineRule="auto"/>
              <w:rPr>
                <w:rFonts w:eastAsia="Times New Roman" w:cs="Times New Roman"/>
                <w:noProof/>
              </w:rPr>
            </w:pPr>
            <w:r>
              <w:rPr>
                <w:noProof/>
              </w:rPr>
              <w:t>Yliopistojärjestelmää koskevan orgaanisen lain voimaantulo</w:t>
            </w:r>
          </w:p>
        </w:tc>
      </w:tr>
      <w:tr w:rsidR="000E48CE" w14:paraId="0EC906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3D8DC7" w14:textId="77777777" w:rsidR="000E48CE" w:rsidRDefault="00FF4C4E">
            <w:pPr>
              <w:pStyle w:val="P68B1DB1-Normal46"/>
              <w:spacing w:after="0" w:line="240" w:lineRule="auto"/>
              <w:jc w:val="center"/>
              <w:rPr>
                <w:rFonts w:eastAsia="Times New Roman" w:cs="Times New Roman"/>
                <w:noProof/>
              </w:rPr>
            </w:pPr>
            <w:r>
              <w:rPr>
                <w:noProof/>
              </w:rPr>
              <w:t>468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F146" w14:textId="77777777" w:rsidR="000E48CE" w:rsidRDefault="00FF4C4E">
            <w:pPr>
              <w:pStyle w:val="P68B1DB1-Normal46"/>
              <w:spacing w:after="0" w:line="240" w:lineRule="auto"/>
              <w:rPr>
                <w:rFonts w:eastAsia="Times New Roman" w:cs="Times New Roman"/>
                <w:noProof/>
              </w:rPr>
            </w:pPr>
            <w:r>
              <w:rPr>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58C613"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B390DC" w14:textId="77777777" w:rsidR="000E48CE" w:rsidRDefault="00FF4C4E">
            <w:pPr>
              <w:pStyle w:val="P68B1DB1-Normal46"/>
              <w:spacing w:after="0" w:line="240" w:lineRule="auto"/>
              <w:rPr>
                <w:rFonts w:eastAsia="Times New Roman" w:cs="Times New Roman"/>
                <w:noProof/>
              </w:rPr>
            </w:pPr>
            <w:r>
              <w:rPr>
                <w:noProof/>
              </w:rPr>
              <w:t>Korkeakoulujen pienten osaamiskokonaisuuksien kehittämistä koskevan toimintasuunnitelman hyväksyminen</w:t>
            </w:r>
          </w:p>
        </w:tc>
      </w:tr>
      <w:tr w:rsidR="000E48CE" w14:paraId="5C81DA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C573B" w14:textId="77777777" w:rsidR="000E48CE" w:rsidRDefault="00FF4C4E">
            <w:pPr>
              <w:pStyle w:val="P68B1DB1-Normal46"/>
              <w:spacing w:after="0" w:line="240" w:lineRule="auto"/>
              <w:jc w:val="center"/>
              <w:rPr>
                <w:rFonts w:eastAsia="Times New Roman" w:cs="Times New Roman"/>
                <w:noProof/>
              </w:rPr>
            </w:pPr>
            <w:r>
              <w:rPr>
                <w:noProof/>
              </w:rPr>
              <w:t>315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AB6452" w14:textId="77777777" w:rsidR="000E48CE" w:rsidRDefault="00FF4C4E">
            <w:pPr>
              <w:pStyle w:val="P68B1DB1-Normal46"/>
              <w:spacing w:after="0" w:line="240" w:lineRule="auto"/>
              <w:rPr>
                <w:rFonts w:eastAsia="Times New Roman" w:cs="Times New Roman"/>
                <w:noProof/>
              </w:rPr>
            </w:pPr>
            <w:r>
              <w:rPr>
                <w:noProof/>
              </w:rPr>
              <w:t>C22.R2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34A196"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27E4CF" w14:textId="77777777" w:rsidR="000E48CE" w:rsidRDefault="00FF4C4E">
            <w:pPr>
              <w:pStyle w:val="P68B1DB1-Normal46"/>
              <w:spacing w:after="0" w:line="240" w:lineRule="auto"/>
              <w:rPr>
                <w:rFonts w:eastAsia="Times New Roman" w:cs="Times New Roman"/>
                <w:noProof/>
              </w:rPr>
            </w:pPr>
            <w:r>
              <w:rPr>
                <w:noProof/>
              </w:rPr>
              <w:t>Sosiaalipalvelulain ja ministeriön asetusten voimaantulo</w:t>
            </w:r>
          </w:p>
        </w:tc>
      </w:tr>
      <w:tr w:rsidR="000E48CE" w14:paraId="6E9E7F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951520" w14:textId="77777777" w:rsidR="000E48CE" w:rsidRDefault="00FF4C4E">
            <w:pPr>
              <w:pStyle w:val="P68B1DB1-Normal46"/>
              <w:spacing w:after="0" w:line="240" w:lineRule="auto"/>
              <w:jc w:val="center"/>
              <w:rPr>
                <w:rFonts w:eastAsia="Times New Roman" w:cs="Times New Roman"/>
                <w:noProof/>
              </w:rPr>
            </w:pPr>
            <w:r>
              <w:rPr>
                <w:noProof/>
              </w:rPr>
              <w:t>316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5878BD" w14:textId="77777777" w:rsidR="000E48CE" w:rsidRDefault="00FF4C4E">
            <w:pPr>
              <w:pStyle w:val="P68B1DB1-Normal46"/>
              <w:spacing w:after="0" w:line="240" w:lineRule="auto"/>
              <w:rPr>
                <w:rFonts w:eastAsia="Times New Roman" w:cs="Times New Roman"/>
                <w:noProof/>
              </w:rPr>
            </w:pPr>
            <w:r>
              <w:rPr>
                <w:noProof/>
              </w:rPr>
              <w:t>C22.R3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1CDE47"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8807C3" w14:textId="77777777" w:rsidR="000E48CE" w:rsidRDefault="00FF4C4E">
            <w:pPr>
              <w:pStyle w:val="P68B1DB1-Normal46"/>
              <w:spacing w:after="0" w:line="240" w:lineRule="auto"/>
              <w:rPr>
                <w:rFonts w:eastAsia="Times New Roman" w:cs="Times New Roman"/>
                <w:noProof/>
              </w:rPr>
            </w:pPr>
            <w:r>
              <w:rPr>
                <w:noProof/>
              </w:rPr>
              <w:t>Perheiden monimuotoisuutta koskevan lain voimaantulo</w:t>
            </w:r>
          </w:p>
        </w:tc>
      </w:tr>
      <w:tr w:rsidR="000E48CE" w14:paraId="376139D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341BE" w14:textId="77777777" w:rsidR="000E48CE" w:rsidRDefault="00FF4C4E">
            <w:pPr>
              <w:pStyle w:val="P68B1DB1-Normal46"/>
              <w:spacing w:after="0" w:line="240" w:lineRule="auto"/>
              <w:jc w:val="center"/>
              <w:rPr>
                <w:rFonts w:eastAsia="Times New Roman" w:cs="Times New Roman"/>
                <w:noProof/>
              </w:rPr>
            </w:pPr>
            <w:r>
              <w:rPr>
                <w:noProof/>
              </w:rPr>
              <w:t>321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4DF26A" w14:textId="77777777" w:rsidR="000E48CE" w:rsidRDefault="00FF4C4E">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597E8F"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591AAD" w14:textId="77777777" w:rsidR="000E48CE" w:rsidRDefault="00FF4C4E">
            <w:pPr>
              <w:pStyle w:val="P68B1DB1-Normal46"/>
              <w:spacing w:after="0" w:line="240" w:lineRule="auto"/>
              <w:rPr>
                <w:rFonts w:eastAsia="Times New Roman" w:cs="Times New Roman"/>
                <w:noProof/>
              </w:rPr>
            </w:pPr>
            <w:r>
              <w:rPr>
                <w:noProof/>
              </w:rPr>
              <w:t>Sosiaalisten oikeuksien ministeriön ja Agenda 2030:n toteuttamat hankkeet</w:t>
            </w:r>
          </w:p>
        </w:tc>
      </w:tr>
      <w:tr w:rsidR="000E48CE" w14:paraId="7D9C9B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F3A7AC" w14:textId="77777777" w:rsidR="000E48CE" w:rsidRDefault="00FF4C4E">
            <w:pPr>
              <w:pStyle w:val="P68B1DB1-Normal46"/>
              <w:spacing w:after="0" w:line="240" w:lineRule="auto"/>
              <w:jc w:val="center"/>
              <w:rPr>
                <w:rFonts w:eastAsia="Times New Roman" w:cs="Times New Roman"/>
                <w:noProof/>
              </w:rPr>
            </w:pPr>
            <w:r>
              <w:rPr>
                <w:noProof/>
              </w:rPr>
              <w:t>473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74336C" w14:textId="77777777" w:rsidR="000E48CE" w:rsidRDefault="00FF4C4E">
            <w:pPr>
              <w:pStyle w:val="P68B1DB1-Normal46"/>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E58A15"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5EF04EC" w14:textId="77777777" w:rsidR="000E48CE" w:rsidRDefault="00FF4C4E">
            <w:pPr>
              <w:pStyle w:val="P68B1DB1-Normal46"/>
              <w:spacing w:after="0" w:line="240" w:lineRule="auto"/>
              <w:rPr>
                <w:rFonts w:eastAsia="Times New Roman" w:cs="Times New Roman"/>
                <w:noProof/>
              </w:rPr>
            </w:pPr>
            <w:r>
              <w:rPr>
                <w:noProof/>
              </w:rPr>
              <w:t>Erilaisten palvelujen perustaminen seksuaalisen väkivallan uhreille.</w:t>
            </w:r>
          </w:p>
        </w:tc>
      </w:tr>
      <w:tr w:rsidR="000E48CE" w14:paraId="0F1B3C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07D3BF" w14:textId="77777777" w:rsidR="000E48CE" w:rsidRDefault="00FF4C4E">
            <w:pPr>
              <w:pStyle w:val="P68B1DB1-Normal46"/>
              <w:spacing w:after="0" w:line="240" w:lineRule="auto"/>
              <w:jc w:val="center"/>
              <w:rPr>
                <w:rFonts w:eastAsia="Times New Roman" w:cs="Times New Roman"/>
                <w:noProof/>
              </w:rPr>
            </w:pPr>
            <w:r>
              <w:rPr>
                <w:noProof/>
              </w:rPr>
              <w:t>386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5345B0" w14:textId="77777777" w:rsidR="000E48CE" w:rsidRDefault="00FF4C4E">
            <w:pPr>
              <w:pStyle w:val="P68B1DB1-Normal46"/>
              <w:spacing w:after="0" w:line="240" w:lineRule="auto"/>
              <w:rPr>
                <w:rFonts w:eastAsia="Times New Roman" w:cs="Times New Roman"/>
                <w:noProof/>
              </w:rPr>
            </w:pPr>
            <w:r>
              <w:rPr>
                <w:noProof/>
              </w:rPr>
              <w:t>C28.R2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5622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B35D9E" w14:textId="77777777" w:rsidR="000E48CE" w:rsidRDefault="00FF4C4E">
            <w:pPr>
              <w:pStyle w:val="P68B1DB1-Normal46"/>
              <w:spacing w:after="0" w:line="240" w:lineRule="auto"/>
              <w:rPr>
                <w:rFonts w:eastAsia="Times New Roman" w:cs="Times New Roman"/>
                <w:noProof/>
              </w:rPr>
            </w:pPr>
            <w:r>
              <w:rPr>
                <w:noProof/>
              </w:rPr>
              <w:t>Veroetuuksien tarkastelu ja muutokset</w:t>
            </w:r>
          </w:p>
        </w:tc>
      </w:tr>
      <w:tr w:rsidR="000E48CE" w14:paraId="132D7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D9E8C1" w14:textId="77777777" w:rsidR="000E48CE" w:rsidRDefault="00FF4C4E">
            <w:pPr>
              <w:pStyle w:val="P68B1DB1-Normal46"/>
              <w:spacing w:after="0" w:line="240" w:lineRule="auto"/>
              <w:jc w:val="center"/>
              <w:rPr>
                <w:rFonts w:eastAsia="Times New Roman" w:cs="Times New Roman"/>
                <w:noProof/>
              </w:rPr>
            </w:pPr>
            <w:r>
              <w:rPr>
                <w:noProof/>
              </w:rPr>
              <w:t>388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C2E74B" w14:textId="77777777" w:rsidR="000E48CE" w:rsidRDefault="00FF4C4E">
            <w:pPr>
              <w:pStyle w:val="P68B1DB1-Normal46"/>
              <w:spacing w:after="0" w:line="240" w:lineRule="auto"/>
              <w:rPr>
                <w:rFonts w:eastAsia="Times New Roman" w:cs="Times New Roman"/>
                <w:noProof/>
              </w:rPr>
            </w:pPr>
            <w:r>
              <w:rPr>
                <w:noProof/>
              </w:rPr>
              <w:t>C28.R3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2FDE0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6635DE" w14:textId="77777777" w:rsidR="000E48CE" w:rsidRDefault="00FF4C4E">
            <w:pPr>
              <w:pStyle w:val="P68B1DB1-Normal46"/>
              <w:spacing w:after="0" w:line="240" w:lineRule="auto"/>
              <w:rPr>
                <w:rFonts w:eastAsia="Times New Roman" w:cs="Times New Roman"/>
                <w:noProof/>
              </w:rPr>
            </w:pPr>
            <w:r>
              <w:rPr>
                <w:noProof/>
              </w:rPr>
              <w:t>Komitean suosituksiin perustuvien</w:t>
            </w:r>
            <w:r>
              <w:rPr>
                <w:noProof/>
              </w:rPr>
              <w:t xml:space="preserve"> uudistusten voimaantulo</w:t>
            </w:r>
          </w:p>
        </w:tc>
      </w:tr>
      <w:tr w:rsidR="000E48CE" w14:paraId="2B777E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80A45E" w14:textId="77777777" w:rsidR="000E48CE" w:rsidRDefault="00FF4C4E">
            <w:pPr>
              <w:pStyle w:val="P68B1DB1-Normal46"/>
              <w:spacing w:after="0" w:line="240" w:lineRule="auto"/>
              <w:jc w:val="center"/>
              <w:rPr>
                <w:rFonts w:eastAsia="Times New Roman" w:cs="Times New Roman"/>
                <w:noProof/>
              </w:rPr>
            </w:pPr>
            <w:r>
              <w:rPr>
                <w:noProof/>
              </w:rPr>
              <w:t>402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2E9E10" w14:textId="77777777" w:rsidR="000E48CE" w:rsidRDefault="00FF4C4E">
            <w:pPr>
              <w:pStyle w:val="P68B1DB1-Normal46"/>
              <w:spacing w:after="0" w:line="240" w:lineRule="auto"/>
              <w:rPr>
                <w:rFonts w:eastAsia="Times New Roman" w:cs="Times New Roman"/>
                <w:noProof/>
              </w:rPr>
            </w:pPr>
            <w:r>
              <w:rPr>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72A594"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46E978" w14:textId="77777777" w:rsidR="000E48CE" w:rsidRDefault="00FF4C4E">
            <w:pPr>
              <w:pStyle w:val="P68B1DB1-Normal46"/>
              <w:spacing w:after="0" w:line="240" w:lineRule="auto"/>
              <w:rPr>
                <w:rFonts w:eastAsia="Times New Roman" w:cs="Times New Roman"/>
                <w:noProof/>
              </w:rPr>
            </w:pPr>
            <w:r>
              <w:rPr>
                <w:noProof/>
              </w:rPr>
              <w:t>Menojen uudelleentarkastelun vaihe III</w:t>
            </w:r>
          </w:p>
        </w:tc>
      </w:tr>
      <w:tr w:rsidR="000E48CE" w14:paraId="23FB34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DEAFD1"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0BE08F"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B29CB3" w14:textId="57494339" w:rsidR="000E48CE" w:rsidRDefault="00FF4C4E">
            <w:pPr>
              <w:pStyle w:val="P68B1DB1-Normal45"/>
              <w:spacing w:after="0" w:line="240" w:lineRule="auto"/>
              <w:rPr>
                <w:rFonts w:eastAsia="Times New Roman" w:cs="Times New Roman"/>
                <w:noProof/>
              </w:rPr>
            </w:pPr>
            <w:r>
              <w:rPr>
                <w:noProof/>
              </w:rPr>
              <w:t>Erän 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25533" w14:textId="44A2D6E1" w:rsidR="000E48CE" w:rsidRDefault="00FF4C4E">
            <w:pPr>
              <w:pStyle w:val="P68B1DB1-Normal45"/>
              <w:spacing w:after="0" w:line="240" w:lineRule="auto"/>
              <w:rPr>
                <w:rFonts w:eastAsia="Times New Roman" w:cs="Times New Roman"/>
                <w:noProof/>
              </w:rPr>
            </w:pPr>
            <w:r>
              <w:rPr>
                <w:noProof/>
              </w:rPr>
              <w:t>VÄHIMMÄISPÄÄOMA: 7671001527 EUROA</w:t>
            </w:r>
          </w:p>
        </w:tc>
      </w:tr>
    </w:tbl>
    <w:p w14:paraId="0476ED92" w14:textId="77777777" w:rsidR="000E48CE" w:rsidRDefault="000E48CE">
      <w:pPr>
        <w:spacing w:before="120" w:after="120" w:line="240" w:lineRule="auto"/>
        <w:jc w:val="both"/>
        <w:rPr>
          <w:rFonts w:ascii="Times New Roman" w:eastAsia="Calibri" w:hAnsi="Times New Roman" w:cs="Times New Roman"/>
          <w:noProof/>
          <w:sz w:val="24"/>
        </w:rPr>
      </w:pPr>
    </w:p>
    <w:p w14:paraId="6184B4C8"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Kuudes erä (tuki, jota ei makseta takaisin): </w:t>
      </w:r>
    </w:p>
    <w:tbl>
      <w:tblPr>
        <w:tblW w:w="9665" w:type="dxa"/>
        <w:tblInd w:w="113" w:type="dxa"/>
        <w:tblLook w:val="04A0" w:firstRow="1" w:lastRow="0" w:firstColumn="1" w:lastColumn="0" w:noHBand="0" w:noVBand="1"/>
      </w:tblPr>
      <w:tblGrid>
        <w:gridCol w:w="1300"/>
        <w:gridCol w:w="1443"/>
        <w:gridCol w:w="1783"/>
        <w:gridCol w:w="5672"/>
      </w:tblGrid>
      <w:tr w:rsidR="000E48CE" w14:paraId="7714E221" w14:textId="77777777">
        <w:trPr>
          <w:trHeight w:val="909"/>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184615" w14:textId="77777777" w:rsidR="000E48CE" w:rsidRDefault="00FF4C4E">
            <w:pPr>
              <w:pStyle w:val="P68B1DB1-Normal45"/>
              <w:spacing w:after="0" w:line="240" w:lineRule="auto"/>
              <w:jc w:val="center"/>
              <w:rPr>
                <w:rFonts w:eastAsia="Times New Roman" w:cs="Times New Roman"/>
                <w:noProof/>
              </w:rPr>
            </w:pPr>
            <w:bookmarkStart w:id="63" w:name="_Hlk145968623"/>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D455CE9"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90A22D8"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2" w:type="dxa"/>
            <w:vMerge w:val="restart"/>
            <w:tcBorders>
              <w:top w:val="single" w:sz="4" w:space="0" w:color="auto"/>
              <w:left w:val="nil"/>
              <w:bottom w:val="single" w:sz="4" w:space="0" w:color="000000"/>
              <w:right w:val="single" w:sz="4" w:space="0" w:color="auto"/>
            </w:tcBorders>
            <w:shd w:val="clear" w:color="auto" w:fill="BDD7EE"/>
            <w:vAlign w:val="center"/>
            <w:hideMark/>
          </w:tcPr>
          <w:p w14:paraId="74E7AE41"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01CB0D0A"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7340931"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518AB9"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2D43A0AB" w14:textId="77777777" w:rsidR="000E48CE" w:rsidRDefault="000E48CE">
            <w:pPr>
              <w:spacing w:after="0" w:line="240" w:lineRule="auto"/>
              <w:rPr>
                <w:rFonts w:ascii="Times New Roman" w:eastAsia="Times New Roman" w:hAnsi="Times New Roman" w:cs="Times New Roman"/>
                <w:b/>
                <w:noProof/>
                <w:sz w:val="20"/>
              </w:rPr>
            </w:pPr>
          </w:p>
        </w:tc>
        <w:tc>
          <w:tcPr>
            <w:tcW w:w="5672" w:type="dxa"/>
            <w:vMerge/>
            <w:tcBorders>
              <w:top w:val="single" w:sz="4" w:space="0" w:color="auto"/>
              <w:left w:val="nil"/>
              <w:bottom w:val="single" w:sz="4" w:space="0" w:color="000000"/>
              <w:right w:val="single" w:sz="4" w:space="0" w:color="auto"/>
            </w:tcBorders>
            <w:vAlign w:val="center"/>
            <w:hideMark/>
          </w:tcPr>
          <w:p w14:paraId="16778236" w14:textId="77777777" w:rsidR="000E48CE" w:rsidRDefault="000E48CE">
            <w:pPr>
              <w:spacing w:after="0" w:line="240" w:lineRule="auto"/>
              <w:rPr>
                <w:rFonts w:ascii="Times New Roman" w:eastAsia="Times New Roman" w:hAnsi="Times New Roman" w:cs="Times New Roman"/>
                <w:b/>
                <w:noProof/>
                <w:sz w:val="20"/>
              </w:rPr>
            </w:pPr>
          </w:p>
        </w:tc>
      </w:tr>
      <w:tr w:rsidR="000E48CE" w14:paraId="1F3B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5DC648" w14:textId="77777777" w:rsidR="000E48CE" w:rsidRDefault="00FF4C4E">
            <w:pPr>
              <w:pStyle w:val="P68B1DB1-Normal46"/>
              <w:spacing w:after="0" w:line="240" w:lineRule="auto"/>
              <w:rPr>
                <w:rFonts w:eastAsia="Times New Roman" w:cs="Times New Roman"/>
                <w:noProof/>
              </w:rPr>
            </w:pPr>
            <w:r>
              <w:rPr>
                <w:noProof/>
              </w:rPr>
              <w:t>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18CC061" w14:textId="77777777" w:rsidR="000E48CE" w:rsidRDefault="00FF4C4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BD0567"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1853B26" w14:textId="77777777" w:rsidR="000E48CE" w:rsidRDefault="00FF4C4E">
            <w:pPr>
              <w:pStyle w:val="P68B1DB1-Normal46"/>
              <w:spacing w:after="0" w:line="240" w:lineRule="auto"/>
              <w:rPr>
                <w:rFonts w:eastAsia="Times New Roman" w:cs="Times New Roman"/>
                <w:noProof/>
              </w:rPr>
            </w:pPr>
            <w:r>
              <w:rPr>
                <w:noProof/>
              </w:rPr>
              <w:t xml:space="preserve">Autonomisten alueiden ostoihin tai myöntämiin vähintään 900 miljoonan euron määrärahoihin kestävän liikkuvuuden edistämiseksi </w:t>
            </w:r>
          </w:p>
        </w:tc>
      </w:tr>
      <w:bookmarkEnd w:id="63"/>
      <w:tr w:rsidR="000E48CE" w14:paraId="68C38C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8AE58" w14:textId="77777777" w:rsidR="000E48CE" w:rsidRDefault="00FF4C4E">
            <w:pPr>
              <w:pStyle w:val="P68B1DB1-Normal46"/>
              <w:spacing w:after="0" w:line="240" w:lineRule="auto"/>
              <w:rPr>
                <w:rFonts w:eastAsia="Times New Roman" w:cs="Times New Roman"/>
                <w:noProof/>
              </w:rPr>
            </w:pPr>
            <w:r>
              <w:rPr>
                <w:noProof/>
              </w:rPr>
              <w:t>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9951421" w14:textId="77777777" w:rsidR="000E48CE" w:rsidRDefault="00FF4C4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731E545"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355326" w14:textId="77777777" w:rsidR="000E48CE" w:rsidRDefault="00FF4C4E">
            <w:pPr>
              <w:pStyle w:val="P68B1DB1-Normal46"/>
              <w:spacing w:after="0" w:line="240" w:lineRule="auto"/>
              <w:rPr>
                <w:rFonts w:eastAsia="Times New Roman" w:cs="Times New Roman"/>
                <w:noProof/>
              </w:rPr>
            </w:pPr>
            <w:r>
              <w:rPr>
                <w:noProof/>
              </w:rPr>
              <w:t xml:space="preserve">Kestävää liikkuvuutta edistävät hankkeet, myös kaupunki- ja suurkaupunkialueilla </w:t>
            </w:r>
          </w:p>
        </w:tc>
      </w:tr>
      <w:tr w:rsidR="000E48CE" w14:paraId="272639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F3792" w14:textId="77777777" w:rsidR="000E48CE" w:rsidRDefault="00FF4C4E">
            <w:pPr>
              <w:pStyle w:val="P68B1DB1-Normal46"/>
              <w:spacing w:after="0" w:line="240" w:lineRule="auto"/>
              <w:rPr>
                <w:rFonts w:eastAsia="Times New Roman" w:cs="Times New Roman"/>
                <w:noProof/>
              </w:rPr>
            </w:pPr>
            <w:r>
              <w:rPr>
                <w:noProof/>
              </w:rPr>
              <w:t>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433AD2F" w14:textId="77777777" w:rsidR="000E48CE" w:rsidRDefault="00FF4C4E">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D87D96A"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FAC7C37" w14:textId="77777777" w:rsidR="000E48CE" w:rsidRDefault="00FF4C4E">
            <w:pPr>
              <w:pStyle w:val="P68B1DB1-Normal46"/>
              <w:spacing w:after="0" w:line="240" w:lineRule="auto"/>
              <w:rPr>
                <w:rFonts w:eastAsia="Times New Roman" w:cs="Times New Roman"/>
                <w:noProof/>
              </w:rPr>
            </w:pPr>
            <w:r>
              <w:rPr>
                <w:noProof/>
              </w:rPr>
              <w:t xml:space="preserve">Sähköajoneuvoja ja latauspisteitä koskevan tukihakemuksen rekisteröinti </w:t>
            </w:r>
          </w:p>
        </w:tc>
      </w:tr>
      <w:tr w:rsidR="000E48CE" w14:paraId="05E01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7BB97" w14:textId="77777777" w:rsidR="000E48CE" w:rsidRDefault="00FF4C4E">
            <w:pPr>
              <w:pStyle w:val="P68B1DB1-Normal46"/>
              <w:spacing w:after="0" w:line="240" w:lineRule="auto"/>
              <w:rPr>
                <w:rFonts w:eastAsia="Times New Roman" w:cs="Times New Roman"/>
                <w:noProof/>
              </w:rPr>
            </w:pPr>
            <w:r>
              <w:rPr>
                <w:noProof/>
              </w:rPr>
              <w:t>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644129" w14:textId="77777777" w:rsidR="000E48CE" w:rsidRDefault="00FF4C4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24894D"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B43848" w14:textId="77777777" w:rsidR="000E48CE" w:rsidRDefault="00FF4C4E">
            <w:pPr>
              <w:pStyle w:val="P68B1DB1-Normal46"/>
              <w:spacing w:after="0" w:line="240" w:lineRule="auto"/>
              <w:rPr>
                <w:rFonts w:eastAsia="Times New Roman" w:cs="Times New Roman"/>
                <w:noProof/>
              </w:rPr>
            </w:pPr>
            <w:r>
              <w:rPr>
                <w:noProof/>
              </w:rPr>
              <w:t xml:space="preserve">Lyhyen matkan rautatiet (Cercanías) </w:t>
            </w:r>
          </w:p>
        </w:tc>
      </w:tr>
      <w:tr w:rsidR="000E48CE" w14:paraId="3C6E39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68029F" w14:textId="77777777" w:rsidR="000E48CE" w:rsidRDefault="00FF4C4E">
            <w:pPr>
              <w:pStyle w:val="P68B1DB1-Normal46"/>
              <w:spacing w:after="0" w:line="240" w:lineRule="auto"/>
              <w:rPr>
                <w:rFonts w:eastAsia="Times New Roman" w:cs="Times New Roman"/>
                <w:noProof/>
              </w:rPr>
            </w:pPr>
            <w:r>
              <w:rPr>
                <w:noProof/>
              </w:rPr>
              <w:t>15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394E5A" w14:textId="77777777" w:rsidR="000E48CE" w:rsidRDefault="00FF4C4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7F9C33"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983D24" w14:textId="77777777" w:rsidR="000E48CE" w:rsidRDefault="00FF4C4E">
            <w:pPr>
              <w:pStyle w:val="P68B1DB1-Normal46"/>
              <w:spacing w:after="0" w:line="240" w:lineRule="auto"/>
              <w:rPr>
                <w:rFonts w:eastAsia="Times New Roman" w:cs="Times New Roman"/>
                <w:noProof/>
              </w:rPr>
            </w:pPr>
            <w:r>
              <w:rPr>
                <w:noProof/>
              </w:rPr>
              <w:t xml:space="preserve">Asemat ovat parantuneet digitalisaation myötä </w:t>
            </w:r>
          </w:p>
        </w:tc>
      </w:tr>
      <w:tr w:rsidR="000E48CE" w14:paraId="108C70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C645A" w14:textId="77777777" w:rsidR="000E48CE" w:rsidRDefault="00FF4C4E">
            <w:pPr>
              <w:pStyle w:val="P68B1DB1-Normal46"/>
              <w:spacing w:after="0" w:line="240" w:lineRule="auto"/>
              <w:rPr>
                <w:rFonts w:eastAsia="Times New Roman" w:cs="Times New Roman"/>
                <w:noProof/>
              </w:rPr>
            </w:pPr>
            <w:r>
              <w:rPr>
                <w:noProof/>
              </w:rPr>
              <w:t>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9C2C548" w14:textId="77777777" w:rsidR="000E48CE" w:rsidRDefault="00FF4C4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0174D45"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FC4268" w14:textId="77777777" w:rsidR="000E48CE" w:rsidRDefault="00FF4C4E">
            <w:pPr>
              <w:pStyle w:val="P68B1DB1-Normal46"/>
              <w:spacing w:after="0" w:line="240" w:lineRule="auto"/>
              <w:rPr>
                <w:rFonts w:eastAsia="Times New Roman" w:cs="Times New Roman"/>
                <w:noProof/>
              </w:rPr>
            </w:pPr>
            <w:r>
              <w:rPr>
                <w:noProof/>
              </w:rPr>
              <w:t xml:space="preserve">Parannetut Cercanías-asemat </w:t>
            </w:r>
          </w:p>
        </w:tc>
      </w:tr>
      <w:tr w:rsidR="000E48CE" w14:paraId="0A9C02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D0BE04" w14:textId="77777777" w:rsidR="000E48CE" w:rsidRDefault="00FF4C4E">
            <w:pPr>
              <w:pStyle w:val="P68B1DB1-Normal46"/>
              <w:spacing w:after="0" w:line="240" w:lineRule="auto"/>
              <w:rPr>
                <w:rFonts w:eastAsia="Times New Roman" w:cs="Times New Roman"/>
                <w:noProof/>
              </w:rPr>
            </w:pPr>
            <w:r>
              <w:rPr>
                <w:noProof/>
              </w:rPr>
              <w:t>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1169338" w14:textId="77777777" w:rsidR="000E48CE" w:rsidRDefault="00FF4C4E">
            <w:pPr>
              <w:pStyle w:val="P68B1DB1-Normal46"/>
              <w:spacing w:after="0" w:line="240" w:lineRule="auto"/>
              <w:rPr>
                <w:rFonts w:eastAsia="Times New Roman" w:cs="Times New Roman"/>
                <w:noProof/>
              </w:rPr>
            </w:pPr>
            <w:r>
              <w:rPr>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A1A9740"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2925CE" w14:textId="77777777" w:rsidR="000E48CE" w:rsidRDefault="00FF4C4E">
            <w:pPr>
              <w:pStyle w:val="P68B1DB1-Normal46"/>
              <w:spacing w:after="0" w:line="240" w:lineRule="auto"/>
              <w:rPr>
                <w:rFonts w:eastAsia="Times New Roman" w:cs="Times New Roman"/>
                <w:noProof/>
              </w:rPr>
            </w:pPr>
            <w:r>
              <w:rPr>
                <w:noProof/>
              </w:rPr>
              <w:t xml:space="preserve">Asuntojen ja muiden </w:t>
            </w:r>
            <w:r>
              <w:rPr>
                <w:noProof/>
              </w:rPr>
              <w:t>kuin asuinrakennusten peruskorjausten myöntäminen siten, että primäärienergian kysyntä vähenee keskimäärin vähintään 30 prosenttia</w:t>
            </w:r>
          </w:p>
        </w:tc>
      </w:tr>
      <w:tr w:rsidR="000E48CE" w14:paraId="4C3597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9E7CE" w14:textId="77777777" w:rsidR="000E48CE" w:rsidRDefault="00FF4C4E">
            <w:pPr>
              <w:pStyle w:val="P68B1DB1-Normal46"/>
              <w:spacing w:after="0" w:line="240" w:lineRule="auto"/>
              <w:rPr>
                <w:rFonts w:eastAsia="Times New Roman" w:cs="Times New Roman"/>
                <w:noProof/>
              </w:rPr>
            </w:pPr>
            <w:r>
              <w:rPr>
                <w:noProof/>
              </w:rPr>
              <w:t>422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D0E986F" w14:textId="77777777" w:rsidR="000E48CE" w:rsidRDefault="00FF4C4E">
            <w:pPr>
              <w:pStyle w:val="P68B1DB1-Normal46"/>
              <w:spacing w:after="0" w:line="240" w:lineRule="auto"/>
              <w:rPr>
                <w:rFonts w:eastAsia="Times New Roman" w:cs="Times New Roman"/>
                <w:noProof/>
              </w:rPr>
            </w:pPr>
            <w:r>
              <w:rPr>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3FAC8EB"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6FABD1B" w14:textId="77777777" w:rsidR="000E48CE" w:rsidRDefault="00FF4C4E">
            <w:pPr>
              <w:pStyle w:val="P68B1DB1-Normal46"/>
              <w:spacing w:after="0" w:line="240" w:lineRule="auto"/>
              <w:rPr>
                <w:rFonts w:eastAsia="Times New Roman" w:cs="Times New Roman"/>
                <w:noProof/>
              </w:rPr>
            </w:pPr>
            <w:r>
              <w:rPr>
                <w:noProof/>
              </w:rPr>
              <w:t xml:space="preserve">Kotieläinkuljetusten bioturvallisuuden parantamista koskevan asetuksen ja antibioottien kestävää käyttöä </w:t>
            </w:r>
            <w:r>
              <w:rPr>
                <w:noProof/>
              </w:rPr>
              <w:t>kotieläinlajeissa koskevan asetuksen voimaantulo</w:t>
            </w:r>
          </w:p>
        </w:tc>
      </w:tr>
      <w:tr w:rsidR="000E48CE" w14:paraId="021006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45896" w14:textId="77777777" w:rsidR="000E48CE" w:rsidRDefault="00FF4C4E">
            <w:pPr>
              <w:pStyle w:val="P68B1DB1-Normal46"/>
              <w:spacing w:after="0" w:line="240" w:lineRule="auto"/>
              <w:rPr>
                <w:rFonts w:eastAsia="Times New Roman" w:cs="Times New Roman"/>
                <w:noProof/>
              </w:rPr>
            </w:pPr>
            <w:r>
              <w:rPr>
                <w:noProof/>
              </w:rPr>
              <w:t>424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4C75433" w14:textId="77777777" w:rsidR="000E48CE" w:rsidRDefault="00FF4C4E">
            <w:pPr>
              <w:pStyle w:val="P68B1DB1-Normal46"/>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DF5FCFA"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F6AB22" w14:textId="77777777" w:rsidR="000E48CE" w:rsidRDefault="00FF4C4E">
            <w:pPr>
              <w:pStyle w:val="P68B1DB1-Normal46"/>
              <w:spacing w:after="0" w:line="240" w:lineRule="auto"/>
              <w:rPr>
                <w:rFonts w:eastAsia="Times New Roman" w:cs="Times New Roman"/>
                <w:noProof/>
              </w:rPr>
            </w:pPr>
            <w:r>
              <w:rPr>
                <w:noProof/>
              </w:rPr>
              <w:t>Maatalous-, kalastus- ja elintarvikeministeriön (MAPA) ja SEIASAn väliseen sopimukseen kasteltujen alueiden parantamisen ja kestävyyden tukemiseksi tehdyn lisäyksen täytäntöönpano (toinen vaihe)</w:t>
            </w:r>
          </w:p>
        </w:tc>
      </w:tr>
      <w:tr w:rsidR="000E48CE" w14:paraId="48E49A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828D6" w14:textId="77777777" w:rsidR="000E48CE" w:rsidRDefault="00FF4C4E">
            <w:pPr>
              <w:pStyle w:val="P68B1DB1-Normal46"/>
              <w:spacing w:after="0" w:line="240" w:lineRule="auto"/>
              <w:rPr>
                <w:rFonts w:eastAsia="Times New Roman" w:cs="Times New Roman"/>
                <w:noProof/>
              </w:rPr>
            </w:pPr>
            <w:r>
              <w:rPr>
                <w:noProof/>
              </w:rPr>
              <w:t>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EA37CDF" w14:textId="77777777" w:rsidR="000E48CE" w:rsidRDefault="00FF4C4E">
            <w:pPr>
              <w:pStyle w:val="P68B1DB1-Normal46"/>
              <w:spacing w:after="0" w:line="240" w:lineRule="auto"/>
              <w:rPr>
                <w:rFonts w:eastAsia="Times New Roman" w:cs="Times New Roman"/>
                <w:noProof/>
              </w:rPr>
            </w:pPr>
            <w:r>
              <w:rPr>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0FA73C5"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33810AC" w14:textId="77777777" w:rsidR="000E48CE" w:rsidRDefault="00FF4C4E">
            <w:pPr>
              <w:pStyle w:val="P68B1DB1-Normal46"/>
              <w:spacing w:after="0" w:line="240" w:lineRule="auto"/>
              <w:rPr>
                <w:rFonts w:eastAsia="Times New Roman" w:cs="Times New Roman"/>
                <w:noProof/>
              </w:rPr>
            </w:pPr>
            <w:r>
              <w:rPr>
                <w:noProof/>
              </w:rPr>
              <w:t>Maatalouden ja elintarviketeollisuuden pk-yritykset saavat tukea innovatiivisten ja digitaalisten liiketoimintahankkeiden toteuttamiseen</w:t>
            </w:r>
          </w:p>
        </w:tc>
      </w:tr>
      <w:tr w:rsidR="000E48CE" w14:paraId="72099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19883E" w14:textId="77777777" w:rsidR="000E48CE" w:rsidRDefault="00FF4C4E">
            <w:pPr>
              <w:pStyle w:val="P68B1DB1-Normal46"/>
              <w:spacing w:after="0" w:line="240" w:lineRule="auto"/>
              <w:rPr>
                <w:rFonts w:eastAsia="Times New Roman" w:cs="Times New Roman"/>
                <w:noProof/>
              </w:rPr>
            </w:pPr>
            <w:r>
              <w:rPr>
                <w:noProof/>
              </w:rPr>
              <w:t>58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F8C60D4" w14:textId="77777777" w:rsidR="000E48CE" w:rsidRDefault="00FF4C4E">
            <w:pPr>
              <w:pStyle w:val="P68B1DB1-Normal46"/>
              <w:spacing w:after="0" w:line="240" w:lineRule="auto"/>
              <w:rPr>
                <w:rFonts w:eastAsia="Times New Roman" w:cs="Times New Roman"/>
                <w:noProof/>
              </w:rPr>
            </w:pPr>
            <w:r>
              <w:rPr>
                <w:noProof/>
              </w:rPr>
              <w:t>C3.I8</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6B8899"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64186B" w14:textId="77777777" w:rsidR="000E48CE" w:rsidRDefault="00FF4C4E">
            <w:pPr>
              <w:pStyle w:val="P68B1DB1-Normal46"/>
              <w:spacing w:after="0" w:line="240" w:lineRule="auto"/>
              <w:rPr>
                <w:rFonts w:eastAsia="Times New Roman" w:cs="Times New Roman"/>
                <w:noProof/>
              </w:rPr>
            </w:pPr>
            <w:r>
              <w:rPr>
                <w:noProof/>
              </w:rPr>
              <w:t>Tutkimus-, kehittämis- ja innovointihankkeet kalastus- ja vesiviljelyalan häiriönsietokyvyn ja</w:t>
            </w:r>
            <w:r>
              <w:rPr>
                <w:noProof/>
              </w:rPr>
              <w:t xml:space="preserve"> kestävyyden tukemiseksi</w:t>
            </w:r>
          </w:p>
        </w:tc>
      </w:tr>
      <w:tr w:rsidR="000E48CE" w14:paraId="353C04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883C" w14:textId="77777777" w:rsidR="000E48CE" w:rsidRDefault="00FF4C4E">
            <w:pPr>
              <w:pStyle w:val="P68B1DB1-Normal46"/>
              <w:spacing w:after="0" w:line="240" w:lineRule="auto"/>
              <w:rPr>
                <w:rFonts w:eastAsia="Times New Roman" w:cs="Times New Roman"/>
                <w:noProof/>
              </w:rPr>
            </w:pPr>
            <w:r>
              <w:rPr>
                <w:noProof/>
              </w:rPr>
              <w:t>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AE5A9D" w14:textId="77777777" w:rsidR="000E48CE" w:rsidRDefault="00FF4C4E">
            <w:pPr>
              <w:pStyle w:val="P68B1DB1-Normal46"/>
              <w:spacing w:after="0" w:line="240" w:lineRule="auto"/>
              <w:rPr>
                <w:rFonts w:eastAsia="Times New Roman" w:cs="Times New Roman"/>
                <w:noProof/>
              </w:rPr>
            </w:pPr>
            <w:r>
              <w:rPr>
                <w:noProof/>
              </w:rPr>
              <w:t>C3.I9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D6F368"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44A35E" w14:textId="77777777" w:rsidR="000E48CE" w:rsidRDefault="00FF4C4E">
            <w:pPr>
              <w:pStyle w:val="P68B1DB1-Normal46"/>
              <w:spacing w:after="0" w:line="240" w:lineRule="auto"/>
              <w:rPr>
                <w:rFonts w:eastAsia="Times New Roman" w:cs="Times New Roman"/>
                <w:noProof/>
              </w:rPr>
            </w:pPr>
            <w:r>
              <w:rPr>
                <w:noProof/>
              </w:rPr>
              <w:t xml:space="preserve">Espanjan kalastustietojärjestelmän (SIPE) ja kalastuksenvalvontajärjestelmän digitaalinen vahvistaminen </w:t>
            </w:r>
          </w:p>
        </w:tc>
      </w:tr>
      <w:tr w:rsidR="000E48CE" w14:paraId="08B026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8C04D0" w14:textId="77777777" w:rsidR="000E48CE" w:rsidRDefault="00FF4C4E">
            <w:pPr>
              <w:pStyle w:val="P68B1DB1-Normal46"/>
              <w:spacing w:after="0" w:line="240" w:lineRule="auto"/>
              <w:rPr>
                <w:rFonts w:eastAsia="Times New Roman" w:cs="Times New Roman"/>
                <w:noProof/>
              </w:rPr>
            </w:pPr>
            <w:r>
              <w:rPr>
                <w:noProof/>
              </w:rPr>
              <w:t>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A18098" w14:textId="77777777" w:rsidR="000E48CE" w:rsidRDefault="00FF4C4E">
            <w:pPr>
              <w:pStyle w:val="P68B1DB1-Normal46"/>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6CF29AC"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7E9F41" w14:textId="77777777" w:rsidR="000E48CE" w:rsidRDefault="00FF4C4E">
            <w:pPr>
              <w:pStyle w:val="P68B1DB1-Normal46"/>
              <w:spacing w:after="0" w:line="240" w:lineRule="auto"/>
              <w:rPr>
                <w:rFonts w:eastAsia="Times New Roman" w:cs="Times New Roman"/>
                <w:noProof/>
              </w:rPr>
            </w:pPr>
            <w:r>
              <w:rPr>
                <w:noProof/>
              </w:rPr>
              <w:t xml:space="preserve">Suojellut merialueet </w:t>
            </w:r>
          </w:p>
        </w:tc>
      </w:tr>
      <w:tr w:rsidR="000E48CE" w14:paraId="7318357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B48014" w14:textId="77777777" w:rsidR="000E48CE" w:rsidRDefault="00FF4C4E">
            <w:pPr>
              <w:pStyle w:val="P68B1DB1-Normal46"/>
              <w:spacing w:after="0" w:line="240" w:lineRule="auto"/>
              <w:rPr>
                <w:rFonts w:eastAsia="Times New Roman" w:cs="Times New Roman"/>
                <w:noProof/>
              </w:rPr>
            </w:pPr>
            <w:r>
              <w:rPr>
                <w:noProof/>
              </w:rPr>
              <w:t>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FA27E44" w14:textId="77777777" w:rsidR="000E48CE" w:rsidRDefault="00FF4C4E">
            <w:pPr>
              <w:pStyle w:val="P68B1DB1-Normal46"/>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D2F256"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2A79BFF" w14:textId="77777777" w:rsidR="000E48CE" w:rsidRDefault="00FF4C4E">
            <w:pPr>
              <w:pStyle w:val="P68B1DB1-Normal46"/>
              <w:spacing w:after="0" w:line="240" w:lineRule="auto"/>
              <w:rPr>
                <w:rFonts w:eastAsia="Times New Roman" w:cs="Times New Roman"/>
                <w:noProof/>
              </w:rPr>
            </w:pPr>
            <w:r>
              <w:rPr>
                <w:noProof/>
              </w:rPr>
              <w:t xml:space="preserve">Sopimusten tekeminen vesivaroja koskevan tietämyksen ja käytön parantamiseen tarkoitettujen välineiden käyttöönotosta sekä sademäärien ja muiden säätietojen seurannasta </w:t>
            </w:r>
          </w:p>
        </w:tc>
      </w:tr>
      <w:tr w:rsidR="000E48CE" w14:paraId="34FE77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B47B" w14:textId="77777777" w:rsidR="000E48CE" w:rsidRDefault="00FF4C4E">
            <w:pPr>
              <w:pStyle w:val="P68B1DB1-Normal46"/>
              <w:spacing w:after="0" w:line="240" w:lineRule="auto"/>
              <w:rPr>
                <w:rFonts w:eastAsia="Times New Roman" w:cs="Times New Roman"/>
                <w:noProof/>
              </w:rPr>
            </w:pPr>
            <w:r>
              <w:rPr>
                <w:noProof/>
              </w:rPr>
              <w:t>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35AB65" w14:textId="77777777" w:rsidR="000E48CE" w:rsidRDefault="00FF4C4E">
            <w:pPr>
              <w:pStyle w:val="P68B1DB1-Normal46"/>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FD444B"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E31BBCC" w14:textId="77777777" w:rsidR="000E48CE" w:rsidRDefault="00FF4C4E">
            <w:pPr>
              <w:pStyle w:val="P68B1DB1-Normal46"/>
              <w:spacing w:after="0" w:line="240" w:lineRule="auto"/>
              <w:rPr>
                <w:rFonts w:eastAsia="Times New Roman" w:cs="Times New Roman"/>
                <w:noProof/>
              </w:rPr>
            </w:pPr>
            <w:r>
              <w:rPr>
                <w:noProof/>
              </w:rPr>
              <w:t>Huonontuneiden alueiden ja ekosysteemien ennallistaminen vähintään 100 kil</w:t>
            </w:r>
            <w:r>
              <w:rPr>
                <w:noProof/>
              </w:rPr>
              <w:t>ometrin päähän rannikosta</w:t>
            </w:r>
          </w:p>
        </w:tc>
      </w:tr>
      <w:tr w:rsidR="000E48CE" w14:paraId="7FD3F8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C7058D" w14:textId="77777777" w:rsidR="000E48CE" w:rsidRDefault="00FF4C4E">
            <w:pPr>
              <w:pStyle w:val="P68B1DB1-Normal46"/>
              <w:spacing w:after="0" w:line="240" w:lineRule="auto"/>
              <w:rPr>
                <w:rFonts w:eastAsia="Times New Roman" w:cs="Times New Roman"/>
                <w:noProof/>
              </w:rPr>
            </w:pPr>
            <w:r>
              <w:rPr>
                <w:noProof/>
              </w:rPr>
              <w:t>106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2CA001" w14:textId="77777777" w:rsidR="000E48CE" w:rsidRDefault="00FF4C4E">
            <w:pPr>
              <w:pStyle w:val="P68B1DB1-Normal46"/>
              <w:spacing w:after="0" w:line="240" w:lineRule="auto"/>
              <w:rPr>
                <w:rFonts w:eastAsia="Times New Roman" w:cs="Times New Roman"/>
                <w:noProof/>
              </w:rPr>
            </w:pPr>
            <w:r>
              <w:rPr>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3031F88"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9DD74BB" w14:textId="77777777" w:rsidR="000E48CE" w:rsidRDefault="00FF4C4E">
            <w:pPr>
              <w:pStyle w:val="P68B1DB1-Normal46"/>
              <w:spacing w:after="0" w:line="240" w:lineRule="auto"/>
              <w:rPr>
                <w:rFonts w:eastAsia="Times New Roman" w:cs="Times New Roman"/>
                <w:noProof/>
              </w:rPr>
            </w:pPr>
            <w:r>
              <w:rPr>
                <w:noProof/>
              </w:rPr>
              <w:t xml:space="preserve">Uusiutuvan energian lisätuotantokapasiteetti </w:t>
            </w:r>
          </w:p>
        </w:tc>
      </w:tr>
      <w:tr w:rsidR="000E48CE" w14:paraId="0E8251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03A73B" w14:textId="77777777" w:rsidR="000E48CE" w:rsidRDefault="00FF4C4E">
            <w:pPr>
              <w:pStyle w:val="P68B1DB1-Normal46"/>
              <w:spacing w:after="0" w:line="240" w:lineRule="auto"/>
              <w:rPr>
                <w:rFonts w:eastAsia="Times New Roman" w:cs="Times New Roman"/>
                <w:noProof/>
              </w:rPr>
            </w:pPr>
            <w:r>
              <w:rPr>
                <w:noProof/>
              </w:rPr>
              <w:t>107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133213A" w14:textId="77777777" w:rsidR="000E48CE" w:rsidRDefault="00FF4C4E">
            <w:pPr>
              <w:pStyle w:val="P68B1DB1-Normal46"/>
              <w:spacing w:after="0" w:line="240" w:lineRule="auto"/>
              <w:rPr>
                <w:rFonts w:eastAsia="Times New Roman" w:cs="Times New Roman"/>
                <w:noProof/>
              </w:rPr>
            </w:pPr>
            <w:r>
              <w:rPr>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8EA104"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7C3D2FE" w14:textId="77777777" w:rsidR="000E48CE" w:rsidRDefault="00FF4C4E">
            <w:pPr>
              <w:pStyle w:val="P68B1DB1-Normal46"/>
              <w:spacing w:after="0" w:line="240" w:lineRule="auto"/>
              <w:rPr>
                <w:rFonts w:eastAsia="Times New Roman" w:cs="Times New Roman"/>
                <w:noProof/>
              </w:rPr>
            </w:pPr>
            <w:r>
              <w:rPr>
                <w:noProof/>
              </w:rPr>
              <w:t xml:space="preserve">Espanjassa asennettu kumulatiivinen uusiutuvan energian lisäkapasiteetti </w:t>
            </w:r>
          </w:p>
        </w:tc>
      </w:tr>
      <w:tr w:rsidR="000E48CE" w14:paraId="0598AA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E6FA" w14:textId="77777777" w:rsidR="000E48CE" w:rsidRDefault="00FF4C4E">
            <w:pPr>
              <w:pStyle w:val="P68B1DB1-Normal46"/>
              <w:spacing w:after="0" w:line="240" w:lineRule="auto"/>
              <w:rPr>
                <w:rFonts w:eastAsia="Times New Roman" w:cs="Times New Roman"/>
                <w:noProof/>
              </w:rPr>
            </w:pPr>
            <w:r>
              <w:rPr>
                <w:noProof/>
              </w:rPr>
              <w:t>114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5D200" w14:textId="77777777" w:rsidR="000E48CE" w:rsidRDefault="00FF4C4E">
            <w:pPr>
              <w:pStyle w:val="P68B1DB1-Normal46"/>
              <w:spacing w:after="0" w:line="240" w:lineRule="auto"/>
              <w:rPr>
                <w:rFonts w:eastAsia="Times New Roman" w:cs="Times New Roman"/>
                <w:noProof/>
              </w:rPr>
            </w:pPr>
            <w:r>
              <w:rPr>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C4600ED"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49E3D0B" w14:textId="77777777" w:rsidR="000E48CE" w:rsidRDefault="00FF4C4E">
            <w:pPr>
              <w:pStyle w:val="P68B1DB1-Normal46"/>
              <w:spacing w:after="0" w:line="240" w:lineRule="auto"/>
              <w:rPr>
                <w:rFonts w:eastAsia="Times New Roman" w:cs="Times New Roman"/>
                <w:noProof/>
              </w:rPr>
            </w:pPr>
            <w:r>
              <w:rPr>
                <w:noProof/>
              </w:rPr>
              <w:t>Biokaasua koskevassa etenemissuunnitelmassa yksilöityjen toimenpiteiden</w:t>
            </w:r>
            <w:r>
              <w:rPr>
                <w:noProof/>
              </w:rPr>
              <w:t xml:space="preserve"> loppuun saattaminen</w:t>
            </w:r>
          </w:p>
        </w:tc>
      </w:tr>
      <w:tr w:rsidR="000E48CE" w14:paraId="08B7B0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6E84F" w14:textId="77777777" w:rsidR="000E48CE" w:rsidRDefault="00FF4C4E">
            <w:pPr>
              <w:pStyle w:val="P68B1DB1-Normal46"/>
              <w:spacing w:after="0" w:line="240" w:lineRule="auto"/>
              <w:rPr>
                <w:rFonts w:eastAsia="Times New Roman" w:cs="Times New Roman"/>
                <w:noProof/>
              </w:rPr>
            </w:pPr>
            <w:r>
              <w:rPr>
                <w:noProof/>
              </w:rPr>
              <w:t>116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B9B0845" w14:textId="77777777" w:rsidR="000E48CE" w:rsidRDefault="00FF4C4E">
            <w:pPr>
              <w:pStyle w:val="P68B1DB1-Normal46"/>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993CA6"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2B87044" w14:textId="77777777" w:rsidR="000E48CE" w:rsidRDefault="00FF4C4E">
            <w:pPr>
              <w:pStyle w:val="P68B1DB1-Normal46"/>
              <w:spacing w:after="0" w:line="240" w:lineRule="auto"/>
              <w:rPr>
                <w:rFonts w:eastAsia="Times New Roman" w:cs="Times New Roman"/>
                <w:noProof/>
              </w:rPr>
            </w:pPr>
            <w:r>
              <w:rPr>
                <w:noProof/>
              </w:rPr>
              <w:t>Merten uusiutuvan energian infrastruktuurin uudet hankkeet, teknologiat tai laitteistot</w:t>
            </w:r>
          </w:p>
        </w:tc>
      </w:tr>
      <w:tr w:rsidR="000E48CE" w14:paraId="766404C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0968DB" w14:textId="77777777" w:rsidR="000E48CE" w:rsidRDefault="00FF4C4E">
            <w:pPr>
              <w:pStyle w:val="P68B1DB1-Normal46"/>
              <w:spacing w:after="0" w:line="240" w:lineRule="auto"/>
              <w:rPr>
                <w:rFonts w:eastAsia="Times New Roman" w:cs="Times New Roman"/>
                <w:noProof/>
              </w:rPr>
            </w:pPr>
            <w:r>
              <w:rPr>
                <w:noProof/>
              </w:rPr>
              <w:t>118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08471E" w14:textId="77777777" w:rsidR="000E48CE" w:rsidRDefault="00FF4C4E">
            <w:pPr>
              <w:pStyle w:val="P68B1DB1-Normal46"/>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69D0E29"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350093" w14:textId="77777777" w:rsidR="000E48CE" w:rsidRDefault="00FF4C4E">
            <w:pPr>
              <w:pStyle w:val="P68B1DB1-Normal46"/>
              <w:spacing w:after="0" w:line="240" w:lineRule="auto"/>
              <w:rPr>
                <w:rFonts w:eastAsia="Times New Roman" w:cs="Times New Roman"/>
                <w:noProof/>
              </w:rPr>
            </w:pPr>
            <w:r>
              <w:rPr>
                <w:noProof/>
              </w:rPr>
              <w:t xml:space="preserve">Puhdasta energiaa ja älykkäitä hankkeita saarille käsittelevä toimisto </w:t>
            </w:r>
          </w:p>
        </w:tc>
      </w:tr>
      <w:tr w:rsidR="000E48CE" w14:paraId="2CEF566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175BF7" w14:textId="77777777" w:rsidR="000E48CE" w:rsidRDefault="00FF4C4E">
            <w:pPr>
              <w:pStyle w:val="P68B1DB1-Normal46"/>
              <w:spacing w:after="0" w:line="240" w:lineRule="auto"/>
              <w:rPr>
                <w:rFonts w:eastAsia="Times New Roman" w:cs="Times New Roman"/>
                <w:noProof/>
              </w:rPr>
            </w:pPr>
            <w:r>
              <w:rPr>
                <w:noProof/>
              </w:rPr>
              <w:t>123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9301CAC" w14:textId="77777777" w:rsidR="000E48CE" w:rsidRDefault="00FF4C4E">
            <w:pPr>
              <w:pStyle w:val="P68B1DB1-Normal46"/>
              <w:spacing w:after="0" w:line="240" w:lineRule="auto"/>
              <w:rPr>
                <w:rFonts w:eastAsia="Times New Roman" w:cs="Times New Roman"/>
                <w:noProof/>
              </w:rPr>
            </w:pPr>
            <w:r>
              <w:rPr>
                <w:noProof/>
              </w:rPr>
              <w:t>C8.R3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C8DBC2"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5A38342" w14:textId="77777777" w:rsidR="000E48CE" w:rsidRDefault="00FF4C4E">
            <w:pPr>
              <w:pStyle w:val="P68B1DB1-Normal46"/>
              <w:spacing w:after="0" w:line="240" w:lineRule="auto"/>
              <w:rPr>
                <w:rFonts w:eastAsia="Times New Roman" w:cs="Times New Roman"/>
                <w:noProof/>
              </w:rPr>
            </w:pPr>
            <w:r>
              <w:rPr>
                <w:noProof/>
              </w:rPr>
              <w:t xml:space="preserve">Jouston ja kysyntäjouston </w:t>
            </w:r>
            <w:r>
              <w:rPr>
                <w:noProof/>
              </w:rPr>
              <w:t>integrointia koskevien sääntelytoimenpiteiden voimaantulo.</w:t>
            </w:r>
          </w:p>
        </w:tc>
      </w:tr>
      <w:tr w:rsidR="000E48CE" w14:paraId="3D3547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204E1" w14:textId="77777777" w:rsidR="000E48CE" w:rsidRDefault="00FF4C4E">
            <w:pPr>
              <w:pStyle w:val="P68B1DB1-Normal46"/>
              <w:spacing w:after="0" w:line="240" w:lineRule="auto"/>
              <w:rPr>
                <w:rFonts w:eastAsia="Times New Roman" w:cs="Times New Roman"/>
                <w:noProof/>
              </w:rPr>
            </w:pPr>
            <w:r>
              <w:rPr>
                <w:noProof/>
              </w:rPr>
              <w:t>125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1221AD" w14:textId="77777777" w:rsidR="000E48CE" w:rsidRDefault="00FF4C4E">
            <w:pPr>
              <w:pStyle w:val="P68B1DB1-Normal46"/>
              <w:spacing w:after="0" w:line="240" w:lineRule="auto"/>
              <w:rPr>
                <w:rFonts w:eastAsia="Times New Roman" w:cs="Times New Roman"/>
                <w:noProof/>
              </w:rPr>
            </w:pPr>
            <w:r>
              <w:rPr>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AA2C017"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0B00ED1" w14:textId="77777777" w:rsidR="000E48CE" w:rsidRDefault="00FF4C4E">
            <w:pPr>
              <w:pStyle w:val="P68B1DB1-Normal46"/>
              <w:spacing w:after="0" w:line="240" w:lineRule="auto"/>
              <w:rPr>
                <w:rFonts w:eastAsia="Times New Roman" w:cs="Times New Roman"/>
                <w:noProof/>
              </w:rPr>
            </w:pPr>
            <w:r>
              <w:rPr>
                <w:noProof/>
              </w:rPr>
              <w:t>Innovatiiviset varastointihankkeet</w:t>
            </w:r>
          </w:p>
        </w:tc>
      </w:tr>
      <w:tr w:rsidR="000E48CE" w14:paraId="08C2DE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D844E" w14:textId="77777777" w:rsidR="000E48CE" w:rsidRDefault="00FF4C4E">
            <w:pPr>
              <w:pStyle w:val="P68B1DB1-Normal46"/>
              <w:spacing w:after="0" w:line="240" w:lineRule="auto"/>
              <w:rPr>
                <w:rFonts w:eastAsia="Times New Roman" w:cs="Times New Roman"/>
                <w:noProof/>
              </w:rPr>
            </w:pPr>
            <w:r>
              <w:rPr>
                <w:noProof/>
              </w:rPr>
              <w:t>127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BC97FAC" w14:textId="77777777" w:rsidR="000E48CE" w:rsidRDefault="00FF4C4E">
            <w:pPr>
              <w:pStyle w:val="P68B1DB1-Normal46"/>
              <w:spacing w:after="0" w:line="240" w:lineRule="auto"/>
              <w:rPr>
                <w:rFonts w:eastAsia="Times New Roman" w:cs="Times New Roman"/>
                <w:noProof/>
              </w:rPr>
            </w:pPr>
            <w:r>
              <w:rPr>
                <w:noProof/>
              </w:rPr>
              <w:t>C8.I2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C33D36E"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431D2B" w14:textId="77777777" w:rsidR="000E48CE" w:rsidRDefault="00FF4C4E">
            <w:pPr>
              <w:pStyle w:val="P68B1DB1-Normal46"/>
              <w:spacing w:after="0" w:line="240" w:lineRule="auto"/>
              <w:rPr>
                <w:rFonts w:eastAsia="Times New Roman" w:cs="Times New Roman"/>
                <w:noProof/>
              </w:rPr>
            </w:pPr>
            <w:r>
              <w:rPr>
                <w:noProof/>
              </w:rPr>
              <w:t>Innovatiiviset digitalisointihankkeet sähkönjakelussa</w:t>
            </w:r>
          </w:p>
        </w:tc>
      </w:tr>
      <w:tr w:rsidR="000E48CE" w14:paraId="4750A54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D8F38B" w14:textId="77777777" w:rsidR="000E48CE" w:rsidRDefault="00FF4C4E">
            <w:pPr>
              <w:pStyle w:val="P68B1DB1-Normal46"/>
              <w:spacing w:after="0" w:line="240" w:lineRule="auto"/>
              <w:rPr>
                <w:rFonts w:eastAsia="Times New Roman" w:cs="Times New Roman"/>
                <w:noProof/>
              </w:rPr>
            </w:pPr>
            <w:r>
              <w:rPr>
                <w:noProof/>
              </w:rPr>
              <w:t>128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03F4F6" w14:textId="77777777" w:rsidR="000E48CE" w:rsidRDefault="00FF4C4E">
            <w:pPr>
              <w:pStyle w:val="P68B1DB1-Normal46"/>
              <w:spacing w:after="0" w:line="240" w:lineRule="auto"/>
              <w:rPr>
                <w:rFonts w:eastAsia="Times New Roman" w:cs="Times New Roman"/>
                <w:noProof/>
              </w:rPr>
            </w:pPr>
            <w:r>
              <w:rPr>
                <w:noProof/>
              </w:rPr>
              <w:t>C8.I3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ED9568F"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DA99F1" w14:textId="77777777" w:rsidR="000E48CE" w:rsidRDefault="00FF4C4E">
            <w:pPr>
              <w:pStyle w:val="P68B1DB1-Normal46"/>
              <w:spacing w:after="0" w:line="240" w:lineRule="auto"/>
              <w:rPr>
                <w:rFonts w:eastAsia="Times New Roman" w:cs="Times New Roman"/>
                <w:noProof/>
              </w:rPr>
            </w:pPr>
            <w:r>
              <w:rPr>
                <w:noProof/>
              </w:rPr>
              <w:t>Energiakäänteen uusia liiketoimintamalleja edistävät hankkeet</w:t>
            </w:r>
          </w:p>
        </w:tc>
      </w:tr>
      <w:tr w:rsidR="000E48CE" w14:paraId="21CBD9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0FF23" w14:textId="77777777" w:rsidR="000E48CE" w:rsidRDefault="00FF4C4E">
            <w:pPr>
              <w:pStyle w:val="P68B1DB1-Normal46"/>
              <w:spacing w:after="0" w:line="240" w:lineRule="auto"/>
              <w:rPr>
                <w:rFonts w:eastAsia="Times New Roman" w:cs="Times New Roman"/>
                <w:noProof/>
              </w:rPr>
            </w:pPr>
            <w:r>
              <w:rPr>
                <w:noProof/>
              </w:rPr>
              <w:t>132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1A8CEF7" w14:textId="77777777" w:rsidR="000E48CE" w:rsidRDefault="00FF4C4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1886EA"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FC86C9" w14:textId="77777777" w:rsidR="000E48CE" w:rsidRDefault="00FF4C4E">
            <w:pPr>
              <w:pStyle w:val="P68B1DB1-Normal46"/>
              <w:spacing w:after="0" w:line="240" w:lineRule="auto"/>
              <w:rPr>
                <w:rFonts w:eastAsia="Times New Roman" w:cs="Times New Roman"/>
                <w:noProof/>
              </w:rPr>
            </w:pPr>
            <w:r>
              <w:rPr>
                <w:noProof/>
              </w:rPr>
              <w:t xml:space="preserve">Teknologinen kehitys uusiutuvan vedyn arvoketjussa </w:t>
            </w:r>
          </w:p>
        </w:tc>
      </w:tr>
      <w:tr w:rsidR="000E48CE" w14:paraId="4C420B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5E0F8" w14:textId="77777777" w:rsidR="000E48CE" w:rsidRDefault="00FF4C4E">
            <w:pPr>
              <w:pStyle w:val="P68B1DB1-Normal46"/>
              <w:spacing w:after="0" w:line="240" w:lineRule="auto"/>
              <w:rPr>
                <w:rFonts w:eastAsia="Times New Roman" w:cs="Times New Roman"/>
                <w:noProof/>
              </w:rPr>
            </w:pPr>
            <w:r>
              <w:rPr>
                <w:noProof/>
              </w:rPr>
              <w:t>133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DA447FD" w14:textId="77777777" w:rsidR="000E48CE" w:rsidRDefault="00FF4C4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26A69BB"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7672D4E" w14:textId="77777777" w:rsidR="000E48CE" w:rsidRDefault="00FF4C4E">
            <w:pPr>
              <w:pStyle w:val="P68B1DB1-Normal46"/>
              <w:spacing w:after="0" w:line="240" w:lineRule="auto"/>
              <w:rPr>
                <w:rFonts w:eastAsia="Times New Roman" w:cs="Times New Roman"/>
                <w:noProof/>
              </w:rPr>
            </w:pPr>
            <w:r>
              <w:rPr>
                <w:noProof/>
              </w:rPr>
              <w:t xml:space="preserve">Uusiutuvan vedyn klusterit (tai laaksot)  </w:t>
            </w:r>
          </w:p>
        </w:tc>
      </w:tr>
      <w:tr w:rsidR="000E48CE" w14:paraId="6D1C4A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C54143" w14:textId="77777777" w:rsidR="000E48CE" w:rsidRDefault="00FF4C4E">
            <w:pPr>
              <w:pStyle w:val="P68B1DB1-Normal46"/>
              <w:spacing w:after="0" w:line="240" w:lineRule="auto"/>
              <w:rPr>
                <w:rFonts w:eastAsia="Times New Roman" w:cs="Times New Roman"/>
                <w:noProof/>
              </w:rPr>
            </w:pPr>
            <w:r>
              <w:rPr>
                <w:noProof/>
              </w:rPr>
              <w:t>134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6656109" w14:textId="77777777" w:rsidR="000E48CE" w:rsidRDefault="00FF4C4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A486ADE"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7387CE6" w14:textId="77777777" w:rsidR="000E48CE" w:rsidRDefault="00FF4C4E">
            <w:pPr>
              <w:pStyle w:val="P68B1DB1-Normal46"/>
              <w:spacing w:after="0" w:line="240" w:lineRule="auto"/>
              <w:rPr>
                <w:rFonts w:eastAsia="Times New Roman" w:cs="Times New Roman"/>
                <w:noProof/>
              </w:rPr>
            </w:pPr>
            <w:r>
              <w:rPr>
                <w:noProof/>
              </w:rPr>
              <w:t xml:space="preserve">Vetyalan edelläkävijähankkeet  </w:t>
            </w:r>
          </w:p>
        </w:tc>
      </w:tr>
      <w:tr w:rsidR="000E48CE" w14:paraId="050FC5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35DF3" w14:textId="77777777" w:rsidR="000E48CE" w:rsidRDefault="00FF4C4E">
            <w:pPr>
              <w:pStyle w:val="P68B1DB1-Normal46"/>
              <w:spacing w:after="0" w:line="240" w:lineRule="auto"/>
              <w:rPr>
                <w:rFonts w:eastAsia="Times New Roman" w:cs="Times New Roman"/>
                <w:noProof/>
              </w:rPr>
            </w:pPr>
            <w:r>
              <w:rPr>
                <w:noProof/>
              </w:rPr>
              <w:t>135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1835E1" w14:textId="77777777" w:rsidR="000E48CE" w:rsidRDefault="00FF4C4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7D7C34B"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B6BE3D2" w14:textId="77777777" w:rsidR="000E48CE" w:rsidRDefault="00FF4C4E">
            <w:pPr>
              <w:pStyle w:val="P68B1DB1-Normal46"/>
              <w:spacing w:after="0" w:line="240" w:lineRule="auto"/>
              <w:rPr>
                <w:rFonts w:eastAsia="Times New Roman" w:cs="Times New Roman"/>
                <w:noProof/>
              </w:rPr>
            </w:pPr>
            <w:r>
              <w:rPr>
                <w:noProof/>
              </w:rPr>
              <w:t>Testauslaitokset tai uudet tuotantolinjat.</w:t>
            </w:r>
          </w:p>
        </w:tc>
      </w:tr>
      <w:tr w:rsidR="000E48CE" w14:paraId="162253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40F20" w14:textId="77777777" w:rsidR="000E48CE" w:rsidRDefault="00FF4C4E">
            <w:pPr>
              <w:pStyle w:val="P68B1DB1-Normal46"/>
              <w:spacing w:after="0" w:line="240" w:lineRule="auto"/>
              <w:rPr>
                <w:rFonts w:eastAsia="Times New Roman" w:cs="Times New Roman"/>
                <w:noProof/>
              </w:rPr>
            </w:pPr>
            <w:r>
              <w:rPr>
                <w:noProof/>
              </w:rPr>
              <w:t>149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952641" w14:textId="77777777" w:rsidR="000E48CE" w:rsidRDefault="00FF4C4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1E9471B"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D59B931" w14:textId="77777777" w:rsidR="000E48CE" w:rsidRDefault="00FF4C4E">
            <w:pPr>
              <w:pStyle w:val="P68B1DB1-Normal46"/>
              <w:spacing w:after="0" w:line="240" w:lineRule="auto"/>
              <w:rPr>
                <w:rFonts w:eastAsia="Times New Roman" w:cs="Times New Roman"/>
                <w:noProof/>
              </w:rPr>
            </w:pPr>
            <w:r>
              <w:rPr>
                <w:noProof/>
              </w:rPr>
              <w:t xml:space="preserve">Uuden julkisen </w:t>
            </w:r>
            <w:r>
              <w:rPr>
                <w:noProof/>
              </w:rPr>
              <w:t>arviointielimen perussääntö</w:t>
            </w:r>
          </w:p>
        </w:tc>
      </w:tr>
      <w:tr w:rsidR="000E48CE" w14:paraId="0EFDFC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D49E" w14:textId="77777777" w:rsidR="000E48CE" w:rsidRDefault="00FF4C4E">
            <w:pPr>
              <w:pStyle w:val="P68B1DB1-Normal46"/>
              <w:spacing w:after="0" w:line="240" w:lineRule="auto"/>
              <w:rPr>
                <w:rFonts w:eastAsia="Times New Roman" w:cs="Times New Roman"/>
                <w:noProof/>
              </w:rPr>
            </w:pPr>
            <w:r>
              <w:rPr>
                <w:noProof/>
              </w:rPr>
              <w:t>437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2037FD9" w14:textId="77777777" w:rsidR="000E48CE" w:rsidRDefault="00FF4C4E">
            <w:pPr>
              <w:pStyle w:val="P68B1DB1-Normal46"/>
              <w:spacing w:after="0" w:line="240" w:lineRule="auto"/>
              <w:rPr>
                <w:rFonts w:eastAsia="Times New Roman" w:cs="Times New Roman"/>
                <w:noProof/>
              </w:rPr>
            </w:pPr>
            <w:r>
              <w:rPr>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B4C887E"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21D0963" w14:textId="77777777" w:rsidR="000E48CE" w:rsidRDefault="00FF4C4E">
            <w:pPr>
              <w:pStyle w:val="P68B1DB1-Normal46"/>
              <w:spacing w:after="0" w:line="240" w:lineRule="auto"/>
              <w:rPr>
                <w:rFonts w:eastAsia="Times New Roman" w:cs="Times New Roman"/>
                <w:noProof/>
              </w:rPr>
            </w:pPr>
            <w:r>
              <w:rPr>
                <w:noProof/>
              </w:rPr>
              <w:t>Kaksivuotisen ilmastonmuutosriskiraportin julkaiseminen rahoitusjärjestelmää varten ja kestävän rahoituksen neuvoston perustaminen</w:t>
            </w:r>
          </w:p>
        </w:tc>
      </w:tr>
      <w:tr w:rsidR="000E48CE" w14:paraId="43CD5C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DEA669" w14:textId="77777777" w:rsidR="000E48CE" w:rsidRDefault="00FF4C4E">
            <w:pPr>
              <w:pStyle w:val="P68B1DB1-Normal46"/>
              <w:spacing w:after="0" w:line="240" w:lineRule="auto"/>
              <w:rPr>
                <w:rFonts w:eastAsia="Times New Roman" w:cs="Times New Roman"/>
                <w:noProof/>
              </w:rPr>
            </w:pPr>
            <w:r>
              <w:rPr>
                <w:noProof/>
              </w:rPr>
              <w:t>160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A2EEB3" w14:textId="77777777" w:rsidR="000E48CE" w:rsidRDefault="00FF4C4E">
            <w:pPr>
              <w:pStyle w:val="P68B1DB1-Normal46"/>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DAC19B9"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E63C019" w14:textId="77777777" w:rsidR="000E48CE" w:rsidRDefault="00FF4C4E">
            <w:pPr>
              <w:pStyle w:val="P68B1DB1-Normal46"/>
              <w:spacing w:after="0" w:line="240" w:lineRule="auto"/>
              <w:rPr>
                <w:rFonts w:eastAsia="Times New Roman" w:cs="Times New Roman"/>
                <w:noProof/>
              </w:rPr>
            </w:pPr>
            <w:r>
              <w:rPr>
                <w:noProof/>
              </w:rPr>
              <w:t>Kansallisten julkisten hankintojen alustojen yhteenliittäminen</w:t>
            </w:r>
          </w:p>
        </w:tc>
      </w:tr>
      <w:tr w:rsidR="000E48CE" w14:paraId="5F5922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32133" w14:textId="77777777" w:rsidR="000E48CE" w:rsidRDefault="00FF4C4E">
            <w:pPr>
              <w:pStyle w:val="P68B1DB1-Normal46"/>
              <w:spacing w:after="0" w:line="240" w:lineRule="auto"/>
              <w:rPr>
                <w:rFonts w:eastAsia="Times New Roman" w:cs="Times New Roman"/>
                <w:noProof/>
              </w:rPr>
            </w:pPr>
            <w:r>
              <w:rPr>
                <w:noProof/>
              </w:rPr>
              <w:t>161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D74EC" w14:textId="77777777" w:rsidR="000E48CE" w:rsidRDefault="00FF4C4E">
            <w:pPr>
              <w:pStyle w:val="P68B1DB1-Normal46"/>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F7B61F2"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B693D16" w14:textId="77777777" w:rsidR="000E48CE" w:rsidRDefault="00FF4C4E">
            <w:pPr>
              <w:pStyle w:val="P68B1DB1-Normal46"/>
              <w:spacing w:after="0" w:line="240" w:lineRule="auto"/>
              <w:rPr>
                <w:rFonts w:eastAsia="Times New Roman" w:cs="Times New Roman"/>
                <w:noProof/>
              </w:rPr>
            </w:pPr>
            <w:r>
              <w:rPr>
                <w:noProof/>
              </w:rPr>
              <w:t>Keskushallinnon digitalisaatiota tukevien hankkeiden myöntäminen</w:t>
            </w:r>
          </w:p>
        </w:tc>
      </w:tr>
      <w:tr w:rsidR="000E48CE" w14:paraId="710577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07EB4" w14:textId="77777777" w:rsidR="000E48CE" w:rsidRDefault="00FF4C4E">
            <w:pPr>
              <w:pStyle w:val="P68B1DB1-Normal46"/>
              <w:spacing w:after="0" w:line="240" w:lineRule="auto"/>
              <w:rPr>
                <w:rFonts w:eastAsia="Times New Roman" w:cs="Times New Roman"/>
                <w:noProof/>
              </w:rPr>
            </w:pPr>
            <w:r>
              <w:rPr>
                <w:noProof/>
              </w:rPr>
              <w:t>163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29B914" w14:textId="77777777" w:rsidR="000E48CE" w:rsidRDefault="00FF4C4E">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ADE724"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8936BA" w14:textId="77777777" w:rsidR="000E48CE" w:rsidRDefault="00FF4C4E">
            <w:pPr>
              <w:pStyle w:val="P68B1DB1-Normal46"/>
              <w:spacing w:after="0" w:line="240" w:lineRule="auto"/>
              <w:rPr>
                <w:rFonts w:eastAsia="Times New Roman" w:cs="Times New Roman"/>
                <w:noProof/>
              </w:rPr>
            </w:pPr>
            <w:r>
              <w:rPr>
                <w:noProof/>
              </w:rPr>
              <w:t>Yhteentoimivat alustat sosiaaliturva- ja terveystietojen vaihtamiseksi</w:t>
            </w:r>
          </w:p>
        </w:tc>
      </w:tr>
      <w:tr w:rsidR="000E48CE" w14:paraId="336DFC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B0C3" w14:textId="77777777" w:rsidR="000E48CE" w:rsidRDefault="00FF4C4E">
            <w:pPr>
              <w:pStyle w:val="P68B1DB1-Normal46"/>
              <w:spacing w:after="0" w:line="240" w:lineRule="auto"/>
              <w:rPr>
                <w:rFonts w:eastAsia="Times New Roman" w:cs="Times New Roman"/>
                <w:noProof/>
              </w:rPr>
            </w:pPr>
            <w:r>
              <w:rPr>
                <w:noProof/>
              </w:rPr>
              <w:t>165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4817CF" w14:textId="77777777" w:rsidR="000E48CE" w:rsidRDefault="00FF4C4E">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4C63A7D"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3BEA288" w14:textId="77777777" w:rsidR="000E48CE" w:rsidRDefault="00FF4C4E">
            <w:pPr>
              <w:pStyle w:val="P68B1DB1-Normal46"/>
              <w:spacing w:after="0" w:line="240" w:lineRule="auto"/>
              <w:rPr>
                <w:rFonts w:eastAsia="Times New Roman" w:cs="Times New Roman"/>
                <w:noProof/>
              </w:rPr>
            </w:pPr>
            <w:r>
              <w:rPr>
                <w:noProof/>
              </w:rPr>
              <w:t xml:space="preserve">Sellaisten hankkeiden myöntäminen, joilla tuetaan keskushallinnon digitalisaation </w:t>
            </w:r>
            <w:r>
              <w:rPr>
                <w:noProof/>
              </w:rPr>
              <w:t>edistäjiä koskevia hankkeita</w:t>
            </w:r>
          </w:p>
        </w:tc>
      </w:tr>
      <w:tr w:rsidR="000E48CE" w14:paraId="3B7A13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C0F04" w14:textId="77777777" w:rsidR="000E48CE" w:rsidRDefault="00FF4C4E">
            <w:pPr>
              <w:pStyle w:val="P68B1DB1-Normal46"/>
              <w:spacing w:after="0" w:line="240" w:lineRule="auto"/>
              <w:rPr>
                <w:rFonts w:eastAsia="Times New Roman" w:cs="Times New Roman"/>
                <w:noProof/>
              </w:rPr>
            </w:pPr>
            <w:r>
              <w:rPr>
                <w:noProof/>
              </w:rPr>
              <w:t>167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88C313" w14:textId="77777777" w:rsidR="000E48CE" w:rsidRDefault="00FF4C4E">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B099B3"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4055426" w14:textId="77777777" w:rsidR="000E48CE" w:rsidRDefault="00FF4C4E">
            <w:pPr>
              <w:pStyle w:val="P68B1DB1-Normal46"/>
              <w:spacing w:after="0" w:line="240" w:lineRule="auto"/>
              <w:rPr>
                <w:rFonts w:eastAsia="Times New Roman" w:cs="Times New Roman"/>
                <w:noProof/>
              </w:rPr>
            </w:pPr>
            <w:r>
              <w:rPr>
                <w:noProof/>
              </w:rPr>
              <w:t>Alueellisten ja paikallisten yksiköiden digitalisointi</w:t>
            </w:r>
          </w:p>
        </w:tc>
      </w:tr>
      <w:tr w:rsidR="000E48CE" w14:paraId="6E5E3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F75F" w14:textId="77777777" w:rsidR="000E48CE" w:rsidRDefault="00FF4C4E">
            <w:pPr>
              <w:pStyle w:val="P68B1DB1-Normal46"/>
              <w:spacing w:after="0" w:line="240" w:lineRule="auto"/>
              <w:rPr>
                <w:rFonts w:eastAsia="Times New Roman" w:cs="Times New Roman"/>
                <w:noProof/>
              </w:rPr>
            </w:pPr>
            <w:r>
              <w:rPr>
                <w:noProof/>
              </w:rPr>
              <w:t>176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9D04E" w14:textId="77777777" w:rsidR="000E48CE" w:rsidRDefault="00FF4C4E">
            <w:pPr>
              <w:pStyle w:val="P68B1DB1-Normal46"/>
              <w:spacing w:after="0" w:line="240" w:lineRule="auto"/>
              <w:rPr>
                <w:rFonts w:eastAsia="Times New Roman" w:cs="Times New Roman"/>
                <w:noProof/>
              </w:rPr>
            </w:pPr>
            <w:r>
              <w:rPr>
                <w:noProof/>
              </w:rPr>
              <w:t>C12.R1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78FD2E"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959411" w14:textId="77777777" w:rsidR="000E48CE" w:rsidRDefault="00FF4C4E">
            <w:pPr>
              <w:pStyle w:val="P68B1DB1-Normal46"/>
              <w:spacing w:after="0" w:line="240" w:lineRule="auto"/>
              <w:rPr>
                <w:rFonts w:eastAsia="Times New Roman" w:cs="Times New Roman"/>
                <w:noProof/>
              </w:rPr>
            </w:pPr>
            <w:r>
              <w:rPr>
                <w:noProof/>
              </w:rPr>
              <w:t>Teollisuuslain voimaantulo</w:t>
            </w:r>
          </w:p>
        </w:tc>
      </w:tr>
      <w:tr w:rsidR="000E48CE" w14:paraId="7F4ECB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B7A829" w14:textId="77777777" w:rsidR="000E48CE" w:rsidRDefault="00FF4C4E">
            <w:pPr>
              <w:pStyle w:val="P68B1DB1-Normal46"/>
              <w:spacing w:after="0" w:line="240" w:lineRule="auto"/>
              <w:rPr>
                <w:rFonts w:eastAsia="Times New Roman" w:cs="Times New Roman"/>
                <w:noProof/>
              </w:rPr>
            </w:pPr>
            <w:r>
              <w:rPr>
                <w:noProof/>
              </w:rPr>
              <w:t>187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0BAF474" w14:textId="77777777" w:rsidR="000E48CE" w:rsidRDefault="00FF4C4E">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40CB86"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3CCB52A" w14:textId="77777777" w:rsidR="000E48CE" w:rsidRDefault="00FF4C4E">
            <w:pPr>
              <w:pStyle w:val="P68B1DB1-Normal46"/>
              <w:spacing w:after="0" w:line="240" w:lineRule="auto"/>
              <w:rPr>
                <w:rFonts w:eastAsia="Times New Roman" w:cs="Times New Roman"/>
                <w:noProof/>
              </w:rPr>
            </w:pPr>
            <w:r>
              <w:rPr>
                <w:noProof/>
              </w:rPr>
              <w:t xml:space="preserve">Sellaisten hankkeiden loppuun saattaminen, joilla tuetaan jätelainsäädännön täytäntöönpanoa ja </w:t>
            </w:r>
            <w:r>
              <w:rPr>
                <w:noProof/>
              </w:rPr>
              <w:t>edistetään kiertotaloutta yrityksessä</w:t>
            </w:r>
          </w:p>
        </w:tc>
      </w:tr>
      <w:tr w:rsidR="000E48CE" w14:paraId="6C959C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F00C05" w14:textId="77777777" w:rsidR="000E48CE" w:rsidRDefault="00FF4C4E">
            <w:pPr>
              <w:pStyle w:val="P68B1DB1-Normal46"/>
              <w:spacing w:after="0" w:line="240" w:lineRule="auto"/>
              <w:rPr>
                <w:rFonts w:eastAsia="Times New Roman" w:cs="Times New Roman"/>
                <w:noProof/>
              </w:rPr>
            </w:pPr>
            <w:r>
              <w:rPr>
                <w:noProof/>
              </w:rPr>
              <w:t>451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09E5C5" w14:textId="77777777" w:rsidR="000E48CE" w:rsidRDefault="00FF4C4E">
            <w:pPr>
              <w:pStyle w:val="P68B1DB1-Normal46"/>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6C09B1F"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0BC51B" w14:textId="77777777" w:rsidR="000E48CE" w:rsidRDefault="00FF4C4E">
            <w:pPr>
              <w:pStyle w:val="P68B1DB1-Normal46"/>
              <w:spacing w:after="0" w:line="240" w:lineRule="auto"/>
              <w:rPr>
                <w:rFonts w:eastAsia="Times New Roman" w:cs="Times New Roman"/>
                <w:noProof/>
              </w:rPr>
            </w:pPr>
            <w:r>
              <w:rPr>
                <w:noProof/>
              </w:rPr>
              <w:t>Yrittäjien tukemisesta ja kansainvälistymisestä 27. syyskuuta annetun lain 14/2013 muutoksen voimaantulo</w:t>
            </w:r>
          </w:p>
        </w:tc>
      </w:tr>
      <w:tr w:rsidR="000E48CE" w14:paraId="578386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6EE69" w14:textId="77777777" w:rsidR="000E48CE" w:rsidRDefault="00FF4C4E">
            <w:pPr>
              <w:pStyle w:val="P68B1DB1-Normal46"/>
              <w:spacing w:after="0" w:line="240" w:lineRule="auto"/>
              <w:rPr>
                <w:rFonts w:eastAsia="Times New Roman" w:cs="Times New Roman"/>
                <w:noProof/>
              </w:rPr>
            </w:pPr>
            <w:r>
              <w:rPr>
                <w:noProof/>
              </w:rPr>
              <w:t>194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914F9DB" w14:textId="77777777" w:rsidR="000E48CE" w:rsidRDefault="00FF4C4E">
            <w:pPr>
              <w:pStyle w:val="P68B1DB1-Normal46"/>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4C1F384"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FA7E832" w14:textId="77777777" w:rsidR="000E48CE" w:rsidRDefault="00FF4C4E">
            <w:pPr>
              <w:pStyle w:val="P68B1DB1-Normal46"/>
              <w:spacing w:after="0" w:line="240" w:lineRule="auto"/>
              <w:rPr>
                <w:rFonts w:eastAsia="Times New Roman" w:cs="Times New Roman"/>
                <w:noProof/>
              </w:rPr>
            </w:pPr>
            <w:r>
              <w:rPr>
                <w:noProof/>
              </w:rPr>
              <w:t>Yrittäjäekosysteemiä edistävistä toimenpiteistä hyötyvät käyttäjät</w:t>
            </w:r>
          </w:p>
        </w:tc>
      </w:tr>
      <w:tr w:rsidR="000E48CE" w14:paraId="1D2EB2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E422" w14:textId="77777777" w:rsidR="000E48CE" w:rsidRDefault="00FF4C4E">
            <w:pPr>
              <w:pStyle w:val="P68B1DB1-Normal46"/>
              <w:spacing w:after="0" w:line="240" w:lineRule="auto"/>
              <w:rPr>
                <w:rFonts w:eastAsia="Times New Roman" w:cs="Times New Roman"/>
                <w:noProof/>
              </w:rPr>
            </w:pPr>
            <w:r>
              <w:rPr>
                <w:noProof/>
              </w:rPr>
              <w:t>196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B41DDF2" w14:textId="77777777" w:rsidR="000E48CE" w:rsidRDefault="00FF4C4E">
            <w:pPr>
              <w:pStyle w:val="P68B1DB1-Normal46"/>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8EC4E79"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C8B75B0" w14:textId="77777777" w:rsidR="000E48CE" w:rsidRDefault="00FF4C4E">
            <w:pPr>
              <w:pStyle w:val="P68B1DB1-Normal46"/>
              <w:spacing w:after="0" w:line="240" w:lineRule="auto"/>
              <w:rPr>
                <w:rFonts w:eastAsia="Times New Roman" w:cs="Times New Roman"/>
                <w:noProof/>
              </w:rPr>
            </w:pPr>
            <w:r>
              <w:rPr>
                <w:noProof/>
              </w:rPr>
              <w:t>CERSA-takaus</w:t>
            </w:r>
          </w:p>
        </w:tc>
      </w:tr>
      <w:tr w:rsidR="000E48CE" w14:paraId="32B34F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F83AD" w14:textId="77777777" w:rsidR="000E48CE" w:rsidRDefault="00FF4C4E">
            <w:pPr>
              <w:pStyle w:val="P68B1DB1-Normal46"/>
              <w:spacing w:after="0" w:line="240" w:lineRule="auto"/>
              <w:rPr>
                <w:rFonts w:eastAsia="Times New Roman" w:cs="Times New Roman"/>
                <w:noProof/>
              </w:rPr>
            </w:pPr>
            <w:r>
              <w:rPr>
                <w:noProof/>
              </w:rPr>
              <w:t>198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BB45B5" w14:textId="77777777" w:rsidR="000E48CE" w:rsidRDefault="00FF4C4E">
            <w:pPr>
              <w:pStyle w:val="P68B1DB1-Normal46"/>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26E23FE"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67AF0C" w14:textId="77777777" w:rsidR="000E48CE" w:rsidRDefault="00FF4C4E">
            <w:pPr>
              <w:pStyle w:val="P68B1DB1-Normal46"/>
              <w:spacing w:after="0" w:line="240" w:lineRule="auto"/>
              <w:rPr>
                <w:rFonts w:eastAsia="Times New Roman" w:cs="Times New Roman"/>
                <w:noProof/>
              </w:rPr>
            </w:pPr>
            <w:r>
              <w:rPr>
                <w:noProof/>
              </w:rPr>
              <w:t>Yrittäjät ja pk-yritykset, joita tuetaan teollisuuden yrittäjyyden tukiohjelmasta</w:t>
            </w:r>
          </w:p>
        </w:tc>
      </w:tr>
      <w:tr w:rsidR="000E48CE" w14:paraId="1BFDF0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654F" w14:textId="77777777" w:rsidR="000E48CE" w:rsidRDefault="00FF4C4E">
            <w:pPr>
              <w:pStyle w:val="P68B1DB1-Normal46"/>
              <w:spacing w:after="0" w:line="240" w:lineRule="auto"/>
              <w:rPr>
                <w:rFonts w:eastAsia="Times New Roman" w:cs="Times New Roman"/>
                <w:noProof/>
              </w:rPr>
            </w:pPr>
            <w:r>
              <w:rPr>
                <w:noProof/>
              </w:rPr>
              <w:t>205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6B4EE1"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BDFD02"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A00573" w14:textId="77777777" w:rsidR="000E48CE" w:rsidRDefault="00FF4C4E">
            <w:pPr>
              <w:pStyle w:val="P68B1DB1-Normal46"/>
              <w:spacing w:after="0" w:line="240" w:lineRule="auto"/>
              <w:rPr>
                <w:rFonts w:eastAsia="Times New Roman" w:cs="Times New Roman"/>
                <w:noProof/>
              </w:rPr>
            </w:pPr>
            <w:r>
              <w:rPr>
                <w:noProof/>
              </w:rPr>
              <w:t>Muutosohjelman toimihenkilöiden talousarvion toteuttaminen</w:t>
            </w:r>
          </w:p>
        </w:tc>
      </w:tr>
      <w:tr w:rsidR="000E48CE" w14:paraId="7EC752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BFB7B" w14:textId="77777777" w:rsidR="000E48CE" w:rsidRDefault="00FF4C4E">
            <w:pPr>
              <w:pStyle w:val="P68B1DB1-Normal46"/>
              <w:spacing w:after="0" w:line="240" w:lineRule="auto"/>
              <w:rPr>
                <w:rFonts w:eastAsia="Times New Roman" w:cs="Times New Roman"/>
                <w:noProof/>
              </w:rPr>
            </w:pPr>
            <w:r>
              <w:rPr>
                <w:noProof/>
              </w:rPr>
              <w:t>206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EBB860E"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12C855"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A9C71D2" w14:textId="77777777" w:rsidR="000E48CE" w:rsidRDefault="00FF4C4E">
            <w:pPr>
              <w:pStyle w:val="P68B1DB1-Normal46"/>
              <w:spacing w:after="0" w:line="240" w:lineRule="auto"/>
              <w:rPr>
                <w:rFonts w:eastAsia="Times New Roman" w:cs="Times New Roman"/>
                <w:noProof/>
              </w:rPr>
            </w:pPr>
            <w:r>
              <w:rPr>
                <w:noProof/>
              </w:rPr>
              <w:t xml:space="preserve">Innovatiivisen yritysklusterin tukiohjelman talousarvion toteuttaminen </w:t>
            </w:r>
          </w:p>
        </w:tc>
      </w:tr>
      <w:tr w:rsidR="000E48CE" w14:paraId="1B56943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09CA5" w14:textId="77777777" w:rsidR="000E48CE" w:rsidRDefault="00FF4C4E">
            <w:pPr>
              <w:pStyle w:val="P68B1DB1-Normal46"/>
              <w:spacing w:after="0" w:line="240" w:lineRule="auto"/>
              <w:rPr>
                <w:rFonts w:eastAsia="Times New Roman" w:cs="Times New Roman"/>
                <w:noProof/>
              </w:rPr>
            </w:pPr>
            <w:r>
              <w:rPr>
                <w:noProof/>
              </w:rPr>
              <w:t>207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76495E"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5E99CC6"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303B0E" w14:textId="77777777" w:rsidR="000E48CE" w:rsidRDefault="00FF4C4E">
            <w:pPr>
              <w:pStyle w:val="P68B1DB1-Normal46"/>
              <w:spacing w:after="0" w:line="240" w:lineRule="auto"/>
              <w:rPr>
                <w:rFonts w:eastAsia="Times New Roman" w:cs="Times New Roman"/>
                <w:noProof/>
              </w:rPr>
            </w:pPr>
            <w:r>
              <w:rPr>
                <w:noProof/>
              </w:rPr>
              <w:t>Digitaali-innovaatiokeskittymien ohjelman talousarvion toteuttaminen</w:t>
            </w:r>
          </w:p>
        </w:tc>
      </w:tr>
      <w:tr w:rsidR="000E48CE" w14:paraId="299FB6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05C24" w14:textId="77777777" w:rsidR="000E48CE" w:rsidRDefault="00FF4C4E">
            <w:pPr>
              <w:pStyle w:val="P68B1DB1-Normal46"/>
              <w:spacing w:after="0" w:line="240" w:lineRule="auto"/>
              <w:rPr>
                <w:rFonts w:eastAsia="Times New Roman" w:cs="Times New Roman"/>
                <w:noProof/>
              </w:rPr>
            </w:pPr>
            <w:r>
              <w:rPr>
                <w:noProof/>
              </w:rPr>
              <w:t>210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E5BB555" w14:textId="77777777" w:rsidR="000E48CE" w:rsidRDefault="00FF4C4E">
            <w:pPr>
              <w:pStyle w:val="P68B1DB1-Normal46"/>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F485911"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8DBD31" w14:textId="77777777" w:rsidR="000E48CE" w:rsidRDefault="00FF4C4E">
            <w:pPr>
              <w:pStyle w:val="P68B1DB1-Normal46"/>
              <w:spacing w:after="0" w:line="240" w:lineRule="auto"/>
              <w:rPr>
                <w:rFonts w:eastAsia="Times New Roman" w:cs="Times New Roman"/>
                <w:noProof/>
              </w:rPr>
            </w:pPr>
            <w:r>
              <w:rPr>
                <w:noProof/>
              </w:rPr>
              <w:t>Teknologiarahastosta tukea saaneet pk-yritykset ja elinkeinoelämän järjestöt</w:t>
            </w:r>
          </w:p>
        </w:tc>
      </w:tr>
      <w:tr w:rsidR="000E48CE" w14:paraId="1751BA0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2455D7" w14:textId="77777777" w:rsidR="000E48CE" w:rsidRDefault="00FF4C4E">
            <w:pPr>
              <w:pStyle w:val="P68B1DB1-Normal46"/>
              <w:spacing w:after="0" w:line="240" w:lineRule="auto"/>
              <w:rPr>
                <w:rFonts w:eastAsia="Times New Roman" w:cs="Times New Roman"/>
                <w:noProof/>
              </w:rPr>
            </w:pPr>
            <w:r>
              <w:rPr>
                <w:noProof/>
              </w:rPr>
              <w:t>219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FFE188F" w14:textId="77777777" w:rsidR="000E48CE" w:rsidRDefault="00FF4C4E">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200FEBE"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397BDD" w14:textId="77777777" w:rsidR="000E48CE" w:rsidRDefault="00FF4C4E">
            <w:pPr>
              <w:pStyle w:val="P68B1DB1-Normal46"/>
              <w:spacing w:after="0" w:line="240" w:lineRule="auto"/>
              <w:rPr>
                <w:rFonts w:eastAsia="Times New Roman" w:cs="Times New Roman"/>
                <w:noProof/>
              </w:rPr>
            </w:pPr>
            <w:r>
              <w:rPr>
                <w:noProof/>
              </w:rPr>
              <w:t>Matkailun kestävyyttä edistäville suunnitelmille myönnettävä talousarvio</w:t>
            </w:r>
          </w:p>
        </w:tc>
      </w:tr>
      <w:tr w:rsidR="000E48CE" w14:paraId="6DB9E1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9A7C8" w14:textId="77777777" w:rsidR="000E48CE" w:rsidRDefault="00FF4C4E">
            <w:pPr>
              <w:pStyle w:val="P68B1DB1-Normal46"/>
              <w:spacing w:after="0" w:line="240" w:lineRule="auto"/>
              <w:rPr>
                <w:rFonts w:eastAsia="Times New Roman" w:cs="Times New Roman"/>
                <w:noProof/>
              </w:rPr>
            </w:pPr>
            <w:r>
              <w:rPr>
                <w:noProof/>
              </w:rPr>
              <w:t>236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B868151" w14:textId="77777777" w:rsidR="000E48CE" w:rsidRDefault="00FF4C4E">
            <w:pPr>
              <w:pStyle w:val="P68B1DB1-Normal46"/>
              <w:spacing w:after="0" w:line="240" w:lineRule="auto"/>
              <w:rPr>
                <w:rFonts w:eastAsia="Times New Roman" w:cs="Times New Roman"/>
                <w:noProof/>
              </w:rPr>
            </w:pPr>
            <w:r>
              <w:rPr>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1BDC38"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1DBF104" w14:textId="77777777" w:rsidR="000E48CE" w:rsidRDefault="00FF4C4E">
            <w:pPr>
              <w:pStyle w:val="P68B1DB1-Normal46"/>
              <w:spacing w:after="0" w:line="240" w:lineRule="auto"/>
              <w:rPr>
                <w:rFonts w:eastAsia="Times New Roman" w:cs="Times New Roman"/>
                <w:noProof/>
              </w:rPr>
            </w:pPr>
            <w:r>
              <w:rPr>
                <w:noProof/>
              </w:rPr>
              <w:t>Ultranopean laajakaistan käyttöönotto: palkinto</w:t>
            </w:r>
          </w:p>
        </w:tc>
      </w:tr>
      <w:tr w:rsidR="000E48CE" w14:paraId="5151DB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9DB34" w14:textId="77777777" w:rsidR="000E48CE" w:rsidRDefault="00FF4C4E">
            <w:pPr>
              <w:pStyle w:val="P68B1DB1-Normal46"/>
              <w:spacing w:after="0" w:line="240" w:lineRule="auto"/>
              <w:rPr>
                <w:rFonts w:eastAsia="Times New Roman" w:cs="Times New Roman"/>
                <w:noProof/>
              </w:rPr>
            </w:pPr>
            <w:r>
              <w:rPr>
                <w:noProof/>
              </w:rPr>
              <w:t>246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82B062D" w14:textId="77777777" w:rsidR="000E48CE" w:rsidRDefault="00FF4C4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98AD3C"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3ABC2C" w14:textId="77777777" w:rsidR="000E48CE" w:rsidRDefault="00FF4C4E">
            <w:pPr>
              <w:pStyle w:val="P68B1DB1-Normal46"/>
              <w:spacing w:after="0" w:line="240" w:lineRule="auto"/>
              <w:rPr>
                <w:rFonts w:eastAsia="Times New Roman" w:cs="Times New Roman"/>
                <w:noProof/>
              </w:rPr>
            </w:pPr>
            <w:r>
              <w:rPr>
                <w:noProof/>
              </w:rPr>
              <w:t>Kyberturvallisuusvalmiuksien vahvistaminen ja parantaminen: Resurssit</w:t>
            </w:r>
          </w:p>
        </w:tc>
      </w:tr>
      <w:tr w:rsidR="000E48CE" w14:paraId="18446A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D26F6" w14:textId="77777777" w:rsidR="000E48CE" w:rsidRDefault="00FF4C4E">
            <w:pPr>
              <w:pStyle w:val="P68B1DB1-Normal46"/>
              <w:spacing w:after="0" w:line="240" w:lineRule="auto"/>
              <w:rPr>
                <w:rFonts w:eastAsia="Times New Roman" w:cs="Times New Roman"/>
                <w:noProof/>
              </w:rPr>
            </w:pPr>
            <w:r>
              <w:rPr>
                <w:noProof/>
              </w:rPr>
              <w:t>251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6DC8FC5" w14:textId="77777777" w:rsidR="000E48CE" w:rsidRDefault="00FF4C4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68461B2"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A49711" w14:textId="77777777" w:rsidR="000E48CE" w:rsidRDefault="00FF4C4E">
            <w:pPr>
              <w:pStyle w:val="P68B1DB1-Normal46"/>
              <w:spacing w:after="0" w:line="240" w:lineRule="auto"/>
              <w:rPr>
                <w:rFonts w:eastAsia="Times New Roman" w:cs="Times New Roman"/>
                <w:noProof/>
              </w:rPr>
            </w:pPr>
            <w:r>
              <w:rPr>
                <w:noProof/>
              </w:rPr>
              <w:t xml:space="preserve">Tekoälyhankkeiden tukeminen </w:t>
            </w:r>
          </w:p>
        </w:tc>
      </w:tr>
      <w:tr w:rsidR="000E48CE" w14:paraId="3B57AB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C0113" w14:textId="77777777" w:rsidR="000E48CE" w:rsidRDefault="00FF4C4E">
            <w:pPr>
              <w:pStyle w:val="P68B1DB1-Normal46"/>
              <w:spacing w:after="0" w:line="240" w:lineRule="auto"/>
              <w:rPr>
                <w:rFonts w:eastAsia="Times New Roman" w:cs="Times New Roman"/>
                <w:noProof/>
              </w:rPr>
            </w:pPr>
            <w:r>
              <w:rPr>
                <w:noProof/>
              </w:rPr>
              <w:t>256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B1ECC0" w14:textId="77777777" w:rsidR="000E48CE" w:rsidRDefault="00FF4C4E">
            <w:pPr>
              <w:pStyle w:val="P68B1DB1-Normal46"/>
              <w:spacing w:after="0" w:line="240" w:lineRule="auto"/>
              <w:rPr>
                <w:rFonts w:eastAsia="Times New Roman" w:cs="Times New Roman"/>
                <w:noProof/>
              </w:rPr>
            </w:pPr>
            <w:r>
              <w:rPr>
                <w:noProof/>
              </w:rPr>
              <w:t>C17.R2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CD45A17"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991041E" w14:textId="77777777" w:rsidR="000E48CE" w:rsidRDefault="00FF4C4E">
            <w:pPr>
              <w:pStyle w:val="P68B1DB1-Normal46"/>
              <w:spacing w:after="0" w:line="240" w:lineRule="auto"/>
              <w:rPr>
                <w:rFonts w:eastAsia="Times New Roman" w:cs="Times New Roman"/>
                <w:noProof/>
              </w:rPr>
            </w:pPr>
            <w:r>
              <w:rPr>
                <w:noProof/>
              </w:rPr>
              <w:t xml:space="preserve">Espanjan tiede-, teknologia- ja innovaatiostrategian 2021–2027 väliarviointi </w:t>
            </w:r>
          </w:p>
        </w:tc>
      </w:tr>
      <w:tr w:rsidR="000E48CE" w14:paraId="7DB24D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5793D" w14:textId="77777777" w:rsidR="000E48CE" w:rsidRDefault="00FF4C4E">
            <w:pPr>
              <w:pStyle w:val="P68B1DB1-Normal46"/>
              <w:spacing w:after="0" w:line="240" w:lineRule="auto"/>
              <w:rPr>
                <w:rFonts w:eastAsia="Times New Roman" w:cs="Times New Roman"/>
                <w:noProof/>
              </w:rPr>
            </w:pPr>
            <w:r>
              <w:rPr>
                <w:noProof/>
              </w:rPr>
              <w:t>265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E8D661" w14:textId="77777777" w:rsidR="000E48CE" w:rsidRDefault="00FF4C4E">
            <w:pPr>
              <w:pStyle w:val="P68B1DB1-Normal46"/>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750A14"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1055A4" w14:textId="77777777" w:rsidR="000E48CE" w:rsidRDefault="00FF4C4E">
            <w:pPr>
              <w:pStyle w:val="P68B1DB1-Normal46"/>
              <w:spacing w:after="0" w:line="240" w:lineRule="auto"/>
              <w:rPr>
                <w:rFonts w:eastAsia="Times New Roman" w:cs="Times New Roman"/>
                <w:noProof/>
              </w:rPr>
            </w:pPr>
            <w:r>
              <w:rPr>
                <w:noProof/>
              </w:rPr>
              <w:t xml:space="preserve">Innovatiiviset ja teknologiapohjaiset yritykset ovat saaneet pääomaa Innvierte-ohjelmasta vahvistaakseen tutkimustoimintaansa varhaisessa vaiheessa. </w:t>
            </w:r>
          </w:p>
        </w:tc>
      </w:tr>
      <w:tr w:rsidR="000E48CE" w14:paraId="594100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52BE" w14:textId="77777777" w:rsidR="000E48CE" w:rsidRDefault="00FF4C4E">
            <w:pPr>
              <w:pStyle w:val="P68B1DB1-Normal46"/>
              <w:spacing w:after="0" w:line="240" w:lineRule="auto"/>
              <w:rPr>
                <w:rFonts w:eastAsia="Times New Roman" w:cs="Times New Roman"/>
                <w:noProof/>
              </w:rPr>
            </w:pPr>
            <w:r>
              <w:rPr>
                <w:noProof/>
              </w:rPr>
              <w:t>271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E115D1" w14:textId="77777777" w:rsidR="000E48CE" w:rsidRDefault="00FF4C4E">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60EE81E"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EB7DAD" w14:textId="77777777" w:rsidR="000E48CE" w:rsidRDefault="00FF4C4E">
            <w:pPr>
              <w:pStyle w:val="P68B1DB1-Normal46"/>
              <w:spacing w:after="0" w:line="240" w:lineRule="auto"/>
              <w:rPr>
                <w:rFonts w:eastAsia="Times New Roman" w:cs="Times New Roman"/>
                <w:noProof/>
              </w:rPr>
            </w:pPr>
            <w:r>
              <w:rPr>
                <w:noProof/>
              </w:rPr>
              <w:t>Tuki ilmailu- ja avaruusalan T &amp; K &amp; Innovaatiohankkeille, joissa keskitytään vähäpäästöisii</w:t>
            </w:r>
            <w:r>
              <w:rPr>
                <w:noProof/>
              </w:rPr>
              <w:t xml:space="preserve">n ja päästöttömiin päästöihin  </w:t>
            </w:r>
          </w:p>
        </w:tc>
      </w:tr>
      <w:tr w:rsidR="000E48CE" w14:paraId="35B10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AB570" w14:textId="77777777" w:rsidR="000E48CE" w:rsidRDefault="00FF4C4E">
            <w:pPr>
              <w:pStyle w:val="P68B1DB1-Normal46"/>
              <w:spacing w:after="0" w:line="240" w:lineRule="auto"/>
              <w:rPr>
                <w:rFonts w:eastAsia="Times New Roman" w:cs="Times New Roman"/>
                <w:noProof/>
              </w:rPr>
            </w:pPr>
            <w:r>
              <w:rPr>
                <w:noProof/>
              </w:rPr>
              <w:t>275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49F6865" w14:textId="77777777" w:rsidR="000E48CE" w:rsidRDefault="00FF4C4E">
            <w:pPr>
              <w:pStyle w:val="P68B1DB1-Normal46"/>
              <w:spacing w:after="0" w:line="240" w:lineRule="auto"/>
              <w:rPr>
                <w:rFonts w:eastAsia="Times New Roman" w:cs="Times New Roman"/>
                <w:noProof/>
              </w:rPr>
            </w:pPr>
            <w:r>
              <w:rPr>
                <w:noProof/>
              </w:rPr>
              <w:t>C18.R3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74DB50"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0E3FC3" w14:textId="77777777" w:rsidR="000E48CE" w:rsidRDefault="00FF4C4E">
            <w:pPr>
              <w:pStyle w:val="P68B1DB1-Normal46"/>
              <w:spacing w:after="0" w:line="240" w:lineRule="auto"/>
              <w:rPr>
                <w:rFonts w:eastAsia="Times New Roman" w:cs="Times New Roman"/>
                <w:noProof/>
              </w:rPr>
            </w:pPr>
            <w:r>
              <w:rPr>
                <w:noProof/>
              </w:rPr>
              <w:t>Laki kansallisen terveydenhuoltojärjestelmän tasapuolisuudesta, yleismaailmallisuudesta ja yhteenkuuluvuudesta, erittäin monimutkaisen hoidon uudelleensuuntaamisesta ja yhteisen palveluvalikoiman lisäämisestä</w:t>
            </w:r>
          </w:p>
        </w:tc>
      </w:tr>
      <w:tr w:rsidR="000E48CE" w14:paraId="37A9E3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B6A6E6" w14:textId="77777777" w:rsidR="000E48CE" w:rsidRDefault="00FF4C4E">
            <w:pPr>
              <w:pStyle w:val="P68B1DB1-Normal46"/>
              <w:spacing w:after="0" w:line="240" w:lineRule="auto"/>
              <w:rPr>
                <w:rFonts w:eastAsia="Times New Roman" w:cs="Times New Roman"/>
                <w:noProof/>
              </w:rPr>
            </w:pPr>
            <w:r>
              <w:rPr>
                <w:noProof/>
              </w:rPr>
              <w:t>276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2DB234" w14:textId="77777777" w:rsidR="000E48CE" w:rsidRDefault="00FF4C4E">
            <w:pPr>
              <w:pStyle w:val="P68B1DB1-Normal46"/>
              <w:spacing w:after="0" w:line="240" w:lineRule="auto"/>
              <w:rPr>
                <w:rFonts w:eastAsia="Times New Roman" w:cs="Times New Roman"/>
                <w:noProof/>
              </w:rPr>
            </w:pPr>
            <w:r>
              <w:rPr>
                <w:noProof/>
              </w:rPr>
              <w:t>C18.R4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81A36E7"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916BB" w14:textId="77777777" w:rsidR="000E48CE" w:rsidRDefault="00FF4C4E">
            <w:pPr>
              <w:pStyle w:val="P68B1DB1-Normal46"/>
              <w:spacing w:after="0" w:line="240" w:lineRule="auto"/>
              <w:rPr>
                <w:rFonts w:eastAsia="Times New Roman" w:cs="Times New Roman"/>
                <w:noProof/>
              </w:rPr>
            </w:pPr>
            <w:r>
              <w:rPr>
                <w:noProof/>
              </w:rPr>
              <w:t>Laki lakisääteisen terveydenhuoltohenkilöstön perussäännöstä ja erikoistuneen terveydenhuollon koulutusjärjestelmän parantamisesta</w:t>
            </w:r>
          </w:p>
        </w:tc>
      </w:tr>
      <w:tr w:rsidR="000E48CE" w14:paraId="256B8A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83CC7" w14:textId="77777777" w:rsidR="000E48CE" w:rsidRDefault="00FF4C4E">
            <w:pPr>
              <w:pStyle w:val="P68B1DB1-Normal46"/>
              <w:spacing w:after="0" w:line="240" w:lineRule="auto"/>
              <w:rPr>
                <w:rFonts w:eastAsia="Times New Roman" w:cs="Times New Roman"/>
                <w:noProof/>
              </w:rPr>
            </w:pPr>
            <w:r>
              <w:rPr>
                <w:noProof/>
              </w:rPr>
              <w:t>277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904B07" w14:textId="77777777" w:rsidR="000E48CE" w:rsidRDefault="00FF4C4E">
            <w:pPr>
              <w:pStyle w:val="P68B1DB1-Normal46"/>
              <w:spacing w:after="0" w:line="240" w:lineRule="auto"/>
              <w:rPr>
                <w:rFonts w:eastAsia="Times New Roman" w:cs="Times New Roman"/>
                <w:noProof/>
              </w:rPr>
            </w:pPr>
            <w:r>
              <w:rPr>
                <w:noProof/>
              </w:rPr>
              <w:t>C18.R5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E9B0FE1"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DBCF765" w14:textId="77777777" w:rsidR="000E48CE" w:rsidRDefault="00FF4C4E">
            <w:pPr>
              <w:pStyle w:val="P68B1DB1-Normal46"/>
              <w:spacing w:after="0" w:line="240" w:lineRule="auto"/>
              <w:rPr>
                <w:rFonts w:eastAsia="Times New Roman" w:cs="Times New Roman"/>
                <w:noProof/>
              </w:rPr>
            </w:pPr>
            <w:r>
              <w:rPr>
                <w:noProof/>
              </w:rPr>
              <w:t xml:space="preserve">Laki lääkkeiden takuista ja järkevästä käytöstä </w:t>
            </w:r>
          </w:p>
        </w:tc>
      </w:tr>
      <w:tr w:rsidR="000E48CE" w14:paraId="49A09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19C52" w14:textId="77777777" w:rsidR="000E48CE" w:rsidRDefault="00FF4C4E">
            <w:pPr>
              <w:pStyle w:val="P68B1DB1-Normal46"/>
              <w:spacing w:after="0" w:line="240" w:lineRule="auto"/>
              <w:rPr>
                <w:rFonts w:eastAsia="Times New Roman" w:cs="Times New Roman"/>
                <w:noProof/>
              </w:rPr>
            </w:pPr>
            <w:r>
              <w:rPr>
                <w:noProof/>
              </w:rPr>
              <w:t>279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7F6CECE" w14:textId="77777777" w:rsidR="000E48CE" w:rsidRDefault="00FF4C4E">
            <w:pPr>
              <w:pStyle w:val="P68B1DB1-Normal46"/>
              <w:spacing w:after="0" w:line="240" w:lineRule="auto"/>
              <w:rPr>
                <w:rFonts w:eastAsia="Times New Roman" w:cs="Times New Roman"/>
                <w:noProof/>
              </w:rPr>
            </w:pPr>
            <w:r>
              <w:rPr>
                <w:noProof/>
              </w:rPr>
              <w:t>C18.I1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2688696"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EFFE27C" w14:textId="77777777" w:rsidR="000E48CE" w:rsidRDefault="00FF4C4E">
            <w:pPr>
              <w:pStyle w:val="P68B1DB1-Normal46"/>
              <w:spacing w:after="0" w:line="240" w:lineRule="auto"/>
              <w:rPr>
                <w:rFonts w:eastAsia="Times New Roman" w:cs="Times New Roman"/>
                <w:noProof/>
              </w:rPr>
            </w:pPr>
            <w:r>
              <w:rPr>
                <w:noProof/>
              </w:rPr>
              <w:t xml:space="preserve">Laitteiden asennus/uusiminen/laajentaminen </w:t>
            </w:r>
          </w:p>
        </w:tc>
      </w:tr>
      <w:tr w:rsidR="000E48CE" w14:paraId="016E50E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145715" w14:textId="77777777" w:rsidR="000E48CE" w:rsidRDefault="00FF4C4E">
            <w:pPr>
              <w:pStyle w:val="P68B1DB1-Normal46"/>
              <w:spacing w:after="0" w:line="240" w:lineRule="auto"/>
              <w:rPr>
                <w:rFonts w:eastAsia="Times New Roman" w:cs="Times New Roman"/>
                <w:noProof/>
              </w:rPr>
            </w:pPr>
            <w:r>
              <w:rPr>
                <w:noProof/>
              </w:rPr>
              <w:t>280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5D8915" w14:textId="77777777" w:rsidR="000E48CE" w:rsidRDefault="00FF4C4E">
            <w:pPr>
              <w:pStyle w:val="P68B1DB1-Normal46"/>
              <w:spacing w:after="0" w:line="240" w:lineRule="auto"/>
              <w:rPr>
                <w:rFonts w:eastAsia="Times New Roman" w:cs="Times New Roman"/>
                <w:noProof/>
              </w:rPr>
            </w:pPr>
            <w:r>
              <w:rPr>
                <w:noProof/>
              </w:rPr>
              <w:t>C18.I2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C60DD46"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7675" w14:textId="77777777" w:rsidR="000E48CE" w:rsidRDefault="00FF4C4E">
            <w:pPr>
              <w:pStyle w:val="P68B1DB1-Normal46"/>
              <w:spacing w:after="0" w:line="240" w:lineRule="auto"/>
              <w:rPr>
                <w:rFonts w:eastAsia="Times New Roman" w:cs="Times New Roman"/>
                <w:noProof/>
              </w:rPr>
            </w:pPr>
            <w:r>
              <w:rPr>
                <w:noProof/>
              </w:rPr>
              <w:t>Kansanterveyskampanjat ja -toimet</w:t>
            </w:r>
          </w:p>
        </w:tc>
      </w:tr>
      <w:tr w:rsidR="000E48CE" w14:paraId="57FA99B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28510" w14:textId="77777777" w:rsidR="000E48CE" w:rsidRDefault="00FF4C4E">
            <w:pPr>
              <w:pStyle w:val="P68B1DB1-Normal46"/>
              <w:spacing w:after="0" w:line="240" w:lineRule="auto"/>
              <w:rPr>
                <w:rFonts w:eastAsia="Times New Roman" w:cs="Times New Roman"/>
                <w:noProof/>
              </w:rPr>
            </w:pPr>
            <w:r>
              <w:rPr>
                <w:noProof/>
              </w:rPr>
              <w:t>282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75773CE" w14:textId="77777777" w:rsidR="000E48CE" w:rsidRDefault="00FF4C4E">
            <w:pPr>
              <w:pStyle w:val="P68B1DB1-Normal46"/>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0285A2"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CD531E" w14:textId="77777777" w:rsidR="000E48CE" w:rsidRDefault="00FF4C4E">
            <w:pPr>
              <w:pStyle w:val="P68B1DB1-Normal46"/>
              <w:spacing w:after="0" w:line="240" w:lineRule="auto"/>
              <w:rPr>
                <w:rFonts w:eastAsia="Times New Roman" w:cs="Times New Roman"/>
                <w:noProof/>
              </w:rPr>
            </w:pPr>
            <w:r>
              <w:rPr>
                <w:noProof/>
              </w:rPr>
              <w:t xml:space="preserve">Jatkokoulutussuunnitelmien puitteissa koulutetut terveydenhuollon ammattilaiset </w:t>
            </w:r>
          </w:p>
        </w:tc>
      </w:tr>
      <w:tr w:rsidR="000E48CE" w14:paraId="2E466A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E8C5EC" w14:textId="77777777" w:rsidR="000E48CE" w:rsidRDefault="00FF4C4E">
            <w:pPr>
              <w:pStyle w:val="P68B1DB1-Normal46"/>
              <w:spacing w:after="0" w:line="240" w:lineRule="auto"/>
              <w:rPr>
                <w:rFonts w:eastAsia="Times New Roman" w:cs="Times New Roman"/>
                <w:noProof/>
              </w:rPr>
            </w:pPr>
            <w:r>
              <w:rPr>
                <w:noProof/>
              </w:rPr>
              <w:t>283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FDB58A" w14:textId="77777777" w:rsidR="000E48CE" w:rsidRDefault="00FF4C4E">
            <w:pPr>
              <w:pStyle w:val="P68B1DB1-Normal46"/>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2A61EC"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FFB7F10" w14:textId="77777777" w:rsidR="000E48CE" w:rsidRDefault="00FF4C4E">
            <w:pPr>
              <w:pStyle w:val="P68B1DB1-Normal46"/>
              <w:spacing w:after="0" w:line="240" w:lineRule="auto"/>
              <w:rPr>
                <w:rFonts w:eastAsia="Times New Roman" w:cs="Times New Roman"/>
                <w:noProof/>
              </w:rPr>
            </w:pPr>
            <w:r>
              <w:rPr>
                <w:noProof/>
              </w:rPr>
              <w:t xml:space="preserve">VALTERM ED -järjestelmä ja kansallisen </w:t>
            </w:r>
            <w:r>
              <w:rPr>
                <w:noProof/>
              </w:rPr>
              <w:t>terveydenhuoltojärjestelmän terveysteknologioiden ja -etujen arviointifoorumi</w:t>
            </w:r>
          </w:p>
        </w:tc>
      </w:tr>
      <w:tr w:rsidR="000E48CE" w14:paraId="3DD0F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283FC" w14:textId="77777777" w:rsidR="000E48CE" w:rsidRDefault="00FF4C4E">
            <w:pPr>
              <w:pStyle w:val="P68B1DB1-Normal46"/>
              <w:spacing w:after="0" w:line="240" w:lineRule="auto"/>
              <w:rPr>
                <w:rFonts w:eastAsia="Times New Roman" w:cs="Times New Roman"/>
                <w:noProof/>
              </w:rPr>
            </w:pPr>
            <w:r>
              <w:rPr>
                <w:noProof/>
              </w:rPr>
              <w:t>284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00E36DC" w14:textId="77777777" w:rsidR="000E48CE" w:rsidRDefault="00FF4C4E">
            <w:pPr>
              <w:pStyle w:val="P68B1DB1-Normal46"/>
              <w:spacing w:after="0" w:line="240" w:lineRule="auto"/>
              <w:rPr>
                <w:rFonts w:eastAsia="Times New Roman" w:cs="Times New Roman"/>
                <w:noProof/>
              </w:rPr>
            </w:pPr>
            <w:r>
              <w:rPr>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C5B675E"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9996BFE" w14:textId="77777777" w:rsidR="000E48CE" w:rsidRDefault="00FF4C4E">
            <w:pPr>
              <w:pStyle w:val="P68B1DB1-Normal46"/>
              <w:spacing w:after="0" w:line="240" w:lineRule="auto"/>
              <w:rPr>
                <w:rFonts w:eastAsia="Times New Roman" w:cs="Times New Roman"/>
                <w:noProof/>
              </w:rPr>
            </w:pPr>
            <w:r>
              <w:rPr>
                <w:noProof/>
              </w:rPr>
              <w:t xml:space="preserve">Terveystietojärven toimintakunnossa </w:t>
            </w:r>
          </w:p>
        </w:tc>
      </w:tr>
      <w:tr w:rsidR="000E48CE" w14:paraId="1A979D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CABB4" w14:textId="77777777" w:rsidR="000E48CE" w:rsidRDefault="00FF4C4E">
            <w:pPr>
              <w:pStyle w:val="P68B1DB1-Normal46"/>
              <w:spacing w:after="0" w:line="240" w:lineRule="auto"/>
              <w:rPr>
                <w:rFonts w:eastAsia="Times New Roman" w:cs="Times New Roman"/>
                <w:noProof/>
              </w:rPr>
            </w:pPr>
            <w:r>
              <w:rPr>
                <w:noProof/>
              </w:rPr>
              <w:t>286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73C891" w14:textId="77777777" w:rsidR="000E48CE" w:rsidRDefault="00FF4C4E">
            <w:pPr>
              <w:pStyle w:val="P68B1DB1-Normal46"/>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0E25B04"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6CA5125" w14:textId="77777777" w:rsidR="000E48CE" w:rsidRDefault="00FF4C4E">
            <w:pPr>
              <w:pStyle w:val="P68B1DB1-Normal46"/>
              <w:spacing w:after="0" w:line="240" w:lineRule="auto"/>
              <w:rPr>
                <w:rFonts w:eastAsia="Times New Roman" w:cs="Times New Roman"/>
                <w:noProof/>
              </w:rPr>
            </w:pPr>
            <w:r>
              <w:rPr>
                <w:noProof/>
              </w:rPr>
              <w:t>Digitaalisia taitoja koskeva kansalaisten koulutus.</w:t>
            </w:r>
          </w:p>
        </w:tc>
      </w:tr>
      <w:tr w:rsidR="000E48CE" w14:paraId="318F3A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BEBFD" w14:textId="77777777" w:rsidR="000E48CE" w:rsidRDefault="00FF4C4E">
            <w:pPr>
              <w:pStyle w:val="P68B1DB1-Normal46"/>
              <w:spacing w:after="0" w:line="240" w:lineRule="auto"/>
              <w:rPr>
                <w:rFonts w:eastAsia="Times New Roman" w:cs="Times New Roman"/>
                <w:noProof/>
              </w:rPr>
            </w:pPr>
            <w:r>
              <w:rPr>
                <w:noProof/>
              </w:rPr>
              <w:t>308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3E91633" w14:textId="77777777" w:rsidR="000E48CE" w:rsidRDefault="00FF4C4E">
            <w:pPr>
              <w:pStyle w:val="P68B1DB1-Normal46"/>
              <w:spacing w:after="0" w:line="240" w:lineRule="auto"/>
              <w:rPr>
                <w:rFonts w:eastAsia="Times New Roman" w:cs="Times New Roman"/>
                <w:noProof/>
              </w:rPr>
            </w:pPr>
            <w:r>
              <w:rPr>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005770C"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CB4DD01" w14:textId="77777777" w:rsidR="000E48CE" w:rsidRDefault="00FF4C4E">
            <w:pPr>
              <w:pStyle w:val="P68B1DB1-Normal46"/>
              <w:spacing w:after="0" w:line="240" w:lineRule="auto"/>
              <w:rPr>
                <w:rFonts w:eastAsia="Times New Roman" w:cs="Times New Roman"/>
                <w:noProof/>
              </w:rPr>
            </w:pPr>
            <w:r>
              <w:rPr>
                <w:noProof/>
              </w:rPr>
              <w:t xml:space="preserve">Talousarviopalkinto varhaiskasvatuksen ensimmäisen syklin edistämisestä </w:t>
            </w:r>
          </w:p>
        </w:tc>
      </w:tr>
      <w:tr w:rsidR="000E48CE" w14:paraId="376B6D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C1DB0A" w14:textId="77777777" w:rsidR="000E48CE" w:rsidRDefault="00FF4C4E">
            <w:pPr>
              <w:pStyle w:val="P68B1DB1-Normal46"/>
              <w:spacing w:after="0" w:line="240" w:lineRule="auto"/>
              <w:rPr>
                <w:rFonts w:eastAsia="Times New Roman" w:cs="Times New Roman"/>
                <w:noProof/>
              </w:rPr>
            </w:pPr>
            <w:r>
              <w:rPr>
                <w:noProof/>
              </w:rPr>
              <w:t>312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CEE3E" w14:textId="77777777" w:rsidR="000E48CE" w:rsidRDefault="00FF4C4E">
            <w:pPr>
              <w:pStyle w:val="P68B1DB1-Normal46"/>
              <w:spacing w:after="0" w:line="240" w:lineRule="auto"/>
              <w:rPr>
                <w:rFonts w:eastAsia="Times New Roman" w:cs="Times New Roman"/>
                <w:noProof/>
              </w:rPr>
            </w:pPr>
            <w:r>
              <w:rPr>
                <w:noProof/>
              </w:rPr>
              <w:t>C21.I4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4C91AB"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7D4275" w14:textId="77777777" w:rsidR="000E48CE" w:rsidRDefault="00FF4C4E">
            <w:pPr>
              <w:pStyle w:val="P68B1DB1-Normal46"/>
              <w:spacing w:after="0" w:line="240" w:lineRule="auto"/>
              <w:rPr>
                <w:rFonts w:eastAsia="Times New Roman" w:cs="Times New Roman"/>
                <w:noProof/>
              </w:rPr>
            </w:pPr>
            <w:r>
              <w:rPr>
                <w:noProof/>
              </w:rPr>
              <w:t>Apurahat ja avustukset tohtorintutkinnon suorittaneille opiskelijoille, apulaisprofessseille ja tutkijoille</w:t>
            </w:r>
          </w:p>
        </w:tc>
      </w:tr>
      <w:tr w:rsidR="000E48CE" w14:paraId="3C0DB4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5D4FA3" w14:textId="77777777" w:rsidR="000E48CE" w:rsidRDefault="00FF4C4E">
            <w:pPr>
              <w:pStyle w:val="P68B1DB1-Normal46"/>
              <w:spacing w:after="0" w:line="240" w:lineRule="auto"/>
              <w:rPr>
                <w:rFonts w:eastAsia="Times New Roman" w:cs="Times New Roman"/>
                <w:noProof/>
              </w:rPr>
            </w:pPr>
            <w:r>
              <w:rPr>
                <w:noProof/>
              </w:rPr>
              <w:t>313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C4FC9A" w14:textId="77777777" w:rsidR="000E48CE" w:rsidRDefault="00FF4C4E">
            <w:pPr>
              <w:pStyle w:val="P68B1DB1-Normal46"/>
              <w:spacing w:after="0" w:line="240" w:lineRule="auto"/>
              <w:rPr>
                <w:rFonts w:eastAsia="Times New Roman" w:cs="Times New Roman"/>
                <w:noProof/>
              </w:rPr>
            </w:pPr>
            <w:r>
              <w:rPr>
                <w:noProof/>
              </w:rPr>
              <w:t>C21.I5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51B785D"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E54827" w14:textId="77777777" w:rsidR="000E48CE" w:rsidRDefault="00FF4C4E">
            <w:pPr>
              <w:pStyle w:val="P68B1DB1-Normal46"/>
              <w:spacing w:after="0" w:line="240" w:lineRule="auto"/>
              <w:rPr>
                <w:rFonts w:eastAsia="Times New Roman" w:cs="Times New Roman"/>
                <w:noProof/>
              </w:rPr>
            </w:pPr>
            <w:r>
              <w:rPr>
                <w:noProof/>
              </w:rPr>
              <w:t>Yliopistojen digitaalisen indeksin korottaminen</w:t>
            </w:r>
            <w:r>
              <w:rPr>
                <w:noProof/>
              </w:rPr>
              <w:t xml:space="preserve"> </w:t>
            </w:r>
          </w:p>
        </w:tc>
      </w:tr>
      <w:tr w:rsidR="000E48CE" w14:paraId="431C5C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CB0AC" w14:textId="77777777" w:rsidR="000E48CE" w:rsidRDefault="00FF4C4E">
            <w:pPr>
              <w:pStyle w:val="P68B1DB1-Normal46"/>
              <w:spacing w:after="0" w:line="240" w:lineRule="auto"/>
              <w:rPr>
                <w:rFonts w:eastAsia="Times New Roman" w:cs="Times New Roman"/>
                <w:noProof/>
              </w:rPr>
            </w:pPr>
            <w:r>
              <w:rPr>
                <w:noProof/>
              </w:rPr>
              <w:t>320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729EC9" w14:textId="77777777" w:rsidR="000E48CE" w:rsidRDefault="00FF4C4E">
            <w:pPr>
              <w:pStyle w:val="P68B1DB1-Normal46"/>
              <w:spacing w:after="0" w:line="240" w:lineRule="auto"/>
              <w:rPr>
                <w:rFonts w:eastAsia="Times New Roman" w:cs="Times New Roman"/>
                <w:noProof/>
              </w:rPr>
            </w:pPr>
            <w:r>
              <w:rPr>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4258DE"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D57F9F0" w14:textId="77777777" w:rsidR="000E48CE" w:rsidRDefault="00FF4C4E">
            <w:pPr>
              <w:pStyle w:val="P68B1DB1-Normal46"/>
              <w:spacing w:after="0" w:line="240" w:lineRule="auto"/>
              <w:rPr>
                <w:rFonts w:eastAsia="Times New Roman" w:cs="Times New Roman"/>
                <w:noProof/>
              </w:rPr>
            </w:pPr>
            <w:r>
              <w:rPr>
                <w:noProof/>
              </w:rPr>
              <w:t>Maksuihin perustumattomia taloudellisia etuuksia koskevan järjestelmän uudelleenorganisointia ja yksinkertaistamista koskevan lainsäädännön voimaantulo</w:t>
            </w:r>
          </w:p>
        </w:tc>
      </w:tr>
      <w:tr w:rsidR="000E48CE" w14:paraId="68C1CF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FE5AD" w14:textId="77777777" w:rsidR="000E48CE" w:rsidRDefault="00FF4C4E">
            <w:pPr>
              <w:pStyle w:val="P68B1DB1-Normal46"/>
              <w:spacing w:after="0" w:line="240" w:lineRule="auto"/>
              <w:rPr>
                <w:rFonts w:eastAsia="Times New Roman" w:cs="Times New Roman"/>
                <w:noProof/>
              </w:rPr>
            </w:pPr>
            <w:r>
              <w:rPr>
                <w:noProof/>
              </w:rPr>
              <w:t>324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EAF6CA" w14:textId="77777777" w:rsidR="000E48CE" w:rsidRDefault="00FF4C4E">
            <w:pPr>
              <w:pStyle w:val="P68B1DB1-Normal46"/>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F0A6E2A"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E30FF5F" w14:textId="77777777" w:rsidR="000E48CE" w:rsidRDefault="00FF4C4E">
            <w:pPr>
              <w:pStyle w:val="P68B1DB1-Normal46"/>
              <w:spacing w:after="0" w:line="240" w:lineRule="auto"/>
              <w:rPr>
                <w:rFonts w:eastAsia="Times New Roman" w:cs="Times New Roman"/>
                <w:noProof/>
              </w:rPr>
            </w:pPr>
            <w:r>
              <w:rPr>
                <w:noProof/>
              </w:rPr>
              <w:t xml:space="preserve">Erityisten teknisten välineiden käyttöönotto sosiaalipalvelujen tieto- ja </w:t>
            </w:r>
            <w:r>
              <w:rPr>
                <w:noProof/>
              </w:rPr>
              <w:t>hallintojärjestelmien parantamiseksi.</w:t>
            </w:r>
          </w:p>
        </w:tc>
      </w:tr>
      <w:tr w:rsidR="000E48CE" w14:paraId="4D2F185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63CF4" w14:textId="77777777" w:rsidR="000E48CE" w:rsidRDefault="00FF4C4E">
            <w:pPr>
              <w:pStyle w:val="P68B1DB1-Normal46"/>
              <w:spacing w:after="0" w:line="240" w:lineRule="auto"/>
              <w:rPr>
                <w:rFonts w:eastAsia="Times New Roman" w:cs="Times New Roman"/>
                <w:noProof/>
              </w:rPr>
            </w:pPr>
            <w:r>
              <w:rPr>
                <w:noProof/>
              </w:rPr>
              <w:t>341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79D6011" w14:textId="77777777" w:rsidR="000E48CE" w:rsidRDefault="00FF4C4E">
            <w:pPr>
              <w:pStyle w:val="P68B1DB1-Normal46"/>
              <w:spacing w:after="0" w:line="240" w:lineRule="auto"/>
              <w:rPr>
                <w:rFonts w:eastAsia="Times New Roman" w:cs="Times New Roman"/>
                <w:noProof/>
              </w:rPr>
            </w:pPr>
            <w:r>
              <w:rPr>
                <w:noProof/>
              </w:rPr>
              <w:t>C23.R11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7B36BC"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EF7383" w14:textId="77777777" w:rsidR="000E48CE" w:rsidRDefault="00FF4C4E">
            <w:pPr>
              <w:pStyle w:val="P68B1DB1-Normal46"/>
              <w:spacing w:after="0" w:line="240" w:lineRule="auto"/>
              <w:rPr>
                <w:rFonts w:eastAsia="Times New Roman" w:cs="Times New Roman"/>
                <w:noProof/>
              </w:rPr>
            </w:pPr>
            <w:r>
              <w:rPr>
                <w:noProof/>
              </w:rPr>
              <w:t>Todistukset julkisten työvoimapalvelujen nykyaikaistamista koskevien sopimusten mukaisten palvelujen suorittamisesta</w:t>
            </w:r>
          </w:p>
        </w:tc>
      </w:tr>
      <w:tr w:rsidR="000E48CE" w14:paraId="2B301B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4D051" w14:textId="77777777" w:rsidR="000E48CE" w:rsidRDefault="00FF4C4E">
            <w:pPr>
              <w:pStyle w:val="P68B1DB1-Normal46"/>
              <w:spacing w:after="0" w:line="240" w:lineRule="auto"/>
              <w:rPr>
                <w:rFonts w:eastAsia="Times New Roman" w:cs="Times New Roman"/>
                <w:noProof/>
              </w:rPr>
            </w:pPr>
            <w:r>
              <w:rPr>
                <w:noProof/>
              </w:rPr>
              <w:t>346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37874AF" w14:textId="77777777" w:rsidR="000E48CE" w:rsidRDefault="00FF4C4E">
            <w:pPr>
              <w:pStyle w:val="P68B1DB1-Normal46"/>
              <w:spacing w:after="0" w:line="240" w:lineRule="auto"/>
              <w:rPr>
                <w:rFonts w:eastAsia="Times New Roman" w:cs="Times New Roman"/>
                <w:noProof/>
              </w:rPr>
            </w:pPr>
            <w:r>
              <w:rPr>
                <w:noProof/>
              </w:rPr>
              <w:t>C23.I4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2165CB"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4AFF46" w14:textId="77777777" w:rsidR="000E48CE" w:rsidRDefault="00FF4C4E">
            <w:pPr>
              <w:pStyle w:val="P68B1DB1-Normal46"/>
              <w:spacing w:after="0" w:line="240" w:lineRule="auto"/>
              <w:rPr>
                <w:rFonts w:eastAsia="Times New Roman" w:cs="Times New Roman"/>
                <w:noProof/>
              </w:rPr>
            </w:pPr>
            <w:r>
              <w:rPr>
                <w:noProof/>
              </w:rPr>
              <w:t>Muita heikommassa asemassa olevia ryhmiä, yrittäjyyttä ja mikroyrityksiä</w:t>
            </w:r>
            <w:r>
              <w:rPr>
                <w:noProof/>
              </w:rPr>
              <w:t xml:space="preserve"> koskevia alueellisia hankkeita on saatu päätökseen. Niissä on mukana vähintään 39000 työntekijää ja 64000 yritystä.</w:t>
            </w:r>
          </w:p>
        </w:tc>
      </w:tr>
      <w:tr w:rsidR="000E48CE" w14:paraId="0767FC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1C1E8" w14:textId="77777777" w:rsidR="000E48CE" w:rsidRDefault="00FF4C4E">
            <w:pPr>
              <w:pStyle w:val="P68B1DB1-Normal46"/>
              <w:spacing w:after="0" w:line="240" w:lineRule="auto"/>
              <w:rPr>
                <w:rFonts w:eastAsia="Times New Roman" w:cs="Times New Roman"/>
                <w:noProof/>
              </w:rPr>
            </w:pPr>
            <w:r>
              <w:rPr>
                <w:noProof/>
              </w:rPr>
              <w:t>348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5C8DDD0" w14:textId="77777777" w:rsidR="000E48CE" w:rsidRDefault="00FF4C4E">
            <w:pPr>
              <w:pStyle w:val="P68B1DB1-Normal46"/>
              <w:spacing w:after="0" w:line="240" w:lineRule="auto"/>
              <w:rPr>
                <w:rFonts w:eastAsia="Times New Roman" w:cs="Times New Roman"/>
                <w:noProof/>
              </w:rPr>
            </w:pPr>
            <w:r>
              <w:rPr>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F24A35"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9E54" w14:textId="77777777" w:rsidR="000E48CE" w:rsidRDefault="00FF4C4E">
            <w:pPr>
              <w:pStyle w:val="P68B1DB1-Normal46"/>
              <w:spacing w:after="0" w:line="240" w:lineRule="auto"/>
              <w:rPr>
                <w:rFonts w:eastAsia="Times New Roman" w:cs="Times New Roman"/>
                <w:noProof/>
              </w:rPr>
            </w:pPr>
            <w:r>
              <w:rPr>
                <w:noProof/>
              </w:rPr>
              <w:t>Julkisten työvoimapalvelujen henkilöstön koulutustoimet</w:t>
            </w:r>
          </w:p>
        </w:tc>
      </w:tr>
      <w:tr w:rsidR="000E48CE" w14:paraId="2AB848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CB055" w14:textId="77777777" w:rsidR="000E48CE" w:rsidRDefault="00FF4C4E">
            <w:pPr>
              <w:pStyle w:val="P68B1DB1-Normal46"/>
              <w:spacing w:after="0" w:line="240" w:lineRule="auto"/>
              <w:rPr>
                <w:rFonts w:eastAsia="Times New Roman" w:cs="Times New Roman"/>
                <w:noProof/>
              </w:rPr>
            </w:pPr>
            <w:r>
              <w:rPr>
                <w:noProof/>
              </w:rPr>
              <w:t>353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DE584FE" w14:textId="77777777" w:rsidR="000E48CE" w:rsidRDefault="00FF4C4E">
            <w:pPr>
              <w:pStyle w:val="P68B1DB1-Normal46"/>
              <w:spacing w:after="0" w:line="240" w:lineRule="auto"/>
              <w:rPr>
                <w:rFonts w:eastAsia="Times New Roman" w:cs="Times New Roman"/>
                <w:noProof/>
              </w:rPr>
            </w:pPr>
            <w:r>
              <w:rPr>
                <w:noProof/>
              </w:rPr>
              <w:t>C24.R2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92BF57E"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675A7EF" w14:textId="77777777" w:rsidR="000E48CE" w:rsidRDefault="00FF4C4E">
            <w:pPr>
              <w:pStyle w:val="P68B1DB1-Normal46"/>
              <w:spacing w:after="0" w:line="240" w:lineRule="auto"/>
              <w:rPr>
                <w:rFonts w:eastAsia="Times New Roman" w:cs="Times New Roman"/>
                <w:noProof/>
              </w:rPr>
            </w:pPr>
            <w:r>
              <w:rPr>
                <w:noProof/>
              </w:rPr>
              <w:t>Tekijänoikeuksien ja lähioikeuksien vahvistamista koske</w:t>
            </w:r>
            <w:r>
              <w:rPr>
                <w:noProof/>
              </w:rPr>
              <w:t>vien lainsäädäntö- ja sääntelytoimenpiteiden voimaantulo</w:t>
            </w:r>
          </w:p>
        </w:tc>
      </w:tr>
      <w:tr w:rsidR="000E48CE" w14:paraId="1DC6B8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E6351" w14:textId="77777777" w:rsidR="000E48CE" w:rsidRDefault="00FF4C4E">
            <w:pPr>
              <w:pStyle w:val="P68B1DB1-Normal46"/>
              <w:spacing w:after="0" w:line="240" w:lineRule="auto"/>
              <w:rPr>
                <w:rFonts w:eastAsia="Times New Roman" w:cs="Times New Roman"/>
                <w:noProof/>
              </w:rPr>
            </w:pPr>
            <w:r>
              <w:rPr>
                <w:noProof/>
              </w:rPr>
              <w:t>354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4F51AB3" w14:textId="77777777" w:rsidR="000E48CE" w:rsidRDefault="00FF4C4E">
            <w:pPr>
              <w:pStyle w:val="P68B1DB1-Normal46"/>
              <w:spacing w:after="0" w:line="240" w:lineRule="auto"/>
              <w:rPr>
                <w:rFonts w:eastAsia="Times New Roman" w:cs="Times New Roman"/>
                <w:noProof/>
              </w:rPr>
            </w:pPr>
            <w:r>
              <w:rPr>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0E4407"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54BC41" w14:textId="77777777" w:rsidR="000E48CE" w:rsidRDefault="00FF4C4E">
            <w:pPr>
              <w:pStyle w:val="P68B1DB1-Normal46"/>
              <w:spacing w:after="0" w:line="240" w:lineRule="auto"/>
              <w:rPr>
                <w:rFonts w:eastAsia="Times New Roman" w:cs="Times New Roman"/>
                <w:noProof/>
              </w:rPr>
            </w:pPr>
            <w:r>
              <w:rPr>
                <w:noProof/>
              </w:rPr>
              <w:t xml:space="preserve">Kulttuuriteollisuuden kilpailukyvyn vahvistaminen </w:t>
            </w:r>
          </w:p>
        </w:tc>
      </w:tr>
      <w:tr w:rsidR="000E48CE" w14:paraId="55BFAE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FF444" w14:textId="77777777" w:rsidR="000E48CE" w:rsidRDefault="00FF4C4E">
            <w:pPr>
              <w:pStyle w:val="P68B1DB1-Normal46"/>
              <w:spacing w:after="0" w:line="240" w:lineRule="auto"/>
              <w:rPr>
                <w:rFonts w:eastAsia="Times New Roman" w:cs="Times New Roman"/>
                <w:noProof/>
              </w:rPr>
            </w:pPr>
            <w:r>
              <w:rPr>
                <w:noProof/>
              </w:rPr>
              <w:t>355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3AD50E" w14:textId="77777777" w:rsidR="000E48CE" w:rsidRDefault="00FF4C4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0C59C4"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DCB2AF" w14:textId="77777777" w:rsidR="000E48CE" w:rsidRDefault="00FF4C4E">
            <w:pPr>
              <w:pStyle w:val="P68B1DB1-Normal46"/>
              <w:spacing w:after="0" w:line="240" w:lineRule="auto"/>
              <w:rPr>
                <w:rFonts w:eastAsia="Times New Roman" w:cs="Times New Roman"/>
                <w:noProof/>
              </w:rPr>
            </w:pPr>
            <w:r>
              <w:rPr>
                <w:noProof/>
              </w:rPr>
              <w:t>Esitys- ja musiikkitaiteen infrastruktuurin nykyaikaistaminen ja kestävä hallinnointi</w:t>
            </w:r>
          </w:p>
        </w:tc>
      </w:tr>
      <w:tr w:rsidR="000E48CE" w14:paraId="271FE2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3770C" w14:textId="77777777" w:rsidR="000E48CE" w:rsidRDefault="00FF4C4E">
            <w:pPr>
              <w:pStyle w:val="P68B1DB1-Normal46"/>
              <w:spacing w:after="0" w:line="240" w:lineRule="auto"/>
              <w:rPr>
                <w:rFonts w:eastAsia="Times New Roman" w:cs="Times New Roman"/>
                <w:noProof/>
              </w:rPr>
            </w:pPr>
            <w:r>
              <w:rPr>
                <w:noProof/>
              </w:rPr>
              <w:t>357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4ACCF7" w14:textId="77777777" w:rsidR="000E48CE" w:rsidRDefault="00FF4C4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1A6161E"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AB566F" w14:textId="77777777" w:rsidR="000E48CE" w:rsidRDefault="00FF4C4E">
            <w:pPr>
              <w:pStyle w:val="P68B1DB1-Normal46"/>
              <w:spacing w:after="0" w:line="240" w:lineRule="auto"/>
              <w:rPr>
                <w:rFonts w:eastAsia="Times New Roman" w:cs="Times New Roman"/>
                <w:noProof/>
              </w:rPr>
            </w:pPr>
            <w:r>
              <w:rPr>
                <w:noProof/>
              </w:rPr>
              <w:t xml:space="preserve">Kirjastojen </w:t>
            </w:r>
            <w:r>
              <w:rPr>
                <w:noProof/>
              </w:rPr>
              <w:t>sähköisten kirjojen lisenssit</w:t>
            </w:r>
          </w:p>
        </w:tc>
      </w:tr>
      <w:tr w:rsidR="000E48CE" w14:paraId="3327BE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E88DC" w14:textId="77777777" w:rsidR="000E48CE" w:rsidRDefault="00FF4C4E">
            <w:pPr>
              <w:pStyle w:val="P68B1DB1-Normal46"/>
              <w:spacing w:after="0" w:line="240" w:lineRule="auto"/>
              <w:rPr>
                <w:rFonts w:eastAsia="Times New Roman" w:cs="Times New Roman"/>
                <w:noProof/>
              </w:rPr>
            </w:pPr>
            <w:r>
              <w:rPr>
                <w:noProof/>
              </w:rPr>
              <w:t>359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8E51439" w14:textId="77777777" w:rsidR="000E48CE" w:rsidRDefault="00FF4C4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45A04E"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523A2C2" w14:textId="77777777" w:rsidR="000E48CE" w:rsidRDefault="00FF4C4E">
            <w:pPr>
              <w:pStyle w:val="P68B1DB1-Normal46"/>
              <w:spacing w:after="0" w:line="240" w:lineRule="auto"/>
              <w:rPr>
                <w:rFonts w:eastAsia="Times New Roman" w:cs="Times New Roman"/>
                <w:noProof/>
              </w:rPr>
            </w:pPr>
            <w:r>
              <w:rPr>
                <w:noProof/>
              </w:rPr>
              <w:t xml:space="preserve">Kulttuurialan ja luovien alojen aloitteiden edistäminen </w:t>
            </w:r>
          </w:p>
        </w:tc>
      </w:tr>
      <w:tr w:rsidR="000E48CE" w14:paraId="02EDE7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D07008" w14:textId="77777777" w:rsidR="000E48CE" w:rsidRDefault="00FF4C4E">
            <w:pPr>
              <w:pStyle w:val="P68B1DB1-Normal46"/>
              <w:spacing w:after="0" w:line="240" w:lineRule="auto"/>
              <w:rPr>
                <w:rFonts w:eastAsia="Times New Roman" w:cs="Times New Roman"/>
                <w:noProof/>
              </w:rPr>
            </w:pPr>
            <w:r>
              <w:rPr>
                <w:noProof/>
              </w:rPr>
              <w:t>361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66B267" w14:textId="77777777" w:rsidR="000E48CE" w:rsidRDefault="00FF4C4E">
            <w:pPr>
              <w:pStyle w:val="P68B1DB1-Normal46"/>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D70EE7"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63ACED" w14:textId="77777777" w:rsidR="000E48CE" w:rsidRDefault="00FF4C4E">
            <w:pPr>
              <w:pStyle w:val="P68B1DB1-Normal46"/>
              <w:spacing w:after="0" w:line="240" w:lineRule="auto"/>
              <w:rPr>
                <w:rFonts w:eastAsia="Times New Roman" w:cs="Times New Roman"/>
                <w:noProof/>
              </w:rPr>
            </w:pPr>
            <w:r>
              <w:rPr>
                <w:noProof/>
              </w:rPr>
              <w:t xml:space="preserve">Digitalisaation loppuun saattaminen ja tärkeimpien kulttuuripalvelujen edistäminen </w:t>
            </w:r>
          </w:p>
        </w:tc>
      </w:tr>
      <w:tr w:rsidR="000E48CE" w14:paraId="1CF32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126B5" w14:textId="77777777" w:rsidR="000E48CE" w:rsidRDefault="00FF4C4E">
            <w:pPr>
              <w:pStyle w:val="P68B1DB1-Normal46"/>
              <w:spacing w:after="0" w:line="240" w:lineRule="auto"/>
              <w:rPr>
                <w:rFonts w:eastAsia="Times New Roman" w:cs="Times New Roman"/>
                <w:noProof/>
              </w:rPr>
            </w:pPr>
            <w:r>
              <w:rPr>
                <w:noProof/>
              </w:rPr>
              <w:t>362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C6E4BF" w14:textId="77777777" w:rsidR="000E48CE" w:rsidRDefault="00FF4C4E">
            <w:pPr>
              <w:pStyle w:val="P68B1DB1-Normal46"/>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64228A9"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31EBADB" w14:textId="77777777" w:rsidR="000E48CE" w:rsidRDefault="00FF4C4E">
            <w:pPr>
              <w:pStyle w:val="P68B1DB1-Normal46"/>
              <w:spacing w:after="0" w:line="240" w:lineRule="auto"/>
              <w:rPr>
                <w:rFonts w:eastAsia="Times New Roman" w:cs="Times New Roman"/>
                <w:noProof/>
              </w:rPr>
            </w:pPr>
            <w:r>
              <w:rPr>
                <w:noProof/>
              </w:rPr>
              <w:t xml:space="preserve">Bibliografisen perinnön digitalisoinnin loppuun saattaminen </w:t>
            </w:r>
          </w:p>
        </w:tc>
      </w:tr>
      <w:tr w:rsidR="000E48CE" w14:paraId="0453C6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232AC9" w14:textId="77777777" w:rsidR="000E48CE" w:rsidRDefault="00FF4C4E">
            <w:pPr>
              <w:pStyle w:val="P68B1DB1-Normal46"/>
              <w:spacing w:after="0" w:line="240" w:lineRule="auto"/>
              <w:rPr>
                <w:rFonts w:eastAsia="Times New Roman" w:cs="Times New Roman"/>
                <w:noProof/>
              </w:rPr>
            </w:pPr>
            <w:r>
              <w:rPr>
                <w:noProof/>
              </w:rPr>
              <w:t>365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B2D24FA" w14:textId="77777777" w:rsidR="000E48CE" w:rsidRDefault="00FF4C4E">
            <w:pPr>
              <w:pStyle w:val="P68B1DB1-Normal46"/>
              <w:spacing w:after="0" w:line="240" w:lineRule="auto"/>
              <w:rPr>
                <w:rFonts w:eastAsia="Times New Roman" w:cs="Times New Roman"/>
                <w:noProof/>
              </w:rPr>
            </w:pPr>
            <w:r>
              <w:rPr>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DF0815B"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9F6789" w14:textId="77777777" w:rsidR="000E48CE" w:rsidRDefault="00FF4C4E">
            <w:pPr>
              <w:pStyle w:val="P68B1DB1-Normal46"/>
              <w:spacing w:after="0" w:line="240" w:lineRule="auto"/>
              <w:rPr>
                <w:rFonts w:eastAsia="Times New Roman" w:cs="Times New Roman"/>
                <w:noProof/>
              </w:rPr>
            </w:pPr>
            <w:r>
              <w:rPr>
                <w:noProof/>
              </w:rPr>
              <w:t xml:space="preserve"> Elokuvalain voimaantulo. </w:t>
            </w:r>
          </w:p>
        </w:tc>
      </w:tr>
      <w:tr w:rsidR="000E48CE" w14:paraId="08128E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186F" w14:textId="77777777" w:rsidR="000E48CE" w:rsidRDefault="00FF4C4E">
            <w:pPr>
              <w:pStyle w:val="P68B1DB1-Normal46"/>
              <w:spacing w:after="0" w:line="240" w:lineRule="auto"/>
              <w:rPr>
                <w:rFonts w:eastAsia="Times New Roman" w:cs="Times New Roman"/>
                <w:noProof/>
              </w:rPr>
            </w:pPr>
            <w:r>
              <w:rPr>
                <w:noProof/>
              </w:rPr>
              <w:t>366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49F1BE3" w14:textId="77777777" w:rsidR="000E48CE" w:rsidRDefault="00FF4C4E">
            <w:pPr>
              <w:pStyle w:val="P68B1DB1-Normal46"/>
              <w:spacing w:after="0" w:line="240" w:lineRule="auto"/>
              <w:rPr>
                <w:rFonts w:eastAsia="Times New Roman" w:cs="Times New Roman"/>
                <w:noProof/>
              </w:rPr>
            </w:pPr>
            <w:r>
              <w:rPr>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6FDAAD5"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C8F7F46" w14:textId="77777777" w:rsidR="000E48CE" w:rsidRDefault="00FF4C4E">
            <w:pPr>
              <w:pStyle w:val="P68B1DB1-Normal46"/>
              <w:spacing w:after="0" w:line="240" w:lineRule="auto"/>
              <w:rPr>
                <w:rFonts w:eastAsia="Times New Roman" w:cs="Times New Roman"/>
                <w:noProof/>
              </w:rPr>
            </w:pPr>
            <w:r>
              <w:rPr>
                <w:noProof/>
              </w:rPr>
              <w:t>Audiovisuaalialan pk-yritysten tukeminen.</w:t>
            </w:r>
          </w:p>
        </w:tc>
      </w:tr>
      <w:tr w:rsidR="000E48CE" w14:paraId="3D380C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A376F" w14:textId="77777777" w:rsidR="000E48CE" w:rsidRDefault="00FF4C4E">
            <w:pPr>
              <w:pStyle w:val="P68B1DB1-Normal46"/>
              <w:spacing w:after="0" w:line="240" w:lineRule="auto"/>
              <w:rPr>
                <w:rFonts w:eastAsia="Times New Roman" w:cs="Times New Roman"/>
                <w:noProof/>
              </w:rPr>
            </w:pPr>
            <w:r>
              <w:rPr>
                <w:noProof/>
              </w:rPr>
              <w:t>368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2D6A33" w14:textId="77777777" w:rsidR="000E48CE" w:rsidRDefault="00FF4C4E">
            <w:pPr>
              <w:pStyle w:val="P68B1DB1-Normal46"/>
              <w:spacing w:after="0" w:line="240" w:lineRule="auto"/>
              <w:rPr>
                <w:rFonts w:eastAsia="Times New Roman" w:cs="Times New Roman"/>
                <w:noProof/>
              </w:rPr>
            </w:pPr>
            <w:r>
              <w:rPr>
                <w:noProof/>
              </w:rPr>
              <w:t>C26.R2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500E4D"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B418FD8" w14:textId="77777777" w:rsidR="000E48CE" w:rsidRDefault="00FF4C4E">
            <w:pPr>
              <w:pStyle w:val="P68B1DB1-Normal46"/>
              <w:spacing w:after="0" w:line="240" w:lineRule="auto"/>
              <w:rPr>
                <w:rFonts w:eastAsia="Times New Roman" w:cs="Times New Roman"/>
                <w:noProof/>
              </w:rPr>
            </w:pPr>
            <w:r>
              <w:rPr>
                <w:noProof/>
              </w:rPr>
              <w:t xml:space="preserve">Tiettyjen urheilualan ammattien sääntelystä annetun lain voimaantulo </w:t>
            </w:r>
          </w:p>
        </w:tc>
      </w:tr>
      <w:tr w:rsidR="000E48CE" w14:paraId="337BDD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3C3CEA" w14:textId="77777777" w:rsidR="000E48CE" w:rsidRDefault="00FF4C4E">
            <w:pPr>
              <w:pStyle w:val="P68B1DB1-Normal46"/>
              <w:spacing w:after="0" w:line="240" w:lineRule="auto"/>
              <w:rPr>
                <w:rFonts w:eastAsia="Times New Roman" w:cs="Times New Roman"/>
                <w:noProof/>
              </w:rPr>
            </w:pPr>
            <w:r>
              <w:rPr>
                <w:noProof/>
              </w:rPr>
              <w:t>369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3F9A22A" w14:textId="77777777" w:rsidR="000E48CE" w:rsidRDefault="00FF4C4E">
            <w:pPr>
              <w:pStyle w:val="P68B1DB1-Normal46"/>
              <w:spacing w:after="0" w:line="240" w:lineRule="auto"/>
              <w:rPr>
                <w:rFonts w:eastAsia="Times New Roman" w:cs="Times New Roman"/>
                <w:noProof/>
              </w:rPr>
            </w:pPr>
            <w:r>
              <w:rPr>
                <w:noProof/>
              </w:rPr>
              <w:t>C26.R3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CF1832"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5E0286D" w14:textId="77777777" w:rsidR="000E48CE" w:rsidRDefault="00FF4C4E">
            <w:pPr>
              <w:pStyle w:val="P68B1DB1-Normal46"/>
              <w:spacing w:after="0" w:line="240" w:lineRule="auto"/>
              <w:rPr>
                <w:rFonts w:eastAsia="Times New Roman" w:cs="Times New Roman"/>
                <w:noProof/>
              </w:rPr>
            </w:pPr>
            <w:r>
              <w:rPr>
                <w:noProof/>
              </w:rPr>
              <w:t>Kansallinen strategia istuvan elämäntavan ja liikunnan puutteen torjumiseksi</w:t>
            </w:r>
          </w:p>
        </w:tc>
      </w:tr>
      <w:tr w:rsidR="000E48CE" w14:paraId="63AE35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FE92F6" w14:textId="77777777" w:rsidR="000E48CE" w:rsidRDefault="00FF4C4E">
            <w:pPr>
              <w:pStyle w:val="P68B1DB1-Normal46"/>
              <w:spacing w:after="0" w:line="240" w:lineRule="auto"/>
              <w:rPr>
                <w:rFonts w:eastAsia="Times New Roman" w:cs="Times New Roman"/>
                <w:noProof/>
              </w:rPr>
            </w:pPr>
            <w:r>
              <w:rPr>
                <w:noProof/>
              </w:rPr>
              <w:t>371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58BF7C" w14:textId="77777777" w:rsidR="000E48CE" w:rsidRDefault="00FF4C4E">
            <w:pPr>
              <w:pStyle w:val="P68B1DB1-Normal46"/>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B6C2E6"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75FDD00" w14:textId="77777777" w:rsidR="000E48CE" w:rsidRDefault="00FF4C4E">
            <w:pPr>
              <w:pStyle w:val="P68B1DB1-Normal46"/>
              <w:spacing w:after="0" w:line="240" w:lineRule="auto"/>
              <w:rPr>
                <w:rFonts w:eastAsia="Times New Roman" w:cs="Times New Roman"/>
                <w:noProof/>
              </w:rPr>
            </w:pPr>
            <w:r>
              <w:rPr>
                <w:noProof/>
              </w:rPr>
              <w:t xml:space="preserve">Urheilulääketieteen keskukset </w:t>
            </w:r>
          </w:p>
        </w:tc>
      </w:tr>
      <w:tr w:rsidR="000E48CE" w14:paraId="4DC1DF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38C439" w14:textId="77777777" w:rsidR="000E48CE" w:rsidRDefault="00FF4C4E">
            <w:pPr>
              <w:pStyle w:val="P68B1DB1-Normal46"/>
              <w:spacing w:after="0" w:line="240" w:lineRule="auto"/>
              <w:rPr>
                <w:rFonts w:eastAsia="Times New Roman" w:cs="Times New Roman"/>
                <w:noProof/>
              </w:rPr>
            </w:pPr>
            <w:r>
              <w:rPr>
                <w:noProof/>
              </w:rPr>
              <w:t>375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CC9000" w14:textId="77777777" w:rsidR="000E48CE" w:rsidRDefault="00FF4C4E">
            <w:pPr>
              <w:pStyle w:val="P68B1DB1-Normal46"/>
              <w:spacing w:after="0" w:line="240" w:lineRule="auto"/>
              <w:rPr>
                <w:rFonts w:eastAsia="Times New Roman" w:cs="Times New Roman"/>
                <w:noProof/>
              </w:rPr>
            </w:pPr>
            <w:r>
              <w:rPr>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3BD5346" w14:textId="77777777" w:rsidR="000E48CE" w:rsidRDefault="00FF4C4E">
            <w:pPr>
              <w:pStyle w:val="P68B1DB1-Normal46"/>
              <w:spacing w:after="0" w:line="240" w:lineRule="auto"/>
              <w:rPr>
                <w:rFonts w:eastAsia="Times New Roman" w:cs="Times New Roman"/>
                <w:noProof/>
              </w:rPr>
            </w:pPr>
            <w:r>
              <w:rPr>
                <w:noProof/>
              </w:rPr>
              <w:t>T</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1308742" w14:textId="77777777" w:rsidR="000E48CE" w:rsidRDefault="00FF4C4E">
            <w:pPr>
              <w:pStyle w:val="P68B1DB1-Normal46"/>
              <w:spacing w:after="0" w:line="240" w:lineRule="auto"/>
              <w:rPr>
                <w:rFonts w:eastAsia="Times New Roman" w:cs="Times New Roman"/>
                <w:noProof/>
              </w:rPr>
            </w:pPr>
            <w:r>
              <w:rPr>
                <w:noProof/>
              </w:rPr>
              <w:t>Urheilun sosiaalisen suunnitelman mukaisten toimien loppuun saattaminen</w:t>
            </w:r>
          </w:p>
        </w:tc>
      </w:tr>
      <w:tr w:rsidR="000E48CE" w14:paraId="47BA7F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D44EE" w14:textId="77777777" w:rsidR="000E48CE" w:rsidRDefault="00FF4C4E">
            <w:pPr>
              <w:pStyle w:val="P68B1DB1-Normal46"/>
              <w:spacing w:after="0" w:line="240" w:lineRule="auto"/>
              <w:rPr>
                <w:rFonts w:eastAsia="Times New Roman" w:cs="Times New Roman"/>
                <w:noProof/>
              </w:rPr>
            </w:pPr>
            <w:r>
              <w:rPr>
                <w:noProof/>
              </w:rPr>
              <w:t>382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6A3348" w14:textId="77777777" w:rsidR="000E48CE" w:rsidRDefault="00FF4C4E">
            <w:pPr>
              <w:pStyle w:val="P68B1DB1-Normal46"/>
              <w:spacing w:after="0" w:line="240" w:lineRule="auto"/>
              <w:rPr>
                <w:rFonts w:eastAsia="Times New Roman" w:cs="Times New Roman"/>
                <w:noProof/>
              </w:rPr>
            </w:pPr>
            <w:r>
              <w:rPr>
                <w:noProof/>
              </w:rPr>
              <w:t>C27.R3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A3E1C4F"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D0E3A7" w14:textId="77777777" w:rsidR="000E48CE" w:rsidRDefault="00FF4C4E">
            <w:pPr>
              <w:pStyle w:val="P68B1DB1-Normal46"/>
              <w:spacing w:after="0" w:line="240" w:lineRule="auto"/>
              <w:rPr>
                <w:rFonts w:eastAsia="Times New Roman" w:cs="Times New Roman"/>
                <w:noProof/>
              </w:rPr>
            </w:pPr>
            <w:r>
              <w:rPr>
                <w:noProof/>
              </w:rPr>
              <w:t xml:space="preserve">Neljän digitaalisen tukifoorumin </w:t>
            </w:r>
            <w:r>
              <w:rPr>
                <w:noProof/>
              </w:rPr>
              <w:t>toteuttaminen</w:t>
            </w:r>
          </w:p>
        </w:tc>
      </w:tr>
      <w:tr w:rsidR="000E48CE" w14:paraId="256ED7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E2EA" w14:textId="77777777" w:rsidR="000E48CE" w:rsidRDefault="00FF4C4E">
            <w:pPr>
              <w:pStyle w:val="P68B1DB1-Normal46"/>
              <w:spacing w:after="0" w:line="240" w:lineRule="auto"/>
              <w:rPr>
                <w:rFonts w:eastAsia="Times New Roman" w:cs="Times New Roman"/>
                <w:noProof/>
              </w:rPr>
            </w:pPr>
            <w:r>
              <w:rPr>
                <w:noProof/>
              </w:rPr>
              <w:t>405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9FFD6F" w14:textId="77777777" w:rsidR="000E48CE" w:rsidRDefault="00FF4C4E">
            <w:pPr>
              <w:pStyle w:val="P68B1DB1-Normal46"/>
              <w:spacing w:after="0" w:line="240" w:lineRule="auto"/>
              <w:rPr>
                <w:rFonts w:eastAsia="Times New Roman" w:cs="Times New Roman"/>
                <w:noProof/>
              </w:rPr>
            </w:pPr>
            <w:r>
              <w:rPr>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8CA374E"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89D13" w14:textId="77777777" w:rsidR="000E48CE" w:rsidRDefault="00FF4C4E">
            <w:pPr>
              <w:pStyle w:val="P68B1DB1-Normal46"/>
              <w:spacing w:after="0" w:line="240" w:lineRule="auto"/>
              <w:rPr>
                <w:rFonts w:eastAsia="Times New Roman" w:cs="Times New Roman"/>
                <w:noProof/>
              </w:rPr>
            </w:pPr>
            <w:r>
              <w:rPr>
                <w:noProof/>
              </w:rPr>
              <w:t>Vihreän budjetoinnin yhdenmukaistamista koskeva kertomus</w:t>
            </w:r>
          </w:p>
        </w:tc>
      </w:tr>
      <w:tr w:rsidR="000E48CE" w14:paraId="75490AE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84954" w14:textId="77777777" w:rsidR="000E48CE" w:rsidRDefault="00FF4C4E">
            <w:pPr>
              <w:pStyle w:val="P68B1DB1-Normal46"/>
              <w:spacing w:after="0" w:line="240" w:lineRule="auto"/>
              <w:rPr>
                <w:rFonts w:eastAsia="Times New Roman" w:cs="Times New Roman"/>
                <w:noProof/>
              </w:rPr>
            </w:pPr>
            <w:r>
              <w:rPr>
                <w:noProof/>
              </w:rPr>
              <w:t>477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E01EE29" w14:textId="77777777" w:rsidR="000E48CE" w:rsidRDefault="00FF4C4E">
            <w:pPr>
              <w:pStyle w:val="P68B1DB1-Normal46"/>
              <w:spacing w:after="0" w:line="240" w:lineRule="auto"/>
              <w:rPr>
                <w:rFonts w:eastAsia="Times New Roman" w:cs="Times New Roman"/>
                <w:noProof/>
              </w:rPr>
            </w:pPr>
            <w:r>
              <w:rPr>
                <w:noProof/>
              </w:rPr>
              <w:t>C31.R1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1A8226" w14:textId="77777777" w:rsidR="000E48CE" w:rsidRDefault="00FF4C4E">
            <w:pPr>
              <w:pStyle w:val="P68B1DB1-Normal46"/>
              <w:spacing w:after="0" w:line="240" w:lineRule="auto"/>
              <w:rPr>
                <w:rFonts w:eastAsia="Times New Roman" w:cs="Times New Roman"/>
                <w:noProof/>
              </w:rPr>
            </w:pPr>
            <w:r>
              <w:rPr>
                <w:noProof/>
              </w:rPr>
              <w:t>M</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2FFAAD3" w14:textId="77777777" w:rsidR="000E48CE" w:rsidRDefault="00FF4C4E">
            <w:pPr>
              <w:pStyle w:val="P68B1DB1-Normal46"/>
              <w:spacing w:after="0" w:line="240" w:lineRule="auto"/>
              <w:rPr>
                <w:rFonts w:eastAsia="Times New Roman" w:cs="Times New Roman"/>
                <w:noProof/>
              </w:rPr>
            </w:pPr>
            <w:r>
              <w:rPr>
                <w:noProof/>
              </w:rPr>
              <w:t>Uusiutuvan energian tuotannon ja sähköverkkoinfrastruktuurin lupamenettelyjen parantaminen</w:t>
            </w:r>
          </w:p>
        </w:tc>
      </w:tr>
      <w:tr w:rsidR="000E48CE" w14:paraId="197CC3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55C68" w14:textId="77777777" w:rsidR="000E48CE" w:rsidRDefault="000E48CE">
            <w:pPr>
              <w:spacing w:after="0" w:line="240" w:lineRule="auto"/>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C6D7CE"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519B07" w14:textId="623FC744" w:rsidR="000E48CE" w:rsidRDefault="00FF4C4E">
            <w:pPr>
              <w:pStyle w:val="P68B1DB1-Normal45"/>
              <w:spacing w:after="0" w:line="240" w:lineRule="auto"/>
              <w:rPr>
                <w:rFonts w:eastAsia="Times New Roman" w:cs="Times New Roman"/>
                <w:noProof/>
              </w:rPr>
            </w:pPr>
            <w:r>
              <w:rPr>
                <w:noProof/>
              </w:rPr>
              <w:t>Erän suuruus</w:t>
            </w:r>
          </w:p>
        </w:tc>
        <w:tc>
          <w:tcPr>
            <w:tcW w:w="5672" w:type="dxa"/>
            <w:tcBorders>
              <w:top w:val="single" w:sz="4" w:space="0" w:color="auto"/>
              <w:left w:val="nil"/>
              <w:bottom w:val="single" w:sz="4" w:space="0" w:color="auto"/>
              <w:right w:val="single" w:sz="4" w:space="0" w:color="auto"/>
            </w:tcBorders>
            <w:shd w:val="clear" w:color="auto" w:fill="C6EFCE"/>
            <w:noWrap/>
            <w:vAlign w:val="bottom"/>
          </w:tcPr>
          <w:p w14:paraId="64B5474A" w14:textId="55ED68B5" w:rsidR="000E48CE" w:rsidRDefault="00FF4C4E">
            <w:pPr>
              <w:pStyle w:val="P68B1DB1-Normal45"/>
              <w:spacing w:after="0" w:line="240" w:lineRule="auto"/>
              <w:rPr>
                <w:rFonts w:eastAsia="Times New Roman" w:cs="Times New Roman"/>
                <w:noProof/>
              </w:rPr>
            </w:pPr>
            <w:r>
              <w:rPr>
                <w:noProof/>
              </w:rPr>
              <w:t>VÄHIMMÄISPÄÄOMA: 4076613963 EUROA</w:t>
            </w:r>
          </w:p>
        </w:tc>
      </w:tr>
    </w:tbl>
    <w:p w14:paraId="2A6E8E49" w14:textId="77777777" w:rsidR="000E48CE" w:rsidRDefault="000E48CE">
      <w:pPr>
        <w:spacing w:before="120" w:after="120" w:line="240" w:lineRule="auto"/>
        <w:jc w:val="both"/>
        <w:rPr>
          <w:rFonts w:ascii="Times New Roman" w:eastAsia="Calibri" w:hAnsi="Times New Roman" w:cs="Times New Roman"/>
          <w:noProof/>
          <w:sz w:val="20"/>
        </w:rPr>
      </w:pPr>
    </w:p>
    <w:p w14:paraId="6E555F62"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Seitsemäs erä (tuki, jota ei makseta takaisin): </w:t>
      </w:r>
    </w:p>
    <w:tbl>
      <w:tblPr>
        <w:tblW w:w="9697" w:type="dxa"/>
        <w:tblInd w:w="113" w:type="dxa"/>
        <w:tblLook w:val="04A0" w:firstRow="1" w:lastRow="0" w:firstColumn="1" w:lastColumn="0" w:noHBand="0" w:noVBand="1"/>
      </w:tblPr>
      <w:tblGrid>
        <w:gridCol w:w="1300"/>
        <w:gridCol w:w="1443"/>
        <w:gridCol w:w="1783"/>
        <w:gridCol w:w="5704"/>
      </w:tblGrid>
      <w:tr w:rsidR="000E48CE" w14:paraId="65CCA49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C391CC6"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611C09B"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216CAA2"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704" w:type="dxa"/>
            <w:vMerge w:val="restart"/>
            <w:tcBorders>
              <w:top w:val="single" w:sz="4" w:space="0" w:color="auto"/>
              <w:left w:val="nil"/>
              <w:bottom w:val="single" w:sz="4" w:space="0" w:color="000000"/>
              <w:right w:val="single" w:sz="4" w:space="0" w:color="auto"/>
            </w:tcBorders>
            <w:shd w:val="clear" w:color="auto" w:fill="BDD7EE"/>
            <w:vAlign w:val="center"/>
            <w:hideMark/>
          </w:tcPr>
          <w:p w14:paraId="7F6877E6"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274F07CF"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6D346BD"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4DB39A"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9EFE700" w14:textId="77777777" w:rsidR="000E48CE" w:rsidRDefault="000E48CE">
            <w:pPr>
              <w:spacing w:after="0" w:line="240" w:lineRule="auto"/>
              <w:rPr>
                <w:rFonts w:ascii="Times New Roman" w:eastAsia="Times New Roman" w:hAnsi="Times New Roman" w:cs="Times New Roman"/>
                <w:b/>
                <w:noProof/>
                <w:sz w:val="20"/>
              </w:rPr>
            </w:pPr>
          </w:p>
        </w:tc>
        <w:tc>
          <w:tcPr>
            <w:tcW w:w="5704" w:type="dxa"/>
            <w:vMerge/>
            <w:tcBorders>
              <w:top w:val="single" w:sz="4" w:space="0" w:color="auto"/>
              <w:left w:val="nil"/>
              <w:bottom w:val="single" w:sz="4" w:space="0" w:color="000000"/>
              <w:right w:val="single" w:sz="4" w:space="0" w:color="auto"/>
            </w:tcBorders>
            <w:vAlign w:val="center"/>
            <w:hideMark/>
          </w:tcPr>
          <w:p w14:paraId="237DAC7D" w14:textId="77777777" w:rsidR="000E48CE" w:rsidRDefault="000E48CE">
            <w:pPr>
              <w:spacing w:after="0" w:line="240" w:lineRule="auto"/>
              <w:rPr>
                <w:rFonts w:ascii="Times New Roman" w:eastAsia="Times New Roman" w:hAnsi="Times New Roman" w:cs="Times New Roman"/>
                <w:b/>
                <w:noProof/>
                <w:sz w:val="20"/>
              </w:rPr>
            </w:pPr>
          </w:p>
        </w:tc>
      </w:tr>
      <w:tr w:rsidR="000E48CE" w14:paraId="2964FF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EB6638" w14:textId="77777777" w:rsidR="000E48CE" w:rsidRDefault="00FF4C4E">
            <w:pPr>
              <w:pStyle w:val="P68B1DB1-Normal46"/>
              <w:spacing w:after="0" w:line="240" w:lineRule="auto"/>
              <w:jc w:val="center"/>
              <w:rPr>
                <w:rFonts w:eastAsia="Times New Roman" w:cs="Times New Roman"/>
                <w:noProof/>
              </w:rPr>
            </w:pPr>
            <w:r>
              <w:rPr>
                <w:noProof/>
              </w:rPr>
              <w:t>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BD39E6" w14:textId="77777777" w:rsidR="000E48CE" w:rsidRDefault="00FF4C4E">
            <w:pPr>
              <w:pStyle w:val="P68B1DB1-Normal46"/>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63184C"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CA82375" w14:textId="77777777" w:rsidR="000E48CE" w:rsidRDefault="00FF4C4E">
            <w:pPr>
              <w:pStyle w:val="P68B1DB1-Normal46"/>
              <w:spacing w:after="0" w:line="240" w:lineRule="auto"/>
              <w:rPr>
                <w:rFonts w:eastAsia="Times New Roman" w:cs="Times New Roman"/>
                <w:noProof/>
              </w:rPr>
            </w:pPr>
            <w:r>
              <w:rPr>
                <w:noProof/>
              </w:rPr>
              <w:t xml:space="preserve">Kestävää liikkuvuutta koskevan lain hyväksyminen </w:t>
            </w:r>
          </w:p>
        </w:tc>
      </w:tr>
      <w:tr w:rsidR="000E48CE" w14:paraId="4241E1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8C6947" w14:textId="77777777" w:rsidR="000E48CE" w:rsidRDefault="00FF4C4E">
            <w:pPr>
              <w:pStyle w:val="P68B1DB1-Normal46"/>
              <w:spacing w:after="0" w:line="240" w:lineRule="auto"/>
              <w:jc w:val="center"/>
              <w:rPr>
                <w:rFonts w:eastAsia="Times New Roman" w:cs="Times New Roman"/>
                <w:noProof/>
              </w:rPr>
            </w:pPr>
            <w:r>
              <w:rPr>
                <w:noProof/>
              </w:rPr>
              <w:t>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FABB3" w14:textId="77777777" w:rsidR="000E48CE" w:rsidRDefault="00FF4C4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5AC2DF"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F2E4D7" w14:textId="77777777" w:rsidR="000E48CE" w:rsidRDefault="00FF4C4E">
            <w:pPr>
              <w:pStyle w:val="P68B1DB1-Normal46"/>
              <w:spacing w:after="0" w:line="240" w:lineRule="auto"/>
              <w:rPr>
                <w:rFonts w:eastAsia="Times New Roman" w:cs="Times New Roman"/>
                <w:noProof/>
              </w:rPr>
            </w:pPr>
            <w:r>
              <w:rPr>
                <w:noProof/>
              </w:rPr>
              <w:t xml:space="preserve">Kestävän liikkuvuuden edistämiseen tähtäävät </w:t>
            </w:r>
            <w:r>
              <w:rPr>
                <w:noProof/>
              </w:rPr>
              <w:t>kuntien ostot tai myöntämät määrärahat</w:t>
            </w:r>
          </w:p>
        </w:tc>
      </w:tr>
      <w:tr w:rsidR="000E48CE" w14:paraId="4C0929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72CE58" w14:textId="77777777" w:rsidR="000E48CE" w:rsidRDefault="00FF4C4E">
            <w:pPr>
              <w:pStyle w:val="P68B1DB1-Normal46"/>
              <w:spacing w:after="0" w:line="240" w:lineRule="auto"/>
              <w:jc w:val="center"/>
              <w:rPr>
                <w:rFonts w:eastAsia="Times New Roman" w:cs="Times New Roman"/>
                <w:noProof/>
              </w:rPr>
            </w:pPr>
            <w:r>
              <w:rPr>
                <w:noProof/>
              </w:rPr>
              <w:t>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62F070" w14:textId="77777777" w:rsidR="000E48CE" w:rsidRDefault="00FF4C4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AEFD3D"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5CD14" w14:textId="77777777" w:rsidR="000E48CE" w:rsidRDefault="00FF4C4E">
            <w:pPr>
              <w:pStyle w:val="P68B1DB1-Normal46"/>
              <w:spacing w:after="0" w:line="240" w:lineRule="auto"/>
              <w:rPr>
                <w:rFonts w:eastAsia="Times New Roman" w:cs="Times New Roman"/>
                <w:noProof/>
              </w:rPr>
            </w:pPr>
            <w:r>
              <w:rPr>
                <w:noProof/>
              </w:rPr>
              <w:t>Palkinnot hankkeille, joilla parannetaan uusia liikkuvuuden muotoja valtionteillä</w:t>
            </w:r>
          </w:p>
        </w:tc>
      </w:tr>
      <w:tr w:rsidR="000E48CE" w14:paraId="32BAE1C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CDB5" w14:textId="77777777" w:rsidR="000E48CE" w:rsidRDefault="00FF4C4E">
            <w:pPr>
              <w:pStyle w:val="P68B1DB1-Normal46"/>
              <w:spacing w:after="0" w:line="240" w:lineRule="auto"/>
              <w:jc w:val="center"/>
              <w:rPr>
                <w:rFonts w:eastAsia="Times New Roman" w:cs="Times New Roman"/>
                <w:noProof/>
              </w:rPr>
            </w:pPr>
            <w:r>
              <w:rPr>
                <w:noProof/>
              </w:rPr>
              <w:t>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E5871" w14:textId="77777777" w:rsidR="000E48CE" w:rsidRDefault="00FF4C4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3D007"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DB06260" w14:textId="77777777" w:rsidR="000E48CE" w:rsidRDefault="00FF4C4E">
            <w:pPr>
              <w:pStyle w:val="P68B1DB1-Normal46"/>
              <w:spacing w:after="0" w:line="240" w:lineRule="auto"/>
              <w:rPr>
                <w:rFonts w:eastAsia="Times New Roman" w:cs="Times New Roman"/>
                <w:noProof/>
              </w:rPr>
            </w:pPr>
            <w:r>
              <w:rPr>
                <w:noProof/>
              </w:rPr>
              <w:t xml:space="preserve">Lyhyen matkan ratoihin tehtäviin investointeihin myönnetty kumulatiivinen talousarvio </w:t>
            </w:r>
          </w:p>
        </w:tc>
      </w:tr>
      <w:tr w:rsidR="000E48CE" w14:paraId="4C83CE9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756903" w14:textId="77777777" w:rsidR="000E48CE" w:rsidRDefault="00FF4C4E">
            <w:pPr>
              <w:pStyle w:val="P68B1DB1-Normal46"/>
              <w:spacing w:after="0" w:line="240" w:lineRule="auto"/>
              <w:jc w:val="center"/>
              <w:rPr>
                <w:rFonts w:eastAsia="Times New Roman" w:cs="Times New Roman"/>
                <w:noProof/>
              </w:rPr>
            </w:pPr>
            <w:r>
              <w:rPr>
                <w:noProof/>
              </w:rPr>
              <w:t>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A7561" w14:textId="77777777" w:rsidR="000E48CE" w:rsidRDefault="00FF4C4E">
            <w:pPr>
              <w:pStyle w:val="P68B1DB1-Normal46"/>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85C32F"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69DBDB6" w14:textId="77777777" w:rsidR="000E48CE" w:rsidRDefault="00FF4C4E">
            <w:pPr>
              <w:pStyle w:val="P68B1DB1-Normal46"/>
              <w:spacing w:after="0" w:line="240" w:lineRule="auto"/>
              <w:rPr>
                <w:rFonts w:eastAsia="Times New Roman" w:cs="Times New Roman"/>
                <w:noProof/>
              </w:rPr>
            </w:pPr>
            <w:r>
              <w:rPr>
                <w:noProof/>
              </w:rPr>
              <w:t>Asuinasuntojen perusparannustoimien loppuun saattaminen tai päätökset myöntää tukea asuinrakennusten perusparannustoimiin, joilla saavutetaan tai pyritään keskimäärin vähentämään primäärienergian kysyntää vähintään 30 prosenttia (vähintään 231000 toimea vä</w:t>
            </w:r>
            <w:r>
              <w:rPr>
                <w:noProof/>
              </w:rPr>
              <w:t>hintään 160000 yksittäisessä asunnossa)</w:t>
            </w:r>
          </w:p>
        </w:tc>
      </w:tr>
      <w:tr w:rsidR="000E48CE" w14:paraId="7C6C85C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98C6F9" w14:textId="77777777" w:rsidR="000E48CE" w:rsidRDefault="00FF4C4E">
            <w:pPr>
              <w:pStyle w:val="P68B1DB1-Normal46"/>
              <w:spacing w:after="0" w:line="240" w:lineRule="auto"/>
              <w:jc w:val="center"/>
              <w:rPr>
                <w:rFonts w:eastAsia="Times New Roman" w:cs="Times New Roman"/>
                <w:noProof/>
              </w:rPr>
            </w:pPr>
            <w:r>
              <w:rPr>
                <w:noProof/>
              </w:rPr>
              <w:t>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163C0A" w14:textId="77777777" w:rsidR="000E48CE" w:rsidRDefault="00FF4C4E">
            <w:pPr>
              <w:pStyle w:val="P68B1DB1-Normal46"/>
              <w:spacing w:after="0" w:line="240" w:lineRule="auto"/>
              <w:rPr>
                <w:rFonts w:eastAsia="Times New Roman" w:cs="Times New Roman"/>
                <w:noProof/>
              </w:rPr>
            </w:pPr>
            <w:r>
              <w:rPr>
                <w:noProof/>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0A0F97"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0050A65" w14:textId="77777777" w:rsidR="000E48CE" w:rsidRDefault="00FF4C4E">
            <w:pPr>
              <w:pStyle w:val="P68B1DB1-Normal46"/>
              <w:spacing w:after="0" w:line="240" w:lineRule="auto"/>
              <w:rPr>
                <w:rFonts w:eastAsia="Times New Roman" w:cs="Times New Roman"/>
                <w:noProof/>
              </w:rPr>
            </w:pPr>
            <w:r>
              <w:rPr>
                <w:noProof/>
              </w:rPr>
              <w:t>Julkisten rakennusten peruskorjausten loppuun saattaminen siten, että primäärienergian kysyntä vähenee keskimäärin vähintään 30 prosenttia (vähintään 290 000 m²)</w:t>
            </w:r>
          </w:p>
        </w:tc>
      </w:tr>
      <w:tr w:rsidR="000E48CE" w14:paraId="46F46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5603C1" w14:textId="77777777" w:rsidR="000E48CE" w:rsidRDefault="00FF4C4E">
            <w:pPr>
              <w:pStyle w:val="P68B1DB1-Normal46"/>
              <w:spacing w:after="0" w:line="240" w:lineRule="auto"/>
              <w:jc w:val="center"/>
              <w:rPr>
                <w:rFonts w:eastAsia="Times New Roman" w:cs="Times New Roman"/>
                <w:noProof/>
              </w:rPr>
            </w:pPr>
            <w:r>
              <w:rPr>
                <w:noProof/>
              </w:rPr>
              <w:t>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DAEDBE" w14:textId="77777777" w:rsidR="000E48CE" w:rsidRDefault="00FF4C4E">
            <w:pPr>
              <w:pStyle w:val="P68B1DB1-Normal46"/>
              <w:spacing w:after="0" w:line="240" w:lineRule="auto"/>
              <w:rPr>
                <w:rFonts w:eastAsia="Times New Roman" w:cs="Times New Roman"/>
                <w:noProof/>
              </w:rPr>
            </w:pPr>
            <w:r>
              <w:rPr>
                <w:noProof/>
              </w:rPr>
              <w:t>C3.I3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DF3157"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74D3F6" w14:textId="77777777" w:rsidR="000E48CE" w:rsidRDefault="00FF4C4E">
            <w:pPr>
              <w:pStyle w:val="P68B1DB1-Normal46"/>
              <w:spacing w:after="0" w:line="240" w:lineRule="auto"/>
              <w:rPr>
                <w:rFonts w:eastAsia="Times New Roman" w:cs="Times New Roman"/>
                <w:noProof/>
              </w:rPr>
            </w:pPr>
            <w:r>
              <w:rPr>
                <w:noProof/>
              </w:rPr>
              <w:t xml:space="preserve">Paremmat puhdistus- ja </w:t>
            </w:r>
            <w:r>
              <w:rPr>
                <w:noProof/>
              </w:rPr>
              <w:t>desinfiointikeskukset ja kasvien lisäysaineiston tuotantokeskukset sekä tehostetut koulutus- ja bioturvaamisjärjestelmät</w:t>
            </w:r>
          </w:p>
        </w:tc>
      </w:tr>
      <w:tr w:rsidR="000E48CE" w14:paraId="1558A9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8DD1CC5" w14:textId="77777777" w:rsidR="000E48CE" w:rsidRDefault="00FF4C4E">
            <w:pPr>
              <w:pStyle w:val="P68B1DB1-Normal46"/>
              <w:spacing w:after="0" w:line="240" w:lineRule="auto"/>
              <w:jc w:val="center"/>
              <w:rPr>
                <w:rFonts w:eastAsia="Times New Roman" w:cs="Times New Roman"/>
                <w:noProof/>
              </w:rPr>
            </w:pPr>
            <w:r>
              <w:rPr>
                <w:noProof/>
              </w:rPr>
              <w:t>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A58736" w14:textId="77777777" w:rsidR="000E48CE" w:rsidRDefault="00FF4C4E">
            <w:pPr>
              <w:pStyle w:val="P68B1DB1-Normal46"/>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40EDB1"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7EB9FA8" w14:textId="77777777" w:rsidR="000E48CE" w:rsidRDefault="00FF4C4E">
            <w:pPr>
              <w:pStyle w:val="P68B1DB1-Normal46"/>
              <w:spacing w:after="0" w:line="240" w:lineRule="auto"/>
              <w:rPr>
                <w:rFonts w:eastAsia="Times New Roman" w:cs="Times New Roman"/>
                <w:noProof/>
              </w:rPr>
            </w:pPr>
            <w:r>
              <w:rPr>
                <w:noProof/>
              </w:rPr>
              <w:t xml:space="preserve">TEN-T-ydinverkko: työskentelyn edistyminen </w:t>
            </w:r>
          </w:p>
        </w:tc>
      </w:tr>
      <w:tr w:rsidR="000E48CE" w14:paraId="6C032F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65B9D1" w14:textId="77777777" w:rsidR="000E48CE" w:rsidRDefault="00FF4C4E">
            <w:pPr>
              <w:pStyle w:val="P68B1DB1-Normal46"/>
              <w:spacing w:after="0" w:line="240" w:lineRule="auto"/>
              <w:jc w:val="center"/>
              <w:rPr>
                <w:rFonts w:eastAsia="Times New Roman" w:cs="Times New Roman"/>
                <w:noProof/>
              </w:rPr>
            </w:pPr>
            <w:r>
              <w:rPr>
                <w:noProof/>
              </w:rPr>
              <w:t>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962B6B" w14:textId="77777777" w:rsidR="000E48CE" w:rsidRDefault="00FF4C4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0C6CF4"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BCB89D" w14:textId="77777777" w:rsidR="000E48CE" w:rsidRDefault="00FF4C4E">
            <w:pPr>
              <w:pStyle w:val="P68B1DB1-Normal46"/>
              <w:spacing w:after="0" w:line="240" w:lineRule="auto"/>
              <w:rPr>
                <w:rFonts w:eastAsia="Times New Roman" w:cs="Times New Roman"/>
                <w:noProof/>
              </w:rPr>
            </w:pPr>
            <w:r>
              <w:rPr>
                <w:noProof/>
              </w:rPr>
              <w:t>TEN-T-verkon ulkopuolinen verkko: rautatietöiden edistyminen</w:t>
            </w:r>
          </w:p>
        </w:tc>
      </w:tr>
      <w:tr w:rsidR="000E48CE" w14:paraId="39542F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12BFD" w14:textId="77777777" w:rsidR="000E48CE" w:rsidRDefault="00FF4C4E">
            <w:pPr>
              <w:pStyle w:val="P68B1DB1-Normal46"/>
              <w:spacing w:after="0" w:line="240" w:lineRule="auto"/>
              <w:jc w:val="center"/>
              <w:rPr>
                <w:rFonts w:eastAsia="Times New Roman" w:cs="Times New Roman"/>
                <w:noProof/>
              </w:rPr>
            </w:pPr>
            <w:r>
              <w:rPr>
                <w:noProof/>
              </w:rPr>
              <w:t>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16525" w14:textId="77777777" w:rsidR="000E48CE" w:rsidRDefault="00FF4C4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7422D49"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0D01220" w14:textId="77777777" w:rsidR="000E48CE" w:rsidRDefault="00FF4C4E">
            <w:pPr>
              <w:pStyle w:val="P68B1DB1-Normal46"/>
              <w:spacing w:after="0" w:line="240" w:lineRule="auto"/>
              <w:rPr>
                <w:rFonts w:eastAsia="Times New Roman" w:cs="Times New Roman"/>
                <w:noProof/>
              </w:rPr>
            </w:pPr>
            <w:r>
              <w:rPr>
                <w:noProof/>
              </w:rPr>
              <w:t>Yhtenäinen eurooppalainen ilmatila: hanke, jolle on myönnetty lupa, ja edistyminen hankkeiden loppuun saattamisessa</w:t>
            </w:r>
          </w:p>
        </w:tc>
      </w:tr>
      <w:tr w:rsidR="000E48CE" w14:paraId="03956C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C1941" w14:textId="77777777" w:rsidR="000E48CE" w:rsidRDefault="00FF4C4E">
            <w:pPr>
              <w:pStyle w:val="P68B1DB1-Normal46"/>
              <w:spacing w:after="0" w:line="240" w:lineRule="auto"/>
              <w:jc w:val="center"/>
              <w:rPr>
                <w:rFonts w:eastAsia="Times New Roman" w:cs="Times New Roman"/>
                <w:noProof/>
              </w:rPr>
            </w:pPr>
            <w:r>
              <w:rPr>
                <w:noProof/>
              </w:rPr>
              <w:t>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1BDC2" w14:textId="77777777" w:rsidR="000E48CE" w:rsidRDefault="00FF4C4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79B216"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0B1E470" w14:textId="77777777" w:rsidR="000E48CE" w:rsidRDefault="00FF4C4E">
            <w:pPr>
              <w:pStyle w:val="P68B1DB1-Normal46"/>
              <w:spacing w:after="0" w:line="240" w:lineRule="auto"/>
              <w:rPr>
                <w:rFonts w:eastAsia="Times New Roman" w:cs="Times New Roman"/>
                <w:noProof/>
              </w:rPr>
            </w:pPr>
            <w:r>
              <w:rPr>
                <w:noProof/>
              </w:rPr>
              <w:t>Liikenne-, liikkuvuus- ja kaupunkiagendan digitalisointi</w:t>
            </w:r>
          </w:p>
        </w:tc>
      </w:tr>
      <w:tr w:rsidR="000E48CE" w14:paraId="73CD546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757BCA" w14:textId="77777777" w:rsidR="000E48CE" w:rsidRDefault="00FF4C4E">
            <w:pPr>
              <w:pStyle w:val="P68B1DB1-Normal46"/>
              <w:spacing w:after="0" w:line="240" w:lineRule="auto"/>
              <w:jc w:val="center"/>
              <w:rPr>
                <w:rFonts w:eastAsia="Times New Roman" w:cs="Times New Roman"/>
                <w:noProof/>
              </w:rPr>
            </w:pPr>
            <w:r>
              <w:rPr>
                <w:noProof/>
              </w:rPr>
              <w:t>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AAE4E" w14:textId="77777777" w:rsidR="000E48CE" w:rsidRDefault="00FF4C4E">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9DA978"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7B5736" w14:textId="77777777" w:rsidR="000E48CE" w:rsidRDefault="00FF4C4E">
            <w:pPr>
              <w:pStyle w:val="P68B1DB1-Normal46"/>
              <w:spacing w:after="0" w:line="240" w:lineRule="auto"/>
              <w:rPr>
                <w:rFonts w:eastAsia="Times New Roman" w:cs="Times New Roman"/>
                <w:noProof/>
              </w:rPr>
            </w:pPr>
            <w:r>
              <w:rPr>
                <w:noProof/>
              </w:rPr>
              <w:t xml:space="preserve">Intermodaalisen ja logistisen infrastruktuurin talousarvion toteuttaminen </w:t>
            </w:r>
          </w:p>
        </w:tc>
      </w:tr>
      <w:tr w:rsidR="000E48CE" w14:paraId="236FAA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C16EA" w14:textId="77777777" w:rsidR="000E48CE" w:rsidRDefault="00FF4C4E">
            <w:pPr>
              <w:pStyle w:val="P68B1DB1-Normal46"/>
              <w:spacing w:after="0" w:line="240" w:lineRule="auto"/>
              <w:jc w:val="center"/>
              <w:rPr>
                <w:rFonts w:eastAsia="Times New Roman" w:cs="Times New Roman"/>
                <w:noProof/>
              </w:rPr>
            </w:pPr>
            <w:r>
              <w:rPr>
                <w:noProof/>
              </w:rPr>
              <w:t>100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77DB0F" w14:textId="77777777" w:rsidR="000E48CE" w:rsidRDefault="00FF4C4E">
            <w:pPr>
              <w:pStyle w:val="P68B1DB1-Normal46"/>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1BB64D"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82D7860" w14:textId="77777777" w:rsidR="000E48CE" w:rsidRDefault="00FF4C4E">
            <w:pPr>
              <w:pStyle w:val="P68B1DB1-Normal46"/>
              <w:spacing w:after="0" w:line="240" w:lineRule="auto"/>
              <w:rPr>
                <w:rFonts w:eastAsia="Times New Roman" w:cs="Times New Roman"/>
                <w:noProof/>
              </w:rPr>
            </w:pPr>
            <w:r>
              <w:rPr>
                <w:noProof/>
              </w:rPr>
              <w:t>Kestävä ja digitaalinen liikenne: töiden aloittaminen</w:t>
            </w:r>
          </w:p>
        </w:tc>
      </w:tr>
      <w:tr w:rsidR="000E48CE" w14:paraId="1E9A01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EDEAF7" w14:textId="77777777" w:rsidR="000E48CE" w:rsidRDefault="00FF4C4E">
            <w:pPr>
              <w:pStyle w:val="P68B1DB1-Normal46"/>
              <w:spacing w:after="0" w:line="240" w:lineRule="auto"/>
              <w:jc w:val="center"/>
              <w:rPr>
                <w:rFonts w:eastAsia="Times New Roman" w:cs="Times New Roman"/>
                <w:noProof/>
              </w:rPr>
            </w:pPr>
            <w:r>
              <w:rPr>
                <w:noProof/>
              </w:rPr>
              <w:t>111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BCB1C" w14:textId="77777777" w:rsidR="000E48CE" w:rsidRDefault="00FF4C4E">
            <w:pPr>
              <w:pStyle w:val="P68B1DB1-Normal46"/>
              <w:spacing w:after="0" w:line="240" w:lineRule="auto"/>
              <w:rPr>
                <w:rFonts w:eastAsia="Times New Roman" w:cs="Times New Roman"/>
                <w:noProof/>
              </w:rPr>
            </w:pPr>
            <w:r>
              <w:rPr>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8BF905"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3DCF46F" w14:textId="77777777" w:rsidR="000E48CE" w:rsidRDefault="00FF4C4E">
            <w:pPr>
              <w:pStyle w:val="P68B1DB1-Normal46"/>
              <w:spacing w:after="0" w:line="240" w:lineRule="auto"/>
              <w:rPr>
                <w:rFonts w:eastAsia="Times New Roman" w:cs="Times New Roman"/>
                <w:noProof/>
              </w:rPr>
            </w:pPr>
            <w:r>
              <w:rPr>
                <w:noProof/>
              </w:rPr>
              <w:t>Energiaan liittyvien pilottihankkeiden loppuun saattaminen paikallisyhteisöissä</w:t>
            </w:r>
          </w:p>
        </w:tc>
      </w:tr>
      <w:tr w:rsidR="000E48CE" w14:paraId="6F3B40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4A510D" w14:textId="77777777" w:rsidR="000E48CE" w:rsidRDefault="00FF4C4E">
            <w:pPr>
              <w:pStyle w:val="P68B1DB1-Normal46"/>
              <w:spacing w:after="0" w:line="240" w:lineRule="auto"/>
              <w:jc w:val="center"/>
              <w:rPr>
                <w:rFonts w:eastAsia="Times New Roman" w:cs="Times New Roman"/>
                <w:noProof/>
              </w:rPr>
            </w:pPr>
            <w:r>
              <w:rPr>
                <w:noProof/>
              </w:rPr>
              <w:t>431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141DE9" w14:textId="77777777" w:rsidR="000E48CE" w:rsidRDefault="00FF4C4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C6AB5"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266D48" w14:textId="77777777" w:rsidR="000E48CE" w:rsidRDefault="00FF4C4E">
            <w:pPr>
              <w:pStyle w:val="P68B1DB1-Normal46"/>
              <w:spacing w:after="0" w:line="240" w:lineRule="auto"/>
              <w:rPr>
                <w:rFonts w:eastAsia="Times New Roman" w:cs="Times New Roman"/>
                <w:noProof/>
              </w:rPr>
            </w:pPr>
            <w:r>
              <w:rPr>
                <w:noProof/>
              </w:rPr>
              <w:t xml:space="preserve">Tuki </w:t>
            </w:r>
            <w:r>
              <w:rPr>
                <w:noProof/>
              </w:rPr>
              <w:t>ympäristöalan, digitaalisen ja sosiaalisen infrastruktuurin hankkeille</w:t>
            </w:r>
          </w:p>
        </w:tc>
      </w:tr>
      <w:tr w:rsidR="000E48CE" w14:paraId="2615DC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29CE1A" w14:textId="77777777" w:rsidR="000E48CE" w:rsidRDefault="00FF4C4E">
            <w:pPr>
              <w:pStyle w:val="P68B1DB1-Normal46"/>
              <w:spacing w:after="0" w:line="240" w:lineRule="auto"/>
              <w:jc w:val="center"/>
              <w:rPr>
                <w:rFonts w:eastAsia="Times New Roman" w:cs="Times New Roman"/>
                <w:noProof/>
              </w:rPr>
            </w:pPr>
            <w:r>
              <w:rPr>
                <w:noProof/>
              </w:rPr>
              <w:t>150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D48EFE" w14:textId="77777777" w:rsidR="000E48CE" w:rsidRDefault="00FF4C4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7E6E0F"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50E95F" w14:textId="77777777" w:rsidR="000E48CE" w:rsidRDefault="00FF4C4E">
            <w:pPr>
              <w:pStyle w:val="P68B1DB1-Normal46"/>
              <w:spacing w:after="0" w:line="240" w:lineRule="auto"/>
              <w:rPr>
                <w:rFonts w:eastAsia="Times New Roman" w:cs="Times New Roman"/>
                <w:noProof/>
              </w:rPr>
            </w:pPr>
            <w:r>
              <w:rPr>
                <w:noProof/>
              </w:rPr>
              <w:t>Julkisten työpaikkojen vakauttaminen</w:t>
            </w:r>
          </w:p>
        </w:tc>
      </w:tr>
      <w:tr w:rsidR="000E48CE" w14:paraId="4197D8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CBE34D" w14:textId="77777777" w:rsidR="000E48CE" w:rsidRDefault="00FF4C4E">
            <w:pPr>
              <w:pStyle w:val="P68B1DB1-Normal46"/>
              <w:spacing w:after="0" w:line="240" w:lineRule="auto"/>
              <w:jc w:val="center"/>
              <w:rPr>
                <w:rFonts w:eastAsia="Times New Roman" w:cs="Times New Roman"/>
                <w:noProof/>
              </w:rPr>
            </w:pPr>
            <w:r>
              <w:rPr>
                <w:noProof/>
              </w:rPr>
              <w:t>432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BD172" w14:textId="77777777" w:rsidR="000E48CE" w:rsidRDefault="00FF4C4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FEDF66"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CD35DB" w14:textId="77777777" w:rsidR="000E48CE" w:rsidRDefault="00FF4C4E">
            <w:pPr>
              <w:pStyle w:val="P68B1DB1-Normal46"/>
              <w:spacing w:after="0" w:line="240" w:lineRule="auto"/>
              <w:rPr>
                <w:rFonts w:eastAsia="Times New Roman" w:cs="Times New Roman"/>
                <w:noProof/>
              </w:rPr>
            </w:pPr>
            <w:r>
              <w:rPr>
                <w:noProof/>
              </w:rPr>
              <w:t xml:space="preserve">Laki eturyhmien toiminnan avoimuudesta ja rehellisyydestä </w:t>
            </w:r>
          </w:p>
        </w:tc>
      </w:tr>
      <w:tr w:rsidR="000E48CE" w14:paraId="5F2BF6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527962" w14:textId="77777777" w:rsidR="000E48CE" w:rsidRDefault="00FF4C4E">
            <w:pPr>
              <w:pStyle w:val="P68B1DB1-Normal46"/>
              <w:spacing w:after="0" w:line="240" w:lineRule="auto"/>
              <w:jc w:val="center"/>
              <w:rPr>
                <w:rFonts w:eastAsia="Times New Roman" w:cs="Times New Roman"/>
                <w:noProof/>
              </w:rPr>
            </w:pPr>
            <w:r>
              <w:rPr>
                <w:noProof/>
              </w:rPr>
              <w:t>434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079C42" w14:textId="77777777" w:rsidR="000E48CE" w:rsidRDefault="00FF4C4E">
            <w:pPr>
              <w:pStyle w:val="P68B1DB1-Normal46"/>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029353"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CDAC107" w14:textId="77777777" w:rsidR="000E48CE" w:rsidRDefault="00FF4C4E">
            <w:pPr>
              <w:pStyle w:val="P68B1DB1-Normal46"/>
              <w:spacing w:after="0" w:line="240" w:lineRule="auto"/>
              <w:rPr>
                <w:rFonts w:eastAsia="Times New Roman" w:cs="Times New Roman"/>
                <w:noProof/>
              </w:rPr>
            </w:pPr>
            <w:r>
              <w:rPr>
                <w:noProof/>
              </w:rPr>
              <w:t xml:space="preserve">Organisatorisesta ja menettelyllisestä </w:t>
            </w:r>
            <w:r>
              <w:rPr>
                <w:noProof/>
              </w:rPr>
              <w:t>tehokkuudesta annetun lain voimaantulo</w:t>
            </w:r>
          </w:p>
        </w:tc>
      </w:tr>
      <w:tr w:rsidR="000E48CE" w14:paraId="44B195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966EC7" w14:textId="77777777" w:rsidR="000E48CE" w:rsidRDefault="00FF4C4E">
            <w:pPr>
              <w:pStyle w:val="P68B1DB1-Normal46"/>
              <w:spacing w:after="0" w:line="240" w:lineRule="auto"/>
              <w:jc w:val="center"/>
              <w:rPr>
                <w:rFonts w:eastAsia="Times New Roman" w:cs="Times New Roman"/>
                <w:noProof/>
              </w:rPr>
            </w:pPr>
            <w:r>
              <w:rPr>
                <w:noProof/>
              </w:rPr>
              <w:t>435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2495D9" w14:textId="77777777" w:rsidR="000E48CE" w:rsidRDefault="00FF4C4E">
            <w:pPr>
              <w:pStyle w:val="P68B1DB1-Normal46"/>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95593C"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48D1D80" w14:textId="77777777" w:rsidR="000E48CE" w:rsidRDefault="00FF4C4E">
            <w:pPr>
              <w:pStyle w:val="P68B1DB1-Normal46"/>
              <w:spacing w:after="0" w:line="240" w:lineRule="auto"/>
              <w:rPr>
                <w:rFonts w:eastAsia="Times New Roman" w:cs="Times New Roman"/>
                <w:noProof/>
              </w:rPr>
            </w:pPr>
            <w:r>
              <w:rPr>
                <w:noProof/>
              </w:rPr>
              <w:t>Puolustusoikeutta koskevan lain voimaantulo</w:t>
            </w:r>
          </w:p>
        </w:tc>
      </w:tr>
      <w:tr w:rsidR="000E48CE" w14:paraId="74BD08B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AE61F0" w14:textId="77777777" w:rsidR="000E48CE" w:rsidRDefault="00FF4C4E">
            <w:pPr>
              <w:pStyle w:val="P68B1DB1-Normal46"/>
              <w:spacing w:after="0" w:line="240" w:lineRule="auto"/>
              <w:jc w:val="center"/>
              <w:rPr>
                <w:rFonts w:eastAsia="Times New Roman" w:cs="Times New Roman"/>
                <w:noProof/>
              </w:rPr>
            </w:pPr>
            <w:r>
              <w:rPr>
                <w:noProof/>
              </w:rPr>
              <w:t>436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F029D4" w14:textId="77777777" w:rsidR="000E48CE" w:rsidRDefault="00FF4C4E">
            <w:pPr>
              <w:pStyle w:val="P68B1DB1-Normal46"/>
              <w:spacing w:after="0" w:line="240" w:lineRule="auto"/>
              <w:rPr>
                <w:rFonts w:eastAsia="Times New Roman" w:cs="Times New Roman"/>
                <w:noProof/>
              </w:rPr>
            </w:pPr>
            <w:r>
              <w:rPr>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16462"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F4F08C" w14:textId="77777777" w:rsidR="000E48CE" w:rsidRDefault="00FF4C4E">
            <w:pPr>
              <w:pStyle w:val="P68B1DB1-Normal46"/>
              <w:spacing w:after="0" w:line="240" w:lineRule="auto"/>
              <w:rPr>
                <w:rFonts w:eastAsia="Times New Roman" w:cs="Times New Roman"/>
                <w:noProof/>
              </w:rPr>
            </w:pPr>
            <w:r>
              <w:rPr>
                <w:noProof/>
              </w:rPr>
              <w:t>Asiakaspalvelulain ja rahoitusasiakkaiden suojelusta vastaavan viranomaisen perustamisesta annetun lain voimaantulo</w:t>
            </w:r>
          </w:p>
        </w:tc>
      </w:tr>
      <w:tr w:rsidR="000E48CE" w14:paraId="2A08DF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0551B8" w14:textId="77777777" w:rsidR="000E48CE" w:rsidRDefault="00FF4C4E">
            <w:pPr>
              <w:pStyle w:val="P68B1DB1-Normal46"/>
              <w:spacing w:after="0" w:line="240" w:lineRule="auto"/>
              <w:jc w:val="center"/>
              <w:rPr>
                <w:rFonts w:eastAsia="Times New Roman" w:cs="Times New Roman"/>
                <w:noProof/>
              </w:rPr>
            </w:pPr>
            <w:r>
              <w:rPr>
                <w:noProof/>
              </w:rPr>
              <w:t>170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1CBA83" w14:textId="77777777" w:rsidR="000E48CE" w:rsidRDefault="00FF4C4E">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2C160C"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5697C3" w14:textId="77777777" w:rsidR="000E48CE" w:rsidRDefault="00FF4C4E">
            <w:pPr>
              <w:pStyle w:val="P68B1DB1-Normal46"/>
              <w:spacing w:after="0" w:line="240" w:lineRule="auto"/>
              <w:rPr>
                <w:rFonts w:eastAsia="Times New Roman" w:cs="Times New Roman"/>
                <w:noProof/>
              </w:rPr>
            </w:pPr>
            <w:r>
              <w:rPr>
                <w:noProof/>
              </w:rPr>
              <w:t xml:space="preserve">Ajoneuvojen </w:t>
            </w:r>
            <w:r>
              <w:rPr>
                <w:noProof/>
              </w:rPr>
              <w:t>kunnostaminen julkishallinnossa</w:t>
            </w:r>
          </w:p>
        </w:tc>
      </w:tr>
      <w:tr w:rsidR="000E48CE" w14:paraId="2DBCE7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797611" w14:textId="77777777" w:rsidR="000E48CE" w:rsidRDefault="00FF4C4E">
            <w:pPr>
              <w:pStyle w:val="P68B1DB1-Normal46"/>
              <w:spacing w:after="0" w:line="240" w:lineRule="auto"/>
              <w:jc w:val="center"/>
              <w:rPr>
                <w:rFonts w:eastAsia="Times New Roman" w:cs="Times New Roman"/>
                <w:noProof/>
              </w:rPr>
            </w:pPr>
            <w:r>
              <w:rPr>
                <w:noProof/>
              </w:rPr>
              <w:t>171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B346F1" w14:textId="77777777" w:rsidR="000E48CE" w:rsidRDefault="00FF4C4E">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B53A15"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8209C1" w14:textId="77777777" w:rsidR="000E48CE" w:rsidRDefault="00FF4C4E">
            <w:pPr>
              <w:pStyle w:val="P68B1DB1-Normal46"/>
              <w:spacing w:after="0" w:line="240" w:lineRule="auto"/>
              <w:rPr>
                <w:rFonts w:eastAsia="Times New Roman" w:cs="Times New Roman"/>
                <w:noProof/>
              </w:rPr>
            </w:pPr>
            <w:r>
              <w:rPr>
                <w:noProof/>
              </w:rPr>
              <w:t>Julkisten rakennusten energiaperuskorjaus (140 000 m²)</w:t>
            </w:r>
          </w:p>
        </w:tc>
      </w:tr>
      <w:tr w:rsidR="000E48CE" w14:paraId="72B6ED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0D415B" w14:textId="77777777" w:rsidR="000E48CE" w:rsidRDefault="00FF4C4E">
            <w:pPr>
              <w:pStyle w:val="P68B1DB1-Normal46"/>
              <w:spacing w:after="0" w:line="240" w:lineRule="auto"/>
              <w:jc w:val="center"/>
              <w:rPr>
                <w:rFonts w:eastAsia="Times New Roman" w:cs="Times New Roman"/>
                <w:noProof/>
              </w:rPr>
            </w:pPr>
            <w:r>
              <w:rPr>
                <w:noProof/>
              </w:rPr>
              <w:t>185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910E0E" w14:textId="77777777" w:rsidR="000E48CE" w:rsidRDefault="00FF4C4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D532A9"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0555BD" w14:textId="77777777" w:rsidR="000E48CE" w:rsidRDefault="00FF4C4E">
            <w:pPr>
              <w:pStyle w:val="P68B1DB1-Normal46"/>
              <w:spacing w:after="0" w:line="240" w:lineRule="auto"/>
              <w:rPr>
                <w:rFonts w:eastAsia="Times New Roman" w:cs="Times New Roman"/>
                <w:noProof/>
              </w:rPr>
            </w:pPr>
            <w:r>
              <w:rPr>
                <w:noProof/>
              </w:rPr>
              <w:t xml:space="preserve">PERTE-hankkeiden ja teollisuuden muutoshankkeiden talousarvion toteuttaminen </w:t>
            </w:r>
          </w:p>
        </w:tc>
      </w:tr>
      <w:tr w:rsidR="000E48CE" w14:paraId="285904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B1112B" w14:textId="77777777" w:rsidR="000E48CE" w:rsidRDefault="00FF4C4E">
            <w:pPr>
              <w:pStyle w:val="P68B1DB1-Normal46"/>
              <w:spacing w:after="0" w:line="240" w:lineRule="auto"/>
              <w:jc w:val="center"/>
              <w:rPr>
                <w:rFonts w:eastAsia="Times New Roman" w:cs="Times New Roman"/>
                <w:noProof/>
              </w:rPr>
            </w:pPr>
            <w:r>
              <w:rPr>
                <w:noProof/>
              </w:rPr>
              <w:t>440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EC8BCB" w14:textId="77777777" w:rsidR="000E48CE" w:rsidRDefault="00FF4C4E">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BBB740"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671D730" w14:textId="77777777" w:rsidR="000E48CE" w:rsidRDefault="00FF4C4E">
            <w:pPr>
              <w:pStyle w:val="P68B1DB1-Normal46"/>
              <w:spacing w:after="0" w:line="240" w:lineRule="auto"/>
              <w:rPr>
                <w:rFonts w:eastAsia="Times New Roman" w:cs="Times New Roman"/>
                <w:noProof/>
              </w:rPr>
            </w:pPr>
            <w:r>
              <w:rPr>
                <w:noProof/>
              </w:rPr>
              <w:t xml:space="preserve">Jätteiden koordinointikomission työryhmä, jonka </w:t>
            </w:r>
            <w:r>
              <w:rPr>
                <w:noProof/>
              </w:rPr>
              <w:t>tehtävänä on valvoa jätelainsäädännön noudattamista</w:t>
            </w:r>
          </w:p>
        </w:tc>
      </w:tr>
      <w:tr w:rsidR="000E48CE" w14:paraId="3361C5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FF7E6F" w14:textId="77777777" w:rsidR="000E48CE" w:rsidRDefault="00FF4C4E">
            <w:pPr>
              <w:pStyle w:val="P68B1DB1-Normal46"/>
              <w:spacing w:after="0" w:line="240" w:lineRule="auto"/>
              <w:jc w:val="center"/>
              <w:rPr>
                <w:rFonts w:eastAsia="Times New Roman" w:cs="Times New Roman"/>
                <w:noProof/>
              </w:rPr>
            </w:pPr>
            <w:r>
              <w:rPr>
                <w:noProof/>
              </w:rPr>
              <w:t>442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677A" w14:textId="77777777" w:rsidR="000E48CE" w:rsidRDefault="00FF4C4E">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68969A"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665F46" w14:textId="77777777" w:rsidR="000E48CE" w:rsidRDefault="00FF4C4E">
            <w:pPr>
              <w:pStyle w:val="P68B1DB1-Normal46"/>
              <w:spacing w:after="0" w:line="240" w:lineRule="auto"/>
              <w:rPr>
                <w:rFonts w:eastAsia="Times New Roman" w:cs="Times New Roman"/>
                <w:noProof/>
              </w:rPr>
            </w:pPr>
            <w:r>
              <w:rPr>
                <w:noProof/>
              </w:rPr>
              <w:t>Jätteiden täytäntöönpanohankkeiden toteuttamiseen tarkoitettujen avustusten jakaminen.</w:t>
            </w:r>
          </w:p>
        </w:tc>
      </w:tr>
      <w:tr w:rsidR="000E48CE" w14:paraId="7B4A90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DA7EF3" w14:textId="77777777" w:rsidR="000E48CE" w:rsidRDefault="00FF4C4E">
            <w:pPr>
              <w:pStyle w:val="P68B1DB1-Normal46"/>
              <w:spacing w:after="0" w:line="240" w:lineRule="auto"/>
              <w:jc w:val="center"/>
              <w:rPr>
                <w:rFonts w:eastAsia="Times New Roman" w:cs="Times New Roman"/>
                <w:noProof/>
              </w:rPr>
            </w:pPr>
            <w:r>
              <w:rPr>
                <w:noProof/>
              </w:rPr>
              <w:t>446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450CAB" w14:textId="77777777" w:rsidR="000E48CE" w:rsidRDefault="00FF4C4E">
            <w:pPr>
              <w:pStyle w:val="P68B1DB1-Normal46"/>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103AE2C"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DB4B7" w14:textId="77777777" w:rsidR="000E48CE" w:rsidRDefault="00FF4C4E">
            <w:pPr>
              <w:pStyle w:val="P68B1DB1-Normal46"/>
              <w:spacing w:after="0" w:line="240" w:lineRule="auto"/>
              <w:rPr>
                <w:rFonts w:eastAsia="Times New Roman" w:cs="Times New Roman"/>
                <w:noProof/>
              </w:rPr>
            </w:pPr>
            <w:r>
              <w:rPr>
                <w:noProof/>
              </w:rPr>
              <w:t>Kiertotalouden tukijärjestelmä: Tukijärjestelmän perustaminen</w:t>
            </w:r>
          </w:p>
        </w:tc>
      </w:tr>
      <w:tr w:rsidR="000E48CE" w14:paraId="17C0FD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9809F2" w14:textId="77777777" w:rsidR="000E48CE" w:rsidRDefault="00FF4C4E">
            <w:pPr>
              <w:pStyle w:val="P68B1DB1-Normal46"/>
              <w:spacing w:after="0" w:line="240" w:lineRule="auto"/>
              <w:jc w:val="center"/>
              <w:rPr>
                <w:rFonts w:eastAsia="Times New Roman" w:cs="Times New Roman"/>
                <w:noProof/>
              </w:rPr>
            </w:pPr>
            <w:r>
              <w:rPr>
                <w:noProof/>
              </w:rPr>
              <w:t>448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C28705" w14:textId="77777777" w:rsidR="000E48CE" w:rsidRDefault="00FF4C4E">
            <w:pPr>
              <w:pStyle w:val="P68B1DB1-Normal46"/>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29944"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7EA65C" w14:textId="77777777" w:rsidR="000E48CE" w:rsidRDefault="00FF4C4E">
            <w:pPr>
              <w:pStyle w:val="P68B1DB1-Normal46"/>
              <w:spacing w:after="0" w:line="240" w:lineRule="auto"/>
              <w:rPr>
                <w:rFonts w:eastAsia="Times New Roman" w:cs="Times New Roman"/>
                <w:noProof/>
              </w:rPr>
            </w:pPr>
            <w:r>
              <w:rPr>
                <w:noProof/>
              </w:rPr>
              <w:t>Kiertotalouden tukijärjestelmä: Ministeriö on saattanut investoinnin päätökseen </w:t>
            </w:r>
          </w:p>
        </w:tc>
      </w:tr>
      <w:tr w:rsidR="000E48CE" w14:paraId="5B68DA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C6140F" w14:textId="77777777" w:rsidR="000E48CE" w:rsidRDefault="00FF4C4E">
            <w:pPr>
              <w:pStyle w:val="P68B1DB1-Normal46"/>
              <w:spacing w:after="0" w:line="240" w:lineRule="auto"/>
              <w:jc w:val="center"/>
              <w:rPr>
                <w:rFonts w:eastAsia="Times New Roman" w:cs="Times New Roman"/>
                <w:noProof/>
              </w:rPr>
            </w:pPr>
            <w:r>
              <w:rPr>
                <w:noProof/>
              </w:rPr>
              <w:t>448a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C73C5" w14:textId="77777777" w:rsidR="000E48CE" w:rsidRDefault="00FF4C4E">
            <w:pPr>
              <w:pStyle w:val="P68B1DB1-Normal46"/>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20AC2"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93852C" w14:textId="77777777" w:rsidR="000E48CE" w:rsidRDefault="00FF4C4E">
            <w:pPr>
              <w:pStyle w:val="P68B1DB1-Normal46"/>
              <w:spacing w:after="0" w:line="240" w:lineRule="auto"/>
              <w:rPr>
                <w:rFonts w:eastAsia="Times New Roman" w:cs="Times New Roman"/>
                <w:noProof/>
              </w:rPr>
            </w:pPr>
            <w:r>
              <w:rPr>
                <w:noProof/>
              </w:rPr>
              <w:t>Sähköajoneuvoalan tukiohjelma (avustukset): Ministeriö on saattanut investoinnin päätökseen</w:t>
            </w:r>
          </w:p>
        </w:tc>
      </w:tr>
      <w:tr w:rsidR="000E48CE" w14:paraId="330F2B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A1A0CF" w14:textId="77777777" w:rsidR="000E48CE" w:rsidRDefault="00FF4C4E">
            <w:pPr>
              <w:pStyle w:val="P68B1DB1-Normal46"/>
              <w:spacing w:after="0" w:line="240" w:lineRule="auto"/>
              <w:jc w:val="center"/>
              <w:rPr>
                <w:rFonts w:eastAsia="Times New Roman" w:cs="Times New Roman"/>
                <w:noProof/>
              </w:rPr>
            </w:pPr>
            <w:r>
              <w:rPr>
                <w:noProof/>
              </w:rPr>
              <w:t>448b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31272" w14:textId="77777777" w:rsidR="000E48CE" w:rsidRDefault="00FF4C4E">
            <w:pPr>
              <w:pStyle w:val="P68B1DB1-Normal46"/>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0772D0"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2CC4F68" w14:textId="77777777" w:rsidR="000E48CE" w:rsidRDefault="00FF4C4E">
            <w:pPr>
              <w:pStyle w:val="P68B1DB1-Normal46"/>
              <w:spacing w:after="0" w:line="240" w:lineRule="auto"/>
              <w:rPr>
                <w:rFonts w:eastAsia="Times New Roman" w:cs="Times New Roman"/>
                <w:noProof/>
              </w:rPr>
            </w:pPr>
            <w:r>
              <w:rPr>
                <w:noProof/>
              </w:rPr>
              <w:t xml:space="preserve">Sähköajoneuvoalan tukiohjelma (avustukset) </w:t>
            </w:r>
            <w:r>
              <w:rPr>
                <w:noProof/>
              </w:rPr>
              <w:t>Tukijärjestelmän perustaminen</w:t>
            </w:r>
          </w:p>
        </w:tc>
      </w:tr>
      <w:tr w:rsidR="000E48CE" w14:paraId="753422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FD706E" w14:textId="77777777" w:rsidR="000E48CE" w:rsidRDefault="00FF4C4E">
            <w:pPr>
              <w:pStyle w:val="P68B1DB1-Normal46"/>
              <w:spacing w:after="0" w:line="240" w:lineRule="auto"/>
              <w:jc w:val="center"/>
              <w:rPr>
                <w:rFonts w:eastAsia="Times New Roman" w:cs="Times New Roman"/>
                <w:noProof/>
              </w:rPr>
            </w:pPr>
            <w:r>
              <w:rPr>
                <w:noProof/>
              </w:rPr>
              <w:t>452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CF1A09" w14:textId="77777777" w:rsidR="000E48CE" w:rsidRDefault="00FF4C4E">
            <w:pPr>
              <w:pStyle w:val="P68B1DB1-Normal46"/>
              <w:spacing w:after="0" w:line="240" w:lineRule="auto"/>
              <w:rPr>
                <w:rFonts w:eastAsia="Times New Roman" w:cs="Times New Roman"/>
                <w:noProof/>
              </w:rPr>
            </w:pPr>
            <w:r>
              <w:rPr>
                <w:noProof/>
              </w:rPr>
              <w:t>C13.R3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26783B"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2DF224F" w14:textId="77777777" w:rsidR="000E48CE" w:rsidRDefault="00FF4C4E">
            <w:pPr>
              <w:pStyle w:val="P68B1DB1-Normal46"/>
              <w:spacing w:after="0" w:line="240" w:lineRule="auto"/>
              <w:rPr>
                <w:rFonts w:eastAsia="Times New Roman" w:cs="Times New Roman"/>
                <w:noProof/>
              </w:rPr>
            </w:pPr>
            <w:r>
              <w:rPr>
                <w:noProof/>
              </w:rPr>
              <w:t>Toimenpiteet pk-yritysten rahoituksen saannin parantamiseksi muuttamalla 17. maaliskuuta 2023 annettua lakia 6/2023.</w:t>
            </w:r>
          </w:p>
        </w:tc>
      </w:tr>
      <w:tr w:rsidR="000E48CE" w14:paraId="049603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29E7E0" w14:textId="77777777" w:rsidR="000E48CE" w:rsidRDefault="00FF4C4E">
            <w:pPr>
              <w:pStyle w:val="P68B1DB1-Normal46"/>
              <w:spacing w:after="0" w:line="240" w:lineRule="auto"/>
              <w:jc w:val="center"/>
              <w:rPr>
                <w:rFonts w:eastAsia="Times New Roman" w:cs="Times New Roman"/>
                <w:noProof/>
              </w:rPr>
            </w:pPr>
            <w:r>
              <w:rPr>
                <w:noProof/>
              </w:rPr>
              <w:t>193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B15EC2" w14:textId="77777777" w:rsidR="000E48CE" w:rsidRDefault="00FF4C4E">
            <w:pPr>
              <w:pStyle w:val="P68B1DB1-Normal46"/>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8CFEFD"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D1EE076" w14:textId="77777777" w:rsidR="000E48CE" w:rsidRDefault="00FF4C4E">
            <w:pPr>
              <w:pStyle w:val="P68B1DB1-Normal46"/>
              <w:spacing w:after="0" w:line="240" w:lineRule="auto"/>
              <w:rPr>
                <w:rFonts w:eastAsia="Times New Roman" w:cs="Times New Roman"/>
                <w:noProof/>
              </w:rPr>
            </w:pPr>
            <w:r>
              <w:rPr>
                <w:noProof/>
              </w:rPr>
              <w:t xml:space="preserve">Yrittäjät tai pk-yritykset, jotka hyötyvät yrittäjäekosysteemiä edistävistä </w:t>
            </w:r>
            <w:r>
              <w:rPr>
                <w:noProof/>
              </w:rPr>
              <w:t>toimenpiteistä</w:t>
            </w:r>
          </w:p>
        </w:tc>
      </w:tr>
      <w:tr w:rsidR="000E48CE" w14:paraId="22DD66F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180ADF" w14:textId="77777777" w:rsidR="000E48CE" w:rsidRDefault="00FF4C4E">
            <w:pPr>
              <w:pStyle w:val="P68B1DB1-Normal46"/>
              <w:spacing w:after="0" w:line="240" w:lineRule="auto"/>
              <w:jc w:val="center"/>
              <w:rPr>
                <w:rFonts w:eastAsia="Times New Roman" w:cs="Times New Roman"/>
                <w:noProof/>
              </w:rPr>
            </w:pPr>
            <w:r>
              <w:rPr>
                <w:noProof/>
              </w:rPr>
              <w:t>195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65CCA0" w14:textId="77777777" w:rsidR="000E48CE" w:rsidRDefault="00FF4C4E">
            <w:pPr>
              <w:pStyle w:val="P68B1DB1-Normal46"/>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67F821"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A6FA4E" w14:textId="77777777" w:rsidR="000E48CE" w:rsidRDefault="00FF4C4E">
            <w:pPr>
              <w:pStyle w:val="P68B1DB1-Normal46"/>
              <w:spacing w:after="0" w:line="240" w:lineRule="auto"/>
              <w:rPr>
                <w:rFonts w:eastAsia="Times New Roman" w:cs="Times New Roman"/>
                <w:noProof/>
              </w:rPr>
            </w:pPr>
            <w:r>
              <w:rPr>
                <w:noProof/>
              </w:rPr>
              <w:t>Muiden toimien levittäminen, viestintä ja rahoitus</w:t>
            </w:r>
          </w:p>
        </w:tc>
      </w:tr>
      <w:tr w:rsidR="000E48CE" w14:paraId="0116F9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C3E966" w14:textId="77777777" w:rsidR="000E48CE" w:rsidRDefault="00FF4C4E">
            <w:pPr>
              <w:pStyle w:val="P68B1DB1-Normal46"/>
              <w:spacing w:after="0" w:line="240" w:lineRule="auto"/>
              <w:jc w:val="center"/>
              <w:rPr>
                <w:rFonts w:eastAsia="Times New Roman" w:cs="Times New Roman"/>
                <w:noProof/>
              </w:rPr>
            </w:pPr>
            <w:r>
              <w:rPr>
                <w:noProof/>
              </w:rPr>
              <w:t>197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DDB576" w14:textId="77777777" w:rsidR="000E48CE" w:rsidRDefault="00FF4C4E">
            <w:pPr>
              <w:pStyle w:val="P68B1DB1-Normal46"/>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874DAD"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BBCF93" w14:textId="77777777" w:rsidR="000E48CE" w:rsidRDefault="00FF4C4E">
            <w:pPr>
              <w:pStyle w:val="P68B1DB1-Normal46"/>
              <w:spacing w:after="0" w:line="240" w:lineRule="auto"/>
              <w:rPr>
                <w:rFonts w:eastAsia="Times New Roman" w:cs="Times New Roman"/>
                <w:noProof/>
              </w:rPr>
            </w:pPr>
            <w:r>
              <w:rPr>
                <w:noProof/>
              </w:rPr>
              <w:t>Pk-yritykset, joita tuetaan ”Pk-yritysten kasvua edistävät taidot” -ohjelmasta</w:t>
            </w:r>
          </w:p>
        </w:tc>
      </w:tr>
      <w:tr w:rsidR="000E48CE" w14:paraId="229C2A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62AEE1" w14:textId="77777777" w:rsidR="000E48CE" w:rsidRDefault="00FF4C4E">
            <w:pPr>
              <w:pStyle w:val="P68B1DB1-Normal46"/>
              <w:spacing w:after="0" w:line="240" w:lineRule="auto"/>
              <w:jc w:val="center"/>
              <w:rPr>
                <w:rFonts w:eastAsia="Times New Roman" w:cs="Times New Roman"/>
                <w:noProof/>
              </w:rPr>
            </w:pPr>
            <w:r>
              <w:rPr>
                <w:noProof/>
              </w:rPr>
              <w:t>204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DBE507"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E0313"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CF8DF51" w14:textId="77777777" w:rsidR="000E48CE" w:rsidRDefault="00FF4C4E">
            <w:pPr>
              <w:pStyle w:val="P68B1DB1-Normal46"/>
              <w:spacing w:after="0" w:line="240" w:lineRule="auto"/>
              <w:rPr>
                <w:rFonts w:eastAsia="Times New Roman" w:cs="Times New Roman"/>
                <w:noProof/>
              </w:rPr>
            </w:pPr>
            <w:r>
              <w:rPr>
                <w:noProof/>
              </w:rPr>
              <w:t>Digital Toolkit -ohjelmasta tuetut pk-yritykset</w:t>
            </w:r>
          </w:p>
        </w:tc>
      </w:tr>
      <w:tr w:rsidR="000E48CE" w14:paraId="3058F70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1559B7" w14:textId="77777777" w:rsidR="000E48CE" w:rsidRDefault="00FF4C4E">
            <w:pPr>
              <w:pStyle w:val="P68B1DB1-Normal46"/>
              <w:spacing w:after="0" w:line="240" w:lineRule="auto"/>
              <w:jc w:val="center"/>
              <w:rPr>
                <w:rFonts w:eastAsia="Times New Roman" w:cs="Times New Roman"/>
                <w:noProof/>
              </w:rPr>
            </w:pPr>
            <w:r>
              <w:rPr>
                <w:noProof/>
              </w:rPr>
              <w:t>211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A1F9673" w14:textId="77777777" w:rsidR="000E48CE" w:rsidRDefault="00FF4C4E">
            <w:pPr>
              <w:pStyle w:val="P68B1DB1-Normal46"/>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DB92DD"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A9E275D" w14:textId="77777777" w:rsidR="000E48CE" w:rsidRDefault="00FF4C4E">
            <w:pPr>
              <w:pStyle w:val="P68B1DB1-Normal46"/>
              <w:spacing w:after="0" w:line="240" w:lineRule="auto"/>
              <w:rPr>
                <w:rFonts w:eastAsia="Times New Roman" w:cs="Times New Roman"/>
                <w:noProof/>
              </w:rPr>
            </w:pPr>
            <w:r>
              <w:rPr>
                <w:noProof/>
              </w:rPr>
              <w:t>Kunnallisten markkinoiden tai kauppa-alueiden nykyaikaistamistoimet</w:t>
            </w:r>
          </w:p>
        </w:tc>
      </w:tr>
      <w:tr w:rsidR="000E48CE" w14:paraId="64E44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96BA8" w14:textId="77777777" w:rsidR="000E48CE" w:rsidRDefault="00FF4C4E">
            <w:pPr>
              <w:pStyle w:val="P68B1DB1-Normal46"/>
              <w:spacing w:after="0" w:line="240" w:lineRule="auto"/>
              <w:jc w:val="center"/>
              <w:rPr>
                <w:rFonts w:eastAsia="Times New Roman" w:cs="Times New Roman"/>
                <w:noProof/>
              </w:rPr>
            </w:pPr>
            <w:r>
              <w:rPr>
                <w:noProof/>
              </w:rPr>
              <w:t>212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73FB00" w14:textId="77777777" w:rsidR="000E48CE" w:rsidRDefault="00FF4C4E">
            <w:pPr>
              <w:pStyle w:val="P68B1DB1-Normal46"/>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710937"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7B5122" w14:textId="77777777" w:rsidR="000E48CE" w:rsidRDefault="00FF4C4E">
            <w:pPr>
              <w:pStyle w:val="P68B1DB1-Normal46"/>
              <w:spacing w:after="0" w:line="240" w:lineRule="auto"/>
              <w:rPr>
                <w:rFonts w:eastAsia="Times New Roman" w:cs="Times New Roman"/>
                <w:noProof/>
              </w:rPr>
            </w:pPr>
            <w:r>
              <w:rPr>
                <w:noProof/>
              </w:rPr>
              <w:t>Markkinainfrastruktuurin nykyaikaistaminen pienissä kunnissa</w:t>
            </w:r>
          </w:p>
        </w:tc>
      </w:tr>
      <w:tr w:rsidR="000E48CE" w14:paraId="26BEA0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FCF0D1" w14:textId="77777777" w:rsidR="000E48CE" w:rsidRDefault="00FF4C4E">
            <w:pPr>
              <w:pStyle w:val="P68B1DB1-Normal46"/>
              <w:spacing w:after="0" w:line="240" w:lineRule="auto"/>
              <w:jc w:val="center"/>
              <w:rPr>
                <w:rFonts w:eastAsia="Times New Roman" w:cs="Times New Roman"/>
                <w:noProof/>
              </w:rPr>
            </w:pPr>
            <w:r>
              <w:rPr>
                <w:noProof/>
              </w:rPr>
              <w:t>213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F3C13" w14:textId="77777777" w:rsidR="000E48CE" w:rsidRDefault="00FF4C4E">
            <w:pPr>
              <w:pStyle w:val="P68B1DB1-Normal46"/>
              <w:spacing w:after="0" w:line="240" w:lineRule="auto"/>
              <w:rPr>
                <w:rFonts w:eastAsia="Times New Roman" w:cs="Times New Roman"/>
                <w:noProof/>
              </w:rPr>
            </w:pPr>
            <w:r>
              <w:rPr>
                <w:noProof/>
              </w:rPr>
              <w:t>C13.I5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A05694"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265604" w14:textId="77777777" w:rsidR="000E48CE" w:rsidRDefault="00FF4C4E">
            <w:pPr>
              <w:pStyle w:val="P68B1DB1-Normal46"/>
              <w:spacing w:after="0" w:line="240" w:lineRule="auto"/>
              <w:rPr>
                <w:rFonts w:eastAsia="Times New Roman" w:cs="Times New Roman"/>
                <w:noProof/>
              </w:rPr>
            </w:pPr>
            <w:r>
              <w:rPr>
                <w:noProof/>
              </w:rPr>
              <w:t>Kansainvälistymistä tukeviin hankkeisiin osallistuvat yritykset</w:t>
            </w:r>
          </w:p>
        </w:tc>
      </w:tr>
      <w:tr w:rsidR="000E48CE" w14:paraId="77AB901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2638A0" w14:textId="77777777" w:rsidR="000E48CE" w:rsidRDefault="00FF4C4E">
            <w:pPr>
              <w:pStyle w:val="P68B1DB1-Normal46"/>
              <w:spacing w:after="0" w:line="240" w:lineRule="auto"/>
              <w:jc w:val="center"/>
              <w:rPr>
                <w:rFonts w:eastAsia="Times New Roman" w:cs="Times New Roman"/>
                <w:noProof/>
              </w:rPr>
            </w:pPr>
            <w:r>
              <w:rPr>
                <w:noProof/>
              </w:rPr>
              <w:t>220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574C09" w14:textId="77777777" w:rsidR="000E48CE" w:rsidRDefault="00FF4C4E">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0CBD20"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2C055E3" w14:textId="77777777" w:rsidR="000E48CE" w:rsidRDefault="00FF4C4E">
            <w:pPr>
              <w:pStyle w:val="P68B1DB1-Normal46"/>
              <w:spacing w:after="0" w:line="240" w:lineRule="auto"/>
              <w:rPr>
                <w:rFonts w:eastAsia="Times New Roman" w:cs="Times New Roman"/>
                <w:noProof/>
              </w:rPr>
            </w:pPr>
            <w:r>
              <w:rPr>
                <w:noProof/>
              </w:rPr>
              <w:t>Matkailun kestävyyttä</w:t>
            </w:r>
            <w:r>
              <w:rPr>
                <w:noProof/>
              </w:rPr>
              <w:t xml:space="preserve"> matkakohteessa edistävien suunnitelmien loppuun saattaminen</w:t>
            </w:r>
          </w:p>
        </w:tc>
      </w:tr>
      <w:tr w:rsidR="000E48CE" w14:paraId="713A70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C3F67D" w14:textId="77777777" w:rsidR="000E48CE" w:rsidRDefault="00FF4C4E">
            <w:pPr>
              <w:pStyle w:val="P68B1DB1-Normal46"/>
              <w:spacing w:after="0" w:line="240" w:lineRule="auto"/>
              <w:jc w:val="center"/>
              <w:rPr>
                <w:rFonts w:eastAsia="Times New Roman" w:cs="Times New Roman"/>
                <w:noProof/>
              </w:rPr>
            </w:pPr>
            <w:r>
              <w:rPr>
                <w:noProof/>
              </w:rPr>
              <w:t>225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D3BFFF" w14:textId="77777777" w:rsidR="000E48CE" w:rsidRDefault="00FF4C4E">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798862"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71DD0E" w14:textId="77777777" w:rsidR="000E48CE" w:rsidRDefault="00FF4C4E">
            <w:pPr>
              <w:pStyle w:val="P68B1DB1-Normal46"/>
              <w:spacing w:after="0" w:line="240" w:lineRule="auto"/>
              <w:rPr>
                <w:rFonts w:eastAsia="Times New Roman" w:cs="Times New Roman"/>
                <w:noProof/>
              </w:rPr>
            </w:pPr>
            <w:r>
              <w:rPr>
                <w:noProof/>
              </w:rPr>
              <w:t>Hankkeet, jotka on suunnattu kaupallisille alueille, joilla on paljon matkailijoita</w:t>
            </w:r>
          </w:p>
        </w:tc>
      </w:tr>
      <w:tr w:rsidR="000E48CE" w14:paraId="5F56413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0A097C" w14:textId="77777777" w:rsidR="000E48CE" w:rsidRDefault="00FF4C4E">
            <w:pPr>
              <w:pStyle w:val="P68B1DB1-Normal46"/>
              <w:spacing w:after="0" w:line="240" w:lineRule="auto"/>
              <w:jc w:val="center"/>
              <w:rPr>
                <w:rFonts w:eastAsia="Times New Roman" w:cs="Times New Roman"/>
                <w:noProof/>
              </w:rPr>
            </w:pPr>
            <w:r>
              <w:rPr>
                <w:noProof/>
              </w:rPr>
              <w:t>238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1AC379" w14:textId="77777777" w:rsidR="000E48CE" w:rsidRDefault="00FF4C4E">
            <w:pPr>
              <w:pStyle w:val="P68B1DB1-Normal46"/>
              <w:spacing w:after="0" w:line="240" w:lineRule="auto"/>
              <w:rPr>
                <w:rFonts w:eastAsia="Times New Roman" w:cs="Times New Roman"/>
                <w:noProof/>
              </w:rPr>
            </w:pPr>
            <w:r>
              <w:rPr>
                <w:noProof/>
              </w:rPr>
              <w:t>C15.I2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C9C23E"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E2D6A5C" w14:textId="77777777" w:rsidR="000E48CE" w:rsidRDefault="00FF4C4E">
            <w:pPr>
              <w:pStyle w:val="P68B1DB1-Normal46"/>
              <w:spacing w:after="0" w:line="240" w:lineRule="auto"/>
              <w:rPr>
                <w:rFonts w:eastAsia="Times New Roman" w:cs="Times New Roman"/>
                <w:noProof/>
              </w:rPr>
            </w:pPr>
            <w:r>
              <w:rPr>
                <w:noProof/>
              </w:rPr>
              <w:t xml:space="preserve">Yhteyksien parantaminen keskeisissä keskuksissa ja keskeisillä aloilla </w:t>
            </w:r>
          </w:p>
        </w:tc>
      </w:tr>
      <w:tr w:rsidR="000E48CE" w14:paraId="370324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107CC7" w14:textId="77777777" w:rsidR="000E48CE" w:rsidRDefault="00FF4C4E">
            <w:pPr>
              <w:pStyle w:val="P68B1DB1-Normal46"/>
              <w:spacing w:after="0" w:line="240" w:lineRule="auto"/>
              <w:jc w:val="center"/>
              <w:rPr>
                <w:rFonts w:eastAsia="Times New Roman" w:cs="Times New Roman"/>
                <w:noProof/>
              </w:rPr>
            </w:pPr>
            <w:r>
              <w:rPr>
                <w:noProof/>
              </w:rPr>
              <w:t>239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8F8EB3" w14:textId="77777777" w:rsidR="000E48CE" w:rsidRDefault="00FF4C4E">
            <w:pPr>
              <w:pStyle w:val="P68B1DB1-Normal46"/>
              <w:spacing w:after="0" w:line="240" w:lineRule="auto"/>
              <w:rPr>
                <w:rFonts w:eastAsia="Times New Roman" w:cs="Times New Roman"/>
                <w:noProof/>
              </w:rPr>
            </w:pPr>
            <w:r>
              <w:rPr>
                <w:noProof/>
              </w:rPr>
              <w:t>C15.I3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2298B"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8E07C08" w14:textId="77777777" w:rsidR="000E48CE" w:rsidRDefault="00FF4C4E">
            <w:pPr>
              <w:pStyle w:val="P68B1DB1-Normal46"/>
              <w:spacing w:after="0" w:line="240" w:lineRule="auto"/>
              <w:rPr>
                <w:rFonts w:eastAsia="Times New Roman" w:cs="Times New Roman"/>
                <w:noProof/>
              </w:rPr>
            </w:pPr>
            <w:r>
              <w:rPr>
                <w:noProof/>
              </w:rPr>
              <w:t xml:space="preserve">Verkkoyhteyssetelit pk-yrityksille ja heikossa asemassa oleville ryhmille </w:t>
            </w:r>
          </w:p>
        </w:tc>
      </w:tr>
      <w:tr w:rsidR="000E48CE" w14:paraId="5EEFD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8E1568" w14:textId="77777777" w:rsidR="000E48CE" w:rsidRDefault="00FF4C4E">
            <w:pPr>
              <w:pStyle w:val="P68B1DB1-Normal46"/>
              <w:spacing w:after="0" w:line="240" w:lineRule="auto"/>
              <w:jc w:val="center"/>
              <w:rPr>
                <w:rFonts w:eastAsia="Times New Roman" w:cs="Times New Roman"/>
                <w:noProof/>
              </w:rPr>
            </w:pPr>
            <w:r>
              <w:rPr>
                <w:noProof/>
              </w:rPr>
              <w:t>240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D7DD37" w14:textId="77777777" w:rsidR="000E48CE" w:rsidRDefault="00FF4C4E">
            <w:pPr>
              <w:pStyle w:val="P68B1DB1-Normal46"/>
              <w:spacing w:after="0" w:line="240" w:lineRule="auto"/>
              <w:rPr>
                <w:rFonts w:eastAsia="Times New Roman" w:cs="Times New Roman"/>
                <w:noProof/>
              </w:rPr>
            </w:pPr>
            <w:r>
              <w:rPr>
                <w:noProof/>
              </w:rPr>
              <w:t>C15.I4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4E8E27"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7B03BB9" w14:textId="77777777" w:rsidR="000E48CE" w:rsidRDefault="00FF4C4E">
            <w:pPr>
              <w:pStyle w:val="P68B1DB1-Normal46"/>
              <w:spacing w:after="0" w:line="240" w:lineRule="auto"/>
              <w:rPr>
                <w:rFonts w:eastAsia="Times New Roman" w:cs="Times New Roman"/>
                <w:noProof/>
              </w:rPr>
            </w:pPr>
            <w:r>
              <w:rPr>
                <w:noProof/>
              </w:rPr>
              <w:t>Rakennusten televiestintäinfrastruktuurin mukauttaminen</w:t>
            </w:r>
          </w:p>
        </w:tc>
      </w:tr>
      <w:tr w:rsidR="000E48CE" w14:paraId="5E4A97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C8BA60" w14:textId="77777777" w:rsidR="000E48CE" w:rsidRDefault="00FF4C4E">
            <w:pPr>
              <w:pStyle w:val="P68B1DB1-Normal46"/>
              <w:spacing w:after="0" w:line="240" w:lineRule="auto"/>
              <w:jc w:val="center"/>
              <w:rPr>
                <w:rFonts w:eastAsia="Times New Roman" w:cs="Times New Roman"/>
                <w:noProof/>
              </w:rPr>
            </w:pPr>
            <w:r>
              <w:rPr>
                <w:noProof/>
              </w:rPr>
              <w:t>241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D262" w14:textId="77777777" w:rsidR="000E48CE" w:rsidRDefault="00FF4C4E">
            <w:pPr>
              <w:pStyle w:val="P68B1DB1-Normal46"/>
              <w:spacing w:after="0" w:line="240" w:lineRule="auto"/>
              <w:rPr>
                <w:rFonts w:eastAsia="Times New Roman" w:cs="Times New Roman"/>
                <w:noProof/>
              </w:rPr>
            </w:pPr>
            <w:r>
              <w:rPr>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6DEDD0"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2493A33" w14:textId="77777777" w:rsidR="000E48CE" w:rsidRDefault="00FF4C4E">
            <w:pPr>
              <w:pStyle w:val="P68B1DB1-Normal46"/>
              <w:spacing w:after="0" w:line="240" w:lineRule="auto"/>
              <w:rPr>
                <w:rFonts w:eastAsia="Times New Roman" w:cs="Times New Roman"/>
                <w:noProof/>
              </w:rPr>
            </w:pPr>
            <w:r>
              <w:rPr>
                <w:noProof/>
              </w:rPr>
              <w:t>Rajatylittävän digitaalisen infrastruktuurin parantaminen: palkinto</w:t>
            </w:r>
          </w:p>
        </w:tc>
      </w:tr>
      <w:tr w:rsidR="000E48CE" w14:paraId="4A8693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93EC2E" w14:textId="77777777" w:rsidR="000E48CE" w:rsidRDefault="00FF4C4E">
            <w:pPr>
              <w:pStyle w:val="P68B1DB1-Normal46"/>
              <w:spacing w:after="0" w:line="240" w:lineRule="auto"/>
              <w:jc w:val="center"/>
              <w:rPr>
                <w:rFonts w:eastAsia="Times New Roman" w:cs="Times New Roman"/>
                <w:noProof/>
              </w:rPr>
            </w:pPr>
            <w:r>
              <w:rPr>
                <w:noProof/>
              </w:rPr>
              <w:t>243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886D7" w14:textId="77777777" w:rsidR="000E48CE" w:rsidRDefault="00FF4C4E">
            <w:pPr>
              <w:pStyle w:val="P68B1DB1-Normal46"/>
              <w:spacing w:after="0" w:line="240" w:lineRule="auto"/>
              <w:rPr>
                <w:rFonts w:eastAsia="Times New Roman" w:cs="Times New Roman"/>
                <w:noProof/>
              </w:rPr>
            </w:pPr>
            <w:r>
              <w:rPr>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B9AFC2"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A989484" w14:textId="77777777" w:rsidR="000E48CE" w:rsidRDefault="00FF4C4E">
            <w:pPr>
              <w:pStyle w:val="P68B1DB1-Normal46"/>
              <w:spacing w:after="0" w:line="240" w:lineRule="auto"/>
              <w:rPr>
                <w:rFonts w:eastAsia="Times New Roman" w:cs="Times New Roman"/>
                <w:noProof/>
              </w:rPr>
            </w:pPr>
            <w:r>
              <w:rPr>
                <w:noProof/>
              </w:rPr>
              <w:t>5G-teknologian käyttöönotto: palkinto</w:t>
            </w:r>
          </w:p>
        </w:tc>
      </w:tr>
      <w:tr w:rsidR="000E48CE" w14:paraId="649C10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DB1F59" w14:textId="77777777" w:rsidR="000E48CE" w:rsidRDefault="00FF4C4E">
            <w:pPr>
              <w:pStyle w:val="P68B1DB1-Normal46"/>
              <w:spacing w:after="0" w:line="240" w:lineRule="auto"/>
              <w:jc w:val="center"/>
              <w:rPr>
                <w:rFonts w:eastAsia="Times New Roman" w:cs="Times New Roman"/>
                <w:noProof/>
              </w:rPr>
            </w:pPr>
            <w:r>
              <w:rPr>
                <w:noProof/>
              </w:rPr>
              <w:t>458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4E5D38" w14:textId="77777777" w:rsidR="000E48CE" w:rsidRDefault="00FF4C4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5AF68D"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DB14476" w14:textId="77777777" w:rsidR="000E48CE" w:rsidRDefault="00FF4C4E">
            <w:pPr>
              <w:pStyle w:val="P68B1DB1-Normal46"/>
              <w:spacing w:after="0" w:line="240" w:lineRule="auto"/>
              <w:rPr>
                <w:rFonts w:eastAsia="Times New Roman" w:cs="Times New Roman"/>
                <w:noProof/>
              </w:rPr>
            </w:pPr>
            <w:r>
              <w:rPr>
                <w:noProof/>
              </w:rPr>
              <w:t>Sääntelyn testiympäristöt ja Espanjan tekoälyvalvontavirasto (AESIA)</w:t>
            </w:r>
          </w:p>
        </w:tc>
      </w:tr>
      <w:tr w:rsidR="000E48CE" w14:paraId="6887505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208A81" w14:textId="77777777" w:rsidR="000E48CE" w:rsidRDefault="00FF4C4E">
            <w:pPr>
              <w:pStyle w:val="P68B1DB1-Normal46"/>
              <w:spacing w:after="0" w:line="240" w:lineRule="auto"/>
              <w:jc w:val="center"/>
              <w:rPr>
                <w:rFonts w:eastAsia="Times New Roman" w:cs="Times New Roman"/>
                <w:noProof/>
              </w:rPr>
            </w:pPr>
            <w:r>
              <w:rPr>
                <w:noProof/>
              </w:rPr>
              <w:t>262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6E5127" w14:textId="77777777" w:rsidR="000E48CE" w:rsidRDefault="00FF4C4E">
            <w:pPr>
              <w:pStyle w:val="P68B1DB1-Normal46"/>
              <w:spacing w:after="0" w:line="240" w:lineRule="auto"/>
              <w:rPr>
                <w:rFonts w:eastAsia="Times New Roman" w:cs="Times New Roman"/>
                <w:noProof/>
              </w:rPr>
            </w:pPr>
            <w:r>
              <w:rPr>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2C1A4A"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AF9498C" w14:textId="77777777" w:rsidR="000E48CE" w:rsidRDefault="00FF4C4E">
            <w:pPr>
              <w:pStyle w:val="P68B1DB1-Normal46"/>
              <w:spacing w:after="0" w:line="240" w:lineRule="auto"/>
              <w:rPr>
                <w:rFonts w:eastAsia="Times New Roman" w:cs="Times New Roman"/>
                <w:noProof/>
              </w:rPr>
            </w:pPr>
            <w:r>
              <w:rPr>
                <w:noProof/>
              </w:rPr>
              <w:t>Sellaisten T &amp; I-hankkeiden hyväksyminen, joissa vähintään 35 prosenttia liittyy vihreään ja digitaaliseen siirtymään</w:t>
            </w:r>
          </w:p>
        </w:tc>
      </w:tr>
      <w:tr w:rsidR="000E48CE" w14:paraId="1944C8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21A9DE" w14:textId="77777777" w:rsidR="000E48CE" w:rsidRDefault="00FF4C4E">
            <w:pPr>
              <w:pStyle w:val="P68B1DB1-Normal46"/>
              <w:spacing w:after="0" w:line="240" w:lineRule="auto"/>
              <w:jc w:val="center"/>
              <w:rPr>
                <w:rFonts w:eastAsia="Times New Roman" w:cs="Times New Roman"/>
                <w:noProof/>
              </w:rPr>
            </w:pPr>
            <w:r>
              <w:rPr>
                <w:noProof/>
              </w:rPr>
              <w:t>263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7E6D15" w14:textId="77777777" w:rsidR="000E48CE" w:rsidRDefault="00FF4C4E">
            <w:pPr>
              <w:pStyle w:val="P68B1DB1-Normal46"/>
              <w:spacing w:after="0" w:line="240" w:lineRule="auto"/>
              <w:rPr>
                <w:rFonts w:eastAsia="Times New Roman" w:cs="Times New Roman"/>
                <w:noProof/>
              </w:rPr>
            </w:pPr>
            <w:r>
              <w:rPr>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2BAAC0"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4265B7" w14:textId="77777777" w:rsidR="000E48CE" w:rsidRDefault="00FF4C4E">
            <w:pPr>
              <w:pStyle w:val="P68B1DB1-Normal46"/>
              <w:spacing w:after="0" w:line="240" w:lineRule="auto"/>
              <w:rPr>
                <w:rFonts w:eastAsia="Times New Roman" w:cs="Times New Roman"/>
                <w:noProof/>
              </w:rPr>
            </w:pPr>
            <w:r>
              <w:rPr>
                <w:noProof/>
              </w:rPr>
              <w:t xml:space="preserve">Tieteellisen tutkijanuran tukeminen apurahojen ja apurahojen avulla </w:t>
            </w:r>
          </w:p>
        </w:tc>
      </w:tr>
      <w:tr w:rsidR="000E48CE" w14:paraId="37C7F2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EC9676A" w14:textId="77777777" w:rsidR="000E48CE" w:rsidRDefault="00FF4C4E">
            <w:pPr>
              <w:pStyle w:val="P68B1DB1-Normal46"/>
              <w:spacing w:after="0" w:line="240" w:lineRule="auto"/>
              <w:jc w:val="center"/>
              <w:rPr>
                <w:rFonts w:eastAsia="Times New Roman" w:cs="Times New Roman"/>
                <w:noProof/>
              </w:rPr>
            </w:pPr>
            <w:r>
              <w:rPr>
                <w:noProof/>
              </w:rPr>
              <w:t>266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9156B4" w14:textId="77777777" w:rsidR="000E48CE" w:rsidRDefault="00FF4C4E">
            <w:pPr>
              <w:pStyle w:val="P68B1DB1-Normal46"/>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B80158"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F187187" w14:textId="77777777" w:rsidR="000E48CE" w:rsidRDefault="00FF4C4E">
            <w:pPr>
              <w:pStyle w:val="P68B1DB1-Normal46"/>
              <w:spacing w:after="0" w:line="240" w:lineRule="auto"/>
              <w:rPr>
                <w:rFonts w:eastAsia="Times New Roman" w:cs="Times New Roman"/>
                <w:noProof/>
              </w:rPr>
            </w:pPr>
            <w:r>
              <w:rPr>
                <w:noProof/>
              </w:rPr>
              <w:t>Tuetaan nuoria teknologiayrityksiä liiketoimintasuunnitelmansa toteuttamisessa.</w:t>
            </w:r>
          </w:p>
        </w:tc>
      </w:tr>
      <w:tr w:rsidR="000E48CE" w14:paraId="16E558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AA3EC5" w14:textId="77777777" w:rsidR="000E48CE" w:rsidRDefault="00FF4C4E">
            <w:pPr>
              <w:pStyle w:val="P68B1DB1-Normal46"/>
              <w:spacing w:after="0" w:line="240" w:lineRule="auto"/>
              <w:jc w:val="center"/>
              <w:rPr>
                <w:rFonts w:eastAsia="Times New Roman" w:cs="Times New Roman"/>
                <w:noProof/>
              </w:rPr>
            </w:pPr>
            <w:r>
              <w:rPr>
                <w:noProof/>
              </w:rPr>
              <w:t>267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36C2A3" w14:textId="77777777" w:rsidR="000E48CE" w:rsidRDefault="00FF4C4E">
            <w:pPr>
              <w:pStyle w:val="P68B1DB1-Normal46"/>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D5D476"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44866A" w14:textId="77777777" w:rsidR="000E48CE" w:rsidRDefault="00FF4C4E">
            <w:pPr>
              <w:pStyle w:val="P68B1DB1-Normal46"/>
              <w:spacing w:after="0" w:line="240" w:lineRule="auto"/>
              <w:rPr>
                <w:rFonts w:eastAsia="Times New Roman" w:cs="Times New Roman"/>
                <w:noProof/>
              </w:rPr>
            </w:pPr>
            <w:r>
              <w:rPr>
                <w:noProof/>
              </w:rPr>
              <w:t xml:space="preserve">Tuki hankkeille, joilla vahvistetaan kansallisen </w:t>
            </w:r>
            <w:r>
              <w:rPr>
                <w:noProof/>
              </w:rPr>
              <w:t>terveydenhuoltojärjestelmän strategisia valmiuksia ja kansainvälistymistä, hankkeet, jotka liittyvät täsmälääketiedettä koskevaan strategiaan, ja tuki julkiselle ja yksityiselle investointivälineelle kehittyneissä hoitomuodoissa.</w:t>
            </w:r>
          </w:p>
        </w:tc>
      </w:tr>
      <w:tr w:rsidR="000E48CE" w14:paraId="4314A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78E92B" w14:textId="77777777" w:rsidR="000E48CE" w:rsidRDefault="00FF4C4E">
            <w:pPr>
              <w:pStyle w:val="P68B1DB1-Normal46"/>
              <w:spacing w:after="0" w:line="240" w:lineRule="auto"/>
              <w:jc w:val="center"/>
              <w:rPr>
                <w:rFonts w:eastAsia="Times New Roman" w:cs="Times New Roman"/>
                <w:noProof/>
              </w:rPr>
            </w:pPr>
            <w:r>
              <w:rPr>
                <w:noProof/>
              </w:rPr>
              <w:t>461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96121A" w14:textId="77777777" w:rsidR="000E48CE" w:rsidRDefault="00FF4C4E">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415679"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9F3082" w14:textId="77777777" w:rsidR="000E48CE" w:rsidRDefault="00FF4C4E">
            <w:pPr>
              <w:pStyle w:val="P68B1DB1-Normal46"/>
              <w:spacing w:after="0" w:line="240" w:lineRule="auto"/>
              <w:rPr>
                <w:rFonts w:eastAsia="Times New Roman" w:cs="Times New Roman"/>
                <w:noProof/>
              </w:rPr>
            </w:pPr>
            <w:r>
              <w:rPr>
                <w:noProof/>
              </w:rPr>
              <w:t xml:space="preserve">Ilmailu- ja avaruusalan T &amp; K &amp; I-kilpailujen palkintojen julkaiseminen. </w:t>
            </w:r>
          </w:p>
        </w:tc>
      </w:tr>
      <w:tr w:rsidR="000E48CE" w14:paraId="5C445A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D3F9B" w14:textId="77777777" w:rsidR="000E48CE" w:rsidRDefault="00FF4C4E">
            <w:pPr>
              <w:pStyle w:val="P68B1DB1-Normal46"/>
              <w:spacing w:after="0" w:line="240" w:lineRule="auto"/>
              <w:jc w:val="center"/>
              <w:rPr>
                <w:rFonts w:eastAsia="Times New Roman" w:cs="Times New Roman"/>
                <w:noProof/>
              </w:rPr>
            </w:pPr>
            <w:r>
              <w:rPr>
                <w:noProof/>
              </w:rPr>
              <w:t>287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9DE371" w14:textId="77777777" w:rsidR="000E48CE" w:rsidRDefault="00FF4C4E">
            <w:pPr>
              <w:pStyle w:val="P68B1DB1-Normal46"/>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2B407D"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F55DE77" w14:textId="77777777" w:rsidR="000E48CE" w:rsidRDefault="00FF4C4E">
            <w:pPr>
              <w:pStyle w:val="P68B1DB1-Normal46"/>
              <w:spacing w:after="0" w:line="240" w:lineRule="auto"/>
              <w:rPr>
                <w:rFonts w:eastAsia="Times New Roman" w:cs="Times New Roman"/>
                <w:noProof/>
              </w:rPr>
            </w:pPr>
            <w:r>
              <w:rPr>
                <w:noProof/>
              </w:rPr>
              <w:t>Digitaalisten valmiuksien parantamiseen tähtäävien toimien loppuun saattaminen</w:t>
            </w:r>
          </w:p>
        </w:tc>
      </w:tr>
      <w:tr w:rsidR="000E48CE" w14:paraId="05B6EE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3E1CAD" w14:textId="77777777" w:rsidR="000E48CE" w:rsidRDefault="00FF4C4E">
            <w:pPr>
              <w:pStyle w:val="P68B1DB1-Normal46"/>
              <w:spacing w:after="0" w:line="240" w:lineRule="auto"/>
              <w:jc w:val="center"/>
              <w:rPr>
                <w:rFonts w:eastAsia="Times New Roman" w:cs="Times New Roman"/>
                <w:noProof/>
              </w:rPr>
            </w:pPr>
            <w:r>
              <w:rPr>
                <w:noProof/>
              </w:rPr>
              <w:t>293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DEEECA" w14:textId="77777777" w:rsidR="000E48CE" w:rsidRDefault="00FF4C4E">
            <w:pPr>
              <w:pStyle w:val="P68B1DB1-Normal46"/>
              <w:spacing w:after="0" w:line="240" w:lineRule="auto"/>
              <w:rPr>
                <w:rFonts w:eastAsia="Times New Roman" w:cs="Times New Roman"/>
                <w:noProof/>
              </w:rPr>
            </w:pPr>
            <w:r>
              <w:rPr>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7BA255"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30F86E7" w14:textId="77777777" w:rsidR="000E48CE" w:rsidRDefault="00FF4C4E">
            <w:pPr>
              <w:pStyle w:val="P68B1DB1-Normal46"/>
              <w:spacing w:after="0" w:line="240" w:lineRule="auto"/>
              <w:rPr>
                <w:rFonts w:eastAsia="Times New Roman" w:cs="Times New Roman"/>
                <w:noProof/>
              </w:rPr>
            </w:pPr>
            <w:r>
              <w:rPr>
                <w:noProof/>
              </w:rPr>
              <w:t xml:space="preserve">Stipendiohjelmat digitaalisille lahjakkuuksille </w:t>
            </w:r>
          </w:p>
        </w:tc>
      </w:tr>
      <w:tr w:rsidR="000E48CE" w14:paraId="7E40F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DE54FB" w14:textId="77777777" w:rsidR="000E48CE" w:rsidRDefault="00FF4C4E">
            <w:pPr>
              <w:pStyle w:val="P68B1DB1-Normal46"/>
              <w:spacing w:after="0" w:line="240" w:lineRule="auto"/>
              <w:jc w:val="center"/>
              <w:rPr>
                <w:rFonts w:eastAsia="Times New Roman" w:cs="Times New Roman"/>
                <w:noProof/>
              </w:rPr>
            </w:pPr>
            <w:r>
              <w:rPr>
                <w:noProof/>
              </w:rPr>
              <w:t>298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F0235" w14:textId="77777777" w:rsidR="000E48CE" w:rsidRDefault="00FF4C4E">
            <w:pPr>
              <w:pStyle w:val="P68B1DB1-Normal46"/>
              <w:spacing w:after="0" w:line="240" w:lineRule="auto"/>
              <w:rPr>
                <w:rFonts w:eastAsia="Times New Roman" w:cs="Times New Roman"/>
                <w:noProof/>
              </w:rPr>
            </w:pPr>
            <w:r>
              <w:rPr>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B47E6D"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562E6E7" w14:textId="77777777" w:rsidR="000E48CE" w:rsidRDefault="00FF4C4E">
            <w:pPr>
              <w:pStyle w:val="P68B1DB1-Normal46"/>
              <w:spacing w:after="0" w:line="240" w:lineRule="auto"/>
              <w:rPr>
                <w:rFonts w:eastAsia="Times New Roman" w:cs="Times New Roman"/>
                <w:noProof/>
              </w:rPr>
            </w:pPr>
            <w:r>
              <w:rPr>
                <w:noProof/>
              </w:rPr>
              <w:t xml:space="preserve">Työssäkäyvien ja työttömien täydennys- ja uudelleenkoulutusta koskeva moduulikoulutus </w:t>
            </w:r>
          </w:p>
        </w:tc>
      </w:tr>
      <w:tr w:rsidR="000E48CE" w14:paraId="5AAAB2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EEB306" w14:textId="77777777" w:rsidR="000E48CE" w:rsidRDefault="00FF4C4E">
            <w:pPr>
              <w:pStyle w:val="P68B1DB1-Normal46"/>
              <w:spacing w:after="0" w:line="240" w:lineRule="auto"/>
              <w:jc w:val="center"/>
              <w:rPr>
                <w:rFonts w:eastAsia="Times New Roman" w:cs="Times New Roman"/>
                <w:noProof/>
              </w:rPr>
            </w:pPr>
            <w:r>
              <w:rPr>
                <w:noProof/>
              </w:rPr>
              <w:t>299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56BF88" w14:textId="77777777" w:rsidR="000E48CE" w:rsidRDefault="00FF4C4E">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FE696B"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1F23BC" w14:textId="77777777" w:rsidR="000E48CE" w:rsidRDefault="00FF4C4E">
            <w:pPr>
              <w:pStyle w:val="P68B1DB1-Normal46"/>
              <w:spacing w:after="0" w:line="240" w:lineRule="auto"/>
              <w:rPr>
                <w:rFonts w:eastAsia="Times New Roman" w:cs="Times New Roman"/>
                <w:noProof/>
              </w:rPr>
            </w:pPr>
            <w:r>
              <w:rPr>
                <w:noProof/>
              </w:rPr>
              <w:t>Ammatillisen koulutuksen huippuosaamis- ja innovaatiokeskukset</w:t>
            </w:r>
          </w:p>
        </w:tc>
      </w:tr>
      <w:tr w:rsidR="000E48CE" w14:paraId="7863A5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8E8BC0" w14:textId="77777777" w:rsidR="000E48CE" w:rsidRDefault="00FF4C4E">
            <w:pPr>
              <w:pStyle w:val="P68B1DB1-Normal46"/>
              <w:spacing w:after="0" w:line="240" w:lineRule="auto"/>
              <w:jc w:val="center"/>
              <w:rPr>
                <w:rFonts w:eastAsia="Times New Roman" w:cs="Times New Roman"/>
                <w:noProof/>
              </w:rPr>
            </w:pPr>
            <w:r>
              <w:rPr>
                <w:noProof/>
              </w:rPr>
              <w:t>467a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9427E2" w14:textId="77777777" w:rsidR="000E48CE" w:rsidRDefault="00FF4C4E">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CAC87E"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87A56E0" w14:textId="77777777" w:rsidR="000E48CE" w:rsidRDefault="00FF4C4E">
            <w:pPr>
              <w:pStyle w:val="P68B1DB1-Normal46"/>
              <w:spacing w:after="0" w:line="240" w:lineRule="auto"/>
              <w:rPr>
                <w:rFonts w:eastAsia="Times New Roman" w:cs="Times New Roman"/>
                <w:noProof/>
              </w:rPr>
            </w:pPr>
            <w:r>
              <w:rPr>
                <w:noProof/>
              </w:rPr>
              <w:t>Yrittäjyyttä käsittelevien luokkahuoneiden perustaminen</w:t>
            </w:r>
          </w:p>
        </w:tc>
      </w:tr>
      <w:tr w:rsidR="000E48CE" w14:paraId="34CC0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D85ABC" w14:textId="77777777" w:rsidR="000E48CE" w:rsidRDefault="00FF4C4E">
            <w:pPr>
              <w:pStyle w:val="P68B1DB1-Normal46"/>
              <w:spacing w:after="0" w:line="240" w:lineRule="auto"/>
              <w:jc w:val="center"/>
              <w:rPr>
                <w:rFonts w:eastAsia="Times New Roman" w:cs="Times New Roman"/>
                <w:noProof/>
              </w:rPr>
            </w:pPr>
            <w:r>
              <w:rPr>
                <w:noProof/>
              </w:rPr>
              <w:t>467b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1D9346" w14:textId="77777777" w:rsidR="000E48CE" w:rsidRDefault="00FF4C4E">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A7A803"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E57526" w14:textId="77777777" w:rsidR="000E48CE" w:rsidRDefault="00FF4C4E">
            <w:pPr>
              <w:pStyle w:val="P68B1DB1-Normal46"/>
              <w:spacing w:after="0" w:line="240" w:lineRule="auto"/>
              <w:rPr>
                <w:rFonts w:eastAsia="Times New Roman" w:cs="Times New Roman"/>
                <w:noProof/>
              </w:rPr>
            </w:pPr>
            <w:r>
              <w:rPr>
                <w:noProof/>
              </w:rPr>
              <w:t>Ammatillisen koulutuksen opettajien vihreän koulutuksen loppuun saattaminen</w:t>
            </w:r>
          </w:p>
        </w:tc>
      </w:tr>
      <w:tr w:rsidR="000E48CE" w14:paraId="4F20B8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72AE9A" w14:textId="77777777" w:rsidR="000E48CE" w:rsidRDefault="00FF4C4E">
            <w:pPr>
              <w:pStyle w:val="P68B1DB1-Normal46"/>
              <w:spacing w:after="0" w:line="240" w:lineRule="auto"/>
              <w:jc w:val="center"/>
              <w:rPr>
                <w:rFonts w:eastAsia="Times New Roman" w:cs="Times New Roman"/>
                <w:noProof/>
              </w:rPr>
            </w:pPr>
            <w:r>
              <w:rPr>
                <w:noProof/>
              </w:rPr>
              <w:t>301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0F554" w14:textId="77777777" w:rsidR="000E48CE" w:rsidRDefault="00FF4C4E">
            <w:pPr>
              <w:pStyle w:val="P68B1DB1-Normal46"/>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F077E0"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D33967B" w14:textId="77777777" w:rsidR="000E48CE" w:rsidRDefault="00FF4C4E">
            <w:pPr>
              <w:pStyle w:val="P68B1DB1-Normal46"/>
              <w:spacing w:after="0" w:line="240" w:lineRule="auto"/>
              <w:rPr>
                <w:rFonts w:eastAsia="Times New Roman" w:cs="Times New Roman"/>
                <w:noProof/>
              </w:rPr>
            </w:pPr>
            <w:r>
              <w:rPr>
                <w:noProof/>
              </w:rPr>
              <w:t xml:space="preserve">Kaksikieliset ammatilliset koulutusjaksot </w:t>
            </w:r>
          </w:p>
        </w:tc>
      </w:tr>
      <w:tr w:rsidR="000E48CE" w14:paraId="6478532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5ECC05" w14:textId="77777777" w:rsidR="000E48CE" w:rsidRDefault="00FF4C4E">
            <w:pPr>
              <w:pStyle w:val="P68B1DB1-Normal46"/>
              <w:spacing w:after="0" w:line="240" w:lineRule="auto"/>
              <w:jc w:val="center"/>
              <w:rPr>
                <w:rFonts w:eastAsia="Times New Roman" w:cs="Times New Roman"/>
                <w:noProof/>
              </w:rPr>
            </w:pPr>
            <w:r>
              <w:rPr>
                <w:noProof/>
              </w:rPr>
              <w:t>305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C5A819" w14:textId="77777777" w:rsidR="000E48CE" w:rsidRDefault="00FF4C4E">
            <w:pPr>
              <w:pStyle w:val="P68B1DB1-Normal46"/>
              <w:spacing w:after="0" w:line="240" w:lineRule="auto"/>
              <w:rPr>
                <w:rFonts w:eastAsia="Times New Roman" w:cs="Times New Roman"/>
                <w:noProof/>
              </w:rPr>
            </w:pPr>
            <w:r>
              <w:rPr>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CE771D"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0BC5792" w14:textId="77777777" w:rsidR="000E48CE" w:rsidRDefault="00FF4C4E">
            <w:pPr>
              <w:pStyle w:val="P68B1DB1-Normal46"/>
              <w:spacing w:after="0" w:line="240" w:lineRule="auto"/>
              <w:rPr>
                <w:rFonts w:eastAsia="Times New Roman" w:cs="Times New Roman"/>
                <w:noProof/>
              </w:rPr>
            </w:pPr>
            <w:r>
              <w:rPr>
                <w:noProof/>
              </w:rPr>
              <w:t>Aineisto, jolla opettajia ohjataan ja tuetaan uuden opetussuunnitelman täytäntöönpanoa ja ammattilaisten koul</w:t>
            </w:r>
            <w:r>
              <w:rPr>
                <w:noProof/>
              </w:rPr>
              <w:t xml:space="preserve">utusta </w:t>
            </w:r>
          </w:p>
        </w:tc>
      </w:tr>
      <w:tr w:rsidR="000E48CE" w14:paraId="7FA7B3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1BEF10" w14:textId="77777777" w:rsidR="000E48CE" w:rsidRDefault="00FF4C4E">
            <w:pPr>
              <w:pStyle w:val="P68B1DB1-Normal46"/>
              <w:spacing w:after="0" w:line="240" w:lineRule="auto"/>
              <w:jc w:val="center"/>
              <w:rPr>
                <w:rFonts w:eastAsia="Times New Roman" w:cs="Times New Roman"/>
                <w:noProof/>
              </w:rPr>
            </w:pPr>
            <w:r>
              <w:rPr>
                <w:noProof/>
              </w:rPr>
              <w:t>310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AF3379" w14:textId="77777777" w:rsidR="000E48CE" w:rsidRDefault="00FF4C4E">
            <w:pPr>
              <w:pStyle w:val="P68B1DB1-Normal46"/>
              <w:spacing w:after="0" w:line="240" w:lineRule="auto"/>
              <w:rPr>
                <w:rFonts w:eastAsia="Times New Roman" w:cs="Times New Roman"/>
                <w:noProof/>
              </w:rPr>
            </w:pPr>
            <w:r>
              <w:rPr>
                <w:noProof/>
              </w:rPr>
              <w:t>C21.I2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5669C5"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2488F9" w14:textId="77777777" w:rsidR="000E48CE" w:rsidRDefault="00FF4C4E">
            <w:pPr>
              <w:pStyle w:val="P68B1DB1-Normal46"/>
              <w:spacing w:after="0" w:line="240" w:lineRule="auto"/>
              <w:rPr>
                <w:rFonts w:eastAsia="Times New Roman" w:cs="Times New Roman"/>
                <w:noProof/>
              </w:rPr>
            </w:pPr>
            <w:r>
              <w:rPr>
                <w:noProof/>
              </w:rPr>
              <w:t xml:space="preserve">Tuki kouluille PROA±ohjelmasta </w:t>
            </w:r>
          </w:p>
        </w:tc>
      </w:tr>
      <w:tr w:rsidR="000E48CE" w14:paraId="6E8AE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A085DC" w14:textId="77777777" w:rsidR="000E48CE" w:rsidRDefault="00FF4C4E">
            <w:pPr>
              <w:pStyle w:val="P68B1DB1-Normal46"/>
              <w:spacing w:after="0" w:line="240" w:lineRule="auto"/>
              <w:jc w:val="center"/>
              <w:rPr>
                <w:rFonts w:eastAsia="Times New Roman" w:cs="Times New Roman"/>
                <w:noProof/>
              </w:rPr>
            </w:pPr>
            <w:r>
              <w:rPr>
                <w:noProof/>
              </w:rPr>
              <w:t>311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3C2E27" w14:textId="77777777" w:rsidR="000E48CE" w:rsidRDefault="00FF4C4E">
            <w:pPr>
              <w:pStyle w:val="P68B1DB1-Normal46"/>
              <w:spacing w:after="0" w:line="240" w:lineRule="auto"/>
              <w:rPr>
                <w:rFonts w:eastAsia="Times New Roman" w:cs="Times New Roman"/>
                <w:noProof/>
              </w:rPr>
            </w:pPr>
            <w:r>
              <w:rPr>
                <w:noProof/>
              </w:rPr>
              <w:t>C21.I3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C350DB"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F01AE5D" w14:textId="77777777" w:rsidR="000E48CE" w:rsidRDefault="00FF4C4E">
            <w:pPr>
              <w:pStyle w:val="P68B1DB1-Normal46"/>
              <w:spacing w:after="0" w:line="240" w:lineRule="auto"/>
              <w:rPr>
                <w:rFonts w:eastAsia="Times New Roman" w:cs="Times New Roman"/>
                <w:noProof/>
              </w:rPr>
            </w:pPr>
            <w:r>
              <w:rPr>
                <w:noProof/>
              </w:rPr>
              <w:t xml:space="preserve">Haavoittuvassa asemassa olevien opiskelijoiden tuki- ja ohjausyksiköt </w:t>
            </w:r>
          </w:p>
        </w:tc>
      </w:tr>
      <w:tr w:rsidR="000E48CE" w14:paraId="2A70EA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C904FC" w14:textId="77777777" w:rsidR="000E48CE" w:rsidRDefault="00FF4C4E">
            <w:pPr>
              <w:pStyle w:val="P68B1DB1-Normal46"/>
              <w:spacing w:after="0" w:line="240" w:lineRule="auto"/>
              <w:jc w:val="center"/>
              <w:rPr>
                <w:rFonts w:eastAsia="Times New Roman" w:cs="Times New Roman"/>
                <w:noProof/>
              </w:rPr>
            </w:pPr>
            <w:r>
              <w:rPr>
                <w:noProof/>
              </w:rPr>
              <w:t>470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11163" w14:textId="77777777" w:rsidR="000E48CE" w:rsidRDefault="00FF4C4E">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94D4A3"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5AE4A9B" w14:textId="77777777" w:rsidR="000E48CE" w:rsidRDefault="00FF4C4E">
            <w:pPr>
              <w:pStyle w:val="P68B1DB1-Normal46"/>
              <w:spacing w:after="0" w:line="240" w:lineRule="auto"/>
              <w:rPr>
                <w:rFonts w:eastAsia="Times New Roman" w:cs="Times New Roman"/>
                <w:noProof/>
              </w:rPr>
            </w:pPr>
            <w:r>
              <w:rPr>
                <w:noProof/>
              </w:rPr>
              <w:t xml:space="preserve">Asuintilat, muut kuin asuin- ja päivähoitopaikat.  </w:t>
            </w:r>
          </w:p>
        </w:tc>
      </w:tr>
      <w:tr w:rsidR="000E48CE" w14:paraId="3A9D3B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E25586" w14:textId="77777777" w:rsidR="000E48CE" w:rsidRDefault="00FF4C4E">
            <w:pPr>
              <w:pStyle w:val="P68B1DB1-Normal46"/>
              <w:spacing w:after="0" w:line="240" w:lineRule="auto"/>
              <w:jc w:val="center"/>
              <w:rPr>
                <w:rFonts w:eastAsia="Times New Roman" w:cs="Times New Roman"/>
                <w:noProof/>
              </w:rPr>
            </w:pPr>
            <w:r>
              <w:rPr>
                <w:noProof/>
              </w:rPr>
              <w:t>326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DF7C1A9" w14:textId="77777777" w:rsidR="000E48CE" w:rsidRDefault="00FF4C4E">
            <w:pPr>
              <w:pStyle w:val="P68B1DB1-Normal46"/>
              <w:spacing w:after="0" w:line="240" w:lineRule="auto"/>
              <w:rPr>
                <w:rFonts w:eastAsia="Times New Roman" w:cs="Times New Roman"/>
                <w:noProof/>
              </w:rPr>
            </w:pPr>
            <w:r>
              <w:rPr>
                <w:noProof/>
              </w:rPr>
              <w:t>C22.I3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D2AEB"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F42788" w14:textId="77777777" w:rsidR="000E48CE" w:rsidRDefault="00FF4C4E">
            <w:pPr>
              <w:pStyle w:val="P68B1DB1-Normal46"/>
              <w:spacing w:after="0" w:line="240" w:lineRule="auto"/>
              <w:rPr>
                <w:rFonts w:eastAsia="Times New Roman" w:cs="Times New Roman"/>
                <w:noProof/>
              </w:rPr>
            </w:pPr>
            <w:r>
              <w:rPr>
                <w:noProof/>
              </w:rPr>
              <w:t xml:space="preserve">Esteettömyyden parantamista koskevat </w:t>
            </w:r>
            <w:r>
              <w:rPr>
                <w:noProof/>
              </w:rPr>
              <w:t>hankkeet</w:t>
            </w:r>
          </w:p>
        </w:tc>
      </w:tr>
      <w:tr w:rsidR="000E48CE" w14:paraId="13176E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079A04" w14:textId="77777777" w:rsidR="000E48CE" w:rsidRDefault="00FF4C4E">
            <w:pPr>
              <w:pStyle w:val="P68B1DB1-Normal46"/>
              <w:spacing w:after="0" w:line="240" w:lineRule="auto"/>
              <w:jc w:val="center"/>
              <w:rPr>
                <w:rFonts w:eastAsia="Times New Roman" w:cs="Times New Roman"/>
                <w:noProof/>
              </w:rPr>
            </w:pPr>
            <w:r>
              <w:rPr>
                <w:noProof/>
              </w:rPr>
              <w:t>327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C6571" w14:textId="77777777" w:rsidR="000E48CE" w:rsidRDefault="00FF4C4E">
            <w:pPr>
              <w:pStyle w:val="P68B1DB1-Normal46"/>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BC7FA8"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7A478A" w14:textId="77777777" w:rsidR="000E48CE" w:rsidRDefault="00FF4C4E">
            <w:pPr>
              <w:pStyle w:val="P68B1DB1-Normal46"/>
              <w:spacing w:after="0" w:line="240" w:lineRule="auto"/>
              <w:rPr>
                <w:rFonts w:eastAsia="Times New Roman" w:cs="Times New Roman"/>
                <w:noProof/>
              </w:rPr>
            </w:pPr>
            <w:r>
              <w:rPr>
                <w:noProof/>
              </w:rPr>
              <w:t>Seksuaalisen väkivallan uhrien keskukset.</w:t>
            </w:r>
          </w:p>
        </w:tc>
      </w:tr>
      <w:tr w:rsidR="000E48CE" w14:paraId="13BA8C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F5DCAC" w14:textId="77777777" w:rsidR="000E48CE" w:rsidRDefault="00FF4C4E">
            <w:pPr>
              <w:pStyle w:val="P68B1DB1-Normal46"/>
              <w:spacing w:after="0" w:line="240" w:lineRule="auto"/>
              <w:jc w:val="center"/>
              <w:rPr>
                <w:rFonts w:eastAsia="Times New Roman" w:cs="Times New Roman"/>
                <w:noProof/>
              </w:rPr>
            </w:pPr>
            <w:r>
              <w:rPr>
                <w:noProof/>
              </w:rPr>
              <w:t>347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F5540" w14:textId="77777777" w:rsidR="000E48CE" w:rsidRDefault="00FF4C4E">
            <w:pPr>
              <w:pStyle w:val="P68B1DB1-Normal46"/>
              <w:spacing w:after="0" w:line="240" w:lineRule="auto"/>
              <w:rPr>
                <w:rFonts w:eastAsia="Times New Roman" w:cs="Times New Roman"/>
                <w:noProof/>
              </w:rPr>
            </w:pPr>
            <w:r>
              <w:rPr>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165CE1"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F5FB67" w14:textId="77777777" w:rsidR="000E48CE" w:rsidRDefault="00FF4C4E">
            <w:pPr>
              <w:pStyle w:val="P68B1DB1-Normal46"/>
              <w:spacing w:after="0" w:line="240" w:lineRule="auto"/>
              <w:rPr>
                <w:rFonts w:eastAsia="Times New Roman" w:cs="Times New Roman"/>
                <w:noProof/>
              </w:rPr>
            </w:pPr>
            <w:r>
              <w:rPr>
                <w:noProof/>
              </w:rPr>
              <w:t>Julkiset ohjaus-, yrittäjyys-, tuki- ja innovointikeskukset ovat täysin toimintakykyisiä.</w:t>
            </w:r>
          </w:p>
        </w:tc>
      </w:tr>
      <w:tr w:rsidR="000E48CE" w14:paraId="38B1B1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A0EB3F" w14:textId="77777777" w:rsidR="000E48CE" w:rsidRDefault="00FF4C4E">
            <w:pPr>
              <w:pStyle w:val="P68B1DB1-Normal46"/>
              <w:spacing w:after="0" w:line="240" w:lineRule="auto"/>
              <w:jc w:val="center"/>
              <w:rPr>
                <w:rFonts w:eastAsia="Times New Roman" w:cs="Times New Roman"/>
                <w:noProof/>
              </w:rPr>
            </w:pPr>
            <w:r>
              <w:rPr>
                <w:noProof/>
              </w:rPr>
              <w:t>351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6DB99D" w14:textId="77777777" w:rsidR="000E48CE" w:rsidRDefault="00FF4C4E">
            <w:pPr>
              <w:pStyle w:val="P68B1DB1-Normal46"/>
              <w:spacing w:after="0" w:line="240" w:lineRule="auto"/>
              <w:rPr>
                <w:rFonts w:eastAsia="Times New Roman" w:cs="Times New Roman"/>
                <w:noProof/>
              </w:rPr>
            </w:pPr>
            <w:r>
              <w:rPr>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67AE7"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55B29A" w14:textId="77777777" w:rsidR="000E48CE" w:rsidRDefault="00FF4C4E">
            <w:pPr>
              <w:pStyle w:val="P68B1DB1-Normal46"/>
              <w:spacing w:after="0" w:line="240" w:lineRule="auto"/>
              <w:rPr>
                <w:rFonts w:eastAsia="Times New Roman" w:cs="Times New Roman"/>
                <w:noProof/>
              </w:rPr>
            </w:pPr>
            <w:r>
              <w:rPr>
                <w:noProof/>
              </w:rPr>
              <w:t xml:space="preserve">Arviointi vähimmäistulojärjestelmien kattavuuden, tehokkuuden ja </w:t>
            </w:r>
            <w:r>
              <w:rPr>
                <w:noProof/>
              </w:rPr>
              <w:t>onnistumisen arvioimiseksi</w:t>
            </w:r>
          </w:p>
        </w:tc>
      </w:tr>
      <w:tr w:rsidR="000E48CE" w14:paraId="168043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E4600F" w14:textId="77777777" w:rsidR="000E48CE" w:rsidRDefault="00FF4C4E">
            <w:pPr>
              <w:pStyle w:val="P68B1DB1-Normal46"/>
              <w:spacing w:after="0" w:line="240" w:lineRule="auto"/>
              <w:jc w:val="center"/>
              <w:rPr>
                <w:rFonts w:eastAsia="Times New Roman" w:cs="Times New Roman"/>
                <w:noProof/>
              </w:rPr>
            </w:pPr>
            <w:r>
              <w:rPr>
                <w:noProof/>
              </w:rPr>
              <w:t>358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45CD9B" w14:textId="77777777" w:rsidR="000E48CE" w:rsidRDefault="00FF4C4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FED88F3"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6ABC3B8" w14:textId="77777777" w:rsidR="000E48CE" w:rsidRDefault="00FF4C4E">
            <w:pPr>
              <w:pStyle w:val="P68B1DB1-Normal46"/>
              <w:spacing w:after="0" w:line="240" w:lineRule="auto"/>
              <w:rPr>
                <w:rFonts w:eastAsia="Times New Roman" w:cs="Times New Roman"/>
                <w:noProof/>
              </w:rPr>
            </w:pPr>
            <w:r>
              <w:rPr>
                <w:noProof/>
              </w:rPr>
              <w:t>Kirjastojen kirjojen ostot</w:t>
            </w:r>
          </w:p>
        </w:tc>
      </w:tr>
      <w:tr w:rsidR="000E48CE" w14:paraId="755A2D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CE1BA" w14:textId="77777777" w:rsidR="000E48CE" w:rsidRDefault="00FF4C4E">
            <w:pPr>
              <w:pStyle w:val="P68B1DB1-Normal46"/>
              <w:spacing w:after="0" w:line="240" w:lineRule="auto"/>
              <w:jc w:val="center"/>
              <w:rPr>
                <w:rFonts w:eastAsia="Times New Roman" w:cs="Times New Roman"/>
                <w:noProof/>
              </w:rPr>
            </w:pPr>
            <w:r>
              <w:rPr>
                <w:noProof/>
              </w:rPr>
              <w:t>476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2C8BD6" w14:textId="77777777" w:rsidR="000E48CE" w:rsidRDefault="00FF4C4E">
            <w:pPr>
              <w:pStyle w:val="P68B1DB1-Normal46"/>
              <w:spacing w:after="0" w:line="240" w:lineRule="auto"/>
              <w:rPr>
                <w:rFonts w:eastAsia="Times New Roman" w:cs="Times New Roman"/>
                <w:noProof/>
              </w:rPr>
            </w:pPr>
            <w:r>
              <w:rPr>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FD86D5" w14:textId="77777777" w:rsidR="000E48CE" w:rsidRDefault="00FF4C4E">
            <w:pPr>
              <w:pStyle w:val="P68B1DB1-Normal46"/>
              <w:spacing w:after="0" w:line="240" w:lineRule="auto"/>
              <w:rPr>
                <w:rFonts w:eastAsia="Times New Roman" w:cs="Times New Roman"/>
                <w:noProof/>
              </w:rPr>
            </w:pPr>
            <w:r>
              <w:rPr>
                <w:noProof/>
              </w:rPr>
              <w:t>T</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2A570B" w14:textId="77777777" w:rsidR="000E48CE" w:rsidRDefault="00FF4C4E">
            <w:pPr>
              <w:pStyle w:val="P68B1DB1-Normal46"/>
              <w:spacing w:after="0" w:line="240" w:lineRule="auto"/>
              <w:rPr>
                <w:rFonts w:eastAsia="Times New Roman" w:cs="Times New Roman"/>
                <w:noProof/>
              </w:rPr>
            </w:pPr>
            <w:r>
              <w:rPr>
                <w:noProof/>
              </w:rPr>
              <w:t>Audiovisuaalialan pk-yrityksiä tukevien hankkeiden loppuun saattaminen</w:t>
            </w:r>
          </w:p>
        </w:tc>
      </w:tr>
      <w:tr w:rsidR="000E48CE" w14:paraId="407FDE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95D4F5" w14:textId="77777777" w:rsidR="000E48CE" w:rsidRDefault="00FF4C4E">
            <w:pPr>
              <w:pStyle w:val="P68B1DB1-Normal46"/>
              <w:spacing w:after="0" w:line="240" w:lineRule="auto"/>
              <w:jc w:val="center"/>
              <w:rPr>
                <w:rFonts w:eastAsia="Times New Roman" w:cs="Times New Roman"/>
                <w:noProof/>
              </w:rPr>
            </w:pPr>
            <w:r>
              <w:rPr>
                <w:noProof/>
              </w:rPr>
              <w:t>483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176F87" w14:textId="77777777" w:rsidR="000E48CE" w:rsidRDefault="00FF4C4E">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1E748B"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369E4EA" w14:textId="77777777" w:rsidR="000E48CE" w:rsidRDefault="00FF4C4E">
            <w:pPr>
              <w:pStyle w:val="P68B1DB1-Normal46"/>
              <w:spacing w:after="0" w:line="240" w:lineRule="auto"/>
              <w:rPr>
                <w:rFonts w:eastAsia="Times New Roman" w:cs="Times New Roman"/>
                <w:noProof/>
              </w:rPr>
            </w:pPr>
            <w:r>
              <w:rPr>
                <w:noProof/>
              </w:rPr>
              <w:t>Uusiutuvan vedyn tukijärjestelmä: Ministeriö on saattanut investoinnin päätökseen</w:t>
            </w:r>
          </w:p>
        </w:tc>
      </w:tr>
      <w:tr w:rsidR="000E48CE" w14:paraId="04184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94C56F" w14:textId="77777777" w:rsidR="000E48CE" w:rsidRDefault="00FF4C4E">
            <w:pPr>
              <w:pStyle w:val="P68B1DB1-Normal46"/>
              <w:spacing w:after="0" w:line="240" w:lineRule="auto"/>
              <w:jc w:val="center"/>
              <w:rPr>
                <w:rFonts w:eastAsia="Times New Roman" w:cs="Times New Roman"/>
                <w:noProof/>
              </w:rPr>
            </w:pPr>
            <w:r>
              <w:rPr>
                <w:noProof/>
              </w:rPr>
              <w:t>480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66F94E" w14:textId="77777777" w:rsidR="000E48CE" w:rsidRDefault="00FF4C4E">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71834"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2E847D3" w14:textId="77777777" w:rsidR="000E48CE" w:rsidRDefault="00FF4C4E">
            <w:pPr>
              <w:pStyle w:val="P68B1DB1-Normal46"/>
              <w:spacing w:after="0" w:line="240" w:lineRule="auto"/>
              <w:rPr>
                <w:rFonts w:eastAsia="Times New Roman" w:cs="Times New Roman"/>
                <w:noProof/>
              </w:rPr>
            </w:pPr>
            <w:r>
              <w:rPr>
                <w:noProof/>
              </w:rPr>
              <w:t>Uusiutuvan vedyn tukijärjestelmä: Järjestelmän perustaminen</w:t>
            </w:r>
          </w:p>
        </w:tc>
      </w:tr>
      <w:tr w:rsidR="000E48CE" w14:paraId="2D659B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830334" w14:textId="77777777" w:rsidR="000E48CE" w:rsidRDefault="00FF4C4E">
            <w:pPr>
              <w:pStyle w:val="P68B1DB1-Normal46"/>
              <w:spacing w:after="0" w:line="240" w:lineRule="auto"/>
              <w:jc w:val="center"/>
              <w:rPr>
                <w:rFonts w:eastAsia="Times New Roman" w:cs="Times New Roman"/>
                <w:noProof/>
              </w:rPr>
            </w:pPr>
            <w:r>
              <w:rPr>
                <w:noProof/>
              </w:rPr>
              <w:t>487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EBAAE" w14:textId="77777777" w:rsidR="000E48CE" w:rsidRDefault="00FF4C4E">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0EC886B"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D3A373B" w14:textId="77777777" w:rsidR="000E48CE" w:rsidRDefault="00FF4C4E">
            <w:pPr>
              <w:pStyle w:val="P68B1DB1-Normal46"/>
              <w:spacing w:after="0" w:line="240" w:lineRule="auto"/>
              <w:rPr>
                <w:rFonts w:eastAsia="Times New Roman" w:cs="Times New Roman"/>
                <w:noProof/>
              </w:rPr>
            </w:pPr>
            <w:r>
              <w:rPr>
                <w:noProof/>
              </w:rPr>
              <w:t>Arvoketjun tukijärjestelmä: Ministeriö on saattanut investoinnin päätökseen</w:t>
            </w:r>
          </w:p>
        </w:tc>
      </w:tr>
      <w:tr w:rsidR="000E48CE" w14:paraId="4AB30B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080834" w14:textId="77777777" w:rsidR="000E48CE" w:rsidRDefault="00FF4C4E">
            <w:pPr>
              <w:pStyle w:val="P68B1DB1-Normal46"/>
              <w:spacing w:after="0" w:line="240" w:lineRule="auto"/>
              <w:jc w:val="center"/>
              <w:rPr>
                <w:rFonts w:eastAsia="Times New Roman" w:cs="Times New Roman"/>
                <w:noProof/>
              </w:rPr>
            </w:pPr>
            <w:r>
              <w:rPr>
                <w:noProof/>
              </w:rPr>
              <w:t>484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F6C71" w14:textId="77777777" w:rsidR="000E48CE" w:rsidRDefault="00FF4C4E">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5FCB59"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08D3D4" w14:textId="77777777" w:rsidR="000E48CE" w:rsidRDefault="00FF4C4E">
            <w:pPr>
              <w:pStyle w:val="P68B1DB1-Normal46"/>
              <w:spacing w:after="0" w:line="240" w:lineRule="auto"/>
              <w:rPr>
                <w:rFonts w:eastAsia="Times New Roman" w:cs="Times New Roman"/>
                <w:noProof/>
              </w:rPr>
            </w:pPr>
            <w:r>
              <w:rPr>
                <w:noProof/>
              </w:rPr>
              <w:t>Arvoketjun tukijärjestelmä: Järjestelmän perustaminen</w:t>
            </w:r>
          </w:p>
        </w:tc>
      </w:tr>
      <w:tr w:rsidR="000E48CE" w14:paraId="55E81A3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AD854" w14:textId="77777777" w:rsidR="000E48CE" w:rsidRDefault="00FF4C4E">
            <w:pPr>
              <w:pStyle w:val="P68B1DB1-Normal46"/>
              <w:spacing w:after="0" w:line="240" w:lineRule="auto"/>
              <w:jc w:val="center"/>
              <w:rPr>
                <w:rFonts w:eastAsia="Times New Roman" w:cs="Times New Roman"/>
                <w:noProof/>
              </w:rPr>
            </w:pPr>
            <w:r>
              <w:rPr>
                <w:noProof/>
              </w:rPr>
              <w:t>488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9F8EA" w14:textId="77777777" w:rsidR="000E48CE" w:rsidRDefault="00FF4C4E">
            <w:pPr>
              <w:pStyle w:val="P68B1DB1-Normal46"/>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BF0026"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759529" w14:textId="77777777" w:rsidR="000E48CE" w:rsidRDefault="00FF4C4E">
            <w:pPr>
              <w:pStyle w:val="P68B1DB1-Normal46"/>
              <w:spacing w:after="0" w:line="240" w:lineRule="auto"/>
              <w:rPr>
                <w:rFonts w:eastAsia="Times New Roman" w:cs="Times New Roman"/>
                <w:noProof/>
              </w:rPr>
            </w:pPr>
            <w:r>
              <w:rPr>
                <w:noProof/>
              </w:rPr>
              <w:t>Sähkönsiirtohankkeiden valintaperusteiden julkaiseminen</w:t>
            </w:r>
          </w:p>
        </w:tc>
      </w:tr>
      <w:tr w:rsidR="000E48CE" w14:paraId="3CC80E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418A8A" w14:textId="77777777" w:rsidR="000E48CE" w:rsidRDefault="00FF4C4E">
            <w:pPr>
              <w:pStyle w:val="P68B1DB1-Normal46"/>
              <w:spacing w:after="0" w:line="240" w:lineRule="auto"/>
              <w:jc w:val="center"/>
              <w:rPr>
                <w:rFonts w:eastAsia="Times New Roman" w:cs="Times New Roman"/>
                <w:noProof/>
              </w:rPr>
            </w:pPr>
            <w:r>
              <w:rPr>
                <w:noProof/>
              </w:rPr>
              <w:t>489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CA794" w14:textId="77777777" w:rsidR="000E48CE" w:rsidRDefault="00FF4C4E">
            <w:pPr>
              <w:pStyle w:val="P68B1DB1-Normal46"/>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658B44"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9C99E1" w14:textId="77777777" w:rsidR="000E48CE" w:rsidRDefault="00FF4C4E">
            <w:pPr>
              <w:pStyle w:val="P68B1DB1-Normal46"/>
              <w:spacing w:after="0" w:line="240" w:lineRule="auto"/>
              <w:rPr>
                <w:rFonts w:eastAsia="Times New Roman" w:cs="Times New Roman"/>
                <w:noProof/>
              </w:rPr>
            </w:pPr>
            <w:r>
              <w:rPr>
                <w:noProof/>
              </w:rPr>
              <w:t>Tuettujen sähkönsiirtohankkeiden luettelon hyväksyminen</w:t>
            </w:r>
          </w:p>
        </w:tc>
      </w:tr>
      <w:tr w:rsidR="000E48CE" w14:paraId="55C0087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F3562C" w14:textId="77777777" w:rsidR="000E48CE" w:rsidRDefault="00FF4C4E">
            <w:pPr>
              <w:pStyle w:val="P68B1DB1-Normal46"/>
              <w:spacing w:after="0" w:line="240" w:lineRule="auto"/>
              <w:jc w:val="center"/>
              <w:rPr>
                <w:rFonts w:eastAsia="Times New Roman" w:cs="Times New Roman"/>
                <w:noProof/>
              </w:rPr>
            </w:pPr>
            <w:r>
              <w:rPr>
                <w:noProof/>
              </w:rPr>
              <w:t>491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3DCF84" w14:textId="77777777" w:rsidR="000E48CE" w:rsidRDefault="00FF4C4E">
            <w:pPr>
              <w:pStyle w:val="P68B1DB1-Normal46"/>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4EEC9F"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D8584B" w14:textId="77777777" w:rsidR="000E48CE" w:rsidRDefault="00FF4C4E">
            <w:pPr>
              <w:pStyle w:val="P68B1DB1-Normal46"/>
              <w:spacing w:after="0" w:line="240" w:lineRule="auto"/>
              <w:rPr>
                <w:rFonts w:eastAsia="Times New Roman" w:cs="Times New Roman"/>
                <w:noProof/>
              </w:rPr>
            </w:pPr>
            <w:r>
              <w:rPr>
                <w:noProof/>
              </w:rPr>
              <w:t>Teollisuuden hiilestä irtautumista koskevan tuen myöntämistä koskevien ehdotuspyyntöjen ja sääntöjen julkaiseminen sekä tutkimuksen loppuun saattaminen yritysten hiilestä irtautumiseen kannustavan rahaston täytäntöönpanosta (hiilidioksidisopimus hinnaneroi</w:t>
            </w:r>
            <w:r>
              <w:rPr>
                <w:noProof/>
              </w:rPr>
              <w:t xml:space="preserve">sta) </w:t>
            </w:r>
          </w:p>
        </w:tc>
      </w:tr>
      <w:tr w:rsidR="000E48CE" w14:paraId="3F0B14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129C0B" w14:textId="77777777" w:rsidR="000E48CE" w:rsidRDefault="00FF4C4E">
            <w:pPr>
              <w:pStyle w:val="P68B1DB1-Normal46"/>
              <w:spacing w:after="0" w:line="240" w:lineRule="auto"/>
              <w:jc w:val="center"/>
              <w:rPr>
                <w:rFonts w:eastAsia="Times New Roman" w:cs="Times New Roman"/>
                <w:noProof/>
              </w:rPr>
            </w:pPr>
            <w:r>
              <w:rPr>
                <w:noProof/>
              </w:rPr>
              <w:t>492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F93CC5" w14:textId="77777777" w:rsidR="000E48CE" w:rsidRDefault="00FF4C4E">
            <w:pPr>
              <w:pStyle w:val="P68B1DB1-Normal46"/>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9D252F"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A87131" w14:textId="77777777" w:rsidR="000E48CE" w:rsidRDefault="00FF4C4E">
            <w:pPr>
              <w:pStyle w:val="P68B1DB1-Normal46"/>
              <w:spacing w:after="0" w:line="240" w:lineRule="auto"/>
              <w:rPr>
                <w:rFonts w:eastAsia="Times New Roman" w:cs="Times New Roman"/>
                <w:noProof/>
              </w:rPr>
            </w:pPr>
            <w:r>
              <w:rPr>
                <w:noProof/>
              </w:rPr>
              <w:t xml:space="preserve">Hiilestä irtautumista koskevien hankkeiden palkintojen julkaiseminen </w:t>
            </w:r>
          </w:p>
        </w:tc>
      </w:tr>
      <w:tr w:rsidR="000E48CE" w14:paraId="0C27A44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253CE" w14:textId="77777777" w:rsidR="000E48CE" w:rsidRDefault="00FF4C4E">
            <w:pPr>
              <w:pStyle w:val="P68B1DB1-Normal46"/>
              <w:spacing w:after="0" w:line="240" w:lineRule="auto"/>
              <w:jc w:val="center"/>
              <w:rPr>
                <w:rFonts w:eastAsia="Times New Roman" w:cs="Times New Roman"/>
                <w:noProof/>
              </w:rPr>
            </w:pPr>
            <w:r>
              <w:rPr>
                <w:noProof/>
              </w:rPr>
              <w:t>494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F5C2FA" w14:textId="77777777" w:rsidR="000E48CE" w:rsidRDefault="00FF4C4E">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45D30C"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BE78A9" w14:textId="77777777" w:rsidR="000E48CE" w:rsidRDefault="00FF4C4E">
            <w:pPr>
              <w:pStyle w:val="P68B1DB1-Normal46"/>
              <w:spacing w:after="0" w:line="240" w:lineRule="auto"/>
              <w:rPr>
                <w:rFonts w:eastAsia="Times New Roman" w:cs="Times New Roman"/>
                <w:noProof/>
              </w:rPr>
            </w:pPr>
            <w:r>
              <w:rPr>
                <w:noProof/>
              </w:rPr>
              <w:t>Teollisuuden hiilestä irtautumista koskeva tukijärjestelmä: ENISAn muuttaminen julkiseksi yritykseksi</w:t>
            </w:r>
          </w:p>
        </w:tc>
      </w:tr>
      <w:tr w:rsidR="000E48CE" w14:paraId="2E0A9E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D5995F" w14:textId="77777777" w:rsidR="000E48CE" w:rsidRDefault="00FF4C4E">
            <w:pPr>
              <w:pStyle w:val="P68B1DB1-Normal46"/>
              <w:spacing w:after="0" w:line="240" w:lineRule="auto"/>
              <w:jc w:val="center"/>
              <w:rPr>
                <w:rFonts w:eastAsia="Times New Roman" w:cs="Times New Roman"/>
                <w:noProof/>
              </w:rPr>
            </w:pPr>
            <w:r>
              <w:rPr>
                <w:noProof/>
              </w:rPr>
              <w:t>497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69B518" w14:textId="77777777" w:rsidR="000E48CE" w:rsidRDefault="00FF4C4E">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551C8E"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354E54" w14:textId="77777777" w:rsidR="000E48CE" w:rsidRDefault="00FF4C4E">
            <w:pPr>
              <w:pStyle w:val="P68B1DB1-Normal46"/>
              <w:spacing w:after="0" w:line="240" w:lineRule="auto"/>
              <w:rPr>
                <w:rFonts w:eastAsia="Times New Roman" w:cs="Times New Roman"/>
                <w:noProof/>
              </w:rPr>
            </w:pPr>
            <w:r>
              <w:rPr>
                <w:noProof/>
              </w:rPr>
              <w:t xml:space="preserve">Teollisuuden hiilestä irtautumista </w:t>
            </w:r>
            <w:r>
              <w:rPr>
                <w:noProof/>
              </w:rPr>
              <w:t>koskeva tukijärjestelmä: Ministeriö on saattanut investoinnin päätökseen</w:t>
            </w:r>
          </w:p>
        </w:tc>
      </w:tr>
      <w:tr w:rsidR="000E48CE" w14:paraId="388A29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77C724" w14:textId="77777777" w:rsidR="000E48CE" w:rsidRDefault="00FF4C4E">
            <w:pPr>
              <w:pStyle w:val="P68B1DB1-Normal46"/>
              <w:spacing w:after="0" w:line="240" w:lineRule="auto"/>
              <w:jc w:val="center"/>
              <w:rPr>
                <w:rFonts w:eastAsia="Times New Roman" w:cs="Times New Roman"/>
                <w:noProof/>
              </w:rPr>
            </w:pPr>
            <w:r>
              <w:rPr>
                <w:noProof/>
              </w:rPr>
              <w:t>495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FA929" w14:textId="77777777" w:rsidR="000E48CE" w:rsidRDefault="00FF4C4E">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A9781E" w14:textId="77777777" w:rsidR="000E48CE" w:rsidRDefault="00FF4C4E">
            <w:pPr>
              <w:pStyle w:val="P68B1DB1-Normal46"/>
              <w:spacing w:after="0" w:line="240" w:lineRule="auto"/>
              <w:rPr>
                <w:rFonts w:eastAsia="Times New Roman" w:cs="Times New Roman"/>
                <w:noProof/>
              </w:rPr>
            </w:pPr>
            <w:r>
              <w:rPr>
                <w:noProof/>
              </w:rPr>
              <w:t>M</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B71D1CA" w14:textId="77777777" w:rsidR="000E48CE" w:rsidRDefault="00FF4C4E">
            <w:pPr>
              <w:pStyle w:val="P68B1DB1-Normal46"/>
              <w:spacing w:after="0" w:line="240" w:lineRule="auto"/>
              <w:rPr>
                <w:rFonts w:eastAsia="Times New Roman" w:cs="Times New Roman"/>
                <w:noProof/>
              </w:rPr>
            </w:pPr>
            <w:r>
              <w:rPr>
                <w:noProof/>
              </w:rPr>
              <w:t>Teollisuuden hiilestä irtautumista koskeva tukijärjestelmä: Järjestelmän perustaminen</w:t>
            </w:r>
          </w:p>
        </w:tc>
      </w:tr>
      <w:tr w:rsidR="000E48CE" w14:paraId="406E9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C4F64E"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29E1E2"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CB62E1" w14:textId="75F85337" w:rsidR="000E48CE" w:rsidRDefault="00FF4C4E">
            <w:pPr>
              <w:pStyle w:val="P68B1DB1-Normal45"/>
              <w:spacing w:after="0" w:line="240" w:lineRule="auto"/>
              <w:rPr>
                <w:rFonts w:eastAsia="Times New Roman" w:cs="Times New Roman"/>
                <w:noProof/>
              </w:rPr>
            </w:pPr>
            <w:r>
              <w:rPr>
                <w:noProof/>
              </w:rPr>
              <w:t>Erän suuruus</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9D5264" w14:textId="7771AB70" w:rsidR="000E48CE" w:rsidRDefault="00FF4C4E">
            <w:pPr>
              <w:pStyle w:val="P68B1DB1-Normal45"/>
              <w:spacing w:after="0" w:line="240" w:lineRule="auto"/>
              <w:rPr>
                <w:rFonts w:eastAsia="Times New Roman" w:cs="Times New Roman"/>
                <w:noProof/>
              </w:rPr>
            </w:pPr>
            <w:r>
              <w:rPr>
                <w:noProof/>
              </w:rPr>
              <w:t>VÄHIMMÄISPÄÄOMA: 10261710743 EUROA</w:t>
            </w:r>
          </w:p>
        </w:tc>
      </w:tr>
    </w:tbl>
    <w:p w14:paraId="2A4D388A" w14:textId="77777777" w:rsidR="000E48CE" w:rsidRDefault="000E48CE">
      <w:pPr>
        <w:spacing w:before="120" w:after="120" w:line="240" w:lineRule="auto"/>
        <w:jc w:val="both"/>
        <w:rPr>
          <w:rFonts w:ascii="Times New Roman" w:eastAsia="Calibri" w:hAnsi="Times New Roman" w:cs="Times New Roman"/>
          <w:noProof/>
          <w:sz w:val="24"/>
        </w:rPr>
      </w:pPr>
    </w:p>
    <w:p w14:paraId="6F7EC66B"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Kahdeksas erä (tuki, jota ei makseta takaisin): </w:t>
      </w:r>
    </w:p>
    <w:tbl>
      <w:tblPr>
        <w:tblW w:w="9663" w:type="dxa"/>
        <w:tblInd w:w="113" w:type="dxa"/>
        <w:tblLook w:val="04A0" w:firstRow="1" w:lastRow="0" w:firstColumn="1" w:lastColumn="0" w:noHBand="0" w:noVBand="1"/>
      </w:tblPr>
      <w:tblGrid>
        <w:gridCol w:w="1300"/>
        <w:gridCol w:w="1443"/>
        <w:gridCol w:w="1783"/>
        <w:gridCol w:w="5670"/>
      </w:tblGrid>
      <w:tr w:rsidR="000E48CE" w14:paraId="37E5C586"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D8EF13A"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C92FBD"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4392E45"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20B0C0EB"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2D2586A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4D76A78"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1C2754"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E1DA205"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1DD9839" w14:textId="77777777" w:rsidR="000E48CE" w:rsidRDefault="000E48CE">
            <w:pPr>
              <w:spacing w:after="0" w:line="240" w:lineRule="auto"/>
              <w:rPr>
                <w:rFonts w:ascii="Times New Roman" w:eastAsia="Times New Roman" w:hAnsi="Times New Roman" w:cs="Times New Roman"/>
                <w:b/>
                <w:noProof/>
                <w:sz w:val="20"/>
              </w:rPr>
            </w:pPr>
          </w:p>
        </w:tc>
      </w:tr>
      <w:tr w:rsidR="000E48CE" w14:paraId="1B2C90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AC1E4D" w14:textId="77777777" w:rsidR="000E48CE" w:rsidRDefault="00FF4C4E">
            <w:pPr>
              <w:pStyle w:val="P68B1DB1-Normal46"/>
              <w:spacing w:after="0" w:line="240" w:lineRule="auto"/>
              <w:jc w:val="center"/>
              <w:rPr>
                <w:rFonts w:eastAsia="Times New Roman" w:cs="Times New Roman"/>
                <w:noProof/>
              </w:rPr>
            </w:pPr>
            <w:r>
              <w:rPr>
                <w:noProof/>
              </w:rPr>
              <w:t>421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1321B9" w14:textId="77777777" w:rsidR="000E48CE" w:rsidRDefault="00FF4C4E">
            <w:pPr>
              <w:pStyle w:val="P68B1DB1-Normal46"/>
              <w:spacing w:after="0" w:line="240" w:lineRule="auto"/>
              <w:rPr>
                <w:rFonts w:eastAsia="Times New Roman" w:cs="Times New Roman"/>
                <w:noProof/>
              </w:rPr>
            </w:pPr>
            <w:r>
              <w:rPr>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201A76C"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80C5AE" w14:textId="77777777" w:rsidR="000E48CE" w:rsidRDefault="00FF4C4E">
            <w:pPr>
              <w:pStyle w:val="P68B1DB1-Normal46"/>
              <w:spacing w:after="0" w:line="240" w:lineRule="auto"/>
              <w:rPr>
                <w:rFonts w:eastAsia="Times New Roman" w:cs="Times New Roman"/>
                <w:noProof/>
              </w:rPr>
            </w:pPr>
            <w:r>
              <w:rPr>
                <w:noProof/>
              </w:rPr>
              <w:t>Bioturvallisuustason 3 laboratorion ja kansallisen kasvinsuojelulaboratorion rakentamisen loppuun saattaminen.</w:t>
            </w:r>
          </w:p>
        </w:tc>
      </w:tr>
      <w:tr w:rsidR="000E48CE" w14:paraId="620768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CBE3AB" w14:textId="77777777" w:rsidR="000E48CE" w:rsidRDefault="00FF4C4E">
            <w:pPr>
              <w:pStyle w:val="P68B1DB1-Normal46"/>
              <w:spacing w:after="0" w:line="240" w:lineRule="auto"/>
              <w:jc w:val="center"/>
              <w:rPr>
                <w:rFonts w:eastAsia="Times New Roman" w:cs="Times New Roman"/>
                <w:noProof/>
              </w:rPr>
            </w:pPr>
            <w:r>
              <w:rPr>
                <w:noProof/>
              </w:rPr>
              <w:t>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E9E234" w14:textId="77777777" w:rsidR="000E48CE" w:rsidRDefault="00FF4C4E">
            <w:pPr>
              <w:pStyle w:val="P68B1DB1-Normal46"/>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979885"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C2DF90" w14:textId="77777777" w:rsidR="000E48CE" w:rsidRDefault="00FF4C4E">
            <w:pPr>
              <w:pStyle w:val="P68B1DB1-Normal46"/>
              <w:spacing w:after="0" w:line="240" w:lineRule="auto"/>
              <w:rPr>
                <w:rFonts w:eastAsia="Times New Roman" w:cs="Times New Roman"/>
                <w:noProof/>
              </w:rPr>
            </w:pPr>
            <w:r>
              <w:rPr>
                <w:noProof/>
              </w:rPr>
              <w:t xml:space="preserve">Pohjavettä johtavista kerroksista uutetun veden määrän väheneminen </w:t>
            </w:r>
          </w:p>
        </w:tc>
      </w:tr>
      <w:tr w:rsidR="000E48CE" w14:paraId="4E4F04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F5158" w14:textId="77777777" w:rsidR="000E48CE" w:rsidRDefault="00FF4C4E">
            <w:pPr>
              <w:pStyle w:val="P68B1DB1-Normal46"/>
              <w:spacing w:after="0" w:line="240" w:lineRule="auto"/>
              <w:jc w:val="center"/>
              <w:rPr>
                <w:rFonts w:eastAsia="Times New Roman" w:cs="Times New Roman"/>
                <w:noProof/>
              </w:rPr>
            </w:pPr>
            <w:r>
              <w:rPr>
                <w:noProof/>
              </w:rPr>
              <w:t>168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0704B" w14:textId="77777777" w:rsidR="000E48CE" w:rsidRDefault="00FF4C4E">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80A01F"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8BABEB" w14:textId="77777777" w:rsidR="000E48CE" w:rsidRDefault="00FF4C4E">
            <w:pPr>
              <w:pStyle w:val="P68B1DB1-Normal46"/>
              <w:spacing w:after="0" w:line="240" w:lineRule="auto"/>
              <w:rPr>
                <w:rFonts w:eastAsia="Times New Roman" w:cs="Times New Roman"/>
                <w:noProof/>
              </w:rPr>
            </w:pPr>
            <w:r>
              <w:rPr>
                <w:noProof/>
              </w:rPr>
              <w:t>Alue- ja paikallishallinnon sekä aluepolitiikasta ja julkishallinnosta vastaavan ministeriön digitalisaatiota tukevien hankkeiden myöntäminen</w:t>
            </w:r>
          </w:p>
        </w:tc>
      </w:tr>
      <w:tr w:rsidR="000E48CE" w14:paraId="23190C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596597" w14:textId="77777777" w:rsidR="000E48CE" w:rsidRDefault="00FF4C4E">
            <w:pPr>
              <w:pStyle w:val="P68B1DB1-Normal46"/>
              <w:spacing w:after="0" w:line="240" w:lineRule="auto"/>
              <w:jc w:val="center"/>
              <w:rPr>
                <w:rFonts w:eastAsia="Times New Roman" w:cs="Times New Roman"/>
                <w:noProof/>
              </w:rPr>
            </w:pPr>
            <w:r>
              <w:rPr>
                <w:noProof/>
              </w:rPr>
              <w:t>444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9B39C8" w14:textId="77777777" w:rsidR="000E48CE" w:rsidRDefault="00FF4C4E">
            <w:pPr>
              <w:pStyle w:val="P68B1DB1-Normal46"/>
              <w:spacing w:after="0" w:line="240" w:lineRule="auto"/>
              <w:rPr>
                <w:rFonts w:eastAsia="Times New Roman" w:cs="Times New Roman"/>
                <w:noProof/>
              </w:rPr>
            </w:pPr>
            <w:r>
              <w:rPr>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48505"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700913" w14:textId="77777777" w:rsidR="000E48CE" w:rsidRDefault="00FF4C4E">
            <w:pPr>
              <w:pStyle w:val="P68B1DB1-Normal46"/>
              <w:spacing w:after="0" w:line="240" w:lineRule="auto"/>
              <w:rPr>
                <w:rFonts w:eastAsia="Times New Roman" w:cs="Times New Roman"/>
                <w:noProof/>
              </w:rPr>
            </w:pPr>
            <w:r>
              <w:rPr>
                <w:noProof/>
              </w:rPr>
              <w:t xml:space="preserve">PERTE-SIRU. Puolijohteiden arvoketjun vahvistaminen. </w:t>
            </w:r>
          </w:p>
        </w:tc>
      </w:tr>
      <w:tr w:rsidR="000E48CE" w14:paraId="079D113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F5C264" w14:textId="77777777" w:rsidR="000E48CE" w:rsidRDefault="00FF4C4E">
            <w:pPr>
              <w:pStyle w:val="P68B1DB1-Normal46"/>
              <w:spacing w:after="0" w:line="240" w:lineRule="auto"/>
              <w:jc w:val="center"/>
              <w:rPr>
                <w:rFonts w:eastAsia="Times New Roman" w:cs="Times New Roman"/>
                <w:noProof/>
              </w:rPr>
            </w:pPr>
            <w:r>
              <w:rPr>
                <w:noProof/>
              </w:rPr>
              <w:t>222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F4334" w14:textId="77777777" w:rsidR="000E48CE" w:rsidRDefault="00FF4C4E">
            <w:pPr>
              <w:pStyle w:val="P68B1DB1-Normal46"/>
              <w:spacing w:after="0" w:line="240" w:lineRule="auto"/>
              <w:rPr>
                <w:rFonts w:eastAsia="Times New Roman" w:cs="Times New Roman"/>
                <w:noProof/>
              </w:rPr>
            </w:pPr>
            <w:r>
              <w:rPr>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3209A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A9AEA1" w14:textId="77777777" w:rsidR="000E48CE" w:rsidRDefault="00FF4C4E">
            <w:pPr>
              <w:pStyle w:val="P68B1DB1-Normal46"/>
              <w:spacing w:after="0" w:line="240" w:lineRule="auto"/>
              <w:rPr>
                <w:rFonts w:eastAsia="Times New Roman" w:cs="Times New Roman"/>
                <w:noProof/>
              </w:rPr>
            </w:pPr>
            <w:r>
              <w:rPr>
                <w:noProof/>
              </w:rPr>
              <w:t>Matkailualan älykkäiden matkailukohteiden foorumin käynnistäminen.</w:t>
            </w:r>
          </w:p>
        </w:tc>
      </w:tr>
      <w:tr w:rsidR="000E48CE" w14:paraId="28B0EC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AEDDC" w14:textId="77777777" w:rsidR="000E48CE" w:rsidRDefault="00FF4C4E">
            <w:pPr>
              <w:pStyle w:val="P68B1DB1-Normal46"/>
              <w:spacing w:after="0" w:line="240" w:lineRule="auto"/>
              <w:jc w:val="center"/>
              <w:rPr>
                <w:rFonts w:eastAsia="Times New Roman" w:cs="Times New Roman"/>
                <w:noProof/>
              </w:rPr>
            </w:pPr>
            <w:r>
              <w:rPr>
                <w:noProof/>
              </w:rPr>
              <w:t>223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73DA34" w14:textId="77777777" w:rsidR="000E48CE" w:rsidRDefault="00FF4C4E">
            <w:pPr>
              <w:pStyle w:val="P68B1DB1-Normal46"/>
              <w:spacing w:after="0" w:line="240" w:lineRule="auto"/>
              <w:rPr>
                <w:rFonts w:eastAsia="Times New Roman" w:cs="Times New Roman"/>
                <w:noProof/>
              </w:rPr>
            </w:pPr>
            <w:r>
              <w:rPr>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86C918"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BDD6D24" w14:textId="77777777" w:rsidR="000E48CE" w:rsidRDefault="00FF4C4E">
            <w:pPr>
              <w:pStyle w:val="P68B1DB1-Normal46"/>
              <w:spacing w:after="0" w:line="240" w:lineRule="auto"/>
              <w:rPr>
                <w:rFonts w:eastAsia="Times New Roman" w:cs="Times New Roman"/>
                <w:noProof/>
              </w:rPr>
            </w:pPr>
            <w:r>
              <w:rPr>
                <w:noProof/>
              </w:rPr>
              <w:t>Tekoälyyn ja muihin mahdollistaviin teknologioihin liittyvien innovatiivisten teknologiapohjaisten hankkeid</w:t>
            </w:r>
            <w:r>
              <w:rPr>
                <w:noProof/>
              </w:rPr>
              <w:t>en tuensaajat</w:t>
            </w:r>
          </w:p>
        </w:tc>
      </w:tr>
      <w:tr w:rsidR="000E48CE" w14:paraId="694246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71806D" w14:textId="77777777" w:rsidR="000E48CE" w:rsidRDefault="00FF4C4E">
            <w:pPr>
              <w:pStyle w:val="P68B1DB1-Normal46"/>
              <w:spacing w:after="0" w:line="240" w:lineRule="auto"/>
              <w:jc w:val="center"/>
              <w:rPr>
                <w:rFonts w:eastAsia="Times New Roman" w:cs="Times New Roman"/>
                <w:noProof/>
              </w:rPr>
            </w:pPr>
            <w:r>
              <w:rPr>
                <w:noProof/>
              </w:rPr>
              <w:t>224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589D14" w14:textId="77777777" w:rsidR="000E48CE" w:rsidRDefault="00FF4C4E">
            <w:pPr>
              <w:pStyle w:val="P68B1DB1-Normal46"/>
              <w:spacing w:after="0" w:line="240" w:lineRule="auto"/>
              <w:rPr>
                <w:rFonts w:eastAsia="Times New Roman" w:cs="Times New Roman"/>
                <w:noProof/>
              </w:rPr>
            </w:pPr>
            <w:r>
              <w:rPr>
                <w:noProof/>
              </w:rPr>
              <w:t>C14.I3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8EED0B"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28A4AD" w14:textId="77777777" w:rsidR="000E48CE" w:rsidRDefault="00FF4C4E">
            <w:pPr>
              <w:pStyle w:val="P68B1DB1-Normal46"/>
              <w:spacing w:after="0" w:line="240" w:lineRule="auto"/>
              <w:rPr>
                <w:rFonts w:eastAsia="Times New Roman" w:cs="Times New Roman"/>
                <w:noProof/>
              </w:rPr>
            </w:pPr>
            <w:r>
              <w:rPr>
                <w:noProof/>
              </w:rPr>
              <w:t>Saarialueiden tuensaajat, jotka ovat saattaneet päätökseen hankkeita parantaakseen kilpailukykyään ja kykyään sopeutua kansainvälisten markkinoiden muutoksiin</w:t>
            </w:r>
          </w:p>
        </w:tc>
      </w:tr>
      <w:tr w:rsidR="000E48CE" w14:paraId="7CF46D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A9E5A0" w14:textId="77777777" w:rsidR="000E48CE" w:rsidRDefault="00FF4C4E">
            <w:pPr>
              <w:pStyle w:val="P68B1DB1-Normal46"/>
              <w:spacing w:after="0" w:line="240" w:lineRule="auto"/>
              <w:jc w:val="center"/>
              <w:rPr>
                <w:rFonts w:eastAsia="Times New Roman" w:cs="Times New Roman"/>
                <w:noProof/>
              </w:rPr>
            </w:pPr>
            <w:r>
              <w:rPr>
                <w:noProof/>
              </w:rPr>
              <w:t>226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DAE7D1" w14:textId="77777777" w:rsidR="000E48CE" w:rsidRDefault="00FF4C4E">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FC1BB6"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0BFE657" w14:textId="77777777" w:rsidR="000E48CE" w:rsidRDefault="00FF4C4E">
            <w:pPr>
              <w:pStyle w:val="P68B1DB1-Normal46"/>
              <w:spacing w:after="0" w:line="240" w:lineRule="auto"/>
              <w:rPr>
                <w:rFonts w:eastAsia="Times New Roman" w:cs="Times New Roman"/>
                <w:noProof/>
              </w:rPr>
            </w:pPr>
            <w:r>
              <w:rPr>
                <w:noProof/>
              </w:rPr>
              <w:t xml:space="preserve">Matkailustrategian mukaisesti toimitetut matkailutuotteet </w:t>
            </w:r>
          </w:p>
        </w:tc>
      </w:tr>
      <w:tr w:rsidR="000E48CE" w14:paraId="6E47BC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1B7AD0" w14:textId="77777777" w:rsidR="000E48CE" w:rsidRDefault="00FF4C4E">
            <w:pPr>
              <w:pStyle w:val="P68B1DB1-Normal46"/>
              <w:spacing w:after="0" w:line="240" w:lineRule="auto"/>
              <w:jc w:val="center"/>
              <w:rPr>
                <w:rFonts w:eastAsia="Times New Roman" w:cs="Times New Roman"/>
                <w:noProof/>
              </w:rPr>
            </w:pPr>
            <w:r>
              <w:rPr>
                <w:noProof/>
              </w:rPr>
              <w:t>227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434737" w14:textId="77777777" w:rsidR="000E48CE" w:rsidRDefault="00FF4C4E">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FF806"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AADF5D" w14:textId="77777777" w:rsidR="000E48CE" w:rsidRDefault="00FF4C4E">
            <w:pPr>
              <w:pStyle w:val="P68B1DB1-Normal46"/>
              <w:spacing w:after="0" w:line="240" w:lineRule="auto"/>
              <w:rPr>
                <w:rFonts w:eastAsia="Times New Roman" w:cs="Times New Roman"/>
                <w:noProof/>
              </w:rPr>
            </w:pPr>
            <w:r>
              <w:rPr>
                <w:noProof/>
              </w:rPr>
              <w:t>Matkailulaitokset, jotka vähentävät vuotuista jätettään tai energiankulutustaan</w:t>
            </w:r>
          </w:p>
        </w:tc>
      </w:tr>
      <w:tr w:rsidR="000E48CE" w14:paraId="00F702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2642F4" w14:textId="77777777" w:rsidR="000E48CE" w:rsidRDefault="00FF4C4E">
            <w:pPr>
              <w:pStyle w:val="P68B1DB1-Normal46"/>
              <w:spacing w:after="0" w:line="240" w:lineRule="auto"/>
              <w:jc w:val="center"/>
              <w:rPr>
                <w:rFonts w:eastAsia="Times New Roman" w:cs="Times New Roman"/>
                <w:noProof/>
              </w:rPr>
            </w:pPr>
            <w:r>
              <w:rPr>
                <w:noProof/>
              </w:rPr>
              <w:t>454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E37976" w14:textId="77777777" w:rsidR="000E48CE" w:rsidRDefault="00FF4C4E">
            <w:pPr>
              <w:pStyle w:val="P68B1DB1-Normal46"/>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B77026"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5611D7" w14:textId="77777777" w:rsidR="000E48CE" w:rsidRDefault="00FF4C4E">
            <w:pPr>
              <w:pStyle w:val="P68B1DB1-Normal46"/>
              <w:spacing w:after="0" w:line="240" w:lineRule="auto"/>
              <w:rPr>
                <w:rFonts w:eastAsia="Times New Roman" w:cs="Times New Roman"/>
                <w:noProof/>
              </w:rPr>
            </w:pPr>
            <w:r>
              <w:rPr>
                <w:noProof/>
              </w:rPr>
              <w:t xml:space="preserve">PERTE-SIRU. Tieteellisten valmiuksien, suunnittelun ja innovatiivisen valmistuksen </w:t>
            </w:r>
            <w:r>
              <w:rPr>
                <w:noProof/>
              </w:rPr>
              <w:t>vahvistaminen: palkinto</w:t>
            </w:r>
          </w:p>
        </w:tc>
      </w:tr>
      <w:tr w:rsidR="000E48CE" w14:paraId="4F27E4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326370" w14:textId="77777777" w:rsidR="000E48CE" w:rsidRDefault="00FF4C4E">
            <w:pPr>
              <w:pStyle w:val="P68B1DB1-Normal46"/>
              <w:spacing w:after="0" w:line="240" w:lineRule="auto"/>
              <w:jc w:val="center"/>
              <w:rPr>
                <w:rFonts w:eastAsia="Times New Roman" w:cs="Times New Roman"/>
                <w:noProof/>
              </w:rPr>
            </w:pPr>
            <w:r>
              <w:rPr>
                <w:noProof/>
              </w:rPr>
              <w:t>322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1D8B0D" w14:textId="77777777" w:rsidR="000E48CE" w:rsidRDefault="00FF4C4E">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6C5C32"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19C859" w14:textId="77777777" w:rsidR="000E48CE" w:rsidRDefault="00FF4C4E">
            <w:pPr>
              <w:pStyle w:val="P68B1DB1-Normal46"/>
              <w:spacing w:after="0" w:line="240" w:lineRule="auto"/>
              <w:rPr>
                <w:rFonts w:eastAsia="Times New Roman" w:cs="Times New Roman"/>
                <w:noProof/>
              </w:rPr>
            </w:pPr>
            <w:r>
              <w:rPr>
                <w:noProof/>
              </w:rPr>
              <w:t xml:space="preserve">Kotihoitopalvelut itsehallinto- ja hoivajärjestelmässä (SAAD) </w:t>
            </w:r>
          </w:p>
        </w:tc>
      </w:tr>
      <w:tr w:rsidR="000E48CE" w14:paraId="2BD085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2C51" w14:textId="77777777" w:rsidR="000E48CE" w:rsidRDefault="00FF4C4E">
            <w:pPr>
              <w:pStyle w:val="P68B1DB1-Normal46"/>
              <w:spacing w:after="0" w:line="240" w:lineRule="auto"/>
              <w:jc w:val="center"/>
              <w:rPr>
                <w:rFonts w:eastAsia="Times New Roman" w:cs="Times New Roman"/>
                <w:noProof/>
              </w:rPr>
            </w:pPr>
            <w:r>
              <w:rPr>
                <w:noProof/>
              </w:rPr>
              <w:t>349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C0362" w14:textId="77777777" w:rsidR="000E48CE" w:rsidRDefault="00FF4C4E">
            <w:pPr>
              <w:pStyle w:val="P68B1DB1-Normal46"/>
              <w:spacing w:after="0" w:line="240" w:lineRule="auto"/>
              <w:rPr>
                <w:rFonts w:eastAsia="Times New Roman" w:cs="Times New Roman"/>
                <w:noProof/>
              </w:rPr>
            </w:pPr>
            <w:r>
              <w:rPr>
                <w:noProof/>
              </w:rPr>
              <w:t>C23.I6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4A85EA"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004E81" w14:textId="77777777" w:rsidR="000E48CE" w:rsidRDefault="00FF4C4E">
            <w:pPr>
              <w:pStyle w:val="P68B1DB1-Normal46"/>
              <w:spacing w:after="0" w:line="240" w:lineRule="auto"/>
              <w:rPr>
                <w:rFonts w:eastAsia="Times New Roman" w:cs="Times New Roman"/>
                <w:noProof/>
              </w:rPr>
            </w:pPr>
            <w:r>
              <w:rPr>
                <w:noProof/>
              </w:rPr>
              <w:t>Loppuun saatetut yhteisötalouden hankkeet</w:t>
            </w:r>
          </w:p>
        </w:tc>
      </w:tr>
      <w:tr w:rsidR="000E48CE" w14:paraId="26AB80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96BE06" w14:textId="77777777" w:rsidR="000E48CE" w:rsidRDefault="00FF4C4E">
            <w:pPr>
              <w:pStyle w:val="P68B1DB1-Normal46"/>
              <w:spacing w:after="0" w:line="240" w:lineRule="auto"/>
              <w:jc w:val="center"/>
              <w:rPr>
                <w:rFonts w:eastAsia="Times New Roman" w:cs="Times New Roman"/>
                <w:noProof/>
              </w:rPr>
            </w:pPr>
            <w:r>
              <w:rPr>
                <w:noProof/>
              </w:rPr>
              <w:t>481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04F154" w14:textId="77777777" w:rsidR="000E48CE" w:rsidRDefault="00FF4C4E">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AAF4D1"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07EAC79" w14:textId="380AEDAC" w:rsidR="000E48CE" w:rsidRDefault="00FF4C4E">
            <w:pPr>
              <w:pStyle w:val="P68B1DB1-Normal46"/>
              <w:spacing w:after="0" w:line="240" w:lineRule="auto"/>
              <w:rPr>
                <w:rFonts w:eastAsia="Times New Roman" w:cs="Times New Roman"/>
                <w:noProof/>
              </w:rPr>
            </w:pPr>
            <w:r>
              <w:rPr>
                <w:noProof/>
              </w:rPr>
              <w:t xml:space="preserve">Uusiutuvan vedyn tukijärjestelmä: Lopullisten edunsaajien kanssa allekirjoitetut oikeudelliset sopimukset tai lopulliset myöntämispäätökset julkaistu (I) </w:t>
            </w:r>
          </w:p>
        </w:tc>
      </w:tr>
      <w:tr w:rsidR="000E48CE" w14:paraId="3EAB09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788F44" w14:textId="77777777" w:rsidR="000E48CE" w:rsidRDefault="00FF4C4E">
            <w:pPr>
              <w:pStyle w:val="P68B1DB1-Normal46"/>
              <w:spacing w:after="0" w:line="240" w:lineRule="auto"/>
              <w:jc w:val="center"/>
              <w:rPr>
                <w:rFonts w:eastAsia="Times New Roman" w:cs="Times New Roman"/>
                <w:noProof/>
              </w:rPr>
            </w:pPr>
            <w:r>
              <w:rPr>
                <w:noProof/>
              </w:rPr>
              <w:t>485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CDAED" w14:textId="77777777" w:rsidR="000E48CE" w:rsidRDefault="00FF4C4E">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78AEA"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692486" w14:textId="01CAB80E" w:rsidR="000E48CE" w:rsidRDefault="00FF4C4E">
            <w:pPr>
              <w:pStyle w:val="P68B1DB1-Normal46"/>
              <w:spacing w:after="0" w:line="240" w:lineRule="auto"/>
              <w:rPr>
                <w:rFonts w:eastAsia="Times New Roman" w:cs="Times New Roman"/>
                <w:noProof/>
              </w:rPr>
            </w:pPr>
            <w:r>
              <w:rPr>
                <w:noProof/>
              </w:rPr>
              <w:t>Arvoketjun tukijärjestelmä: Lopullisten edunsaajien kanssa allekirjoitetut oikeudellise</w:t>
            </w:r>
            <w:r>
              <w:rPr>
                <w:noProof/>
              </w:rPr>
              <w:t>t sopimukset tai lopulliset myöntämispäätökset julkaistu (I)</w:t>
            </w:r>
          </w:p>
        </w:tc>
      </w:tr>
      <w:tr w:rsidR="000E48CE" w14:paraId="59EB8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2EAFE"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5DDAA8"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9A2458" w14:textId="5E36F691" w:rsidR="000E48CE" w:rsidRDefault="00FF4C4E">
            <w:pPr>
              <w:pStyle w:val="P68B1DB1-Normal45"/>
              <w:spacing w:after="0" w:line="240" w:lineRule="auto"/>
              <w:rPr>
                <w:rFonts w:eastAsia="Times New Roman" w:cs="Times New Roman"/>
                <w:noProof/>
              </w:rPr>
            </w:pPr>
            <w:r>
              <w:rPr>
                <w:noProof/>
              </w:rPr>
              <w:t>Erän 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0F81F" w14:textId="4349DCD0" w:rsidR="000E48CE" w:rsidRDefault="00FF4C4E">
            <w:pPr>
              <w:pStyle w:val="P68B1DB1-Normal45"/>
              <w:spacing w:after="0" w:line="240" w:lineRule="auto"/>
              <w:rPr>
                <w:rFonts w:eastAsia="Times New Roman" w:cs="Times New Roman"/>
                <w:noProof/>
              </w:rPr>
            </w:pPr>
            <w:r>
              <w:rPr>
                <w:noProof/>
              </w:rPr>
              <w:t>VÄHIMMÄISPÄÄOMA: 573787087 EUROA</w:t>
            </w:r>
          </w:p>
        </w:tc>
      </w:tr>
    </w:tbl>
    <w:p w14:paraId="718EA2A7" w14:textId="77777777" w:rsidR="000E48CE" w:rsidRDefault="000E48CE">
      <w:pPr>
        <w:spacing w:before="120" w:after="120" w:line="240" w:lineRule="auto"/>
        <w:jc w:val="both"/>
        <w:rPr>
          <w:rFonts w:ascii="Times New Roman" w:eastAsia="Calibri" w:hAnsi="Times New Roman" w:cs="Times New Roman"/>
          <w:noProof/>
          <w:sz w:val="24"/>
        </w:rPr>
      </w:pPr>
    </w:p>
    <w:p w14:paraId="0802D0D7"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Yhdeksäs erä (tuki, jota ei makseta takaisin): </w:t>
      </w:r>
    </w:p>
    <w:tbl>
      <w:tblPr>
        <w:tblW w:w="9605" w:type="dxa"/>
        <w:tblInd w:w="113" w:type="dxa"/>
        <w:tblLook w:val="04A0" w:firstRow="1" w:lastRow="0" w:firstColumn="1" w:lastColumn="0" w:noHBand="0" w:noVBand="1"/>
      </w:tblPr>
      <w:tblGrid>
        <w:gridCol w:w="1300"/>
        <w:gridCol w:w="1443"/>
        <w:gridCol w:w="1783"/>
        <w:gridCol w:w="5612"/>
      </w:tblGrid>
      <w:tr w:rsidR="000E48CE" w14:paraId="5CE0D0D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F12786F"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2A31A3C"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6323675"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12" w:type="dxa"/>
            <w:vMerge w:val="restart"/>
            <w:tcBorders>
              <w:top w:val="single" w:sz="4" w:space="0" w:color="auto"/>
              <w:left w:val="nil"/>
              <w:bottom w:val="single" w:sz="4" w:space="0" w:color="000000"/>
              <w:right w:val="single" w:sz="4" w:space="0" w:color="auto"/>
            </w:tcBorders>
            <w:shd w:val="clear" w:color="auto" w:fill="BDD7EE"/>
            <w:vAlign w:val="center"/>
            <w:hideMark/>
          </w:tcPr>
          <w:p w14:paraId="3F5FE4FF"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2D9C987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7B8CFE0"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80BA34F"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0184ECDD" w14:textId="77777777" w:rsidR="000E48CE" w:rsidRDefault="000E48CE">
            <w:pPr>
              <w:spacing w:after="0" w:line="240" w:lineRule="auto"/>
              <w:rPr>
                <w:rFonts w:ascii="Times New Roman" w:eastAsia="Times New Roman" w:hAnsi="Times New Roman" w:cs="Times New Roman"/>
                <w:b/>
                <w:noProof/>
                <w:sz w:val="20"/>
              </w:rPr>
            </w:pPr>
          </w:p>
        </w:tc>
        <w:tc>
          <w:tcPr>
            <w:tcW w:w="5612" w:type="dxa"/>
            <w:vMerge/>
            <w:tcBorders>
              <w:top w:val="single" w:sz="4" w:space="0" w:color="auto"/>
              <w:left w:val="nil"/>
              <w:bottom w:val="single" w:sz="4" w:space="0" w:color="000000"/>
              <w:right w:val="single" w:sz="4" w:space="0" w:color="auto"/>
            </w:tcBorders>
            <w:vAlign w:val="center"/>
            <w:hideMark/>
          </w:tcPr>
          <w:p w14:paraId="637F819F" w14:textId="77777777" w:rsidR="000E48CE" w:rsidRDefault="000E48CE">
            <w:pPr>
              <w:spacing w:after="0" w:line="240" w:lineRule="auto"/>
              <w:rPr>
                <w:rFonts w:ascii="Times New Roman" w:eastAsia="Times New Roman" w:hAnsi="Times New Roman" w:cs="Times New Roman"/>
                <w:b/>
                <w:noProof/>
                <w:sz w:val="20"/>
              </w:rPr>
            </w:pPr>
          </w:p>
        </w:tc>
      </w:tr>
      <w:tr w:rsidR="000E48CE" w14:paraId="120AD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91DB27" w14:textId="77777777" w:rsidR="000E48CE" w:rsidRDefault="00FF4C4E">
            <w:pPr>
              <w:pStyle w:val="P68B1DB1-Normal46"/>
              <w:spacing w:after="0" w:line="240" w:lineRule="auto"/>
              <w:jc w:val="center"/>
              <w:rPr>
                <w:rFonts w:eastAsia="Times New Roman" w:cs="Times New Roman"/>
                <w:noProof/>
              </w:rPr>
            </w:pPr>
            <w:r>
              <w:rPr>
                <w:noProof/>
              </w:rPr>
              <w:t>417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9163C6" w14:textId="77777777" w:rsidR="000E48CE" w:rsidRDefault="00FF4C4E">
            <w:pPr>
              <w:pStyle w:val="P68B1DB1-Normal46"/>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AD7F77"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FFDE96" w14:textId="77777777" w:rsidR="000E48CE" w:rsidRDefault="00FF4C4E">
            <w:pPr>
              <w:pStyle w:val="P68B1DB1-Normal46"/>
              <w:spacing w:after="0" w:line="240" w:lineRule="auto"/>
              <w:rPr>
                <w:rFonts w:eastAsia="Times New Roman" w:cs="Times New Roman"/>
                <w:noProof/>
              </w:rPr>
            </w:pPr>
            <w:r>
              <w:rPr>
                <w:noProof/>
              </w:rPr>
              <w:t xml:space="preserve">Ohjelmistosovelluksen kehittäminen liikenneinfrastruktuuri-investointien kustannus-hyötyanalyysin täytäntöönpanoa varten </w:t>
            </w:r>
          </w:p>
        </w:tc>
      </w:tr>
      <w:tr w:rsidR="000E48CE" w14:paraId="3C80F1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6521A" w14:textId="77777777" w:rsidR="000E48CE" w:rsidRDefault="00FF4C4E">
            <w:pPr>
              <w:pStyle w:val="P68B1DB1-Normal46"/>
              <w:spacing w:after="0" w:line="240" w:lineRule="auto"/>
              <w:jc w:val="center"/>
              <w:rPr>
                <w:rFonts w:eastAsia="Times New Roman" w:cs="Times New Roman"/>
                <w:noProof/>
              </w:rPr>
            </w:pPr>
            <w:r>
              <w:rPr>
                <w:noProof/>
              </w:rPr>
              <w:t>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38719C" w14:textId="77777777" w:rsidR="000E48CE" w:rsidRDefault="00FF4C4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6B3010"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81F86BF" w14:textId="77777777" w:rsidR="000E48CE" w:rsidRDefault="00FF4C4E">
            <w:pPr>
              <w:pStyle w:val="P68B1DB1-Normal46"/>
              <w:spacing w:after="0" w:line="240" w:lineRule="auto"/>
              <w:rPr>
                <w:rFonts w:eastAsia="Times New Roman" w:cs="Times New Roman"/>
                <w:noProof/>
              </w:rPr>
            </w:pPr>
            <w:r>
              <w:rPr>
                <w:noProof/>
              </w:rPr>
              <w:t>Kestävää liikkuvuutta edistävät hankkeet, myös kaupunki- ja suurkaupunkialueilla</w:t>
            </w:r>
          </w:p>
        </w:tc>
      </w:tr>
      <w:tr w:rsidR="000E48CE" w14:paraId="443B56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CEF532" w14:textId="77777777" w:rsidR="000E48CE" w:rsidRDefault="00FF4C4E">
            <w:pPr>
              <w:pStyle w:val="P68B1DB1-Normal46"/>
              <w:spacing w:after="0" w:line="240" w:lineRule="auto"/>
              <w:jc w:val="center"/>
              <w:rPr>
                <w:rFonts w:eastAsia="Times New Roman" w:cs="Times New Roman"/>
                <w:noProof/>
              </w:rPr>
            </w:pPr>
            <w:r>
              <w:rPr>
                <w:noProof/>
              </w:rPr>
              <w:t>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14F56" w14:textId="77777777" w:rsidR="000E48CE" w:rsidRDefault="00FF4C4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6D7DB7"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97CCFC3" w14:textId="77777777" w:rsidR="000E48CE" w:rsidRDefault="00FF4C4E">
            <w:pPr>
              <w:pStyle w:val="P68B1DB1-Normal46"/>
              <w:spacing w:after="0" w:line="240" w:lineRule="auto"/>
              <w:rPr>
                <w:rFonts w:eastAsia="Times New Roman" w:cs="Times New Roman"/>
                <w:noProof/>
              </w:rPr>
            </w:pPr>
            <w:r>
              <w:rPr>
                <w:noProof/>
              </w:rPr>
              <w:t>Kaupunkialueiden valtionteitä</w:t>
            </w:r>
            <w:r>
              <w:rPr>
                <w:noProof/>
              </w:rPr>
              <w:t xml:space="preserve"> on parannettu uusien liikkumismuotojen edistämiseksi</w:t>
            </w:r>
          </w:p>
        </w:tc>
      </w:tr>
      <w:tr w:rsidR="000E48CE" w14:paraId="79C6A18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70D8FD" w14:textId="77777777" w:rsidR="000E48CE" w:rsidRDefault="00FF4C4E">
            <w:pPr>
              <w:pStyle w:val="P68B1DB1-Normal46"/>
              <w:spacing w:after="0" w:line="240" w:lineRule="auto"/>
              <w:jc w:val="center"/>
              <w:rPr>
                <w:rFonts w:eastAsia="Times New Roman" w:cs="Times New Roman"/>
                <w:noProof/>
              </w:rPr>
            </w:pPr>
            <w:r>
              <w:rPr>
                <w:noProof/>
              </w:rPr>
              <w:t>419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413FE0" w14:textId="77777777" w:rsidR="000E48CE" w:rsidRDefault="00FF4C4E">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3C1F4F"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A89F69C" w14:textId="77777777" w:rsidR="000E48CE" w:rsidRDefault="00FF4C4E">
            <w:pPr>
              <w:pStyle w:val="P68B1DB1-Normal46"/>
              <w:spacing w:after="0" w:line="240" w:lineRule="auto"/>
              <w:rPr>
                <w:rFonts w:eastAsia="Times New Roman" w:cs="Times New Roman"/>
                <w:noProof/>
              </w:rPr>
            </w:pPr>
            <w:r>
              <w:rPr>
                <w:noProof/>
              </w:rPr>
              <w:t>Sähkökäyttöiset ajoneuvot ja latauspisteet</w:t>
            </w:r>
          </w:p>
        </w:tc>
      </w:tr>
      <w:tr w:rsidR="000E48CE" w14:paraId="54C957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E9BBE" w14:textId="77777777" w:rsidR="000E48CE" w:rsidRDefault="00FF4C4E">
            <w:pPr>
              <w:pStyle w:val="P68B1DB1-Normal46"/>
              <w:spacing w:after="0" w:line="240" w:lineRule="auto"/>
              <w:jc w:val="center"/>
              <w:rPr>
                <w:rFonts w:eastAsia="Times New Roman" w:cs="Times New Roman"/>
                <w:noProof/>
              </w:rPr>
            </w:pPr>
            <w:r>
              <w:rPr>
                <w:noProof/>
              </w:rPr>
              <w:t>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19A5C3" w14:textId="77777777" w:rsidR="000E48CE" w:rsidRDefault="00FF4C4E">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F8E63B"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4A54EB6" w14:textId="77777777" w:rsidR="000E48CE" w:rsidRDefault="00FF4C4E">
            <w:pPr>
              <w:pStyle w:val="P68B1DB1-Normal46"/>
              <w:spacing w:after="0" w:line="240" w:lineRule="auto"/>
              <w:rPr>
                <w:rFonts w:eastAsia="Times New Roman" w:cs="Times New Roman"/>
                <w:noProof/>
              </w:rPr>
            </w:pPr>
            <w:r>
              <w:rPr>
                <w:noProof/>
              </w:rPr>
              <w:t>Sähköistä liikkuvuutta edistävien innovatiivisten hankkeiden loppuun saattaminen</w:t>
            </w:r>
          </w:p>
        </w:tc>
      </w:tr>
      <w:tr w:rsidR="000E48CE" w14:paraId="156FB5E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1E50" w14:textId="77777777" w:rsidR="000E48CE" w:rsidRDefault="00FF4C4E">
            <w:pPr>
              <w:pStyle w:val="P68B1DB1-Normal46"/>
              <w:spacing w:after="0" w:line="240" w:lineRule="auto"/>
              <w:jc w:val="center"/>
              <w:rPr>
                <w:rFonts w:eastAsia="Times New Roman" w:cs="Times New Roman"/>
                <w:noProof/>
              </w:rPr>
            </w:pPr>
            <w:r>
              <w:rPr>
                <w:noProof/>
              </w:rPr>
              <w:t>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F0B1BD" w14:textId="77777777" w:rsidR="000E48CE" w:rsidRDefault="00FF4C4E">
            <w:pPr>
              <w:pStyle w:val="P68B1DB1-Normal46"/>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DF6EDC"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EACC78A" w14:textId="77777777" w:rsidR="000E48CE" w:rsidRDefault="00FF4C4E">
            <w:pPr>
              <w:pStyle w:val="P68B1DB1-Normal46"/>
              <w:spacing w:after="0" w:line="240" w:lineRule="auto"/>
              <w:rPr>
                <w:rFonts w:eastAsia="Times New Roman" w:cs="Times New Roman"/>
                <w:noProof/>
              </w:rPr>
            </w:pPr>
            <w:r>
              <w:rPr>
                <w:noProof/>
              </w:rPr>
              <w:t xml:space="preserve">Suojellut merialueet </w:t>
            </w:r>
          </w:p>
        </w:tc>
      </w:tr>
      <w:tr w:rsidR="000E48CE" w14:paraId="265823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A21E4E" w14:textId="77777777" w:rsidR="000E48CE" w:rsidRDefault="00FF4C4E">
            <w:pPr>
              <w:pStyle w:val="P68B1DB1-Normal46"/>
              <w:spacing w:after="0" w:line="240" w:lineRule="auto"/>
              <w:jc w:val="center"/>
              <w:rPr>
                <w:rFonts w:eastAsia="Times New Roman" w:cs="Times New Roman"/>
                <w:noProof/>
              </w:rPr>
            </w:pPr>
            <w:r>
              <w:rPr>
                <w:noProof/>
              </w:rPr>
              <w:t>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7189CD" w14:textId="77777777" w:rsidR="000E48CE" w:rsidRDefault="00FF4C4E">
            <w:pPr>
              <w:pStyle w:val="P68B1DB1-Normal46"/>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C053DE"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65E2FAF" w14:textId="77777777" w:rsidR="000E48CE" w:rsidRDefault="00FF4C4E">
            <w:pPr>
              <w:pStyle w:val="P68B1DB1-Normal46"/>
              <w:spacing w:after="0" w:line="240" w:lineRule="auto"/>
              <w:rPr>
                <w:rFonts w:eastAsia="Times New Roman" w:cs="Times New Roman"/>
                <w:noProof/>
              </w:rPr>
            </w:pPr>
            <w:r>
              <w:rPr>
                <w:noProof/>
              </w:rPr>
              <w:t xml:space="preserve">Ekosysteemien ennallistamistoimet </w:t>
            </w:r>
          </w:p>
        </w:tc>
      </w:tr>
      <w:tr w:rsidR="000E48CE" w14:paraId="70D7F4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5F06D6" w14:textId="75E6CD12" w:rsidR="000E48CE" w:rsidRDefault="00FF4C4E">
            <w:pPr>
              <w:pStyle w:val="P68B1DB1-Normal46"/>
              <w:spacing w:after="0" w:line="240" w:lineRule="auto"/>
              <w:jc w:val="center"/>
              <w:rPr>
                <w:rFonts w:eastAsia="Times New Roman" w:cs="Times New Roman"/>
                <w:noProof/>
              </w:rPr>
            </w:pPr>
            <w:r>
              <w:rPr>
                <w:noProof/>
              </w:rPr>
              <w:t>81b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E961409" w14:textId="77777777" w:rsidR="000E48CE" w:rsidRDefault="00FF4C4E">
            <w:pPr>
              <w:pStyle w:val="P68B1DB1-Normal46"/>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8B8460"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207F3" w14:textId="3725EB2D" w:rsidR="000E48CE" w:rsidRDefault="00FF4C4E">
            <w:pPr>
              <w:pStyle w:val="P68B1DB1-Normal46"/>
              <w:spacing w:after="0" w:line="240" w:lineRule="auto"/>
              <w:rPr>
                <w:rFonts w:eastAsia="Times New Roman" w:cs="Times New Roman"/>
                <w:noProof/>
              </w:rPr>
            </w:pPr>
            <w:r>
              <w:rPr>
                <w:noProof/>
              </w:rPr>
              <w:t>Huonontuneiden alueiden ja ekosysteemien ennallistaminen vähintään 145 kilometrin päähän rannikosta</w:t>
            </w:r>
          </w:p>
        </w:tc>
      </w:tr>
      <w:tr w:rsidR="000E48CE" w14:paraId="584576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CBE30A" w14:textId="77777777" w:rsidR="000E48CE" w:rsidRDefault="00FF4C4E">
            <w:pPr>
              <w:pStyle w:val="P68B1DB1-Normal46"/>
              <w:spacing w:after="0" w:line="240" w:lineRule="auto"/>
              <w:jc w:val="center"/>
              <w:rPr>
                <w:rFonts w:eastAsia="Times New Roman" w:cs="Times New Roman"/>
                <w:noProof/>
              </w:rPr>
            </w:pPr>
            <w:r>
              <w:rPr>
                <w:noProof/>
              </w:rPr>
              <w:t>119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D1B8F2" w14:textId="77777777" w:rsidR="000E48CE" w:rsidRDefault="00FF4C4E">
            <w:pPr>
              <w:pStyle w:val="P68B1DB1-Normal46"/>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0EC3D"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163AF36" w14:textId="77777777" w:rsidR="000E48CE" w:rsidRDefault="00FF4C4E">
            <w:pPr>
              <w:pStyle w:val="P68B1DB1-Normal46"/>
              <w:spacing w:after="0" w:line="240" w:lineRule="auto"/>
              <w:rPr>
                <w:rFonts w:eastAsia="Times New Roman" w:cs="Times New Roman"/>
                <w:noProof/>
              </w:rPr>
            </w:pPr>
            <w:r>
              <w:rPr>
                <w:noProof/>
              </w:rPr>
              <w:t>Saarten energiasiirtymää tukevien hankkeiden loppuun saattaminen</w:t>
            </w:r>
          </w:p>
        </w:tc>
      </w:tr>
      <w:tr w:rsidR="000E48CE" w14:paraId="6C041C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BD8069D" w14:textId="77777777" w:rsidR="000E48CE" w:rsidRDefault="00FF4C4E">
            <w:pPr>
              <w:pStyle w:val="P68B1DB1-Normal46"/>
              <w:spacing w:after="0" w:line="240" w:lineRule="auto"/>
              <w:jc w:val="center"/>
              <w:rPr>
                <w:rFonts w:eastAsia="Times New Roman" w:cs="Times New Roman"/>
                <w:noProof/>
              </w:rPr>
            </w:pPr>
            <w:r>
              <w:rPr>
                <w:noProof/>
              </w:rPr>
              <w:t>141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82C067" w14:textId="77777777" w:rsidR="000E48CE" w:rsidRDefault="00FF4C4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1C0391"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5C1847B" w14:textId="77777777" w:rsidR="000E48CE" w:rsidRDefault="00FF4C4E">
            <w:pPr>
              <w:pStyle w:val="P68B1DB1-Normal46"/>
              <w:spacing w:after="0" w:line="240" w:lineRule="auto"/>
              <w:rPr>
                <w:rFonts w:eastAsia="Times New Roman" w:cs="Times New Roman"/>
                <w:noProof/>
              </w:rPr>
            </w:pPr>
            <w:r>
              <w:rPr>
                <w:noProof/>
              </w:rPr>
              <w:t xml:space="preserve">Työttömien työnhakuneuvonta ja uudelleenkoulutus </w:t>
            </w:r>
          </w:p>
        </w:tc>
      </w:tr>
      <w:tr w:rsidR="000E48CE" w14:paraId="53B761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B32A7A" w14:textId="77777777" w:rsidR="000E48CE" w:rsidRDefault="00FF4C4E">
            <w:pPr>
              <w:pStyle w:val="P68B1DB1-Normal46"/>
              <w:spacing w:after="0" w:line="240" w:lineRule="auto"/>
              <w:jc w:val="center"/>
              <w:rPr>
                <w:rFonts w:eastAsia="Times New Roman" w:cs="Times New Roman"/>
                <w:noProof/>
              </w:rPr>
            </w:pPr>
            <w:r>
              <w:rPr>
                <w:noProof/>
              </w:rPr>
              <w:t>142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17B8A" w14:textId="77777777" w:rsidR="000E48CE" w:rsidRDefault="00FF4C4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D224A"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3963D3" w14:textId="77777777" w:rsidR="000E48CE" w:rsidRDefault="00FF4C4E">
            <w:pPr>
              <w:pStyle w:val="P68B1DB1-Normal46"/>
              <w:spacing w:after="0" w:line="240" w:lineRule="auto"/>
              <w:rPr>
                <w:rFonts w:eastAsia="Times New Roman" w:cs="Times New Roman"/>
                <w:noProof/>
              </w:rPr>
            </w:pPr>
            <w:r>
              <w:rPr>
                <w:noProof/>
              </w:rPr>
              <w:t>Investointihankkeet, joilla mukautetaan teollisuuslaitoksia vihreää vetyä ja energian varastointia varten.</w:t>
            </w:r>
          </w:p>
        </w:tc>
      </w:tr>
      <w:tr w:rsidR="000E48CE" w14:paraId="3F6618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265E80" w14:textId="77777777" w:rsidR="000E48CE" w:rsidRDefault="00FF4C4E">
            <w:pPr>
              <w:pStyle w:val="P68B1DB1-Normal46"/>
              <w:spacing w:after="0" w:line="240" w:lineRule="auto"/>
              <w:jc w:val="center"/>
              <w:rPr>
                <w:rFonts w:eastAsia="Times New Roman" w:cs="Times New Roman"/>
                <w:noProof/>
              </w:rPr>
            </w:pPr>
            <w:r>
              <w:rPr>
                <w:noProof/>
              </w:rPr>
              <w:t>162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042D25" w14:textId="77777777" w:rsidR="000E48CE" w:rsidRDefault="00FF4C4E">
            <w:pPr>
              <w:pStyle w:val="P68B1DB1-Normal46"/>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449359"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D58BEE" w14:textId="77777777" w:rsidR="000E48CE" w:rsidRDefault="00FF4C4E">
            <w:pPr>
              <w:pStyle w:val="P68B1DB1-Normal46"/>
              <w:spacing w:after="0" w:line="240" w:lineRule="auto"/>
              <w:rPr>
                <w:rFonts w:eastAsia="Times New Roman" w:cs="Times New Roman"/>
                <w:noProof/>
              </w:rPr>
            </w:pPr>
            <w:r>
              <w:rPr>
                <w:noProof/>
              </w:rPr>
              <w:t xml:space="preserve">Keskushallinnon digitalisaatiota tukevien hankkeiden loppuun </w:t>
            </w:r>
            <w:r>
              <w:rPr>
                <w:noProof/>
              </w:rPr>
              <w:t>saattaminen</w:t>
            </w:r>
          </w:p>
        </w:tc>
      </w:tr>
      <w:tr w:rsidR="000E48CE" w14:paraId="1B35F4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B5AED2" w14:textId="77777777" w:rsidR="000E48CE" w:rsidRDefault="00FF4C4E">
            <w:pPr>
              <w:pStyle w:val="P68B1DB1-Normal46"/>
              <w:spacing w:after="0" w:line="240" w:lineRule="auto"/>
              <w:jc w:val="center"/>
              <w:rPr>
                <w:rFonts w:eastAsia="Times New Roman" w:cs="Times New Roman"/>
                <w:noProof/>
              </w:rPr>
            </w:pPr>
            <w:r>
              <w:rPr>
                <w:noProof/>
              </w:rPr>
              <w:t>166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00910C" w14:textId="77777777" w:rsidR="000E48CE" w:rsidRDefault="00FF4C4E">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C93C46"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21A04C5" w14:textId="77777777" w:rsidR="000E48CE" w:rsidRDefault="00FF4C4E">
            <w:pPr>
              <w:pStyle w:val="P68B1DB1-Normal46"/>
              <w:spacing w:after="0" w:line="240" w:lineRule="auto"/>
              <w:rPr>
                <w:rFonts w:eastAsia="Times New Roman" w:cs="Times New Roman"/>
                <w:noProof/>
              </w:rPr>
            </w:pPr>
            <w:r>
              <w:rPr>
                <w:noProof/>
              </w:rPr>
              <w:t>Julkishallinnon digitalisaatiota edistäviä hankkeita tukevien hankkeiden loppuun saattaminen</w:t>
            </w:r>
          </w:p>
        </w:tc>
      </w:tr>
      <w:tr w:rsidR="000E48CE" w14:paraId="0C2A75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CD58C" w14:textId="77777777" w:rsidR="000E48CE" w:rsidRDefault="00FF4C4E">
            <w:pPr>
              <w:pStyle w:val="P68B1DB1-Normal46"/>
              <w:spacing w:after="0" w:line="240" w:lineRule="auto"/>
              <w:jc w:val="center"/>
              <w:rPr>
                <w:rFonts w:eastAsia="Times New Roman" w:cs="Times New Roman"/>
                <w:noProof/>
              </w:rPr>
            </w:pPr>
            <w:r>
              <w:rPr>
                <w:noProof/>
              </w:rPr>
              <w:t>441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C9516C" w14:textId="77777777" w:rsidR="000E48CE" w:rsidRDefault="00FF4C4E">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575ED"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4C9C8D5" w14:textId="77777777" w:rsidR="000E48CE" w:rsidRDefault="00FF4C4E">
            <w:pPr>
              <w:pStyle w:val="P68B1DB1-Normal46"/>
              <w:spacing w:after="0" w:line="240" w:lineRule="auto"/>
              <w:rPr>
                <w:rFonts w:eastAsia="Times New Roman" w:cs="Times New Roman"/>
                <w:noProof/>
              </w:rPr>
            </w:pPr>
            <w:r>
              <w:rPr>
                <w:noProof/>
              </w:rPr>
              <w:t>Toiseen kiertotalouspakettiin kuuluvien säädösten voimaantulo</w:t>
            </w:r>
          </w:p>
        </w:tc>
      </w:tr>
      <w:tr w:rsidR="000E48CE" w14:paraId="267360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D7C191" w14:textId="77777777" w:rsidR="000E48CE" w:rsidRDefault="00FF4C4E">
            <w:pPr>
              <w:pStyle w:val="P68B1DB1-Normal46"/>
              <w:spacing w:after="0" w:line="240" w:lineRule="auto"/>
              <w:jc w:val="center"/>
              <w:rPr>
                <w:rFonts w:eastAsia="Times New Roman" w:cs="Times New Roman"/>
                <w:noProof/>
              </w:rPr>
            </w:pPr>
            <w:r>
              <w:rPr>
                <w:noProof/>
              </w:rPr>
              <w:t>447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9AA79" w14:textId="77777777" w:rsidR="000E48CE" w:rsidRDefault="00FF4C4E">
            <w:pPr>
              <w:pStyle w:val="P68B1DB1-Normal46"/>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DB2C8"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5407FCB" w14:textId="77777777" w:rsidR="000E48CE" w:rsidRDefault="00FF4C4E">
            <w:pPr>
              <w:pStyle w:val="P68B1DB1-Normal46"/>
              <w:spacing w:after="0" w:line="240" w:lineRule="auto"/>
              <w:rPr>
                <w:rFonts w:eastAsia="Times New Roman" w:cs="Times New Roman"/>
                <w:noProof/>
              </w:rPr>
            </w:pPr>
            <w:r>
              <w:rPr>
                <w:noProof/>
              </w:rPr>
              <w:t xml:space="preserve">Kiertotalouden tukijärjestelmä: Lopullisten </w:t>
            </w:r>
            <w:r>
              <w:rPr>
                <w:noProof/>
              </w:rPr>
              <w:t>edunsaajien kanssa allekirjoitetut oikeudelliset sopimukset tai lopulliset myöntämispäätökset julkaistu</w:t>
            </w:r>
          </w:p>
        </w:tc>
      </w:tr>
      <w:tr w:rsidR="000E48CE" w14:paraId="6DD267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3B42C7" w14:textId="77777777" w:rsidR="000E48CE" w:rsidRDefault="00FF4C4E">
            <w:pPr>
              <w:pStyle w:val="P68B1DB1-Normal46"/>
              <w:spacing w:after="0" w:line="240" w:lineRule="auto"/>
              <w:jc w:val="center"/>
              <w:rPr>
                <w:rFonts w:eastAsia="Times New Roman" w:cs="Times New Roman"/>
                <w:noProof/>
              </w:rPr>
            </w:pPr>
            <w:r>
              <w:rPr>
                <w:noProof/>
              </w:rPr>
              <w:t>449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7DAB02" w14:textId="77777777" w:rsidR="000E48CE" w:rsidRDefault="00FF4C4E">
            <w:pPr>
              <w:pStyle w:val="P68B1DB1-Normal46"/>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60F9F"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61FA76" w14:textId="77777777" w:rsidR="000E48CE" w:rsidRDefault="00FF4C4E">
            <w:pPr>
              <w:pStyle w:val="P68B1DB1-Normal46"/>
              <w:spacing w:after="0" w:line="240" w:lineRule="auto"/>
              <w:rPr>
                <w:rFonts w:eastAsia="Times New Roman" w:cs="Times New Roman"/>
                <w:noProof/>
              </w:rPr>
            </w:pPr>
            <w:r>
              <w:rPr>
                <w:noProof/>
              </w:rPr>
              <w:t>Kilpailun suojaamisesta annettuun lakiin ja sen asetuksiin tehtyjen muutosten voimaantulo</w:t>
            </w:r>
          </w:p>
        </w:tc>
      </w:tr>
      <w:tr w:rsidR="000E48CE" w14:paraId="3D9270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D74D84" w14:textId="77777777" w:rsidR="000E48CE" w:rsidRDefault="00FF4C4E">
            <w:pPr>
              <w:pStyle w:val="P68B1DB1-Normal46"/>
              <w:spacing w:after="0" w:line="240" w:lineRule="auto"/>
              <w:jc w:val="center"/>
              <w:rPr>
                <w:rFonts w:eastAsia="Times New Roman" w:cs="Times New Roman"/>
                <w:noProof/>
              </w:rPr>
            </w:pPr>
            <w:r>
              <w:rPr>
                <w:noProof/>
              </w:rPr>
              <w:t>208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C59758"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4BF55E"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D10EE4A" w14:textId="77777777" w:rsidR="000E48CE" w:rsidRDefault="00FF4C4E">
            <w:pPr>
              <w:pStyle w:val="P68B1DB1-Normal46"/>
              <w:spacing w:after="0" w:line="240" w:lineRule="auto"/>
              <w:rPr>
                <w:rFonts w:eastAsia="Times New Roman" w:cs="Times New Roman"/>
                <w:noProof/>
              </w:rPr>
            </w:pPr>
            <w:r>
              <w:rPr>
                <w:noProof/>
              </w:rPr>
              <w:t xml:space="preserve">Digitaalinen työkalupakki </w:t>
            </w:r>
            <w:r>
              <w:rPr>
                <w:noProof/>
              </w:rPr>
              <w:t>-ohjelman loppuun saattaminen</w:t>
            </w:r>
          </w:p>
        </w:tc>
      </w:tr>
      <w:tr w:rsidR="000E48CE" w14:paraId="240FC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E8A89B" w14:textId="77777777" w:rsidR="000E48CE" w:rsidRDefault="00FF4C4E">
            <w:pPr>
              <w:pStyle w:val="P68B1DB1-Normal46"/>
              <w:spacing w:after="0" w:line="240" w:lineRule="auto"/>
              <w:jc w:val="center"/>
              <w:rPr>
                <w:rFonts w:eastAsia="Times New Roman" w:cs="Times New Roman"/>
                <w:noProof/>
              </w:rPr>
            </w:pPr>
            <w:r>
              <w:rPr>
                <w:noProof/>
              </w:rPr>
              <w:t>209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910FC" w14:textId="77777777" w:rsidR="000E48CE" w:rsidRDefault="00FF4C4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2D62BF"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8321301" w14:textId="77777777" w:rsidR="000E48CE" w:rsidRDefault="00FF4C4E">
            <w:pPr>
              <w:pStyle w:val="P68B1DB1-Normal46"/>
              <w:spacing w:after="0" w:line="240" w:lineRule="auto"/>
              <w:rPr>
                <w:rFonts w:eastAsia="Times New Roman" w:cs="Times New Roman"/>
                <w:noProof/>
              </w:rPr>
            </w:pPr>
            <w:r>
              <w:rPr>
                <w:noProof/>
              </w:rPr>
              <w:t>Pk-yritykset, jotka ovat toteuttaneet toimia digitaaliteknologian käytön lisäämiseksi (pl. digitaalinen työkalupakki)</w:t>
            </w:r>
          </w:p>
        </w:tc>
      </w:tr>
      <w:tr w:rsidR="000E48CE" w14:paraId="0C39C88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CA39BF" w14:textId="77777777" w:rsidR="000E48CE" w:rsidRDefault="00FF4C4E">
            <w:pPr>
              <w:pStyle w:val="P68B1DB1-Normal46"/>
              <w:spacing w:after="0" w:line="240" w:lineRule="auto"/>
              <w:jc w:val="center"/>
              <w:rPr>
                <w:rFonts w:eastAsia="Times New Roman" w:cs="Times New Roman"/>
                <w:noProof/>
              </w:rPr>
            </w:pPr>
            <w:r>
              <w:rPr>
                <w:noProof/>
              </w:rPr>
              <w:t>237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15FB20" w14:textId="77777777" w:rsidR="000E48CE" w:rsidRDefault="00FF4C4E">
            <w:pPr>
              <w:pStyle w:val="P68B1DB1-Normal46"/>
              <w:spacing w:after="0" w:line="240" w:lineRule="auto"/>
              <w:rPr>
                <w:rFonts w:eastAsia="Times New Roman" w:cs="Times New Roman"/>
                <w:noProof/>
              </w:rPr>
            </w:pPr>
            <w:r>
              <w:rPr>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4FD0F0"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C0F90FB" w14:textId="77777777" w:rsidR="000E48CE" w:rsidRDefault="00FF4C4E">
            <w:pPr>
              <w:pStyle w:val="P68B1DB1-Normal46"/>
              <w:spacing w:after="0" w:line="240" w:lineRule="auto"/>
              <w:rPr>
                <w:rFonts w:eastAsia="Times New Roman" w:cs="Times New Roman"/>
                <w:noProof/>
              </w:rPr>
            </w:pPr>
            <w:r>
              <w:rPr>
                <w:noProof/>
              </w:rPr>
              <w:t>Ultranopean laajakaistan käyttöönotto: Hankkeen loppuun saattaminen</w:t>
            </w:r>
          </w:p>
        </w:tc>
      </w:tr>
      <w:tr w:rsidR="000E48CE" w14:paraId="1112D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CE8044" w14:textId="77777777" w:rsidR="000E48CE" w:rsidRDefault="00FF4C4E">
            <w:pPr>
              <w:pStyle w:val="P68B1DB1-Normal46"/>
              <w:spacing w:after="0" w:line="240" w:lineRule="auto"/>
              <w:jc w:val="center"/>
              <w:rPr>
                <w:rFonts w:eastAsia="Times New Roman" w:cs="Times New Roman"/>
                <w:noProof/>
              </w:rPr>
            </w:pPr>
            <w:r>
              <w:rPr>
                <w:noProof/>
              </w:rPr>
              <w:t>281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1B8466" w14:textId="77777777" w:rsidR="000E48CE" w:rsidRDefault="00FF4C4E">
            <w:pPr>
              <w:pStyle w:val="P68B1DB1-Normal46"/>
              <w:spacing w:after="0" w:line="240" w:lineRule="auto"/>
              <w:rPr>
                <w:rFonts w:eastAsia="Times New Roman" w:cs="Times New Roman"/>
                <w:noProof/>
              </w:rPr>
            </w:pPr>
            <w:r>
              <w:rPr>
                <w:noProof/>
              </w:rPr>
              <w:t>C18.I3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B312C6"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2E407FA" w14:textId="77777777" w:rsidR="000E48CE" w:rsidRDefault="00FF4C4E">
            <w:pPr>
              <w:pStyle w:val="P68B1DB1-Normal46"/>
              <w:spacing w:after="0" w:line="240" w:lineRule="auto"/>
              <w:rPr>
                <w:rFonts w:eastAsia="Times New Roman" w:cs="Times New Roman"/>
                <w:noProof/>
              </w:rPr>
            </w:pPr>
            <w:r>
              <w:rPr>
                <w:noProof/>
              </w:rPr>
              <w:t>Kansanterveyden seurantaverkoston tietojärjestelmä</w:t>
            </w:r>
          </w:p>
        </w:tc>
      </w:tr>
      <w:tr w:rsidR="000E48CE" w14:paraId="3DD39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E95AEC" w14:textId="77777777" w:rsidR="000E48CE" w:rsidRDefault="00FF4C4E">
            <w:pPr>
              <w:pStyle w:val="P68B1DB1-Normal46"/>
              <w:spacing w:after="0" w:line="240" w:lineRule="auto"/>
              <w:jc w:val="center"/>
              <w:rPr>
                <w:rFonts w:eastAsia="Times New Roman" w:cs="Times New Roman"/>
                <w:noProof/>
              </w:rPr>
            </w:pPr>
            <w:r>
              <w:rPr>
                <w:noProof/>
              </w:rPr>
              <w:t>466a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51DD5D" w14:textId="77777777" w:rsidR="000E48CE" w:rsidRDefault="00FF4C4E">
            <w:pPr>
              <w:pStyle w:val="P68B1DB1-Normal46"/>
              <w:spacing w:after="0" w:line="240" w:lineRule="auto"/>
              <w:rPr>
                <w:rFonts w:eastAsia="Times New Roman" w:cs="Times New Roman"/>
                <w:noProof/>
              </w:rPr>
            </w:pPr>
            <w:r>
              <w:rPr>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A5F328"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E0C1D" w14:textId="77777777" w:rsidR="000E48CE" w:rsidRDefault="00FF4C4E">
            <w:pPr>
              <w:pStyle w:val="P68B1DB1-Normal46"/>
              <w:spacing w:after="0" w:line="240" w:lineRule="auto"/>
              <w:rPr>
                <w:rFonts w:eastAsia="Times New Roman" w:cs="Times New Roman"/>
                <w:noProof/>
              </w:rPr>
            </w:pPr>
            <w:r>
              <w:rPr>
                <w:noProof/>
              </w:rPr>
              <w:t>Massadatan käsittelyhankkeet</w:t>
            </w:r>
          </w:p>
        </w:tc>
      </w:tr>
      <w:tr w:rsidR="000E48CE" w14:paraId="4FE0AA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A5038F" w14:textId="77777777" w:rsidR="000E48CE" w:rsidRDefault="00FF4C4E">
            <w:pPr>
              <w:pStyle w:val="P68B1DB1-Normal46"/>
              <w:spacing w:after="0" w:line="240" w:lineRule="auto"/>
              <w:jc w:val="center"/>
              <w:rPr>
                <w:rFonts w:eastAsia="Times New Roman" w:cs="Times New Roman"/>
                <w:noProof/>
              </w:rPr>
            </w:pPr>
            <w:r>
              <w:rPr>
                <w:noProof/>
              </w:rPr>
              <w:t>290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68C58" w14:textId="77777777" w:rsidR="000E48CE" w:rsidRDefault="00FF4C4E">
            <w:pPr>
              <w:pStyle w:val="P68B1DB1-Normal46"/>
              <w:spacing w:after="0" w:line="240" w:lineRule="auto"/>
              <w:rPr>
                <w:rFonts w:eastAsia="Times New Roman" w:cs="Times New Roman"/>
                <w:noProof/>
              </w:rPr>
            </w:pPr>
            <w:r>
              <w:rPr>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C2EE7F"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A4478F2" w14:textId="77777777" w:rsidR="000E48CE" w:rsidRDefault="00FF4C4E">
            <w:pPr>
              <w:pStyle w:val="P68B1DB1-Normal46"/>
              <w:spacing w:after="0" w:line="240" w:lineRule="auto"/>
              <w:rPr>
                <w:rFonts w:eastAsia="Times New Roman" w:cs="Times New Roman"/>
                <w:noProof/>
              </w:rPr>
            </w:pPr>
            <w:r>
              <w:rPr>
                <w:noProof/>
              </w:rPr>
              <w:t>Koulutuksen digitalisaatiota koskevien toimien loppuun saattaminen</w:t>
            </w:r>
          </w:p>
        </w:tc>
      </w:tr>
      <w:tr w:rsidR="000E48CE" w14:paraId="3C8703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D320D" w14:textId="77777777" w:rsidR="000E48CE" w:rsidRDefault="00FF4C4E">
            <w:pPr>
              <w:pStyle w:val="P68B1DB1-Normal46"/>
              <w:spacing w:after="0" w:line="240" w:lineRule="auto"/>
              <w:jc w:val="center"/>
              <w:rPr>
                <w:rFonts w:eastAsia="Times New Roman" w:cs="Times New Roman"/>
                <w:noProof/>
              </w:rPr>
            </w:pPr>
            <w:r>
              <w:rPr>
                <w:noProof/>
              </w:rPr>
              <w:t>291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761CB4" w14:textId="77777777" w:rsidR="000E48CE" w:rsidRDefault="00FF4C4E">
            <w:pPr>
              <w:pStyle w:val="P68B1DB1-Normal46"/>
              <w:spacing w:after="0" w:line="240" w:lineRule="auto"/>
              <w:rPr>
                <w:rFonts w:eastAsia="Times New Roman" w:cs="Times New Roman"/>
                <w:noProof/>
              </w:rPr>
            </w:pPr>
            <w:r>
              <w:rPr>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237E228"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4EBFE49" w14:textId="77777777" w:rsidR="000E48CE" w:rsidRDefault="00FF4C4E">
            <w:pPr>
              <w:pStyle w:val="P68B1DB1-Normal46"/>
              <w:spacing w:after="0" w:line="240" w:lineRule="auto"/>
              <w:rPr>
                <w:rFonts w:eastAsia="Times New Roman" w:cs="Times New Roman"/>
                <w:noProof/>
              </w:rPr>
            </w:pPr>
            <w:r>
              <w:rPr>
                <w:noProof/>
              </w:rPr>
              <w:t xml:space="preserve">Verkkoon liitettyjen digitaalisten laitteiden tarjoaminen </w:t>
            </w:r>
            <w:r>
              <w:rPr>
                <w:noProof/>
              </w:rPr>
              <w:t>julkisissa ja julkisesti tuetuissa kouluissa ”digitaalisen kuilun” kaventamiseksi ja vähintään 240000 luokkahuoneen varustamiseksi</w:t>
            </w:r>
          </w:p>
        </w:tc>
      </w:tr>
      <w:tr w:rsidR="000E48CE" w14:paraId="7D093C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2C115" w14:textId="77777777" w:rsidR="000E48CE" w:rsidRDefault="00FF4C4E">
            <w:pPr>
              <w:pStyle w:val="P68B1DB1-Normal46"/>
              <w:spacing w:after="0" w:line="240" w:lineRule="auto"/>
              <w:jc w:val="center"/>
              <w:rPr>
                <w:rFonts w:eastAsia="Times New Roman" w:cs="Times New Roman"/>
                <w:noProof/>
              </w:rPr>
            </w:pPr>
            <w:r>
              <w:rPr>
                <w:noProof/>
              </w:rPr>
              <w:t>294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D5FFB2" w14:textId="77777777" w:rsidR="000E48CE" w:rsidRDefault="00FF4C4E">
            <w:pPr>
              <w:pStyle w:val="P68B1DB1-Normal46"/>
              <w:spacing w:after="0" w:line="240" w:lineRule="auto"/>
              <w:rPr>
                <w:rFonts w:eastAsia="Times New Roman" w:cs="Times New Roman"/>
                <w:noProof/>
              </w:rPr>
            </w:pPr>
            <w:r>
              <w:rPr>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BF2AEE"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DEA914" w14:textId="77777777" w:rsidR="000E48CE" w:rsidRDefault="00FF4C4E">
            <w:pPr>
              <w:pStyle w:val="P68B1DB1-Normal46"/>
              <w:spacing w:after="0" w:line="240" w:lineRule="auto"/>
              <w:rPr>
                <w:rFonts w:eastAsia="Times New Roman" w:cs="Times New Roman"/>
                <w:noProof/>
              </w:rPr>
            </w:pPr>
            <w:r>
              <w:rPr>
                <w:noProof/>
              </w:rPr>
              <w:t>Tietotekniikka-alan ammattilaisten koulutus</w:t>
            </w:r>
          </w:p>
        </w:tc>
      </w:tr>
      <w:tr w:rsidR="000E48CE" w14:paraId="5A6389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52C6F8" w14:textId="77777777" w:rsidR="000E48CE" w:rsidRDefault="00FF4C4E">
            <w:pPr>
              <w:pStyle w:val="P68B1DB1-Normal46"/>
              <w:spacing w:after="0" w:line="240" w:lineRule="auto"/>
              <w:jc w:val="center"/>
              <w:rPr>
                <w:rFonts w:eastAsia="Times New Roman" w:cs="Times New Roman"/>
                <w:noProof/>
              </w:rPr>
            </w:pPr>
            <w:r>
              <w:rPr>
                <w:noProof/>
              </w:rPr>
              <w:t>297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A8141A" w14:textId="77777777" w:rsidR="000E48CE" w:rsidRDefault="00FF4C4E">
            <w:pPr>
              <w:pStyle w:val="P68B1DB1-Normal46"/>
              <w:spacing w:after="0" w:line="240" w:lineRule="auto"/>
              <w:rPr>
                <w:rFonts w:eastAsia="Times New Roman" w:cs="Times New Roman"/>
                <w:noProof/>
              </w:rPr>
            </w:pPr>
            <w:r>
              <w:rPr>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7F487"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10C92AC" w14:textId="77777777" w:rsidR="000E48CE" w:rsidRDefault="00FF4C4E">
            <w:pPr>
              <w:pStyle w:val="P68B1DB1-Normal46"/>
              <w:spacing w:after="0" w:line="240" w:lineRule="auto"/>
              <w:rPr>
                <w:rFonts w:eastAsia="Times New Roman" w:cs="Times New Roman"/>
                <w:noProof/>
              </w:rPr>
            </w:pPr>
            <w:r>
              <w:rPr>
                <w:noProof/>
              </w:rPr>
              <w:t xml:space="preserve">Kansallisen ammattipätevyysluettelon uudet osaamisyksiköt </w:t>
            </w:r>
          </w:p>
        </w:tc>
      </w:tr>
      <w:tr w:rsidR="000E48CE" w14:paraId="06F7D6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A79C15" w14:textId="77777777" w:rsidR="000E48CE" w:rsidRDefault="00FF4C4E">
            <w:pPr>
              <w:pStyle w:val="P68B1DB1-Normal46"/>
              <w:spacing w:after="0" w:line="240" w:lineRule="auto"/>
              <w:jc w:val="center"/>
              <w:rPr>
                <w:rFonts w:eastAsia="Times New Roman" w:cs="Times New Roman"/>
                <w:noProof/>
              </w:rPr>
            </w:pPr>
            <w:r>
              <w:rPr>
                <w:noProof/>
              </w:rPr>
              <w:t>467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BAC12" w14:textId="77777777" w:rsidR="000E48CE" w:rsidRDefault="00FF4C4E">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A4EB3C"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5E11537" w14:textId="77777777" w:rsidR="000E48CE" w:rsidRDefault="00FF4C4E">
            <w:pPr>
              <w:pStyle w:val="P68B1DB1-Normal46"/>
              <w:spacing w:after="0" w:line="240" w:lineRule="auto"/>
              <w:rPr>
                <w:rFonts w:eastAsia="Times New Roman" w:cs="Times New Roman"/>
                <w:noProof/>
              </w:rPr>
            </w:pPr>
            <w:r>
              <w:rPr>
                <w:noProof/>
              </w:rPr>
              <w:t>Luokkahuoneiden muuntaminen sovelletuiksi teknologiatiloiksi</w:t>
            </w:r>
          </w:p>
        </w:tc>
      </w:tr>
      <w:tr w:rsidR="000E48CE" w14:paraId="504ADD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F4E9E" w14:textId="77777777" w:rsidR="000E48CE" w:rsidRDefault="00FF4C4E">
            <w:pPr>
              <w:pStyle w:val="P68B1DB1-Normal46"/>
              <w:spacing w:after="0" w:line="240" w:lineRule="auto"/>
              <w:jc w:val="center"/>
              <w:rPr>
                <w:rFonts w:eastAsia="Times New Roman" w:cs="Times New Roman"/>
                <w:noProof/>
              </w:rPr>
            </w:pPr>
            <w:r>
              <w:rPr>
                <w:noProof/>
              </w:rPr>
              <w:t>302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7EA5A" w14:textId="77777777" w:rsidR="000E48CE" w:rsidRDefault="00FF4C4E">
            <w:pPr>
              <w:pStyle w:val="P68B1DB1-Normal46"/>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D64859"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6A26D5F" w14:textId="77777777" w:rsidR="000E48CE" w:rsidRDefault="00FF4C4E">
            <w:pPr>
              <w:pStyle w:val="P68B1DB1-Normal46"/>
              <w:spacing w:after="0" w:line="240" w:lineRule="auto"/>
              <w:rPr>
                <w:rFonts w:eastAsia="Times New Roman" w:cs="Times New Roman"/>
                <w:noProof/>
              </w:rPr>
            </w:pPr>
            <w:r>
              <w:rPr>
                <w:noProof/>
              </w:rPr>
              <w:t>Uusia ammatillisen koulutuksen paikkoja verrattuna vuoden 2020 loppuun</w:t>
            </w:r>
          </w:p>
        </w:tc>
      </w:tr>
      <w:tr w:rsidR="000E48CE" w14:paraId="1EBEA7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F528D" w14:textId="77777777" w:rsidR="000E48CE" w:rsidRDefault="00FF4C4E">
            <w:pPr>
              <w:pStyle w:val="P68B1DB1-Normal46"/>
              <w:spacing w:after="0" w:line="240" w:lineRule="auto"/>
              <w:jc w:val="center"/>
              <w:rPr>
                <w:rFonts w:eastAsia="Times New Roman" w:cs="Times New Roman"/>
                <w:noProof/>
              </w:rPr>
            </w:pPr>
            <w:r>
              <w:rPr>
                <w:noProof/>
              </w:rPr>
              <w:t>309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DEDDB6" w14:textId="77777777" w:rsidR="000E48CE" w:rsidRDefault="00FF4C4E">
            <w:pPr>
              <w:pStyle w:val="P68B1DB1-Normal46"/>
              <w:spacing w:after="0" w:line="240" w:lineRule="auto"/>
              <w:rPr>
                <w:rFonts w:eastAsia="Times New Roman" w:cs="Times New Roman"/>
                <w:noProof/>
              </w:rPr>
            </w:pPr>
            <w:r>
              <w:rPr>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EC7DF0"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0A82C78" w14:textId="77777777" w:rsidR="000E48CE" w:rsidRDefault="00FF4C4E">
            <w:pPr>
              <w:pStyle w:val="P68B1DB1-Normal46"/>
              <w:spacing w:after="0" w:line="240" w:lineRule="auto"/>
              <w:rPr>
                <w:rFonts w:eastAsia="Times New Roman" w:cs="Times New Roman"/>
                <w:noProof/>
              </w:rPr>
            </w:pPr>
            <w:r>
              <w:rPr>
                <w:noProof/>
              </w:rPr>
              <w:t xml:space="preserve">Uusia paikkoja varhaiskasvatuksen ensimmäiseen sykliin </w:t>
            </w:r>
          </w:p>
        </w:tc>
      </w:tr>
      <w:tr w:rsidR="000E48CE" w14:paraId="2F5D86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1692A" w14:textId="77777777" w:rsidR="000E48CE" w:rsidRDefault="00FF4C4E">
            <w:pPr>
              <w:pStyle w:val="P68B1DB1-Normal46"/>
              <w:spacing w:after="0" w:line="240" w:lineRule="auto"/>
              <w:jc w:val="center"/>
              <w:rPr>
                <w:rFonts w:eastAsia="Times New Roman" w:cs="Times New Roman"/>
                <w:noProof/>
              </w:rPr>
            </w:pPr>
            <w:r>
              <w:rPr>
                <w:noProof/>
              </w:rPr>
              <w:t>325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9C2109" w14:textId="77777777" w:rsidR="000E48CE" w:rsidRDefault="00FF4C4E">
            <w:pPr>
              <w:pStyle w:val="P68B1DB1-Normal46"/>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AC39A0"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B2B836B" w14:textId="77777777" w:rsidR="000E48CE" w:rsidRDefault="00FF4C4E">
            <w:pPr>
              <w:pStyle w:val="P68B1DB1-Normal46"/>
              <w:spacing w:after="0" w:line="240" w:lineRule="auto"/>
              <w:rPr>
                <w:rFonts w:eastAsia="Times New Roman" w:cs="Times New Roman"/>
                <w:noProof/>
              </w:rPr>
            </w:pPr>
            <w:r>
              <w:rPr>
                <w:noProof/>
              </w:rPr>
              <w:t xml:space="preserve">Sosiaalipalvelujen teknologista muutosta sekä asuin- ja sijaisperheisiin liittyvien infrastruktuurien ja palvelujen nykyaikaistamista koskevien hankkeiden loppuun saattaminen </w:t>
            </w:r>
          </w:p>
        </w:tc>
      </w:tr>
      <w:tr w:rsidR="000E48CE" w14:paraId="5AAF8C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0FD5E6" w14:textId="77777777" w:rsidR="000E48CE" w:rsidRDefault="00FF4C4E">
            <w:pPr>
              <w:pStyle w:val="P68B1DB1-Normal46"/>
              <w:spacing w:after="0" w:line="240" w:lineRule="auto"/>
              <w:jc w:val="center"/>
              <w:rPr>
                <w:rFonts w:eastAsia="Times New Roman" w:cs="Times New Roman"/>
                <w:noProof/>
              </w:rPr>
            </w:pPr>
            <w:r>
              <w:rPr>
                <w:noProof/>
              </w:rPr>
              <w:t>471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8DB16C" w14:textId="77777777" w:rsidR="000E48CE" w:rsidRDefault="00FF4C4E">
            <w:pPr>
              <w:pStyle w:val="P68B1DB1-Normal46"/>
              <w:spacing w:after="0" w:line="240" w:lineRule="auto"/>
              <w:rPr>
                <w:rFonts w:eastAsia="Times New Roman" w:cs="Times New Roman"/>
                <w:noProof/>
              </w:rPr>
            </w:pPr>
            <w:r>
              <w:rPr>
                <w:noProof/>
              </w:rPr>
              <w:t>C22.I</w:t>
            </w:r>
            <w:r>
              <w:rPr>
                <w:noProof/>
              </w:rPr>
              <w:t>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C400B"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E91CE99" w14:textId="77777777" w:rsidR="000E48CE" w:rsidRDefault="00FF4C4E">
            <w:pPr>
              <w:pStyle w:val="P68B1DB1-Normal46"/>
              <w:spacing w:after="0" w:line="240" w:lineRule="auto"/>
              <w:rPr>
                <w:rFonts w:eastAsia="Times New Roman" w:cs="Times New Roman"/>
                <w:noProof/>
              </w:rPr>
            </w:pPr>
            <w:r>
              <w:rPr>
                <w:noProof/>
              </w:rPr>
              <w:t>Pilottihankkeiden toteuttaminen</w:t>
            </w:r>
          </w:p>
        </w:tc>
      </w:tr>
      <w:tr w:rsidR="000E48CE" w14:paraId="7D1282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BEA65C" w14:textId="77777777" w:rsidR="000E48CE" w:rsidRDefault="00FF4C4E">
            <w:pPr>
              <w:pStyle w:val="P68B1DB1-Normal46"/>
              <w:spacing w:after="0" w:line="240" w:lineRule="auto"/>
              <w:jc w:val="center"/>
              <w:rPr>
                <w:rFonts w:eastAsia="Times New Roman" w:cs="Times New Roman"/>
                <w:noProof/>
              </w:rPr>
            </w:pPr>
            <w:r>
              <w:rPr>
                <w:noProof/>
              </w:rPr>
              <w:t>472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00E2B9" w14:textId="77777777" w:rsidR="000E48CE" w:rsidRDefault="00FF4C4E">
            <w:pPr>
              <w:pStyle w:val="P68B1DB1-Normal46"/>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06C21A"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35132B1" w14:textId="77777777" w:rsidR="000E48CE" w:rsidRDefault="00FF4C4E">
            <w:pPr>
              <w:pStyle w:val="P68B1DB1-Normal46"/>
              <w:spacing w:after="0" w:line="240" w:lineRule="auto"/>
              <w:rPr>
                <w:rFonts w:eastAsia="Times New Roman" w:cs="Times New Roman"/>
                <w:noProof/>
              </w:rPr>
            </w:pPr>
            <w:r>
              <w:rPr>
                <w:noProof/>
              </w:rPr>
              <w:t>Investoinnit puhelin- ja verkkopalveluihin naisiin kohdistuvan väkivallan uhrien tukemiseksi</w:t>
            </w:r>
          </w:p>
        </w:tc>
      </w:tr>
      <w:tr w:rsidR="000E48CE" w14:paraId="406432F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2805D0" w14:textId="77777777" w:rsidR="000E48CE" w:rsidRDefault="00FF4C4E">
            <w:pPr>
              <w:pStyle w:val="P68B1DB1-Normal46"/>
              <w:spacing w:after="0" w:line="240" w:lineRule="auto"/>
              <w:jc w:val="center"/>
              <w:rPr>
                <w:rFonts w:eastAsia="Times New Roman" w:cs="Times New Roman"/>
                <w:noProof/>
              </w:rPr>
            </w:pPr>
            <w:r>
              <w:rPr>
                <w:noProof/>
              </w:rPr>
              <w:t>342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73D041" w14:textId="77777777" w:rsidR="000E48CE" w:rsidRDefault="00FF4C4E">
            <w:pPr>
              <w:pStyle w:val="P68B1DB1-Normal46"/>
              <w:spacing w:after="0" w:line="240" w:lineRule="auto"/>
              <w:rPr>
                <w:rFonts w:eastAsia="Times New Roman" w:cs="Times New Roman"/>
                <w:noProof/>
              </w:rPr>
            </w:pPr>
            <w:r>
              <w:rPr>
                <w:noProof/>
              </w:rPr>
              <w:t>C23.I1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0949B3"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5D03B6" w14:textId="77777777" w:rsidR="000E48CE" w:rsidRDefault="00FF4C4E">
            <w:pPr>
              <w:pStyle w:val="P68B1DB1-Normal46"/>
              <w:spacing w:after="0" w:line="240" w:lineRule="auto"/>
              <w:rPr>
                <w:rFonts w:eastAsia="Times New Roman" w:cs="Times New Roman"/>
                <w:noProof/>
              </w:rPr>
            </w:pPr>
            <w:r>
              <w:rPr>
                <w:noProof/>
              </w:rPr>
              <w:t xml:space="preserve">Nuoret, jotka ovat suorittaneet nuoriso-ohjelman. </w:t>
            </w:r>
          </w:p>
        </w:tc>
      </w:tr>
      <w:tr w:rsidR="000E48CE" w14:paraId="17BB2E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04E488" w14:textId="77777777" w:rsidR="000E48CE" w:rsidRDefault="00FF4C4E">
            <w:pPr>
              <w:pStyle w:val="P68B1DB1-Normal46"/>
              <w:spacing w:after="0" w:line="240" w:lineRule="auto"/>
              <w:jc w:val="center"/>
              <w:rPr>
                <w:rFonts w:eastAsia="Times New Roman" w:cs="Times New Roman"/>
                <w:noProof/>
              </w:rPr>
            </w:pPr>
            <w:r>
              <w:rPr>
                <w:noProof/>
              </w:rPr>
              <w:t>343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C02054" w14:textId="77777777" w:rsidR="000E48CE" w:rsidRDefault="00FF4C4E">
            <w:pPr>
              <w:pStyle w:val="P68B1DB1-Normal46"/>
              <w:spacing w:after="0" w:line="240" w:lineRule="auto"/>
              <w:rPr>
                <w:rFonts w:eastAsia="Times New Roman" w:cs="Times New Roman"/>
                <w:noProof/>
              </w:rPr>
            </w:pPr>
            <w:r>
              <w:rPr>
                <w:noProof/>
              </w:rPr>
              <w:t>C23.I2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51813"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A995768" w14:textId="77777777" w:rsidR="000E48CE" w:rsidRDefault="00FF4C4E">
            <w:pPr>
              <w:pStyle w:val="P68B1DB1-Normal46"/>
              <w:spacing w:after="0" w:line="240" w:lineRule="auto"/>
              <w:rPr>
                <w:rFonts w:eastAsia="Times New Roman" w:cs="Times New Roman"/>
                <w:noProof/>
              </w:rPr>
            </w:pPr>
            <w:r>
              <w:rPr>
                <w:noProof/>
              </w:rPr>
              <w:t xml:space="preserve">”Plan Empleo Mujer, maaseutu- ja </w:t>
            </w:r>
            <w:r>
              <w:rPr>
                <w:noProof/>
              </w:rPr>
              <w:t>kaupunkialueet” -ohjelman sekä sukupuoliväkivallan ja inhimillisen liikenteen uhreja koskevan ohjelman suorittaneet</w:t>
            </w:r>
          </w:p>
        </w:tc>
      </w:tr>
      <w:tr w:rsidR="000E48CE" w14:paraId="10C7A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E2EA44" w14:textId="77777777" w:rsidR="000E48CE" w:rsidRDefault="00FF4C4E">
            <w:pPr>
              <w:pStyle w:val="P68B1DB1-Normal46"/>
              <w:spacing w:after="0" w:line="240" w:lineRule="auto"/>
              <w:jc w:val="center"/>
              <w:rPr>
                <w:rFonts w:eastAsia="Times New Roman" w:cs="Times New Roman"/>
                <w:noProof/>
              </w:rPr>
            </w:pPr>
            <w:r>
              <w:rPr>
                <w:noProof/>
              </w:rPr>
              <w:t>344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41ECFF" w14:textId="77777777" w:rsidR="000E48CE" w:rsidRDefault="00FF4C4E">
            <w:pPr>
              <w:pStyle w:val="P68B1DB1-Normal46"/>
              <w:spacing w:after="0" w:line="240" w:lineRule="auto"/>
              <w:rPr>
                <w:rFonts w:eastAsia="Times New Roman" w:cs="Times New Roman"/>
                <w:noProof/>
              </w:rPr>
            </w:pPr>
            <w:r>
              <w:rPr>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2DD89E"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BDBF80C" w14:textId="77777777" w:rsidR="000E48CE" w:rsidRDefault="00FF4C4E">
            <w:pPr>
              <w:pStyle w:val="P68B1DB1-Normal46"/>
              <w:spacing w:after="0" w:line="240" w:lineRule="auto"/>
              <w:rPr>
                <w:rFonts w:eastAsia="Times New Roman" w:cs="Times New Roman"/>
                <w:noProof/>
              </w:rPr>
            </w:pPr>
            <w:r>
              <w:rPr>
                <w:noProof/>
              </w:rPr>
              <w:t xml:space="preserve">Ihmiset, jotka ovat suorittaneet koulutusohjelmat hankkiakseen taitoja digitaalista, ekologista ja tuotannollista muutosta </w:t>
            </w:r>
            <w:r>
              <w:rPr>
                <w:noProof/>
              </w:rPr>
              <w:t>varten</w:t>
            </w:r>
          </w:p>
        </w:tc>
      </w:tr>
      <w:tr w:rsidR="000E48CE" w14:paraId="229C56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1B4744" w14:textId="77777777" w:rsidR="000E48CE" w:rsidRDefault="00FF4C4E">
            <w:pPr>
              <w:pStyle w:val="P68B1DB1-Normal46"/>
              <w:spacing w:after="0" w:line="240" w:lineRule="auto"/>
              <w:jc w:val="center"/>
              <w:rPr>
                <w:rFonts w:eastAsia="Times New Roman" w:cs="Times New Roman"/>
                <w:noProof/>
              </w:rPr>
            </w:pPr>
            <w:r>
              <w:rPr>
                <w:noProof/>
              </w:rPr>
              <w:t>420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89CC53" w14:textId="77777777" w:rsidR="000E48CE" w:rsidRDefault="00FF4C4E">
            <w:pPr>
              <w:pStyle w:val="P68B1DB1-Normal46"/>
              <w:spacing w:after="0" w:line="240" w:lineRule="auto"/>
              <w:rPr>
                <w:rFonts w:eastAsia="Times New Roman" w:cs="Times New Roman"/>
                <w:noProof/>
              </w:rPr>
            </w:pPr>
            <w:r>
              <w:rPr>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707714"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94F589" w14:textId="77777777" w:rsidR="000E48CE" w:rsidRDefault="00FF4C4E">
            <w:pPr>
              <w:pStyle w:val="P68B1DB1-Normal46"/>
              <w:spacing w:after="0" w:line="240" w:lineRule="auto"/>
              <w:rPr>
                <w:rFonts w:eastAsia="Times New Roman" w:cs="Times New Roman"/>
                <w:noProof/>
              </w:rPr>
            </w:pPr>
            <w:r>
              <w:rPr>
                <w:noProof/>
              </w:rPr>
              <w:t>Osaamistarpeiden havaitseminen tutkimusohjelman avulla</w:t>
            </w:r>
          </w:p>
        </w:tc>
      </w:tr>
      <w:tr w:rsidR="000E48CE" w14:paraId="38ACC6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A581AE" w14:textId="77777777" w:rsidR="000E48CE" w:rsidRDefault="00FF4C4E">
            <w:pPr>
              <w:pStyle w:val="P68B1DB1-Normal46"/>
              <w:spacing w:after="0" w:line="240" w:lineRule="auto"/>
              <w:jc w:val="center"/>
              <w:rPr>
                <w:rFonts w:eastAsia="Times New Roman" w:cs="Times New Roman"/>
                <w:noProof/>
              </w:rPr>
            </w:pPr>
            <w:r>
              <w:rPr>
                <w:noProof/>
              </w:rPr>
              <w:t>356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6CE567" w14:textId="77777777" w:rsidR="000E48CE" w:rsidRDefault="00FF4C4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A95731"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982C42D" w14:textId="77777777" w:rsidR="000E48CE" w:rsidRDefault="00FF4C4E">
            <w:pPr>
              <w:pStyle w:val="P68B1DB1-Normal46"/>
              <w:spacing w:after="0" w:line="240" w:lineRule="auto"/>
              <w:rPr>
                <w:rFonts w:eastAsia="Times New Roman" w:cs="Times New Roman"/>
                <w:noProof/>
              </w:rPr>
            </w:pPr>
            <w:r>
              <w:rPr>
                <w:noProof/>
              </w:rPr>
              <w:t>Espanjan kulttuuriperinnön säilyttäminen, restaurointi ja vaaliminen</w:t>
            </w:r>
          </w:p>
        </w:tc>
      </w:tr>
      <w:tr w:rsidR="000E48CE" w14:paraId="1F8BAF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56084A" w14:textId="77777777" w:rsidR="000E48CE" w:rsidRDefault="00FF4C4E">
            <w:pPr>
              <w:pStyle w:val="P68B1DB1-Normal46"/>
              <w:spacing w:after="0" w:line="240" w:lineRule="auto"/>
              <w:jc w:val="center"/>
              <w:rPr>
                <w:rFonts w:eastAsia="Times New Roman" w:cs="Times New Roman"/>
                <w:noProof/>
              </w:rPr>
            </w:pPr>
            <w:r>
              <w:rPr>
                <w:noProof/>
              </w:rPr>
              <w:t>370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8F054" w14:textId="77777777" w:rsidR="000E48CE" w:rsidRDefault="00FF4C4E">
            <w:pPr>
              <w:pStyle w:val="P68B1DB1-Normal46"/>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787A25"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2F296B0" w14:textId="77777777" w:rsidR="000E48CE" w:rsidRDefault="00FF4C4E">
            <w:pPr>
              <w:pStyle w:val="P68B1DB1-Normal46"/>
              <w:spacing w:after="0" w:line="240" w:lineRule="auto"/>
              <w:rPr>
                <w:rFonts w:eastAsia="Times New Roman" w:cs="Times New Roman"/>
                <w:noProof/>
              </w:rPr>
            </w:pPr>
            <w:r>
              <w:rPr>
                <w:noProof/>
              </w:rPr>
              <w:t>Urheilualan digitalisointi</w:t>
            </w:r>
          </w:p>
        </w:tc>
      </w:tr>
      <w:tr w:rsidR="000E48CE" w14:paraId="4E96EB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8ADF7" w14:textId="77777777" w:rsidR="000E48CE" w:rsidRDefault="00FF4C4E">
            <w:pPr>
              <w:pStyle w:val="P68B1DB1-Normal46"/>
              <w:spacing w:after="0" w:line="240" w:lineRule="auto"/>
              <w:jc w:val="center"/>
              <w:rPr>
                <w:rFonts w:eastAsia="Times New Roman" w:cs="Times New Roman"/>
                <w:noProof/>
              </w:rPr>
            </w:pPr>
            <w:r>
              <w:rPr>
                <w:noProof/>
              </w:rPr>
              <w:t>372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C6C7CD" w14:textId="77777777" w:rsidR="000E48CE" w:rsidRDefault="00FF4C4E">
            <w:pPr>
              <w:pStyle w:val="P68B1DB1-Normal46"/>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EBF2F7" w14:textId="77777777" w:rsidR="000E48CE" w:rsidRDefault="00FF4C4E">
            <w:pPr>
              <w:pStyle w:val="P68B1DB1-Normal46"/>
              <w:spacing w:after="0" w:line="240" w:lineRule="auto"/>
              <w:rPr>
                <w:rFonts w:eastAsia="Times New Roman" w:cs="Times New Roman"/>
                <w:noProof/>
              </w:rPr>
            </w:pPr>
            <w:r>
              <w:rPr>
                <w:noProof/>
              </w:rPr>
              <w:t>M</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BD4D25D" w14:textId="77777777" w:rsidR="000E48CE" w:rsidRDefault="00FF4C4E">
            <w:pPr>
              <w:pStyle w:val="P68B1DB1-Normal46"/>
              <w:spacing w:after="0" w:line="240" w:lineRule="auto"/>
              <w:rPr>
                <w:rFonts w:eastAsia="Times New Roman" w:cs="Times New Roman"/>
                <w:noProof/>
              </w:rPr>
            </w:pPr>
            <w:r>
              <w:rPr>
                <w:noProof/>
              </w:rPr>
              <w:t xml:space="preserve">Tietotekniikkahankkeiden loppuun </w:t>
            </w:r>
            <w:r>
              <w:rPr>
                <w:noProof/>
              </w:rPr>
              <w:t>saattaminen suurtehokeskuksissa ja antidopinghallinnossa</w:t>
            </w:r>
          </w:p>
        </w:tc>
      </w:tr>
      <w:tr w:rsidR="000E48CE" w14:paraId="08473BC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C598C4" w14:textId="77777777" w:rsidR="000E48CE" w:rsidRDefault="00FF4C4E">
            <w:pPr>
              <w:pStyle w:val="P68B1DB1-Normal46"/>
              <w:spacing w:after="0" w:line="240" w:lineRule="auto"/>
              <w:jc w:val="center"/>
              <w:rPr>
                <w:rFonts w:eastAsia="Times New Roman" w:cs="Times New Roman"/>
                <w:noProof/>
              </w:rPr>
            </w:pPr>
            <w:r>
              <w:rPr>
                <w:noProof/>
              </w:rPr>
              <w:t>373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824EA6" w14:textId="77777777" w:rsidR="000E48CE" w:rsidRDefault="00FF4C4E">
            <w:pPr>
              <w:pStyle w:val="P68B1DB1-Normal46"/>
              <w:spacing w:after="0" w:line="240" w:lineRule="auto"/>
              <w:rPr>
                <w:rFonts w:eastAsia="Times New Roman" w:cs="Times New Roman"/>
                <w:noProof/>
              </w:rPr>
            </w:pPr>
            <w:r>
              <w:rPr>
                <w:noProof/>
              </w:rPr>
              <w:t>C26.I2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02008" w14:textId="77777777" w:rsidR="000E48CE" w:rsidRDefault="00FF4C4E">
            <w:pPr>
              <w:pStyle w:val="P68B1DB1-Normal46"/>
              <w:spacing w:after="0" w:line="240" w:lineRule="auto"/>
              <w:rPr>
                <w:rFonts w:eastAsia="Times New Roman" w:cs="Times New Roman"/>
                <w:noProof/>
              </w:rPr>
            </w:pPr>
            <w:r>
              <w:rPr>
                <w:noProof/>
              </w:rPr>
              <w:t>T</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A991B2" w14:textId="77777777" w:rsidR="000E48CE" w:rsidRDefault="00FF4C4E">
            <w:pPr>
              <w:pStyle w:val="P68B1DB1-Normal46"/>
              <w:spacing w:after="0" w:line="240" w:lineRule="auto"/>
              <w:rPr>
                <w:rFonts w:eastAsia="Times New Roman" w:cs="Times New Roman"/>
                <w:noProof/>
              </w:rPr>
            </w:pPr>
            <w:r>
              <w:rPr>
                <w:noProof/>
              </w:rPr>
              <w:t xml:space="preserve">Urheilu- ja urheilutilojen teknisten keskusten kunnostaminen ja parantaminen </w:t>
            </w:r>
          </w:p>
        </w:tc>
      </w:tr>
      <w:tr w:rsidR="000E48CE" w14:paraId="67CC6D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B594B2"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164CAC"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8864C9" w14:textId="57D35939" w:rsidR="000E48CE" w:rsidRDefault="00FF4C4E">
            <w:pPr>
              <w:pStyle w:val="P68B1DB1-Normal45"/>
              <w:spacing w:after="0" w:line="240" w:lineRule="auto"/>
              <w:rPr>
                <w:rFonts w:eastAsia="Times New Roman" w:cs="Times New Roman"/>
                <w:noProof/>
              </w:rPr>
            </w:pPr>
            <w:r>
              <w:rPr>
                <w:noProof/>
              </w:rPr>
              <w:t>Erän suuruus</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48F4810" w14:textId="36797311" w:rsidR="000E48CE" w:rsidRDefault="00FF4C4E">
            <w:pPr>
              <w:pStyle w:val="P68B1DB1-Normal45"/>
              <w:spacing w:after="0" w:line="240" w:lineRule="auto"/>
              <w:rPr>
                <w:rFonts w:eastAsia="Times New Roman" w:cs="Times New Roman"/>
                <w:noProof/>
              </w:rPr>
            </w:pPr>
            <w:r>
              <w:rPr>
                <w:noProof/>
              </w:rPr>
              <w:t>VÄHIMMÄISPÄÄOMA: 5633854130 EUROA</w:t>
            </w:r>
          </w:p>
        </w:tc>
      </w:tr>
    </w:tbl>
    <w:p w14:paraId="16B1E38C" w14:textId="77777777" w:rsidR="000E48CE" w:rsidRDefault="000E48CE">
      <w:pPr>
        <w:spacing w:before="120" w:after="120" w:line="240" w:lineRule="auto"/>
        <w:jc w:val="both"/>
        <w:rPr>
          <w:rFonts w:ascii="Times New Roman" w:eastAsia="Calibri" w:hAnsi="Times New Roman" w:cs="Times New Roman"/>
          <w:noProof/>
          <w:sz w:val="24"/>
        </w:rPr>
      </w:pPr>
    </w:p>
    <w:p w14:paraId="417320EA"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Kymmenes erä (tuki, jota ei makseta takaisin): </w:t>
      </w:r>
    </w:p>
    <w:tbl>
      <w:tblPr>
        <w:tblW w:w="9600" w:type="dxa"/>
        <w:tblInd w:w="113" w:type="dxa"/>
        <w:tblLook w:val="04A0" w:firstRow="1" w:lastRow="0" w:firstColumn="1" w:lastColumn="0" w:noHBand="0" w:noVBand="1"/>
      </w:tblPr>
      <w:tblGrid>
        <w:gridCol w:w="1300"/>
        <w:gridCol w:w="1443"/>
        <w:gridCol w:w="1783"/>
        <w:gridCol w:w="5607"/>
      </w:tblGrid>
      <w:tr w:rsidR="000E48CE" w14:paraId="67D015E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8C28D8B"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ABCF3D9"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DE3AA78"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07" w:type="dxa"/>
            <w:vMerge w:val="restart"/>
            <w:tcBorders>
              <w:top w:val="single" w:sz="4" w:space="0" w:color="auto"/>
              <w:left w:val="nil"/>
              <w:bottom w:val="single" w:sz="4" w:space="0" w:color="000000"/>
              <w:right w:val="single" w:sz="4" w:space="0" w:color="auto"/>
            </w:tcBorders>
            <w:shd w:val="clear" w:color="auto" w:fill="BDD7EE"/>
            <w:vAlign w:val="center"/>
            <w:hideMark/>
          </w:tcPr>
          <w:p w14:paraId="420F80E1"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33ADD356"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4E5E4F0"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728C9BBC"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73F5F41" w14:textId="77777777" w:rsidR="000E48CE" w:rsidRDefault="000E48CE">
            <w:pPr>
              <w:spacing w:after="0" w:line="240" w:lineRule="auto"/>
              <w:rPr>
                <w:rFonts w:ascii="Times New Roman" w:eastAsia="Times New Roman" w:hAnsi="Times New Roman" w:cs="Times New Roman"/>
                <w:b/>
                <w:noProof/>
                <w:sz w:val="20"/>
              </w:rPr>
            </w:pPr>
          </w:p>
        </w:tc>
        <w:tc>
          <w:tcPr>
            <w:tcW w:w="5607" w:type="dxa"/>
            <w:vMerge/>
            <w:tcBorders>
              <w:top w:val="single" w:sz="4" w:space="0" w:color="auto"/>
              <w:left w:val="nil"/>
              <w:bottom w:val="single" w:sz="4" w:space="0" w:color="000000"/>
              <w:right w:val="single" w:sz="4" w:space="0" w:color="auto"/>
            </w:tcBorders>
            <w:vAlign w:val="center"/>
            <w:hideMark/>
          </w:tcPr>
          <w:p w14:paraId="75360013" w14:textId="77777777" w:rsidR="000E48CE" w:rsidRDefault="000E48CE">
            <w:pPr>
              <w:spacing w:after="0" w:line="240" w:lineRule="auto"/>
              <w:rPr>
                <w:rFonts w:ascii="Times New Roman" w:eastAsia="Times New Roman" w:hAnsi="Times New Roman" w:cs="Times New Roman"/>
                <w:b/>
                <w:noProof/>
                <w:sz w:val="20"/>
              </w:rPr>
            </w:pPr>
          </w:p>
        </w:tc>
      </w:tr>
      <w:tr w:rsidR="000E48CE" w14:paraId="129755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915C97" w14:textId="77777777" w:rsidR="000E48CE" w:rsidRDefault="00FF4C4E">
            <w:pPr>
              <w:pStyle w:val="P68B1DB1-Normal46"/>
              <w:spacing w:after="0" w:line="240" w:lineRule="auto"/>
              <w:jc w:val="center"/>
              <w:rPr>
                <w:rFonts w:eastAsia="Times New Roman" w:cs="Times New Roman"/>
                <w:noProof/>
              </w:rPr>
            </w:pPr>
            <w:r>
              <w:rPr>
                <w:noProof/>
              </w:rPr>
              <w:t>418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99D83C" w14:textId="77777777" w:rsidR="000E48CE" w:rsidRDefault="00FF4C4E">
            <w:pPr>
              <w:pStyle w:val="P68B1DB1-Normal46"/>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09454C"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B443BD" w14:textId="77777777" w:rsidR="000E48CE" w:rsidRDefault="00FF4C4E">
            <w:pPr>
              <w:pStyle w:val="P68B1DB1-Normal46"/>
              <w:spacing w:after="0" w:line="240" w:lineRule="auto"/>
              <w:rPr>
                <w:rFonts w:eastAsia="Times New Roman" w:cs="Times New Roman"/>
                <w:noProof/>
              </w:rPr>
            </w:pPr>
            <w:r>
              <w:rPr>
                <w:noProof/>
              </w:rPr>
              <w:t>Testiympäristötoimisto</w:t>
            </w:r>
          </w:p>
        </w:tc>
      </w:tr>
      <w:tr w:rsidR="000E48CE" w14:paraId="31B210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79022F" w14:textId="77777777" w:rsidR="000E48CE" w:rsidRDefault="00FF4C4E">
            <w:pPr>
              <w:pStyle w:val="P68B1DB1-Normal46"/>
              <w:spacing w:after="0" w:line="240" w:lineRule="auto"/>
              <w:jc w:val="center"/>
              <w:rPr>
                <w:rFonts w:eastAsia="Times New Roman" w:cs="Times New Roman"/>
                <w:noProof/>
              </w:rPr>
            </w:pPr>
            <w:r>
              <w:rPr>
                <w:noProof/>
              </w:rPr>
              <w:t>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596D1" w14:textId="77777777" w:rsidR="000E48CE" w:rsidRDefault="00FF4C4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87D6A6"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F42688E" w14:textId="77777777" w:rsidR="000E48CE" w:rsidRDefault="00FF4C4E">
            <w:pPr>
              <w:pStyle w:val="P68B1DB1-Normal46"/>
              <w:spacing w:after="0" w:line="240" w:lineRule="auto"/>
              <w:rPr>
                <w:rFonts w:eastAsia="Times New Roman" w:cs="Times New Roman"/>
                <w:noProof/>
              </w:rPr>
            </w:pPr>
            <w:r>
              <w:rPr>
                <w:noProof/>
              </w:rPr>
              <w:t xml:space="preserve">Parannetut lyhyen matkan radat (Cercanías) </w:t>
            </w:r>
          </w:p>
        </w:tc>
      </w:tr>
      <w:tr w:rsidR="000E48CE" w14:paraId="0E8D62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1D29D2" w14:textId="77777777" w:rsidR="000E48CE" w:rsidRDefault="00FF4C4E">
            <w:pPr>
              <w:pStyle w:val="P68B1DB1-Normal46"/>
              <w:spacing w:after="0" w:line="240" w:lineRule="auto"/>
              <w:jc w:val="center"/>
              <w:rPr>
                <w:rFonts w:eastAsia="Times New Roman" w:cs="Times New Roman"/>
                <w:noProof/>
              </w:rPr>
            </w:pPr>
            <w:r>
              <w:rPr>
                <w:noProof/>
              </w:rPr>
              <w:t>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DA11E3" w14:textId="77777777" w:rsidR="000E48CE" w:rsidRDefault="00FF4C4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ED1EEF"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C89F20" w14:textId="77777777" w:rsidR="000E48CE" w:rsidRDefault="00FF4C4E">
            <w:pPr>
              <w:pStyle w:val="P68B1DB1-Normal46"/>
              <w:spacing w:after="0" w:line="240" w:lineRule="auto"/>
              <w:rPr>
                <w:rFonts w:eastAsia="Times New Roman" w:cs="Times New Roman"/>
                <w:noProof/>
              </w:rPr>
            </w:pPr>
            <w:r>
              <w:rPr>
                <w:noProof/>
              </w:rPr>
              <w:t xml:space="preserve">Asemat ovat parantuneet digitalisaation myötä </w:t>
            </w:r>
          </w:p>
        </w:tc>
      </w:tr>
      <w:tr w:rsidR="000E48CE" w14:paraId="46EA26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07793F" w14:textId="77777777" w:rsidR="000E48CE" w:rsidRDefault="00FF4C4E">
            <w:pPr>
              <w:pStyle w:val="P68B1DB1-Normal46"/>
              <w:spacing w:after="0" w:line="240" w:lineRule="auto"/>
              <w:jc w:val="center"/>
              <w:rPr>
                <w:rFonts w:eastAsia="Times New Roman" w:cs="Times New Roman"/>
                <w:noProof/>
              </w:rPr>
            </w:pPr>
            <w:r>
              <w:rPr>
                <w:noProof/>
              </w:rPr>
              <w:t>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C3560D" w14:textId="77777777" w:rsidR="000E48CE" w:rsidRDefault="00FF4C4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92DB4"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EB2B55" w14:textId="77777777" w:rsidR="000E48CE" w:rsidRDefault="00FF4C4E">
            <w:pPr>
              <w:pStyle w:val="P68B1DB1-Normal46"/>
              <w:spacing w:after="0" w:line="240" w:lineRule="auto"/>
              <w:rPr>
                <w:rFonts w:eastAsia="Times New Roman" w:cs="Times New Roman"/>
                <w:noProof/>
              </w:rPr>
            </w:pPr>
            <w:r>
              <w:rPr>
                <w:noProof/>
              </w:rPr>
              <w:t xml:space="preserve">Parannetut Cercanías-asemat </w:t>
            </w:r>
          </w:p>
        </w:tc>
      </w:tr>
      <w:tr w:rsidR="000E48CE" w14:paraId="666848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D9DF83" w14:textId="77777777" w:rsidR="000E48CE" w:rsidRDefault="00FF4C4E">
            <w:pPr>
              <w:pStyle w:val="P68B1DB1-Normal46"/>
              <w:spacing w:after="0" w:line="240" w:lineRule="auto"/>
              <w:jc w:val="center"/>
              <w:rPr>
                <w:rFonts w:eastAsia="Times New Roman" w:cs="Times New Roman"/>
                <w:noProof/>
              </w:rPr>
            </w:pPr>
            <w:r>
              <w:rPr>
                <w:noProof/>
              </w:rPr>
              <w:t>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606E53" w14:textId="77777777" w:rsidR="000E48CE" w:rsidRDefault="00FF4C4E">
            <w:pPr>
              <w:pStyle w:val="P68B1DB1-Normal46"/>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750F71"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FDE18BF" w14:textId="77777777" w:rsidR="000E48CE" w:rsidRDefault="00FF4C4E">
            <w:pPr>
              <w:pStyle w:val="P68B1DB1-Normal46"/>
              <w:spacing w:after="0" w:line="240" w:lineRule="auto"/>
              <w:rPr>
                <w:rFonts w:eastAsia="Times New Roman" w:cs="Times New Roman"/>
                <w:noProof/>
              </w:rPr>
            </w:pPr>
            <w:r>
              <w:rPr>
                <w:noProof/>
              </w:rPr>
              <w:t>Uusittavalla alueella tai naapurustossa oleva maa-ala, jonka primäärienergian kysyntä vähenee keskimäärin vähintään 30 prosenttia, hehtaareina</w:t>
            </w:r>
          </w:p>
        </w:tc>
      </w:tr>
      <w:tr w:rsidR="000E48CE" w14:paraId="5C825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A4FF2C" w14:textId="77777777" w:rsidR="000E48CE" w:rsidRDefault="00FF4C4E">
            <w:pPr>
              <w:pStyle w:val="P68B1DB1-Normal46"/>
              <w:spacing w:after="0" w:line="240" w:lineRule="auto"/>
              <w:jc w:val="center"/>
              <w:rPr>
                <w:rFonts w:eastAsia="Times New Roman" w:cs="Times New Roman"/>
                <w:noProof/>
              </w:rPr>
            </w:pPr>
            <w:r>
              <w:rPr>
                <w:noProof/>
              </w:rPr>
              <w:t>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DE1040" w14:textId="77777777" w:rsidR="000E48CE" w:rsidRDefault="00FF4C4E">
            <w:pPr>
              <w:pStyle w:val="P68B1DB1-Normal46"/>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225C37"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C387236" w14:textId="77777777" w:rsidR="000E48CE" w:rsidRDefault="00FF4C4E">
            <w:pPr>
              <w:pStyle w:val="P68B1DB1-Normal46"/>
              <w:spacing w:after="0" w:line="240" w:lineRule="auto"/>
              <w:rPr>
                <w:rFonts w:eastAsia="Times New Roman" w:cs="Times New Roman"/>
                <w:noProof/>
              </w:rPr>
            </w:pPr>
            <w:r>
              <w:rPr>
                <w:noProof/>
              </w:rPr>
              <w:t>Asuinrakennusten perusparannustoimien loppuun saattaminen si</w:t>
            </w:r>
            <w:r>
              <w:rPr>
                <w:noProof/>
              </w:rPr>
              <w:t xml:space="preserve">ten, että primäärienergian kysyntä vähenee keskimäärin vähintään 30 prosenttia (vähintään 410000 toimea vähintään 285000 yksittäisessä asunnossa) </w:t>
            </w:r>
          </w:p>
        </w:tc>
      </w:tr>
      <w:tr w:rsidR="000E48CE" w14:paraId="5080237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090E274" w14:textId="77777777" w:rsidR="000E48CE" w:rsidRDefault="00FF4C4E">
            <w:pPr>
              <w:pStyle w:val="P68B1DB1-Normal46"/>
              <w:spacing w:after="0" w:line="240" w:lineRule="auto"/>
              <w:jc w:val="center"/>
              <w:rPr>
                <w:rFonts w:eastAsia="Times New Roman" w:cs="Times New Roman"/>
                <w:noProof/>
              </w:rPr>
            </w:pPr>
            <w:r>
              <w:rPr>
                <w:noProof/>
              </w:rPr>
              <w:t>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C3F0E" w14:textId="77777777" w:rsidR="000E48CE" w:rsidRDefault="00FF4C4E">
            <w:pPr>
              <w:pStyle w:val="P68B1DB1-Normal46"/>
              <w:spacing w:after="0" w:line="240" w:lineRule="auto"/>
              <w:rPr>
                <w:rFonts w:eastAsia="Times New Roman" w:cs="Times New Roman"/>
                <w:noProof/>
              </w:rPr>
            </w:pPr>
            <w:r>
              <w:rPr>
                <w:noProof/>
              </w:rPr>
              <w:t>C2.I2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1BB76F"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58CB68" w14:textId="77777777" w:rsidR="000E48CE" w:rsidRDefault="00FF4C4E">
            <w:pPr>
              <w:pStyle w:val="P68B1DB1-Normal46"/>
              <w:spacing w:after="0" w:line="240" w:lineRule="auto"/>
              <w:rPr>
                <w:rFonts w:eastAsia="Times New Roman" w:cs="Times New Roman"/>
                <w:noProof/>
              </w:rPr>
            </w:pPr>
            <w:r>
              <w:rPr>
                <w:noProof/>
              </w:rPr>
              <w:t xml:space="preserve">Uudet asuinrakennukset, jotka on rakennettu sosiaalista vuokrausta varten tai kohtuuhintaan </w:t>
            </w:r>
            <w:r>
              <w:rPr>
                <w:noProof/>
              </w:rPr>
              <w:t>energiatehokkaiden kriteerien mukaisesti</w:t>
            </w:r>
          </w:p>
        </w:tc>
      </w:tr>
      <w:tr w:rsidR="000E48CE" w14:paraId="71D0F1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DD0EB4" w14:textId="77777777" w:rsidR="000E48CE" w:rsidRDefault="00FF4C4E">
            <w:pPr>
              <w:pStyle w:val="P68B1DB1-Normal46"/>
              <w:spacing w:after="0" w:line="240" w:lineRule="auto"/>
              <w:jc w:val="center"/>
              <w:rPr>
                <w:rFonts w:eastAsia="Times New Roman" w:cs="Times New Roman"/>
                <w:noProof/>
              </w:rPr>
            </w:pPr>
            <w:r>
              <w:rPr>
                <w:noProof/>
              </w:rPr>
              <w:t>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89E901" w14:textId="77777777" w:rsidR="000E48CE" w:rsidRDefault="00FF4C4E">
            <w:pPr>
              <w:pStyle w:val="P68B1DB1-Normal46"/>
              <w:spacing w:after="0" w:line="240" w:lineRule="auto"/>
              <w:rPr>
                <w:rFonts w:eastAsia="Times New Roman" w:cs="Times New Roman"/>
                <w:noProof/>
              </w:rPr>
            </w:pPr>
            <w:r>
              <w:rPr>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BCAE7F"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7EFD87" w14:textId="77777777" w:rsidR="000E48CE" w:rsidRDefault="00FF4C4E">
            <w:pPr>
              <w:pStyle w:val="P68B1DB1-Normal46"/>
              <w:spacing w:after="0" w:line="240" w:lineRule="auto"/>
              <w:rPr>
                <w:rFonts w:eastAsia="Times New Roman" w:cs="Times New Roman"/>
                <w:noProof/>
              </w:rPr>
            </w:pPr>
            <w:r>
              <w:rPr>
                <w:noProof/>
              </w:rPr>
              <w:t xml:space="preserve">Asuinrakennusten ja muiden kuin asuinrakennusten peruskorjausten loppuun saattaminen siten, että primäärienergian kysyntä vähenee keskimäärin vähintään 30 prosenttia </w:t>
            </w:r>
          </w:p>
        </w:tc>
      </w:tr>
      <w:tr w:rsidR="000E48CE" w14:paraId="787189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C005C2" w14:textId="77777777" w:rsidR="000E48CE" w:rsidRDefault="00FF4C4E">
            <w:pPr>
              <w:pStyle w:val="P68B1DB1-Normal46"/>
              <w:spacing w:after="0" w:line="240" w:lineRule="auto"/>
              <w:jc w:val="center"/>
              <w:rPr>
                <w:rFonts w:eastAsia="Times New Roman" w:cs="Times New Roman"/>
                <w:noProof/>
              </w:rPr>
            </w:pPr>
            <w:r>
              <w:rPr>
                <w:noProof/>
              </w:rPr>
              <w:t>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A9E448" w14:textId="77777777" w:rsidR="000E48CE" w:rsidRDefault="00FF4C4E">
            <w:pPr>
              <w:pStyle w:val="P68B1DB1-Normal46"/>
              <w:spacing w:after="0" w:line="240" w:lineRule="auto"/>
              <w:rPr>
                <w:rFonts w:eastAsia="Times New Roman" w:cs="Times New Roman"/>
                <w:noProof/>
              </w:rPr>
            </w:pPr>
            <w:r>
              <w:rPr>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75AEC"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B57F57C" w14:textId="77777777" w:rsidR="000E48CE" w:rsidRDefault="00FF4C4E">
            <w:pPr>
              <w:pStyle w:val="P68B1DB1-Normal46"/>
              <w:spacing w:after="0" w:line="240" w:lineRule="auto"/>
              <w:rPr>
                <w:rFonts w:eastAsia="Times New Roman" w:cs="Times New Roman"/>
                <w:noProof/>
              </w:rPr>
            </w:pPr>
            <w:r>
              <w:rPr>
                <w:noProof/>
              </w:rPr>
              <w:t xml:space="preserve">Asuinrakennusten ja muiden kuin asuinrakennusten kunnostaminen kunnissa, joissa on alle 5000 asukasta, niin että primäärienergian kysyntä vähenee keskimäärin vähintään 30 prosenttia </w:t>
            </w:r>
          </w:p>
        </w:tc>
      </w:tr>
      <w:tr w:rsidR="000E48CE" w14:paraId="1E5FC7B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B53CFC" w14:textId="77777777" w:rsidR="000E48CE" w:rsidRDefault="00FF4C4E">
            <w:pPr>
              <w:pStyle w:val="P68B1DB1-Normal46"/>
              <w:spacing w:after="0" w:line="240" w:lineRule="auto"/>
              <w:jc w:val="center"/>
              <w:rPr>
                <w:rFonts w:eastAsia="Times New Roman" w:cs="Times New Roman"/>
                <w:noProof/>
              </w:rPr>
            </w:pPr>
            <w:r>
              <w:rPr>
                <w:noProof/>
              </w:rPr>
              <w:t>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F153A8" w14:textId="77777777" w:rsidR="000E48CE" w:rsidRDefault="00FF4C4E">
            <w:pPr>
              <w:pStyle w:val="P68B1DB1-Normal46"/>
              <w:spacing w:after="0" w:line="240" w:lineRule="auto"/>
              <w:rPr>
                <w:rFonts w:eastAsia="Times New Roman" w:cs="Times New Roman"/>
                <w:noProof/>
              </w:rPr>
            </w:pPr>
            <w:r>
              <w:rPr>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233225"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476E51" w14:textId="77777777" w:rsidR="000E48CE" w:rsidRDefault="00FF4C4E">
            <w:pPr>
              <w:pStyle w:val="P68B1DB1-Normal46"/>
              <w:spacing w:after="0" w:line="240" w:lineRule="auto"/>
              <w:rPr>
                <w:rFonts w:eastAsia="Times New Roman" w:cs="Times New Roman"/>
                <w:noProof/>
              </w:rPr>
            </w:pPr>
            <w:r>
              <w:rPr>
                <w:noProof/>
              </w:rPr>
              <w:t xml:space="preserve">Puhtaan energian hankkeet alle 5000 asukkaan kunnissa </w:t>
            </w:r>
          </w:p>
        </w:tc>
      </w:tr>
      <w:tr w:rsidR="000E48CE" w14:paraId="31DA8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7E4B84" w14:textId="77777777" w:rsidR="000E48CE" w:rsidRDefault="00FF4C4E">
            <w:pPr>
              <w:pStyle w:val="P68B1DB1-Normal46"/>
              <w:spacing w:after="0" w:line="240" w:lineRule="auto"/>
              <w:jc w:val="center"/>
              <w:rPr>
                <w:rFonts w:eastAsia="Times New Roman" w:cs="Times New Roman"/>
                <w:noProof/>
              </w:rPr>
            </w:pPr>
            <w:r>
              <w:rPr>
                <w:noProof/>
              </w:rPr>
              <w:t>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3E717" w14:textId="77777777" w:rsidR="000E48CE" w:rsidRDefault="00FF4C4E">
            <w:pPr>
              <w:pStyle w:val="P68B1DB1-Normal46"/>
              <w:spacing w:after="0" w:line="240" w:lineRule="auto"/>
              <w:rPr>
                <w:rFonts w:eastAsia="Times New Roman" w:cs="Times New Roman"/>
                <w:noProof/>
              </w:rPr>
            </w:pPr>
            <w:r>
              <w:rPr>
                <w:noProof/>
              </w:rPr>
              <w:t>C2</w:t>
            </w:r>
            <w:r>
              <w:rPr>
                <w:noProof/>
              </w:rPr>
              <w:t>.I5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65128E"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85AA13" w14:textId="77777777" w:rsidR="000E48CE" w:rsidRDefault="00FF4C4E">
            <w:pPr>
              <w:pStyle w:val="P68B1DB1-Normal46"/>
              <w:spacing w:after="0" w:line="240" w:lineRule="auto"/>
              <w:rPr>
                <w:rFonts w:eastAsia="Times New Roman" w:cs="Times New Roman"/>
                <w:noProof/>
              </w:rPr>
            </w:pPr>
            <w:r>
              <w:rPr>
                <w:noProof/>
              </w:rPr>
              <w:t xml:space="preserve">Julkisten rakennusten peruskorjausten loppuun saattaminen siten, että primäärienergian kysyntä vähenee keskimäärin vähintään 30 prosenttia (vähintään 1 230 000 m²) </w:t>
            </w:r>
          </w:p>
        </w:tc>
      </w:tr>
      <w:tr w:rsidR="000E48CE" w14:paraId="7B54D3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72C6D" w14:textId="77777777" w:rsidR="000E48CE" w:rsidRDefault="00FF4C4E">
            <w:pPr>
              <w:pStyle w:val="P68B1DB1-Normal46"/>
              <w:spacing w:after="0" w:line="240" w:lineRule="auto"/>
              <w:jc w:val="center"/>
              <w:rPr>
                <w:rFonts w:eastAsia="Times New Roman" w:cs="Times New Roman"/>
                <w:noProof/>
              </w:rPr>
            </w:pPr>
            <w:r>
              <w:rPr>
                <w:noProof/>
              </w:rPr>
              <w:t>423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301914" w14:textId="77777777" w:rsidR="000E48CE" w:rsidRDefault="00FF4C4E">
            <w:pPr>
              <w:pStyle w:val="P68B1DB1-Normal46"/>
              <w:spacing w:after="0" w:line="240" w:lineRule="auto"/>
              <w:rPr>
                <w:rFonts w:eastAsia="Times New Roman" w:cs="Times New Roman"/>
                <w:noProof/>
              </w:rPr>
            </w:pPr>
            <w:r>
              <w:rPr>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3EF90C"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E50099" w14:textId="77777777" w:rsidR="000E48CE" w:rsidRDefault="00FF4C4E">
            <w:pPr>
              <w:pStyle w:val="P68B1DB1-Normal46"/>
              <w:spacing w:after="0" w:line="240" w:lineRule="auto"/>
              <w:rPr>
                <w:rFonts w:eastAsia="Times New Roman" w:cs="Times New Roman"/>
                <w:noProof/>
              </w:rPr>
            </w:pPr>
            <w:r>
              <w:rPr>
                <w:noProof/>
              </w:rPr>
              <w:t xml:space="preserve">Kalastuslain ja kalastuksen valvonta-, tarkastus- ja </w:t>
            </w:r>
            <w:r>
              <w:rPr>
                <w:noProof/>
              </w:rPr>
              <w:t>seuraamusjärjestelmien nykyaikaistamista koskevan lain tarkistaminen tulee voimaan.</w:t>
            </w:r>
          </w:p>
        </w:tc>
      </w:tr>
      <w:tr w:rsidR="000E48CE" w14:paraId="6BC531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33B7BC" w14:textId="77777777" w:rsidR="000E48CE" w:rsidRDefault="00FF4C4E">
            <w:pPr>
              <w:pStyle w:val="P68B1DB1-Normal46"/>
              <w:spacing w:after="0" w:line="240" w:lineRule="auto"/>
              <w:jc w:val="center"/>
              <w:rPr>
                <w:rFonts w:eastAsia="Times New Roman" w:cs="Times New Roman"/>
                <w:noProof/>
              </w:rPr>
            </w:pPr>
            <w:r>
              <w:rPr>
                <w:noProof/>
              </w:rPr>
              <w:t>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1C63C3" w14:textId="77777777" w:rsidR="000E48CE" w:rsidRDefault="00FF4C4E">
            <w:pPr>
              <w:pStyle w:val="P68B1DB1-Normal46"/>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2C2015"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D7B19A" w14:textId="77777777" w:rsidR="000E48CE" w:rsidRDefault="00FF4C4E">
            <w:pPr>
              <w:pStyle w:val="P68B1DB1-Normal46"/>
              <w:spacing w:after="0" w:line="240" w:lineRule="auto"/>
              <w:rPr>
                <w:rFonts w:eastAsia="Times New Roman" w:cs="Times New Roman"/>
                <w:noProof/>
              </w:rPr>
            </w:pPr>
            <w:r>
              <w:rPr>
                <w:noProof/>
              </w:rPr>
              <w:t xml:space="preserve">Kastelujärjestelmien nykyaikaistaminen veden säästämisen ja energiatehokkuuden osalta  </w:t>
            </w:r>
          </w:p>
        </w:tc>
      </w:tr>
      <w:tr w:rsidR="000E48CE" w14:paraId="33CF03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F75382" w14:textId="77777777" w:rsidR="000E48CE" w:rsidRDefault="00FF4C4E">
            <w:pPr>
              <w:pStyle w:val="P68B1DB1-Normal46"/>
              <w:spacing w:after="0" w:line="240" w:lineRule="auto"/>
              <w:jc w:val="center"/>
              <w:rPr>
                <w:rFonts w:eastAsia="Times New Roman" w:cs="Times New Roman"/>
                <w:noProof/>
              </w:rPr>
            </w:pPr>
            <w:r>
              <w:rPr>
                <w:noProof/>
              </w:rPr>
              <w:t>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4B53E7" w14:textId="77777777" w:rsidR="000E48CE" w:rsidRDefault="00FF4C4E">
            <w:pPr>
              <w:pStyle w:val="P68B1DB1-Normal46"/>
              <w:spacing w:after="0" w:line="240" w:lineRule="auto"/>
              <w:rPr>
                <w:rFonts w:eastAsia="Times New Roman" w:cs="Times New Roman"/>
                <w:noProof/>
              </w:rPr>
            </w:pPr>
            <w:r>
              <w:rPr>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DEAF2B"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F2CDD4" w14:textId="77777777" w:rsidR="000E48CE" w:rsidRDefault="00FF4C4E">
            <w:pPr>
              <w:pStyle w:val="P68B1DB1-Normal46"/>
              <w:spacing w:after="0" w:line="240" w:lineRule="auto"/>
              <w:rPr>
                <w:rFonts w:eastAsia="Times New Roman" w:cs="Times New Roman"/>
                <w:noProof/>
              </w:rPr>
            </w:pPr>
            <w:r>
              <w:rPr>
                <w:noProof/>
              </w:rPr>
              <w:t>Sellaisen eläinlaitoksen rakentamisen loppuun saattaminen, j</w:t>
            </w:r>
            <w:r>
              <w:rPr>
                <w:noProof/>
              </w:rPr>
              <w:t xml:space="preserve">onka bioturvallisuustaso on 3. </w:t>
            </w:r>
          </w:p>
        </w:tc>
      </w:tr>
      <w:tr w:rsidR="000E48CE" w14:paraId="7599FF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C81CC" w14:textId="77777777" w:rsidR="000E48CE" w:rsidRDefault="00FF4C4E">
            <w:pPr>
              <w:pStyle w:val="P68B1DB1-Normal46"/>
              <w:spacing w:after="0" w:line="240" w:lineRule="auto"/>
              <w:jc w:val="center"/>
              <w:rPr>
                <w:rFonts w:eastAsia="Times New Roman" w:cs="Times New Roman"/>
                <w:noProof/>
              </w:rPr>
            </w:pPr>
            <w:r>
              <w:rPr>
                <w:noProof/>
              </w:rPr>
              <w:t>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CC36E5" w14:textId="77777777" w:rsidR="000E48CE" w:rsidRDefault="00FF4C4E">
            <w:pPr>
              <w:pStyle w:val="P68B1DB1-Normal46"/>
              <w:spacing w:after="0" w:line="240" w:lineRule="auto"/>
              <w:rPr>
                <w:rFonts w:eastAsia="Times New Roman" w:cs="Times New Roman"/>
                <w:noProof/>
              </w:rPr>
            </w:pPr>
            <w:r>
              <w:rPr>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62A31F"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188B05" w14:textId="77777777" w:rsidR="000E48CE" w:rsidRDefault="00FF4C4E">
            <w:pPr>
              <w:pStyle w:val="P68B1DB1-Normal46"/>
              <w:spacing w:after="0" w:line="240" w:lineRule="auto"/>
              <w:rPr>
                <w:rFonts w:eastAsia="Times New Roman" w:cs="Times New Roman"/>
                <w:noProof/>
              </w:rPr>
            </w:pPr>
            <w:r>
              <w:rPr>
                <w:noProof/>
              </w:rPr>
              <w:t xml:space="preserve">Päätökseen saatetut hankkeet täsmäviljelyn, energiatehokkuuden, kiertotalouden ja uusiutuvan energian käytön aloilla  </w:t>
            </w:r>
          </w:p>
        </w:tc>
      </w:tr>
      <w:tr w:rsidR="000E48CE" w14:paraId="51B0F8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EAE228" w14:textId="77777777" w:rsidR="000E48CE" w:rsidRDefault="00FF4C4E">
            <w:pPr>
              <w:pStyle w:val="P68B1DB1-Normal46"/>
              <w:spacing w:after="0" w:line="240" w:lineRule="auto"/>
              <w:jc w:val="center"/>
              <w:rPr>
                <w:rFonts w:eastAsia="Times New Roman" w:cs="Times New Roman"/>
                <w:noProof/>
              </w:rPr>
            </w:pPr>
            <w:r>
              <w:rPr>
                <w:noProof/>
              </w:rPr>
              <w:t>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F2F5AA" w14:textId="77777777" w:rsidR="000E48CE" w:rsidRDefault="00FF4C4E">
            <w:pPr>
              <w:pStyle w:val="P68B1DB1-Normal46"/>
              <w:spacing w:after="0" w:line="240" w:lineRule="auto"/>
              <w:rPr>
                <w:rFonts w:eastAsia="Times New Roman" w:cs="Times New Roman"/>
                <w:noProof/>
              </w:rPr>
            </w:pPr>
            <w:r>
              <w:rPr>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C7727E"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02FA6" w14:textId="77777777" w:rsidR="000E48CE" w:rsidRDefault="00FF4C4E">
            <w:pPr>
              <w:pStyle w:val="P68B1DB1-Normal46"/>
              <w:spacing w:after="0" w:line="240" w:lineRule="auto"/>
              <w:rPr>
                <w:rFonts w:eastAsia="Times New Roman" w:cs="Times New Roman"/>
                <w:noProof/>
              </w:rPr>
            </w:pPr>
            <w:r>
              <w:rPr>
                <w:noProof/>
              </w:rPr>
              <w:t xml:space="preserve">Luonnon monimuotoisuutta koskevan tietämyksen seuranta- ja hallintajärjestelmän </w:t>
            </w:r>
            <w:r>
              <w:rPr>
                <w:noProof/>
              </w:rPr>
              <w:t>loppuun saattaminen ja käyttöönotto</w:t>
            </w:r>
          </w:p>
        </w:tc>
      </w:tr>
      <w:tr w:rsidR="000E48CE" w14:paraId="5753D9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356B7F" w14:textId="77777777" w:rsidR="000E48CE" w:rsidRDefault="00FF4C4E">
            <w:pPr>
              <w:pStyle w:val="P68B1DB1-Normal46"/>
              <w:spacing w:after="0" w:line="240" w:lineRule="auto"/>
              <w:jc w:val="center"/>
              <w:rPr>
                <w:rFonts w:eastAsia="Times New Roman" w:cs="Times New Roman"/>
                <w:noProof/>
              </w:rPr>
            </w:pPr>
            <w:r>
              <w:rPr>
                <w:noProof/>
              </w:rPr>
              <w:t>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699AD6" w14:textId="77777777" w:rsidR="000E48CE" w:rsidRDefault="00FF4C4E">
            <w:pPr>
              <w:pStyle w:val="P68B1DB1-Normal46"/>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65EA52"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DB18D2" w14:textId="77777777" w:rsidR="000E48CE" w:rsidRDefault="00FF4C4E">
            <w:pPr>
              <w:pStyle w:val="P68B1DB1-Normal46"/>
              <w:spacing w:after="0" w:line="240" w:lineRule="auto"/>
              <w:rPr>
                <w:rFonts w:eastAsia="Times New Roman" w:cs="Times New Roman"/>
                <w:noProof/>
              </w:rPr>
            </w:pPr>
            <w:r>
              <w:rPr>
                <w:noProof/>
              </w:rPr>
              <w:t>Biologisen monimuotoisuuden suojelutoimet</w:t>
            </w:r>
          </w:p>
        </w:tc>
      </w:tr>
      <w:tr w:rsidR="000E48CE" w14:paraId="4C952A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339FB" w14:textId="77777777" w:rsidR="000E48CE" w:rsidRDefault="00FF4C4E">
            <w:pPr>
              <w:pStyle w:val="P68B1DB1-Normal46"/>
              <w:spacing w:after="0" w:line="240" w:lineRule="auto"/>
              <w:jc w:val="center"/>
              <w:rPr>
                <w:rFonts w:eastAsia="Times New Roman" w:cs="Times New Roman"/>
                <w:noProof/>
              </w:rPr>
            </w:pPr>
            <w:r>
              <w:rPr>
                <w:noProof/>
              </w:rPr>
              <w:t>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942D12" w14:textId="77777777" w:rsidR="000E48CE" w:rsidRDefault="00FF4C4E">
            <w:pPr>
              <w:pStyle w:val="P68B1DB1-Normal46"/>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91F20B"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FF560E" w14:textId="77777777" w:rsidR="000E48CE" w:rsidRDefault="00FF4C4E">
            <w:pPr>
              <w:pStyle w:val="P68B1DB1-Normal46"/>
              <w:spacing w:after="0" w:line="240" w:lineRule="auto"/>
              <w:rPr>
                <w:rFonts w:eastAsia="Times New Roman" w:cs="Times New Roman"/>
                <w:noProof/>
              </w:rPr>
            </w:pPr>
            <w:r>
              <w:rPr>
                <w:noProof/>
              </w:rPr>
              <w:t>Entisten kaivosalueiden (vähintään 30 entisen kaivosalueen) kunnostamisen loppuun saattaminen</w:t>
            </w:r>
          </w:p>
        </w:tc>
      </w:tr>
      <w:tr w:rsidR="000E48CE" w14:paraId="378A15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8E70C4" w14:textId="77777777" w:rsidR="000E48CE" w:rsidRDefault="00FF4C4E">
            <w:pPr>
              <w:pStyle w:val="P68B1DB1-Normal46"/>
              <w:spacing w:after="0" w:line="240" w:lineRule="auto"/>
              <w:jc w:val="center"/>
              <w:rPr>
                <w:rFonts w:eastAsia="Times New Roman" w:cs="Times New Roman"/>
                <w:noProof/>
              </w:rPr>
            </w:pPr>
            <w:r>
              <w:rPr>
                <w:noProof/>
              </w:rPr>
              <w:t>425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88C740" w14:textId="77777777" w:rsidR="000E48CE" w:rsidRDefault="00FF4C4E">
            <w:pPr>
              <w:pStyle w:val="P68B1DB1-Normal46"/>
              <w:spacing w:after="0" w:line="240" w:lineRule="auto"/>
              <w:rPr>
                <w:rFonts w:eastAsia="Times New Roman" w:cs="Times New Roman"/>
                <w:noProof/>
              </w:rPr>
            </w:pPr>
            <w:r>
              <w:rPr>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50B6FF"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58918D2" w14:textId="77777777" w:rsidR="000E48CE" w:rsidRDefault="00FF4C4E">
            <w:pPr>
              <w:pStyle w:val="P68B1DB1-Normal46"/>
              <w:spacing w:after="0" w:line="240" w:lineRule="auto"/>
              <w:rPr>
                <w:rFonts w:eastAsia="Times New Roman" w:cs="Times New Roman"/>
                <w:noProof/>
              </w:rPr>
            </w:pPr>
            <w:r>
              <w:rPr>
                <w:noProof/>
              </w:rPr>
              <w:t>Kestävää metsänhoitoa koskevat toimet (II osa)</w:t>
            </w:r>
          </w:p>
        </w:tc>
      </w:tr>
      <w:tr w:rsidR="000E48CE" w14:paraId="56F0C5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7629243" w14:textId="77777777" w:rsidR="000E48CE" w:rsidRDefault="00FF4C4E">
            <w:pPr>
              <w:pStyle w:val="P68B1DB1-Normal46"/>
              <w:spacing w:after="0" w:line="240" w:lineRule="auto"/>
              <w:jc w:val="center"/>
              <w:rPr>
                <w:rFonts w:eastAsia="Times New Roman" w:cs="Times New Roman"/>
                <w:noProof/>
              </w:rPr>
            </w:pPr>
            <w:r>
              <w:rPr>
                <w:noProof/>
              </w:rPr>
              <w:t>426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91E963" w14:textId="77777777" w:rsidR="000E48CE" w:rsidRDefault="00FF4C4E">
            <w:pPr>
              <w:pStyle w:val="P68B1DB1-Normal46"/>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B334AA"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0F80BFD" w14:textId="77777777" w:rsidR="000E48CE" w:rsidRDefault="00FF4C4E">
            <w:pPr>
              <w:pStyle w:val="P68B1DB1-Normal46"/>
              <w:spacing w:after="0" w:line="240" w:lineRule="auto"/>
              <w:rPr>
                <w:rFonts w:eastAsia="Times New Roman" w:cs="Times New Roman"/>
                <w:noProof/>
              </w:rPr>
            </w:pPr>
            <w:r>
              <w:rPr>
                <w:noProof/>
              </w:rPr>
              <w:t>Sellaisten välineiden käyttöönotto, joilla parannetaan tietämystä vesivaroista ja niiden käyttöä sekä seurataan sademääriä ja muita säätietoja</w:t>
            </w:r>
          </w:p>
        </w:tc>
      </w:tr>
      <w:tr w:rsidR="000E48CE" w14:paraId="1B19C0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D66CA2" w14:textId="77777777" w:rsidR="000E48CE" w:rsidRDefault="00FF4C4E">
            <w:pPr>
              <w:pStyle w:val="P68B1DB1-Normal46"/>
              <w:spacing w:after="0" w:line="240" w:lineRule="auto"/>
              <w:jc w:val="center"/>
              <w:rPr>
                <w:rFonts w:eastAsia="Times New Roman" w:cs="Times New Roman"/>
                <w:noProof/>
              </w:rPr>
            </w:pPr>
            <w:r>
              <w:rPr>
                <w:noProof/>
              </w:rPr>
              <w:t>427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28394" w14:textId="77777777" w:rsidR="000E48CE" w:rsidRDefault="00FF4C4E">
            <w:pPr>
              <w:pStyle w:val="P68B1DB1-Normal46"/>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4EA101"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6836DD8" w14:textId="77777777" w:rsidR="000E48CE" w:rsidRDefault="00FF4C4E">
            <w:pPr>
              <w:pStyle w:val="P68B1DB1-Normal46"/>
              <w:spacing w:after="0" w:line="240" w:lineRule="auto"/>
              <w:rPr>
                <w:rFonts w:eastAsia="Times New Roman" w:cs="Times New Roman"/>
                <w:noProof/>
              </w:rPr>
            </w:pPr>
            <w:r>
              <w:rPr>
                <w:noProof/>
              </w:rPr>
              <w:t>Vesi- ja jätevesihuollon infrastruktuurien parantaminen</w:t>
            </w:r>
          </w:p>
        </w:tc>
      </w:tr>
      <w:tr w:rsidR="000E48CE" w14:paraId="30CAA2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EA731E" w14:textId="77777777" w:rsidR="000E48CE" w:rsidRDefault="00FF4C4E">
            <w:pPr>
              <w:pStyle w:val="P68B1DB1-Normal46"/>
              <w:spacing w:after="0" w:line="240" w:lineRule="auto"/>
              <w:jc w:val="center"/>
              <w:rPr>
                <w:rFonts w:eastAsia="Times New Roman" w:cs="Times New Roman"/>
                <w:noProof/>
              </w:rPr>
            </w:pPr>
            <w:r>
              <w:rPr>
                <w:noProof/>
              </w:rPr>
              <w:t>428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4F140C" w14:textId="77777777" w:rsidR="000E48CE" w:rsidRDefault="00FF4C4E">
            <w:pPr>
              <w:pStyle w:val="P68B1DB1-Normal46"/>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0FB82"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87D7A53" w14:textId="77777777" w:rsidR="000E48CE" w:rsidRDefault="00FF4C4E">
            <w:pPr>
              <w:pStyle w:val="P68B1DB1-Normal46"/>
              <w:spacing w:after="0" w:line="240" w:lineRule="auto"/>
              <w:rPr>
                <w:rFonts w:eastAsia="Times New Roman" w:cs="Times New Roman"/>
                <w:noProof/>
              </w:rPr>
            </w:pPr>
            <w:r>
              <w:rPr>
                <w:noProof/>
              </w:rPr>
              <w:t xml:space="preserve">Vesi- ja jätevesihuollon infrastruktuurien parantaminen </w:t>
            </w:r>
          </w:p>
        </w:tc>
      </w:tr>
      <w:tr w:rsidR="000E48CE" w14:paraId="03AE29D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CF056F" w14:textId="77777777" w:rsidR="000E48CE" w:rsidRDefault="00FF4C4E">
            <w:pPr>
              <w:pStyle w:val="P68B1DB1-Normal46"/>
              <w:spacing w:after="0" w:line="240" w:lineRule="auto"/>
              <w:jc w:val="center"/>
              <w:rPr>
                <w:rFonts w:eastAsia="Times New Roman" w:cs="Times New Roman"/>
                <w:noProof/>
              </w:rPr>
            </w:pPr>
            <w:r>
              <w:rPr>
                <w:noProof/>
              </w:rPr>
              <w:t>429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105D92" w14:textId="77777777" w:rsidR="000E48CE" w:rsidRDefault="00FF4C4E">
            <w:pPr>
              <w:pStyle w:val="P68B1DB1-Normal46"/>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E2999C"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72BBAE9" w14:textId="77777777" w:rsidR="000E48CE" w:rsidRDefault="00FF4C4E">
            <w:pPr>
              <w:pStyle w:val="P68B1DB1-Normal46"/>
              <w:spacing w:after="0" w:line="240" w:lineRule="auto"/>
              <w:rPr>
                <w:rFonts w:eastAsia="Times New Roman" w:cs="Times New Roman"/>
                <w:noProof/>
              </w:rPr>
            </w:pPr>
            <w:r>
              <w:rPr>
                <w:noProof/>
              </w:rPr>
              <w:t>Aurinkosähkön toimittaminen suolanpoistolaitoksille ja sen jakelu</w:t>
            </w:r>
          </w:p>
        </w:tc>
      </w:tr>
      <w:tr w:rsidR="000E48CE" w14:paraId="0379519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8771CC" w14:textId="77777777" w:rsidR="000E48CE" w:rsidRDefault="00FF4C4E">
            <w:pPr>
              <w:pStyle w:val="P68B1DB1-Normal46"/>
              <w:spacing w:after="0" w:line="240" w:lineRule="auto"/>
              <w:jc w:val="center"/>
              <w:rPr>
                <w:rFonts w:eastAsia="Times New Roman" w:cs="Times New Roman"/>
                <w:noProof/>
              </w:rPr>
            </w:pPr>
            <w:r>
              <w:rPr>
                <w:noProof/>
              </w:rPr>
              <w:t>430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6257966" w14:textId="77777777" w:rsidR="000E48CE" w:rsidRDefault="00FF4C4E">
            <w:pPr>
              <w:pStyle w:val="P68B1DB1-Normal46"/>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AF132D"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57F6604" w14:textId="77777777" w:rsidR="000E48CE" w:rsidRDefault="00FF4C4E">
            <w:pPr>
              <w:pStyle w:val="P68B1DB1-Normal46"/>
              <w:spacing w:after="0" w:line="240" w:lineRule="auto"/>
              <w:rPr>
                <w:rFonts w:eastAsia="Times New Roman" w:cs="Times New Roman"/>
                <w:noProof/>
              </w:rPr>
            </w:pPr>
            <w:r>
              <w:rPr>
                <w:noProof/>
              </w:rPr>
              <w:t>Vedenkäyttäjien digitalisointia koskevat PERTE-toimet</w:t>
            </w:r>
          </w:p>
        </w:tc>
      </w:tr>
      <w:tr w:rsidR="000E48CE" w14:paraId="1551400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3ADE4C" w14:textId="77777777" w:rsidR="000E48CE" w:rsidRDefault="00FF4C4E">
            <w:pPr>
              <w:pStyle w:val="P68B1DB1-Normal46"/>
              <w:spacing w:after="0" w:line="240" w:lineRule="auto"/>
              <w:jc w:val="center"/>
              <w:rPr>
                <w:rFonts w:eastAsia="Times New Roman" w:cs="Times New Roman"/>
                <w:noProof/>
              </w:rPr>
            </w:pPr>
            <w:r>
              <w:rPr>
                <w:noProof/>
              </w:rPr>
              <w:t>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EF368" w14:textId="77777777" w:rsidR="000E48CE" w:rsidRDefault="00FF4C4E">
            <w:pPr>
              <w:pStyle w:val="P68B1DB1-Normal46"/>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CC8E7"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423E1" w14:textId="77777777" w:rsidR="000E48CE" w:rsidRDefault="00FF4C4E">
            <w:pPr>
              <w:pStyle w:val="P68B1DB1-Normal46"/>
              <w:spacing w:after="0" w:line="240" w:lineRule="auto"/>
              <w:rPr>
                <w:rFonts w:eastAsia="Times New Roman" w:cs="Times New Roman"/>
                <w:noProof/>
              </w:rPr>
            </w:pPr>
            <w:r>
              <w:rPr>
                <w:noProof/>
              </w:rPr>
              <w:t xml:space="preserve">TEN-T-ydinverkko: töiden loppuun saattaminen </w:t>
            </w:r>
          </w:p>
        </w:tc>
      </w:tr>
      <w:tr w:rsidR="000E48CE" w14:paraId="75F70A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12762E" w14:textId="77777777" w:rsidR="000E48CE" w:rsidRDefault="00FF4C4E">
            <w:pPr>
              <w:pStyle w:val="P68B1DB1-Normal46"/>
              <w:spacing w:after="0" w:line="240" w:lineRule="auto"/>
              <w:jc w:val="center"/>
              <w:rPr>
                <w:rFonts w:eastAsia="Times New Roman" w:cs="Times New Roman"/>
                <w:noProof/>
              </w:rPr>
            </w:pPr>
            <w:r>
              <w:rPr>
                <w:noProof/>
              </w:rPr>
              <w:t>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CA58C" w14:textId="77777777" w:rsidR="000E48CE" w:rsidRDefault="00FF4C4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778F61"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C43377" w14:textId="77777777" w:rsidR="000E48CE" w:rsidRDefault="00FF4C4E">
            <w:pPr>
              <w:pStyle w:val="P68B1DB1-Normal46"/>
              <w:spacing w:after="0" w:line="240" w:lineRule="auto"/>
              <w:rPr>
                <w:rFonts w:eastAsia="Times New Roman" w:cs="Times New Roman"/>
                <w:noProof/>
              </w:rPr>
            </w:pPr>
            <w:r>
              <w:rPr>
                <w:noProof/>
              </w:rPr>
              <w:t xml:space="preserve">Uusi tai parannettu TEN-T-verkko, muut työt </w:t>
            </w:r>
          </w:p>
        </w:tc>
      </w:tr>
      <w:tr w:rsidR="000E48CE" w14:paraId="352D39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61CD18" w14:textId="77777777" w:rsidR="000E48CE" w:rsidRDefault="00FF4C4E">
            <w:pPr>
              <w:pStyle w:val="P68B1DB1-Normal46"/>
              <w:spacing w:after="0" w:line="240" w:lineRule="auto"/>
              <w:jc w:val="center"/>
              <w:rPr>
                <w:rFonts w:eastAsia="Times New Roman" w:cs="Times New Roman"/>
                <w:noProof/>
              </w:rPr>
            </w:pPr>
            <w:r>
              <w:rPr>
                <w:noProof/>
              </w:rPr>
              <w:t>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5CC63" w14:textId="77777777" w:rsidR="000E48CE" w:rsidRDefault="00FF4C4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7ED46C"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1A800A2" w14:textId="77777777" w:rsidR="000E48CE" w:rsidRDefault="00FF4C4E">
            <w:pPr>
              <w:pStyle w:val="P68B1DB1-Normal46"/>
              <w:spacing w:after="0" w:line="240" w:lineRule="auto"/>
              <w:rPr>
                <w:rFonts w:eastAsia="Times New Roman" w:cs="Times New Roman"/>
                <w:noProof/>
              </w:rPr>
            </w:pPr>
            <w:r>
              <w:rPr>
                <w:noProof/>
              </w:rPr>
              <w:t>Yhtenäinen eurooppalainen ilmatila: hankkeen loppuun saattaminen</w:t>
            </w:r>
          </w:p>
        </w:tc>
      </w:tr>
      <w:tr w:rsidR="000E48CE" w14:paraId="4F4625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2DF2" w14:textId="77777777" w:rsidR="000E48CE" w:rsidRDefault="00FF4C4E">
            <w:pPr>
              <w:pStyle w:val="P68B1DB1-Normal46"/>
              <w:spacing w:after="0" w:line="240" w:lineRule="auto"/>
              <w:jc w:val="center"/>
              <w:rPr>
                <w:rFonts w:eastAsia="Times New Roman" w:cs="Times New Roman"/>
                <w:noProof/>
              </w:rPr>
            </w:pPr>
            <w:r>
              <w:rPr>
                <w:noProof/>
              </w:rPr>
              <w:t>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D95350" w14:textId="77777777" w:rsidR="000E48CE" w:rsidRDefault="00FF4C4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5DF8F6"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324A121" w14:textId="77777777" w:rsidR="000E48CE" w:rsidRDefault="00FF4C4E">
            <w:pPr>
              <w:pStyle w:val="P68B1DB1-Normal46"/>
              <w:spacing w:after="0" w:line="240" w:lineRule="auto"/>
              <w:rPr>
                <w:rFonts w:eastAsia="Times New Roman" w:cs="Times New Roman"/>
                <w:noProof/>
              </w:rPr>
            </w:pPr>
            <w:r>
              <w:rPr>
                <w:noProof/>
              </w:rPr>
              <w:t xml:space="preserve">Voimassa olevan sääntelyn mukaisesti mukautettu valtiontieverkko </w:t>
            </w:r>
          </w:p>
        </w:tc>
      </w:tr>
      <w:tr w:rsidR="000E48CE" w14:paraId="3675B5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17FBBB" w14:textId="77777777" w:rsidR="000E48CE" w:rsidRDefault="00FF4C4E">
            <w:pPr>
              <w:pStyle w:val="P68B1DB1-Normal46"/>
              <w:spacing w:after="0" w:line="240" w:lineRule="auto"/>
              <w:jc w:val="center"/>
              <w:rPr>
                <w:rFonts w:eastAsia="Times New Roman" w:cs="Times New Roman"/>
                <w:noProof/>
              </w:rPr>
            </w:pPr>
            <w:r>
              <w:rPr>
                <w:noProof/>
              </w:rPr>
              <w:t>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2102F0" w14:textId="77777777" w:rsidR="000E48CE" w:rsidRDefault="00FF4C4E">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7A6809"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F5F99C" w14:textId="77777777" w:rsidR="000E48CE" w:rsidRDefault="00FF4C4E">
            <w:pPr>
              <w:pStyle w:val="P68B1DB1-Normal46"/>
              <w:spacing w:after="0" w:line="240" w:lineRule="auto"/>
              <w:rPr>
                <w:rFonts w:eastAsia="Times New Roman" w:cs="Times New Roman"/>
                <w:noProof/>
              </w:rPr>
            </w:pPr>
            <w:r>
              <w:rPr>
                <w:noProof/>
              </w:rPr>
              <w:t xml:space="preserve">Intermodaalinen ja logistinen infrastruktuuri  </w:t>
            </w:r>
          </w:p>
        </w:tc>
      </w:tr>
      <w:tr w:rsidR="000E48CE" w14:paraId="1ACC4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BE1C0B" w14:textId="77777777" w:rsidR="000E48CE" w:rsidRDefault="00FF4C4E">
            <w:pPr>
              <w:pStyle w:val="P68B1DB1-Normal46"/>
              <w:spacing w:after="0" w:line="240" w:lineRule="auto"/>
              <w:jc w:val="center"/>
              <w:rPr>
                <w:rFonts w:eastAsia="Times New Roman" w:cs="Times New Roman"/>
                <w:noProof/>
              </w:rPr>
            </w:pPr>
            <w:r>
              <w:rPr>
                <w:noProof/>
              </w:rPr>
              <w:t>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6BF18" w14:textId="77777777" w:rsidR="000E48CE" w:rsidRDefault="00FF4C4E">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1DC12E"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8C3CB" w14:textId="77777777" w:rsidR="000E48CE" w:rsidRDefault="00FF4C4E">
            <w:pPr>
              <w:pStyle w:val="P68B1DB1-Normal46"/>
              <w:spacing w:after="0" w:line="240" w:lineRule="auto"/>
              <w:rPr>
                <w:rFonts w:eastAsia="Times New Roman" w:cs="Times New Roman"/>
                <w:noProof/>
              </w:rPr>
            </w:pPr>
            <w:r>
              <w:rPr>
                <w:noProof/>
              </w:rPr>
              <w:t xml:space="preserve">Rautateiden esteettömyyttä ja satamien kestävyyttä koskevien hankkeiden loppuun saattaminen </w:t>
            </w:r>
          </w:p>
        </w:tc>
      </w:tr>
      <w:tr w:rsidR="000E48CE" w14:paraId="62C2EF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61E851" w14:textId="77777777" w:rsidR="000E48CE" w:rsidRDefault="00FF4C4E">
            <w:pPr>
              <w:pStyle w:val="P68B1DB1-Normal46"/>
              <w:spacing w:after="0" w:line="240" w:lineRule="auto"/>
              <w:jc w:val="center"/>
              <w:rPr>
                <w:rFonts w:eastAsia="Times New Roman" w:cs="Times New Roman"/>
                <w:noProof/>
              </w:rPr>
            </w:pPr>
            <w:r>
              <w:rPr>
                <w:noProof/>
              </w:rPr>
              <w:t>101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1A3CF4" w14:textId="77777777" w:rsidR="000E48CE" w:rsidRDefault="00FF4C4E">
            <w:pPr>
              <w:pStyle w:val="P68B1DB1-Normal46"/>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A101BB"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CC3967" w14:textId="77777777" w:rsidR="000E48CE" w:rsidRDefault="00FF4C4E">
            <w:pPr>
              <w:pStyle w:val="P68B1DB1-Normal46"/>
              <w:spacing w:after="0" w:line="240" w:lineRule="auto"/>
              <w:rPr>
                <w:rFonts w:eastAsia="Times New Roman" w:cs="Times New Roman"/>
                <w:noProof/>
              </w:rPr>
            </w:pPr>
            <w:r>
              <w:rPr>
                <w:noProof/>
              </w:rPr>
              <w:t xml:space="preserve">Kestävä ja </w:t>
            </w:r>
            <w:r>
              <w:rPr>
                <w:noProof/>
              </w:rPr>
              <w:t>digitaalinen liikenne: töiden loppuun saattaminen</w:t>
            </w:r>
          </w:p>
        </w:tc>
      </w:tr>
      <w:tr w:rsidR="000E48CE" w14:paraId="00A47A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67D541" w14:textId="77777777" w:rsidR="000E48CE" w:rsidRDefault="00FF4C4E">
            <w:pPr>
              <w:pStyle w:val="P68B1DB1-Normal46"/>
              <w:spacing w:after="0" w:line="240" w:lineRule="auto"/>
              <w:jc w:val="center"/>
              <w:rPr>
                <w:rFonts w:eastAsia="Times New Roman" w:cs="Times New Roman"/>
                <w:noProof/>
              </w:rPr>
            </w:pPr>
            <w:r>
              <w:rPr>
                <w:noProof/>
              </w:rPr>
              <w:t>117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6D0259" w14:textId="77777777" w:rsidR="000E48CE" w:rsidRDefault="00FF4C4E">
            <w:pPr>
              <w:pStyle w:val="P68B1DB1-Normal46"/>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FFBAD1"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AEBD64" w14:textId="77777777" w:rsidR="000E48CE" w:rsidRDefault="00FF4C4E">
            <w:pPr>
              <w:pStyle w:val="P68B1DB1-Normal46"/>
              <w:spacing w:after="0" w:line="240" w:lineRule="auto"/>
              <w:rPr>
                <w:rFonts w:eastAsia="Times New Roman" w:cs="Times New Roman"/>
                <w:noProof/>
              </w:rPr>
            </w:pPr>
            <w:r>
              <w:rPr>
                <w:noProof/>
              </w:rPr>
              <w:t>Innovatiivisen tai lisäarvoa tuottavan uusiutuvan energian tuotantokapasiteetin lisääminen</w:t>
            </w:r>
          </w:p>
        </w:tc>
      </w:tr>
      <w:tr w:rsidR="000E48CE" w14:paraId="7C9458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D2E50" w14:textId="77777777" w:rsidR="000E48CE" w:rsidRDefault="00FF4C4E">
            <w:pPr>
              <w:pStyle w:val="P68B1DB1-Normal46"/>
              <w:spacing w:after="0" w:line="240" w:lineRule="auto"/>
              <w:jc w:val="center"/>
              <w:rPr>
                <w:rFonts w:eastAsia="Times New Roman" w:cs="Times New Roman"/>
                <w:noProof/>
              </w:rPr>
            </w:pPr>
            <w:r>
              <w:rPr>
                <w:noProof/>
              </w:rPr>
              <w:t>120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E67F6A" w14:textId="77777777" w:rsidR="000E48CE" w:rsidRDefault="00FF4C4E">
            <w:pPr>
              <w:pStyle w:val="P68B1DB1-Normal46"/>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B2EE55"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6E1124" w14:textId="77777777" w:rsidR="000E48CE" w:rsidRDefault="00FF4C4E">
            <w:pPr>
              <w:pStyle w:val="P68B1DB1-Normal46"/>
              <w:spacing w:after="0" w:line="240" w:lineRule="auto"/>
              <w:rPr>
                <w:rFonts w:eastAsia="Times New Roman" w:cs="Times New Roman"/>
                <w:noProof/>
              </w:rPr>
            </w:pPr>
            <w:r>
              <w:rPr>
                <w:noProof/>
              </w:rPr>
              <w:t>Uusiutuvan energian tuotantokapasiteetin lisääminen saarilla</w:t>
            </w:r>
          </w:p>
        </w:tc>
      </w:tr>
      <w:tr w:rsidR="000E48CE" w14:paraId="614DCF1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2C8E4" w14:textId="77777777" w:rsidR="000E48CE" w:rsidRDefault="00FF4C4E">
            <w:pPr>
              <w:pStyle w:val="P68B1DB1-Normal46"/>
              <w:spacing w:after="0" w:line="240" w:lineRule="auto"/>
              <w:jc w:val="center"/>
              <w:rPr>
                <w:rFonts w:eastAsia="Times New Roman" w:cs="Times New Roman"/>
                <w:noProof/>
              </w:rPr>
            </w:pPr>
            <w:r>
              <w:rPr>
                <w:noProof/>
              </w:rPr>
              <w:t>126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81B728" w14:textId="77777777" w:rsidR="000E48CE" w:rsidRDefault="00FF4C4E">
            <w:pPr>
              <w:pStyle w:val="P68B1DB1-Normal46"/>
              <w:spacing w:after="0" w:line="240" w:lineRule="auto"/>
              <w:rPr>
                <w:rFonts w:eastAsia="Times New Roman" w:cs="Times New Roman"/>
                <w:noProof/>
              </w:rPr>
            </w:pPr>
            <w:r>
              <w:rPr>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5C5BAF"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646FA" w14:textId="77777777" w:rsidR="000E48CE" w:rsidRDefault="00FF4C4E">
            <w:pPr>
              <w:pStyle w:val="P68B1DB1-Normal46"/>
              <w:spacing w:after="0" w:line="240" w:lineRule="auto"/>
              <w:rPr>
                <w:rFonts w:eastAsia="Times New Roman" w:cs="Times New Roman"/>
                <w:noProof/>
              </w:rPr>
            </w:pPr>
            <w:r>
              <w:rPr>
                <w:noProof/>
              </w:rPr>
              <w:t xml:space="preserve">Innovatiiviset varastointihankkeet toiminnassa </w:t>
            </w:r>
          </w:p>
        </w:tc>
      </w:tr>
      <w:tr w:rsidR="000E48CE" w14:paraId="08AD8C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10DAEE6" w14:textId="77777777" w:rsidR="000E48CE" w:rsidRDefault="00FF4C4E">
            <w:pPr>
              <w:pStyle w:val="P68B1DB1-Normal46"/>
              <w:spacing w:after="0" w:line="240" w:lineRule="auto"/>
              <w:jc w:val="center"/>
              <w:rPr>
                <w:rFonts w:eastAsia="Times New Roman" w:cs="Times New Roman"/>
                <w:noProof/>
              </w:rPr>
            </w:pPr>
            <w:r>
              <w:rPr>
                <w:noProof/>
              </w:rPr>
              <w:t>136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FB5A5E" w14:textId="77777777" w:rsidR="000E48CE" w:rsidRDefault="00FF4C4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C66D17"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C53DF63" w14:textId="77777777" w:rsidR="000E48CE" w:rsidRDefault="00FF4C4E">
            <w:pPr>
              <w:pStyle w:val="P68B1DB1-Normal46"/>
              <w:spacing w:after="0" w:line="240" w:lineRule="auto"/>
              <w:rPr>
                <w:rFonts w:eastAsia="Times New Roman" w:cs="Times New Roman"/>
                <w:noProof/>
              </w:rPr>
            </w:pPr>
            <w:r>
              <w:rPr>
                <w:noProof/>
              </w:rPr>
              <w:t>Hyväksytyn elektrolyysilaitteen kapasiteetti</w:t>
            </w:r>
          </w:p>
        </w:tc>
      </w:tr>
      <w:tr w:rsidR="000E48CE" w14:paraId="315D87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02DBF3" w14:textId="77777777" w:rsidR="000E48CE" w:rsidRDefault="00FF4C4E">
            <w:pPr>
              <w:pStyle w:val="P68B1DB1-Normal46"/>
              <w:spacing w:after="0" w:line="240" w:lineRule="auto"/>
              <w:jc w:val="center"/>
              <w:rPr>
                <w:rFonts w:eastAsia="Times New Roman" w:cs="Times New Roman"/>
                <w:noProof/>
              </w:rPr>
            </w:pPr>
            <w:r>
              <w:rPr>
                <w:noProof/>
              </w:rPr>
              <w:t>143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BCB9F0" w14:textId="77777777" w:rsidR="000E48CE" w:rsidRDefault="00FF4C4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362306"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FEA7A2B" w14:textId="77777777" w:rsidR="000E48CE" w:rsidRDefault="00FF4C4E">
            <w:pPr>
              <w:pStyle w:val="P68B1DB1-Normal46"/>
              <w:spacing w:after="0" w:line="240" w:lineRule="auto"/>
              <w:rPr>
                <w:rFonts w:eastAsia="Times New Roman" w:cs="Times New Roman"/>
                <w:noProof/>
              </w:rPr>
            </w:pPr>
            <w:r>
              <w:rPr>
                <w:noProof/>
              </w:rPr>
              <w:t>Kunnostettu maa suljetuissa hiilikaivoksissa tai voimalaitosten viereisillä alueilla.</w:t>
            </w:r>
          </w:p>
        </w:tc>
      </w:tr>
      <w:tr w:rsidR="000E48CE" w14:paraId="19FA120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131035" w14:textId="77777777" w:rsidR="000E48CE" w:rsidRDefault="00FF4C4E">
            <w:pPr>
              <w:pStyle w:val="P68B1DB1-Normal46"/>
              <w:spacing w:after="0" w:line="240" w:lineRule="auto"/>
              <w:jc w:val="center"/>
              <w:rPr>
                <w:rFonts w:eastAsia="Times New Roman" w:cs="Times New Roman"/>
                <w:noProof/>
              </w:rPr>
            </w:pPr>
            <w:r>
              <w:rPr>
                <w:noProof/>
              </w:rPr>
              <w:t>169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19F37" w14:textId="77777777" w:rsidR="000E48CE" w:rsidRDefault="00FF4C4E">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25D26D"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4068A72" w14:textId="77777777" w:rsidR="000E48CE" w:rsidRDefault="00FF4C4E">
            <w:pPr>
              <w:pStyle w:val="P68B1DB1-Normal46"/>
              <w:spacing w:after="0" w:line="240" w:lineRule="auto"/>
              <w:rPr>
                <w:rFonts w:eastAsia="Times New Roman" w:cs="Times New Roman"/>
                <w:noProof/>
              </w:rPr>
            </w:pPr>
            <w:r>
              <w:rPr>
                <w:noProof/>
              </w:rPr>
              <w:t>Kaikkien alue- ja paikallishallinnon</w:t>
            </w:r>
            <w:r>
              <w:rPr>
                <w:noProof/>
              </w:rPr>
              <w:t xml:space="preserve"> sekä aluepolitiikasta ja julkishallinnosta vastaavan ministeriön digitalisaatiota tukevien hankkeiden loppuun saattaminen</w:t>
            </w:r>
          </w:p>
        </w:tc>
      </w:tr>
      <w:tr w:rsidR="000E48CE" w14:paraId="1DB647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917AFE" w14:textId="77777777" w:rsidR="000E48CE" w:rsidRDefault="00FF4C4E">
            <w:pPr>
              <w:pStyle w:val="P68B1DB1-Normal46"/>
              <w:spacing w:after="0" w:line="240" w:lineRule="auto"/>
              <w:jc w:val="center"/>
              <w:rPr>
                <w:rFonts w:eastAsia="Times New Roman" w:cs="Times New Roman"/>
                <w:noProof/>
              </w:rPr>
            </w:pPr>
            <w:r>
              <w:rPr>
                <w:noProof/>
              </w:rPr>
              <w:t>438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2838D1" w14:textId="77777777" w:rsidR="000E48CE" w:rsidRDefault="00FF4C4E">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87BE6"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555F575" w14:textId="77777777" w:rsidR="000E48CE" w:rsidRDefault="00FF4C4E">
            <w:pPr>
              <w:pStyle w:val="P68B1DB1-Normal46"/>
              <w:spacing w:after="0" w:line="240" w:lineRule="auto"/>
              <w:rPr>
                <w:rFonts w:eastAsia="Times New Roman" w:cs="Times New Roman"/>
                <w:noProof/>
              </w:rPr>
            </w:pPr>
            <w:r>
              <w:rPr>
                <w:noProof/>
              </w:rPr>
              <w:t>Henkilökohtaista digitaalista hoitoa koskeva suunnitelma pantu täytäntöön</w:t>
            </w:r>
          </w:p>
        </w:tc>
      </w:tr>
      <w:tr w:rsidR="000E48CE" w14:paraId="7CBB5F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D80923" w14:textId="77777777" w:rsidR="000E48CE" w:rsidRDefault="00FF4C4E">
            <w:pPr>
              <w:pStyle w:val="P68B1DB1-Normal46"/>
              <w:spacing w:after="0" w:line="240" w:lineRule="auto"/>
              <w:jc w:val="center"/>
              <w:rPr>
                <w:rFonts w:eastAsia="Times New Roman" w:cs="Times New Roman"/>
                <w:noProof/>
              </w:rPr>
            </w:pPr>
            <w:r>
              <w:rPr>
                <w:noProof/>
              </w:rPr>
              <w:t>172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367F9" w14:textId="77777777" w:rsidR="000E48CE" w:rsidRDefault="00FF4C4E">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18706F"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59E15E8" w14:textId="77777777" w:rsidR="000E48CE" w:rsidRDefault="00FF4C4E">
            <w:pPr>
              <w:pStyle w:val="P68B1DB1-Normal46"/>
              <w:spacing w:after="0" w:line="240" w:lineRule="auto"/>
              <w:rPr>
                <w:rFonts w:eastAsia="Times New Roman" w:cs="Times New Roman"/>
                <w:noProof/>
              </w:rPr>
            </w:pPr>
            <w:r>
              <w:rPr>
                <w:noProof/>
              </w:rPr>
              <w:t xml:space="preserve">Julkisten rakennusten </w:t>
            </w:r>
            <w:r>
              <w:rPr>
                <w:noProof/>
              </w:rPr>
              <w:t>energiaperuskorjaukset (1 050 000 m²)</w:t>
            </w:r>
          </w:p>
        </w:tc>
      </w:tr>
      <w:tr w:rsidR="000E48CE" w14:paraId="3AEC4A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456253" w14:textId="77777777" w:rsidR="000E48CE" w:rsidRDefault="00FF4C4E">
            <w:pPr>
              <w:pStyle w:val="P68B1DB1-Normal46"/>
              <w:spacing w:after="0" w:line="240" w:lineRule="auto"/>
              <w:jc w:val="center"/>
              <w:rPr>
                <w:rFonts w:eastAsia="Times New Roman" w:cs="Times New Roman"/>
                <w:noProof/>
              </w:rPr>
            </w:pPr>
            <w:r>
              <w:rPr>
                <w:noProof/>
              </w:rPr>
              <w:t>439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D9DC32" w14:textId="77777777" w:rsidR="000E48CE" w:rsidRDefault="00FF4C4E">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E16666"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2210D3" w14:textId="77777777" w:rsidR="000E48CE" w:rsidRDefault="00FF4C4E">
            <w:pPr>
              <w:pStyle w:val="P68B1DB1-Normal46"/>
              <w:spacing w:after="0" w:line="240" w:lineRule="auto"/>
              <w:rPr>
                <w:rFonts w:eastAsia="Times New Roman" w:cs="Times New Roman"/>
                <w:noProof/>
              </w:rPr>
            </w:pPr>
            <w:r>
              <w:rPr>
                <w:noProof/>
              </w:rPr>
              <w:t>Aurinkosähköjärjestelmien tai muiden uusiutuvien energialähteiden käyttöönotto keskushallinnon laitoksissa</w:t>
            </w:r>
          </w:p>
        </w:tc>
      </w:tr>
      <w:tr w:rsidR="000E48CE" w14:paraId="342E7C5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E7F879" w14:textId="77777777" w:rsidR="000E48CE" w:rsidRDefault="00FF4C4E">
            <w:pPr>
              <w:pStyle w:val="P68B1DB1-Normal46"/>
              <w:spacing w:after="0" w:line="240" w:lineRule="auto"/>
              <w:jc w:val="center"/>
              <w:rPr>
                <w:rFonts w:eastAsia="Times New Roman" w:cs="Times New Roman"/>
                <w:noProof/>
              </w:rPr>
            </w:pPr>
            <w:r>
              <w:rPr>
                <w:noProof/>
              </w:rPr>
              <w:t>175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340149" w14:textId="77777777" w:rsidR="000E48CE" w:rsidRDefault="00FF4C4E">
            <w:pPr>
              <w:pStyle w:val="P68B1DB1-Normal46"/>
              <w:spacing w:after="0" w:line="240" w:lineRule="auto"/>
              <w:rPr>
                <w:rFonts w:eastAsia="Times New Roman" w:cs="Times New Roman"/>
                <w:noProof/>
              </w:rPr>
            </w:pPr>
            <w:r>
              <w:rPr>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224ABA"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3998921" w14:textId="77777777" w:rsidR="000E48CE" w:rsidRDefault="00FF4C4E">
            <w:pPr>
              <w:pStyle w:val="P68B1DB1-Normal46"/>
              <w:spacing w:after="0" w:line="240" w:lineRule="auto"/>
              <w:rPr>
                <w:rFonts w:eastAsia="Times New Roman" w:cs="Times New Roman"/>
                <w:noProof/>
              </w:rPr>
            </w:pPr>
            <w:r>
              <w:rPr>
                <w:noProof/>
              </w:rPr>
              <w:t xml:space="preserve">Koulutettu julkishallinnon henkilöstö </w:t>
            </w:r>
          </w:p>
        </w:tc>
      </w:tr>
      <w:tr w:rsidR="000E48CE" w14:paraId="6DDE5F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6629FE" w14:textId="77777777" w:rsidR="000E48CE" w:rsidRDefault="00FF4C4E">
            <w:pPr>
              <w:pStyle w:val="P68B1DB1-Normal46"/>
              <w:spacing w:after="0" w:line="240" w:lineRule="auto"/>
              <w:jc w:val="center"/>
              <w:rPr>
                <w:rFonts w:eastAsia="Times New Roman" w:cs="Times New Roman"/>
                <w:noProof/>
              </w:rPr>
            </w:pPr>
            <w:r>
              <w:rPr>
                <w:noProof/>
              </w:rPr>
              <w:t>180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65DB2D" w14:textId="77777777" w:rsidR="000E48CE" w:rsidRDefault="00FF4C4E">
            <w:pPr>
              <w:pStyle w:val="P68B1DB1-Normal46"/>
              <w:spacing w:after="0" w:line="240" w:lineRule="auto"/>
              <w:rPr>
                <w:rFonts w:eastAsia="Times New Roman" w:cs="Times New Roman"/>
                <w:noProof/>
              </w:rPr>
            </w:pPr>
            <w:r>
              <w:rPr>
                <w:noProof/>
              </w:rPr>
              <w:t>C12.I1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962864"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982C0A" w14:textId="77777777" w:rsidR="000E48CE" w:rsidRDefault="00FF4C4E">
            <w:pPr>
              <w:pStyle w:val="P68B1DB1-Normal46"/>
              <w:spacing w:after="0" w:line="240" w:lineRule="auto"/>
              <w:rPr>
                <w:rFonts w:eastAsia="Times New Roman" w:cs="Times New Roman"/>
                <w:noProof/>
              </w:rPr>
            </w:pPr>
            <w:r>
              <w:rPr>
                <w:noProof/>
              </w:rPr>
              <w:t xml:space="preserve">Arvokkaat alakohtaiset ja </w:t>
            </w:r>
            <w:r>
              <w:rPr>
                <w:noProof/>
              </w:rPr>
              <w:t>yhteentoimivat data-avaruudet</w:t>
            </w:r>
          </w:p>
        </w:tc>
      </w:tr>
      <w:tr w:rsidR="000E48CE" w14:paraId="335403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0E82C9" w14:textId="77777777" w:rsidR="000E48CE" w:rsidRDefault="00FF4C4E">
            <w:pPr>
              <w:pStyle w:val="P68B1DB1-Normal46"/>
              <w:spacing w:after="0" w:line="240" w:lineRule="auto"/>
              <w:jc w:val="center"/>
              <w:rPr>
                <w:rFonts w:eastAsia="Times New Roman" w:cs="Times New Roman"/>
                <w:noProof/>
              </w:rPr>
            </w:pPr>
            <w:r>
              <w:rPr>
                <w:noProof/>
              </w:rPr>
              <w:t>186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BC12CA" w14:textId="77777777" w:rsidR="000E48CE" w:rsidRDefault="00FF4C4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29AAF3"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D8FDE68" w14:textId="77777777" w:rsidR="000E48CE" w:rsidRDefault="00FF4C4E">
            <w:pPr>
              <w:pStyle w:val="P68B1DB1-Normal46"/>
              <w:spacing w:after="0" w:line="240" w:lineRule="auto"/>
              <w:rPr>
                <w:rFonts w:eastAsia="Times New Roman" w:cs="Times New Roman"/>
                <w:noProof/>
              </w:rPr>
            </w:pPr>
            <w:r>
              <w:rPr>
                <w:noProof/>
              </w:rPr>
              <w:t>Teollisuuden muutoshankkeiden ja innovatiivisten hankkeiden loppuun saattaminen</w:t>
            </w:r>
          </w:p>
        </w:tc>
      </w:tr>
      <w:tr w:rsidR="000E48CE" w14:paraId="587C2F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084661" w14:textId="77777777" w:rsidR="000E48CE" w:rsidRDefault="00FF4C4E">
            <w:pPr>
              <w:pStyle w:val="P68B1DB1-Normal46"/>
              <w:spacing w:after="0" w:line="240" w:lineRule="auto"/>
              <w:jc w:val="center"/>
              <w:rPr>
                <w:rFonts w:eastAsia="Times New Roman" w:cs="Times New Roman"/>
                <w:noProof/>
              </w:rPr>
            </w:pPr>
            <w:r>
              <w:rPr>
                <w:noProof/>
              </w:rPr>
              <w:t>188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D80BEB9" w14:textId="77777777" w:rsidR="000E48CE" w:rsidRDefault="00FF4C4E">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217DA0"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DD225D" w14:textId="77777777" w:rsidR="000E48CE" w:rsidRDefault="00FF4C4E">
            <w:pPr>
              <w:pStyle w:val="P68B1DB1-Normal46"/>
              <w:spacing w:after="0" w:line="240" w:lineRule="auto"/>
              <w:rPr>
                <w:rFonts w:eastAsia="Times New Roman" w:cs="Times New Roman"/>
                <w:noProof/>
              </w:rPr>
            </w:pPr>
            <w:r>
              <w:rPr>
                <w:noProof/>
              </w:rPr>
              <w:t>Erilliskerätyn yhdyskuntajätteen lisääminen</w:t>
            </w:r>
          </w:p>
        </w:tc>
      </w:tr>
      <w:tr w:rsidR="000E48CE" w14:paraId="678335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2FEEA0" w14:textId="77777777" w:rsidR="000E48CE" w:rsidRDefault="00FF4C4E">
            <w:pPr>
              <w:pStyle w:val="P68B1DB1-Normal46"/>
              <w:spacing w:after="0" w:line="240" w:lineRule="auto"/>
              <w:jc w:val="center"/>
              <w:rPr>
                <w:rFonts w:eastAsia="Times New Roman" w:cs="Times New Roman"/>
                <w:noProof/>
              </w:rPr>
            </w:pPr>
            <w:r>
              <w:rPr>
                <w:noProof/>
              </w:rPr>
              <w:t>443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E22C71" w14:textId="77777777" w:rsidR="000E48CE" w:rsidRDefault="00FF4C4E">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CFCD5B"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E0601E3" w14:textId="77777777" w:rsidR="000E48CE" w:rsidRDefault="00FF4C4E">
            <w:pPr>
              <w:pStyle w:val="P68B1DB1-Normal46"/>
              <w:spacing w:after="0" w:line="240" w:lineRule="auto"/>
              <w:rPr>
                <w:rFonts w:eastAsia="Times New Roman" w:cs="Times New Roman"/>
                <w:noProof/>
              </w:rPr>
            </w:pPr>
            <w:r>
              <w:rPr>
                <w:noProof/>
              </w:rPr>
              <w:t>Jätehuoltoon liittyvien hankkeiden loppuun saattaminen</w:t>
            </w:r>
          </w:p>
        </w:tc>
      </w:tr>
      <w:tr w:rsidR="000E48CE" w14:paraId="300F47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C7AD6" w14:textId="77777777" w:rsidR="000E48CE" w:rsidRDefault="00FF4C4E">
            <w:pPr>
              <w:pStyle w:val="P68B1DB1-Normal46"/>
              <w:spacing w:after="0" w:line="240" w:lineRule="auto"/>
              <w:jc w:val="center"/>
              <w:rPr>
                <w:rFonts w:eastAsia="Times New Roman" w:cs="Times New Roman"/>
                <w:noProof/>
              </w:rPr>
            </w:pPr>
            <w:r>
              <w:rPr>
                <w:noProof/>
              </w:rPr>
              <w:t>445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1436E" w14:textId="77777777" w:rsidR="000E48CE" w:rsidRDefault="00FF4C4E">
            <w:pPr>
              <w:pStyle w:val="P68B1DB1-Normal46"/>
              <w:spacing w:after="0" w:line="240" w:lineRule="auto"/>
              <w:rPr>
                <w:rFonts w:eastAsia="Times New Roman" w:cs="Times New Roman"/>
                <w:noProof/>
              </w:rPr>
            </w:pPr>
            <w:r>
              <w:rPr>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B484B6"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8542B55" w14:textId="77777777" w:rsidR="000E48CE" w:rsidRDefault="00FF4C4E">
            <w:pPr>
              <w:pStyle w:val="P68B1DB1-Normal46"/>
              <w:spacing w:after="0" w:line="240" w:lineRule="auto"/>
              <w:rPr>
                <w:rFonts w:eastAsia="Times New Roman" w:cs="Times New Roman"/>
                <w:noProof/>
              </w:rPr>
            </w:pPr>
            <w:r>
              <w:rPr>
                <w:noProof/>
              </w:rPr>
              <w:t xml:space="preserve">PERTE-SIRU. Puolijohteiden arvoketjun vahvistaminen (II).   </w:t>
            </w:r>
          </w:p>
        </w:tc>
      </w:tr>
      <w:tr w:rsidR="000E48CE" w14:paraId="00397E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306FE" w14:textId="77777777" w:rsidR="000E48CE" w:rsidRDefault="00FF4C4E">
            <w:pPr>
              <w:pStyle w:val="P68B1DB1-Normal46"/>
              <w:spacing w:after="0" w:line="240" w:lineRule="auto"/>
              <w:jc w:val="center"/>
              <w:rPr>
                <w:rFonts w:eastAsia="Times New Roman" w:cs="Times New Roman"/>
                <w:noProof/>
              </w:rPr>
            </w:pPr>
            <w:r>
              <w:rPr>
                <w:noProof/>
              </w:rPr>
              <w:t>448c</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A0308B" w14:textId="77777777" w:rsidR="000E48CE" w:rsidRDefault="00FF4C4E">
            <w:pPr>
              <w:pStyle w:val="P68B1DB1-Normal46"/>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72F80D"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A2BCFF" w14:textId="77777777" w:rsidR="000E48CE" w:rsidRDefault="00FF4C4E">
            <w:pPr>
              <w:pStyle w:val="P68B1DB1-Normal46"/>
              <w:spacing w:after="0" w:line="240" w:lineRule="auto"/>
              <w:rPr>
                <w:rFonts w:eastAsia="Times New Roman" w:cs="Times New Roman"/>
                <w:noProof/>
              </w:rPr>
            </w:pPr>
            <w:r>
              <w:rPr>
                <w:noProof/>
              </w:rPr>
              <w:t>Sähköajoneuvoalan tukiohjelma (avustukset): Lopullisten edunsaajien kanssa allekirjoitetut oikeudelliset sopimukset tai lopulliset myöntämispäätökset julkaistu</w:t>
            </w:r>
          </w:p>
        </w:tc>
      </w:tr>
      <w:tr w:rsidR="000E48CE" w14:paraId="48438A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ADEBAB" w14:textId="77777777" w:rsidR="000E48CE" w:rsidRDefault="00FF4C4E">
            <w:pPr>
              <w:pStyle w:val="P68B1DB1-Normal46"/>
              <w:spacing w:after="0" w:line="240" w:lineRule="auto"/>
              <w:jc w:val="center"/>
              <w:rPr>
                <w:rFonts w:eastAsia="Times New Roman" w:cs="Times New Roman"/>
                <w:noProof/>
              </w:rPr>
            </w:pPr>
            <w:r>
              <w:rPr>
                <w:noProof/>
              </w:rPr>
              <w:t>221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36C75C" w14:textId="77777777" w:rsidR="000E48CE" w:rsidRDefault="00FF4C4E">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AB3D1"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F2136E3" w14:textId="77777777" w:rsidR="000E48CE" w:rsidRDefault="00FF4C4E">
            <w:pPr>
              <w:pStyle w:val="P68B1DB1-Normal46"/>
              <w:spacing w:after="0" w:line="240" w:lineRule="auto"/>
              <w:rPr>
                <w:rFonts w:eastAsia="Times New Roman" w:cs="Times New Roman"/>
                <w:noProof/>
              </w:rPr>
            </w:pPr>
            <w:r>
              <w:rPr>
                <w:noProof/>
              </w:rPr>
              <w:t xml:space="preserve">Matkailukohteiden kestävyyttä edistävien hankkeiden loppuun saattaminen </w:t>
            </w:r>
          </w:p>
        </w:tc>
      </w:tr>
      <w:tr w:rsidR="000E48CE" w14:paraId="333BC2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F550C" w14:textId="77777777" w:rsidR="000E48CE" w:rsidRDefault="00FF4C4E">
            <w:pPr>
              <w:pStyle w:val="P68B1DB1-Normal46"/>
              <w:spacing w:after="0" w:line="240" w:lineRule="auto"/>
              <w:jc w:val="center"/>
              <w:rPr>
                <w:rFonts w:eastAsia="Times New Roman" w:cs="Times New Roman"/>
                <w:noProof/>
              </w:rPr>
            </w:pPr>
            <w:r>
              <w:rPr>
                <w:noProof/>
              </w:rPr>
              <w:t>228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E9103" w14:textId="77777777" w:rsidR="000E48CE" w:rsidRDefault="00FF4C4E">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6E1043"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728A98" w14:textId="77777777" w:rsidR="000E48CE" w:rsidRDefault="00FF4C4E">
            <w:pPr>
              <w:pStyle w:val="P68B1DB1-Normal46"/>
              <w:spacing w:after="0" w:line="240" w:lineRule="auto"/>
              <w:rPr>
                <w:rFonts w:eastAsia="Times New Roman" w:cs="Times New Roman"/>
                <w:noProof/>
              </w:rPr>
            </w:pPr>
            <w:r>
              <w:rPr>
                <w:noProof/>
              </w:rPr>
              <w:t>Hankkeet, joissa uudistetaan historiallisia kulttuuriperintökohteita, joilla on nykyistä tai tulevaa matkailukäyttöä</w:t>
            </w:r>
          </w:p>
        </w:tc>
      </w:tr>
      <w:tr w:rsidR="000E48CE" w14:paraId="2D556B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9469AD" w14:textId="77777777" w:rsidR="000E48CE" w:rsidRDefault="00FF4C4E">
            <w:pPr>
              <w:pStyle w:val="P68B1DB1-Normal46"/>
              <w:spacing w:after="0" w:line="240" w:lineRule="auto"/>
              <w:jc w:val="center"/>
              <w:rPr>
                <w:rFonts w:eastAsia="Times New Roman" w:cs="Times New Roman"/>
                <w:noProof/>
              </w:rPr>
            </w:pPr>
            <w:r>
              <w:rPr>
                <w:noProof/>
              </w:rPr>
              <w:t>242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A6CFF6" w14:textId="77777777" w:rsidR="000E48CE" w:rsidRDefault="00FF4C4E">
            <w:pPr>
              <w:pStyle w:val="P68B1DB1-Normal46"/>
              <w:spacing w:after="0" w:line="240" w:lineRule="auto"/>
              <w:rPr>
                <w:rFonts w:eastAsia="Times New Roman" w:cs="Times New Roman"/>
                <w:noProof/>
              </w:rPr>
            </w:pPr>
            <w:r>
              <w:rPr>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850075"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16F7E85" w14:textId="77777777" w:rsidR="000E48CE" w:rsidRDefault="00FF4C4E">
            <w:pPr>
              <w:pStyle w:val="P68B1DB1-Normal46"/>
              <w:spacing w:after="0" w:line="240" w:lineRule="auto"/>
              <w:rPr>
                <w:rFonts w:eastAsia="Times New Roman" w:cs="Times New Roman"/>
                <w:noProof/>
              </w:rPr>
            </w:pPr>
            <w:r>
              <w:rPr>
                <w:noProof/>
              </w:rPr>
              <w:t xml:space="preserve">Rajatylittävän digitaalisen </w:t>
            </w:r>
            <w:r>
              <w:rPr>
                <w:noProof/>
              </w:rPr>
              <w:t>infrastruktuurin parantaminen: hankkeen loppuun saattaminen</w:t>
            </w:r>
          </w:p>
        </w:tc>
      </w:tr>
      <w:tr w:rsidR="000E48CE" w14:paraId="50EC3F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742DC" w14:textId="77777777" w:rsidR="000E48CE" w:rsidRDefault="00FF4C4E">
            <w:pPr>
              <w:pStyle w:val="P68B1DB1-Normal46"/>
              <w:spacing w:after="0" w:line="240" w:lineRule="auto"/>
              <w:jc w:val="center"/>
              <w:rPr>
                <w:rFonts w:eastAsia="Times New Roman" w:cs="Times New Roman"/>
                <w:noProof/>
              </w:rPr>
            </w:pPr>
            <w:r>
              <w:rPr>
                <w:noProof/>
              </w:rPr>
              <w:t>244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CCBF0F" w14:textId="77777777" w:rsidR="000E48CE" w:rsidRDefault="00FF4C4E">
            <w:pPr>
              <w:pStyle w:val="P68B1DB1-Normal46"/>
              <w:spacing w:after="0" w:line="240" w:lineRule="auto"/>
              <w:rPr>
                <w:rFonts w:eastAsia="Times New Roman" w:cs="Times New Roman"/>
                <w:noProof/>
              </w:rPr>
            </w:pPr>
            <w:r>
              <w:rPr>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A8F66"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EBF394" w14:textId="77777777" w:rsidR="000E48CE" w:rsidRDefault="00FF4C4E">
            <w:pPr>
              <w:pStyle w:val="P68B1DB1-Normal46"/>
              <w:spacing w:after="0" w:line="240" w:lineRule="auto"/>
              <w:rPr>
                <w:rFonts w:eastAsia="Times New Roman" w:cs="Times New Roman"/>
                <w:noProof/>
              </w:rPr>
            </w:pPr>
            <w:r>
              <w:rPr>
                <w:noProof/>
              </w:rPr>
              <w:t>5G-teknologian käyttöönotto: Hankkeen loppuun saattaminen</w:t>
            </w:r>
          </w:p>
        </w:tc>
      </w:tr>
      <w:tr w:rsidR="000E48CE" w14:paraId="0F8474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3D5CC1" w14:textId="77777777" w:rsidR="000E48CE" w:rsidRDefault="00FF4C4E">
            <w:pPr>
              <w:pStyle w:val="P68B1DB1-Normal46"/>
              <w:spacing w:after="0" w:line="240" w:lineRule="auto"/>
              <w:jc w:val="center"/>
              <w:rPr>
                <w:rFonts w:eastAsia="Times New Roman" w:cs="Times New Roman"/>
                <w:noProof/>
              </w:rPr>
            </w:pPr>
            <w:r>
              <w:rPr>
                <w:noProof/>
              </w:rPr>
              <w:t>248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1C1434" w14:textId="77777777" w:rsidR="000E48CE" w:rsidRDefault="00FF4C4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4002A7"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B2B2DD" w14:textId="77777777" w:rsidR="000E48CE" w:rsidRDefault="00FF4C4E">
            <w:pPr>
              <w:pStyle w:val="P68B1DB1-Normal46"/>
              <w:spacing w:after="0" w:line="240" w:lineRule="auto"/>
              <w:rPr>
                <w:rFonts w:eastAsia="Times New Roman" w:cs="Times New Roman"/>
                <w:noProof/>
              </w:rPr>
            </w:pPr>
            <w:r>
              <w:rPr>
                <w:noProof/>
              </w:rPr>
              <w:t xml:space="preserve">Kansallisen kyberturvallisuusteollisuuden tukiohjelman, maailmanlaajuisen turvallisuusinnovointiohjelman ja </w:t>
            </w:r>
            <w:r>
              <w:rPr>
                <w:noProof/>
              </w:rPr>
              <w:t>niihin liittyvien toimien hankkeiden loppuun saattaminen.</w:t>
            </w:r>
          </w:p>
        </w:tc>
      </w:tr>
      <w:tr w:rsidR="000E48CE" w14:paraId="22AFB1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844568" w14:textId="77777777" w:rsidR="000E48CE" w:rsidRDefault="00FF4C4E">
            <w:pPr>
              <w:pStyle w:val="P68B1DB1-Normal46"/>
              <w:spacing w:after="0" w:line="240" w:lineRule="auto"/>
              <w:jc w:val="center"/>
              <w:rPr>
                <w:rFonts w:eastAsia="Times New Roman" w:cs="Times New Roman"/>
                <w:noProof/>
              </w:rPr>
            </w:pPr>
            <w:r>
              <w:rPr>
                <w:noProof/>
              </w:rPr>
              <w:t>455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67A20A" w14:textId="77777777" w:rsidR="000E48CE" w:rsidRDefault="00FF4C4E">
            <w:pPr>
              <w:pStyle w:val="P68B1DB1-Normal46"/>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AC02BC2"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95B67F3" w14:textId="77777777" w:rsidR="000E48CE" w:rsidRDefault="00FF4C4E">
            <w:pPr>
              <w:pStyle w:val="P68B1DB1-Normal46"/>
              <w:spacing w:after="0" w:line="240" w:lineRule="auto"/>
              <w:rPr>
                <w:rFonts w:eastAsia="Times New Roman" w:cs="Times New Roman"/>
                <w:noProof/>
              </w:rPr>
            </w:pPr>
            <w:r>
              <w:rPr>
                <w:noProof/>
              </w:rPr>
              <w:t>PERTE-SIRU. Tieteellisten valmiuksien, suunnittelun ja innovatiivisen valmistuksen vahvistaminen: maksatus.</w:t>
            </w:r>
          </w:p>
        </w:tc>
      </w:tr>
      <w:tr w:rsidR="000E48CE" w14:paraId="45C82A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2B8014" w14:textId="77777777" w:rsidR="000E48CE" w:rsidRDefault="00FF4C4E">
            <w:pPr>
              <w:pStyle w:val="P68B1DB1-Normal46"/>
              <w:spacing w:after="0" w:line="240" w:lineRule="auto"/>
              <w:jc w:val="center"/>
              <w:rPr>
                <w:rFonts w:eastAsia="Times New Roman" w:cs="Times New Roman"/>
                <w:noProof/>
              </w:rPr>
            </w:pPr>
            <w:r>
              <w:rPr>
                <w:noProof/>
              </w:rPr>
              <w:t>456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DD5C7A" w14:textId="77777777" w:rsidR="000E48CE" w:rsidRDefault="00FF4C4E">
            <w:pPr>
              <w:pStyle w:val="P68B1DB1-Normal46"/>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318CA9"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EE0F28" w14:textId="77777777" w:rsidR="000E48CE" w:rsidRDefault="00FF4C4E">
            <w:pPr>
              <w:pStyle w:val="P68B1DB1-Normal46"/>
              <w:spacing w:after="0" w:line="240" w:lineRule="auto"/>
              <w:rPr>
                <w:rFonts w:eastAsia="Times New Roman" w:cs="Times New Roman"/>
                <w:noProof/>
              </w:rPr>
            </w:pPr>
            <w:r>
              <w:rPr>
                <w:noProof/>
              </w:rPr>
              <w:t>PERTE-SIRU. Tuolit ja mikroelektroniikan osaaminen</w:t>
            </w:r>
          </w:p>
        </w:tc>
      </w:tr>
      <w:tr w:rsidR="000E48CE" w14:paraId="6825F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9C659" w14:textId="77777777" w:rsidR="000E48CE" w:rsidRDefault="00FF4C4E">
            <w:pPr>
              <w:pStyle w:val="P68B1DB1-Normal46"/>
              <w:spacing w:after="0" w:line="240" w:lineRule="auto"/>
              <w:jc w:val="center"/>
              <w:rPr>
                <w:rFonts w:eastAsia="Times New Roman" w:cs="Times New Roman"/>
                <w:noProof/>
              </w:rPr>
            </w:pPr>
            <w:r>
              <w:rPr>
                <w:noProof/>
              </w:rPr>
              <w:t>252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B09CB" w14:textId="77777777" w:rsidR="000E48CE" w:rsidRDefault="00FF4C4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8372D6"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0D93729" w14:textId="77777777" w:rsidR="000E48CE" w:rsidRDefault="00FF4C4E">
            <w:pPr>
              <w:pStyle w:val="P68B1DB1-Normal46"/>
              <w:spacing w:after="0" w:line="240" w:lineRule="auto"/>
              <w:rPr>
                <w:rFonts w:eastAsia="Times New Roman" w:cs="Times New Roman"/>
                <w:noProof/>
              </w:rPr>
            </w:pPr>
            <w:r>
              <w:rPr>
                <w:noProof/>
              </w:rPr>
              <w:t xml:space="preserve">Maakohtaiset vierailut </w:t>
            </w:r>
          </w:p>
        </w:tc>
      </w:tr>
      <w:tr w:rsidR="000E48CE" w14:paraId="1615B51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26D042" w14:textId="77777777" w:rsidR="000E48CE" w:rsidRDefault="00FF4C4E">
            <w:pPr>
              <w:pStyle w:val="P68B1DB1-Normal46"/>
              <w:spacing w:after="0" w:line="240" w:lineRule="auto"/>
              <w:jc w:val="center"/>
              <w:rPr>
                <w:rFonts w:eastAsia="Times New Roman" w:cs="Times New Roman"/>
                <w:noProof/>
              </w:rPr>
            </w:pPr>
            <w:r>
              <w:rPr>
                <w:noProof/>
              </w:rPr>
              <w:t>253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101D30" w14:textId="77777777" w:rsidR="000E48CE" w:rsidRDefault="00FF4C4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3C9087"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F817FEF" w14:textId="77777777" w:rsidR="000E48CE" w:rsidRDefault="00FF4C4E">
            <w:pPr>
              <w:pStyle w:val="P68B1DB1-Normal46"/>
              <w:spacing w:after="0" w:line="240" w:lineRule="auto"/>
              <w:rPr>
                <w:rFonts w:eastAsia="Times New Roman" w:cs="Times New Roman"/>
                <w:noProof/>
              </w:rPr>
            </w:pPr>
            <w:r>
              <w:rPr>
                <w:noProof/>
              </w:rPr>
              <w:t xml:space="preserve">Tekoälyä koskevien hankkeiden loppuun saattaminen </w:t>
            </w:r>
          </w:p>
        </w:tc>
      </w:tr>
      <w:tr w:rsidR="000E48CE" w14:paraId="031A7A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D0EED9" w14:textId="77777777" w:rsidR="000E48CE" w:rsidRDefault="00FF4C4E">
            <w:pPr>
              <w:pStyle w:val="P68B1DB1-Normal46"/>
              <w:spacing w:after="0" w:line="240" w:lineRule="auto"/>
              <w:jc w:val="center"/>
              <w:rPr>
                <w:rFonts w:eastAsia="Times New Roman" w:cs="Times New Roman"/>
                <w:noProof/>
              </w:rPr>
            </w:pPr>
            <w:r>
              <w:rPr>
                <w:noProof/>
              </w:rPr>
              <w:t>457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67DD37" w14:textId="77777777" w:rsidR="000E48CE" w:rsidRDefault="00FF4C4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9E4D6B"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0CAB74" w14:textId="77777777" w:rsidR="000E48CE" w:rsidRDefault="00FF4C4E">
            <w:pPr>
              <w:pStyle w:val="P68B1DB1-Normal46"/>
              <w:spacing w:after="0" w:line="240" w:lineRule="auto"/>
              <w:rPr>
                <w:rFonts w:eastAsia="Times New Roman" w:cs="Times New Roman"/>
                <w:noProof/>
              </w:rPr>
            </w:pPr>
            <w:r>
              <w:rPr>
                <w:noProof/>
              </w:rPr>
              <w:t>PERTE-SIRU. Kvanttiekosysteemin vahvistaminen.</w:t>
            </w:r>
          </w:p>
        </w:tc>
      </w:tr>
      <w:tr w:rsidR="000E48CE" w14:paraId="4563F5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A0B30" w14:textId="77777777" w:rsidR="000E48CE" w:rsidRDefault="00FF4C4E">
            <w:pPr>
              <w:pStyle w:val="P68B1DB1-Normal46"/>
              <w:spacing w:after="0" w:line="240" w:lineRule="auto"/>
              <w:jc w:val="center"/>
              <w:rPr>
                <w:rFonts w:eastAsia="Times New Roman" w:cs="Times New Roman"/>
                <w:noProof/>
              </w:rPr>
            </w:pPr>
            <w:r>
              <w:rPr>
                <w:noProof/>
              </w:rPr>
              <w:t>260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1BF393" w14:textId="77777777" w:rsidR="000E48CE" w:rsidRDefault="00FF4C4E">
            <w:pPr>
              <w:pStyle w:val="P68B1DB1-Normal46"/>
              <w:spacing w:after="0" w:line="240" w:lineRule="auto"/>
              <w:rPr>
                <w:rFonts w:eastAsia="Times New Roman" w:cs="Times New Roman"/>
                <w:noProof/>
              </w:rPr>
            </w:pPr>
            <w:r>
              <w:rPr>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C35A8"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832D0B" w14:textId="77777777" w:rsidR="000E48CE" w:rsidRDefault="00FF4C4E">
            <w:pPr>
              <w:pStyle w:val="P68B1DB1-Normal46"/>
              <w:spacing w:after="0" w:line="240" w:lineRule="auto"/>
              <w:rPr>
                <w:rFonts w:eastAsia="Times New Roman" w:cs="Times New Roman"/>
                <w:noProof/>
              </w:rPr>
            </w:pPr>
            <w:r>
              <w:rPr>
                <w:noProof/>
              </w:rPr>
              <w:t xml:space="preserve">Kaikkien sellaisten hankkeiden loppuun saattaminen, joilla parannetaan Espanjan </w:t>
            </w:r>
            <w:r>
              <w:rPr>
                <w:noProof/>
              </w:rPr>
              <w:t>tiedeteknologia- ja innovointijärjestelmän tieteellisiä infrastruktuureja ja kapasiteettia, mukaan lukien eurooppalaista ja kansainvälistä infrastruktuuria koskevat hankkeet.</w:t>
            </w:r>
          </w:p>
        </w:tc>
      </w:tr>
      <w:tr w:rsidR="000E48CE" w14:paraId="28E085B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E0891C" w14:textId="77777777" w:rsidR="000E48CE" w:rsidRDefault="00FF4C4E">
            <w:pPr>
              <w:pStyle w:val="P68B1DB1-Normal46"/>
              <w:spacing w:after="0" w:line="240" w:lineRule="auto"/>
              <w:jc w:val="center"/>
              <w:rPr>
                <w:rFonts w:eastAsia="Times New Roman" w:cs="Times New Roman"/>
                <w:noProof/>
              </w:rPr>
            </w:pPr>
            <w:r>
              <w:rPr>
                <w:noProof/>
              </w:rPr>
              <w:t>264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F8B25E" w14:textId="77777777" w:rsidR="000E48CE" w:rsidRDefault="00FF4C4E">
            <w:pPr>
              <w:pStyle w:val="P68B1DB1-Normal46"/>
              <w:spacing w:after="0" w:line="240" w:lineRule="auto"/>
              <w:rPr>
                <w:rFonts w:eastAsia="Times New Roman" w:cs="Times New Roman"/>
                <w:noProof/>
              </w:rPr>
            </w:pPr>
            <w:r>
              <w:rPr>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DF86A7"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3DB1F3" w14:textId="77777777" w:rsidR="000E48CE" w:rsidRDefault="00FF4C4E">
            <w:pPr>
              <w:pStyle w:val="P68B1DB1-Normal46"/>
              <w:spacing w:after="0" w:line="240" w:lineRule="auto"/>
              <w:rPr>
                <w:rFonts w:eastAsia="Times New Roman" w:cs="Times New Roman"/>
                <w:noProof/>
              </w:rPr>
            </w:pPr>
            <w:r>
              <w:rPr>
                <w:noProof/>
              </w:rPr>
              <w:t xml:space="preserve">Apurahan ja apurahan loppuun saattaminen Espanjan tieteellisen tutkijanuran tukemiseksi </w:t>
            </w:r>
          </w:p>
        </w:tc>
      </w:tr>
      <w:tr w:rsidR="000E48CE" w14:paraId="63809B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113A" w14:textId="77777777" w:rsidR="000E48CE" w:rsidRDefault="00FF4C4E">
            <w:pPr>
              <w:pStyle w:val="P68B1DB1-Normal46"/>
              <w:spacing w:after="0" w:line="240" w:lineRule="auto"/>
              <w:jc w:val="center"/>
              <w:rPr>
                <w:rFonts w:eastAsia="Times New Roman" w:cs="Times New Roman"/>
                <w:noProof/>
              </w:rPr>
            </w:pPr>
            <w:r>
              <w:rPr>
                <w:noProof/>
              </w:rPr>
              <w:t>459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CC40D" w14:textId="77777777" w:rsidR="000E48CE" w:rsidRDefault="00FF4C4E">
            <w:pPr>
              <w:pStyle w:val="P68B1DB1-Normal46"/>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59E25E"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D4DFA1A" w14:textId="77777777" w:rsidR="000E48CE" w:rsidRDefault="00FF4C4E">
            <w:pPr>
              <w:pStyle w:val="P68B1DB1-Normal46"/>
              <w:spacing w:after="0" w:line="240" w:lineRule="auto"/>
              <w:rPr>
                <w:rFonts w:eastAsia="Times New Roman" w:cs="Times New Roman"/>
                <w:noProof/>
              </w:rPr>
            </w:pPr>
            <w:r>
              <w:rPr>
                <w:noProof/>
              </w:rPr>
              <w:t>Teknologian siirtoa ja innovatiivisia teknologioita koskevien tutkimustulosten siirtoa tukevien hankkeiden loppuun saattaminen</w:t>
            </w:r>
          </w:p>
        </w:tc>
      </w:tr>
      <w:tr w:rsidR="000E48CE" w14:paraId="2D131F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D7CD9" w14:textId="77777777" w:rsidR="000E48CE" w:rsidRDefault="00FF4C4E">
            <w:pPr>
              <w:pStyle w:val="P68B1DB1-Normal46"/>
              <w:spacing w:after="0" w:line="240" w:lineRule="auto"/>
              <w:jc w:val="center"/>
              <w:rPr>
                <w:rFonts w:eastAsia="Times New Roman" w:cs="Times New Roman"/>
                <w:noProof/>
              </w:rPr>
            </w:pPr>
            <w:r>
              <w:rPr>
                <w:noProof/>
              </w:rPr>
              <w:t>268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B6A4C" w14:textId="77777777" w:rsidR="000E48CE" w:rsidRDefault="00FF4C4E">
            <w:pPr>
              <w:pStyle w:val="P68B1DB1-Normal46"/>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89BACE"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D03877" w14:textId="77777777" w:rsidR="000E48CE" w:rsidRDefault="00FF4C4E">
            <w:pPr>
              <w:pStyle w:val="P68B1DB1-Normal46"/>
              <w:spacing w:after="0" w:line="240" w:lineRule="auto"/>
              <w:rPr>
                <w:rFonts w:eastAsia="Times New Roman" w:cs="Times New Roman"/>
                <w:noProof/>
              </w:rPr>
            </w:pPr>
            <w:r>
              <w:rPr>
                <w:noProof/>
              </w:rPr>
              <w:t xml:space="preserve">Kaikkien terveydenhuoltoalan tutkimuksen ja innovoinnin vahvistamiseen tähtäävien hankkeiden loppuun saattaminen. </w:t>
            </w:r>
          </w:p>
        </w:tc>
      </w:tr>
      <w:tr w:rsidR="000E48CE" w14:paraId="5CA654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D6459" w14:textId="77777777" w:rsidR="000E48CE" w:rsidRDefault="00FF4C4E">
            <w:pPr>
              <w:pStyle w:val="P68B1DB1-Normal46"/>
              <w:spacing w:after="0" w:line="240" w:lineRule="auto"/>
              <w:jc w:val="center"/>
              <w:rPr>
                <w:rFonts w:eastAsia="Times New Roman" w:cs="Times New Roman"/>
                <w:noProof/>
              </w:rPr>
            </w:pPr>
            <w:r>
              <w:rPr>
                <w:noProof/>
              </w:rPr>
              <w:t>460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BF9793" w14:textId="77777777" w:rsidR="000E48CE" w:rsidRDefault="00FF4C4E">
            <w:pPr>
              <w:pStyle w:val="P68B1DB1-Normal46"/>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6DC28"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D8F11A" w14:textId="77777777" w:rsidR="000E48CE" w:rsidRDefault="00FF4C4E">
            <w:pPr>
              <w:pStyle w:val="P68B1DB1-Normal46"/>
              <w:spacing w:after="0" w:line="240" w:lineRule="auto"/>
              <w:rPr>
                <w:rFonts w:eastAsia="Times New Roman" w:cs="Times New Roman"/>
                <w:noProof/>
              </w:rPr>
            </w:pPr>
            <w:r>
              <w:rPr>
                <w:noProof/>
              </w:rPr>
              <w:t xml:space="preserve">Varojen maksaminen PERTE Health -ohjelman T &amp; K-hankkeisiin  </w:t>
            </w:r>
          </w:p>
        </w:tc>
      </w:tr>
      <w:tr w:rsidR="000E48CE" w14:paraId="6290EB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6CF30" w14:textId="77777777" w:rsidR="000E48CE" w:rsidRDefault="00FF4C4E">
            <w:pPr>
              <w:pStyle w:val="P68B1DB1-Normal46"/>
              <w:spacing w:after="0" w:line="240" w:lineRule="auto"/>
              <w:jc w:val="center"/>
              <w:rPr>
                <w:rFonts w:eastAsia="Times New Roman" w:cs="Times New Roman"/>
                <w:noProof/>
              </w:rPr>
            </w:pPr>
            <w:r>
              <w:rPr>
                <w:noProof/>
              </w:rPr>
              <w:t>269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175282" w14:textId="77777777" w:rsidR="000E48CE" w:rsidRDefault="00FF4C4E">
            <w:pPr>
              <w:pStyle w:val="P68B1DB1-Normal46"/>
              <w:spacing w:after="0" w:line="240" w:lineRule="auto"/>
              <w:rPr>
                <w:rFonts w:eastAsia="Times New Roman" w:cs="Times New Roman"/>
                <w:noProof/>
              </w:rPr>
            </w:pPr>
            <w:r>
              <w:rPr>
                <w:noProof/>
              </w:rPr>
              <w:t>C17.I7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C5189F"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34E6BF9" w14:textId="77777777" w:rsidR="000E48CE" w:rsidRDefault="00FF4C4E">
            <w:pPr>
              <w:pStyle w:val="P68B1DB1-Normal46"/>
              <w:spacing w:after="0" w:line="240" w:lineRule="auto"/>
              <w:rPr>
                <w:rFonts w:eastAsia="Times New Roman" w:cs="Times New Roman"/>
                <w:noProof/>
              </w:rPr>
            </w:pPr>
            <w:r>
              <w:rPr>
                <w:noProof/>
              </w:rPr>
              <w:t xml:space="preserve">Energian varastoinnin T &amp; K-keskus </w:t>
            </w:r>
          </w:p>
        </w:tc>
      </w:tr>
      <w:tr w:rsidR="000E48CE" w14:paraId="2E344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AC2D7E" w14:textId="77777777" w:rsidR="000E48CE" w:rsidRDefault="00FF4C4E">
            <w:pPr>
              <w:pStyle w:val="P68B1DB1-Normal46"/>
              <w:spacing w:after="0" w:line="240" w:lineRule="auto"/>
              <w:jc w:val="center"/>
              <w:rPr>
                <w:rFonts w:eastAsia="Times New Roman" w:cs="Times New Roman"/>
                <w:noProof/>
              </w:rPr>
            </w:pPr>
            <w:r>
              <w:rPr>
                <w:noProof/>
              </w:rPr>
              <w:t>272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5A28D8" w14:textId="77777777" w:rsidR="000E48CE" w:rsidRDefault="00FF4C4E">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DDB9DD"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30337F" w14:textId="77777777" w:rsidR="000E48CE" w:rsidRDefault="00FF4C4E">
            <w:pPr>
              <w:pStyle w:val="P68B1DB1-Normal46"/>
              <w:spacing w:after="0" w:line="240" w:lineRule="auto"/>
              <w:rPr>
                <w:rFonts w:eastAsia="Times New Roman" w:cs="Times New Roman"/>
                <w:noProof/>
              </w:rPr>
            </w:pPr>
            <w:r>
              <w:rPr>
                <w:noProof/>
              </w:rPr>
              <w:t xml:space="preserve">Ilmailu- ja avaruusalan T &amp; K &amp; Innovaatiohankkeiden loppuun saattaminen keskittyen vähäpäästöisiin ja päästöttömiin </w:t>
            </w:r>
          </w:p>
        </w:tc>
      </w:tr>
      <w:tr w:rsidR="000E48CE" w14:paraId="76B53D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39C3B5" w14:textId="77777777" w:rsidR="000E48CE" w:rsidRDefault="00FF4C4E">
            <w:pPr>
              <w:pStyle w:val="P68B1DB1-Normal46"/>
              <w:spacing w:after="0" w:line="240" w:lineRule="auto"/>
              <w:jc w:val="center"/>
              <w:rPr>
                <w:rFonts w:eastAsia="Times New Roman" w:cs="Times New Roman"/>
                <w:noProof/>
              </w:rPr>
            </w:pPr>
            <w:r>
              <w:rPr>
                <w:noProof/>
              </w:rPr>
              <w:t>462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15BE75" w14:textId="77777777" w:rsidR="000E48CE" w:rsidRDefault="00FF4C4E">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388830"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CD72AE" w14:textId="77777777" w:rsidR="000E48CE" w:rsidRDefault="00FF4C4E">
            <w:pPr>
              <w:pStyle w:val="P68B1DB1-Normal46"/>
              <w:spacing w:after="0" w:line="240" w:lineRule="auto"/>
              <w:rPr>
                <w:rFonts w:eastAsia="Times New Roman" w:cs="Times New Roman"/>
                <w:noProof/>
              </w:rPr>
            </w:pPr>
            <w:r>
              <w:rPr>
                <w:noProof/>
              </w:rPr>
              <w:t>Varojen maksaminen PERTE Aerospace -ohjelman hankkeille.</w:t>
            </w:r>
          </w:p>
        </w:tc>
      </w:tr>
      <w:tr w:rsidR="000E48CE" w14:paraId="7A1649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052B7F" w14:textId="77777777" w:rsidR="000E48CE" w:rsidRDefault="00FF4C4E">
            <w:pPr>
              <w:pStyle w:val="P68B1DB1-Normal46"/>
              <w:spacing w:after="0" w:line="240" w:lineRule="auto"/>
              <w:jc w:val="center"/>
              <w:rPr>
                <w:rFonts w:eastAsia="Times New Roman" w:cs="Times New Roman"/>
                <w:noProof/>
              </w:rPr>
            </w:pPr>
            <w:r>
              <w:rPr>
                <w:noProof/>
              </w:rPr>
              <w:t>463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627271" w14:textId="77777777" w:rsidR="000E48CE" w:rsidRDefault="00FF4C4E">
            <w:pPr>
              <w:pStyle w:val="P68B1DB1-Normal46"/>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D2195"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8E2460" w14:textId="77777777" w:rsidR="000E48CE" w:rsidRDefault="00FF4C4E">
            <w:pPr>
              <w:pStyle w:val="P68B1DB1-Normal46"/>
              <w:spacing w:after="0" w:line="240" w:lineRule="auto"/>
              <w:rPr>
                <w:rFonts w:eastAsia="Times New Roman" w:cs="Times New Roman"/>
                <w:noProof/>
              </w:rPr>
            </w:pPr>
            <w:r>
              <w:rPr>
                <w:noProof/>
              </w:rPr>
              <w:t>Terveydenhuollon ammattilaisten koulutus ja resurssit</w:t>
            </w:r>
            <w:r>
              <w:rPr>
                <w:noProof/>
              </w:rPr>
              <w:t xml:space="preserve"> tietämyksen jakamiseksi</w:t>
            </w:r>
          </w:p>
        </w:tc>
      </w:tr>
      <w:tr w:rsidR="000E48CE" w14:paraId="0DA0FD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00FB37" w14:textId="77777777" w:rsidR="000E48CE" w:rsidRDefault="00FF4C4E">
            <w:pPr>
              <w:pStyle w:val="P68B1DB1-Normal46"/>
              <w:spacing w:after="0" w:line="240" w:lineRule="auto"/>
              <w:jc w:val="center"/>
              <w:rPr>
                <w:rFonts w:eastAsia="Times New Roman" w:cs="Times New Roman"/>
                <w:noProof/>
              </w:rPr>
            </w:pPr>
            <w:r>
              <w:rPr>
                <w:noProof/>
              </w:rPr>
              <w:t>464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B240AC" w14:textId="77777777" w:rsidR="000E48CE" w:rsidRDefault="00FF4C4E">
            <w:pPr>
              <w:pStyle w:val="P68B1DB1-Normal46"/>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680290"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746B9" w14:textId="77777777" w:rsidR="000E48CE" w:rsidRDefault="00FF4C4E">
            <w:pPr>
              <w:pStyle w:val="P68B1DB1-Normal46"/>
              <w:spacing w:after="0" w:line="240" w:lineRule="auto"/>
              <w:rPr>
                <w:rFonts w:eastAsia="Times New Roman" w:cs="Times New Roman"/>
                <w:noProof/>
              </w:rPr>
            </w:pPr>
            <w:r>
              <w:rPr>
                <w:noProof/>
              </w:rPr>
              <w:t>Suunnitelma lääkkeiden kulutuksen järkeistämiseksi ja kestävyyden edistämiseksi</w:t>
            </w:r>
          </w:p>
        </w:tc>
      </w:tr>
      <w:tr w:rsidR="000E48CE" w14:paraId="33D78F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C81C1" w14:textId="77777777" w:rsidR="000E48CE" w:rsidRDefault="00FF4C4E">
            <w:pPr>
              <w:pStyle w:val="P68B1DB1-Normal46"/>
              <w:spacing w:after="0" w:line="240" w:lineRule="auto"/>
              <w:jc w:val="center"/>
              <w:rPr>
                <w:rFonts w:eastAsia="Times New Roman" w:cs="Times New Roman"/>
                <w:noProof/>
              </w:rPr>
            </w:pPr>
            <w:r>
              <w:rPr>
                <w:noProof/>
              </w:rPr>
              <w:t>465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AAB8FC" w14:textId="77777777" w:rsidR="000E48CE" w:rsidRDefault="00FF4C4E">
            <w:pPr>
              <w:pStyle w:val="P68B1DB1-Normal46"/>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87565E"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7091E2D" w14:textId="164CB14F" w:rsidR="000E48CE" w:rsidRDefault="00FF4C4E">
            <w:pPr>
              <w:pStyle w:val="P68B1DB1-Normal46"/>
              <w:spacing w:after="0" w:line="240" w:lineRule="auto"/>
              <w:rPr>
                <w:rFonts w:eastAsia="Times New Roman" w:cs="Times New Roman"/>
                <w:noProof/>
              </w:rPr>
            </w:pPr>
            <w:r>
              <w:rPr>
                <w:noProof/>
              </w:rPr>
              <w:t xml:space="preserve">Harvinaisia sairauksia sairastavien potilaiden terveydenhuollon parantamiseen tähtäävien hankkeiden loppuun saattaminen </w:t>
            </w:r>
          </w:p>
        </w:tc>
      </w:tr>
      <w:tr w:rsidR="000E48CE" w14:paraId="329A60A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B72AA9" w14:textId="77777777" w:rsidR="000E48CE" w:rsidRDefault="00FF4C4E">
            <w:pPr>
              <w:pStyle w:val="P68B1DB1-Normal46"/>
              <w:spacing w:after="0" w:line="240" w:lineRule="auto"/>
              <w:jc w:val="center"/>
              <w:rPr>
                <w:rFonts w:eastAsia="Times New Roman" w:cs="Times New Roman"/>
                <w:noProof/>
              </w:rPr>
            </w:pPr>
            <w:r>
              <w:rPr>
                <w:noProof/>
              </w:rPr>
              <w:t>466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EC8EA0" w14:textId="77777777" w:rsidR="000E48CE" w:rsidRDefault="00FF4C4E">
            <w:pPr>
              <w:pStyle w:val="P68B1DB1-Normal46"/>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288C6E"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4A03EEA" w14:textId="77777777" w:rsidR="000E48CE" w:rsidRDefault="00FF4C4E">
            <w:pPr>
              <w:pStyle w:val="P68B1DB1-Normal46"/>
              <w:spacing w:after="0" w:line="240" w:lineRule="auto"/>
              <w:rPr>
                <w:rFonts w:eastAsia="Times New Roman" w:cs="Times New Roman"/>
                <w:noProof/>
              </w:rPr>
            </w:pPr>
            <w:r>
              <w:rPr>
                <w:noProof/>
              </w:rPr>
              <w:t>Kansallisen terveydenhuoltojärjestelmän genomipalvelujen laajentaminen</w:t>
            </w:r>
          </w:p>
        </w:tc>
      </w:tr>
      <w:tr w:rsidR="000E48CE" w14:paraId="576B56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7B2270" w14:textId="77777777" w:rsidR="000E48CE" w:rsidRDefault="00FF4C4E">
            <w:pPr>
              <w:pStyle w:val="P68B1DB1-Normal46"/>
              <w:spacing w:after="0" w:line="240" w:lineRule="auto"/>
              <w:jc w:val="center"/>
              <w:rPr>
                <w:rFonts w:eastAsia="Times New Roman" w:cs="Times New Roman"/>
                <w:noProof/>
              </w:rPr>
            </w:pPr>
            <w:r>
              <w:rPr>
                <w:noProof/>
              </w:rPr>
              <w:t>288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E503DE" w14:textId="77777777" w:rsidR="000E48CE" w:rsidRDefault="00FF4C4E">
            <w:pPr>
              <w:pStyle w:val="P68B1DB1-Normal46"/>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24C0A"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BC0727" w14:textId="77777777" w:rsidR="000E48CE" w:rsidRDefault="00FF4C4E">
            <w:pPr>
              <w:pStyle w:val="P68B1DB1-Normal46"/>
              <w:spacing w:after="0" w:line="240" w:lineRule="auto"/>
              <w:rPr>
                <w:rFonts w:eastAsia="Times New Roman" w:cs="Times New Roman"/>
                <w:noProof/>
              </w:rPr>
            </w:pPr>
            <w:r>
              <w:rPr>
                <w:noProof/>
              </w:rPr>
              <w:t>Digitaalisia taitoja koskeva kansalaisten koulutus.</w:t>
            </w:r>
          </w:p>
        </w:tc>
      </w:tr>
      <w:tr w:rsidR="000E48CE" w14:paraId="439E8C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D33C13" w14:textId="77777777" w:rsidR="000E48CE" w:rsidRDefault="00FF4C4E">
            <w:pPr>
              <w:pStyle w:val="P68B1DB1-Normal46"/>
              <w:spacing w:after="0" w:line="240" w:lineRule="auto"/>
              <w:jc w:val="center"/>
              <w:rPr>
                <w:rFonts w:eastAsia="Times New Roman" w:cs="Times New Roman"/>
                <w:noProof/>
              </w:rPr>
            </w:pPr>
            <w:r>
              <w:rPr>
                <w:noProof/>
              </w:rPr>
              <w:t>292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B47ED2" w14:textId="77777777" w:rsidR="000E48CE" w:rsidRDefault="00FF4C4E">
            <w:pPr>
              <w:pStyle w:val="P68B1DB1-Normal46"/>
              <w:spacing w:after="0" w:line="240" w:lineRule="auto"/>
              <w:rPr>
                <w:rFonts w:eastAsia="Times New Roman" w:cs="Times New Roman"/>
                <w:noProof/>
              </w:rPr>
            </w:pPr>
            <w:r>
              <w:rPr>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71F092"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26BFF3" w14:textId="77777777" w:rsidR="000E48CE" w:rsidRDefault="00FF4C4E">
            <w:pPr>
              <w:pStyle w:val="P68B1DB1-Normal46"/>
              <w:spacing w:after="0" w:line="240" w:lineRule="auto"/>
              <w:rPr>
                <w:rFonts w:eastAsia="Times New Roman" w:cs="Times New Roman"/>
                <w:noProof/>
              </w:rPr>
            </w:pPr>
            <w:r>
              <w:rPr>
                <w:noProof/>
              </w:rPr>
              <w:t>Digitaalinen koulutus työllisyyttä varten</w:t>
            </w:r>
          </w:p>
        </w:tc>
      </w:tr>
      <w:tr w:rsidR="000E48CE" w14:paraId="3EAD1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812D82" w14:textId="77777777" w:rsidR="000E48CE" w:rsidRDefault="00FF4C4E">
            <w:pPr>
              <w:pStyle w:val="P68B1DB1-Normal46"/>
              <w:spacing w:after="0" w:line="240" w:lineRule="auto"/>
              <w:jc w:val="center"/>
              <w:rPr>
                <w:rFonts w:eastAsia="Times New Roman" w:cs="Times New Roman"/>
                <w:noProof/>
              </w:rPr>
            </w:pPr>
            <w:r>
              <w:rPr>
                <w:noProof/>
              </w:rPr>
              <w:t>292a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BBA0F4" w14:textId="77777777" w:rsidR="000E48CE" w:rsidRDefault="00FF4C4E">
            <w:pPr>
              <w:pStyle w:val="P68B1DB1-Normal46"/>
              <w:spacing w:after="0" w:line="240" w:lineRule="auto"/>
              <w:rPr>
                <w:rFonts w:eastAsia="Times New Roman" w:cs="Times New Roman"/>
                <w:noProof/>
              </w:rPr>
            </w:pPr>
            <w:r>
              <w:rPr>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1A8A7A"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F625A" w14:textId="77777777" w:rsidR="000E48CE" w:rsidRDefault="00FF4C4E">
            <w:pPr>
              <w:pStyle w:val="P68B1DB1-Normal46"/>
              <w:spacing w:after="0" w:line="240" w:lineRule="auto"/>
              <w:rPr>
                <w:rFonts w:eastAsia="Times New Roman" w:cs="Times New Roman"/>
                <w:noProof/>
              </w:rPr>
            </w:pPr>
            <w:r>
              <w:rPr>
                <w:noProof/>
              </w:rPr>
              <w:t xml:space="preserve">Digitaalinen koulutus </w:t>
            </w:r>
            <w:r>
              <w:rPr>
                <w:noProof/>
              </w:rPr>
              <w:t>työympäristössä</w:t>
            </w:r>
          </w:p>
        </w:tc>
      </w:tr>
      <w:tr w:rsidR="000E48CE" w14:paraId="5BC6DB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48C7D2" w14:textId="77777777" w:rsidR="000E48CE" w:rsidRDefault="00FF4C4E">
            <w:pPr>
              <w:pStyle w:val="P68B1DB1-Normal46"/>
              <w:spacing w:after="0" w:line="240" w:lineRule="auto"/>
              <w:jc w:val="center"/>
              <w:rPr>
                <w:rFonts w:eastAsia="Times New Roman" w:cs="Times New Roman"/>
                <w:noProof/>
              </w:rPr>
            </w:pPr>
            <w:r>
              <w:rPr>
                <w:noProof/>
              </w:rPr>
              <w:t>469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268DC5" w14:textId="77777777" w:rsidR="000E48CE" w:rsidRDefault="00FF4C4E">
            <w:pPr>
              <w:pStyle w:val="P68B1DB1-Normal46"/>
              <w:spacing w:after="0" w:line="240" w:lineRule="auto"/>
              <w:rPr>
                <w:rFonts w:eastAsia="Times New Roman" w:cs="Times New Roman"/>
                <w:noProof/>
              </w:rPr>
            </w:pPr>
            <w:r>
              <w:rPr>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219872C"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8637D33" w14:textId="77777777" w:rsidR="000E48CE" w:rsidRDefault="00FF4C4E">
            <w:pPr>
              <w:pStyle w:val="P68B1DB1-Normal46"/>
              <w:spacing w:after="0" w:line="240" w:lineRule="auto"/>
              <w:rPr>
                <w:rFonts w:eastAsia="Times New Roman" w:cs="Times New Roman"/>
                <w:noProof/>
              </w:rPr>
            </w:pPr>
            <w:r>
              <w:rPr>
                <w:noProof/>
              </w:rPr>
              <w:t>Aikuisille myönnettävät pienet korkeakoulututkinnot</w:t>
            </w:r>
          </w:p>
        </w:tc>
      </w:tr>
      <w:tr w:rsidR="000E48CE" w14:paraId="5642E12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E666FE" w14:textId="77777777" w:rsidR="000E48CE" w:rsidRDefault="00FF4C4E">
            <w:pPr>
              <w:pStyle w:val="P68B1DB1-Normal46"/>
              <w:spacing w:after="0" w:line="240" w:lineRule="auto"/>
              <w:jc w:val="center"/>
              <w:rPr>
                <w:rFonts w:eastAsia="Times New Roman" w:cs="Times New Roman"/>
                <w:noProof/>
              </w:rPr>
            </w:pPr>
            <w:r>
              <w:rPr>
                <w:noProof/>
              </w:rPr>
              <w:t>323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0A14BD" w14:textId="77777777" w:rsidR="000E48CE" w:rsidRDefault="00FF4C4E">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CA50E2"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DA6BF" w14:textId="77777777" w:rsidR="000E48CE" w:rsidRDefault="00FF4C4E">
            <w:pPr>
              <w:pStyle w:val="P68B1DB1-Normal46"/>
              <w:spacing w:after="0" w:line="240" w:lineRule="auto"/>
              <w:rPr>
                <w:rFonts w:eastAsia="Times New Roman" w:cs="Times New Roman"/>
                <w:noProof/>
              </w:rPr>
            </w:pPr>
            <w:r>
              <w:rPr>
                <w:noProof/>
              </w:rPr>
              <w:t xml:space="preserve">Asuintilat, muut kuin asuin- ja päivähoitopaikat.  </w:t>
            </w:r>
          </w:p>
        </w:tc>
      </w:tr>
      <w:tr w:rsidR="000E48CE" w14:paraId="47C042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C46112" w14:textId="77777777" w:rsidR="000E48CE" w:rsidRDefault="00FF4C4E">
            <w:pPr>
              <w:pStyle w:val="P68B1DB1-Normal46"/>
              <w:spacing w:after="0" w:line="240" w:lineRule="auto"/>
              <w:jc w:val="center"/>
              <w:rPr>
                <w:rFonts w:eastAsia="Times New Roman" w:cs="Times New Roman"/>
                <w:noProof/>
              </w:rPr>
            </w:pPr>
            <w:r>
              <w:rPr>
                <w:noProof/>
              </w:rPr>
              <w:t>328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CCC974" w14:textId="77777777" w:rsidR="000E48CE" w:rsidRDefault="00FF4C4E">
            <w:pPr>
              <w:pStyle w:val="P68B1DB1-Normal46"/>
              <w:spacing w:after="0" w:line="240" w:lineRule="auto"/>
              <w:rPr>
                <w:rFonts w:eastAsia="Times New Roman" w:cs="Times New Roman"/>
                <w:noProof/>
              </w:rPr>
            </w:pPr>
            <w:r>
              <w:rPr>
                <w:noProof/>
              </w:rPr>
              <w:t>C22.I5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593FC9"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7F0B0EC" w14:textId="77777777" w:rsidR="000E48CE" w:rsidRDefault="00FF4C4E">
            <w:pPr>
              <w:pStyle w:val="P68B1DB1-Normal46"/>
              <w:spacing w:after="0" w:line="240" w:lineRule="auto"/>
              <w:rPr>
                <w:rFonts w:eastAsia="Times New Roman" w:cs="Times New Roman"/>
                <w:noProof/>
              </w:rPr>
            </w:pPr>
            <w:r>
              <w:rPr>
                <w:noProof/>
              </w:rPr>
              <w:t xml:space="preserve">Muuttajien ja kansainvälistä suojelua hakevien henkilöiden vastaanottojärjestelmän kapasiteetti </w:t>
            </w:r>
          </w:p>
        </w:tc>
      </w:tr>
      <w:tr w:rsidR="000E48CE" w14:paraId="76F5DFD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BA0B9" w14:textId="77777777" w:rsidR="000E48CE" w:rsidRDefault="00FF4C4E">
            <w:pPr>
              <w:pStyle w:val="P68B1DB1-Normal46"/>
              <w:spacing w:after="0" w:line="240" w:lineRule="auto"/>
              <w:jc w:val="center"/>
              <w:rPr>
                <w:rFonts w:eastAsia="Times New Roman" w:cs="Times New Roman"/>
                <w:noProof/>
              </w:rPr>
            </w:pPr>
            <w:r>
              <w:rPr>
                <w:noProof/>
              </w:rPr>
              <w:t>475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E1AEEC" w14:textId="77777777" w:rsidR="000E48CE" w:rsidRDefault="00FF4C4E">
            <w:pPr>
              <w:pStyle w:val="P68B1DB1-Normal46"/>
              <w:spacing w:after="0" w:line="240" w:lineRule="auto"/>
              <w:rPr>
                <w:rFonts w:eastAsia="Times New Roman" w:cs="Times New Roman"/>
                <w:noProof/>
              </w:rPr>
            </w:pPr>
            <w:r>
              <w:rPr>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008C24"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0D3D4F" w14:textId="173AE4AA" w:rsidR="000E48CE" w:rsidRDefault="00FF4C4E">
            <w:pPr>
              <w:pStyle w:val="P68B1DB1-Normal46"/>
              <w:spacing w:after="0" w:line="240" w:lineRule="auto"/>
              <w:rPr>
                <w:rFonts w:eastAsia="Times New Roman" w:cs="Times New Roman"/>
                <w:noProof/>
              </w:rPr>
            </w:pPr>
            <w:r>
              <w:rPr>
                <w:noProof/>
              </w:rPr>
              <w:t>Kulttuuriteollisuuden kilpailukyvyn vahvistamista koskevien aloitteiden ja hankkeiden loppuun saattaminen</w:t>
            </w:r>
          </w:p>
        </w:tc>
      </w:tr>
      <w:tr w:rsidR="000E48CE" w14:paraId="38B006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8C9F1" w14:textId="77777777" w:rsidR="000E48CE" w:rsidRDefault="00FF4C4E">
            <w:pPr>
              <w:pStyle w:val="P68B1DB1-Normal46"/>
              <w:spacing w:after="0" w:line="240" w:lineRule="auto"/>
              <w:jc w:val="center"/>
              <w:rPr>
                <w:rFonts w:eastAsia="Times New Roman" w:cs="Times New Roman"/>
                <w:noProof/>
              </w:rPr>
            </w:pPr>
            <w:r>
              <w:rPr>
                <w:noProof/>
              </w:rPr>
              <w:t>474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7FB30" w14:textId="77777777" w:rsidR="000E48CE" w:rsidRDefault="00FF4C4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BC5C12"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24ED4B" w14:textId="77777777" w:rsidR="000E48CE" w:rsidRDefault="00FF4C4E">
            <w:pPr>
              <w:pStyle w:val="P68B1DB1-Normal46"/>
              <w:spacing w:after="0" w:line="240" w:lineRule="auto"/>
              <w:rPr>
                <w:rFonts w:eastAsia="Times New Roman" w:cs="Times New Roman"/>
                <w:noProof/>
              </w:rPr>
            </w:pPr>
            <w:r>
              <w:rPr>
                <w:noProof/>
              </w:rPr>
              <w:t xml:space="preserve">Espanjan </w:t>
            </w:r>
            <w:r>
              <w:rPr>
                <w:noProof/>
              </w:rPr>
              <w:t>kulttuuriperinnön säilyttäminen, ennallistaminen ja vaaliminen (Tabacalera)</w:t>
            </w:r>
          </w:p>
        </w:tc>
      </w:tr>
      <w:tr w:rsidR="000E48CE" w14:paraId="58A402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E4F637" w14:textId="77777777" w:rsidR="000E48CE" w:rsidRDefault="00FF4C4E">
            <w:pPr>
              <w:pStyle w:val="P68B1DB1-Normal46"/>
              <w:spacing w:after="0" w:line="240" w:lineRule="auto"/>
              <w:jc w:val="center"/>
              <w:rPr>
                <w:rFonts w:eastAsia="Times New Roman" w:cs="Times New Roman"/>
                <w:noProof/>
              </w:rPr>
            </w:pPr>
            <w:r>
              <w:rPr>
                <w:noProof/>
              </w:rPr>
              <w:t>478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C67F7D" w14:textId="77777777" w:rsidR="000E48CE" w:rsidRDefault="00FF4C4E">
            <w:pPr>
              <w:pStyle w:val="P68B1DB1-Normal46"/>
              <w:spacing w:after="0" w:line="240" w:lineRule="auto"/>
              <w:rPr>
                <w:rFonts w:eastAsia="Times New Roman" w:cs="Times New Roman"/>
                <w:noProof/>
              </w:rPr>
            </w:pPr>
            <w:r>
              <w:rPr>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59A48"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CC74A6" w14:textId="77777777" w:rsidR="000E48CE" w:rsidRDefault="00FF4C4E">
            <w:pPr>
              <w:pStyle w:val="P68B1DB1-Normal46"/>
              <w:spacing w:after="0" w:line="240" w:lineRule="auto"/>
              <w:rPr>
                <w:rFonts w:eastAsia="Times New Roman" w:cs="Times New Roman"/>
                <w:noProof/>
              </w:rPr>
            </w:pPr>
            <w:r>
              <w:rPr>
                <w:noProof/>
              </w:rPr>
              <w:t>Investoinnit, joilla edistetään energian varastointia tai itse tuotetun energian kulutusta, joka perustuu uusiutuvan energian tuotantoon tai mittarin takaiseen varast</w:t>
            </w:r>
            <w:r>
              <w:rPr>
                <w:noProof/>
              </w:rPr>
              <w:t>ointiin</w:t>
            </w:r>
          </w:p>
        </w:tc>
      </w:tr>
      <w:tr w:rsidR="000E48CE" w14:paraId="3A1B99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0E83BF" w14:textId="77777777" w:rsidR="000E48CE" w:rsidRDefault="00FF4C4E">
            <w:pPr>
              <w:pStyle w:val="P68B1DB1-Normal46"/>
              <w:spacing w:after="0" w:line="240" w:lineRule="auto"/>
              <w:jc w:val="center"/>
              <w:rPr>
                <w:rFonts w:eastAsia="Times New Roman" w:cs="Times New Roman"/>
                <w:noProof/>
              </w:rPr>
            </w:pPr>
            <w:r>
              <w:rPr>
                <w:noProof/>
              </w:rPr>
              <w:t>479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E0F759" w14:textId="77777777" w:rsidR="000E48CE" w:rsidRDefault="00FF4C4E">
            <w:pPr>
              <w:pStyle w:val="P68B1DB1-Normal46"/>
              <w:spacing w:after="0" w:line="240" w:lineRule="auto"/>
              <w:rPr>
                <w:rFonts w:eastAsia="Times New Roman" w:cs="Times New Roman"/>
                <w:noProof/>
              </w:rPr>
            </w:pPr>
            <w:r>
              <w:rPr>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DFDAE"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B79C8DC" w14:textId="77777777" w:rsidR="000E48CE" w:rsidRDefault="00FF4C4E">
            <w:pPr>
              <w:pStyle w:val="P68B1DB1-Normal46"/>
              <w:spacing w:after="0" w:line="240" w:lineRule="auto"/>
              <w:rPr>
                <w:rFonts w:eastAsia="Times New Roman" w:cs="Times New Roman"/>
                <w:noProof/>
              </w:rPr>
            </w:pPr>
            <w:r>
              <w:rPr>
                <w:noProof/>
              </w:rPr>
              <w:t>Energiayhteisöjen toteuttamien aloitteiden lukumäärä</w:t>
            </w:r>
          </w:p>
        </w:tc>
      </w:tr>
      <w:tr w:rsidR="000E48CE" w14:paraId="286213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CF6979" w14:textId="77777777" w:rsidR="000E48CE" w:rsidRDefault="00FF4C4E">
            <w:pPr>
              <w:pStyle w:val="P68B1DB1-Normal46"/>
              <w:spacing w:after="0" w:line="240" w:lineRule="auto"/>
              <w:jc w:val="center"/>
              <w:rPr>
                <w:rFonts w:eastAsia="Times New Roman" w:cs="Times New Roman"/>
                <w:noProof/>
              </w:rPr>
            </w:pPr>
            <w:r>
              <w:rPr>
                <w:noProof/>
              </w:rPr>
              <w:t>482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30E2DE8" w14:textId="77777777" w:rsidR="000E48CE" w:rsidRDefault="00FF4C4E">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040D26"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794BE9" w14:textId="496313BE" w:rsidR="000E48CE" w:rsidRDefault="00FF4C4E">
            <w:pPr>
              <w:pStyle w:val="P68B1DB1-Normal46"/>
              <w:spacing w:after="0" w:line="240" w:lineRule="auto"/>
              <w:rPr>
                <w:rFonts w:eastAsia="Times New Roman" w:cs="Times New Roman"/>
                <w:noProof/>
              </w:rPr>
            </w:pPr>
            <w:r>
              <w:rPr>
                <w:noProof/>
              </w:rPr>
              <w:t xml:space="preserve">Uusiutuvan vedyn tukijärjestelmä: Lopullisten edunsaajien kanssa allekirjoitetut oikeudelliset sopimukset tai tuen myöntämistä koskevat lopulliset päätökset on </w:t>
            </w:r>
            <w:r>
              <w:rPr>
                <w:noProof/>
              </w:rPr>
              <w:t>julkaistu (II)</w:t>
            </w:r>
          </w:p>
        </w:tc>
      </w:tr>
      <w:tr w:rsidR="000E48CE" w14:paraId="68069B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8262D1" w14:textId="77777777" w:rsidR="000E48CE" w:rsidRDefault="00FF4C4E">
            <w:pPr>
              <w:pStyle w:val="P68B1DB1-Normal46"/>
              <w:spacing w:after="0" w:line="240" w:lineRule="auto"/>
              <w:jc w:val="center"/>
              <w:rPr>
                <w:rFonts w:eastAsia="Times New Roman" w:cs="Times New Roman"/>
                <w:noProof/>
              </w:rPr>
            </w:pPr>
            <w:r>
              <w:rPr>
                <w:noProof/>
              </w:rPr>
              <w:t>486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15DE7F" w14:textId="77777777" w:rsidR="000E48CE" w:rsidRDefault="00FF4C4E">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55733"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7EF07AF" w14:textId="25FE1524" w:rsidR="000E48CE" w:rsidRDefault="00FF4C4E">
            <w:pPr>
              <w:pStyle w:val="P68B1DB1-Normal46"/>
              <w:spacing w:after="0" w:line="240" w:lineRule="auto"/>
              <w:rPr>
                <w:rFonts w:eastAsia="Times New Roman" w:cs="Times New Roman"/>
                <w:noProof/>
              </w:rPr>
            </w:pPr>
            <w:r>
              <w:rPr>
                <w:noProof/>
              </w:rPr>
              <w:t>Arvoketjun tukijärjestelmä: Lopullisten edunsaajien kanssa allekirjoitetut oikeudelliset sopimukset tai tuen myöntämistä koskevat lopulliset päätökset on julkaistu (II)</w:t>
            </w:r>
          </w:p>
        </w:tc>
      </w:tr>
      <w:tr w:rsidR="000E48CE" w14:paraId="05809D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823F7B" w14:textId="77777777" w:rsidR="000E48CE" w:rsidRDefault="00FF4C4E">
            <w:pPr>
              <w:pStyle w:val="P68B1DB1-Normal46"/>
              <w:spacing w:after="0" w:line="240" w:lineRule="auto"/>
              <w:jc w:val="center"/>
              <w:rPr>
                <w:rFonts w:eastAsia="Times New Roman" w:cs="Times New Roman"/>
                <w:noProof/>
              </w:rPr>
            </w:pPr>
            <w:r>
              <w:rPr>
                <w:noProof/>
              </w:rPr>
              <w:t>490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CA3A94" w14:textId="77777777" w:rsidR="000E48CE" w:rsidRDefault="00FF4C4E">
            <w:pPr>
              <w:pStyle w:val="P68B1DB1-Normal46"/>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364B5C"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F5CB30" w14:textId="77777777" w:rsidR="000E48CE" w:rsidRDefault="00FF4C4E">
            <w:pPr>
              <w:pStyle w:val="P68B1DB1-Normal46"/>
              <w:spacing w:after="0" w:line="240" w:lineRule="auto"/>
              <w:rPr>
                <w:rFonts w:eastAsia="Times New Roman" w:cs="Times New Roman"/>
                <w:noProof/>
              </w:rPr>
            </w:pPr>
            <w:r>
              <w:rPr>
                <w:noProof/>
              </w:rPr>
              <w:t xml:space="preserve">Tuettujen sähkönsiirtohankkeiden loppuun </w:t>
            </w:r>
            <w:r>
              <w:rPr>
                <w:noProof/>
              </w:rPr>
              <w:t>saattaminen</w:t>
            </w:r>
          </w:p>
        </w:tc>
      </w:tr>
      <w:tr w:rsidR="000E48CE" w14:paraId="5884615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344428" w14:textId="77777777" w:rsidR="000E48CE" w:rsidRDefault="00FF4C4E">
            <w:pPr>
              <w:pStyle w:val="P68B1DB1-Normal46"/>
              <w:spacing w:after="0" w:line="240" w:lineRule="auto"/>
              <w:jc w:val="center"/>
              <w:rPr>
                <w:rFonts w:eastAsia="Times New Roman" w:cs="Times New Roman"/>
                <w:noProof/>
              </w:rPr>
            </w:pPr>
            <w:r>
              <w:rPr>
                <w:noProof/>
              </w:rPr>
              <w:t>493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278076" w14:textId="77777777" w:rsidR="000E48CE" w:rsidRDefault="00FF4C4E">
            <w:pPr>
              <w:pStyle w:val="P68B1DB1-Normal46"/>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77DEBE" w14:textId="77777777" w:rsidR="000E48CE" w:rsidRDefault="00FF4C4E">
            <w:pPr>
              <w:pStyle w:val="P68B1DB1-Normal46"/>
              <w:spacing w:after="0" w:line="240" w:lineRule="auto"/>
              <w:rPr>
                <w:rFonts w:eastAsia="Times New Roman" w:cs="Times New Roman"/>
                <w:noProof/>
              </w:rPr>
            </w:pPr>
            <w:r>
              <w:rPr>
                <w:noProof/>
              </w:rPr>
              <w:t>M</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9A921DA" w14:textId="77777777" w:rsidR="000E48CE" w:rsidRDefault="00FF4C4E">
            <w:pPr>
              <w:pStyle w:val="P68B1DB1-Normal46"/>
              <w:spacing w:after="0" w:line="240" w:lineRule="auto"/>
              <w:rPr>
                <w:rFonts w:eastAsia="Times New Roman" w:cs="Times New Roman"/>
                <w:noProof/>
              </w:rPr>
            </w:pPr>
            <w:r>
              <w:rPr>
                <w:noProof/>
              </w:rPr>
              <w:t>Hiilestä irtautumista koskevien hankkeiden loppuun saattaminen</w:t>
            </w:r>
          </w:p>
        </w:tc>
      </w:tr>
      <w:tr w:rsidR="000E48CE" w14:paraId="7C7B002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981D53" w14:textId="77777777" w:rsidR="000E48CE" w:rsidRDefault="00FF4C4E">
            <w:pPr>
              <w:pStyle w:val="P68B1DB1-Normal46"/>
              <w:spacing w:after="0" w:line="240" w:lineRule="auto"/>
              <w:jc w:val="center"/>
              <w:rPr>
                <w:rFonts w:eastAsia="Times New Roman" w:cs="Times New Roman"/>
                <w:noProof/>
              </w:rPr>
            </w:pPr>
            <w:r>
              <w:rPr>
                <w:noProof/>
              </w:rPr>
              <w:t>496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A9F29D" w14:textId="77777777" w:rsidR="000E48CE" w:rsidRDefault="00FF4C4E">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D355F" w14:textId="77777777" w:rsidR="000E48CE" w:rsidRDefault="00FF4C4E">
            <w:pPr>
              <w:pStyle w:val="P68B1DB1-Normal46"/>
              <w:spacing w:after="0" w:line="240" w:lineRule="auto"/>
              <w:rPr>
                <w:rFonts w:eastAsia="Times New Roman" w:cs="Times New Roman"/>
                <w:noProof/>
              </w:rPr>
            </w:pPr>
            <w:r>
              <w:rPr>
                <w:noProof/>
              </w:rPr>
              <w:t>T</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8854A2B" w14:textId="77777777" w:rsidR="000E48CE" w:rsidRDefault="00FF4C4E">
            <w:pPr>
              <w:pStyle w:val="P68B1DB1-Normal46"/>
              <w:spacing w:after="0" w:line="240" w:lineRule="auto"/>
              <w:rPr>
                <w:rFonts w:eastAsia="Times New Roman" w:cs="Times New Roman"/>
                <w:noProof/>
              </w:rPr>
            </w:pPr>
            <w:r>
              <w:rPr>
                <w:noProof/>
              </w:rPr>
              <w:t>Teollisuuden hiilestä irtautumista koskeva tukijärjestelmä: Lopullisten edunsaajien kanssa allekirjoitetut oikeudelliset sopimukset tai lopulliset myöntä</w:t>
            </w:r>
            <w:r>
              <w:rPr>
                <w:noProof/>
              </w:rPr>
              <w:t>mispäätökset julkaistu</w:t>
            </w:r>
          </w:p>
        </w:tc>
      </w:tr>
      <w:tr w:rsidR="000E48CE" w14:paraId="651D1B6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AB7EF"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9F4CA0"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4B7940" w14:textId="09326149" w:rsidR="000E48CE" w:rsidRDefault="00FF4C4E">
            <w:pPr>
              <w:pStyle w:val="P68B1DB1-Normal45"/>
              <w:spacing w:after="0" w:line="240" w:lineRule="auto"/>
              <w:rPr>
                <w:rFonts w:eastAsia="Times New Roman" w:cs="Times New Roman"/>
                <w:noProof/>
              </w:rPr>
            </w:pPr>
            <w:r>
              <w:rPr>
                <w:noProof/>
              </w:rPr>
              <w:t>Erän suuruus</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77985D" w14:textId="05D07DD9" w:rsidR="000E48CE" w:rsidRDefault="00FF4C4E">
            <w:pPr>
              <w:pStyle w:val="P68B1DB1-Normal45"/>
              <w:spacing w:after="0" w:line="240" w:lineRule="auto"/>
              <w:rPr>
                <w:rFonts w:eastAsia="Times New Roman" w:cs="Times New Roman"/>
                <w:noProof/>
              </w:rPr>
            </w:pPr>
            <w:r>
              <w:rPr>
                <w:noProof/>
              </w:rPr>
              <w:t>VÄHIMMÄISPÄÄOMA: 8017775948 EUROA</w:t>
            </w:r>
          </w:p>
        </w:tc>
      </w:tr>
    </w:tbl>
    <w:p w14:paraId="16D5F339" w14:textId="77777777" w:rsidR="000E48CE" w:rsidRDefault="000E48CE">
      <w:pPr>
        <w:spacing w:before="120" w:after="120" w:line="240" w:lineRule="auto"/>
        <w:jc w:val="both"/>
        <w:rPr>
          <w:rFonts w:ascii="Times New Roman" w:eastAsia="Calibri" w:hAnsi="Times New Roman" w:cs="Times New Roman"/>
          <w:noProof/>
          <w:sz w:val="24"/>
        </w:rPr>
      </w:pPr>
    </w:p>
    <w:p w14:paraId="4D99498E" w14:textId="77777777" w:rsidR="000E48CE" w:rsidRDefault="000E48CE">
      <w:pPr>
        <w:spacing w:before="120" w:after="120" w:line="240" w:lineRule="auto"/>
        <w:jc w:val="both"/>
        <w:rPr>
          <w:rFonts w:ascii="Times New Roman" w:eastAsia="Calibri" w:hAnsi="Times New Roman" w:cs="Times New Roman"/>
          <w:noProof/>
          <w:sz w:val="24"/>
        </w:rPr>
      </w:pPr>
    </w:p>
    <w:p w14:paraId="0CA79CFD" w14:textId="30DF263D" w:rsidR="000E48CE" w:rsidRDefault="00FF4C4E">
      <w:pPr>
        <w:pStyle w:val="P68B1DB1-Normal43"/>
        <w:numPr>
          <w:ilvl w:val="0"/>
          <w:numId w:val="50"/>
        </w:numPr>
        <w:spacing w:before="120" w:after="120" w:line="240" w:lineRule="auto"/>
        <w:jc w:val="both"/>
        <w:rPr>
          <w:rFonts w:eastAsia="Calibri" w:cs="Times New Roman"/>
          <w:noProof/>
        </w:rPr>
      </w:pPr>
      <w:r>
        <w:rPr>
          <w:noProof/>
        </w:rPr>
        <w:t xml:space="preserve">Laina </w:t>
      </w:r>
    </w:p>
    <w:p w14:paraId="153E4591" w14:textId="78F92C86" w:rsidR="000E48CE" w:rsidRDefault="00FF4C4E">
      <w:pPr>
        <w:pStyle w:val="P68B1DB1-Normal4"/>
        <w:spacing w:before="120" w:after="120" w:line="240" w:lineRule="auto"/>
        <w:ind w:left="850"/>
        <w:jc w:val="both"/>
        <w:rPr>
          <w:rFonts w:eastAsia="Calibri" w:cs="Times New Roman"/>
          <w:noProof/>
        </w:rPr>
      </w:pPr>
      <w:r>
        <w:rPr>
          <w:noProof/>
        </w:rPr>
        <w:t>Edellä 2 a artiklan 2 kohdassa tarkoitetut erät järjestetään seuraavasti:</w:t>
      </w:r>
    </w:p>
    <w:p w14:paraId="37C02A2E"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Ensimmäinen erä (lainatuki): </w:t>
      </w:r>
    </w:p>
    <w:tbl>
      <w:tblPr>
        <w:tblW w:w="9663" w:type="dxa"/>
        <w:tblInd w:w="113" w:type="dxa"/>
        <w:tblLook w:val="04A0" w:firstRow="1" w:lastRow="0" w:firstColumn="1" w:lastColumn="0" w:noHBand="0" w:noVBand="1"/>
      </w:tblPr>
      <w:tblGrid>
        <w:gridCol w:w="1300"/>
        <w:gridCol w:w="1443"/>
        <w:gridCol w:w="1783"/>
        <w:gridCol w:w="5670"/>
      </w:tblGrid>
      <w:tr w:rsidR="000E48CE" w14:paraId="69124C72"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1F0831"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B8A25B4"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DD5456D"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9D55B09"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0C3E33E9"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E0BABFE"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0D235C6"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3B65A234"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50C8459" w14:textId="77777777" w:rsidR="000E48CE" w:rsidRDefault="000E48CE">
            <w:pPr>
              <w:spacing w:after="0" w:line="240" w:lineRule="auto"/>
              <w:rPr>
                <w:rFonts w:ascii="Times New Roman" w:eastAsia="Times New Roman" w:hAnsi="Times New Roman" w:cs="Times New Roman"/>
                <w:b/>
                <w:noProof/>
                <w:sz w:val="20"/>
              </w:rPr>
            </w:pPr>
          </w:p>
        </w:tc>
      </w:tr>
      <w:tr w:rsidR="000E48CE" w14:paraId="7B3EA417" w14:textId="77777777">
        <w:trPr>
          <w:trHeight w:val="302"/>
        </w:trPr>
        <w:tc>
          <w:tcPr>
            <w:tcW w:w="1300" w:type="dxa"/>
            <w:tcBorders>
              <w:top w:val="nil"/>
              <w:left w:val="single" w:sz="4" w:space="0" w:color="auto"/>
              <w:bottom w:val="single" w:sz="4" w:space="0" w:color="auto"/>
              <w:right w:val="single" w:sz="4" w:space="0" w:color="auto"/>
            </w:tcBorders>
            <w:shd w:val="clear" w:color="auto" w:fill="C6EFCE"/>
            <w:noWrap/>
            <w:vAlign w:val="bottom"/>
            <w:hideMark/>
          </w:tcPr>
          <w:p w14:paraId="495A227F" w14:textId="77777777" w:rsidR="000E48CE" w:rsidRDefault="00FF4C4E">
            <w:pPr>
              <w:pStyle w:val="P68B1DB1-Normal46"/>
              <w:spacing w:after="0" w:line="240" w:lineRule="auto"/>
              <w:jc w:val="center"/>
              <w:rPr>
                <w:rFonts w:eastAsia="Times New Roman" w:cs="Times New Roman"/>
                <w:noProof/>
              </w:rPr>
            </w:pPr>
            <w:r>
              <w:rPr>
                <w:noProof/>
              </w:rPr>
              <w:t>L1</w:t>
            </w:r>
          </w:p>
        </w:tc>
        <w:tc>
          <w:tcPr>
            <w:tcW w:w="1443" w:type="dxa"/>
            <w:tcBorders>
              <w:top w:val="nil"/>
              <w:left w:val="nil"/>
              <w:bottom w:val="single" w:sz="4" w:space="0" w:color="auto"/>
              <w:right w:val="single" w:sz="4" w:space="0" w:color="auto"/>
            </w:tcBorders>
            <w:shd w:val="clear" w:color="auto" w:fill="C6EFCE"/>
            <w:noWrap/>
            <w:vAlign w:val="bottom"/>
            <w:hideMark/>
          </w:tcPr>
          <w:p w14:paraId="21EA4C76" w14:textId="77777777" w:rsidR="000E48CE" w:rsidRDefault="00FF4C4E">
            <w:pPr>
              <w:pStyle w:val="P68B1DB1-Normal46"/>
              <w:spacing w:after="0" w:line="240" w:lineRule="auto"/>
              <w:rPr>
                <w:rFonts w:eastAsia="Times New Roman" w:cs="Times New Roman"/>
                <w:noProof/>
              </w:rPr>
            </w:pPr>
            <w:r>
              <w:rPr>
                <w:noProof/>
              </w:rPr>
              <w:t>C1.R3</w:t>
            </w:r>
          </w:p>
        </w:tc>
        <w:tc>
          <w:tcPr>
            <w:tcW w:w="1250" w:type="dxa"/>
            <w:tcBorders>
              <w:top w:val="nil"/>
              <w:left w:val="nil"/>
              <w:bottom w:val="single" w:sz="4" w:space="0" w:color="auto"/>
              <w:right w:val="single" w:sz="4" w:space="0" w:color="auto"/>
            </w:tcBorders>
            <w:shd w:val="clear" w:color="auto" w:fill="C6EFCE"/>
            <w:noWrap/>
            <w:vAlign w:val="bottom"/>
            <w:hideMark/>
          </w:tcPr>
          <w:p w14:paraId="34841B0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nil"/>
              <w:left w:val="nil"/>
              <w:bottom w:val="single" w:sz="4" w:space="0" w:color="auto"/>
              <w:right w:val="single" w:sz="4" w:space="0" w:color="auto"/>
            </w:tcBorders>
            <w:shd w:val="clear" w:color="auto" w:fill="C6EFCE"/>
            <w:noWrap/>
            <w:vAlign w:val="bottom"/>
            <w:hideMark/>
          </w:tcPr>
          <w:p w14:paraId="4B0E361C" w14:textId="77777777" w:rsidR="000E48CE" w:rsidRDefault="00FF4C4E">
            <w:pPr>
              <w:pStyle w:val="P68B1DB1-Normal46"/>
              <w:spacing w:after="0" w:line="240" w:lineRule="auto"/>
              <w:rPr>
                <w:rFonts w:eastAsia="Times New Roman" w:cs="Times New Roman"/>
                <w:noProof/>
              </w:rPr>
            </w:pPr>
            <w:r>
              <w:rPr>
                <w:noProof/>
              </w:rPr>
              <w:t>Vähäpäästöisiä vyöhykkeitä koskevan kuninkaallisen asetuksen voimaantulo</w:t>
            </w:r>
          </w:p>
        </w:tc>
      </w:tr>
      <w:tr w:rsidR="000E48CE" w14:paraId="780138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29F0FB"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D0E92F1"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3280582" w14:textId="77777777" w:rsidR="000E48CE" w:rsidRDefault="00FF4C4E">
            <w:pPr>
              <w:pStyle w:val="P68B1DB1-Normal45"/>
              <w:spacing w:after="0" w:line="240" w:lineRule="auto"/>
              <w:rPr>
                <w:rFonts w:eastAsia="Times New Roman" w:cs="Times New Roman"/>
                <w:noProof/>
              </w:rPr>
            </w:pPr>
            <w:r>
              <w:rPr>
                <w:noProof/>
              </w:rPr>
              <w:t>Erän 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6843E3" w14:textId="26061622" w:rsidR="000E48CE" w:rsidRDefault="00FF4C4E">
            <w:pPr>
              <w:pStyle w:val="P68B1DB1-Normal45"/>
              <w:spacing w:after="0" w:line="240" w:lineRule="auto"/>
              <w:rPr>
                <w:rFonts w:eastAsia="Times New Roman" w:cs="Times New Roman"/>
                <w:noProof/>
              </w:rPr>
            </w:pPr>
            <w:r>
              <w:rPr>
                <w:noProof/>
              </w:rPr>
              <w:t>VÄHIMMÄISPÄÄOMA: 528000381 EUROA</w:t>
            </w:r>
          </w:p>
        </w:tc>
      </w:tr>
    </w:tbl>
    <w:p w14:paraId="61DF7D93" w14:textId="77777777" w:rsidR="000E48CE" w:rsidRDefault="000E48CE">
      <w:pPr>
        <w:spacing w:before="120" w:after="120" w:line="240" w:lineRule="auto"/>
        <w:jc w:val="both"/>
        <w:rPr>
          <w:rFonts w:ascii="Times New Roman" w:eastAsia="Calibri" w:hAnsi="Times New Roman" w:cs="Times New Roman"/>
          <w:noProof/>
          <w:sz w:val="24"/>
        </w:rPr>
      </w:pPr>
    </w:p>
    <w:p w14:paraId="55E15C86"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Toinen erä (lainatuki): </w:t>
      </w:r>
    </w:p>
    <w:tbl>
      <w:tblPr>
        <w:tblW w:w="9663" w:type="dxa"/>
        <w:tblInd w:w="113" w:type="dxa"/>
        <w:tblLook w:val="04A0" w:firstRow="1" w:lastRow="0" w:firstColumn="1" w:lastColumn="0" w:noHBand="0" w:noVBand="1"/>
      </w:tblPr>
      <w:tblGrid>
        <w:gridCol w:w="1297"/>
        <w:gridCol w:w="1443"/>
        <w:gridCol w:w="1783"/>
        <w:gridCol w:w="5670"/>
      </w:tblGrid>
      <w:tr w:rsidR="000E48CE" w14:paraId="070EFD94" w14:textId="77777777">
        <w:trPr>
          <w:trHeight w:val="906"/>
        </w:trPr>
        <w:tc>
          <w:tcPr>
            <w:tcW w:w="129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1A75EA4"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CE68AE0"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6A9049"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6A2E2359"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334484C5" w14:textId="77777777">
        <w:trPr>
          <w:trHeight w:val="509"/>
        </w:trPr>
        <w:tc>
          <w:tcPr>
            <w:tcW w:w="1297" w:type="dxa"/>
            <w:vMerge/>
            <w:tcBorders>
              <w:top w:val="single" w:sz="4" w:space="0" w:color="auto"/>
              <w:left w:val="single" w:sz="4" w:space="0" w:color="auto"/>
              <w:bottom w:val="single" w:sz="4" w:space="0" w:color="000000"/>
              <w:right w:val="single" w:sz="4" w:space="0" w:color="auto"/>
            </w:tcBorders>
            <w:vAlign w:val="center"/>
            <w:hideMark/>
          </w:tcPr>
          <w:p w14:paraId="6522CDFC"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034537BC" w14:textId="77777777" w:rsidR="000E48CE" w:rsidRDefault="000E48CE">
            <w:pPr>
              <w:spacing w:after="0" w:line="240" w:lineRule="auto"/>
              <w:rPr>
                <w:rFonts w:ascii="Times New Roman" w:eastAsia="Times New Roman" w:hAnsi="Times New Roman" w:cs="Times New Roman"/>
                <w:b/>
                <w:noProof/>
                <w:sz w:val="20"/>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1177CC17"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BDD48F4" w14:textId="77777777" w:rsidR="000E48CE" w:rsidRDefault="000E48CE">
            <w:pPr>
              <w:spacing w:after="0" w:line="240" w:lineRule="auto"/>
              <w:rPr>
                <w:rFonts w:ascii="Times New Roman" w:eastAsia="Times New Roman" w:hAnsi="Times New Roman" w:cs="Times New Roman"/>
                <w:b/>
                <w:noProof/>
                <w:sz w:val="20"/>
              </w:rPr>
            </w:pPr>
          </w:p>
        </w:tc>
      </w:tr>
      <w:tr w:rsidR="000E48CE" w14:paraId="38EA10FF"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A64205" w14:textId="77777777" w:rsidR="000E48CE" w:rsidRDefault="00FF4C4E">
            <w:pPr>
              <w:pStyle w:val="P68B1DB1-Normal46"/>
              <w:spacing w:after="0" w:line="240" w:lineRule="auto"/>
              <w:jc w:val="center"/>
              <w:rPr>
                <w:rFonts w:eastAsia="Times New Roman" w:cs="Times New Roman"/>
                <w:noProof/>
              </w:rPr>
            </w:pPr>
            <w:r>
              <w:rPr>
                <w:noProof/>
              </w:rPr>
              <w:t>L4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3FAC76" w14:textId="77777777" w:rsidR="000E48CE" w:rsidRDefault="00FF4C4E">
            <w:pPr>
              <w:pStyle w:val="P68B1DB1-Normal46"/>
              <w:spacing w:after="0" w:line="240" w:lineRule="auto"/>
              <w:rPr>
                <w:rFonts w:eastAsia="Times New Roman" w:cs="Times New Roman"/>
                <w:noProof/>
              </w:rPr>
            </w:pPr>
            <w:r>
              <w:rPr>
                <w:noProof/>
              </w:rPr>
              <w:t>C2.I7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0CC7DAE6"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256D96" w14:textId="77777777" w:rsidR="000E48CE" w:rsidRDefault="00FF4C4E">
            <w:pPr>
              <w:pStyle w:val="P68B1DB1-Normal46"/>
              <w:spacing w:after="0" w:line="240" w:lineRule="auto"/>
              <w:rPr>
                <w:rFonts w:eastAsia="Times New Roman" w:cs="Times New Roman"/>
                <w:noProof/>
              </w:rPr>
            </w:pPr>
            <w:r>
              <w:rPr>
                <w:noProof/>
              </w:rPr>
              <w:t>Täytäntöönpanosopimus</w:t>
            </w:r>
          </w:p>
        </w:tc>
      </w:tr>
      <w:tr w:rsidR="000E48CE" w14:paraId="156E1DF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A06059" w14:textId="77777777" w:rsidR="000E48CE" w:rsidRDefault="00FF4C4E">
            <w:pPr>
              <w:pStyle w:val="P68B1DB1-Normal46"/>
              <w:spacing w:after="0" w:line="240" w:lineRule="auto"/>
              <w:jc w:val="center"/>
              <w:rPr>
                <w:rFonts w:eastAsia="Times New Roman" w:cs="Times New Roman"/>
                <w:noProof/>
              </w:rPr>
            </w:pPr>
            <w:r>
              <w:rPr>
                <w:noProof/>
              </w:rPr>
              <w:t>L10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9D2860" w14:textId="77777777" w:rsidR="000E48CE" w:rsidRDefault="00FF4C4E">
            <w:pPr>
              <w:pStyle w:val="P68B1DB1-Normal46"/>
              <w:spacing w:after="0" w:line="240" w:lineRule="auto"/>
              <w:rPr>
                <w:rFonts w:eastAsia="Times New Roman" w:cs="Times New Roman"/>
                <w:noProof/>
              </w:rPr>
            </w:pPr>
            <w:r>
              <w:rPr>
                <w:noProof/>
              </w:rPr>
              <w:t>C3.I12</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222AFE2"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C2561C" w14:textId="77777777" w:rsidR="000E48CE" w:rsidRDefault="00FF4C4E">
            <w:pPr>
              <w:pStyle w:val="P68B1DB1-Normal46"/>
              <w:spacing w:after="0" w:line="240" w:lineRule="auto"/>
              <w:rPr>
                <w:rFonts w:eastAsia="Times New Roman" w:cs="Times New Roman"/>
                <w:noProof/>
              </w:rPr>
            </w:pPr>
            <w:r>
              <w:rPr>
                <w:noProof/>
              </w:rPr>
              <w:t>Maatalous-, kalastus- ja elintarvikeministeriön (MAPA) ja SEIASAn välisen sopimuksen täytäntöönpano kasteltujen alueiden parantamisen ja kestävyyden tukemiseksi (vaihe III)</w:t>
            </w:r>
          </w:p>
        </w:tc>
      </w:tr>
      <w:tr w:rsidR="000E48CE" w14:paraId="78F900DE"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7FF2CE" w14:textId="77777777" w:rsidR="000E48CE" w:rsidRDefault="00FF4C4E">
            <w:pPr>
              <w:pStyle w:val="P68B1DB1-Normal46"/>
              <w:spacing w:after="0" w:line="240" w:lineRule="auto"/>
              <w:jc w:val="center"/>
              <w:rPr>
                <w:rFonts w:eastAsia="Times New Roman" w:cs="Times New Roman"/>
                <w:noProof/>
              </w:rPr>
            </w:pPr>
            <w:r>
              <w:rPr>
                <w:noProof/>
              </w:rPr>
              <w:t>L25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92A886" w14:textId="77777777" w:rsidR="000E48CE" w:rsidRDefault="00FF4C4E">
            <w:pPr>
              <w:pStyle w:val="P68B1DB1-Normal46"/>
              <w:spacing w:after="0" w:line="240" w:lineRule="auto"/>
              <w:rPr>
                <w:rFonts w:eastAsia="Times New Roman" w:cs="Times New Roman"/>
                <w:noProof/>
              </w:rPr>
            </w:pPr>
            <w:r>
              <w:rPr>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C57CE6E"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97432D" w14:textId="77777777" w:rsidR="000E48CE" w:rsidRDefault="00FF4C4E">
            <w:pPr>
              <w:pStyle w:val="P68B1DB1-Normal46"/>
              <w:spacing w:after="0" w:line="240" w:lineRule="auto"/>
              <w:rPr>
                <w:rFonts w:eastAsia="Times New Roman" w:cs="Times New Roman"/>
                <w:noProof/>
              </w:rPr>
            </w:pPr>
            <w:r>
              <w:rPr>
                <w:noProof/>
              </w:rPr>
              <w:t>ICO:n vihreän linjan täytäntöönpanosopimus ICO:n kanssa</w:t>
            </w:r>
          </w:p>
        </w:tc>
      </w:tr>
      <w:tr w:rsidR="000E48CE" w14:paraId="32F6F2C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A33798" w14:textId="77777777" w:rsidR="000E48CE" w:rsidRDefault="00FF4C4E">
            <w:pPr>
              <w:pStyle w:val="P68B1DB1-Normal46"/>
              <w:spacing w:after="0" w:line="240" w:lineRule="auto"/>
              <w:jc w:val="center"/>
              <w:rPr>
                <w:rFonts w:eastAsia="Times New Roman" w:cs="Times New Roman"/>
                <w:noProof/>
              </w:rPr>
            </w:pPr>
            <w:r>
              <w:rPr>
                <w:noProof/>
              </w:rPr>
              <w:t>L30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9867E9" w14:textId="77777777" w:rsidR="000E48CE" w:rsidRDefault="00FF4C4E">
            <w:pPr>
              <w:pStyle w:val="P68B1DB1-Normal46"/>
              <w:spacing w:after="0" w:line="240" w:lineRule="auto"/>
              <w:rPr>
                <w:rFonts w:eastAsia="Times New Roman" w:cs="Times New Roman"/>
                <w:noProof/>
              </w:rPr>
            </w:pPr>
            <w:r>
              <w:rPr>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1CD7172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9F43C1" w14:textId="77777777" w:rsidR="000E48CE" w:rsidRDefault="00FF4C4E">
            <w:pPr>
              <w:pStyle w:val="P68B1DB1-Normal46"/>
              <w:spacing w:after="0" w:line="240" w:lineRule="auto"/>
              <w:rPr>
                <w:rFonts w:eastAsia="Times New Roman" w:cs="Times New Roman"/>
                <w:noProof/>
              </w:rPr>
            </w:pPr>
            <w:r>
              <w:rPr>
                <w:noProof/>
              </w:rPr>
              <w:t xml:space="preserve">ICO:n yrityksiä ja yrittäjiä koskeva täytäntöönpanosopimus (mukaan lukien pääomarahastot) </w:t>
            </w:r>
          </w:p>
        </w:tc>
      </w:tr>
      <w:tr w:rsidR="000E48CE" w14:paraId="62DBFCE4"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C3720" w14:textId="77777777" w:rsidR="000E48CE" w:rsidRDefault="00FF4C4E">
            <w:pPr>
              <w:pStyle w:val="P68B1DB1-Normal46"/>
              <w:spacing w:after="0" w:line="240" w:lineRule="auto"/>
              <w:jc w:val="center"/>
              <w:rPr>
                <w:rFonts w:eastAsia="Times New Roman" w:cs="Times New Roman"/>
                <w:noProof/>
              </w:rPr>
            </w:pPr>
            <w:r>
              <w:rPr>
                <w:noProof/>
              </w:rPr>
              <w:t>L35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6BA303" w14:textId="77777777" w:rsidR="000E48CE" w:rsidRDefault="00FF4C4E">
            <w:pPr>
              <w:pStyle w:val="P68B1DB1-Normal46"/>
              <w:spacing w:after="0" w:line="240" w:lineRule="auto"/>
              <w:rPr>
                <w:rFonts w:eastAsia="Times New Roman" w:cs="Times New Roman"/>
                <w:noProof/>
              </w:rPr>
            </w:pPr>
            <w:r>
              <w:rPr>
                <w:noProof/>
              </w:rPr>
              <w:t>C13.I7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3598281"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F07597" w14:textId="77777777" w:rsidR="000E48CE" w:rsidRDefault="00FF4C4E">
            <w:pPr>
              <w:pStyle w:val="P68B1DB1-Normal46"/>
              <w:spacing w:after="0" w:line="240" w:lineRule="auto"/>
              <w:rPr>
                <w:rFonts w:eastAsia="Times New Roman" w:cs="Times New Roman"/>
                <w:noProof/>
              </w:rPr>
            </w:pPr>
            <w:r>
              <w:rPr>
                <w:noProof/>
              </w:rPr>
              <w:t xml:space="preserve">Seuraava teknologiarahasto – Täytäntöönpanosopimus toimintalinjan kanssa </w:t>
            </w:r>
          </w:p>
        </w:tc>
      </w:tr>
      <w:tr w:rsidR="000E48CE" w14:paraId="3B3ADF4C"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81AB45" w14:textId="77777777" w:rsidR="000E48CE" w:rsidRDefault="00FF4C4E">
            <w:pPr>
              <w:pStyle w:val="P68B1DB1-Normal46"/>
              <w:spacing w:after="0" w:line="240" w:lineRule="auto"/>
              <w:jc w:val="center"/>
              <w:rPr>
                <w:rFonts w:eastAsia="Times New Roman" w:cs="Times New Roman"/>
                <w:noProof/>
              </w:rPr>
            </w:pPr>
            <w:r>
              <w:rPr>
                <w:noProof/>
              </w:rPr>
              <w:t>L53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9433E3" w14:textId="77777777" w:rsidR="000E48CE" w:rsidRDefault="00FF4C4E">
            <w:pPr>
              <w:pStyle w:val="P68B1DB1-Normal46"/>
              <w:spacing w:after="0" w:line="240" w:lineRule="auto"/>
              <w:rPr>
                <w:rFonts w:eastAsia="Times New Roman" w:cs="Times New Roman"/>
                <w:noProof/>
              </w:rPr>
            </w:pPr>
            <w:r>
              <w:rPr>
                <w:noProof/>
              </w:rPr>
              <w:t>C13.I13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21973953"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7EDEEC" w14:textId="77777777" w:rsidR="000E48CE" w:rsidRDefault="00FF4C4E">
            <w:pPr>
              <w:pStyle w:val="P68B1DB1-Normal46"/>
              <w:spacing w:after="0" w:line="240" w:lineRule="auto"/>
              <w:rPr>
                <w:rFonts w:eastAsia="Times New Roman" w:cs="Times New Roman"/>
                <w:noProof/>
              </w:rPr>
            </w:pPr>
            <w:r>
              <w:rPr>
                <w:noProof/>
              </w:rPr>
              <w:t xml:space="preserve">Alueellinen selviytymiskyvyn kehittämisrahasto: Täytäntöönpanosopimus </w:t>
            </w:r>
          </w:p>
        </w:tc>
      </w:tr>
      <w:tr w:rsidR="000E48CE" w14:paraId="5BAD0CF1"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953F19" w14:textId="77777777" w:rsidR="000E48CE" w:rsidRDefault="00FF4C4E">
            <w:pPr>
              <w:pStyle w:val="P68B1DB1-Normal46"/>
              <w:spacing w:after="0" w:line="240" w:lineRule="auto"/>
              <w:jc w:val="center"/>
              <w:rPr>
                <w:rFonts w:eastAsia="Times New Roman" w:cs="Times New Roman"/>
                <w:noProof/>
              </w:rPr>
            </w:pPr>
            <w:r>
              <w:rPr>
                <w:noProof/>
              </w:rPr>
              <w:t>L63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A28FC6" w14:textId="77777777" w:rsidR="000E48CE" w:rsidRDefault="00FF4C4E">
            <w:pPr>
              <w:pStyle w:val="P68B1DB1-Normal46"/>
              <w:spacing w:after="0" w:line="240" w:lineRule="auto"/>
              <w:rPr>
                <w:rFonts w:eastAsia="Times New Roman" w:cs="Times New Roman"/>
                <w:noProof/>
              </w:rPr>
            </w:pPr>
            <w:r>
              <w:rPr>
                <w:noProof/>
              </w:rPr>
              <w:t>C15.I9</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4B729C2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DCB233" w14:textId="77777777" w:rsidR="000E48CE" w:rsidRDefault="00FF4C4E">
            <w:pPr>
              <w:pStyle w:val="P68B1DB1-Normal46"/>
              <w:spacing w:after="0" w:line="240" w:lineRule="auto"/>
              <w:rPr>
                <w:rFonts w:eastAsia="Times New Roman" w:cs="Times New Roman"/>
                <w:noProof/>
              </w:rPr>
            </w:pPr>
            <w:r>
              <w:rPr>
                <w:noProof/>
              </w:rPr>
              <w:t>Sirurahoitusjärjestely: Rahoitusmekanismin virallinen hyväksyminen</w:t>
            </w:r>
          </w:p>
        </w:tc>
      </w:tr>
      <w:tr w:rsidR="000E48CE" w14:paraId="32057403"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8D65F28" w14:textId="77777777" w:rsidR="000E48CE" w:rsidRDefault="00FF4C4E">
            <w:pPr>
              <w:pStyle w:val="P68B1DB1-Normal46"/>
              <w:spacing w:after="0" w:line="240" w:lineRule="auto"/>
              <w:jc w:val="center"/>
              <w:rPr>
                <w:rFonts w:eastAsia="Times New Roman" w:cs="Times New Roman"/>
                <w:noProof/>
              </w:rPr>
            </w:pPr>
            <w:r>
              <w:rPr>
                <w:noProof/>
              </w:rPr>
              <w:t>L77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0D40B1" w14:textId="77777777" w:rsidR="000E48CE" w:rsidRDefault="00FF4C4E">
            <w:pPr>
              <w:pStyle w:val="P68B1DB1-Normal46"/>
              <w:spacing w:after="0" w:line="240" w:lineRule="auto"/>
              <w:rPr>
                <w:rFonts w:eastAsia="Times New Roman" w:cs="Times New Roman"/>
                <w:noProof/>
              </w:rPr>
            </w:pPr>
            <w:r>
              <w:rPr>
                <w:noProof/>
              </w:rPr>
              <w:t>C25.I3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E77CB39"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4BC2C8A" w14:textId="77777777" w:rsidR="000E48CE" w:rsidRDefault="00FF4C4E">
            <w:pPr>
              <w:pStyle w:val="P68B1DB1-Normal46"/>
              <w:spacing w:after="0" w:line="240" w:lineRule="auto"/>
              <w:rPr>
                <w:rFonts w:eastAsia="Times New Roman" w:cs="Times New Roman"/>
                <w:noProof/>
              </w:rPr>
            </w:pPr>
            <w:r>
              <w:rPr>
                <w:noProof/>
              </w:rPr>
              <w:t xml:space="preserve">ICO Audiovisuaalikeskuksen rahasto: Täytäntöönpanosopimus </w:t>
            </w:r>
          </w:p>
        </w:tc>
      </w:tr>
      <w:tr w:rsidR="000E48CE" w14:paraId="37E56C78"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CD007F"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8C115" w14:textId="77777777" w:rsidR="000E48CE" w:rsidRDefault="000E48CE">
            <w:pPr>
              <w:spacing w:after="0" w:line="240" w:lineRule="auto"/>
              <w:rPr>
                <w:rFonts w:ascii="Times New Roman" w:eastAsia="Times New Roman" w:hAnsi="Times New Roman" w:cs="Times New Roman"/>
                <w:noProof/>
                <w:sz w:val="20"/>
              </w:rPr>
            </w:pP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34341E44" w14:textId="5A729F87" w:rsidR="000E48CE" w:rsidRDefault="00FF4C4E">
            <w:pPr>
              <w:pStyle w:val="P68B1DB1-Normal45"/>
              <w:spacing w:after="0" w:line="240" w:lineRule="auto"/>
              <w:rPr>
                <w:rFonts w:eastAsia="Times New Roman" w:cs="Times New Roman"/>
                <w:noProof/>
              </w:rPr>
            </w:pPr>
            <w:r>
              <w:rPr>
                <w:noProof/>
              </w:rPr>
              <w:t>Erän 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79F629" w14:textId="38065E16" w:rsidR="000E48CE" w:rsidRDefault="00FF4C4E">
            <w:pPr>
              <w:pStyle w:val="P68B1DB1-Normal45"/>
              <w:spacing w:after="0" w:line="240" w:lineRule="auto"/>
              <w:rPr>
                <w:rFonts w:eastAsia="Times New Roman" w:cs="Times New Roman"/>
                <w:noProof/>
              </w:rPr>
            </w:pPr>
            <w:r>
              <w:rPr>
                <w:noProof/>
              </w:rPr>
              <w:t>VÄHIMMÄISPÄÄOMA: 14916010762 EUROA</w:t>
            </w:r>
          </w:p>
        </w:tc>
      </w:tr>
    </w:tbl>
    <w:p w14:paraId="07D30D6F" w14:textId="77777777" w:rsidR="000E48CE" w:rsidRDefault="000E48CE">
      <w:pPr>
        <w:spacing w:before="120" w:after="120" w:line="240" w:lineRule="auto"/>
        <w:jc w:val="both"/>
        <w:rPr>
          <w:rFonts w:ascii="Times New Roman" w:eastAsia="Calibri" w:hAnsi="Times New Roman" w:cs="Times New Roman"/>
          <w:noProof/>
          <w:sz w:val="24"/>
        </w:rPr>
      </w:pPr>
    </w:p>
    <w:p w14:paraId="46B70403" w14:textId="77777777"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Kolmas erä (lainatuki): </w:t>
      </w:r>
    </w:p>
    <w:tbl>
      <w:tblPr>
        <w:tblW w:w="9663" w:type="dxa"/>
        <w:tblInd w:w="113" w:type="dxa"/>
        <w:tblLook w:val="04A0" w:firstRow="1" w:lastRow="0" w:firstColumn="1" w:lastColumn="0" w:noHBand="0" w:noVBand="1"/>
      </w:tblPr>
      <w:tblGrid>
        <w:gridCol w:w="1300"/>
        <w:gridCol w:w="1443"/>
        <w:gridCol w:w="1783"/>
        <w:gridCol w:w="5670"/>
      </w:tblGrid>
      <w:tr w:rsidR="000E48CE" w14:paraId="14C9FC28"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621B2C4"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5D3F494"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5A907B"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406599CC"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33AA8FF5"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3DB443A"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DD539AA"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120B5E"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174B0279" w14:textId="77777777" w:rsidR="000E48CE" w:rsidRDefault="000E48CE">
            <w:pPr>
              <w:spacing w:after="0" w:line="240" w:lineRule="auto"/>
              <w:rPr>
                <w:rFonts w:ascii="Times New Roman" w:eastAsia="Times New Roman" w:hAnsi="Times New Roman" w:cs="Times New Roman"/>
                <w:b/>
                <w:noProof/>
                <w:sz w:val="20"/>
              </w:rPr>
            </w:pPr>
          </w:p>
        </w:tc>
      </w:tr>
      <w:tr w:rsidR="000E48CE" w14:paraId="1AD617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618618" w14:textId="77777777" w:rsidR="000E48CE" w:rsidRDefault="00FF4C4E">
            <w:pPr>
              <w:pStyle w:val="P68B1DB1-Normal46"/>
              <w:spacing w:after="0" w:line="240" w:lineRule="auto"/>
              <w:jc w:val="center"/>
              <w:rPr>
                <w:rFonts w:eastAsia="Times New Roman" w:cs="Times New Roman"/>
                <w:noProof/>
              </w:rPr>
            </w:pPr>
            <w:r>
              <w:rPr>
                <w:noProof/>
              </w:rPr>
              <w:t>L12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620344" w14:textId="77777777" w:rsidR="000E48CE" w:rsidRDefault="00FF4C4E">
            <w:pPr>
              <w:pStyle w:val="P68B1DB1-Normal46"/>
              <w:spacing w:after="0" w:line="240" w:lineRule="auto"/>
              <w:rPr>
                <w:rFonts w:eastAsia="Times New Roman" w:cs="Times New Roman"/>
                <w:noProof/>
              </w:rPr>
            </w:pPr>
            <w:r>
              <w:rPr>
                <w:noProof/>
              </w:rPr>
              <w:t>C4.R4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23F231"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0EF4E7" w14:textId="77777777" w:rsidR="000E48CE" w:rsidRDefault="00FF4C4E">
            <w:pPr>
              <w:pStyle w:val="P68B1DB1-Normal46"/>
              <w:spacing w:after="0" w:line="240" w:lineRule="auto"/>
              <w:rPr>
                <w:rFonts w:eastAsia="Times New Roman" w:cs="Times New Roman"/>
                <w:noProof/>
              </w:rPr>
            </w:pPr>
            <w:r>
              <w:rPr>
                <w:noProof/>
              </w:rPr>
              <w:t xml:space="preserve">Aavikoitumisen torjuntaa koskevan kansallisen strategian ja siihen liittyvän toimintasuunnitelman (2022–2026) hyväksyminen ja kollegiaalisten elinten perustaminen.  </w:t>
            </w:r>
          </w:p>
        </w:tc>
      </w:tr>
      <w:tr w:rsidR="000E48CE" w14:paraId="76E401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FA6E11" w14:textId="77777777" w:rsidR="000E48CE" w:rsidRDefault="00FF4C4E">
            <w:pPr>
              <w:pStyle w:val="P68B1DB1-Normal46"/>
              <w:spacing w:after="0" w:line="240" w:lineRule="auto"/>
              <w:jc w:val="center"/>
              <w:rPr>
                <w:rFonts w:eastAsia="Times New Roman" w:cs="Times New Roman"/>
                <w:noProof/>
              </w:rPr>
            </w:pPr>
            <w:r>
              <w:rPr>
                <w:noProof/>
              </w:rPr>
              <w:t>L15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5D6B87" w14:textId="77777777" w:rsidR="000E48CE" w:rsidRDefault="00FF4C4E">
            <w:pPr>
              <w:pStyle w:val="P68B1DB1-Normal46"/>
              <w:spacing w:after="0" w:line="240" w:lineRule="auto"/>
              <w:rPr>
                <w:rFonts w:eastAsia="Times New Roman" w:cs="Times New Roman"/>
                <w:noProof/>
              </w:rPr>
            </w:pPr>
            <w:r>
              <w:rPr>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F2DC5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FC5F63" w14:textId="77777777" w:rsidR="000E48CE" w:rsidRDefault="00FF4C4E">
            <w:pPr>
              <w:pStyle w:val="P68B1DB1-Normal46"/>
              <w:spacing w:after="0" w:line="240" w:lineRule="auto"/>
              <w:rPr>
                <w:rFonts w:eastAsia="Times New Roman" w:cs="Times New Roman"/>
                <w:noProof/>
              </w:rPr>
            </w:pPr>
            <w:r>
              <w:rPr>
                <w:noProof/>
              </w:rPr>
              <w:t>Energiatehokkuusstrategia</w:t>
            </w:r>
          </w:p>
        </w:tc>
      </w:tr>
      <w:tr w:rsidR="000E48CE" w14:paraId="5A7F8A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202F59" w14:textId="77777777" w:rsidR="000E48CE" w:rsidRDefault="00FF4C4E">
            <w:pPr>
              <w:pStyle w:val="P68B1DB1-Normal46"/>
              <w:spacing w:after="0" w:line="240" w:lineRule="auto"/>
              <w:jc w:val="center"/>
              <w:rPr>
                <w:rFonts w:eastAsia="Times New Roman" w:cs="Times New Roman"/>
                <w:noProof/>
              </w:rPr>
            </w:pPr>
            <w:r>
              <w:rPr>
                <w:noProof/>
              </w:rPr>
              <w:t>L18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C52E7F" w14:textId="77777777" w:rsidR="000E48CE" w:rsidRDefault="00FF4C4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95645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379C99" w14:textId="77777777" w:rsidR="000E48CE" w:rsidRDefault="00FF4C4E">
            <w:pPr>
              <w:pStyle w:val="P68B1DB1-Normal46"/>
              <w:spacing w:after="0" w:line="240" w:lineRule="auto"/>
              <w:rPr>
                <w:rFonts w:eastAsia="Times New Roman" w:cs="Times New Roman"/>
                <w:noProof/>
              </w:rPr>
            </w:pPr>
            <w:r>
              <w:rPr>
                <w:noProof/>
              </w:rPr>
              <w:t xml:space="preserve">Asetus turvallisuus- ja </w:t>
            </w:r>
            <w:r>
              <w:rPr>
                <w:noProof/>
              </w:rPr>
              <w:t>palautumisrahaston perustamisesta </w:t>
            </w:r>
          </w:p>
        </w:tc>
      </w:tr>
      <w:tr w:rsidR="000E48CE" w14:paraId="73A55D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F0C422" w14:textId="77777777" w:rsidR="000E48CE" w:rsidRDefault="00FF4C4E">
            <w:pPr>
              <w:pStyle w:val="P68B1DB1-Normal46"/>
              <w:spacing w:after="0" w:line="240" w:lineRule="auto"/>
              <w:jc w:val="center"/>
              <w:rPr>
                <w:rFonts w:eastAsia="Times New Roman" w:cs="Times New Roman"/>
                <w:noProof/>
              </w:rPr>
            </w:pPr>
            <w:r>
              <w:rPr>
                <w:noProof/>
              </w:rPr>
              <w:t>L22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14DAD" w14:textId="77777777" w:rsidR="000E48CE" w:rsidRDefault="00FF4C4E">
            <w:pPr>
              <w:pStyle w:val="P68B1DB1-Normal46"/>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2DD351"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10B2BA" w14:textId="77777777" w:rsidR="000E48CE" w:rsidRDefault="00FF4C4E">
            <w:pPr>
              <w:pStyle w:val="P68B1DB1-Normal46"/>
              <w:spacing w:after="0" w:line="240" w:lineRule="auto"/>
              <w:rPr>
                <w:rFonts w:eastAsia="Times New Roman" w:cs="Times New Roman"/>
                <w:noProof/>
              </w:rPr>
            </w:pPr>
            <w:r>
              <w:rPr>
                <w:noProof/>
              </w:rPr>
              <w:t>Tukijärjestelmä sähköautojen ja maatalouselintarvikkeiden arvoketjun strategisille hankkeille (lainat): Ministeriö on saattanut investoinnin päätökseen</w:t>
            </w:r>
          </w:p>
        </w:tc>
      </w:tr>
      <w:tr w:rsidR="000E48CE" w14:paraId="038190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FD8F2A" w14:textId="77777777" w:rsidR="000E48CE" w:rsidRDefault="00FF4C4E">
            <w:pPr>
              <w:pStyle w:val="P68B1DB1-Normal46"/>
              <w:spacing w:after="0" w:line="240" w:lineRule="auto"/>
              <w:jc w:val="center"/>
              <w:rPr>
                <w:rFonts w:eastAsia="Times New Roman" w:cs="Times New Roman"/>
                <w:noProof/>
              </w:rPr>
            </w:pPr>
            <w:r>
              <w:rPr>
                <w:noProof/>
              </w:rPr>
              <w:t>L23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6A0835" w14:textId="77777777" w:rsidR="000E48CE" w:rsidRDefault="00FF4C4E">
            <w:pPr>
              <w:pStyle w:val="P68B1DB1-Normal46"/>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9E42C"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9433CD5" w14:textId="77777777" w:rsidR="000E48CE" w:rsidRDefault="00FF4C4E">
            <w:pPr>
              <w:pStyle w:val="P68B1DB1-Normal46"/>
              <w:spacing w:after="0" w:line="240" w:lineRule="auto"/>
              <w:rPr>
                <w:rFonts w:eastAsia="Times New Roman" w:cs="Times New Roman"/>
                <w:noProof/>
              </w:rPr>
            </w:pPr>
            <w:r>
              <w:rPr>
                <w:noProof/>
              </w:rPr>
              <w:t xml:space="preserve">Tukijärjestelmä sähköautojen ja </w:t>
            </w:r>
            <w:r>
              <w:rPr>
                <w:noProof/>
              </w:rPr>
              <w:t>maatalouselintarvikkeiden arvoketjun strategisille hankkeille (lainat): Järjestelmän perustaminen</w:t>
            </w:r>
          </w:p>
        </w:tc>
      </w:tr>
      <w:tr w:rsidR="000E48CE" w14:paraId="266D0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2E2614" w14:textId="77777777" w:rsidR="000E48CE" w:rsidRDefault="00FF4C4E">
            <w:pPr>
              <w:pStyle w:val="P68B1DB1-Normal46"/>
              <w:spacing w:after="0" w:line="240" w:lineRule="auto"/>
              <w:jc w:val="center"/>
              <w:rPr>
                <w:rFonts w:eastAsia="Times New Roman" w:cs="Times New Roman"/>
                <w:noProof/>
              </w:rPr>
            </w:pPr>
            <w:r>
              <w:rPr>
                <w:noProof/>
              </w:rPr>
              <w:t>L25a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778B3B" w14:textId="77777777" w:rsidR="000E48CE" w:rsidRDefault="00FF4C4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5389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F8D0BF" w14:textId="77777777" w:rsidR="000E48CE" w:rsidRDefault="00FF4C4E">
            <w:pPr>
              <w:pStyle w:val="P68B1DB1-Normal46"/>
              <w:spacing w:after="0" w:line="240" w:lineRule="auto"/>
              <w:rPr>
                <w:rFonts w:eastAsia="Times New Roman" w:cs="Times New Roman"/>
                <w:noProof/>
              </w:rPr>
            </w:pPr>
            <w:r>
              <w:rPr>
                <w:noProof/>
              </w:rPr>
              <w:t>ICO Green Line – Lopullisten edunsaajien (mukaan lukien pääomarahastot) kanssa allekirjoitetut oikeudelliset sopimukset (I)</w:t>
            </w:r>
          </w:p>
        </w:tc>
      </w:tr>
      <w:tr w:rsidR="000E48CE" w14:paraId="450537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9E83AA" w14:textId="77777777" w:rsidR="000E48CE" w:rsidRDefault="00FF4C4E">
            <w:pPr>
              <w:pStyle w:val="P68B1DB1-Normal46"/>
              <w:spacing w:after="0" w:line="240" w:lineRule="auto"/>
              <w:jc w:val="center"/>
              <w:rPr>
                <w:rFonts w:eastAsia="Times New Roman" w:cs="Times New Roman"/>
                <w:noProof/>
              </w:rPr>
            </w:pPr>
            <w:r>
              <w:rPr>
                <w:noProof/>
              </w:rPr>
              <w:t>L40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2DD865" w14:textId="77777777" w:rsidR="000E48CE" w:rsidRDefault="00FF4C4E">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340AE"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3093" w14:textId="77777777" w:rsidR="000E48CE" w:rsidRDefault="00FF4C4E">
            <w:pPr>
              <w:pStyle w:val="P68B1DB1-Normal46"/>
              <w:spacing w:after="0" w:line="240" w:lineRule="auto"/>
              <w:rPr>
                <w:rFonts w:eastAsia="Times New Roman" w:cs="Times New Roman"/>
                <w:noProof/>
              </w:rPr>
            </w:pPr>
            <w:r>
              <w:rPr>
                <w:noProof/>
              </w:rPr>
              <w:t xml:space="preserve">Foco </w:t>
            </w:r>
            <w:r>
              <w:rPr>
                <w:noProof/>
              </w:rPr>
              <w:t>– rahaston perustamisesta annetut asetukset</w:t>
            </w:r>
          </w:p>
        </w:tc>
      </w:tr>
      <w:tr w:rsidR="000E48CE" w14:paraId="2E61D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27F5F1" w14:textId="77777777" w:rsidR="000E48CE" w:rsidRDefault="00FF4C4E">
            <w:pPr>
              <w:pStyle w:val="P68B1DB1-Normal46"/>
              <w:spacing w:after="0" w:line="240" w:lineRule="auto"/>
              <w:jc w:val="center"/>
              <w:rPr>
                <w:rFonts w:eastAsia="Times New Roman" w:cs="Times New Roman"/>
                <w:noProof/>
              </w:rPr>
            </w:pPr>
            <w:r>
              <w:rPr>
                <w:noProof/>
              </w:rPr>
              <w:t>L44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130CC5" w14:textId="77777777" w:rsidR="000E48CE" w:rsidRDefault="00FF4C4E">
            <w:pPr>
              <w:pStyle w:val="P68B1DB1-Normal46"/>
              <w:spacing w:after="0" w:line="240" w:lineRule="auto"/>
              <w:rPr>
                <w:rFonts w:eastAsia="Times New Roman" w:cs="Times New Roman"/>
                <w:noProof/>
              </w:rPr>
            </w:pPr>
            <w:r>
              <w:rPr>
                <w:noProof/>
              </w:rPr>
              <w:t>C13.I9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DDC2E6"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8AC985" w14:textId="77777777" w:rsidR="000E48CE" w:rsidRDefault="00FF4C4E">
            <w:pPr>
              <w:pStyle w:val="P68B1DB1-Normal46"/>
              <w:spacing w:after="0" w:line="240" w:lineRule="auto"/>
              <w:rPr>
                <w:rFonts w:eastAsia="Times New Roman" w:cs="Times New Roman"/>
                <w:noProof/>
              </w:rPr>
            </w:pPr>
            <w:r>
              <w:rPr>
                <w:noProof/>
              </w:rPr>
              <w:t>Strategisten yritysten vakavaraisuustukirahasto</w:t>
            </w:r>
          </w:p>
        </w:tc>
      </w:tr>
      <w:tr w:rsidR="000E48CE" w14:paraId="62B608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7278FB" w14:textId="77777777" w:rsidR="000E48CE" w:rsidRDefault="00FF4C4E">
            <w:pPr>
              <w:pStyle w:val="P68B1DB1-Normal46"/>
              <w:spacing w:after="0" w:line="240" w:lineRule="auto"/>
              <w:jc w:val="center"/>
              <w:rPr>
                <w:rFonts w:eastAsia="Times New Roman" w:cs="Times New Roman"/>
                <w:noProof/>
              </w:rPr>
            </w:pPr>
            <w:r>
              <w:rPr>
                <w:noProof/>
              </w:rPr>
              <w:t>L47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82761" w14:textId="77777777" w:rsidR="000E48CE" w:rsidRDefault="00FF4C4E">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B60D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2E350E" w14:textId="77777777" w:rsidR="000E48CE" w:rsidRDefault="00FF4C4E">
            <w:pPr>
              <w:pStyle w:val="P68B1DB1-Normal46"/>
              <w:spacing w:after="0" w:line="240" w:lineRule="auto"/>
              <w:rPr>
                <w:rFonts w:eastAsia="Times New Roman" w:cs="Times New Roman"/>
                <w:noProof/>
              </w:rPr>
            </w:pPr>
            <w:r>
              <w:rPr>
                <w:noProof/>
              </w:rPr>
              <w:t>ENISAn yrittäjyys- ja pk-yritysrahasto – Täytäntöönpanosopimus</w:t>
            </w:r>
          </w:p>
        </w:tc>
      </w:tr>
      <w:tr w:rsidR="000E48CE" w14:paraId="7DA56D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56784" w14:textId="77777777" w:rsidR="000E48CE" w:rsidRDefault="00FF4C4E">
            <w:pPr>
              <w:pStyle w:val="P68B1DB1-Normal46"/>
              <w:spacing w:after="0" w:line="240" w:lineRule="auto"/>
              <w:jc w:val="center"/>
              <w:rPr>
                <w:rFonts w:eastAsia="Times New Roman" w:cs="Times New Roman"/>
                <w:noProof/>
              </w:rPr>
            </w:pPr>
            <w:r>
              <w:rPr>
                <w:noProof/>
              </w:rPr>
              <w:t>L51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13627"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57521C"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AF5AAC7" w14:textId="77777777" w:rsidR="000E48CE" w:rsidRDefault="00FF4C4E">
            <w:pPr>
              <w:pStyle w:val="P68B1DB1-Normal46"/>
              <w:spacing w:after="0" w:line="240" w:lineRule="auto"/>
              <w:rPr>
                <w:rFonts w:eastAsia="Times New Roman" w:cs="Times New Roman"/>
                <w:noProof/>
              </w:rPr>
            </w:pPr>
            <w:r>
              <w:rPr>
                <w:noProof/>
              </w:rPr>
              <w:t>Alueellinen selviytymiskyvyn rahasto – InvestEU: Espanjan</w:t>
            </w:r>
            <w:r>
              <w:rPr>
                <w:noProof/>
              </w:rPr>
              <w:t xml:space="preserve"> hallituksen ja Euroopan komission välisen rahoitussopimuksen allekirjoittaminen</w:t>
            </w:r>
          </w:p>
        </w:tc>
      </w:tr>
      <w:tr w:rsidR="000E48CE" w14:paraId="558145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622151" w14:textId="77777777" w:rsidR="000E48CE" w:rsidRDefault="00FF4C4E">
            <w:pPr>
              <w:pStyle w:val="P68B1DB1-Normal46"/>
              <w:spacing w:after="0" w:line="240" w:lineRule="auto"/>
              <w:jc w:val="center"/>
              <w:rPr>
                <w:rFonts w:eastAsia="Times New Roman" w:cs="Times New Roman"/>
                <w:noProof/>
              </w:rPr>
            </w:pPr>
            <w:r>
              <w:rPr>
                <w:noProof/>
              </w:rPr>
              <w:t>L54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A4FCAA"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7DD03D"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AA7CC5" w14:textId="77777777" w:rsidR="000E48CE" w:rsidRDefault="00FF4C4E">
            <w:pPr>
              <w:pStyle w:val="P68B1DB1-Normal46"/>
              <w:spacing w:after="0" w:line="240" w:lineRule="auto"/>
              <w:rPr>
                <w:rFonts w:eastAsia="Times New Roman" w:cs="Times New Roman"/>
                <w:noProof/>
              </w:rPr>
            </w:pPr>
            <w:r>
              <w:rPr>
                <w:noProof/>
              </w:rPr>
              <w:t>Alueellinen selviytymiskyvyn kehittämisrahasto – Muut budjettikohdat: Lopullisten edunsaajien (mukaan lukien pääomarahastot) kanssa allekirjoitetut oikeudellise</w:t>
            </w:r>
            <w:r>
              <w:rPr>
                <w:noProof/>
              </w:rPr>
              <w:t>t sopimukset (I)</w:t>
            </w:r>
          </w:p>
        </w:tc>
      </w:tr>
      <w:tr w:rsidR="000E48CE" w14:paraId="17364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50E805" w14:textId="77777777" w:rsidR="000E48CE" w:rsidRDefault="00FF4C4E">
            <w:pPr>
              <w:pStyle w:val="P68B1DB1-Normal46"/>
              <w:spacing w:after="0" w:line="240" w:lineRule="auto"/>
              <w:jc w:val="center"/>
              <w:rPr>
                <w:rFonts w:eastAsia="Times New Roman" w:cs="Times New Roman"/>
                <w:noProof/>
              </w:rPr>
            </w:pPr>
            <w:r>
              <w:rPr>
                <w:noProof/>
              </w:rPr>
              <w:t>L58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E1F2F7"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32BDD3"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A94E86" w14:textId="77777777" w:rsidR="000E48CE" w:rsidRDefault="00FF4C4E">
            <w:pPr>
              <w:pStyle w:val="P68B1DB1-Normal46"/>
              <w:spacing w:after="0" w:line="240" w:lineRule="auto"/>
              <w:rPr>
                <w:rFonts w:eastAsia="Times New Roman" w:cs="Times New Roman"/>
                <w:noProof/>
              </w:rPr>
            </w:pPr>
            <w:r>
              <w:rPr>
                <w:noProof/>
              </w:rPr>
              <w:t>Alueellinen selviytymiskyvyn kehittämisrahasto – suora julkinen linja: Lopullisten edunsaajien kanssa allekirjoitetut oikeudelliset sopimukset (I)</w:t>
            </w:r>
          </w:p>
        </w:tc>
      </w:tr>
      <w:tr w:rsidR="000E48CE" w14:paraId="42BAD5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AA7718" w14:textId="77777777" w:rsidR="000E48CE" w:rsidRDefault="00FF4C4E">
            <w:pPr>
              <w:pStyle w:val="P68B1DB1-Normal46"/>
              <w:spacing w:after="0" w:line="240" w:lineRule="auto"/>
              <w:jc w:val="center"/>
              <w:rPr>
                <w:rFonts w:eastAsia="Times New Roman" w:cs="Times New Roman"/>
                <w:noProof/>
              </w:rPr>
            </w:pPr>
            <w:r>
              <w:rPr>
                <w:noProof/>
              </w:rPr>
              <w:t>L68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A79CEE" w14:textId="77777777" w:rsidR="000E48CE" w:rsidRDefault="00FF4C4E">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3BF556"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3F916E" w14:textId="77777777" w:rsidR="000E48CE" w:rsidRDefault="00FF4C4E">
            <w:pPr>
              <w:pStyle w:val="P68B1DB1-Normal46"/>
              <w:spacing w:after="0" w:line="240" w:lineRule="auto"/>
              <w:rPr>
                <w:rFonts w:eastAsia="Times New Roman" w:cs="Times New Roman"/>
                <w:noProof/>
              </w:rPr>
            </w:pPr>
            <w:r>
              <w:rPr>
                <w:noProof/>
              </w:rPr>
              <w:t xml:space="preserve">Varojen sitominen lainoina terveysalan sekä ilmailu- ja </w:t>
            </w:r>
            <w:r>
              <w:rPr>
                <w:noProof/>
              </w:rPr>
              <w:t>avaruusalan tukemiseen</w:t>
            </w:r>
          </w:p>
        </w:tc>
      </w:tr>
      <w:tr w:rsidR="000E48CE" w14:paraId="250E927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AC01AE" w14:textId="77777777" w:rsidR="000E48CE" w:rsidRDefault="00FF4C4E">
            <w:pPr>
              <w:pStyle w:val="P68B1DB1-Normal46"/>
              <w:spacing w:after="0" w:line="240" w:lineRule="auto"/>
              <w:jc w:val="center"/>
              <w:rPr>
                <w:rFonts w:eastAsia="Times New Roman" w:cs="Times New Roman"/>
                <w:noProof/>
              </w:rPr>
            </w:pPr>
            <w:r>
              <w:rPr>
                <w:noProof/>
              </w:rPr>
              <w:t>L72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C91F6B" w14:textId="77777777" w:rsidR="000E48CE" w:rsidRDefault="00FF4C4E">
            <w:pPr>
              <w:pStyle w:val="P68B1DB1-Normal46"/>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C70FF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BCEE4C" w14:textId="77777777" w:rsidR="000E48CE" w:rsidRDefault="00FF4C4E">
            <w:pPr>
              <w:pStyle w:val="P68B1DB1-Normal46"/>
              <w:spacing w:after="0" w:line="240" w:lineRule="auto"/>
              <w:rPr>
                <w:rFonts w:eastAsia="Times New Roman" w:cs="Times New Roman"/>
                <w:noProof/>
              </w:rPr>
            </w:pPr>
            <w:r>
              <w:rPr>
                <w:noProof/>
              </w:rPr>
              <w:t>Sosiaalisten vaikutusten rahasto: Asetus tukivälineen perustamisesta</w:t>
            </w:r>
          </w:p>
        </w:tc>
      </w:tr>
      <w:tr w:rsidR="000E48CE" w14:paraId="27ABB9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164D5B" w14:textId="77777777" w:rsidR="000E48CE" w:rsidRDefault="00FF4C4E">
            <w:pPr>
              <w:pStyle w:val="P68B1DB1-Normal46"/>
              <w:spacing w:after="0" w:line="240" w:lineRule="auto"/>
              <w:jc w:val="center"/>
              <w:rPr>
                <w:rFonts w:eastAsia="Times New Roman" w:cs="Times New Roman"/>
                <w:noProof/>
              </w:rPr>
            </w:pPr>
            <w:r>
              <w:rPr>
                <w:noProof/>
              </w:rPr>
              <w:t>L83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A27047" w14:textId="77777777" w:rsidR="000E48CE" w:rsidRDefault="00FF4C4E">
            <w:pPr>
              <w:pStyle w:val="P68B1DB1-Normal46"/>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A33ED"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66E6AA" w14:textId="77777777" w:rsidR="000E48CE" w:rsidRDefault="00FF4C4E">
            <w:pPr>
              <w:pStyle w:val="P68B1DB1-Normal46"/>
              <w:spacing w:after="0" w:line="240" w:lineRule="auto"/>
              <w:rPr>
                <w:rFonts w:eastAsia="Times New Roman" w:cs="Times New Roman"/>
                <w:noProof/>
              </w:rPr>
            </w:pPr>
            <w:r>
              <w:rPr>
                <w:noProof/>
              </w:rPr>
              <w:t xml:space="preserve">Teollisuuden hiilestä irtautumista koskevan tuen myöntämistä koskevien ehdotuspyyntöjen ja sääntöjen julkaiseminen. </w:t>
            </w:r>
          </w:p>
        </w:tc>
      </w:tr>
      <w:tr w:rsidR="000E48CE" w14:paraId="1FE21F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0700CD" w14:textId="77777777" w:rsidR="000E48CE" w:rsidRDefault="00FF4C4E">
            <w:pPr>
              <w:pStyle w:val="P68B1DB1-Normal46"/>
              <w:spacing w:after="0" w:line="240" w:lineRule="auto"/>
              <w:jc w:val="center"/>
              <w:rPr>
                <w:rFonts w:eastAsia="Times New Roman" w:cs="Times New Roman"/>
                <w:noProof/>
              </w:rPr>
            </w:pPr>
            <w:r>
              <w:rPr>
                <w:noProof/>
              </w:rPr>
              <w:t>L84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668F3" w14:textId="77777777" w:rsidR="000E48CE" w:rsidRDefault="00FF4C4E">
            <w:pPr>
              <w:pStyle w:val="P68B1DB1-Normal46"/>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E52020"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0E410B" w14:textId="77777777" w:rsidR="000E48CE" w:rsidRDefault="00FF4C4E">
            <w:pPr>
              <w:pStyle w:val="P68B1DB1-Normal46"/>
              <w:spacing w:after="0" w:line="240" w:lineRule="auto"/>
              <w:rPr>
                <w:rFonts w:eastAsia="Times New Roman" w:cs="Times New Roman"/>
                <w:noProof/>
              </w:rPr>
            </w:pPr>
            <w:r>
              <w:rPr>
                <w:noProof/>
              </w:rPr>
              <w:t>Hiilestä irtautumista koskevien hankkeiden palkintojen julkaiseminen</w:t>
            </w:r>
          </w:p>
        </w:tc>
      </w:tr>
      <w:tr w:rsidR="000E48CE" w14:paraId="0CB343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E08AC2" w14:textId="77777777" w:rsidR="000E48CE" w:rsidRDefault="00FF4C4E">
            <w:pPr>
              <w:pStyle w:val="P68B1DB1-Normal46"/>
              <w:spacing w:after="0" w:line="240" w:lineRule="auto"/>
              <w:jc w:val="center"/>
              <w:rPr>
                <w:rFonts w:eastAsia="Times New Roman" w:cs="Times New Roman"/>
                <w:noProof/>
              </w:rPr>
            </w:pPr>
            <w:r>
              <w:rPr>
                <w:noProof/>
              </w:rPr>
              <w:t>L86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3812F7" w14:textId="77777777" w:rsidR="000E48CE" w:rsidRDefault="00FF4C4E">
            <w:pPr>
              <w:pStyle w:val="P68B1DB1-Normal46"/>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3C4314"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E63CB2" w14:textId="77777777" w:rsidR="000E48CE" w:rsidRDefault="00FF4C4E">
            <w:pPr>
              <w:pStyle w:val="P68B1DB1-Normal46"/>
              <w:spacing w:after="0" w:line="240" w:lineRule="auto"/>
              <w:rPr>
                <w:rFonts w:eastAsia="Times New Roman" w:cs="Times New Roman"/>
                <w:noProof/>
              </w:rPr>
            </w:pPr>
            <w:r>
              <w:rPr>
                <w:noProof/>
              </w:rPr>
              <w:t>Teollisuuden hiilestä irtautumista koskeva tukijärjestelmä (lainat): Ministeriö on saattanut investoinnin päätökseen</w:t>
            </w:r>
          </w:p>
        </w:tc>
      </w:tr>
      <w:tr w:rsidR="000E48CE" w14:paraId="7326C1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68AEB" w14:textId="77777777" w:rsidR="000E48CE" w:rsidRDefault="00FF4C4E">
            <w:pPr>
              <w:pStyle w:val="P68B1DB1-Normal46"/>
              <w:spacing w:after="0" w:line="240" w:lineRule="auto"/>
              <w:jc w:val="center"/>
              <w:rPr>
                <w:rFonts w:eastAsia="Times New Roman" w:cs="Times New Roman"/>
                <w:noProof/>
              </w:rPr>
            </w:pPr>
            <w:r>
              <w:rPr>
                <w:noProof/>
              </w:rPr>
              <w:t>L87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2F76" w14:textId="77777777" w:rsidR="000E48CE" w:rsidRDefault="00FF4C4E">
            <w:pPr>
              <w:pStyle w:val="P68B1DB1-Normal46"/>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A5B6C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60F1BE" w14:textId="77777777" w:rsidR="000E48CE" w:rsidRDefault="00FF4C4E">
            <w:pPr>
              <w:pStyle w:val="P68B1DB1-Normal46"/>
              <w:spacing w:after="0" w:line="240" w:lineRule="auto"/>
              <w:rPr>
                <w:rFonts w:eastAsia="Times New Roman" w:cs="Times New Roman"/>
                <w:noProof/>
              </w:rPr>
            </w:pPr>
            <w:r>
              <w:rPr>
                <w:noProof/>
              </w:rPr>
              <w:t>Lainajärjestelmän perustaminen</w:t>
            </w:r>
          </w:p>
        </w:tc>
      </w:tr>
      <w:tr w:rsidR="000E48CE" w14:paraId="50229C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44B52"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9A5B23"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A71918" w14:textId="306429B2" w:rsidR="000E48CE" w:rsidRDefault="00FF4C4E">
            <w:pPr>
              <w:pStyle w:val="P68B1DB1-Normal45"/>
              <w:spacing w:after="0" w:line="240" w:lineRule="auto"/>
              <w:rPr>
                <w:rFonts w:eastAsia="Times New Roman" w:cs="Times New Roman"/>
                <w:noProof/>
              </w:rPr>
            </w:pPr>
            <w:r>
              <w:rPr>
                <w:noProof/>
              </w:rPr>
              <w:t xml:space="preserve">Erän </w:t>
            </w:r>
            <w:r>
              <w:rPr>
                <w:noProof/>
              </w:rPr>
              <w:t>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27A7D38" w14:textId="628D960C" w:rsidR="000E48CE" w:rsidRDefault="00FF4C4E">
            <w:pPr>
              <w:pStyle w:val="P68B1DB1-Normal45"/>
              <w:spacing w:after="0" w:line="240" w:lineRule="auto"/>
              <w:rPr>
                <w:rFonts w:eastAsia="Times New Roman" w:cs="Times New Roman"/>
                <w:noProof/>
              </w:rPr>
            </w:pPr>
            <w:r>
              <w:rPr>
                <w:noProof/>
              </w:rPr>
              <w:t>16 632 012 000</w:t>
            </w:r>
          </w:p>
        </w:tc>
      </w:tr>
    </w:tbl>
    <w:p w14:paraId="2F080BC8" w14:textId="77777777" w:rsidR="000E48CE" w:rsidRDefault="000E48CE">
      <w:pPr>
        <w:spacing w:before="120" w:after="120" w:line="240" w:lineRule="auto"/>
        <w:jc w:val="both"/>
        <w:rPr>
          <w:rFonts w:ascii="Times New Roman" w:eastAsia="Calibri" w:hAnsi="Times New Roman" w:cs="Times New Roman"/>
          <w:noProof/>
          <w:sz w:val="24"/>
        </w:rPr>
      </w:pPr>
    </w:p>
    <w:p w14:paraId="62B8B28C" w14:textId="396FC8D8"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Neljäs erä (lainatuki): </w:t>
      </w:r>
    </w:p>
    <w:tbl>
      <w:tblPr>
        <w:tblW w:w="9663" w:type="dxa"/>
        <w:tblInd w:w="113" w:type="dxa"/>
        <w:tblLook w:val="04A0" w:firstRow="1" w:lastRow="0" w:firstColumn="1" w:lastColumn="0" w:noHBand="0" w:noVBand="1"/>
      </w:tblPr>
      <w:tblGrid>
        <w:gridCol w:w="1300"/>
        <w:gridCol w:w="1443"/>
        <w:gridCol w:w="1783"/>
        <w:gridCol w:w="5670"/>
      </w:tblGrid>
      <w:tr w:rsidR="000E48CE" w14:paraId="52A73B5E"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A69C38"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CC3F7BF"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5042756"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3B65FCFD"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36F11D1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49D6D98"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682685D"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3EA9345"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920B5F4" w14:textId="77777777" w:rsidR="000E48CE" w:rsidRDefault="000E48CE">
            <w:pPr>
              <w:spacing w:after="0" w:line="240" w:lineRule="auto"/>
              <w:rPr>
                <w:rFonts w:ascii="Times New Roman" w:eastAsia="Times New Roman" w:hAnsi="Times New Roman" w:cs="Times New Roman"/>
                <w:b/>
                <w:noProof/>
                <w:sz w:val="20"/>
              </w:rPr>
            </w:pPr>
          </w:p>
        </w:tc>
      </w:tr>
      <w:tr w:rsidR="000E48CE" w14:paraId="52775BE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F5F82F" w14:textId="77777777" w:rsidR="000E48CE" w:rsidRDefault="00FF4C4E">
            <w:pPr>
              <w:pStyle w:val="P68B1DB1-Normal46"/>
              <w:spacing w:after="0" w:line="240" w:lineRule="auto"/>
              <w:jc w:val="center"/>
              <w:rPr>
                <w:rFonts w:eastAsia="Times New Roman" w:cs="Times New Roman"/>
                <w:noProof/>
              </w:rPr>
            </w:pPr>
            <w:r>
              <w:rPr>
                <w:noProof/>
              </w:rPr>
              <w:t>L2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3F1471" w14:textId="77777777" w:rsidR="000E48CE" w:rsidRDefault="00FF4C4E">
            <w:pPr>
              <w:pStyle w:val="P68B1DB1-Normal46"/>
              <w:spacing w:after="0" w:line="240" w:lineRule="auto"/>
              <w:rPr>
                <w:rFonts w:eastAsia="Times New Roman" w:cs="Times New Roman"/>
                <w:noProof/>
              </w:rPr>
            </w:pPr>
            <w:r>
              <w:rPr>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400061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F5C445" w14:textId="77777777" w:rsidR="000E48CE" w:rsidRDefault="00FF4C4E">
            <w:pPr>
              <w:pStyle w:val="P68B1DB1-Normal46"/>
              <w:spacing w:after="0" w:line="240" w:lineRule="auto"/>
              <w:rPr>
                <w:rFonts w:eastAsia="Times New Roman" w:cs="Times New Roman"/>
                <w:noProof/>
              </w:rPr>
            </w:pPr>
            <w:r>
              <w:rPr>
                <w:noProof/>
              </w:rPr>
              <w:t xml:space="preserve">Maa- ja kaupunkialueiden kuntoutuslain konsolidoidun tekstin muutoksen voimaantulo </w:t>
            </w:r>
          </w:p>
        </w:tc>
      </w:tr>
      <w:tr w:rsidR="000E48CE" w14:paraId="76C020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4596C2" w14:textId="77777777" w:rsidR="000E48CE" w:rsidRDefault="00FF4C4E">
            <w:pPr>
              <w:pStyle w:val="P68B1DB1-Normal46"/>
              <w:spacing w:after="0" w:line="240" w:lineRule="auto"/>
              <w:jc w:val="center"/>
              <w:rPr>
                <w:rFonts w:eastAsia="Times New Roman" w:cs="Times New Roman"/>
                <w:noProof/>
              </w:rPr>
            </w:pPr>
            <w:r>
              <w:rPr>
                <w:noProof/>
              </w:rPr>
              <w:t>L3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B56212" w14:textId="77777777" w:rsidR="000E48CE" w:rsidRDefault="00FF4C4E">
            <w:pPr>
              <w:pStyle w:val="P68B1DB1-Normal46"/>
              <w:spacing w:after="0" w:line="240" w:lineRule="auto"/>
              <w:rPr>
                <w:rFonts w:eastAsia="Times New Roman" w:cs="Times New Roman"/>
                <w:noProof/>
              </w:rPr>
            </w:pPr>
            <w:r>
              <w:rPr>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804553"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F05380" w14:textId="77777777" w:rsidR="000E48CE" w:rsidRDefault="00FF4C4E">
            <w:pPr>
              <w:pStyle w:val="P68B1DB1-Normal46"/>
              <w:spacing w:after="0" w:line="240" w:lineRule="auto"/>
              <w:rPr>
                <w:rFonts w:eastAsia="Times New Roman" w:cs="Times New Roman"/>
                <w:noProof/>
              </w:rPr>
            </w:pPr>
            <w:r>
              <w:rPr>
                <w:noProof/>
              </w:rPr>
              <w:t xml:space="preserve">Parhaiden </w:t>
            </w:r>
            <w:r>
              <w:rPr>
                <w:noProof/>
              </w:rPr>
              <w:t>käytäntöjen oppaan julkaiseminen kaavoituslupamenettelyjen yksinkertaistamiseksi ja virtaviivaistamiseksi</w:t>
            </w:r>
          </w:p>
        </w:tc>
      </w:tr>
      <w:tr w:rsidR="000E48CE" w14:paraId="22618B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BA273D" w14:textId="77777777" w:rsidR="000E48CE" w:rsidRDefault="00FF4C4E">
            <w:pPr>
              <w:pStyle w:val="P68B1DB1-Normal46"/>
              <w:spacing w:after="0" w:line="240" w:lineRule="auto"/>
              <w:jc w:val="center"/>
              <w:rPr>
                <w:rFonts w:eastAsia="Times New Roman" w:cs="Times New Roman"/>
                <w:noProof/>
              </w:rPr>
            </w:pPr>
            <w:r>
              <w:rPr>
                <w:noProof/>
              </w:rPr>
              <w:t>L5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801E5C" w14:textId="77777777" w:rsidR="000E48CE" w:rsidRDefault="00FF4C4E">
            <w:pPr>
              <w:pStyle w:val="P68B1DB1-Normal46"/>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198909"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AB0167" w14:textId="77777777" w:rsidR="000E48CE" w:rsidRDefault="00FF4C4E">
            <w:pPr>
              <w:pStyle w:val="P68B1DB1-Normal46"/>
              <w:spacing w:after="0" w:line="240" w:lineRule="auto"/>
              <w:rPr>
                <w:rFonts w:eastAsia="Times New Roman" w:cs="Times New Roman"/>
                <w:noProof/>
              </w:rPr>
            </w:pPr>
            <w:r>
              <w:rPr>
                <w:noProof/>
              </w:rPr>
              <w:t>ICO:n lainajärjestely sosiaalisen asuntotuotannon edistämiseksi: Lopullisten edunsaajien kanssa allekirjoitetut oikeudelliset sopimukset (</w:t>
            </w:r>
            <w:r>
              <w:rPr>
                <w:noProof/>
              </w:rPr>
              <w:t>I)</w:t>
            </w:r>
          </w:p>
        </w:tc>
      </w:tr>
      <w:tr w:rsidR="000E48CE" w14:paraId="55B516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D514E" w14:textId="77777777" w:rsidR="000E48CE" w:rsidRDefault="00FF4C4E">
            <w:pPr>
              <w:pStyle w:val="P68B1DB1-Normal46"/>
              <w:spacing w:after="0" w:line="240" w:lineRule="auto"/>
              <w:jc w:val="center"/>
              <w:rPr>
                <w:rFonts w:eastAsia="Times New Roman" w:cs="Times New Roman"/>
                <w:noProof/>
              </w:rPr>
            </w:pPr>
            <w:r>
              <w:rPr>
                <w:noProof/>
              </w:rPr>
              <w:t>L89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4CD4B" w14:textId="77777777" w:rsidR="000E48CE" w:rsidRDefault="00FF4C4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247350"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689F53" w14:textId="77777777" w:rsidR="000E48CE" w:rsidRDefault="00FF4C4E">
            <w:pPr>
              <w:pStyle w:val="P68B1DB1-Normal46"/>
              <w:spacing w:after="0" w:line="240" w:lineRule="auto"/>
              <w:rPr>
                <w:rFonts w:eastAsia="Times New Roman" w:cs="Times New Roman"/>
                <w:noProof/>
              </w:rPr>
            </w:pPr>
            <w:r>
              <w:rPr>
                <w:noProof/>
              </w:rPr>
              <w:t>Sellaisten hankkeiden myöntäminen, joilla vahvistetaan julkishallinnon kyberturvallisuusvalmiuksia kyberuhkien ehkäisemisen, suojaamisen, havaitsemisen ja niihin reagoimisen aloilla (kyberturvallisuusohjelma)</w:t>
            </w:r>
          </w:p>
        </w:tc>
      </w:tr>
      <w:tr w:rsidR="000E48CE" w14:paraId="058449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EEE3F" w14:textId="77777777" w:rsidR="000E48CE" w:rsidRDefault="00FF4C4E">
            <w:pPr>
              <w:pStyle w:val="P68B1DB1-Normal46"/>
              <w:spacing w:after="0" w:line="240" w:lineRule="auto"/>
              <w:jc w:val="center"/>
              <w:rPr>
                <w:rFonts w:eastAsia="Times New Roman" w:cs="Times New Roman"/>
                <w:noProof/>
              </w:rPr>
            </w:pPr>
            <w:r>
              <w:rPr>
                <w:noProof/>
              </w:rPr>
              <w:t>L19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A69CD7" w14:textId="77777777" w:rsidR="000E48CE" w:rsidRDefault="00FF4C4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DB8F31"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110F4A" w14:textId="77777777" w:rsidR="000E48CE" w:rsidRDefault="00FF4C4E">
            <w:pPr>
              <w:pStyle w:val="P68B1DB1-Normal46"/>
              <w:spacing w:after="0" w:line="240" w:lineRule="auto"/>
              <w:rPr>
                <w:rFonts w:eastAsia="Times New Roman" w:cs="Times New Roman"/>
                <w:noProof/>
              </w:rPr>
            </w:pPr>
            <w:r>
              <w:rPr>
                <w:noProof/>
              </w:rPr>
              <w:t>Turvallisuus- ja</w:t>
            </w:r>
            <w:r>
              <w:rPr>
                <w:noProof/>
              </w:rPr>
              <w:t xml:space="preserve"> palautumisrahasto: Lopullisten edunsaajien (mukaan lukien oman pääoman ehtoiset rahastot) kanssa allekirjoitetut oikeudelliset rahoitussopimukset (I)</w:t>
            </w:r>
          </w:p>
        </w:tc>
      </w:tr>
      <w:tr w:rsidR="000E48CE" w14:paraId="0FF83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D8775" w14:textId="77777777" w:rsidR="000E48CE" w:rsidRDefault="00FF4C4E">
            <w:pPr>
              <w:pStyle w:val="P68B1DB1-Normal46"/>
              <w:spacing w:after="0" w:line="240" w:lineRule="auto"/>
              <w:jc w:val="center"/>
              <w:rPr>
                <w:rFonts w:eastAsia="Times New Roman" w:cs="Times New Roman"/>
                <w:noProof/>
              </w:rPr>
            </w:pPr>
            <w:r>
              <w:rPr>
                <w:noProof/>
              </w:rPr>
              <w:t>L26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D26075" w14:textId="77777777" w:rsidR="000E48CE" w:rsidRDefault="00FF4C4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CB30E3"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1F39C5" w14:textId="77777777" w:rsidR="000E48CE" w:rsidRDefault="00FF4C4E">
            <w:pPr>
              <w:pStyle w:val="P68B1DB1-Normal46"/>
              <w:spacing w:after="0" w:line="240" w:lineRule="auto"/>
              <w:rPr>
                <w:rFonts w:eastAsia="Times New Roman" w:cs="Times New Roman"/>
                <w:noProof/>
              </w:rPr>
            </w:pPr>
            <w:r>
              <w:rPr>
                <w:noProof/>
              </w:rPr>
              <w:t>ICO Green Line – Lopullisten edunsaajien (mukaan lukien pääomarahastot) kanssa allekirjoite</w:t>
            </w:r>
            <w:r>
              <w:rPr>
                <w:noProof/>
              </w:rPr>
              <w:t>tut oikeudelliset sopimukset (II)</w:t>
            </w:r>
          </w:p>
        </w:tc>
      </w:tr>
      <w:tr w:rsidR="000E48CE" w14:paraId="73D163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0D4813" w14:textId="77777777" w:rsidR="000E48CE" w:rsidRDefault="00FF4C4E">
            <w:pPr>
              <w:pStyle w:val="P68B1DB1-Normal46"/>
              <w:spacing w:after="0" w:line="240" w:lineRule="auto"/>
              <w:jc w:val="center"/>
              <w:rPr>
                <w:rFonts w:eastAsia="Times New Roman" w:cs="Times New Roman"/>
                <w:noProof/>
              </w:rPr>
            </w:pPr>
            <w:r>
              <w:rPr>
                <w:noProof/>
              </w:rPr>
              <w:t>L31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92DB91" w14:textId="77777777" w:rsidR="000E48CE" w:rsidRDefault="00FF4C4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FE1B45"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691ED9" w14:textId="77777777" w:rsidR="000E48CE" w:rsidRDefault="00FF4C4E">
            <w:pPr>
              <w:pStyle w:val="P68B1DB1-Normal46"/>
              <w:spacing w:after="0" w:line="240" w:lineRule="auto"/>
              <w:rPr>
                <w:rFonts w:eastAsia="Times New Roman" w:cs="Times New Roman"/>
                <w:noProof/>
              </w:rPr>
            </w:pPr>
            <w:r>
              <w:rPr>
                <w:noProof/>
              </w:rPr>
              <w:t>Yritykset ja yrittäjät – Lopullisten edunsaajien (mukaan lukien pääomarahastot) kanssa allekirjoitetut oikeudelliset sopimukset (I)</w:t>
            </w:r>
          </w:p>
        </w:tc>
      </w:tr>
      <w:tr w:rsidR="000E48CE" w14:paraId="2BEFAD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E496F3" w14:textId="77777777" w:rsidR="000E48CE" w:rsidRDefault="00FF4C4E">
            <w:pPr>
              <w:pStyle w:val="P68B1DB1-Normal46"/>
              <w:spacing w:after="0" w:line="240" w:lineRule="auto"/>
              <w:jc w:val="center"/>
              <w:rPr>
                <w:rFonts w:eastAsia="Times New Roman" w:cs="Times New Roman"/>
                <w:noProof/>
              </w:rPr>
            </w:pPr>
            <w:r>
              <w:rPr>
                <w:noProof/>
              </w:rPr>
              <w:t>L36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7FBED2" w14:textId="77777777" w:rsidR="000E48CE" w:rsidRDefault="00FF4C4E">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C85042"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BBE93E" w14:textId="77777777" w:rsidR="000E48CE" w:rsidRDefault="00FF4C4E">
            <w:pPr>
              <w:pStyle w:val="P68B1DB1-Normal46"/>
              <w:spacing w:after="0" w:line="240" w:lineRule="auto"/>
              <w:rPr>
                <w:rFonts w:eastAsia="Times New Roman" w:cs="Times New Roman"/>
                <w:noProof/>
              </w:rPr>
            </w:pPr>
            <w:r>
              <w:rPr>
                <w:noProof/>
              </w:rPr>
              <w:t xml:space="preserve">Seuraava Tech – Lopullisten edunsaajien ja pääomarahastojen </w:t>
            </w:r>
            <w:r>
              <w:rPr>
                <w:noProof/>
              </w:rPr>
              <w:t>kanssa allekirjoitetut oikeudelliset sopimukset (I)</w:t>
            </w:r>
          </w:p>
        </w:tc>
      </w:tr>
      <w:tr w:rsidR="000E48CE" w14:paraId="5709ED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D9B6D4" w14:textId="77777777" w:rsidR="000E48CE" w:rsidRDefault="00FF4C4E">
            <w:pPr>
              <w:pStyle w:val="P68B1DB1-Normal46"/>
              <w:spacing w:after="0" w:line="240" w:lineRule="auto"/>
              <w:jc w:val="center"/>
              <w:rPr>
                <w:rFonts w:eastAsia="Times New Roman" w:cs="Times New Roman"/>
                <w:noProof/>
              </w:rPr>
            </w:pPr>
            <w:r>
              <w:rPr>
                <w:noProof/>
              </w:rPr>
              <w:t>L41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479CC9" w14:textId="77777777" w:rsidR="000E48CE" w:rsidRDefault="00FF4C4E">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56A696"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C417A9E" w14:textId="77777777" w:rsidR="000E48CE" w:rsidRDefault="00FF4C4E">
            <w:pPr>
              <w:pStyle w:val="P68B1DB1-Normal46"/>
              <w:spacing w:after="0" w:line="240" w:lineRule="auto"/>
              <w:rPr>
                <w:rFonts w:eastAsia="Times New Roman" w:cs="Times New Roman"/>
                <w:noProof/>
              </w:rPr>
            </w:pPr>
            <w:r>
              <w:rPr>
                <w:noProof/>
              </w:rPr>
              <w:t>Foco – Lopullisten edunsaajien (mukaan lukien pääomarahastot) kanssa allekirjoitetut oikeudelliset sopimukset (I)</w:t>
            </w:r>
          </w:p>
        </w:tc>
      </w:tr>
      <w:tr w:rsidR="000E48CE" w14:paraId="435420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D98890" w14:textId="77777777" w:rsidR="000E48CE" w:rsidRDefault="00FF4C4E">
            <w:pPr>
              <w:pStyle w:val="P68B1DB1-Normal46"/>
              <w:spacing w:after="0" w:line="240" w:lineRule="auto"/>
              <w:jc w:val="center"/>
              <w:rPr>
                <w:rFonts w:eastAsia="Times New Roman" w:cs="Times New Roman"/>
                <w:noProof/>
              </w:rPr>
            </w:pPr>
            <w:r>
              <w:rPr>
                <w:noProof/>
              </w:rPr>
              <w:t>L45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58C3CB" w14:textId="77777777" w:rsidR="000E48CE" w:rsidRDefault="00FF4C4E">
            <w:pPr>
              <w:pStyle w:val="P68B1DB1-Normal46"/>
              <w:spacing w:after="0" w:line="240" w:lineRule="auto"/>
              <w:rPr>
                <w:rFonts w:eastAsia="Times New Roman" w:cs="Times New Roman"/>
                <w:noProof/>
              </w:rPr>
            </w:pPr>
            <w:r>
              <w:rPr>
                <w:noProof/>
              </w:rPr>
              <w:t>C13.I10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5C278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2549" w14:textId="77777777" w:rsidR="000E48CE" w:rsidRDefault="00FF4C4E">
            <w:pPr>
              <w:pStyle w:val="P68B1DB1-Normal46"/>
              <w:spacing w:after="0" w:line="240" w:lineRule="auto"/>
              <w:rPr>
                <w:rFonts w:eastAsia="Times New Roman" w:cs="Times New Roman"/>
                <w:noProof/>
              </w:rPr>
            </w:pPr>
            <w:r>
              <w:rPr>
                <w:noProof/>
              </w:rPr>
              <w:t>FONREC</w:t>
            </w:r>
          </w:p>
        </w:tc>
      </w:tr>
      <w:tr w:rsidR="000E48CE" w14:paraId="0D7D95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76B823" w14:textId="77777777" w:rsidR="000E48CE" w:rsidRDefault="00FF4C4E">
            <w:pPr>
              <w:pStyle w:val="P68B1DB1-Normal46"/>
              <w:spacing w:after="0" w:line="240" w:lineRule="auto"/>
              <w:jc w:val="center"/>
              <w:rPr>
                <w:rFonts w:eastAsia="Times New Roman" w:cs="Times New Roman"/>
                <w:noProof/>
              </w:rPr>
            </w:pPr>
            <w:r>
              <w:rPr>
                <w:noProof/>
              </w:rPr>
              <w:t>L48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82E16C" w14:textId="77777777" w:rsidR="000E48CE" w:rsidRDefault="00FF4C4E">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0EA362"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9EB474" w14:textId="77777777" w:rsidR="000E48CE" w:rsidRDefault="00FF4C4E">
            <w:pPr>
              <w:pStyle w:val="P68B1DB1-Normal46"/>
              <w:spacing w:after="0" w:line="240" w:lineRule="auto"/>
              <w:rPr>
                <w:rFonts w:eastAsia="Times New Roman" w:cs="Times New Roman"/>
                <w:noProof/>
              </w:rPr>
            </w:pPr>
            <w:r>
              <w:rPr>
                <w:noProof/>
              </w:rPr>
              <w:t xml:space="preserve">ENISAn yrittäjyys- ja pk-yritysrahasto </w:t>
            </w:r>
            <w:r>
              <w:rPr>
                <w:noProof/>
              </w:rPr>
              <w:t>– Lopullisten edunsaajien kanssa allekirjoitetut oikeudelliset sopimukset</w:t>
            </w:r>
          </w:p>
        </w:tc>
      </w:tr>
      <w:tr w:rsidR="000E48CE" w14:paraId="336C8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D9E418" w14:textId="77777777" w:rsidR="000E48CE" w:rsidRDefault="00FF4C4E">
            <w:pPr>
              <w:pStyle w:val="P68B1DB1-Normal46"/>
              <w:spacing w:after="0" w:line="240" w:lineRule="auto"/>
              <w:jc w:val="center"/>
              <w:rPr>
                <w:rFonts w:eastAsia="Times New Roman" w:cs="Times New Roman"/>
                <w:noProof/>
              </w:rPr>
            </w:pPr>
            <w:r>
              <w:rPr>
                <w:noProof/>
              </w:rPr>
              <w:t>L55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10255E"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7646EA"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8B4897" w14:textId="77777777" w:rsidR="000E48CE" w:rsidRDefault="00FF4C4E">
            <w:pPr>
              <w:pStyle w:val="P68B1DB1-Normal46"/>
              <w:spacing w:after="0" w:line="240" w:lineRule="auto"/>
              <w:rPr>
                <w:rFonts w:eastAsia="Times New Roman" w:cs="Times New Roman"/>
                <w:noProof/>
              </w:rPr>
            </w:pPr>
            <w:r>
              <w:rPr>
                <w:noProof/>
              </w:rPr>
              <w:t xml:space="preserve">Alueellinen selviytymiskyvyn kehittämisrahasto – Muut budjettikohdat: Lopullisten edunsaajien (mukaan lukien pääomarahastot) kanssa allekirjoitetut oikeudelliset </w:t>
            </w:r>
            <w:r>
              <w:rPr>
                <w:noProof/>
              </w:rPr>
              <w:t>sopimukset (II)</w:t>
            </w:r>
          </w:p>
        </w:tc>
      </w:tr>
      <w:tr w:rsidR="000E48CE" w14:paraId="76C523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0CC1FA" w14:textId="77777777" w:rsidR="000E48CE" w:rsidRDefault="00FF4C4E">
            <w:pPr>
              <w:pStyle w:val="P68B1DB1-Normal46"/>
              <w:spacing w:after="0" w:line="240" w:lineRule="auto"/>
              <w:jc w:val="center"/>
              <w:rPr>
                <w:rFonts w:eastAsia="Times New Roman" w:cs="Times New Roman"/>
                <w:noProof/>
              </w:rPr>
            </w:pPr>
            <w:r>
              <w:rPr>
                <w:noProof/>
              </w:rPr>
              <w:t>L59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A83D7"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2097CA"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6BDB33" w14:textId="77777777" w:rsidR="000E48CE" w:rsidRDefault="00FF4C4E">
            <w:pPr>
              <w:pStyle w:val="P68B1DB1-Normal46"/>
              <w:spacing w:after="0" w:line="240" w:lineRule="auto"/>
              <w:rPr>
                <w:rFonts w:eastAsia="Times New Roman" w:cs="Times New Roman"/>
                <w:noProof/>
              </w:rPr>
            </w:pPr>
            <w:r>
              <w:rPr>
                <w:noProof/>
              </w:rPr>
              <w:t>Alueellinen selviytymiskyvyn kehittämisrahasto – suora julkinen linja: Lopullisten edunsaajien kanssa allekirjoitetut oikeudelliset sopimukset (II)</w:t>
            </w:r>
          </w:p>
        </w:tc>
      </w:tr>
      <w:tr w:rsidR="000E48CE" w14:paraId="11DBBF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FFE55C" w14:textId="77777777" w:rsidR="000E48CE" w:rsidRDefault="00FF4C4E">
            <w:pPr>
              <w:pStyle w:val="P68B1DB1-Normal46"/>
              <w:spacing w:after="0" w:line="240" w:lineRule="auto"/>
              <w:jc w:val="center"/>
              <w:rPr>
                <w:rFonts w:eastAsia="Times New Roman" w:cs="Times New Roman"/>
                <w:noProof/>
              </w:rPr>
            </w:pPr>
            <w:r>
              <w:rPr>
                <w:noProof/>
              </w:rPr>
              <w:t>L64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0EBEFC" w14:textId="77777777" w:rsidR="000E48CE" w:rsidRDefault="00FF4C4E">
            <w:pPr>
              <w:pStyle w:val="P68B1DB1-Normal46"/>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C184BD"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0E3388" w14:textId="77777777" w:rsidR="000E48CE" w:rsidRDefault="00FF4C4E">
            <w:pPr>
              <w:pStyle w:val="P68B1DB1-Normal46"/>
              <w:spacing w:after="0" w:line="240" w:lineRule="auto"/>
              <w:rPr>
                <w:rFonts w:eastAsia="Times New Roman" w:cs="Times New Roman"/>
                <w:noProof/>
              </w:rPr>
            </w:pPr>
            <w:r>
              <w:rPr>
                <w:noProof/>
              </w:rPr>
              <w:t>Sirurahoitusjärjestely: Lopullisten edunsaajien kanssa allekirj</w:t>
            </w:r>
            <w:r>
              <w:rPr>
                <w:noProof/>
              </w:rPr>
              <w:t>oitetut oikeudelliset sopimukset (I)</w:t>
            </w:r>
          </w:p>
        </w:tc>
      </w:tr>
      <w:tr w:rsidR="000E48CE" w14:paraId="46B5BB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47A19A" w14:textId="77777777" w:rsidR="000E48CE" w:rsidRDefault="00FF4C4E">
            <w:pPr>
              <w:pStyle w:val="P68B1DB1-Normal46"/>
              <w:spacing w:after="0" w:line="240" w:lineRule="auto"/>
              <w:jc w:val="center"/>
              <w:rPr>
                <w:rFonts w:eastAsia="Times New Roman" w:cs="Times New Roman"/>
                <w:noProof/>
              </w:rPr>
            </w:pPr>
            <w:r>
              <w:rPr>
                <w:noProof/>
              </w:rPr>
              <w:t>L78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0F719A" w14:textId="77777777" w:rsidR="000E48CE" w:rsidRDefault="00FF4C4E">
            <w:pPr>
              <w:pStyle w:val="P68B1DB1-Normal46"/>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8606EC"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C46DD0" w14:textId="77777777" w:rsidR="000E48CE" w:rsidRDefault="00FF4C4E">
            <w:pPr>
              <w:pStyle w:val="P68B1DB1-Normal46"/>
              <w:spacing w:after="0" w:line="240" w:lineRule="auto"/>
              <w:rPr>
                <w:rFonts w:eastAsia="Times New Roman" w:cs="Times New Roman"/>
                <w:noProof/>
              </w:rPr>
            </w:pPr>
            <w:r>
              <w:rPr>
                <w:noProof/>
              </w:rPr>
              <w:t xml:space="preserve">ICO Audiovisuaalikeskuksen rahasto: Lopullisten edunsaajien (mukaan lukien oman pääoman ehtoiset rahastot) kanssa allekirjoitetut oikeudelliset rahoitussopimukset (I).  </w:t>
            </w:r>
          </w:p>
        </w:tc>
      </w:tr>
      <w:tr w:rsidR="000E48CE" w14:paraId="7A6E7E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51998F"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7CA8B6"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13CF0" w14:textId="7E9B26BD" w:rsidR="000E48CE" w:rsidRDefault="00FF4C4E">
            <w:pPr>
              <w:pStyle w:val="P68B1DB1-Normal45"/>
              <w:spacing w:after="0" w:line="240" w:lineRule="auto"/>
              <w:rPr>
                <w:rFonts w:eastAsia="Times New Roman" w:cs="Times New Roman"/>
                <w:noProof/>
              </w:rPr>
            </w:pPr>
            <w:r>
              <w:rPr>
                <w:noProof/>
              </w:rPr>
              <w:t>Erän 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B8F8A" w14:textId="653C51D5" w:rsidR="000E48CE" w:rsidRDefault="00FF4C4E">
            <w:pPr>
              <w:pStyle w:val="P68B1DB1-Normal45"/>
              <w:spacing w:after="0" w:line="240" w:lineRule="auto"/>
              <w:rPr>
                <w:rFonts w:eastAsia="Times New Roman" w:cs="Times New Roman"/>
                <w:noProof/>
              </w:rPr>
            </w:pPr>
            <w:r>
              <w:rPr>
                <w:noProof/>
              </w:rPr>
              <w:t xml:space="preserve">VÄHIMMÄISPÄÄOMA: </w:t>
            </w:r>
            <w:r>
              <w:rPr>
                <w:noProof/>
              </w:rPr>
              <w:t>18612013429 EUROA</w:t>
            </w:r>
          </w:p>
        </w:tc>
      </w:tr>
    </w:tbl>
    <w:p w14:paraId="453DEC58" w14:textId="77777777" w:rsidR="000E48CE" w:rsidRDefault="000E48CE">
      <w:pPr>
        <w:spacing w:before="120" w:after="120" w:line="240" w:lineRule="auto"/>
        <w:jc w:val="both"/>
        <w:rPr>
          <w:rFonts w:ascii="Times New Roman" w:eastAsia="Calibri" w:hAnsi="Times New Roman" w:cs="Times New Roman"/>
          <w:noProof/>
          <w:sz w:val="24"/>
        </w:rPr>
      </w:pPr>
    </w:p>
    <w:p w14:paraId="73A0D850" w14:textId="3248986B"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Viides erä (lainatuki): </w:t>
      </w:r>
    </w:p>
    <w:tbl>
      <w:tblPr>
        <w:tblW w:w="9663" w:type="dxa"/>
        <w:tblInd w:w="113" w:type="dxa"/>
        <w:tblLook w:val="04A0" w:firstRow="1" w:lastRow="0" w:firstColumn="1" w:lastColumn="0" w:noHBand="0" w:noVBand="1"/>
      </w:tblPr>
      <w:tblGrid>
        <w:gridCol w:w="1300"/>
        <w:gridCol w:w="1443"/>
        <w:gridCol w:w="1783"/>
        <w:gridCol w:w="5670"/>
      </w:tblGrid>
      <w:tr w:rsidR="000E48CE" w14:paraId="486661A0"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C9767ED"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77ADA78"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1C12AD"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13052B9A"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07375CF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ABC1730"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CD23AAB"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218EBB"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A6D8940" w14:textId="77777777" w:rsidR="000E48CE" w:rsidRDefault="000E48CE">
            <w:pPr>
              <w:spacing w:after="0" w:line="240" w:lineRule="auto"/>
              <w:rPr>
                <w:rFonts w:ascii="Times New Roman" w:eastAsia="Times New Roman" w:hAnsi="Times New Roman" w:cs="Times New Roman"/>
                <w:b/>
                <w:noProof/>
                <w:sz w:val="20"/>
              </w:rPr>
            </w:pPr>
          </w:p>
        </w:tc>
      </w:tr>
      <w:tr w:rsidR="000E48CE" w14:paraId="79259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F6BEE8" w14:textId="77777777" w:rsidR="000E48CE" w:rsidRDefault="00FF4C4E">
            <w:pPr>
              <w:pStyle w:val="P68B1DB1-Normal46"/>
              <w:spacing w:after="0" w:line="240" w:lineRule="auto"/>
              <w:jc w:val="center"/>
              <w:rPr>
                <w:rFonts w:eastAsia="Times New Roman" w:cs="Times New Roman"/>
                <w:noProof/>
              </w:rPr>
            </w:pPr>
            <w:r>
              <w:rPr>
                <w:noProof/>
              </w:rPr>
              <w:t>L9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06AD30" w14:textId="77777777" w:rsidR="000E48CE" w:rsidRDefault="00FF4C4E">
            <w:pPr>
              <w:pStyle w:val="P68B1DB1-Normal46"/>
              <w:spacing w:after="0" w:line="240" w:lineRule="auto"/>
              <w:rPr>
                <w:rFonts w:eastAsia="Times New Roman" w:cs="Times New Roman"/>
                <w:noProof/>
              </w:rPr>
            </w:pPr>
            <w:r>
              <w:rPr>
                <w:noProof/>
              </w:rPr>
              <w:t>C3.R8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2EDB4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F58FC" w14:textId="77777777" w:rsidR="000E48CE" w:rsidRDefault="00FF4C4E">
            <w:pPr>
              <w:pStyle w:val="P68B1DB1-Normal46"/>
              <w:spacing w:after="0" w:line="240" w:lineRule="auto"/>
              <w:rPr>
                <w:rFonts w:eastAsia="Times New Roman" w:cs="Times New Roman"/>
                <w:noProof/>
              </w:rPr>
            </w:pPr>
            <w:r>
              <w:rPr>
                <w:noProof/>
              </w:rPr>
              <w:t>Maatilojen tietojärjestelmää koskevan asetuksen voimaantulo</w:t>
            </w:r>
          </w:p>
        </w:tc>
      </w:tr>
      <w:tr w:rsidR="000E48CE" w14:paraId="6197830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45BEC" w14:textId="77777777" w:rsidR="000E48CE" w:rsidRDefault="00FF4C4E">
            <w:pPr>
              <w:pStyle w:val="P68B1DB1-Normal46"/>
              <w:spacing w:after="0" w:line="240" w:lineRule="auto"/>
              <w:jc w:val="center"/>
              <w:rPr>
                <w:rFonts w:eastAsia="Times New Roman" w:cs="Times New Roman"/>
                <w:noProof/>
              </w:rPr>
            </w:pPr>
            <w:r>
              <w:rPr>
                <w:noProof/>
              </w:rPr>
              <w:t>L16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972874" w14:textId="77777777" w:rsidR="000E48CE" w:rsidRDefault="00FF4C4E">
            <w:pPr>
              <w:pStyle w:val="P68B1DB1-Normal46"/>
              <w:spacing w:after="0" w:line="240" w:lineRule="auto"/>
              <w:rPr>
                <w:rFonts w:eastAsia="Times New Roman" w:cs="Times New Roman"/>
                <w:noProof/>
              </w:rPr>
            </w:pPr>
            <w:r>
              <w:rPr>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F7BB0F"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D0353F" w14:textId="77777777" w:rsidR="000E48CE" w:rsidRDefault="00FF4C4E">
            <w:pPr>
              <w:pStyle w:val="P68B1DB1-Normal46"/>
              <w:spacing w:after="0" w:line="240" w:lineRule="auto"/>
              <w:rPr>
                <w:rFonts w:eastAsia="Times New Roman" w:cs="Times New Roman"/>
                <w:noProof/>
              </w:rPr>
            </w:pPr>
            <w:r>
              <w:rPr>
                <w:noProof/>
              </w:rPr>
              <w:t>Tiepääosaston hiilijalanjäljen laskeminen</w:t>
            </w:r>
          </w:p>
        </w:tc>
      </w:tr>
      <w:tr w:rsidR="000E48CE" w14:paraId="655A97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8ABF3F" w14:textId="77777777" w:rsidR="000E48CE" w:rsidRDefault="00FF4C4E">
            <w:pPr>
              <w:pStyle w:val="P68B1DB1-Normal46"/>
              <w:spacing w:after="0" w:line="240" w:lineRule="auto"/>
              <w:jc w:val="center"/>
              <w:rPr>
                <w:rFonts w:eastAsia="Times New Roman" w:cs="Times New Roman"/>
                <w:noProof/>
              </w:rPr>
            </w:pPr>
            <w:r>
              <w:rPr>
                <w:noProof/>
              </w:rPr>
              <w:t>L27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D79899" w14:textId="77777777" w:rsidR="000E48CE" w:rsidRDefault="00FF4C4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05EEB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A3A0C0" w14:textId="77777777" w:rsidR="000E48CE" w:rsidRDefault="00FF4C4E">
            <w:pPr>
              <w:pStyle w:val="P68B1DB1-Normal46"/>
              <w:spacing w:after="0" w:line="240" w:lineRule="auto"/>
              <w:rPr>
                <w:rFonts w:eastAsia="Times New Roman" w:cs="Times New Roman"/>
                <w:noProof/>
              </w:rPr>
            </w:pPr>
            <w:r>
              <w:rPr>
                <w:noProof/>
              </w:rPr>
              <w:t>ICO Green Line – Lopullisten edunsaajien (mukaan lukien pääomarahastot) kanssa allekirjoitetut oikeudelliset sopimukset (III)</w:t>
            </w:r>
          </w:p>
        </w:tc>
      </w:tr>
      <w:tr w:rsidR="000E48CE" w14:paraId="6698D36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61BB7E" w14:textId="77777777" w:rsidR="000E48CE" w:rsidRDefault="00FF4C4E">
            <w:pPr>
              <w:pStyle w:val="P68B1DB1-Normal46"/>
              <w:spacing w:after="0" w:line="240" w:lineRule="auto"/>
              <w:jc w:val="center"/>
              <w:rPr>
                <w:rFonts w:eastAsia="Times New Roman" w:cs="Times New Roman"/>
                <w:noProof/>
              </w:rPr>
            </w:pPr>
            <w:r>
              <w:rPr>
                <w:noProof/>
              </w:rPr>
              <w:t>L32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62AE95" w14:textId="77777777" w:rsidR="000E48CE" w:rsidRDefault="00FF4C4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D073DA"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F95759" w14:textId="77777777" w:rsidR="000E48CE" w:rsidRDefault="00FF4C4E">
            <w:pPr>
              <w:pStyle w:val="P68B1DB1-Normal46"/>
              <w:spacing w:after="0" w:line="240" w:lineRule="auto"/>
              <w:rPr>
                <w:rFonts w:eastAsia="Times New Roman" w:cs="Times New Roman"/>
                <w:noProof/>
              </w:rPr>
            </w:pPr>
            <w:r>
              <w:rPr>
                <w:noProof/>
              </w:rPr>
              <w:t>ICO Enterprises and Entrepreneurs Line – Lopullisten edunsaajien (mukaan lukien pääomarahastot) kanssa</w:t>
            </w:r>
            <w:r>
              <w:rPr>
                <w:noProof/>
              </w:rPr>
              <w:t xml:space="preserve"> allekirjoitetut oikeudelliset sopimukset (II)</w:t>
            </w:r>
          </w:p>
        </w:tc>
      </w:tr>
      <w:tr w:rsidR="000E48CE" w14:paraId="6DDD1C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F35A6F" w14:textId="77777777" w:rsidR="000E48CE" w:rsidRDefault="00FF4C4E">
            <w:pPr>
              <w:pStyle w:val="P68B1DB1-Normal46"/>
              <w:spacing w:after="0" w:line="240" w:lineRule="auto"/>
              <w:jc w:val="center"/>
              <w:rPr>
                <w:rFonts w:eastAsia="Times New Roman" w:cs="Times New Roman"/>
                <w:noProof/>
              </w:rPr>
            </w:pPr>
            <w:r>
              <w:rPr>
                <w:noProof/>
              </w:rPr>
              <w:t>L37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E10E66" w14:textId="77777777" w:rsidR="000E48CE" w:rsidRDefault="00FF4C4E">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F209C4"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6D6C35" w14:textId="77777777" w:rsidR="000E48CE" w:rsidRDefault="00FF4C4E">
            <w:pPr>
              <w:pStyle w:val="P68B1DB1-Normal46"/>
              <w:spacing w:after="0" w:line="240" w:lineRule="auto"/>
              <w:rPr>
                <w:rFonts w:eastAsia="Times New Roman" w:cs="Times New Roman"/>
                <w:noProof/>
              </w:rPr>
            </w:pPr>
            <w:r>
              <w:rPr>
                <w:noProof/>
              </w:rPr>
              <w:t>Seuraava Tech – Lopullisten edunsaajien ja pääomarahastojen kanssa allekirjoitetut oikeudelliset sopimukset (II)</w:t>
            </w:r>
          </w:p>
        </w:tc>
      </w:tr>
      <w:tr w:rsidR="000E48CE" w14:paraId="6BA5F2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993088" w14:textId="77777777" w:rsidR="000E48CE" w:rsidRDefault="00FF4C4E">
            <w:pPr>
              <w:pStyle w:val="P68B1DB1-Normal46"/>
              <w:spacing w:after="0" w:line="240" w:lineRule="auto"/>
              <w:jc w:val="center"/>
              <w:rPr>
                <w:rFonts w:eastAsia="Times New Roman" w:cs="Times New Roman"/>
                <w:noProof/>
              </w:rPr>
            </w:pPr>
            <w:r>
              <w:rPr>
                <w:noProof/>
              </w:rPr>
              <w:t>L56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E7B9A2"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C948BA"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DF7EF59" w14:textId="77777777" w:rsidR="000E48CE" w:rsidRDefault="00FF4C4E">
            <w:pPr>
              <w:pStyle w:val="P68B1DB1-Normal46"/>
              <w:spacing w:after="0" w:line="240" w:lineRule="auto"/>
              <w:rPr>
                <w:rFonts w:eastAsia="Times New Roman" w:cs="Times New Roman"/>
                <w:noProof/>
              </w:rPr>
            </w:pPr>
            <w:r>
              <w:rPr>
                <w:noProof/>
              </w:rPr>
              <w:t>Alueellinen selviytymiskyvyn kehittämisrahasto – muut budjettikohda</w:t>
            </w:r>
            <w:r>
              <w:rPr>
                <w:noProof/>
              </w:rPr>
              <w:t>t: Lopullisten edunsaajien (mukaan lukien pääomarahastot) kanssa allekirjoitetut oikeudelliset sopimukset (III)</w:t>
            </w:r>
          </w:p>
        </w:tc>
      </w:tr>
      <w:tr w:rsidR="000E48CE" w14:paraId="581A48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5EFCFA" w14:textId="77777777" w:rsidR="000E48CE" w:rsidRDefault="00FF4C4E">
            <w:pPr>
              <w:pStyle w:val="P68B1DB1-Normal46"/>
              <w:spacing w:after="0" w:line="240" w:lineRule="auto"/>
              <w:jc w:val="center"/>
              <w:rPr>
                <w:rFonts w:eastAsia="Times New Roman" w:cs="Times New Roman"/>
                <w:noProof/>
              </w:rPr>
            </w:pPr>
            <w:r>
              <w:rPr>
                <w:noProof/>
              </w:rPr>
              <w:t>L71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1BF071" w14:textId="77777777" w:rsidR="000E48CE" w:rsidRDefault="00FF4C4E">
            <w:pPr>
              <w:pStyle w:val="P68B1DB1-Normal46"/>
              <w:spacing w:after="0" w:line="240" w:lineRule="auto"/>
              <w:rPr>
                <w:rFonts w:eastAsia="Times New Roman" w:cs="Times New Roman"/>
                <w:noProof/>
              </w:rPr>
            </w:pPr>
            <w:r>
              <w:rPr>
                <w:noProof/>
              </w:rPr>
              <w:t>C22.R6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E3EEEC"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51C5B4" w14:textId="77777777" w:rsidR="000E48CE" w:rsidRDefault="00FF4C4E">
            <w:pPr>
              <w:pStyle w:val="P68B1DB1-Normal46"/>
              <w:spacing w:after="0" w:line="240" w:lineRule="auto"/>
              <w:rPr>
                <w:rFonts w:eastAsia="Times New Roman" w:cs="Times New Roman"/>
                <w:noProof/>
              </w:rPr>
            </w:pPr>
            <w:r>
              <w:rPr>
                <w:noProof/>
              </w:rPr>
              <w:t>Asiaa koskevan lainsäädännön voimaantulo</w:t>
            </w:r>
          </w:p>
        </w:tc>
      </w:tr>
      <w:tr w:rsidR="000E48CE" w14:paraId="46B3603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5C6CF6" w14:textId="77777777" w:rsidR="000E48CE" w:rsidRDefault="00FF4C4E">
            <w:pPr>
              <w:pStyle w:val="P68B1DB1-Normal46"/>
              <w:spacing w:after="0" w:line="240" w:lineRule="auto"/>
              <w:jc w:val="center"/>
              <w:rPr>
                <w:rFonts w:eastAsia="Times New Roman" w:cs="Times New Roman"/>
                <w:noProof/>
              </w:rPr>
            </w:pPr>
            <w:r>
              <w:rPr>
                <w:noProof/>
              </w:rPr>
              <w:t>L75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CCC2A8" w14:textId="77777777" w:rsidR="000E48CE" w:rsidRDefault="00FF4C4E">
            <w:pPr>
              <w:pStyle w:val="P68B1DB1-Normal46"/>
              <w:spacing w:after="0" w:line="240" w:lineRule="auto"/>
              <w:rPr>
                <w:rFonts w:eastAsia="Times New Roman" w:cs="Times New Roman"/>
                <w:noProof/>
              </w:rPr>
            </w:pPr>
            <w:r>
              <w:rPr>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545DB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9C9956" w14:textId="77777777" w:rsidR="000E48CE" w:rsidRDefault="00FF4C4E">
            <w:pPr>
              <w:pStyle w:val="P68B1DB1-Normal46"/>
              <w:spacing w:after="0" w:line="240" w:lineRule="auto"/>
              <w:rPr>
                <w:rFonts w:eastAsia="Times New Roman" w:cs="Times New Roman"/>
                <w:noProof/>
              </w:rPr>
            </w:pPr>
            <w:r>
              <w:rPr>
                <w:noProof/>
              </w:rPr>
              <w:t>Digitalisaation rahoittamista ja hankkeiden sisällön levittämistä koskevien</w:t>
            </w:r>
            <w:r>
              <w:rPr>
                <w:noProof/>
              </w:rPr>
              <w:t xml:space="preserve"> palkintojen julkaiseminen</w:t>
            </w:r>
          </w:p>
        </w:tc>
      </w:tr>
      <w:tr w:rsidR="000E48CE" w14:paraId="36B5BF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F7C68D"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88D9A1"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11B721" w14:textId="6935CAD0" w:rsidR="000E48CE" w:rsidRDefault="00FF4C4E">
            <w:pPr>
              <w:pStyle w:val="P68B1DB1-Normal45"/>
              <w:spacing w:after="0" w:line="240" w:lineRule="auto"/>
              <w:rPr>
                <w:rFonts w:eastAsia="Times New Roman" w:cs="Times New Roman"/>
                <w:noProof/>
              </w:rPr>
            </w:pPr>
            <w:r>
              <w:rPr>
                <w:noProof/>
              </w:rPr>
              <w:t>Erän 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AB24F5" w14:textId="34AA0A01" w:rsidR="000E48CE" w:rsidRDefault="00FF4C4E">
            <w:pPr>
              <w:pStyle w:val="P68B1DB1-Normal45"/>
              <w:spacing w:after="0" w:line="240" w:lineRule="auto"/>
              <w:rPr>
                <w:rFonts w:eastAsia="Times New Roman" w:cs="Times New Roman"/>
                <w:noProof/>
              </w:rPr>
            </w:pPr>
            <w:r>
              <w:rPr>
                <w:noProof/>
              </w:rPr>
              <w:t xml:space="preserve"> VÄHIMMÄISPÄÄOMA: 4224003048 EUROA</w:t>
            </w:r>
          </w:p>
        </w:tc>
      </w:tr>
    </w:tbl>
    <w:p w14:paraId="5091427A" w14:textId="77777777" w:rsidR="000E48CE" w:rsidRDefault="000E48CE">
      <w:pPr>
        <w:spacing w:before="120" w:after="120" w:line="240" w:lineRule="auto"/>
        <w:jc w:val="both"/>
        <w:rPr>
          <w:rFonts w:ascii="Times New Roman" w:eastAsia="Calibri" w:hAnsi="Times New Roman" w:cs="Times New Roman"/>
          <w:noProof/>
          <w:sz w:val="24"/>
        </w:rPr>
      </w:pPr>
    </w:p>
    <w:p w14:paraId="6FB014F7" w14:textId="1733FE95" w:rsidR="000E48CE" w:rsidRDefault="00FF4C4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Kuudes erä (lainatuki): </w:t>
      </w:r>
    </w:p>
    <w:tbl>
      <w:tblPr>
        <w:tblW w:w="9663" w:type="dxa"/>
        <w:tblInd w:w="113" w:type="dxa"/>
        <w:tblLook w:val="04A0" w:firstRow="1" w:lastRow="0" w:firstColumn="1" w:lastColumn="0" w:noHBand="0" w:noVBand="1"/>
      </w:tblPr>
      <w:tblGrid>
        <w:gridCol w:w="1300"/>
        <w:gridCol w:w="1443"/>
        <w:gridCol w:w="1783"/>
        <w:gridCol w:w="5670"/>
      </w:tblGrid>
      <w:tr w:rsidR="000E48CE" w14:paraId="0531B7F7"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1212EFB" w14:textId="77777777" w:rsidR="000E48CE" w:rsidRDefault="00FF4C4E">
            <w:pPr>
              <w:pStyle w:val="P68B1DB1-Normal45"/>
              <w:spacing w:after="0" w:line="240" w:lineRule="auto"/>
              <w:jc w:val="center"/>
              <w:rPr>
                <w:rFonts w:eastAsia="Times New Roman" w:cs="Times New Roman"/>
                <w:noProof/>
              </w:rPr>
            </w:pPr>
            <w:r>
              <w:rPr>
                <w:noProof/>
              </w:rPr>
              <w:t>Juokseva numero</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1438B7" w14:textId="77777777" w:rsidR="000E48CE" w:rsidRDefault="00FF4C4E">
            <w:pPr>
              <w:pStyle w:val="P68B1DB1-Normal45"/>
              <w:spacing w:after="0" w:line="240" w:lineRule="auto"/>
              <w:jc w:val="center"/>
              <w:rPr>
                <w:rFonts w:eastAsia="Times New Roman" w:cs="Times New Roman"/>
                <w:noProof/>
              </w:rPr>
            </w:pPr>
            <w:r>
              <w:rPr>
                <w:noProof/>
              </w:rPr>
              <w:t>Toimenpide (uudistus tai investointi)</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FD07CAC" w14:textId="77777777" w:rsidR="000E48CE" w:rsidRDefault="00FF4C4E">
            <w:pPr>
              <w:pStyle w:val="P68B1DB1-Normal45"/>
              <w:spacing w:after="0" w:line="240" w:lineRule="auto"/>
              <w:jc w:val="center"/>
              <w:rPr>
                <w:rFonts w:eastAsia="Times New Roman" w:cs="Times New Roman"/>
                <w:noProof/>
              </w:rPr>
            </w:pPr>
            <w:r>
              <w:rPr>
                <w:noProof/>
              </w:rPr>
              <w:t>Välitavoite/tavoite</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7C4BDB87" w14:textId="77777777" w:rsidR="000E48CE" w:rsidRDefault="00FF4C4E">
            <w:pPr>
              <w:pStyle w:val="P68B1DB1-Normal45"/>
              <w:spacing w:after="0" w:line="240" w:lineRule="auto"/>
              <w:jc w:val="center"/>
              <w:rPr>
                <w:rFonts w:eastAsia="Times New Roman" w:cs="Times New Roman"/>
                <w:noProof/>
              </w:rPr>
            </w:pPr>
            <w:r>
              <w:rPr>
                <w:noProof/>
              </w:rPr>
              <w:t>Nimi</w:t>
            </w:r>
          </w:p>
        </w:tc>
      </w:tr>
      <w:tr w:rsidR="000E48CE" w14:paraId="37F5878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F6B4430" w14:textId="77777777" w:rsidR="000E48CE" w:rsidRDefault="000E48CE">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123CDE4" w14:textId="77777777" w:rsidR="000E48CE" w:rsidRDefault="000E48CE">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59E5F3F" w14:textId="77777777" w:rsidR="000E48CE" w:rsidRDefault="000E48CE">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7B8CF4C" w14:textId="77777777" w:rsidR="000E48CE" w:rsidRDefault="000E48CE">
            <w:pPr>
              <w:spacing w:after="0" w:line="240" w:lineRule="auto"/>
              <w:rPr>
                <w:rFonts w:ascii="Times New Roman" w:eastAsia="Times New Roman" w:hAnsi="Times New Roman" w:cs="Times New Roman"/>
                <w:b/>
                <w:noProof/>
                <w:sz w:val="20"/>
              </w:rPr>
            </w:pPr>
          </w:p>
        </w:tc>
      </w:tr>
      <w:tr w:rsidR="000E48CE" w14:paraId="265C02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5D159D" w14:textId="77777777" w:rsidR="000E48CE" w:rsidRDefault="00FF4C4E">
            <w:pPr>
              <w:pStyle w:val="P68B1DB1-Normal46"/>
              <w:spacing w:after="0" w:line="240" w:lineRule="auto"/>
              <w:jc w:val="center"/>
              <w:rPr>
                <w:rFonts w:eastAsia="Times New Roman" w:cs="Times New Roman"/>
                <w:noProof/>
              </w:rPr>
            </w:pPr>
            <w:r>
              <w:rPr>
                <w:noProof/>
              </w:rPr>
              <w:t>L6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13247E" w14:textId="77777777" w:rsidR="000E48CE" w:rsidRDefault="00FF4C4E">
            <w:pPr>
              <w:pStyle w:val="P68B1DB1-Normal46"/>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6BC44D"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9567F3D" w14:textId="77777777" w:rsidR="000E48CE" w:rsidRDefault="00FF4C4E">
            <w:pPr>
              <w:pStyle w:val="P68B1DB1-Normal46"/>
              <w:spacing w:after="0" w:line="240" w:lineRule="auto"/>
              <w:rPr>
                <w:rFonts w:eastAsia="Times New Roman" w:cs="Times New Roman"/>
                <w:noProof/>
              </w:rPr>
            </w:pPr>
            <w:r>
              <w:rPr>
                <w:noProof/>
              </w:rPr>
              <w:t xml:space="preserve">ICO:n lainajärjestely sosiaalisen asuntotuotannon </w:t>
            </w:r>
            <w:r>
              <w:rPr>
                <w:noProof/>
              </w:rPr>
              <w:t>edistämiseksi: Lopullisten edunsaajien kanssa allekirjoitetut oikeudelliset sopimukset (II)</w:t>
            </w:r>
          </w:p>
        </w:tc>
      </w:tr>
      <w:tr w:rsidR="000E48CE" w14:paraId="3C7E8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6091B3" w14:textId="77777777" w:rsidR="000E48CE" w:rsidRDefault="00FF4C4E">
            <w:pPr>
              <w:pStyle w:val="P68B1DB1-Normal46"/>
              <w:spacing w:after="0" w:line="240" w:lineRule="auto"/>
              <w:jc w:val="center"/>
              <w:rPr>
                <w:rFonts w:eastAsia="Times New Roman" w:cs="Times New Roman"/>
                <w:noProof/>
              </w:rPr>
            </w:pPr>
            <w:r>
              <w:rPr>
                <w:noProof/>
              </w:rPr>
              <w:t>L7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C23B00" w14:textId="77777777" w:rsidR="000E48CE" w:rsidRDefault="00FF4C4E">
            <w:pPr>
              <w:pStyle w:val="P68B1DB1-Normal46"/>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5E209B"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15A598" w14:textId="77777777" w:rsidR="000E48CE" w:rsidRDefault="00FF4C4E">
            <w:pPr>
              <w:pStyle w:val="P68B1DB1-Normal46"/>
              <w:spacing w:after="0" w:line="240" w:lineRule="auto"/>
              <w:rPr>
                <w:rFonts w:eastAsia="Times New Roman" w:cs="Times New Roman"/>
                <w:noProof/>
              </w:rPr>
            </w:pPr>
            <w:r>
              <w:rPr>
                <w:noProof/>
              </w:rPr>
              <w:t>ICO:n lainajärjestely sosiaalisen asuntotuotannon edistämiseksi: Ministeriö on saattanut investoinnin päätökseen</w:t>
            </w:r>
          </w:p>
        </w:tc>
      </w:tr>
      <w:tr w:rsidR="000E48CE" w14:paraId="44A942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4BEB6A" w14:textId="77777777" w:rsidR="000E48CE" w:rsidRDefault="00FF4C4E">
            <w:pPr>
              <w:pStyle w:val="P68B1DB1-Normal46"/>
              <w:spacing w:after="0" w:line="240" w:lineRule="auto"/>
              <w:jc w:val="center"/>
              <w:rPr>
                <w:rFonts w:eastAsia="Times New Roman" w:cs="Times New Roman"/>
                <w:noProof/>
              </w:rPr>
            </w:pPr>
            <w:r>
              <w:rPr>
                <w:noProof/>
              </w:rPr>
              <w:t>L8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4932F6D" w14:textId="77777777" w:rsidR="000E48CE" w:rsidRDefault="00FF4C4E">
            <w:pPr>
              <w:pStyle w:val="P68B1DB1-Normal46"/>
              <w:spacing w:after="0" w:line="240" w:lineRule="auto"/>
              <w:rPr>
                <w:rFonts w:eastAsia="Times New Roman" w:cs="Times New Roman"/>
                <w:noProof/>
              </w:rPr>
            </w:pPr>
            <w:r>
              <w:rPr>
                <w:noProof/>
              </w:rPr>
              <w:t>C3.R7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8F545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A39573" w14:textId="77777777" w:rsidR="000E48CE" w:rsidRDefault="00FF4C4E">
            <w:pPr>
              <w:pStyle w:val="P68B1DB1-Normal46"/>
              <w:spacing w:after="0" w:line="240" w:lineRule="auto"/>
              <w:rPr>
                <w:rFonts w:eastAsia="Times New Roman" w:cs="Times New Roman"/>
                <w:noProof/>
              </w:rPr>
            </w:pPr>
            <w:r>
              <w:rPr>
                <w:noProof/>
              </w:rPr>
              <w:t xml:space="preserve">Ruokahävikin ja -jätteen </w:t>
            </w:r>
            <w:r>
              <w:rPr>
                <w:noProof/>
              </w:rPr>
              <w:t>ehkäisemisestä annetun lain voimaantulo</w:t>
            </w:r>
          </w:p>
        </w:tc>
      </w:tr>
      <w:tr w:rsidR="000E48CE" w14:paraId="77D3A13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6FE840" w14:textId="77777777" w:rsidR="000E48CE" w:rsidRDefault="00FF4C4E">
            <w:pPr>
              <w:pStyle w:val="P68B1DB1-Normal46"/>
              <w:spacing w:after="0" w:line="240" w:lineRule="auto"/>
              <w:jc w:val="center"/>
              <w:rPr>
                <w:rFonts w:eastAsia="Times New Roman" w:cs="Times New Roman"/>
                <w:noProof/>
              </w:rPr>
            </w:pPr>
            <w:r>
              <w:rPr>
                <w:noProof/>
              </w:rPr>
              <w:t>L11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2DAD53" w14:textId="77777777" w:rsidR="000E48CE" w:rsidRDefault="00FF4C4E">
            <w:pPr>
              <w:pStyle w:val="P68B1DB1-Normal46"/>
              <w:spacing w:after="0" w:line="240" w:lineRule="auto"/>
              <w:rPr>
                <w:rFonts w:eastAsia="Times New Roman" w:cs="Times New Roman"/>
                <w:noProof/>
              </w:rPr>
            </w:pPr>
            <w:r>
              <w:rPr>
                <w:noProof/>
              </w:rPr>
              <w:t>C3.I12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5F2D54"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5AEA19" w14:textId="77777777" w:rsidR="000E48CE" w:rsidRDefault="00FF4C4E">
            <w:pPr>
              <w:pStyle w:val="P68B1DB1-Normal46"/>
              <w:spacing w:after="0" w:line="240" w:lineRule="auto"/>
              <w:rPr>
                <w:rFonts w:eastAsia="Times New Roman" w:cs="Times New Roman"/>
                <w:noProof/>
              </w:rPr>
            </w:pPr>
            <w:r>
              <w:rPr>
                <w:noProof/>
              </w:rPr>
              <w:t xml:space="preserve">Kastelujärjestelmien nykyaikaistaminen veden säästämisen ja energiatehokkuuden osalta  </w:t>
            </w:r>
          </w:p>
        </w:tc>
      </w:tr>
      <w:tr w:rsidR="000E48CE" w14:paraId="3296460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DC968C" w14:textId="77777777" w:rsidR="000E48CE" w:rsidRDefault="00FF4C4E">
            <w:pPr>
              <w:pStyle w:val="P68B1DB1-Normal46"/>
              <w:spacing w:after="0" w:line="240" w:lineRule="auto"/>
              <w:jc w:val="center"/>
              <w:rPr>
                <w:rFonts w:eastAsia="Times New Roman" w:cs="Times New Roman"/>
                <w:noProof/>
              </w:rPr>
            </w:pPr>
            <w:r>
              <w:rPr>
                <w:noProof/>
              </w:rPr>
              <w:t>L13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882B24" w14:textId="77777777" w:rsidR="000E48CE" w:rsidRDefault="00FF4C4E">
            <w:pPr>
              <w:pStyle w:val="P68B1DB1-Normal46"/>
              <w:spacing w:after="0" w:line="240" w:lineRule="auto"/>
              <w:rPr>
                <w:rFonts w:eastAsia="Times New Roman" w:cs="Times New Roman"/>
                <w:noProof/>
              </w:rPr>
            </w:pPr>
            <w:r>
              <w:rPr>
                <w:noProof/>
              </w:rPr>
              <w:t>C5.I5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BB2FB"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3E3C26" w14:textId="77777777" w:rsidR="000E48CE" w:rsidRDefault="00FF4C4E">
            <w:pPr>
              <w:pStyle w:val="P68B1DB1-Normal46"/>
              <w:spacing w:after="0" w:line="240" w:lineRule="auto"/>
              <w:rPr>
                <w:rFonts w:eastAsia="Times New Roman" w:cs="Times New Roman"/>
                <w:noProof/>
              </w:rPr>
            </w:pPr>
            <w:r>
              <w:rPr>
                <w:noProof/>
              </w:rPr>
              <w:t>Pohjavedenoton vähentäminen</w:t>
            </w:r>
          </w:p>
        </w:tc>
      </w:tr>
      <w:tr w:rsidR="000E48CE" w14:paraId="1C31B9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09A501" w14:textId="77777777" w:rsidR="000E48CE" w:rsidRDefault="00FF4C4E">
            <w:pPr>
              <w:pStyle w:val="P68B1DB1-Normal46"/>
              <w:spacing w:after="0" w:line="240" w:lineRule="auto"/>
              <w:jc w:val="center"/>
              <w:rPr>
                <w:rFonts w:eastAsia="Times New Roman" w:cs="Times New Roman"/>
                <w:noProof/>
              </w:rPr>
            </w:pPr>
            <w:r>
              <w:rPr>
                <w:noProof/>
              </w:rPr>
              <w:t>L14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0BFA1E" w14:textId="77777777" w:rsidR="000E48CE" w:rsidRDefault="00FF4C4E">
            <w:pPr>
              <w:pStyle w:val="P68B1DB1-Normal46"/>
              <w:spacing w:after="0" w:line="240" w:lineRule="auto"/>
              <w:rPr>
                <w:rFonts w:eastAsia="Times New Roman" w:cs="Times New Roman"/>
                <w:noProof/>
              </w:rPr>
            </w:pPr>
            <w:r>
              <w:rPr>
                <w:noProof/>
              </w:rPr>
              <w:t>C5.I6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873A2C"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8BC5" w14:textId="77777777" w:rsidR="000E48CE" w:rsidRDefault="00FF4C4E">
            <w:pPr>
              <w:pStyle w:val="P68B1DB1-Normal46"/>
              <w:spacing w:after="0" w:line="240" w:lineRule="auto"/>
              <w:rPr>
                <w:rFonts w:eastAsia="Times New Roman" w:cs="Times New Roman"/>
                <w:noProof/>
              </w:rPr>
            </w:pPr>
            <w:r>
              <w:rPr>
                <w:noProof/>
              </w:rPr>
              <w:t xml:space="preserve">Toimet kaupunkien vesikierron ja teollisuuden </w:t>
            </w:r>
            <w:r>
              <w:rPr>
                <w:noProof/>
              </w:rPr>
              <w:t>digitalisoimiseksi</w:t>
            </w:r>
          </w:p>
        </w:tc>
      </w:tr>
      <w:tr w:rsidR="000E48CE" w14:paraId="4D68E8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AAACF4" w14:textId="77777777" w:rsidR="000E48CE" w:rsidRDefault="00FF4C4E">
            <w:pPr>
              <w:pStyle w:val="P68B1DB1-Normal46"/>
              <w:spacing w:after="0" w:line="240" w:lineRule="auto"/>
              <w:jc w:val="center"/>
              <w:rPr>
                <w:rFonts w:eastAsia="Times New Roman" w:cs="Times New Roman"/>
                <w:noProof/>
              </w:rPr>
            </w:pPr>
            <w:r>
              <w:rPr>
                <w:noProof/>
              </w:rPr>
              <w:t>L17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B9DC37" w14:textId="77777777" w:rsidR="000E48CE" w:rsidRDefault="00FF4C4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20013"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009A76D" w14:textId="77777777" w:rsidR="000E48CE" w:rsidRDefault="00FF4C4E">
            <w:pPr>
              <w:pStyle w:val="P68B1DB1-Normal46"/>
              <w:spacing w:after="0" w:line="240" w:lineRule="auto"/>
              <w:rPr>
                <w:rFonts w:eastAsia="Times New Roman" w:cs="Times New Roman"/>
                <w:noProof/>
              </w:rPr>
            </w:pPr>
            <w:r>
              <w:rPr>
                <w:noProof/>
              </w:rPr>
              <w:t>Julkishallinnon kyberturvallisuusvalmiuksien vahvistamista kyberuhkien ehkäisemisen, suojaamisen, havaitsemisen ja niihin reagoimisen alalla koskevien hankkeiden loppuun saattaminen (kyberturvallisuusohjelma)</w:t>
            </w:r>
          </w:p>
        </w:tc>
      </w:tr>
      <w:tr w:rsidR="000E48CE" w14:paraId="7978858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A1B490" w14:textId="77777777" w:rsidR="000E48CE" w:rsidRDefault="00FF4C4E">
            <w:pPr>
              <w:pStyle w:val="P68B1DB1-Normal46"/>
              <w:spacing w:after="0" w:line="240" w:lineRule="auto"/>
              <w:jc w:val="center"/>
              <w:rPr>
                <w:rFonts w:eastAsia="Times New Roman" w:cs="Times New Roman"/>
                <w:noProof/>
              </w:rPr>
            </w:pPr>
            <w:r>
              <w:rPr>
                <w:noProof/>
              </w:rPr>
              <w:t>L20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98DAB1" w14:textId="77777777" w:rsidR="000E48CE" w:rsidRDefault="00FF4C4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AA518"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6C8008" w14:textId="77777777" w:rsidR="000E48CE" w:rsidRDefault="00FF4C4E">
            <w:pPr>
              <w:pStyle w:val="P68B1DB1-Normal46"/>
              <w:spacing w:after="0" w:line="240" w:lineRule="auto"/>
              <w:rPr>
                <w:rFonts w:eastAsia="Times New Roman" w:cs="Times New Roman"/>
                <w:noProof/>
              </w:rPr>
            </w:pPr>
            <w:r>
              <w:rPr>
                <w:noProof/>
              </w:rPr>
              <w:t>Turvallisuus- ja palautumisrahasto: Lopullisten edunsaajien (mukaan lukien oman pääoman ehtoiset rahastot) kanssa allekirjoitetut oikeudelliset rahoitussopimukset (II)</w:t>
            </w:r>
          </w:p>
        </w:tc>
      </w:tr>
      <w:tr w:rsidR="000E48CE" w14:paraId="62640F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8597A" w14:textId="77777777" w:rsidR="000E48CE" w:rsidRDefault="00FF4C4E">
            <w:pPr>
              <w:pStyle w:val="P68B1DB1-Normal46"/>
              <w:spacing w:after="0" w:line="240" w:lineRule="auto"/>
              <w:jc w:val="center"/>
              <w:rPr>
                <w:rFonts w:eastAsia="Times New Roman" w:cs="Times New Roman"/>
                <w:noProof/>
              </w:rPr>
            </w:pPr>
            <w:r>
              <w:rPr>
                <w:noProof/>
              </w:rPr>
              <w:t>L21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D5C7D" w14:textId="77777777" w:rsidR="000E48CE" w:rsidRDefault="00FF4C4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51DF9C"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FC1FFE" w14:textId="77777777" w:rsidR="000E48CE" w:rsidRDefault="00FF4C4E">
            <w:pPr>
              <w:pStyle w:val="P68B1DB1-Normal46"/>
              <w:spacing w:after="0" w:line="240" w:lineRule="auto"/>
              <w:rPr>
                <w:rFonts w:eastAsia="Times New Roman" w:cs="Times New Roman"/>
                <w:noProof/>
              </w:rPr>
            </w:pPr>
            <w:r>
              <w:rPr>
                <w:noProof/>
              </w:rPr>
              <w:t xml:space="preserve">Turvallisuus- ja palautumisrahasto: Ministeriö on saattanut investoinnin </w:t>
            </w:r>
            <w:r>
              <w:rPr>
                <w:noProof/>
              </w:rPr>
              <w:t>päätökseen</w:t>
            </w:r>
          </w:p>
        </w:tc>
      </w:tr>
      <w:tr w:rsidR="000E48CE" w14:paraId="348EBD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A896CF" w14:textId="77777777" w:rsidR="000E48CE" w:rsidRDefault="00FF4C4E">
            <w:pPr>
              <w:pStyle w:val="P68B1DB1-Normal46"/>
              <w:spacing w:after="0" w:line="240" w:lineRule="auto"/>
              <w:jc w:val="center"/>
              <w:rPr>
                <w:rFonts w:eastAsia="Times New Roman" w:cs="Times New Roman"/>
                <w:noProof/>
              </w:rPr>
            </w:pPr>
            <w:r>
              <w:rPr>
                <w:noProof/>
              </w:rPr>
              <w:t>L24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E5744" w14:textId="77777777" w:rsidR="000E48CE" w:rsidRDefault="00FF4C4E">
            <w:pPr>
              <w:pStyle w:val="P68B1DB1-Normal46"/>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56C443"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7B42225" w14:textId="77777777" w:rsidR="000E48CE" w:rsidRDefault="00FF4C4E">
            <w:pPr>
              <w:pStyle w:val="P68B1DB1-Normal46"/>
              <w:spacing w:after="0" w:line="240" w:lineRule="auto"/>
              <w:rPr>
                <w:rFonts w:eastAsia="Times New Roman" w:cs="Times New Roman"/>
                <w:noProof/>
              </w:rPr>
            </w:pPr>
            <w:r>
              <w:rPr>
                <w:noProof/>
              </w:rPr>
              <w:t>Tukijärjestelmä sähköautojen ja maatalouselintarvikkeiden arvoketjun strategisille hankkeille (lainat): Lopullisten edunsaajien kanssa allekirjoitetut oikeudelliset sopimukset tai lopulliset myöntämispäätökset julkaistu</w:t>
            </w:r>
          </w:p>
        </w:tc>
      </w:tr>
      <w:tr w:rsidR="000E48CE" w14:paraId="39BC99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FC8273" w14:textId="77777777" w:rsidR="000E48CE" w:rsidRDefault="00FF4C4E">
            <w:pPr>
              <w:pStyle w:val="P68B1DB1-Normal46"/>
              <w:spacing w:after="0" w:line="240" w:lineRule="auto"/>
              <w:jc w:val="center"/>
              <w:rPr>
                <w:rFonts w:eastAsia="Times New Roman" w:cs="Times New Roman"/>
                <w:noProof/>
              </w:rPr>
            </w:pPr>
            <w:r>
              <w:rPr>
                <w:noProof/>
              </w:rPr>
              <w:t>L28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254F78" w14:textId="77777777" w:rsidR="000E48CE" w:rsidRDefault="00FF4C4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667255"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3CE227" w14:textId="77777777" w:rsidR="000E48CE" w:rsidRDefault="00FF4C4E">
            <w:pPr>
              <w:pStyle w:val="P68B1DB1-Normal46"/>
              <w:spacing w:after="0" w:line="240" w:lineRule="auto"/>
              <w:rPr>
                <w:rFonts w:eastAsia="Times New Roman" w:cs="Times New Roman"/>
                <w:noProof/>
              </w:rPr>
            </w:pPr>
            <w:r>
              <w:rPr>
                <w:noProof/>
              </w:rPr>
              <w:t>ICO Green Line – Lopullisten edunsaajien (mukaan lukien pääomarahastot) kanssa allekirjoitetut oikeudelliset sopimukset (IV)</w:t>
            </w:r>
          </w:p>
        </w:tc>
      </w:tr>
      <w:tr w:rsidR="000E48CE" w14:paraId="2BE35B5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5131F4" w14:textId="77777777" w:rsidR="000E48CE" w:rsidRDefault="00FF4C4E">
            <w:pPr>
              <w:pStyle w:val="P68B1DB1-Normal46"/>
              <w:spacing w:after="0" w:line="240" w:lineRule="auto"/>
              <w:jc w:val="center"/>
              <w:rPr>
                <w:rFonts w:eastAsia="Times New Roman" w:cs="Times New Roman"/>
                <w:noProof/>
              </w:rPr>
            </w:pPr>
            <w:r>
              <w:rPr>
                <w:noProof/>
              </w:rPr>
              <w:t>L29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F62C77" w14:textId="77777777" w:rsidR="000E48CE" w:rsidRDefault="00FF4C4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14AE5D"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721D85" w14:textId="77777777" w:rsidR="000E48CE" w:rsidRDefault="00FF4C4E">
            <w:pPr>
              <w:pStyle w:val="P68B1DB1-Normal46"/>
              <w:spacing w:after="0" w:line="240" w:lineRule="auto"/>
              <w:rPr>
                <w:rFonts w:eastAsia="Times New Roman" w:cs="Times New Roman"/>
                <w:noProof/>
              </w:rPr>
            </w:pPr>
            <w:r>
              <w:rPr>
                <w:noProof/>
              </w:rPr>
              <w:t>ICO Green Line – Maa- ja metsätalousministeriö on saattanut investoinnin päätökseen</w:t>
            </w:r>
          </w:p>
        </w:tc>
      </w:tr>
      <w:tr w:rsidR="000E48CE" w14:paraId="35EB02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342B9D" w14:textId="77777777" w:rsidR="000E48CE" w:rsidRDefault="00FF4C4E">
            <w:pPr>
              <w:pStyle w:val="P68B1DB1-Normal46"/>
              <w:spacing w:after="0" w:line="240" w:lineRule="auto"/>
              <w:jc w:val="center"/>
              <w:rPr>
                <w:rFonts w:eastAsia="Times New Roman" w:cs="Times New Roman"/>
                <w:noProof/>
              </w:rPr>
            </w:pPr>
            <w:r>
              <w:rPr>
                <w:noProof/>
              </w:rPr>
              <w:t>L33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7A0E6A" w14:textId="77777777" w:rsidR="000E48CE" w:rsidRDefault="00FF4C4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87ACF5"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031289" w14:textId="77777777" w:rsidR="000E48CE" w:rsidRDefault="00FF4C4E">
            <w:pPr>
              <w:pStyle w:val="P68B1DB1-Normal46"/>
              <w:spacing w:after="0" w:line="240" w:lineRule="auto"/>
              <w:rPr>
                <w:rFonts w:eastAsia="Times New Roman" w:cs="Times New Roman"/>
                <w:noProof/>
              </w:rPr>
            </w:pPr>
            <w:r>
              <w:rPr>
                <w:noProof/>
              </w:rPr>
              <w:t xml:space="preserve">ICO Enterprises </w:t>
            </w:r>
            <w:r>
              <w:rPr>
                <w:noProof/>
              </w:rPr>
              <w:t>and Entrepreneurs Line – Lopullisten edunsaajien (mukaan lukien pääomarahastot) kanssa allekirjoitetut oikeudelliset sopimukset (III)</w:t>
            </w:r>
          </w:p>
        </w:tc>
      </w:tr>
      <w:tr w:rsidR="000E48CE" w14:paraId="3DF2B4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C48A29" w14:textId="77777777" w:rsidR="000E48CE" w:rsidRDefault="00FF4C4E">
            <w:pPr>
              <w:pStyle w:val="P68B1DB1-Normal46"/>
              <w:spacing w:after="0" w:line="240" w:lineRule="auto"/>
              <w:jc w:val="center"/>
              <w:rPr>
                <w:rFonts w:eastAsia="Times New Roman" w:cs="Times New Roman"/>
                <w:noProof/>
              </w:rPr>
            </w:pPr>
            <w:r>
              <w:rPr>
                <w:noProof/>
              </w:rPr>
              <w:t>L34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F50B3A" w14:textId="77777777" w:rsidR="000E48CE" w:rsidRDefault="00FF4C4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BCA316"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C955F0" w14:textId="77777777" w:rsidR="000E48CE" w:rsidRDefault="00FF4C4E">
            <w:pPr>
              <w:pStyle w:val="P68B1DB1-Normal46"/>
              <w:spacing w:after="0" w:line="240" w:lineRule="auto"/>
              <w:rPr>
                <w:rFonts w:eastAsia="Times New Roman" w:cs="Times New Roman"/>
                <w:noProof/>
              </w:rPr>
            </w:pPr>
            <w:r>
              <w:rPr>
                <w:noProof/>
              </w:rPr>
              <w:t>ICO Enterprises and Entrepreneurs Line – Maa- ja metsätalousministeriö on saattanut investoinnin päätökseen.</w:t>
            </w:r>
          </w:p>
        </w:tc>
      </w:tr>
      <w:tr w:rsidR="000E48CE" w14:paraId="411E1A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14A32C" w14:textId="77777777" w:rsidR="000E48CE" w:rsidRDefault="00FF4C4E">
            <w:pPr>
              <w:pStyle w:val="P68B1DB1-Normal46"/>
              <w:spacing w:after="0" w:line="240" w:lineRule="auto"/>
              <w:jc w:val="center"/>
              <w:rPr>
                <w:rFonts w:eastAsia="Times New Roman" w:cs="Times New Roman"/>
                <w:noProof/>
              </w:rPr>
            </w:pPr>
            <w:r>
              <w:rPr>
                <w:noProof/>
              </w:rPr>
              <w:t>L38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C4A11B" w14:textId="77777777" w:rsidR="000E48CE" w:rsidRDefault="00FF4C4E">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6565A5"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7F946CE" w14:textId="77777777" w:rsidR="000E48CE" w:rsidRDefault="00FF4C4E">
            <w:pPr>
              <w:pStyle w:val="P68B1DB1-Normal46"/>
              <w:spacing w:after="0" w:line="240" w:lineRule="auto"/>
              <w:rPr>
                <w:rFonts w:eastAsia="Times New Roman" w:cs="Times New Roman"/>
                <w:noProof/>
              </w:rPr>
            </w:pPr>
            <w:r>
              <w:rPr>
                <w:noProof/>
              </w:rPr>
              <w:t>Seuraava Tech – Lopullisten edunsaajien ja pääomarahastojen kanssa allekirjoitetut oikeudelliset sopimukset (II)</w:t>
            </w:r>
          </w:p>
        </w:tc>
      </w:tr>
      <w:tr w:rsidR="000E48CE" w14:paraId="522583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F860F4" w14:textId="77777777" w:rsidR="000E48CE" w:rsidRDefault="00FF4C4E">
            <w:pPr>
              <w:pStyle w:val="P68B1DB1-Normal46"/>
              <w:spacing w:after="0" w:line="240" w:lineRule="auto"/>
              <w:jc w:val="center"/>
              <w:rPr>
                <w:rFonts w:eastAsia="Times New Roman" w:cs="Times New Roman"/>
                <w:noProof/>
              </w:rPr>
            </w:pPr>
            <w:r>
              <w:rPr>
                <w:noProof/>
              </w:rPr>
              <w:t>L39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48FB" w14:textId="77777777" w:rsidR="000E48CE" w:rsidRDefault="00FF4C4E">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78A4F2"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5C90A3" w14:textId="77777777" w:rsidR="000E48CE" w:rsidRDefault="00FF4C4E">
            <w:pPr>
              <w:pStyle w:val="P68B1DB1-Normal46"/>
              <w:spacing w:after="0" w:line="240" w:lineRule="auto"/>
              <w:rPr>
                <w:rFonts w:eastAsia="Times New Roman" w:cs="Times New Roman"/>
                <w:noProof/>
              </w:rPr>
            </w:pPr>
            <w:r>
              <w:rPr>
                <w:noProof/>
              </w:rPr>
              <w:t xml:space="preserve">Seuraava Tech-ministeriö on saanut investoinnit päätökseen. </w:t>
            </w:r>
          </w:p>
        </w:tc>
      </w:tr>
      <w:tr w:rsidR="000E48CE" w14:paraId="20BE6F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43C6BD" w14:textId="77777777" w:rsidR="000E48CE" w:rsidRDefault="00FF4C4E">
            <w:pPr>
              <w:pStyle w:val="P68B1DB1-Normal46"/>
              <w:spacing w:after="0" w:line="240" w:lineRule="auto"/>
              <w:jc w:val="center"/>
              <w:rPr>
                <w:rFonts w:eastAsia="Times New Roman" w:cs="Times New Roman"/>
                <w:noProof/>
              </w:rPr>
            </w:pPr>
            <w:r>
              <w:rPr>
                <w:noProof/>
              </w:rPr>
              <w:t>L42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2C02BF" w14:textId="77777777" w:rsidR="000E48CE" w:rsidRDefault="00FF4C4E">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723B2B"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54BC08" w14:textId="77777777" w:rsidR="000E48CE" w:rsidRDefault="00FF4C4E">
            <w:pPr>
              <w:pStyle w:val="P68B1DB1-Normal46"/>
              <w:spacing w:after="0" w:line="240" w:lineRule="auto"/>
              <w:rPr>
                <w:rFonts w:eastAsia="Times New Roman" w:cs="Times New Roman"/>
                <w:noProof/>
              </w:rPr>
            </w:pPr>
            <w:r>
              <w:rPr>
                <w:noProof/>
              </w:rPr>
              <w:t xml:space="preserve">Foco – Lopullisten edunsaajien (mukaan </w:t>
            </w:r>
            <w:r>
              <w:rPr>
                <w:noProof/>
              </w:rPr>
              <w:t>lukien pääomarahastot) kanssa allekirjoitetut oikeudelliset sopimukset (II)</w:t>
            </w:r>
          </w:p>
        </w:tc>
      </w:tr>
      <w:tr w:rsidR="000E48CE" w14:paraId="693BB8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D4C14D" w14:textId="77777777" w:rsidR="000E48CE" w:rsidRDefault="00FF4C4E">
            <w:pPr>
              <w:pStyle w:val="P68B1DB1-Normal46"/>
              <w:spacing w:after="0" w:line="240" w:lineRule="auto"/>
              <w:jc w:val="center"/>
              <w:rPr>
                <w:rFonts w:eastAsia="Times New Roman" w:cs="Times New Roman"/>
                <w:noProof/>
              </w:rPr>
            </w:pPr>
            <w:r>
              <w:rPr>
                <w:noProof/>
              </w:rPr>
              <w:t>L43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88409" w14:textId="77777777" w:rsidR="000E48CE" w:rsidRDefault="00FF4C4E">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BE17AD"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D9F097C" w14:textId="77777777" w:rsidR="000E48CE" w:rsidRDefault="00FF4C4E">
            <w:pPr>
              <w:pStyle w:val="P68B1DB1-Normal46"/>
              <w:spacing w:after="0" w:line="240" w:lineRule="auto"/>
              <w:rPr>
                <w:rFonts w:eastAsia="Times New Roman" w:cs="Times New Roman"/>
                <w:noProof/>
              </w:rPr>
            </w:pPr>
            <w:r>
              <w:rPr>
                <w:noProof/>
              </w:rPr>
              <w:t>Foco – Maa- ja metsätalousministeriö on saattanut investoinnin päätökseen.</w:t>
            </w:r>
          </w:p>
        </w:tc>
      </w:tr>
      <w:tr w:rsidR="000E48CE" w14:paraId="00FDE08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1D5561" w14:textId="77777777" w:rsidR="000E48CE" w:rsidRDefault="00FF4C4E">
            <w:pPr>
              <w:pStyle w:val="P68B1DB1-Normal46"/>
              <w:spacing w:after="0" w:line="240" w:lineRule="auto"/>
              <w:jc w:val="center"/>
              <w:rPr>
                <w:rFonts w:eastAsia="Times New Roman" w:cs="Times New Roman"/>
                <w:noProof/>
              </w:rPr>
            </w:pPr>
            <w:r>
              <w:rPr>
                <w:noProof/>
              </w:rPr>
              <w:t>L46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761328C" w14:textId="77777777" w:rsidR="000E48CE" w:rsidRDefault="00FF4C4E">
            <w:pPr>
              <w:pStyle w:val="P68B1DB1-Normal46"/>
              <w:spacing w:after="0" w:line="240" w:lineRule="auto"/>
              <w:rPr>
                <w:rFonts w:eastAsia="Times New Roman" w:cs="Times New Roman"/>
                <w:noProof/>
              </w:rPr>
            </w:pPr>
            <w:r>
              <w:rPr>
                <w:noProof/>
              </w:rPr>
              <w:t>C13.I11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DCE333"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04FA29" w14:textId="77777777" w:rsidR="000E48CE" w:rsidRDefault="00FF4C4E">
            <w:pPr>
              <w:pStyle w:val="P68B1DB1-Normal46"/>
              <w:spacing w:after="0" w:line="240" w:lineRule="auto"/>
              <w:rPr>
                <w:rFonts w:eastAsia="Times New Roman" w:cs="Times New Roman"/>
                <w:noProof/>
              </w:rPr>
            </w:pPr>
            <w:r>
              <w:rPr>
                <w:noProof/>
              </w:rPr>
              <w:t>CERSA</w:t>
            </w:r>
          </w:p>
        </w:tc>
      </w:tr>
      <w:tr w:rsidR="000E48CE" w14:paraId="14EB567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9C12AF" w14:textId="77777777" w:rsidR="000E48CE" w:rsidRDefault="00FF4C4E">
            <w:pPr>
              <w:pStyle w:val="P68B1DB1-Normal46"/>
              <w:spacing w:after="0" w:line="240" w:lineRule="auto"/>
              <w:jc w:val="center"/>
              <w:rPr>
                <w:rFonts w:eastAsia="Times New Roman" w:cs="Times New Roman"/>
                <w:noProof/>
              </w:rPr>
            </w:pPr>
            <w:r>
              <w:rPr>
                <w:noProof/>
              </w:rPr>
              <w:t>L49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5836A" w14:textId="77777777" w:rsidR="000E48CE" w:rsidRDefault="00FF4C4E">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0F558F"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521B3B" w14:textId="77777777" w:rsidR="000E48CE" w:rsidRDefault="00FF4C4E">
            <w:pPr>
              <w:pStyle w:val="P68B1DB1-Normal46"/>
              <w:spacing w:after="0" w:line="240" w:lineRule="auto"/>
              <w:rPr>
                <w:rFonts w:eastAsia="Times New Roman" w:cs="Times New Roman"/>
                <w:noProof/>
              </w:rPr>
            </w:pPr>
            <w:r>
              <w:rPr>
                <w:noProof/>
              </w:rPr>
              <w:t xml:space="preserve">ENISAn yrittäjyys- ja pk-yritysrahasto – Lopullisten </w:t>
            </w:r>
            <w:r>
              <w:rPr>
                <w:noProof/>
              </w:rPr>
              <w:t>edunsaajien kanssa allekirjoitetut oikeudelliset sopimukset</w:t>
            </w:r>
          </w:p>
        </w:tc>
      </w:tr>
      <w:tr w:rsidR="000E48CE" w14:paraId="544348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60D744" w14:textId="77777777" w:rsidR="000E48CE" w:rsidRDefault="00FF4C4E">
            <w:pPr>
              <w:pStyle w:val="P68B1DB1-Normal46"/>
              <w:spacing w:after="0" w:line="240" w:lineRule="auto"/>
              <w:jc w:val="center"/>
              <w:rPr>
                <w:rFonts w:eastAsia="Times New Roman" w:cs="Times New Roman"/>
                <w:noProof/>
              </w:rPr>
            </w:pPr>
            <w:r>
              <w:rPr>
                <w:noProof/>
              </w:rPr>
              <w:t>L50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2F22D8" w14:textId="77777777" w:rsidR="000E48CE" w:rsidRDefault="00FF4C4E">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589BD4"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5EC1F2" w14:textId="77777777" w:rsidR="000E48CE" w:rsidRDefault="00FF4C4E">
            <w:pPr>
              <w:pStyle w:val="P68B1DB1-Normal46"/>
              <w:spacing w:after="0" w:line="240" w:lineRule="auto"/>
              <w:rPr>
                <w:rFonts w:eastAsia="Times New Roman" w:cs="Times New Roman"/>
                <w:noProof/>
              </w:rPr>
            </w:pPr>
            <w:r>
              <w:rPr>
                <w:noProof/>
              </w:rPr>
              <w:t xml:space="preserve">ENISAn yrittäjyys- ja pk-yritysrahasto – ministeriö on saattanut investoinnit päätökseen. </w:t>
            </w:r>
          </w:p>
        </w:tc>
      </w:tr>
      <w:tr w:rsidR="000E48CE" w14:paraId="3DA437F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2E98E5" w14:textId="77777777" w:rsidR="000E48CE" w:rsidRDefault="00FF4C4E">
            <w:pPr>
              <w:pStyle w:val="P68B1DB1-Normal46"/>
              <w:spacing w:after="0" w:line="240" w:lineRule="auto"/>
              <w:jc w:val="center"/>
              <w:rPr>
                <w:rFonts w:eastAsia="Times New Roman" w:cs="Times New Roman"/>
                <w:noProof/>
              </w:rPr>
            </w:pPr>
            <w:r>
              <w:rPr>
                <w:noProof/>
              </w:rPr>
              <w:t>L52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AC620E"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3A9D42"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AFD5A6" w14:textId="77777777" w:rsidR="000E48CE" w:rsidRDefault="00FF4C4E">
            <w:pPr>
              <w:pStyle w:val="P68B1DB1-Normal46"/>
              <w:spacing w:after="0" w:line="240" w:lineRule="auto"/>
              <w:rPr>
                <w:rFonts w:eastAsia="Times New Roman" w:cs="Times New Roman"/>
                <w:noProof/>
              </w:rPr>
            </w:pPr>
            <w:r>
              <w:rPr>
                <w:noProof/>
              </w:rPr>
              <w:t xml:space="preserve">Alueellinen selviytymiskyvyn rahasto – InvestEU: Vähintään 500 miljoonan </w:t>
            </w:r>
            <w:r>
              <w:rPr>
                <w:noProof/>
              </w:rPr>
              <w:t>euron rahoitus- tai investointitoimet, jotka on kohdennettu InvestEU-investointikomitean hyväksymään välineeseen.</w:t>
            </w:r>
          </w:p>
        </w:tc>
      </w:tr>
      <w:tr w:rsidR="000E48CE" w14:paraId="2C28E1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4DA52" w14:textId="77777777" w:rsidR="000E48CE" w:rsidRDefault="00FF4C4E">
            <w:pPr>
              <w:pStyle w:val="P68B1DB1-Normal46"/>
              <w:spacing w:after="0" w:line="240" w:lineRule="auto"/>
              <w:jc w:val="center"/>
              <w:rPr>
                <w:rFonts w:eastAsia="Times New Roman" w:cs="Times New Roman"/>
                <w:noProof/>
              </w:rPr>
            </w:pPr>
            <w:r>
              <w:rPr>
                <w:noProof/>
              </w:rPr>
              <w:t>L57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386DD5"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DA4963"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3E3FF7" w14:textId="77777777" w:rsidR="000E48CE" w:rsidRDefault="00FF4C4E">
            <w:pPr>
              <w:pStyle w:val="P68B1DB1-Normal46"/>
              <w:spacing w:after="0" w:line="240" w:lineRule="auto"/>
              <w:rPr>
                <w:rFonts w:eastAsia="Times New Roman" w:cs="Times New Roman"/>
                <w:noProof/>
              </w:rPr>
            </w:pPr>
            <w:r>
              <w:rPr>
                <w:noProof/>
              </w:rPr>
              <w:t xml:space="preserve">Alueellinen selviytymiskyvyn kehittämisrahasto – muut budjettikohdat: Lopullisten edunsaajien (mukaan lukien pääomarahastot) </w:t>
            </w:r>
            <w:r>
              <w:rPr>
                <w:noProof/>
              </w:rPr>
              <w:t>kanssa allekirjoitetut oikeudelliset sopimukset (IV)</w:t>
            </w:r>
          </w:p>
        </w:tc>
      </w:tr>
      <w:tr w:rsidR="000E48CE" w14:paraId="6FE767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55BA53" w14:textId="77777777" w:rsidR="000E48CE" w:rsidRDefault="00FF4C4E">
            <w:pPr>
              <w:pStyle w:val="P68B1DB1-Normal46"/>
              <w:spacing w:after="0" w:line="240" w:lineRule="auto"/>
              <w:jc w:val="center"/>
              <w:rPr>
                <w:rFonts w:eastAsia="Times New Roman" w:cs="Times New Roman"/>
                <w:noProof/>
              </w:rPr>
            </w:pPr>
            <w:r>
              <w:rPr>
                <w:noProof/>
              </w:rPr>
              <w:t>L60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D9E1D5"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B9A6DC"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4310C6" w14:textId="77777777" w:rsidR="000E48CE" w:rsidRDefault="00FF4C4E">
            <w:pPr>
              <w:pStyle w:val="P68B1DB1-Normal46"/>
              <w:spacing w:after="0" w:line="240" w:lineRule="auto"/>
              <w:rPr>
                <w:rFonts w:eastAsia="Times New Roman" w:cs="Times New Roman"/>
                <w:noProof/>
              </w:rPr>
            </w:pPr>
            <w:r>
              <w:rPr>
                <w:noProof/>
              </w:rPr>
              <w:t>Alueellinen selviytymiskyvyn kehittämisrahasto – ilmastorahoitus</w:t>
            </w:r>
          </w:p>
        </w:tc>
      </w:tr>
      <w:tr w:rsidR="000E48CE" w14:paraId="2394C3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5B9D9" w14:textId="77777777" w:rsidR="000E48CE" w:rsidRDefault="00FF4C4E">
            <w:pPr>
              <w:pStyle w:val="P68B1DB1-Normal46"/>
              <w:spacing w:after="0" w:line="240" w:lineRule="auto"/>
              <w:jc w:val="center"/>
              <w:rPr>
                <w:rFonts w:eastAsia="Times New Roman" w:cs="Times New Roman"/>
                <w:noProof/>
              </w:rPr>
            </w:pPr>
            <w:r>
              <w:rPr>
                <w:noProof/>
              </w:rPr>
              <w:t>L61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6789EF"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234FF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6BFB523" w14:textId="0A2DFBFB" w:rsidR="000E48CE" w:rsidRDefault="00FF4C4E">
            <w:pPr>
              <w:pStyle w:val="P68B1DB1-Normal46"/>
              <w:spacing w:after="0" w:line="240" w:lineRule="auto"/>
              <w:rPr>
                <w:rFonts w:eastAsia="Times New Roman" w:cs="Times New Roman"/>
                <w:noProof/>
              </w:rPr>
            </w:pPr>
            <w:r>
              <w:rPr>
                <w:noProof/>
              </w:rPr>
              <w:t xml:space="preserve">Alueellinen selviytymiskyvyn kehittämisrahasto – suora julkinen linja: Hankkeiden loppuun saattaminen </w:t>
            </w:r>
            <w:r>
              <w:rPr>
                <w:noProof/>
              </w:rPr>
              <w:t>julkisyhteisöjen toimesta</w:t>
            </w:r>
          </w:p>
        </w:tc>
      </w:tr>
      <w:tr w:rsidR="000E48CE" w14:paraId="2D6711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20B427" w14:textId="77777777" w:rsidR="000E48CE" w:rsidRDefault="00FF4C4E">
            <w:pPr>
              <w:pStyle w:val="P68B1DB1-Normal46"/>
              <w:spacing w:after="0" w:line="240" w:lineRule="auto"/>
              <w:jc w:val="center"/>
              <w:rPr>
                <w:rFonts w:eastAsia="Times New Roman" w:cs="Times New Roman"/>
                <w:noProof/>
              </w:rPr>
            </w:pPr>
            <w:r>
              <w:rPr>
                <w:noProof/>
              </w:rPr>
              <w:t>L62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AC0168" w14:textId="77777777" w:rsidR="000E48CE" w:rsidRDefault="00FF4C4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BE9FF8"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0B8E83" w14:textId="77777777" w:rsidR="000E48CE" w:rsidRDefault="00FF4C4E">
            <w:pPr>
              <w:pStyle w:val="P68B1DB1-Normal46"/>
              <w:spacing w:after="0" w:line="240" w:lineRule="auto"/>
              <w:rPr>
                <w:rFonts w:eastAsia="Times New Roman" w:cs="Times New Roman"/>
                <w:noProof/>
              </w:rPr>
            </w:pPr>
            <w:r>
              <w:rPr>
                <w:noProof/>
              </w:rPr>
              <w:t>Alueellinen selviytymiskyvyn kehittämisrahasto – Talous- ja digitaalisesta siirtymästä vastaava ministeriö on saanut investoinnin päätökseen</w:t>
            </w:r>
          </w:p>
        </w:tc>
      </w:tr>
      <w:tr w:rsidR="000E48CE" w14:paraId="0FBD71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25B9DB" w14:textId="77777777" w:rsidR="000E48CE" w:rsidRDefault="00FF4C4E">
            <w:pPr>
              <w:pStyle w:val="P68B1DB1-Normal46"/>
              <w:spacing w:after="0" w:line="240" w:lineRule="auto"/>
              <w:jc w:val="center"/>
              <w:rPr>
                <w:rFonts w:eastAsia="Times New Roman" w:cs="Times New Roman"/>
                <w:noProof/>
              </w:rPr>
            </w:pPr>
            <w:r>
              <w:rPr>
                <w:noProof/>
              </w:rPr>
              <w:t>L65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57ED96" w14:textId="77777777" w:rsidR="000E48CE" w:rsidRDefault="00FF4C4E">
            <w:pPr>
              <w:pStyle w:val="P68B1DB1-Normal46"/>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4263F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01D7B8" w14:textId="77777777" w:rsidR="000E48CE" w:rsidRDefault="00FF4C4E">
            <w:pPr>
              <w:pStyle w:val="P68B1DB1-Normal46"/>
              <w:spacing w:after="0" w:line="240" w:lineRule="auto"/>
              <w:rPr>
                <w:rFonts w:eastAsia="Times New Roman" w:cs="Times New Roman"/>
                <w:noProof/>
              </w:rPr>
            </w:pPr>
            <w:r>
              <w:rPr>
                <w:noProof/>
              </w:rPr>
              <w:t>Sirurahoitusjärjestely: Lopullisten edunsaajien kanssa allek</w:t>
            </w:r>
            <w:r>
              <w:rPr>
                <w:noProof/>
              </w:rPr>
              <w:t>irjoitetut oikeudelliset sopimukset (II)</w:t>
            </w:r>
          </w:p>
        </w:tc>
      </w:tr>
      <w:tr w:rsidR="000E48CE" w14:paraId="1488A4A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AF9CE9" w14:textId="77777777" w:rsidR="000E48CE" w:rsidRDefault="00FF4C4E">
            <w:pPr>
              <w:pStyle w:val="P68B1DB1-Normal46"/>
              <w:spacing w:after="0" w:line="240" w:lineRule="auto"/>
              <w:jc w:val="center"/>
              <w:rPr>
                <w:rFonts w:eastAsia="Times New Roman" w:cs="Times New Roman"/>
                <w:noProof/>
              </w:rPr>
            </w:pPr>
            <w:r>
              <w:rPr>
                <w:noProof/>
              </w:rPr>
              <w:t>L66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39AF7" w14:textId="77777777" w:rsidR="000E48CE" w:rsidRDefault="00FF4C4E">
            <w:pPr>
              <w:pStyle w:val="P68B1DB1-Normal46"/>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5FCED8A"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31B20E" w14:textId="77777777" w:rsidR="000E48CE" w:rsidRDefault="00FF4C4E">
            <w:pPr>
              <w:pStyle w:val="P68B1DB1-Normal46"/>
              <w:spacing w:after="0" w:line="240" w:lineRule="auto"/>
              <w:rPr>
                <w:rFonts w:eastAsia="Times New Roman" w:cs="Times New Roman"/>
                <w:noProof/>
              </w:rPr>
            </w:pPr>
            <w:r>
              <w:rPr>
                <w:noProof/>
              </w:rPr>
              <w:t xml:space="preserve">Sirurahoitusjärjestely: Ministeriö on saattanut investoinnin päätökseen. </w:t>
            </w:r>
          </w:p>
        </w:tc>
      </w:tr>
      <w:tr w:rsidR="000E48CE" w14:paraId="2A4E33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211473" w14:textId="77777777" w:rsidR="000E48CE" w:rsidRDefault="00FF4C4E">
            <w:pPr>
              <w:pStyle w:val="P68B1DB1-Normal46"/>
              <w:spacing w:after="0" w:line="240" w:lineRule="auto"/>
              <w:jc w:val="center"/>
              <w:rPr>
                <w:rFonts w:eastAsia="Times New Roman" w:cs="Times New Roman"/>
                <w:noProof/>
              </w:rPr>
            </w:pPr>
            <w:r>
              <w:rPr>
                <w:noProof/>
              </w:rPr>
              <w:t>L67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1A56B1" w14:textId="77777777" w:rsidR="000E48CE" w:rsidRDefault="00FF4C4E">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7CB91D"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D66E31" w14:textId="77777777" w:rsidR="000E48CE" w:rsidRDefault="00FF4C4E">
            <w:pPr>
              <w:pStyle w:val="P68B1DB1-Normal46"/>
              <w:spacing w:after="0" w:line="240" w:lineRule="auto"/>
              <w:rPr>
                <w:rFonts w:eastAsia="Times New Roman" w:cs="Times New Roman"/>
                <w:noProof/>
              </w:rPr>
            </w:pPr>
            <w:r>
              <w:rPr>
                <w:noProof/>
              </w:rPr>
              <w:t>Investoinnit oman pääoman ehtoiseen tukeen terveydenhuoltoalalla</w:t>
            </w:r>
          </w:p>
        </w:tc>
      </w:tr>
      <w:tr w:rsidR="000E48CE" w14:paraId="53016E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253B4D" w14:textId="77777777" w:rsidR="000E48CE" w:rsidRDefault="00FF4C4E">
            <w:pPr>
              <w:pStyle w:val="P68B1DB1-Normal46"/>
              <w:spacing w:after="0" w:line="240" w:lineRule="auto"/>
              <w:jc w:val="center"/>
              <w:rPr>
                <w:rFonts w:eastAsia="Times New Roman" w:cs="Times New Roman"/>
                <w:noProof/>
              </w:rPr>
            </w:pPr>
            <w:r>
              <w:rPr>
                <w:noProof/>
              </w:rPr>
              <w:t>L69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60C2ED" w14:textId="77777777" w:rsidR="000E48CE" w:rsidRDefault="00FF4C4E">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22E2A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45DF15D" w14:textId="77777777" w:rsidR="000E48CE" w:rsidRDefault="00FF4C4E">
            <w:pPr>
              <w:pStyle w:val="P68B1DB1-Normal46"/>
              <w:spacing w:after="0" w:line="240" w:lineRule="auto"/>
              <w:rPr>
                <w:rFonts w:eastAsia="Times New Roman" w:cs="Times New Roman"/>
                <w:noProof/>
              </w:rPr>
            </w:pPr>
            <w:r>
              <w:rPr>
                <w:noProof/>
              </w:rPr>
              <w:t xml:space="preserve">Varojen maksaminen lainoina </w:t>
            </w:r>
            <w:r>
              <w:rPr>
                <w:noProof/>
              </w:rPr>
              <w:t>terveydenhuollon sekä ilmailu- ja avaruusalan tukemiseksi</w:t>
            </w:r>
          </w:p>
        </w:tc>
      </w:tr>
      <w:tr w:rsidR="000E48CE" w14:paraId="56BD5F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FC048" w14:textId="77777777" w:rsidR="000E48CE" w:rsidRDefault="00FF4C4E">
            <w:pPr>
              <w:pStyle w:val="P68B1DB1-Normal46"/>
              <w:spacing w:after="0" w:line="240" w:lineRule="auto"/>
              <w:jc w:val="center"/>
              <w:rPr>
                <w:rFonts w:eastAsia="Times New Roman" w:cs="Times New Roman"/>
                <w:noProof/>
              </w:rPr>
            </w:pPr>
            <w:r>
              <w:rPr>
                <w:noProof/>
              </w:rPr>
              <w:t>L70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07768" w14:textId="77777777" w:rsidR="000E48CE" w:rsidRDefault="00FF4C4E">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717DF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FA3483" w14:textId="77777777" w:rsidR="000E48CE" w:rsidRDefault="00FF4C4E">
            <w:pPr>
              <w:pStyle w:val="P68B1DB1-Normal46"/>
              <w:spacing w:after="0" w:line="240" w:lineRule="auto"/>
              <w:rPr>
                <w:rFonts w:eastAsia="Times New Roman" w:cs="Times New Roman"/>
                <w:noProof/>
              </w:rPr>
            </w:pPr>
            <w:r>
              <w:rPr>
                <w:noProof/>
              </w:rPr>
              <w:t>Kansallisen terveydenhuoltojärjestelmän T &amp; K-valmiuksien parantaminen.</w:t>
            </w:r>
          </w:p>
        </w:tc>
      </w:tr>
      <w:tr w:rsidR="000E48CE" w14:paraId="39EBA7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140FDC" w14:textId="77777777" w:rsidR="000E48CE" w:rsidRDefault="00FF4C4E">
            <w:pPr>
              <w:pStyle w:val="P68B1DB1-Normal46"/>
              <w:spacing w:after="0" w:line="240" w:lineRule="auto"/>
              <w:jc w:val="center"/>
              <w:rPr>
                <w:rFonts w:eastAsia="Times New Roman" w:cs="Times New Roman"/>
                <w:noProof/>
              </w:rPr>
            </w:pPr>
            <w:r>
              <w:rPr>
                <w:noProof/>
              </w:rPr>
              <w:t>L73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B12B96" w14:textId="77777777" w:rsidR="000E48CE" w:rsidRDefault="00FF4C4E">
            <w:pPr>
              <w:pStyle w:val="P68B1DB1-Normal46"/>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E1E9F7"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D985B8" w14:textId="77777777" w:rsidR="000E48CE" w:rsidRDefault="00FF4C4E">
            <w:pPr>
              <w:pStyle w:val="P68B1DB1-Normal46"/>
              <w:spacing w:after="0" w:line="240" w:lineRule="auto"/>
              <w:rPr>
                <w:rFonts w:eastAsia="Times New Roman" w:cs="Times New Roman"/>
                <w:noProof/>
              </w:rPr>
            </w:pPr>
            <w:r>
              <w:rPr>
                <w:noProof/>
              </w:rPr>
              <w:t>Sosiaalisten vaikutusten rahasto: Lopullisten edunsaajien kanssa allekirjoitetut oikeudelliset ra</w:t>
            </w:r>
            <w:r>
              <w:rPr>
                <w:noProof/>
              </w:rPr>
              <w:t>hoitussopimukset (pääomarahastot mukaan luettuina)</w:t>
            </w:r>
          </w:p>
        </w:tc>
      </w:tr>
      <w:tr w:rsidR="000E48CE" w14:paraId="686BCE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07D3AEB" w14:textId="77777777" w:rsidR="000E48CE" w:rsidRDefault="00FF4C4E">
            <w:pPr>
              <w:pStyle w:val="P68B1DB1-Normal46"/>
              <w:spacing w:after="0" w:line="240" w:lineRule="auto"/>
              <w:jc w:val="center"/>
              <w:rPr>
                <w:rFonts w:eastAsia="Times New Roman" w:cs="Times New Roman"/>
                <w:noProof/>
              </w:rPr>
            </w:pPr>
            <w:r>
              <w:rPr>
                <w:noProof/>
              </w:rPr>
              <w:t>L74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4A00F7" w14:textId="77777777" w:rsidR="000E48CE" w:rsidRDefault="00FF4C4E">
            <w:pPr>
              <w:pStyle w:val="P68B1DB1-Normal46"/>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13FB64"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00850" w14:textId="77777777" w:rsidR="000E48CE" w:rsidRDefault="00FF4C4E">
            <w:pPr>
              <w:pStyle w:val="P68B1DB1-Normal46"/>
              <w:spacing w:after="0" w:line="240" w:lineRule="auto"/>
              <w:rPr>
                <w:rFonts w:eastAsia="Times New Roman" w:cs="Times New Roman"/>
                <w:noProof/>
              </w:rPr>
            </w:pPr>
            <w:r>
              <w:rPr>
                <w:noProof/>
              </w:rPr>
              <w:t>Sosiaalisten vaikutusten rahasto: Ministeriö on saattanut investoinnin päätökseen</w:t>
            </w:r>
          </w:p>
        </w:tc>
      </w:tr>
      <w:tr w:rsidR="000E48CE" w14:paraId="4E64FFE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EBBA0C" w14:textId="77777777" w:rsidR="000E48CE" w:rsidRDefault="00FF4C4E">
            <w:pPr>
              <w:pStyle w:val="P68B1DB1-Normal46"/>
              <w:spacing w:after="0" w:line="240" w:lineRule="auto"/>
              <w:jc w:val="center"/>
              <w:rPr>
                <w:rFonts w:eastAsia="Times New Roman" w:cs="Times New Roman"/>
                <w:noProof/>
              </w:rPr>
            </w:pPr>
            <w:r>
              <w:rPr>
                <w:noProof/>
              </w:rPr>
              <w:t>L76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4D15F6" w14:textId="77777777" w:rsidR="000E48CE" w:rsidRDefault="00FF4C4E">
            <w:pPr>
              <w:pStyle w:val="P68B1DB1-Normal46"/>
              <w:spacing w:after="0" w:line="240" w:lineRule="auto"/>
              <w:rPr>
                <w:rFonts w:eastAsia="Times New Roman" w:cs="Times New Roman"/>
                <w:noProof/>
              </w:rPr>
            </w:pPr>
            <w:r>
              <w:rPr>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50294C"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4D4BE2" w14:textId="77777777" w:rsidR="000E48CE" w:rsidRDefault="00FF4C4E">
            <w:pPr>
              <w:pStyle w:val="P68B1DB1-Normal46"/>
              <w:spacing w:after="0" w:line="240" w:lineRule="auto"/>
              <w:rPr>
                <w:rFonts w:eastAsia="Times New Roman" w:cs="Times New Roman"/>
                <w:noProof/>
              </w:rPr>
            </w:pPr>
            <w:r>
              <w:rPr>
                <w:noProof/>
              </w:rPr>
              <w:t>Sisällön digitalisointia ja levittämistä koskevien hankkeiden toteuttaminen</w:t>
            </w:r>
          </w:p>
        </w:tc>
      </w:tr>
      <w:tr w:rsidR="000E48CE" w14:paraId="0EEAE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BB3DB5" w14:textId="77777777" w:rsidR="000E48CE" w:rsidRDefault="00FF4C4E">
            <w:pPr>
              <w:pStyle w:val="P68B1DB1-Normal46"/>
              <w:spacing w:after="0" w:line="240" w:lineRule="auto"/>
              <w:jc w:val="center"/>
              <w:rPr>
                <w:rFonts w:eastAsia="Times New Roman" w:cs="Times New Roman"/>
                <w:noProof/>
              </w:rPr>
            </w:pPr>
            <w:r>
              <w:rPr>
                <w:noProof/>
              </w:rPr>
              <w:t>L79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3AFFFB" w14:textId="77777777" w:rsidR="000E48CE" w:rsidRDefault="00FF4C4E">
            <w:pPr>
              <w:pStyle w:val="P68B1DB1-Normal46"/>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7AEEA4"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21D4BB" w14:textId="77777777" w:rsidR="000E48CE" w:rsidRDefault="00FF4C4E">
            <w:pPr>
              <w:pStyle w:val="P68B1DB1-Normal46"/>
              <w:spacing w:after="0" w:line="240" w:lineRule="auto"/>
              <w:rPr>
                <w:rFonts w:eastAsia="Times New Roman" w:cs="Times New Roman"/>
                <w:noProof/>
              </w:rPr>
            </w:pPr>
            <w:r>
              <w:rPr>
                <w:noProof/>
              </w:rPr>
              <w:t xml:space="preserve">ICO </w:t>
            </w:r>
            <w:r>
              <w:rPr>
                <w:noProof/>
              </w:rPr>
              <w:t>Audiovisuaalikeskuksen rahasto: Lopullisten edunsaajien (mukaan lukien oman pääoman ehtoiset rahastot) kanssa allekirjoitetut oikeudelliset rahoitussopimukset (II).</w:t>
            </w:r>
          </w:p>
        </w:tc>
      </w:tr>
      <w:tr w:rsidR="000E48CE" w14:paraId="209D0F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420850" w14:textId="77777777" w:rsidR="000E48CE" w:rsidRDefault="00FF4C4E">
            <w:pPr>
              <w:pStyle w:val="P68B1DB1-Normal46"/>
              <w:spacing w:after="0" w:line="240" w:lineRule="auto"/>
              <w:jc w:val="center"/>
              <w:rPr>
                <w:rFonts w:eastAsia="Times New Roman" w:cs="Times New Roman"/>
                <w:noProof/>
              </w:rPr>
            </w:pPr>
            <w:r>
              <w:rPr>
                <w:noProof/>
              </w:rPr>
              <w:t>L80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45DCF3" w14:textId="77777777" w:rsidR="000E48CE" w:rsidRDefault="00FF4C4E">
            <w:pPr>
              <w:pStyle w:val="P68B1DB1-Normal46"/>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3A21BA"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12CD967" w14:textId="77777777" w:rsidR="000E48CE" w:rsidRDefault="00FF4C4E">
            <w:pPr>
              <w:pStyle w:val="P68B1DB1-Normal46"/>
              <w:spacing w:after="0" w:line="240" w:lineRule="auto"/>
              <w:rPr>
                <w:rFonts w:eastAsia="Times New Roman" w:cs="Times New Roman"/>
                <w:noProof/>
              </w:rPr>
            </w:pPr>
            <w:r>
              <w:rPr>
                <w:noProof/>
              </w:rPr>
              <w:t>ICO Audiovisuaalikeskuksen rahasto: Ministeriö on saattanut investoinnin päät</w:t>
            </w:r>
            <w:r>
              <w:rPr>
                <w:noProof/>
              </w:rPr>
              <w:t xml:space="preserve">ökseen </w:t>
            </w:r>
          </w:p>
        </w:tc>
      </w:tr>
      <w:tr w:rsidR="000E48CE" w14:paraId="44CDC7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657541" w14:textId="77777777" w:rsidR="000E48CE" w:rsidRDefault="00FF4C4E">
            <w:pPr>
              <w:pStyle w:val="P68B1DB1-Normal46"/>
              <w:spacing w:after="0" w:line="240" w:lineRule="auto"/>
              <w:jc w:val="center"/>
              <w:rPr>
                <w:rFonts w:eastAsia="Times New Roman" w:cs="Times New Roman"/>
                <w:noProof/>
              </w:rPr>
            </w:pPr>
            <w:r>
              <w:rPr>
                <w:noProof/>
              </w:rPr>
              <w:t>L81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502259" w14:textId="77777777" w:rsidR="000E48CE" w:rsidRDefault="00FF4C4E">
            <w:pPr>
              <w:pStyle w:val="P68B1DB1-Normal46"/>
              <w:spacing w:after="0" w:line="240" w:lineRule="auto"/>
              <w:rPr>
                <w:rFonts w:eastAsia="Times New Roman" w:cs="Times New Roman"/>
                <w:noProof/>
              </w:rPr>
            </w:pPr>
            <w:r>
              <w:rPr>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425ABE"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9FFD85" w14:textId="77777777" w:rsidR="000E48CE" w:rsidRDefault="00FF4C4E">
            <w:pPr>
              <w:pStyle w:val="P68B1DB1-Normal46"/>
              <w:spacing w:after="0" w:line="240" w:lineRule="auto"/>
              <w:rPr>
                <w:rFonts w:eastAsia="Times New Roman" w:cs="Times New Roman"/>
                <w:noProof/>
              </w:rPr>
            </w:pPr>
            <w:r>
              <w:rPr>
                <w:noProof/>
              </w:rPr>
              <w:t>Asuinrakennusten perusparannustoimien loppuun saattaminen ja energiatehokkuuden parantaminen.</w:t>
            </w:r>
          </w:p>
        </w:tc>
      </w:tr>
      <w:tr w:rsidR="000E48CE" w14:paraId="0D8996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70767B" w14:textId="77777777" w:rsidR="000E48CE" w:rsidRDefault="00FF4C4E">
            <w:pPr>
              <w:pStyle w:val="P68B1DB1-Normal46"/>
              <w:spacing w:after="0" w:line="240" w:lineRule="auto"/>
              <w:jc w:val="center"/>
              <w:rPr>
                <w:rFonts w:eastAsia="Times New Roman" w:cs="Times New Roman"/>
                <w:noProof/>
              </w:rPr>
            </w:pPr>
            <w:r>
              <w:rPr>
                <w:noProof/>
              </w:rPr>
              <w:t>L82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E2459" w14:textId="77777777" w:rsidR="000E48CE" w:rsidRDefault="00FF4C4E">
            <w:pPr>
              <w:pStyle w:val="P68B1DB1-Normal46"/>
              <w:spacing w:after="0" w:line="240" w:lineRule="auto"/>
              <w:rPr>
                <w:rFonts w:eastAsia="Times New Roman" w:cs="Times New Roman"/>
                <w:noProof/>
              </w:rPr>
            </w:pPr>
            <w:r>
              <w:rPr>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5581B"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51BB41" w14:textId="212883DC" w:rsidR="000E48CE" w:rsidRDefault="00FF4C4E">
            <w:pPr>
              <w:pStyle w:val="P68B1DB1-Normal46"/>
              <w:spacing w:after="0" w:line="240" w:lineRule="auto"/>
              <w:rPr>
                <w:rFonts w:eastAsia="Times New Roman" w:cs="Times New Roman"/>
                <w:noProof/>
              </w:rPr>
            </w:pPr>
            <w:r>
              <w:rPr>
                <w:noProof/>
              </w:rPr>
              <w:t xml:space="preserve">Eurooppalainen vapaaehtoispalvelu ja latausinfrastruktuuri </w:t>
            </w:r>
          </w:p>
        </w:tc>
      </w:tr>
      <w:tr w:rsidR="000E48CE" w14:paraId="1E3870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594665" w14:textId="77777777" w:rsidR="000E48CE" w:rsidRDefault="00FF4C4E">
            <w:pPr>
              <w:pStyle w:val="P68B1DB1-Normal46"/>
              <w:spacing w:after="0" w:line="240" w:lineRule="auto"/>
              <w:jc w:val="center"/>
              <w:rPr>
                <w:rFonts w:eastAsia="Times New Roman" w:cs="Times New Roman"/>
                <w:noProof/>
              </w:rPr>
            </w:pPr>
            <w:r>
              <w:rPr>
                <w:noProof/>
              </w:rPr>
              <w:t>L85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EE72C5" w14:textId="77777777" w:rsidR="000E48CE" w:rsidRDefault="00FF4C4E">
            <w:pPr>
              <w:pStyle w:val="P68B1DB1-Normal46"/>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B5E6EE" w14:textId="77777777" w:rsidR="000E48CE" w:rsidRDefault="00FF4C4E">
            <w:pPr>
              <w:pStyle w:val="P68B1DB1-Normal46"/>
              <w:spacing w:after="0" w:line="240" w:lineRule="auto"/>
              <w:rPr>
                <w:rFonts w:eastAsia="Times New Roman" w:cs="Times New Roman"/>
                <w:noProof/>
              </w:rPr>
            </w:pPr>
            <w:r>
              <w:rPr>
                <w:noProof/>
              </w:rPr>
              <w:t>M</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68F97F" w14:textId="77777777" w:rsidR="000E48CE" w:rsidRDefault="00FF4C4E">
            <w:pPr>
              <w:pStyle w:val="P68B1DB1-Normal46"/>
              <w:spacing w:after="0" w:line="240" w:lineRule="auto"/>
              <w:rPr>
                <w:rFonts w:eastAsia="Times New Roman" w:cs="Times New Roman"/>
                <w:noProof/>
              </w:rPr>
            </w:pPr>
            <w:r>
              <w:rPr>
                <w:noProof/>
              </w:rPr>
              <w:t xml:space="preserve">Hiilestä irtautumista koskevien hankkeiden loppuun saattaminen, mukaan lukien pilottihanke, joka koskee rahastoa, jolla kannustetaan yrityksiä irtautumaan hiilestä (hiilidioksidisopimus hinnaneroista) </w:t>
            </w:r>
          </w:p>
        </w:tc>
      </w:tr>
      <w:tr w:rsidR="000E48CE" w14:paraId="656758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3EDA85" w14:textId="77777777" w:rsidR="000E48CE" w:rsidRDefault="00FF4C4E">
            <w:pPr>
              <w:pStyle w:val="P68B1DB1-Normal46"/>
              <w:spacing w:after="0" w:line="240" w:lineRule="auto"/>
              <w:jc w:val="center"/>
              <w:rPr>
                <w:rFonts w:eastAsia="Times New Roman" w:cs="Times New Roman"/>
                <w:noProof/>
              </w:rPr>
            </w:pPr>
            <w:r>
              <w:rPr>
                <w:noProof/>
              </w:rPr>
              <w:t>L88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520BFD" w14:textId="77777777" w:rsidR="000E48CE" w:rsidRDefault="00FF4C4E">
            <w:pPr>
              <w:pStyle w:val="P68B1DB1-Normal46"/>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2C380" w14:textId="77777777" w:rsidR="000E48CE" w:rsidRDefault="00FF4C4E">
            <w:pPr>
              <w:pStyle w:val="P68B1DB1-Normal46"/>
              <w:spacing w:after="0" w:line="240" w:lineRule="auto"/>
              <w:rPr>
                <w:rFonts w:eastAsia="Times New Roman" w:cs="Times New Roman"/>
                <w:noProof/>
              </w:rPr>
            </w:pPr>
            <w:r>
              <w:rPr>
                <w:noProof/>
              </w:rPr>
              <w:t>T</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132D022" w14:textId="77777777" w:rsidR="000E48CE" w:rsidRDefault="00FF4C4E">
            <w:pPr>
              <w:pStyle w:val="P68B1DB1-Normal46"/>
              <w:spacing w:after="0" w:line="240" w:lineRule="auto"/>
              <w:rPr>
                <w:rFonts w:eastAsia="Times New Roman" w:cs="Times New Roman"/>
                <w:noProof/>
              </w:rPr>
            </w:pPr>
            <w:r>
              <w:rPr>
                <w:noProof/>
              </w:rPr>
              <w:t>Teollisuuden hiilestä irtautumista koske</w:t>
            </w:r>
            <w:r>
              <w:rPr>
                <w:noProof/>
              </w:rPr>
              <w:t>va tukijärjestelmä (lainat): Lopullisten edunsaajien kanssa allekirjoitetut oikeudelliset sopimukset tai tuen myöntämistä koskevat lopulliset päätökset on julkaistu.</w:t>
            </w:r>
          </w:p>
        </w:tc>
      </w:tr>
      <w:tr w:rsidR="000E48CE" w14:paraId="09DDA5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6EC0BF" w14:textId="77777777" w:rsidR="000E48CE" w:rsidRDefault="000E48CE">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E53302" w14:textId="77777777" w:rsidR="000E48CE" w:rsidRDefault="000E48CE">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E2B97B" w14:textId="2D0820E9" w:rsidR="000E48CE" w:rsidRDefault="00FF4C4E">
            <w:pPr>
              <w:pStyle w:val="P68B1DB1-Normal45"/>
              <w:spacing w:after="0" w:line="240" w:lineRule="auto"/>
              <w:rPr>
                <w:rFonts w:eastAsia="Times New Roman" w:cs="Times New Roman"/>
                <w:noProof/>
              </w:rPr>
            </w:pPr>
            <w:r>
              <w:rPr>
                <w:noProof/>
              </w:rPr>
              <w:t>Erän suuruus</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F270C8" w14:textId="0218588F" w:rsidR="000E48CE" w:rsidRDefault="00FF4C4E">
            <w:pPr>
              <w:pStyle w:val="P68B1DB1-Normal45"/>
              <w:spacing w:after="0" w:line="240" w:lineRule="auto"/>
              <w:rPr>
                <w:rFonts w:eastAsia="Times New Roman" w:cs="Times New Roman"/>
                <w:noProof/>
              </w:rPr>
            </w:pPr>
            <w:r>
              <w:rPr>
                <w:noProof/>
              </w:rPr>
              <w:t>VÄHIMMÄISPÄÄOMA: 28248020381 EUROA</w:t>
            </w:r>
          </w:p>
        </w:tc>
      </w:tr>
    </w:tbl>
    <w:p w14:paraId="7DF0D0AC" w14:textId="77777777" w:rsidR="000E48CE" w:rsidRDefault="000E48CE">
      <w:pPr>
        <w:spacing w:before="120" w:after="120" w:line="240" w:lineRule="auto"/>
        <w:jc w:val="both"/>
        <w:rPr>
          <w:rFonts w:ascii="Times New Roman" w:eastAsia="Calibri" w:hAnsi="Times New Roman" w:cs="Times New Roman"/>
          <w:noProof/>
          <w:sz w:val="24"/>
        </w:rPr>
      </w:pPr>
    </w:p>
    <w:p w14:paraId="1A824DC6" w14:textId="77777777" w:rsidR="000E48CE" w:rsidRDefault="000E48CE">
      <w:pPr>
        <w:spacing w:before="120" w:after="120" w:line="240" w:lineRule="auto"/>
        <w:jc w:val="both"/>
        <w:rPr>
          <w:rFonts w:ascii="Times New Roman" w:eastAsia="Calibri" w:hAnsi="Times New Roman" w:cs="Times New Roman"/>
          <w:noProof/>
          <w:sz w:val="24"/>
        </w:rPr>
      </w:pPr>
    </w:p>
    <w:p w14:paraId="13EE5F01" w14:textId="77777777" w:rsidR="000E48CE" w:rsidRDefault="00FF4C4E">
      <w:pPr>
        <w:pStyle w:val="P68B1DB1-Normal43"/>
        <w:rPr>
          <w:rFonts w:eastAsia="Calibri" w:cs="Times New Roman"/>
          <w:noProof/>
        </w:rPr>
      </w:pPr>
      <w:r>
        <w:rPr>
          <w:noProof/>
        </w:rPr>
        <w:t xml:space="preserve">3 JAKSO: LISÄJÄRJESTELYT </w:t>
      </w:r>
    </w:p>
    <w:p w14:paraId="3ABF5413" w14:textId="77777777" w:rsidR="000E48CE" w:rsidRDefault="00FF4C4E">
      <w:pPr>
        <w:pStyle w:val="P68B1DB1-NumPar144"/>
        <w:numPr>
          <w:ilvl w:val="0"/>
          <w:numId w:val="782"/>
        </w:numPr>
        <w:rPr>
          <w:rFonts w:cs="Times New Roman"/>
          <w:noProof/>
        </w:rPr>
      </w:pPr>
      <w:r>
        <w:rPr>
          <w:noProof/>
        </w:rPr>
        <w:t xml:space="preserve">Elpymis- </w:t>
      </w:r>
      <w:r>
        <w:rPr>
          <w:noProof/>
        </w:rPr>
        <w:t>ja palautumissuunnitelman seuranta- ja täytäntöönpanojärjestelyt</w:t>
      </w:r>
    </w:p>
    <w:p w14:paraId="6B0A1AA4" w14:textId="7EA3F6BC" w:rsidR="000E48CE" w:rsidRDefault="00FF4C4E">
      <w:pPr>
        <w:pStyle w:val="P68B1DB1-Normal4"/>
        <w:spacing w:before="120" w:after="120" w:line="240" w:lineRule="auto"/>
        <w:jc w:val="both"/>
        <w:rPr>
          <w:rFonts w:eastAsia="Calibri" w:cs="Times New Roman"/>
          <w:noProof/>
        </w:rPr>
      </w:pPr>
      <w:r>
        <w:rPr>
          <w:noProof/>
        </w:rPr>
        <w:t>Espanjan muutetun elpymis- ja palautumissuunnitelman seurannasta ja täytäntöönpanosta säädetään 30 päivänä joulukuuta annetussa kuninkaallisessa asetuksessa 36/2020 kiireellisten toimenpiteid</w:t>
      </w:r>
      <w:r>
        <w:rPr>
          <w:noProof/>
        </w:rPr>
        <w:t xml:space="preserve">en hyväksymisestä julkishallinnon nykyaikaistamiseksi ja elpymissuunnitelman täytäntöönpanemiseksi (RDL 36/2020). Ne toteutetaan seuraavien järjestelyjen mukaisesti: </w:t>
      </w:r>
    </w:p>
    <w:p w14:paraId="1F8DFDBA" w14:textId="06992177" w:rsidR="000E48CE" w:rsidRDefault="00FF4C4E">
      <w:pPr>
        <w:pStyle w:val="P68B1DB1-ListParagraph7"/>
        <w:numPr>
          <w:ilvl w:val="0"/>
          <w:numId w:val="783"/>
        </w:numPr>
        <w:spacing w:before="120" w:after="120" w:line="240" w:lineRule="auto"/>
        <w:jc w:val="both"/>
        <w:rPr>
          <w:rFonts w:eastAsia="Calibri" w:cs="Times New Roman"/>
          <w:noProof/>
        </w:rPr>
      </w:pPr>
      <w:r>
        <w:rPr>
          <w:noProof/>
        </w:rPr>
        <w:t>On perustettu elpymis-, muutos- ja palautumiskomissio, joka kokoaa yhteen kaikki suunnitelmasta vastaavat ministerit ja jonka puheenjohtajana toimii hallituksen presidentti. Komissio on laatinut yleiset poliittiset suuntaviivat elvytyssuunnitelman laatimis</w:t>
      </w:r>
      <w:r>
        <w:rPr>
          <w:noProof/>
        </w:rPr>
        <w:t xml:space="preserve">ta ja täytäntöönpanoa varten ja seuraa suunnitelman täytäntöönpanoa. Sen työtä avustaa tekninen komitea, johon kuuluu 20 julkishallinnon jäsentä ja jonka puheenjohtajana toimii EU:n rahastojen pääsihteeristö. </w:t>
      </w:r>
    </w:p>
    <w:p w14:paraId="254B8963" w14:textId="3BA580E9" w:rsidR="000E48CE" w:rsidRDefault="00FF4C4E">
      <w:pPr>
        <w:pStyle w:val="P68B1DB1-ListParagraph7"/>
        <w:numPr>
          <w:ilvl w:val="0"/>
          <w:numId w:val="783"/>
        </w:numPr>
        <w:spacing w:before="120" w:after="120" w:line="240" w:lineRule="auto"/>
        <w:jc w:val="both"/>
        <w:rPr>
          <w:rFonts w:eastAsia="Calibri" w:cs="Times New Roman"/>
          <w:noProof/>
        </w:rPr>
      </w:pPr>
      <w:r>
        <w:rPr>
          <w:noProof/>
        </w:rPr>
        <w:t>Valtiovarainministeriön yhteyteen perustettu E</w:t>
      </w:r>
      <w:r>
        <w:rPr>
          <w:noProof/>
        </w:rPr>
        <w:t xml:space="preserve">U:n rahastoista vastaava pääsihteeristö vastaa suunnitelmasta suhteessa Euroopan komissioon. Tämä viranomainen on keskeisessä asemassa, kun seurataan maksupyyntöjen toimittamista välitavoitteiden ja tavoitteiden saavuttamisen perusteella. </w:t>
      </w:r>
    </w:p>
    <w:p w14:paraId="5DE25302" w14:textId="75EA8A8A" w:rsidR="000E48CE" w:rsidRDefault="00FF4C4E">
      <w:pPr>
        <w:pStyle w:val="P68B1DB1-ListParagraph7"/>
        <w:numPr>
          <w:ilvl w:val="0"/>
          <w:numId w:val="783"/>
        </w:numPr>
        <w:spacing w:before="120" w:after="120" w:line="240" w:lineRule="auto"/>
        <w:jc w:val="both"/>
        <w:rPr>
          <w:rFonts w:eastAsia="Calibri" w:cs="Times New Roman"/>
          <w:noProof/>
        </w:rPr>
      </w:pPr>
      <w:r>
        <w:rPr>
          <w:noProof/>
        </w:rPr>
        <w:t>Muutettu suunnit</w:t>
      </w:r>
      <w:r>
        <w:rPr>
          <w:noProof/>
        </w:rPr>
        <w:t xml:space="preserve">elma sisältää 419 välitavoitetta ja tavoitetta, joista useimmat liittyvät kauteen 2021–2023. Ehdotetut välitavoitteet ja tavoitteet ovat selkeitä, ja ehdotetut indikaattorit ovat merkityksellisiä, hyväksyttäviä ja luotettavia. </w:t>
      </w:r>
    </w:p>
    <w:p w14:paraId="4E976ED5" w14:textId="17F1AFFD" w:rsidR="000E48CE" w:rsidRDefault="00FF4C4E">
      <w:pPr>
        <w:pStyle w:val="P68B1DB1-ListParagraph7"/>
        <w:numPr>
          <w:ilvl w:val="0"/>
          <w:numId w:val="783"/>
        </w:numPr>
        <w:spacing w:before="120" w:after="120" w:line="240" w:lineRule="auto"/>
        <w:jc w:val="both"/>
        <w:rPr>
          <w:rFonts w:eastAsia="Calibri" w:cs="Times New Roman"/>
          <w:noProof/>
        </w:rPr>
      </w:pPr>
      <w:r>
        <w:rPr>
          <w:noProof/>
        </w:rPr>
        <w:t>Kustakin toimenpiteestä vast</w:t>
      </w:r>
      <w:r>
        <w:rPr>
          <w:noProof/>
        </w:rPr>
        <w:t>aava ministeriö vastaa toimien toteuttamisesta siihen liittyvien välitavoitteiden ja tavoitteiden saavuttamiseksi budjetoitujen resurssien mukaisesti, kun taas EU:n rahastojen pääsihteeristö laatii maksupyynnöt Euroopan komissiolle. Jokaiseen maksupyyntöön</w:t>
      </w:r>
      <w:r>
        <w:rPr>
          <w:noProof/>
        </w:rPr>
        <w:t xml:space="preserve"> on liitettävä johdon vahvistuslausuma, joka perustuu komponenteista vastaavien elinten laatimiin kertomuksiin. Lisäksi valtionhallinnon ylitarkastaja (Intervención General de la Administración del Estado – IGAE) tekee tarkastuksia varmentaakseen välitavoi</w:t>
      </w:r>
      <w:r>
        <w:rPr>
          <w:noProof/>
        </w:rPr>
        <w:t xml:space="preserve">tteiden ja tavoitteiden saavuttamisen sekä saavutetut tulokset. Suunnitelman täytäntöönpanoon osoitetut varat sisällytetään keskushallinnon talousarvioon. </w:t>
      </w:r>
    </w:p>
    <w:p w14:paraId="733D840D" w14:textId="2DF93329" w:rsidR="000E48CE" w:rsidRDefault="00FF4C4E">
      <w:pPr>
        <w:pStyle w:val="P68B1DB1-ListParagraph7"/>
        <w:numPr>
          <w:ilvl w:val="0"/>
          <w:numId w:val="783"/>
        </w:numPr>
        <w:spacing w:before="120" w:after="120" w:line="240" w:lineRule="auto"/>
        <w:jc w:val="both"/>
        <w:rPr>
          <w:rFonts w:eastAsia="Calibri" w:cs="Times New Roman"/>
          <w:noProof/>
        </w:rPr>
      </w:pPr>
      <w:r>
        <w:rPr>
          <w:noProof/>
        </w:rPr>
        <w:t>On luotu järjestelyt, joilla keskeiset toimijat saadaan mukaan suunnitelman täytäntöönpanoon. Suunni</w:t>
      </w:r>
      <w:r>
        <w:rPr>
          <w:noProof/>
        </w:rPr>
        <w:t>telmaa varten perustetaan uusi alakohtainen konferenssi, jonka tarkoituksena on kanavoida alueiden, paikallisyhteisöjen ja keskushallinnon välistä yhteistyötä suunnitelman toteuttamiseksi. Parlamentaarisen valvonnan osalta kuninkaan asetuksen 36/2020 22 §:</w:t>
      </w:r>
      <w:r>
        <w:rPr>
          <w:noProof/>
        </w:rPr>
        <w:t>ssä säädetään, että hallituksen on raportoitava neljännesvuosittain elpymis-, muutos- ja palautumissuunnitelman edistymisestä Euroopan unionin parlamentaariselle sekavaliokunnalle.</w:t>
      </w:r>
    </w:p>
    <w:p w14:paraId="13C65C14" w14:textId="77777777" w:rsidR="000E48CE" w:rsidRDefault="000E48CE">
      <w:pPr>
        <w:spacing w:before="120" w:after="120" w:line="240" w:lineRule="auto"/>
        <w:jc w:val="both"/>
        <w:rPr>
          <w:rFonts w:ascii="Times New Roman" w:eastAsia="Calibri" w:hAnsi="Times New Roman" w:cs="Times New Roman"/>
          <w:noProof/>
          <w:sz w:val="24"/>
        </w:rPr>
      </w:pPr>
    </w:p>
    <w:p w14:paraId="3BC72D0E" w14:textId="77777777" w:rsidR="000E48CE" w:rsidRDefault="00FF4C4E">
      <w:pPr>
        <w:pStyle w:val="P68B1DB1-NumPar144"/>
        <w:numPr>
          <w:ilvl w:val="0"/>
          <w:numId w:val="782"/>
        </w:numPr>
        <w:rPr>
          <w:rFonts w:cs="Times New Roman"/>
          <w:noProof/>
        </w:rPr>
      </w:pPr>
      <w:r>
        <w:rPr>
          <w:noProof/>
        </w:rPr>
        <w:t xml:space="preserve">Järjestelyt, joiden mukaisesti komissio saa rajoittamattomasti käyttöönsä </w:t>
      </w:r>
      <w:r>
        <w:rPr>
          <w:noProof/>
        </w:rPr>
        <w:t>taustatiedot</w:t>
      </w:r>
    </w:p>
    <w:p w14:paraId="631837FE" w14:textId="76F6E88C" w:rsidR="000E48CE" w:rsidRDefault="00FF4C4E">
      <w:pPr>
        <w:pStyle w:val="P68B1DB1-Normal4"/>
        <w:spacing w:before="120" w:after="120" w:line="240" w:lineRule="auto"/>
        <w:jc w:val="both"/>
        <w:rPr>
          <w:rFonts w:eastAsia="Calibri" w:cs="Times New Roman"/>
          <w:noProof/>
        </w:rPr>
      </w:pPr>
      <w:r>
        <w:rPr>
          <w:noProof/>
        </w:rPr>
        <w:t>Jotta komissio saisi täyden pääsyn asiaankuuluviin taustatietoihin, Espanjalla on oltava käytössään seuraavat järjestelyt:</w:t>
      </w:r>
    </w:p>
    <w:p w14:paraId="137EE5D7" w14:textId="77777777" w:rsidR="000E48CE" w:rsidRDefault="00FF4C4E">
      <w:pPr>
        <w:pStyle w:val="P68B1DB1-Normal4"/>
        <w:spacing w:before="120" w:after="120" w:line="240" w:lineRule="auto"/>
        <w:jc w:val="both"/>
        <w:rPr>
          <w:rFonts w:eastAsia="Calibri" w:cs="Times New Roman"/>
          <w:noProof/>
        </w:rPr>
      </w:pPr>
      <w:r>
        <w:rPr>
          <w:noProof/>
        </w:rPr>
        <w:t>Espanjan elpymis- ja palautumissuunnitelman koordinaattorina toimiva EU:n rahastojen pääsihteeristö (valtiovarainministe</w:t>
      </w:r>
      <w:r>
        <w:rPr>
          <w:noProof/>
        </w:rPr>
        <w:t>riö) vastaa muutettujen elpymis- ja palautumissuunnitelmien yleisestä täytäntöönpanosta, koordinoinnista maan muiden asiaankuuluvien viranomaisten kanssa (mukaan lukien muiden EU:n varojen käytön johdonmukaisuuden varmistaminen), välitavoitteiden ja tavoit</w:t>
      </w:r>
      <w:r>
        <w:rPr>
          <w:noProof/>
        </w:rPr>
        <w:t>teiden saavuttamisen seurannasta, valvonta- ja tarkastustoimenpiteiden täytäntöönpanon valvonnasta ja varmistamisesta sekä kaiken tarvittavan raportoinnin, maksupyyntöjen ja niihin liittyvän johdon vahvistuslausuman toimittamisesta. EU:n varojen osalta pää</w:t>
      </w:r>
      <w:r>
        <w:rPr>
          <w:noProof/>
        </w:rPr>
        <w:t>sihteeristö käyttää tietojärjestelmää, jäljempänä ’kahvi’, jonka avulla ministeriöt ja muut täytäntöönpano-, valvonta- ja tarkastuselimet voivat kirjata kaikki asiaankuuluvat tiedot, mukaan lukien välitavoitteiden ja tavoitteiden raportointi ja seurantaind</w:t>
      </w:r>
      <w:r>
        <w:rPr>
          <w:noProof/>
        </w:rPr>
        <w:t>ikaattorit, valvonta- ja tarkastuskertomukset sekä täytäntöönpanoelinten hallintokertomukset, joiden odotetaan toimivan maksupyyntöihin liitettävien johdon vahvistuslausumien perustana. Järjestelmän avulla voidaan myös kirjata laadullisia taloudellisia tie</w:t>
      </w:r>
      <w:r>
        <w:rPr>
          <w:noProof/>
        </w:rPr>
        <w:t xml:space="preserve">toja ja muita tietoja, kuten lopullisia tuensaajia, toimeksisaajia ja alihankkijoita koskevia tietoja. Viranomaiset keräävät ja tallentavat myös tosiasiallisia omistajia ja edunsaajia koskevat tiedot, joita ylläpitää kansallinen verovirasto. </w:t>
      </w:r>
    </w:p>
    <w:p w14:paraId="06442C18" w14:textId="23565917" w:rsidR="000E48CE" w:rsidRDefault="00FF4C4E">
      <w:pPr>
        <w:pStyle w:val="P68B1DB1-Normal4"/>
        <w:spacing w:before="120" w:after="120" w:line="240" w:lineRule="auto"/>
        <w:jc w:val="both"/>
        <w:rPr>
          <w:rFonts w:eastAsia="Calibri" w:cs="Times New Roman"/>
          <w:noProof/>
        </w:rPr>
      </w:pPr>
      <w:r>
        <w:rPr>
          <w:noProof/>
        </w:rPr>
        <w:t>Välitavoittee</w:t>
      </w:r>
      <w:r>
        <w:rPr>
          <w:noProof/>
        </w:rPr>
        <w:t>n 173 ja ensimmäisen maksupyynnön yhteydessä tehtyjen tarkastus- ja valvontasitoumusten osalta Espanja on lisäksi tehnyt kaksi sopimusta helpottaakseen tietojenvaihtoa ulkomaisten yritysten tosiasiallisista omistajista ja edunsaajista: toinen notaarineuvos</w:t>
      </w:r>
      <w:r>
        <w:rPr>
          <w:noProof/>
        </w:rPr>
        <w:t>ton ja veroviraston välillä ja toinen veroviraston ja kiinteistörekisterinpitäjien kollegion välillä. Lisäksi Espanja antoi ministeriön määräyksen (määräys HFP/55/2023), jolla pyyntöjen järjestämisestä vastaavat viranomaiset voivat pyytää tosiasiallisia om</w:t>
      </w:r>
      <w:r>
        <w:rPr>
          <w:noProof/>
        </w:rPr>
        <w:t>istajia ja edunsaajia koskevia tietoja ulkomaisilta yrityksiltä, joista kansallisilla viranomaisilla ei ole tietoja tietokannoissaan.</w:t>
      </w:r>
    </w:p>
    <w:p w14:paraId="005C5709" w14:textId="77777777" w:rsidR="000E48CE" w:rsidRDefault="00FF4C4E">
      <w:pPr>
        <w:pStyle w:val="P68B1DB1-Normal4"/>
        <w:spacing w:before="120" w:after="120" w:line="240" w:lineRule="auto"/>
        <w:jc w:val="both"/>
        <w:rPr>
          <w:rFonts w:eastAsia="Calibri" w:cs="Times New Roman"/>
          <w:noProof/>
        </w:rPr>
      </w:pPr>
      <w:r>
        <w:rPr>
          <w:noProof/>
        </w:rPr>
        <w:t>Lisäksi Espanja on parantanut tosiasiallisia omistajia ja edunsaajia koskevien tietojen saatavuutta valvontaa varten. Espa</w:t>
      </w:r>
      <w:r>
        <w:rPr>
          <w:noProof/>
        </w:rPr>
        <w:t>njan viranomaiset ovat erityisesti luoneet ja ottaneet käyttöön riskien pisteytysjärjestelmän nimeltä ”MINERVA” eturistiriitojen järjestelmällistä valvontaa ja ehkäisemistä varten hyödyntäen tosiasiallisia omistajia ja edunsaajia koskevia tietoja.</w:t>
      </w:r>
    </w:p>
    <w:p w14:paraId="26C38D62" w14:textId="71839E3A" w:rsidR="000E48CE" w:rsidRDefault="00FF4C4E">
      <w:pPr>
        <w:pStyle w:val="P68B1DB1-Normal4"/>
        <w:spacing w:before="120" w:after="120" w:line="240" w:lineRule="auto"/>
        <w:jc w:val="both"/>
        <w:rPr>
          <w:rFonts w:eastAsia="Calibri" w:cs="Times New Roman"/>
          <w:noProof/>
        </w:rPr>
      </w:pPr>
      <w:r>
        <w:rPr>
          <w:noProof/>
        </w:rPr>
        <w:t>Kun tämä</w:t>
      </w:r>
      <w:r>
        <w:rPr>
          <w:noProof/>
        </w:rPr>
        <w:t>n liitteen 2.1 jaksossa esitetyt asiaankuuluvat sovitut välitavoitteet ja tavoitteet on saavutettu, Espanjan on asetuksen (EU) 2021/241 24 artiklan 2 kohdan mukaisesti toimitettava komissiolle asianmukaisesti perusteltu pyyntö rahoitusosuuden maksamisesta.</w:t>
      </w:r>
      <w:r>
        <w:rPr>
          <w:noProof/>
        </w:rPr>
        <w:t xml:space="preserve"> Espanjan on varmistettava, että komissiolla on pyynnöstä täysimääräinen pääsy asiaankuuluviin taustatietoihin, jotka tukevat maksupyynnön asianmukaisia perusteluja, sekä maksupyynnön arviointia varten asetuksen (EU) 2021/241 24 artiklan 3 kohdan mukaisest</w:t>
      </w:r>
      <w:r>
        <w:rPr>
          <w:noProof/>
        </w:rPr>
        <w:t>i että tarkastus- ja valvontatarkoituksia varten.</w:t>
      </w:r>
    </w:p>
    <w:p w14:paraId="459F1C0A" w14:textId="77777777" w:rsidR="000E48CE" w:rsidRDefault="000E48CE">
      <w:pPr>
        <w:pStyle w:val="Annexetitre"/>
        <w:rPr>
          <w:noProof/>
        </w:rPr>
      </w:pPr>
    </w:p>
    <w:p w14:paraId="26972EED" w14:textId="77777777" w:rsidR="000E48CE" w:rsidRDefault="000E48CE">
      <w:pPr>
        <w:pStyle w:val="Text1"/>
        <w:ind w:left="0"/>
        <w:rPr>
          <w:rFonts w:ascii="Times New Roman" w:hAnsi="Times New Roman" w:cs="Times New Roman"/>
          <w:noProof/>
        </w:rPr>
      </w:pPr>
    </w:p>
    <w:sectPr w:rsidR="000E48CE">
      <w:headerReference w:type="even" r:id="rId591"/>
      <w:headerReference w:type="default" r:id="rId592"/>
      <w:footerReference w:type="even" r:id="rId593"/>
      <w:footerReference w:type="default" r:id="rId594"/>
      <w:headerReference w:type="first" r:id="rId595"/>
      <w:footerReference w:type="first" r:id="rId596"/>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358BB" w14:textId="77777777" w:rsidR="00A56DEA" w:rsidRDefault="00A56DEA">
      <w:pPr>
        <w:spacing w:after="0" w:line="240" w:lineRule="auto"/>
      </w:pPr>
      <w:r>
        <w:separator/>
      </w:r>
    </w:p>
    <w:p w14:paraId="716FD838" w14:textId="77777777" w:rsidR="00A56DEA" w:rsidRDefault="00A56DEA"/>
  </w:endnote>
  <w:endnote w:type="continuationSeparator" w:id="0">
    <w:p w14:paraId="6952A0AD" w14:textId="77777777" w:rsidR="00A56DEA" w:rsidRDefault="00A56DEA">
      <w:pPr>
        <w:spacing w:after="0" w:line="240" w:lineRule="auto"/>
      </w:pPr>
      <w:r>
        <w:continuationSeparator/>
      </w:r>
    </w:p>
    <w:p w14:paraId="21EB03C3" w14:textId="77777777" w:rsidR="00A56DEA" w:rsidRDefault="00A56DEA"/>
  </w:endnote>
  <w:endnote w:type="continuationNotice" w:id="1">
    <w:p w14:paraId="139C1AA4" w14:textId="77777777" w:rsidR="00A56DEA" w:rsidRDefault="00A56DEA">
      <w:pPr>
        <w:spacing w:after="0" w:line="240" w:lineRule="auto"/>
      </w:pPr>
    </w:p>
    <w:p w14:paraId="66B6CBB5" w14:textId="77777777" w:rsidR="00A56DEA" w:rsidRDefault="00A56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ot;Times New Roman&quot;,serif">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3F229" w14:textId="4892926B" w:rsidR="00996749" w:rsidRPr="00FF4C4E" w:rsidRDefault="00996749" w:rsidP="00FF4C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7A2C" w14:textId="77777777" w:rsidR="000E48CE" w:rsidRDefault="000E48C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04CCB" w14:textId="77777777" w:rsidR="000E48CE" w:rsidRDefault="000E48C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627477"/>
      <w:docPartObj>
        <w:docPartGallery w:val="Page Numbers (Bottom of Page)"/>
        <w:docPartUnique/>
      </w:docPartObj>
    </w:sdtPr>
    <w:sdtEndPr>
      <w:rPr>
        <w:noProof/>
      </w:rPr>
    </w:sdtEndPr>
    <w:sdtContent>
      <w:p w14:paraId="232685DF" w14:textId="5BEB9F9E" w:rsidR="000E48CE" w:rsidRDefault="00FF4C4E">
        <w:pPr>
          <w:pStyle w:val="P68B1DB1-Footer51"/>
          <w:jc w:val="center"/>
        </w:pPr>
        <w:r>
          <w:fldChar w:fldCharType="begin"/>
        </w:r>
        <w:r>
          <w:instrText xml:space="preserve"> PAGE   \* MERGEFORMAT </w:instrText>
        </w:r>
        <w:r>
          <w:fldChar w:fldCharType="separate"/>
        </w:r>
        <w:r>
          <w:t>108</w:t>
        </w:r>
        <w:r>
          <w:fldChar w:fldCharType="end"/>
        </w:r>
      </w:p>
    </w:sdtContent>
  </w:sdt>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AA0D" w14:textId="77777777" w:rsidR="000E48CE" w:rsidRDefault="000E48CE">
    <w:pPr>
      <w:pStyle w:val="FooterLandscape"/>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6332" w14:textId="77777777" w:rsidR="000E48CE" w:rsidRDefault="000E48C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C2EE2" w14:textId="47BDE62A" w:rsidR="000E48CE" w:rsidRDefault="00FF4C4E">
    <w:pPr>
      <w:pStyle w:val="FooterLandscape"/>
      <w:rPr>
        <w:rFonts w:ascii="Aptos" w:hAnsi="Aptos" w:cs="Aptos"/>
        <w:b/>
      </w:rPr>
    </w:pPr>
    <w:r>
      <w:fldChar w:fldCharType="begin"/>
    </w:r>
    <w:r>
      <w:instrText xml:space="preserve"> PAGE  \* MERGEFORMAT </w:instrText>
    </w:r>
    <w:r>
      <w:fldChar w:fldCharType="separate"/>
    </w:r>
    <w:r>
      <w:t>111</w:t>
    </w:r>
    <w:r>
      <w:fldChar w:fldCharType="end"/>
    </w:r>
    <w:r>
      <w:tab/>
    </w:r>
    <w:r>
      <w:tab/>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0C74" w14:textId="77777777" w:rsidR="000E48CE" w:rsidRDefault="000E48CE">
    <w:pPr>
      <w:pStyle w:val="FooterLandscape"/>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D365" w14:textId="77777777" w:rsidR="000E48CE" w:rsidRDefault="000E48C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499251"/>
      <w:docPartObj>
        <w:docPartGallery w:val="Page Numbers (Bottom of Page)"/>
        <w:docPartUnique/>
      </w:docPartObj>
    </w:sdtPr>
    <w:sdtEndPr>
      <w:rPr>
        <w:noProof/>
      </w:rPr>
    </w:sdtEndPr>
    <w:sdtContent>
      <w:p w14:paraId="477AF136" w14:textId="109FDB34" w:rsidR="000E48CE" w:rsidRDefault="00FF4C4E">
        <w:pPr>
          <w:pStyle w:val="Footer"/>
          <w:jc w:val="center"/>
        </w:pPr>
        <w:r>
          <w:fldChar w:fldCharType="begin"/>
        </w:r>
        <w:r>
          <w:instrText xml:space="preserve"> PAGE   \* MERGEFORMAT </w:instrText>
        </w:r>
        <w:r>
          <w:fldChar w:fldCharType="separate"/>
        </w:r>
        <w:r>
          <w:t>116</w:t>
        </w:r>
        <w:r>
          <w:fldChar w:fldCharType="end"/>
        </w:r>
      </w:p>
    </w:sdtContent>
  </w:sdt>
  <w:p w14:paraId="7B0266EA" w14:textId="5BBB9CCB" w:rsidR="000E48CE" w:rsidRDefault="000E48CE">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8C58E" w14:textId="77777777" w:rsidR="000E48CE" w:rsidRDefault="000E48CE">
    <w:pPr>
      <w:pStyle w:val="FooterLandscape"/>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886D5" w14:textId="77777777" w:rsidR="000E48CE" w:rsidRDefault="000E48C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660983"/>
      <w:docPartObj>
        <w:docPartGallery w:val="Page Numbers (Bottom of Page)"/>
        <w:docPartUnique/>
      </w:docPartObj>
    </w:sdtPr>
    <w:sdtEndPr>
      <w:rPr>
        <w:noProof/>
      </w:rPr>
    </w:sdtEndPr>
    <w:sdtContent>
      <w:p w14:paraId="72B3C016" w14:textId="5E8F9990" w:rsidR="000E48CE" w:rsidRDefault="00FF4C4E">
        <w:pPr>
          <w:pStyle w:val="P68B1DB1-Footer49"/>
          <w:jc w:val="center"/>
        </w:pPr>
        <w:r>
          <w:fldChar w:fldCharType="begin"/>
        </w:r>
        <w:r>
          <w:instrText xml:space="preserve"> PAGE   \* MERGEFORMAT </w:instrText>
        </w:r>
        <w:r>
          <w:fldChar w:fldCharType="separate"/>
        </w:r>
        <w:r w:rsidR="00460D89">
          <w:rPr>
            <w:noProof/>
          </w:rPr>
          <w:t>15</w:t>
        </w:r>
        <w:r>
          <w:fldChar w:fldCharType="end"/>
        </w:r>
      </w:p>
    </w:sdtContent>
  </w:sdt>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099661"/>
      <w:docPartObj>
        <w:docPartGallery w:val="Page Numbers (Bottom of Page)"/>
        <w:docPartUnique/>
      </w:docPartObj>
    </w:sdtPr>
    <w:sdtEndPr>
      <w:rPr>
        <w:noProof/>
      </w:rPr>
    </w:sdtEndPr>
    <w:sdtContent>
      <w:p w14:paraId="210FE53E" w14:textId="260CBC4D" w:rsidR="000E48CE" w:rsidRDefault="00FF4C4E">
        <w:pPr>
          <w:pStyle w:val="Footer"/>
          <w:jc w:val="center"/>
        </w:pPr>
        <w:r>
          <w:fldChar w:fldCharType="begin"/>
        </w:r>
        <w:r>
          <w:instrText xml:space="preserve"> PAGE   \* MERGEFORMAT </w:instrText>
        </w:r>
        <w:r>
          <w:fldChar w:fldCharType="separate"/>
        </w:r>
        <w:r>
          <w:t>134</w:t>
        </w:r>
        <w:r>
          <w:fldChar w:fldCharType="end"/>
        </w:r>
      </w:p>
    </w:sdtContent>
  </w:sdt>
  <w:p w14:paraId="2720AE6E" w14:textId="77777777" w:rsidR="000E48CE" w:rsidRDefault="000E48CE">
    <w:pPr>
      <w:pStyle w:val="FooterLandscape"/>
      <w:ind w:left="0"/>
      <w:rPr>
        <w:rFonts w:ascii="Arial" w:hAnsi="Arial" w:cs="Arial"/>
        <w:b/>
        <w:sz w:val="20"/>
      </w:rP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CCE4" w14:textId="77777777" w:rsidR="000E48CE" w:rsidRDefault="000E48CE">
    <w:pPr>
      <w:pStyle w:val="FooterLandscape"/>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A8A25" w14:textId="77777777" w:rsidR="000E48CE" w:rsidRDefault="000E48C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098542"/>
      <w:docPartObj>
        <w:docPartGallery w:val="Page Numbers (Bottom of Page)"/>
        <w:docPartUnique/>
      </w:docPartObj>
    </w:sdtPr>
    <w:sdtEndPr>
      <w:rPr>
        <w:noProof/>
      </w:rPr>
    </w:sdtEndPr>
    <w:sdtContent>
      <w:p w14:paraId="18F06A3D" w14:textId="79575EEA" w:rsidR="000E48CE" w:rsidRDefault="00FF4C4E">
        <w:pPr>
          <w:pStyle w:val="Footer"/>
          <w:jc w:val="center"/>
        </w:pPr>
        <w:r>
          <w:fldChar w:fldCharType="begin"/>
        </w:r>
        <w:r>
          <w:instrText xml:space="preserve"> PAGE   \* MERGEFORMAT </w:instrText>
        </w:r>
        <w:r>
          <w:fldChar w:fldCharType="separate"/>
        </w:r>
        <w:r>
          <w:t>135</w:t>
        </w:r>
        <w:r>
          <w:fldChar w:fldCharType="end"/>
        </w:r>
      </w:p>
    </w:sdtContent>
  </w:sdt>
  <w:p w14:paraId="5F96876A" w14:textId="77777777" w:rsidR="000E48CE" w:rsidRDefault="000E48CE">
    <w:pPr>
      <w:pStyle w:val="FooterLandscape"/>
      <w:ind w:left="0"/>
      <w:rPr>
        <w:rFonts w:ascii="Arial" w:hAnsi="Arial" w:cs="Arial"/>
        <w:b/>
        <w:sz w:val="20"/>
      </w:rP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CCDF1" w14:textId="77777777" w:rsidR="000E48CE" w:rsidRDefault="000E48CE">
    <w:pPr>
      <w:pStyle w:val="FooterLandscape"/>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7BC96" w14:textId="77777777" w:rsidR="000E48CE" w:rsidRDefault="000E48C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974439"/>
      <w:docPartObj>
        <w:docPartGallery w:val="Page Numbers (Bottom of Page)"/>
        <w:docPartUnique/>
      </w:docPartObj>
    </w:sdtPr>
    <w:sdtEndPr>
      <w:rPr>
        <w:noProof/>
      </w:rPr>
    </w:sdtEndPr>
    <w:sdtContent>
      <w:p w14:paraId="372E582A" w14:textId="1AE22DF6" w:rsidR="000E48CE" w:rsidRDefault="00FF4C4E">
        <w:pPr>
          <w:pStyle w:val="Footer"/>
          <w:jc w:val="center"/>
        </w:pPr>
        <w:r>
          <w:fldChar w:fldCharType="begin"/>
        </w:r>
        <w:r>
          <w:instrText xml:space="preserve"> PAGE   \* MERGEFORMAT </w:instrText>
        </w:r>
        <w:r>
          <w:fldChar w:fldCharType="separate"/>
        </w:r>
        <w:r>
          <w:t>141</w:t>
        </w:r>
        <w:r>
          <w:fldChar w:fldCharType="end"/>
        </w:r>
      </w:p>
    </w:sdtContent>
  </w:sdt>
  <w:p w14:paraId="4D36BE21" w14:textId="77777777" w:rsidR="000E48CE" w:rsidRDefault="000E48CE">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55E4" w14:textId="77777777" w:rsidR="000E48CE" w:rsidRDefault="000E48CE">
    <w:pPr>
      <w:pStyle w:val="FooterLandscape"/>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A6CB0" w14:textId="77777777" w:rsidR="000E48CE" w:rsidRDefault="000E48C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765985"/>
      <w:docPartObj>
        <w:docPartGallery w:val="Page Numbers (Bottom of Page)"/>
        <w:docPartUnique/>
      </w:docPartObj>
    </w:sdtPr>
    <w:sdtEndPr>
      <w:rPr>
        <w:noProof/>
      </w:rPr>
    </w:sdtEndPr>
    <w:sdtContent>
      <w:p w14:paraId="3E7CB7B9" w14:textId="387433BC" w:rsidR="000E48CE" w:rsidRDefault="00FF4C4E">
        <w:pPr>
          <w:pStyle w:val="Footer"/>
          <w:jc w:val="center"/>
        </w:pPr>
        <w:r>
          <w:fldChar w:fldCharType="begin"/>
        </w:r>
        <w:r>
          <w:instrText xml:space="preserve"> PAGE   \* MERGEFORMAT </w:instrText>
        </w:r>
        <w:r>
          <w:fldChar w:fldCharType="separate"/>
        </w:r>
        <w:r>
          <w:t>152</w:t>
        </w:r>
        <w:r>
          <w:fldChar w:fldCharType="end"/>
        </w:r>
      </w:p>
    </w:sdtContent>
  </w:sdt>
  <w:p w14:paraId="44FC6E97" w14:textId="6BEEAD56" w:rsidR="000E48CE" w:rsidRDefault="000E48CE">
    <w:pPr>
      <w:pStyle w:val="Footer"/>
      <w:ind w:left="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BFDB1" w14:textId="77777777" w:rsidR="000E48CE" w:rsidRDefault="000E48C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590C" w14:textId="77777777" w:rsidR="000E48CE" w:rsidRDefault="000E48CE">
    <w:pPr>
      <w:pStyle w:val="FooterLandscape"/>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6200" w14:textId="77777777" w:rsidR="000E48CE" w:rsidRDefault="000E48C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586842"/>
      <w:docPartObj>
        <w:docPartGallery w:val="Page Numbers (Bottom of Page)"/>
        <w:docPartUnique/>
      </w:docPartObj>
    </w:sdtPr>
    <w:sdtEndPr>
      <w:rPr>
        <w:noProof/>
      </w:rPr>
    </w:sdtEndPr>
    <w:sdtContent>
      <w:p w14:paraId="3B527266" w14:textId="27E13424" w:rsidR="000E48CE" w:rsidRDefault="00FF4C4E">
        <w:pPr>
          <w:pStyle w:val="Footer"/>
          <w:jc w:val="center"/>
        </w:pPr>
        <w:r>
          <w:fldChar w:fldCharType="begin"/>
        </w:r>
        <w:r>
          <w:instrText xml:space="preserve"> PAGE   \* MERGEFORMAT </w:instrText>
        </w:r>
        <w:r>
          <w:fldChar w:fldCharType="separate"/>
        </w:r>
        <w:r>
          <w:t>153</w:t>
        </w:r>
        <w:r>
          <w:fldChar w:fldCharType="end"/>
        </w:r>
      </w:p>
    </w:sdtContent>
  </w:sdt>
  <w:p w14:paraId="13FCB833" w14:textId="77777777" w:rsidR="000E48CE" w:rsidRDefault="000E48CE">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D6517" w14:textId="77777777" w:rsidR="000E48CE" w:rsidRDefault="000E48C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A15B0" w14:textId="77777777" w:rsidR="000E48CE" w:rsidRDefault="000E48C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527556"/>
      <w:docPartObj>
        <w:docPartGallery w:val="Page Numbers (Bottom of Page)"/>
        <w:docPartUnique/>
      </w:docPartObj>
    </w:sdtPr>
    <w:sdtEndPr>
      <w:rPr>
        <w:noProof/>
      </w:rPr>
    </w:sdtEndPr>
    <w:sdtContent>
      <w:p w14:paraId="310B17E9" w14:textId="059A09BF" w:rsidR="000E48CE" w:rsidRDefault="00FF4C4E">
        <w:pPr>
          <w:pStyle w:val="Footer"/>
          <w:jc w:val="center"/>
        </w:pPr>
        <w:r>
          <w:fldChar w:fldCharType="begin"/>
        </w:r>
        <w:r>
          <w:instrText xml:space="preserve"> PAGE   \* MERGEFORMAT </w:instrText>
        </w:r>
        <w:r>
          <w:fldChar w:fldCharType="separate"/>
        </w:r>
        <w:r>
          <w:t>160</w:t>
        </w:r>
        <w:r>
          <w:fldChar w:fldCharType="end"/>
        </w:r>
      </w:p>
    </w:sdtContent>
  </w:sdt>
  <w:p w14:paraId="319EA95A" w14:textId="77777777" w:rsidR="000E48CE" w:rsidRDefault="000E48CE">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D22CA" w14:textId="77777777" w:rsidR="000E48CE" w:rsidRDefault="000E48C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F965" w14:textId="77777777" w:rsidR="000E48CE" w:rsidRDefault="000E48C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01527"/>
      <w:docPartObj>
        <w:docPartGallery w:val="Page Numbers (Bottom of Page)"/>
        <w:docPartUnique/>
      </w:docPartObj>
    </w:sdtPr>
    <w:sdtEndPr>
      <w:rPr>
        <w:noProof/>
      </w:rPr>
    </w:sdtEndPr>
    <w:sdtContent>
      <w:p w14:paraId="37F086F1" w14:textId="70839971" w:rsidR="000E48CE" w:rsidRDefault="00FF4C4E">
        <w:pPr>
          <w:pStyle w:val="Footer"/>
          <w:jc w:val="center"/>
        </w:pPr>
        <w:r>
          <w:fldChar w:fldCharType="begin"/>
        </w:r>
        <w:r>
          <w:instrText xml:space="preserve"> PAGE   \* MERGEFORMAT </w:instrText>
        </w:r>
        <w:r>
          <w:fldChar w:fldCharType="separate"/>
        </w:r>
        <w:r>
          <w:t>163</w:t>
        </w:r>
        <w:r>
          <w:fldChar w:fldCharType="end"/>
        </w:r>
      </w:p>
    </w:sdtContent>
  </w:sdt>
  <w:p w14:paraId="2175A671" w14:textId="77777777" w:rsidR="000E48CE" w:rsidRDefault="000E48CE">
    <w:pPr>
      <w:pStyle w:val="FooterLandscape"/>
      <w:rPr>
        <w:rFonts w:ascii="Arial" w:hAnsi="Arial" w:cs="Arial"/>
        <w:b/>
      </w:rP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313C" w14:textId="77777777" w:rsidR="000E48CE" w:rsidRDefault="000E48C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F163C" w14:textId="77777777" w:rsidR="000E48CE" w:rsidRDefault="000E48C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468BD" w14:textId="77777777" w:rsidR="000E48CE" w:rsidRDefault="000E48C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576163"/>
      <w:docPartObj>
        <w:docPartGallery w:val="Page Numbers (Bottom of Page)"/>
        <w:docPartUnique/>
      </w:docPartObj>
    </w:sdtPr>
    <w:sdtEndPr>
      <w:rPr>
        <w:noProof/>
      </w:rPr>
    </w:sdtEndPr>
    <w:sdtContent>
      <w:p w14:paraId="4F349A1A" w14:textId="01748E80" w:rsidR="000E48CE" w:rsidRDefault="00FF4C4E">
        <w:pPr>
          <w:pStyle w:val="Footer"/>
          <w:jc w:val="center"/>
        </w:pPr>
        <w:r>
          <w:fldChar w:fldCharType="begin"/>
        </w:r>
        <w:r>
          <w:instrText xml:space="preserve"> PAGE   \* MERGEFORMAT </w:instrText>
        </w:r>
        <w:r>
          <w:fldChar w:fldCharType="separate"/>
        </w:r>
        <w:r>
          <w:t>164</w:t>
        </w:r>
        <w:r>
          <w:fldChar w:fldCharType="end"/>
        </w:r>
      </w:p>
    </w:sdtContent>
  </w:sdt>
  <w:p w14:paraId="32CC4AF9" w14:textId="15DCB5BC" w:rsidR="000E48CE" w:rsidRDefault="000E48CE">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FE793" w14:textId="77777777" w:rsidR="000E48CE" w:rsidRDefault="000E48CE">
    <w:pPr>
      <w:pStyle w:val="FooterLandscape"/>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5EAC" w14:textId="77777777" w:rsidR="000E48CE" w:rsidRDefault="000E48C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057355"/>
      <w:docPartObj>
        <w:docPartGallery w:val="Page Numbers (Bottom of Page)"/>
        <w:docPartUnique/>
      </w:docPartObj>
    </w:sdtPr>
    <w:sdtEndPr>
      <w:rPr>
        <w:noProof/>
      </w:rPr>
    </w:sdtEndPr>
    <w:sdtContent>
      <w:p w14:paraId="4225757E" w14:textId="6F8B7B1F" w:rsidR="000E48CE" w:rsidRDefault="00FF4C4E">
        <w:pPr>
          <w:pStyle w:val="Footer"/>
          <w:jc w:val="center"/>
        </w:pPr>
        <w:r>
          <w:fldChar w:fldCharType="begin"/>
        </w:r>
        <w:r>
          <w:instrText xml:space="preserve"> PAGE   \* MERGEFORMAT </w:instrText>
        </w:r>
        <w:r>
          <w:fldChar w:fldCharType="separate"/>
        </w:r>
        <w:r>
          <w:t>177</w:t>
        </w:r>
        <w:r>
          <w:fldChar w:fldCharType="end"/>
        </w:r>
      </w:p>
    </w:sdtContent>
  </w:sdt>
  <w:p w14:paraId="53A2E388" w14:textId="77777777" w:rsidR="000E48CE" w:rsidRDefault="000E48CE">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7B3C1" w14:textId="77777777" w:rsidR="000E48CE" w:rsidRDefault="000E48CE">
    <w:pPr>
      <w:pStyle w:val="FooterLandscape"/>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8044" w14:textId="77777777" w:rsidR="000E48CE" w:rsidRDefault="000E48C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123526"/>
      <w:docPartObj>
        <w:docPartGallery w:val="Page Numbers (Bottom of Page)"/>
        <w:docPartUnique/>
      </w:docPartObj>
    </w:sdtPr>
    <w:sdtEndPr>
      <w:rPr>
        <w:noProof/>
      </w:rPr>
    </w:sdtEndPr>
    <w:sdtContent>
      <w:p w14:paraId="1ED93B15" w14:textId="54FF3E10" w:rsidR="000E48CE" w:rsidRDefault="00FF4C4E">
        <w:pPr>
          <w:pStyle w:val="Footer"/>
          <w:jc w:val="center"/>
        </w:pPr>
        <w:r>
          <w:fldChar w:fldCharType="begin"/>
        </w:r>
        <w:r>
          <w:instrText xml:space="preserve"> PAGE   \* MERGEFORMAT </w:instrText>
        </w:r>
        <w:r>
          <w:fldChar w:fldCharType="separate"/>
        </w:r>
        <w:r>
          <w:t>187</w:t>
        </w:r>
        <w:r>
          <w:fldChar w:fldCharType="end"/>
        </w:r>
      </w:p>
    </w:sdtContent>
  </w:sdt>
  <w:p w14:paraId="4BAD018D" w14:textId="77777777" w:rsidR="000E48CE" w:rsidRDefault="000E48CE">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ED47" w14:textId="77777777" w:rsidR="000E48CE" w:rsidRDefault="000E48CE">
    <w:pPr>
      <w:pStyle w:val="FooterLandscape"/>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90EE" w14:textId="77777777" w:rsidR="000E48CE" w:rsidRDefault="000E48C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976782"/>
      <w:docPartObj>
        <w:docPartGallery w:val="Page Numbers (Bottom of Page)"/>
        <w:docPartUnique/>
      </w:docPartObj>
    </w:sdtPr>
    <w:sdtEndPr>
      <w:rPr>
        <w:noProof/>
      </w:rPr>
    </w:sdtEndPr>
    <w:sdtContent>
      <w:p w14:paraId="18B87726" w14:textId="7F20A3DE" w:rsidR="000E48CE" w:rsidRDefault="00FF4C4E">
        <w:pPr>
          <w:pStyle w:val="P68B1DB1-Footer49"/>
          <w:jc w:val="center"/>
        </w:pPr>
        <w:r>
          <w:fldChar w:fldCharType="begin"/>
        </w:r>
        <w:r>
          <w:instrText xml:space="preserve"> PAGE   \* MERGEFORMAT </w:instrText>
        </w:r>
        <w:r>
          <w:fldChar w:fldCharType="separate"/>
        </w:r>
        <w:r w:rsidR="00460D89">
          <w:rPr>
            <w:noProof/>
          </w:rPr>
          <w:t>16</w:t>
        </w:r>
        <w:r>
          <w:fldChar w:fldCharType="end"/>
        </w:r>
      </w:p>
    </w:sdtContent>
  </w:sdt>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343190"/>
      <w:docPartObj>
        <w:docPartGallery w:val="Page Numbers (Bottom of Page)"/>
        <w:docPartUnique/>
      </w:docPartObj>
    </w:sdtPr>
    <w:sdtEndPr>
      <w:rPr>
        <w:noProof/>
      </w:rPr>
    </w:sdtEndPr>
    <w:sdtContent>
      <w:p w14:paraId="75609BFD" w14:textId="5EFCBD1C" w:rsidR="000E48CE" w:rsidRDefault="00FF4C4E">
        <w:pPr>
          <w:pStyle w:val="Footer"/>
          <w:jc w:val="center"/>
        </w:pPr>
        <w:r>
          <w:fldChar w:fldCharType="begin"/>
        </w:r>
        <w:r>
          <w:instrText xml:space="preserve"> PAGE   \* MERGEFORMAT </w:instrText>
        </w:r>
        <w:r>
          <w:fldChar w:fldCharType="separate"/>
        </w:r>
        <w:r>
          <w:t>210</w:t>
        </w:r>
        <w:r>
          <w:fldChar w:fldCharType="end"/>
        </w:r>
      </w:p>
    </w:sdtContent>
  </w:sdt>
  <w:p w14:paraId="576C5D7B" w14:textId="77777777" w:rsidR="000E48CE" w:rsidRDefault="000E48CE">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5CD44" w14:textId="77777777" w:rsidR="000E48CE" w:rsidRDefault="000E48CE">
    <w:pPr>
      <w:pStyle w:val="FooterLandscape"/>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3D84" w14:textId="77777777" w:rsidR="000E48CE" w:rsidRDefault="000E48CE">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503217"/>
      <w:docPartObj>
        <w:docPartGallery w:val="Page Numbers (Bottom of Page)"/>
        <w:docPartUnique/>
      </w:docPartObj>
    </w:sdtPr>
    <w:sdtEndPr>
      <w:rPr>
        <w:noProof/>
      </w:rPr>
    </w:sdtEndPr>
    <w:sdtContent>
      <w:p w14:paraId="7D0A95E6" w14:textId="20EFB816" w:rsidR="000E48CE" w:rsidRDefault="00FF4C4E">
        <w:pPr>
          <w:pStyle w:val="Footer"/>
          <w:jc w:val="center"/>
        </w:pPr>
        <w:r>
          <w:fldChar w:fldCharType="begin"/>
        </w:r>
        <w:r>
          <w:instrText xml:space="preserve"> PAGE   \* MERGEFORMAT </w:instrText>
        </w:r>
        <w:r>
          <w:fldChar w:fldCharType="separate"/>
        </w:r>
        <w:r>
          <w:t>218</w:t>
        </w:r>
        <w:r>
          <w:fldChar w:fldCharType="end"/>
        </w:r>
      </w:p>
    </w:sdtContent>
  </w:sdt>
  <w:p w14:paraId="6D397B69" w14:textId="0CF305B0" w:rsidR="000E48CE" w:rsidRDefault="000E48CE">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F0528" w14:textId="77777777" w:rsidR="000E48CE" w:rsidRDefault="000E48CE">
    <w:pPr>
      <w:pStyle w:val="FooterLandscape"/>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2780" w14:textId="77777777" w:rsidR="000E48CE" w:rsidRDefault="000E48CE">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206396"/>
      <w:docPartObj>
        <w:docPartGallery w:val="Page Numbers (Bottom of Page)"/>
        <w:docPartUnique/>
      </w:docPartObj>
    </w:sdtPr>
    <w:sdtEndPr>
      <w:rPr>
        <w:noProof/>
      </w:rPr>
    </w:sdtEndPr>
    <w:sdtContent>
      <w:p w14:paraId="21E41CC1" w14:textId="2775E076" w:rsidR="000E48CE" w:rsidRDefault="00FF4C4E">
        <w:pPr>
          <w:pStyle w:val="Footer"/>
          <w:jc w:val="center"/>
        </w:pPr>
        <w:r>
          <w:fldChar w:fldCharType="begin"/>
        </w:r>
        <w:r>
          <w:instrText xml:space="preserve"> PAGE   \* MERGEFORMAT </w:instrText>
        </w:r>
        <w:r>
          <w:fldChar w:fldCharType="separate"/>
        </w:r>
        <w:r>
          <w:t>224</w:t>
        </w:r>
        <w:r>
          <w:fldChar w:fldCharType="end"/>
        </w:r>
      </w:p>
    </w:sdtContent>
  </w:sdt>
  <w:p w14:paraId="28389508" w14:textId="7790FC53" w:rsidR="000E48CE" w:rsidRDefault="000E48CE">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7B1E" w14:textId="77777777" w:rsidR="000E48CE" w:rsidRDefault="000E48CE">
    <w:pPr>
      <w:pStyle w:val="FooterLandscape"/>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437D5" w14:textId="77777777" w:rsidR="000E48CE" w:rsidRDefault="000E48CE">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77242"/>
      <w:docPartObj>
        <w:docPartGallery w:val="Page Numbers (Bottom of Page)"/>
        <w:docPartUnique/>
      </w:docPartObj>
    </w:sdtPr>
    <w:sdtEndPr>
      <w:rPr>
        <w:noProof/>
      </w:rPr>
    </w:sdtEndPr>
    <w:sdtContent>
      <w:p w14:paraId="7418D2CA" w14:textId="7030D8BE" w:rsidR="000E48CE" w:rsidRDefault="00FF4C4E">
        <w:pPr>
          <w:pStyle w:val="Footer"/>
          <w:jc w:val="center"/>
        </w:pPr>
        <w:r>
          <w:fldChar w:fldCharType="begin"/>
        </w:r>
        <w:r>
          <w:instrText xml:space="preserve"> PAGE   \* MERGEFORMAT </w:instrText>
        </w:r>
        <w:r>
          <w:fldChar w:fldCharType="separate"/>
        </w:r>
        <w:r>
          <w:t>228</w:t>
        </w:r>
        <w:r>
          <w:fldChar w:fldCharType="end"/>
        </w:r>
      </w:p>
    </w:sdtContent>
  </w:sdt>
  <w:p w14:paraId="48C8C421" w14:textId="36EEE6CE" w:rsidR="000E48CE" w:rsidRDefault="000E48CE">
    <w:pPr>
      <w:pStyle w:val="Footer"/>
      <w:tabs>
        <w:tab w:val="clear" w:pos="4535"/>
        <w:tab w:val="center" w:pos="4536"/>
        <w:tab w:val="left" w:pos="5080"/>
      </w:tabs>
      <w:ind w:left="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F9C4" w14:textId="77777777" w:rsidR="000E48CE" w:rsidRDefault="000E48CE">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72D5D" w14:textId="77777777" w:rsidR="000E48CE" w:rsidRDefault="000E48CE">
    <w:pPr>
      <w:pStyle w:val="FooterLandscape"/>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67D0" w14:textId="77777777" w:rsidR="000E48CE" w:rsidRDefault="000E48CE">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015163"/>
      <w:docPartObj>
        <w:docPartGallery w:val="Page Numbers (Bottom of Page)"/>
        <w:docPartUnique/>
      </w:docPartObj>
    </w:sdtPr>
    <w:sdtEndPr>
      <w:rPr>
        <w:noProof/>
      </w:rPr>
    </w:sdtEndPr>
    <w:sdtContent>
      <w:p w14:paraId="70B72CD2" w14:textId="1CF7F4FA" w:rsidR="000E48CE" w:rsidRDefault="00FF4C4E">
        <w:pPr>
          <w:pStyle w:val="Footer"/>
          <w:jc w:val="center"/>
        </w:pPr>
        <w:r>
          <w:fldChar w:fldCharType="begin"/>
        </w:r>
        <w:r>
          <w:instrText xml:space="preserve"> PAGE   \* MERGEFORMAT </w:instrText>
        </w:r>
        <w:r>
          <w:fldChar w:fldCharType="separate"/>
        </w:r>
        <w:r>
          <w:t>233</w:t>
        </w:r>
        <w:r>
          <w:fldChar w:fldCharType="end"/>
        </w:r>
      </w:p>
    </w:sdtContent>
  </w:sdt>
  <w:p w14:paraId="135FD20E" w14:textId="4F090939" w:rsidR="000E48CE" w:rsidRDefault="000E48CE">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0250" w14:textId="77777777" w:rsidR="000E48CE" w:rsidRDefault="000E48CE">
    <w:pPr>
      <w:pStyle w:val="FooterLandscape"/>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07F61" w14:textId="77777777" w:rsidR="000E48CE" w:rsidRDefault="000E48CE">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413232"/>
      <w:docPartObj>
        <w:docPartGallery w:val="Page Numbers (Bottom of Page)"/>
        <w:docPartUnique/>
      </w:docPartObj>
    </w:sdtPr>
    <w:sdtEndPr>
      <w:rPr>
        <w:noProof/>
      </w:rPr>
    </w:sdtEndPr>
    <w:sdtContent>
      <w:p w14:paraId="6C386728" w14:textId="77777777" w:rsidR="000E48CE" w:rsidRDefault="00FF4C4E">
        <w:pPr>
          <w:pStyle w:val="Footer"/>
          <w:jc w:val="center"/>
        </w:pPr>
        <w:r>
          <w:fldChar w:fldCharType="begin"/>
        </w:r>
        <w:r>
          <w:instrText xml:space="preserve"> PAGE   \* MERGEFORMAT </w:instrText>
        </w:r>
        <w:r>
          <w:fldChar w:fldCharType="separate"/>
        </w:r>
        <w:r>
          <w:t>233</w:t>
        </w:r>
        <w:r>
          <w:fldChar w:fldCharType="end"/>
        </w:r>
      </w:p>
    </w:sdtContent>
  </w:sdt>
  <w:p w14:paraId="4ADA49AA" w14:textId="77777777" w:rsidR="000E48CE" w:rsidRDefault="000E48CE">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D0D2" w14:textId="77777777" w:rsidR="000E48CE" w:rsidRDefault="000E48CE">
    <w:pPr>
      <w:pStyle w:val="FooterLandscape"/>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1C56" w14:textId="77777777" w:rsidR="000E48CE" w:rsidRDefault="000E48CE">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52350"/>
      <w:docPartObj>
        <w:docPartGallery w:val="Page Numbers (Bottom of Page)"/>
        <w:docPartUnique/>
      </w:docPartObj>
    </w:sdtPr>
    <w:sdtEndPr>
      <w:rPr>
        <w:noProof/>
      </w:rPr>
    </w:sdtEndPr>
    <w:sdtContent>
      <w:p w14:paraId="7AA5EE2E" w14:textId="6F7DC959" w:rsidR="000E48CE" w:rsidRDefault="00FF4C4E">
        <w:pPr>
          <w:pStyle w:val="Footer"/>
          <w:jc w:val="center"/>
        </w:pPr>
        <w:r>
          <w:fldChar w:fldCharType="begin"/>
        </w:r>
        <w:r>
          <w:instrText xml:space="preserve"> PAGE   \* MERGEFORMAT </w:instrText>
        </w:r>
        <w:r>
          <w:fldChar w:fldCharType="separate"/>
        </w:r>
        <w:r>
          <w:t>239</w:t>
        </w:r>
        <w:r>
          <w:fldChar w:fldCharType="end"/>
        </w:r>
      </w:p>
    </w:sdtContent>
  </w:sdt>
  <w:p w14:paraId="40958AD1" w14:textId="77777777" w:rsidR="000E48CE" w:rsidRDefault="000E48CE">
    <w:pPr>
      <w:pStyle w:val="FooterLandscape"/>
      <w:rPr>
        <w:b/>
        <w:sz w:val="20"/>
      </w:rP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C6877" w14:textId="77777777" w:rsidR="000E48CE" w:rsidRDefault="000E48CE">
    <w:pPr>
      <w:pStyle w:val="FooterLandscape"/>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FA9CE" w14:textId="77777777" w:rsidR="000E48CE" w:rsidRDefault="000E48C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A40F" w14:textId="77777777" w:rsidR="000E48CE" w:rsidRDefault="000E48CE">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242924"/>
      <w:docPartObj>
        <w:docPartGallery w:val="Page Numbers (Bottom of Page)"/>
        <w:docPartUnique/>
      </w:docPartObj>
    </w:sdtPr>
    <w:sdtEndPr>
      <w:rPr>
        <w:noProof/>
      </w:rPr>
    </w:sdtEndPr>
    <w:sdtContent>
      <w:p w14:paraId="3F003FA4" w14:textId="47A253D1" w:rsidR="000E48CE" w:rsidRDefault="00FF4C4E">
        <w:pPr>
          <w:pStyle w:val="Footer"/>
          <w:jc w:val="center"/>
        </w:pPr>
        <w:r>
          <w:fldChar w:fldCharType="begin"/>
        </w:r>
        <w:r>
          <w:instrText xml:space="preserve"> PAGE   \* MERGEFORMAT </w:instrText>
        </w:r>
        <w:r>
          <w:fldChar w:fldCharType="separate"/>
        </w:r>
        <w:r>
          <w:t>241</w:t>
        </w:r>
        <w:r>
          <w:fldChar w:fldCharType="end"/>
        </w:r>
      </w:p>
    </w:sdtContent>
  </w:sdt>
  <w:p w14:paraId="56BE887B" w14:textId="5958CEBE" w:rsidR="000E48CE" w:rsidRDefault="000E48CE">
    <w:pPr>
      <w:pStyle w:val="FooterLandscape"/>
      <w:ind w:left="0"/>
      <w:rPr>
        <w:b/>
        <w:sz w:val="20"/>
      </w:rP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0FAC" w14:textId="77777777" w:rsidR="000E48CE" w:rsidRDefault="000E48CE">
    <w:pPr>
      <w:pStyle w:val="FooterLandscape"/>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C07F" w14:textId="77777777" w:rsidR="000E48CE" w:rsidRDefault="000E48CE">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237091"/>
      <w:docPartObj>
        <w:docPartGallery w:val="Page Numbers (Bottom of Page)"/>
        <w:docPartUnique/>
      </w:docPartObj>
    </w:sdtPr>
    <w:sdtEndPr>
      <w:rPr>
        <w:noProof/>
      </w:rPr>
    </w:sdtEndPr>
    <w:sdtContent>
      <w:p w14:paraId="3DB7F316" w14:textId="397655C3" w:rsidR="000E48CE" w:rsidRDefault="00FF4C4E">
        <w:pPr>
          <w:pStyle w:val="Footer"/>
          <w:jc w:val="center"/>
        </w:pPr>
        <w:r>
          <w:fldChar w:fldCharType="begin"/>
        </w:r>
        <w:r>
          <w:instrText xml:space="preserve"> PAGE   \* MERGEFORMAT </w:instrText>
        </w:r>
        <w:r>
          <w:fldChar w:fldCharType="separate"/>
        </w:r>
        <w:r>
          <w:t>243</w:t>
        </w:r>
        <w:r>
          <w:fldChar w:fldCharType="end"/>
        </w:r>
      </w:p>
    </w:sdtContent>
  </w:sdt>
  <w:p w14:paraId="52914C29" w14:textId="71BF6644" w:rsidR="000E48CE" w:rsidRDefault="000E48CE">
    <w:pPr>
      <w:pStyle w:val="Footer"/>
      <w:ind w:left="0"/>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5C6D" w14:textId="77777777" w:rsidR="000E48CE" w:rsidRDefault="000E48CE">
    <w:pPr>
      <w:pStyle w:val="FooterLandscape"/>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C0E6" w14:textId="77777777" w:rsidR="000E48CE" w:rsidRDefault="000E48CE">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797202"/>
      <w:docPartObj>
        <w:docPartGallery w:val="Page Numbers (Bottom of Page)"/>
        <w:docPartUnique/>
      </w:docPartObj>
    </w:sdtPr>
    <w:sdtEndPr>
      <w:rPr>
        <w:noProof/>
      </w:rPr>
    </w:sdtEndPr>
    <w:sdtContent>
      <w:p w14:paraId="3DCE9158" w14:textId="0BC4F5B5" w:rsidR="000E48CE" w:rsidRDefault="00FF4C4E">
        <w:pPr>
          <w:pStyle w:val="Footer"/>
          <w:jc w:val="center"/>
        </w:pPr>
        <w:r>
          <w:fldChar w:fldCharType="begin"/>
        </w:r>
        <w:r>
          <w:instrText xml:space="preserve"> PAGE   \* MERGEFORMAT </w:instrText>
        </w:r>
        <w:r>
          <w:fldChar w:fldCharType="separate"/>
        </w:r>
        <w:r>
          <w:t>246</w:t>
        </w:r>
        <w:r>
          <w:fldChar w:fldCharType="end"/>
        </w:r>
      </w:p>
    </w:sdtContent>
  </w:sdt>
  <w:p w14:paraId="4F6F49C5" w14:textId="4C04849E" w:rsidR="000E48CE" w:rsidRDefault="000E48CE">
    <w:pPr>
      <w:pStyle w:val="Footer"/>
      <w:ind w:left="0"/>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61E77" w14:textId="77777777" w:rsidR="000E48CE" w:rsidRDefault="000E48CE">
    <w:pPr>
      <w:pStyle w:val="FooterLandscape"/>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4D40" w14:textId="77777777" w:rsidR="000E48CE" w:rsidRDefault="000E48C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866895"/>
      <w:docPartObj>
        <w:docPartGallery w:val="Page Numbers (Bottom of Page)"/>
        <w:docPartUnique/>
      </w:docPartObj>
    </w:sdtPr>
    <w:sdtEndPr>
      <w:rPr>
        <w:noProof/>
      </w:rPr>
    </w:sdtEndPr>
    <w:sdtContent>
      <w:p w14:paraId="2FE190ED" w14:textId="546B3E5B" w:rsidR="000E48CE" w:rsidRDefault="00FF4C4E">
        <w:pPr>
          <w:pStyle w:val="P68B1DB1-Footer49"/>
          <w:jc w:val="center"/>
        </w:pPr>
        <w:r>
          <w:fldChar w:fldCharType="begin"/>
        </w:r>
        <w:r>
          <w:instrText xml:space="preserve"> PAGE   \* MERGEFORMAT </w:instrText>
        </w:r>
        <w:r>
          <w:fldChar w:fldCharType="separate"/>
        </w:r>
        <w:r w:rsidR="00460D89">
          <w:rPr>
            <w:noProof/>
          </w:rPr>
          <w:t>23</w:t>
        </w:r>
        <w:r>
          <w:fldChar w:fldCharType="end"/>
        </w:r>
      </w:p>
    </w:sdtContent>
  </w:sdt>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86432"/>
      <w:docPartObj>
        <w:docPartGallery w:val="Page Numbers (Bottom of Page)"/>
        <w:docPartUnique/>
      </w:docPartObj>
    </w:sdtPr>
    <w:sdtEndPr>
      <w:rPr>
        <w:noProof/>
      </w:rPr>
    </w:sdtEndPr>
    <w:sdtContent>
      <w:p w14:paraId="1A8C6B19" w14:textId="1E12C865" w:rsidR="000E48CE" w:rsidRDefault="00FF4C4E">
        <w:pPr>
          <w:pStyle w:val="Footer"/>
          <w:jc w:val="center"/>
        </w:pPr>
        <w:r>
          <w:fldChar w:fldCharType="begin"/>
        </w:r>
        <w:r>
          <w:instrText xml:space="preserve"> PAGE   \</w:instrText>
        </w:r>
        <w:r>
          <w:instrText xml:space="preserve">* MERGEFORMAT </w:instrText>
        </w:r>
        <w:r>
          <w:fldChar w:fldCharType="separate"/>
        </w:r>
        <w:r>
          <w:t>248</w:t>
        </w:r>
        <w:r>
          <w:fldChar w:fldCharType="end"/>
        </w:r>
      </w:p>
    </w:sdtContent>
  </w:sdt>
  <w:p w14:paraId="133A571A" w14:textId="67C7C894" w:rsidR="000E48CE" w:rsidRDefault="000E48CE">
    <w:pPr>
      <w:pStyle w:val="Footer"/>
      <w:tabs>
        <w:tab w:val="clear" w:pos="4535"/>
        <w:tab w:val="center" w:pos="4536"/>
        <w:tab w:val="left" w:pos="6620"/>
      </w:tabs>
      <w:ind w:left="0"/>
      <w:rPr>
        <w:sz w:val="20"/>
      </w:rP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90BA" w14:textId="77777777" w:rsidR="000E48CE" w:rsidRDefault="000E48CE">
    <w:pPr>
      <w:pStyle w:val="FooterLandscape"/>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3FF4" w14:textId="77777777" w:rsidR="000E48CE" w:rsidRDefault="000E48CE">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363749"/>
      <w:docPartObj>
        <w:docPartGallery w:val="Page Numbers (Bottom of Page)"/>
        <w:docPartUnique/>
      </w:docPartObj>
    </w:sdtPr>
    <w:sdtEndPr>
      <w:rPr>
        <w:noProof/>
      </w:rPr>
    </w:sdtEndPr>
    <w:sdtContent>
      <w:p w14:paraId="56FDE200" w14:textId="519E818A" w:rsidR="000E48CE" w:rsidRDefault="00FF4C4E">
        <w:pPr>
          <w:pStyle w:val="Footer"/>
          <w:jc w:val="center"/>
        </w:pPr>
        <w:r>
          <w:fldChar w:fldCharType="begin"/>
        </w:r>
        <w:r>
          <w:instrText xml:space="preserve"> PAGE   \* MERGEFORMAT </w:instrText>
        </w:r>
        <w:r>
          <w:fldChar w:fldCharType="separate"/>
        </w:r>
        <w:r>
          <w:t>259</w:t>
        </w:r>
        <w:r>
          <w:fldChar w:fldCharType="end"/>
        </w:r>
      </w:p>
    </w:sdtContent>
  </w:sdt>
  <w:p w14:paraId="375DCF8C" w14:textId="0835EC02" w:rsidR="000E48CE" w:rsidRDefault="000E48CE">
    <w:pPr>
      <w:pStyle w:val="Footer"/>
      <w:ind w:left="0"/>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6442" w14:textId="77777777" w:rsidR="000E48CE" w:rsidRDefault="000E48CE">
    <w:pPr>
      <w:pStyle w:val="FooterLandscape"/>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B62F" w14:textId="77777777" w:rsidR="000E48CE" w:rsidRDefault="000E48CE">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212706"/>
      <w:docPartObj>
        <w:docPartGallery w:val="Page Numbers (Bottom of Page)"/>
        <w:docPartUnique/>
      </w:docPartObj>
    </w:sdtPr>
    <w:sdtEndPr>
      <w:rPr>
        <w:noProof/>
      </w:rPr>
    </w:sdtEndPr>
    <w:sdtContent>
      <w:p w14:paraId="219BAF74" w14:textId="48DC6379" w:rsidR="000E48CE" w:rsidRDefault="00FF4C4E">
        <w:pPr>
          <w:pStyle w:val="Footer"/>
          <w:jc w:val="center"/>
        </w:pPr>
        <w:r>
          <w:fldChar w:fldCharType="begin"/>
        </w:r>
        <w:r>
          <w:instrText xml:space="preserve"> PAGE   \* MERGEFORMAT </w:instrText>
        </w:r>
        <w:r>
          <w:fldChar w:fldCharType="separate"/>
        </w:r>
        <w:r>
          <w:t>267</w:t>
        </w:r>
        <w:r>
          <w:fldChar w:fldCharType="end"/>
        </w:r>
      </w:p>
    </w:sdtContent>
  </w:sdt>
  <w:p w14:paraId="5A510734" w14:textId="612FE9BA" w:rsidR="000E48CE" w:rsidRDefault="000E48CE">
    <w:pPr>
      <w:pStyle w:val="Footer"/>
      <w:tabs>
        <w:tab w:val="left" w:pos="5520"/>
      </w:tabs>
      <w:ind w:left="0"/>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95A6" w14:textId="77777777" w:rsidR="000E48CE" w:rsidRDefault="000E48CE">
    <w:pPr>
      <w:pStyle w:val="FooterLandscape"/>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1F4CC" w14:textId="77777777" w:rsidR="000E48CE" w:rsidRDefault="000E48CE">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445163"/>
      <w:docPartObj>
        <w:docPartGallery w:val="Page Numbers (Bottom of Page)"/>
        <w:docPartUnique/>
      </w:docPartObj>
    </w:sdtPr>
    <w:sdtEndPr>
      <w:rPr>
        <w:noProof/>
      </w:rPr>
    </w:sdtEndPr>
    <w:sdtContent>
      <w:p w14:paraId="0AAFA280" w14:textId="711EB63D" w:rsidR="000E48CE" w:rsidRDefault="00FF4C4E">
        <w:pPr>
          <w:pStyle w:val="Footer"/>
          <w:jc w:val="center"/>
        </w:pPr>
        <w:r>
          <w:fldChar w:fldCharType="begin"/>
        </w:r>
        <w:r>
          <w:instrText xml:space="preserve"> PAGE   \* MERGEFORMAT </w:instrText>
        </w:r>
        <w:r>
          <w:fldChar w:fldCharType="separate"/>
        </w:r>
        <w:r>
          <w:t>269</w:t>
        </w:r>
        <w:r>
          <w:fldChar w:fldCharType="end"/>
        </w:r>
      </w:p>
    </w:sdtContent>
  </w:sdt>
  <w:p w14:paraId="0D4121BF" w14:textId="43B1A1E0" w:rsidR="000E48CE" w:rsidRDefault="000E48C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05A4" w14:textId="77777777" w:rsidR="000E48CE" w:rsidRDefault="000E48C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6611" w14:textId="77777777" w:rsidR="000E48CE" w:rsidRDefault="000E48CE">
    <w:pPr>
      <w:pStyle w:val="FooterLandscape"/>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D78C4" w14:textId="77777777" w:rsidR="000E48CE" w:rsidRDefault="000E48CE">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28930"/>
      <w:docPartObj>
        <w:docPartGallery w:val="Page Numbers (Bottom of Page)"/>
        <w:docPartUnique/>
      </w:docPartObj>
    </w:sdtPr>
    <w:sdtEndPr>
      <w:rPr>
        <w:noProof/>
      </w:rPr>
    </w:sdtEndPr>
    <w:sdtContent>
      <w:p w14:paraId="021C4B02" w14:textId="49E0F8B7" w:rsidR="000E48CE" w:rsidRDefault="00FF4C4E">
        <w:pPr>
          <w:pStyle w:val="Footer"/>
          <w:jc w:val="center"/>
        </w:pPr>
        <w:r>
          <w:fldChar w:fldCharType="begin"/>
        </w:r>
        <w:r>
          <w:instrText xml:space="preserve"> PAGE   \* MERGEFORMAT </w:instrText>
        </w:r>
        <w:r>
          <w:fldChar w:fldCharType="separate"/>
        </w:r>
        <w:r>
          <w:t>271</w:t>
        </w:r>
        <w:r>
          <w:fldChar w:fldCharType="end"/>
        </w:r>
      </w:p>
    </w:sdtContent>
  </w:sdt>
  <w:p w14:paraId="383A62CE" w14:textId="60F64F2F" w:rsidR="000E48CE" w:rsidRDefault="000E48CE">
    <w:pPr>
      <w:pStyle w:val="Footer"/>
      <w:ind w:left="0"/>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FB52" w14:textId="77777777" w:rsidR="000E48CE" w:rsidRDefault="000E48CE">
    <w:pPr>
      <w:pStyle w:val="FooterLandscape"/>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2765" w14:textId="77777777" w:rsidR="000E48CE" w:rsidRDefault="000E48CE">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5874"/>
      <w:docPartObj>
        <w:docPartGallery w:val="Page Numbers (Bottom of Page)"/>
        <w:docPartUnique/>
      </w:docPartObj>
    </w:sdtPr>
    <w:sdtEndPr>
      <w:rPr>
        <w:noProof/>
      </w:rPr>
    </w:sdtEndPr>
    <w:sdtContent>
      <w:p w14:paraId="5016570B" w14:textId="56B26390" w:rsidR="000E48CE" w:rsidRDefault="00FF4C4E">
        <w:pPr>
          <w:pStyle w:val="Footer"/>
          <w:jc w:val="center"/>
        </w:pPr>
        <w:r>
          <w:fldChar w:fldCharType="begin"/>
        </w:r>
        <w:r>
          <w:instrText xml:space="preserve"> PAGE   \* MERGEFORMAT </w:instrText>
        </w:r>
        <w:r>
          <w:fldChar w:fldCharType="separate"/>
        </w:r>
        <w:r>
          <w:t>277</w:t>
        </w:r>
        <w:r>
          <w:fldChar w:fldCharType="end"/>
        </w:r>
      </w:p>
    </w:sdtContent>
  </w:sdt>
  <w:p w14:paraId="0E2DC08A" w14:textId="25873C05" w:rsidR="000E48CE" w:rsidRDefault="000E48CE">
    <w:pPr>
      <w:pStyle w:val="FooterLandscape"/>
      <w:ind w:left="0"/>
      <w:rPr>
        <w:rFonts w:ascii="Arial" w:hAnsi="Arial" w:cs="Arial"/>
        <w:b/>
        <w:sz w:val="20"/>
      </w:rP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76B0" w14:textId="77777777" w:rsidR="000E48CE" w:rsidRDefault="000E48CE">
    <w:pPr>
      <w:pStyle w:val="FooterLandscape"/>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F2F2" w14:textId="77777777" w:rsidR="000E48CE" w:rsidRDefault="000E48CE">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471838"/>
      <w:docPartObj>
        <w:docPartGallery w:val="Page Numbers (Bottom of Page)"/>
        <w:docPartUnique/>
      </w:docPartObj>
    </w:sdtPr>
    <w:sdtEndPr>
      <w:rPr>
        <w:noProof/>
      </w:rPr>
    </w:sdtEndPr>
    <w:sdtContent>
      <w:p w14:paraId="7EF688D6" w14:textId="14A27869" w:rsidR="000E48CE" w:rsidRDefault="00FF4C4E">
        <w:pPr>
          <w:pStyle w:val="Footer"/>
          <w:jc w:val="center"/>
        </w:pPr>
        <w:r>
          <w:fldChar w:fldCharType="begin"/>
        </w:r>
        <w:r>
          <w:instrText xml:space="preserve"> PAGE   \* MERGEFORMAT </w:instrText>
        </w:r>
        <w:r>
          <w:fldChar w:fldCharType="separate"/>
        </w:r>
        <w:r>
          <w:t>283</w:t>
        </w:r>
        <w:r>
          <w:fldChar w:fldCharType="end"/>
        </w:r>
      </w:p>
    </w:sdtContent>
  </w:sdt>
  <w:p w14:paraId="4EEB7122" w14:textId="422BA087" w:rsidR="000E48CE" w:rsidRDefault="000E48CE">
    <w:pPr>
      <w:pStyle w:val="Footer"/>
      <w:tabs>
        <w:tab w:val="clear" w:pos="4535"/>
        <w:tab w:val="center" w:pos="4536"/>
        <w:tab w:val="left" w:pos="5140"/>
      </w:tabs>
      <w:ind w:left="0"/>
      <w:rPr>
        <w:sz w:val="20"/>
      </w:rP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F446" w14:textId="77777777" w:rsidR="000E48CE" w:rsidRDefault="000E48CE">
    <w:pPr>
      <w:pStyle w:val="FooterLandscape"/>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7378" w14:textId="77777777" w:rsidR="000E48CE" w:rsidRDefault="000E48CE">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8A93" w14:textId="77777777" w:rsidR="000E48CE" w:rsidRDefault="000E48CE">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344272"/>
      <w:docPartObj>
        <w:docPartGallery w:val="Page Numbers (Bottom of Page)"/>
        <w:docPartUnique/>
      </w:docPartObj>
    </w:sdtPr>
    <w:sdtEndPr>
      <w:rPr>
        <w:noProof/>
      </w:rPr>
    </w:sdtEndPr>
    <w:sdtContent>
      <w:p w14:paraId="2FD345BF" w14:textId="37F2199B" w:rsidR="000E48CE" w:rsidRDefault="00FF4C4E">
        <w:pPr>
          <w:pStyle w:val="Footer"/>
          <w:jc w:val="center"/>
        </w:pPr>
        <w:r>
          <w:fldChar w:fldCharType="begin"/>
        </w:r>
        <w:r>
          <w:instrText xml:space="preserve"> PAGE   \* MERGEFORMAT </w:instrText>
        </w:r>
        <w:r>
          <w:fldChar w:fldCharType="separate"/>
        </w:r>
        <w:r>
          <w:t>285</w:t>
        </w:r>
        <w:r>
          <w:fldChar w:fldCharType="end"/>
        </w:r>
      </w:p>
    </w:sdtContent>
  </w:sdt>
  <w:p w14:paraId="2C897EF3" w14:textId="10A89E72" w:rsidR="000E48CE" w:rsidRDefault="000E48CE">
    <w:pPr>
      <w:pStyle w:val="FooterLandscape"/>
      <w:ind w:left="0"/>
      <w:rPr>
        <w:rFonts w:ascii="Arial" w:hAnsi="Arial" w:cs="Arial"/>
        <w:b/>
        <w:sz w:val="20"/>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D139B" w14:textId="77777777" w:rsidR="000E48CE" w:rsidRDefault="000E48CE">
    <w:pPr>
      <w:pStyle w:val="FooterLandscape"/>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597E" w14:textId="77777777" w:rsidR="000E48CE" w:rsidRDefault="000E48CE">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426243"/>
      <w:docPartObj>
        <w:docPartGallery w:val="Page Numbers (Bottom of Page)"/>
        <w:docPartUnique/>
      </w:docPartObj>
    </w:sdtPr>
    <w:sdtEndPr>
      <w:rPr>
        <w:noProof/>
      </w:rPr>
    </w:sdtEndPr>
    <w:sdtContent>
      <w:p w14:paraId="13678546" w14:textId="5DCD1165" w:rsidR="000E48CE" w:rsidRDefault="00FF4C4E">
        <w:pPr>
          <w:pStyle w:val="Footer"/>
          <w:jc w:val="center"/>
        </w:pPr>
        <w:r>
          <w:fldChar w:fldCharType="begin"/>
        </w:r>
        <w:r>
          <w:instrText xml:space="preserve"> PAGE   \* MERGEFORMAT </w:instrText>
        </w:r>
        <w:r>
          <w:fldChar w:fldCharType="separate"/>
        </w:r>
        <w:r>
          <w:t>287</w:t>
        </w:r>
        <w:r>
          <w:fldChar w:fldCharType="end"/>
        </w:r>
      </w:p>
    </w:sdtContent>
  </w:sdt>
  <w:p w14:paraId="0AED6F10" w14:textId="10361349" w:rsidR="000E48CE" w:rsidRDefault="000E48CE">
    <w:pPr>
      <w:pStyle w:val="Footer"/>
      <w:ind w:left="0"/>
      <w:rPr>
        <w:sz w:val="20"/>
      </w:rP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57540" w14:textId="77777777" w:rsidR="000E48CE" w:rsidRDefault="000E48CE">
    <w:pPr>
      <w:pStyle w:val="FooterLandscape"/>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1EA9" w14:textId="77777777" w:rsidR="000E48CE" w:rsidRDefault="000E48CE">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018168"/>
      <w:docPartObj>
        <w:docPartGallery w:val="Page Numbers (Bottom of Page)"/>
        <w:docPartUnique/>
      </w:docPartObj>
    </w:sdtPr>
    <w:sdtEndPr>
      <w:rPr>
        <w:noProof/>
      </w:rPr>
    </w:sdtEndPr>
    <w:sdtContent>
      <w:p w14:paraId="43968FFC" w14:textId="1F21317A" w:rsidR="000E48CE" w:rsidRDefault="00FF4C4E">
        <w:pPr>
          <w:pStyle w:val="Footer"/>
          <w:jc w:val="center"/>
        </w:pPr>
        <w:r>
          <w:fldChar w:fldCharType="begin"/>
        </w:r>
        <w:r>
          <w:instrText xml:space="preserve"> PAGE   \* MERGEFORMAT </w:instrText>
        </w:r>
        <w:r>
          <w:fldChar w:fldCharType="separate"/>
        </w:r>
        <w:r>
          <w:t>291</w:t>
        </w:r>
        <w:r>
          <w:fldChar w:fldCharType="end"/>
        </w:r>
      </w:p>
    </w:sdtContent>
  </w:sdt>
  <w:p w14:paraId="3A9E4DCE" w14:textId="0FDB0F39" w:rsidR="000E48CE" w:rsidRDefault="000E48CE">
    <w:pPr>
      <w:pStyle w:val="Footer"/>
      <w:ind w:left="0"/>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5649" w14:textId="77777777" w:rsidR="000E48CE" w:rsidRDefault="000E48CE">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1EBC" w14:textId="77777777" w:rsidR="000E48CE" w:rsidRDefault="000E4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25888" w14:textId="67A0B825" w:rsidR="00996749" w:rsidRPr="00FF4C4E" w:rsidRDefault="00FF4C4E" w:rsidP="00FF4C4E">
    <w:pPr>
      <w:pStyle w:val="FooterCoverPage"/>
      <w:rPr>
        <w:rFonts w:ascii="Arial" w:hAnsi="Arial" w:cs="Arial"/>
        <w:b/>
        <w:sz w:val="48"/>
      </w:rPr>
    </w:pPr>
    <w:r w:rsidRPr="00FF4C4E">
      <w:rPr>
        <w:rFonts w:ascii="Arial" w:hAnsi="Arial" w:cs="Arial"/>
        <w:b/>
        <w:sz w:val="48"/>
      </w:rPr>
      <w:t>FI</w:t>
    </w:r>
    <w:r w:rsidRPr="00FF4C4E">
      <w:rPr>
        <w:rFonts w:ascii="Arial" w:hAnsi="Arial" w:cs="Arial"/>
        <w:b/>
        <w:sz w:val="48"/>
      </w:rPr>
      <w:tab/>
    </w:r>
    <w:r w:rsidRPr="00FF4C4E">
      <w:rPr>
        <w:rFonts w:ascii="Arial" w:hAnsi="Arial" w:cs="Arial"/>
        <w:b/>
        <w:sz w:val="48"/>
      </w:rPr>
      <w:tab/>
    </w:r>
    <w:r w:rsidRPr="00FF4C4E">
      <w:tab/>
    </w:r>
    <w:r w:rsidRPr="00FF4C4E">
      <w:rPr>
        <w:rFonts w:ascii="Arial" w:hAnsi="Arial" w:cs="Arial"/>
        <w:b/>
        <w:sz w:val="48"/>
      </w:rPr>
      <w:t>FI</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693896"/>
      <w:docPartObj>
        <w:docPartGallery w:val="Page Numbers (Bottom of Page)"/>
        <w:docPartUnique/>
      </w:docPartObj>
    </w:sdtPr>
    <w:sdtEndPr>
      <w:rPr>
        <w:noProof/>
      </w:rPr>
    </w:sdtEndPr>
    <w:sdtContent>
      <w:p w14:paraId="1C4AC2EA" w14:textId="088ECEC8" w:rsidR="000E48CE" w:rsidRDefault="00FF4C4E">
        <w:pPr>
          <w:pStyle w:val="P68B1DB1-Footer49"/>
          <w:jc w:val="center"/>
        </w:pPr>
        <w:r>
          <w:fldChar w:fldCharType="begin"/>
        </w:r>
        <w:r>
          <w:instrText xml:space="preserve"> PAGE   \* MERGEFORMAT </w:instrText>
        </w:r>
        <w:r>
          <w:fldChar w:fldCharType="separate"/>
        </w:r>
        <w:r w:rsidR="00460D89">
          <w:rPr>
            <w:noProof/>
          </w:rPr>
          <w:t>29</w:t>
        </w:r>
        <w:r>
          <w:fldChar w:fldCharType="end"/>
        </w:r>
      </w:p>
    </w:sdtContent>
  </w:sdt>
  <w:p w14:paraId="635508F2" w14:textId="007CB464" w:rsidR="000E48CE" w:rsidRDefault="000E48CE">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12746"/>
      <w:docPartObj>
        <w:docPartGallery w:val="Page Numbers (Bottom of Page)"/>
        <w:docPartUnique/>
      </w:docPartObj>
    </w:sdtPr>
    <w:sdtEndPr>
      <w:rPr>
        <w:noProof/>
      </w:rPr>
    </w:sdtEndPr>
    <w:sdtContent>
      <w:p w14:paraId="246B10B0" w14:textId="5773CA5E" w:rsidR="000E48CE" w:rsidRDefault="00FF4C4E">
        <w:pPr>
          <w:pStyle w:val="Footer"/>
          <w:jc w:val="center"/>
        </w:pPr>
        <w:r>
          <w:fldChar w:fldCharType="begin"/>
        </w:r>
        <w:r>
          <w:instrText xml:space="preserve"> PAGE   \* MERGEFORMAT </w:instrText>
        </w:r>
        <w:r>
          <w:fldChar w:fldCharType="separate"/>
        </w:r>
        <w:r>
          <w:t>293</w:t>
        </w:r>
        <w:r>
          <w:fldChar w:fldCharType="end"/>
        </w:r>
      </w:p>
    </w:sdtContent>
  </w:sdt>
  <w:p w14:paraId="0787A5F8" w14:textId="7E30CE04" w:rsidR="000E48CE" w:rsidRDefault="000E48CE">
    <w:pPr>
      <w:pStyle w:val="Footer"/>
      <w:ind w:left="0"/>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3C38" w14:textId="77777777" w:rsidR="000E48CE" w:rsidRDefault="000E48CE">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35747" w14:textId="77777777" w:rsidR="000E48CE" w:rsidRDefault="000E48CE">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01096"/>
      <w:docPartObj>
        <w:docPartGallery w:val="Page Numbers (Bottom of Page)"/>
        <w:docPartUnique/>
      </w:docPartObj>
    </w:sdtPr>
    <w:sdtEndPr>
      <w:rPr>
        <w:noProof/>
      </w:rPr>
    </w:sdtEndPr>
    <w:sdtContent>
      <w:p w14:paraId="76602E52" w14:textId="10276912" w:rsidR="000E48CE" w:rsidRDefault="00FF4C4E">
        <w:pPr>
          <w:pStyle w:val="Footer"/>
          <w:jc w:val="center"/>
        </w:pPr>
        <w:r>
          <w:fldChar w:fldCharType="begin"/>
        </w:r>
        <w:r>
          <w:instrText xml:space="preserve"> PAGE   \* MERGEFORMAT </w:instrText>
        </w:r>
        <w:r>
          <w:fldChar w:fldCharType="separate"/>
        </w:r>
        <w:r>
          <w:t>299</w:t>
        </w:r>
        <w:r>
          <w:fldChar w:fldCharType="end"/>
        </w:r>
      </w:p>
    </w:sdtContent>
  </w:sdt>
  <w:p w14:paraId="3C3ECB68" w14:textId="3367D77B" w:rsidR="000E48CE" w:rsidRDefault="000E48CE">
    <w:pPr>
      <w:pStyle w:val="FooterLandscape"/>
      <w:ind w:left="0"/>
      <w:rPr>
        <w:rFonts w:ascii="Arial" w:hAnsi="Arial" w:cs="Arial"/>
        <w:b/>
        <w:sz w:val="20"/>
      </w:rPr>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BD21" w14:textId="77777777" w:rsidR="000E48CE" w:rsidRDefault="000E48CE">
    <w:pPr>
      <w:pStyle w:val="FooterLandscape"/>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75BA" w14:textId="77777777" w:rsidR="000E48CE" w:rsidRDefault="000E48CE">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65105"/>
      <w:docPartObj>
        <w:docPartGallery w:val="Page Numbers (Bottom of Page)"/>
        <w:docPartUnique/>
      </w:docPartObj>
    </w:sdtPr>
    <w:sdtEndPr>
      <w:rPr>
        <w:noProof/>
      </w:rPr>
    </w:sdtEndPr>
    <w:sdtContent>
      <w:p w14:paraId="3E7BC28A" w14:textId="52F680C0" w:rsidR="000E48CE" w:rsidRDefault="00FF4C4E">
        <w:pPr>
          <w:pStyle w:val="Footer"/>
          <w:jc w:val="center"/>
        </w:pPr>
        <w:r>
          <w:fldChar w:fldCharType="begin"/>
        </w:r>
        <w:r>
          <w:instrText xml:space="preserve"> PAGE   \* MERGEFORMAT </w:instrText>
        </w:r>
        <w:r>
          <w:fldChar w:fldCharType="separate"/>
        </w:r>
        <w:r>
          <w:t>303</w:t>
        </w:r>
        <w:r>
          <w:fldChar w:fldCharType="end"/>
        </w:r>
      </w:p>
    </w:sdtContent>
  </w:sdt>
  <w:p w14:paraId="2DCC14F4" w14:textId="5C4C2731" w:rsidR="000E48CE" w:rsidRDefault="000E48CE">
    <w:pPr>
      <w:pStyle w:val="Footer"/>
      <w:ind w:left="0"/>
      <w:rPr>
        <w:sz w:val="20"/>
      </w:rPr>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185A" w14:textId="77777777" w:rsidR="000E48CE" w:rsidRDefault="000E48CE">
    <w:pPr>
      <w:pStyle w:val="FooterLandscape"/>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2E40" w14:textId="77777777" w:rsidR="000E48CE" w:rsidRDefault="000E48CE">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263641"/>
      <w:docPartObj>
        <w:docPartGallery w:val="Page Numbers (Bottom of Page)"/>
        <w:docPartUnique/>
      </w:docPartObj>
    </w:sdtPr>
    <w:sdtEndPr>
      <w:rPr>
        <w:noProof/>
      </w:rPr>
    </w:sdtEndPr>
    <w:sdtContent>
      <w:p w14:paraId="6366967E" w14:textId="55B61BD7" w:rsidR="000E48CE" w:rsidRDefault="00FF4C4E">
        <w:pPr>
          <w:pStyle w:val="Footer"/>
          <w:jc w:val="center"/>
        </w:pPr>
        <w:r>
          <w:fldChar w:fldCharType="begin"/>
        </w:r>
        <w:r>
          <w:instrText xml:space="preserve"> PAGE   \* MERGEFORMAT </w:instrText>
        </w:r>
        <w:r>
          <w:fldChar w:fldCharType="separate"/>
        </w:r>
        <w:r>
          <w:t>308</w:t>
        </w:r>
        <w:r>
          <w:fldChar w:fldCharType="end"/>
        </w:r>
      </w:p>
    </w:sdtContent>
  </w:sdt>
  <w:p w14:paraId="77D3AE4E" w14:textId="601D6989" w:rsidR="000E48CE" w:rsidRDefault="000E48CE">
    <w:pPr>
      <w:pStyle w:val="FooterLandscape"/>
      <w:ind w:left="0"/>
      <w:rPr>
        <w:rFonts w:ascii="Arial" w:hAnsi="Arial" w:cs="Arial"/>
        <w:b/>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A4D5" w14:textId="77777777" w:rsidR="000E48CE" w:rsidRDefault="000E48CE">
    <w:pPr>
      <w:pStyle w:val="FooterLandscape"/>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FC68" w14:textId="77777777" w:rsidR="000E48CE" w:rsidRDefault="000E48CE">
    <w:pPr>
      <w:pStyle w:val="FooterLandscape"/>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A278A" w14:textId="77777777" w:rsidR="000E48CE" w:rsidRDefault="000E48CE">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092906"/>
      <w:docPartObj>
        <w:docPartGallery w:val="Page Numbers (Bottom of Page)"/>
        <w:docPartUnique/>
      </w:docPartObj>
    </w:sdtPr>
    <w:sdtEndPr>
      <w:rPr>
        <w:noProof/>
      </w:rPr>
    </w:sdtEndPr>
    <w:sdtContent>
      <w:p w14:paraId="0B57666B" w14:textId="4656FBFE" w:rsidR="000E48CE" w:rsidRDefault="00FF4C4E">
        <w:pPr>
          <w:pStyle w:val="Footer"/>
          <w:jc w:val="center"/>
        </w:pPr>
        <w:r>
          <w:fldChar w:fldCharType="begin"/>
        </w:r>
        <w:r>
          <w:instrText xml:space="preserve"> PAGE   \* MERGEFORMAT </w:instrText>
        </w:r>
        <w:r>
          <w:fldChar w:fldCharType="separate"/>
        </w:r>
        <w:r>
          <w:t>313</w:t>
        </w:r>
        <w:r>
          <w:fldChar w:fldCharType="end"/>
        </w:r>
      </w:p>
    </w:sdtContent>
  </w:sdt>
  <w:p w14:paraId="0310658A" w14:textId="62B41DD5" w:rsidR="000E48CE" w:rsidRDefault="000E48CE">
    <w:pPr>
      <w:pStyle w:val="Footer"/>
      <w:ind w:left="0"/>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4E0D" w14:textId="77777777" w:rsidR="000E48CE" w:rsidRDefault="000E48CE">
    <w:pPr>
      <w:pStyle w:val="FooterLandscape"/>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8432" w14:textId="77777777" w:rsidR="000E48CE" w:rsidRDefault="000E48CE">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990138"/>
      <w:docPartObj>
        <w:docPartGallery w:val="Page Numbers (Bottom of Page)"/>
        <w:docPartUnique/>
      </w:docPartObj>
    </w:sdtPr>
    <w:sdtEndPr>
      <w:rPr>
        <w:noProof/>
      </w:rPr>
    </w:sdtEndPr>
    <w:sdtContent>
      <w:p w14:paraId="2707BC01" w14:textId="120E26E7" w:rsidR="000E48CE" w:rsidRDefault="00FF4C4E">
        <w:pPr>
          <w:pStyle w:val="Footer"/>
          <w:jc w:val="center"/>
        </w:pPr>
        <w:r>
          <w:fldChar w:fldCharType="begin"/>
        </w:r>
        <w:r>
          <w:instrText xml:space="preserve"> PAGE   \* MERGEFORMAT </w:instrText>
        </w:r>
        <w:r>
          <w:fldChar w:fldCharType="separate"/>
        </w:r>
        <w:r>
          <w:t>317</w:t>
        </w:r>
        <w:r>
          <w:fldChar w:fldCharType="end"/>
        </w:r>
      </w:p>
    </w:sdtContent>
  </w:sdt>
  <w:p w14:paraId="4B22FE2E" w14:textId="517ED67D" w:rsidR="000E48CE" w:rsidRDefault="000E48CE">
    <w:pPr>
      <w:pStyle w:val="Footer"/>
      <w:ind w:left="0"/>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5FC1" w14:textId="77777777" w:rsidR="000E48CE" w:rsidRDefault="000E48CE">
    <w:pPr>
      <w:pStyle w:val="FooterLandscape"/>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2B40" w14:textId="77777777" w:rsidR="000E48CE" w:rsidRDefault="000E48CE">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726630"/>
      <w:docPartObj>
        <w:docPartGallery w:val="Page Numbers (Bottom of Page)"/>
        <w:docPartUnique/>
      </w:docPartObj>
    </w:sdtPr>
    <w:sdtEndPr>
      <w:rPr>
        <w:noProof/>
      </w:rPr>
    </w:sdtEndPr>
    <w:sdtContent>
      <w:p w14:paraId="2A773330" w14:textId="43F72769" w:rsidR="000E48CE" w:rsidRDefault="00FF4C4E">
        <w:pPr>
          <w:pStyle w:val="Footer"/>
          <w:jc w:val="center"/>
        </w:pPr>
        <w:r>
          <w:fldChar w:fldCharType="begin"/>
        </w:r>
        <w:r>
          <w:instrText xml:space="preserve"> PAGE   \* MERGEFORMAT </w:instrText>
        </w:r>
        <w:r>
          <w:fldChar w:fldCharType="separate"/>
        </w:r>
        <w:r>
          <w:t>318</w:t>
        </w:r>
        <w:r>
          <w:fldChar w:fldCharType="end"/>
        </w:r>
      </w:p>
    </w:sdtContent>
  </w:sdt>
  <w:p w14:paraId="16721245" w14:textId="4F037817" w:rsidR="000E48CE" w:rsidRDefault="000E48CE">
    <w:pPr>
      <w:pStyle w:val="Footer"/>
      <w:tabs>
        <w:tab w:val="clear" w:pos="4535"/>
        <w:tab w:val="center" w:pos="4536"/>
        <w:tab w:val="left" w:pos="5580"/>
      </w:tabs>
      <w:ind w:left="0"/>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5B64" w14:textId="77777777" w:rsidR="000E48CE" w:rsidRDefault="000E48CE">
    <w:pPr>
      <w:pStyle w:val="FooterLandscape"/>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F58D" w14:textId="77777777" w:rsidR="000E48CE" w:rsidRDefault="000E48CE">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0B33" w14:textId="77777777" w:rsidR="000E48CE" w:rsidRDefault="000E48CE">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46978"/>
      <w:docPartObj>
        <w:docPartGallery w:val="Page Numbers (Bottom of Page)"/>
        <w:docPartUnique/>
      </w:docPartObj>
    </w:sdtPr>
    <w:sdtEndPr>
      <w:rPr>
        <w:noProof/>
      </w:rPr>
    </w:sdtEndPr>
    <w:sdtContent>
      <w:p w14:paraId="11FE93EE" w14:textId="7BAFC986" w:rsidR="000E48CE" w:rsidRDefault="00FF4C4E">
        <w:pPr>
          <w:pStyle w:val="Footer"/>
          <w:jc w:val="center"/>
        </w:pPr>
        <w:r>
          <w:fldChar w:fldCharType="begin"/>
        </w:r>
        <w:r>
          <w:instrText xml:space="preserve"> PAGE   \* MERGEFORMAT </w:instrText>
        </w:r>
        <w:r>
          <w:fldChar w:fldCharType="separate"/>
        </w:r>
        <w:r>
          <w:t>327</w:t>
        </w:r>
        <w:r>
          <w:fldChar w:fldCharType="end"/>
        </w:r>
      </w:p>
    </w:sdtContent>
  </w:sdt>
  <w:p w14:paraId="682A4FBA" w14:textId="55AC7773" w:rsidR="000E48CE" w:rsidRDefault="000E48CE">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BE6AB" w14:textId="77777777" w:rsidR="000E48CE" w:rsidRDefault="000E48CE">
    <w:pPr>
      <w:pStyle w:val="FooterLandscape"/>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CD9C" w14:textId="77777777" w:rsidR="000E48CE" w:rsidRDefault="000E48CE">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319686"/>
      <w:docPartObj>
        <w:docPartGallery w:val="Page Numbers (Bottom of Page)"/>
        <w:docPartUnique/>
      </w:docPartObj>
    </w:sdtPr>
    <w:sdtEndPr>
      <w:rPr>
        <w:noProof/>
      </w:rPr>
    </w:sdtEndPr>
    <w:sdtContent>
      <w:p w14:paraId="2B855221" w14:textId="671097A3" w:rsidR="000E48CE" w:rsidRDefault="00FF4C4E">
        <w:pPr>
          <w:pStyle w:val="Footer"/>
          <w:jc w:val="center"/>
        </w:pPr>
        <w:r>
          <w:fldChar w:fldCharType="begin"/>
        </w:r>
        <w:r>
          <w:instrText xml:space="preserve"> PAGE   \* MERGEFORMAT </w:instrText>
        </w:r>
        <w:r>
          <w:fldChar w:fldCharType="separate"/>
        </w:r>
        <w:r>
          <w:t>333</w:t>
        </w:r>
        <w:r>
          <w:fldChar w:fldCharType="end"/>
        </w:r>
      </w:p>
    </w:sdtContent>
  </w:sdt>
  <w:p w14:paraId="5824EF79" w14:textId="286E87CC" w:rsidR="000E48CE" w:rsidRDefault="000E48CE">
    <w:pPr>
      <w:pStyle w:val="Footer"/>
      <w:ind w:left="0"/>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24CB" w14:textId="77777777" w:rsidR="000E48CE" w:rsidRDefault="000E48CE">
    <w:pPr>
      <w:pStyle w:val="FooterLandscape"/>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C55F2" w14:textId="77777777" w:rsidR="000E48CE" w:rsidRDefault="000E48CE">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900454"/>
      <w:docPartObj>
        <w:docPartGallery w:val="Page Numbers (Bottom of Page)"/>
        <w:docPartUnique/>
      </w:docPartObj>
    </w:sdtPr>
    <w:sdtEndPr>
      <w:rPr>
        <w:noProof/>
      </w:rPr>
    </w:sdtEndPr>
    <w:sdtContent>
      <w:p w14:paraId="4FC8241F" w14:textId="02962880" w:rsidR="000E48CE" w:rsidRDefault="00FF4C4E">
        <w:pPr>
          <w:pStyle w:val="Footer"/>
          <w:jc w:val="center"/>
        </w:pPr>
        <w:r>
          <w:fldChar w:fldCharType="begin"/>
        </w:r>
        <w:r>
          <w:instrText xml:space="preserve"> PAGE   \* MERGEFORMAT </w:instrText>
        </w:r>
        <w:r>
          <w:fldChar w:fldCharType="separate"/>
        </w:r>
        <w:r>
          <w:t>338</w:t>
        </w:r>
        <w:r>
          <w:fldChar w:fldCharType="end"/>
        </w:r>
      </w:p>
    </w:sdtContent>
  </w:sdt>
  <w:p w14:paraId="3A9949BB" w14:textId="77777777" w:rsidR="000E48CE" w:rsidRDefault="000E48CE">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E10E" w14:textId="77777777" w:rsidR="000E48CE" w:rsidRDefault="000E48CE">
    <w:pPr>
      <w:pStyle w:val="FooterLandscape"/>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39D37" w14:textId="77777777" w:rsidR="000E48CE" w:rsidRDefault="000E48C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758908"/>
      <w:docPartObj>
        <w:docPartGallery w:val="Page Numbers (Bottom of Page)"/>
        <w:docPartUnique/>
      </w:docPartObj>
    </w:sdtPr>
    <w:sdtEndPr>
      <w:rPr>
        <w:rFonts w:ascii="Times New Roman" w:hAnsi="Times New Roman" w:cs="Times New Roman"/>
        <w:noProof/>
      </w:rPr>
    </w:sdtEndPr>
    <w:sdtContent>
      <w:p w14:paraId="63B159F5" w14:textId="1F90D0EE" w:rsidR="000E48CE" w:rsidRDefault="00FF4C4E">
        <w:pPr>
          <w:pStyle w:val="Footer"/>
          <w:jc w:val="center"/>
        </w:pPr>
        <w:r>
          <w:fldChar w:fldCharType="begin"/>
        </w:r>
        <w:r>
          <w:instrText xml:space="preserve"> PAGE   \* MERGEFORMAT </w:instrText>
        </w:r>
        <w:r>
          <w:fldChar w:fldCharType="separate"/>
        </w:r>
        <w:r w:rsidR="00460D89">
          <w:rPr>
            <w:noProof/>
          </w:rPr>
          <w:t>33</w:t>
        </w:r>
        <w:r>
          <w:fldChar w:fldCharType="end"/>
        </w:r>
      </w:p>
    </w:sdtContent>
  </w:sdt>
  <w:p w14:paraId="76FA295A" w14:textId="4B2116A7" w:rsidR="000E48CE" w:rsidRDefault="000E48CE">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486692"/>
      <w:docPartObj>
        <w:docPartGallery w:val="Page Numbers (Bottom of Page)"/>
        <w:docPartUnique/>
      </w:docPartObj>
    </w:sdtPr>
    <w:sdtEndPr>
      <w:rPr>
        <w:noProof/>
      </w:rPr>
    </w:sdtEndPr>
    <w:sdtContent>
      <w:p w14:paraId="3A3C7ED1" w14:textId="559C79A2" w:rsidR="000E48CE" w:rsidRDefault="00FF4C4E">
        <w:pPr>
          <w:pStyle w:val="Footer"/>
          <w:jc w:val="center"/>
        </w:pPr>
        <w:r>
          <w:fldChar w:fldCharType="begin"/>
        </w:r>
        <w:r>
          <w:instrText xml:space="preserve"> PAGE   \* MERGEFORMAT </w:instrText>
        </w:r>
        <w:r>
          <w:fldChar w:fldCharType="separate"/>
        </w:r>
        <w:r>
          <w:t>341</w:t>
        </w:r>
        <w:r>
          <w:fldChar w:fldCharType="end"/>
        </w:r>
      </w:p>
    </w:sdtContent>
  </w:sdt>
  <w:p w14:paraId="2B7509C5" w14:textId="77777777" w:rsidR="000E48CE" w:rsidRDefault="000E48CE">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6CE5" w14:textId="77777777" w:rsidR="000E48CE" w:rsidRDefault="000E48CE">
    <w:pPr>
      <w:pStyle w:val="FooterLandscape"/>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9B4" w14:textId="77777777" w:rsidR="000E48CE" w:rsidRDefault="000E48CE">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622076"/>
      <w:docPartObj>
        <w:docPartGallery w:val="Page Numbers (Bottom of Page)"/>
        <w:docPartUnique/>
      </w:docPartObj>
    </w:sdtPr>
    <w:sdtEndPr>
      <w:rPr>
        <w:noProof/>
      </w:rPr>
    </w:sdtEndPr>
    <w:sdtContent>
      <w:p w14:paraId="49BCC3D6" w14:textId="17EE71B9" w:rsidR="000E48CE" w:rsidRDefault="00FF4C4E">
        <w:pPr>
          <w:pStyle w:val="Footer"/>
          <w:jc w:val="center"/>
        </w:pPr>
        <w:r>
          <w:fldChar w:fldCharType="begin"/>
        </w:r>
        <w:r>
          <w:instrText xml:space="preserve"> PAGE   \* MERGEFORMAT </w:instrText>
        </w:r>
        <w:r>
          <w:fldChar w:fldCharType="separate"/>
        </w:r>
        <w:r>
          <w:t>344</w:t>
        </w:r>
        <w:r>
          <w:fldChar w:fldCharType="end"/>
        </w:r>
      </w:p>
    </w:sdtContent>
  </w:sdt>
  <w:p w14:paraId="63A8717F" w14:textId="77777777" w:rsidR="000E48CE" w:rsidRDefault="000E48CE">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228C0" w14:textId="77777777" w:rsidR="000E48CE" w:rsidRDefault="000E48CE">
    <w:pPr>
      <w:pStyle w:val="FooterLandscape"/>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5BE7" w14:textId="77777777" w:rsidR="000E48CE" w:rsidRDefault="000E48CE">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333793"/>
      <w:docPartObj>
        <w:docPartGallery w:val="Page Numbers (Bottom of Page)"/>
        <w:docPartUnique/>
      </w:docPartObj>
    </w:sdtPr>
    <w:sdtEndPr>
      <w:rPr>
        <w:noProof/>
      </w:rPr>
    </w:sdtEndPr>
    <w:sdtContent>
      <w:p w14:paraId="2A1729E2" w14:textId="6EF33276" w:rsidR="000E48CE" w:rsidRDefault="00FF4C4E">
        <w:pPr>
          <w:pStyle w:val="Footer"/>
          <w:jc w:val="center"/>
        </w:pPr>
        <w:r>
          <w:fldChar w:fldCharType="begin"/>
        </w:r>
        <w:r>
          <w:instrText xml:space="preserve"> PAGE   \* MERGEFORMAT </w:instrText>
        </w:r>
        <w:r>
          <w:fldChar w:fldCharType="separate"/>
        </w:r>
        <w:r>
          <w:t>344</w:t>
        </w:r>
        <w:r>
          <w:fldChar w:fldCharType="end"/>
        </w:r>
      </w:p>
    </w:sdtContent>
  </w:sdt>
  <w:p w14:paraId="028E5F31" w14:textId="77777777" w:rsidR="000E48CE" w:rsidRDefault="000E48CE">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7D94" w14:textId="77777777" w:rsidR="000E48CE" w:rsidRDefault="000E48CE">
    <w:pPr>
      <w:pStyle w:val="FooterLandscape"/>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9FE0" w14:textId="77777777" w:rsidR="000E48CE" w:rsidRDefault="000E48CE">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581909"/>
      <w:docPartObj>
        <w:docPartGallery w:val="Page Numbers (Bottom of Page)"/>
        <w:docPartUnique/>
      </w:docPartObj>
    </w:sdtPr>
    <w:sdtEndPr>
      <w:rPr>
        <w:noProof/>
      </w:rPr>
    </w:sdtEndPr>
    <w:sdtContent>
      <w:p w14:paraId="22D079F7" w14:textId="02E3DE52" w:rsidR="000E48CE" w:rsidRDefault="00FF4C4E">
        <w:pPr>
          <w:pStyle w:val="Footer"/>
          <w:jc w:val="center"/>
        </w:pPr>
        <w:r>
          <w:fldChar w:fldCharType="begin"/>
        </w:r>
        <w:r>
          <w:instrText xml:space="preserve"> PAGE   \* MERGEFORMAT </w:instrText>
        </w:r>
        <w:r>
          <w:fldChar w:fldCharType="separate"/>
        </w:r>
        <w:r>
          <w:t>347</w:t>
        </w:r>
        <w:r>
          <w:fldChar w:fldCharType="end"/>
        </w:r>
      </w:p>
    </w:sdtContent>
  </w:sdt>
  <w:p w14:paraId="77A920D4" w14:textId="77777777" w:rsidR="000E48CE" w:rsidRDefault="000E48C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C268" w14:textId="77777777" w:rsidR="000E48CE" w:rsidRDefault="000E48CE">
    <w:pPr>
      <w:pStyle w:val="FooterLandscape"/>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59AC1" w14:textId="77777777" w:rsidR="000E48CE" w:rsidRDefault="000E48CE">
    <w:pPr>
      <w:pStyle w:val="FooterLandscape"/>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7117" w14:textId="77777777" w:rsidR="000E48CE" w:rsidRDefault="000E48CE">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665621"/>
      <w:docPartObj>
        <w:docPartGallery w:val="Page Numbers (Bottom of Page)"/>
        <w:docPartUnique/>
      </w:docPartObj>
    </w:sdtPr>
    <w:sdtEndPr>
      <w:rPr>
        <w:noProof/>
      </w:rPr>
    </w:sdtEndPr>
    <w:sdtContent>
      <w:p w14:paraId="51B2B12F" w14:textId="7AD4903B" w:rsidR="000E48CE" w:rsidRDefault="00FF4C4E">
        <w:pPr>
          <w:pStyle w:val="Footer"/>
          <w:jc w:val="center"/>
        </w:pPr>
        <w:r>
          <w:fldChar w:fldCharType="begin"/>
        </w:r>
        <w:r>
          <w:instrText xml:space="preserve"> PAGE   \* MERGEFORMAT </w:instrText>
        </w:r>
        <w:r>
          <w:fldChar w:fldCharType="separate"/>
        </w:r>
        <w:r>
          <w:t>349</w:t>
        </w:r>
        <w:r>
          <w:fldChar w:fldCharType="end"/>
        </w:r>
      </w:p>
    </w:sdtContent>
  </w:sdt>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D286" w14:textId="77777777" w:rsidR="000E48CE" w:rsidRDefault="000E48CE">
    <w:pPr>
      <w:pStyle w:val="FooterLandscape"/>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F54D" w14:textId="77777777" w:rsidR="000E48CE" w:rsidRDefault="000E48CE">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432814"/>
      <w:docPartObj>
        <w:docPartGallery w:val="Page Numbers (Bottom of Page)"/>
        <w:docPartUnique/>
      </w:docPartObj>
    </w:sdtPr>
    <w:sdtEndPr>
      <w:rPr>
        <w:noProof/>
      </w:rPr>
    </w:sdtEndPr>
    <w:sdtContent>
      <w:p w14:paraId="0128DAF1" w14:textId="47AE1A3A" w:rsidR="000E48CE" w:rsidRDefault="00FF4C4E">
        <w:pPr>
          <w:pStyle w:val="Footer"/>
          <w:jc w:val="center"/>
        </w:pPr>
        <w:r>
          <w:fldChar w:fldCharType="begin"/>
        </w:r>
        <w:r>
          <w:instrText xml:space="preserve"> PAGE   \* MERGEFORMAT </w:instrText>
        </w:r>
        <w:r>
          <w:fldChar w:fldCharType="separate"/>
        </w:r>
        <w:r>
          <w:t>352</w:t>
        </w:r>
        <w:r>
          <w:fldChar w:fldCharType="end"/>
        </w:r>
      </w:p>
    </w:sdtContent>
  </w:sdt>
  <w:p w14:paraId="7EE29105" w14:textId="77777777" w:rsidR="000E48CE" w:rsidRDefault="000E48CE">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1C8E" w14:textId="77777777" w:rsidR="000E48CE" w:rsidRDefault="000E48CE">
    <w:pPr>
      <w:pStyle w:val="FooterLandscape"/>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66C8" w14:textId="77777777" w:rsidR="000E48CE" w:rsidRDefault="000E48CE">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177619"/>
      <w:docPartObj>
        <w:docPartGallery w:val="Page Numbers (Bottom of Page)"/>
        <w:docPartUnique/>
      </w:docPartObj>
    </w:sdtPr>
    <w:sdtEndPr>
      <w:rPr>
        <w:noProof/>
      </w:rPr>
    </w:sdtEndPr>
    <w:sdtContent>
      <w:p w14:paraId="217DFA16" w14:textId="7D30F81C" w:rsidR="000E48CE" w:rsidRDefault="00FF4C4E">
        <w:pPr>
          <w:pStyle w:val="Footer"/>
          <w:jc w:val="center"/>
        </w:pPr>
        <w:r>
          <w:fldChar w:fldCharType="begin"/>
        </w:r>
        <w:r>
          <w:instrText xml:space="preserve"> PAGE   \* MERGEFORMAT </w:instrText>
        </w:r>
        <w:r>
          <w:fldChar w:fldCharType="separate"/>
        </w:r>
        <w:r>
          <w:t>355</w:t>
        </w:r>
        <w:r>
          <w:fldChar w:fldCharType="end"/>
        </w:r>
      </w:p>
    </w:sdtContent>
  </w:sdt>
  <w:p w14:paraId="28804110" w14:textId="77777777" w:rsidR="000E48CE" w:rsidRDefault="000E48CE">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2CE3" w14:textId="77777777" w:rsidR="000E48CE" w:rsidRDefault="000E48CE">
    <w:pPr>
      <w:pStyle w:val="FooterLandscape"/>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F8540" w14:textId="77777777" w:rsidR="00996749" w:rsidRDefault="00996749">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D6EE" w14:textId="77777777" w:rsidR="000E48CE" w:rsidRDefault="000E48CE">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748499"/>
      <w:docPartObj>
        <w:docPartGallery w:val="Page Numbers (Bottom of Page)"/>
        <w:docPartUnique/>
      </w:docPartObj>
    </w:sdtPr>
    <w:sdtEndPr>
      <w:rPr>
        <w:noProof/>
      </w:rPr>
    </w:sdtEndPr>
    <w:sdtContent>
      <w:p w14:paraId="576A79C7" w14:textId="5AAB5098" w:rsidR="000E48CE" w:rsidRDefault="00FF4C4E">
        <w:pPr>
          <w:pStyle w:val="Footer"/>
          <w:jc w:val="center"/>
        </w:pPr>
        <w:r>
          <w:fldChar w:fldCharType="begin"/>
        </w:r>
        <w:r>
          <w:instrText xml:space="preserve"> PAGE   \* MERGEFORMAT </w:instrText>
        </w:r>
        <w:r>
          <w:fldChar w:fldCharType="separate"/>
        </w:r>
        <w:r>
          <w:t>357</w:t>
        </w:r>
        <w:r>
          <w:fldChar w:fldCharType="end"/>
        </w:r>
      </w:p>
    </w:sdtContent>
  </w:sdt>
  <w:p w14:paraId="4B552D74" w14:textId="443D6F08" w:rsidR="000E48CE" w:rsidRDefault="000E48CE">
    <w:pPr>
      <w:pStyle w:val="Footer"/>
      <w:ind w:left="0"/>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C8F32" w14:textId="77777777" w:rsidR="000E48CE" w:rsidRDefault="000E48CE">
    <w:pPr>
      <w:pStyle w:val="FooterLandscape"/>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CA16" w14:textId="77777777" w:rsidR="000E48CE" w:rsidRDefault="000E48CE">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451227"/>
      <w:docPartObj>
        <w:docPartGallery w:val="Page Numbers (Bottom of Page)"/>
        <w:docPartUnique/>
      </w:docPartObj>
    </w:sdtPr>
    <w:sdtEndPr>
      <w:rPr>
        <w:noProof/>
      </w:rPr>
    </w:sdtEndPr>
    <w:sdtContent>
      <w:p w14:paraId="6E376000" w14:textId="793FABF6" w:rsidR="000E48CE" w:rsidRDefault="00FF4C4E">
        <w:pPr>
          <w:pStyle w:val="Footer"/>
          <w:jc w:val="center"/>
        </w:pPr>
        <w:r>
          <w:fldChar w:fldCharType="begin"/>
        </w:r>
        <w:r>
          <w:instrText xml:space="preserve"> PAGE  </w:instrText>
        </w:r>
        <w:r>
          <w:instrText xml:space="preserve"> \* MERGEFORMAT </w:instrText>
        </w:r>
        <w:r>
          <w:fldChar w:fldCharType="separate"/>
        </w:r>
        <w:r>
          <w:t>359</w:t>
        </w:r>
        <w:r>
          <w:fldChar w:fldCharType="end"/>
        </w:r>
      </w:p>
    </w:sdtContent>
  </w:sdt>
  <w:p w14:paraId="30D05CCE" w14:textId="71DB4A0C" w:rsidR="000E48CE" w:rsidRDefault="000E48CE">
    <w:pPr>
      <w:pStyle w:val="Footer"/>
      <w:ind w:left="0"/>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71AB" w14:textId="77777777" w:rsidR="000E48CE" w:rsidRDefault="000E48CE">
    <w:pPr>
      <w:pStyle w:val="FooterLandscape"/>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50D6" w14:textId="77777777" w:rsidR="000E48CE" w:rsidRDefault="000E48CE">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664375"/>
      <w:docPartObj>
        <w:docPartGallery w:val="Page Numbers (Bottom of Page)"/>
        <w:docPartUnique/>
      </w:docPartObj>
    </w:sdtPr>
    <w:sdtEndPr>
      <w:rPr>
        <w:noProof/>
      </w:rPr>
    </w:sdtEndPr>
    <w:sdtContent>
      <w:p w14:paraId="17DFEBAC" w14:textId="1AB4E6EB" w:rsidR="000E48CE" w:rsidRDefault="00FF4C4E">
        <w:pPr>
          <w:pStyle w:val="Footer"/>
          <w:jc w:val="center"/>
        </w:pPr>
        <w:r>
          <w:fldChar w:fldCharType="begin"/>
        </w:r>
        <w:r>
          <w:instrText xml:space="preserve"> PAGE   \* MERGEFORMAT </w:instrText>
        </w:r>
        <w:r>
          <w:fldChar w:fldCharType="separate"/>
        </w:r>
        <w:r>
          <w:t>363</w:t>
        </w:r>
        <w:r>
          <w:fldChar w:fldCharType="end"/>
        </w:r>
      </w:p>
    </w:sdtContent>
  </w:sdt>
  <w:p w14:paraId="060A94AB" w14:textId="77777777" w:rsidR="000E48CE" w:rsidRDefault="000E48CE">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EFF43" w14:textId="77777777" w:rsidR="000E48CE" w:rsidRDefault="000E48CE">
    <w:pPr>
      <w:pStyle w:val="FooterLandscape"/>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3744" w14:textId="77777777" w:rsidR="000E48CE" w:rsidRDefault="000E48C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668573"/>
      <w:docPartObj>
        <w:docPartGallery w:val="Page Numbers (Bottom of Page)"/>
        <w:docPartUnique/>
      </w:docPartObj>
    </w:sdtPr>
    <w:sdtEndPr>
      <w:rPr>
        <w:rFonts w:ascii="Times New Roman" w:hAnsi="Times New Roman" w:cs="Times New Roman"/>
        <w:noProof/>
      </w:rPr>
    </w:sdtEndPr>
    <w:sdtContent>
      <w:p w14:paraId="127B0CD5" w14:textId="77777777" w:rsidR="00996749" w:rsidRDefault="00996749">
        <w:pPr>
          <w:pStyle w:val="Footer"/>
          <w:jc w:val="center"/>
        </w:pPr>
        <w:r>
          <w:fldChar w:fldCharType="begin"/>
        </w:r>
        <w:r>
          <w:instrText xml:space="preserve"> PAGE   \* MERGEFORMAT </w:instrText>
        </w:r>
        <w:r>
          <w:fldChar w:fldCharType="separate"/>
        </w:r>
        <w:r>
          <w:t>31</w:t>
        </w:r>
        <w:r>
          <w:fldChar w:fldCharType="end"/>
        </w:r>
      </w:p>
    </w:sdtContent>
  </w:sdt>
  <w:p w14:paraId="15A804F9" w14:textId="77777777" w:rsidR="00996749" w:rsidRDefault="00996749">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56090"/>
      <w:docPartObj>
        <w:docPartGallery w:val="Page Numbers (Bottom of Page)"/>
        <w:docPartUnique/>
      </w:docPartObj>
    </w:sdtPr>
    <w:sdtEndPr>
      <w:rPr>
        <w:noProof/>
      </w:rPr>
    </w:sdtEndPr>
    <w:sdtContent>
      <w:p w14:paraId="2070DDC9" w14:textId="449AD117" w:rsidR="000E48CE" w:rsidRDefault="00FF4C4E">
        <w:pPr>
          <w:pStyle w:val="Footer"/>
          <w:jc w:val="center"/>
        </w:pPr>
        <w:r>
          <w:fldChar w:fldCharType="begin"/>
        </w:r>
        <w:r>
          <w:instrText xml:space="preserve"> PAGE   \* MERGEFORMAT </w:instrText>
        </w:r>
        <w:r>
          <w:fldChar w:fldCharType="separate"/>
        </w:r>
        <w:r>
          <w:t>368</w:t>
        </w:r>
        <w:r>
          <w:fldChar w:fldCharType="end"/>
        </w:r>
      </w:p>
    </w:sdtContent>
  </w:sdt>
  <w:p w14:paraId="78CC5772" w14:textId="77777777" w:rsidR="000E48CE" w:rsidRDefault="000E48CE">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8C17" w14:textId="77777777" w:rsidR="000E48CE" w:rsidRDefault="000E48CE">
    <w:pPr>
      <w:pStyle w:val="FooterLandscape"/>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3E68" w14:textId="77777777" w:rsidR="000E48CE" w:rsidRDefault="000E48CE">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178488"/>
      <w:docPartObj>
        <w:docPartGallery w:val="Page Numbers (Bottom of Page)"/>
        <w:docPartUnique/>
      </w:docPartObj>
    </w:sdtPr>
    <w:sdtEndPr>
      <w:rPr>
        <w:noProof/>
      </w:rPr>
    </w:sdtEndPr>
    <w:sdtContent>
      <w:p w14:paraId="08E62A2A" w14:textId="40E8BE35" w:rsidR="000E48CE" w:rsidRDefault="00FF4C4E">
        <w:pPr>
          <w:pStyle w:val="Footer"/>
          <w:jc w:val="center"/>
        </w:pPr>
        <w:r>
          <w:fldChar w:fldCharType="begin"/>
        </w:r>
        <w:r>
          <w:instrText xml:space="preserve"> PAGE   \* MERGEFORMAT </w:instrText>
        </w:r>
        <w:r>
          <w:fldChar w:fldCharType="separate"/>
        </w:r>
        <w:r>
          <w:t>369</w:t>
        </w:r>
        <w:r>
          <w:fldChar w:fldCharType="end"/>
        </w:r>
      </w:p>
    </w:sdtContent>
  </w:sdt>
  <w:p w14:paraId="125F711B" w14:textId="4394ACED" w:rsidR="000E48CE" w:rsidRDefault="000E48CE">
    <w:pPr>
      <w:pStyle w:val="Footer"/>
      <w:ind w:left="0"/>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98CF" w14:textId="77777777" w:rsidR="000E48CE" w:rsidRDefault="000E48CE">
    <w:pPr>
      <w:pStyle w:val="FooterLandscape"/>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82F7" w14:textId="77777777" w:rsidR="000E48CE" w:rsidRDefault="000E48CE">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771680"/>
      <w:docPartObj>
        <w:docPartGallery w:val="Page Numbers (Bottom of Page)"/>
        <w:docPartUnique/>
      </w:docPartObj>
    </w:sdtPr>
    <w:sdtEndPr>
      <w:rPr>
        <w:noProof/>
      </w:rPr>
    </w:sdtEndPr>
    <w:sdtContent>
      <w:p w14:paraId="3CE4E6EC" w14:textId="290B843D" w:rsidR="000E48CE" w:rsidRDefault="00FF4C4E">
        <w:pPr>
          <w:pStyle w:val="Footer"/>
          <w:jc w:val="center"/>
        </w:pPr>
        <w:r>
          <w:fldChar w:fldCharType="begin"/>
        </w:r>
        <w:r>
          <w:instrText xml:space="preserve"> PAGE   \* MERGEFORMAT </w:instrText>
        </w:r>
        <w:r>
          <w:fldChar w:fldCharType="separate"/>
        </w:r>
        <w:r>
          <w:t>369</w:t>
        </w:r>
        <w:r>
          <w:fldChar w:fldCharType="end"/>
        </w:r>
      </w:p>
    </w:sdtContent>
  </w:sdt>
  <w:p w14:paraId="4EBA802D" w14:textId="77777777" w:rsidR="000E48CE" w:rsidRDefault="000E48CE">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9B22A" w14:textId="77777777" w:rsidR="000E48CE" w:rsidRDefault="000E48CE">
    <w:pPr>
      <w:pStyle w:val="FooterLandscape"/>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5B15" w14:textId="77777777" w:rsidR="000E48CE" w:rsidRDefault="000E48CE">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712871"/>
      <w:docPartObj>
        <w:docPartGallery w:val="Page Numbers (Bottom of Page)"/>
        <w:docPartUnique/>
      </w:docPartObj>
    </w:sdtPr>
    <w:sdtEndPr>
      <w:rPr>
        <w:noProof/>
      </w:rPr>
    </w:sdtEndPr>
    <w:sdtContent>
      <w:p w14:paraId="32D95DAF" w14:textId="68C483A2" w:rsidR="000E48CE" w:rsidRDefault="00FF4C4E">
        <w:pPr>
          <w:pStyle w:val="Footer"/>
          <w:jc w:val="center"/>
        </w:pPr>
        <w:r>
          <w:fldChar w:fldCharType="begin"/>
        </w:r>
        <w:r>
          <w:instrText xml:space="preserve"> PAGE   \* MERGEFORMAT </w:instrText>
        </w:r>
        <w:r>
          <w:fldChar w:fldCharType="separate"/>
        </w:r>
        <w:r>
          <w:t>371</w:t>
        </w:r>
        <w:r>
          <w:fldChar w:fldCharType="end"/>
        </w:r>
      </w:p>
    </w:sdtContent>
  </w:sdt>
  <w:p w14:paraId="6245A2E1" w14:textId="77777777" w:rsidR="000E48CE" w:rsidRDefault="000E48C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18B5F" w14:textId="77777777" w:rsidR="00996749" w:rsidRDefault="00996749">
    <w:pPr>
      <w:pStyle w:val="FooterLandscape"/>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1602" w14:textId="77777777" w:rsidR="000E48CE" w:rsidRDefault="000E48CE">
    <w:pPr>
      <w:pStyle w:val="FooterLandscape"/>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8EA4" w14:textId="77777777" w:rsidR="000E48CE" w:rsidRDefault="000E48CE">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198065"/>
      <w:docPartObj>
        <w:docPartGallery w:val="Page Numbers (Bottom of Page)"/>
        <w:docPartUnique/>
      </w:docPartObj>
    </w:sdtPr>
    <w:sdtEndPr>
      <w:rPr>
        <w:noProof/>
      </w:rPr>
    </w:sdtEndPr>
    <w:sdtContent>
      <w:p w14:paraId="12B66115" w14:textId="55FABEA8" w:rsidR="000E48CE" w:rsidRDefault="00FF4C4E">
        <w:pPr>
          <w:pStyle w:val="Footer"/>
          <w:jc w:val="center"/>
        </w:pPr>
        <w:r>
          <w:fldChar w:fldCharType="begin"/>
        </w:r>
        <w:r>
          <w:instrText xml:space="preserve"> PAGE   \* MER</w:instrText>
        </w:r>
        <w:r>
          <w:instrText xml:space="preserve">GEFORMAT </w:instrText>
        </w:r>
        <w:r>
          <w:fldChar w:fldCharType="separate"/>
        </w:r>
        <w:r>
          <w:t>374</w:t>
        </w:r>
        <w:r>
          <w:fldChar w:fldCharType="end"/>
        </w:r>
      </w:p>
    </w:sdtContent>
  </w:sdt>
  <w:p w14:paraId="5BD9D493" w14:textId="14A0BE8B" w:rsidR="000E48CE" w:rsidRDefault="000E48CE">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77072" w14:textId="77777777" w:rsidR="000E48CE" w:rsidRDefault="000E48CE">
    <w:pPr>
      <w:pStyle w:val="FooterLandscape"/>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CEA9" w14:textId="77777777" w:rsidR="000E48CE" w:rsidRDefault="000E48CE">
    <w:pPr>
      <w:pStyle w:val="Footer"/>
    </w:pPr>
  </w:p>
  <w:p w14:paraId="2EF633A3" w14:textId="77777777" w:rsidR="000E48CE" w:rsidRDefault="000E48CE"/>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5439"/>
      <w:docPartObj>
        <w:docPartGallery w:val="Page Numbers (Bottom of Page)"/>
        <w:docPartUnique/>
      </w:docPartObj>
    </w:sdtPr>
    <w:sdtEndPr>
      <w:rPr>
        <w:noProof/>
      </w:rPr>
    </w:sdtEndPr>
    <w:sdtContent>
      <w:p w14:paraId="36D6F23A" w14:textId="0F7126F3" w:rsidR="000E48CE" w:rsidRDefault="00FF4C4E">
        <w:pPr>
          <w:pStyle w:val="Footer"/>
          <w:jc w:val="center"/>
        </w:pPr>
        <w:r>
          <w:fldChar w:fldCharType="begin"/>
        </w:r>
        <w:r>
          <w:instrText xml:space="preserve"> PAGE   \* MERGEFORMAT </w:instrText>
        </w:r>
        <w:r>
          <w:fldChar w:fldCharType="separate"/>
        </w:r>
        <w:r>
          <w:t>378</w:t>
        </w:r>
        <w:r>
          <w:fldChar w:fldCharType="end"/>
        </w:r>
      </w:p>
    </w:sdtContent>
  </w:sdt>
  <w:p w14:paraId="2ECEF8A7" w14:textId="77777777" w:rsidR="000E48CE" w:rsidRDefault="000E48CE">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11CF" w14:textId="77777777" w:rsidR="000E48CE" w:rsidRDefault="000E48CE">
    <w:pPr>
      <w:pStyle w:val="FooterLandscape"/>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FCFDB" w14:textId="77777777" w:rsidR="000E48CE" w:rsidRDefault="000E48CE">
    <w:pPr>
      <w:pStyle w:val="Footer"/>
    </w:pPr>
  </w:p>
  <w:p w14:paraId="61D5BEA0" w14:textId="77777777" w:rsidR="000E48CE" w:rsidRDefault="000E48CE"/>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932214"/>
      <w:docPartObj>
        <w:docPartGallery w:val="Page Numbers (Bottom of Page)"/>
        <w:docPartUnique/>
      </w:docPartObj>
    </w:sdtPr>
    <w:sdtEndPr>
      <w:rPr>
        <w:noProof/>
      </w:rPr>
    </w:sdtEndPr>
    <w:sdtContent>
      <w:p w14:paraId="468BB847" w14:textId="02EFEBAF" w:rsidR="000E48CE" w:rsidRDefault="00FF4C4E">
        <w:pPr>
          <w:pStyle w:val="Footer"/>
          <w:jc w:val="center"/>
        </w:pPr>
        <w:r>
          <w:fldChar w:fldCharType="begin"/>
        </w:r>
        <w:r>
          <w:instrText xml:space="preserve"> PAGE   \* MERGEFORMAT </w:instrText>
        </w:r>
        <w:r>
          <w:fldChar w:fldCharType="separate"/>
        </w:r>
        <w:r>
          <w:t>381</w:t>
        </w:r>
        <w:r>
          <w:fldChar w:fldCharType="end"/>
        </w:r>
      </w:p>
    </w:sdtContent>
  </w:sdt>
  <w:p w14:paraId="74C76D9E" w14:textId="09E513D1" w:rsidR="000E48CE" w:rsidRDefault="000E48CE">
    <w:pPr>
      <w:pStyle w:val="FooterLandscape"/>
      <w:ind w:left="0"/>
      <w:rPr>
        <w:rFonts w:ascii="Arial" w:hAnsi="Arial" w:cs="Arial"/>
        <w:b/>
        <w:sz w:val="20"/>
      </w:rPr>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E846" w14:textId="77777777" w:rsidR="000E48CE" w:rsidRDefault="000E48CE">
    <w:pPr>
      <w:pStyle w:val="FooterLandscape"/>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1DB86" w14:textId="77777777" w:rsidR="00996749" w:rsidRDefault="00996749">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27D54" w14:textId="77777777" w:rsidR="000E48CE" w:rsidRDefault="000E48CE">
    <w:pPr>
      <w:pStyle w:val="Footer"/>
    </w:pPr>
  </w:p>
  <w:p w14:paraId="6A0EC6FF" w14:textId="77777777" w:rsidR="000E48CE" w:rsidRDefault="000E48CE"/>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139078"/>
      <w:docPartObj>
        <w:docPartGallery w:val="Page Numbers (Bottom of Page)"/>
        <w:docPartUnique/>
      </w:docPartObj>
    </w:sdtPr>
    <w:sdtEndPr>
      <w:rPr>
        <w:noProof/>
      </w:rPr>
    </w:sdtEndPr>
    <w:sdtContent>
      <w:p w14:paraId="5D8FCEAC" w14:textId="49313CEA" w:rsidR="000E48CE" w:rsidRDefault="00FF4C4E">
        <w:pPr>
          <w:pStyle w:val="Footer"/>
          <w:jc w:val="center"/>
        </w:pPr>
        <w:r>
          <w:fldChar w:fldCharType="begin"/>
        </w:r>
        <w:r>
          <w:instrText xml:space="preserve"> PAGE   \* MERGEFORMAT </w:instrText>
        </w:r>
        <w:r>
          <w:fldChar w:fldCharType="separate"/>
        </w:r>
        <w:r>
          <w:t>391</w:t>
        </w:r>
        <w:r>
          <w:fldChar w:fldCharType="end"/>
        </w:r>
      </w:p>
    </w:sdtContent>
  </w:sdt>
  <w:p w14:paraId="695C7A4C" w14:textId="77777777" w:rsidR="000E48CE" w:rsidRDefault="000E48CE">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735D" w14:textId="77777777" w:rsidR="000E48CE" w:rsidRDefault="000E48CE">
    <w:pPr>
      <w:pStyle w:val="FooterLandscape"/>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5E008" w14:textId="77777777" w:rsidR="000E48CE" w:rsidRDefault="000E48CE">
    <w:pPr>
      <w:pStyle w:val="Footer"/>
    </w:pPr>
  </w:p>
  <w:p w14:paraId="40D2860B" w14:textId="77777777" w:rsidR="000E48CE" w:rsidRDefault="000E48CE"/>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715538"/>
      <w:docPartObj>
        <w:docPartGallery w:val="Page Numbers (Bottom of Page)"/>
        <w:docPartUnique/>
      </w:docPartObj>
    </w:sdtPr>
    <w:sdtEndPr>
      <w:rPr>
        <w:noProof/>
      </w:rPr>
    </w:sdtEndPr>
    <w:sdtContent>
      <w:p w14:paraId="72965ACE" w14:textId="00FABA86" w:rsidR="000E48CE" w:rsidRDefault="00FF4C4E">
        <w:pPr>
          <w:pStyle w:val="Footer"/>
          <w:jc w:val="center"/>
        </w:pPr>
        <w:r>
          <w:fldChar w:fldCharType="begin"/>
        </w:r>
        <w:r>
          <w:instrText xml:space="preserve"> PAGE   \* MERGEFO</w:instrText>
        </w:r>
        <w:r>
          <w:instrText xml:space="preserve">RMAT </w:instrText>
        </w:r>
        <w:r>
          <w:fldChar w:fldCharType="separate"/>
        </w:r>
        <w:r>
          <w:t>395</w:t>
        </w:r>
        <w:r>
          <w:fldChar w:fldCharType="end"/>
        </w:r>
      </w:p>
    </w:sdtContent>
  </w:sdt>
  <w:p w14:paraId="53DBAC7D" w14:textId="77777777" w:rsidR="000E48CE" w:rsidRDefault="000E48CE">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B6A2" w14:textId="77777777" w:rsidR="000E48CE" w:rsidRDefault="000E48CE">
    <w:pPr>
      <w:pStyle w:val="FooterLandscape"/>
    </w:pP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36136" w14:textId="77777777" w:rsidR="000E48CE" w:rsidRDefault="000E48CE">
    <w:pPr>
      <w:pStyle w:val="Footer"/>
    </w:pPr>
  </w:p>
  <w:p w14:paraId="13A50540" w14:textId="77777777" w:rsidR="000E48CE" w:rsidRDefault="000E48CE"/>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40480"/>
      <w:docPartObj>
        <w:docPartGallery w:val="Page Numbers (Bottom of Page)"/>
        <w:docPartUnique/>
      </w:docPartObj>
    </w:sdtPr>
    <w:sdtEndPr>
      <w:rPr>
        <w:noProof/>
      </w:rPr>
    </w:sdtEndPr>
    <w:sdtContent>
      <w:p w14:paraId="54B67D44" w14:textId="2DD2652C" w:rsidR="000E48CE" w:rsidRDefault="00FF4C4E">
        <w:pPr>
          <w:pStyle w:val="Footer"/>
          <w:jc w:val="center"/>
        </w:pPr>
        <w:r>
          <w:fldChar w:fldCharType="begin"/>
        </w:r>
        <w:r>
          <w:instrText xml:space="preserve"> PAGE   \* MERGEFORMAT </w:instrText>
        </w:r>
        <w:r>
          <w:fldChar w:fldCharType="separate"/>
        </w:r>
        <w:r>
          <w:t>398</w:t>
        </w:r>
        <w:r>
          <w:fldChar w:fldCharType="end"/>
        </w:r>
      </w:p>
    </w:sdtContent>
  </w:sdt>
  <w:p w14:paraId="215E20B2" w14:textId="77777777" w:rsidR="000E48CE" w:rsidRDefault="000E48CE"/>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8FB6" w14:textId="77777777" w:rsidR="000E48CE" w:rsidRDefault="000E48CE">
    <w:pPr>
      <w:pStyle w:val="FooterLandscape"/>
    </w:pP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F7F55" w14:textId="77777777" w:rsidR="000E48CE" w:rsidRDefault="000E48CE">
    <w:pPr>
      <w:pStyle w:val="Footer"/>
    </w:pPr>
  </w:p>
  <w:p w14:paraId="4864CB8D" w14:textId="77777777" w:rsidR="000E48CE" w:rsidRDefault="000E48CE"/>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999955"/>
      <w:docPartObj>
        <w:docPartGallery w:val="Page Numbers (Bottom of Page)"/>
        <w:docPartUnique/>
      </w:docPartObj>
    </w:sdtPr>
    <w:sdtEndPr>
      <w:rPr>
        <w:rFonts w:ascii="Times New Roman" w:hAnsi="Times New Roman" w:cs="Times New Roman"/>
        <w:noProof/>
      </w:rPr>
    </w:sdtEndPr>
    <w:sdtContent>
      <w:p w14:paraId="4614F7B4" w14:textId="77777777" w:rsidR="00996749" w:rsidRDefault="00996749">
        <w:pPr>
          <w:pStyle w:val="Footer"/>
          <w:jc w:val="center"/>
        </w:pPr>
        <w:r>
          <w:fldChar w:fldCharType="begin"/>
        </w:r>
        <w:r>
          <w:instrText xml:space="preserve"> PAGE   \* MERGEFORMAT </w:instrText>
        </w:r>
        <w:r>
          <w:fldChar w:fldCharType="separate"/>
        </w:r>
        <w:r>
          <w:t>31</w:t>
        </w:r>
        <w:r>
          <w:fldChar w:fldCharType="end"/>
        </w:r>
      </w:p>
    </w:sdtContent>
  </w:sdt>
  <w:p w14:paraId="2D6F82B1" w14:textId="77777777" w:rsidR="00996749" w:rsidRDefault="00996749">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68340"/>
      <w:docPartObj>
        <w:docPartGallery w:val="Page Numbers (Bottom of Page)"/>
        <w:docPartUnique/>
      </w:docPartObj>
    </w:sdtPr>
    <w:sdtEndPr>
      <w:rPr>
        <w:noProof/>
      </w:rPr>
    </w:sdtEndPr>
    <w:sdtContent>
      <w:p w14:paraId="366F77EC" w14:textId="7B800F31" w:rsidR="000E48CE" w:rsidRDefault="00FF4C4E">
        <w:pPr>
          <w:pStyle w:val="Footer"/>
          <w:jc w:val="center"/>
        </w:pPr>
        <w:r>
          <w:fldChar w:fldCharType="begin"/>
        </w:r>
        <w:r>
          <w:instrText xml:space="preserve"> PAGE   \* MERGEFORMAT </w:instrText>
        </w:r>
        <w:r>
          <w:fldChar w:fldCharType="separate"/>
        </w:r>
        <w:r>
          <w:t>400</w:t>
        </w:r>
        <w:r>
          <w:fldChar w:fldCharType="end"/>
        </w:r>
      </w:p>
    </w:sdtContent>
  </w:sdt>
  <w:p w14:paraId="4583CE96" w14:textId="77777777" w:rsidR="000E48CE" w:rsidRDefault="000E48CE">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2E25" w14:textId="77777777" w:rsidR="000E48CE" w:rsidRDefault="000E48CE">
    <w:pPr>
      <w:pStyle w:val="FooterLandscap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38C67" w14:textId="77777777" w:rsidR="00FF4C4E" w:rsidRPr="00FF4C4E" w:rsidRDefault="00FF4C4E" w:rsidP="00FF4C4E">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08904" w14:textId="77777777" w:rsidR="00996749" w:rsidRDefault="00996749">
    <w:pPr>
      <w:pStyle w:val="FooterLandscape"/>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BECC5" w14:textId="77777777" w:rsidR="000E48CE" w:rsidRDefault="000E48C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494639"/>
      <w:docPartObj>
        <w:docPartGallery w:val="Page Numbers (Bottom of Page)"/>
        <w:docPartUnique/>
      </w:docPartObj>
    </w:sdtPr>
    <w:sdtEndPr>
      <w:rPr>
        <w:rFonts w:ascii="Times New Roman" w:hAnsi="Times New Roman" w:cs="Times New Roman"/>
        <w:noProof/>
      </w:rPr>
    </w:sdtEndPr>
    <w:sdtContent>
      <w:p w14:paraId="1AE40C83" w14:textId="23BF655D" w:rsidR="000E48CE" w:rsidRDefault="00FF4C4E">
        <w:pPr>
          <w:pStyle w:val="Footer"/>
          <w:jc w:val="center"/>
        </w:pPr>
        <w:r>
          <w:fldChar w:fldCharType="begin"/>
        </w:r>
        <w:r>
          <w:instrText xml:space="preserve"> PAGE   \* MERGEFORMAT </w:instrText>
        </w:r>
        <w:r>
          <w:fldChar w:fldCharType="separate"/>
        </w:r>
        <w:r w:rsidR="00460D89">
          <w:rPr>
            <w:noProof/>
          </w:rPr>
          <w:t>35</w:t>
        </w:r>
        <w:r>
          <w:fldChar w:fldCharType="end"/>
        </w:r>
      </w:p>
    </w:sdtContent>
  </w:sdt>
  <w:p w14:paraId="6C98887C" w14:textId="5D98094F" w:rsidR="000E48CE" w:rsidRDefault="000E48C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3A23" w14:textId="77777777" w:rsidR="000E48CE" w:rsidRDefault="000E48CE">
    <w:pPr>
      <w:pStyle w:val="FooterLandscape"/>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7733" w14:textId="77777777" w:rsidR="000E48CE" w:rsidRDefault="000E48C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511510"/>
      <w:docPartObj>
        <w:docPartGallery w:val="Page Numbers (Bottom of Page)"/>
        <w:docPartUnique/>
      </w:docPartObj>
    </w:sdtPr>
    <w:sdtEndPr>
      <w:rPr>
        <w:noProof/>
      </w:rPr>
    </w:sdtEndPr>
    <w:sdtContent>
      <w:p w14:paraId="1B451F3F" w14:textId="6A352CB4" w:rsidR="000E48CE" w:rsidRDefault="00FF4C4E">
        <w:pPr>
          <w:pStyle w:val="P68B1DB1-Footer49"/>
          <w:jc w:val="center"/>
        </w:pPr>
        <w:r>
          <w:fldChar w:fldCharType="begin"/>
        </w:r>
        <w:r>
          <w:instrText xml:space="preserve"> PAGE   \* MERGEFORMAT </w:instrText>
        </w:r>
        <w:r>
          <w:fldChar w:fldCharType="separate"/>
        </w:r>
        <w:r w:rsidR="00460D89">
          <w:rPr>
            <w:noProof/>
          </w:rPr>
          <w:t>45</w:t>
        </w:r>
        <w: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AE7F5" w14:textId="77777777" w:rsidR="000E48CE" w:rsidRDefault="000E48CE">
    <w:pPr>
      <w:pStyle w:val="FooterLandscape"/>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B43" w14:textId="77777777" w:rsidR="000E48CE" w:rsidRDefault="000E48C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853421"/>
      <w:docPartObj>
        <w:docPartGallery w:val="Page Numbers (Bottom of Page)"/>
        <w:docPartUnique/>
      </w:docPartObj>
    </w:sdtPr>
    <w:sdtEndPr>
      <w:rPr>
        <w:noProof/>
      </w:rPr>
    </w:sdtEndPr>
    <w:sdtContent>
      <w:p w14:paraId="101CAAF1" w14:textId="76BA7484" w:rsidR="000E48CE" w:rsidRDefault="00FF4C4E">
        <w:pPr>
          <w:pStyle w:val="P68B1DB1-Footer49"/>
          <w:jc w:val="center"/>
        </w:pPr>
        <w:r>
          <w:fldChar w:fldCharType="begin"/>
        </w:r>
        <w:r>
          <w:instrText xml:space="preserve"> PAGE   \* MERGEFORMAT </w:instrText>
        </w:r>
        <w:r>
          <w:fldChar w:fldCharType="separate"/>
        </w:r>
        <w:r w:rsidR="00460D89">
          <w:rPr>
            <w:noProof/>
          </w:rPr>
          <w:t>52</w:t>
        </w:r>
        <w:r>
          <w:fldChar w:fldCharType="end"/>
        </w:r>
      </w:p>
    </w:sdtContent>
  </w:sdt>
  <w:p w14:paraId="562ABBA8" w14:textId="12511D5F" w:rsidR="000E48CE" w:rsidRDefault="000E48CE">
    <w:pPr>
      <w:pStyle w:val="Footer"/>
      <w:ind w:left="0"/>
      <w:rPr>
        <w:rFonts w:ascii="Arial" w:hAnsi="Arial" w:cs="Arial"/>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2C48" w14:textId="77777777" w:rsidR="000E48CE" w:rsidRDefault="000E48CE">
    <w:pPr>
      <w:pStyle w:val="FooterLandscap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A720" w14:textId="77777777" w:rsidR="000E48CE" w:rsidRDefault="000E48C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D487" w14:textId="77777777" w:rsidR="000E48CE" w:rsidRDefault="000E48C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185743"/>
      <w:docPartObj>
        <w:docPartGallery w:val="Page Numbers (Bottom of Page)"/>
        <w:docPartUnique/>
      </w:docPartObj>
    </w:sdtPr>
    <w:sdtEndPr/>
    <w:sdtContent>
      <w:p w14:paraId="04557E5D" w14:textId="48C95DC2" w:rsidR="000E48CE" w:rsidRDefault="00FF4C4E">
        <w:pPr>
          <w:pStyle w:val="P68B1DB1-Footer50"/>
          <w:jc w:val="center"/>
        </w:pPr>
        <w:r>
          <w:fldChar w:fldCharType="begin"/>
        </w:r>
        <w:r>
          <w:instrText xml:space="preserve"> PAGE   \* MERGEFORMAT </w:instrText>
        </w:r>
        <w:r>
          <w:fldChar w:fldCharType="separate"/>
        </w:r>
        <w:r>
          <w:t>51</w:t>
        </w:r>
        <w: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3D20" w14:textId="77777777" w:rsidR="000E48CE" w:rsidRDefault="000E48CE">
    <w:pPr>
      <w:pStyle w:val="FooterLandscape"/>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63E8" w14:textId="77777777" w:rsidR="000E48CE" w:rsidRDefault="000E48C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216596"/>
      <w:docPartObj>
        <w:docPartGallery w:val="Page Numbers (Bottom of Page)"/>
        <w:docPartUnique/>
      </w:docPartObj>
    </w:sdtPr>
    <w:sdtEndPr/>
    <w:sdtContent>
      <w:p w14:paraId="287D78F0" w14:textId="1E8F939A" w:rsidR="000E48CE" w:rsidRDefault="00FF4C4E">
        <w:pPr>
          <w:pStyle w:val="P68B1DB1-Footer50"/>
          <w:jc w:val="center"/>
        </w:pPr>
        <w:r>
          <w:fldChar w:fldCharType="begin"/>
        </w:r>
        <w:r>
          <w:instrText xml:space="preserve"> PAGE   \* MERGEFORMAT </w:instrText>
        </w:r>
        <w:r>
          <w:fldChar w:fldCharType="separate"/>
        </w:r>
        <w:r>
          <w:t>53</w:t>
        </w:r>
        <w: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169A" w14:textId="77777777" w:rsidR="000E48CE" w:rsidRDefault="000E48CE">
    <w:pPr>
      <w:pStyle w:val="FooterLandscape"/>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8751" w14:textId="77777777" w:rsidR="000E48CE" w:rsidRDefault="000E48C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023532"/>
      <w:docPartObj>
        <w:docPartGallery w:val="Page Numbers (Bottom of Page)"/>
        <w:docPartUnique/>
      </w:docPartObj>
    </w:sdtPr>
    <w:sdtEndPr>
      <w:rPr>
        <w:rFonts w:ascii="Arial" w:hAnsi="Arial" w:cs="Arial"/>
      </w:rPr>
    </w:sdtEndPr>
    <w:sdtContent>
      <w:p w14:paraId="6D4CAFE4" w14:textId="7397B7DD" w:rsidR="000E48CE" w:rsidRDefault="00FF4C4E">
        <w:pPr>
          <w:pStyle w:val="P68B1DB1-Footer49"/>
          <w:jc w:val="center"/>
          <w:rPr>
            <w:rFonts w:ascii="Arial" w:hAnsi="Arial" w:cs="Arial"/>
          </w:rPr>
        </w:pPr>
        <w:r>
          <w:fldChar w:fldCharType="begin"/>
        </w:r>
        <w:r>
          <w:instrText xml:space="preserve"> PAGE   \* MERGEFORMAT </w:instrText>
        </w:r>
        <w:r>
          <w:fldChar w:fldCharType="separate"/>
        </w:r>
        <w:r>
          <w:t>58</w:t>
        </w:r>
        <w: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FB83" w14:textId="77777777" w:rsidR="000E48CE" w:rsidRDefault="000E48CE">
    <w:pPr>
      <w:pStyle w:val="FooterLandscape"/>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F47F" w14:textId="77777777" w:rsidR="000E48CE" w:rsidRDefault="000E48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71148"/>
      <w:docPartObj>
        <w:docPartGallery w:val="Page Numbers (Bottom of Page)"/>
        <w:docPartUnique/>
      </w:docPartObj>
    </w:sdtPr>
    <w:sdtEndPr>
      <w:rPr>
        <w:noProof/>
      </w:rPr>
    </w:sdtEndPr>
    <w:sdtContent>
      <w:p w14:paraId="2F0C62FC" w14:textId="2B9AAF8A" w:rsidR="000E48CE" w:rsidRDefault="00FF4C4E">
        <w:pPr>
          <w:pStyle w:val="P68B1DB1-Footer49"/>
          <w:jc w:val="center"/>
        </w:pPr>
        <w:r>
          <w:fldChar w:fldCharType="begin"/>
        </w:r>
        <w:r>
          <w:instrText xml:space="preserve"> PAGE   \* MERGEFORMAT </w:instrText>
        </w:r>
        <w:r>
          <w:fldChar w:fldCharType="separate"/>
        </w:r>
        <w:r>
          <w:rPr>
            <w:noProof/>
          </w:rPr>
          <w:t>1</w:t>
        </w:r>
        <w: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689380"/>
      <w:docPartObj>
        <w:docPartGallery w:val="Page Numbers (Bottom of Page)"/>
        <w:docPartUnique/>
      </w:docPartObj>
    </w:sdtPr>
    <w:sdtEndPr>
      <w:rPr>
        <w:noProof/>
      </w:rPr>
    </w:sdtEndPr>
    <w:sdtContent>
      <w:p w14:paraId="4991C173" w14:textId="7EC9A5B3" w:rsidR="000E48CE" w:rsidRDefault="00FF4C4E">
        <w:pPr>
          <w:pStyle w:val="Footer"/>
          <w:jc w:val="center"/>
        </w:pPr>
        <w:r>
          <w:fldChar w:fldCharType="begin"/>
        </w:r>
        <w:r>
          <w:instrText xml:space="preserve"> PAGE   \* MERGEFORMAT </w:instrText>
        </w:r>
        <w:r>
          <w:fldChar w:fldCharType="separate"/>
        </w:r>
        <w:r>
          <w:t>61</w:t>
        </w:r>
        <w: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019F" w14:textId="77777777" w:rsidR="000E48CE" w:rsidRDefault="000E48CE">
    <w:pPr>
      <w:pStyle w:val="FooterLandscape"/>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3D4D3" w14:textId="77777777" w:rsidR="000E48CE" w:rsidRDefault="000E48C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40592"/>
      <w:docPartObj>
        <w:docPartGallery w:val="Page Numbers (Bottom of Page)"/>
        <w:docPartUnique/>
      </w:docPartObj>
    </w:sdtPr>
    <w:sdtEndPr>
      <w:rPr>
        <w:noProof/>
      </w:rPr>
    </w:sdtEndPr>
    <w:sdtContent>
      <w:p w14:paraId="19BA0072" w14:textId="7DB7BC8D" w:rsidR="000E48CE" w:rsidRDefault="00FF4C4E">
        <w:pPr>
          <w:pStyle w:val="Footer"/>
          <w:jc w:val="center"/>
        </w:pPr>
        <w:r>
          <w:fldChar w:fldCharType="begin"/>
        </w:r>
        <w:r>
          <w:instrText xml:space="preserve"> PAGE   \* MERGEFORMAT </w:instrText>
        </w:r>
        <w:r>
          <w:fldChar w:fldCharType="separate"/>
        </w:r>
        <w:r>
          <w:t>62</w:t>
        </w:r>
        <w: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33C0" w14:textId="77777777" w:rsidR="000E48CE" w:rsidRDefault="000E48CE">
    <w:pPr>
      <w:pStyle w:val="FooterLandscape"/>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53655" w14:textId="77777777" w:rsidR="000E48CE" w:rsidRDefault="000E48C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823079"/>
      <w:docPartObj>
        <w:docPartGallery w:val="Page Numbers (Bottom of Page)"/>
        <w:docPartUnique/>
      </w:docPartObj>
    </w:sdtPr>
    <w:sdtEndPr>
      <w:rPr>
        <w:noProof/>
      </w:rPr>
    </w:sdtEndPr>
    <w:sdtContent>
      <w:p w14:paraId="1A5E5B62" w14:textId="230547FA" w:rsidR="000E48CE" w:rsidRDefault="00FF4C4E">
        <w:pPr>
          <w:pStyle w:val="Footer"/>
          <w:jc w:val="center"/>
        </w:pPr>
        <w:r>
          <w:fldChar w:fldCharType="begin"/>
        </w:r>
        <w:r>
          <w:instrText xml:space="preserve"> PAGE   \* MERGEFORMAT </w:instrText>
        </w:r>
        <w:r>
          <w:fldChar w:fldCharType="separate"/>
        </w:r>
        <w:r>
          <w:t>63</w:t>
        </w:r>
        <w: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90E8" w14:textId="77777777" w:rsidR="000E48CE" w:rsidRDefault="000E48CE">
    <w:pPr>
      <w:pStyle w:val="FooterLandscape"/>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F65D8" w14:textId="77777777" w:rsidR="000E48CE" w:rsidRDefault="000E48C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706756"/>
      <w:docPartObj>
        <w:docPartGallery w:val="Page Numbers (Bottom of Page)"/>
        <w:docPartUnique/>
      </w:docPartObj>
    </w:sdtPr>
    <w:sdtEndPr>
      <w:rPr>
        <w:noProof/>
      </w:rPr>
    </w:sdtEndPr>
    <w:sdtContent>
      <w:p w14:paraId="3E8A7160" w14:textId="0AE5D374" w:rsidR="000E48CE" w:rsidRDefault="00FF4C4E">
        <w:pPr>
          <w:pStyle w:val="P68B1DB1-Footer49"/>
          <w:jc w:val="center"/>
        </w:pPr>
        <w:r>
          <w:fldChar w:fldCharType="begin"/>
        </w:r>
        <w:r>
          <w:instrText xml:space="preserve"> PAGE   \* MERGEFORMAT </w:instrText>
        </w:r>
        <w:r>
          <w:fldChar w:fldCharType="separate"/>
        </w:r>
        <w:r>
          <w:t>67</w:t>
        </w:r>
        <w:r>
          <w:fldChar w:fldCharType="end"/>
        </w:r>
      </w:p>
    </w:sdtContent>
  </w:sdt>
  <w:p w14:paraId="64606157" w14:textId="0E6B1ED4" w:rsidR="000E48CE" w:rsidRDefault="000E48CE">
    <w:pPr>
      <w:pStyle w:val="Footer"/>
      <w:jc w:val="cen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AFED" w14:textId="77777777" w:rsidR="000E48CE" w:rsidRDefault="000E48C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5CC" w14:textId="77777777" w:rsidR="000E48CE" w:rsidRDefault="000E48CE">
    <w:pPr>
      <w:pStyle w:val="FooterLandscape"/>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7C88" w14:textId="77777777" w:rsidR="000E48CE" w:rsidRDefault="000E48C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DEF5" w14:textId="77AB497F" w:rsidR="000E48CE" w:rsidRDefault="00FF4C4E">
    <w:pPr>
      <w:pStyle w:val="FooterLandscape"/>
      <w:rPr>
        <w:rFonts w:ascii="Times New Roman" w:hAnsi="Times New Roman" w:cs="Times New Roman"/>
        <w:b/>
      </w:rPr>
    </w:pPr>
    <w:r>
      <w:rPr>
        <w:rFonts w:ascii="Aptos" w:hAnsi="Aptos"/>
        <w:b/>
        <w:sz w:val="48"/>
      </w:rP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rPr>
      <w:tab/>
    </w:r>
    <w:r>
      <w:rPr>
        <w:rFonts w:ascii="Times New Roman" w:hAnsi="Times New Roman"/>
      </w:rPr>
      <w:tab/>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E676" w14:textId="77777777" w:rsidR="000E48CE" w:rsidRDefault="000E48CE">
    <w:pPr>
      <w:pStyle w:val="FooterLandscape"/>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EC7C" w14:textId="77777777" w:rsidR="000E48CE" w:rsidRDefault="000E48C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167355"/>
      <w:docPartObj>
        <w:docPartGallery w:val="Page Numbers (Bottom of Page)"/>
        <w:docPartUnique/>
      </w:docPartObj>
    </w:sdtPr>
    <w:sdtEndPr>
      <w:rPr>
        <w:noProof/>
      </w:rPr>
    </w:sdtEndPr>
    <w:sdtContent>
      <w:p w14:paraId="4633E134" w14:textId="39B3176A" w:rsidR="000E48CE" w:rsidRDefault="00FF4C4E">
        <w:pPr>
          <w:pStyle w:val="Footer"/>
          <w:jc w:val="center"/>
        </w:pPr>
        <w:r>
          <w:fldChar w:fldCharType="begin"/>
        </w:r>
        <w:r>
          <w:instrText xml:space="preserve"> PAGE   \* MERGEFORMAT </w:instrText>
        </w:r>
        <w:r>
          <w:fldChar w:fldCharType="separate"/>
        </w:r>
        <w:r>
          <w:t>72</w:t>
        </w:r>
        <w:r>
          <w:fldChar w:fldCharType="end"/>
        </w:r>
      </w:p>
    </w:sdtContent>
  </w:sdt>
  <w:p w14:paraId="11618484" w14:textId="3F29EB47" w:rsidR="000E48CE" w:rsidRDefault="000E48CE">
    <w:pPr>
      <w:pStyle w:val="FooterLandscape"/>
      <w:rPr>
        <w:rFonts w:ascii="Aptos" w:hAnsi="Aptos" w:cs="Aptos"/>
        <w:b/>
        <w:sz w:val="20"/>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89CC" w14:textId="77777777" w:rsidR="000E48CE" w:rsidRDefault="000E48CE">
    <w:pPr>
      <w:pStyle w:val="FooterLandscape"/>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A123" w14:textId="77777777" w:rsidR="000E48CE" w:rsidRDefault="000E48C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2C917" w14:textId="683B354B" w:rsidR="000E48CE" w:rsidRDefault="00FF4C4E">
    <w:pPr>
      <w:pStyle w:val="FooterLandscape"/>
      <w:rPr>
        <w:rFonts w:ascii="Times New Roman" w:hAnsi="Times New Roman" w:cs="Times New Roman"/>
        <w:b/>
      </w:rPr>
    </w:pPr>
    <w:r>
      <w:rPr>
        <w:rFonts w:ascii="Aptos" w:hAnsi="Aptos"/>
        <w:b/>
        <w:sz w:val="48"/>
      </w:rP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r>
      <w:rPr>
        <w:rFonts w:ascii="Times New Roman" w:hAnsi="Times New Roman"/>
      </w:rPr>
      <w:tab/>
    </w:r>
    <w:r>
      <w:rPr>
        <w:rFonts w:ascii="Times New Roman" w:hAnsi="Times New Roman"/>
      </w:rPr>
      <w:tab/>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C31F" w14:textId="77777777" w:rsidR="000E48CE" w:rsidRDefault="000E48CE">
    <w:pPr>
      <w:pStyle w:val="FooterLandscap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325F" w14:textId="77777777" w:rsidR="000E48CE" w:rsidRDefault="000E48C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2FE7" w14:textId="77777777" w:rsidR="000E48CE" w:rsidRDefault="000E48C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25478"/>
      <w:docPartObj>
        <w:docPartGallery w:val="Page Numbers (Bottom of Page)"/>
        <w:docPartUnique/>
      </w:docPartObj>
    </w:sdtPr>
    <w:sdtEndPr>
      <w:rPr>
        <w:noProof/>
      </w:rPr>
    </w:sdtEndPr>
    <w:sdtContent>
      <w:p w14:paraId="0A2C5F3D" w14:textId="315F0FBB" w:rsidR="000E48CE" w:rsidRDefault="00FF4C4E">
        <w:pPr>
          <w:pStyle w:val="P68B1DB1-Footer49"/>
          <w:jc w:val="center"/>
        </w:pPr>
        <w:r>
          <w:fldChar w:fldCharType="begin"/>
        </w:r>
        <w:r>
          <w:instrText xml:space="preserve"> PAGE   \* MERGEFORMAT </w:instrText>
        </w:r>
        <w:r>
          <w:fldChar w:fldCharType="separate"/>
        </w:r>
        <w:r>
          <w:t>78</w:t>
        </w:r>
        <w: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37BA" w14:textId="77777777" w:rsidR="000E48CE" w:rsidRDefault="000E48CE">
    <w:pPr>
      <w:pStyle w:val="FooterLandscape"/>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36D1" w14:textId="77777777" w:rsidR="000E48CE" w:rsidRDefault="000E48C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DC12" w14:textId="7DC078EA" w:rsidR="000E48CE" w:rsidRDefault="00FF4C4E">
    <w:pPr>
      <w:pStyle w:val="FooterLandscape"/>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79</w:t>
    </w:r>
    <w:r>
      <w:rPr>
        <w:sz w:val="20"/>
      </w:rPr>
      <w:fldChar w:fldCharType="end"/>
    </w:r>
    <w:r>
      <w:rPr>
        <w:sz w:val="20"/>
      </w:rPr>
      <w:tab/>
    </w:r>
    <w:r>
      <w:rPr>
        <w:sz w:val="20"/>
      </w:rPr>
      <w:tab/>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D459" w14:textId="77777777" w:rsidR="000E48CE" w:rsidRDefault="000E48CE">
    <w:pPr>
      <w:pStyle w:val="FooterLandscape"/>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63357" w14:textId="77777777" w:rsidR="000E48CE" w:rsidRDefault="000E48C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074450"/>
      <w:docPartObj>
        <w:docPartGallery w:val="Page Numbers (Bottom of Page)"/>
        <w:docPartUnique/>
      </w:docPartObj>
    </w:sdtPr>
    <w:sdtEndPr>
      <w:rPr>
        <w:noProof/>
      </w:rPr>
    </w:sdtEndPr>
    <w:sdtContent>
      <w:p w14:paraId="51E9DE6E" w14:textId="0F78EAAE" w:rsidR="000E48CE" w:rsidRDefault="00FF4C4E">
        <w:pPr>
          <w:pStyle w:val="P68B1DB1-Footer51"/>
          <w:jc w:val="center"/>
        </w:pPr>
        <w:r>
          <w:fldChar w:fldCharType="begin"/>
        </w:r>
        <w:r>
          <w:instrText xml:space="preserve"> PAGE   \* MERGEFORMAT </w:instrText>
        </w:r>
        <w:r>
          <w:fldChar w:fldCharType="separate"/>
        </w:r>
        <w:r>
          <w:t>89</w:t>
        </w:r>
        <w: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8F8C" w14:textId="77777777" w:rsidR="000E48CE" w:rsidRDefault="000E48CE">
    <w:pPr>
      <w:pStyle w:val="FooterLandscape"/>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706C" w14:textId="77777777" w:rsidR="000E48CE" w:rsidRDefault="000E48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525191"/>
      <w:docPartObj>
        <w:docPartGallery w:val="Page Numbers (Bottom of Page)"/>
        <w:docPartUnique/>
      </w:docPartObj>
    </w:sdtPr>
    <w:sdtEndPr>
      <w:rPr>
        <w:noProof/>
      </w:rPr>
    </w:sdtEndPr>
    <w:sdtContent>
      <w:p w14:paraId="3B4ACEE7" w14:textId="3D1EFA17" w:rsidR="000E48CE" w:rsidRDefault="00FF4C4E">
        <w:pPr>
          <w:pStyle w:val="P68B1DB1-Footer49"/>
          <w:jc w:val="center"/>
        </w:pPr>
        <w:r>
          <w:fldChar w:fldCharType="begin"/>
        </w:r>
        <w:r>
          <w:instrText xml:space="preserve"> PAGE   \* MERGEFORMAT </w:instrText>
        </w:r>
        <w:r>
          <w:fldChar w:fldCharType="separate"/>
        </w:r>
        <w:r>
          <w:rPr>
            <w:noProof/>
          </w:rPr>
          <w:t>6</w:t>
        </w:r>
        <w: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144635"/>
      <w:docPartObj>
        <w:docPartGallery w:val="Page Numbers (Bottom of Page)"/>
        <w:docPartUnique/>
      </w:docPartObj>
    </w:sdtPr>
    <w:sdtEndPr>
      <w:rPr>
        <w:noProof/>
      </w:rPr>
    </w:sdtEndPr>
    <w:sdtContent>
      <w:p w14:paraId="5AD4C00E" w14:textId="3C38A3C1" w:rsidR="000E48CE" w:rsidRDefault="00FF4C4E">
        <w:pPr>
          <w:pStyle w:val="P68B1DB1-Footer52"/>
          <w:jc w:val="center"/>
        </w:pPr>
        <w:r>
          <w:fldChar w:fldCharType="begin"/>
        </w:r>
        <w:r>
          <w:instrText xml:space="preserve"> PAGE   \* MERGEFORMAT </w:instrText>
        </w:r>
        <w:r>
          <w:fldChar w:fldCharType="separate"/>
        </w:r>
        <w:r>
          <w:t>90</w:t>
        </w:r>
        <w: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FC88" w14:textId="77777777" w:rsidR="000E48CE" w:rsidRDefault="000E48CE">
    <w:pPr>
      <w:pStyle w:val="FooterLandscape"/>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7CD6" w14:textId="77777777" w:rsidR="000E48CE" w:rsidRDefault="000E48C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684554"/>
      <w:docPartObj>
        <w:docPartGallery w:val="Page Numbers (Bottom of Page)"/>
        <w:docPartUnique/>
      </w:docPartObj>
    </w:sdtPr>
    <w:sdtEndPr>
      <w:rPr>
        <w:noProof/>
      </w:rPr>
    </w:sdtEndPr>
    <w:sdtContent>
      <w:p w14:paraId="34C80394" w14:textId="22C8D60E" w:rsidR="000E48CE" w:rsidRDefault="00FF4C4E">
        <w:pPr>
          <w:pStyle w:val="P68B1DB1-Footer51"/>
          <w:jc w:val="center"/>
        </w:pPr>
        <w:r>
          <w:fldChar w:fldCharType="begin"/>
        </w:r>
        <w:r>
          <w:instrText xml:space="preserve"> PAGE   \* MERGEFORMAT </w:instrText>
        </w:r>
        <w:r>
          <w:fldChar w:fldCharType="separate"/>
        </w:r>
        <w:r>
          <w:t>94</w:t>
        </w:r>
        <w: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01AC" w14:textId="77777777" w:rsidR="000E48CE" w:rsidRDefault="000E48CE">
    <w:pPr>
      <w:pStyle w:val="FooterLandscape"/>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A1CB" w14:textId="77777777" w:rsidR="000E48CE" w:rsidRDefault="000E48C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F15CB" w14:textId="62D3EAC3" w:rsidR="000E48CE" w:rsidRDefault="00FF4C4E">
    <w:pPr>
      <w:pStyle w:val="FooterLandscape"/>
      <w:ind w:left="0"/>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97</w:t>
    </w:r>
    <w:r>
      <w:rPr>
        <w:sz w:val="20"/>
      </w:rPr>
      <w:fldChar w:fldCharType="end"/>
    </w:r>
    <w:r>
      <w:rPr>
        <w:sz w:val="20"/>
      </w:rPr>
      <w:tab/>
    </w:r>
    <w:r>
      <w:rPr>
        <w:sz w:val="20"/>
      </w:rPr>
      <w:tab/>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37F9" w14:textId="77777777" w:rsidR="000E48CE" w:rsidRDefault="000E48CE">
    <w:pPr>
      <w:pStyle w:val="FooterLandscape"/>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D492" w14:textId="77777777" w:rsidR="000E48CE" w:rsidRDefault="000E48C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106000"/>
      <w:docPartObj>
        <w:docPartGallery w:val="Page Numbers (Bottom of Page)"/>
        <w:docPartUnique/>
      </w:docPartObj>
    </w:sdtPr>
    <w:sdtEndPr>
      <w:rPr>
        <w:noProof/>
      </w:rPr>
    </w:sdtEndPr>
    <w:sdtContent>
      <w:p w14:paraId="30211570" w14:textId="322AED98" w:rsidR="000E48CE" w:rsidRDefault="00FF4C4E">
        <w:pPr>
          <w:pStyle w:val="P68B1DB1-Footer51"/>
          <w:jc w:val="center"/>
        </w:pPr>
        <w:r>
          <w:fldChar w:fldCharType="begin"/>
        </w:r>
        <w:r>
          <w:instrText xml:space="preserve"> PAGE   \* MERGEFORMAT </w:instrText>
        </w:r>
        <w:r>
          <w:fldChar w:fldCharType="separate"/>
        </w:r>
        <w:r>
          <w:t>101</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7058" w14:textId="77777777" w:rsidR="000E48CE" w:rsidRDefault="000E48C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A92C" w14:textId="77777777" w:rsidR="000E48CE" w:rsidRDefault="000E48CE">
    <w:pPr>
      <w:pStyle w:val="FooterLandscape"/>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7D592" w14:textId="77777777" w:rsidR="000E48CE" w:rsidRDefault="000E48C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2414" w14:textId="6F185D27" w:rsidR="000E48CE" w:rsidRDefault="00FF4C4E">
    <w:pPr>
      <w:pStyle w:val="FooterLandscape"/>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103</w:t>
    </w:r>
    <w:r>
      <w:rPr>
        <w:sz w:val="20"/>
      </w:rPr>
      <w:fldChar w:fldCharType="end"/>
    </w:r>
    <w:r>
      <w:rPr>
        <w:sz w:val="20"/>
      </w:rPr>
      <w:tab/>
    </w:r>
    <w:r>
      <w:rPr>
        <w:sz w:val="20"/>
      </w:rPr>
      <w:tab/>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B5971" w14:textId="77777777" w:rsidR="000E48CE" w:rsidRDefault="000E48CE">
    <w:pPr>
      <w:pStyle w:val="FooterLandscape"/>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A135" w14:textId="77777777" w:rsidR="000E48CE" w:rsidRDefault="000E48C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94972"/>
      <w:docPartObj>
        <w:docPartGallery w:val="Page Numbers (Bottom of Page)"/>
        <w:docPartUnique/>
      </w:docPartObj>
    </w:sdtPr>
    <w:sdtEndPr>
      <w:rPr>
        <w:noProof/>
      </w:rPr>
    </w:sdtEndPr>
    <w:sdtContent>
      <w:p w14:paraId="4F62A649" w14:textId="4F5C63F7" w:rsidR="000E48CE" w:rsidRDefault="00FF4C4E">
        <w:pPr>
          <w:pStyle w:val="P68B1DB1-Footer51"/>
          <w:jc w:val="center"/>
        </w:pPr>
        <w:r>
          <w:fldChar w:fldCharType="begin"/>
        </w:r>
        <w:r>
          <w:instrText xml:space="preserve"> PAGE   \* MERGEFORMAT </w:instrText>
        </w:r>
        <w:r>
          <w:fldChar w:fldCharType="separate"/>
        </w:r>
        <w:r>
          <w:t>105</w:t>
        </w:r>
        <w:r>
          <w:fldChar w:fldCharType="end"/>
        </w:r>
      </w:p>
    </w:sdtContent>
  </w:sdt>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069" w14:textId="77777777" w:rsidR="000E48CE" w:rsidRDefault="000E48CE">
    <w:pPr>
      <w:pStyle w:val="FooterLandscape"/>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E3EA" w14:textId="77777777" w:rsidR="000E48CE" w:rsidRDefault="000E48C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3E59A" w14:textId="312ACACE" w:rsidR="000E48CE" w:rsidRDefault="00FF4C4E">
    <w:pPr>
      <w:pStyle w:val="FooterLandscape"/>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107</w:t>
    </w:r>
    <w:r>
      <w:rPr>
        <w:sz w:val="20"/>
      </w:rPr>
      <w:fldChar w:fldCharType="end"/>
    </w:r>
    <w:r>
      <w:rPr>
        <w:sz w:val="20"/>
      </w:rPr>
      <w:tab/>
    </w:r>
    <w:r>
      <w:rPr>
        <w:sz w:val="20"/>
      </w:rPr>
      <w:tab/>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4880" w14:textId="77777777" w:rsidR="000E48CE" w:rsidRDefault="000E48CE">
    <w:pPr>
      <w:pStyle w:val="FooterLandscap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44C0B" w14:textId="77777777" w:rsidR="00A56DEA" w:rsidRDefault="00A56DEA">
      <w:r>
        <w:separator/>
      </w:r>
    </w:p>
  </w:footnote>
  <w:footnote w:type="continuationSeparator" w:id="0">
    <w:p w14:paraId="50C9B191" w14:textId="77777777" w:rsidR="00A56DEA" w:rsidRDefault="00A56DEA">
      <w:pPr>
        <w:spacing w:after="0" w:line="240" w:lineRule="auto"/>
      </w:pPr>
      <w:r>
        <w:continuationSeparator/>
      </w:r>
    </w:p>
    <w:p w14:paraId="64ADEAE1" w14:textId="77777777" w:rsidR="00A56DEA" w:rsidRDefault="00A56DEA"/>
  </w:footnote>
  <w:footnote w:type="continuationNotice" w:id="1">
    <w:p w14:paraId="716E920F" w14:textId="77777777" w:rsidR="00A56DEA" w:rsidRDefault="00A56DEA">
      <w:pPr>
        <w:spacing w:after="0" w:line="240" w:lineRule="auto"/>
      </w:pPr>
    </w:p>
    <w:p w14:paraId="39E635DF" w14:textId="77777777" w:rsidR="00A56DEA" w:rsidRDefault="00A56DEA"/>
  </w:footnote>
  <w:footnote w:id="2">
    <w:p w14:paraId="2709697D" w14:textId="3EFF7A3B"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Sellaisina kuin ne on määritelty asetuksen 2019/1242 3 artiklan 11 kohdassa: ajoneuvo, jossa ei ole polttomoottoria tai jonka polttomoottorin päästöt ovat</w:t>
      </w:r>
      <w:r>
        <w:rPr>
          <w:rFonts w:ascii="Times New Roman" w:hAnsi="Times New Roman"/>
        </w:rPr>
        <w:t xml:space="preserve"> alle 1 g CO2/km.</w:t>
      </w:r>
    </w:p>
  </w:footnote>
  <w:footnote w:id="3">
    <w:p w14:paraId="62CABCB5"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Sellaisina kuin ne on määritelty asetuksen (EU) 2019/1242 3 artiklan 12 kohdassa: hiilidioksidipäästöt ovat alle puolet kaikkien ajoneuvojen alaryhmän ajoneuvojen CO2-vertailupäästöistä; viitearvot vaihtelevat kuorma-autotyypin mukaan.</w:t>
      </w:r>
    </w:p>
  </w:footnote>
  <w:footnote w:id="4">
    <w:p w14:paraId="41AF84FA"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Biopolttoaineet, bionesteet ja biomassapolttoaineet täyttävät 29–31 artiklassa vahvistetut kestävyyskriteerit ja kasvihuonekaasupäästöjen vähennyksiä koskevat kriteerit sekä uusiutuvaa energiaa koskevan direktiivin (EU) 2018/2001 (REDII) 26 artiklassa va</w:t>
      </w:r>
      <w:r>
        <w:rPr>
          <w:rFonts w:ascii="Times New Roman" w:hAnsi="Times New Roman"/>
        </w:rPr>
        <w:t>hvistetut elintarvike- ja rehupohjaisia biopolttoaineita koskevat säännöt sekä niihin liittyvät täytäntöönpanosäädökset ja delegoidut säädökset; ja elpymis- ja palautumistukivälineestä tuetuissa ajoneuvoissa käytetään yksinomaan RED II -direktiivin mukaisi</w:t>
      </w:r>
      <w:r>
        <w:rPr>
          <w:rFonts w:ascii="Times New Roman" w:hAnsi="Times New Roman"/>
        </w:rPr>
        <w:t>a biopolttoaineita, bionesteitä ja biomassapolttoaineita; ja biopolttoaineiden, bionesteiden ja biomassapolttoaineiden määrä/osuus kansallisesta yhdistelmästä kasvaa ajan mittaan.</w:t>
      </w:r>
    </w:p>
  </w:footnote>
  <w:footnote w:id="5">
    <w:p w14:paraId="61975C04" w14:textId="27785845"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Biopolttoaineet, bionesteet ja biomassapolttoaineet täyttävät 29 31 artikl</w:t>
      </w:r>
      <w:r>
        <w:rPr>
          <w:rFonts w:ascii="Times New Roman" w:hAnsi="Times New Roman"/>
        </w:rPr>
        <w:t>assa vahvistetut kestävyyskriteerit ja kasvihuonekaasupäästöjen vähennyksiä koskevat kriteerit sekä uusiutuvaa energiaa koskevan direktiivin (EU) 2018/2001 (REDII) 26 artiklassa vahvistetut elintarvike- ja rehupohjaisia biopolttoaineita koskevat säännöt se</w:t>
      </w:r>
      <w:r>
        <w:rPr>
          <w:rFonts w:ascii="Times New Roman" w:hAnsi="Times New Roman"/>
        </w:rPr>
        <w:t>kä niihin liittyvät täytäntöönpanosäädökset ja delegoidut säädökset; ja elpymis- ja palautumistukivälineestä tuetuissa ajoneuvoissa käytetään yksinomaan RED II -direktiivin mukaisia biopolttoaineita, bionesteitä ja biomassapolttoaineita; ja biopolttoaineid</w:t>
      </w:r>
      <w:r>
        <w:rPr>
          <w:rFonts w:ascii="Times New Roman" w:hAnsi="Times New Roman"/>
        </w:rPr>
        <w:t>en, bionesteiden ja biomassapolttoaineiden määrä/osuus kansallisesta yhdistelmästä kasvaa ajan mittaan.</w:t>
      </w:r>
    </w:p>
  </w:footnote>
  <w:footnote w:id="6">
    <w:p w14:paraId="1DE5B045" w14:textId="6CF8DDEA" w:rsidR="000E48CE" w:rsidRDefault="00FF4C4E">
      <w:pPr>
        <w:pStyle w:val="FootnoteText"/>
        <w:ind w:left="0" w:firstLine="0"/>
      </w:pPr>
      <w:r>
        <w:rPr>
          <w:rStyle w:val="FootnoteReference"/>
        </w:rPr>
        <w:footnoteRef/>
      </w:r>
      <w:r>
        <w:rPr>
          <w:rFonts w:ascii="Times New Roman" w:hAnsi="Times New Roman"/>
          <w:sz w:val="19"/>
        </w:rPr>
        <w:t>Lukuun ottamatta a) sähkön ja/tai lämmön tuotantoon liittyviä omaisuuseriä ja toimintoja sekä niihin liittyvää maakaasua käyttävää siirto- ja jakeluinf</w:t>
      </w:r>
      <w:r>
        <w:rPr>
          <w:rFonts w:ascii="Times New Roman" w:hAnsi="Times New Roman"/>
          <w:sz w:val="19"/>
        </w:rPr>
        <w:t>rastruktuuria, jotka täyttävät teknisten ohjeiden (2021/C58/01) liitteessä III vahvistetut edellytykset, ja b) ii alakohdassa tarkoitettuja toimintoja ja omaisuuseriä, joiden osalta fossiilisten polttoaineiden käyttö on väliaikaista ja teknisesti mahdotont</w:t>
      </w:r>
      <w:r>
        <w:rPr>
          <w:rFonts w:ascii="Times New Roman" w:hAnsi="Times New Roman"/>
          <w:sz w:val="19"/>
        </w:rPr>
        <w:t>a, jotta voidaan siirtyä oikea-aikaisesti kohti fossiilitonta toimintaa.</w:t>
      </w:r>
    </w:p>
  </w:footnote>
  <w:footnote w:id="7">
    <w:p w14:paraId="76B6B55A" w14:textId="776EB3E9" w:rsidR="000E48CE" w:rsidRDefault="00FF4C4E">
      <w:pPr>
        <w:pStyle w:val="FootnoteText"/>
        <w:ind w:left="0" w:firstLine="0"/>
      </w:pPr>
      <w:r>
        <w:rPr>
          <w:rStyle w:val="FootnoteReference"/>
        </w:rPr>
        <w:footnoteRef/>
      </w:r>
      <w:r>
        <w:rPr>
          <w:rFonts w:ascii="Times New Roman" w:hAnsi="Times New Roman"/>
          <w:sz w:val="19"/>
        </w:rPr>
        <w:t>Jos tuetulla toiminnalla saavutetaan ennustetut kasvihuonekaasupäästöt, jotka eivät ole merkittävästi alhaisemmat kuin asiaankuuluvat vertailuarvot, on annettava selvitys syistä, joi</w:t>
      </w:r>
      <w:r>
        <w:rPr>
          <w:rFonts w:ascii="Times New Roman" w:hAnsi="Times New Roman"/>
          <w:sz w:val="19"/>
        </w:rPr>
        <w:t xml:space="preserve">den vuoksi tämä ei ole mahdollista. Vertailuarvot, jotka on vahvistettu maksutta jaettavia päästöoikeuksia varten päästökauppajärjestelmän soveltamisalaan kuuluville toiminnoille komission täytäntöönpanoasetuksen (EU) 2021/447 mukaisesti. </w:t>
      </w:r>
    </w:p>
  </w:footnote>
  <w:footnote w:id="8">
    <w:p w14:paraId="48521E96" w14:textId="7A608DAF" w:rsidR="000E48CE" w:rsidRDefault="00FF4C4E">
      <w:pPr>
        <w:pStyle w:val="FootnoteText"/>
        <w:ind w:left="0" w:firstLine="0"/>
      </w:pPr>
      <w:r>
        <w:rPr>
          <w:rStyle w:val="FootnoteReference"/>
        </w:rPr>
        <w:footnoteRef/>
      </w:r>
      <w:r>
        <w:rPr>
          <w:rFonts w:ascii="Times New Roman" w:hAnsi="Times New Roman"/>
        </w:rPr>
        <w:t>Tämä soveltamis</w:t>
      </w:r>
      <w:r>
        <w:rPr>
          <w:rFonts w:ascii="Times New Roman" w:hAnsi="Times New Roman"/>
        </w:rPr>
        <w:t xml:space="preserve">alan ulkopuolelle jättäminen ei koske tämän toimenpiteen mukaisia toimia laitoksissa, jotka on tarkoitettu yksinomaan kierrätettäväksi kelpaamattoman vaarallisen jätteen käsittelyyn, eikä olemassa olevissa laitoksissa, joissa tämän toimenpiteen mukaisilla </w:t>
      </w:r>
      <w:r>
        <w:rPr>
          <w:rFonts w:ascii="Times New Roman" w:hAnsi="Times New Roman"/>
        </w:rPr>
        <w:t>toimilla pyritään lisäämään energiatehokkuutta, ottamaan talteen kaasuja varastointia tai käyttöä varten tai ottamaan talteen materiaalit polttotuhkasta, edellyttäen, että tällaiset tämän toimenpiteen mukaiset toimet eivät johda laitoksen jätteenkäsittelyk</w:t>
      </w:r>
      <w:r>
        <w:rPr>
          <w:rFonts w:ascii="Times New Roman" w:hAnsi="Times New Roman"/>
        </w:rPr>
        <w:t>apasiteetin kasvuun tai laitosten käyttöiän pidentämiseen; joista toimitetaan näyttöä laitostasolla</w:t>
      </w:r>
    </w:p>
  </w:footnote>
  <w:footnote w:id="9">
    <w:p w14:paraId="6F4D6DC3" w14:textId="3C47CD1C" w:rsidR="000E48CE" w:rsidRDefault="00FF4C4E">
      <w:pPr>
        <w:pStyle w:val="FootnoteText"/>
        <w:ind w:left="0" w:firstLine="0"/>
      </w:pPr>
      <w:r>
        <w:rPr>
          <w:rStyle w:val="FootnoteReference"/>
        </w:rPr>
        <w:footnoteRef/>
      </w:r>
      <w:r>
        <w:rPr>
          <w:rFonts w:ascii="Times New Roman" w:hAnsi="Times New Roman"/>
        </w:rPr>
        <w:t xml:space="preserve">Tätä poikkeusta ei sovelleta tämän toimenpiteen mukaisiin toimiin olemassa olevissa mekaanisissa biologisissa käsittelylaitoksissa, jos tämän toimenpiteen </w:t>
      </w:r>
      <w:r>
        <w:rPr>
          <w:rFonts w:ascii="Times New Roman" w:hAnsi="Times New Roman"/>
        </w:rPr>
        <w:t>mukaisilla toimilla pyritään lisäämään resurssitehokkuutta tai jälkiasennuksia erotetun jätteen kierrätystoimiin biojätteen kompostoimiseksi ja biojätteen anaerobiseksi mädätystoiminnaksi edellyttäen, että tällaiset tämän toimenpiteen mukaiset toimet eivät</w:t>
      </w:r>
      <w:r>
        <w:rPr>
          <w:rFonts w:ascii="Times New Roman" w:hAnsi="Times New Roman"/>
        </w:rPr>
        <w:t xml:space="preserve"> lisää laitosten jätteenkäsittelykapasiteettia tai pidennä laitosten käyttöikää; tästä toimitetaan näyttöä laitoskohtaisesti.</w:t>
      </w:r>
    </w:p>
  </w:footnote>
  <w:footnote w:id="10">
    <w:p w14:paraId="222C11A5" w14:textId="750F32D3" w:rsidR="000E48CE" w:rsidRDefault="00FF4C4E">
      <w:pPr>
        <w:pStyle w:val="FootnoteText"/>
        <w:ind w:left="0" w:firstLine="0"/>
      </w:pPr>
      <w:r>
        <w:rPr>
          <w:rStyle w:val="FootnoteReference"/>
        </w:rPr>
        <w:footnoteRef/>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Fonts w:ascii="Times New Roman"/>
        </w:rPr>
        <w:t xml:space="preserve">lopullisten </w:t>
      </w:r>
      <w:r>
        <w:rPr>
          <w:rFonts w:ascii="Times New Roman"/>
        </w:rPr>
        <w:t>edunsaajien on esitett</w:t>
      </w:r>
      <w:r>
        <w:rPr>
          <w:rFonts w:ascii="Times New Roman"/>
        </w:rPr>
        <w:t></w:t>
      </w:r>
      <w:r>
        <w:rPr>
          <w:rFonts w:ascii="Times New Roman"/>
        </w:rPr>
        <w:t>v</w:t>
      </w:r>
      <w:r>
        <w:rPr>
          <w:rFonts w:ascii="Times New Roman"/>
        </w:rPr>
        <w:t></w:t>
      </w:r>
      <w:r>
        <w:rPr>
          <w:rFonts w:ascii="Times New Roman"/>
        </w:rPr>
        <w:t xml:space="preserve"> perustelut kullekin tuetulle hankkeelle valitusta toiminta-alasta sek</w:t>
      </w:r>
      <w:r>
        <w:rPr>
          <w:rFonts w:ascii="Times New Roman"/>
        </w:rPr>
        <w:t></w:t>
      </w:r>
      <w:r>
        <w:rPr>
          <w:rFonts w:ascii="Times New Roman"/>
        </w:rPr>
        <w:t xml:space="preserve"> hankkeen kuvaus. Toteutuskumppanin on my</w:t>
      </w:r>
      <w:r>
        <w:rPr>
          <w:rFonts w:ascii="Times New Roman"/>
        </w:rPr>
        <w:t></w:t>
      </w:r>
      <w:r>
        <w:rPr>
          <w:rFonts w:ascii="Times New Roman"/>
        </w:rPr>
        <w:t>s toimitettava j</w:t>
      </w:r>
      <w:r>
        <w:rPr>
          <w:rFonts w:ascii="Times New Roman"/>
        </w:rPr>
        <w:t></w:t>
      </w:r>
      <w:r>
        <w:rPr>
          <w:rFonts w:ascii="Times New Roman"/>
        </w:rPr>
        <w:t>senvaltiolle puolivuosittain kertomus kunkin hankkeen/toimen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 xml:space="preserve">npanosta. </w:t>
      </w:r>
    </w:p>
  </w:footnote>
  <w:footnote w:id="11">
    <w:p w14:paraId="0AF27CE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w:t>
      </w:r>
      <w:r>
        <w:rPr>
          <w:rFonts w:ascii="Times New Roman" w:hAnsi="Times New Roman"/>
        </w:rPr>
        <w:t>ämän toimenpiteen mukaisia hankkeita, jotka koskevat sähkön ja/tai lämmön tuotantoa sekä niihin liittyvää maakaasua käyttävää siirto- ja jakeluinfrastruktuuria ja jotka täyttävät ”ei merkittävää haittaa” -periaatteesta annettujen teknisten ohjeiden (2021/C</w:t>
      </w:r>
      <w:r>
        <w:rPr>
          <w:rFonts w:ascii="Times New Roman" w:hAnsi="Times New Roman"/>
        </w:rPr>
        <w:t>58/01) liitteessä III esitetyt ehdot.</w:t>
      </w:r>
    </w:p>
  </w:footnote>
  <w:footnote w:id="12">
    <w:p w14:paraId="50587B3E"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w:t>
      </w:r>
      <w:r>
        <w:rPr>
          <w:rFonts w:ascii="Times New Roman" w:hAnsi="Times New Roman"/>
        </w:rPr>
        <w:t>a. Vertailuarvot, jotka on vahvistettu maksutta jaettavia päästöoikeuksia varten päästökauppajärjestelmän soveltamisalaan kuuluville toiminnoille komission täytäntöönpanoasetuksen (EU) 2021/447 mukaisesti.</w:t>
      </w:r>
    </w:p>
  </w:footnote>
  <w:footnote w:id="13">
    <w:p w14:paraId="26F9A21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w:t>
      </w:r>
      <w:r>
        <w:rPr>
          <w:rFonts w:ascii="Times New Roman" w:hAnsi="Times New Roman"/>
        </w:rPr>
        <w:t>oske tämän toimenpiteen mukaisia toimia laitoksissa, jotka on tarkoitettu yksinomaan kierrätettäväksi kelpaamattoman vaarallisen jätteen käsittelyyn, eikä olemassa olevissa laitoksissa, joissa tämän toimenpiteen mukaisilla toimilla pyritään lisäämään energ</w:t>
      </w:r>
      <w:r>
        <w:rPr>
          <w:rFonts w:ascii="Times New Roman" w:hAnsi="Times New Roman"/>
        </w:rPr>
        <w:t>iatehokkuutta, ottamaan talteen kaasuja varastointia tai käyttöä varten tai ottamaan talteen materiaalit polttotuhkasta, edellyttäen, että tällaiset tämän toimenpiteen mukaiset toimet eivät johda laitoksen jätteenkäsittelykapasiteetin kasvuun tai laitosten</w:t>
      </w:r>
      <w:r>
        <w:rPr>
          <w:rFonts w:ascii="Times New Roman" w:hAnsi="Times New Roman"/>
        </w:rPr>
        <w:t xml:space="preserve"> käyttöiän pidentämiseen; tästä toimitetaan näyttöä laitoskohtaisesti.</w:t>
      </w:r>
    </w:p>
  </w:footnote>
  <w:footnote w:id="14">
    <w:p w14:paraId="44F31A46"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w:t>
      </w:r>
      <w:r>
        <w:rPr>
          <w:rFonts w:ascii="Times New Roman" w:hAnsi="Times New Roman"/>
        </w:rPr>
        <w:t>ten toimien tarkoituksena on parantaa energiatehokkuutta tai uudistaa erotetun jätteen kierrätystoimia biojätteen kompostointia ja biojätteen anaerobista mädättämistä varten edellyttäen, että tällaiset tämän toimenpiteen mukaiset toimet eivät johda laitost</w:t>
      </w:r>
      <w:r>
        <w:rPr>
          <w:rFonts w:ascii="Times New Roman" w:hAnsi="Times New Roman"/>
        </w:rPr>
        <w:t>en jätteenkäsittelykapasiteetin lisääntymiseen tai laitosten käyttöiän pidentämiseen; tästä toimitetaan näyttöä laitoskohtaisesti.</w:t>
      </w:r>
    </w:p>
  </w:footnote>
  <w:footnote w:id="15">
    <w:p w14:paraId="6310145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w:t>
      </w:r>
      <w:r>
        <w:rPr>
          <w:rFonts w:ascii="Times New Roman" w:hAnsi="Times New Roman"/>
        </w:rPr>
        <w:t xml:space="preserve"> maakaasua käyttävää siirto- ja jakeluinfrastruktuuria ja jotka täyttävät ”ei merkittävää haittaa” -periaatteesta annettujen teknisten ohjeiden (2021/C58/01) liitteessä III esitetyt ehdot.</w:t>
      </w:r>
    </w:p>
  </w:footnote>
  <w:footnote w:id="16">
    <w:p w14:paraId="6296EAAA"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w:t>
      </w:r>
      <w:r>
        <w:rPr>
          <w:rFonts w:ascii="Times New Roman" w:hAnsi="Times New Roman"/>
        </w:rPr>
        <w:t>ästöt, jotka eivät ole merkittävästi alhaisempia kuin asianomaiset vertailuarvot, olisi annettava selvitys syistä, joiden vuoksi tämä ei ole mahdollista. Vertailuarvot, jotka on vahvistettu maksutta jaettavia päästöoikeuksia varten päästökauppajärjestelmän</w:t>
      </w:r>
      <w:r>
        <w:rPr>
          <w:rFonts w:ascii="Times New Roman" w:hAnsi="Times New Roman"/>
        </w:rPr>
        <w:t xml:space="preserve"> soveltamisalaan kuuluville toiminnoille komission täytäntöönpanoasetuksen (EU) 2021/447 mukaisesti.</w:t>
      </w:r>
    </w:p>
  </w:footnote>
  <w:footnote w:id="17">
    <w:p w14:paraId="63F0BE5B"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w:t>
      </w:r>
      <w:r>
        <w:rPr>
          <w:rFonts w:ascii="Times New Roman" w:hAnsi="Times New Roman"/>
        </w:rPr>
        <w:t xml:space="preserve">paamattoman vaarallisen jätteen käsittelyyn, eikä olemassa olevissa laitoksissa, joissa tämän toimenpiteen mukaisilla toimilla pyritään lisäämään energiatehokkuutta, ottamaan talteen kaasuja varastointia tai käyttöä varten tai ottamaan talteen materiaalit </w:t>
      </w:r>
      <w:r>
        <w:rPr>
          <w:rFonts w:ascii="Times New Roman" w:hAnsi="Times New Roman"/>
        </w:rPr>
        <w:t>polttotuhkasta, edellyttäen, että tällaiset tämän toimenpiteen mukaiset toimet eivät johda laitoksen jätteenkäsittelykapasiteetin kasvuun tai laitosten käyttöiän pidentämiseen; tästä toimitetaan näyttöä laitoskohtaisesti.</w:t>
      </w:r>
    </w:p>
  </w:footnote>
  <w:footnote w:id="18">
    <w:p w14:paraId="508C08BD"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energiatehokkuutta tai uudistaa er</w:t>
      </w:r>
      <w:r>
        <w:rPr>
          <w:rFonts w:ascii="Times New Roman" w:hAnsi="Times New Roman"/>
        </w:rPr>
        <w:t>otetun jätteen kierrätystoimia biojätteen kompostointia ja biojätteen anaerobista mädättämistä varten edellyttäen, että tällaiset tämän toimenpiteen mukaiset toimet eivät johda laitosten jätteenkäsittelykapasiteetin lisääntymiseen tai laitosten käyttöiän p</w:t>
      </w:r>
      <w:r>
        <w:rPr>
          <w:rFonts w:ascii="Times New Roman" w:hAnsi="Times New Roman"/>
        </w:rPr>
        <w:t>identämiseen; tästä toimitetaan näyttöä laitoskohtaisesti.</w:t>
      </w:r>
    </w:p>
  </w:footnote>
  <w:footnote w:id="19">
    <w:p w14:paraId="2799D0F0"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Alle 50 g CO2/km tarkistetun puhtaita ajoneuvoja koskevan direktiivin 2009/33/EY mukaisen ”puhtaiden ajoneuvojen” luokan mukaisesti.</w:t>
      </w:r>
    </w:p>
  </w:footnote>
  <w:footnote w:id="20">
    <w:p w14:paraId="52F142FB"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Alle 50 g CO2/km tarkistetun puhtaita ajoneuvoja koskevan di</w:t>
      </w:r>
      <w:r>
        <w:rPr>
          <w:rFonts w:ascii="Times New Roman" w:hAnsi="Times New Roman"/>
        </w:rPr>
        <w:t>rektiivin 2009/33/EY mukaisen ”puhtaiden ajoneuvojen” luokan mukaisesti.</w:t>
      </w:r>
    </w:p>
  </w:footnote>
  <w:footnote w:id="21">
    <w:p w14:paraId="6C2BCD9C" w14:textId="5C1536A5" w:rsidR="000E48CE" w:rsidRDefault="00FF4C4E">
      <w:pPr>
        <w:spacing w:after="0"/>
      </w:pPr>
      <w:r>
        <w:rPr>
          <w:rStyle w:val="FootnoteReference"/>
        </w:rPr>
        <w:footnoteRef/>
      </w:r>
      <w:r>
        <w:t xml:space="preserve"> </w:t>
      </w:r>
      <w:r>
        <w:rPr>
          <w:rFonts w:ascii="Times New Roman" w:hAnsi="Times New Roman"/>
          <w:sz w:val="20"/>
        </w:rPr>
        <w:t>Verkko- ja tietoturva-alan yhteistyöryhmä, 5G-verkkojen kyberturvallisuus – EU:n välineistö riskinvähentämistoimenpiteitä varten, 01/2020, https://ec.europa.eu/newsroom/dae/document</w:t>
      </w:r>
      <w:r>
        <w:rPr>
          <w:rFonts w:ascii="Times New Roman" w:hAnsi="Times New Roman"/>
          <w:sz w:val="20"/>
        </w:rPr>
        <w:t>.cfm?doc_id=64468</w:t>
      </w:r>
    </w:p>
  </w:footnote>
  <w:footnote w:id="22">
    <w:p w14:paraId="5CC49010" w14:textId="7EF5DFD7" w:rsidR="000E48CE" w:rsidRDefault="00FF4C4E">
      <w:pPr>
        <w:spacing w:after="0"/>
      </w:pPr>
      <w:r>
        <w:rPr>
          <w:rStyle w:val="FootnoteReference"/>
        </w:rPr>
        <w:footnoteRef/>
      </w:r>
      <w:r>
        <w:rPr>
          <w:rFonts w:ascii="Times New Roman" w:hAnsi="Times New Roman"/>
          <w:sz w:val="20"/>
        </w:rPr>
        <w:t>Euroopan parlamentin ja neuvoston asetus (EU) 2021/697, annettu 29 päivänä huhtikuuta 2021, Euroopan puolustusrahaston perustamisesta</w:t>
      </w:r>
    </w:p>
  </w:footnote>
  <w:footnote w:id="23">
    <w:p w14:paraId="59F1DBB5" w14:textId="34DE33E1" w:rsidR="000E48CE" w:rsidRDefault="00FF4C4E">
      <w:pPr>
        <w:spacing w:after="0"/>
      </w:pPr>
      <w:r>
        <w:rPr>
          <w:rStyle w:val="FootnoteReference"/>
        </w:rPr>
        <w:footnoteRef/>
      </w:r>
      <w:r>
        <w:rPr>
          <w:rFonts w:ascii="Times New Roman" w:hAnsi="Times New Roman"/>
          <w:sz w:val="20"/>
        </w:rPr>
        <w:t>Asetus (EU) 2021/696 EU:n avaruusohjelman ja Euroopan unionin avaruusohjelmaviraston perustamisesta</w:t>
      </w:r>
    </w:p>
  </w:footnote>
  <w:footnote w:id="24">
    <w:p w14:paraId="1CFB3942" w14:textId="3B9B6CF6" w:rsidR="000E48CE" w:rsidRDefault="00FF4C4E">
      <w:pPr>
        <w:spacing w:after="0" w:line="240" w:lineRule="auto"/>
        <w:jc w:val="both"/>
        <w:rPr>
          <w:rFonts w:ascii="Times New Roman" w:eastAsia="Times New Roman" w:hAnsi="Times New Roman" w:cs="Times New Roman"/>
          <w:sz w:val="24"/>
        </w:rPr>
      </w:pPr>
      <w:r>
        <w:rPr>
          <w:rStyle w:val="FootnoteReference"/>
        </w:rPr>
        <w:footnoteRef/>
      </w:r>
      <w:r>
        <w:rPr>
          <w:rFonts w:ascii="Times New Roman" w:hAnsi="Times New Roman"/>
          <w:sz w:val="20"/>
        </w:rPr>
        <w:t>L</w:t>
      </w:r>
      <w:r>
        <w:rPr>
          <w:rFonts w:ascii="Times New Roman" w:hAnsi="Times New Roman"/>
          <w:sz w:val="20"/>
        </w:rPr>
        <w:t>ukuun ottamatta a) sähkön ja/tai lämmön tuotantoon liittyviä omaisuuseriä ja toimintoja sekä niihin liittyvää maakaasua käyttävää siirto- ja jakeluinfrastruktuuria, jotka täyttävät teknisten ohjeiden (2021/C58/01) liitteessä III vahvistetut edellytykset, j</w:t>
      </w:r>
      <w:r>
        <w:rPr>
          <w:rFonts w:ascii="Times New Roman" w:hAnsi="Times New Roman"/>
          <w:sz w:val="20"/>
        </w:rPr>
        <w:t>a b) ii alakohdassa tarkoitettuja toimintoja ja omaisuuseriä, joiden osalta fossiilisten polttoaineiden käyttö on väliaikaista ja teknisesti mahdotonta, jotta voidaan siirtyä oikea-aikaisesti kohti fossiilitonta toimintaa.</w:t>
      </w:r>
    </w:p>
  </w:footnote>
  <w:footnote w:id="25">
    <w:p w14:paraId="2901D6EB" w14:textId="046F0831" w:rsidR="000E48CE" w:rsidRDefault="00FF4C4E">
      <w:pPr>
        <w:spacing w:before="120" w:after="120" w:line="240" w:lineRule="auto"/>
        <w:jc w:val="both"/>
        <w:rPr>
          <w:rFonts w:ascii="Times New Roman" w:eastAsia="Times New Roman" w:hAnsi="Times New Roman" w:cs="Times New Roman"/>
          <w:sz w:val="24"/>
          <w:shd w:val="clear" w:color="auto" w:fill="FFFFFF"/>
        </w:rPr>
      </w:pPr>
      <w:r>
        <w:rPr>
          <w:rStyle w:val="FootnoteReference"/>
        </w:rPr>
        <w:footnoteRef/>
      </w:r>
      <w:r>
        <w:rPr>
          <w:rFonts w:ascii="Times New Roman" w:hAnsi="Times New Roman"/>
          <w:sz w:val="20"/>
        </w:rPr>
        <w:t>Mukaan lukien EU:n päästökauppaj</w:t>
      </w:r>
      <w:r>
        <w:rPr>
          <w:rFonts w:ascii="Times New Roman" w:hAnsi="Times New Roman"/>
          <w:sz w:val="20"/>
        </w:rPr>
        <w:t>ärjestelmään kuuluvat toiminnot ja omaisuuserät, joilla saavutetaan ennustetut kasvihuonekaasupäästöt, jotka eivät alita asiaankuuluvia vertailuarvoja. Jos tuetulla toiminnalla saavutetaan ennustetut kasvihuonekaasupäästöt, jotka eivät ole merkittävästi al</w:t>
      </w:r>
      <w:r>
        <w:rPr>
          <w:rFonts w:ascii="Times New Roman" w:hAnsi="Times New Roman"/>
          <w:sz w:val="20"/>
        </w:rPr>
        <w:t>haisemmat kuin asiaankuuluvat vertailuarvot, on annettava selvitys syistä, joiden vuoksi tämä ei ole mahdollista. Vertailuarvot, jotka on vahvistettu maksutta jaettavia päästöoikeuksia varten päästökauppajärjestelmän soveltamisalaan kuuluville toiminnoille</w:t>
      </w:r>
      <w:r>
        <w:rPr>
          <w:rFonts w:ascii="Times New Roman" w:hAnsi="Times New Roman"/>
          <w:sz w:val="20"/>
        </w:rPr>
        <w:t xml:space="preserve"> komission täytäntöönpanoasetuksen (EU) 2021/447 mukaisesti. </w:t>
      </w:r>
      <w:r>
        <w:rPr>
          <w:rFonts w:ascii="Times New Roman" w:hAnsi="Times New Roman"/>
          <w:sz w:val="20"/>
          <w:shd w:val="clear" w:color="auto" w:fill="FFFFFF"/>
        </w:rPr>
        <w:t>Toimenpiteen täytäntöönpano on saatettava päätökseen viimeistään 31 päivänä elokuuta 2026.</w:t>
      </w:r>
    </w:p>
  </w:footnote>
  <w:footnote w:id="26">
    <w:p w14:paraId="571E7E81" w14:textId="5818DE8D" w:rsidR="000E48CE" w:rsidRDefault="00FF4C4E">
      <w:pPr>
        <w:pStyle w:val="FootnoteText"/>
        <w:ind w:left="0" w:firstLine="0"/>
        <w:jc w:val="left"/>
        <w:rPr>
          <w:sz w:val="22"/>
        </w:rPr>
      </w:pPr>
      <w:r>
        <w:rPr>
          <w:rStyle w:val="FootnoteReference"/>
        </w:rPr>
        <w:footnoteRef/>
      </w:r>
      <w:r>
        <w:rPr>
          <w:rFonts w:ascii="Times New Roman" w:hAnsi="Times New Roman"/>
        </w:rPr>
        <w:t>Tämä soveltamisalan ulkopuolelle jättäminen ei koske tämän toimenpiteen mukaisia toimia laitoksissa, jo</w:t>
      </w:r>
      <w:r>
        <w:rPr>
          <w:rFonts w:ascii="Times New Roman" w:hAnsi="Times New Roman"/>
        </w:rPr>
        <w:t>tka on tarkoitettu yksinomaan kierrätettäväksi kelpaamattoman vaarallisen jätteen käsittelyyn, eikä olemassa olevissa laitoksissa, joissa tämän toimenpiteen mukaisilla toimilla pyritään lisäämään energiatehokkuutta, ottamaan talteen kaasuja varastointia ta</w:t>
      </w:r>
      <w:r>
        <w:rPr>
          <w:rFonts w:ascii="Times New Roman" w:hAnsi="Times New Roman"/>
        </w:rPr>
        <w:t>i käyttöä varten tai ottamaan talteen materiaalit polttotuhkasta, edellyttäen, että tällaiset tämän toimenpiteen mukaiset toimet eivät johda laitoksen jätteenkäsittelykapasiteetin kasvuun tai laitosten käyttöiän pidentämiseen; joista toimitetaan näyttöä la</w:t>
      </w:r>
      <w:r>
        <w:rPr>
          <w:rFonts w:ascii="Times New Roman" w:hAnsi="Times New Roman"/>
        </w:rPr>
        <w:t>itostasolla</w:t>
      </w:r>
    </w:p>
  </w:footnote>
  <w:footnote w:id="27">
    <w:p w14:paraId="46703EAB"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mukaisilla toimilla pyritään lisäämään resurssitehokkuutta tai jälkiasennuksia erotetun</w:t>
      </w:r>
      <w:r>
        <w:rPr>
          <w:rFonts w:ascii="Times New Roman" w:hAnsi="Times New Roman"/>
        </w:rPr>
        <w:t xml:space="preserve"> jätteen kierrätystoimiin biojätteen kompostoimiseksi ja biojätteen anaerobiseksi mädätystoiminnaksi edellyttäen, että tällaiset tämän toimenpiteen mukaiset toimet eivät lisää laitosten jätteenkäsittelykapasiteettia tai pidennä laitosten käyttöikää; tästä </w:t>
      </w:r>
      <w:r>
        <w:rPr>
          <w:rFonts w:ascii="Times New Roman" w:hAnsi="Times New Roman"/>
        </w:rPr>
        <w:t>toimitetaan näyttöä laitoskohtaisesti.</w:t>
      </w:r>
    </w:p>
  </w:footnote>
  <w:footnote w:id="28">
    <w:p w14:paraId="3D796719" w14:textId="54FCA843" w:rsidR="000E48CE" w:rsidRDefault="00FF4C4E">
      <w:pPr>
        <w:spacing w:before="120" w:after="120" w:line="240" w:lineRule="auto"/>
        <w:jc w:val="both"/>
        <w:rPr>
          <w:rFonts w:ascii="Times New Roman" w:eastAsia="Times New Roman" w:hAnsi="Times New Roman" w:cs="Times New Roman"/>
          <w:sz w:val="24"/>
        </w:rPr>
      </w:pPr>
      <w:r>
        <w:rPr>
          <w:rStyle w:val="FootnoteReference"/>
        </w:rPr>
        <w:footnoteRef/>
      </w:r>
      <w:r>
        <w:rPr>
          <w:rFonts w:ascii="Times New Roman" w:hAnsi="Times New Roman"/>
          <w:sz w:val="20"/>
        </w:rPr>
        <w:t>Direktiiviä 2013/34/EU muutetaan yritysten kestävyysraportointia koskevalla direktiivillä (EU) 2022/2464.</w:t>
      </w:r>
    </w:p>
  </w:footnote>
  <w:footnote w:id="29">
    <w:p w14:paraId="3C8EE0D6" w14:textId="5D51D679" w:rsidR="000E48CE" w:rsidRDefault="00FF4C4E">
      <w:pPr>
        <w:spacing w:before="120" w:after="120" w:line="240" w:lineRule="auto"/>
        <w:jc w:val="both"/>
      </w:pPr>
      <w:r>
        <w:rPr>
          <w:rStyle w:val="FootnoteReference"/>
        </w:rPr>
        <w:footnoteRef/>
      </w:r>
      <w:r>
        <w:t xml:space="preserve"> </w:t>
      </w:r>
      <w:r>
        <w:rPr>
          <w:rFonts w:ascii="Times New Roman" w:hAnsi="Times New Roman"/>
          <w:sz w:val="20"/>
        </w:rPr>
        <w:t xml:space="preserve">Lukuun ottamatta a) tämän toimenpiteen mukaisia sähkön ja/tai lämmön tuotantoa koskevia hankkeita sekä </w:t>
      </w:r>
      <w:r>
        <w:rPr>
          <w:rFonts w:ascii="Times New Roman" w:hAnsi="Times New Roman"/>
          <w:sz w:val="20"/>
        </w:rPr>
        <w:t>niihin liittyvää maakaasua käyttävää siirto- ja jakeluinfrastruktuuria, jotka täyttävät teknisten ohjeiden (2021/C58/01) liitteessä III vahvistetut edellytykset, ja b) ii alakohdassa tarkoitetut toiminnot ja omaisuuserät, joiden osalta fossiilisten polttoa</w:t>
      </w:r>
      <w:r>
        <w:rPr>
          <w:rFonts w:ascii="Times New Roman" w:hAnsi="Times New Roman"/>
          <w:sz w:val="20"/>
        </w:rPr>
        <w:t>ineiden käyttö on väliaikaista ja teknisesti mahdotonta, jotta voidaan siirtyä oikea-aikaisesti kohti fossiilitonta toimintaa.</w:t>
      </w:r>
    </w:p>
  </w:footnote>
  <w:footnote w:id="30">
    <w:p w14:paraId="5A02C797" w14:textId="5532159A" w:rsidR="000E48CE" w:rsidRDefault="00FF4C4E">
      <w:pPr>
        <w:pStyle w:val="FootnoteText"/>
        <w:ind w:left="0" w:firstLine="0"/>
        <w:rPr>
          <w:sz w:val="16"/>
        </w:rPr>
      </w:pPr>
      <w:r>
        <w:rPr>
          <w:rStyle w:val="FootnoteReference"/>
          <w:sz w:val="18"/>
        </w:rPr>
        <w:footnoteRef/>
      </w:r>
      <w:r>
        <w:rPr>
          <w:rFonts w:ascii="Times New Roman" w:hAnsi="Times New Roman"/>
        </w:rPr>
        <w:t>Jos tuetulla toiminnalla saavutetaan ennustetut kasvihuonekaasupäästöt, jotka eivät ole merkittävästi alhaisempia kuin asiaankuu</w:t>
      </w:r>
      <w:r>
        <w:rPr>
          <w:rFonts w:ascii="Times New Roman" w:hAnsi="Times New Roman"/>
        </w:rPr>
        <w:t>luvat vertailuarvot, on annettava selvitys syistä, joiden vuoksi tämä ei ole mahdollista. Vertailuarvot, jotka on vahvistettu maksutta jaettavia päästöoikeuksia varten päästökauppajärjestelmän soveltamisalaan kuuluville toiminnoille komission täytäntöönpan</w:t>
      </w:r>
      <w:r>
        <w:rPr>
          <w:rFonts w:ascii="Times New Roman" w:hAnsi="Times New Roman"/>
        </w:rPr>
        <w:t>oasetuksen (EU) 2021/447 mukaisesti.</w:t>
      </w:r>
    </w:p>
  </w:footnote>
  <w:footnote w:id="31">
    <w:p w14:paraId="6555F20D" w14:textId="2CFBF999" w:rsidR="000E48CE" w:rsidRDefault="00FF4C4E">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w:t>
      </w:r>
      <w:r>
        <w:rPr>
          <w:rFonts w:ascii="Times New Roman" w:hAnsi="Times New Roman"/>
        </w:rPr>
        <w:t>sa laitoksissa, joissa tämän toimenpiteen mukaisilla toimilla pyritään lisäämään energiatehokkuutta, ottamaan talteen kaasuja varastointia tai käyttöä varten tai ottamaan talteen materiaalit polttotuhkasta, edellyttäen, että tällaiset tämän toimenpiteen mu</w:t>
      </w:r>
      <w:r>
        <w:rPr>
          <w:rFonts w:ascii="Times New Roman" w:hAnsi="Times New Roman"/>
        </w:rPr>
        <w:t>kaiset toimet eivät johda laitoksen jätteenkäsittelykapasiteetin kasvuun tai laitosten käyttöiän pidentämiseen; tästä toimitetaan näyttöä laitoskohtaisesti.</w:t>
      </w:r>
    </w:p>
  </w:footnote>
  <w:footnote w:id="32">
    <w:p w14:paraId="1C473F0A" w14:textId="77777777" w:rsidR="000E48CE" w:rsidRDefault="00FF4C4E">
      <w:pPr>
        <w:pStyle w:val="ListParagraph"/>
        <w:ind w:left="0"/>
        <w:jc w:val="both"/>
        <w:rPr>
          <w:rFonts w:ascii="Times New Roman" w:eastAsia="Times New Roman" w:hAnsi="Times New Roman" w:cs="Times New Roman"/>
          <w:sz w:val="20"/>
        </w:rPr>
      </w:pPr>
      <w:r>
        <w:rPr>
          <w:rStyle w:val="FootnoteReference"/>
        </w:rPr>
        <w:footnoteRef/>
      </w:r>
      <w:r>
        <w:t xml:space="preserve"> </w:t>
      </w:r>
      <w:r>
        <w:rPr>
          <w:rFonts w:ascii="Times New Roman" w:hAnsi="Times New Roman"/>
          <w:sz w:val="20"/>
        </w:rPr>
        <w:t xml:space="preserve">Tämä soveltamisalan ulkopuolelle jättäminen ei koske tämän toimenpiteen mukaisia toimia olemassa </w:t>
      </w:r>
      <w:r>
        <w:rPr>
          <w:rFonts w:ascii="Times New Roman" w:hAnsi="Times New Roman"/>
          <w:sz w:val="20"/>
        </w:rPr>
        <w:t>olevissa mekaanisissa biologisissa käsittelylaitoksissa, jos tämän toimenpiteen mukaisten toimien tarkoituksena on parantaa energiatehokkuutta tai uudistaa erotetun jätteen kierrätystoimia biojätteen kompostointia ja biojätteen anaerobista mädättämistä var</w:t>
      </w:r>
      <w:r>
        <w:rPr>
          <w:rFonts w:ascii="Times New Roman" w:hAnsi="Times New Roman"/>
          <w:sz w:val="20"/>
        </w:rPr>
        <w:t xml:space="preserve">ten edellyttäen, että tällaiset tämän toimenpiteen mukaiset toimet eivät johda laitosten jätteenkäsittelykapasiteetin lisääntymiseen tai laitosten käyttöiän pidentämiseen; tästä toimitetaan näyttöä laitoskohtaisesti. </w:t>
      </w:r>
    </w:p>
    <w:p w14:paraId="739E8B04" w14:textId="744A2C36" w:rsidR="000E48CE" w:rsidRDefault="000E48CE">
      <w:pPr>
        <w:pStyle w:val="FootnoteText"/>
        <w:ind w:left="0" w:firstLine="0"/>
      </w:pPr>
    </w:p>
  </w:footnote>
  <w:footnote w:id="33">
    <w:p w14:paraId="6EC169C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ab/>
        <w:t>EUVL L 169, 25.6.2019, s. 1–44.</w:t>
      </w:r>
    </w:p>
  </w:footnote>
  <w:footnote w:id="34">
    <w:p w14:paraId="0D03082E" w14:textId="6AEF5DB0" w:rsidR="000E48CE" w:rsidRDefault="00FF4C4E">
      <w:pPr>
        <w:pStyle w:val="FootnoteText"/>
        <w:ind w:left="0" w:firstLine="0"/>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w:t>
      </w:r>
      <w:r>
        <w:rPr>
          <w:rFonts w:ascii="Times New Roman" w:hAnsi="Times New Roman"/>
        </w:rPr>
        <w:t>OM(2020) 66 final.</w:t>
      </w:r>
    </w:p>
  </w:footnote>
  <w:footnote w:id="35">
    <w:p w14:paraId="485D71F3" w14:textId="5F1F93EF" w:rsidR="000E48CE" w:rsidRDefault="00FF4C4E">
      <w:pPr>
        <w:pStyle w:val="FootnoteText"/>
        <w:ind w:left="0" w:firstLine="0"/>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Ks. ehdotus Euroopan parlamentin ja neuvoston asetukseksi eurooppalaisesta datahallinnosta, 25.11.2020, COM(2020) 767 final.</w:t>
      </w:r>
    </w:p>
  </w:footnote>
  <w:footnote w:id="36">
    <w:p w14:paraId="466BEC08" w14:textId="002B9445" w:rsidR="000E48CE" w:rsidRDefault="00FF4C4E">
      <w:pPr>
        <w:pStyle w:val="FootnoteText"/>
        <w:ind w:left="0" w:firstLine="0"/>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 w:history="1">
        <w:r>
          <w:rPr>
            <w:rStyle w:val="Hyperlink"/>
            <w:rFonts w:ascii="Times New Roman" w:hAnsi="Times New Roman"/>
          </w:rPr>
          <w:t>https://digital-strate</w:t>
        </w:r>
        <w:r>
          <w:rPr>
            <w:rStyle w:val="Hyperlink"/>
            <w:rFonts w:ascii="Times New Roman" w:hAnsi="Times New Roman"/>
          </w:rPr>
          <w:t>gy.ec.europa.eu/en/activities/digital-programme</w:t>
        </w:r>
      </w:hyperlink>
    </w:p>
    <w:p w14:paraId="43E95BAE" w14:textId="71DC71D6" w:rsidR="000E48CE" w:rsidRDefault="000E48CE">
      <w:pPr>
        <w:pStyle w:val="FootnoteText"/>
        <w:ind w:left="0" w:firstLine="0"/>
        <w:jc w:val="left"/>
        <w:rPr>
          <w:rFonts w:ascii="Times New Roman" w:hAnsi="Times New Roman" w:cs="Times New Roman"/>
        </w:rPr>
      </w:pPr>
    </w:p>
  </w:footnote>
  <w:footnote w:id="37">
    <w:p w14:paraId="6A6F0B55"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sähkön ja/tai lämmön tuotantoa koskevia hankkeita sekä niihin liittyvää maakaasua käyttävää siirto- ja jakeluinfrastruktuuria, jotka täyttävät ”ei merkittävä</w:t>
      </w:r>
      <w:r>
        <w:rPr>
          <w:rFonts w:ascii="Times New Roman" w:hAnsi="Times New Roman"/>
        </w:rPr>
        <w:t>ä haittaa” -asiakirjan (2021/C58/01) liitteessä III vahvistetut edellytykset, ja b) ii alakohdassa tarkoitetut toiminnot ja omaisuuserät, joiden osalta fossiilisten polttoaineiden käyttö on väliaikaista ja teknisesti väistämätöntä, jotta voidaan siirtyä oi</w:t>
      </w:r>
      <w:r>
        <w:rPr>
          <w:rFonts w:ascii="Times New Roman" w:hAnsi="Times New Roman"/>
        </w:rPr>
        <w:t xml:space="preserve">kea-aikaisesti kohti fossiilitonta toimintaa. </w:t>
      </w:r>
    </w:p>
  </w:footnote>
  <w:footnote w:id="38">
    <w:p w14:paraId="4112B60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w:t>
      </w:r>
      <w:r>
        <w:rPr>
          <w:rFonts w:ascii="Times New Roman" w:hAnsi="Times New Roman"/>
        </w:rPr>
        <w:t>maksutta jaettavia päästöoikeuksia varten päästökauppajärjestelmän soveltamisalaan kuuluville toiminnoille komission täytäntöönpanoasetuksen (EU) 2021/447 mukaisesti.</w:t>
      </w:r>
    </w:p>
  </w:footnote>
  <w:footnote w:id="39">
    <w:p w14:paraId="05DD6DC8"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w:t>
      </w:r>
      <w:r>
        <w:rPr>
          <w:rFonts w:ascii="Times New Roman" w:hAnsi="Times New Roman"/>
        </w:rPr>
        <w:t xml:space="preserve"> laitoksissa, jotka on tarkoitettu yksinomaan kierrätettäväksi kelpaamattoman vaarallisen jätteen käsittelyyn, eikä olemassa olevissa laitoksissa, joissa tämän toimenpiteen mukaisilla toimilla pyritään lisäämään energiatehokkuutta, ottamaan talteen kaasuja</w:t>
      </w:r>
      <w:r>
        <w:rPr>
          <w:rFonts w:ascii="Times New Roman" w:hAnsi="Times New Roman"/>
        </w:rPr>
        <w:t xml:space="preserve"> varastointia tai käyttöä varten tai ottamaan talteen materiaalit polttotuhkasta, edellyttäen, että tällaiset tämän toimenpiteen mukaiset toimet eivät johda laitoksen jätteenkäsittelykapasiteetin kasvuun tai laitosten käyttöiän pidentämiseen; tästä toimite</w:t>
      </w:r>
      <w:r>
        <w:rPr>
          <w:rFonts w:ascii="Times New Roman" w:hAnsi="Times New Roman"/>
        </w:rPr>
        <w:t>taan näyttöä laitoskohtaisesti.</w:t>
      </w:r>
    </w:p>
  </w:footnote>
  <w:footnote w:id="40">
    <w:p w14:paraId="1AC9393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w:t>
      </w:r>
      <w:r>
        <w:rPr>
          <w:rFonts w:ascii="Times New Roman" w:hAnsi="Times New Roman"/>
        </w:rPr>
        <w:t>nergiatehokkuutta tai uudistaa erotetun jätteen kierrätystoimia biojätteen kompostointia ja biojätteen anaerobista mädättämistä varten edellyttäen, että tällaiset tämän toimenpiteen mukaiset toimet eivät johda laitosten jätteenkäsittelykapasiteetin lisäänt</w:t>
      </w:r>
      <w:r>
        <w:rPr>
          <w:rFonts w:ascii="Times New Roman" w:hAnsi="Times New Roman"/>
        </w:rPr>
        <w:t>ymiseen tai laitosten käyttöiän pidentämiseen; tästä toimitetaan näyttöä laitoskohtaisesti.</w:t>
      </w:r>
    </w:p>
  </w:footnote>
  <w:footnote w:id="41">
    <w:p w14:paraId="34A4EF96"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EUVL L 57, 18.2.2021, s. 17–75.</w:t>
      </w:r>
    </w:p>
  </w:footnote>
  <w:footnote w:id="42">
    <w:p w14:paraId="368829F4"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sähkön ja/tai lämmön tuotantoa koskevia hankkeita sekä niihin liittyvää maakaasu</w:t>
      </w:r>
      <w:r>
        <w:rPr>
          <w:rFonts w:ascii="Times New Roman" w:hAnsi="Times New Roman"/>
        </w:rPr>
        <w:t>a käyttävää siirto- ja jakeluinfrastruktuuria, jotka täyttävät ”ei merkittävää haittaa” -asiakirjan (2021/C58/01) liitteessä III vahvistetut edellytykset, ja b) ii alakohdan mukaiset toiminnot ja omaisuuserät, joiden osalta fossiilisten polttoaineiden käyt</w:t>
      </w:r>
      <w:r>
        <w:rPr>
          <w:rFonts w:ascii="Times New Roman" w:hAnsi="Times New Roman"/>
        </w:rPr>
        <w:t>tö on väliaikaista ja teknisesti mahdotonta, jotta voidaan siirtyä oikea-aikaisesti kohti fossiilitonta toimintaa.</w:t>
      </w:r>
    </w:p>
  </w:footnote>
  <w:footnote w:id="43">
    <w:p w14:paraId="20BE550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w:t>
      </w:r>
      <w:r>
        <w:rPr>
          <w:rFonts w:ascii="Times New Roman" w:hAnsi="Times New Roman"/>
        </w:rPr>
        <w:t>uarvot, olisi annettava selvitys syistä, joiden vuoksi tämä ei ole mahdollista. Vertailuarvot, jotka on vahvistettu maksutta jaettavia päästöoikeuksia varten päästökauppajärjestelmän soveltamisalaan kuuluville toiminnoille komission täytäntöönpanoasetuksen</w:t>
      </w:r>
      <w:r>
        <w:rPr>
          <w:rFonts w:ascii="Times New Roman" w:hAnsi="Times New Roman"/>
        </w:rPr>
        <w:t xml:space="preserve"> (EU) 2021/447 mukaisesti.</w:t>
      </w:r>
    </w:p>
  </w:footnote>
  <w:footnote w:id="44">
    <w:p w14:paraId="40D0A9C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w:t>
      </w:r>
      <w:r>
        <w:rPr>
          <w:rFonts w:ascii="Times New Roman" w:hAnsi="Times New Roman"/>
        </w:rPr>
        <w:t>sissa, joissa tämän toimenpiteen mukaisilla toimilla pyritään lisäämään energiatehokkuutta, ottamaan talteen kaasuja varastointia tai käyttöä varten tai ottamaan talteen materiaalit polttotuhkasta, edellyttäen, että tällaiset tämän toimenpiteen mukaiset to</w:t>
      </w:r>
      <w:r>
        <w:rPr>
          <w:rFonts w:ascii="Times New Roman" w:hAnsi="Times New Roman"/>
        </w:rPr>
        <w:t>imet eivät johda laitoksen jätteenkäsittelykapasiteetin kasvuun tai laitosten käyttöiän pidentämiseen; tästä toimitetaan näyttöä laitoskohtaisesti.</w:t>
      </w:r>
    </w:p>
  </w:footnote>
  <w:footnote w:id="45">
    <w:p w14:paraId="200E5F5C"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w:t>
      </w:r>
      <w:r>
        <w:rPr>
          <w:rFonts w:ascii="Times New Roman" w:hAnsi="Times New Roman"/>
        </w:rPr>
        <w:t>ssa käsittelylaitoksissa, jos tämän toimenpiteen mukaisilla toimilla pyritään lisäämään resurssitehokkuutta tai jälkiasennuksia erotetun jätteen kierrätystoimiin biojätteen kompostoimiseksi ja biojätteen anaerobiseksi mädätystoiminnaksi edellyttäen, että t</w:t>
      </w:r>
      <w:r>
        <w:rPr>
          <w:rFonts w:ascii="Times New Roman" w:hAnsi="Times New Roman"/>
        </w:rPr>
        <w:t>ällaiset tämän toimenpiteen mukaiset toimet eivät lisää laitosten jätteenkäsittelykapasiteettia tai pidennä laitosten käyttöikää; tästä toimitetaan näyttöä laitoskohtaisesti.</w:t>
      </w:r>
    </w:p>
  </w:footnote>
  <w:footnote w:id="46">
    <w:p w14:paraId="77D87518"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sähkön ja/tai lämmön tuotantoa </w:t>
      </w:r>
      <w:r>
        <w:rPr>
          <w:rFonts w:ascii="Times New Roman" w:hAnsi="Times New Roman"/>
        </w:rPr>
        <w:t>koskevia hankkeita sekä niihin liittyvää maakaasua käyttävää siirto- ja jakeluinfrastruktuuria, jotka täyttävät ”ei merkittävää haittaa” -asiakirjan (2021/C58/01) liitteessä III vahvistetut edellytykset. Ja b) ii alakohdassa tarkoitetut toiminnot ja omaisu</w:t>
      </w:r>
      <w:r>
        <w:rPr>
          <w:rFonts w:ascii="Times New Roman" w:hAnsi="Times New Roman"/>
        </w:rPr>
        <w:t>userät, joiden osalta fossiilisten polttoaineiden käyttö on väliaikaista ja teknisesti väistämätöntä, jotta voidaan siirtyä oikea-aikaisesti kohti fossiilitonta toimintaa.</w:t>
      </w:r>
    </w:p>
  </w:footnote>
  <w:footnote w:id="47">
    <w:p w14:paraId="46112024"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w:t>
      </w:r>
      <w:r>
        <w:rPr>
          <w:rFonts w:ascii="Times New Roman" w:hAnsi="Times New Roman"/>
        </w:rPr>
        <w:t xml:space="preserve">t ole merkittävästi alhaisempia kuin asianomaiset vertailuarvot, olisi annettava selvitys syistä, joiden vuoksi tämä ei ole mahdollista. Vertailuarvot, jotka on vahvistettu maksutta jaettavia päästöoikeuksia varten päästökauppajärjestelmän soveltamisalaan </w:t>
      </w:r>
      <w:r>
        <w:rPr>
          <w:rFonts w:ascii="Times New Roman" w:hAnsi="Times New Roman"/>
        </w:rPr>
        <w:t>kuuluville toiminnoille komission täytäntöönpanoasetuksen (EU) 2021/447 mukaisesti.</w:t>
      </w:r>
    </w:p>
  </w:footnote>
  <w:footnote w:id="48">
    <w:p w14:paraId="1A0AD9D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w:t>
      </w:r>
      <w:r>
        <w:rPr>
          <w:rFonts w:ascii="Times New Roman" w:hAnsi="Times New Roman"/>
        </w:rPr>
        <w:t>llisen jätteen käsittelyyn, eikä olemassa olevissa laitoksissa, joissa tämän toimenpiteen mukaisilla toimilla pyritään lisäämään energiatehokkuutta, ottamaan talteen kaasuja varastointia tai käyttöä varten tai ottamaan talteen materiaalit polttotuhkasta, e</w:t>
      </w:r>
      <w:r>
        <w:rPr>
          <w:rFonts w:ascii="Times New Roman" w:hAnsi="Times New Roman"/>
        </w:rPr>
        <w:t>dellyttäen, että tällaiset tämän toimenpiteen mukaiset toimet eivät johda laitoksen jätteenkäsittelykapasiteetin kasvuun tai laitosten käyttöiän pidentämiseen; tästä toimitetaan näyttöä laitoskohtaisesti.</w:t>
      </w:r>
    </w:p>
  </w:footnote>
  <w:footnote w:id="49">
    <w:p w14:paraId="2D5337D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mukaisilla toimilla pyritään lisäämään resurssitehokkuutta tai jälkiasennuksia erotetun jätteen kier</w:t>
      </w:r>
      <w:r>
        <w:rPr>
          <w:rFonts w:ascii="Times New Roman" w:hAnsi="Times New Roman"/>
        </w:rPr>
        <w:t>rätystoimiin biojätteen kompostoimiseksi ja biojätteen anaerobiseksi mädätystoiminnaksi edellyttäen, että tällaiset tämän toimenpiteen mukaiset toimet eivät lisää laitosten jätteenkäsittelykapasiteettia tai pidennä laitosten käyttöikää; tästä toimitetaan n</w:t>
      </w:r>
      <w:r>
        <w:rPr>
          <w:rFonts w:ascii="Times New Roman" w:hAnsi="Times New Roman"/>
        </w:rPr>
        <w:t>äyttöä laitoskohtaisesti.</w:t>
      </w:r>
    </w:p>
  </w:footnote>
  <w:footnote w:id="50">
    <w:p w14:paraId="651AD504" w14:textId="57C9A2A1" w:rsidR="000E48CE" w:rsidRDefault="00FF4C4E">
      <w:pPr>
        <w:pStyle w:val="FootnoteText"/>
        <w:ind w:left="0" w:firstLine="0"/>
        <w:rPr>
          <w:rFonts w:eastAsia="Times New Roman" w:cs="Times New Roman"/>
        </w:rPr>
      </w:pPr>
      <w:r>
        <w:rPr>
          <w:rStyle w:val="FootnoteReference"/>
          <w:rFonts w:cs="Times New Roman"/>
        </w:rPr>
        <w:footnoteRef/>
      </w:r>
      <w:r>
        <w:t></w:t>
      </w:r>
      <w:r>
        <w:t></w:t>
      </w:r>
      <w:r>
        <w:t></w:t>
      </w:r>
      <w:r>
        <w:t></w:t>
      </w:r>
      <w:r>
        <w:t></w:t>
      </w:r>
      <w:r>
        <w:t></w:t>
      </w:r>
      <w:r>
        <w:t></w:t>
      </w:r>
      <w:r>
        <w:t></w:t>
      </w:r>
      <w:r>
        <w:t></w:t>
      </w:r>
      <w:r>
        <w:t></w:t>
      </w:r>
      <w:r>
        <w:t></w:t>
      </w:r>
      <w:r>
        <w:t></w:t>
      </w:r>
      <w:r>
        <w:t></w:t>
      </w:r>
      <w:r>
        <w:t></w:t>
      </w:r>
      <w:r>
        <w:t></w:t>
      </w:r>
      <w:r>
        <w:t></w:t>
      </w:r>
      <w:r>
        <w:t></w:t>
      </w:r>
      <w:r>
        <w:t></w:t>
      </w:r>
      <w:r>
        <w:t></w:t>
      </w:r>
      <w:r>
        <w:t></w:t>
      </w:r>
      <w:r>
        <w:t></w:t>
      </w:r>
      <w:r>
        <w:rPr>
          <w:rFonts w:ascii="Times New Roman" w:hAnsi="Times New Roman"/>
        </w:rPr>
        <w:t>katsotaan keskittyvän ”huomattavasti” johonkin toimialaan tai liiketoimintaan, jos tällaisen toimialan tai toiminnan katsotaan olevan olennainen osa lopullisen tuensaajan liiketoimintaa suhteessa lopullisen t</w:t>
      </w:r>
      <w:r>
        <w:rPr>
          <w:rFonts w:ascii="Times New Roman" w:hAnsi="Times New Roman"/>
        </w:rPr>
        <w:t>uensaajan bruttotuloihin, voittoon tai asiakaskuntaan. Rajoitetun alan tai toiminnan bruttotulot saavat joka tapauksessa olla enintään 50 prosenttia bruttotuloista.</w:t>
      </w:r>
    </w:p>
  </w:footnote>
  <w:footnote w:id="51">
    <w:p w14:paraId="516AEBAB" w14:textId="5F96F5ED" w:rsidR="000E48CE" w:rsidRDefault="00FF4C4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ottamatta a) sähkön ja/tai lämmön tuotantoon liittyviä omaisuuseriä ja toimintoja </w:t>
      </w:r>
      <w:r>
        <w:rPr>
          <w:rFonts w:ascii="Times New Roman" w:hAnsi="Times New Roman"/>
          <w:sz w:val="20"/>
        </w:rPr>
        <w:t>sekä niihin liittyvää maakaasua käyttävää siirto- ja jakeluinfrastruktuuria, jotka täyttävät teknisten ohjeiden (2021/C58/01) liitteessä III vahvistetut edellytykset, ja b) ii alakohdassa tarkoitettuja toimintoja ja omaisuuseriä, joiden osalta fossiilisten</w:t>
      </w:r>
      <w:r>
        <w:rPr>
          <w:rFonts w:ascii="Times New Roman" w:hAnsi="Times New Roman"/>
          <w:sz w:val="20"/>
        </w:rPr>
        <w:t xml:space="preserve"> polttoaineiden käyttö on väliaikaista ja teknisesti mahdotonta, jotta voidaan siirtyä oikea-aikaisesti kohti fossiilitonta toimintaa.</w:t>
      </w:r>
    </w:p>
  </w:footnote>
  <w:footnote w:id="52">
    <w:p w14:paraId="0DDFEA92" w14:textId="77777777" w:rsidR="000E48CE" w:rsidRDefault="00FF4C4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Mukaan lukien EU:n päästökauppajärjestelmään kuuluvat toiminnot ja omaisuuserät, joilla saavutetaan ennustetut kasvihuo</w:t>
      </w:r>
      <w:r>
        <w:rPr>
          <w:rFonts w:ascii="Times New Roman" w:hAnsi="Times New Roman"/>
          <w:sz w:val="20"/>
        </w:rPr>
        <w:t>nekaasupäästöt, jotka eivät alita asiaankuuluvia vertailuarvoja. Jos tuetulla toiminnalla saavutetaan ennustetut kasvihuonekaasupäästöt, jotka eivät ole merkittävästi alhaisemmat kuin asiaankuuluvat vertailuarvot, on annettava selvitys syistä, joiden vuoks</w:t>
      </w:r>
      <w:r>
        <w:rPr>
          <w:rFonts w:ascii="Times New Roman" w:hAnsi="Times New Roman"/>
          <w:sz w:val="20"/>
        </w:rPr>
        <w:t>i tämä ei ole mahdollista. Vertailuarvot, jotka on vahvistettu maksutta jaettavia päästöoikeuksia varten päästökauppajärjestelmän soveltamisalaan kuuluville toiminnoille komission täytäntöönpanoasetuksen (EU) 2021/447 mukaisesti.</w:t>
      </w:r>
    </w:p>
  </w:footnote>
  <w:footnote w:id="53">
    <w:p w14:paraId="6236A8A5" w14:textId="77777777" w:rsidR="000E48CE" w:rsidRDefault="00FF4C4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Saastuttavat ajoneuvot m</w:t>
      </w:r>
      <w:r>
        <w:rPr>
          <w:rFonts w:ascii="Times New Roman" w:hAnsi="Times New Roman"/>
          <w:sz w:val="20"/>
        </w:rPr>
        <w:t>ääritellään päästöttömiksi ajoneuvoiksi.</w:t>
      </w:r>
    </w:p>
  </w:footnote>
  <w:footnote w:id="54">
    <w:p w14:paraId="65F0B853" w14:textId="77777777" w:rsidR="000E48CE" w:rsidRDefault="00FF4C4E">
      <w:pPr>
        <w:pStyle w:val="FootnoteText"/>
        <w:ind w:left="0" w:firstLine="0"/>
        <w:rPr>
          <w:rFonts w:eastAsia="Times New Roman" w:cs="Times New Roman"/>
        </w:rPr>
      </w:pPr>
      <w:r>
        <w:rPr>
          <w:rStyle w:val="FootnoteReference"/>
          <w:rFonts w:ascii="Times New Roman" w:hAnsi="Times New Roman" w:cs="Times New Roman"/>
        </w:rPr>
        <w:footnoteRef/>
      </w:r>
      <w:r>
        <w:rPr>
          <w:rFonts w:ascii="Times New Roman" w:hAnsi="Times New Roman"/>
        </w:rPr>
        <w:t>Tätä poikkeusta ei sovelleta toimiin laitoksissa, jotka on tarkoitettu yksinomaan kierrätyskelvottoman vaarallisen jätteen käsittelyyn, eikä olemassa oleviin laitoksiin, jos tämän toimenpiteen mukaisilla toimilla p</w:t>
      </w:r>
      <w:r>
        <w:rPr>
          <w:rFonts w:ascii="Times New Roman" w:hAnsi="Times New Roman"/>
        </w:rPr>
        <w:t>yritään lisäämään energiatehokkuutta, ottamaan talteen pakokaasuja varastointia tai käyttöä varten tai ottamaan talteen materiaaleja polttotuhkasta, edellyttäen, että tällaiset tämän toimenpiteen mukaiset toimet eivät lisää laitosten jätteenkäsittelykapasi</w:t>
      </w:r>
      <w:r>
        <w:rPr>
          <w:rFonts w:ascii="Times New Roman" w:hAnsi="Times New Roman"/>
        </w:rPr>
        <w:t>teettia tai pidennä laitosten käyttöikää; joista toimitetaan näyttöä laitostasolla</w:t>
      </w:r>
    </w:p>
  </w:footnote>
  <w:footnote w:id="55">
    <w:p w14:paraId="29135868" w14:textId="4D0FB1E2" w:rsidR="000E48CE" w:rsidRDefault="00FF4C4E">
      <w:pPr>
        <w:pStyle w:val="FootnoteText"/>
        <w:ind w:left="0" w:firstLine="0"/>
        <w:rPr>
          <w:rFonts w:ascii="Times New Roman" w:eastAsia="Times New Roman" w:hAnsi="Times New Roman" w:cs="Times New Roman"/>
        </w:rPr>
      </w:pPr>
      <w:r>
        <w:rPr>
          <w:rFonts w:ascii="Times New Roman" w:eastAsia="Times New Roman" w:hAnsi="Times New Roman" w:cs="Times New Roman"/>
          <w:sz w:val="14"/>
        </w:rPr>
        <w:footnoteRef/>
      </w:r>
      <w:r>
        <w:rPr>
          <w:rFonts w:ascii="Times New Roman" w:hAnsi="Times New Roman"/>
        </w:rPr>
        <w:t xml:space="preserve"> Tiettyihin hankkeisiin osallistuvien lopullisten tuensaajien on esitettävä kunkin tuetun hankkeen osalta valitun tukitoimialan perustelut sekä hankkeen kuvaus ilmastoosuud</w:t>
      </w:r>
      <w:r>
        <w:rPr>
          <w:rFonts w:ascii="Times New Roman" w:hAnsi="Times New Roman"/>
        </w:rPr>
        <w:t>en laskemista varten. Ilmastoosuuden laskemiseksi sellaisten oman pääoman ehtoisten, oman pääoman luonteisten joukkovelkakirjalainojen tai vastaavien välineiden osalta, joita ei ole kohdennettu tiettyihin hankkeisiin, on käytettävä perusteita, joilla edell</w:t>
      </w:r>
      <w:r>
        <w:rPr>
          <w:rFonts w:ascii="Times New Roman" w:hAnsi="Times New Roman"/>
        </w:rPr>
        <w:t>ytetään, että vähintään 90 prosenttia tuensaajan edellisen varainhoitovuoden tuloista tai liiketoimintasuunnitelman mukaisista tulevista tuloista saadaan toiminnasta, joka täyttää elpymis- ja palautumistukivälinettä koskevan asetuksen liitteessä VI esitety</w:t>
      </w:r>
      <w:r>
        <w:rPr>
          <w:rFonts w:ascii="Times New Roman" w:hAnsi="Times New Roman"/>
        </w:rPr>
        <w:t>istä sovellettavista tukitoimialoista johtuvat asiaankuuluvat kriteerit. Oman pääoman ehtoisen, oman pääoman luonteisen rahoituksen, yritysjoukkolainojen tai vastaavien välineiden, joita ei ole kohdennettu tiettyihin hankkeisiin, lopullisten tuensaajien on</w:t>
      </w:r>
      <w:r>
        <w:rPr>
          <w:rFonts w:ascii="Times New Roman" w:hAnsi="Times New Roman"/>
        </w:rPr>
        <w:t xml:space="preserve"> esitettävä perustelut valituille tukitoimialoille. Toteutuskumppanin on myös toimitettava jäsenvaltiolle puolivuosittain kertomus kunkin hankkeen/toimen täytäntöönpanosta.  </w:t>
      </w:r>
    </w:p>
    <w:p w14:paraId="359D45F9" w14:textId="66334A9F" w:rsidR="000E48CE" w:rsidRDefault="000E48CE">
      <w:pPr>
        <w:pStyle w:val="FootnoteText"/>
        <w:ind w:left="0" w:firstLine="0"/>
        <w:rPr>
          <w:rFonts w:ascii="Times New Roman" w:eastAsia="Times New Roman" w:hAnsi="Times New Roman" w:cs="Times New Roman"/>
        </w:rPr>
      </w:pPr>
    </w:p>
  </w:footnote>
  <w:footnote w:id="56">
    <w:p w14:paraId="0B9FB990" w14:textId="3DB725E3"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sähkön ja/tai lämmön tuotantoa</w:t>
      </w:r>
      <w:r>
        <w:rPr>
          <w:rFonts w:ascii="Times New Roman" w:hAnsi="Times New Roman"/>
        </w:rPr>
        <w:t xml:space="preserve"> koskevia hankkeita sekä niihin liittyvää maakaasua käyttävää siirto- ja jakeluinfrastruktuuria, jotka täyttävät teknisten ohjeiden (2021/C58/01) liitteessä III vahvistetut edellytykset, ja b) ii alakohdassa tarkoitetut toiminnot ja omaisuuserät, joiden os</w:t>
      </w:r>
      <w:r>
        <w:rPr>
          <w:rFonts w:ascii="Times New Roman" w:hAnsi="Times New Roman"/>
        </w:rPr>
        <w:t>alta fossiilisten polttoaineiden käyttö on väliaikaista ja teknisesti mahdotonta, jotta voidaan siirtyä oikea-aikaisesti kohti fossiilitonta toimintaa.</w:t>
      </w:r>
    </w:p>
  </w:footnote>
  <w:footnote w:id="57">
    <w:p w14:paraId="099E830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w:t>
      </w:r>
      <w:r>
        <w:rPr>
          <w:rFonts w:ascii="Times New Roman" w:hAnsi="Times New Roman"/>
        </w:rPr>
        <w:t>alhaisempia kuin asianomaiset vertailuarvot, olisi annettava selvitys syistä, joiden vuoksi tämä ei ole mahdollista. Vertailuarvot, jotka on vahvistettu maksutta jaettavia päästöoikeuksia varten päästökauppajärjestelmän soveltamisalaan kuuluville toiminnoi</w:t>
      </w:r>
      <w:r>
        <w:rPr>
          <w:rFonts w:ascii="Times New Roman" w:hAnsi="Times New Roman"/>
        </w:rPr>
        <w:t>lle komission täytäntöönpanoasetuksen (EU) 2021/447 mukaisesti.</w:t>
      </w:r>
    </w:p>
  </w:footnote>
  <w:footnote w:id="58">
    <w:p w14:paraId="2114B85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w:t>
      </w:r>
      <w:r>
        <w:rPr>
          <w:rFonts w:ascii="Times New Roman" w:hAnsi="Times New Roman"/>
        </w:rPr>
        <w:t>telyyn, eikä olemassa olevissa laitoksissa, joissa tämän toimenpiteen mukaisilla toimilla pyritään lisäämään energiatehokkuutta, ottamaan talteen kaasuja varastointia tai käyttöä varten tai ottamaan talteen materiaalit polttotuhkasta, edellyttäen, että täl</w:t>
      </w:r>
      <w:r>
        <w:rPr>
          <w:rFonts w:ascii="Times New Roman" w:hAnsi="Times New Roman"/>
        </w:rPr>
        <w:t>laiset tämän toimenpiteen mukaiset toimet eivät johda laitoksen jätteenkäsittelykapasiteetin kasvuun tai laitosten käyttöiän pidentämiseen; tästä toimitetaan näyttöä laitoskohtaisesti.</w:t>
      </w:r>
    </w:p>
  </w:footnote>
  <w:footnote w:id="59">
    <w:p w14:paraId="32EFFE6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w:t>
      </w:r>
      <w:r>
        <w:rPr>
          <w:rFonts w:ascii="Times New Roman" w:hAnsi="Times New Roman"/>
        </w:rPr>
        <w:t>massa olevissa mekaanisissa biologisissa käsittelylaitoksissa, jos tämän toimenpiteen mukaisilla toimilla pyritään lisäämään resurssitehokkuutta tai jälkiasennuksia erotetun jätteen kierrätystoimiin biojätteen kompostoimiseksi ja biojätteen anaerobiseksi m</w:t>
      </w:r>
      <w:r>
        <w:rPr>
          <w:rFonts w:ascii="Times New Roman" w:hAnsi="Times New Roman"/>
        </w:rPr>
        <w:t>ädätystoiminnaksi edellyttäen, että tällaiset tämän toimenpiteen mukaiset toimet eivät lisää laitosten jätteenkäsittelykapasiteettia tai pidennä laitosten käyttöikää; tästä toimitetaan näyttöä laitoskohtaisesti.</w:t>
      </w:r>
    </w:p>
  </w:footnote>
  <w:footnote w:id="60">
    <w:p w14:paraId="34576CAB" w14:textId="5BDBBC14" w:rsidR="000E48CE" w:rsidRDefault="00FF4C4E">
      <w:pPr>
        <w:pStyle w:val="FootnoteText"/>
        <w:ind w:left="0" w:firstLine="0"/>
      </w:pPr>
      <w:r>
        <w:rPr>
          <w:rStyle w:val="FootnoteReference"/>
        </w:rPr>
        <w:footnoteRef/>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Fonts w:ascii="Times New Roman"/>
        </w:rPr>
        <w:t>lopullisten edunsaajien on esitett</w:t>
      </w:r>
      <w:r>
        <w:rPr>
          <w:rFonts w:ascii="Times New Roman"/>
        </w:rPr>
        <w:t></w:t>
      </w:r>
      <w:r>
        <w:rPr>
          <w:rFonts w:ascii="Times New Roman"/>
        </w:rPr>
        <w:t>v</w:t>
      </w:r>
      <w:r>
        <w:rPr>
          <w:rFonts w:ascii="Times New Roman"/>
        </w:rPr>
        <w:t></w:t>
      </w:r>
      <w:r>
        <w:rPr>
          <w:rFonts w:ascii="Times New Roman"/>
        </w:rPr>
        <w:t xml:space="preserve"> perustelut kullekin tuetulle hankkeelle valitusta toiminta-alasta sek</w:t>
      </w:r>
      <w:r>
        <w:rPr>
          <w:rFonts w:ascii="Times New Roman"/>
        </w:rPr>
        <w:t></w:t>
      </w:r>
      <w:r>
        <w:rPr>
          <w:rFonts w:ascii="Times New Roman"/>
        </w:rPr>
        <w:t xml:space="preserve"> hankkeen kuvaus. Toteutuskumppanin on my</w:t>
      </w:r>
      <w:r>
        <w:rPr>
          <w:rFonts w:ascii="Times New Roman"/>
        </w:rPr>
        <w:t></w:t>
      </w:r>
      <w:r>
        <w:rPr>
          <w:rFonts w:ascii="Times New Roman"/>
        </w:rPr>
        <w:t>s toimitettava j</w:t>
      </w:r>
      <w:r>
        <w:rPr>
          <w:rFonts w:ascii="Times New Roman"/>
        </w:rPr>
        <w:t></w:t>
      </w:r>
      <w:r>
        <w:rPr>
          <w:rFonts w:ascii="Times New Roman"/>
        </w:rPr>
        <w:t>senvaltiolle pu</w:t>
      </w:r>
      <w:r>
        <w:rPr>
          <w:rFonts w:ascii="Times New Roman"/>
        </w:rPr>
        <w:t>olivuosittain kertomus kunkin hankkeen/toimen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npanosta.</w:t>
      </w:r>
    </w:p>
  </w:footnote>
  <w:footnote w:id="61">
    <w:p w14:paraId="441FC4A4" w14:textId="77777777" w:rsidR="000E48CE" w:rsidRDefault="00FF4C4E">
      <w:pPr>
        <w:pStyle w:val="FootnoteText"/>
        <w:ind w:left="0" w:firstLine="0"/>
        <w:rPr>
          <w:rFonts w:ascii="Times New Roman" w:eastAsia="Times New Roman" w:hAnsi="Times New Roman" w:cs="Times New Roman"/>
        </w:rPr>
      </w:pPr>
      <w:r>
        <w:rPr>
          <w:rStyle w:val="FootnoteReference"/>
          <w:rFonts w:ascii="Times New Roman" w:hAnsi="Times New Roman" w:cs="Times New Roman"/>
        </w:rPr>
        <w:footnoteRef/>
      </w:r>
      <w:r>
        <w:rPr>
          <w:rStyle w:val="normaltextrun"/>
          <w:rFonts w:ascii="Times New Roman" w:hAnsi="Times New Roman"/>
        </w:rPr>
        <w:t>Lukuun ottamatta a) sähkön ja/tai lämmön tuotantoon liittyviä omaisuuseriä ja toimintoja sekä niihin liittyvää maakaasua käyttävää siirto- ja jakeluinfrastruktuuria, jotka täyttävät tekniste</w:t>
      </w:r>
      <w:r>
        <w:rPr>
          <w:rStyle w:val="normaltextrun"/>
          <w:rFonts w:ascii="Times New Roman" w:hAnsi="Times New Roman"/>
        </w:rPr>
        <w:t>n ohjeiden (2021/C58/01) liitteessä III vahvistetut edellytykset, ja b) ii alakohdassa tarkoitettuja toimintoja ja omaisuuseriä, joiden osalta fossiilisten polttoaineiden käyttö on väliaikaista ja teknisesti mahdotonta, jotta voidaan siirtyä oikea-aikaises</w:t>
      </w:r>
      <w:r>
        <w:rPr>
          <w:rStyle w:val="normaltextrun"/>
          <w:rFonts w:ascii="Times New Roman" w:hAnsi="Times New Roman"/>
        </w:rPr>
        <w:t>ti kohti fossiilitonta toimintaa.</w:t>
      </w:r>
    </w:p>
  </w:footnote>
  <w:footnote w:id="62">
    <w:p w14:paraId="11C7B281" w14:textId="77777777" w:rsidR="000E48CE" w:rsidRDefault="00FF4C4E">
      <w:pPr>
        <w:pStyle w:val="FootnoteText"/>
        <w:ind w:left="0" w:firstLine="0"/>
      </w:pPr>
      <w:r>
        <w:rPr>
          <w:rStyle w:val="FootnoteReference"/>
        </w:rPr>
        <w:footnoteRef/>
      </w:r>
      <w:r>
        <w:rPr>
          <w:rFonts w:ascii="Times New Roman" w:hAnsi="Times New Roman"/>
        </w:rPr>
        <w:t>Jos tuetulla toiminnalla saavutetaan ennustetut kasvihuonekaasupäästöt, jotka eivät ole merkittävästi alhaisemmat kuin asiaankuuluvat vertailuarvot, on annettava selvitys syistä, joiden vuoksi tämä ei ole mahdollista. Ver</w:t>
      </w:r>
      <w:r>
        <w:rPr>
          <w:rFonts w:ascii="Times New Roman" w:hAnsi="Times New Roman"/>
        </w:rPr>
        <w:t xml:space="preserve">tailuarvot, jotka on vahvistettu maksutta jaettavia päästöoikeuksia varten päästökauppajärjestelmän soveltamisalaan kuuluville toiminnoille komission täytäntöönpanoasetuksen (EU) 2021/447 mukaisesti. </w:t>
      </w:r>
    </w:p>
  </w:footnote>
  <w:footnote w:id="63">
    <w:p w14:paraId="3517BA0F" w14:textId="77777777" w:rsidR="000E48CE" w:rsidRDefault="00FF4C4E">
      <w:pPr>
        <w:pStyle w:val="FootnoteText"/>
        <w:ind w:left="0" w:firstLine="0"/>
      </w:pPr>
      <w:r>
        <w:rPr>
          <w:rStyle w:val="FootnoteReference"/>
        </w:rPr>
        <w:footnoteRef/>
      </w:r>
      <w:r>
        <w:rPr>
          <w:rFonts w:ascii="Times New Roman" w:hAnsi="Times New Roman"/>
        </w:rPr>
        <w:t>Tämä soveltamisalan ulkopuolelle jättäminen ei koske t</w:t>
      </w:r>
      <w:r>
        <w:rPr>
          <w:rFonts w:ascii="Times New Roman" w:hAnsi="Times New Roman"/>
        </w:rPr>
        <w:t>ämän toimenpiteen mukaisia toimia laitoksissa, jotka on tarkoitettu yksinomaan kierrätettäväksi kelpaamattoman vaarallisen jätteen käsittelyyn, eikä olemassa olevissa laitoksissa, joissa tämän toimenpiteen mukaisilla toimilla pyritään lisäämään energiateho</w:t>
      </w:r>
      <w:r>
        <w:rPr>
          <w:rFonts w:ascii="Times New Roman" w:hAnsi="Times New Roman"/>
        </w:rPr>
        <w:t>kkuutta, ottamaan talteen kaasuja varastointia tai käyttöä varten tai ottamaan talteen materiaalit polttotuhkasta, edellyttäen, että tällaiset tämän toimenpiteen mukaiset toimet eivät johda laitoksen jätteenkäsittelykapasiteetin kasvuun tai laitosten käytt</w:t>
      </w:r>
      <w:r>
        <w:rPr>
          <w:rFonts w:ascii="Times New Roman" w:hAnsi="Times New Roman"/>
        </w:rPr>
        <w:t>öiän pidentämiseen; tästä toimitetaan näyttöä laitoskohtaisesti.</w:t>
      </w:r>
    </w:p>
  </w:footnote>
  <w:footnote w:id="64">
    <w:p w14:paraId="6A4997F4" w14:textId="77777777" w:rsidR="000E48CE" w:rsidRDefault="00FF4C4E">
      <w:pPr>
        <w:pStyle w:val="P68B1DB1-FootnoteText47"/>
        <w:ind w:left="0" w:firstLine="0"/>
        <w:rPr>
          <w:rFonts w:cs="Times New Roman"/>
        </w:rPr>
      </w:pPr>
      <w:r>
        <w:footnoteRef/>
      </w:r>
      <w:r>
        <w:t xml:space="preserve">Tätä poikkeusta ei sovelleta tämän toimenpiteen mukaisiin toimiin olemassa olevissa mekaanisissa biologisissa käsittelylaitoksissa, jos tämän toimenpiteen mukaisilla toimilla pyritään </w:t>
      </w:r>
      <w:r>
        <w:t>lisäämään resurssitehokkuutta tai jälkiasennuksia erotetun jätteen kierrätystoimiin biojätteen kompostoimiseksi ja biojätteen anaerobiseksi mädätystoiminnaksi edellyttäen, että tällaiset tämän toimenpiteen mukaiset toimet eivät lisää laitosten jätteenkäsit</w:t>
      </w:r>
      <w:r>
        <w:t>telykapasiteettia tai pidennä laitosten käyttöikää; tästä toimitetaan näyttöä laitoskohtaisesti.</w:t>
      </w:r>
    </w:p>
  </w:footnote>
  <w:footnote w:id="65">
    <w:p w14:paraId="17035744" w14:textId="3B930513" w:rsidR="000E48CE" w:rsidRDefault="00FF4C4E">
      <w:pPr>
        <w:pStyle w:val="FootnoteText"/>
        <w:ind w:left="0" w:firstLine="0"/>
      </w:pPr>
      <w:r>
        <w:rPr>
          <w:rStyle w:val="FootnoteReference"/>
        </w:rPr>
        <w:footnoteRef/>
      </w:r>
      <w:r>
        <w:rPr>
          <w:rFonts w:ascii="Times New Roman"/>
        </w:rPr>
        <w:t>Lopullisten tuensaajien on esitett</w:t>
      </w:r>
      <w:r>
        <w:rPr>
          <w:rFonts w:ascii="Times New Roman"/>
        </w:rPr>
        <w:t></w:t>
      </w:r>
      <w:r>
        <w:rPr>
          <w:rFonts w:ascii="Times New Roman"/>
        </w:rPr>
        <w:t>v</w:t>
      </w:r>
      <w:r>
        <w:rPr>
          <w:rFonts w:ascii="Times New Roman"/>
        </w:rPr>
        <w:t></w:t>
      </w:r>
      <w:r>
        <w:rPr>
          <w:rFonts w:ascii="Times New Roman"/>
        </w:rPr>
        <w:t xml:space="preserve"> perustelut kullekin tuetulle hankkeelle valitusta tukitoimialasta sek</w:t>
      </w:r>
      <w:r>
        <w:rPr>
          <w:rFonts w:ascii="Times New Roman"/>
        </w:rPr>
        <w:t></w:t>
      </w:r>
      <w:r>
        <w:rPr>
          <w:rFonts w:ascii="Times New Roman"/>
        </w:rPr>
        <w:t xml:space="preserve"> kuvaus hankkeesta. Toteutuskumppanin on my</w:t>
      </w:r>
      <w:r>
        <w:rPr>
          <w:rFonts w:ascii="Times New Roman"/>
        </w:rPr>
        <w:t></w:t>
      </w:r>
      <w:r>
        <w:rPr>
          <w:rFonts w:ascii="Times New Roman"/>
        </w:rPr>
        <w:t xml:space="preserve">s </w:t>
      </w:r>
      <w:r>
        <w:rPr>
          <w:rFonts w:ascii="Times New Roman"/>
        </w:rPr>
        <w:t>toimitettava j</w:t>
      </w:r>
      <w:r>
        <w:rPr>
          <w:rFonts w:ascii="Times New Roman"/>
        </w:rPr>
        <w:t></w:t>
      </w:r>
      <w:r>
        <w:rPr>
          <w:rFonts w:ascii="Times New Roman"/>
        </w:rPr>
        <w:t>senvaltiolle puolivuosittain kertomus kunkin hankkeen/toimen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npanosta.</w:t>
      </w:r>
    </w:p>
  </w:footnote>
  <w:footnote w:id="66">
    <w:p w14:paraId="1388DD0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w:t>
      </w:r>
      <w:r>
        <w:rPr>
          <w:rFonts w:ascii="Times New Roman" w:hAnsi="Times New Roman"/>
        </w:rPr>
        <w:t>luinfrastruktuuria ja jotka täyttävät ”ei merkittävää haittaa” -periaatteesta annettujen teknisten ohjeiden (2021/C58/01) liitteessä III esitetyt ehdot.</w:t>
      </w:r>
    </w:p>
  </w:footnote>
  <w:footnote w:id="67">
    <w:p w14:paraId="049374AA"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w:t>
      </w:r>
      <w:r>
        <w:rPr>
          <w:rFonts w:ascii="Times New Roman" w:hAnsi="Times New Roman"/>
        </w:rPr>
        <w:t xml:space="preserve"> alhaisempia kuin asianomaiset vertailuarvot, olisi annettava selvitys syistä, joiden vuoksi tämä ei ole mahdollista. Vertailuarvot, jotka on vahvistettu maksutta jaettavia päästöoikeuksia varten päästökauppajärjestelmän soveltamisalaan kuuluville toiminno</w:t>
      </w:r>
      <w:r>
        <w:rPr>
          <w:rFonts w:ascii="Times New Roman" w:hAnsi="Times New Roman"/>
        </w:rPr>
        <w:t>ille komission täytäntöönpanoasetuksen (EU) 2021/447 mukaisesti.</w:t>
      </w:r>
    </w:p>
  </w:footnote>
  <w:footnote w:id="68">
    <w:p w14:paraId="27EF568E"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w:t>
      </w:r>
      <w:r>
        <w:rPr>
          <w:rFonts w:ascii="Times New Roman" w:hAnsi="Times New Roman"/>
        </w:rPr>
        <w:t>ttelyyn, eikä olemassa olevissa laitoksissa, joissa tämän toimenpiteen mukaisilla toimilla pyritään lisäämään energiatehokkuutta, ottamaan talteen kaasuja varastointia tai käyttöä varten tai ottamaan talteen materiaalit polttotuhkasta, edellyttäen, että tä</w:t>
      </w:r>
      <w:r>
        <w:rPr>
          <w:rFonts w:ascii="Times New Roman" w:hAnsi="Times New Roman"/>
        </w:rPr>
        <w:t>llaiset tämän toimenpiteen mukaiset toimet eivät johda laitoksen jätteenkäsittelykapasiteetin kasvuun tai laitosten käyttöiän pidentämiseen; tästä toimitetaan näyttöä laitoskohtaisesti.</w:t>
      </w:r>
    </w:p>
  </w:footnote>
  <w:footnote w:id="69">
    <w:p w14:paraId="23D8534A"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w:t>
      </w:r>
      <w:r>
        <w:rPr>
          <w:rFonts w:ascii="Times New Roman" w:hAnsi="Times New Roman"/>
        </w:rPr>
        <w:t>een mukaisia toimia olemassa olevissa mekaanisissa biologisissa käsittelylaitoksissa, jos tämän toimenpiteen mukaisten toimien tarkoituksena on parantaa energiatehokkuutta tai uudistaa erotetun jätteen kierrätystoimia biojätteen kompostointia ja biojätteen</w:t>
      </w:r>
      <w:r>
        <w:rPr>
          <w:rFonts w:ascii="Times New Roman" w:hAnsi="Times New Roman"/>
        </w:rPr>
        <w:t xml:space="preserve"> anaerobista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70">
    <w:p w14:paraId="3CFFFF3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w:t>
      </w:r>
      <w:r>
        <w:rPr>
          <w:rFonts w:ascii="Times New Roman" w:hAnsi="Times New Roman"/>
        </w:rPr>
        <w:t>ttamatta tämän toimenpiteen mukaisia hankkeita, jotka koskevat sähkön ja/tai lämmön tuotantoa sekä niihin liittyvää maakaasua käyttävää siirto- ja jakeluinfrastruktuuria ja jotka täyttävät ”ei merkittävää haittaa” -periaatteesta annettujen teknisten ohjeid</w:t>
      </w:r>
      <w:r>
        <w:rPr>
          <w:rFonts w:ascii="Times New Roman" w:hAnsi="Times New Roman"/>
        </w:rPr>
        <w:t>en (2021/C58/01) liitteessä III esitetyt ehdot.</w:t>
      </w:r>
    </w:p>
  </w:footnote>
  <w:footnote w:id="71">
    <w:p w14:paraId="43EEF02B"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w:t>
      </w:r>
      <w:r>
        <w:rPr>
          <w:rFonts w:ascii="Times New Roman" w:hAnsi="Times New Roman"/>
        </w:rPr>
        <w:t>mahdollista. Vertailuarvot, jotka on vahvistettu maksutta jaettavia päästöoikeuksia varten päästökauppajärjestelmän soveltamisalaan kuuluville toiminnoille komission täytäntöönpanoasetuksen (EU) 2021/447 mukaisesti.</w:t>
      </w:r>
    </w:p>
  </w:footnote>
  <w:footnote w:id="72">
    <w:p w14:paraId="40807FE2"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w:t>
      </w:r>
      <w:r>
        <w:rPr>
          <w:rFonts w:ascii="Times New Roman" w:hAnsi="Times New Roman"/>
        </w:rPr>
        <w:t>minen ei koske tämän toimenpiteen mukaisia toimia laitoksissa, jotka on tarkoitettu yksinomaan kierrätettäväksi kelpaamattoman vaarallisen jätteen käsittelyyn, eikä olemassa olevissa laitoksissa, joissa tämän toimenpiteen mukaisilla toimilla pyritään lisää</w:t>
      </w:r>
      <w:r>
        <w:rPr>
          <w:rFonts w:ascii="Times New Roman" w:hAnsi="Times New Roman"/>
        </w:rPr>
        <w:t>mään energiatehokkuutta, ottamaan talteen kaasuja varastointia tai käyttöä varten tai ottamaan talteen materiaalit polttotuhkasta, edellyttäen, että tällaiset tämän toimenpiteen mukaiset toimet eivät johda laitoksen jätteenkäsittelykapasiteetin kasvuun tai</w:t>
      </w:r>
      <w:r>
        <w:rPr>
          <w:rFonts w:ascii="Times New Roman" w:hAnsi="Times New Roman"/>
        </w:rPr>
        <w:t xml:space="preserve"> laitosten käyttöiän pidentämiseen; tästä toimitetaan näyttöä laitoskohtaisesti.</w:t>
      </w:r>
    </w:p>
  </w:footnote>
  <w:footnote w:id="73">
    <w:p w14:paraId="1CB6C7E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w:t>
      </w:r>
      <w:r>
        <w:rPr>
          <w:rFonts w:ascii="Times New Roman" w:hAnsi="Times New Roman"/>
        </w:rPr>
        <w:t>een mukaisten toimien tarkoituksena on parantaa energiatehokkuutta tai uudistaa erotetun jätteen kierrätystoimia biojätteen kompostointia ja biojätteen anaerobista mädättämistä varten edellyttäen, että tällaiset tämän toimenpiteen mukaiset toimet eivät joh</w:t>
      </w:r>
      <w:r>
        <w:rPr>
          <w:rFonts w:ascii="Times New Roman" w:hAnsi="Times New Roman"/>
        </w:rPr>
        <w:t>da laitosten jätteenkäsittelykapasiteetin lisääntymiseen tai laitosten käyttöiän pidentämiseen; tästä toimitetaan näyttöä laitoskohtaisesti.</w:t>
      </w:r>
    </w:p>
  </w:footnote>
  <w:footnote w:id="74">
    <w:p w14:paraId="2B20021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w:t>
      </w:r>
      <w:r>
        <w:rPr>
          <w:rFonts w:ascii="Times New Roman" w:hAnsi="Times New Roman"/>
        </w:rPr>
        <w:t xml:space="preserve"> liittyvää maakaasua käyttävää siirto- ja jakeluinfrastruktuuria ja jotka täyttävät ”ei merkittävää haittaa” -periaatteesta annettujen teknisten ohjeiden (2021/C58/01) liitteessä III esitetyt ehdot.</w:t>
      </w:r>
    </w:p>
  </w:footnote>
  <w:footnote w:id="75">
    <w:p w14:paraId="05FC50DF"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w:t>
      </w:r>
      <w:r>
        <w:rPr>
          <w:rFonts w:ascii="Times New Roman" w:hAnsi="Times New Roman"/>
        </w:rPr>
        <w:t>onekaasupäästöt, jotka eivät ole merkittävästi alhaisempia kuin asianomaiset vertailuarvot, olisi annettava selvitys syistä, joiden vuoksi tämä ei ole mahdollista. Vertailuarvot, jotka on vahvistettu maksutta jaettavia päästöoikeuksia varten päästökauppajä</w:t>
      </w:r>
      <w:r>
        <w:rPr>
          <w:rFonts w:ascii="Times New Roman" w:hAnsi="Times New Roman"/>
        </w:rPr>
        <w:t>rjestelmän soveltamisalaan kuuluville toiminnoille komission täytäntöönpanoasetuksen (EU) 2021/447 mukaisesti.</w:t>
      </w:r>
    </w:p>
  </w:footnote>
  <w:footnote w:id="76">
    <w:p w14:paraId="3BB736CE"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w:t>
      </w:r>
      <w:r>
        <w:rPr>
          <w:rFonts w:ascii="Times New Roman" w:hAnsi="Times New Roman"/>
        </w:rPr>
        <w:t>äväksi kelpaamattoman vaarallisen jätteen käsittelyyn, eikä olemassa olevissa laitoksissa, joissa tämän toimenpiteen mukaisilla toimilla pyritään lisäämään energiatehokkuutta, ottamaan talteen kaasuja varastointia tai käyttöä varten tai ottamaan talteen ma</w:t>
      </w:r>
      <w:r>
        <w:rPr>
          <w:rFonts w:ascii="Times New Roman" w:hAnsi="Times New Roman"/>
        </w:rPr>
        <w:t>teriaalit polttotuhkasta, edellyttäen, että tällaiset tämän toimenpiteen mukaiset toimet eivät johda laitoksen jätteenkäsittelykapasiteetin kasvuun tai laitosten käyttöiän pidentämiseen; tästä toimitetaan näyttöä laitoskohtaisesti.</w:t>
      </w:r>
    </w:p>
  </w:footnote>
  <w:footnote w:id="77">
    <w:p w14:paraId="7EBE54B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w:t>
      </w:r>
      <w:r>
        <w:rPr>
          <w:rFonts w:ascii="Times New Roman" w:hAnsi="Times New Roman"/>
        </w:rPr>
        <w:t>kopuolelle jättäminen ei koske tämän toimenpiteen mukaisia toimia olemassa olevissa mekaanisissa biologisissa käsittelylaitoksissa, jos tämän toimenpiteen mukaisten toimien tarkoituksena on parantaa energiatehokkuutta tai uudistaa erotetun jätteen kierräty</w:t>
      </w:r>
      <w:r>
        <w:rPr>
          <w:rFonts w:ascii="Times New Roman" w:hAnsi="Times New Roman"/>
        </w:rPr>
        <w:t>stoimia biojätteen kompostointia ja biojätteen anaerobista mädättämistä varten edellyttäen, että tällaiset tämän toimenpiteen mukaiset toimet eivät johda laitosten jätteenkäsittelykapasiteetin lisääntymiseen tai laitosten käyttöiän pidentämiseen; tästä toi</w:t>
      </w:r>
      <w:r>
        <w:rPr>
          <w:rFonts w:ascii="Times New Roman" w:hAnsi="Times New Roman"/>
        </w:rPr>
        <w:t>mitetaan näyttöä laitoskohtaisesti.</w:t>
      </w:r>
    </w:p>
  </w:footnote>
  <w:footnote w:id="78">
    <w:p w14:paraId="66C53FE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w:t>
      </w:r>
      <w:r>
        <w:rPr>
          <w:rFonts w:ascii="Times New Roman" w:hAnsi="Times New Roman"/>
        </w:rPr>
        <w:t>aa” -periaatteesta annettujen teknisten ohjeiden (2021/C58/01) liitteessä III esitetyt ehdot.</w:t>
      </w:r>
    </w:p>
  </w:footnote>
  <w:footnote w:id="79">
    <w:p w14:paraId="3830928D"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w:t>
      </w:r>
      <w:r>
        <w:rPr>
          <w:rFonts w:ascii="Times New Roman" w:hAnsi="Times New Roman"/>
        </w:rPr>
        <w:t>va selvitys syistä, joiden vuoksi tämä ei ole mahdollista. Vertailuarvot, jotka on vahvistettu maksutta jaettavia päästöoikeuksia varten päästökauppajärjestelmän soveltamisalaan kuuluville toiminnoille komission täytäntöönpanoasetuksen (EU) 2021/447 mukais</w:t>
      </w:r>
      <w:r>
        <w:rPr>
          <w:rFonts w:ascii="Times New Roman" w:hAnsi="Times New Roman"/>
        </w:rPr>
        <w:t>esti.</w:t>
      </w:r>
    </w:p>
  </w:footnote>
  <w:footnote w:id="80">
    <w:p w14:paraId="3A72EFB5"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w:t>
      </w:r>
      <w:r>
        <w:rPr>
          <w:rFonts w:ascii="Times New Roman" w:hAnsi="Times New Roman"/>
        </w:rPr>
        <w:t>oimenpiteen mukaisilla toimilla pyritään lisäämään energiatehokkuutta, ottamaan talteen kaasuja varastointia tai käyttöä varten tai ottamaan talteen materiaalit polttotuhkasta, edellyttäen, että tällaiset tämän toimenpiteen mukaiset toimet eivät johda lait</w:t>
      </w:r>
      <w:r>
        <w:rPr>
          <w:rFonts w:ascii="Times New Roman" w:hAnsi="Times New Roman"/>
        </w:rPr>
        <w:t>oksen jätteenkäsittelykapasiteetin kasvuun tai laitosten käyttöiän pidentämiseen; tästä toimitetaan näyttöä laitoskohtaisesti.</w:t>
      </w:r>
    </w:p>
  </w:footnote>
  <w:footnote w:id="81">
    <w:p w14:paraId="6662CD5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w:t>
      </w:r>
      <w:r>
        <w:rPr>
          <w:rFonts w:ascii="Times New Roman" w:hAnsi="Times New Roman"/>
        </w:rPr>
        <w:t>issa käsittelylaitoksissa, jos tämän toimenpiteen mukaisten toimien tarkoituksena on parantaa energiatehokkuutta tai uudistaa erotetun jätteen kierrätystoimia biojätteen kompostointia ja biojätteen anaerobista mädättämistä varten edellyttäen, että tällaise</w:t>
      </w:r>
      <w:r>
        <w:rPr>
          <w:rFonts w:ascii="Times New Roman" w:hAnsi="Times New Roman"/>
        </w:rPr>
        <w:t>t tämän toimenpiteen mukaiset toimet eivät johda laitosten jätteenkäsittelykapasiteetin lisääntymiseen tai laitosten käyttöiän pidentämiseen; tästä toimitetaan näyttöä laitoskohtaisesti.</w:t>
      </w:r>
    </w:p>
  </w:footnote>
  <w:footnote w:id="82">
    <w:p w14:paraId="776C7398"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w:t>
      </w:r>
      <w:r>
        <w:rPr>
          <w:rFonts w:ascii="Times New Roman" w:hAnsi="Times New Roman"/>
        </w:rPr>
        <w:t>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83">
    <w:p w14:paraId="169B8B2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w:t>
      </w:r>
      <w:r>
        <w:rPr>
          <w:rFonts w:ascii="Times New Roman" w:hAnsi="Times New Roman"/>
        </w:rPr>
        <w:t>lla toiminnalla saavutetaan ennustetut kasvihuonekaasupäästöt, jotka eivät ole merkittävästi alhaisempia kuin asianomaiset vertailuarvot, olisi annettava selvitys syistä, joiden vuoksi tämä ei ole mahdollista. Vertailuarvot, jotka on vahvistettu maksutta j</w:t>
      </w:r>
      <w:r>
        <w:rPr>
          <w:rFonts w:ascii="Times New Roman" w:hAnsi="Times New Roman"/>
        </w:rPr>
        <w:t>aettavia päästöoikeuksia varten päästökauppajärjestelmän soveltamisalaan kuuluville toiminnoille komission täytäntöönpanoasetuksen (EU) 2021/447 mukaisesti.</w:t>
      </w:r>
    </w:p>
  </w:footnote>
  <w:footnote w:id="84">
    <w:p w14:paraId="68351CAB"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w:t>
      </w:r>
      <w:r>
        <w:rPr>
          <w:rFonts w:ascii="Times New Roman" w:hAnsi="Times New Roman"/>
        </w:rPr>
        <w:t>sa, jotka on tarkoitettu yksinomaan kierrätettäväksi kelpaamattoman vaarallisen jätteen käsittelyyn, eikä olemassa olevissa laitoksissa, joissa tämän toimenpiteen mukaisilla toimilla pyritään lisäämään energiatehokkuutta, ottamaan talteen kaasuja varastoin</w:t>
      </w:r>
      <w:r>
        <w:rPr>
          <w:rFonts w:ascii="Times New Roman" w:hAnsi="Times New Roman"/>
        </w:rPr>
        <w:t>tia tai käyttöä varten tai ottamaan talteen materiaalit polttotuhkasta, edellyttäen, että tällaiset tämän toimenpiteen mukaiset toimet eivät johda laitoksen jätteenkäsittelykapasiteetin kasvuun tai laitosten käyttöiän pidentämiseen; tästä toimitetaan näytt</w:t>
      </w:r>
      <w:r>
        <w:rPr>
          <w:rFonts w:ascii="Times New Roman" w:hAnsi="Times New Roman"/>
        </w:rPr>
        <w:t>öä laitoskohtaisesti.</w:t>
      </w:r>
    </w:p>
  </w:footnote>
  <w:footnote w:id="85">
    <w:p w14:paraId="5899C85A"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w:t>
      </w:r>
      <w:r>
        <w:rPr>
          <w:rFonts w:ascii="Times New Roman" w:hAnsi="Times New Roman"/>
        </w:rPr>
        <w:t>kkuutta tai uudistaa erotetun jätteen kierrätystoimia biojätteen kompostointia ja biojätteen anaerobista mädättämistä varten edellyttäen, että tällaiset tämän toimenpiteen mukaiset toimet eivät johda laitosten jätteenkäsittelykapasiteetin lisääntymiseen ta</w:t>
      </w:r>
      <w:r>
        <w:rPr>
          <w:rFonts w:ascii="Times New Roman" w:hAnsi="Times New Roman"/>
        </w:rPr>
        <w:t>i laitosten käyttöiän pidentämiseen; tästä toimitetaan näyttöä laitoskohtaisesti.</w:t>
      </w:r>
    </w:p>
  </w:footnote>
  <w:footnote w:id="86">
    <w:p w14:paraId="1EA804AE"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w:t>
      </w:r>
      <w:r>
        <w:rPr>
          <w:rFonts w:ascii="Times New Roman" w:hAnsi="Times New Roman"/>
        </w:rPr>
        <w:t>uuria ja jotka täyttävät ”ei merkittävää haittaa” -periaatteesta annettujen teknisten ohjeiden (2021/C58/01) liitteessä III esitetyt ehdot.</w:t>
      </w:r>
    </w:p>
  </w:footnote>
  <w:footnote w:id="87">
    <w:p w14:paraId="2EC854D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w:t>
      </w:r>
      <w:r>
        <w:rPr>
          <w:rFonts w:ascii="Times New Roman" w:hAnsi="Times New Roman"/>
        </w:rPr>
        <w:t>kuin asianomaiset vertailuarvot, olisi annettava selvitys syistä, joiden vuoksi tämä ei ole mahdollista. Vertailuarvot, jotka on vahvistettu maksutta jaettavia päästöoikeuksia varten päästökauppajärjestelmän soveltamisalaan kuuluville toiminnoille komissio</w:t>
      </w:r>
      <w:r>
        <w:rPr>
          <w:rFonts w:ascii="Times New Roman" w:hAnsi="Times New Roman"/>
        </w:rPr>
        <w:t>n täytäntöönpanoasetuksen (EU) 2021/447 mukaisesti.</w:t>
      </w:r>
    </w:p>
  </w:footnote>
  <w:footnote w:id="88">
    <w:p w14:paraId="566B767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w:t>
      </w:r>
      <w:r>
        <w:rPr>
          <w:rFonts w:ascii="Times New Roman" w:hAnsi="Times New Roman"/>
        </w:rPr>
        <w:t xml:space="preserve"> olemassa olevissa laitoksissa, joissa tämän toimenpiteen mukaisilla toimilla pyritään lisäämään energiatehokkuutta, ottamaan talteen kaasuja varastointia tai käyttöä varten tai ottamaan talteen materiaalit polttotuhkasta, edellyttäen, että tällaiset tämän</w:t>
      </w:r>
      <w:r>
        <w:rPr>
          <w:rFonts w:ascii="Times New Roman" w:hAnsi="Times New Roman"/>
        </w:rPr>
        <w:t xml:space="preserve"> toimenpiteen mukaiset toimet eivät johda laitoksen jätteenkäsittelykapasiteetin kasvuun tai laitosten käyttöiän pidentämiseen; tästä toimitetaan näyttöä laitoskohtaisesti.</w:t>
      </w:r>
    </w:p>
  </w:footnote>
  <w:footnote w:id="89">
    <w:p w14:paraId="73ACECE6"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w:t>
      </w:r>
      <w:r>
        <w:rPr>
          <w:rFonts w:ascii="Times New Roman" w:hAnsi="Times New Roman"/>
        </w:rPr>
        <w:t xml:space="preserve">toimia olemassa olevissa mekaanisissa biologisissa käsittelylaitoksissa, jos tämän toimenpiteen mukaisten toimien tarkoituksena on parantaa energiatehokkuutta tai uudistaa erotetun jätteen kierrätystoimia biojätteen kompostointia ja biojätteen anaerobista </w:t>
      </w:r>
      <w:r>
        <w:rPr>
          <w:rFonts w:ascii="Times New Roman" w:hAnsi="Times New Roman"/>
        </w:rPr>
        <w:t>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90">
    <w:p w14:paraId="4C0937CD"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w:t>
      </w:r>
      <w:r>
        <w:rPr>
          <w:rFonts w:ascii="Times New Roman" w:hAnsi="Times New Roman"/>
        </w:rPr>
        <w:t>n toimenpiteen mukaisia hankkeita, jotka koskevat sähkön ja/tai lämmön tuotantoa sekä niihin liittyvää maakaasua käyttävää siirto- ja jakeluinfrastruktuuria ja jotka täyttävät ”ei merkittävää haittaa” -periaatteesta annettujen teknisten ohjeiden (2021/C58/</w:t>
      </w:r>
      <w:r>
        <w:rPr>
          <w:rFonts w:ascii="Times New Roman" w:hAnsi="Times New Roman"/>
        </w:rPr>
        <w:t>01) liitteessä III esitetyt ehdot.</w:t>
      </w:r>
    </w:p>
  </w:footnote>
  <w:footnote w:id="91">
    <w:p w14:paraId="18AEA43E"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w:t>
      </w:r>
      <w:r>
        <w:rPr>
          <w:rFonts w:ascii="Times New Roman" w:hAnsi="Times New Roman"/>
        </w:rPr>
        <w:t>maksutta jaettavia päästöoikeuksia varten päästökauppajärjestelmän soveltamisalaan kuuluville toiminnoille komission täytäntöönpanoasetuksen (EU) 2021/447 mukaisesti.</w:t>
      </w:r>
    </w:p>
  </w:footnote>
  <w:footnote w:id="92">
    <w:p w14:paraId="7EDFA028"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w:t>
      </w:r>
      <w:r>
        <w:rPr>
          <w:rFonts w:ascii="Times New Roman" w:hAnsi="Times New Roman"/>
        </w:rPr>
        <w:t xml:space="preserve"> laitoksissa, jotka on tarkoitettu yksinomaan kierrätettäväksi kelpaamattoman vaarallisen jätteen käsittelyyn, eikä olemassa olevissa laitoksissa, joissa tämän toimenpiteen mukaisilla toimilla pyritään lisäämään energiatehokkuutta, ottamaan talteen kaasuja</w:t>
      </w:r>
      <w:r>
        <w:rPr>
          <w:rFonts w:ascii="Times New Roman" w:hAnsi="Times New Roman"/>
        </w:rPr>
        <w:t xml:space="preserve"> varastointia tai käyttöä varten tai ottamaan talteen materiaalit polttotuhkasta, edellyttäen, että tällaiset tämän toimenpiteen mukaiset toimet eivät johda laitoksen jätteenkäsittelykapasiteetin kasvuun tai laitosten käyttöiän pidentämiseen; tästä toimite</w:t>
      </w:r>
      <w:r>
        <w:rPr>
          <w:rFonts w:ascii="Times New Roman" w:hAnsi="Times New Roman"/>
        </w:rPr>
        <w:t>taan näyttöä laitoskohtaisesti.</w:t>
      </w:r>
    </w:p>
  </w:footnote>
  <w:footnote w:id="93">
    <w:p w14:paraId="6410233A"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w:t>
      </w:r>
      <w:r>
        <w:rPr>
          <w:rFonts w:ascii="Times New Roman" w:hAnsi="Times New Roman"/>
        </w:rPr>
        <w:t>nergiatehokkuutta tai uudistaa erotetun jätteen kierrätystoimia biojätteen kompostointia ja biojätteen anaerobista mädättämistä varten edellyttäen, että tällaiset tämän toimenpiteen mukaiset toimet eivät johda laitosten jätteenkäsittelykapasiteetin lisäänt</w:t>
      </w:r>
      <w:r>
        <w:rPr>
          <w:rFonts w:ascii="Times New Roman" w:hAnsi="Times New Roman"/>
        </w:rPr>
        <w:t>ymiseen tai laitosten käyttöiän pidentämiseen; tästä toimitetaan näyttöä laitoskohtaisesti.</w:t>
      </w:r>
    </w:p>
  </w:footnote>
  <w:footnote w:id="94">
    <w:p w14:paraId="5A245C48"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w:t>
      </w:r>
      <w:r>
        <w:rPr>
          <w:rFonts w:ascii="Times New Roman" w:hAnsi="Times New Roman"/>
        </w:rPr>
        <w:t>nfrastruktuuria ja jotka täyttävät ”ei merkittävää haittaa” -periaatteesta annettujen teknisten ohjeiden (2021/C58/01) liitteessä III esitetyt ehdot.</w:t>
      </w:r>
    </w:p>
  </w:footnote>
  <w:footnote w:id="95">
    <w:p w14:paraId="3FF52BCB" w14:textId="77777777" w:rsidR="000E48CE" w:rsidRDefault="00FF4C4E">
      <w:pPr>
        <w:pStyle w:val="FootnoteText"/>
        <w:tabs>
          <w:tab w:val="left" w:pos="284"/>
        </w:tabs>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w:t>
      </w:r>
      <w:r>
        <w:rPr>
          <w:rFonts w:ascii="Times New Roman" w:hAnsi="Times New Roman"/>
        </w:rPr>
        <w:t>maksutta jaettavia päästöoikeuksia varten päästökauppajärjestelmän soveltamisalaan kuuluville toiminnoille komission täytäntöönpanoasetuksen (EU) 2021/447 mukaisesti.</w:t>
      </w:r>
    </w:p>
  </w:footnote>
  <w:footnote w:id="96">
    <w:p w14:paraId="3B9DEB54" w14:textId="77777777" w:rsidR="000E48CE" w:rsidRDefault="00FF4C4E">
      <w:pPr>
        <w:pStyle w:val="FootnoteText"/>
        <w:tabs>
          <w:tab w:val="left" w:pos="284"/>
        </w:tabs>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w:t>
      </w:r>
      <w:r>
        <w:rPr>
          <w:rFonts w:ascii="Times New Roman" w:hAnsi="Times New Roman"/>
        </w:rPr>
        <w:t xml:space="preserve"> laitoksissa, jotka on tarkoitettu yksinomaan kierrätettäväksi kelpaamattoman vaarallisen jätteen käsittelyyn, eikä olemassa olevissa laitoksissa, joissa tämän toimenpiteen mukaisilla toimilla pyritään lisäämään energiatehokkuutta, ottamaan talteen kaasuja</w:t>
      </w:r>
      <w:r>
        <w:rPr>
          <w:rFonts w:ascii="Times New Roman" w:hAnsi="Times New Roman"/>
        </w:rPr>
        <w:t xml:space="preserve"> varastointia tai käyttöä varten tai ottamaan talteen materiaalit polttotuhkasta, edellyttäen, että tällaiset tämän toimenpiteen mukaiset toimet eivät johda laitoksen jätteenkäsittelykapasiteetin kasvuun tai laitosten käyttöiän pidentämiseen; tästä toimite</w:t>
      </w:r>
      <w:r>
        <w:rPr>
          <w:rFonts w:ascii="Times New Roman" w:hAnsi="Times New Roman"/>
        </w:rPr>
        <w:t>taan näyttöä laitoskohtaisesti.</w:t>
      </w:r>
    </w:p>
  </w:footnote>
  <w:footnote w:id="97">
    <w:p w14:paraId="3459D487" w14:textId="77777777" w:rsidR="000E48CE" w:rsidRDefault="00FF4C4E">
      <w:pPr>
        <w:pStyle w:val="FootnoteText"/>
        <w:tabs>
          <w:tab w:val="left" w:pos="284"/>
        </w:tabs>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w:t>
      </w:r>
      <w:r>
        <w:rPr>
          <w:rFonts w:ascii="Times New Roman" w:hAnsi="Times New Roman"/>
        </w:rPr>
        <w:t>nergiatehokkuutta tai uudistaa erotetun jätteen kierrätystoimia biojätteen kompostointia ja biojätteen anaerobista mädättämistä varten edellyttäen, että tällaiset tämän toimenpiteen mukaiset toimet eivät johda laitosten jätteenkäsittelykapasiteetin lisäänt</w:t>
      </w:r>
      <w:r>
        <w:rPr>
          <w:rFonts w:ascii="Times New Roman" w:hAnsi="Times New Roman"/>
        </w:rPr>
        <w:t>ymiseen tai laitosten käyttöiän pidentämiseen; tästä toimitetaan näyttöä laitoskohtaisesti.</w:t>
      </w:r>
    </w:p>
  </w:footnote>
  <w:footnote w:id="98">
    <w:p w14:paraId="3748429C" w14:textId="0075588F" w:rsidR="000E48CE" w:rsidRDefault="00FF4C4E">
      <w:pPr>
        <w:pStyle w:val="FootnoteText"/>
        <w:ind w:left="0" w:firstLine="0"/>
        <w:rPr>
          <w:rFonts w:ascii="Times New Roman" w:eastAsia="Times New Roman" w:hAnsi="Times New Roman" w:cs="Times New Roman"/>
        </w:rPr>
      </w:pPr>
      <w:r>
        <w:rPr>
          <w:rStyle w:val="FootnoteReference"/>
          <w:rFonts w:ascii="Times New Roman" w:hAnsi="Times New Roman" w:cs="Times New Roman"/>
        </w:rPr>
        <w:footnoteRef/>
      </w:r>
      <w:r>
        <w:rPr>
          <w:rStyle w:val="normaltextrun"/>
          <w:rFonts w:ascii="Times New Roman" w:hAnsi="Times New Roman"/>
        </w:rPr>
        <w:t>Lukuun ottamatta a) sähkön ja/tai lämmön tuotantoon liittyviä omaisuuseriä ja toimintoja sekä niihin liittyvää maakaasua käyttävää siirto- ja jakeluinfrastruktuuri</w:t>
      </w:r>
      <w:r>
        <w:rPr>
          <w:rStyle w:val="normaltextrun"/>
          <w:rFonts w:ascii="Times New Roman" w:hAnsi="Times New Roman"/>
        </w:rPr>
        <w:t>a, jotka täyttävät teknisten ohjeiden (2021/C58/01) liitteessä III vahvistetut edellytykset, ja b) ii alakohdassa tarkoitettuja toimintoja ja omaisuuseriä, joiden osalta fossiilisten polttoaineiden käyttö on väliaikaista ja teknisesti mahdotonta, jotta voi</w:t>
      </w:r>
      <w:r>
        <w:rPr>
          <w:rStyle w:val="normaltextrun"/>
          <w:rFonts w:ascii="Times New Roman" w:hAnsi="Times New Roman"/>
        </w:rPr>
        <w:t>daan siirtyä oikea-aikaisesti kohti fossiilitonta toimintaa.</w:t>
      </w:r>
    </w:p>
  </w:footnote>
  <w:footnote w:id="99">
    <w:p w14:paraId="52B8012A" w14:textId="36507B4D" w:rsidR="000E48CE" w:rsidRDefault="00FF4C4E">
      <w:pPr>
        <w:pStyle w:val="FootnoteText"/>
        <w:ind w:left="0" w:firstLine="0"/>
      </w:pPr>
      <w:r>
        <w:rPr>
          <w:rStyle w:val="FootnoteReference"/>
        </w:rPr>
        <w:footnoteRef/>
      </w:r>
      <w:r>
        <w:rPr>
          <w:rFonts w:ascii="Times New Roman" w:hAnsi="Times New Roman"/>
        </w:rPr>
        <w:t>Jos tuetulla toiminnalla saavutetaan ennustetut kasvihuonekaasupäästöt, jotka eivät ole merkittävästi alhaisemmat kuin asiaankuuluvat vertailuarvot, on annettava selvitys syistä, joiden vuoksi t</w:t>
      </w:r>
      <w:r>
        <w:rPr>
          <w:rFonts w:ascii="Times New Roman" w:hAnsi="Times New Roman"/>
        </w:rPr>
        <w:t xml:space="preserve">ämä ei ole mahdollista. Vertailuarvot, jotka on vahvistettu maksutta jaettavia päästöoikeuksia varten päästökauppajärjestelmän soveltamisalaan kuuluville toiminnoille komission täytäntöönpanoasetuksen (EU) 2021/447 mukaisesti. </w:t>
      </w:r>
    </w:p>
  </w:footnote>
  <w:footnote w:id="100">
    <w:p w14:paraId="7FB2A563" w14:textId="0415409A" w:rsidR="000E48CE" w:rsidRDefault="00FF4C4E">
      <w:pPr>
        <w:pStyle w:val="FootnoteText"/>
        <w:ind w:left="0" w:firstLine="0"/>
      </w:pPr>
      <w:r>
        <w:rPr>
          <w:rStyle w:val="FootnoteReference"/>
        </w:rPr>
        <w:footnoteRef/>
      </w:r>
      <w:r>
        <w:rPr>
          <w:rFonts w:ascii="Times New Roman" w:hAnsi="Times New Roman"/>
        </w:rPr>
        <w:t>Tämä soveltamisalan ulkopuo</w:t>
      </w:r>
      <w:r>
        <w:rPr>
          <w:rFonts w:ascii="Times New Roman" w:hAnsi="Times New Roman"/>
        </w:rPr>
        <w:t>lelle jättäminen ei koske tämän toimenpiteen mukaisia toimia laitoksissa, jotka on tarkoitettu yksinomaan kierrätettäväksi kelpaamattoman vaarallisen jätteen käsittelyyn, eikä olemassa olevissa laitoksissa, joissa tämän toimenpiteen mukaisilla toimilla pyr</w:t>
      </w:r>
      <w:r>
        <w:rPr>
          <w:rFonts w:ascii="Times New Roman" w:hAnsi="Times New Roman"/>
        </w:rPr>
        <w:t xml:space="preserve">itään lisäämään energiatehokkuutta, ottamaan talteen kaasuja varastointia tai käyttöä varten tai ottamaan talteen materiaalit polttotuhkasta, edellyttäen, että tällaiset tämän toimenpiteen mukaiset toimet eivät johda laitoksen jätteenkäsittelykapasiteetin </w:t>
      </w:r>
      <w:r>
        <w:rPr>
          <w:rFonts w:ascii="Times New Roman" w:hAnsi="Times New Roman"/>
        </w:rPr>
        <w:t>kasvuun tai laitosten käyttöiän pidentämiseen; tästä toimitetaan näyttöä laitoskohtaisesti.</w:t>
      </w:r>
    </w:p>
  </w:footnote>
  <w:footnote w:id="101">
    <w:p w14:paraId="7CF82E2D" w14:textId="58CDBAD7" w:rsidR="000E48CE" w:rsidRDefault="00FF4C4E">
      <w:pPr>
        <w:pStyle w:val="P68B1DB1-FootnoteText47"/>
        <w:ind w:left="0" w:firstLine="0"/>
        <w:rPr>
          <w:rFonts w:cs="Times New Roman"/>
        </w:rPr>
      </w:pPr>
      <w:r>
        <w:footnoteRef/>
      </w:r>
      <w:r>
        <w:t>Tätä poikkeusta ei sovelleta tämän toimenpiteen mukaisiin toimiin olemassa olevissa mekaanisissa biologisissa käsittelylaitoksissa, jos tämän toimenpiteen mukaisil</w:t>
      </w:r>
      <w:r>
        <w:t>la toimilla pyritään lisäämään resurssitehokkuutta tai jälkiasennuksia erotetun jätteen kierrätystoimiin biojätteen kompostoimiseksi ja biojätteen anaerobiseksi mädätystoiminnaksi edellyttäen, että tällaiset tämän toimenpiteen mukaiset toimet eivät lisää l</w:t>
      </w:r>
      <w:r>
        <w:t>aitosten jätteenkäsittelykapasiteettia tai pidennä laitosten käyttöikää; tästä toimitetaan näyttöä laitoskohtaisesti.</w:t>
      </w:r>
    </w:p>
  </w:footnote>
  <w:footnote w:id="102">
    <w:p w14:paraId="78117A27" w14:textId="77777777" w:rsidR="000E48CE" w:rsidRDefault="00FF4C4E">
      <w:pPr>
        <w:pStyle w:val="FootnoteText"/>
        <w:ind w:left="0" w:firstLine="0"/>
      </w:pPr>
      <w:r>
        <w:rPr>
          <w:rStyle w:val="FootnoteReference"/>
        </w:rPr>
        <w:footnoteRef/>
      </w:r>
      <w:r>
        <w:rPr>
          <w:rFonts w:ascii="Times New Roman"/>
        </w:rPr>
        <w:t>Direktiivi</w:t>
      </w:r>
      <w:r>
        <w:rPr>
          <w:rFonts w:ascii="Times New Roman"/>
        </w:rPr>
        <w:t></w:t>
      </w:r>
      <w:r>
        <w:rPr>
          <w:rFonts w:ascii="Times New Roman"/>
        </w:rPr>
        <w:t xml:space="preserve"> 2013/34/EU muutetaan yritysten kest</w:t>
      </w:r>
      <w:r>
        <w:rPr>
          <w:rFonts w:ascii="Times New Roman"/>
        </w:rPr>
        <w:t></w:t>
      </w:r>
      <w:r>
        <w:rPr>
          <w:rFonts w:ascii="Times New Roman"/>
        </w:rPr>
        <w:t>vyysraportointia koskevalla direktiivill</w:t>
      </w:r>
      <w:r>
        <w:rPr>
          <w:rFonts w:ascii="Times New Roman"/>
        </w:rPr>
        <w:t></w:t>
      </w:r>
      <w:r>
        <w:rPr>
          <w:rFonts w:ascii="Times New Roman"/>
        </w:rPr>
        <w:t xml:space="preserve"> (EU) 2022/2464.</w:t>
      </w:r>
    </w:p>
  </w:footnote>
  <w:footnote w:id="103">
    <w:p w14:paraId="51881876" w14:textId="77777777" w:rsidR="000E48CE" w:rsidRDefault="00FF4C4E">
      <w:pPr>
        <w:pStyle w:val="FootnoteText"/>
        <w:ind w:left="0" w:firstLine="0"/>
      </w:pPr>
      <w:r>
        <w:rPr>
          <w:rStyle w:val="FootnoteReference"/>
        </w:rPr>
        <w:footnoteRef/>
      </w:r>
      <w:r>
        <w:rPr>
          <w:rFonts w:ascii="Times New Roman" w:hAnsi="Times New Roman"/>
        </w:rPr>
        <w:t>Lukuun ottamatta a) tämän toim</w:t>
      </w:r>
      <w:r>
        <w:rPr>
          <w:rFonts w:ascii="Times New Roman" w:hAnsi="Times New Roman"/>
        </w:rPr>
        <w:t xml:space="preserve">enpiteen mukaisia sähkön ja/tai lämmön tuotantoa koskevia hankkeita sekä niihin liittyvää maakaasua käyttävää siirto- ja jakeluinfrastruktuuria, jotka täyttävät teknisten ohjeiden (2021/C58/01) liitteessä III vahvistetut edellytykset, ja b) ii alakohdassa </w:t>
      </w:r>
      <w:r>
        <w:rPr>
          <w:rFonts w:ascii="Times New Roman" w:hAnsi="Times New Roman"/>
        </w:rPr>
        <w:t>tarkoitetut toiminnot ja omaisuuserät, joiden osalta fossiilisten polttoaineiden käyttö on väliaikaista ja teknisesti mahdotonta, jotta voidaan siirtyä oikea-aikaisesti kohti fossiilisista polttoaineista vapaata toimintaa, fossiilisista polttoaineista luop</w:t>
      </w:r>
      <w:r>
        <w:rPr>
          <w:rFonts w:ascii="Times New Roman" w:hAnsi="Times New Roman"/>
        </w:rPr>
        <w:t>uminen kokonaan ajan myötä</w:t>
      </w:r>
      <w:r>
        <w:t></w:t>
      </w:r>
    </w:p>
  </w:footnote>
  <w:footnote w:id="104">
    <w:p w14:paraId="6D1F4F17" w14:textId="77777777" w:rsidR="000E48CE" w:rsidRDefault="00FF4C4E">
      <w:pPr>
        <w:pStyle w:val="FootnoteText"/>
        <w:ind w:left="0" w:firstLine="0"/>
      </w:pPr>
      <w:r>
        <w:rPr>
          <w:rStyle w:val="FootnoteReference"/>
        </w:rPr>
        <w:footnoteRef/>
      </w:r>
      <w:r>
        <w:rPr>
          <w:rFonts w:ascii="Times New Roman"/>
        </w:rPr>
        <w:t>Jos tuetulla toiminnalla saavutetaan ennustetut kasvihuonekaasup</w:t>
      </w:r>
      <w:r>
        <w:rPr>
          <w:rFonts w:ascii="Times New Roman"/>
        </w:rPr>
        <w:t></w:t>
      </w:r>
      <w:r>
        <w:rPr>
          <w:rFonts w:ascii="Times New Roman"/>
        </w:rPr>
        <w:t></w:t>
      </w:r>
      <w:r>
        <w:rPr>
          <w:rFonts w:ascii="Times New Roman"/>
        </w:rPr>
        <w:t>st</w:t>
      </w:r>
      <w:r>
        <w:rPr>
          <w:rFonts w:ascii="Times New Roman"/>
        </w:rPr>
        <w:t></w:t>
      </w:r>
      <w:r>
        <w:rPr>
          <w:rFonts w:ascii="Times New Roman"/>
        </w:rPr>
        <w:t>t, jotka eiv</w:t>
      </w:r>
      <w:r>
        <w:rPr>
          <w:rFonts w:ascii="Times New Roman"/>
        </w:rPr>
        <w:t></w:t>
      </w:r>
      <w:r>
        <w:rPr>
          <w:rFonts w:ascii="Times New Roman"/>
        </w:rPr>
        <w:t>t ole merkitt</w:t>
      </w:r>
      <w:r>
        <w:rPr>
          <w:rFonts w:ascii="Times New Roman"/>
        </w:rPr>
        <w:t></w:t>
      </w:r>
      <w:r>
        <w:rPr>
          <w:rFonts w:ascii="Times New Roman"/>
        </w:rPr>
        <w:t>v</w:t>
      </w:r>
      <w:r>
        <w:rPr>
          <w:rFonts w:ascii="Times New Roman"/>
        </w:rPr>
        <w:t></w:t>
      </w:r>
      <w:r>
        <w:rPr>
          <w:rFonts w:ascii="Times New Roman"/>
        </w:rPr>
        <w:t>sti alhaisempia kuin asiaankuuluvat vertailuarvot, on annettava selvitys syist</w:t>
      </w:r>
      <w:r>
        <w:rPr>
          <w:rFonts w:ascii="Times New Roman"/>
        </w:rPr>
        <w:t></w:t>
      </w:r>
      <w:r>
        <w:rPr>
          <w:rFonts w:ascii="Times New Roman"/>
        </w:rPr>
        <w:t>, joiden vuoksi t</w:t>
      </w:r>
      <w:r>
        <w:rPr>
          <w:rFonts w:ascii="Times New Roman"/>
        </w:rPr>
        <w:t></w:t>
      </w:r>
      <w:r>
        <w:rPr>
          <w:rFonts w:ascii="Times New Roman"/>
        </w:rPr>
        <w:t>m</w:t>
      </w:r>
      <w:r>
        <w:rPr>
          <w:rFonts w:ascii="Times New Roman"/>
        </w:rPr>
        <w:t></w:t>
      </w:r>
      <w:r>
        <w:rPr>
          <w:rFonts w:ascii="Times New Roman"/>
        </w:rPr>
        <w:t xml:space="preserve"> ei ole mahdollista. Vertailua</w:t>
      </w:r>
      <w:r>
        <w:rPr>
          <w:rFonts w:ascii="Times New Roman"/>
        </w:rPr>
        <w:t>rvot, jotka on vahvistettu maksutta jaettavia p</w:t>
      </w:r>
      <w:r>
        <w:rPr>
          <w:rFonts w:ascii="Times New Roman"/>
        </w:rPr>
        <w:t></w:t>
      </w:r>
      <w:r>
        <w:rPr>
          <w:rFonts w:ascii="Times New Roman"/>
        </w:rPr>
        <w:t></w:t>
      </w:r>
      <w:r>
        <w:rPr>
          <w:rFonts w:ascii="Times New Roman"/>
        </w:rPr>
        <w:t>st</w:t>
      </w:r>
      <w:r>
        <w:rPr>
          <w:rFonts w:ascii="Times New Roman"/>
        </w:rPr>
        <w:t></w:t>
      </w:r>
      <w:r>
        <w:rPr>
          <w:rFonts w:ascii="Times New Roman"/>
        </w:rPr>
        <w:t>oikeuksia varten p</w:t>
      </w:r>
      <w:r>
        <w:rPr>
          <w:rFonts w:ascii="Times New Roman"/>
        </w:rPr>
        <w:t></w:t>
      </w:r>
      <w:r>
        <w:rPr>
          <w:rFonts w:ascii="Times New Roman"/>
        </w:rPr>
        <w:t></w:t>
      </w:r>
      <w:r>
        <w:rPr>
          <w:rFonts w:ascii="Times New Roman"/>
        </w:rPr>
        <w:t>st</w:t>
      </w:r>
      <w:r>
        <w:rPr>
          <w:rFonts w:ascii="Times New Roman"/>
        </w:rPr>
        <w:t></w:t>
      </w:r>
      <w:r>
        <w:rPr>
          <w:rFonts w:ascii="Times New Roman"/>
        </w:rPr>
        <w:t>kauppaj</w:t>
      </w:r>
      <w:r>
        <w:rPr>
          <w:rFonts w:ascii="Times New Roman"/>
        </w:rPr>
        <w:t></w:t>
      </w:r>
      <w:r>
        <w:rPr>
          <w:rFonts w:ascii="Times New Roman"/>
        </w:rPr>
        <w:t>rjestelm</w:t>
      </w:r>
      <w:r>
        <w:rPr>
          <w:rFonts w:ascii="Times New Roman"/>
        </w:rPr>
        <w:t></w:t>
      </w:r>
      <w:r>
        <w:rPr>
          <w:rFonts w:ascii="Times New Roman"/>
        </w:rPr>
        <w:t>n soveltamisalaan kuuluville toiminnoille komission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npanoasetuksen (EU) 2021/447 mukaisesti.</w:t>
      </w:r>
    </w:p>
  </w:footnote>
  <w:footnote w:id="105">
    <w:p w14:paraId="652A1898" w14:textId="77777777" w:rsidR="000E48CE" w:rsidRDefault="00FF4C4E">
      <w:pPr>
        <w:pStyle w:val="FootnoteText"/>
        <w:ind w:left="0" w:firstLine="0"/>
      </w:pPr>
      <w:r>
        <w:rPr>
          <w:rStyle w:val="FootnoteReference"/>
        </w:rPr>
        <w:footnoteRef/>
      </w:r>
      <w:r>
        <w:rPr>
          <w:rFonts w:ascii="Times New Roman" w:hAnsi="Times New Roman"/>
        </w:rPr>
        <w:t>Tämä soveltamisalan ulkopuolelle jättäminen ei koske tämän to</w:t>
      </w:r>
      <w:r>
        <w:rPr>
          <w:rFonts w:ascii="Times New Roman" w:hAnsi="Times New Roman"/>
        </w:rPr>
        <w:t>imenpiteen mukaisia toimia laitoksissa, jotka on tarkoitettu yksinomaan kierrätettäväksi kelpaamattoman vaarallisen jätteen käsittelyyn, eikä olemassa olevissa laitoksissa, joissa tämän toimenpiteen mukaisilla toimilla pyritään lisäämään energiatehokkuutta</w:t>
      </w:r>
      <w:r>
        <w:rPr>
          <w:rFonts w:ascii="Times New Roman" w:hAnsi="Times New Roman"/>
        </w:rPr>
        <w:t>, ottamaan talteen kaasuja varastointia tai käyttöä varten tai ottamaan talteen materiaalit polttotuhkasta, edellyttäen, että tällaiset tämän toimenpiteen mukaiset toimet eivät johda laitoksen jätteenkäsittelykapasiteetin kasvuun tai laitosten käyttöiän pi</w:t>
      </w:r>
      <w:r>
        <w:rPr>
          <w:rFonts w:ascii="Times New Roman" w:hAnsi="Times New Roman"/>
        </w:rPr>
        <w:t>dentämiseen; tästä toimitetaan näyttöä laitoskohtaisesti.</w:t>
      </w:r>
    </w:p>
  </w:footnote>
  <w:footnote w:id="106">
    <w:p w14:paraId="1AFE6726" w14:textId="77777777" w:rsidR="000E48CE" w:rsidRDefault="00FF4C4E">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olemassa olevissa mekaanisissa biologisissa käsittelylaitoksissa, jos tämän toimenpiteen mukaisten toimien ta</w:t>
      </w:r>
      <w:r>
        <w:rPr>
          <w:rFonts w:ascii="Times New Roman" w:hAnsi="Times New Roman"/>
        </w:rPr>
        <w:t>rkoituksena on parantaa energiatehokkuutta tai uudistaa erotetun jätteen kierrätystoimia biojätteen kompostointia ja biojätteen anaerobista mädättämistä varten edellyttäen, että tällaiset tämän toimenpiteen mukaiset toimet eivät johda laitosten jätteenkäsi</w:t>
      </w:r>
      <w:r>
        <w:rPr>
          <w:rFonts w:ascii="Times New Roman" w:hAnsi="Times New Roman"/>
        </w:rPr>
        <w:t>ttelykapasiteetin lisääntymiseen tai laitosten käyttöiän pidentämiseen; tästä toimitetaan näyttöä laitoskohtaisesti.</w:t>
      </w:r>
    </w:p>
  </w:footnote>
  <w:footnote w:id="107">
    <w:p w14:paraId="6ABF1EBF" w14:textId="14447778" w:rsidR="000E48CE" w:rsidRDefault="00FF4C4E">
      <w:pPr>
        <w:pStyle w:val="FootnoteText"/>
        <w:ind w:left="0" w:firstLine="0"/>
      </w:pPr>
      <w:r>
        <w:rPr>
          <w:rStyle w:val="FootnoteReference"/>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ascii="Times New Roman" w:hAnsi="Times New Roman"/>
        </w:rPr>
        <w:t>lopullisten edunsaaji</w:t>
      </w:r>
      <w:r>
        <w:rPr>
          <w:rFonts w:ascii="Times New Roman" w:hAnsi="Times New Roman"/>
        </w:rPr>
        <w:t>en on esitettävä perustelut kullekin tuetulle hankkeelle valitusta toiminta-alasta sekä hankkeen kuvaus. Ilmastoosuuden laskemiseksi sellaisten oman pääoman ehtoisten, oman pääoman luonteisten joukkovelkakirjalainojen tai vastaavien välineiden osalta, joit</w:t>
      </w:r>
      <w:r>
        <w:rPr>
          <w:rFonts w:ascii="Times New Roman" w:hAnsi="Times New Roman"/>
        </w:rPr>
        <w:t>a ei ole kohdennettu tiettyihin hankkeisiin, on käytettävä perusteita, joilla edellytetään, että vähintään 90 prosenttia tuensaajan edellisen varainhoitovuoden tuloista tai liiketoimintasuunnitelman mukaisista tulevista tuloista saadaan toiminnasta, joka t</w:t>
      </w:r>
      <w:r>
        <w:rPr>
          <w:rFonts w:ascii="Times New Roman" w:hAnsi="Times New Roman"/>
        </w:rPr>
        <w:t>äyttää elpymis- ja palautumistukivälinettä koskevan asetuksen liitteessä VI esitetyistä sovellettavista tukitoimialoista johtuvat asiaankuuluvat kriteerit. Oman pääoman ehtoisen, oman pääoman luonteisen rahoituksen, yritysjoukkolainojen tai vastaavien väli</w:t>
      </w:r>
      <w:r>
        <w:rPr>
          <w:rFonts w:ascii="Times New Roman" w:hAnsi="Times New Roman"/>
        </w:rPr>
        <w:t xml:space="preserve">neiden, joita ei ole kohdennettu tiettyihin hankkeisiin, lopullisten tuensaajien on esitettävä perustelut valituille tukitoimialoille. Toteutuskumppanin on myös toimitettava jäsenvaltiolle puolivuosittain kertomus kunkin hankkeen/toimen täytäntöönpanosta. </w:t>
      </w:r>
    </w:p>
  </w:footnote>
  <w:footnote w:id="108">
    <w:p w14:paraId="0499B7C3" w14:textId="14EE5E49" w:rsidR="000E48CE" w:rsidRDefault="00FF4C4E">
      <w:pPr>
        <w:pStyle w:val="FootnoteText"/>
        <w:ind w:left="0" w:firstLine="0"/>
      </w:pPr>
      <w:r>
        <w:rPr>
          <w:rStyle w:val="FootnoteReference"/>
        </w:rPr>
        <w:footnoteRef/>
      </w:r>
      <w:r>
        <w:rPr>
          <w:rStyle w:val="normaltextrun"/>
          <w:rFonts w:ascii="Times New Roman" w:hAnsi="Times New Roman"/>
        </w:rPr>
        <w:t>Lukuun ottamatta a) sähkön ja/tai lämmön tuotantoon liittyviä omaisuuseriä ja toimintoja sekä niihin liittyvää maakaasua käyttävää siirto- ja jakeluinfrastruktuuria, jotka täyttävät teknisten ohjeiden (2021/C58/01) liitteessä III vahvistetut edellytykset</w:t>
      </w:r>
      <w:r>
        <w:rPr>
          <w:rStyle w:val="normaltextrun"/>
          <w:rFonts w:ascii="Times New Roman" w:hAnsi="Times New Roman"/>
        </w:rPr>
        <w:t>, ja b) ii alakohdassa tarkoitettuja toimintoja ja omaisuuseriä, joiden osalta fossiilisten polttoaineiden käyttö on väliaikaista ja teknisesti mahdotonta, jotta voidaan siirtyä oikea-aikaisesti kohti fossiilitonta toimintaa.</w:t>
      </w:r>
    </w:p>
  </w:footnote>
  <w:footnote w:id="109">
    <w:p w14:paraId="33422E83" w14:textId="279DD539" w:rsidR="000E48CE" w:rsidRDefault="00FF4C4E">
      <w:pPr>
        <w:pStyle w:val="FootnoteText"/>
        <w:ind w:left="0" w:firstLine="0"/>
      </w:pPr>
      <w:r>
        <w:rPr>
          <w:rStyle w:val="FootnoteReference"/>
        </w:rPr>
        <w:footnoteRef/>
      </w:r>
      <w:r>
        <w:rPr>
          <w:rStyle w:val="normaltextrun"/>
          <w:rFonts w:ascii="Times New Roman" w:hAnsi="Times New Roman"/>
        </w:rPr>
        <w:t>Jos tuetulla toiminnalla saav</w:t>
      </w:r>
      <w:r>
        <w:rPr>
          <w:rStyle w:val="normaltextrun"/>
          <w:rFonts w:ascii="Times New Roman" w:hAnsi="Times New Roman"/>
        </w:rPr>
        <w:t>utetaan ennustetut kasvihuonekaasupäästöt, jotka eivät ole merkittävästi alhaisemmat kuin asiaankuuluvat vertailuarvot, on annettava selvitys syistä, joiden vuoksi tämä ei ole mahdollista. Vertailuarvot, jotka on vahvistettu maksutta jaettavia päästöoikeuk</w:t>
      </w:r>
      <w:r>
        <w:rPr>
          <w:rStyle w:val="normaltextrun"/>
          <w:rFonts w:ascii="Times New Roman" w:hAnsi="Times New Roman"/>
        </w:rPr>
        <w:t xml:space="preserve">sia varten päästökauppajärjestelmän soveltamisalaan kuuluville toiminnoille komission täytäntöönpanoasetuksen (EU) 2021/447 mukaisesti. </w:t>
      </w:r>
    </w:p>
  </w:footnote>
  <w:footnote w:id="110">
    <w:p w14:paraId="29199BEA" w14:textId="77777777" w:rsidR="000E48CE" w:rsidRDefault="00FF4C4E">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w:t>
      </w:r>
      <w:r>
        <w:rPr>
          <w:rFonts w:ascii="Times New Roman" w:hAnsi="Times New Roman"/>
        </w:rPr>
        <w:t>ttu yksinomaan kierrätettäväksi kelpaamattoman vaarallisen jätteen käsittelyyn, eikä olemassa olevissa laitoksissa, joissa tämän toimenpiteen mukaisilla toimilla pyritään lisäämään energiatehokkuutta, ottamaan talteen kaasuja varastointia tai käyttöä varte</w:t>
      </w:r>
      <w:r>
        <w:rPr>
          <w:rFonts w:ascii="Times New Roman" w:hAnsi="Times New Roman"/>
        </w:rPr>
        <w:t>n tai ottamaan talteen materiaalit polttotuhkasta, edellyttäen, että tällaiset tämän toimenpiteen mukaiset toimet eivät johda laitoksen jätteenkäsittelykapasiteetin kasvuun tai laitosten käyttöiän pidentämiseen; tästä toimitetaan näyttöä laitoskohtaisesti.</w:t>
      </w:r>
    </w:p>
  </w:footnote>
  <w:footnote w:id="111">
    <w:p w14:paraId="567F38DF" w14:textId="77777777" w:rsidR="000E48CE" w:rsidRDefault="00FF4C4E">
      <w:pPr>
        <w:pStyle w:val="P68B1DB1-FootnoteText47"/>
        <w:ind w:left="0" w:firstLine="0"/>
        <w:rPr>
          <w:rFonts w:cs="Times New Roman"/>
        </w:rPr>
      </w:pPr>
      <w:r>
        <w:footnoteRef/>
      </w:r>
      <w:r>
        <w:t>Tätä poikkeusta ei sovelleta tämän toimenpiteen mukaisiin toimiin olemassa olevissa mekaanisissa biologisissa käsittelylaitoksissa, jos tämän toimenpiteen mukaisilla toimilla pyritään lisäämään resurssitehokkuutta tai jälkiasennuksia erotetun jätteen kie</w:t>
      </w:r>
      <w:r>
        <w:t xml:space="preserve">rrätystoimiin biojätteen kompostoimiseksi ja biojätteen anaerobiseksi mädätystoiminnaksi edellyttäen, että tällaiset tämän toimenpiteen mukaiset toimet eivät lisää laitosten jätteenkäsittelykapasiteettia tai pidennä laitosten käyttöikää; tästä toimitetaan </w:t>
      </w:r>
      <w:r>
        <w:t>näyttöä laitoskohtaisesti.</w:t>
      </w:r>
    </w:p>
  </w:footnote>
  <w:footnote w:id="112">
    <w:p w14:paraId="17EBA5CD" w14:textId="63FA9AF8" w:rsidR="000E48CE" w:rsidRDefault="00FF4C4E">
      <w:pPr>
        <w:pStyle w:val="FootnoteText"/>
        <w:ind w:left="0" w:firstLine="0"/>
      </w:pPr>
      <w:r>
        <w:rPr>
          <w:rStyle w:val="FootnoteReference"/>
        </w:rPr>
        <w:footnoteRef/>
      </w:r>
      <w:r>
        <w:rPr>
          <w:rFonts w:ascii="Times New Roman"/>
        </w:rPr>
        <w:t>Direktiivi</w:t>
      </w:r>
      <w:r>
        <w:rPr>
          <w:rFonts w:ascii="Times New Roman"/>
        </w:rPr>
        <w:t></w:t>
      </w:r>
      <w:r>
        <w:rPr>
          <w:rFonts w:ascii="Times New Roman"/>
        </w:rPr>
        <w:t xml:space="preserve"> 2013/34/EU muutetaan yritysten kest</w:t>
      </w:r>
      <w:r>
        <w:rPr>
          <w:rFonts w:ascii="Times New Roman"/>
        </w:rPr>
        <w:t></w:t>
      </w:r>
      <w:r>
        <w:rPr>
          <w:rFonts w:ascii="Times New Roman"/>
        </w:rPr>
        <w:t>vyysraportointia koskevalla direktiivill</w:t>
      </w:r>
      <w:r>
        <w:rPr>
          <w:rFonts w:ascii="Times New Roman"/>
        </w:rPr>
        <w:t></w:t>
      </w:r>
      <w:r>
        <w:rPr>
          <w:rFonts w:ascii="Times New Roman"/>
        </w:rPr>
        <w:t xml:space="preserve"> (EU) 2022/2464.</w:t>
      </w:r>
    </w:p>
  </w:footnote>
  <w:footnote w:id="113">
    <w:p w14:paraId="5F4F1B0D" w14:textId="77777777" w:rsidR="000E48CE" w:rsidRDefault="00FF4C4E">
      <w:pPr>
        <w:pStyle w:val="FootnoteText"/>
        <w:ind w:left="0" w:firstLine="0"/>
      </w:pPr>
      <w:r>
        <w:rPr>
          <w:rStyle w:val="FootnoteReference"/>
        </w:rPr>
        <w:footnoteRef/>
      </w:r>
      <w:r>
        <w:rPr>
          <w:rStyle w:val="normaltextrun"/>
          <w:rFonts w:ascii="Times New Roman" w:hAnsi="Times New Roman"/>
        </w:rPr>
        <w:t xml:space="preserve">Lukuun ottamatta a) sähkön ja/tai lämmön tuotantoon liittyviä omaisuuseriä ja toimintoja sekä niihin liittyvää maakaasua </w:t>
      </w:r>
      <w:r>
        <w:rPr>
          <w:rStyle w:val="normaltextrun"/>
          <w:rFonts w:ascii="Times New Roman" w:hAnsi="Times New Roman"/>
        </w:rPr>
        <w:t>käyttävää siirto- ja jakeluinfrastruktuuria, jotka täyttävät teknisten ohjeiden (2021/C58/01) liitteessä III vahvistetut edellytykset, ja b) ii alakohdassa tarkoitettuja toimintoja ja omaisuuseriä, joiden osalta fossiilisten polttoaineiden käyttö on väliai</w:t>
      </w:r>
      <w:r>
        <w:rPr>
          <w:rStyle w:val="normaltextrun"/>
          <w:rFonts w:ascii="Times New Roman" w:hAnsi="Times New Roman"/>
        </w:rPr>
        <w:t>kaista ja teknisesti mahdotonta, jotta voidaan siirtyä oikea-aikaisesti kohti fossiilitonta toimintaa.</w:t>
      </w:r>
    </w:p>
  </w:footnote>
  <w:footnote w:id="114">
    <w:p w14:paraId="2AD5FCBD" w14:textId="6657FC12" w:rsidR="000E48CE" w:rsidRDefault="00FF4C4E">
      <w:pPr>
        <w:pStyle w:val="FootnoteText"/>
        <w:ind w:left="0" w:firstLine="0"/>
      </w:pPr>
      <w:r>
        <w:rPr>
          <w:rStyle w:val="FootnoteReference"/>
        </w:rPr>
        <w:footnoteRef/>
      </w:r>
      <w:r>
        <w:rPr>
          <w:rFonts w:ascii="Times New Roman"/>
        </w:rPr>
        <w:t>Jos tuetulla toiminnalla saavutetaan ennustetut kasvihuonekaasup</w:t>
      </w:r>
      <w:r>
        <w:rPr>
          <w:rFonts w:ascii="Times New Roman"/>
        </w:rPr>
        <w:t></w:t>
      </w:r>
      <w:r>
        <w:rPr>
          <w:rFonts w:ascii="Times New Roman"/>
        </w:rPr>
        <w:t></w:t>
      </w:r>
      <w:r>
        <w:rPr>
          <w:rFonts w:ascii="Times New Roman"/>
        </w:rPr>
        <w:t>st</w:t>
      </w:r>
      <w:r>
        <w:rPr>
          <w:rFonts w:ascii="Times New Roman"/>
        </w:rPr>
        <w:t></w:t>
      </w:r>
      <w:r>
        <w:rPr>
          <w:rFonts w:ascii="Times New Roman"/>
        </w:rPr>
        <w:t>t, jotka eiv</w:t>
      </w:r>
      <w:r>
        <w:rPr>
          <w:rFonts w:ascii="Times New Roman"/>
        </w:rPr>
        <w:t></w:t>
      </w:r>
      <w:r>
        <w:rPr>
          <w:rFonts w:ascii="Times New Roman"/>
        </w:rPr>
        <w:t>t ole merkitt</w:t>
      </w:r>
      <w:r>
        <w:rPr>
          <w:rFonts w:ascii="Times New Roman"/>
        </w:rPr>
        <w:t></w:t>
      </w:r>
      <w:r>
        <w:rPr>
          <w:rFonts w:ascii="Times New Roman"/>
        </w:rPr>
        <w:t>v</w:t>
      </w:r>
      <w:r>
        <w:rPr>
          <w:rFonts w:ascii="Times New Roman"/>
        </w:rPr>
        <w:t></w:t>
      </w:r>
      <w:r>
        <w:rPr>
          <w:rFonts w:ascii="Times New Roman"/>
        </w:rPr>
        <w:t xml:space="preserve">sti alhaisempia kuin asiaankuuluvat vertailuarvot, on </w:t>
      </w:r>
      <w:r>
        <w:rPr>
          <w:rFonts w:ascii="Times New Roman"/>
        </w:rPr>
        <w:t>annettava selvitys syist</w:t>
      </w:r>
      <w:r>
        <w:rPr>
          <w:rFonts w:ascii="Times New Roman"/>
        </w:rPr>
        <w:t></w:t>
      </w:r>
      <w:r>
        <w:rPr>
          <w:rFonts w:ascii="Times New Roman"/>
        </w:rPr>
        <w:t>, joiden vuoksi t</w:t>
      </w:r>
      <w:r>
        <w:rPr>
          <w:rFonts w:ascii="Times New Roman"/>
        </w:rPr>
        <w:t></w:t>
      </w:r>
      <w:r>
        <w:rPr>
          <w:rFonts w:ascii="Times New Roman"/>
        </w:rPr>
        <w:t>m</w:t>
      </w:r>
      <w:r>
        <w:rPr>
          <w:rFonts w:ascii="Times New Roman"/>
        </w:rPr>
        <w:t></w:t>
      </w:r>
      <w:r>
        <w:rPr>
          <w:rFonts w:ascii="Times New Roman"/>
        </w:rPr>
        <w:t xml:space="preserve"> ei ole mahdollista. Vertailuarvot, jotka on vahvistettu maksutta jaettavia p</w:t>
      </w:r>
      <w:r>
        <w:rPr>
          <w:rFonts w:ascii="Times New Roman"/>
        </w:rPr>
        <w:t></w:t>
      </w:r>
      <w:r>
        <w:rPr>
          <w:rFonts w:ascii="Times New Roman"/>
        </w:rPr>
        <w:t></w:t>
      </w:r>
      <w:r>
        <w:rPr>
          <w:rFonts w:ascii="Times New Roman"/>
        </w:rPr>
        <w:t>st</w:t>
      </w:r>
      <w:r>
        <w:rPr>
          <w:rFonts w:ascii="Times New Roman"/>
        </w:rPr>
        <w:t></w:t>
      </w:r>
      <w:r>
        <w:rPr>
          <w:rFonts w:ascii="Times New Roman"/>
        </w:rPr>
        <w:t>oikeuksia varten p</w:t>
      </w:r>
      <w:r>
        <w:rPr>
          <w:rFonts w:ascii="Times New Roman"/>
        </w:rPr>
        <w:t></w:t>
      </w:r>
      <w:r>
        <w:rPr>
          <w:rFonts w:ascii="Times New Roman"/>
        </w:rPr>
        <w:t></w:t>
      </w:r>
      <w:r>
        <w:rPr>
          <w:rFonts w:ascii="Times New Roman"/>
        </w:rPr>
        <w:t>st</w:t>
      </w:r>
      <w:r>
        <w:rPr>
          <w:rFonts w:ascii="Times New Roman"/>
        </w:rPr>
        <w:t></w:t>
      </w:r>
      <w:r>
        <w:rPr>
          <w:rFonts w:ascii="Times New Roman"/>
        </w:rPr>
        <w:t>kauppaj</w:t>
      </w:r>
      <w:r>
        <w:rPr>
          <w:rFonts w:ascii="Times New Roman"/>
        </w:rPr>
        <w:t></w:t>
      </w:r>
      <w:r>
        <w:rPr>
          <w:rFonts w:ascii="Times New Roman"/>
        </w:rPr>
        <w:t>rjestelm</w:t>
      </w:r>
      <w:r>
        <w:rPr>
          <w:rFonts w:ascii="Times New Roman"/>
        </w:rPr>
        <w:t></w:t>
      </w:r>
      <w:r>
        <w:rPr>
          <w:rFonts w:ascii="Times New Roman"/>
        </w:rPr>
        <w:t>n soveltamisalaan kuuluville toiminnoille komission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npanoasetuksen (EU) 2021/447</w:t>
      </w:r>
      <w:r>
        <w:rPr>
          <w:rFonts w:ascii="Times New Roman"/>
        </w:rPr>
        <w:t xml:space="preserve"> mukaisesti.</w:t>
      </w:r>
    </w:p>
  </w:footnote>
  <w:footnote w:id="115">
    <w:p w14:paraId="2FC76721" w14:textId="762F3F59" w:rsidR="000E48CE" w:rsidRDefault="00FF4C4E">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w:t>
      </w:r>
      <w:r>
        <w:rPr>
          <w:rFonts w:ascii="Times New Roman" w:hAnsi="Times New Roman"/>
        </w:rPr>
        <w:t>ämän toimenpiteen mukaisilla toimilla pyritään lisäämään energiatehokkuutta, ottamaan talteen kaasuja varastointia tai käyttöä varten tai ottamaan talteen materiaalit polttotuhkasta, edellyttäen, että tällaiset tämän toimenpiteen mukaiset toimet eivät johd</w:t>
      </w:r>
      <w:r>
        <w:rPr>
          <w:rFonts w:ascii="Times New Roman" w:hAnsi="Times New Roman"/>
        </w:rPr>
        <w:t>a laitoksen jätteenkäsittelykapasiteetin kasvuun tai laitosten käyttöiän pidentämiseen; tästä toimitetaan näyttöä laitoskohtaisesti.</w:t>
      </w:r>
    </w:p>
  </w:footnote>
  <w:footnote w:id="116">
    <w:p w14:paraId="34A94635" w14:textId="412A13BE" w:rsidR="000E48CE" w:rsidRDefault="00FF4C4E">
      <w:pPr>
        <w:pStyle w:val="FootnoteText"/>
        <w:ind w:left="0" w:firstLine="0"/>
      </w:pPr>
      <w:r>
        <w:rPr>
          <w:rStyle w:val="FootnoteReference"/>
        </w:rPr>
        <w:footnoteRef/>
      </w:r>
      <w:r>
        <w:rPr>
          <w:rFonts w:ascii="Times New Roman" w:hAnsi="Times New Roman"/>
        </w:rPr>
        <w:t xml:space="preserve">Tämä soveltamisalan ulkopuolelle jättäminen ei koske tämän toimenpiteen mukaisia toimia olemassa olevissa mekaanisissa </w:t>
      </w:r>
      <w:r>
        <w:rPr>
          <w:rFonts w:ascii="Times New Roman" w:hAnsi="Times New Roman"/>
        </w:rPr>
        <w:t xml:space="preserve">biologisissa käsittelylaitoksissa, jos tämän toimenpiteen mukaisten toimien tarkoituksena on parantaa energiatehokkuutta tai uudistaa erotetun jätteen kierrätystoimia biojätteen kompostointia ja biojätteen anaerobista mädättämistä varten edellyttäen, että </w:t>
      </w:r>
      <w:r>
        <w:rPr>
          <w:rFonts w:ascii="Times New Roman" w:hAnsi="Times New Roman"/>
        </w:rPr>
        <w:t>tällaiset tämän toimenpiteen mukaiset toimet eivät johda laitosten jätteenkäsittelykapasiteetin lisääntymiseen tai laitosten käyttöiän pidentämiseen; tästä toimitetaan näyttöä laitoskohtaisesti.</w:t>
      </w:r>
    </w:p>
  </w:footnote>
  <w:footnote w:id="117">
    <w:p w14:paraId="33E3A5FA" w14:textId="3FA7E6DF" w:rsidR="000E48CE" w:rsidRDefault="00FF4C4E">
      <w:pPr>
        <w:pStyle w:val="FootnoteText"/>
        <w:ind w:left="0" w:firstLine="0"/>
      </w:pPr>
      <w:r>
        <w:rPr>
          <w:rStyle w:val="FootnoteReference"/>
        </w:rPr>
        <w:footnoteRef/>
      </w:r>
      <w:r>
        <w:rPr>
          <w:rFonts w:ascii="Times New Roman" w:hAnsi="Times New Roman"/>
        </w:rPr>
        <w:t>Kun on kyse omasta pääomasta, oman pääoman luonteisesta pääo</w:t>
      </w:r>
      <w:r>
        <w:rPr>
          <w:rFonts w:ascii="Times New Roman" w:hAnsi="Times New Roman"/>
        </w:rPr>
        <w:t>masta, yritysjoukkolainoista tai vastaavista välineistä, joita ei ole kohdennettu tiettyihin hankkeisiin, digitaalisen panoksen laskemiseksi on käytettävä perusteita, joilla edellytetään, että vähintään 90 prosenttia tuensaajan edellisen tilikauden tuloist</w:t>
      </w:r>
      <w:r>
        <w:rPr>
          <w:rFonts w:ascii="Times New Roman" w:hAnsi="Times New Roman"/>
        </w:rPr>
        <w:t xml:space="preserve">a tai liiketoimintasuunnitelman mukaisista tulevista tuloista saadaan toiminnasta, joka täyttää elpymis- ja palautumistukivälinettä koskevan asetuksen liitteessä VII esitetyistä sovellettavista tukitoimialoista johtuvat asiaankuuluvat kriteerit. </w:t>
      </w:r>
    </w:p>
  </w:footnote>
  <w:footnote w:id="118">
    <w:p w14:paraId="326C811D"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Direkti</w:t>
      </w:r>
      <w:r>
        <w:rPr>
          <w:rFonts w:ascii="Times New Roman" w:hAnsi="Times New Roman"/>
        </w:rPr>
        <w:t>iviä 2013/34/EU muutetaan yritysten kestävyysraportointia koskevalla direktiivillä (EU) 2022/2464.</w:t>
      </w:r>
    </w:p>
  </w:footnote>
  <w:footnote w:id="119">
    <w:p w14:paraId="07A1FD78" w14:textId="461565C2"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sähkön ja/tai lämmön tuotantoa koskevia hankkeita sekä niihin liittyvää maakaasua käyttävää siirto- ja jakeluinfrastruktuuria, jotka täyttävät teknisten ohjeiden (2021/C58/01) liitteessä III vahvistetut edel</w:t>
      </w:r>
      <w:r>
        <w:rPr>
          <w:rFonts w:ascii="Times New Roman" w:hAnsi="Times New Roman"/>
        </w:rPr>
        <w:t>lytykset, ja b) ii alakohdassa tarkoitetut toiminnot ja omaisuuserät, joiden osalta fossiilisten polttoaineiden käyttö on väliaikaista ja teknisesti mahdotonta, jotta voidaan siirtyä oikea-aikaisesti kohti fossiilisista polttoaineista vapaata toimintaa, fo</w:t>
      </w:r>
      <w:r>
        <w:rPr>
          <w:rFonts w:ascii="Times New Roman" w:hAnsi="Times New Roman"/>
        </w:rPr>
        <w:t>ssiilisista polttoaineista luopuminen kokonaan ajan mittaan.</w:t>
      </w:r>
    </w:p>
  </w:footnote>
  <w:footnote w:id="120">
    <w:p w14:paraId="6C85A674"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asiaankuuluvat vertailuarvot, on annettava selvitys syistä, joiden vuoksi </w:t>
      </w:r>
      <w:r>
        <w:rPr>
          <w:rFonts w:ascii="Times New Roman" w:hAnsi="Times New Roman"/>
        </w:rPr>
        <w:t>tämä ei ole mahdollista. Vertailuarvot, jotka on vahvistettu maksutta jaettavia päästöoikeuksia varten päästökauppajärjestelmän soveltamisalaan kuuluville toiminnoille komission täytäntöönpanoasetuksen (EU) 2021/447 mukaisesti. </w:t>
      </w:r>
    </w:p>
  </w:footnote>
  <w:footnote w:id="121">
    <w:p w14:paraId="5E4FA36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w:t>
      </w:r>
      <w:r>
        <w:rPr>
          <w:rFonts w:ascii="Times New Roman" w:hAnsi="Times New Roman"/>
        </w:rPr>
        <w:t>uolelle jättäminen ei koske tämän toimenpiteen mukaisia toimia laitoksissa, jotka on tarkoitettu yksinomaan kierrätettäväksi kelpaamattoman vaarallisen jätteen käsittelyyn, eikä olemassa olevissa laitoksissa, joissa tämän toimenpiteen mukaisilla toimilla p</w:t>
      </w:r>
      <w:r>
        <w:rPr>
          <w:rFonts w:ascii="Times New Roman" w:hAnsi="Times New Roman"/>
        </w:rPr>
        <w:t>yritään lisäämään energiatehokkuutta, ottamaan talteen kaasuja varastointia tai käyttöä varten tai ottamaan talteen materiaalit polttotuhkasta, edellyttäen, että tällaiset tämän toimenpiteen mukaiset toimet eivät johda laitoksen jätteenkäsittelykapasiteeti</w:t>
      </w:r>
      <w:r>
        <w:rPr>
          <w:rFonts w:ascii="Times New Roman" w:hAnsi="Times New Roman"/>
        </w:rPr>
        <w:t>n kasvuun tai laitosten käyttöiän pidentämiseen; tästä toimitetaan näyttöä laitoskohtaisesti. </w:t>
      </w:r>
    </w:p>
  </w:footnote>
  <w:footnote w:id="122">
    <w:p w14:paraId="303BA82A" w14:textId="77777777" w:rsidR="000E48CE" w:rsidRDefault="00FF4C4E">
      <w:pPr>
        <w:pStyle w:val="FootnoteText"/>
        <w:ind w:left="0" w:firstLine="0"/>
        <w:rPr>
          <w:rFonts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w:t>
      </w:r>
      <w:r>
        <w:rPr>
          <w:rFonts w:ascii="Times New Roman" w:hAnsi="Times New Roman"/>
        </w:rPr>
        <w:t>ämän toimenpiteen mukaisten toimien tarkoituksena on parantaa energiatehokkuutta tai uudistaa erotetun jätteen kierrätystoimia biojätteen kompostointia ja biojätteen anaerobista mädättämistä varten edellyttäen, että tällaiset tämän toimenpiteen mukaiset to</w:t>
      </w:r>
      <w:r>
        <w:rPr>
          <w:rFonts w:ascii="Times New Roman" w:hAnsi="Times New Roman"/>
        </w:rPr>
        <w:t>imet eivät johda laitosten jätteenkäsittelykapasiteetin lisääntymiseen tai laitosten käyttöiän pidentämiseen; tästä toimitetaan näyttöä laitoskohtaisesti. </w:t>
      </w:r>
    </w:p>
  </w:footnote>
  <w:footnote w:id="123">
    <w:p w14:paraId="5E76761E" w14:textId="4322F5E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Kun kyseessä ovat oman pääoman ehtoiset, oman pääoman luonteiset joukkovelkakirjalainat tai vastaav</w:t>
      </w:r>
      <w:r>
        <w:rPr>
          <w:rFonts w:ascii="Times New Roman" w:hAnsi="Times New Roman"/>
        </w:rPr>
        <w:t xml:space="preserve">at välineet, joita ei ole kohdennettu tiettyihin hankkeisiin, digitaalisen panoksen laskemista varten on käytettävä perusteita, joilla edellytetään, että vähintään 90 prosenttia tuensaajan edellisen varainhoitovuoden tuloista tai liiketoimintasuunnitelman </w:t>
      </w:r>
      <w:r>
        <w:rPr>
          <w:rFonts w:ascii="Times New Roman" w:hAnsi="Times New Roman"/>
        </w:rPr>
        <w:t xml:space="preserve">mukaisista tulevista tuloista saadaan toiminnasta, joka täyttää elpymis- ja palautumistukivälinettä koskevan asetuksen liitteessä VII esitetyistä sovellettavista tukitoimialoista johtuvat asiaankuuluvat kriteerit. </w:t>
      </w:r>
    </w:p>
  </w:footnote>
  <w:footnote w:id="124">
    <w:p w14:paraId="5E6C3D45" w14:textId="77777777" w:rsidR="000E48CE" w:rsidRDefault="00FF4C4E">
      <w:pPr>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Verkko- ja tietoturva-alan yhteistyöryh</w:t>
      </w:r>
      <w:r>
        <w:rPr>
          <w:rFonts w:ascii="Times New Roman" w:hAnsi="Times New Roman"/>
          <w:sz w:val="20"/>
        </w:rPr>
        <w:t>mä, 5G-verkkojen kyberturvallisuus – EU:n välineistö riskinvähentämistoimenpiteitä varten, 01/2020, https://ec.europa.eu/newsroom/dae/document.cfm?doc_id=64468</w:t>
      </w:r>
    </w:p>
  </w:footnote>
  <w:footnote w:id="125">
    <w:p w14:paraId="79775987" w14:textId="77777777" w:rsidR="000E48CE" w:rsidRDefault="00FF4C4E">
      <w:pPr>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Euroopan parlamentin ja neuvoston asetus (EU) 2021/697, annettu 29 päivänä huhtikuuta 2021, Eu</w:t>
      </w:r>
      <w:r>
        <w:rPr>
          <w:rFonts w:ascii="Times New Roman" w:hAnsi="Times New Roman"/>
          <w:sz w:val="20"/>
        </w:rPr>
        <w:t>roopan puolustusrahaston perustamisesta</w:t>
      </w:r>
    </w:p>
  </w:footnote>
  <w:footnote w:id="126">
    <w:p w14:paraId="72B28B99" w14:textId="77777777" w:rsidR="000E48CE" w:rsidRDefault="00FF4C4E">
      <w:pPr>
        <w:spacing w:after="0"/>
      </w:pPr>
      <w:r>
        <w:rPr>
          <w:rStyle w:val="FootnoteReference"/>
          <w:rFonts w:ascii="Times New Roman" w:hAnsi="Times New Roman" w:cs="Times New Roman"/>
          <w:sz w:val="20"/>
        </w:rPr>
        <w:footnoteRef/>
      </w:r>
      <w:r>
        <w:rPr>
          <w:rFonts w:ascii="Times New Roman" w:hAnsi="Times New Roman"/>
          <w:sz w:val="20"/>
        </w:rPr>
        <w:t xml:space="preserve"> Asetus (EU) 2021/696 EU:n avaruusohjelman ja Euroopan unionin avaruusohjelmaviraston perustamisesta</w:t>
      </w:r>
    </w:p>
  </w:footnote>
  <w:footnote w:id="127">
    <w:p w14:paraId="4067BF7D" w14:textId="2F40705E" w:rsidR="000E48CE" w:rsidRDefault="00FF4C4E">
      <w:pPr>
        <w:spacing w:after="0" w:line="240" w:lineRule="auto"/>
        <w:jc w:val="both"/>
        <w:rPr>
          <w:rFonts w:ascii="Times New Roman" w:eastAsia="Times New Roman" w:hAnsi="Times New Roman" w:cs="Times New Roman"/>
          <w:sz w:val="24"/>
        </w:rPr>
      </w:pPr>
      <w:r>
        <w:rPr>
          <w:rStyle w:val="FootnoteReference"/>
        </w:rPr>
        <w:footnoteRef/>
      </w:r>
      <w:r>
        <w:rPr>
          <w:rFonts w:ascii="Times New Roman" w:hAnsi="Times New Roman"/>
          <w:sz w:val="20"/>
        </w:rPr>
        <w:t>Lukuun ottamatta a) sähkön ja/tai lämmön tuotantoon liittyviä omaisuuseriä ja toimintoja sekä niihin liittyvää ma</w:t>
      </w:r>
      <w:r>
        <w:rPr>
          <w:rFonts w:ascii="Times New Roman" w:hAnsi="Times New Roman"/>
          <w:sz w:val="20"/>
        </w:rPr>
        <w:t>akaasua käyttävää siirto- ja jakeluinfrastruktuuria, jotka täyttävät teknisten ohjeiden (2021/C58/01) liitteessä III vahvistetut edellytykset, ja b) ii alakohdassa tarkoitettuja toimintoja ja omaisuuseriä, joiden osalta fossiilisten polttoaineiden käyttö o</w:t>
      </w:r>
      <w:r>
        <w:rPr>
          <w:rFonts w:ascii="Times New Roman" w:hAnsi="Times New Roman"/>
          <w:sz w:val="20"/>
        </w:rPr>
        <w:t>n väliaikaista ja teknisesti mahdotonta, jotta voidaan siirtyä oikea-aikaisesti kohti fossiilitonta toimintaa.</w:t>
      </w:r>
    </w:p>
  </w:footnote>
  <w:footnote w:id="128">
    <w:p w14:paraId="6729EEF5" w14:textId="56238AA2" w:rsidR="000E48CE" w:rsidRDefault="00FF4C4E">
      <w:pPr>
        <w:spacing w:after="0" w:line="240" w:lineRule="auto"/>
        <w:jc w:val="both"/>
        <w:rPr>
          <w:rFonts w:ascii="Times New Roman" w:eastAsia="Times New Roman" w:hAnsi="Times New Roman" w:cs="Times New Roman"/>
          <w:sz w:val="24"/>
          <w:shd w:val="clear" w:color="auto" w:fill="FFFFFF"/>
        </w:rPr>
      </w:pPr>
      <w:r>
        <w:rPr>
          <w:rStyle w:val="FootnoteReference"/>
        </w:rPr>
        <w:footnoteRef/>
      </w:r>
      <w:r>
        <w:rPr>
          <w:rFonts w:ascii="Times New Roman" w:hAnsi="Times New Roman"/>
          <w:sz w:val="20"/>
        </w:rPr>
        <w:t>Mukaan lukien EU:n päästökauppajärjestelmään kuuluvat toiminnot ja omaisuuserät, joilla saavutetaan ennustetut kasvihuonekaasupäästöt, jotka eiv</w:t>
      </w:r>
      <w:r>
        <w:rPr>
          <w:rFonts w:ascii="Times New Roman" w:hAnsi="Times New Roman"/>
          <w:sz w:val="20"/>
        </w:rPr>
        <w:t>ät alita asiaankuuluvia vertailuarvoja. Jos tuetulla toiminnalla saavutetaan ennustetut kasvihuonekaasupäästöt, jotka eivät ole merkittävästi alhaisemmat kuin asiaankuuluvat vertailuarvot, on annettava selvitys syistä, joiden vuoksi tämä ei ole mahdollista</w:t>
      </w:r>
      <w:r>
        <w:rPr>
          <w:rFonts w:ascii="Times New Roman" w:hAnsi="Times New Roman"/>
          <w:sz w:val="20"/>
        </w:rPr>
        <w:t>. Komission täytäntöönpanoasetuksessa (EU) 2021/447 vahvistetut maksutta jaettavia päästöoikeuksia varten vahvistetut vertailuarvot päästökauppajärjestelmän soveltamisalaan kuuluville toiminnoille.</w:t>
      </w:r>
      <w:r>
        <w:rPr>
          <w:rFonts w:ascii="Times New Roman" w:hAnsi="Times New Roman"/>
          <w:sz w:val="20"/>
          <w:shd w:val="clear" w:color="auto" w:fill="FFFFFF"/>
        </w:rPr>
        <w:t>Toimenpide on pantava täytäntöön viimeistään 31 päivänä elo</w:t>
      </w:r>
      <w:r>
        <w:rPr>
          <w:rFonts w:ascii="Times New Roman" w:hAnsi="Times New Roman"/>
          <w:sz w:val="20"/>
          <w:shd w:val="clear" w:color="auto" w:fill="FFFFFF"/>
        </w:rPr>
        <w:t>kuuta 2026.</w:t>
      </w:r>
    </w:p>
  </w:footnote>
  <w:footnote w:id="129">
    <w:p w14:paraId="6F7DB3F9" w14:textId="77777777" w:rsidR="000E48CE" w:rsidRDefault="00FF4C4E">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w:t>
      </w:r>
      <w:r>
        <w:rPr>
          <w:rFonts w:ascii="Times New Roman" w:hAnsi="Times New Roman"/>
        </w:rPr>
        <w:t>män toimenpiteen mukaisilla toimilla pyritään lisäämään energiatehokkuutta, ottamaan talteen kaasuja varastointia tai käyttöä varten tai ottamaan talteen materiaalit polttotuhkasta, edellyttäen, että tällaiset tämän toimenpiteen mukaiset toimet eivät johda</w:t>
      </w:r>
      <w:r>
        <w:rPr>
          <w:rFonts w:ascii="Times New Roman" w:hAnsi="Times New Roman"/>
        </w:rPr>
        <w:t xml:space="preserve"> laitoksen jätteenkäsittelykapasiteetin kasvuun tai laitosten käyttöiän pidentämiseen; tästä toimitetaan näyttöä laitoskohtaisesti.</w:t>
      </w:r>
    </w:p>
  </w:footnote>
  <w:footnote w:id="130">
    <w:p w14:paraId="446E45FA" w14:textId="77777777" w:rsidR="000E48CE" w:rsidRDefault="00FF4C4E">
      <w:pPr>
        <w:pStyle w:val="FootnoteText"/>
        <w:ind w:left="0" w:firstLine="0"/>
      </w:pPr>
      <w:r>
        <w:rPr>
          <w:rStyle w:val="FootnoteReference"/>
        </w:rPr>
        <w:footnoteRef/>
      </w:r>
      <w:r>
        <w:rPr>
          <w:rFonts w:ascii="Times New Roman" w:hAnsi="Times New Roman"/>
        </w:rPr>
        <w:t>Tämä soveltamisalan ulkopuolelle jättäminen ei koske tämän toimenpiteen mukaisia toimia olemassa olevissa mekaanisissa biol</w:t>
      </w:r>
      <w:r>
        <w:rPr>
          <w:rFonts w:ascii="Times New Roman" w:hAnsi="Times New Roman"/>
        </w:rPr>
        <w:t>ogisissa käsittelylaitoksissa, jos tämän toimenpiteen mukaisten toimien tarkoituksena on parantaa energiatehokkuutta tai uudistaa erotetun jätteen kierrätystoimia biojätteen kompostointia ja biojätteen anaerobista mädättämistä varten edellyttäen, että täll</w:t>
      </w:r>
      <w:r>
        <w:rPr>
          <w:rFonts w:ascii="Times New Roman" w:hAnsi="Times New Roman"/>
        </w:rPr>
        <w:t>aiset tämän toimenpiteen mukaiset toimet eivät johda laitosten jätteenkäsittelykapasiteetin lisääntymiseen tai laitosten käyttöiän pidentämiseen; tästä toimitetaan näyttöä laitoskohtaisesti.</w:t>
      </w:r>
    </w:p>
  </w:footnote>
  <w:footnote w:id="131">
    <w:p w14:paraId="144E1564" w14:textId="2C8A4371" w:rsidR="000E48CE" w:rsidRDefault="00FF4C4E">
      <w:pPr>
        <w:spacing w:after="0"/>
      </w:pPr>
      <w:r>
        <w:rPr>
          <w:rStyle w:val="FootnoteReference"/>
        </w:rPr>
        <w:footnoteRef/>
      </w:r>
      <w:r>
        <w:t xml:space="preserve"> Lopullisen tuensaajan</w:t>
      </w:r>
      <w:r>
        <w:rPr>
          <w:rFonts w:ascii="Times New Roman" w:hAnsi="Times New Roman"/>
          <w:sz w:val="20"/>
        </w:rPr>
        <w:t>katsotaan keskittyvän ”huomattavasti” joho</w:t>
      </w:r>
      <w:r>
        <w:rPr>
          <w:rFonts w:ascii="Times New Roman" w:hAnsi="Times New Roman"/>
          <w:sz w:val="20"/>
        </w:rPr>
        <w:t>nkin toimialaan tai liiketoimintaan, jos tällaisen toimialan tai toiminnan katsotaan olevan olennainen osa lopullisen tuensaajan liiketoimintaa suhteessa lopullisen tuensaajan bruttotuloihin, voittoon tai asiakaskuntaan. Rajoitetun alan tai toiminnan brutt</w:t>
      </w:r>
      <w:r>
        <w:rPr>
          <w:rFonts w:ascii="Times New Roman" w:hAnsi="Times New Roman"/>
          <w:sz w:val="20"/>
        </w:rPr>
        <w:t>otulot saavat joka tapauksessa olla enintään 50 prosenttia bruttotuloista.</w:t>
      </w:r>
    </w:p>
  </w:footnote>
  <w:footnote w:id="132">
    <w:p w14:paraId="1CB55135" w14:textId="3F151E1E" w:rsidR="000E48CE" w:rsidRDefault="00FF4C4E">
      <w:pPr>
        <w:pStyle w:val="FootnoteText"/>
        <w:ind w:left="0" w:firstLine="0"/>
      </w:pPr>
      <w:r>
        <w:rPr>
          <w:rStyle w:val="FootnoteReference"/>
        </w:rPr>
        <w:footnoteRef/>
      </w:r>
      <w:r>
        <w:rPr>
          <w:rFonts w:ascii="Times New Roman" w:hAnsi="Times New Roman"/>
        </w:rPr>
        <w:t>Lukuun ottamatta a) sähkön ja/tai lämmön tuotantoon liittyviä omaisuuseriä ja toimintoja sekä niihin liittyvää maakaasua käyttävää siirto- ja jakeluinfrastruktuuria, jotka täyttävä</w:t>
      </w:r>
      <w:r>
        <w:rPr>
          <w:rFonts w:ascii="Times New Roman" w:hAnsi="Times New Roman"/>
        </w:rPr>
        <w:t>t teknisten ohjeiden (2021/C58/01) liitteessä III vahvistetut edellytykset, ja b) ii alakohdassa tarkoitettuja toimintoja ja omaisuuseriä, joiden osalta fossiilisten polttoaineiden käyttö on väliaikaista ja teknisesti mahdotonta, jotta voidaan siirtyä oike</w:t>
      </w:r>
      <w:r>
        <w:rPr>
          <w:rFonts w:ascii="Times New Roman" w:hAnsi="Times New Roman"/>
        </w:rPr>
        <w:t>a-aikaisesti kohti fossiilitonta toimintaa.</w:t>
      </w:r>
    </w:p>
  </w:footnote>
  <w:footnote w:id="133">
    <w:p w14:paraId="5F2ACA3A" w14:textId="428B6747" w:rsidR="000E48CE" w:rsidRDefault="00FF4C4E">
      <w:pPr>
        <w:pStyle w:val="FootnoteText"/>
        <w:ind w:left="0" w:firstLine="0"/>
      </w:pPr>
      <w:r>
        <w:rPr>
          <w:rStyle w:val="FootnoteReference"/>
        </w:rPr>
        <w:footnoteRef/>
      </w:r>
      <w:r>
        <w:rPr>
          <w:rFonts w:ascii="Times New Roman"/>
        </w:rPr>
        <w:t>Mukaan lukien EU:n p</w:t>
      </w:r>
      <w:r>
        <w:rPr>
          <w:rFonts w:ascii="Times New Roman"/>
        </w:rPr>
        <w:t></w:t>
      </w:r>
      <w:r>
        <w:rPr>
          <w:rFonts w:ascii="Times New Roman"/>
        </w:rPr>
        <w:t></w:t>
      </w:r>
      <w:r>
        <w:rPr>
          <w:rFonts w:ascii="Times New Roman"/>
        </w:rPr>
        <w:t>st</w:t>
      </w:r>
      <w:r>
        <w:rPr>
          <w:rFonts w:ascii="Times New Roman"/>
        </w:rPr>
        <w:t></w:t>
      </w:r>
      <w:r>
        <w:rPr>
          <w:rFonts w:ascii="Times New Roman"/>
        </w:rPr>
        <w:t>kauppaj</w:t>
      </w:r>
      <w:r>
        <w:rPr>
          <w:rFonts w:ascii="Times New Roman"/>
        </w:rPr>
        <w:t></w:t>
      </w:r>
      <w:r>
        <w:rPr>
          <w:rFonts w:ascii="Times New Roman"/>
        </w:rPr>
        <w:t>rjestelm</w:t>
      </w:r>
      <w:r>
        <w:rPr>
          <w:rFonts w:ascii="Times New Roman"/>
        </w:rPr>
        <w:t></w:t>
      </w:r>
      <w:r>
        <w:rPr>
          <w:rFonts w:ascii="Times New Roman"/>
        </w:rPr>
        <w:t></w:t>
      </w:r>
      <w:r>
        <w:rPr>
          <w:rFonts w:ascii="Times New Roman"/>
        </w:rPr>
        <w:t>n kuuluvat toiminnot ja omaisuuser</w:t>
      </w:r>
      <w:r>
        <w:rPr>
          <w:rFonts w:ascii="Times New Roman"/>
        </w:rPr>
        <w:t></w:t>
      </w:r>
      <w:r>
        <w:rPr>
          <w:rFonts w:ascii="Times New Roman"/>
        </w:rPr>
        <w:t>t, joilla saavutetaan ennustetut kasvihuonekaasup</w:t>
      </w:r>
      <w:r>
        <w:rPr>
          <w:rFonts w:ascii="Times New Roman"/>
        </w:rPr>
        <w:t></w:t>
      </w:r>
      <w:r>
        <w:rPr>
          <w:rFonts w:ascii="Times New Roman"/>
        </w:rPr>
        <w:t></w:t>
      </w:r>
      <w:r>
        <w:rPr>
          <w:rFonts w:ascii="Times New Roman"/>
        </w:rPr>
        <w:t>st</w:t>
      </w:r>
      <w:r>
        <w:rPr>
          <w:rFonts w:ascii="Times New Roman"/>
        </w:rPr>
        <w:t></w:t>
      </w:r>
      <w:r>
        <w:rPr>
          <w:rFonts w:ascii="Times New Roman"/>
        </w:rPr>
        <w:t>t, jotka eiv</w:t>
      </w:r>
      <w:r>
        <w:rPr>
          <w:rFonts w:ascii="Times New Roman"/>
        </w:rPr>
        <w:t></w:t>
      </w:r>
      <w:r>
        <w:rPr>
          <w:rFonts w:ascii="Times New Roman"/>
        </w:rPr>
        <w:t>t alita asiaankuuluvia vertailuarvoja. Jos tuetulla toiminnalla sa</w:t>
      </w:r>
      <w:r>
        <w:rPr>
          <w:rFonts w:ascii="Times New Roman"/>
        </w:rPr>
        <w:t>avutetaan ennustetut kasvihuonekaasup</w:t>
      </w:r>
      <w:r>
        <w:rPr>
          <w:rFonts w:ascii="Times New Roman"/>
        </w:rPr>
        <w:t></w:t>
      </w:r>
      <w:r>
        <w:rPr>
          <w:rFonts w:ascii="Times New Roman"/>
        </w:rPr>
        <w:t></w:t>
      </w:r>
      <w:r>
        <w:rPr>
          <w:rFonts w:ascii="Times New Roman"/>
        </w:rPr>
        <w:t>st</w:t>
      </w:r>
      <w:r>
        <w:rPr>
          <w:rFonts w:ascii="Times New Roman"/>
        </w:rPr>
        <w:t></w:t>
      </w:r>
      <w:r>
        <w:rPr>
          <w:rFonts w:ascii="Times New Roman"/>
        </w:rPr>
        <w:t>t, jotka eiv</w:t>
      </w:r>
      <w:r>
        <w:rPr>
          <w:rFonts w:ascii="Times New Roman"/>
        </w:rPr>
        <w:t></w:t>
      </w:r>
      <w:r>
        <w:rPr>
          <w:rFonts w:ascii="Times New Roman"/>
        </w:rPr>
        <w:t>t ole merkitt</w:t>
      </w:r>
      <w:r>
        <w:rPr>
          <w:rFonts w:ascii="Times New Roman"/>
        </w:rPr>
        <w:t></w:t>
      </w:r>
      <w:r>
        <w:rPr>
          <w:rFonts w:ascii="Times New Roman"/>
        </w:rPr>
        <w:t>v</w:t>
      </w:r>
      <w:r>
        <w:rPr>
          <w:rFonts w:ascii="Times New Roman"/>
        </w:rPr>
        <w:t></w:t>
      </w:r>
      <w:r>
        <w:rPr>
          <w:rFonts w:ascii="Times New Roman"/>
        </w:rPr>
        <w:t>sti alhaisemmat kuin asiaankuuluvat vertailuarvot, on annettava selvitys syist</w:t>
      </w:r>
      <w:r>
        <w:rPr>
          <w:rFonts w:ascii="Times New Roman"/>
        </w:rPr>
        <w:t></w:t>
      </w:r>
      <w:r>
        <w:rPr>
          <w:rFonts w:ascii="Times New Roman"/>
        </w:rPr>
        <w:t>, joiden vuoksi t</w:t>
      </w:r>
      <w:r>
        <w:rPr>
          <w:rFonts w:ascii="Times New Roman"/>
        </w:rPr>
        <w:t></w:t>
      </w:r>
      <w:r>
        <w:rPr>
          <w:rFonts w:ascii="Times New Roman"/>
        </w:rPr>
        <w:t>m</w:t>
      </w:r>
      <w:r>
        <w:rPr>
          <w:rFonts w:ascii="Times New Roman"/>
        </w:rPr>
        <w:t></w:t>
      </w:r>
      <w:r>
        <w:rPr>
          <w:rFonts w:ascii="Times New Roman"/>
        </w:rPr>
        <w:t xml:space="preserve"> ei ole mahdollista. Vertailuarvot, jotka on vahvistettu maksutta jaettavia p</w:t>
      </w:r>
      <w:r>
        <w:rPr>
          <w:rFonts w:ascii="Times New Roman"/>
        </w:rPr>
        <w:t></w:t>
      </w:r>
      <w:r>
        <w:rPr>
          <w:rFonts w:ascii="Times New Roman"/>
        </w:rPr>
        <w:t></w:t>
      </w:r>
      <w:r>
        <w:rPr>
          <w:rFonts w:ascii="Times New Roman"/>
        </w:rPr>
        <w:t>st</w:t>
      </w:r>
      <w:r>
        <w:rPr>
          <w:rFonts w:ascii="Times New Roman"/>
        </w:rPr>
        <w:t></w:t>
      </w:r>
      <w:r>
        <w:rPr>
          <w:rFonts w:ascii="Times New Roman"/>
        </w:rPr>
        <w:t>oike</w:t>
      </w:r>
      <w:r>
        <w:rPr>
          <w:rFonts w:ascii="Times New Roman"/>
        </w:rPr>
        <w:t>uksia varten p</w:t>
      </w:r>
      <w:r>
        <w:rPr>
          <w:rFonts w:ascii="Times New Roman"/>
        </w:rPr>
        <w:t></w:t>
      </w:r>
      <w:r>
        <w:rPr>
          <w:rFonts w:ascii="Times New Roman"/>
        </w:rPr>
        <w:t></w:t>
      </w:r>
      <w:r>
        <w:rPr>
          <w:rFonts w:ascii="Times New Roman"/>
        </w:rPr>
        <w:t>st</w:t>
      </w:r>
      <w:r>
        <w:rPr>
          <w:rFonts w:ascii="Times New Roman"/>
        </w:rPr>
        <w:t></w:t>
      </w:r>
      <w:r>
        <w:rPr>
          <w:rFonts w:ascii="Times New Roman"/>
        </w:rPr>
        <w:t>kauppaj</w:t>
      </w:r>
      <w:r>
        <w:rPr>
          <w:rFonts w:ascii="Times New Roman"/>
        </w:rPr>
        <w:t></w:t>
      </w:r>
      <w:r>
        <w:rPr>
          <w:rFonts w:ascii="Times New Roman"/>
        </w:rPr>
        <w:t>rjestelm</w:t>
      </w:r>
      <w:r>
        <w:rPr>
          <w:rFonts w:ascii="Times New Roman"/>
        </w:rPr>
        <w:t></w:t>
      </w:r>
      <w:r>
        <w:rPr>
          <w:rFonts w:ascii="Times New Roman"/>
        </w:rPr>
        <w:t>n soveltamisalaan kuuluville toiminnoille komission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npanoasetuksen (EU) 2021/447 mukaisesti.</w:t>
      </w:r>
    </w:p>
  </w:footnote>
  <w:footnote w:id="134">
    <w:p w14:paraId="03D47B69" w14:textId="70D3DC79" w:rsidR="000E48CE" w:rsidRDefault="00FF4C4E">
      <w:pPr>
        <w:pStyle w:val="FootnoteText"/>
        <w:ind w:left="0" w:firstLine="0"/>
      </w:pPr>
      <w:r>
        <w:rPr>
          <w:rStyle w:val="FootnoteReference"/>
        </w:rPr>
        <w:footnoteRef/>
      </w:r>
      <w:r>
        <w:rPr>
          <w:rFonts w:ascii="Times New Roman"/>
        </w:rPr>
        <w:t>Saastuttavat ajoneuvot m</w:t>
      </w:r>
      <w:r>
        <w:rPr>
          <w:rFonts w:ascii="Times New Roman"/>
        </w:rPr>
        <w:t></w:t>
      </w:r>
      <w:r>
        <w:rPr>
          <w:rFonts w:ascii="Times New Roman"/>
        </w:rPr>
        <w:t></w:t>
      </w:r>
      <w:r>
        <w:rPr>
          <w:rFonts w:ascii="Times New Roman"/>
        </w:rPr>
        <w:t>ritell</w:t>
      </w:r>
      <w:r>
        <w:rPr>
          <w:rFonts w:ascii="Times New Roman"/>
        </w:rPr>
        <w:t></w:t>
      </w:r>
      <w:r>
        <w:rPr>
          <w:rFonts w:ascii="Times New Roman"/>
        </w:rPr>
        <w:t></w:t>
      </w:r>
      <w:r>
        <w:rPr>
          <w:rFonts w:ascii="Times New Roman"/>
        </w:rPr>
        <w:t>n p</w:t>
      </w:r>
      <w:r>
        <w:rPr>
          <w:rFonts w:ascii="Times New Roman"/>
        </w:rPr>
        <w:t></w:t>
      </w:r>
      <w:r>
        <w:rPr>
          <w:rFonts w:ascii="Times New Roman"/>
        </w:rPr>
        <w:t></w:t>
      </w:r>
      <w:r>
        <w:rPr>
          <w:rFonts w:ascii="Times New Roman"/>
        </w:rPr>
        <w:t>st</w:t>
      </w:r>
      <w:r>
        <w:rPr>
          <w:rFonts w:ascii="Times New Roman"/>
        </w:rPr>
        <w:t></w:t>
      </w:r>
      <w:r>
        <w:rPr>
          <w:rFonts w:ascii="Times New Roman"/>
        </w:rPr>
        <w:t>tt</w:t>
      </w:r>
      <w:r>
        <w:rPr>
          <w:rFonts w:ascii="Times New Roman"/>
        </w:rPr>
        <w:t></w:t>
      </w:r>
      <w:r>
        <w:rPr>
          <w:rFonts w:ascii="Times New Roman"/>
        </w:rPr>
        <w:t>miksi ajoneuvoiksi.</w:t>
      </w:r>
    </w:p>
  </w:footnote>
  <w:footnote w:id="135">
    <w:p w14:paraId="03BE60AC" w14:textId="60BC34FB" w:rsidR="000E48CE" w:rsidRDefault="00FF4C4E">
      <w:pPr>
        <w:pStyle w:val="FootnoteText"/>
        <w:ind w:left="0" w:firstLine="0"/>
      </w:pPr>
      <w:r>
        <w:rPr>
          <w:rStyle w:val="FootnoteReference"/>
        </w:rPr>
        <w:footnoteRef/>
      </w:r>
      <w:r>
        <w:rPr>
          <w:rFonts w:ascii="Times New Roman" w:hAnsi="Times New Roman"/>
        </w:rPr>
        <w:t>Tätä poikkeusta ei sovelleta toimiin laitoksissa, j</w:t>
      </w:r>
      <w:r>
        <w:rPr>
          <w:rFonts w:ascii="Times New Roman" w:hAnsi="Times New Roman"/>
        </w:rPr>
        <w:t>otka on tarkoitettu yksinomaan kierrätyskelvottoman vaarallisen jätteen käsittelyyn, eikä olemassa oleviin laitoksiin, jos tämän toimenpiteen mukaisilla toimilla pyritään lisäämään energiatehokkuutta, ottamaan talteen pakokaasuja varastointia tai käyttöä v</w:t>
      </w:r>
      <w:r>
        <w:rPr>
          <w:rFonts w:ascii="Times New Roman" w:hAnsi="Times New Roman"/>
        </w:rPr>
        <w:t>arten tai ottamaan talteen materiaaleja polttotuhkasta, edellyttäen, että tällaiset tämän toimenpiteen mukaiset toimet eivät lisää laitosten jätteenkäsittelykapasiteettia tai pidennä laitosten käyttöikää; tästä toimitetaan näyttöä laitoskohtaisesti.</w:t>
      </w:r>
    </w:p>
  </w:footnote>
  <w:footnote w:id="136">
    <w:p w14:paraId="62EE6026" w14:textId="482E27BA"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sähkön ja/tai lämmön tuotantoon liittyviä omaisuuseriä ja toimintoja sekä niihin liittyvää maakaasua käyttävää siirto- ja jakeluinfrastruktuuria, jotka täyttävät teknisten ohjeiden (2021/C58/01) liitteessä III vahvistetut edellytykset,</w:t>
      </w:r>
      <w:r>
        <w:rPr>
          <w:rFonts w:ascii="Times New Roman" w:hAnsi="Times New Roman"/>
        </w:rPr>
        <w:t xml:space="preserve"> ja b) ii alakohdassa tarkoitettuja toimintoja ja omaisuuseriä, joiden osalta fossiilisten polttoaineiden käyttö on väliaikaista ja teknisesti mahdotonta, jotta voidaan siirtyä oikea-aikaisesti kohti fossiilitonta toimintaa.</w:t>
      </w:r>
    </w:p>
  </w:footnote>
  <w:footnote w:id="137">
    <w:p w14:paraId="651F7B0D" w14:textId="673BB074" w:rsidR="000E48CE" w:rsidRDefault="00FF4C4E">
      <w:pPr>
        <w:pStyle w:val="FootnoteText"/>
        <w:ind w:left="0" w:firstLine="0"/>
      </w:pPr>
      <w:r>
        <w:rPr>
          <w:rStyle w:val="FootnoteReference"/>
          <w:rFonts w:ascii="Times New Roman" w:hAnsi="Times New Roman"/>
        </w:rPr>
        <w:footnoteRef/>
      </w:r>
      <w:r>
        <w:rPr>
          <w:rFonts w:ascii="Times New Roman" w:hAnsi="Times New Roman"/>
        </w:rPr>
        <w:t>Jos tuetulla toiminnalla saavu</w:t>
      </w:r>
      <w:r>
        <w:rPr>
          <w:rFonts w:ascii="Times New Roman" w:hAnsi="Times New Roman"/>
        </w:rPr>
        <w:t>tetaan ennustetut kasvihuonekaasupäästöt, jotka eivät ole merkittävästi alhaisemmat kuin asiaankuuluvat vertailuarvot, on annettava selvitys syistä, joiden vuoksi tämä ei ole mahdollista. Vertailuarvot, jotka on vahvistettu maksutta jaettavia päästöoikeuks</w:t>
      </w:r>
      <w:r>
        <w:rPr>
          <w:rFonts w:ascii="Times New Roman" w:hAnsi="Times New Roman"/>
        </w:rPr>
        <w:t>ia varten päästökauppajärjestelmän soveltamisalaan kuuluville toiminnoille komission täytäntöönpanoasetuksen (EU) 2021/447 mukaisesti.</w:t>
      </w:r>
    </w:p>
  </w:footnote>
  <w:footnote w:id="138">
    <w:p w14:paraId="6B92AA74" w14:textId="77777777" w:rsidR="000E48CE" w:rsidRDefault="00FF4C4E">
      <w:pPr>
        <w:spacing w:before="120" w:after="12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ottamatta a) sähkön ja/tai lämmön tuotantoon liittyviä omaisuuseriä ja toimintoja sekä niihin liittyvää maakaasu</w:t>
      </w:r>
      <w:r>
        <w:rPr>
          <w:rFonts w:ascii="Times New Roman" w:hAnsi="Times New Roman"/>
          <w:sz w:val="20"/>
        </w:rPr>
        <w:t>a käyttävää siirto- ja jakeluinfrastruktuuria, jotka täyttävät teknisten ohjeiden (2021/C58/01) liitteessä III vahvistetut edellytykset, ja b) ii alakohdassa tarkoitettuja toimintoja ja omaisuuseriä, joiden osalta fossiilisten polttoaineiden käyttö on väli</w:t>
      </w:r>
      <w:r>
        <w:rPr>
          <w:rFonts w:ascii="Times New Roman" w:hAnsi="Times New Roman"/>
          <w:sz w:val="20"/>
        </w:rPr>
        <w:t>aikaista ja teknisesti mahdotonta, jotta voidaan siirtyä oikea-aikaisesti kohti fossiilitonta toimintaa.</w:t>
      </w:r>
    </w:p>
  </w:footnote>
  <w:footnote w:id="139">
    <w:p w14:paraId="74A21594" w14:textId="77777777" w:rsidR="000E48CE" w:rsidRDefault="00FF4C4E">
      <w:pPr>
        <w:spacing w:before="120" w:after="120" w:line="240" w:lineRule="auto"/>
        <w:jc w:val="both"/>
        <w:rPr>
          <w:rFonts w:ascii="Times New Roman" w:eastAsia="Times New Roman" w:hAnsi="Times New Roman" w:cs="Times New Roman"/>
          <w:sz w:val="20"/>
          <w:shd w:val="clear" w:color="auto" w:fill="FFFFFF"/>
        </w:rPr>
      </w:pPr>
      <w:r>
        <w:rPr>
          <w:rStyle w:val="FootnoteReference"/>
          <w:rFonts w:ascii="Times New Roman" w:hAnsi="Times New Roman" w:cs="Times New Roman"/>
          <w:sz w:val="20"/>
        </w:rPr>
        <w:footnoteRef/>
      </w:r>
      <w:r>
        <w:rPr>
          <w:rFonts w:ascii="Times New Roman" w:hAnsi="Times New Roman"/>
          <w:sz w:val="20"/>
        </w:rPr>
        <w:t xml:space="preserve"> Mukaan lukien EU:n päästökauppajärjestelmään kuuluvat toiminnot ja omaisuuserät, joilla saavutetaan ennustetut kasvihuonekaasupäästöt, jotka eivät al</w:t>
      </w:r>
      <w:r>
        <w:rPr>
          <w:rFonts w:ascii="Times New Roman" w:hAnsi="Times New Roman"/>
          <w:sz w:val="20"/>
        </w:rPr>
        <w:t>ita asiaankuuluvia vertailuarvoja. Jos tuetulla toiminnalla saavutetaan ennustetut kasvihuonekaasupäästöt, jotka eivät ole merkittävästi alhaisemmat kuin asiaankuuluvat vertailuarvot, on annettava selvitys syistä, joiden vuoksi tämä ei ole mahdollista. Kom</w:t>
      </w:r>
      <w:r>
        <w:rPr>
          <w:rFonts w:ascii="Times New Roman" w:hAnsi="Times New Roman"/>
          <w:sz w:val="20"/>
        </w:rPr>
        <w:t>ission täytäntöönpanoasetuksessa (EU) 2021/447 vahvistetut maksutta jaettavia päästöoikeuksia varten vahvistetut vertailuarvot päästökauppajärjestelmän soveltamisalaan kuuluville toiminnoille.</w:t>
      </w:r>
      <w:r>
        <w:rPr>
          <w:rFonts w:ascii="Times New Roman" w:hAnsi="Times New Roman"/>
          <w:sz w:val="20"/>
          <w:shd w:val="clear" w:color="auto" w:fill="FFFFFF"/>
        </w:rPr>
        <w:t>Toimenpide on pantava täytäntöön viimeistään 31 päivänä elokuuta</w:t>
      </w:r>
      <w:r>
        <w:rPr>
          <w:rFonts w:ascii="Times New Roman" w:hAnsi="Times New Roman"/>
          <w:sz w:val="20"/>
          <w:shd w:val="clear" w:color="auto" w:fill="FFFFFF"/>
        </w:rPr>
        <w:t xml:space="preserve"> 2026.</w:t>
      </w:r>
    </w:p>
  </w:footnote>
  <w:footnote w:id="140">
    <w:p w14:paraId="06BE09BB" w14:textId="04B2E985"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joissa tämän t</w:t>
      </w:r>
      <w:r>
        <w:rPr>
          <w:rFonts w:ascii="Times New Roman" w:hAnsi="Times New Roman"/>
        </w:rPr>
        <w:t>oimenpiteen mukaisilla toimilla pyritään lisäämään energiatehokkuutta, ottamaan talteen kaasuja varastointia tai käyttöä varten tai ottamaan talteen materiaalit polttotuhkasta, edellyttäen, että tällaiset tämän toimenpiteen mukaiset toimet eivät johda lait</w:t>
      </w:r>
      <w:r>
        <w:rPr>
          <w:rFonts w:ascii="Times New Roman" w:hAnsi="Times New Roman"/>
        </w:rPr>
        <w:t>oksen jätteenkäsittelykapasiteetin kasvuun tai laitosten käyttöiän pidentämiseen; tästä toimitetaan näyttöä laitoskohtaisesti.</w:t>
      </w:r>
    </w:p>
  </w:footnote>
  <w:footnote w:id="141">
    <w:p w14:paraId="43880B13" w14:textId="5EB557F3" w:rsidR="000E48CE" w:rsidRDefault="00FF4C4E">
      <w:pPr>
        <w:pStyle w:val="FootnoteText"/>
        <w:ind w:left="0" w:firstLine="0"/>
      </w:pPr>
      <w:r>
        <w:rPr>
          <w:rStyle w:val="FootnoteReference"/>
          <w:rFonts w:ascii="Times New Roman" w:hAnsi="Times New Roman" w:cs="Times New Roman"/>
        </w:rPr>
        <w:footnoteRef/>
      </w:r>
      <w:r>
        <w:rPr>
          <w:rFonts w:ascii="Times New Roman" w:hAnsi="Times New Roman"/>
        </w:rPr>
        <w:t xml:space="preserve">Tämä soveltamisalan ulkopuolelle jättäminen ei koske tämän toimenpiteen mukaisia toimia olemassa olevissa mekaanisissa </w:t>
      </w:r>
      <w:r>
        <w:rPr>
          <w:rFonts w:ascii="Times New Roman" w:hAnsi="Times New Roman"/>
        </w:rPr>
        <w:t xml:space="preserve">biologisissa käsittelylaitoksissa, jos tämän toimenpiteen mukaisten toimien tarkoituksena on parantaa energiatehokkuutta tai uudistaa erotetun jätteen kierrätystoimia biojätteen kompostointia ja biojätteen anaerobista mädättämistä varten edellyttäen, että </w:t>
      </w:r>
      <w:r>
        <w:rPr>
          <w:rFonts w:ascii="Times New Roman" w:hAnsi="Times New Roman"/>
        </w:rPr>
        <w:t>tällaiset tämän toimenpiteen mukaiset toimet eivät johda laitosten jätteenkäsittelykapasiteetin lisääntymiseen tai laitosten käyttöiän pidentämiseen; tästä toimitetaan näyttöä laitoskohtaisesti.</w:t>
      </w:r>
    </w:p>
  </w:footnote>
  <w:footnote w:id="142">
    <w:p w14:paraId="2F461A80" w14:textId="4F4A10AE" w:rsidR="000E48CE" w:rsidRDefault="00FF4C4E">
      <w:pPr>
        <w:spacing w:before="120" w:after="12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Direktiiviä 2013/34/EU muutetaan yritysten kestävyysraportoi</w:t>
      </w:r>
      <w:r>
        <w:rPr>
          <w:rFonts w:ascii="Times New Roman" w:hAnsi="Times New Roman"/>
          <w:sz w:val="20"/>
        </w:rPr>
        <w:t>ntia koskevalla direktiivillä (EU) 2022/2464.</w:t>
      </w:r>
    </w:p>
  </w:footnote>
  <w:footnote w:id="143">
    <w:p w14:paraId="2F73802F" w14:textId="77777777" w:rsidR="000E48CE" w:rsidRDefault="00FF4C4E">
      <w:pPr>
        <w:spacing w:before="120" w:after="120" w:line="240" w:lineRule="auto"/>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ottamatta a) tämän toimenpiteen mukaisia sähkön ja/tai lämmön tuotantoa koskevia hankkeita sekä niihin liittyvää maakaasua käyttävää siirto- ja jakeluinfrastruktuuria, jotka täyttävät teknisten ohjeide</w:t>
      </w:r>
      <w:r>
        <w:rPr>
          <w:rFonts w:ascii="Times New Roman" w:hAnsi="Times New Roman"/>
          <w:sz w:val="20"/>
        </w:rPr>
        <w:t>n (2021/C58/01) liitteessä III vahvistetut edellytykset, ja b) ii alakohdassa tarkoitetut toiminnot ja omaisuuserät, joiden osalta fossiilisten polttoaineiden käyttö on väliaikaista ja teknisesti mahdotonta, jotta voidaan siirtyä oikea-aikaisesti kohti fos</w:t>
      </w:r>
      <w:r>
        <w:rPr>
          <w:rFonts w:ascii="Times New Roman" w:hAnsi="Times New Roman"/>
          <w:sz w:val="20"/>
        </w:rPr>
        <w:t>siilisista polttoaineista vapaata toimintaa, fossiilisista polttoaineista luopuminen kokonaan ajan myötä.</w:t>
      </w:r>
    </w:p>
  </w:footnote>
  <w:footnote w:id="144">
    <w:p w14:paraId="7D096330" w14:textId="01426183"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Jos tuetulla toiminnalla saavutetaan ennustetut kasvihuonekaasupäästöt, jotka eivät ole merkittävästi alhaisempia kuin asiaankuuluvat vertailuarvot, </w:t>
      </w:r>
      <w:r>
        <w:rPr>
          <w:rFonts w:ascii="Times New Roman" w:hAnsi="Times New Roman"/>
        </w:rPr>
        <w:t>on annettava selvitys syistä, joiden vuoksi tämä ei ole mahdollista. Vertailuarvot, jotka on vahvistettu maksutta jaettavia päästöoikeuksia varten päästökauppajärjestelmän soveltamisalaan kuuluville toiminnoille komission täytäntöönpanoasetuksen (EU) 2021/</w:t>
      </w:r>
      <w:r>
        <w:rPr>
          <w:rFonts w:ascii="Times New Roman" w:hAnsi="Times New Roman"/>
        </w:rPr>
        <w:t>447 mukaisesti.</w:t>
      </w:r>
    </w:p>
  </w:footnote>
  <w:footnote w:id="145">
    <w:p w14:paraId="6C2F19A7" w14:textId="461A7633"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Tämä soveltamisalan ulkopuolelle jättäminen ei koske tämän toimenpiteen mukaisia toimia laitoksissa, jotka on tarkoitettu yksinomaan kierrätettäväksi kelpaamattoman vaarallisen jätteen käsittelyyn, eikä olemassa olevissa laitoksissa, joiss</w:t>
      </w:r>
      <w:r>
        <w:rPr>
          <w:rFonts w:ascii="Times New Roman" w:hAnsi="Times New Roman"/>
        </w:rPr>
        <w:t>a tämän toimenpiteen mukaisilla toimilla pyritään lisäämään energiatehokkuutta, ottamaan talteen kaasuja varastointia tai käyttöä varten tai ottamaan talteen materiaalit polttotuhkasta, edellyttäen, että tällaiset tämän toimenpiteen mukaiset toimet eivät j</w:t>
      </w:r>
      <w:r>
        <w:rPr>
          <w:rFonts w:ascii="Times New Roman" w:hAnsi="Times New Roman"/>
        </w:rPr>
        <w:t>ohda laitoksen jätteenkäsittelykapasiteetin kasvuun tai laitosten käyttöiän pidentämiseen; tästä toimitetaan näyttöä laitoskohtaisesti.</w:t>
      </w:r>
    </w:p>
  </w:footnote>
  <w:footnote w:id="146">
    <w:p w14:paraId="65F80730" w14:textId="77777777" w:rsidR="000E48CE" w:rsidRDefault="00FF4C4E">
      <w:pPr>
        <w:pStyle w:val="ListParagraph"/>
        <w:ind w:left="0"/>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Tämä soveltamisalan ulkopuolelle jättäminen ei koske tämän toimenpiteen mukaisia toimia olemassa olevissa mekaanisissa</w:t>
      </w:r>
      <w:r>
        <w:rPr>
          <w:rFonts w:ascii="Times New Roman" w:hAnsi="Times New Roman"/>
          <w:sz w:val="20"/>
        </w:rPr>
        <w:t xml:space="preserve"> biologisissa käsittelylaitoksissa, jos tämän toimenpiteen mukaisten toimien tarkoituksena on parantaa energiatehokkuutta tai uudistaa erotetun jätteen kierrätystoimia biojätteen kompostointia ja biojätteen anaerobista mädättämistä varten edellyttäen, että</w:t>
      </w:r>
      <w:r>
        <w:rPr>
          <w:rFonts w:ascii="Times New Roman" w:hAnsi="Times New Roman"/>
          <w:sz w:val="20"/>
        </w:rPr>
        <w:t xml:space="preserve"> tällaiset tämän toimenpiteen mukaiset toimet eivät johda laitosten jätteenkäsittelykapasiteetin lisääntymiseen tai laitosten käyttöiän pidentämiseen; tästä toimitetaan näyttöä laitoskohtaisesti. </w:t>
      </w:r>
    </w:p>
    <w:p w14:paraId="7738AF73" w14:textId="77777777" w:rsidR="000E48CE" w:rsidRDefault="000E48CE">
      <w:pPr>
        <w:pStyle w:val="FootnoteText"/>
        <w:ind w:left="0" w:firstLine="0"/>
      </w:pPr>
    </w:p>
  </w:footnote>
  <w:footnote w:id="147">
    <w:p w14:paraId="6A8687C4" w14:textId="2E25EA5D"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Tiettyihin hankkeisiin liittyvien lainojen, osallislainoj</w:t>
      </w:r>
      <w:r>
        <w:rPr>
          <w:rFonts w:ascii="Times New Roman" w:hAnsi="Times New Roman"/>
        </w:rPr>
        <w:t>en, hankejoukkolainojen, takausten tai vastaavien välineiden lopullisten edunsaajien on esitettävä perustelut kullekin tuetulle hankkeelle valitusta toiminta-alasta sekä hankkeen kuvaus. Ilmastoosuuden laskemiseksi sellaisten oman pääoman ehtoisten, oman p</w:t>
      </w:r>
      <w:r>
        <w:rPr>
          <w:rFonts w:ascii="Times New Roman" w:hAnsi="Times New Roman"/>
        </w:rPr>
        <w:t>ääoman luonteisten joukkovelkakirjalainojen tai vastaavien välineiden osalta, joita ei ole kohdennettu tiettyihin hankkeisiin, on käytettävä perusteita, joilla edellytetään, että vähintään 90 prosenttia tuensaajan edellisen varainhoitovuoden tuloista tai l</w:t>
      </w:r>
      <w:r>
        <w:rPr>
          <w:rFonts w:ascii="Times New Roman" w:hAnsi="Times New Roman"/>
        </w:rPr>
        <w:t>iiketoimintasuunnitelman mukaisista tulevista tuloista saadaan toiminnasta, joka täyttää elpymis- ja palautumistukivälinettä koskevan asetuksen liitteessä VI esitetyistä sovellettavista tukitoimialoista johtuvat asiaankuuluvat kriteerit. Oman pääoman ehtoi</w:t>
      </w:r>
      <w:r>
        <w:rPr>
          <w:rFonts w:ascii="Times New Roman" w:hAnsi="Times New Roman"/>
        </w:rPr>
        <w:t xml:space="preserve">sen, oman pääoman luonteisen rahoituksen, yritysjoukkolainojen tai vastaavien välineiden, joita ei ole kohdennettu tiettyihin hankkeisiin, lopullisten tuensaajien on esitettävä perustelut valituille tukitoimialoille. Toteutuskumppanin on myös toimitettava </w:t>
      </w:r>
      <w:r>
        <w:rPr>
          <w:rFonts w:ascii="Times New Roman" w:hAnsi="Times New Roman"/>
        </w:rPr>
        <w:t>jäsenvaltiolle puolivuosittain kertomus kunkin hankkeen/toimen täytäntöönpanosta.</w:t>
      </w:r>
    </w:p>
  </w:footnote>
  <w:footnote w:id="148">
    <w:p w14:paraId="4A7FBCDF" w14:textId="13D97DB9" w:rsidR="000E48CE" w:rsidRDefault="00FF4C4E">
      <w:pPr>
        <w:spacing w:before="160" w:after="0" w:line="240" w:lineRule="auto"/>
        <w:jc w:val="both"/>
        <w:rPr>
          <w:rFonts w:ascii="Times New Roman" w:eastAsia="Times New Roman" w:hAnsi="Times New Roman" w:cs="Times New Roman"/>
          <w:sz w:val="24"/>
        </w:rPr>
      </w:pPr>
      <w:r>
        <w:rPr>
          <w:rStyle w:val="FootnoteReference"/>
        </w:rPr>
        <w:footnoteRef/>
      </w:r>
      <w:r>
        <w:t xml:space="preserve"> </w:t>
      </w:r>
      <w:r>
        <w:rPr>
          <w:rFonts w:ascii="Times New Roman" w:hAnsi="Times New Roman"/>
          <w:sz w:val="20"/>
        </w:rPr>
        <w:t>Lukuun ottamatta a) sähkön ja/tai lämmön tuotantoa koskevia hankkeita sekä niihin liittyvää maakaasua käyttävää siirto- ja jakeluinfrastruktuuria, jotka täyttävät ”ei merki</w:t>
      </w:r>
      <w:r>
        <w:rPr>
          <w:rFonts w:ascii="Times New Roman" w:hAnsi="Times New Roman"/>
          <w:sz w:val="20"/>
        </w:rPr>
        <w:t>ttävää haittaa” -asiakirjan (2021/C58/01) liitteessä III vahvistetut edellytykset, ja b) ii alakohdan mukaiset toiminnot ja omaisuuserät, joiden osalta fossiilisten polttoaineiden käyttö on väliaikaista ja teknisesti välttämätöntä, jotta voidaan siirtyä oi</w:t>
      </w:r>
      <w:r>
        <w:rPr>
          <w:rFonts w:ascii="Times New Roman" w:hAnsi="Times New Roman"/>
          <w:sz w:val="20"/>
        </w:rPr>
        <w:t>kea-aikaisesti kohti fossiilisista polttoaineista vapaata toimintaa.</w:t>
      </w:r>
    </w:p>
  </w:footnote>
  <w:footnote w:id="149">
    <w:p w14:paraId="784A8839" w14:textId="72579574" w:rsidR="000E48CE" w:rsidRDefault="00FF4C4E">
      <w:pPr>
        <w:pStyle w:val="FootnoteText"/>
        <w:ind w:left="0" w:firstLine="0"/>
      </w:pPr>
      <w:r>
        <w:rPr>
          <w:rStyle w:val="FootnoteReference"/>
        </w:rPr>
        <w:footnoteRef/>
      </w:r>
      <w:r>
        <w:rPr>
          <w:rFonts w:ascii="Times New Roman"/>
        </w:rPr>
        <w:t>Jos tuetulla toiminnalla saavutetaan ennustetut kasvihuonekaasup</w:t>
      </w:r>
      <w:r>
        <w:rPr>
          <w:rFonts w:ascii="Times New Roman"/>
        </w:rPr>
        <w:t></w:t>
      </w:r>
      <w:r>
        <w:rPr>
          <w:rFonts w:ascii="Times New Roman"/>
        </w:rPr>
        <w:t></w:t>
      </w:r>
      <w:r>
        <w:rPr>
          <w:rFonts w:ascii="Times New Roman"/>
        </w:rPr>
        <w:t>st</w:t>
      </w:r>
      <w:r>
        <w:rPr>
          <w:rFonts w:ascii="Times New Roman"/>
        </w:rPr>
        <w:t></w:t>
      </w:r>
      <w:r>
        <w:rPr>
          <w:rFonts w:ascii="Times New Roman"/>
        </w:rPr>
        <w:t>t, jotka eiv</w:t>
      </w:r>
      <w:r>
        <w:rPr>
          <w:rFonts w:ascii="Times New Roman"/>
        </w:rPr>
        <w:t></w:t>
      </w:r>
      <w:r>
        <w:rPr>
          <w:rFonts w:ascii="Times New Roman"/>
        </w:rPr>
        <w:t>t ole merkitt</w:t>
      </w:r>
      <w:r>
        <w:rPr>
          <w:rFonts w:ascii="Times New Roman"/>
        </w:rPr>
        <w:t></w:t>
      </w:r>
      <w:r>
        <w:rPr>
          <w:rFonts w:ascii="Times New Roman"/>
        </w:rPr>
        <w:t>v</w:t>
      </w:r>
      <w:r>
        <w:rPr>
          <w:rFonts w:ascii="Times New Roman"/>
        </w:rPr>
        <w:t></w:t>
      </w:r>
      <w:r>
        <w:rPr>
          <w:rFonts w:ascii="Times New Roman"/>
        </w:rPr>
        <w:t>sti alhaisemmat kuin asiaankuuluvat vertailuarvot, on annettava selvitys syist</w:t>
      </w:r>
      <w:r>
        <w:rPr>
          <w:rFonts w:ascii="Times New Roman"/>
        </w:rPr>
        <w:t></w:t>
      </w:r>
      <w:r>
        <w:rPr>
          <w:rFonts w:ascii="Times New Roman"/>
        </w:rPr>
        <w:t xml:space="preserve">, joiden </w:t>
      </w:r>
      <w:r>
        <w:rPr>
          <w:rFonts w:ascii="Times New Roman"/>
        </w:rPr>
        <w:t>vuoksi t</w:t>
      </w:r>
      <w:r>
        <w:rPr>
          <w:rFonts w:ascii="Times New Roman"/>
        </w:rPr>
        <w:t></w:t>
      </w:r>
      <w:r>
        <w:rPr>
          <w:rFonts w:ascii="Times New Roman"/>
        </w:rPr>
        <w:t>m</w:t>
      </w:r>
      <w:r>
        <w:rPr>
          <w:rFonts w:ascii="Times New Roman"/>
        </w:rPr>
        <w:t></w:t>
      </w:r>
      <w:r>
        <w:rPr>
          <w:rFonts w:ascii="Times New Roman"/>
        </w:rPr>
        <w:t xml:space="preserve"> ei ole mahdollista. Vertailuarvot, jotka on vahvistettu maksutta jaettavia p</w:t>
      </w:r>
      <w:r>
        <w:rPr>
          <w:rFonts w:ascii="Times New Roman"/>
        </w:rPr>
        <w:t></w:t>
      </w:r>
      <w:r>
        <w:rPr>
          <w:rFonts w:ascii="Times New Roman"/>
        </w:rPr>
        <w:t></w:t>
      </w:r>
      <w:r>
        <w:rPr>
          <w:rFonts w:ascii="Times New Roman"/>
        </w:rPr>
        <w:t>st</w:t>
      </w:r>
      <w:r>
        <w:rPr>
          <w:rFonts w:ascii="Times New Roman"/>
        </w:rPr>
        <w:t></w:t>
      </w:r>
      <w:r>
        <w:rPr>
          <w:rFonts w:ascii="Times New Roman"/>
        </w:rPr>
        <w:t>oikeuksia varten p</w:t>
      </w:r>
      <w:r>
        <w:rPr>
          <w:rFonts w:ascii="Times New Roman"/>
        </w:rPr>
        <w:t></w:t>
      </w:r>
      <w:r>
        <w:rPr>
          <w:rFonts w:ascii="Times New Roman"/>
        </w:rPr>
        <w:t></w:t>
      </w:r>
      <w:r>
        <w:rPr>
          <w:rFonts w:ascii="Times New Roman"/>
        </w:rPr>
        <w:t>st</w:t>
      </w:r>
      <w:r>
        <w:rPr>
          <w:rFonts w:ascii="Times New Roman"/>
        </w:rPr>
        <w:t></w:t>
      </w:r>
      <w:r>
        <w:rPr>
          <w:rFonts w:ascii="Times New Roman"/>
        </w:rPr>
        <w:t>kauppaj</w:t>
      </w:r>
      <w:r>
        <w:rPr>
          <w:rFonts w:ascii="Times New Roman"/>
        </w:rPr>
        <w:t></w:t>
      </w:r>
      <w:r>
        <w:rPr>
          <w:rFonts w:ascii="Times New Roman"/>
        </w:rPr>
        <w:t>rjestelm</w:t>
      </w:r>
      <w:r>
        <w:rPr>
          <w:rFonts w:ascii="Times New Roman"/>
        </w:rPr>
        <w:t></w:t>
      </w:r>
      <w:r>
        <w:rPr>
          <w:rFonts w:ascii="Times New Roman"/>
        </w:rPr>
        <w:t>n soveltamisalaan kuuluville toiminnoille komission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npanoasetuksen (EU) 2021/447 mukaisesti.</w:t>
      </w:r>
    </w:p>
  </w:footnote>
  <w:footnote w:id="150">
    <w:p w14:paraId="01BAF0D9" w14:textId="777746A1" w:rsidR="000E48CE" w:rsidRDefault="00FF4C4E">
      <w:pPr>
        <w:pStyle w:val="FootnoteText"/>
        <w:ind w:left="0" w:firstLine="0"/>
      </w:pPr>
      <w:r>
        <w:rPr>
          <w:rStyle w:val="FootnoteReference"/>
        </w:rPr>
        <w:footnoteRef/>
      </w:r>
      <w:r>
        <w:rPr>
          <w:rFonts w:ascii="Times New Roman" w:hAnsi="Times New Roman"/>
        </w:rPr>
        <w:t>Tätä poikkeusta ei sovelleta toimiin laitoksissa, jotka on tarkoitettu yksinomaan kierrätyskelvottoman vaarallisen jätteen käsittelyyn, eikä olemassa oleviin laitoksiin, jos toimien tarkoituksena on lisätä energiatehokkuutta, ottaa talteen savukaasuja vara</w:t>
      </w:r>
      <w:r>
        <w:rPr>
          <w:rFonts w:ascii="Times New Roman" w:hAnsi="Times New Roman"/>
        </w:rPr>
        <w:t xml:space="preserve">stointia tai käyttöä varten tai ottaa talteen materiaaleja polttotuhkasta edellyttäen, että tällaiset toimet eivät lisää laitosten jätteenkäsittelykapasiteettia tai pidennä laitosten käyttöikää; tästä toimitetaan näyttöä laitoskohtaisesti.  </w:t>
      </w:r>
    </w:p>
  </w:footnote>
  <w:footnote w:id="151">
    <w:p w14:paraId="53F002F8" w14:textId="09EA7658" w:rsidR="000E48CE" w:rsidRDefault="00FF4C4E">
      <w:pPr>
        <w:pStyle w:val="FootnoteText"/>
        <w:ind w:left="0" w:firstLine="0"/>
      </w:pPr>
      <w:r>
        <w:rPr>
          <w:rStyle w:val="FootnoteReference"/>
        </w:rPr>
        <w:footnoteRef/>
      </w:r>
      <w:r>
        <w:rPr>
          <w:rFonts w:ascii="Times New Roman" w:hAnsi="Times New Roman"/>
        </w:rPr>
        <w:t>Tätä poikkeus</w:t>
      </w:r>
      <w:r>
        <w:rPr>
          <w:rFonts w:ascii="Times New Roman" w:hAnsi="Times New Roman"/>
        </w:rPr>
        <w:t>ta ei sovelleta olemassa olevissa mekaanisissa biologisissa käsittelylaitoksissa toteutettaviin toimiin, joiden tarkoituksena on lisätä energiatehokkuutta tai tehdä jälkiasennuksia erotetun jätteen kierrätystoimiin biojätteen kompostoimiseksi ja biojätteen</w:t>
      </w:r>
      <w:r>
        <w:rPr>
          <w:rFonts w:ascii="Times New Roman" w:hAnsi="Times New Roman"/>
        </w:rPr>
        <w:t xml:space="preserve"> anaerobiseksi mädättämiseksi, edellyttäen, että tällaiset toimet eivät lisää laitosten jätteenkäsittelykapasiteettia tai pidennä laitosten käyttöikää; tästä toimitetaan näyttöä laitoskohtaisesti.</w:t>
      </w:r>
    </w:p>
  </w:footnote>
  <w:footnote w:id="152">
    <w:p w14:paraId="3F60B53A"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w:t>
      </w:r>
      <w:r>
        <w:rPr>
          <w:rFonts w:ascii="Times New Roman" w:hAnsi="Times New Roman"/>
        </w:rPr>
        <w:t>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153">
    <w:p w14:paraId="7C155246"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w:t>
      </w:r>
      <w:r>
        <w:rPr>
          <w:rFonts w:ascii="Times New Roman" w:hAnsi="Times New Roman"/>
        </w:rPr>
        <w:t>maksutta jaettavia päästöoikeuksia varten päästökauppajärjestelmän soveltamisalaan kuuluville toiminnoille komission täytäntöönpanoasetuksen (EU) 2021/447 mukaisesti.</w:t>
      </w:r>
    </w:p>
  </w:footnote>
  <w:footnote w:id="154">
    <w:p w14:paraId="5902505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w:t>
      </w:r>
      <w:r>
        <w:rPr>
          <w:rFonts w:ascii="Times New Roman" w:hAnsi="Times New Roman"/>
        </w:rPr>
        <w:t xml:space="preserve"> laitoksissa, jotka on tarkoitettu yksinomaan kierrätettäväksi kelpaamattoman vaarallisen jätteen käsittelyyn, eikä olemassa olevissa laitoksissa, joissa tämän toimenpiteen mukaisilla toimilla pyritään lisäämään energiatehokkuutta, ottamaan talteen kaasuja</w:t>
      </w:r>
      <w:r>
        <w:rPr>
          <w:rFonts w:ascii="Times New Roman" w:hAnsi="Times New Roman"/>
        </w:rPr>
        <w:t xml:space="preserve"> varastointia tai käyttöä varten tai ottamaan talteen materiaalit polttotuhkasta, edellyttäen, että tällaiset tämän toimenpiteen mukaiset toimet eivät johda laitoksen jätteenkäsittelykapasiteetin kasvuun tai laitosten käyttöiän pidentämiseen; tästä toimite</w:t>
      </w:r>
      <w:r>
        <w:rPr>
          <w:rFonts w:ascii="Times New Roman" w:hAnsi="Times New Roman"/>
        </w:rPr>
        <w:t>taan näyttöä laitoskohtaisesti.</w:t>
      </w:r>
    </w:p>
  </w:footnote>
  <w:footnote w:id="155">
    <w:p w14:paraId="48D0549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w:t>
      </w:r>
      <w:r>
        <w:rPr>
          <w:rFonts w:ascii="Times New Roman" w:hAnsi="Times New Roman"/>
        </w:rPr>
        <w:t>nergiatehokkuutta tai uudistaa erotetun jätteen kierrätystoimia biojätteen kompostointia ja biojätteen anaerobista mädättämistä varten edellyttäen, että tällaiset tämän toimenpiteen mukaiset toimet eivät johda laitosten jätteenkäsittelykapasiteetin lisäänt</w:t>
      </w:r>
      <w:r>
        <w:rPr>
          <w:rFonts w:ascii="Times New Roman" w:hAnsi="Times New Roman"/>
        </w:rPr>
        <w:t>ymiseen tai laitosten käyttöiän pidentämiseen; tästä toimitetaan näyttöä laitoskohtaisesti.</w:t>
      </w:r>
    </w:p>
  </w:footnote>
  <w:footnote w:id="156">
    <w:p w14:paraId="7B4A404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w:t>
      </w:r>
      <w:r>
        <w:rPr>
          <w:rFonts w:ascii="Times New Roman" w:hAnsi="Times New Roman"/>
        </w:rPr>
        <w:t>nfrastruktuuria ja jotka täyttävät ”ei merkittävää haittaa” -periaatteesta annettujen teknisten ohjeiden (2021/C58/01) liitteessä III esitetyt ehdot.</w:t>
      </w:r>
    </w:p>
  </w:footnote>
  <w:footnote w:id="157">
    <w:p w14:paraId="6A8FF32C"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w:t>
      </w:r>
      <w:r>
        <w:rPr>
          <w:rFonts w:ascii="Times New Roman" w:hAnsi="Times New Roman"/>
        </w:rPr>
        <w:t>haisempia kuin asianomaiset vertailuarvot, olisi annettava selvitys syistä, joiden vuoksi tämä ei ole mahdollista. Vertailuarvot, jotka on vahvistettu maksutta jaettavia päästöoikeuksia varten päästökauppajärjestelmän soveltamisalaan kuuluville toiminnoill</w:t>
      </w:r>
      <w:r>
        <w:rPr>
          <w:rFonts w:ascii="Times New Roman" w:hAnsi="Times New Roman"/>
        </w:rPr>
        <w:t>e komission täytäntöönpanoasetuksen (EU) 2021/447 mukaisesti.</w:t>
      </w:r>
    </w:p>
  </w:footnote>
  <w:footnote w:id="158">
    <w:p w14:paraId="2F70DF0A"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w:t>
      </w:r>
      <w:r>
        <w:rPr>
          <w:rFonts w:ascii="Times New Roman" w:hAnsi="Times New Roman"/>
        </w:rPr>
        <w:t>lyyn, eikä olemassa olevissa laitoksissa, joissa tämän toimenpiteen mukaisilla toimilla pyritään lisäämään energiatehokkuutta, ottamaan talteen kaasuja varastointia tai käyttöä varten tai ottamaan talteen materiaalit polttotuhkasta, edellyttäen, että tälla</w:t>
      </w:r>
      <w:r>
        <w:rPr>
          <w:rFonts w:ascii="Times New Roman" w:hAnsi="Times New Roman"/>
        </w:rPr>
        <w:t>iset tämän toimenpiteen mukaiset toimet eivät johda laitoksen jätteenkäsittelykapasiteetin kasvuun tai laitosten käyttöiän pidentämiseen; tästä toimitetaan näyttöä laitoskohtaisesti.</w:t>
      </w:r>
    </w:p>
  </w:footnote>
  <w:footnote w:id="159">
    <w:p w14:paraId="1829465F"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w:t>
      </w:r>
      <w:r>
        <w:rPr>
          <w:rFonts w:ascii="Times New Roman" w:hAnsi="Times New Roman"/>
        </w:rPr>
        <w:t xml:space="preserve"> mukaisia toimia olemassa olevissa mekaanisissa biologisissa käsittelylaitoksissa, jos tämän toimenpiteen mukaisten toimien tarkoituksena on parantaa energiatehokkuutta tai uudistaa erotetun jätteen kierrätystoimia biojätteen kompostointia ja biojätteen an</w:t>
      </w:r>
      <w:r>
        <w:rPr>
          <w:rFonts w:ascii="Times New Roman" w:hAnsi="Times New Roman"/>
        </w:rPr>
        <w:t>aerobista mädättämistä varten edellyttäen, että tällaiset tämän toimenpiteen mukaiset toimet eivät johda laitosten jätteenkäsittelykapasiteetin lisääntymiseen tai laitosten käyttöiän pidentämiseen; tästä toimitetaan näyttöä laitoskohtaisesti.</w:t>
      </w:r>
    </w:p>
  </w:footnote>
  <w:footnote w:id="160">
    <w:p w14:paraId="4C7A2D7C" w14:textId="469BCAAD" w:rsidR="000E48CE" w:rsidRDefault="00FF4C4E">
      <w:pPr>
        <w:pStyle w:val="FootnoteText"/>
        <w:ind w:left="0" w:firstLine="0"/>
      </w:pPr>
      <w:r>
        <w:rPr>
          <w:rStyle w:val="FootnoteReference"/>
        </w:rPr>
        <w:footnoteRef/>
      </w:r>
      <w:r>
        <w:rPr>
          <w:rFonts w:ascii="Times New Roman" w:hAnsi="Times New Roman"/>
        </w:rPr>
        <w:t>Kun kyseessä</w:t>
      </w:r>
      <w:r>
        <w:rPr>
          <w:rFonts w:ascii="Times New Roman" w:hAnsi="Times New Roman"/>
        </w:rPr>
        <w:t xml:space="preserve"> ovat oman pääoman ehtoiset, oman pääoman luonteiset joukkovelkakirjalainat tai vastaavat välineet, joita ei ole kohdennettu tiettyihin hankkeisiin, digitaalisen panoksen laskemiseksi investointipolitiikassa on edellytettävä, että vähintään 90 prosenttia t</w:t>
      </w:r>
      <w:r>
        <w:rPr>
          <w:rFonts w:ascii="Times New Roman" w:hAnsi="Times New Roman"/>
        </w:rPr>
        <w:t>uensaajan edellisen tilikauden tuloista tai liiketoimintasuunnitelman mukaisista tulevista tuloista saadaan toiminnasta, joka on elpymis- ja palautumistukivälinettä koskevan asetuksen liitteessä VII vahvistettujen sovellettavien tukitoimialojen mukainen.</w:t>
      </w:r>
    </w:p>
  </w:footnote>
  <w:footnote w:id="161">
    <w:p w14:paraId="7E9565A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w:t>
      </w:r>
      <w:r>
        <w:rPr>
          <w:rFonts w:ascii="Times New Roman" w:hAnsi="Times New Roman"/>
        </w:rPr>
        <w:t>en ohjeiden (2021/C58/01) liitteessä III esitetyt ehdot.</w:t>
      </w:r>
    </w:p>
  </w:footnote>
  <w:footnote w:id="162">
    <w:p w14:paraId="4468CBEC"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w:t>
      </w:r>
      <w:r>
        <w:rPr>
          <w:rFonts w:ascii="Times New Roman" w:hAnsi="Times New Roman"/>
        </w:rPr>
        <w:t>ä ei ole mahdollista. Vertailuarvot, jotka on vahvistettu maksutta jaettavia päästöoikeuksia varten päästökauppajärjestelmän soveltamisalaan kuuluville toiminnoille komission täytäntöönpanoasetuksen (EU) 2021/447 mukaisesti.</w:t>
      </w:r>
    </w:p>
  </w:footnote>
  <w:footnote w:id="163">
    <w:p w14:paraId="0363EF16"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w:t>
      </w:r>
      <w:r>
        <w:rPr>
          <w:rFonts w:ascii="Times New Roman" w:hAnsi="Times New Roman"/>
        </w:rPr>
        <w:t>lle jättäminen ei koske tämän toimenpiteen mukaisia toimia laitoksissa, jotka on tarkoitettu yksinomaan kierrätettäväksi kelpaamattoman vaarallisen jätteen käsittelyyn, eikä olemassa olevissa laitoksissa, joissa tämän toimenpiteen mukaisilla toimilla pyrit</w:t>
      </w:r>
      <w:r>
        <w:rPr>
          <w:rFonts w:ascii="Times New Roman" w:hAnsi="Times New Roman"/>
        </w:rPr>
        <w:t>ään lisäämään energiatehokkuutta, ottamaan talteen kaasuja varastointia tai käyttöä varten tai ottamaan talteen materiaalit polttotuhkasta, edellyttäen, että tällaiset tämän toimenpiteen mukaiset toimet eivät johda laitoksen jätteenkäsittelykapasiteetin ka</w:t>
      </w:r>
      <w:r>
        <w:rPr>
          <w:rFonts w:ascii="Times New Roman" w:hAnsi="Times New Roman"/>
        </w:rPr>
        <w:t>svuun tai laitosten käyttöiän pidentämiseen; tästä toimitetaan näyttöä laitoskohtaisesti.</w:t>
      </w:r>
    </w:p>
  </w:footnote>
  <w:footnote w:id="164">
    <w:p w14:paraId="2BD7C402"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w:t>
      </w:r>
      <w:r>
        <w:rPr>
          <w:rFonts w:ascii="Times New Roman" w:hAnsi="Times New Roman"/>
        </w:rPr>
        <w:t xml:space="preserve">toimenpiteen mukaisten toimien tarkoituksena on parantaa energiatehokkuutta tai uudistaa erotetun jätteen kierrätystoimia biojätteen kompostointia ja biojätteen anaerobista mädättämistä varten edellyttäen, että tällaiset tämän toimenpiteen mukaiset toimet </w:t>
      </w:r>
      <w:r>
        <w:rPr>
          <w:rFonts w:ascii="Times New Roman" w:hAnsi="Times New Roman"/>
        </w:rPr>
        <w:t>eivät johda laitosten jätteenkäsittelykapasiteetin lisääntymiseen tai laitosten käyttöiän pidentämiseen; tästä toimitetaan näyttöä laitoskohtaisesti.</w:t>
      </w:r>
    </w:p>
  </w:footnote>
  <w:footnote w:id="165">
    <w:p w14:paraId="0F87503B"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 -periaatteesta annettujen teknist</w:t>
      </w:r>
      <w:r>
        <w:rPr>
          <w:rFonts w:ascii="Times New Roman" w:hAnsi="Times New Roman"/>
        </w:rPr>
        <w:t>en ohjeiden (2021/C58/01) liitteessä III esitetyt ehdot.</w:t>
      </w:r>
    </w:p>
  </w:footnote>
  <w:footnote w:id="166">
    <w:p w14:paraId="551D9032"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w:t>
      </w:r>
      <w:r>
        <w:rPr>
          <w:rFonts w:ascii="Times New Roman" w:hAnsi="Times New Roman"/>
        </w:rPr>
        <w:t>ä ei ole mahdollista. Vertailuarvot, jotka on vahvistettu maksutta jaettavia päästöoikeuksia varten päästökauppajärjestelmän soveltamisalaan kuuluville toiminnoille komission täytäntöönpanoasetuksen (EU) 2021/447 mukaisesti.</w:t>
      </w:r>
    </w:p>
  </w:footnote>
  <w:footnote w:id="167">
    <w:p w14:paraId="6A31A0CF"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w:t>
      </w:r>
      <w:r>
        <w:rPr>
          <w:rFonts w:ascii="Times New Roman" w:hAnsi="Times New Roman"/>
        </w:rPr>
        <w:t>lle jättäminen ei koske tämän toimenpiteen mukaisia toimia laitoksissa, jotka on tarkoitettu yksinomaan kierrätettäväksi kelpaamattoman vaarallisen jätteen käsittelyyn, eikä olemassa olevissa laitoksissa, joissa tämän toimenpiteen mukaisilla toimilla pyrit</w:t>
      </w:r>
      <w:r>
        <w:rPr>
          <w:rFonts w:ascii="Times New Roman" w:hAnsi="Times New Roman"/>
        </w:rPr>
        <w:t>ään lisäämään energiatehokkuutta, ottamaan talteen kaasuja varastointia tai käyttöä varten tai ottamaan talteen materiaalit polttotuhkasta, edellyttäen, että tällaiset tämän toimenpiteen mukaiset toimet eivät johda laitoksen jätteenkäsittelykapasiteetin ka</w:t>
      </w:r>
      <w:r>
        <w:rPr>
          <w:rFonts w:ascii="Times New Roman" w:hAnsi="Times New Roman"/>
        </w:rPr>
        <w:t>svuun tai laitosten käyttöiän pidentämiseen; tästä toimitetaan näyttöä laitoskohtaisesti.</w:t>
      </w:r>
    </w:p>
  </w:footnote>
  <w:footnote w:id="168">
    <w:p w14:paraId="0CF30C74"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w:t>
      </w:r>
      <w:r>
        <w:rPr>
          <w:rFonts w:ascii="Times New Roman" w:hAnsi="Times New Roman"/>
        </w:rPr>
        <w:t xml:space="preserve">toimenpiteen mukaisten toimien tarkoituksena on parantaa energiatehokkuutta tai uudistaa erotetun jätteen kierrätystoimia biojätteen kompostointia ja biojätteen anaerobista mädättämistä varten edellyttäen, että tällaiset tämän toimenpiteen mukaiset toimet </w:t>
      </w:r>
      <w:r>
        <w:rPr>
          <w:rFonts w:ascii="Times New Roman" w:hAnsi="Times New Roman"/>
        </w:rPr>
        <w:t>eivät johda laitosten jätteenkäsittelykapasiteetin lisääntymiseen tai laitosten käyttöiän pidentämiseen; tästä toimitetaan näyttöä laitoskohtaisesti.</w:t>
      </w:r>
    </w:p>
  </w:footnote>
  <w:footnote w:id="169">
    <w:p w14:paraId="63317D2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w:t>
      </w:r>
      <w:r>
        <w:rPr>
          <w:rFonts w:ascii="Times New Roman" w:hAnsi="Times New Roman"/>
        </w:rPr>
        <w:t xml:space="preserve">haisempia kuin asianomaiset vertailuarvot, olisi annettava selvitys syistä, joiden vuoksi tämä ei ole mahdollista. Komission täytäntöönpanoasetuksessa (EU) 2021/447 vahvistetut vertailuarvot päästökauppajärjestelmän soveltamisalaan kuuluville toiminnoille </w:t>
      </w:r>
      <w:r>
        <w:rPr>
          <w:rFonts w:ascii="Times New Roman" w:hAnsi="Times New Roman"/>
        </w:rPr>
        <w:t>ja laitoksille maksutta jaettavia päästöoikeuksia varten.</w:t>
      </w:r>
    </w:p>
  </w:footnote>
  <w:footnote w:id="170">
    <w:p w14:paraId="7C9B382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w:t>
      </w:r>
      <w:r>
        <w:rPr>
          <w:rFonts w:ascii="Times New Roman" w:hAnsi="Times New Roman"/>
        </w:rPr>
        <w:t xml:space="preserve"> ”ei merkittävää haittaa” -periaatteesta annettujen teknisten ohjeiden (2021/C58/01) liitteessä III esitetyt ehdot.</w:t>
      </w:r>
    </w:p>
  </w:footnote>
  <w:footnote w:id="171">
    <w:p w14:paraId="69C61B1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w:t>
      </w:r>
      <w:r>
        <w:rPr>
          <w:rFonts w:ascii="Times New Roman" w:hAnsi="Times New Roman"/>
        </w:rPr>
        <w:t>tävää siirto- ja jakeluinfrastruktuuria ja jotka täyttävät ”ei merkittävää haittaa” -periaatteesta annettujen teknisten ohjeiden (2021/C58/01) liitteessä III esitetyt ehdot.</w:t>
      </w:r>
    </w:p>
  </w:footnote>
  <w:footnote w:id="172">
    <w:p w14:paraId="700A22FC"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w:t>
      </w:r>
      <w:r>
        <w:rPr>
          <w:rFonts w:ascii="Times New Roman" w:hAnsi="Times New Roman"/>
        </w:rPr>
        <w:t>vät ole merkittävästi alhaisempia kuin asianomaiset vertailuarvot, olisi annettava selvitys syistä, joiden vuoksi tämä ei ole mahdollista. Vertailuarvot, jotka on vahvistettu maksutta jaettavia päästöoikeuksia varten päästökauppajärjestelmän soveltamisalaa</w:t>
      </w:r>
      <w:r>
        <w:rPr>
          <w:rFonts w:ascii="Times New Roman" w:hAnsi="Times New Roman"/>
        </w:rPr>
        <w:t>n kuuluville toiminnoille komission täytäntöönpanoasetuksen (EU) 2021/447 mukaisesti.</w:t>
      </w:r>
    </w:p>
  </w:footnote>
  <w:footnote w:id="173">
    <w:p w14:paraId="4FED116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w:t>
      </w:r>
      <w:r>
        <w:rPr>
          <w:rFonts w:ascii="Times New Roman" w:hAnsi="Times New Roman"/>
        </w:rPr>
        <w:t>rallisen jätteen käsittelyyn, eikä olemassa olevissa laitoksissa, joissa tämän toimenpiteen mukaisilla toimilla pyritään lisäämään energiatehokkuutta, ottamaan talteen kaasuja varastointia tai käyttöä varten tai ottamaan talteen materiaalit polttotuhkasta,</w:t>
      </w:r>
      <w:r>
        <w:rPr>
          <w:rFonts w:ascii="Times New Roman" w:hAnsi="Times New Roman"/>
        </w:rPr>
        <w:t xml:space="preserve"> edellyttäen, että tällaiset tämän toimenpiteen mukaiset toimet eivät johda laitoksen jätteenkäsittelykapasiteetin kasvuun tai laitosten käyttöiän pidentämiseen; tästä toimitetaan näyttöä laitoskohtaisesti.</w:t>
      </w:r>
    </w:p>
  </w:footnote>
  <w:footnote w:id="174">
    <w:p w14:paraId="54C0D5E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w:t>
      </w:r>
      <w:r>
        <w:rPr>
          <w:rFonts w:ascii="Times New Roman" w:hAnsi="Times New Roman"/>
        </w:rPr>
        <w:t>koske tämän toimenpiteen mukaisia toimia olemassa olevissa mekaanisissa biologisissa käsittelylaitoksissa, jos tämän toimenpiteen mukaisten toimien tarkoituksena on parantaa energiatehokkuutta tai uudistaa erotetun jätteen kierrätystoimia biojätteen kompos</w:t>
      </w:r>
      <w:r>
        <w:rPr>
          <w:rFonts w:ascii="Times New Roman" w:hAnsi="Times New Roman"/>
        </w:rPr>
        <w:t>tointia ja biojätteen anaerobista mädättämistä varten edellyttäen, että tällaiset tämän toimenpiteen mukaiset toimet eivät johda laitosten jätteenkäsittelykapasiteetin lisääntymiseen tai laitosten käyttöiän pidentämiseen; tästä toimitetaan näyttöä laitosko</w:t>
      </w:r>
      <w:r>
        <w:rPr>
          <w:rFonts w:ascii="Times New Roman" w:hAnsi="Times New Roman"/>
        </w:rPr>
        <w:t>htaisesti.</w:t>
      </w:r>
    </w:p>
  </w:footnote>
  <w:footnote w:id="175">
    <w:p w14:paraId="04DB286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sähkön ja/tai lämmön tuotantoa koskevia hankkeita sekä niihin liittyvää maakaasua käyttävää siirto- ja jakeluinfrastruktuuria, jotka täyttävät ”ei merkittävää haittaa” -asiakirjan (2021/C58/01) liit</w:t>
      </w:r>
      <w:r>
        <w:rPr>
          <w:rFonts w:ascii="Times New Roman" w:hAnsi="Times New Roman"/>
        </w:rPr>
        <w:t xml:space="preserve">teessä III vahvistetut edellytykset. </w:t>
      </w:r>
    </w:p>
  </w:footnote>
  <w:footnote w:id="176">
    <w:p w14:paraId="66A9F2AC"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w:t>
      </w:r>
      <w:r>
        <w:rPr>
          <w:rFonts w:ascii="Times New Roman" w:hAnsi="Times New Roman"/>
        </w:rPr>
        <w:t>a. Vertailuarvot, jotka on vahvistettu maksutta jaettavia päästöoikeuksia varten päästökauppajärjestelmän soveltamisalaan kuuluville toiminnoille komission täytäntöönpanoasetuksen (EU) 2021/447 mukaisesti.</w:t>
      </w:r>
    </w:p>
  </w:footnote>
  <w:footnote w:id="177">
    <w:p w14:paraId="20CFA8F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w:t>
      </w:r>
      <w:r>
        <w:rPr>
          <w:rFonts w:ascii="Times New Roman" w:hAnsi="Times New Roman"/>
        </w:rPr>
        <w:t>oske tämän toimenpiteen mukaisia toimia laitoksissa, jotka on tarkoitettu yksinomaan kierrätettäväksi kelpaamattoman vaarallisen jätteen käsittelyyn, eikä olemassa olevissa laitoksissa, joissa tämän toimenpiteen mukaisilla toimilla pyritään lisäämään energ</w:t>
      </w:r>
      <w:r>
        <w:rPr>
          <w:rFonts w:ascii="Times New Roman" w:hAnsi="Times New Roman"/>
        </w:rPr>
        <w:t>iatehokkuutta, ottamaan talteen kaasuja varastointia tai käyttöä varten tai ottamaan talteen materiaalit polttotuhkasta, edellyttäen, että tällaiset tämän toimenpiteen mukaiset toimet eivät johda laitoksen jätteenkäsittelykapasiteetin kasvuun tai laitosten</w:t>
      </w:r>
      <w:r>
        <w:rPr>
          <w:rFonts w:ascii="Times New Roman" w:hAnsi="Times New Roman"/>
        </w:rPr>
        <w:t xml:space="preserve"> käyttöiän pidentämiseen; tästä toimitetaan näyttöä laitoskohtaisesti.</w:t>
      </w:r>
    </w:p>
  </w:footnote>
  <w:footnote w:id="178">
    <w:p w14:paraId="59920EEE"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w:t>
      </w:r>
      <w:r>
        <w:rPr>
          <w:rFonts w:ascii="Times New Roman" w:hAnsi="Times New Roman"/>
        </w:rPr>
        <w:t>ten toimien tarkoituksena on parantaa energiatehokkuutta tai uudistaa erotetun jätteen kierrätystoimia biojätteen kompostointia ja biojätteen anaerobista mädättämistä varten edellyttäen, että tällaiset tämän toimenpiteen mukaiset toimet eivät johda laitost</w:t>
      </w:r>
      <w:r>
        <w:rPr>
          <w:rFonts w:ascii="Times New Roman" w:hAnsi="Times New Roman"/>
        </w:rPr>
        <w:t>en jätteenkäsittelykapasiteetin lisääntymiseen tai laitosten käyttöiän pidentämiseen; tästä toimitetaan näyttöä laitoskohtaisesti.</w:t>
      </w:r>
    </w:p>
  </w:footnote>
  <w:footnote w:id="179">
    <w:p w14:paraId="53539C52"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sähkön ja/tai lämmön tuotantoa koskevia hankkeita sekä niihin liittyvää maa</w:t>
      </w:r>
      <w:r>
        <w:rPr>
          <w:rFonts w:ascii="Times New Roman" w:hAnsi="Times New Roman"/>
        </w:rPr>
        <w:t>kaasua käyttävää siirto- ja jakeluinfrastruktuuria, jotka täyttävät teknisten ohjeiden (2021/C58/01) liitteessä III vahvistetut edellytykset, ja b) ii alakohdassa tarkoitetut toiminnot ja omaisuuserät, joiden osalta fossiilisten polttoaineiden käyttö on vä</w:t>
      </w:r>
      <w:r>
        <w:rPr>
          <w:rFonts w:ascii="Times New Roman" w:hAnsi="Times New Roman"/>
        </w:rPr>
        <w:t>liaikaista ja teknisesti mahdotonta, jotta voidaan siirtyä oikea-aikaisesti kohti fossiilitonta toimintaa.</w:t>
      </w:r>
    </w:p>
  </w:footnote>
  <w:footnote w:id="180">
    <w:p w14:paraId="49A0EA2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 Vertailuarvot, jotka on vahvistettu </w:t>
      </w:r>
      <w:r>
        <w:rPr>
          <w:rFonts w:ascii="Times New Roman" w:hAnsi="Times New Roman"/>
        </w:rPr>
        <w:t>maksutta jaettavia päästöoikeuksia varten päästökauppajärjestelmän soveltamisalaan kuuluville toiminnoille komission täytäntöönpanoasetuksen (EU) 2021/447 mukaisesti.</w:t>
      </w:r>
    </w:p>
  </w:footnote>
  <w:footnote w:id="181">
    <w:p w14:paraId="3D43B76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w:t>
      </w:r>
      <w:r>
        <w:rPr>
          <w:rFonts w:ascii="Times New Roman" w:hAnsi="Times New Roman"/>
        </w:rPr>
        <w:t xml:space="preserve"> laitoksissa, jotka on tarkoitettu yksinomaan kierrätettäväksi kelpaamattoman vaarallisen jätteen käsittelyyn, eikä olemassa olevissa laitoksissa, joissa tämän toimenpiteen mukaisilla toimilla pyritään lisäämään energiatehokkuutta, ottamaan talteen kaasuja</w:t>
      </w:r>
      <w:r>
        <w:rPr>
          <w:rFonts w:ascii="Times New Roman" w:hAnsi="Times New Roman"/>
        </w:rPr>
        <w:t xml:space="preserve"> varastointia tai käyttöä varten tai ottamaan talteen materiaalit polttotuhkasta, edellyttäen, että tällaiset tämän toimenpiteen mukaiset toimet eivät johda laitoksen jätteenkäsittelykapasiteetin kasvuun tai laitosten käyttöiän pidentämiseen; tästä toimite</w:t>
      </w:r>
      <w:r>
        <w:rPr>
          <w:rFonts w:ascii="Times New Roman" w:hAnsi="Times New Roman"/>
        </w:rPr>
        <w:t>taan näyttöä laitoskohtaisesti.</w:t>
      </w:r>
    </w:p>
  </w:footnote>
  <w:footnote w:id="182">
    <w:p w14:paraId="69DEDC94"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mukaisilla toimilla pyritään lisäämään energiatehokkuutta tai jälki</w:t>
      </w:r>
      <w:r>
        <w:rPr>
          <w:rFonts w:ascii="Times New Roman" w:hAnsi="Times New Roman"/>
        </w:rPr>
        <w:t xml:space="preserve">asennuksia erotetun jätteen kierrätykseen biojätteen kompostoimiseksi ja biojätteen anaerobiseksi mädätystoiminnaksi, edellyttäen, että tällaiset tämän toimenpiteen mukaiset toimet eivät lisää laitosten jätteenkäsittelykapasiteettia\ tai pidennä laitosten </w:t>
      </w:r>
      <w:r>
        <w:rPr>
          <w:rFonts w:ascii="Times New Roman" w:hAnsi="Times New Roman"/>
        </w:rPr>
        <w:t>käyttöikää. tästä toimitetaan näyttöä laitoskohtaisesti.</w:t>
      </w:r>
    </w:p>
  </w:footnote>
  <w:footnote w:id="183">
    <w:p w14:paraId="25C0F987" w14:textId="351EDC76"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Lukuun ottamatta a) tämän toimenpiteen mukaisia sähkön ja/tai lämmön tuotantoa koskevia hankkeita sekä niihin liittyvää maakaasua käyttävää siirto- ja jakeluinfrastruktuuria, jotka täyttävät teknis</w:t>
      </w:r>
      <w:r>
        <w:rPr>
          <w:rStyle w:val="normaltextrun"/>
          <w:rFonts w:ascii="Times New Roman" w:hAnsi="Times New Roman"/>
          <w:shd w:val="clear" w:color="auto" w:fill="FFFFFF"/>
        </w:rPr>
        <w:t>ten ohjeiden (2021/C58/01) liitteessä III vahvistetut edellytykset, ja b) ii alakohdassa tarkoitetut toiminnot ja omaisuuserät, joiden osalta fossiilisten polttoaineiden käyttö on väliaikaista ja teknisesti mahdotonta, jotta voidaan siirtyä oikea-aikaisest</w:t>
      </w:r>
      <w:r>
        <w:rPr>
          <w:rStyle w:val="normaltextrun"/>
          <w:rFonts w:ascii="Times New Roman" w:hAnsi="Times New Roman"/>
          <w:shd w:val="clear" w:color="auto" w:fill="FFFFFF"/>
        </w:rPr>
        <w:t>i kohti fossiilitonta toimintaa.</w:t>
      </w:r>
    </w:p>
  </w:footnote>
  <w:footnote w:id="184">
    <w:p w14:paraId="773168C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Jos tuetulla toiminnalla saavutetaan ennustetut kasvihuonekaasupäästöt, jotka eivät ole merkittävästi alhaisempia kuin asiaankuuluvat vertailuarvot, on annettava selvitys syistä, joiden vuoksi tämä ei ole mahdollista. Ver</w:t>
      </w:r>
      <w:r>
        <w:rPr>
          <w:rStyle w:val="normaltextrun"/>
          <w:rFonts w:ascii="Times New Roman" w:hAnsi="Times New Roman"/>
          <w:shd w:val="clear" w:color="auto" w:fill="FFFFFF"/>
        </w:rPr>
        <w:t>tailuarvot, jotka on vahvistettu maksutta jaettavia päästöoikeuksia varten päästökauppajärjestelmän soveltamisalaan kuuluville toiminnoille komission täytäntöönpanoasetuksen (EU) 2021/447 mukaisesti.</w:t>
      </w:r>
    </w:p>
  </w:footnote>
  <w:footnote w:id="185">
    <w:p w14:paraId="3D8CEDF0"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Tämä soveltamisalan ulkopuolelle jättäminen ei koske t</w:t>
      </w:r>
      <w:r>
        <w:rPr>
          <w:rStyle w:val="normaltextrun"/>
          <w:rFonts w:ascii="Times New Roman" w:hAnsi="Times New Roman"/>
          <w:shd w:val="clear" w:color="auto" w:fill="FFFFFF"/>
        </w:rPr>
        <w:t>ämän toimenpiteen mukaisia toimia laitoksissa, jotka on tarkoitettu yksinomaan kierrätettäväksi kelpaamattoman vaarallisen jätteen käsittelyyn, eikä olemassa olevissa laitoksissa, joissa tämän toimenpiteen mukaisilla toimilla pyritään lisäämään energiateho</w:t>
      </w:r>
      <w:r>
        <w:rPr>
          <w:rStyle w:val="normaltextrun"/>
          <w:rFonts w:ascii="Times New Roman" w:hAnsi="Times New Roman"/>
          <w:shd w:val="clear" w:color="auto" w:fill="FFFFFF"/>
        </w:rPr>
        <w:t>kkuutta, ottamaan talteen kaasuja varastointia tai käyttöä varten tai ottamaan talteen materiaalit polttotuhkasta, edellyttäen, että tällaiset tämän toimenpiteen mukaiset toimet eivät johda laitoksen jätteenkäsittelykapasiteetin kasvuun tai laitosten käytt</w:t>
      </w:r>
      <w:r>
        <w:rPr>
          <w:rStyle w:val="normaltextrun"/>
          <w:rFonts w:ascii="Times New Roman" w:hAnsi="Times New Roman"/>
          <w:shd w:val="clear" w:color="auto" w:fill="FFFFFF"/>
        </w:rPr>
        <w:t>öiän pidentämiseen; tästä toimitetaan näyttöä laitoskohtaisesti.  </w:t>
      </w:r>
    </w:p>
  </w:footnote>
  <w:footnote w:id="186">
    <w:p w14:paraId="6290D5A5"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 xml:space="preserve">Tämä soveltamisalan ulkopuolelle jättäminen ei koske tämän toimenpiteen mukaisia toimia olemassa olevissa mekaanisissa biologisissa käsittelylaitoksissa, jos tämän toimenpiteen mukaisten </w:t>
      </w:r>
      <w:r>
        <w:rPr>
          <w:rStyle w:val="normaltextrun"/>
          <w:rFonts w:ascii="Times New Roman" w:hAnsi="Times New Roman"/>
          <w:shd w:val="clear" w:color="auto" w:fill="FFFFFF"/>
        </w:rPr>
        <w:t>toimien tarkoituksena on parantaa energiatehokkuutta tai uudistaa erotetun jätteen kierrätystoimia biojätteen kompostointia ja biojätteen anaerobista mädättämistä varten edellyttäen, että tällaiset tämän toimenpiteen mukaiset toimet eivät johda laitosten j</w:t>
      </w:r>
      <w:r>
        <w:rPr>
          <w:rStyle w:val="normaltextrun"/>
          <w:rFonts w:ascii="Times New Roman" w:hAnsi="Times New Roman"/>
          <w:shd w:val="clear" w:color="auto" w:fill="FFFFFF"/>
        </w:rPr>
        <w:t>ätteenkäsittelykapasiteetin lisääntymiseen tai laitosten käyttöiän pidentämiseen; tästä toimitetaan näyttöä laitoskohtaisesti.  </w:t>
      </w:r>
    </w:p>
  </w:footnote>
  <w:footnote w:id="187">
    <w:p w14:paraId="69610364"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Lukuun ottamatta a) tämän toimenpiteen mukaisia sähkön ja/tai lämmön tuotantoa koskevia hankkeita sekä niihin liittyvää maaka</w:t>
      </w:r>
      <w:r>
        <w:rPr>
          <w:rStyle w:val="normaltextrun"/>
          <w:rFonts w:ascii="Times New Roman" w:hAnsi="Times New Roman"/>
          <w:shd w:val="clear" w:color="auto" w:fill="FFFFFF"/>
        </w:rPr>
        <w:t xml:space="preserve">asua käyttävää siirto- ja jakeluinfrastruktuuria, jotka täyttävät ”ei merkittävää haittaa” -asiakirjan (2021/C58/01) liitteessä III vahvistetut edellytykset, ja b) </w:t>
      </w:r>
      <w:r>
        <w:rPr>
          <w:rFonts w:ascii="Times New Roman" w:hAnsi="Times New Roman"/>
        </w:rPr>
        <w:t xml:space="preserve"> </w:t>
      </w:r>
      <w:r>
        <w:rPr>
          <w:rStyle w:val="normaltextrun"/>
          <w:rFonts w:ascii="Times New Roman" w:hAnsi="Times New Roman"/>
          <w:shd w:val="clear" w:color="auto" w:fill="FFFFFF"/>
        </w:rPr>
        <w:t>ii alakohdassa tarkoitetut toiminnot ja omaisuuserät, joiden osalta fossiilisten polttoaine</w:t>
      </w:r>
      <w:r>
        <w:rPr>
          <w:rStyle w:val="normaltextrun"/>
          <w:rFonts w:ascii="Times New Roman" w:hAnsi="Times New Roman"/>
          <w:shd w:val="clear" w:color="auto" w:fill="FFFFFF"/>
        </w:rPr>
        <w:t>iden käyttö on väliaikaista ja teknisesti väistämätöntä, jotta voidaan siirtyä oikea-aikaisesti kohti fossiilitonta toimintaa.</w:t>
      </w:r>
    </w:p>
  </w:footnote>
  <w:footnote w:id="188">
    <w:p w14:paraId="49CBF51C"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Jos tuetulla toiminnalla saavutetaan ennustetut kasvihuonekaasupäästöt, jotka eivät ole merkittävästi alhaisempia kuin asiaanku</w:t>
      </w:r>
      <w:r>
        <w:rPr>
          <w:rStyle w:val="normaltextrun"/>
          <w:rFonts w:ascii="Times New Roman" w:hAnsi="Times New Roman"/>
          <w:shd w:val="clear" w:color="auto" w:fill="FFFFFF"/>
        </w:rPr>
        <w:t>uluvat vertailuarvot, on annettava selvitys syistä, joiden vuoksi tämä ei ole mahdollista. Komission täytäntöönpanoasetuksessa (EU) 2021/447 vahvistetut vertailuarvot päästökauppajärjestelmän soveltamisalaan kuuluville toiminnoille maksutta jaettavia pääst</w:t>
      </w:r>
      <w:r>
        <w:rPr>
          <w:rStyle w:val="normaltextrun"/>
          <w:rFonts w:ascii="Times New Roman" w:hAnsi="Times New Roman"/>
          <w:shd w:val="clear" w:color="auto" w:fill="FFFFFF"/>
        </w:rPr>
        <w:t>öoikeuksia varten</w:t>
      </w:r>
    </w:p>
  </w:footnote>
  <w:footnote w:id="189">
    <w:p w14:paraId="30870E96"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Tämä soveltamisalan ulkopuolelle jättäminen ei koske tämän toimenpiteen mukaisia toimia laitoksissa, jotka on tarkoitettu yksinomaan kierrätettäväksi kelpaamattoman vaarallisen jätteen käsittelyyn, eikä olemassa olevissa laitoksissa, jo</w:t>
      </w:r>
      <w:r>
        <w:rPr>
          <w:rStyle w:val="normaltextrun"/>
          <w:rFonts w:ascii="Times New Roman" w:hAnsi="Times New Roman"/>
          <w:shd w:val="clear" w:color="auto" w:fill="FFFFFF"/>
        </w:rPr>
        <w:t>issa tämän toimenpiteen mukaisilla toimilla pyritään lisäämään energiatehokkuutta, ottamaan talteen kaasuja varastointia tai käyttöä varten tai ottamaan talteen materiaalit polttotuhkasta, edellyttäen, että tällaiset tämän toimenpiteen mukaiset toimet eivä</w:t>
      </w:r>
      <w:r>
        <w:rPr>
          <w:rStyle w:val="normaltextrun"/>
          <w:rFonts w:ascii="Times New Roman" w:hAnsi="Times New Roman"/>
          <w:shd w:val="clear" w:color="auto" w:fill="FFFFFF"/>
        </w:rPr>
        <w:t>t johda laitoksen jätteenkäsittelykapasiteetin kasvuun tai laitosten käyttöiän pidentämiseen; tästä toimitetaan näyttöä laitoskohtaisesti.  </w:t>
      </w:r>
    </w:p>
  </w:footnote>
  <w:footnote w:id="190">
    <w:p w14:paraId="48475B0C"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Tämä soveltamisalan ulkopuolelle jättäminen ei koske tämän toimenpiteen mukaisia toimia olemassa olevissa mekaani</w:t>
      </w:r>
      <w:r>
        <w:rPr>
          <w:rStyle w:val="normaltextrun"/>
          <w:rFonts w:ascii="Times New Roman" w:hAnsi="Times New Roman"/>
          <w:shd w:val="clear" w:color="auto" w:fill="FFFFFF"/>
        </w:rPr>
        <w:t>sissa biologisissa käsittelylaitoksissa, jos tämän toimenpiteen mukaisten toimien tarkoituksena on parantaa energiatehokkuutta tai uudistaa erotetun jätteen kierrätystoimia biojätteen kompostointia ja biojätteen anaerobista mädättämistä varten edellyttäen,</w:t>
      </w:r>
      <w:r>
        <w:rPr>
          <w:rStyle w:val="normaltextrun"/>
          <w:rFonts w:ascii="Times New Roman" w:hAnsi="Times New Roman"/>
          <w:shd w:val="clear" w:color="auto" w:fill="FFFFFF"/>
        </w:rPr>
        <w:t xml:space="preserve"> että tällaiset tämän toimenpiteen mukaiset toimet eivät johda laitosten jätteenkäsittelykapasiteetin lisääntymiseen tai laitosten käyttöiän pidentämiseen; tästä toimitetaan näyttöä laitoskohtaisesti.  </w:t>
      </w:r>
    </w:p>
  </w:footnote>
  <w:footnote w:id="191">
    <w:p w14:paraId="2F391CBB" w14:textId="5C47DD13" w:rsidR="000E48CE" w:rsidRDefault="00FF4C4E">
      <w:pPr>
        <w:spacing w:before="120" w:after="120" w:line="240" w:lineRule="auto"/>
        <w:jc w:val="both"/>
        <w:rPr>
          <w:rFonts w:ascii="Times New Roman" w:eastAsia="Times New Roman" w:hAnsi="Times New Roman" w:cs="Times New Roman"/>
          <w:sz w:val="24"/>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Lukuun ottamatta a) sähkön ja/tai lämmön tuotantoon</w:t>
      </w:r>
      <w:r>
        <w:rPr>
          <w:rFonts w:ascii="Times New Roman" w:hAnsi="Times New Roman"/>
          <w:sz w:val="20"/>
        </w:rPr>
        <w:t xml:space="preserve"> liittyviä omaisuuseriä ja toimintoja sekä niihin liittyvää maakaasua käyttävää siirto- ja jakeluinfrastruktuuria, jotka täyttävät teknisten ohjeiden (2021/C58/01) liitteessä III vahvistetut edellytykset, ja b) ii alakohdassa tarkoitettuja toimintoja ja om</w:t>
      </w:r>
      <w:r>
        <w:rPr>
          <w:rFonts w:ascii="Times New Roman" w:hAnsi="Times New Roman"/>
          <w:sz w:val="20"/>
        </w:rPr>
        <w:t>aisuuseriä, joiden osalta fossiilisten polttoaineiden käyttö on väliaikaista ja teknisesti mahdotonta, jotta voidaan siirtyä oikea-aikaisesti kohti fossiilitonta toimintaa.</w:t>
      </w:r>
    </w:p>
  </w:footnote>
  <w:footnote w:id="192">
    <w:p w14:paraId="3D0FFA9D" w14:textId="2B6E07B8" w:rsidR="000E48CE" w:rsidRDefault="00FF4C4E">
      <w:pPr>
        <w:spacing w:before="120" w:after="120" w:line="240" w:lineRule="auto"/>
        <w:jc w:val="both"/>
        <w:rPr>
          <w:rFonts w:ascii="Times New Roman" w:eastAsia="Times New Roman" w:hAnsi="Times New Roman" w:cs="Times New Roman"/>
          <w:sz w:val="24"/>
          <w:shd w:val="clear" w:color="auto" w:fill="FFFFFF"/>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 xml:space="preserve">Mukaan lukien EU:n päästökauppajärjestelmään kuuluvat toiminnot ja omaisuuserät, </w:t>
      </w:r>
      <w:r>
        <w:rPr>
          <w:rFonts w:ascii="Times New Roman" w:hAnsi="Times New Roman"/>
          <w:sz w:val="20"/>
        </w:rPr>
        <w:t>joilla saavutetaan ennustetut kasvihuonekaasupäästöt, jotka eivät alita asiaankuuluvia vertailuarvoja. Jos tuetulla toiminnalla saavutetaan ennustetut kasvihuonekaasupäästöt, jotka eivät ole merkittävästi alhaisemmat kuin asiaankuuluvat vertailuarvot, on a</w:t>
      </w:r>
      <w:r>
        <w:rPr>
          <w:rFonts w:ascii="Times New Roman" w:hAnsi="Times New Roman"/>
          <w:sz w:val="20"/>
        </w:rPr>
        <w:t>nnettava selvitys syistä, joiden vuoksi tämä ei ole mahdollista. Komission täytäntöönpanoasetuksessa (EU) 2021/447 vahvistetut maksutta jaettavia päästöoikeuksia varten vahvistetut vertailuarvot päästökauppajärjestelmän soveltamisalaan kuuluville toiminnoi</w:t>
      </w:r>
      <w:r>
        <w:rPr>
          <w:rFonts w:ascii="Times New Roman" w:hAnsi="Times New Roman"/>
          <w:sz w:val="20"/>
        </w:rPr>
        <w:t>lle.</w:t>
      </w:r>
      <w:r>
        <w:rPr>
          <w:rFonts w:ascii="Times New Roman" w:hAnsi="Times New Roman"/>
          <w:sz w:val="20"/>
          <w:shd w:val="clear" w:color="auto" w:fill="FFFFFF"/>
        </w:rPr>
        <w:t>Toimenpide on pantava täytäntöön viimeistään 31 päivänä elokuuta 2026.</w:t>
      </w:r>
    </w:p>
  </w:footnote>
  <w:footnote w:id="193">
    <w:p w14:paraId="21DC4060" w14:textId="372AF9DB" w:rsidR="000E48CE" w:rsidRDefault="00FF4C4E">
      <w:pPr>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Lopullisen tuensaajan</w:t>
      </w:r>
      <w:r>
        <w:rPr>
          <w:rFonts w:ascii="Times New Roman" w:hAnsi="Times New Roman"/>
          <w:sz w:val="20"/>
        </w:rPr>
        <w:t>katsotaan keskittyvän ”huomattavasti” johonkin toimialaan tai liiketoimintaan, jos tällaisen toimialan tai toiminnan katsotaan olevan olennainen osa lopullise</w:t>
      </w:r>
      <w:r>
        <w:rPr>
          <w:rFonts w:ascii="Times New Roman" w:hAnsi="Times New Roman"/>
          <w:sz w:val="20"/>
        </w:rPr>
        <w:t>n tuensaajan liiketoimintaa suhteessa lopullisen tuensaajan bruttotuloihin, voittoon tai asiakaskuntaan. Rajoitetun alan tai toiminnan bruttotulot saavat joka tapauksessa olla enintään 50 prosenttia bruttotuloista.</w:t>
      </w:r>
    </w:p>
  </w:footnote>
  <w:footnote w:id="194">
    <w:p w14:paraId="41EB7FD2" w14:textId="77777777" w:rsidR="000E48CE" w:rsidRDefault="00FF4C4E">
      <w:pPr>
        <w:pStyle w:val="FootnoteText"/>
        <w:ind w:left="0" w:firstLine="0"/>
      </w:pPr>
      <w:r>
        <w:rPr>
          <w:rStyle w:val="FootnoteReference"/>
        </w:rPr>
        <w:footnoteRef/>
      </w:r>
      <w:r>
        <w:rPr>
          <w:rFonts w:ascii="Times New Roman" w:hAnsi="Times New Roman"/>
        </w:rPr>
        <w:t>Lukuun ottamatta a) sähkön ja/tai lämmön</w:t>
      </w:r>
      <w:r>
        <w:rPr>
          <w:rFonts w:ascii="Times New Roman" w:hAnsi="Times New Roman"/>
        </w:rPr>
        <w:t xml:space="preserve"> tuotantoon liittyviä omaisuuseriä ja toimintoja sekä niihin liittyvää maakaasua käyttävää siirto- ja jakeluinfrastruktuuria, jotka täyttävät teknisten ohjeiden (2021/C58/01) liitteessä III vahvistetut edellytykset, ja b) ii alakohdassa tarkoitettuja toimi</w:t>
      </w:r>
      <w:r>
        <w:rPr>
          <w:rFonts w:ascii="Times New Roman" w:hAnsi="Times New Roman"/>
        </w:rPr>
        <w:t>ntoja ja omaisuuseriä, joiden osalta fossiilisten polttoaineiden käyttö on väliaikaista ja teknisesti mahdotonta, jotta voidaan siirtyä oikea-aikaisesti kohti fossiilitonta toimintaa.</w:t>
      </w:r>
    </w:p>
  </w:footnote>
  <w:footnote w:id="195">
    <w:p w14:paraId="02936313" w14:textId="77777777" w:rsidR="000E48CE" w:rsidRDefault="00FF4C4E">
      <w:pPr>
        <w:pStyle w:val="FootnoteText"/>
        <w:ind w:left="0" w:firstLine="0"/>
      </w:pPr>
      <w:r>
        <w:rPr>
          <w:rStyle w:val="FootnoteReference"/>
        </w:rPr>
        <w:footnoteRef/>
      </w:r>
      <w:r>
        <w:rPr>
          <w:rFonts w:ascii="Times New Roman"/>
        </w:rPr>
        <w:t>Mukaan lukien EU:n p</w:t>
      </w:r>
      <w:r>
        <w:rPr>
          <w:rFonts w:ascii="Times New Roman"/>
        </w:rPr>
        <w:t></w:t>
      </w:r>
      <w:r>
        <w:rPr>
          <w:rFonts w:ascii="Times New Roman"/>
        </w:rPr>
        <w:t></w:t>
      </w:r>
      <w:r>
        <w:rPr>
          <w:rFonts w:ascii="Times New Roman"/>
        </w:rPr>
        <w:t>st</w:t>
      </w:r>
      <w:r>
        <w:rPr>
          <w:rFonts w:ascii="Times New Roman"/>
        </w:rPr>
        <w:t></w:t>
      </w:r>
      <w:r>
        <w:rPr>
          <w:rFonts w:ascii="Times New Roman"/>
        </w:rPr>
        <w:t>kauppaj</w:t>
      </w:r>
      <w:r>
        <w:rPr>
          <w:rFonts w:ascii="Times New Roman"/>
        </w:rPr>
        <w:t></w:t>
      </w:r>
      <w:r>
        <w:rPr>
          <w:rFonts w:ascii="Times New Roman"/>
        </w:rPr>
        <w:t>rjestelm</w:t>
      </w:r>
      <w:r>
        <w:rPr>
          <w:rFonts w:ascii="Times New Roman"/>
        </w:rPr>
        <w:t></w:t>
      </w:r>
      <w:r>
        <w:rPr>
          <w:rFonts w:ascii="Times New Roman"/>
        </w:rPr>
        <w:t></w:t>
      </w:r>
      <w:r>
        <w:rPr>
          <w:rFonts w:ascii="Times New Roman"/>
        </w:rPr>
        <w:t xml:space="preserve">n kuuluvat toiminnot ja </w:t>
      </w:r>
      <w:r>
        <w:rPr>
          <w:rFonts w:ascii="Times New Roman"/>
        </w:rPr>
        <w:t>omaisuuser</w:t>
      </w:r>
      <w:r>
        <w:rPr>
          <w:rFonts w:ascii="Times New Roman"/>
        </w:rPr>
        <w:t></w:t>
      </w:r>
      <w:r>
        <w:rPr>
          <w:rFonts w:ascii="Times New Roman"/>
        </w:rPr>
        <w:t>t, joilla saavutetaan ennustetut kasvihuonekaasup</w:t>
      </w:r>
      <w:r>
        <w:rPr>
          <w:rFonts w:ascii="Times New Roman"/>
        </w:rPr>
        <w:t></w:t>
      </w:r>
      <w:r>
        <w:rPr>
          <w:rFonts w:ascii="Times New Roman"/>
        </w:rPr>
        <w:t></w:t>
      </w:r>
      <w:r>
        <w:rPr>
          <w:rFonts w:ascii="Times New Roman"/>
        </w:rPr>
        <w:t>st</w:t>
      </w:r>
      <w:r>
        <w:rPr>
          <w:rFonts w:ascii="Times New Roman"/>
        </w:rPr>
        <w:t></w:t>
      </w:r>
      <w:r>
        <w:rPr>
          <w:rFonts w:ascii="Times New Roman"/>
        </w:rPr>
        <w:t>t, jotka eiv</w:t>
      </w:r>
      <w:r>
        <w:rPr>
          <w:rFonts w:ascii="Times New Roman"/>
        </w:rPr>
        <w:t></w:t>
      </w:r>
      <w:r>
        <w:rPr>
          <w:rFonts w:ascii="Times New Roman"/>
        </w:rPr>
        <w:t>t alita asiaankuuluvia vertailuarvoja. Jos tuetulla toiminnalla saavutetaan ennustetut kasvihuonekaasup</w:t>
      </w:r>
      <w:r>
        <w:rPr>
          <w:rFonts w:ascii="Times New Roman"/>
        </w:rPr>
        <w:t></w:t>
      </w:r>
      <w:r>
        <w:rPr>
          <w:rFonts w:ascii="Times New Roman"/>
        </w:rPr>
        <w:t></w:t>
      </w:r>
      <w:r>
        <w:rPr>
          <w:rFonts w:ascii="Times New Roman"/>
        </w:rPr>
        <w:t>st</w:t>
      </w:r>
      <w:r>
        <w:rPr>
          <w:rFonts w:ascii="Times New Roman"/>
        </w:rPr>
        <w:t></w:t>
      </w:r>
      <w:r>
        <w:rPr>
          <w:rFonts w:ascii="Times New Roman"/>
        </w:rPr>
        <w:t>t, jotka eiv</w:t>
      </w:r>
      <w:r>
        <w:rPr>
          <w:rFonts w:ascii="Times New Roman"/>
        </w:rPr>
        <w:t></w:t>
      </w:r>
      <w:r>
        <w:rPr>
          <w:rFonts w:ascii="Times New Roman"/>
        </w:rPr>
        <w:t>t ole merkitt</w:t>
      </w:r>
      <w:r>
        <w:rPr>
          <w:rFonts w:ascii="Times New Roman"/>
        </w:rPr>
        <w:t></w:t>
      </w:r>
      <w:r>
        <w:rPr>
          <w:rFonts w:ascii="Times New Roman"/>
        </w:rPr>
        <w:t>v</w:t>
      </w:r>
      <w:r>
        <w:rPr>
          <w:rFonts w:ascii="Times New Roman"/>
        </w:rPr>
        <w:t></w:t>
      </w:r>
      <w:r>
        <w:rPr>
          <w:rFonts w:ascii="Times New Roman"/>
        </w:rPr>
        <w:t>sti alhaisemmat kuin asiaankuuluvat verta</w:t>
      </w:r>
      <w:r>
        <w:rPr>
          <w:rFonts w:ascii="Times New Roman"/>
        </w:rPr>
        <w:t>iluarvot, on annettava selvitys syist</w:t>
      </w:r>
      <w:r>
        <w:rPr>
          <w:rFonts w:ascii="Times New Roman"/>
        </w:rPr>
        <w:t></w:t>
      </w:r>
      <w:r>
        <w:rPr>
          <w:rFonts w:ascii="Times New Roman"/>
        </w:rPr>
        <w:t>, joiden vuoksi t</w:t>
      </w:r>
      <w:r>
        <w:rPr>
          <w:rFonts w:ascii="Times New Roman"/>
        </w:rPr>
        <w:t></w:t>
      </w:r>
      <w:r>
        <w:rPr>
          <w:rFonts w:ascii="Times New Roman"/>
        </w:rPr>
        <w:t>m</w:t>
      </w:r>
      <w:r>
        <w:rPr>
          <w:rFonts w:ascii="Times New Roman"/>
        </w:rPr>
        <w:t></w:t>
      </w:r>
      <w:r>
        <w:rPr>
          <w:rFonts w:ascii="Times New Roman"/>
        </w:rPr>
        <w:t xml:space="preserve"> ei ole mahdollista. Vertailuarvot, jotka on vahvistettu maksutta jaettavia p</w:t>
      </w:r>
      <w:r>
        <w:rPr>
          <w:rFonts w:ascii="Times New Roman"/>
        </w:rPr>
        <w:t></w:t>
      </w:r>
      <w:r>
        <w:rPr>
          <w:rFonts w:ascii="Times New Roman"/>
        </w:rPr>
        <w:t></w:t>
      </w:r>
      <w:r>
        <w:rPr>
          <w:rFonts w:ascii="Times New Roman"/>
        </w:rPr>
        <w:t>st</w:t>
      </w:r>
      <w:r>
        <w:rPr>
          <w:rFonts w:ascii="Times New Roman"/>
        </w:rPr>
        <w:t></w:t>
      </w:r>
      <w:r>
        <w:rPr>
          <w:rFonts w:ascii="Times New Roman"/>
        </w:rPr>
        <w:t>oikeuksia varten p</w:t>
      </w:r>
      <w:r>
        <w:rPr>
          <w:rFonts w:ascii="Times New Roman"/>
        </w:rPr>
        <w:t></w:t>
      </w:r>
      <w:r>
        <w:rPr>
          <w:rFonts w:ascii="Times New Roman"/>
        </w:rPr>
        <w:t></w:t>
      </w:r>
      <w:r>
        <w:rPr>
          <w:rFonts w:ascii="Times New Roman"/>
        </w:rPr>
        <w:t>st</w:t>
      </w:r>
      <w:r>
        <w:rPr>
          <w:rFonts w:ascii="Times New Roman"/>
        </w:rPr>
        <w:t></w:t>
      </w:r>
      <w:r>
        <w:rPr>
          <w:rFonts w:ascii="Times New Roman"/>
        </w:rPr>
        <w:t>kauppaj</w:t>
      </w:r>
      <w:r>
        <w:rPr>
          <w:rFonts w:ascii="Times New Roman"/>
        </w:rPr>
        <w:t></w:t>
      </w:r>
      <w:r>
        <w:rPr>
          <w:rFonts w:ascii="Times New Roman"/>
        </w:rPr>
        <w:t>rjestelm</w:t>
      </w:r>
      <w:r>
        <w:rPr>
          <w:rFonts w:ascii="Times New Roman"/>
        </w:rPr>
        <w:t></w:t>
      </w:r>
      <w:r>
        <w:rPr>
          <w:rFonts w:ascii="Times New Roman"/>
        </w:rPr>
        <w:t>n soveltamisalaan kuuluville toiminnoille komission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 xml:space="preserve">npanoasetuksen </w:t>
      </w:r>
      <w:r>
        <w:rPr>
          <w:rFonts w:ascii="Times New Roman"/>
        </w:rPr>
        <w:t>(EU) 2021/447 mukaisesti.</w:t>
      </w:r>
    </w:p>
  </w:footnote>
  <w:footnote w:id="196">
    <w:p w14:paraId="6B4C83D3" w14:textId="77777777" w:rsidR="000E48CE" w:rsidRDefault="00FF4C4E">
      <w:pPr>
        <w:pStyle w:val="FootnoteText"/>
        <w:ind w:left="0" w:firstLine="0"/>
      </w:pPr>
      <w:r>
        <w:rPr>
          <w:rStyle w:val="FootnoteReference"/>
        </w:rPr>
        <w:footnoteRef/>
      </w:r>
      <w:r>
        <w:rPr>
          <w:rFonts w:ascii="Times New Roman"/>
        </w:rPr>
        <w:t>Saastuttavat ajoneuvot m</w:t>
      </w:r>
      <w:r>
        <w:rPr>
          <w:rFonts w:ascii="Times New Roman"/>
        </w:rPr>
        <w:t></w:t>
      </w:r>
      <w:r>
        <w:rPr>
          <w:rFonts w:ascii="Times New Roman"/>
        </w:rPr>
        <w:t></w:t>
      </w:r>
      <w:r>
        <w:rPr>
          <w:rFonts w:ascii="Times New Roman"/>
        </w:rPr>
        <w:t>ritell</w:t>
      </w:r>
      <w:r>
        <w:rPr>
          <w:rFonts w:ascii="Times New Roman"/>
        </w:rPr>
        <w:t></w:t>
      </w:r>
      <w:r>
        <w:rPr>
          <w:rFonts w:ascii="Times New Roman"/>
        </w:rPr>
        <w:t></w:t>
      </w:r>
      <w:r>
        <w:rPr>
          <w:rFonts w:ascii="Times New Roman"/>
        </w:rPr>
        <w:t>n p</w:t>
      </w:r>
      <w:r>
        <w:rPr>
          <w:rFonts w:ascii="Times New Roman"/>
        </w:rPr>
        <w:t></w:t>
      </w:r>
      <w:r>
        <w:rPr>
          <w:rFonts w:ascii="Times New Roman"/>
        </w:rPr>
        <w:t></w:t>
      </w:r>
      <w:r>
        <w:rPr>
          <w:rFonts w:ascii="Times New Roman"/>
        </w:rPr>
        <w:t>st</w:t>
      </w:r>
      <w:r>
        <w:rPr>
          <w:rFonts w:ascii="Times New Roman"/>
        </w:rPr>
        <w:t></w:t>
      </w:r>
      <w:r>
        <w:rPr>
          <w:rFonts w:ascii="Times New Roman"/>
        </w:rPr>
        <w:t>tt</w:t>
      </w:r>
      <w:r>
        <w:rPr>
          <w:rFonts w:ascii="Times New Roman"/>
        </w:rPr>
        <w:t></w:t>
      </w:r>
      <w:r>
        <w:rPr>
          <w:rFonts w:ascii="Times New Roman"/>
        </w:rPr>
        <w:t>miksi ajoneuvoiksi.</w:t>
      </w:r>
    </w:p>
  </w:footnote>
  <w:footnote w:id="197">
    <w:p w14:paraId="716A3122" w14:textId="77777777" w:rsidR="000E48CE" w:rsidRDefault="00FF4C4E">
      <w:pPr>
        <w:pStyle w:val="FootnoteText"/>
        <w:ind w:left="0" w:firstLine="0"/>
      </w:pPr>
      <w:r>
        <w:rPr>
          <w:rStyle w:val="FootnoteReference"/>
        </w:rPr>
        <w:footnoteRef/>
      </w:r>
      <w:r>
        <w:rPr>
          <w:rFonts w:ascii="Times New Roman" w:hAnsi="Times New Roman"/>
        </w:rPr>
        <w:t>Tätä poikkeusta ei sovelleta toimiin laitoksissa, jotka on tarkoitettu yksinomaan kierrätyskelvottoman vaarallisen jätteen käsittelyyn, eikä olemassa oleviin laito</w:t>
      </w:r>
      <w:r>
        <w:rPr>
          <w:rFonts w:ascii="Times New Roman" w:hAnsi="Times New Roman"/>
        </w:rPr>
        <w:t xml:space="preserve">ksiin, jos tämän toimenpiteen mukaisilla toimilla pyritään lisäämään energiatehokkuutta, ottamaan talteen pakokaasuja varastointia tai käyttöä varten tai ottamaan talteen materiaaleja polttotuhkasta, edellyttäen, että tällaiset tämän toimenpiteen mukaiset </w:t>
      </w:r>
      <w:r>
        <w:rPr>
          <w:rFonts w:ascii="Times New Roman" w:hAnsi="Times New Roman"/>
        </w:rPr>
        <w:t>toimet eivät lisää laitosten jätteenkäsittelykapasiteettia tai pidennä laitosten käyttöikää; tästä toimitetaan näyttöä laitoskohtaisesti.</w:t>
      </w:r>
    </w:p>
  </w:footnote>
  <w:footnote w:id="198">
    <w:p w14:paraId="313F7A7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w:t>
      </w:r>
      <w:r>
        <w:rPr>
          <w:rFonts w:ascii="Times New Roman" w:hAnsi="Times New Roman"/>
        </w:rPr>
        <w:t>ittyvää maakaasua käyttävää siirto- ja jakeluinfrastruktuuria ja jotka täyttävät ”ei merkittävää haittaa” -periaatteesta annettujen teknisten ohjeiden (2021/C58/01) liitteessä III esitetyt ehdot.</w:t>
      </w:r>
    </w:p>
  </w:footnote>
  <w:footnote w:id="199">
    <w:p w14:paraId="6B4A4879"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w:t>
      </w:r>
      <w:r>
        <w:rPr>
          <w:rFonts w:ascii="Times New Roman" w:hAnsi="Times New Roman"/>
        </w:rPr>
        <w:t>kaasupäästöt, jotka eivät ole merkittävästi alhaisempia kuin asianomaiset vertailuarvot, olisi annettava selvitys syistä, joiden vuoksi tämä ei ole mahdollista. Vertailuarvot, jotka on vahvistettu maksutta jaettavia päästöoikeuksia varten päästökauppajärje</w:t>
      </w:r>
      <w:r>
        <w:rPr>
          <w:rFonts w:ascii="Times New Roman" w:hAnsi="Times New Roman"/>
        </w:rPr>
        <w:t>stelmän soveltamisalaan kuuluville toiminnoille komission täytäntöönpanoasetuksen (EU) 2021/447 mukaisesti.</w:t>
      </w:r>
    </w:p>
  </w:footnote>
  <w:footnote w:id="200">
    <w:p w14:paraId="1BCB45F7"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w:t>
      </w:r>
      <w:r>
        <w:rPr>
          <w:rFonts w:ascii="Times New Roman" w:hAnsi="Times New Roman"/>
        </w:rPr>
        <w:t>ksi kelpaamattoman vaarallisen jätteen käsittelyyn, eikä olemassa olevissa laitoksissa, joissa tämän toimenpiteen mukaisilla toimilla pyritään lisäämään energiatehokkuutta, ottamaan talteen kaasuja varastointia tai käyttöä varten tai ottamaan talteen mater</w:t>
      </w:r>
      <w:r>
        <w:rPr>
          <w:rFonts w:ascii="Times New Roman" w:hAnsi="Times New Roman"/>
        </w:rPr>
        <w:t>iaalit polttotuhkasta, edellyttäen, että tällaiset tämän toimenpiteen mukaiset toimet eivät johda laitoksen jätteenkäsittelykapasiteetin kasvuun tai laitosten käyttöiän pidentämiseen; tästä toimitetaan näyttöä laitoskohtaisesti.</w:t>
      </w:r>
    </w:p>
  </w:footnote>
  <w:footnote w:id="201">
    <w:p w14:paraId="6047DFE2"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w:t>
      </w:r>
      <w:r>
        <w:rPr>
          <w:rFonts w:ascii="Times New Roman" w:hAnsi="Times New Roman"/>
        </w:rPr>
        <w:t>uolelle jättäminen ei koske tämän toimenpiteen mukaisia toimia olemassa olevissa mekaanisissa biologisissa käsittelylaitoksissa, jos tämän toimenpiteen mukaisten toimien tarkoituksena on parantaa energiatehokkuutta tai uudistaa erotetun jätteen kierrätysto</w:t>
      </w:r>
      <w:r>
        <w:rPr>
          <w:rFonts w:ascii="Times New Roman" w:hAnsi="Times New Roman"/>
        </w:rPr>
        <w:t>imia biojätteen kompostointia ja biojätteen anaerobista mädättämistä varten edellyttäen, että tällaiset tämän toimenpiteen mukaiset toimet eivät johda laitosten jätteenkäsittelykapasiteetin lisääntymiseen tai laitosten käyttöiän pidentämiseen; tästä toimit</w:t>
      </w:r>
      <w:r>
        <w:rPr>
          <w:rFonts w:ascii="Times New Roman" w:hAnsi="Times New Roman"/>
        </w:rPr>
        <w:t>etaan näyttöä laitoskohtaisesti.</w:t>
      </w:r>
    </w:p>
  </w:footnote>
  <w:footnote w:id="202">
    <w:p w14:paraId="4064C20F"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 sähkön ja/tai lämmön tuotantoa sekä niihin liittyvää maakaasua käyttävää siirto- ja jakeluinfrastruktuuria ja jotka täyttävät ”ei merkittävää haittaa”</w:t>
      </w:r>
      <w:r>
        <w:rPr>
          <w:rFonts w:ascii="Times New Roman" w:hAnsi="Times New Roman"/>
        </w:rPr>
        <w:t xml:space="preserve"> -periaatteesta annettujen teknisten ohjeiden (2021/C58/01) liitteessä III esitetyt ehdot.</w:t>
      </w:r>
    </w:p>
  </w:footnote>
  <w:footnote w:id="203">
    <w:p w14:paraId="747594EF"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w:t>
      </w:r>
      <w:r>
        <w:rPr>
          <w:rFonts w:ascii="Times New Roman" w:hAnsi="Times New Roman"/>
        </w:rPr>
        <w:t>selvitys syistä, joiden vuoksi tämä ei ole mahdollista. Vertailuarvot, jotka on vahvistettu maksutta jaettavia päästöoikeuksia varten päästökauppajärjestelmän soveltamisalaan kuuluville toiminnoille komission täytäntöönpanoasetuksen (EU) 2021/447 mukaisest</w:t>
      </w:r>
      <w:r>
        <w:rPr>
          <w:rFonts w:ascii="Times New Roman" w:hAnsi="Times New Roman"/>
        </w:rPr>
        <w:t>i.</w:t>
      </w:r>
    </w:p>
  </w:footnote>
  <w:footnote w:id="204">
    <w:p w14:paraId="5DDF8CB5"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 jotka on tarkoitettu yksinomaan kierrätettäväksi kelpaamattoman vaarallisen jätteen käsittelyyn, eikä olemassa olevissa laitoksissa, joissa tämän toim</w:t>
      </w:r>
      <w:r>
        <w:rPr>
          <w:rFonts w:ascii="Times New Roman" w:hAnsi="Times New Roman"/>
        </w:rPr>
        <w:t>enpiteen mukaisilla toimilla pyritään lisäämään energiatehokkuutta, ottamaan talteen kaasuja varastointia tai käyttöä varten tai ottamaan talteen materiaalit polttotuhkasta, edellyttäen, että tällaiset tämän toimenpiteen mukaiset toimet eivät johda laitoks</w:t>
      </w:r>
      <w:r>
        <w:rPr>
          <w:rFonts w:ascii="Times New Roman" w:hAnsi="Times New Roman"/>
        </w:rPr>
        <w:t>en jätteenkäsittelykapasiteetin kasvuun tai laitosten käyttöiän pidentämiseen; tästä toimitetaan näyttöä laitoskohtaisesti.</w:t>
      </w:r>
    </w:p>
  </w:footnote>
  <w:footnote w:id="205">
    <w:p w14:paraId="6425ED9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w:t>
      </w:r>
      <w:r>
        <w:rPr>
          <w:rFonts w:ascii="Times New Roman" w:hAnsi="Times New Roman"/>
        </w:rPr>
        <w:t>a käsittelylaitoksissa, jos tämän toimenpiteen mukaisten toimien tarkoituksena on parantaa energiatehokkuutta tai uudistaa erotetun jätteen kierrätystoimia biojätteen kompostointia ja biojätteen anaerobista mädättämistä varten edellyttäen, että tällaiset t</w:t>
      </w:r>
      <w:r>
        <w:rPr>
          <w:rFonts w:ascii="Times New Roman" w:hAnsi="Times New Roman"/>
        </w:rPr>
        <w:t>ämän toimenpiteen mukaiset toimet eivät johda laitosten jätteenkäsittelykapasiteetin lisääntymiseen tai laitosten käyttöiän pidentämiseen; tästä toimitetaan näyttöä laitoskohtaisesti.</w:t>
      </w:r>
    </w:p>
  </w:footnote>
  <w:footnote w:id="206">
    <w:p w14:paraId="1E17D082"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tämän toimenpiteen mukaisia hankkeita, jotka koskevat</w:t>
      </w:r>
      <w:r>
        <w:rPr>
          <w:rFonts w:ascii="Times New Roman" w:hAnsi="Times New Roman"/>
        </w:rPr>
        <w:t xml:space="preserve">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207">
    <w:p w14:paraId="12A6D63C"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w:t>
      </w:r>
      <w:r>
        <w:rPr>
          <w:rFonts w:ascii="Times New Roman" w:hAnsi="Times New Roman"/>
        </w:rPr>
        <w:t xml:space="preserve"> toiminnalla saavutetaan ennustetut kasvihuonekaasupäästöt, jotka eivät ole merkittävästi alhaisempia kuin asianomaiset vertailuarvot, olisi annettava selvitys syistä, joiden vuoksi tämä ei ole mahdollista. Vertailuarvot, jotka on vahvistettu maksutta jaet</w:t>
      </w:r>
      <w:r>
        <w:rPr>
          <w:rFonts w:ascii="Times New Roman" w:hAnsi="Times New Roman"/>
        </w:rPr>
        <w:t>tavia päästöoikeuksia varten päästökauppajärjestelmän soveltamisalaan kuuluville toiminnoille komission täytäntöönpanoasetuksen (EU) 2021/447 mukaisesti.</w:t>
      </w:r>
    </w:p>
  </w:footnote>
  <w:footnote w:id="208">
    <w:p w14:paraId="25756875"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laitoksissa,</w:t>
      </w:r>
      <w:r>
        <w:rPr>
          <w:rFonts w:ascii="Times New Roman" w:hAnsi="Times New Roman"/>
        </w:rPr>
        <w:t xml:space="preserve"> jotka on tarkoitettu yksinomaan kierrätettäväksi kelpaamattoman vaarallisen jätteen käsittelyyn, eikä olemassa olevissa laitoksissa, joissa tämän toimenpiteen mukaisilla toimilla pyritään lisäämään energiatehokkuutta, ottamaan talteen kaasuja varastointia</w:t>
      </w:r>
      <w:r>
        <w:rPr>
          <w:rFonts w:ascii="Times New Roman" w:hAnsi="Times New Roman"/>
        </w:rPr>
        <w:t xml:space="preserve"> tai käyttöä varten tai ottamaan talteen materiaalit polttotuhkasta, edellyttäen, että tällaiset tämän toimenpiteen mukaiset toimet eivät johda laitoksen jätteenkäsittelykapasiteetin kasvuun tai laitosten käyttöiän pidentämiseen; tästä toimitetaan näyttöä </w:t>
      </w:r>
      <w:r>
        <w:rPr>
          <w:rFonts w:ascii="Times New Roman" w:hAnsi="Times New Roman"/>
        </w:rPr>
        <w:t>laitoskohtaisesti.</w:t>
      </w:r>
    </w:p>
  </w:footnote>
  <w:footnote w:id="209">
    <w:p w14:paraId="24350DDF"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jättäminen ei koske tämän toimenpiteen mukaisia toimia olemassa olevissa mekaanisissa biologisissa käsittelylaitoksissa, jos tämän toimenpiteen mukaisten toimien tarkoituksena on parantaa energiatehokku</w:t>
      </w:r>
      <w:r>
        <w:rPr>
          <w:rFonts w:ascii="Times New Roman" w:hAnsi="Times New Roman"/>
        </w:rPr>
        <w:t>utta tai uudistaa erotetun jätteen kierrätystoimia biojätteen kompostointia ja biojätteen anaerobista mädättämistä varten edellyttäen, että tällaiset tämän toimenpiteen mukaiset toimet eivät johda laitosten jätteenkäsittelykapasiteetin lisääntymiseen tai l</w:t>
      </w:r>
      <w:r>
        <w:rPr>
          <w:rFonts w:ascii="Times New Roman" w:hAnsi="Times New Roman"/>
        </w:rPr>
        <w:t>aitosten käyttöiän pidentämiseen; tästä toimitetaan näyttöä laitoskohtaisesti.</w:t>
      </w:r>
    </w:p>
  </w:footnote>
  <w:footnote w:id="210">
    <w:p w14:paraId="0F440B49" w14:textId="67777EB4" w:rsidR="000E48CE" w:rsidRDefault="00FF4C4E">
      <w:pPr>
        <w:pStyle w:val="FootnoteText"/>
        <w:ind w:left="0" w:firstLine="0"/>
      </w:pPr>
      <w:r>
        <w:rPr>
          <w:rStyle w:val="FootnoteReference"/>
        </w:rPr>
        <w:footnoteRef/>
      </w:r>
      <w:r>
        <w:rPr>
          <w:rFonts w:ascii="Times New Roman" w:hAnsi="Times New Roman"/>
        </w:rPr>
        <w:t>Kun kyseessä ovat oman pääoman ehtoiset, oman pääoman luonteiset joukkovelkakirjalainat tai vastaavat välineet, joita ei ole kohdennettu tiettyihin hankkeisiin, digitaalisen pa</w:t>
      </w:r>
      <w:r>
        <w:rPr>
          <w:rFonts w:ascii="Times New Roman" w:hAnsi="Times New Roman"/>
        </w:rPr>
        <w:t>noksen laskemista varten on käytettävä perusteita, joilla edellytetään, että vähintään 90 prosenttia tuensaajan edellisen varainhoitovuoden tuloista tai liiketoimintasuunnitelman mukaisista tulevista tuloista saadaan toiminnasta, joka täyttää elpymis- ja p</w:t>
      </w:r>
      <w:r>
        <w:rPr>
          <w:rFonts w:ascii="Times New Roman" w:hAnsi="Times New Roman"/>
        </w:rPr>
        <w:t>alautumistukivälinettä koskevan asetuksen liitteessä VII esitetyistä sovellettavista tukitoimialoista johtuvat asiaankuuluvat kriteerit.</w:t>
      </w:r>
    </w:p>
  </w:footnote>
  <w:footnote w:id="211">
    <w:p w14:paraId="13C1CB53"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EUVL L 153, 18.6.2010.</w:t>
      </w:r>
    </w:p>
  </w:footnote>
  <w:footnote w:id="212">
    <w:p w14:paraId="0CA1E2C8" w14:textId="0DD789C6"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Vähäpäästöisillä ajoneuvoilla tarkoitetaan ajoneuvoja, joiden päästöt ovat alle 50 g CO2/km</w:t>
      </w:r>
      <w:r>
        <w:rPr>
          <w:rFonts w:ascii="Times New Roman" w:hAnsi="Times New Roman"/>
        </w:rPr>
        <w:t>.</w:t>
      </w:r>
    </w:p>
  </w:footnote>
  <w:footnote w:id="213">
    <w:p w14:paraId="5CEC2E10"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Toledon sopimuksen suositukset julkaistiin Euroopan unionin virallisessa lehdessä 10. marraskuuta 2020: </w:t>
      </w:r>
      <w:hyperlink r:id="rId2" w:history="1">
        <w:r>
          <w:rPr>
            <w:rStyle w:val="Hyperlink"/>
            <w:rFonts w:ascii="Times New Roman" w:hAnsi="Times New Roman"/>
            <w:color w:val="auto"/>
          </w:rPr>
          <w:t>https://www.congreso.es/public_oficiales/L14/CONG/BOCG/D/</w:t>
        </w:r>
        <w:r>
          <w:rPr>
            <w:rStyle w:val="Hyperlink"/>
            <w:rFonts w:ascii="Times New Roman" w:hAnsi="Times New Roman"/>
            <w:color w:val="auto"/>
          </w:rPr>
          <w:t>BOCG-14-D-175.PDF</w:t>
        </w:r>
      </w:hyperlink>
      <w:r>
        <w:rPr>
          <w:rFonts w:ascii="Times New Roman" w:hAnsi="Times New Roman"/>
        </w:rPr>
        <w:t xml:space="preserve">. </w:t>
      </w:r>
    </w:p>
  </w:footnote>
  <w:footnote w:id="214">
    <w:p w14:paraId="43BF0FF9" w14:textId="358847B8" w:rsidR="000E48CE" w:rsidRDefault="00FF4C4E">
      <w:pPr>
        <w:pStyle w:val="FootnoteText"/>
        <w:ind w:left="0" w:firstLine="0"/>
        <w:rPr>
          <w:rFonts w:eastAsia="Times New Roman" w:cs="Times New Roman"/>
        </w:rPr>
      </w:pPr>
      <w:r>
        <w:rPr>
          <w:rStyle w:val="FootnoteReference"/>
          <w:rFonts w:cs="Times New Roman"/>
        </w:rPr>
        <w:footnoteRef/>
      </w:r>
      <w:r>
        <w:t></w:t>
      </w:r>
      <w:r>
        <w:t></w:t>
      </w:r>
      <w:r>
        <w:t></w:t>
      </w:r>
      <w:r>
        <w:t></w:t>
      </w:r>
      <w:r>
        <w:t></w:t>
      </w:r>
      <w:r>
        <w:t></w:t>
      </w:r>
      <w:r>
        <w:t></w:t>
      </w:r>
      <w:r>
        <w:t></w:t>
      </w:r>
      <w:r>
        <w:t></w:t>
      </w:r>
      <w:r>
        <w:t></w:t>
      </w:r>
      <w:r>
        <w:t></w:t>
      </w:r>
      <w:r>
        <w:t></w:t>
      </w:r>
      <w:r>
        <w:t></w:t>
      </w:r>
      <w:r>
        <w:t></w:t>
      </w:r>
      <w:r>
        <w:t></w:t>
      </w:r>
      <w:r>
        <w:t></w:t>
      </w:r>
      <w:r>
        <w:t></w:t>
      </w:r>
      <w:r>
        <w:t></w:t>
      </w:r>
      <w:r>
        <w:t></w:t>
      </w:r>
      <w:r>
        <w:t></w:t>
      </w:r>
      <w:r>
        <w:t></w:t>
      </w:r>
      <w:r>
        <w:rPr>
          <w:rFonts w:ascii="Times New Roman" w:hAnsi="Times New Roman"/>
        </w:rPr>
        <w:t>katsotaan keskittyvän ”huomattavasti” johonkin toimialaan tai liiketoimintaan, jos tällaisen toimialan tai toiminnan katsotaan olevan olennainen osa lopullisen tuensaajan liiketoimintaa suhteessa lopullisen tuensaa</w:t>
      </w:r>
      <w:r>
        <w:rPr>
          <w:rFonts w:ascii="Times New Roman" w:hAnsi="Times New Roman"/>
        </w:rPr>
        <w:t>jan bruttotuloihin, voittoon tai asiakaskuntaan. Rajoitetun alan tai toiminnan bruttotulot saavat joka tapauksessa olla enintään 50 prosenttia bruttotuloista.</w:t>
      </w:r>
    </w:p>
  </w:footnote>
  <w:footnote w:id="215">
    <w:p w14:paraId="13D49EF3" w14:textId="72D1D4B8" w:rsidR="000E48CE" w:rsidRDefault="00FF4C4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ottamatta a) sähkön ja/tai lämmön tuotantoon liittyviä omaisuuseriä ja toimintoja sekä niihin liittyvää maakaasua käyttävää siirto- ja jakeluinfrastruktuuria, jotka täyttävät ”ei merkittävää haittaa” -ohjeiden (2021/C58/01) liitteessä III vahvistet</w:t>
      </w:r>
      <w:r>
        <w:rPr>
          <w:rFonts w:ascii="Times New Roman" w:hAnsi="Times New Roman"/>
          <w:sz w:val="20"/>
        </w:rPr>
        <w:t>ut edellytykset; ja b) ii alakohdassa tarkoitetut toiminnot ja omaisuuserät, joiden osalta fossiilisten polttoaineiden käyttö on väliaikaista ja teknisesti väistämätöntä, jotta voidaan siirtyä oikea-aikaisesti kohti fossiilitonta toimintaa.</w:t>
      </w:r>
    </w:p>
  </w:footnote>
  <w:footnote w:id="216">
    <w:p w14:paraId="5EE27B6F" w14:textId="77777777" w:rsidR="000E48CE" w:rsidRDefault="00FF4C4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Mukaan lukien</w:t>
      </w:r>
      <w:r>
        <w:rPr>
          <w:rFonts w:ascii="Times New Roman" w:hAnsi="Times New Roman"/>
          <w:sz w:val="20"/>
        </w:rPr>
        <w:t xml:space="preserve"> EU:n päästökauppajärjestelmään kuuluvat toiminnot ja omaisuuserät, joilla saavutetaan ennustetut kasvihuonekaasupäästöt, jotka eivät alita asiaankuuluvia vertailuarvoja. Jos tuetulla toiminnalla saavutetaan ennustetut kasvihuonekaasupäästöt, jotka eivät o</w:t>
      </w:r>
      <w:r>
        <w:rPr>
          <w:rFonts w:ascii="Times New Roman" w:hAnsi="Times New Roman"/>
          <w:sz w:val="20"/>
        </w:rPr>
        <w:t>le merkittävästi alhaisemmat kuin asiaankuuluvat vertailuarvot, on annettava selvitys syistä, joiden vuoksi tämä ei ole mahdollista. Vertailuarvot, jotka on vahvistettu maksutta jaettavia päästöoikeuksia varten päästökauppajärjestelmän soveltamisalaan kuul</w:t>
      </w:r>
      <w:r>
        <w:rPr>
          <w:rFonts w:ascii="Times New Roman" w:hAnsi="Times New Roman"/>
          <w:sz w:val="20"/>
        </w:rPr>
        <w:t>uville toiminnoille komission täytäntöönpanoasetuksen (EU) 2021/447 mukaisesti.</w:t>
      </w:r>
    </w:p>
  </w:footnote>
  <w:footnote w:id="217">
    <w:p w14:paraId="31A64324" w14:textId="77777777" w:rsidR="000E48CE" w:rsidRDefault="00FF4C4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Saastuttavat ajoneuvot määritellään päästöttömiksi ajoneuvoiksi.</w:t>
      </w:r>
    </w:p>
  </w:footnote>
  <w:footnote w:id="218">
    <w:p w14:paraId="526A928B" w14:textId="77777777" w:rsidR="000E48CE" w:rsidRDefault="00FF4C4E">
      <w:pPr>
        <w:pStyle w:val="FootnoteText"/>
        <w:ind w:left="0" w:firstLine="0"/>
        <w:rPr>
          <w:rFonts w:eastAsia="Times New Roman" w:cs="Times New Roman"/>
        </w:rPr>
      </w:pPr>
      <w:r>
        <w:rPr>
          <w:rStyle w:val="FootnoteReference"/>
          <w:rFonts w:cs="Times New Roman"/>
        </w:rPr>
        <w:footnoteRef/>
      </w:r>
      <w:r>
        <w:t></w:t>
      </w:r>
      <w:r>
        <w:t></w:t>
      </w:r>
      <w:r>
        <w:t></w:t>
      </w:r>
      <w:r>
        <w:rPr>
          <w:rFonts w:ascii="Times New Roman" w:hAnsi="Times New Roman"/>
        </w:rPr>
        <w:t xml:space="preserve">jättäminen soveltamisalan ulkopuolelle ei koske toimia laitoksissa, jotka on tarkoitettu yksinomaan </w:t>
      </w:r>
      <w:r>
        <w:rPr>
          <w:rFonts w:ascii="Times New Roman" w:hAnsi="Times New Roman"/>
        </w:rPr>
        <w:t>kierrätyskelvottoman vaarallisen jätteen käsittelyyn, eikä olemassa olevissa laitoksissa, jos tämän toimenpiteen mukaisilla toimilla pyritään lisäämään energiatehokkuutta, ottamaan talteen pakokaasuja varastointia tai käyttöä varten tai ottamaan talteen ma</w:t>
      </w:r>
      <w:r>
        <w:rPr>
          <w:rFonts w:ascii="Times New Roman" w:hAnsi="Times New Roman"/>
        </w:rPr>
        <w:t>teriaaleja polttotuhkasta, edellyttäen, että tällaiset tämän toimenpiteen mukaiset toimet eivät lisää laitosten jätteenkäsittelykapasiteettia tai pidennä laitosten käyttöikää; joista toimitetaan näyttöä laitostasolla</w:t>
      </w:r>
    </w:p>
  </w:footnote>
  <w:footnote w:id="219">
    <w:p w14:paraId="487957F0" w14:textId="7BCFE38F"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Tiettyihin hankkeisiin osallistuvien </w:t>
      </w:r>
      <w:r>
        <w:rPr>
          <w:rFonts w:ascii="Times New Roman" w:hAnsi="Times New Roman"/>
        </w:rPr>
        <w:t>lopullisten tuensaajien on esitettävä kunkin tuetun hankkeen osalta valitun tukitoimialan perustelut sekä hankkeen kuvaus ilmastoosuuden laskemista varten. Ilmastoosuuden laskemiseksi sellaisten oman pääoman ehtoisten, oman pääoman luonteisten joukkovelkak</w:t>
      </w:r>
      <w:r>
        <w:rPr>
          <w:rFonts w:ascii="Times New Roman" w:hAnsi="Times New Roman"/>
        </w:rPr>
        <w:t>irjalainojen tai vastaavien välineiden osalta, joita ei ole kohdennettu tiettyihin hankkeisiin, on käytettävä perusteita, joilla edellytetään, että vähintään 90 prosenttia tuensaajan edellisen varainhoitovuoden tuloista tai liiketoimintasuunnitelman mukais</w:t>
      </w:r>
      <w:r>
        <w:rPr>
          <w:rFonts w:ascii="Times New Roman" w:hAnsi="Times New Roman"/>
        </w:rPr>
        <w:t>ista tulevista tuloista saadaan toiminnasta, joka täyttää elpymis- ja palautumistukivälinettä koskevan asetuksen liitteessä VI esitetyistä sovellettavista tukitoimialoista johtuvat asiaankuuluvat kriteerit. Oman pääoman ehtoisen, oman pääoman luonteisen ra</w:t>
      </w:r>
      <w:r>
        <w:rPr>
          <w:rFonts w:ascii="Times New Roman" w:hAnsi="Times New Roman"/>
        </w:rPr>
        <w:t xml:space="preserve">hoituksen, yritysjoukkolainojen tai vastaavien välineiden, joita ei ole kohdennettu tiettyihin hankkeisiin, lopullisten tuensaajien on esitettävä perustelut valituille tukitoimialoille. Toteutuskumppanin on myös toimitettava jäsenvaltiolle puolivuosittain </w:t>
      </w:r>
      <w:r>
        <w:rPr>
          <w:rFonts w:ascii="Times New Roman" w:hAnsi="Times New Roman"/>
        </w:rPr>
        <w:t>kertomus kunkin hankkeen/toimen täytäntöönpanosta.</w:t>
      </w:r>
    </w:p>
  </w:footnote>
  <w:footnote w:id="220">
    <w:p w14:paraId="0CEAF157" w14:textId="202361A4"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sähkön ja/tai lämmön tuotantoa koskevia hankkeita sekä niihin liittyvää maakaasua käyttävää siirto- ja jakeluinfrastruktuuria, jotka täyttävät ”ei merkittä</w:t>
      </w:r>
      <w:r>
        <w:rPr>
          <w:rFonts w:ascii="Times New Roman" w:hAnsi="Times New Roman"/>
        </w:rPr>
        <w:t xml:space="preserve">vää haittaa” -asiakirjan (2021/C58/01) liitteessä III vahvistetut edellytykset; ja b) ii alakohdassa tarkoitetut toiminnot ja omaisuuserät, joiden osalta fossiilisten polttoaineiden käyttö on väliaikaista ja teknisesti väistämätöntä, jotta voidaan siirtyä </w:t>
      </w:r>
      <w:r>
        <w:rPr>
          <w:rFonts w:ascii="Times New Roman" w:hAnsi="Times New Roman"/>
        </w:rPr>
        <w:t>oikea-aikaisesti kohti fossiilitonta toimintaa.</w:t>
      </w:r>
    </w:p>
  </w:footnote>
  <w:footnote w:id="221">
    <w:p w14:paraId="2C3945BD"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w:t>
      </w:r>
      <w:r>
        <w:rPr>
          <w:rFonts w:ascii="Times New Roman" w:hAnsi="Times New Roman"/>
        </w:rPr>
        <w:t>mahdollista. Vertailuarvot, jotka on vahvistettu maksutta jaettavia päästöoikeuksia varten päästökauppajärjestelmän soveltamisalaan kuuluville toiminnoille komission täytäntöönpanoasetuksen (EU) 2021/447 mukaisesti.</w:t>
      </w:r>
    </w:p>
  </w:footnote>
  <w:footnote w:id="222">
    <w:p w14:paraId="2C3520CE"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Tämä soveltamisalan ulkopuolelle jättä</w:t>
      </w:r>
      <w:r>
        <w:rPr>
          <w:rFonts w:ascii="Times New Roman" w:hAnsi="Times New Roman"/>
        </w:rPr>
        <w:t>minen ei koske tämän toimenpiteen mukaisia toimia laitoksissa, jotka on tarkoitettu yksinomaan kierrätettäväksi kelpaamattoman vaarallisen jätteen käsittelyyn, eikä olemassa olevissa laitoksissa, joissa tämän toimenpiteen mukaisilla toimilla pyritään lisää</w:t>
      </w:r>
      <w:r>
        <w:rPr>
          <w:rFonts w:ascii="Times New Roman" w:hAnsi="Times New Roman"/>
        </w:rPr>
        <w:t>mään energiatehokkuutta, ottamaan talteen kaasuja varastointia tai käyttöä varten tai ottamaan talteen materiaalit polttotuhkasta, edellyttäen, että tällaiset tämän toimenpiteen mukaiset toimet eivät johda laitoksen jätteenkäsittelykapasiteetin kasvuun tai</w:t>
      </w:r>
      <w:r>
        <w:rPr>
          <w:rFonts w:ascii="Times New Roman" w:hAnsi="Times New Roman"/>
        </w:rPr>
        <w:t xml:space="preserve"> laitosten käyttöiän pidentämiseen; tästä toimitetaan näyttöä laitoskohtaisesti.</w:t>
      </w:r>
    </w:p>
  </w:footnote>
  <w:footnote w:id="223">
    <w:p w14:paraId="0D383AB5"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poikkeusta ei sovelleta tämän toimenpiteen mukaisiin toimiin olemassa olevissa mekaanisissa biologisissa käsittelylaitoksissa, jos tämän toimenpiteen mukaisilla toimill</w:t>
      </w:r>
      <w:r>
        <w:rPr>
          <w:rFonts w:ascii="Times New Roman" w:hAnsi="Times New Roman"/>
        </w:rPr>
        <w:t>a pyritään lisäämään resurssitehokkuutta tai jälkiasennuksia erotetun jätteen kierrätystoimiin biojätteen kompostoimiseksi ja biojätteen anaerobiseksi mädätystoiminnaksi edellyttäen, että tällaiset tämän toimenpiteen mukaiset toimet eivät lisää laitosten j</w:t>
      </w:r>
      <w:r>
        <w:rPr>
          <w:rFonts w:ascii="Times New Roman" w:hAnsi="Times New Roman"/>
        </w:rPr>
        <w:t>ätteenkäsittelykapasiteettia tai pidennä laitosten käyttöikää; tästä toimitetaan näyttöä laitoskohtaisesti.</w:t>
      </w:r>
    </w:p>
  </w:footnote>
  <w:footnote w:id="224">
    <w:p w14:paraId="4130EA40" w14:textId="09A9E3DA" w:rsidR="000E48CE" w:rsidRDefault="00FF4C4E">
      <w:pPr>
        <w:pStyle w:val="FootnoteText"/>
        <w:ind w:left="0" w:firstLine="0"/>
        <w:rPr>
          <w:rFonts w:eastAsia="Times New Roman" w:cs="Times New Roman"/>
        </w:rPr>
      </w:pPr>
      <w:r>
        <w:rPr>
          <w:rStyle w:val="FootnoteReference"/>
          <w:rFonts w:cs="Times New Roman"/>
        </w:rPr>
        <w:footnoteRef/>
      </w:r>
      <w:r>
        <w:t></w:t>
      </w:r>
      <w:r>
        <w:t></w:t>
      </w:r>
      <w:r>
        <w:t></w:t>
      </w:r>
      <w:r>
        <w:t></w:t>
      </w:r>
      <w:r>
        <w:t></w:t>
      </w:r>
      <w:r>
        <w:t></w:t>
      </w:r>
      <w:r>
        <w:t></w:t>
      </w:r>
      <w:r>
        <w:t></w:t>
      </w:r>
      <w:r>
        <w:t></w:t>
      </w:r>
      <w:r>
        <w:t></w:t>
      </w:r>
      <w:r>
        <w:t></w:t>
      </w:r>
      <w:r>
        <w:t></w:t>
      </w:r>
      <w:r>
        <w:t></w:t>
      </w:r>
      <w:r>
        <w:t></w:t>
      </w:r>
      <w:r>
        <w:t></w:t>
      </w:r>
      <w:r>
        <w:t></w:t>
      </w:r>
      <w:r>
        <w:t></w:t>
      </w:r>
      <w:r>
        <w:t></w:t>
      </w:r>
      <w:r>
        <w:t></w:t>
      </w:r>
      <w:r>
        <w:t></w:t>
      </w:r>
      <w:r>
        <w:t></w:t>
      </w:r>
      <w:r>
        <w:rPr>
          <w:rFonts w:ascii="Times New Roman" w:hAnsi="Times New Roman"/>
        </w:rPr>
        <w:t>katsotaan keskittyvän ”huomattavasti” johonkin toimialaan tai liiketoimintaan, jos tällaisen toimialan tai toiminnan katsotaan</w:t>
      </w:r>
      <w:r>
        <w:rPr>
          <w:rFonts w:ascii="Times New Roman" w:hAnsi="Times New Roman"/>
        </w:rPr>
        <w:t xml:space="preserve"> olevan olennainen osa lopullisen tuensaajan liiketoimintaa suhteessa lopullisen tuensaajan bruttotuloihin, voittoon tai asiakaskuntaan. Rajoitetun alan tai toiminnan bruttotulot saavat joka tapauksessa olla enintään 50 prosenttia bruttotuloista.</w:t>
      </w:r>
    </w:p>
  </w:footnote>
  <w:footnote w:id="225">
    <w:p w14:paraId="0C977172" w14:textId="0CF1A8ED" w:rsidR="000E48CE" w:rsidRDefault="00FF4C4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Lukuun </w:t>
      </w:r>
      <w:r>
        <w:rPr>
          <w:rFonts w:ascii="Times New Roman" w:hAnsi="Times New Roman"/>
          <w:sz w:val="20"/>
        </w:rPr>
        <w:t>ottamatta a) sähkön ja/tai lämmön tuotantoon liittyviä omaisuuseriä ja toimintoja sekä niihin liittyvää maakaasua käyttävää siirto- ja jakeluinfrastruktuuria, jotka täyttävät ”ei merkittävää haittaa” -ohjeiden (2021/C58/01) liitteessä III vahvistetut edell</w:t>
      </w:r>
      <w:r>
        <w:rPr>
          <w:rFonts w:ascii="Times New Roman" w:hAnsi="Times New Roman"/>
          <w:sz w:val="20"/>
        </w:rPr>
        <w:t>ytykset; ja b) ii alakohdassa tarkoitetut toiminnot ja omaisuuserät, joiden osalta fossiilisten polttoaineiden käyttö on väliaikaista ja teknisesti väistämätöntä, jotta voidaan siirtyä oikea-aikaisesti kohti fossiilitonta toimintaa.</w:t>
      </w:r>
    </w:p>
  </w:footnote>
  <w:footnote w:id="226">
    <w:p w14:paraId="28E7CDE0" w14:textId="77777777" w:rsidR="000E48CE" w:rsidRDefault="00FF4C4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Mukaan lukien EU:n pä</w:t>
      </w:r>
      <w:r>
        <w:rPr>
          <w:rFonts w:ascii="Times New Roman" w:hAnsi="Times New Roman"/>
          <w:sz w:val="20"/>
        </w:rPr>
        <w:t>ästökauppajärjestelmään kuuluvat toiminnot ja omaisuuserät, joilla saavutetaan ennustetut kasvihuonekaasupäästöt, jotka eivät alita asiaankuuluvia vertailuarvoja. Jos tuetulla toiminnalla saavutetaan ennustetut kasvihuonekaasupäästöt, jotka eivät ole merki</w:t>
      </w:r>
      <w:r>
        <w:rPr>
          <w:rFonts w:ascii="Times New Roman" w:hAnsi="Times New Roman"/>
          <w:sz w:val="20"/>
        </w:rPr>
        <w:t>ttävästi alhaisemmat kuin asiaankuuluvat vertailuarvot, on annettava selvitys syistä, joiden vuoksi tämä ei ole mahdollista. Vertailuarvot, jotka on vahvistettu maksutta jaettavia päästöoikeuksia varten päästökauppajärjestelmän soveltamisalaan kuuluville t</w:t>
      </w:r>
      <w:r>
        <w:rPr>
          <w:rFonts w:ascii="Times New Roman" w:hAnsi="Times New Roman"/>
          <w:sz w:val="20"/>
        </w:rPr>
        <w:t>oiminnoille komission täytäntöönpanoasetuksen (EU) 2021/447 mukaisesti.</w:t>
      </w:r>
    </w:p>
  </w:footnote>
  <w:footnote w:id="227">
    <w:p w14:paraId="5FD1CB56" w14:textId="77777777" w:rsidR="000E48CE" w:rsidRDefault="00FF4C4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Saastuttavat ajoneuvot määritellään päästöttömiksi ajoneuvoiksi.</w:t>
      </w:r>
    </w:p>
  </w:footnote>
  <w:footnote w:id="228">
    <w:p w14:paraId="0E728E98" w14:textId="77777777" w:rsidR="000E48CE" w:rsidRDefault="00FF4C4E">
      <w:pPr>
        <w:pStyle w:val="FootnoteText"/>
        <w:ind w:left="0" w:firstLine="0"/>
        <w:rPr>
          <w:rFonts w:eastAsia="Times New Roman" w:cs="Times New Roman"/>
        </w:rPr>
      </w:pPr>
      <w:r>
        <w:rPr>
          <w:rStyle w:val="FootnoteReference"/>
          <w:rFonts w:cs="Times New Roman"/>
        </w:rPr>
        <w:footnoteRef/>
      </w:r>
      <w:r>
        <w:t></w:t>
      </w:r>
      <w:r>
        <w:t></w:t>
      </w:r>
      <w:r>
        <w:t></w:t>
      </w:r>
      <w:r>
        <w:rPr>
          <w:rFonts w:ascii="Times New Roman" w:hAnsi="Times New Roman"/>
        </w:rPr>
        <w:t>jättäminen soveltamisalan ulkopuolelle ei koske toimia laitoksissa, jotka on tarkoitettu yksinomaan kierrätyskelv</w:t>
      </w:r>
      <w:r>
        <w:rPr>
          <w:rFonts w:ascii="Times New Roman" w:hAnsi="Times New Roman"/>
        </w:rPr>
        <w:t>ottoman vaarallisen jätteen käsittelyyn, eikä olemassa olevissa laitoksissa, jos tämän toimenpiteen mukaisilla toimilla pyritään lisäämään energiatehokkuutta, ottamaan talteen pakokaasuja varastointia tai käyttöä varten tai ottamaan talteen materiaaleja po</w:t>
      </w:r>
      <w:r>
        <w:rPr>
          <w:rFonts w:ascii="Times New Roman" w:hAnsi="Times New Roman"/>
        </w:rPr>
        <w:t>lttotuhkasta, edellyttäen, että tällaiset tämän toimenpiteen mukaiset toimet eivät lisää laitosten jätteenkäsittelykapasiteettia tai pidennä laitosten käyttöikää; joista toimitetaan näyttöä laitostasolla</w:t>
      </w:r>
    </w:p>
  </w:footnote>
  <w:footnote w:id="229">
    <w:p w14:paraId="0D7294A6" w14:textId="75DB1B02"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Tiettyihin hankkeisiin osallistuvien</w:t>
      </w:r>
      <w:r>
        <w:rPr>
          <w:rStyle w:val="normaltextrun"/>
          <w:rFonts w:ascii="Times New Roman" w:hAnsi="Times New Roman"/>
          <w:bdr w:val="none" w:sz="0" w:space="0" w:color="auto" w:frame="1"/>
        </w:rPr>
        <w:t>lopullisten tu</w:t>
      </w:r>
      <w:r>
        <w:rPr>
          <w:rStyle w:val="normaltextrun"/>
          <w:rFonts w:ascii="Times New Roman" w:hAnsi="Times New Roman"/>
          <w:bdr w:val="none" w:sz="0" w:space="0" w:color="auto" w:frame="1"/>
        </w:rPr>
        <w:t xml:space="preserve">ensaajien on esitettävä kunkin tuetun hankkeen osalta valitun tukitoimialan perustelut sekä hankkeen kuvaus ilmastoosuuden laskemista varten. </w:t>
      </w:r>
      <w:r>
        <w:rPr>
          <w:rFonts w:ascii="Times New Roman" w:hAnsi="Times New Roman"/>
        </w:rPr>
        <w:t>Ilmastoosuuden laskemiseksi sellaisten oman pääoman ehtoisten, oman pääoman luonteisten joukkovelkakirjalainojen t</w:t>
      </w:r>
      <w:r>
        <w:rPr>
          <w:rFonts w:ascii="Times New Roman" w:hAnsi="Times New Roman"/>
        </w:rPr>
        <w:t>ai vastaavien välineiden osalta, joita ei ole kohdennettu tiettyihin hankkeisiin, on käytettävä perusteita, joilla edellytetään, että vähintään 90 prosenttia tuensaajan edellisen varainhoitovuoden tuloista tai liiketoimintasuunnitelman mukaisista tulevista</w:t>
      </w:r>
      <w:r>
        <w:rPr>
          <w:rFonts w:ascii="Times New Roman" w:hAnsi="Times New Roman"/>
        </w:rPr>
        <w:t xml:space="preserve"> tuloista saadaan toiminnasta, joka täyttää elpymis- ja palautumistukivälinettä koskevan asetuksen liitteessä VI esitetyistä sovellettavista tukitoimialoista johtuvat asiaankuuluvat kriteerit. Oman pääoman ehtoisen, oman pääoman luonteisen rahoituksen, yri</w:t>
      </w:r>
      <w:r>
        <w:rPr>
          <w:rFonts w:ascii="Times New Roman" w:hAnsi="Times New Roman"/>
        </w:rPr>
        <w:t>tysjoukkolainojen tai vastaavien välineiden, joita ei ole kohdennettu tiettyihin hankkeisiin, lopullisten tuensaajien on esitettävä perustelut valituille tukitoimialoille. Toteutuskumppanin on myös toimitettava jäsenvaltiolle puolivuosittain kertomus kunki</w:t>
      </w:r>
      <w:r>
        <w:rPr>
          <w:rFonts w:ascii="Times New Roman" w:hAnsi="Times New Roman"/>
        </w:rPr>
        <w:t>n hankkeen/toimen täytäntöönpanosta.</w:t>
      </w:r>
    </w:p>
  </w:footnote>
  <w:footnote w:id="230">
    <w:p w14:paraId="6CE385F1"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 tuetulla toiminnalla saavutetaan ennustetut kasvihuonekaasupäästöt, jotka eivät ole merkittävästi alhaisempia kuin asianomaiset vertailuarvot, olisi annettava selvitys syistä, joiden vuoksi tämä ei ole mahdollista</w:t>
      </w:r>
      <w:r>
        <w:rPr>
          <w:rFonts w:ascii="Times New Roman" w:hAnsi="Times New Roman"/>
        </w:rPr>
        <w:t>. Vertailuarvot, jotka on vahvistettu maksutta jaettavia päästöoikeuksia varten päästökauppajärjestelmän soveltamisalaan kuuluville toiminnoille komission täytäntöönpanoasetuksen (EU) 2021/447 mukaisesti.</w:t>
      </w:r>
    </w:p>
  </w:footnote>
  <w:footnote w:id="231">
    <w:p w14:paraId="6F965A25" w14:textId="0865A121"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s</w:t>
      </w:r>
      <w:r>
        <w:rPr>
          <w:rFonts w:ascii="Times New Roman" w:hAnsi="Times New Roman"/>
        </w:rPr>
        <w:t>ähkön ja/tai lämmön tuotantoa koskevia hankkeita sekä niihin liittyvää maakaasua käyttävää siirto- ja jakeluinfrastruktuuria, jotka täyttävät ”ei merkittävää haittaa” -asiakirjan (2021/C58/01) liitteessä III vahvistetut edellytykset; ja b) i alakohdan muka</w:t>
      </w:r>
      <w:r>
        <w:rPr>
          <w:rFonts w:ascii="Times New Roman" w:hAnsi="Times New Roman"/>
        </w:rPr>
        <w:t>iset toiminnot ja omaisuuserät, joissa fossiilisten polttoaineiden käyttö on väliaikaista ja teknisesti väistämätöntä, jotta voidaan siirtyä oikea-aikaisesti kohti fossiilitonta toimintaa.  </w:t>
      </w:r>
    </w:p>
  </w:footnote>
  <w:footnote w:id="232">
    <w:p w14:paraId="760D3759" w14:textId="1C73F552"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Tiettyihin hankkeisiin osallistuvien lopullisten tuensaajien on</w:t>
      </w:r>
      <w:r>
        <w:rPr>
          <w:rFonts w:ascii="Times New Roman" w:hAnsi="Times New Roman"/>
        </w:rPr>
        <w:t xml:space="preserve"> esitettävä kunkin tuetun hankkeen osalta valitun tukitoimialan perustelut sekä hankkeen kuvaus ilmastoosuuden laskemista varten. Toteutuskumppanin on myös toimitettava jäsenvaltiolle puolivuosittain kertomus kunkin hankkeen/toimen täytäntöönpanosta.</w:t>
      </w:r>
    </w:p>
  </w:footnote>
  <w:footnote w:id="233">
    <w:p w14:paraId="6356E7D5" w14:textId="77777777"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Jos</w:t>
      </w:r>
      <w:r>
        <w:rPr>
          <w:rFonts w:ascii="Times New Roman" w:hAnsi="Times New Roman"/>
        </w:rPr>
        <w:t xml:space="preserve"> tuetulla toiminnalla saavutetaan ennustetut kasvihuonekaasupäästöt, jotka eivät ole merkittävästi alhaisempia kuin asianomaiset vertailuarvot, olisi annettava selvitys syistä, joiden vuoksi tämä ei ole mahdollista. Vertailuarvot, jotka on vahvistettu maks</w:t>
      </w:r>
      <w:r>
        <w:rPr>
          <w:rFonts w:ascii="Times New Roman" w:hAnsi="Times New Roman"/>
        </w:rPr>
        <w:t>utta jaettavia päästöoikeuksia varten päästökauppajärjestelmän soveltamisalaan kuuluville toiminnoille komission täytäntöönpanoasetuksen (EU) 2021/447 mukaisesti.</w:t>
      </w:r>
    </w:p>
  </w:footnote>
  <w:footnote w:id="234">
    <w:p w14:paraId="37BEC07E" w14:textId="3DE32C94"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Lukuun ottamatta a) tämän toimenpiteen mukaisia sähkön ja/tai lämmön tuotantoa koskevia han</w:t>
      </w:r>
      <w:r>
        <w:rPr>
          <w:rFonts w:ascii="Times New Roman" w:hAnsi="Times New Roman"/>
        </w:rPr>
        <w:t>kkeita sekä niihin liittyvää maakaasua käyttävää siirto- ja jakeluinfrastruktuuria, jotka täyttävät ”ei merkittävää haittaa” -asiakirjan (2021/C58/01) liitteessä III vahvistetut edellytykset; ja b) i alakohdan mukaiset toiminnot ja omaisuuserät, joissa fos</w:t>
      </w:r>
      <w:r>
        <w:rPr>
          <w:rFonts w:ascii="Times New Roman" w:hAnsi="Times New Roman"/>
        </w:rPr>
        <w:t>siilisten polttoaineiden käyttö on väliaikaista ja teknisesti väistämätöntä, jotta voidaan siirtyä oikea-aikaisesti kohti fossiilitonta toimintaa.  </w:t>
      </w:r>
    </w:p>
  </w:footnote>
  <w:footnote w:id="235">
    <w:p w14:paraId="5FA2FFA8" w14:textId="35A535C4" w:rsidR="000E48CE" w:rsidRDefault="00FF4C4E">
      <w:pPr>
        <w:pStyle w:val="FootnoteText"/>
        <w:ind w:left="0" w:firstLine="0"/>
      </w:pPr>
      <w:r>
        <w:rPr>
          <w:rStyle w:val="FootnoteReference"/>
        </w:rPr>
        <w:footnoteRef/>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Fonts w:ascii="Times New Roman"/>
        </w:rPr>
        <w:t>lopullisten edunsaajien on esitett</w:t>
      </w:r>
      <w:r>
        <w:rPr>
          <w:rFonts w:ascii="Times New Roman"/>
        </w:rPr>
        <w:t></w:t>
      </w:r>
      <w:r>
        <w:rPr>
          <w:rFonts w:ascii="Times New Roman"/>
        </w:rPr>
        <w:t>v</w:t>
      </w:r>
      <w:r>
        <w:rPr>
          <w:rFonts w:ascii="Times New Roman"/>
        </w:rPr>
        <w:t></w:t>
      </w:r>
      <w:r>
        <w:rPr>
          <w:rFonts w:ascii="Times New Roman"/>
        </w:rPr>
        <w:t xml:space="preserve"> perustelut kullekin tuetulle hankkeelle valitusta toiminta-alasta sek</w:t>
      </w:r>
      <w:r>
        <w:rPr>
          <w:rFonts w:ascii="Times New Roman"/>
        </w:rPr>
        <w:t></w:t>
      </w:r>
      <w:r>
        <w:rPr>
          <w:rFonts w:ascii="Times New Roman"/>
        </w:rPr>
        <w:t xml:space="preserve"> hankkeen kuvaus. Toteutuskumppanin on my</w:t>
      </w:r>
      <w:r>
        <w:rPr>
          <w:rFonts w:ascii="Times New Roman"/>
        </w:rPr>
        <w:t></w:t>
      </w:r>
      <w:r>
        <w:rPr>
          <w:rFonts w:ascii="Times New Roman"/>
        </w:rPr>
        <w:t>s toimitettava j</w:t>
      </w:r>
      <w:r>
        <w:rPr>
          <w:rFonts w:ascii="Times New Roman"/>
        </w:rPr>
        <w:t></w:t>
      </w:r>
      <w:r>
        <w:rPr>
          <w:rFonts w:ascii="Times New Roman"/>
        </w:rPr>
        <w:t>senvaltiolle puolivuosittain kertomus kunkin hankkeen/toimen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npanosta</w:t>
      </w:r>
      <w:r>
        <w:rPr>
          <w:rFonts w:ascii="Times New Roman"/>
        </w:rPr>
        <w:t>.</w:t>
      </w:r>
    </w:p>
  </w:footnote>
  <w:footnote w:id="236">
    <w:p w14:paraId="6868A12E" w14:textId="77777777" w:rsidR="000E48CE" w:rsidRDefault="00FF4C4E">
      <w:pPr>
        <w:pStyle w:val="P68B1DB1-Text148"/>
        <w:ind w:left="0"/>
        <w:rPr>
          <w:rFonts w:cs="Times New Roman"/>
        </w:rPr>
      </w:pPr>
      <w:r>
        <w:footnoteRef/>
      </w:r>
      <w:r>
        <w:t>Jos tuetulla toiminnalla saavutetaan ennustetut kasvihuonekaasupäästöt, jotka eivät ole merkittävästi alhaisempia kuin asianomaiset vertailuarvot, olisi annettava selvitys syistä, joiden vuoksi tämä ei ole mahdollista. Vertailuarvot, jotka on vahvistett</w:t>
      </w:r>
      <w:r>
        <w:t>u maksutta jaettavia päästöoikeuksia varten päästökauppajärjestelmän soveltamisalaan kuuluville toiminnoille komission täytäntöönpanoasetuksen (EU) 2021/447 mukaisesti.</w:t>
      </w:r>
    </w:p>
  </w:footnote>
  <w:footnote w:id="237">
    <w:p w14:paraId="10FC5D32" w14:textId="49DE9569" w:rsidR="000E48CE" w:rsidRDefault="00FF4C4E">
      <w:pPr>
        <w:pStyle w:val="P68B1DB1-Text148"/>
        <w:ind w:left="0"/>
        <w:rPr>
          <w:rFonts w:cs="Times New Roman"/>
        </w:rPr>
      </w:pPr>
      <w:r>
        <w:footnoteRef/>
      </w:r>
      <w:r>
        <w:t>Lukuun ottamatta a) tämän toimenpiteen mukaisia sähkön ja/tai lämmön tuotantoa koskevi</w:t>
      </w:r>
      <w:r>
        <w:t>a hankkeita sekä niihin liittyvää maakaasua käyttävää siirto- ja jakeluinfrastruktuuria, jotka täyttävät ”ei merkittävää haittaa” -asiakirjan (2021/C58/01) liitteessä III vahvistetut edellytykset; ja b) i alakohdan mukaiset toiminnot ja omaisuuserät, joiss</w:t>
      </w:r>
      <w:r>
        <w:t>a fossiilisten polttoaineiden käyttö on väliaikaista ja teknisesti väistämätöntä, jotta voidaan siirtyä oikea-aikaisesti kohti fossiilitonta toimintaa.</w:t>
      </w:r>
      <w:r>
        <w:rPr>
          <w:shd w:val="clear" w:color="auto" w:fill="E6E6E6"/>
        </w:rPr>
        <w:t xml:space="preserve"> </w:t>
      </w:r>
    </w:p>
  </w:footnote>
  <w:footnote w:id="238">
    <w:p w14:paraId="3C9007D4" w14:textId="02F64EC4" w:rsidR="000E48CE" w:rsidRDefault="00FF4C4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Tiettyihin hankkeisiin osallistuvien lopullisten tuensaajien on esitettävä kunkin tuetun hankkeen osa</w:t>
      </w:r>
      <w:r>
        <w:rPr>
          <w:rFonts w:ascii="Times New Roman" w:hAnsi="Times New Roman"/>
        </w:rPr>
        <w:t>lta valitun tukitoimialan perustelut sekä hankkeen kuvaus ilmastoosuuden laskemista varten. Toteutuskumppanin on myös toimitettava jäsenvaltiolle puolivuosittain kertomus kunkin hankkeen/toimen täytäntöönpanosta.</w:t>
      </w:r>
    </w:p>
  </w:footnote>
  <w:footnote w:id="239">
    <w:p w14:paraId="1233B08D" w14:textId="77777777" w:rsidR="000E48CE" w:rsidRDefault="00FF4C4E">
      <w:pPr>
        <w:pStyle w:val="P68B1DB1-Text148"/>
        <w:ind w:left="0"/>
        <w:rPr>
          <w:rFonts w:cs="Times New Roman"/>
        </w:rPr>
      </w:pPr>
      <w:r>
        <w:footnoteRef/>
      </w:r>
      <w:r>
        <w:t>Jos tuetulla toiminnalla saavutetaan ennus</w:t>
      </w:r>
      <w:r>
        <w:t>tetut kasvihuonekaasupäästöt, jotka eivät ole merkittävästi alhaisempia kuin asianomaiset vertailuarvot, olisi annettava selvitys syistä, joiden vuoksi tämä ei ole mahdollista. Vertailuarvot, jotka on vahvistettu maksutta jaettavia päästöoikeuksia varten p</w:t>
      </w:r>
      <w:r>
        <w:t>äästökauppajärjestelmän soveltamisalaan kuuluville toiminnoille komission täytäntöönpanoasetuksen (EU) 2021/447 mukaisesti.</w:t>
      </w:r>
    </w:p>
  </w:footnote>
  <w:footnote w:id="240">
    <w:p w14:paraId="6408CE36" w14:textId="4A7E8992" w:rsidR="000E48CE" w:rsidRDefault="00FF4C4E">
      <w:pPr>
        <w:pStyle w:val="P68B1DB1-Text148"/>
        <w:ind w:left="0"/>
        <w:rPr>
          <w:rFonts w:cs="Times New Roman"/>
        </w:rPr>
      </w:pPr>
      <w:r>
        <w:footnoteRef/>
      </w:r>
      <w:r>
        <w:t>Lukuun ottamatta a) tämän toimenpiteen mukaisia sähkön ja/tai lämmön tuotantoa koskevia hankkeita sekä niihin liittyvää maakaasua k</w:t>
      </w:r>
      <w:r>
        <w:t>äyttävää siirto- ja jakeluinfrastruktuuria, jotka täyttävät ”ei merkittävää haittaa” -asiakirjan (2021/C58/01) liitteessä III vahvistetut edellytykset; ja b) i alakohdan mukaiset toiminnot ja omaisuuserät, joissa fossiilisten polttoaineiden käyttö on välia</w:t>
      </w:r>
      <w:r>
        <w:t>ikaista ja teknisesti väistämätöntä, jotta voidaan siirtyä oikea-aikaisesti kohti fossiilitonta toimintaa.</w:t>
      </w:r>
      <w:r>
        <w:rPr>
          <w:shd w:val="clear" w:color="auto" w:fill="E6E6E6"/>
        </w:rPr>
        <w:t xml:space="preserve"> </w:t>
      </w:r>
    </w:p>
  </w:footnote>
  <w:footnote w:id="241">
    <w:p w14:paraId="1E257A9A" w14:textId="0DADCBE4" w:rsidR="000E48CE" w:rsidRDefault="00FF4C4E">
      <w:pPr>
        <w:pStyle w:val="FootnoteText"/>
        <w:ind w:left="0" w:firstLine="0"/>
      </w:pPr>
      <w:r>
        <w:rPr>
          <w:rStyle w:val="FootnoteReference"/>
        </w:rPr>
        <w:footnoteRef/>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Fonts w:ascii="Times New Roman"/>
        </w:rPr>
        <w:t>lopullisten edunsaajien on esi</w:t>
      </w:r>
      <w:r>
        <w:rPr>
          <w:rFonts w:ascii="Times New Roman"/>
        </w:rPr>
        <w:t>tett</w:t>
      </w:r>
      <w:r>
        <w:rPr>
          <w:rFonts w:ascii="Times New Roman"/>
        </w:rPr>
        <w:t></w:t>
      </w:r>
      <w:r>
        <w:rPr>
          <w:rFonts w:ascii="Times New Roman"/>
        </w:rPr>
        <w:t>v</w:t>
      </w:r>
      <w:r>
        <w:rPr>
          <w:rFonts w:ascii="Times New Roman"/>
        </w:rPr>
        <w:t></w:t>
      </w:r>
      <w:r>
        <w:rPr>
          <w:rFonts w:ascii="Times New Roman"/>
        </w:rPr>
        <w:t xml:space="preserve"> perustelut kullekin tuetulle hankkeelle valitusta toiminta-alasta sek</w:t>
      </w:r>
      <w:r>
        <w:rPr>
          <w:rFonts w:ascii="Times New Roman"/>
        </w:rPr>
        <w:t></w:t>
      </w:r>
      <w:r>
        <w:rPr>
          <w:rFonts w:ascii="Times New Roman"/>
        </w:rPr>
        <w:t xml:space="preserve"> hankkeen kuvaus. Toteutuskumppanin on my</w:t>
      </w:r>
      <w:r>
        <w:rPr>
          <w:rFonts w:ascii="Times New Roman"/>
        </w:rPr>
        <w:t></w:t>
      </w:r>
      <w:r>
        <w:rPr>
          <w:rFonts w:ascii="Times New Roman"/>
        </w:rPr>
        <w:t>s toimitettava j</w:t>
      </w:r>
      <w:r>
        <w:rPr>
          <w:rFonts w:ascii="Times New Roman"/>
        </w:rPr>
        <w:t></w:t>
      </w:r>
      <w:r>
        <w:rPr>
          <w:rFonts w:ascii="Times New Roman"/>
        </w:rPr>
        <w:t>senvaltiolle puolivuosittain kertomus kunkin hankkeen/toimen t</w:t>
      </w:r>
      <w:r>
        <w:rPr>
          <w:rFonts w:ascii="Times New Roman"/>
        </w:rPr>
        <w:t></w:t>
      </w:r>
      <w:r>
        <w:rPr>
          <w:rFonts w:ascii="Times New Roman"/>
        </w:rPr>
        <w:t>yt</w:t>
      </w:r>
      <w:r>
        <w:rPr>
          <w:rFonts w:ascii="Times New Roman"/>
        </w:rPr>
        <w:t></w:t>
      </w:r>
      <w:r>
        <w:rPr>
          <w:rFonts w:ascii="Times New Roman"/>
        </w:rPr>
        <w:t>nt</w:t>
      </w:r>
      <w:r>
        <w:rPr>
          <w:rFonts w:ascii="Times New Roman"/>
        </w:rPr>
        <w:t></w:t>
      </w:r>
      <w:r>
        <w:rPr>
          <w:rFonts w:ascii="Times New Roman"/>
        </w:rPr>
        <w:t></w:t>
      </w:r>
      <w:r>
        <w:rPr>
          <w:rFonts w:ascii="Times New Roman"/>
        </w:rPr>
        <w:t>npanosta.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CEE" w14:textId="77777777" w:rsidR="00FF4C4E" w:rsidRPr="00FF4C4E" w:rsidRDefault="00FF4C4E" w:rsidP="00FF4C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880C" w14:textId="77777777" w:rsidR="000E48CE" w:rsidRDefault="000E48C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20B7F" w14:textId="77777777" w:rsidR="000E48CE" w:rsidRDefault="000E48C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9A35" w14:textId="77777777" w:rsidR="000E48CE" w:rsidRDefault="000E48CE">
    <w:pPr>
      <w:pStyle w:val="HeaderSensitivityRigh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B8F9" w14:textId="77777777" w:rsidR="000E48CE" w:rsidRDefault="000E48C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22BD" w14:textId="77777777" w:rsidR="000E48CE" w:rsidRDefault="000E48C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5953D" w14:textId="77777777" w:rsidR="000E48CE" w:rsidRDefault="000E48CE">
    <w:pPr>
      <w:pStyle w:val="HeaderSensitivityRigh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100A" w14:textId="77777777" w:rsidR="000E48CE" w:rsidRDefault="000E48C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E6FD" w14:textId="77777777" w:rsidR="000E48CE" w:rsidRDefault="000E48CE">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5D76" w14:textId="77777777" w:rsidR="000E48CE" w:rsidRDefault="000E48CE">
    <w:pPr>
      <w:pStyle w:val="HeaderSensitivityRigh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DD031" w14:textId="77777777" w:rsidR="000E48CE" w:rsidRDefault="000E48C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7C52" w14:textId="77777777" w:rsidR="000E48CE" w:rsidRDefault="000E48C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53C2" w14:textId="77777777" w:rsidR="000E48CE" w:rsidRDefault="000E48CE">
    <w:pPr>
      <w:pStyle w:val="HeaderSensitivityRight"/>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2A093" w14:textId="77777777" w:rsidR="000E48CE" w:rsidRDefault="000E48CE">
    <w:pPr>
      <w:pStyle w:val="HeaderSensitivityRigh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FEBD" w14:textId="77777777" w:rsidR="000E48CE" w:rsidRDefault="000E48C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55F6" w14:textId="77777777" w:rsidR="000E48CE" w:rsidRDefault="000E48C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35CA3" w14:textId="77777777" w:rsidR="000E48CE" w:rsidRDefault="000E48CE">
    <w:pPr>
      <w:pStyle w:val="HeaderSensitivityRigh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53C1" w14:textId="77777777" w:rsidR="000E48CE" w:rsidRDefault="000E48C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E7B0" w14:textId="77777777" w:rsidR="000E48CE" w:rsidRDefault="000E48C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C91D" w14:textId="77777777" w:rsidR="000E48CE" w:rsidRDefault="000E48CE">
    <w:pPr>
      <w:pStyle w:val="HeaderSensitivityRigh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804D" w14:textId="77777777" w:rsidR="000E48CE" w:rsidRDefault="000E48C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1C32" w14:textId="77777777" w:rsidR="000E48CE" w:rsidRDefault="000E48C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7C8CE" w14:textId="77777777" w:rsidR="000E48CE" w:rsidRDefault="000E48CE">
    <w:pPr>
      <w:pStyle w:val="HeaderSensitivity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953D2" w14:textId="77777777" w:rsidR="000E48CE" w:rsidRDefault="000E48C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3390" w14:textId="77777777" w:rsidR="000E48CE" w:rsidRDefault="000E48C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21B6E" w14:textId="77777777" w:rsidR="000E48CE" w:rsidRDefault="000E48C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D17" w14:textId="77777777" w:rsidR="000E48CE" w:rsidRDefault="000E48CE">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2C87C" w14:textId="77777777" w:rsidR="000E48CE" w:rsidRDefault="000E48C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B6E1" w14:textId="77777777" w:rsidR="000E48CE" w:rsidRDefault="000E48CE">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BB283" w14:textId="77777777" w:rsidR="000E48CE" w:rsidRDefault="000E48CE">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40E5" w14:textId="77777777" w:rsidR="000E48CE" w:rsidRDefault="000E48C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E49EC" w14:textId="77777777" w:rsidR="000E48CE" w:rsidRDefault="000E48CE">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374A" w14:textId="77777777" w:rsidR="000E48CE" w:rsidRDefault="000E48CE">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A353" w14:textId="77777777" w:rsidR="000E48CE" w:rsidRDefault="000E48C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0DC7" w14:textId="77777777" w:rsidR="000E48CE" w:rsidRDefault="000E48CE">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E72D" w14:textId="77777777" w:rsidR="000E48CE" w:rsidRDefault="000E48CE">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877D" w14:textId="77777777" w:rsidR="000E48CE" w:rsidRDefault="000E48CE">
    <w:pPr>
      <w:pStyle w:val="HeaderSensitivityRigh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0545" w14:textId="77777777" w:rsidR="000E48CE" w:rsidRDefault="000E48C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316FA" w14:textId="77777777" w:rsidR="000E48CE" w:rsidRDefault="000E48C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8188E" w14:textId="77777777" w:rsidR="000E48CE" w:rsidRDefault="000E48CE">
    <w:pPr>
      <w:pStyle w:val="HeaderSensitivityRight"/>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2ACE" w14:textId="77777777" w:rsidR="000E48CE" w:rsidRDefault="000E48C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A155" w14:textId="77777777" w:rsidR="000E48CE" w:rsidRDefault="000E48CE">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8C54" w14:textId="77777777" w:rsidR="000E48CE" w:rsidRDefault="000E48CE">
    <w:pPr>
      <w:pStyle w:val="HeaderSensitivityRigh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7F12C" w14:textId="77777777" w:rsidR="000E48CE" w:rsidRDefault="000E48CE">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33DD" w14:textId="77777777" w:rsidR="000E48CE" w:rsidRDefault="000E48C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A922" w14:textId="77777777" w:rsidR="000E48CE" w:rsidRDefault="000E48CE">
    <w:pPr>
      <w:pStyle w:val="HeaderSensitivityRight"/>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6AEA0" w14:textId="77777777" w:rsidR="000E48CE" w:rsidRDefault="000E48CE">
    <w:pPr>
      <w:pStyle w:val="HeaderSensitivityRight"/>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D01A" w14:textId="77777777" w:rsidR="000E48CE" w:rsidRDefault="000E48CE">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E73E8" w14:textId="77777777" w:rsidR="000E48CE" w:rsidRDefault="000E48CE">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A82" w14:textId="77777777" w:rsidR="000E48CE" w:rsidRDefault="000E48CE">
    <w:pPr>
      <w:pStyle w:val="HeaderSensitivityRight"/>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4B85B" w14:textId="77777777" w:rsidR="000E48CE" w:rsidRDefault="000E48CE">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9E94" w14:textId="77777777" w:rsidR="000E48CE" w:rsidRDefault="000E48C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1C3E" w14:textId="77777777" w:rsidR="000E48CE" w:rsidRDefault="000E48CE">
    <w:pPr>
      <w:pStyle w:val="HeaderSensitivityRight"/>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C6E7" w14:textId="77777777" w:rsidR="000E48CE" w:rsidRDefault="000E48CE">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2A91" w14:textId="77777777" w:rsidR="000E48CE" w:rsidRDefault="000E48CE">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88D6C" w14:textId="77777777" w:rsidR="000E48CE" w:rsidRDefault="000E48CE">
    <w:pPr>
      <w:pStyle w:val="HeaderSensitivity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31FD" w14:textId="77777777" w:rsidR="000E48CE" w:rsidRDefault="000E48CE">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D8239" w14:textId="77777777" w:rsidR="000E48CE" w:rsidRDefault="000E48CE">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B3C72" w14:textId="77777777" w:rsidR="000E48CE" w:rsidRDefault="000E48CE">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00DF" w14:textId="77777777" w:rsidR="000E48CE" w:rsidRDefault="000E48CE">
    <w:pPr>
      <w:pStyle w:val="HeaderSensitivityRight"/>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D604" w14:textId="77777777" w:rsidR="000E48CE" w:rsidRDefault="000E48CE">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C2639" w14:textId="77777777" w:rsidR="000E48CE" w:rsidRDefault="000E48CE">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35135" w14:textId="77777777" w:rsidR="000E48CE" w:rsidRDefault="000E48CE">
    <w:pPr>
      <w:pStyle w:val="HeaderSensitivityRight"/>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EC8F" w14:textId="77777777" w:rsidR="000E48CE" w:rsidRDefault="000E48CE">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D236" w14:textId="77777777" w:rsidR="000E48CE" w:rsidRDefault="000E48CE">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6AEA" w14:textId="77777777" w:rsidR="000E48CE" w:rsidRDefault="000E48CE">
    <w:pPr>
      <w:pStyle w:val="HeaderSensitivityRight"/>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CD92" w14:textId="77777777" w:rsidR="000E48CE" w:rsidRDefault="000E48C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A520" w14:textId="77777777" w:rsidR="000E48CE" w:rsidRDefault="000E48CE">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6C147" w14:textId="77777777" w:rsidR="000E48CE" w:rsidRDefault="000E48CE">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9BC8" w14:textId="77777777" w:rsidR="000E48CE" w:rsidRDefault="000E48CE">
    <w:pPr>
      <w:pStyle w:val="HeaderSensitivityRight"/>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2103" w14:textId="77777777" w:rsidR="000E48CE" w:rsidRDefault="000E48CE">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E89F" w14:textId="77777777" w:rsidR="000E48CE" w:rsidRDefault="000E48CE">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76B5" w14:textId="77777777" w:rsidR="000E48CE" w:rsidRDefault="000E48CE">
    <w:pPr>
      <w:pStyle w:val="HeaderSensitivityRight"/>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208DC" w14:textId="77777777" w:rsidR="000E48CE" w:rsidRDefault="000E48CE">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A4E7" w14:textId="77777777" w:rsidR="000E48CE" w:rsidRDefault="000E48CE">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E977" w14:textId="77777777" w:rsidR="000E48CE" w:rsidRDefault="000E48CE">
    <w:pPr>
      <w:pStyle w:val="HeaderSensitivityRight"/>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1D65" w14:textId="77777777" w:rsidR="000E48CE" w:rsidRDefault="000E48CE">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32DE4" w14:textId="77777777" w:rsidR="000E48CE" w:rsidRDefault="000E48C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5776F" w14:textId="77777777" w:rsidR="000E48CE" w:rsidRDefault="000E48CE">
    <w:pPr>
      <w:pStyle w:val="HeaderSensitivityRight"/>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B2300" w14:textId="77777777" w:rsidR="000E48CE" w:rsidRDefault="000E48CE">
    <w:pPr>
      <w:pStyle w:val="HeaderSensitivityRight"/>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7EB48" w14:textId="77777777" w:rsidR="000E48CE" w:rsidRDefault="000E48C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23A56" w14:textId="77777777" w:rsidR="000E48CE" w:rsidRDefault="000E48CE">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B3285" w14:textId="77777777" w:rsidR="000E48CE" w:rsidRDefault="000E48CE">
    <w:pPr>
      <w:pStyle w:val="HeaderSensitivityRight"/>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ACE28" w14:textId="77777777" w:rsidR="000E48CE" w:rsidRDefault="000E48CE">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DBBC" w14:textId="77777777" w:rsidR="000E48CE" w:rsidRDefault="000E48CE">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1E169" w14:textId="77777777" w:rsidR="000E48CE" w:rsidRDefault="000E48CE">
    <w:pPr>
      <w:pStyle w:val="HeaderSensitivityRight"/>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BB26" w14:textId="77777777" w:rsidR="000E48CE" w:rsidRDefault="000E48CE">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0CA7" w14:textId="77777777" w:rsidR="000E48CE" w:rsidRDefault="000E48CE">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3178C" w14:textId="77777777" w:rsidR="000E48CE" w:rsidRDefault="000E48CE">
    <w:pPr>
      <w:pStyle w:val="HeaderSensitivity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8183" w14:textId="77777777" w:rsidR="000E48CE" w:rsidRDefault="000E48CE">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E7C7" w14:textId="77777777" w:rsidR="000E48CE" w:rsidRDefault="000E48CE">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E8E9" w14:textId="77777777" w:rsidR="000E48CE" w:rsidRDefault="000E48CE">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F691" w14:textId="77777777" w:rsidR="000E48CE" w:rsidRDefault="000E48CE">
    <w:pPr>
      <w:pStyle w:val="HeaderSensitivityRight"/>
    </w:pPr>
  </w:p>
  <w:p w14:paraId="7AFEC7F4" w14:textId="77777777" w:rsidR="000E48CE" w:rsidRDefault="000E48CE">
    <w:pPr>
      <w:pStyle w:val="HeaderSensitivityRight"/>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21EC" w14:textId="77777777" w:rsidR="000E48CE" w:rsidRDefault="000E48CE">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DF64" w14:textId="77777777" w:rsidR="000E48CE" w:rsidRDefault="000E48CE">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CBAD" w14:textId="77777777" w:rsidR="000E48CE" w:rsidRDefault="000E48CE">
    <w:pPr>
      <w:pStyle w:val="HeaderSensitivityRight"/>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4D68" w14:textId="77777777" w:rsidR="000E48CE" w:rsidRDefault="000E48CE">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F8E05" w14:textId="77777777" w:rsidR="000E48CE" w:rsidRDefault="000E48CE">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14FE" w14:textId="77777777" w:rsidR="000E48CE" w:rsidRDefault="000E48CE">
    <w:pPr>
      <w:pStyle w:val="HeaderSensitivityRight"/>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2AD9" w14:textId="77777777" w:rsidR="000E48CE" w:rsidRDefault="000E48C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0D4CB" w14:textId="77777777" w:rsidR="000E48CE" w:rsidRDefault="000E48CE">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D251E" w14:textId="77777777" w:rsidR="000E48CE" w:rsidRDefault="000E48CE">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4553" w14:textId="77777777" w:rsidR="000E48CE" w:rsidRDefault="000E48CE">
    <w:pPr>
      <w:pStyle w:val="HeaderSensitivityRight"/>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4DBB" w14:textId="77777777" w:rsidR="000E48CE" w:rsidRDefault="000E48CE">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786D" w14:textId="77777777" w:rsidR="000E48CE" w:rsidRDefault="000E48CE">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C6A03" w14:textId="77777777" w:rsidR="000E48CE" w:rsidRDefault="000E48CE">
    <w:pPr>
      <w:pStyle w:val="HeaderSensitivityRight"/>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C85C" w14:textId="77777777" w:rsidR="000E48CE" w:rsidRDefault="000E48CE">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97B4" w14:textId="77777777" w:rsidR="000E48CE" w:rsidRDefault="000E48CE">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EF9A" w14:textId="77777777" w:rsidR="000E48CE" w:rsidRDefault="000E48CE">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795B" w14:textId="77777777" w:rsidR="000E48CE" w:rsidRDefault="000E48CE">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44E4" w14:textId="77777777" w:rsidR="000E48CE" w:rsidRDefault="000E48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C5F5C" w14:textId="77777777" w:rsidR="00FF4C4E" w:rsidRPr="00FF4C4E" w:rsidRDefault="00FF4C4E" w:rsidP="00FF4C4E">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F54F" w14:textId="77777777" w:rsidR="000E48CE" w:rsidRDefault="000E48CE">
    <w:pPr>
      <w:pStyle w:val="HeaderSensitivityRight"/>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24BE0" w14:textId="77777777" w:rsidR="000E48CE" w:rsidRDefault="000E48CE">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B890" w14:textId="77777777" w:rsidR="000E48CE" w:rsidRDefault="000E48CE">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872D" w14:textId="77777777" w:rsidR="000E48CE" w:rsidRDefault="000E48CE">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DCD3" w14:textId="77777777" w:rsidR="000E48CE" w:rsidRDefault="000E48CE">
    <w:pPr>
      <w:pStyle w:val="HeaderSensitivityRight"/>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830F5" w14:textId="77777777" w:rsidR="000E48CE" w:rsidRDefault="000E48CE">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ED7F" w14:textId="77777777" w:rsidR="000E48CE" w:rsidRDefault="000E48CE">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186C" w14:textId="77777777" w:rsidR="000E48CE" w:rsidRDefault="000E48CE">
    <w:pPr>
      <w:pStyle w:val="HeaderSensitivityRight"/>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AB8AF" w14:textId="77777777" w:rsidR="000E48CE" w:rsidRDefault="000E48CE">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1C90" w14:textId="77777777" w:rsidR="000E48CE" w:rsidRDefault="000E48CE">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849E1" w14:textId="77777777" w:rsidR="000E48CE" w:rsidRDefault="000E48CE">
    <w:pPr>
      <w:pStyle w:val="HeaderSensitivity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AC8F" w14:textId="77777777" w:rsidR="000E48CE" w:rsidRDefault="000E48CE">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3A80" w14:textId="77777777" w:rsidR="000E48CE" w:rsidRDefault="000E48CE">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0F93" w14:textId="77777777" w:rsidR="000E48CE" w:rsidRDefault="000E48CE">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AA77F" w14:textId="77777777" w:rsidR="000E48CE" w:rsidRDefault="000E48CE">
    <w:pPr>
      <w:pStyle w:val="HeaderSensitivityRight"/>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3CCF" w14:textId="77777777" w:rsidR="000E48CE" w:rsidRDefault="000E48CE">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3EBC" w14:textId="77777777" w:rsidR="000E48CE" w:rsidRDefault="000E48CE">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6BD4" w14:textId="77777777" w:rsidR="000E48CE" w:rsidRDefault="000E48CE">
    <w:pPr>
      <w:pStyle w:val="HeaderSensitivityRight"/>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1265" w14:textId="77777777" w:rsidR="000E48CE" w:rsidRDefault="000E48CE">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E3A7" w14:textId="77777777" w:rsidR="000E48CE" w:rsidRDefault="000E48CE">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0DFE4" w14:textId="77777777" w:rsidR="000E48CE" w:rsidRDefault="000E48CE">
    <w:pPr>
      <w:pStyle w:val="HeaderSensitivityRight"/>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8BA7" w14:textId="77777777" w:rsidR="000E48CE" w:rsidRDefault="000E48C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E3F6" w14:textId="77777777" w:rsidR="000E48CE" w:rsidRDefault="000E48CE">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542A" w14:textId="77777777" w:rsidR="000E48CE" w:rsidRDefault="000E48CE">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88C9" w14:textId="77777777" w:rsidR="000E48CE" w:rsidRDefault="000E48CE">
    <w:pPr>
      <w:pStyle w:val="HeaderSensitivityRight"/>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1DD8" w14:textId="77777777" w:rsidR="000E48CE" w:rsidRDefault="000E48CE">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B44B" w14:textId="77777777" w:rsidR="000E48CE" w:rsidRDefault="000E48CE">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FA3F" w14:textId="77777777" w:rsidR="000E48CE" w:rsidRDefault="000E48CE">
    <w:pPr>
      <w:pStyle w:val="HeaderSensitivityRight"/>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8D015" w14:textId="77777777" w:rsidR="000E48CE" w:rsidRDefault="000E48CE">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D1D9" w14:textId="77777777" w:rsidR="000E48CE" w:rsidRDefault="000E48CE">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C15F" w14:textId="77777777" w:rsidR="000E48CE" w:rsidRDefault="000E48CE">
    <w:pPr>
      <w:pStyle w:val="HeaderSensitivityRight"/>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68F0" w14:textId="77777777" w:rsidR="000E48CE" w:rsidRDefault="000E48CE">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82B0B" w14:textId="77777777" w:rsidR="000E48CE" w:rsidRDefault="000E48C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34AF6" w14:textId="77777777" w:rsidR="000E48CE" w:rsidRDefault="000E48CE">
    <w:pPr>
      <w:pStyle w:val="HeaderSensitivityRight"/>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CD80" w14:textId="77777777" w:rsidR="000E48CE" w:rsidRDefault="000E48CE">
    <w:pPr>
      <w:pStyle w:val="HeaderSensitivityRight"/>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E8C5" w14:textId="77777777" w:rsidR="000E48CE" w:rsidRDefault="000E48CE">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5194" w14:textId="77777777" w:rsidR="000E48CE" w:rsidRDefault="000E48CE">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D2DCD" w14:textId="77777777" w:rsidR="000E48CE" w:rsidRDefault="000E48CE">
    <w:pPr>
      <w:pStyle w:val="HeaderSensitivityRight"/>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88A3" w14:textId="77777777" w:rsidR="000E48CE" w:rsidRDefault="000E48CE">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0A7B" w14:textId="77777777" w:rsidR="000E48CE" w:rsidRDefault="000E48CE">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D3F8" w14:textId="77777777" w:rsidR="000E48CE" w:rsidRDefault="000E48CE">
    <w:pPr>
      <w:pStyle w:val="HeaderSensitivityRight"/>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1C33" w14:textId="77777777" w:rsidR="000E48CE" w:rsidRDefault="000E48CE">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AA08" w14:textId="77777777" w:rsidR="000E48CE" w:rsidRDefault="000E48CE">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1274" w14:textId="77777777" w:rsidR="000E48CE" w:rsidRDefault="000E48CE">
    <w:pPr>
      <w:pStyle w:val="HeaderSensitivity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2798" w14:textId="77777777" w:rsidR="000E48CE" w:rsidRDefault="000E48CE">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427CB" w14:textId="77777777" w:rsidR="000E48CE" w:rsidRDefault="000E48CE">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F5A4" w14:textId="77777777" w:rsidR="000E48CE" w:rsidRDefault="000E48CE">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A15EC" w14:textId="77777777" w:rsidR="000E48CE" w:rsidRDefault="000E48CE">
    <w:pPr>
      <w:pStyle w:val="HeaderSensitivityRight"/>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5BE8" w14:textId="77777777" w:rsidR="000E48CE" w:rsidRDefault="000E48CE">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50E5" w14:textId="77777777" w:rsidR="000E48CE" w:rsidRDefault="000E48CE">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64FB" w14:textId="77777777" w:rsidR="000E48CE" w:rsidRDefault="000E48CE">
    <w:pPr>
      <w:pStyle w:val="HeaderSensitivityRight"/>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BDD7" w14:textId="77777777" w:rsidR="000E48CE" w:rsidRDefault="000E48CE">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1D1C" w14:textId="77777777" w:rsidR="000E48CE" w:rsidRDefault="000E48CE">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10982" w14:textId="77777777" w:rsidR="000E48CE" w:rsidRDefault="000E48CE">
    <w:pPr>
      <w:pStyle w:val="HeaderSensitivityRight"/>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FB2D" w14:textId="77777777" w:rsidR="000E48CE" w:rsidRDefault="000E48C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C25F5" w14:textId="77777777" w:rsidR="00996749" w:rsidRDefault="00996749">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2648" w14:textId="77777777" w:rsidR="000E48CE" w:rsidRDefault="000E48CE">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06525" w14:textId="77777777" w:rsidR="000E48CE" w:rsidRDefault="000E48CE">
    <w:pPr>
      <w:pStyle w:val="HeaderSensitivityRight"/>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D287" w14:textId="77777777" w:rsidR="000E48CE" w:rsidRDefault="000E48CE">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8BFC" w14:textId="77777777" w:rsidR="000E48CE" w:rsidRDefault="000E48CE">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B9C5" w14:textId="77777777" w:rsidR="000E48CE" w:rsidRDefault="000E48CE">
    <w:pPr>
      <w:pStyle w:val="HeaderSensitivityRight"/>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AE40" w14:textId="77777777" w:rsidR="000E48CE" w:rsidRDefault="000E48CE">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9514" w14:textId="77777777" w:rsidR="000E48CE" w:rsidRDefault="000E48CE">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DD0F" w14:textId="77777777" w:rsidR="000E48CE" w:rsidRDefault="000E48CE">
    <w:pPr>
      <w:pStyle w:val="HeaderSensitivityRight"/>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496A3" w14:textId="77777777" w:rsidR="000E48CE" w:rsidRDefault="000E48CE">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7B1B" w14:textId="77777777" w:rsidR="000E48CE" w:rsidRDefault="000E48C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19BAC" w14:textId="77777777" w:rsidR="00996749" w:rsidRDefault="00996749">
    <w:pPr>
      <w:pStyle w:val="HeaderSensitivityRight"/>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8792" w14:textId="77777777" w:rsidR="000E48CE" w:rsidRDefault="000E48CE">
    <w:pPr>
      <w:pStyle w:val="HeaderSensitivityRight"/>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3C52" w14:textId="77777777" w:rsidR="000E48CE" w:rsidRDefault="000E48CE">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348D" w14:textId="77777777" w:rsidR="000E48CE" w:rsidRDefault="000E48CE">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5C85" w14:textId="77777777" w:rsidR="000E48CE" w:rsidRDefault="000E48CE">
    <w:pPr>
      <w:pStyle w:val="HeaderSensitivityRight"/>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EA1D" w14:textId="77777777" w:rsidR="000E48CE" w:rsidRDefault="000E48CE">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A64B6" w14:textId="77777777" w:rsidR="000E48CE" w:rsidRDefault="000E48CE">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3E17" w14:textId="77777777" w:rsidR="000E48CE" w:rsidRDefault="000E48CE">
    <w:pPr>
      <w:pStyle w:val="HeaderSensitivityRight"/>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7E02" w14:textId="77777777" w:rsidR="000E48CE" w:rsidRDefault="000E48CE">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6764" w14:textId="77777777" w:rsidR="000E48CE" w:rsidRDefault="000E48CE">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3CA7" w14:textId="4608651B" w:rsidR="000E48CE" w:rsidRDefault="000E48CE">
    <w:pPr>
      <w:pStyle w:val="Header"/>
      <w:jc w:val="center"/>
    </w:pPr>
  </w:p>
  <w:p w14:paraId="3E93F50B" w14:textId="77777777" w:rsidR="000E48CE" w:rsidRDefault="000E48CE">
    <w:pPr>
      <w:pStyle w:val="HeaderSensitivityRigh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401F" w14:textId="77777777" w:rsidR="00996749" w:rsidRDefault="00996749">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20E1" w14:textId="77777777" w:rsidR="000E48CE" w:rsidRDefault="000E48CE">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AA47D" w14:textId="77777777" w:rsidR="000E48CE" w:rsidRDefault="000E48CE">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F3AF" w14:textId="77777777" w:rsidR="000E48CE" w:rsidRDefault="000E48CE">
    <w:pPr>
      <w:pStyle w:val="HeaderSensitivityRight"/>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98B4" w14:textId="77777777" w:rsidR="000E48CE" w:rsidRDefault="000E48CE">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61936" w14:textId="77777777" w:rsidR="000E48CE" w:rsidRDefault="000E48CE">
    <w:pPr>
      <w:pStyle w:val="Header"/>
    </w:pPr>
  </w:p>
  <w:p w14:paraId="097212D3" w14:textId="77777777" w:rsidR="000E48CE" w:rsidRDefault="000E48CE"/>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D3FB3" w14:textId="77777777" w:rsidR="000E48CE" w:rsidRDefault="000E48CE">
    <w:pPr>
      <w:pStyle w:val="HeaderSensitivityRight"/>
    </w:pPr>
  </w:p>
  <w:p w14:paraId="0911757F" w14:textId="77777777" w:rsidR="000E48CE" w:rsidRDefault="000E48CE"/>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B07C" w14:textId="77777777" w:rsidR="000E48CE" w:rsidRDefault="000E48CE">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755A" w14:textId="77777777" w:rsidR="000E48CE" w:rsidRDefault="000E48CE">
    <w:pPr>
      <w:pStyle w:val="Header"/>
    </w:pPr>
  </w:p>
  <w:p w14:paraId="0562C51B" w14:textId="77777777" w:rsidR="000E48CE" w:rsidRDefault="000E48CE"/>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2B57" w14:textId="77777777" w:rsidR="000E48CE" w:rsidRDefault="000E48CE">
    <w:pPr>
      <w:pStyle w:val="HeaderSensitivityRight"/>
    </w:pPr>
  </w:p>
  <w:p w14:paraId="10146766" w14:textId="77777777" w:rsidR="000E48CE" w:rsidRDefault="000E48CE"/>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2F12E" w14:textId="77777777" w:rsidR="000E48CE" w:rsidRDefault="000E48C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D8BD2" w14:textId="77777777" w:rsidR="00996749" w:rsidRDefault="00996749">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BD42" w14:textId="77777777" w:rsidR="000E48CE" w:rsidRDefault="000E48CE">
    <w:pPr>
      <w:pStyle w:val="Header"/>
    </w:pPr>
  </w:p>
  <w:p w14:paraId="7D5B71D4" w14:textId="77777777" w:rsidR="000E48CE" w:rsidRDefault="000E48CE"/>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4F785" w14:textId="77777777" w:rsidR="000E48CE" w:rsidRDefault="000E48CE">
    <w:pPr>
      <w:pStyle w:val="HeaderSensitivityRight"/>
    </w:pPr>
  </w:p>
  <w:p w14:paraId="07D86CDE" w14:textId="77777777" w:rsidR="000E48CE" w:rsidRDefault="000E48CE"/>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0904" w14:textId="77777777" w:rsidR="000E48CE" w:rsidRDefault="000E48CE">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A0AC" w14:textId="77777777" w:rsidR="000E48CE" w:rsidRDefault="000E48CE">
    <w:pPr>
      <w:pStyle w:val="Header"/>
    </w:pPr>
  </w:p>
  <w:p w14:paraId="5A7AF15D" w14:textId="77777777" w:rsidR="000E48CE" w:rsidRDefault="000E48CE"/>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03EDE" w14:textId="77777777" w:rsidR="000E48CE" w:rsidRDefault="000E48CE">
    <w:pPr>
      <w:pStyle w:val="HeaderSensitivityRight"/>
    </w:pPr>
  </w:p>
  <w:p w14:paraId="5E86F948" w14:textId="77777777" w:rsidR="000E48CE" w:rsidRDefault="000E48CE"/>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3CD3" w14:textId="77777777" w:rsidR="000E48CE" w:rsidRDefault="000E48CE">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7F45" w14:textId="77777777" w:rsidR="000E48CE" w:rsidRDefault="000E48CE">
    <w:pPr>
      <w:pStyle w:val="Header"/>
    </w:pPr>
  </w:p>
  <w:p w14:paraId="6B4087FA" w14:textId="77777777" w:rsidR="000E48CE" w:rsidRDefault="000E48CE"/>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E8EB" w14:textId="77777777" w:rsidR="000E48CE" w:rsidRDefault="000E48CE">
    <w:pPr>
      <w:pStyle w:val="HeaderSensitivityRight"/>
    </w:pPr>
  </w:p>
  <w:p w14:paraId="7422408E" w14:textId="77777777" w:rsidR="000E48CE" w:rsidRDefault="000E48CE"/>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ED0B3" w14:textId="77777777" w:rsidR="000E48CE" w:rsidRDefault="000E48CE">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96A2" w14:textId="77777777" w:rsidR="000E48CE" w:rsidRDefault="000E48CE">
    <w:pPr>
      <w:pStyle w:val="Header"/>
    </w:pPr>
  </w:p>
  <w:p w14:paraId="0F05B6BF" w14:textId="77777777" w:rsidR="000E48CE" w:rsidRDefault="000E48CE"/>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DF0B2" w14:textId="77777777" w:rsidR="00996749" w:rsidRDefault="00996749">
    <w:pPr>
      <w:pStyle w:val="HeaderSensitivityRight"/>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344EA" w14:textId="77777777" w:rsidR="000E48CE" w:rsidRDefault="000E48CE">
    <w:pPr>
      <w:pStyle w:val="HeaderSensitivityRight"/>
    </w:pPr>
  </w:p>
  <w:p w14:paraId="1BC7AAFD" w14:textId="77777777" w:rsidR="000E48CE" w:rsidRDefault="000E48CE"/>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1D7B9" w14:textId="77777777" w:rsidR="000E48CE" w:rsidRDefault="000E48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0985F" w14:textId="77777777" w:rsidR="00FF4C4E" w:rsidRPr="00FF4C4E" w:rsidRDefault="00FF4C4E" w:rsidP="00FF4C4E">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B365F" w14:textId="77777777" w:rsidR="00996749" w:rsidRDefault="0099674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0293" w14:textId="77777777" w:rsidR="000E48CE" w:rsidRDefault="000E48C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F2B7" w14:textId="77777777" w:rsidR="000E48CE" w:rsidRDefault="000E48CE">
    <w:pPr>
      <w:pStyle w:val="HeaderSensitivity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E312" w14:textId="77777777" w:rsidR="000E48CE" w:rsidRDefault="000E48C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3B45" w14:textId="77777777" w:rsidR="000E48CE" w:rsidRDefault="000E48C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608EF" w14:textId="77777777" w:rsidR="000E48CE" w:rsidRDefault="000E48CE">
    <w:pPr>
      <w:pStyle w:val="HeaderSensitivity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8CF8" w14:textId="77777777" w:rsidR="000E48CE" w:rsidRDefault="000E48C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FD40" w14:textId="77777777" w:rsidR="000E48CE" w:rsidRDefault="000E48C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3B16" w14:textId="77777777" w:rsidR="000E48CE" w:rsidRDefault="000E48CE">
    <w:pPr>
      <w:pStyle w:val="HeaderSensitivityRigh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D1D4" w14:textId="77777777" w:rsidR="000E48CE" w:rsidRDefault="000E48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3892" w14:textId="77777777" w:rsidR="000E48CE" w:rsidRDefault="000E48C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BC45" w14:textId="77777777" w:rsidR="000E48CE" w:rsidRDefault="000E48C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2915" w14:textId="77777777" w:rsidR="000E48CE" w:rsidRDefault="000E48CE">
    <w:pPr>
      <w:pStyle w:val="HeaderSensitivityRigh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9866" w14:textId="77777777" w:rsidR="000E48CE" w:rsidRDefault="000E48C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40E0" w14:textId="77777777" w:rsidR="000E48CE" w:rsidRDefault="000E48C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05DE" w14:textId="77777777" w:rsidR="000E48CE" w:rsidRDefault="000E48CE">
    <w:pPr>
      <w:pStyle w:val="HeaderSensitivityRigh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AA81" w14:textId="77777777" w:rsidR="000E48CE" w:rsidRDefault="000E48C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3FC6" w14:textId="77777777" w:rsidR="000E48CE" w:rsidRDefault="000E48C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F58C" w14:textId="77777777" w:rsidR="000E48CE" w:rsidRDefault="000E48CE">
    <w:pPr>
      <w:pStyle w:val="HeaderSensitivity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C9D5F" w14:textId="77777777" w:rsidR="000E48CE" w:rsidRDefault="000E48C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CD01" w14:textId="77777777" w:rsidR="000E48CE" w:rsidRDefault="000E48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6500" w14:textId="77777777" w:rsidR="000E48CE" w:rsidRDefault="000E48CE">
    <w:pPr>
      <w:pStyle w:val="HeaderSensitivityRigh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8ACFC" w14:textId="77777777" w:rsidR="000E48CE" w:rsidRDefault="000E48CE">
    <w:pPr>
      <w:pStyle w:val="HeaderSensitivityRigh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E47F7" w14:textId="77777777" w:rsidR="000E48CE" w:rsidRDefault="000E48C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35F5" w14:textId="77777777" w:rsidR="000E48CE" w:rsidRDefault="000E48C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EB829" w14:textId="77777777" w:rsidR="000E48CE" w:rsidRDefault="000E48CE">
    <w:pPr>
      <w:pStyle w:val="HeaderSensitivityRigh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B76A" w14:textId="77777777" w:rsidR="000E48CE" w:rsidRDefault="000E48C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CF6DB" w14:textId="77777777" w:rsidR="000E48CE" w:rsidRDefault="000E48C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C947" w14:textId="77777777" w:rsidR="000E48CE" w:rsidRDefault="000E48CE">
    <w:pPr>
      <w:pStyle w:val="HeaderSensitivityRigh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F95E" w14:textId="77777777" w:rsidR="000E48CE" w:rsidRDefault="000E48C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E47C2" w14:textId="77777777" w:rsidR="000E48CE" w:rsidRDefault="000E48C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32BFB" w14:textId="77777777" w:rsidR="000E48CE" w:rsidRDefault="000E48CE">
    <w:pPr>
      <w:pStyle w:val="HeaderSensitivity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F150" w14:textId="77777777" w:rsidR="000E48CE" w:rsidRDefault="000E48C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FA3C" w14:textId="77777777" w:rsidR="000E48CE" w:rsidRDefault="000E48C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2636" w14:textId="77777777" w:rsidR="000E48CE" w:rsidRDefault="000E48C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E4F5" w14:textId="77777777" w:rsidR="000E48CE" w:rsidRDefault="000E48CE">
    <w:pPr>
      <w:pStyle w:val="HeaderSensitivityRigh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08E0" w14:textId="77777777" w:rsidR="000E48CE" w:rsidRDefault="000E48C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89AB" w14:textId="77777777" w:rsidR="000E48CE" w:rsidRDefault="000E48C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FEC5C" w14:textId="77777777" w:rsidR="000E48CE" w:rsidRDefault="000E48CE">
    <w:pPr>
      <w:pStyle w:val="HeaderSensitivity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5870B" w14:textId="77777777" w:rsidR="000E48CE" w:rsidRDefault="000E48C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F7C16" w14:textId="77777777" w:rsidR="000E48CE" w:rsidRDefault="000E48C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FF1F" w14:textId="77777777" w:rsidR="000E48CE" w:rsidRDefault="000E48CE">
    <w:pPr>
      <w:pStyle w:val="HeaderSensitivityRigh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A051" w14:textId="77777777" w:rsidR="000E48CE" w:rsidRDefault="000E48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E7A80" w14:textId="77777777" w:rsidR="000E48CE" w:rsidRDefault="000E48C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82F3C" w14:textId="77777777" w:rsidR="000E48CE" w:rsidRDefault="000E48C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E3489" w14:textId="77777777" w:rsidR="000E48CE" w:rsidRDefault="000E48C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5D00" w14:textId="77777777" w:rsidR="000E48CE" w:rsidRDefault="000E48C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610E" w14:textId="77777777" w:rsidR="000E48CE" w:rsidRDefault="000E48C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2BA6" w14:textId="77777777" w:rsidR="000E48CE" w:rsidRDefault="000E48CE">
    <w:pPr>
      <w:pStyle w:val="HeaderSensitivityRigh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AD45" w14:textId="77777777" w:rsidR="000E48CE" w:rsidRDefault="000E48C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42F1D" w14:textId="77777777" w:rsidR="000E48CE" w:rsidRDefault="000E48C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D2828" w14:textId="77777777" w:rsidR="000E48CE" w:rsidRDefault="000E48CE">
    <w:pPr>
      <w:pStyle w:val="HeaderSensitivityRigh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752B" w14:textId="77777777" w:rsidR="000E48CE" w:rsidRDefault="000E48C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CC9B" w14:textId="77777777" w:rsidR="000E48CE" w:rsidRDefault="000E48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79" w14:textId="77777777" w:rsidR="000E48CE" w:rsidRDefault="000E48CE">
    <w:pPr>
      <w:pStyle w:val="HeaderSensitivityRigh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17E9" w14:textId="77777777" w:rsidR="000E48CE" w:rsidRDefault="000E48CE">
    <w:pPr>
      <w:pStyle w:val="HeaderSensitivityRigh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4B18D" w14:textId="77777777" w:rsidR="000E48CE" w:rsidRDefault="000E48C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A057" w14:textId="77777777" w:rsidR="000E48CE" w:rsidRDefault="000E48C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C4AD" w14:textId="77777777" w:rsidR="000E48CE" w:rsidRDefault="000E48CE">
    <w:pPr>
      <w:pStyle w:val="HeaderSensitivityRigh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5CAC" w14:textId="77777777" w:rsidR="000E48CE" w:rsidRDefault="000E48C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AE01" w14:textId="77777777" w:rsidR="000E48CE" w:rsidRDefault="000E48C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6F7AA" w14:textId="77777777" w:rsidR="000E48CE" w:rsidRDefault="000E48CE">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AADD" w14:textId="77777777" w:rsidR="000E48CE" w:rsidRDefault="000E48C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44DA" w14:textId="77777777" w:rsidR="000E48CE" w:rsidRDefault="000E48CE">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92296" w14:textId="77777777" w:rsidR="000E48CE" w:rsidRDefault="000E48CE">
    <w:pPr>
      <w:pStyle w:val="HeaderSensitivity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F28E" w14:textId="77777777" w:rsidR="000E48CE" w:rsidRDefault="000E48C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5FA" w14:textId="77777777" w:rsidR="000E48CE" w:rsidRDefault="000E48C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A375" w14:textId="77777777" w:rsidR="000E48CE" w:rsidRDefault="000E48C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7399" w14:textId="77777777" w:rsidR="000E48CE" w:rsidRDefault="000E48CE">
    <w:pPr>
      <w:pStyle w:val="HeaderSensitivityRigh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A7C8" w14:textId="77777777" w:rsidR="000E48CE" w:rsidRDefault="000E48C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3355" w14:textId="77777777" w:rsidR="000E48CE" w:rsidRDefault="000E48CE">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909B0" w14:textId="77777777" w:rsidR="000E48CE" w:rsidRDefault="000E48CE">
    <w:pPr>
      <w:pStyle w:val="HeaderSensitivityRigh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8875" w14:textId="77777777" w:rsidR="000E48CE" w:rsidRDefault="000E48C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46EB" w14:textId="77777777" w:rsidR="000E48CE" w:rsidRDefault="000E48C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B6A3E" w14:textId="77777777" w:rsidR="000E48CE" w:rsidRDefault="000E48CE">
    <w:pPr>
      <w:pStyle w:val="HeaderSensitivityRigh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CB4C" w14:textId="77777777" w:rsidR="000E48CE" w:rsidRDefault="000E4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egoe UI" w:hAnsi="Segoe UI" w:hint="default"/>
      </w:rPr>
    </w:lvl>
  </w:abstractNum>
  <w:abstractNum w:abstractNumId="1"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egoe UI" w:hAnsi="Segoe UI" w:hint="default"/>
      </w:rPr>
    </w:lvl>
  </w:abstractNum>
  <w:abstractNum w:abstractNumId="2"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egoe UI" w:hAnsi="Segoe UI" w:hint="default"/>
      </w:r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egoe UI" w:hAnsi="Segoe UI" w:hint="default"/>
      </w:rPr>
    </w:lvl>
  </w:abstractNum>
  <w:abstractNum w:abstractNumId="5" w15:restartNumberingAfterBreak="0">
    <w:nsid w:val="00417A79"/>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6" w15:restartNumberingAfterBreak="0">
    <w:nsid w:val="004D1FBB"/>
    <w:multiLevelType w:val="hybridMultilevel"/>
    <w:tmpl w:val="FFFFFFFF"/>
    <w:lvl w:ilvl="0" w:tplc="DD56CDB6">
      <w:start w:val="1"/>
      <w:numFmt w:val="bullet"/>
      <w:lvlText w:val="o"/>
      <w:lvlJc w:val="left"/>
      <w:pPr>
        <w:ind w:left="720" w:hanging="360"/>
      </w:pPr>
      <w:rPr>
        <w:rFonts w:ascii="&quot;Courier New&quot;" w:hAnsi="&quot;Courier New&quot;" w:hint="default"/>
      </w:rPr>
    </w:lvl>
    <w:lvl w:ilvl="1" w:tplc="4BC4FF74">
      <w:start w:val="1"/>
      <w:numFmt w:val="bullet"/>
      <w:lvlText w:val="o"/>
      <w:lvlJc w:val="left"/>
      <w:pPr>
        <w:ind w:left="1440" w:hanging="360"/>
      </w:pPr>
      <w:rPr>
        <w:rFonts w:ascii="Courier New" w:hAnsi="Courier New" w:hint="default"/>
      </w:rPr>
    </w:lvl>
    <w:lvl w:ilvl="2" w:tplc="C68EC658">
      <w:start w:val="1"/>
      <w:numFmt w:val="bullet"/>
      <w:lvlText w:val=""/>
      <w:lvlJc w:val="left"/>
      <w:pPr>
        <w:ind w:left="2160" w:hanging="360"/>
      </w:pPr>
      <w:rPr>
        <w:rFonts w:ascii="Wingdings" w:hAnsi="Wingdings" w:hint="default"/>
      </w:rPr>
    </w:lvl>
    <w:lvl w:ilvl="3" w:tplc="AA645220">
      <w:start w:val="1"/>
      <w:numFmt w:val="bullet"/>
      <w:lvlText w:val=""/>
      <w:lvlJc w:val="left"/>
      <w:pPr>
        <w:ind w:left="2880" w:hanging="360"/>
      </w:pPr>
      <w:rPr>
        <w:rFonts w:ascii="Symbol" w:hAnsi="Symbol" w:hint="default"/>
      </w:rPr>
    </w:lvl>
    <w:lvl w:ilvl="4" w:tplc="FA5AF430">
      <w:start w:val="1"/>
      <w:numFmt w:val="bullet"/>
      <w:lvlText w:val="o"/>
      <w:lvlJc w:val="left"/>
      <w:pPr>
        <w:ind w:left="3600" w:hanging="360"/>
      </w:pPr>
      <w:rPr>
        <w:rFonts w:ascii="Courier New" w:hAnsi="Courier New" w:hint="default"/>
      </w:rPr>
    </w:lvl>
    <w:lvl w:ilvl="5" w:tplc="912CBD80">
      <w:start w:val="1"/>
      <w:numFmt w:val="bullet"/>
      <w:lvlText w:val=""/>
      <w:lvlJc w:val="left"/>
      <w:pPr>
        <w:ind w:left="4320" w:hanging="360"/>
      </w:pPr>
      <w:rPr>
        <w:rFonts w:ascii="Wingdings" w:hAnsi="Wingdings" w:hint="default"/>
      </w:rPr>
    </w:lvl>
    <w:lvl w:ilvl="6" w:tplc="57F49B96">
      <w:start w:val="1"/>
      <w:numFmt w:val="bullet"/>
      <w:lvlText w:val=""/>
      <w:lvlJc w:val="left"/>
      <w:pPr>
        <w:ind w:left="5040" w:hanging="360"/>
      </w:pPr>
      <w:rPr>
        <w:rFonts w:ascii="Symbol" w:hAnsi="Symbol" w:hint="default"/>
      </w:rPr>
    </w:lvl>
    <w:lvl w:ilvl="7" w:tplc="56FC67CC">
      <w:start w:val="1"/>
      <w:numFmt w:val="bullet"/>
      <w:lvlText w:val="o"/>
      <w:lvlJc w:val="left"/>
      <w:pPr>
        <w:ind w:left="5760" w:hanging="360"/>
      </w:pPr>
      <w:rPr>
        <w:rFonts w:ascii="Courier New" w:hAnsi="Courier New" w:hint="default"/>
      </w:rPr>
    </w:lvl>
    <w:lvl w:ilvl="8" w:tplc="53845150">
      <w:start w:val="1"/>
      <w:numFmt w:val="bullet"/>
      <w:lvlText w:val=""/>
      <w:lvlJc w:val="left"/>
      <w:pPr>
        <w:ind w:left="6480" w:hanging="360"/>
      </w:pPr>
      <w:rPr>
        <w:rFonts w:ascii="Wingdings" w:hAnsi="Wingdings" w:hint="default"/>
      </w:rPr>
    </w:lvl>
  </w:abstractNum>
  <w:abstractNum w:abstractNumId="7" w15:restartNumberingAfterBreak="0">
    <w:nsid w:val="00516230"/>
    <w:multiLevelType w:val="hybridMultilevel"/>
    <w:tmpl w:val="E83ABE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0B1369F"/>
    <w:multiLevelType w:val="multilevel"/>
    <w:tmpl w:val="41C478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0EA3C85"/>
    <w:multiLevelType w:val="hybridMultilevel"/>
    <w:tmpl w:val="19DEA45A"/>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0EB7539"/>
    <w:multiLevelType w:val="multilevel"/>
    <w:tmpl w:val="B3AA2D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566728"/>
    <w:multiLevelType w:val="hybridMultilevel"/>
    <w:tmpl w:val="01D6B39C"/>
    <w:lvl w:ilvl="0" w:tplc="2ABE3490">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1B075CA"/>
    <w:multiLevelType w:val="hybridMultilevel"/>
    <w:tmpl w:val="FFFFFFFF"/>
    <w:lvl w:ilvl="0" w:tplc="2478814C">
      <w:start w:val="1"/>
      <w:numFmt w:val="bullet"/>
      <w:lvlText w:val=""/>
      <w:lvlJc w:val="left"/>
      <w:pPr>
        <w:ind w:left="720" w:hanging="360"/>
      </w:pPr>
      <w:rPr>
        <w:rFonts w:ascii="Segoe UI" w:hAnsi="Segoe UI" w:hint="default"/>
      </w:rPr>
    </w:lvl>
    <w:lvl w:ilvl="1" w:tplc="D4E03EA6">
      <w:start w:val="1"/>
      <w:numFmt w:val="bullet"/>
      <w:lvlText w:val="o"/>
      <w:lvlJc w:val="left"/>
      <w:pPr>
        <w:ind w:left="1440" w:hanging="360"/>
      </w:pPr>
      <w:rPr>
        <w:rFonts w:ascii="Courier New" w:hAnsi="Courier New" w:hint="default"/>
      </w:rPr>
    </w:lvl>
    <w:lvl w:ilvl="2" w:tplc="B74A024C">
      <w:start w:val="1"/>
      <w:numFmt w:val="bullet"/>
      <w:lvlText w:val=""/>
      <w:lvlJc w:val="left"/>
      <w:pPr>
        <w:ind w:left="2160" w:hanging="360"/>
      </w:pPr>
      <w:rPr>
        <w:rFonts w:ascii="Cambria Math" w:hAnsi="Cambria Math" w:hint="default"/>
      </w:rPr>
    </w:lvl>
    <w:lvl w:ilvl="3" w:tplc="85AA3D16">
      <w:start w:val="1"/>
      <w:numFmt w:val="bullet"/>
      <w:lvlText w:val=""/>
      <w:lvlJc w:val="left"/>
      <w:pPr>
        <w:ind w:left="2880" w:hanging="360"/>
      </w:pPr>
      <w:rPr>
        <w:rFonts w:ascii="Segoe UI" w:hAnsi="Segoe UI" w:hint="default"/>
      </w:rPr>
    </w:lvl>
    <w:lvl w:ilvl="4" w:tplc="D0FCD500">
      <w:start w:val="1"/>
      <w:numFmt w:val="bullet"/>
      <w:lvlText w:val="o"/>
      <w:lvlJc w:val="left"/>
      <w:pPr>
        <w:ind w:left="3600" w:hanging="360"/>
      </w:pPr>
      <w:rPr>
        <w:rFonts w:ascii="Courier New" w:hAnsi="Courier New" w:hint="default"/>
      </w:rPr>
    </w:lvl>
    <w:lvl w:ilvl="5" w:tplc="1AB4C24A">
      <w:start w:val="1"/>
      <w:numFmt w:val="bullet"/>
      <w:lvlText w:val=""/>
      <w:lvlJc w:val="left"/>
      <w:pPr>
        <w:ind w:left="4320" w:hanging="360"/>
      </w:pPr>
      <w:rPr>
        <w:rFonts w:ascii="Cambria Math" w:hAnsi="Cambria Math" w:hint="default"/>
      </w:rPr>
    </w:lvl>
    <w:lvl w:ilvl="6" w:tplc="1C0EB27A">
      <w:start w:val="1"/>
      <w:numFmt w:val="bullet"/>
      <w:lvlText w:val=""/>
      <w:lvlJc w:val="left"/>
      <w:pPr>
        <w:ind w:left="5040" w:hanging="360"/>
      </w:pPr>
      <w:rPr>
        <w:rFonts w:ascii="Segoe UI" w:hAnsi="Segoe UI" w:hint="default"/>
      </w:rPr>
    </w:lvl>
    <w:lvl w:ilvl="7" w:tplc="925E9846">
      <w:start w:val="1"/>
      <w:numFmt w:val="bullet"/>
      <w:lvlText w:val="o"/>
      <w:lvlJc w:val="left"/>
      <w:pPr>
        <w:ind w:left="5760" w:hanging="360"/>
      </w:pPr>
      <w:rPr>
        <w:rFonts w:ascii="Courier New" w:hAnsi="Courier New" w:hint="default"/>
      </w:rPr>
    </w:lvl>
    <w:lvl w:ilvl="8" w:tplc="3A8EC54A">
      <w:start w:val="1"/>
      <w:numFmt w:val="bullet"/>
      <w:lvlText w:val=""/>
      <w:lvlJc w:val="left"/>
      <w:pPr>
        <w:ind w:left="6480" w:hanging="360"/>
      </w:pPr>
      <w:rPr>
        <w:rFonts w:ascii="Cambria Math" w:hAnsi="Cambria Math" w:hint="default"/>
      </w:rPr>
    </w:lvl>
  </w:abstractNum>
  <w:abstractNum w:abstractNumId="13" w15:restartNumberingAfterBreak="0">
    <w:nsid w:val="01CF0F7B"/>
    <w:multiLevelType w:val="hybridMultilevel"/>
    <w:tmpl w:val="8E643414"/>
    <w:lvl w:ilvl="0" w:tplc="FFFFFFFF">
      <w:start w:val="1"/>
      <w:numFmt w:val="bullet"/>
      <w:lvlText w:val=""/>
      <w:lvlJc w:val="left"/>
      <w:pPr>
        <w:ind w:left="720" w:hanging="360"/>
      </w:pPr>
      <w:rPr>
        <w:rFonts w:ascii="Symbol" w:hAnsi="Symbol" w:hint="default"/>
        <w:b/>
        <w:bCs/>
      </w:rPr>
    </w:lvl>
    <w:lvl w:ilvl="1" w:tplc="1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1E15330"/>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1F77FC6"/>
    <w:multiLevelType w:val="hybridMultilevel"/>
    <w:tmpl w:val="2B909DD6"/>
    <w:lvl w:ilvl="0" w:tplc="18090001">
      <w:start w:val="1"/>
      <w:numFmt w:val="bullet"/>
      <w:lvlText w:val=""/>
      <w:lvlJc w:val="left"/>
      <w:pPr>
        <w:ind w:left="1069" w:hanging="360"/>
      </w:pPr>
      <w:rPr>
        <w:rFonts w:ascii="Symbol" w:hAnsi="Symbol" w:hint="default"/>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023E2662"/>
    <w:multiLevelType w:val="hybridMultilevel"/>
    <w:tmpl w:val="8A30D2AE"/>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7" w15:restartNumberingAfterBreak="0">
    <w:nsid w:val="025368DE"/>
    <w:multiLevelType w:val="multilevel"/>
    <w:tmpl w:val="90802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680501"/>
    <w:multiLevelType w:val="hybridMultilevel"/>
    <w:tmpl w:val="E9EA5A2C"/>
    <w:lvl w:ilvl="0" w:tplc="E2903D6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2EB10ED"/>
    <w:multiLevelType w:val="multilevel"/>
    <w:tmpl w:val="1F068C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2FC31BF"/>
    <w:multiLevelType w:val="hybridMultilevel"/>
    <w:tmpl w:val="411EA7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32A12F1"/>
    <w:multiLevelType w:val="hybridMultilevel"/>
    <w:tmpl w:val="6C52FE32"/>
    <w:lvl w:ilvl="0" w:tplc="0816001B">
      <w:start w:val="1"/>
      <w:numFmt w:val="lowerRoman"/>
      <w:lvlText w:val="%1."/>
      <w:lvlJc w:val="right"/>
      <w:pPr>
        <w:ind w:left="785" w:hanging="360"/>
      </w:p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03406DD5"/>
    <w:multiLevelType w:val="hybridMultilevel"/>
    <w:tmpl w:val="89087F6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03481329"/>
    <w:multiLevelType w:val="hybridMultilevel"/>
    <w:tmpl w:val="6CAA352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348229A"/>
    <w:multiLevelType w:val="hybridMultilevel"/>
    <w:tmpl w:val="396C7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34E7B81"/>
    <w:multiLevelType w:val="multilevel"/>
    <w:tmpl w:val="9C8E69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4F594C"/>
    <w:multiLevelType w:val="hybridMultilevel"/>
    <w:tmpl w:val="FFFFFFFF"/>
    <w:lvl w:ilvl="0" w:tplc="62F00CD8">
      <w:start w:val="1"/>
      <w:numFmt w:val="decimal"/>
      <w:lvlText w:val="%1."/>
      <w:lvlJc w:val="left"/>
      <w:pPr>
        <w:ind w:left="720" w:hanging="360"/>
      </w:pPr>
    </w:lvl>
    <w:lvl w:ilvl="1" w:tplc="1B74962E">
      <w:start w:val="1"/>
      <w:numFmt w:val="lowerLetter"/>
      <w:lvlText w:val="%2."/>
      <w:lvlJc w:val="left"/>
      <w:pPr>
        <w:ind w:left="1440" w:hanging="360"/>
      </w:pPr>
    </w:lvl>
    <w:lvl w:ilvl="2" w:tplc="CE06363E">
      <w:start w:val="1"/>
      <w:numFmt w:val="lowerRoman"/>
      <w:lvlText w:val="%3."/>
      <w:lvlJc w:val="right"/>
      <w:pPr>
        <w:ind w:left="2160" w:hanging="180"/>
      </w:pPr>
    </w:lvl>
    <w:lvl w:ilvl="3" w:tplc="7B0E5298">
      <w:start w:val="1"/>
      <w:numFmt w:val="decimal"/>
      <w:lvlText w:val="%4."/>
      <w:lvlJc w:val="left"/>
      <w:pPr>
        <w:ind w:left="2880" w:hanging="360"/>
      </w:pPr>
    </w:lvl>
    <w:lvl w:ilvl="4" w:tplc="1AD26024">
      <w:start w:val="1"/>
      <w:numFmt w:val="lowerLetter"/>
      <w:lvlText w:val="%5."/>
      <w:lvlJc w:val="left"/>
      <w:pPr>
        <w:ind w:left="3600" w:hanging="360"/>
      </w:pPr>
    </w:lvl>
    <w:lvl w:ilvl="5" w:tplc="D0C6C3C6">
      <w:start w:val="1"/>
      <w:numFmt w:val="lowerRoman"/>
      <w:lvlText w:val="%6."/>
      <w:lvlJc w:val="right"/>
      <w:pPr>
        <w:ind w:left="4320" w:hanging="180"/>
      </w:pPr>
    </w:lvl>
    <w:lvl w:ilvl="6" w:tplc="FDA2C45A">
      <w:start w:val="1"/>
      <w:numFmt w:val="decimal"/>
      <w:lvlText w:val="%7."/>
      <w:lvlJc w:val="left"/>
      <w:pPr>
        <w:ind w:left="5040" w:hanging="360"/>
      </w:pPr>
    </w:lvl>
    <w:lvl w:ilvl="7" w:tplc="5226FE5E">
      <w:start w:val="1"/>
      <w:numFmt w:val="lowerLetter"/>
      <w:lvlText w:val="%8."/>
      <w:lvlJc w:val="left"/>
      <w:pPr>
        <w:ind w:left="5760" w:hanging="360"/>
      </w:pPr>
    </w:lvl>
    <w:lvl w:ilvl="8" w:tplc="04A47EC2">
      <w:start w:val="1"/>
      <w:numFmt w:val="lowerRoman"/>
      <w:lvlText w:val="%9."/>
      <w:lvlJc w:val="right"/>
      <w:pPr>
        <w:ind w:left="6480" w:hanging="180"/>
      </w:pPr>
    </w:lvl>
  </w:abstractNum>
  <w:abstractNum w:abstractNumId="27" w15:restartNumberingAfterBreak="0">
    <w:nsid w:val="03743AFF"/>
    <w:multiLevelType w:val="hybridMultilevel"/>
    <w:tmpl w:val="FFFFFFFF"/>
    <w:lvl w:ilvl="0" w:tplc="27CAEB4E">
      <w:start w:val="1"/>
      <w:numFmt w:val="bullet"/>
      <w:lvlText w:val="·"/>
      <w:lvlJc w:val="left"/>
      <w:pPr>
        <w:ind w:left="720" w:hanging="360"/>
      </w:pPr>
      <w:rPr>
        <w:rFonts w:ascii="Symbol" w:hAnsi="Symbol" w:hint="default"/>
      </w:rPr>
    </w:lvl>
    <w:lvl w:ilvl="1" w:tplc="AC386D5C">
      <w:start w:val="1"/>
      <w:numFmt w:val="bullet"/>
      <w:lvlText w:val="o"/>
      <w:lvlJc w:val="left"/>
      <w:pPr>
        <w:ind w:left="1440" w:hanging="360"/>
      </w:pPr>
      <w:rPr>
        <w:rFonts w:ascii="Courier New" w:hAnsi="Courier New" w:hint="default"/>
      </w:rPr>
    </w:lvl>
    <w:lvl w:ilvl="2" w:tplc="CF42BB0E">
      <w:start w:val="1"/>
      <w:numFmt w:val="bullet"/>
      <w:lvlText w:val=""/>
      <w:lvlJc w:val="left"/>
      <w:pPr>
        <w:ind w:left="2160" w:hanging="360"/>
      </w:pPr>
      <w:rPr>
        <w:rFonts w:ascii="Wingdings" w:hAnsi="Wingdings" w:hint="default"/>
      </w:rPr>
    </w:lvl>
    <w:lvl w:ilvl="3" w:tplc="99863D88">
      <w:start w:val="1"/>
      <w:numFmt w:val="bullet"/>
      <w:lvlText w:val=""/>
      <w:lvlJc w:val="left"/>
      <w:pPr>
        <w:ind w:left="2880" w:hanging="360"/>
      </w:pPr>
      <w:rPr>
        <w:rFonts w:ascii="Symbol" w:hAnsi="Symbol" w:hint="default"/>
      </w:rPr>
    </w:lvl>
    <w:lvl w:ilvl="4" w:tplc="0E94865A">
      <w:start w:val="1"/>
      <w:numFmt w:val="bullet"/>
      <w:lvlText w:val="o"/>
      <w:lvlJc w:val="left"/>
      <w:pPr>
        <w:ind w:left="3600" w:hanging="360"/>
      </w:pPr>
      <w:rPr>
        <w:rFonts w:ascii="Courier New" w:hAnsi="Courier New" w:hint="default"/>
      </w:rPr>
    </w:lvl>
    <w:lvl w:ilvl="5" w:tplc="C7440B5A">
      <w:start w:val="1"/>
      <w:numFmt w:val="bullet"/>
      <w:lvlText w:val=""/>
      <w:lvlJc w:val="left"/>
      <w:pPr>
        <w:ind w:left="4320" w:hanging="360"/>
      </w:pPr>
      <w:rPr>
        <w:rFonts w:ascii="Wingdings" w:hAnsi="Wingdings" w:hint="default"/>
      </w:rPr>
    </w:lvl>
    <w:lvl w:ilvl="6" w:tplc="B714F44E">
      <w:start w:val="1"/>
      <w:numFmt w:val="bullet"/>
      <w:lvlText w:val=""/>
      <w:lvlJc w:val="left"/>
      <w:pPr>
        <w:ind w:left="5040" w:hanging="360"/>
      </w:pPr>
      <w:rPr>
        <w:rFonts w:ascii="Symbol" w:hAnsi="Symbol" w:hint="default"/>
      </w:rPr>
    </w:lvl>
    <w:lvl w:ilvl="7" w:tplc="0BD442C0">
      <w:start w:val="1"/>
      <w:numFmt w:val="bullet"/>
      <w:lvlText w:val="o"/>
      <w:lvlJc w:val="left"/>
      <w:pPr>
        <w:ind w:left="5760" w:hanging="360"/>
      </w:pPr>
      <w:rPr>
        <w:rFonts w:ascii="Courier New" w:hAnsi="Courier New" w:hint="default"/>
      </w:rPr>
    </w:lvl>
    <w:lvl w:ilvl="8" w:tplc="4F9C97A6">
      <w:start w:val="1"/>
      <w:numFmt w:val="bullet"/>
      <w:lvlText w:val=""/>
      <w:lvlJc w:val="left"/>
      <w:pPr>
        <w:ind w:left="6480" w:hanging="360"/>
      </w:pPr>
      <w:rPr>
        <w:rFonts w:ascii="Wingdings" w:hAnsi="Wingdings" w:hint="default"/>
      </w:rPr>
    </w:lvl>
  </w:abstractNum>
  <w:abstractNum w:abstractNumId="28" w15:restartNumberingAfterBreak="0">
    <w:nsid w:val="03C9F471"/>
    <w:multiLevelType w:val="hybridMultilevel"/>
    <w:tmpl w:val="AFA28C60"/>
    <w:lvl w:ilvl="0" w:tplc="E61EA238">
      <w:start w:val="1"/>
      <w:numFmt w:val="bullet"/>
      <w:lvlText w:val="-"/>
      <w:lvlJc w:val="left"/>
      <w:pPr>
        <w:ind w:left="720" w:hanging="360"/>
      </w:pPr>
      <w:rPr>
        <w:rFonts w:ascii="Calibri" w:hAnsi="Calibri" w:hint="default"/>
      </w:rPr>
    </w:lvl>
    <w:lvl w:ilvl="1" w:tplc="C9568992">
      <w:start w:val="1"/>
      <w:numFmt w:val="bullet"/>
      <w:lvlText w:val="o"/>
      <w:lvlJc w:val="left"/>
      <w:pPr>
        <w:ind w:left="1440" w:hanging="360"/>
      </w:pPr>
      <w:rPr>
        <w:rFonts w:ascii="Courier New" w:hAnsi="Courier New" w:hint="default"/>
      </w:rPr>
    </w:lvl>
    <w:lvl w:ilvl="2" w:tplc="51F0FE2E">
      <w:start w:val="1"/>
      <w:numFmt w:val="bullet"/>
      <w:lvlText w:val=""/>
      <w:lvlJc w:val="left"/>
      <w:pPr>
        <w:ind w:left="2160" w:hanging="360"/>
      </w:pPr>
      <w:rPr>
        <w:rFonts w:ascii="Wingdings" w:hAnsi="Wingdings" w:hint="default"/>
      </w:rPr>
    </w:lvl>
    <w:lvl w:ilvl="3" w:tplc="D85AAEF2">
      <w:start w:val="1"/>
      <w:numFmt w:val="bullet"/>
      <w:lvlText w:val=""/>
      <w:lvlJc w:val="left"/>
      <w:pPr>
        <w:ind w:left="2880" w:hanging="360"/>
      </w:pPr>
      <w:rPr>
        <w:rFonts w:ascii="Symbol" w:hAnsi="Symbol" w:hint="default"/>
      </w:rPr>
    </w:lvl>
    <w:lvl w:ilvl="4" w:tplc="E4A4FB26">
      <w:start w:val="1"/>
      <w:numFmt w:val="bullet"/>
      <w:lvlText w:val="o"/>
      <w:lvlJc w:val="left"/>
      <w:pPr>
        <w:ind w:left="3600" w:hanging="360"/>
      </w:pPr>
      <w:rPr>
        <w:rFonts w:ascii="Courier New" w:hAnsi="Courier New" w:hint="default"/>
      </w:rPr>
    </w:lvl>
    <w:lvl w:ilvl="5" w:tplc="99C2294A">
      <w:start w:val="1"/>
      <w:numFmt w:val="bullet"/>
      <w:lvlText w:val=""/>
      <w:lvlJc w:val="left"/>
      <w:pPr>
        <w:ind w:left="4320" w:hanging="360"/>
      </w:pPr>
      <w:rPr>
        <w:rFonts w:ascii="Wingdings" w:hAnsi="Wingdings" w:hint="default"/>
      </w:rPr>
    </w:lvl>
    <w:lvl w:ilvl="6" w:tplc="426E0228">
      <w:start w:val="1"/>
      <w:numFmt w:val="bullet"/>
      <w:lvlText w:val=""/>
      <w:lvlJc w:val="left"/>
      <w:pPr>
        <w:ind w:left="5040" w:hanging="360"/>
      </w:pPr>
      <w:rPr>
        <w:rFonts w:ascii="Symbol" w:hAnsi="Symbol" w:hint="default"/>
      </w:rPr>
    </w:lvl>
    <w:lvl w:ilvl="7" w:tplc="1B34EE0C">
      <w:start w:val="1"/>
      <w:numFmt w:val="bullet"/>
      <w:lvlText w:val="o"/>
      <w:lvlJc w:val="left"/>
      <w:pPr>
        <w:ind w:left="5760" w:hanging="360"/>
      </w:pPr>
      <w:rPr>
        <w:rFonts w:ascii="Courier New" w:hAnsi="Courier New" w:hint="default"/>
      </w:rPr>
    </w:lvl>
    <w:lvl w:ilvl="8" w:tplc="C5D28D24">
      <w:start w:val="1"/>
      <w:numFmt w:val="bullet"/>
      <w:lvlText w:val=""/>
      <w:lvlJc w:val="left"/>
      <w:pPr>
        <w:ind w:left="6480" w:hanging="360"/>
      </w:pPr>
      <w:rPr>
        <w:rFonts w:ascii="Wingdings" w:hAnsi="Wingdings" w:hint="default"/>
      </w:rPr>
    </w:lvl>
  </w:abstractNum>
  <w:abstractNum w:abstractNumId="29" w15:restartNumberingAfterBreak="0">
    <w:nsid w:val="03D957F2"/>
    <w:multiLevelType w:val="hybridMultilevel"/>
    <w:tmpl w:val="6CD0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4002F2C"/>
    <w:multiLevelType w:val="hybridMultilevel"/>
    <w:tmpl w:val="B2608760"/>
    <w:lvl w:ilvl="0" w:tplc="18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04463084"/>
    <w:multiLevelType w:val="multilevel"/>
    <w:tmpl w:val="EC587F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0480447B"/>
    <w:multiLevelType w:val="multilevel"/>
    <w:tmpl w:val="B1AA4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8A554F"/>
    <w:multiLevelType w:val="multilevel"/>
    <w:tmpl w:val="F7A2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9E6B04"/>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4C41057"/>
    <w:multiLevelType w:val="multilevel"/>
    <w:tmpl w:val="3B12A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04C64932"/>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4CE5C47"/>
    <w:multiLevelType w:val="hybridMultilevel"/>
    <w:tmpl w:val="FFFFFFFF"/>
    <w:lvl w:ilvl="0" w:tplc="5016EA9C">
      <w:start w:val="1"/>
      <w:numFmt w:val="bullet"/>
      <w:lvlText w:val="o"/>
      <w:lvlJc w:val="left"/>
      <w:pPr>
        <w:ind w:left="720" w:hanging="360"/>
      </w:pPr>
      <w:rPr>
        <w:rFonts w:ascii="&quot;Courier New&quot;" w:hAnsi="&quot;Courier New&quot;" w:hint="default"/>
      </w:rPr>
    </w:lvl>
    <w:lvl w:ilvl="1" w:tplc="1560760A">
      <w:start w:val="1"/>
      <w:numFmt w:val="bullet"/>
      <w:lvlText w:val="o"/>
      <w:lvlJc w:val="left"/>
      <w:pPr>
        <w:ind w:left="1440" w:hanging="360"/>
      </w:pPr>
      <w:rPr>
        <w:rFonts w:ascii="Courier New" w:hAnsi="Courier New" w:hint="default"/>
      </w:rPr>
    </w:lvl>
    <w:lvl w:ilvl="2" w:tplc="B92A1B88">
      <w:start w:val="1"/>
      <w:numFmt w:val="bullet"/>
      <w:lvlText w:val=""/>
      <w:lvlJc w:val="left"/>
      <w:pPr>
        <w:ind w:left="2160" w:hanging="360"/>
      </w:pPr>
      <w:rPr>
        <w:rFonts w:ascii="Wingdings" w:hAnsi="Wingdings" w:hint="default"/>
      </w:rPr>
    </w:lvl>
    <w:lvl w:ilvl="3" w:tplc="9D9C119C">
      <w:start w:val="1"/>
      <w:numFmt w:val="bullet"/>
      <w:lvlText w:val=""/>
      <w:lvlJc w:val="left"/>
      <w:pPr>
        <w:ind w:left="2880" w:hanging="360"/>
      </w:pPr>
      <w:rPr>
        <w:rFonts w:ascii="Symbol" w:hAnsi="Symbol" w:hint="default"/>
      </w:rPr>
    </w:lvl>
    <w:lvl w:ilvl="4" w:tplc="0F1C236A">
      <w:start w:val="1"/>
      <w:numFmt w:val="bullet"/>
      <w:lvlText w:val="o"/>
      <w:lvlJc w:val="left"/>
      <w:pPr>
        <w:ind w:left="3600" w:hanging="360"/>
      </w:pPr>
      <w:rPr>
        <w:rFonts w:ascii="Courier New" w:hAnsi="Courier New" w:hint="default"/>
      </w:rPr>
    </w:lvl>
    <w:lvl w:ilvl="5" w:tplc="E9DAF420">
      <w:start w:val="1"/>
      <w:numFmt w:val="bullet"/>
      <w:lvlText w:val=""/>
      <w:lvlJc w:val="left"/>
      <w:pPr>
        <w:ind w:left="4320" w:hanging="360"/>
      </w:pPr>
      <w:rPr>
        <w:rFonts w:ascii="Wingdings" w:hAnsi="Wingdings" w:hint="default"/>
      </w:rPr>
    </w:lvl>
    <w:lvl w:ilvl="6" w:tplc="110C3B7C">
      <w:start w:val="1"/>
      <w:numFmt w:val="bullet"/>
      <w:lvlText w:val=""/>
      <w:lvlJc w:val="left"/>
      <w:pPr>
        <w:ind w:left="5040" w:hanging="360"/>
      </w:pPr>
      <w:rPr>
        <w:rFonts w:ascii="Symbol" w:hAnsi="Symbol" w:hint="default"/>
      </w:rPr>
    </w:lvl>
    <w:lvl w:ilvl="7" w:tplc="7AF8F33C">
      <w:start w:val="1"/>
      <w:numFmt w:val="bullet"/>
      <w:lvlText w:val="o"/>
      <w:lvlJc w:val="left"/>
      <w:pPr>
        <w:ind w:left="5760" w:hanging="360"/>
      </w:pPr>
      <w:rPr>
        <w:rFonts w:ascii="Courier New" w:hAnsi="Courier New" w:hint="default"/>
      </w:rPr>
    </w:lvl>
    <w:lvl w:ilvl="8" w:tplc="D64E0F80">
      <w:start w:val="1"/>
      <w:numFmt w:val="bullet"/>
      <w:lvlText w:val=""/>
      <w:lvlJc w:val="left"/>
      <w:pPr>
        <w:ind w:left="6480" w:hanging="360"/>
      </w:pPr>
      <w:rPr>
        <w:rFonts w:ascii="Wingdings" w:hAnsi="Wingdings" w:hint="default"/>
      </w:rPr>
    </w:lvl>
  </w:abstractNum>
  <w:abstractNum w:abstractNumId="38" w15:restartNumberingAfterBreak="0">
    <w:nsid w:val="050E1257"/>
    <w:multiLevelType w:val="hybridMultilevel"/>
    <w:tmpl w:val="C87E44E6"/>
    <w:lvl w:ilvl="0" w:tplc="08090017">
      <w:start w:val="1"/>
      <w:numFmt w:val="lowerLetter"/>
      <w:lvlText w:val="%1)"/>
      <w:lvlJc w:val="left"/>
      <w:pPr>
        <w:ind w:left="1080" w:hanging="360"/>
      </w:pPr>
    </w:lvl>
    <w:lvl w:ilvl="1" w:tplc="7C460208">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535968D"/>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5826CD4"/>
    <w:multiLevelType w:val="hybridMultilevel"/>
    <w:tmpl w:val="A2A079AE"/>
    <w:lvl w:ilvl="0" w:tplc="224AE4EC">
      <w:start w:val="1"/>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Cambria Math" w:hAnsi="Cambria Math" w:hint="default"/>
      </w:rPr>
    </w:lvl>
    <w:lvl w:ilvl="3" w:tplc="08090001" w:tentative="1">
      <w:start w:val="1"/>
      <w:numFmt w:val="bullet"/>
      <w:lvlText w:val=""/>
      <w:lvlJc w:val="left"/>
      <w:pPr>
        <w:ind w:left="2531" w:hanging="360"/>
      </w:pPr>
      <w:rPr>
        <w:rFonts w:ascii="Segoe UI" w:hAnsi="Segoe UI"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Cambria Math" w:hAnsi="Cambria Math" w:hint="default"/>
      </w:rPr>
    </w:lvl>
    <w:lvl w:ilvl="6" w:tplc="08090001" w:tentative="1">
      <w:start w:val="1"/>
      <w:numFmt w:val="bullet"/>
      <w:lvlText w:val=""/>
      <w:lvlJc w:val="left"/>
      <w:pPr>
        <w:ind w:left="4691" w:hanging="360"/>
      </w:pPr>
      <w:rPr>
        <w:rFonts w:ascii="Segoe UI" w:hAnsi="Segoe UI"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Cambria Math" w:hAnsi="Cambria Math" w:hint="default"/>
      </w:rPr>
    </w:lvl>
  </w:abstractNum>
  <w:abstractNum w:abstractNumId="41" w15:restartNumberingAfterBreak="0">
    <w:nsid w:val="05BC1A19"/>
    <w:multiLevelType w:val="hybridMultilevel"/>
    <w:tmpl w:val="AF3AB1D0"/>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05FE0FF0"/>
    <w:multiLevelType w:val="multilevel"/>
    <w:tmpl w:val="47B2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105125"/>
    <w:multiLevelType w:val="hybridMultilevel"/>
    <w:tmpl w:val="FA76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319363"/>
    <w:multiLevelType w:val="hybridMultilevel"/>
    <w:tmpl w:val="FFFFFFFF"/>
    <w:lvl w:ilvl="0" w:tplc="9C54F358">
      <w:start w:val="1"/>
      <w:numFmt w:val="decimal"/>
      <w:lvlText w:val="%1)"/>
      <w:lvlJc w:val="left"/>
      <w:pPr>
        <w:ind w:left="720" w:hanging="360"/>
      </w:pPr>
    </w:lvl>
    <w:lvl w:ilvl="1" w:tplc="33663A5E">
      <w:start w:val="1"/>
      <w:numFmt w:val="lowerLetter"/>
      <w:lvlText w:val="%2."/>
      <w:lvlJc w:val="left"/>
      <w:pPr>
        <w:ind w:left="1440" w:hanging="360"/>
      </w:pPr>
    </w:lvl>
    <w:lvl w:ilvl="2" w:tplc="AEC8D5DE">
      <w:start w:val="1"/>
      <w:numFmt w:val="lowerRoman"/>
      <w:lvlText w:val="%3."/>
      <w:lvlJc w:val="right"/>
      <w:pPr>
        <w:ind w:left="2160" w:hanging="180"/>
      </w:pPr>
    </w:lvl>
    <w:lvl w:ilvl="3" w:tplc="591290C2">
      <w:start w:val="1"/>
      <w:numFmt w:val="decimal"/>
      <w:lvlText w:val="%4."/>
      <w:lvlJc w:val="left"/>
      <w:pPr>
        <w:ind w:left="2880" w:hanging="360"/>
      </w:pPr>
    </w:lvl>
    <w:lvl w:ilvl="4" w:tplc="DFB48A9C">
      <w:start w:val="1"/>
      <w:numFmt w:val="lowerLetter"/>
      <w:lvlText w:val="%5."/>
      <w:lvlJc w:val="left"/>
      <w:pPr>
        <w:ind w:left="3600" w:hanging="360"/>
      </w:pPr>
    </w:lvl>
    <w:lvl w:ilvl="5" w:tplc="F5B2562E">
      <w:start w:val="1"/>
      <w:numFmt w:val="lowerRoman"/>
      <w:lvlText w:val="%6."/>
      <w:lvlJc w:val="right"/>
      <w:pPr>
        <w:ind w:left="4320" w:hanging="180"/>
      </w:pPr>
    </w:lvl>
    <w:lvl w:ilvl="6" w:tplc="A3CC79EC">
      <w:start w:val="1"/>
      <w:numFmt w:val="decimal"/>
      <w:lvlText w:val="%7."/>
      <w:lvlJc w:val="left"/>
      <w:pPr>
        <w:ind w:left="5040" w:hanging="360"/>
      </w:pPr>
    </w:lvl>
    <w:lvl w:ilvl="7" w:tplc="C2503260">
      <w:start w:val="1"/>
      <w:numFmt w:val="lowerLetter"/>
      <w:lvlText w:val="%8."/>
      <w:lvlJc w:val="left"/>
      <w:pPr>
        <w:ind w:left="5760" w:hanging="360"/>
      </w:pPr>
    </w:lvl>
    <w:lvl w:ilvl="8" w:tplc="D3BED5D0">
      <w:start w:val="1"/>
      <w:numFmt w:val="lowerRoman"/>
      <w:lvlText w:val="%9."/>
      <w:lvlJc w:val="right"/>
      <w:pPr>
        <w:ind w:left="6480" w:hanging="180"/>
      </w:pPr>
    </w:lvl>
  </w:abstractNum>
  <w:abstractNum w:abstractNumId="45" w15:restartNumberingAfterBreak="0">
    <w:nsid w:val="066F7625"/>
    <w:multiLevelType w:val="hybridMultilevel"/>
    <w:tmpl w:val="55064DD2"/>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711284B"/>
    <w:multiLevelType w:val="hybridMultilevel"/>
    <w:tmpl w:val="FFFFFFFF"/>
    <w:lvl w:ilvl="0" w:tplc="7F94DA00">
      <w:start w:val="1"/>
      <w:numFmt w:val="bullet"/>
      <w:lvlText w:val=""/>
      <w:lvlJc w:val="left"/>
      <w:pPr>
        <w:ind w:left="720" w:hanging="360"/>
      </w:pPr>
      <w:rPr>
        <w:rFonts w:ascii="Segoe UI" w:hAnsi="Segoe UI" w:hint="default"/>
      </w:rPr>
    </w:lvl>
    <w:lvl w:ilvl="1" w:tplc="BA6E8C88">
      <w:start w:val="1"/>
      <w:numFmt w:val="bullet"/>
      <w:lvlText w:val="o"/>
      <w:lvlJc w:val="left"/>
      <w:pPr>
        <w:ind w:left="1440" w:hanging="360"/>
      </w:pPr>
      <w:rPr>
        <w:rFonts w:ascii="Courier New" w:hAnsi="Courier New" w:hint="default"/>
      </w:rPr>
    </w:lvl>
    <w:lvl w:ilvl="2" w:tplc="9F32DACC">
      <w:start w:val="1"/>
      <w:numFmt w:val="bullet"/>
      <w:lvlText w:val=""/>
      <w:lvlJc w:val="left"/>
      <w:pPr>
        <w:ind w:left="2160" w:hanging="360"/>
      </w:pPr>
      <w:rPr>
        <w:rFonts w:ascii="Cambria Math" w:hAnsi="Cambria Math" w:hint="default"/>
      </w:rPr>
    </w:lvl>
    <w:lvl w:ilvl="3" w:tplc="58CC1120">
      <w:start w:val="1"/>
      <w:numFmt w:val="bullet"/>
      <w:lvlText w:val=""/>
      <w:lvlJc w:val="left"/>
      <w:pPr>
        <w:ind w:left="2880" w:hanging="360"/>
      </w:pPr>
      <w:rPr>
        <w:rFonts w:ascii="Segoe UI" w:hAnsi="Segoe UI" w:hint="default"/>
      </w:rPr>
    </w:lvl>
    <w:lvl w:ilvl="4" w:tplc="585414AA">
      <w:start w:val="1"/>
      <w:numFmt w:val="bullet"/>
      <w:lvlText w:val="o"/>
      <w:lvlJc w:val="left"/>
      <w:pPr>
        <w:ind w:left="3600" w:hanging="360"/>
      </w:pPr>
      <w:rPr>
        <w:rFonts w:ascii="Courier New" w:hAnsi="Courier New" w:hint="default"/>
      </w:rPr>
    </w:lvl>
    <w:lvl w:ilvl="5" w:tplc="41802D32">
      <w:start w:val="1"/>
      <w:numFmt w:val="bullet"/>
      <w:lvlText w:val=""/>
      <w:lvlJc w:val="left"/>
      <w:pPr>
        <w:ind w:left="4320" w:hanging="360"/>
      </w:pPr>
      <w:rPr>
        <w:rFonts w:ascii="Cambria Math" w:hAnsi="Cambria Math" w:hint="default"/>
      </w:rPr>
    </w:lvl>
    <w:lvl w:ilvl="6" w:tplc="38AA3490">
      <w:start w:val="1"/>
      <w:numFmt w:val="bullet"/>
      <w:lvlText w:val=""/>
      <w:lvlJc w:val="left"/>
      <w:pPr>
        <w:ind w:left="5040" w:hanging="360"/>
      </w:pPr>
      <w:rPr>
        <w:rFonts w:ascii="Segoe UI" w:hAnsi="Segoe UI" w:hint="default"/>
      </w:rPr>
    </w:lvl>
    <w:lvl w:ilvl="7" w:tplc="C7967A46">
      <w:start w:val="1"/>
      <w:numFmt w:val="bullet"/>
      <w:lvlText w:val="o"/>
      <w:lvlJc w:val="left"/>
      <w:pPr>
        <w:ind w:left="5760" w:hanging="360"/>
      </w:pPr>
      <w:rPr>
        <w:rFonts w:ascii="Courier New" w:hAnsi="Courier New" w:hint="default"/>
      </w:rPr>
    </w:lvl>
    <w:lvl w:ilvl="8" w:tplc="50CE440A">
      <w:start w:val="1"/>
      <w:numFmt w:val="bullet"/>
      <w:lvlText w:val=""/>
      <w:lvlJc w:val="left"/>
      <w:pPr>
        <w:ind w:left="6480" w:hanging="360"/>
      </w:pPr>
      <w:rPr>
        <w:rFonts w:ascii="Cambria Math" w:hAnsi="Cambria Math" w:hint="default"/>
      </w:rPr>
    </w:lvl>
  </w:abstractNum>
  <w:abstractNum w:abstractNumId="47" w15:restartNumberingAfterBreak="0">
    <w:nsid w:val="071A117D"/>
    <w:multiLevelType w:val="hybridMultilevel"/>
    <w:tmpl w:val="21DC578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8" w15:restartNumberingAfterBreak="0">
    <w:nsid w:val="078935CE"/>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07FB552C"/>
    <w:multiLevelType w:val="hybridMultilevel"/>
    <w:tmpl w:val="653062C2"/>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15:restartNumberingAfterBreak="0">
    <w:nsid w:val="08030763"/>
    <w:multiLevelType w:val="hybridMultilevel"/>
    <w:tmpl w:val="B7E447DA"/>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081826EA"/>
    <w:multiLevelType w:val="multilevel"/>
    <w:tmpl w:val="29A03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8600127"/>
    <w:multiLevelType w:val="hybridMultilevel"/>
    <w:tmpl w:val="85F45C0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08915652"/>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4" w15:restartNumberingAfterBreak="0">
    <w:nsid w:val="08AB27CD"/>
    <w:multiLevelType w:val="hybridMultilevel"/>
    <w:tmpl w:val="6184950E"/>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090A7704"/>
    <w:multiLevelType w:val="hybridMultilevel"/>
    <w:tmpl w:val="FFFFFFFF"/>
    <w:lvl w:ilvl="0" w:tplc="81D8DC54">
      <w:start w:val="4"/>
      <w:numFmt w:val="decimal"/>
      <w:lvlText w:val="%1."/>
      <w:lvlJc w:val="left"/>
      <w:pPr>
        <w:ind w:left="720" w:hanging="360"/>
      </w:pPr>
    </w:lvl>
    <w:lvl w:ilvl="1" w:tplc="3D72931C">
      <w:start w:val="1"/>
      <w:numFmt w:val="lowerLetter"/>
      <w:lvlText w:val="%2."/>
      <w:lvlJc w:val="left"/>
      <w:pPr>
        <w:ind w:left="1440" w:hanging="360"/>
      </w:pPr>
    </w:lvl>
    <w:lvl w:ilvl="2" w:tplc="0346ECB2">
      <w:start w:val="1"/>
      <w:numFmt w:val="lowerRoman"/>
      <w:lvlText w:val="%3."/>
      <w:lvlJc w:val="right"/>
      <w:pPr>
        <w:ind w:left="2160" w:hanging="180"/>
      </w:pPr>
    </w:lvl>
    <w:lvl w:ilvl="3" w:tplc="FE3A9B7A">
      <w:start w:val="1"/>
      <w:numFmt w:val="decimal"/>
      <w:lvlText w:val="%4."/>
      <w:lvlJc w:val="left"/>
      <w:pPr>
        <w:ind w:left="2880" w:hanging="360"/>
      </w:pPr>
    </w:lvl>
    <w:lvl w:ilvl="4" w:tplc="FC9460FA">
      <w:start w:val="1"/>
      <w:numFmt w:val="lowerLetter"/>
      <w:lvlText w:val="%5."/>
      <w:lvlJc w:val="left"/>
      <w:pPr>
        <w:ind w:left="3600" w:hanging="360"/>
      </w:pPr>
    </w:lvl>
    <w:lvl w:ilvl="5" w:tplc="C3701342">
      <w:start w:val="1"/>
      <w:numFmt w:val="lowerRoman"/>
      <w:lvlText w:val="%6."/>
      <w:lvlJc w:val="right"/>
      <w:pPr>
        <w:ind w:left="4320" w:hanging="180"/>
      </w:pPr>
    </w:lvl>
    <w:lvl w:ilvl="6" w:tplc="39721A80">
      <w:start w:val="1"/>
      <w:numFmt w:val="decimal"/>
      <w:lvlText w:val="%7."/>
      <w:lvlJc w:val="left"/>
      <w:pPr>
        <w:ind w:left="5040" w:hanging="360"/>
      </w:pPr>
    </w:lvl>
    <w:lvl w:ilvl="7" w:tplc="E7A2D6BE">
      <w:start w:val="1"/>
      <w:numFmt w:val="lowerLetter"/>
      <w:lvlText w:val="%8."/>
      <w:lvlJc w:val="left"/>
      <w:pPr>
        <w:ind w:left="5760" w:hanging="360"/>
      </w:pPr>
    </w:lvl>
    <w:lvl w:ilvl="8" w:tplc="DC6A6FA6">
      <w:start w:val="1"/>
      <w:numFmt w:val="lowerRoman"/>
      <w:lvlText w:val="%9."/>
      <w:lvlJc w:val="right"/>
      <w:pPr>
        <w:ind w:left="6480" w:hanging="180"/>
      </w:pPr>
    </w:lvl>
  </w:abstractNum>
  <w:abstractNum w:abstractNumId="56" w15:restartNumberingAfterBreak="0">
    <w:nsid w:val="092CF653"/>
    <w:multiLevelType w:val="hybridMultilevel"/>
    <w:tmpl w:val="FFFFFFFF"/>
    <w:lvl w:ilvl="0" w:tplc="6E86AD7E">
      <w:numFmt w:val="none"/>
      <w:lvlText w:val=""/>
      <w:lvlJc w:val="left"/>
      <w:pPr>
        <w:tabs>
          <w:tab w:val="num" w:pos="360"/>
        </w:tabs>
      </w:pPr>
    </w:lvl>
    <w:lvl w:ilvl="1" w:tplc="2A50994A">
      <w:start w:val="1"/>
      <w:numFmt w:val="lowerLetter"/>
      <w:lvlText w:val="%2."/>
      <w:lvlJc w:val="left"/>
      <w:pPr>
        <w:ind w:left="1440" w:hanging="360"/>
      </w:pPr>
    </w:lvl>
    <w:lvl w:ilvl="2" w:tplc="1E061FCE">
      <w:start w:val="1"/>
      <w:numFmt w:val="lowerRoman"/>
      <w:lvlText w:val="%3."/>
      <w:lvlJc w:val="right"/>
      <w:pPr>
        <w:ind w:left="2160" w:hanging="180"/>
      </w:pPr>
    </w:lvl>
    <w:lvl w:ilvl="3" w:tplc="9EDE48C4">
      <w:start w:val="1"/>
      <w:numFmt w:val="decimal"/>
      <w:lvlText w:val="%4."/>
      <w:lvlJc w:val="left"/>
      <w:pPr>
        <w:ind w:left="2880" w:hanging="360"/>
      </w:pPr>
    </w:lvl>
    <w:lvl w:ilvl="4" w:tplc="07105AD8">
      <w:start w:val="1"/>
      <w:numFmt w:val="lowerLetter"/>
      <w:lvlText w:val="%5."/>
      <w:lvlJc w:val="left"/>
      <w:pPr>
        <w:ind w:left="3600" w:hanging="360"/>
      </w:pPr>
    </w:lvl>
    <w:lvl w:ilvl="5" w:tplc="98DE21A6">
      <w:start w:val="1"/>
      <w:numFmt w:val="lowerRoman"/>
      <w:lvlText w:val="%6."/>
      <w:lvlJc w:val="right"/>
      <w:pPr>
        <w:ind w:left="4320" w:hanging="180"/>
      </w:pPr>
    </w:lvl>
    <w:lvl w:ilvl="6" w:tplc="5EDA3080">
      <w:start w:val="1"/>
      <w:numFmt w:val="decimal"/>
      <w:lvlText w:val="%7."/>
      <w:lvlJc w:val="left"/>
      <w:pPr>
        <w:ind w:left="5040" w:hanging="360"/>
      </w:pPr>
    </w:lvl>
    <w:lvl w:ilvl="7" w:tplc="21400CA8">
      <w:start w:val="1"/>
      <w:numFmt w:val="lowerLetter"/>
      <w:lvlText w:val="%8."/>
      <w:lvlJc w:val="left"/>
      <w:pPr>
        <w:ind w:left="5760" w:hanging="360"/>
      </w:pPr>
    </w:lvl>
    <w:lvl w:ilvl="8" w:tplc="DC60D61E">
      <w:start w:val="1"/>
      <w:numFmt w:val="lowerRoman"/>
      <w:lvlText w:val="%9."/>
      <w:lvlJc w:val="right"/>
      <w:pPr>
        <w:ind w:left="6480" w:hanging="180"/>
      </w:pPr>
    </w:lvl>
  </w:abstractNum>
  <w:abstractNum w:abstractNumId="57" w15:restartNumberingAfterBreak="0">
    <w:nsid w:val="094251BF"/>
    <w:multiLevelType w:val="hybridMultilevel"/>
    <w:tmpl w:val="AEC40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095C39A3"/>
    <w:multiLevelType w:val="hybridMultilevel"/>
    <w:tmpl w:val="FFFFFFFF"/>
    <w:lvl w:ilvl="0" w:tplc="B82885BA">
      <w:start w:val="1"/>
      <w:numFmt w:val="bullet"/>
      <w:lvlText w:val="o"/>
      <w:lvlJc w:val="left"/>
      <w:pPr>
        <w:ind w:left="720" w:hanging="360"/>
      </w:pPr>
      <w:rPr>
        <w:rFonts w:ascii="&quot;Courier New&quot;" w:hAnsi="&quot;Courier New&quot;" w:hint="default"/>
      </w:rPr>
    </w:lvl>
    <w:lvl w:ilvl="1" w:tplc="D49294FA">
      <w:start w:val="1"/>
      <w:numFmt w:val="bullet"/>
      <w:lvlText w:val="o"/>
      <w:lvlJc w:val="left"/>
      <w:pPr>
        <w:ind w:left="1440" w:hanging="360"/>
      </w:pPr>
      <w:rPr>
        <w:rFonts w:ascii="Courier New" w:hAnsi="Courier New" w:hint="default"/>
      </w:rPr>
    </w:lvl>
    <w:lvl w:ilvl="2" w:tplc="ADFAF67C">
      <w:start w:val="1"/>
      <w:numFmt w:val="bullet"/>
      <w:lvlText w:val=""/>
      <w:lvlJc w:val="left"/>
      <w:pPr>
        <w:ind w:left="2160" w:hanging="360"/>
      </w:pPr>
      <w:rPr>
        <w:rFonts w:ascii="Wingdings" w:hAnsi="Wingdings" w:hint="default"/>
      </w:rPr>
    </w:lvl>
    <w:lvl w:ilvl="3" w:tplc="A9D03620">
      <w:start w:val="1"/>
      <w:numFmt w:val="bullet"/>
      <w:lvlText w:val=""/>
      <w:lvlJc w:val="left"/>
      <w:pPr>
        <w:ind w:left="2880" w:hanging="360"/>
      </w:pPr>
      <w:rPr>
        <w:rFonts w:ascii="Symbol" w:hAnsi="Symbol" w:hint="default"/>
      </w:rPr>
    </w:lvl>
    <w:lvl w:ilvl="4" w:tplc="D4927346">
      <w:start w:val="1"/>
      <w:numFmt w:val="bullet"/>
      <w:lvlText w:val="o"/>
      <w:lvlJc w:val="left"/>
      <w:pPr>
        <w:ind w:left="3600" w:hanging="360"/>
      </w:pPr>
      <w:rPr>
        <w:rFonts w:ascii="Courier New" w:hAnsi="Courier New" w:hint="default"/>
      </w:rPr>
    </w:lvl>
    <w:lvl w:ilvl="5" w:tplc="D0ACD724">
      <w:start w:val="1"/>
      <w:numFmt w:val="bullet"/>
      <w:lvlText w:val=""/>
      <w:lvlJc w:val="left"/>
      <w:pPr>
        <w:ind w:left="4320" w:hanging="360"/>
      </w:pPr>
      <w:rPr>
        <w:rFonts w:ascii="Wingdings" w:hAnsi="Wingdings" w:hint="default"/>
      </w:rPr>
    </w:lvl>
    <w:lvl w:ilvl="6" w:tplc="01D82A24">
      <w:start w:val="1"/>
      <w:numFmt w:val="bullet"/>
      <w:lvlText w:val=""/>
      <w:lvlJc w:val="left"/>
      <w:pPr>
        <w:ind w:left="5040" w:hanging="360"/>
      </w:pPr>
      <w:rPr>
        <w:rFonts w:ascii="Symbol" w:hAnsi="Symbol" w:hint="default"/>
      </w:rPr>
    </w:lvl>
    <w:lvl w:ilvl="7" w:tplc="12F834AA">
      <w:start w:val="1"/>
      <w:numFmt w:val="bullet"/>
      <w:lvlText w:val="o"/>
      <w:lvlJc w:val="left"/>
      <w:pPr>
        <w:ind w:left="5760" w:hanging="360"/>
      </w:pPr>
      <w:rPr>
        <w:rFonts w:ascii="Courier New" w:hAnsi="Courier New" w:hint="default"/>
      </w:rPr>
    </w:lvl>
    <w:lvl w:ilvl="8" w:tplc="C42C4738">
      <w:start w:val="1"/>
      <w:numFmt w:val="bullet"/>
      <w:lvlText w:val=""/>
      <w:lvlJc w:val="left"/>
      <w:pPr>
        <w:ind w:left="6480" w:hanging="360"/>
      </w:pPr>
      <w:rPr>
        <w:rFonts w:ascii="Wingdings" w:hAnsi="Wingdings" w:hint="default"/>
      </w:rPr>
    </w:lvl>
  </w:abstractNum>
  <w:abstractNum w:abstractNumId="59" w15:restartNumberingAfterBreak="0">
    <w:nsid w:val="09618A4B"/>
    <w:multiLevelType w:val="hybridMultilevel"/>
    <w:tmpl w:val="FFFFFFFF"/>
    <w:lvl w:ilvl="0" w:tplc="4BFC8CC8">
      <w:start w:val="8"/>
      <w:numFmt w:val="decimal"/>
      <w:lvlText w:val="%1."/>
      <w:lvlJc w:val="left"/>
      <w:pPr>
        <w:ind w:left="720" w:hanging="360"/>
      </w:pPr>
    </w:lvl>
    <w:lvl w:ilvl="1" w:tplc="722EAE72">
      <w:start w:val="1"/>
      <w:numFmt w:val="lowerLetter"/>
      <w:lvlText w:val="%2."/>
      <w:lvlJc w:val="left"/>
      <w:pPr>
        <w:ind w:left="1440" w:hanging="360"/>
      </w:pPr>
    </w:lvl>
    <w:lvl w:ilvl="2" w:tplc="D400947C">
      <w:start w:val="1"/>
      <w:numFmt w:val="lowerRoman"/>
      <w:lvlText w:val="%3."/>
      <w:lvlJc w:val="right"/>
      <w:pPr>
        <w:ind w:left="2160" w:hanging="180"/>
      </w:pPr>
    </w:lvl>
    <w:lvl w:ilvl="3" w:tplc="FA3EABE8">
      <w:start w:val="1"/>
      <w:numFmt w:val="decimal"/>
      <w:lvlText w:val="%4."/>
      <w:lvlJc w:val="left"/>
      <w:pPr>
        <w:ind w:left="2880" w:hanging="360"/>
      </w:pPr>
    </w:lvl>
    <w:lvl w:ilvl="4" w:tplc="7C00B2E2">
      <w:start w:val="1"/>
      <w:numFmt w:val="lowerLetter"/>
      <w:lvlText w:val="%5."/>
      <w:lvlJc w:val="left"/>
      <w:pPr>
        <w:ind w:left="3600" w:hanging="360"/>
      </w:pPr>
    </w:lvl>
    <w:lvl w:ilvl="5" w:tplc="1196E89C">
      <w:start w:val="1"/>
      <w:numFmt w:val="lowerRoman"/>
      <w:lvlText w:val="%6."/>
      <w:lvlJc w:val="right"/>
      <w:pPr>
        <w:ind w:left="4320" w:hanging="180"/>
      </w:pPr>
    </w:lvl>
    <w:lvl w:ilvl="6" w:tplc="6A2A25CA">
      <w:start w:val="1"/>
      <w:numFmt w:val="decimal"/>
      <w:lvlText w:val="%7."/>
      <w:lvlJc w:val="left"/>
      <w:pPr>
        <w:ind w:left="5040" w:hanging="360"/>
      </w:pPr>
    </w:lvl>
    <w:lvl w:ilvl="7" w:tplc="09A69496">
      <w:start w:val="1"/>
      <w:numFmt w:val="lowerLetter"/>
      <w:lvlText w:val="%8."/>
      <w:lvlJc w:val="left"/>
      <w:pPr>
        <w:ind w:left="5760" w:hanging="360"/>
      </w:pPr>
    </w:lvl>
    <w:lvl w:ilvl="8" w:tplc="C5FCE866">
      <w:start w:val="1"/>
      <w:numFmt w:val="lowerRoman"/>
      <w:lvlText w:val="%9."/>
      <w:lvlJc w:val="right"/>
      <w:pPr>
        <w:ind w:left="6480" w:hanging="180"/>
      </w:pPr>
    </w:lvl>
  </w:abstractNum>
  <w:abstractNum w:abstractNumId="60" w15:restartNumberingAfterBreak="0">
    <w:nsid w:val="09F123B6"/>
    <w:multiLevelType w:val="hybridMultilevel"/>
    <w:tmpl w:val="4A8E832E"/>
    <w:lvl w:ilvl="0" w:tplc="D8C0D6E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09FC4086"/>
    <w:multiLevelType w:val="hybridMultilevel"/>
    <w:tmpl w:val="FFFFFFFF"/>
    <w:lvl w:ilvl="0" w:tplc="99CCAA5A">
      <w:start w:val="11"/>
      <w:numFmt w:val="decimal"/>
      <w:lvlText w:val="%1."/>
      <w:lvlJc w:val="left"/>
      <w:pPr>
        <w:ind w:left="720" w:hanging="360"/>
      </w:pPr>
    </w:lvl>
    <w:lvl w:ilvl="1" w:tplc="E67CABD0">
      <w:start w:val="1"/>
      <w:numFmt w:val="lowerLetter"/>
      <w:lvlText w:val="%2."/>
      <w:lvlJc w:val="left"/>
      <w:pPr>
        <w:ind w:left="1440" w:hanging="360"/>
      </w:pPr>
    </w:lvl>
    <w:lvl w:ilvl="2" w:tplc="DC4A8930">
      <w:start w:val="1"/>
      <w:numFmt w:val="lowerRoman"/>
      <w:lvlText w:val="%3."/>
      <w:lvlJc w:val="right"/>
      <w:pPr>
        <w:ind w:left="2160" w:hanging="180"/>
      </w:pPr>
    </w:lvl>
    <w:lvl w:ilvl="3" w:tplc="7FD0D4F4">
      <w:start w:val="1"/>
      <w:numFmt w:val="decimal"/>
      <w:lvlText w:val="%4."/>
      <w:lvlJc w:val="left"/>
      <w:pPr>
        <w:ind w:left="2880" w:hanging="360"/>
      </w:pPr>
    </w:lvl>
    <w:lvl w:ilvl="4" w:tplc="11867ED0">
      <w:start w:val="1"/>
      <w:numFmt w:val="lowerLetter"/>
      <w:lvlText w:val="%5."/>
      <w:lvlJc w:val="left"/>
      <w:pPr>
        <w:ind w:left="3600" w:hanging="360"/>
      </w:pPr>
    </w:lvl>
    <w:lvl w:ilvl="5" w:tplc="82BA9FB8">
      <w:start w:val="1"/>
      <w:numFmt w:val="lowerRoman"/>
      <w:lvlText w:val="%6."/>
      <w:lvlJc w:val="right"/>
      <w:pPr>
        <w:ind w:left="4320" w:hanging="180"/>
      </w:pPr>
    </w:lvl>
    <w:lvl w:ilvl="6" w:tplc="07828226">
      <w:start w:val="1"/>
      <w:numFmt w:val="decimal"/>
      <w:lvlText w:val="%7."/>
      <w:lvlJc w:val="left"/>
      <w:pPr>
        <w:ind w:left="5040" w:hanging="360"/>
      </w:pPr>
    </w:lvl>
    <w:lvl w:ilvl="7" w:tplc="912842AE">
      <w:start w:val="1"/>
      <w:numFmt w:val="lowerLetter"/>
      <w:lvlText w:val="%8."/>
      <w:lvlJc w:val="left"/>
      <w:pPr>
        <w:ind w:left="5760" w:hanging="360"/>
      </w:pPr>
    </w:lvl>
    <w:lvl w:ilvl="8" w:tplc="7D56D82A">
      <w:start w:val="1"/>
      <w:numFmt w:val="lowerRoman"/>
      <w:lvlText w:val="%9."/>
      <w:lvlJc w:val="right"/>
      <w:pPr>
        <w:ind w:left="6480" w:hanging="180"/>
      </w:pPr>
    </w:lvl>
  </w:abstractNum>
  <w:abstractNum w:abstractNumId="62" w15:restartNumberingAfterBreak="0">
    <w:nsid w:val="0A1F0A60"/>
    <w:multiLevelType w:val="hybridMultilevel"/>
    <w:tmpl w:val="D8C4788E"/>
    <w:lvl w:ilvl="0" w:tplc="18090017">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3" w15:restartNumberingAfterBreak="0">
    <w:nsid w:val="0A687BAC"/>
    <w:multiLevelType w:val="multilevel"/>
    <w:tmpl w:val="9BF22E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0A6D252C"/>
    <w:multiLevelType w:val="hybridMultilevel"/>
    <w:tmpl w:val="92FAF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0A7E4021"/>
    <w:multiLevelType w:val="hybridMultilevel"/>
    <w:tmpl w:val="EA1CB52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0AB042EB"/>
    <w:multiLevelType w:val="hybridMultilevel"/>
    <w:tmpl w:val="98267608"/>
    <w:lvl w:ilvl="0" w:tplc="FFFFFFFF">
      <w:start w:val="1"/>
      <w:numFmt w:val="lowerLetter"/>
      <w:lvlText w:val="%1."/>
      <w:lvlJc w:val="left"/>
      <w:pPr>
        <w:ind w:left="720" w:hanging="360"/>
      </w:pPr>
    </w:lvl>
    <w:lvl w:ilvl="1" w:tplc="B7303C30">
      <w:start w:val="2"/>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AC48331"/>
    <w:multiLevelType w:val="hybridMultilevel"/>
    <w:tmpl w:val="FFFFFFFF"/>
    <w:lvl w:ilvl="0" w:tplc="2FB0F470">
      <w:start w:val="9"/>
      <w:numFmt w:val="decimal"/>
      <w:lvlText w:val="%1."/>
      <w:lvlJc w:val="left"/>
      <w:pPr>
        <w:ind w:left="720" w:hanging="360"/>
      </w:pPr>
    </w:lvl>
    <w:lvl w:ilvl="1" w:tplc="262CDB7C">
      <w:start w:val="1"/>
      <w:numFmt w:val="lowerLetter"/>
      <w:lvlText w:val="%2."/>
      <w:lvlJc w:val="left"/>
      <w:pPr>
        <w:ind w:left="1440" w:hanging="360"/>
      </w:pPr>
    </w:lvl>
    <w:lvl w:ilvl="2" w:tplc="CD189A4A">
      <w:start w:val="1"/>
      <w:numFmt w:val="lowerRoman"/>
      <w:lvlText w:val="%3."/>
      <w:lvlJc w:val="right"/>
      <w:pPr>
        <w:ind w:left="2160" w:hanging="180"/>
      </w:pPr>
    </w:lvl>
    <w:lvl w:ilvl="3" w:tplc="A3CC37DC">
      <w:start w:val="1"/>
      <w:numFmt w:val="decimal"/>
      <w:lvlText w:val="%4."/>
      <w:lvlJc w:val="left"/>
      <w:pPr>
        <w:ind w:left="2880" w:hanging="360"/>
      </w:pPr>
    </w:lvl>
    <w:lvl w:ilvl="4" w:tplc="6040F492">
      <w:start w:val="1"/>
      <w:numFmt w:val="lowerLetter"/>
      <w:lvlText w:val="%5."/>
      <w:lvlJc w:val="left"/>
      <w:pPr>
        <w:ind w:left="3600" w:hanging="360"/>
      </w:pPr>
    </w:lvl>
    <w:lvl w:ilvl="5" w:tplc="20C6B424">
      <w:start w:val="1"/>
      <w:numFmt w:val="lowerRoman"/>
      <w:lvlText w:val="%6."/>
      <w:lvlJc w:val="right"/>
      <w:pPr>
        <w:ind w:left="4320" w:hanging="180"/>
      </w:pPr>
    </w:lvl>
    <w:lvl w:ilvl="6" w:tplc="567C5EAC">
      <w:start w:val="1"/>
      <w:numFmt w:val="decimal"/>
      <w:lvlText w:val="%7."/>
      <w:lvlJc w:val="left"/>
      <w:pPr>
        <w:ind w:left="5040" w:hanging="360"/>
      </w:pPr>
    </w:lvl>
    <w:lvl w:ilvl="7" w:tplc="87900506">
      <w:start w:val="1"/>
      <w:numFmt w:val="lowerLetter"/>
      <w:lvlText w:val="%8."/>
      <w:lvlJc w:val="left"/>
      <w:pPr>
        <w:ind w:left="5760" w:hanging="360"/>
      </w:pPr>
    </w:lvl>
    <w:lvl w:ilvl="8" w:tplc="0E120AE6">
      <w:start w:val="1"/>
      <w:numFmt w:val="lowerRoman"/>
      <w:lvlText w:val="%9."/>
      <w:lvlJc w:val="right"/>
      <w:pPr>
        <w:ind w:left="6480" w:hanging="180"/>
      </w:pPr>
    </w:lvl>
  </w:abstractNum>
  <w:abstractNum w:abstractNumId="68" w15:restartNumberingAfterBreak="0">
    <w:nsid w:val="0ACA247E"/>
    <w:multiLevelType w:val="hybridMultilevel"/>
    <w:tmpl w:val="70A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ACC680F"/>
    <w:multiLevelType w:val="multilevel"/>
    <w:tmpl w:val="9DD0A3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AF577BC"/>
    <w:multiLevelType w:val="multilevel"/>
    <w:tmpl w:val="8A6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B0B67BF"/>
    <w:multiLevelType w:val="hybridMultilevel"/>
    <w:tmpl w:val="AC1C5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0B206FD5"/>
    <w:multiLevelType w:val="hybridMultilevel"/>
    <w:tmpl w:val="37F4E0E2"/>
    <w:lvl w:ilvl="0" w:tplc="F1503CAC">
      <w:start w:val="12"/>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0B4910E7"/>
    <w:multiLevelType w:val="hybridMultilevel"/>
    <w:tmpl w:val="2DB4A476"/>
    <w:lvl w:ilvl="0" w:tplc="FF9A50B0">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0B533329"/>
    <w:multiLevelType w:val="hybridMultilevel"/>
    <w:tmpl w:val="C3427584"/>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75" w15:restartNumberingAfterBreak="0">
    <w:nsid w:val="0B8939DC"/>
    <w:multiLevelType w:val="multilevel"/>
    <w:tmpl w:val="C660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BA727C9"/>
    <w:multiLevelType w:val="hybridMultilevel"/>
    <w:tmpl w:val="FFFFFFFF"/>
    <w:lvl w:ilvl="0" w:tplc="DA00AD48">
      <w:start w:val="1"/>
      <w:numFmt w:val="bullet"/>
      <w:lvlText w:val=""/>
      <w:lvlJc w:val="left"/>
      <w:pPr>
        <w:ind w:left="720" w:hanging="360"/>
      </w:pPr>
      <w:rPr>
        <w:rFonts w:ascii="Symbol" w:hAnsi="Symbol" w:hint="default"/>
      </w:rPr>
    </w:lvl>
    <w:lvl w:ilvl="1" w:tplc="1F601CFA">
      <w:start w:val="1"/>
      <w:numFmt w:val="bullet"/>
      <w:lvlText w:val="-"/>
      <w:lvlJc w:val="left"/>
      <w:pPr>
        <w:ind w:left="1440" w:hanging="360"/>
      </w:pPr>
      <w:rPr>
        <w:rFonts w:ascii="Calibri" w:hAnsi="Calibri" w:hint="default"/>
      </w:rPr>
    </w:lvl>
    <w:lvl w:ilvl="2" w:tplc="F334B0C0">
      <w:start w:val="1"/>
      <w:numFmt w:val="bullet"/>
      <w:lvlText w:val=""/>
      <w:lvlJc w:val="left"/>
      <w:pPr>
        <w:ind w:left="2160" w:hanging="360"/>
      </w:pPr>
      <w:rPr>
        <w:rFonts w:ascii="Wingdings" w:hAnsi="Wingdings" w:hint="default"/>
      </w:rPr>
    </w:lvl>
    <w:lvl w:ilvl="3" w:tplc="26004220">
      <w:start w:val="1"/>
      <w:numFmt w:val="bullet"/>
      <w:lvlText w:val=""/>
      <w:lvlJc w:val="left"/>
      <w:pPr>
        <w:ind w:left="2880" w:hanging="360"/>
      </w:pPr>
      <w:rPr>
        <w:rFonts w:ascii="Symbol" w:hAnsi="Symbol" w:hint="default"/>
      </w:rPr>
    </w:lvl>
    <w:lvl w:ilvl="4" w:tplc="52C01A7E">
      <w:start w:val="1"/>
      <w:numFmt w:val="bullet"/>
      <w:lvlText w:val="o"/>
      <w:lvlJc w:val="left"/>
      <w:pPr>
        <w:ind w:left="3600" w:hanging="360"/>
      </w:pPr>
      <w:rPr>
        <w:rFonts w:ascii="Courier New" w:hAnsi="Courier New" w:hint="default"/>
      </w:rPr>
    </w:lvl>
    <w:lvl w:ilvl="5" w:tplc="DE061B64">
      <w:start w:val="1"/>
      <w:numFmt w:val="bullet"/>
      <w:lvlText w:val=""/>
      <w:lvlJc w:val="left"/>
      <w:pPr>
        <w:ind w:left="4320" w:hanging="360"/>
      </w:pPr>
      <w:rPr>
        <w:rFonts w:ascii="Wingdings" w:hAnsi="Wingdings" w:hint="default"/>
      </w:rPr>
    </w:lvl>
    <w:lvl w:ilvl="6" w:tplc="47726038">
      <w:start w:val="1"/>
      <w:numFmt w:val="bullet"/>
      <w:lvlText w:val=""/>
      <w:lvlJc w:val="left"/>
      <w:pPr>
        <w:ind w:left="5040" w:hanging="360"/>
      </w:pPr>
      <w:rPr>
        <w:rFonts w:ascii="Symbol" w:hAnsi="Symbol" w:hint="default"/>
      </w:rPr>
    </w:lvl>
    <w:lvl w:ilvl="7" w:tplc="CDAA6838">
      <w:start w:val="1"/>
      <w:numFmt w:val="bullet"/>
      <w:lvlText w:val="o"/>
      <w:lvlJc w:val="left"/>
      <w:pPr>
        <w:ind w:left="5760" w:hanging="360"/>
      </w:pPr>
      <w:rPr>
        <w:rFonts w:ascii="Courier New" w:hAnsi="Courier New" w:hint="default"/>
      </w:rPr>
    </w:lvl>
    <w:lvl w:ilvl="8" w:tplc="B98A9C26">
      <w:start w:val="1"/>
      <w:numFmt w:val="bullet"/>
      <w:lvlText w:val=""/>
      <w:lvlJc w:val="left"/>
      <w:pPr>
        <w:ind w:left="6480" w:hanging="360"/>
      </w:pPr>
      <w:rPr>
        <w:rFonts w:ascii="Wingdings" w:hAnsi="Wingdings" w:hint="default"/>
      </w:rPr>
    </w:lvl>
  </w:abstractNum>
  <w:abstractNum w:abstractNumId="77" w15:restartNumberingAfterBreak="0">
    <w:nsid w:val="0BCC2112"/>
    <w:multiLevelType w:val="hybridMultilevel"/>
    <w:tmpl w:val="FFFFFFFF"/>
    <w:lvl w:ilvl="0" w:tplc="F24CEC56">
      <w:start w:val="1"/>
      <w:numFmt w:val="bullet"/>
      <w:lvlText w:val=""/>
      <w:lvlJc w:val="left"/>
      <w:pPr>
        <w:ind w:left="720" w:hanging="360"/>
      </w:pPr>
      <w:rPr>
        <w:rFonts w:ascii="Symbol" w:hAnsi="Symbol" w:hint="default"/>
      </w:rPr>
    </w:lvl>
    <w:lvl w:ilvl="1" w:tplc="45649E9C">
      <w:start w:val="1"/>
      <w:numFmt w:val="bullet"/>
      <w:lvlText w:val="-"/>
      <w:lvlJc w:val="left"/>
      <w:pPr>
        <w:ind w:left="1440" w:hanging="360"/>
      </w:pPr>
      <w:rPr>
        <w:rFonts w:ascii="Calibri" w:hAnsi="Calibri" w:hint="default"/>
      </w:rPr>
    </w:lvl>
    <w:lvl w:ilvl="2" w:tplc="3CFE64FC">
      <w:start w:val="1"/>
      <w:numFmt w:val="bullet"/>
      <w:lvlText w:val=""/>
      <w:lvlJc w:val="left"/>
      <w:pPr>
        <w:ind w:left="2160" w:hanging="360"/>
      </w:pPr>
      <w:rPr>
        <w:rFonts w:ascii="Wingdings" w:hAnsi="Wingdings" w:hint="default"/>
      </w:rPr>
    </w:lvl>
    <w:lvl w:ilvl="3" w:tplc="83307060">
      <w:start w:val="1"/>
      <w:numFmt w:val="bullet"/>
      <w:lvlText w:val=""/>
      <w:lvlJc w:val="left"/>
      <w:pPr>
        <w:ind w:left="2880" w:hanging="360"/>
      </w:pPr>
      <w:rPr>
        <w:rFonts w:ascii="Symbol" w:hAnsi="Symbol" w:hint="default"/>
      </w:rPr>
    </w:lvl>
    <w:lvl w:ilvl="4" w:tplc="A3941560">
      <w:start w:val="1"/>
      <w:numFmt w:val="bullet"/>
      <w:lvlText w:val="o"/>
      <w:lvlJc w:val="left"/>
      <w:pPr>
        <w:ind w:left="3600" w:hanging="360"/>
      </w:pPr>
      <w:rPr>
        <w:rFonts w:ascii="Courier New" w:hAnsi="Courier New" w:hint="default"/>
      </w:rPr>
    </w:lvl>
    <w:lvl w:ilvl="5" w:tplc="691A649E">
      <w:start w:val="1"/>
      <w:numFmt w:val="bullet"/>
      <w:lvlText w:val=""/>
      <w:lvlJc w:val="left"/>
      <w:pPr>
        <w:ind w:left="4320" w:hanging="360"/>
      </w:pPr>
      <w:rPr>
        <w:rFonts w:ascii="Wingdings" w:hAnsi="Wingdings" w:hint="default"/>
      </w:rPr>
    </w:lvl>
    <w:lvl w:ilvl="6" w:tplc="5BC29AD6">
      <w:start w:val="1"/>
      <w:numFmt w:val="bullet"/>
      <w:lvlText w:val=""/>
      <w:lvlJc w:val="left"/>
      <w:pPr>
        <w:ind w:left="5040" w:hanging="360"/>
      </w:pPr>
      <w:rPr>
        <w:rFonts w:ascii="Symbol" w:hAnsi="Symbol" w:hint="default"/>
      </w:rPr>
    </w:lvl>
    <w:lvl w:ilvl="7" w:tplc="A3C076E0">
      <w:start w:val="1"/>
      <w:numFmt w:val="bullet"/>
      <w:lvlText w:val="o"/>
      <w:lvlJc w:val="left"/>
      <w:pPr>
        <w:ind w:left="5760" w:hanging="360"/>
      </w:pPr>
      <w:rPr>
        <w:rFonts w:ascii="Courier New" w:hAnsi="Courier New" w:hint="default"/>
      </w:rPr>
    </w:lvl>
    <w:lvl w:ilvl="8" w:tplc="E7D69C9E">
      <w:start w:val="1"/>
      <w:numFmt w:val="bullet"/>
      <w:lvlText w:val=""/>
      <w:lvlJc w:val="left"/>
      <w:pPr>
        <w:ind w:left="6480" w:hanging="360"/>
      </w:pPr>
      <w:rPr>
        <w:rFonts w:ascii="Wingdings" w:hAnsi="Wingdings" w:hint="default"/>
      </w:rPr>
    </w:lvl>
  </w:abstractNum>
  <w:abstractNum w:abstractNumId="78" w15:restartNumberingAfterBreak="0">
    <w:nsid w:val="0BF72E00"/>
    <w:multiLevelType w:val="hybridMultilevel"/>
    <w:tmpl w:val="DD2CA33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0C385703"/>
    <w:multiLevelType w:val="hybridMultilevel"/>
    <w:tmpl w:val="FFFFFFFF"/>
    <w:lvl w:ilvl="0" w:tplc="FFFFFFFF">
      <w:start w:val="1"/>
      <w:numFmt w:val="decimal"/>
      <w:lvlText w:val="%1."/>
      <w:lvlJc w:val="left"/>
      <w:pPr>
        <w:ind w:left="720" w:hanging="360"/>
      </w:pPr>
      <w:rPr>
        <w:rFonts w:hint="default"/>
      </w:rPr>
    </w:lvl>
    <w:lvl w:ilvl="1" w:tplc="26F87DA6">
      <w:start w:val="1"/>
      <w:numFmt w:val="bullet"/>
      <w:lvlText w:val="o"/>
      <w:lvlJc w:val="left"/>
      <w:pPr>
        <w:ind w:left="1440" w:hanging="360"/>
      </w:pPr>
      <w:rPr>
        <w:rFonts w:ascii="Courier New" w:hAnsi="Courier New" w:hint="default"/>
      </w:rPr>
    </w:lvl>
    <w:lvl w:ilvl="2" w:tplc="EBE4107C">
      <w:start w:val="1"/>
      <w:numFmt w:val="bullet"/>
      <w:lvlText w:val=""/>
      <w:lvlJc w:val="left"/>
      <w:pPr>
        <w:ind w:left="2160" w:hanging="360"/>
      </w:pPr>
      <w:rPr>
        <w:rFonts w:ascii="Wingdings" w:hAnsi="Wingdings" w:hint="default"/>
      </w:rPr>
    </w:lvl>
    <w:lvl w:ilvl="3" w:tplc="C1DEE4CC">
      <w:start w:val="1"/>
      <w:numFmt w:val="bullet"/>
      <w:lvlText w:val=""/>
      <w:lvlJc w:val="left"/>
      <w:pPr>
        <w:ind w:left="2880" w:hanging="360"/>
      </w:pPr>
      <w:rPr>
        <w:rFonts w:ascii="Symbol" w:hAnsi="Symbol" w:hint="default"/>
      </w:rPr>
    </w:lvl>
    <w:lvl w:ilvl="4" w:tplc="0388E032">
      <w:start w:val="1"/>
      <w:numFmt w:val="bullet"/>
      <w:lvlText w:val="o"/>
      <w:lvlJc w:val="left"/>
      <w:pPr>
        <w:ind w:left="3600" w:hanging="360"/>
      </w:pPr>
      <w:rPr>
        <w:rFonts w:ascii="Courier New" w:hAnsi="Courier New" w:hint="default"/>
      </w:rPr>
    </w:lvl>
    <w:lvl w:ilvl="5" w:tplc="8410B7A0">
      <w:start w:val="1"/>
      <w:numFmt w:val="bullet"/>
      <w:lvlText w:val=""/>
      <w:lvlJc w:val="left"/>
      <w:pPr>
        <w:ind w:left="4320" w:hanging="360"/>
      </w:pPr>
      <w:rPr>
        <w:rFonts w:ascii="Wingdings" w:hAnsi="Wingdings" w:hint="default"/>
      </w:rPr>
    </w:lvl>
    <w:lvl w:ilvl="6" w:tplc="06A65D1C">
      <w:start w:val="1"/>
      <w:numFmt w:val="bullet"/>
      <w:lvlText w:val=""/>
      <w:lvlJc w:val="left"/>
      <w:pPr>
        <w:ind w:left="5040" w:hanging="360"/>
      </w:pPr>
      <w:rPr>
        <w:rFonts w:ascii="Symbol" w:hAnsi="Symbol" w:hint="default"/>
      </w:rPr>
    </w:lvl>
    <w:lvl w:ilvl="7" w:tplc="84809D22">
      <w:start w:val="1"/>
      <w:numFmt w:val="bullet"/>
      <w:lvlText w:val="o"/>
      <w:lvlJc w:val="left"/>
      <w:pPr>
        <w:ind w:left="5760" w:hanging="360"/>
      </w:pPr>
      <w:rPr>
        <w:rFonts w:ascii="Courier New" w:hAnsi="Courier New" w:hint="default"/>
      </w:rPr>
    </w:lvl>
    <w:lvl w:ilvl="8" w:tplc="CB204382">
      <w:start w:val="1"/>
      <w:numFmt w:val="bullet"/>
      <w:lvlText w:val=""/>
      <w:lvlJc w:val="left"/>
      <w:pPr>
        <w:ind w:left="6480" w:hanging="360"/>
      </w:pPr>
      <w:rPr>
        <w:rFonts w:ascii="Wingdings" w:hAnsi="Wingdings" w:hint="default"/>
      </w:rPr>
    </w:lvl>
  </w:abstractNum>
  <w:abstractNum w:abstractNumId="80" w15:restartNumberingAfterBreak="0">
    <w:nsid w:val="0C622675"/>
    <w:multiLevelType w:val="hybridMultilevel"/>
    <w:tmpl w:val="FFFFFFFF"/>
    <w:lvl w:ilvl="0" w:tplc="4A3AF234">
      <w:start w:val="1"/>
      <w:numFmt w:val="bullet"/>
      <w:lvlText w:val=""/>
      <w:lvlJc w:val="left"/>
      <w:pPr>
        <w:ind w:left="720" w:hanging="360"/>
      </w:pPr>
      <w:rPr>
        <w:rFonts w:ascii="Symbol" w:hAnsi="Symbol" w:hint="default"/>
      </w:rPr>
    </w:lvl>
    <w:lvl w:ilvl="1" w:tplc="6660098C">
      <w:start w:val="1"/>
      <w:numFmt w:val="bullet"/>
      <w:lvlText w:val="o"/>
      <w:lvlJc w:val="left"/>
      <w:pPr>
        <w:ind w:left="1440" w:hanging="360"/>
      </w:pPr>
      <w:rPr>
        <w:rFonts w:ascii="Courier New" w:hAnsi="Courier New" w:hint="default"/>
      </w:rPr>
    </w:lvl>
    <w:lvl w:ilvl="2" w:tplc="89448F32">
      <w:start w:val="1"/>
      <w:numFmt w:val="bullet"/>
      <w:lvlText w:val=""/>
      <w:lvlJc w:val="left"/>
      <w:pPr>
        <w:ind w:left="2160" w:hanging="360"/>
      </w:pPr>
      <w:rPr>
        <w:rFonts w:ascii="Wingdings" w:hAnsi="Wingdings" w:hint="default"/>
      </w:rPr>
    </w:lvl>
    <w:lvl w:ilvl="3" w:tplc="F92815AA">
      <w:start w:val="1"/>
      <w:numFmt w:val="bullet"/>
      <w:lvlText w:val=""/>
      <w:lvlJc w:val="left"/>
      <w:pPr>
        <w:ind w:left="2880" w:hanging="360"/>
      </w:pPr>
      <w:rPr>
        <w:rFonts w:ascii="Symbol" w:hAnsi="Symbol" w:hint="default"/>
      </w:rPr>
    </w:lvl>
    <w:lvl w:ilvl="4" w:tplc="849E1B70">
      <w:start w:val="1"/>
      <w:numFmt w:val="bullet"/>
      <w:lvlText w:val="o"/>
      <w:lvlJc w:val="left"/>
      <w:pPr>
        <w:ind w:left="3600" w:hanging="360"/>
      </w:pPr>
      <w:rPr>
        <w:rFonts w:ascii="Courier New" w:hAnsi="Courier New" w:hint="default"/>
      </w:rPr>
    </w:lvl>
    <w:lvl w:ilvl="5" w:tplc="E9D407D2">
      <w:start w:val="1"/>
      <w:numFmt w:val="bullet"/>
      <w:lvlText w:val=""/>
      <w:lvlJc w:val="left"/>
      <w:pPr>
        <w:ind w:left="4320" w:hanging="360"/>
      </w:pPr>
      <w:rPr>
        <w:rFonts w:ascii="Wingdings" w:hAnsi="Wingdings" w:hint="default"/>
      </w:rPr>
    </w:lvl>
    <w:lvl w:ilvl="6" w:tplc="5A98CC66">
      <w:start w:val="1"/>
      <w:numFmt w:val="bullet"/>
      <w:lvlText w:val=""/>
      <w:lvlJc w:val="left"/>
      <w:pPr>
        <w:ind w:left="5040" w:hanging="360"/>
      </w:pPr>
      <w:rPr>
        <w:rFonts w:ascii="Symbol" w:hAnsi="Symbol" w:hint="default"/>
      </w:rPr>
    </w:lvl>
    <w:lvl w:ilvl="7" w:tplc="E638B9CA">
      <w:start w:val="1"/>
      <w:numFmt w:val="bullet"/>
      <w:lvlText w:val="o"/>
      <w:lvlJc w:val="left"/>
      <w:pPr>
        <w:ind w:left="5760" w:hanging="360"/>
      </w:pPr>
      <w:rPr>
        <w:rFonts w:ascii="Courier New" w:hAnsi="Courier New" w:hint="default"/>
      </w:rPr>
    </w:lvl>
    <w:lvl w:ilvl="8" w:tplc="0EDC8CBE">
      <w:start w:val="1"/>
      <w:numFmt w:val="bullet"/>
      <w:lvlText w:val=""/>
      <w:lvlJc w:val="left"/>
      <w:pPr>
        <w:ind w:left="6480" w:hanging="360"/>
      </w:pPr>
      <w:rPr>
        <w:rFonts w:ascii="Wingdings" w:hAnsi="Wingdings" w:hint="default"/>
      </w:rPr>
    </w:lvl>
  </w:abstractNum>
  <w:abstractNum w:abstractNumId="81" w15:restartNumberingAfterBreak="0">
    <w:nsid w:val="0C64098B"/>
    <w:multiLevelType w:val="hybridMultilevel"/>
    <w:tmpl w:val="798EB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CADF933"/>
    <w:multiLevelType w:val="hybridMultilevel"/>
    <w:tmpl w:val="FFFFFFFF"/>
    <w:lvl w:ilvl="0" w:tplc="43D21D2C">
      <w:start w:val="1"/>
      <w:numFmt w:val="bullet"/>
      <w:lvlText w:val=""/>
      <w:lvlJc w:val="left"/>
      <w:pPr>
        <w:ind w:left="720" w:hanging="360"/>
      </w:pPr>
      <w:rPr>
        <w:rFonts w:ascii="Symbol" w:hAnsi="Symbol" w:hint="default"/>
      </w:rPr>
    </w:lvl>
    <w:lvl w:ilvl="1" w:tplc="8E605A44">
      <w:start w:val="1"/>
      <w:numFmt w:val="bullet"/>
      <w:lvlText w:val="o"/>
      <w:lvlJc w:val="left"/>
      <w:pPr>
        <w:ind w:left="1440" w:hanging="360"/>
      </w:pPr>
      <w:rPr>
        <w:rFonts w:ascii="Courier New" w:hAnsi="Courier New" w:hint="default"/>
      </w:rPr>
    </w:lvl>
    <w:lvl w:ilvl="2" w:tplc="671052A8">
      <w:start w:val="1"/>
      <w:numFmt w:val="bullet"/>
      <w:lvlText w:val=""/>
      <w:lvlJc w:val="left"/>
      <w:pPr>
        <w:ind w:left="2160" w:hanging="360"/>
      </w:pPr>
      <w:rPr>
        <w:rFonts w:ascii="Wingdings" w:hAnsi="Wingdings" w:hint="default"/>
      </w:rPr>
    </w:lvl>
    <w:lvl w:ilvl="3" w:tplc="5C3A8554">
      <w:start w:val="1"/>
      <w:numFmt w:val="bullet"/>
      <w:lvlText w:val=""/>
      <w:lvlJc w:val="left"/>
      <w:pPr>
        <w:ind w:left="2880" w:hanging="360"/>
      </w:pPr>
      <w:rPr>
        <w:rFonts w:ascii="Symbol" w:hAnsi="Symbol" w:hint="default"/>
      </w:rPr>
    </w:lvl>
    <w:lvl w:ilvl="4" w:tplc="6554A2CC">
      <w:start w:val="1"/>
      <w:numFmt w:val="bullet"/>
      <w:lvlText w:val="o"/>
      <w:lvlJc w:val="left"/>
      <w:pPr>
        <w:ind w:left="3600" w:hanging="360"/>
      </w:pPr>
      <w:rPr>
        <w:rFonts w:ascii="Courier New" w:hAnsi="Courier New" w:hint="default"/>
      </w:rPr>
    </w:lvl>
    <w:lvl w:ilvl="5" w:tplc="0AF6D1D4">
      <w:start w:val="1"/>
      <w:numFmt w:val="bullet"/>
      <w:lvlText w:val=""/>
      <w:lvlJc w:val="left"/>
      <w:pPr>
        <w:ind w:left="4320" w:hanging="360"/>
      </w:pPr>
      <w:rPr>
        <w:rFonts w:ascii="Wingdings" w:hAnsi="Wingdings" w:hint="default"/>
      </w:rPr>
    </w:lvl>
    <w:lvl w:ilvl="6" w:tplc="3AF2A014">
      <w:start w:val="1"/>
      <w:numFmt w:val="bullet"/>
      <w:lvlText w:val=""/>
      <w:lvlJc w:val="left"/>
      <w:pPr>
        <w:ind w:left="5040" w:hanging="360"/>
      </w:pPr>
      <w:rPr>
        <w:rFonts w:ascii="Symbol" w:hAnsi="Symbol" w:hint="default"/>
      </w:rPr>
    </w:lvl>
    <w:lvl w:ilvl="7" w:tplc="AE4AC69A">
      <w:start w:val="1"/>
      <w:numFmt w:val="bullet"/>
      <w:lvlText w:val="o"/>
      <w:lvlJc w:val="left"/>
      <w:pPr>
        <w:ind w:left="5760" w:hanging="360"/>
      </w:pPr>
      <w:rPr>
        <w:rFonts w:ascii="Courier New" w:hAnsi="Courier New" w:hint="default"/>
      </w:rPr>
    </w:lvl>
    <w:lvl w:ilvl="8" w:tplc="AFF49730">
      <w:start w:val="1"/>
      <w:numFmt w:val="bullet"/>
      <w:lvlText w:val=""/>
      <w:lvlJc w:val="left"/>
      <w:pPr>
        <w:ind w:left="6480" w:hanging="360"/>
      </w:pPr>
      <w:rPr>
        <w:rFonts w:ascii="Wingdings" w:hAnsi="Wingdings" w:hint="default"/>
      </w:rPr>
    </w:lvl>
  </w:abstractNum>
  <w:abstractNum w:abstractNumId="83" w15:restartNumberingAfterBreak="0">
    <w:nsid w:val="0CDA48BB"/>
    <w:multiLevelType w:val="hybridMultilevel"/>
    <w:tmpl w:val="D6865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0D453578"/>
    <w:multiLevelType w:val="hybridMultilevel"/>
    <w:tmpl w:val="E376D2F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15:restartNumberingAfterBreak="0">
    <w:nsid w:val="0D965EC9"/>
    <w:multiLevelType w:val="hybridMultilevel"/>
    <w:tmpl w:val="193C5F88"/>
    <w:lvl w:ilvl="0" w:tplc="FFFFFFFF">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6" w15:restartNumberingAfterBreak="0">
    <w:nsid w:val="0DE41DAE"/>
    <w:multiLevelType w:val="hybridMultilevel"/>
    <w:tmpl w:val="C97C37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E3B2876"/>
    <w:multiLevelType w:val="hybridMultilevel"/>
    <w:tmpl w:val="ED267130"/>
    <w:lvl w:ilvl="0" w:tplc="08090001">
      <w:start w:val="1"/>
      <w:numFmt w:val="bullet"/>
      <w:lvlText w:val=""/>
      <w:lvlJc w:val="left"/>
      <w:pPr>
        <w:ind w:left="1429" w:hanging="360"/>
      </w:pPr>
      <w:rPr>
        <w:rFonts w:ascii="Segoe UI" w:hAnsi="Segoe U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Cambria Math" w:hAnsi="Cambria Math" w:hint="default"/>
      </w:rPr>
    </w:lvl>
    <w:lvl w:ilvl="3" w:tplc="04090001" w:tentative="1">
      <w:start w:val="1"/>
      <w:numFmt w:val="bullet"/>
      <w:lvlText w:val=""/>
      <w:lvlJc w:val="left"/>
      <w:pPr>
        <w:ind w:left="3589" w:hanging="360"/>
      </w:pPr>
      <w:rPr>
        <w:rFonts w:ascii="Segoe UI" w:hAnsi="Segoe UI"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Cambria Math" w:hAnsi="Cambria Math" w:hint="default"/>
      </w:rPr>
    </w:lvl>
    <w:lvl w:ilvl="6" w:tplc="04090001" w:tentative="1">
      <w:start w:val="1"/>
      <w:numFmt w:val="bullet"/>
      <w:lvlText w:val=""/>
      <w:lvlJc w:val="left"/>
      <w:pPr>
        <w:ind w:left="5749" w:hanging="360"/>
      </w:pPr>
      <w:rPr>
        <w:rFonts w:ascii="Segoe UI" w:hAnsi="Segoe UI"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Cambria Math" w:hAnsi="Cambria Math" w:hint="default"/>
      </w:rPr>
    </w:lvl>
  </w:abstractNum>
  <w:abstractNum w:abstractNumId="88" w15:restartNumberingAfterBreak="0">
    <w:nsid w:val="0E67283E"/>
    <w:multiLevelType w:val="hybridMultilevel"/>
    <w:tmpl w:val="37AAE84C"/>
    <w:lvl w:ilvl="0" w:tplc="F2F660E2">
      <w:numFmt w:val="bullet"/>
      <w:lvlText w:val="•"/>
      <w:lvlJc w:val="left"/>
      <w:pPr>
        <w:ind w:left="360" w:hanging="360"/>
      </w:pPr>
      <w:rPr>
        <w:rFonts w:ascii="Symbol" w:eastAsiaTheme="minorHAnsi"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Cambria Math" w:hAnsi="Cambria Math" w:hint="default"/>
      </w:rPr>
    </w:lvl>
    <w:lvl w:ilvl="3" w:tplc="0C0A0001">
      <w:start w:val="1"/>
      <w:numFmt w:val="bullet"/>
      <w:lvlText w:val=""/>
      <w:lvlJc w:val="left"/>
      <w:pPr>
        <w:ind w:left="2520" w:hanging="360"/>
      </w:pPr>
      <w:rPr>
        <w:rFonts w:ascii="Segoe UI" w:hAnsi="Segoe UI"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Cambria Math" w:hAnsi="Cambria Math" w:hint="default"/>
      </w:rPr>
    </w:lvl>
    <w:lvl w:ilvl="6" w:tplc="0C0A0001">
      <w:start w:val="1"/>
      <w:numFmt w:val="bullet"/>
      <w:lvlText w:val=""/>
      <w:lvlJc w:val="left"/>
      <w:pPr>
        <w:ind w:left="4680" w:hanging="360"/>
      </w:pPr>
      <w:rPr>
        <w:rFonts w:ascii="Segoe UI" w:hAnsi="Segoe UI"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Cambria Math" w:hAnsi="Cambria Math" w:hint="default"/>
      </w:rPr>
    </w:lvl>
  </w:abstractNum>
  <w:abstractNum w:abstractNumId="89" w15:restartNumberingAfterBreak="0">
    <w:nsid w:val="0ED541BB"/>
    <w:multiLevelType w:val="multilevel"/>
    <w:tmpl w:val="E55E0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0EF5261A"/>
    <w:multiLevelType w:val="hybridMultilevel"/>
    <w:tmpl w:val="FFFFFFFF"/>
    <w:lvl w:ilvl="0" w:tplc="6AF22888">
      <w:start w:val="4"/>
      <w:numFmt w:val="decimal"/>
      <w:lvlText w:val="%1."/>
      <w:lvlJc w:val="left"/>
      <w:pPr>
        <w:ind w:left="720" w:hanging="360"/>
      </w:pPr>
    </w:lvl>
    <w:lvl w:ilvl="1" w:tplc="2E9CA70C">
      <w:start w:val="1"/>
      <w:numFmt w:val="lowerLetter"/>
      <w:lvlText w:val="%2."/>
      <w:lvlJc w:val="left"/>
      <w:pPr>
        <w:ind w:left="1440" w:hanging="360"/>
      </w:pPr>
    </w:lvl>
    <w:lvl w:ilvl="2" w:tplc="F8E04C10">
      <w:start w:val="1"/>
      <w:numFmt w:val="lowerRoman"/>
      <w:lvlText w:val="%3."/>
      <w:lvlJc w:val="right"/>
      <w:pPr>
        <w:ind w:left="2160" w:hanging="180"/>
      </w:pPr>
    </w:lvl>
    <w:lvl w:ilvl="3" w:tplc="68CE2BEE">
      <w:start w:val="1"/>
      <w:numFmt w:val="decimal"/>
      <w:lvlText w:val="%4."/>
      <w:lvlJc w:val="left"/>
      <w:pPr>
        <w:ind w:left="2880" w:hanging="360"/>
      </w:pPr>
    </w:lvl>
    <w:lvl w:ilvl="4" w:tplc="AA4EE106">
      <w:start w:val="1"/>
      <w:numFmt w:val="lowerLetter"/>
      <w:lvlText w:val="%5."/>
      <w:lvlJc w:val="left"/>
      <w:pPr>
        <w:ind w:left="3600" w:hanging="360"/>
      </w:pPr>
    </w:lvl>
    <w:lvl w:ilvl="5" w:tplc="3300EA02">
      <w:start w:val="1"/>
      <w:numFmt w:val="lowerRoman"/>
      <w:lvlText w:val="%6."/>
      <w:lvlJc w:val="right"/>
      <w:pPr>
        <w:ind w:left="4320" w:hanging="180"/>
      </w:pPr>
    </w:lvl>
    <w:lvl w:ilvl="6" w:tplc="0CD2333E">
      <w:start w:val="1"/>
      <w:numFmt w:val="decimal"/>
      <w:lvlText w:val="%7."/>
      <w:lvlJc w:val="left"/>
      <w:pPr>
        <w:ind w:left="5040" w:hanging="360"/>
      </w:pPr>
    </w:lvl>
    <w:lvl w:ilvl="7" w:tplc="4E1E6E8A">
      <w:start w:val="1"/>
      <w:numFmt w:val="lowerLetter"/>
      <w:lvlText w:val="%8."/>
      <w:lvlJc w:val="left"/>
      <w:pPr>
        <w:ind w:left="5760" w:hanging="360"/>
      </w:pPr>
    </w:lvl>
    <w:lvl w:ilvl="8" w:tplc="1AE64628">
      <w:start w:val="1"/>
      <w:numFmt w:val="lowerRoman"/>
      <w:lvlText w:val="%9."/>
      <w:lvlJc w:val="right"/>
      <w:pPr>
        <w:ind w:left="6480" w:hanging="180"/>
      </w:pPr>
    </w:lvl>
  </w:abstractNum>
  <w:abstractNum w:abstractNumId="91" w15:restartNumberingAfterBreak="0">
    <w:nsid w:val="0F073155"/>
    <w:multiLevelType w:val="multilevel"/>
    <w:tmpl w:val="8FF08B1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0F1A7815"/>
    <w:multiLevelType w:val="hybridMultilevel"/>
    <w:tmpl w:val="44280D2C"/>
    <w:lvl w:ilvl="0" w:tplc="ECE83E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F4A355E"/>
    <w:multiLevelType w:val="hybridMultilevel"/>
    <w:tmpl w:val="A9269A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0F9EC93B"/>
    <w:multiLevelType w:val="hybridMultilevel"/>
    <w:tmpl w:val="BCF6CC0A"/>
    <w:lvl w:ilvl="0" w:tplc="495A55B8">
      <w:start w:val="3"/>
      <w:numFmt w:val="lowerLetter"/>
      <w:lvlText w:val="%1."/>
      <w:lvlJc w:val="left"/>
      <w:pPr>
        <w:ind w:left="720" w:hanging="360"/>
      </w:pPr>
    </w:lvl>
    <w:lvl w:ilvl="1" w:tplc="F4C4BEFC">
      <w:start w:val="1"/>
      <w:numFmt w:val="lowerLetter"/>
      <w:lvlText w:val="%2."/>
      <w:lvlJc w:val="left"/>
      <w:pPr>
        <w:ind w:left="1440" w:hanging="360"/>
      </w:pPr>
    </w:lvl>
    <w:lvl w:ilvl="2" w:tplc="5F6C3B0A">
      <w:start w:val="1"/>
      <w:numFmt w:val="lowerRoman"/>
      <w:lvlText w:val="%3."/>
      <w:lvlJc w:val="right"/>
      <w:pPr>
        <w:ind w:left="2160" w:hanging="180"/>
      </w:pPr>
    </w:lvl>
    <w:lvl w:ilvl="3" w:tplc="6040D4AC">
      <w:start w:val="1"/>
      <w:numFmt w:val="decimal"/>
      <w:lvlText w:val="%4."/>
      <w:lvlJc w:val="left"/>
      <w:pPr>
        <w:ind w:left="2880" w:hanging="360"/>
      </w:pPr>
    </w:lvl>
    <w:lvl w:ilvl="4" w:tplc="417C95AC">
      <w:start w:val="1"/>
      <w:numFmt w:val="lowerLetter"/>
      <w:lvlText w:val="%5."/>
      <w:lvlJc w:val="left"/>
      <w:pPr>
        <w:ind w:left="3600" w:hanging="360"/>
      </w:pPr>
    </w:lvl>
    <w:lvl w:ilvl="5" w:tplc="7D246146">
      <w:start w:val="1"/>
      <w:numFmt w:val="lowerRoman"/>
      <w:lvlText w:val="%6."/>
      <w:lvlJc w:val="right"/>
      <w:pPr>
        <w:ind w:left="4320" w:hanging="180"/>
      </w:pPr>
    </w:lvl>
    <w:lvl w:ilvl="6" w:tplc="4672E726">
      <w:start w:val="1"/>
      <w:numFmt w:val="decimal"/>
      <w:lvlText w:val="%7."/>
      <w:lvlJc w:val="left"/>
      <w:pPr>
        <w:ind w:left="5040" w:hanging="360"/>
      </w:pPr>
    </w:lvl>
    <w:lvl w:ilvl="7" w:tplc="5E345262">
      <w:start w:val="1"/>
      <w:numFmt w:val="lowerLetter"/>
      <w:lvlText w:val="%8."/>
      <w:lvlJc w:val="left"/>
      <w:pPr>
        <w:ind w:left="5760" w:hanging="360"/>
      </w:pPr>
    </w:lvl>
    <w:lvl w:ilvl="8" w:tplc="F404CBA0">
      <w:start w:val="1"/>
      <w:numFmt w:val="lowerRoman"/>
      <w:lvlText w:val="%9."/>
      <w:lvlJc w:val="right"/>
      <w:pPr>
        <w:ind w:left="6480" w:hanging="180"/>
      </w:pPr>
    </w:lvl>
  </w:abstractNum>
  <w:abstractNum w:abstractNumId="95" w15:restartNumberingAfterBreak="0">
    <w:nsid w:val="0FC4125E"/>
    <w:multiLevelType w:val="hybridMultilevel"/>
    <w:tmpl w:val="954E797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0FCD64C0"/>
    <w:multiLevelType w:val="hybridMultilevel"/>
    <w:tmpl w:val="11540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1018BE72"/>
    <w:multiLevelType w:val="hybridMultilevel"/>
    <w:tmpl w:val="346205C2"/>
    <w:lvl w:ilvl="0" w:tplc="1EB693CC">
      <w:start w:val="1"/>
      <w:numFmt w:val="bullet"/>
      <w:lvlText w:val="-"/>
      <w:lvlJc w:val="left"/>
      <w:pPr>
        <w:ind w:left="720" w:hanging="360"/>
      </w:pPr>
      <w:rPr>
        <w:rFonts w:ascii="Symbol" w:hAnsi="Symbol" w:hint="default"/>
      </w:rPr>
    </w:lvl>
    <w:lvl w:ilvl="1" w:tplc="A3B4DCB2">
      <w:start w:val="1"/>
      <w:numFmt w:val="bullet"/>
      <w:lvlText w:val="o"/>
      <w:lvlJc w:val="left"/>
      <w:pPr>
        <w:ind w:left="1440" w:hanging="360"/>
      </w:pPr>
      <w:rPr>
        <w:rFonts w:ascii="Courier New" w:hAnsi="Courier New" w:hint="default"/>
      </w:rPr>
    </w:lvl>
    <w:lvl w:ilvl="2" w:tplc="1C72C88A">
      <w:start w:val="1"/>
      <w:numFmt w:val="bullet"/>
      <w:lvlText w:val=""/>
      <w:lvlJc w:val="left"/>
      <w:pPr>
        <w:ind w:left="2160" w:hanging="360"/>
      </w:pPr>
      <w:rPr>
        <w:rFonts w:ascii="Wingdings" w:hAnsi="Wingdings" w:hint="default"/>
      </w:rPr>
    </w:lvl>
    <w:lvl w:ilvl="3" w:tplc="F35C92E4">
      <w:start w:val="1"/>
      <w:numFmt w:val="bullet"/>
      <w:lvlText w:val=""/>
      <w:lvlJc w:val="left"/>
      <w:pPr>
        <w:ind w:left="2880" w:hanging="360"/>
      </w:pPr>
      <w:rPr>
        <w:rFonts w:ascii="Symbol" w:hAnsi="Symbol" w:hint="default"/>
      </w:rPr>
    </w:lvl>
    <w:lvl w:ilvl="4" w:tplc="D4EC0148">
      <w:start w:val="1"/>
      <w:numFmt w:val="bullet"/>
      <w:lvlText w:val="o"/>
      <w:lvlJc w:val="left"/>
      <w:pPr>
        <w:ind w:left="3600" w:hanging="360"/>
      </w:pPr>
      <w:rPr>
        <w:rFonts w:ascii="Courier New" w:hAnsi="Courier New" w:hint="default"/>
      </w:rPr>
    </w:lvl>
    <w:lvl w:ilvl="5" w:tplc="A33E1036">
      <w:start w:val="1"/>
      <w:numFmt w:val="bullet"/>
      <w:lvlText w:val=""/>
      <w:lvlJc w:val="left"/>
      <w:pPr>
        <w:ind w:left="4320" w:hanging="360"/>
      </w:pPr>
      <w:rPr>
        <w:rFonts w:ascii="Wingdings" w:hAnsi="Wingdings" w:hint="default"/>
      </w:rPr>
    </w:lvl>
    <w:lvl w:ilvl="6" w:tplc="2988C5D8">
      <w:start w:val="1"/>
      <w:numFmt w:val="bullet"/>
      <w:lvlText w:val=""/>
      <w:lvlJc w:val="left"/>
      <w:pPr>
        <w:ind w:left="5040" w:hanging="360"/>
      </w:pPr>
      <w:rPr>
        <w:rFonts w:ascii="Symbol" w:hAnsi="Symbol" w:hint="default"/>
      </w:rPr>
    </w:lvl>
    <w:lvl w:ilvl="7" w:tplc="6952EB84">
      <w:start w:val="1"/>
      <w:numFmt w:val="bullet"/>
      <w:lvlText w:val="o"/>
      <w:lvlJc w:val="left"/>
      <w:pPr>
        <w:ind w:left="5760" w:hanging="360"/>
      </w:pPr>
      <w:rPr>
        <w:rFonts w:ascii="Courier New" w:hAnsi="Courier New" w:hint="default"/>
      </w:rPr>
    </w:lvl>
    <w:lvl w:ilvl="8" w:tplc="D5500054">
      <w:start w:val="1"/>
      <w:numFmt w:val="bullet"/>
      <w:lvlText w:val=""/>
      <w:lvlJc w:val="left"/>
      <w:pPr>
        <w:ind w:left="6480" w:hanging="360"/>
      </w:pPr>
      <w:rPr>
        <w:rFonts w:ascii="Wingdings" w:hAnsi="Wingdings" w:hint="default"/>
      </w:rPr>
    </w:lvl>
  </w:abstractNum>
  <w:abstractNum w:abstractNumId="98" w15:restartNumberingAfterBreak="0">
    <w:nsid w:val="105F45AC"/>
    <w:multiLevelType w:val="hybridMultilevel"/>
    <w:tmpl w:val="F8C08386"/>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99" w15:restartNumberingAfterBreak="0">
    <w:nsid w:val="10D4510F"/>
    <w:multiLevelType w:val="hybridMultilevel"/>
    <w:tmpl w:val="620A8790"/>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0DD1C07"/>
    <w:multiLevelType w:val="hybridMultilevel"/>
    <w:tmpl w:val="C852AC98"/>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15:restartNumberingAfterBreak="0">
    <w:nsid w:val="10E60BDD"/>
    <w:multiLevelType w:val="multilevel"/>
    <w:tmpl w:val="92369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13130FF"/>
    <w:multiLevelType w:val="hybridMultilevel"/>
    <w:tmpl w:val="A9CEE1DE"/>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11634740"/>
    <w:multiLevelType w:val="hybridMultilevel"/>
    <w:tmpl w:val="6256D3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11743401"/>
    <w:multiLevelType w:val="hybridMultilevel"/>
    <w:tmpl w:val="CDDADF36"/>
    <w:lvl w:ilvl="0" w:tplc="04100017">
      <w:start w:val="1"/>
      <w:numFmt w:val="lowerLetter"/>
      <w:lvlText w:val="%1)"/>
      <w:lvlJc w:val="left"/>
      <w:pPr>
        <w:ind w:left="1444" w:hanging="735"/>
      </w:pPr>
      <w:rPr>
        <w:rFonts w:hint="default"/>
      </w:rPr>
    </w:lvl>
    <w:lvl w:ilvl="1" w:tplc="9820750A">
      <w:numFmt w:val="bullet"/>
      <w:lvlText w:val="•"/>
      <w:lvlJc w:val="left"/>
      <w:pPr>
        <w:ind w:left="1815" w:hanging="735"/>
      </w:pPr>
      <w:rPr>
        <w:rFonts w:ascii="Symbol" w:eastAsiaTheme="minorHAnsi" w:hAnsi="Symbol" w:cs="Symbol"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05" w15:restartNumberingAfterBreak="0">
    <w:nsid w:val="11B5132B"/>
    <w:multiLevelType w:val="hybridMultilevel"/>
    <w:tmpl w:val="40A2F008"/>
    <w:lvl w:ilvl="0" w:tplc="FF80976C">
      <w:start w:val="3"/>
      <w:numFmt w:val="lowerLetter"/>
      <w:lvlText w:val="%1."/>
      <w:lvlJc w:val="left"/>
      <w:pPr>
        <w:ind w:left="720" w:hanging="360"/>
      </w:pPr>
      <w:rPr>
        <w:rFonts w:hint="default"/>
        <w:color w:val="4F81BD"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6" w15:restartNumberingAfterBreak="0">
    <w:nsid w:val="11D961B3"/>
    <w:multiLevelType w:val="multilevel"/>
    <w:tmpl w:val="BE5C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21550B3"/>
    <w:multiLevelType w:val="hybridMultilevel"/>
    <w:tmpl w:val="71728E8E"/>
    <w:lvl w:ilvl="0" w:tplc="18090001">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ambria Math" w:hAnsi="Cambria Math" w:cs="Cambria Math"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Courier New" w:hAnsi="Courier New" w:hint="default"/>
      </w:rPr>
    </w:lvl>
    <w:lvl w:ilvl="4" w:tplc="18090003" w:tentative="1">
      <w:start w:val="1"/>
      <w:numFmt w:val="bullet"/>
      <w:lvlText w:val="o"/>
      <w:lvlJc w:val="left"/>
      <w:pPr>
        <w:ind w:left="3600" w:hanging="360"/>
      </w:pPr>
      <w:rPr>
        <w:rFonts w:ascii="Cambria Math" w:hAnsi="Cambria Math" w:cs="Cambria Math"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Courier New" w:hAnsi="Courier New" w:hint="default"/>
      </w:rPr>
    </w:lvl>
    <w:lvl w:ilvl="7" w:tplc="18090003" w:tentative="1">
      <w:start w:val="1"/>
      <w:numFmt w:val="bullet"/>
      <w:lvlText w:val="o"/>
      <w:lvlJc w:val="left"/>
      <w:pPr>
        <w:ind w:left="5760" w:hanging="360"/>
      </w:pPr>
      <w:rPr>
        <w:rFonts w:ascii="Cambria Math" w:hAnsi="Cambria Math" w:cs="Cambria Math"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12190814"/>
    <w:multiLevelType w:val="hybridMultilevel"/>
    <w:tmpl w:val="5524BAE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23B1C5D"/>
    <w:multiLevelType w:val="multilevel"/>
    <w:tmpl w:val="C38661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245C6DA"/>
    <w:multiLevelType w:val="hybridMultilevel"/>
    <w:tmpl w:val="FFFFFFFF"/>
    <w:lvl w:ilvl="0" w:tplc="A54E0964">
      <w:start w:val="1"/>
      <w:numFmt w:val="bullet"/>
      <w:lvlText w:val=""/>
      <w:lvlJc w:val="left"/>
      <w:pPr>
        <w:ind w:left="720" w:hanging="360"/>
      </w:pPr>
      <w:rPr>
        <w:rFonts w:ascii="Segoe UI" w:hAnsi="Segoe UI" w:hint="default"/>
      </w:rPr>
    </w:lvl>
    <w:lvl w:ilvl="1" w:tplc="9AD0B79A">
      <w:start w:val="1"/>
      <w:numFmt w:val="bullet"/>
      <w:lvlText w:val="o"/>
      <w:lvlJc w:val="left"/>
      <w:pPr>
        <w:ind w:left="1440" w:hanging="360"/>
      </w:pPr>
      <w:rPr>
        <w:rFonts w:ascii="Courier New" w:hAnsi="Courier New" w:hint="default"/>
      </w:rPr>
    </w:lvl>
    <w:lvl w:ilvl="2" w:tplc="34D0659E">
      <w:start w:val="1"/>
      <w:numFmt w:val="bullet"/>
      <w:lvlText w:val=""/>
      <w:lvlJc w:val="left"/>
      <w:pPr>
        <w:ind w:left="2160" w:hanging="360"/>
      </w:pPr>
      <w:rPr>
        <w:rFonts w:ascii="Cambria Math" w:hAnsi="Cambria Math" w:hint="default"/>
      </w:rPr>
    </w:lvl>
    <w:lvl w:ilvl="3" w:tplc="C8AAADAA">
      <w:start w:val="1"/>
      <w:numFmt w:val="bullet"/>
      <w:lvlText w:val=""/>
      <w:lvlJc w:val="left"/>
      <w:pPr>
        <w:ind w:left="2880" w:hanging="360"/>
      </w:pPr>
      <w:rPr>
        <w:rFonts w:ascii="Segoe UI" w:hAnsi="Segoe UI" w:hint="default"/>
      </w:rPr>
    </w:lvl>
    <w:lvl w:ilvl="4" w:tplc="C90EB8D8">
      <w:start w:val="1"/>
      <w:numFmt w:val="bullet"/>
      <w:lvlText w:val="o"/>
      <w:lvlJc w:val="left"/>
      <w:pPr>
        <w:ind w:left="3600" w:hanging="360"/>
      </w:pPr>
      <w:rPr>
        <w:rFonts w:ascii="Courier New" w:hAnsi="Courier New" w:hint="default"/>
      </w:rPr>
    </w:lvl>
    <w:lvl w:ilvl="5" w:tplc="CA28F91E">
      <w:start w:val="1"/>
      <w:numFmt w:val="bullet"/>
      <w:lvlText w:val=""/>
      <w:lvlJc w:val="left"/>
      <w:pPr>
        <w:ind w:left="4320" w:hanging="360"/>
      </w:pPr>
      <w:rPr>
        <w:rFonts w:ascii="Cambria Math" w:hAnsi="Cambria Math" w:hint="default"/>
      </w:rPr>
    </w:lvl>
    <w:lvl w:ilvl="6" w:tplc="B5F6132C">
      <w:start w:val="1"/>
      <w:numFmt w:val="bullet"/>
      <w:lvlText w:val=""/>
      <w:lvlJc w:val="left"/>
      <w:pPr>
        <w:ind w:left="5040" w:hanging="360"/>
      </w:pPr>
      <w:rPr>
        <w:rFonts w:ascii="Segoe UI" w:hAnsi="Segoe UI" w:hint="default"/>
      </w:rPr>
    </w:lvl>
    <w:lvl w:ilvl="7" w:tplc="F7EA639E">
      <w:start w:val="1"/>
      <w:numFmt w:val="bullet"/>
      <w:lvlText w:val="o"/>
      <w:lvlJc w:val="left"/>
      <w:pPr>
        <w:ind w:left="5760" w:hanging="360"/>
      </w:pPr>
      <w:rPr>
        <w:rFonts w:ascii="Courier New" w:hAnsi="Courier New" w:hint="default"/>
      </w:rPr>
    </w:lvl>
    <w:lvl w:ilvl="8" w:tplc="1E0AD124">
      <w:start w:val="1"/>
      <w:numFmt w:val="bullet"/>
      <w:lvlText w:val=""/>
      <w:lvlJc w:val="left"/>
      <w:pPr>
        <w:ind w:left="6480" w:hanging="360"/>
      </w:pPr>
      <w:rPr>
        <w:rFonts w:ascii="Cambria Math" w:hAnsi="Cambria Math" w:hint="default"/>
      </w:rPr>
    </w:lvl>
  </w:abstractNum>
  <w:abstractNum w:abstractNumId="111" w15:restartNumberingAfterBreak="0">
    <w:nsid w:val="128948C5"/>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12B29CC8"/>
    <w:multiLevelType w:val="hybridMultilevel"/>
    <w:tmpl w:val="FFFFFFFF"/>
    <w:lvl w:ilvl="0" w:tplc="16A2BBB4">
      <w:start w:val="1"/>
      <w:numFmt w:val="bullet"/>
      <w:lvlText w:val="-"/>
      <w:lvlJc w:val="left"/>
      <w:pPr>
        <w:ind w:left="720" w:hanging="360"/>
      </w:pPr>
      <w:rPr>
        <w:rFonts w:ascii="Times New Roman" w:hAnsi="Times New Roman" w:hint="default"/>
      </w:rPr>
    </w:lvl>
    <w:lvl w:ilvl="1" w:tplc="7D4C53B8">
      <w:start w:val="1"/>
      <w:numFmt w:val="bullet"/>
      <w:lvlText w:val="o"/>
      <w:lvlJc w:val="left"/>
      <w:pPr>
        <w:ind w:left="1440" w:hanging="360"/>
      </w:pPr>
      <w:rPr>
        <w:rFonts w:ascii="Courier New" w:hAnsi="Courier New" w:hint="default"/>
      </w:rPr>
    </w:lvl>
    <w:lvl w:ilvl="2" w:tplc="1D0215B4">
      <w:start w:val="1"/>
      <w:numFmt w:val="bullet"/>
      <w:lvlText w:val=""/>
      <w:lvlJc w:val="left"/>
      <w:pPr>
        <w:ind w:left="2160" w:hanging="360"/>
      </w:pPr>
      <w:rPr>
        <w:rFonts w:ascii="Wingdings" w:hAnsi="Wingdings" w:hint="default"/>
      </w:rPr>
    </w:lvl>
    <w:lvl w:ilvl="3" w:tplc="EB50036C">
      <w:start w:val="1"/>
      <w:numFmt w:val="bullet"/>
      <w:lvlText w:val=""/>
      <w:lvlJc w:val="left"/>
      <w:pPr>
        <w:ind w:left="2880" w:hanging="360"/>
      </w:pPr>
      <w:rPr>
        <w:rFonts w:ascii="Symbol" w:hAnsi="Symbol" w:hint="default"/>
      </w:rPr>
    </w:lvl>
    <w:lvl w:ilvl="4" w:tplc="C6FC388A">
      <w:start w:val="1"/>
      <w:numFmt w:val="bullet"/>
      <w:lvlText w:val="o"/>
      <w:lvlJc w:val="left"/>
      <w:pPr>
        <w:ind w:left="3600" w:hanging="360"/>
      </w:pPr>
      <w:rPr>
        <w:rFonts w:ascii="Courier New" w:hAnsi="Courier New" w:hint="default"/>
      </w:rPr>
    </w:lvl>
    <w:lvl w:ilvl="5" w:tplc="81E22EFE">
      <w:start w:val="1"/>
      <w:numFmt w:val="bullet"/>
      <w:lvlText w:val=""/>
      <w:lvlJc w:val="left"/>
      <w:pPr>
        <w:ind w:left="4320" w:hanging="360"/>
      </w:pPr>
      <w:rPr>
        <w:rFonts w:ascii="Wingdings" w:hAnsi="Wingdings" w:hint="default"/>
      </w:rPr>
    </w:lvl>
    <w:lvl w:ilvl="6" w:tplc="17323E42">
      <w:start w:val="1"/>
      <w:numFmt w:val="bullet"/>
      <w:lvlText w:val=""/>
      <w:lvlJc w:val="left"/>
      <w:pPr>
        <w:ind w:left="5040" w:hanging="360"/>
      </w:pPr>
      <w:rPr>
        <w:rFonts w:ascii="Symbol" w:hAnsi="Symbol" w:hint="default"/>
      </w:rPr>
    </w:lvl>
    <w:lvl w:ilvl="7" w:tplc="BA109A92">
      <w:start w:val="1"/>
      <w:numFmt w:val="bullet"/>
      <w:lvlText w:val="o"/>
      <w:lvlJc w:val="left"/>
      <w:pPr>
        <w:ind w:left="5760" w:hanging="360"/>
      </w:pPr>
      <w:rPr>
        <w:rFonts w:ascii="Courier New" w:hAnsi="Courier New" w:hint="default"/>
      </w:rPr>
    </w:lvl>
    <w:lvl w:ilvl="8" w:tplc="733E9AB8">
      <w:start w:val="1"/>
      <w:numFmt w:val="bullet"/>
      <w:lvlText w:val=""/>
      <w:lvlJc w:val="left"/>
      <w:pPr>
        <w:ind w:left="6480" w:hanging="360"/>
      </w:pPr>
      <w:rPr>
        <w:rFonts w:ascii="Wingdings" w:hAnsi="Wingdings" w:hint="default"/>
      </w:rPr>
    </w:lvl>
  </w:abstractNum>
  <w:abstractNum w:abstractNumId="113" w15:restartNumberingAfterBreak="0">
    <w:nsid w:val="12C11C1B"/>
    <w:multiLevelType w:val="multilevel"/>
    <w:tmpl w:val="EE2EF1D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4" w15:restartNumberingAfterBreak="0">
    <w:nsid w:val="12CD02A7"/>
    <w:multiLevelType w:val="multilevel"/>
    <w:tmpl w:val="E99490FC"/>
    <w:lvl w:ilvl="0">
      <w:start w:val="1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5" w15:restartNumberingAfterBreak="0">
    <w:nsid w:val="13124584"/>
    <w:multiLevelType w:val="hybridMultilevel"/>
    <w:tmpl w:val="FFFFFFFF"/>
    <w:lvl w:ilvl="0" w:tplc="692402EC">
      <w:start w:val="1"/>
      <w:numFmt w:val="bullet"/>
      <w:lvlText w:val=""/>
      <w:lvlJc w:val="left"/>
      <w:pPr>
        <w:ind w:left="720" w:hanging="360"/>
      </w:pPr>
      <w:rPr>
        <w:rFonts w:ascii="Symbol" w:hAnsi="Symbol" w:hint="default"/>
      </w:rPr>
    </w:lvl>
    <w:lvl w:ilvl="1" w:tplc="89CA6D74">
      <w:start w:val="1"/>
      <w:numFmt w:val="bullet"/>
      <w:lvlText w:val="o"/>
      <w:lvlJc w:val="left"/>
      <w:pPr>
        <w:ind w:left="1440" w:hanging="360"/>
      </w:pPr>
      <w:rPr>
        <w:rFonts w:ascii="Courier New" w:hAnsi="Courier New" w:hint="default"/>
      </w:rPr>
    </w:lvl>
    <w:lvl w:ilvl="2" w:tplc="52DA10C0">
      <w:start w:val="1"/>
      <w:numFmt w:val="bullet"/>
      <w:lvlText w:val=""/>
      <w:lvlJc w:val="left"/>
      <w:pPr>
        <w:ind w:left="2160" w:hanging="360"/>
      </w:pPr>
      <w:rPr>
        <w:rFonts w:ascii="Wingdings" w:hAnsi="Wingdings" w:hint="default"/>
      </w:rPr>
    </w:lvl>
    <w:lvl w:ilvl="3" w:tplc="0CF6A8D8">
      <w:start w:val="1"/>
      <w:numFmt w:val="bullet"/>
      <w:lvlText w:val=""/>
      <w:lvlJc w:val="left"/>
      <w:pPr>
        <w:ind w:left="2880" w:hanging="360"/>
      </w:pPr>
      <w:rPr>
        <w:rFonts w:ascii="Symbol" w:hAnsi="Symbol" w:hint="default"/>
      </w:rPr>
    </w:lvl>
    <w:lvl w:ilvl="4" w:tplc="0638FA6E">
      <w:start w:val="1"/>
      <w:numFmt w:val="bullet"/>
      <w:lvlText w:val="o"/>
      <w:lvlJc w:val="left"/>
      <w:pPr>
        <w:ind w:left="3600" w:hanging="360"/>
      </w:pPr>
      <w:rPr>
        <w:rFonts w:ascii="Courier New" w:hAnsi="Courier New" w:hint="default"/>
      </w:rPr>
    </w:lvl>
    <w:lvl w:ilvl="5" w:tplc="D8BA0D6C">
      <w:start w:val="1"/>
      <w:numFmt w:val="bullet"/>
      <w:lvlText w:val=""/>
      <w:lvlJc w:val="left"/>
      <w:pPr>
        <w:ind w:left="4320" w:hanging="360"/>
      </w:pPr>
      <w:rPr>
        <w:rFonts w:ascii="Wingdings" w:hAnsi="Wingdings" w:hint="default"/>
      </w:rPr>
    </w:lvl>
    <w:lvl w:ilvl="6" w:tplc="2F08C9A6">
      <w:start w:val="1"/>
      <w:numFmt w:val="bullet"/>
      <w:lvlText w:val=""/>
      <w:lvlJc w:val="left"/>
      <w:pPr>
        <w:ind w:left="5040" w:hanging="360"/>
      </w:pPr>
      <w:rPr>
        <w:rFonts w:ascii="Symbol" w:hAnsi="Symbol" w:hint="default"/>
      </w:rPr>
    </w:lvl>
    <w:lvl w:ilvl="7" w:tplc="74B83C84">
      <w:start w:val="1"/>
      <w:numFmt w:val="bullet"/>
      <w:lvlText w:val="o"/>
      <w:lvlJc w:val="left"/>
      <w:pPr>
        <w:ind w:left="5760" w:hanging="360"/>
      </w:pPr>
      <w:rPr>
        <w:rFonts w:ascii="Courier New" w:hAnsi="Courier New" w:hint="default"/>
      </w:rPr>
    </w:lvl>
    <w:lvl w:ilvl="8" w:tplc="032AA6FE">
      <w:start w:val="1"/>
      <w:numFmt w:val="bullet"/>
      <w:lvlText w:val=""/>
      <w:lvlJc w:val="left"/>
      <w:pPr>
        <w:ind w:left="6480" w:hanging="360"/>
      </w:pPr>
      <w:rPr>
        <w:rFonts w:ascii="Wingdings" w:hAnsi="Wingdings" w:hint="default"/>
      </w:rPr>
    </w:lvl>
  </w:abstractNum>
  <w:abstractNum w:abstractNumId="116" w15:restartNumberingAfterBreak="0">
    <w:nsid w:val="131CC598"/>
    <w:multiLevelType w:val="hybridMultilevel"/>
    <w:tmpl w:val="FFFFFFFF"/>
    <w:lvl w:ilvl="0" w:tplc="367EF668">
      <w:start w:val="6"/>
      <w:numFmt w:val="decimal"/>
      <w:lvlText w:val="%1."/>
      <w:lvlJc w:val="left"/>
      <w:pPr>
        <w:ind w:left="720" w:hanging="360"/>
      </w:pPr>
    </w:lvl>
    <w:lvl w:ilvl="1" w:tplc="B3429812">
      <w:start w:val="1"/>
      <w:numFmt w:val="lowerLetter"/>
      <w:lvlText w:val="%2."/>
      <w:lvlJc w:val="left"/>
      <w:pPr>
        <w:ind w:left="1440" w:hanging="360"/>
      </w:pPr>
    </w:lvl>
    <w:lvl w:ilvl="2" w:tplc="8CC274D2">
      <w:start w:val="1"/>
      <w:numFmt w:val="lowerRoman"/>
      <w:lvlText w:val="%3."/>
      <w:lvlJc w:val="right"/>
      <w:pPr>
        <w:ind w:left="2160" w:hanging="180"/>
      </w:pPr>
    </w:lvl>
    <w:lvl w:ilvl="3" w:tplc="162CFD30">
      <w:start w:val="1"/>
      <w:numFmt w:val="decimal"/>
      <w:lvlText w:val="%4."/>
      <w:lvlJc w:val="left"/>
      <w:pPr>
        <w:ind w:left="2880" w:hanging="360"/>
      </w:pPr>
    </w:lvl>
    <w:lvl w:ilvl="4" w:tplc="CEF4E0E6">
      <w:start w:val="1"/>
      <w:numFmt w:val="lowerLetter"/>
      <w:lvlText w:val="%5."/>
      <w:lvlJc w:val="left"/>
      <w:pPr>
        <w:ind w:left="3600" w:hanging="360"/>
      </w:pPr>
    </w:lvl>
    <w:lvl w:ilvl="5" w:tplc="7722E234">
      <w:start w:val="1"/>
      <w:numFmt w:val="lowerRoman"/>
      <w:lvlText w:val="%6."/>
      <w:lvlJc w:val="right"/>
      <w:pPr>
        <w:ind w:left="4320" w:hanging="180"/>
      </w:pPr>
    </w:lvl>
    <w:lvl w:ilvl="6" w:tplc="6DC8E9CA">
      <w:start w:val="1"/>
      <w:numFmt w:val="decimal"/>
      <w:lvlText w:val="%7."/>
      <w:lvlJc w:val="left"/>
      <w:pPr>
        <w:ind w:left="5040" w:hanging="360"/>
      </w:pPr>
    </w:lvl>
    <w:lvl w:ilvl="7" w:tplc="74E85A12">
      <w:start w:val="1"/>
      <w:numFmt w:val="lowerLetter"/>
      <w:lvlText w:val="%8."/>
      <w:lvlJc w:val="left"/>
      <w:pPr>
        <w:ind w:left="5760" w:hanging="360"/>
      </w:pPr>
    </w:lvl>
    <w:lvl w:ilvl="8" w:tplc="FD9E5536">
      <w:start w:val="1"/>
      <w:numFmt w:val="lowerRoman"/>
      <w:lvlText w:val="%9."/>
      <w:lvlJc w:val="right"/>
      <w:pPr>
        <w:ind w:left="6480" w:hanging="180"/>
      </w:pPr>
    </w:lvl>
  </w:abstractNum>
  <w:abstractNum w:abstractNumId="117" w15:restartNumberingAfterBreak="0">
    <w:nsid w:val="132A5AEA"/>
    <w:multiLevelType w:val="hybridMultilevel"/>
    <w:tmpl w:val="F68861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8" w15:restartNumberingAfterBreak="0">
    <w:nsid w:val="132D68F1"/>
    <w:multiLevelType w:val="hybridMultilevel"/>
    <w:tmpl w:val="72546D4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9" w15:restartNumberingAfterBreak="0">
    <w:nsid w:val="133059F6"/>
    <w:multiLevelType w:val="multilevel"/>
    <w:tmpl w:val="EF3C8E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35F6B00"/>
    <w:multiLevelType w:val="hybridMultilevel"/>
    <w:tmpl w:val="FFFFFFFF"/>
    <w:lvl w:ilvl="0" w:tplc="C64E16A0">
      <w:start w:val="1"/>
      <w:numFmt w:val="bullet"/>
      <w:lvlText w:val="-"/>
      <w:lvlJc w:val="left"/>
      <w:pPr>
        <w:ind w:left="720" w:hanging="360"/>
      </w:pPr>
      <w:rPr>
        <w:rFonts w:ascii="Wingdings" w:hAnsi="Wingdings" w:hint="default"/>
      </w:rPr>
    </w:lvl>
    <w:lvl w:ilvl="1" w:tplc="43E2910C">
      <w:start w:val="1"/>
      <w:numFmt w:val="bullet"/>
      <w:lvlText w:val="o"/>
      <w:lvlJc w:val="left"/>
      <w:pPr>
        <w:ind w:left="1440" w:hanging="360"/>
      </w:pPr>
      <w:rPr>
        <w:rFonts w:ascii="Courier New" w:hAnsi="Courier New" w:hint="default"/>
      </w:rPr>
    </w:lvl>
    <w:lvl w:ilvl="2" w:tplc="F69C44A2">
      <w:start w:val="1"/>
      <w:numFmt w:val="bullet"/>
      <w:lvlText w:val=""/>
      <w:lvlJc w:val="left"/>
      <w:pPr>
        <w:ind w:left="2160" w:hanging="360"/>
      </w:pPr>
      <w:rPr>
        <w:rFonts w:ascii="Cambria Math" w:hAnsi="Cambria Math" w:hint="default"/>
      </w:rPr>
    </w:lvl>
    <w:lvl w:ilvl="3" w:tplc="5B4CF836">
      <w:start w:val="1"/>
      <w:numFmt w:val="bullet"/>
      <w:lvlText w:val=""/>
      <w:lvlJc w:val="left"/>
      <w:pPr>
        <w:ind w:left="2880" w:hanging="360"/>
      </w:pPr>
      <w:rPr>
        <w:rFonts w:ascii="Segoe UI" w:hAnsi="Segoe UI" w:hint="default"/>
      </w:rPr>
    </w:lvl>
    <w:lvl w:ilvl="4" w:tplc="F9C2180C">
      <w:start w:val="1"/>
      <w:numFmt w:val="bullet"/>
      <w:lvlText w:val="o"/>
      <w:lvlJc w:val="left"/>
      <w:pPr>
        <w:ind w:left="3600" w:hanging="360"/>
      </w:pPr>
      <w:rPr>
        <w:rFonts w:ascii="Courier New" w:hAnsi="Courier New" w:hint="default"/>
      </w:rPr>
    </w:lvl>
    <w:lvl w:ilvl="5" w:tplc="DC6CA3AC">
      <w:start w:val="1"/>
      <w:numFmt w:val="bullet"/>
      <w:lvlText w:val=""/>
      <w:lvlJc w:val="left"/>
      <w:pPr>
        <w:ind w:left="4320" w:hanging="360"/>
      </w:pPr>
      <w:rPr>
        <w:rFonts w:ascii="Cambria Math" w:hAnsi="Cambria Math" w:hint="default"/>
      </w:rPr>
    </w:lvl>
    <w:lvl w:ilvl="6" w:tplc="AF04AB2A">
      <w:start w:val="1"/>
      <w:numFmt w:val="bullet"/>
      <w:lvlText w:val=""/>
      <w:lvlJc w:val="left"/>
      <w:pPr>
        <w:ind w:left="5040" w:hanging="360"/>
      </w:pPr>
      <w:rPr>
        <w:rFonts w:ascii="Segoe UI" w:hAnsi="Segoe UI" w:hint="default"/>
      </w:rPr>
    </w:lvl>
    <w:lvl w:ilvl="7" w:tplc="11DA4A76">
      <w:start w:val="1"/>
      <w:numFmt w:val="bullet"/>
      <w:lvlText w:val="o"/>
      <w:lvlJc w:val="left"/>
      <w:pPr>
        <w:ind w:left="5760" w:hanging="360"/>
      </w:pPr>
      <w:rPr>
        <w:rFonts w:ascii="Courier New" w:hAnsi="Courier New" w:hint="default"/>
      </w:rPr>
    </w:lvl>
    <w:lvl w:ilvl="8" w:tplc="11CC3B60">
      <w:start w:val="1"/>
      <w:numFmt w:val="bullet"/>
      <w:lvlText w:val=""/>
      <w:lvlJc w:val="left"/>
      <w:pPr>
        <w:ind w:left="6480" w:hanging="360"/>
      </w:pPr>
      <w:rPr>
        <w:rFonts w:ascii="Cambria Math" w:hAnsi="Cambria Math" w:hint="default"/>
      </w:rPr>
    </w:lvl>
  </w:abstractNum>
  <w:abstractNum w:abstractNumId="121" w15:restartNumberingAfterBreak="0">
    <w:nsid w:val="13944325"/>
    <w:multiLevelType w:val="multilevel"/>
    <w:tmpl w:val="509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3AD68B3"/>
    <w:multiLevelType w:val="hybridMultilevel"/>
    <w:tmpl w:val="FFFFFFFF"/>
    <w:lvl w:ilvl="0" w:tplc="2FD09CFA">
      <w:start w:val="1"/>
      <w:numFmt w:val="bullet"/>
      <w:lvlText w:val=""/>
      <w:lvlJc w:val="left"/>
      <w:pPr>
        <w:ind w:left="720" w:hanging="360"/>
      </w:pPr>
      <w:rPr>
        <w:rFonts w:ascii="Symbol" w:hAnsi="Symbol" w:hint="default"/>
      </w:rPr>
    </w:lvl>
    <w:lvl w:ilvl="1" w:tplc="BF7EDE30">
      <w:start w:val="1"/>
      <w:numFmt w:val="bullet"/>
      <w:lvlText w:val="-"/>
      <w:lvlJc w:val="left"/>
      <w:pPr>
        <w:ind w:left="1440" w:hanging="360"/>
      </w:pPr>
      <w:rPr>
        <w:rFonts w:ascii="Calibri" w:hAnsi="Calibri" w:hint="default"/>
      </w:rPr>
    </w:lvl>
    <w:lvl w:ilvl="2" w:tplc="5D0872FE">
      <w:start w:val="1"/>
      <w:numFmt w:val="bullet"/>
      <w:lvlText w:val=""/>
      <w:lvlJc w:val="left"/>
      <w:pPr>
        <w:ind w:left="2160" w:hanging="360"/>
      </w:pPr>
      <w:rPr>
        <w:rFonts w:ascii="Wingdings" w:hAnsi="Wingdings" w:hint="default"/>
      </w:rPr>
    </w:lvl>
    <w:lvl w:ilvl="3" w:tplc="0884FD24">
      <w:start w:val="1"/>
      <w:numFmt w:val="bullet"/>
      <w:lvlText w:val=""/>
      <w:lvlJc w:val="left"/>
      <w:pPr>
        <w:ind w:left="2880" w:hanging="360"/>
      </w:pPr>
      <w:rPr>
        <w:rFonts w:ascii="Symbol" w:hAnsi="Symbol" w:hint="default"/>
      </w:rPr>
    </w:lvl>
    <w:lvl w:ilvl="4" w:tplc="FA427D1A">
      <w:start w:val="1"/>
      <w:numFmt w:val="bullet"/>
      <w:lvlText w:val="o"/>
      <w:lvlJc w:val="left"/>
      <w:pPr>
        <w:ind w:left="3600" w:hanging="360"/>
      </w:pPr>
      <w:rPr>
        <w:rFonts w:ascii="Courier New" w:hAnsi="Courier New" w:hint="default"/>
      </w:rPr>
    </w:lvl>
    <w:lvl w:ilvl="5" w:tplc="AD60C208">
      <w:start w:val="1"/>
      <w:numFmt w:val="bullet"/>
      <w:lvlText w:val=""/>
      <w:lvlJc w:val="left"/>
      <w:pPr>
        <w:ind w:left="4320" w:hanging="360"/>
      </w:pPr>
      <w:rPr>
        <w:rFonts w:ascii="Wingdings" w:hAnsi="Wingdings" w:hint="default"/>
      </w:rPr>
    </w:lvl>
    <w:lvl w:ilvl="6" w:tplc="43B49CA2">
      <w:start w:val="1"/>
      <w:numFmt w:val="bullet"/>
      <w:lvlText w:val=""/>
      <w:lvlJc w:val="left"/>
      <w:pPr>
        <w:ind w:left="5040" w:hanging="360"/>
      </w:pPr>
      <w:rPr>
        <w:rFonts w:ascii="Symbol" w:hAnsi="Symbol" w:hint="default"/>
      </w:rPr>
    </w:lvl>
    <w:lvl w:ilvl="7" w:tplc="603E9BF2">
      <w:start w:val="1"/>
      <w:numFmt w:val="bullet"/>
      <w:lvlText w:val="o"/>
      <w:lvlJc w:val="left"/>
      <w:pPr>
        <w:ind w:left="5760" w:hanging="360"/>
      </w:pPr>
      <w:rPr>
        <w:rFonts w:ascii="Courier New" w:hAnsi="Courier New" w:hint="default"/>
      </w:rPr>
    </w:lvl>
    <w:lvl w:ilvl="8" w:tplc="352641AE">
      <w:start w:val="1"/>
      <w:numFmt w:val="bullet"/>
      <w:lvlText w:val=""/>
      <w:lvlJc w:val="left"/>
      <w:pPr>
        <w:ind w:left="6480" w:hanging="360"/>
      </w:pPr>
      <w:rPr>
        <w:rFonts w:ascii="Wingdings" w:hAnsi="Wingdings" w:hint="default"/>
      </w:rPr>
    </w:lvl>
  </w:abstractNum>
  <w:abstractNum w:abstractNumId="123" w15:restartNumberingAfterBreak="0">
    <w:nsid w:val="13DF7C00"/>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13DF7C88"/>
    <w:multiLevelType w:val="multilevel"/>
    <w:tmpl w:val="A036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3E03BBE"/>
    <w:multiLevelType w:val="multilevel"/>
    <w:tmpl w:val="671AB17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3FB7914"/>
    <w:multiLevelType w:val="hybridMultilevel"/>
    <w:tmpl w:val="FFFFFFFF"/>
    <w:lvl w:ilvl="0" w:tplc="E6644CCE">
      <w:start w:val="1"/>
      <w:numFmt w:val="bullet"/>
      <w:lvlText w:val=""/>
      <w:lvlJc w:val="left"/>
      <w:pPr>
        <w:ind w:left="720" w:hanging="360"/>
      </w:pPr>
      <w:rPr>
        <w:rFonts w:ascii="Segoe UI" w:hAnsi="Segoe UI" w:hint="default"/>
      </w:rPr>
    </w:lvl>
    <w:lvl w:ilvl="1" w:tplc="08609144">
      <w:start w:val="1"/>
      <w:numFmt w:val="bullet"/>
      <w:lvlText w:val="o"/>
      <w:lvlJc w:val="left"/>
      <w:pPr>
        <w:ind w:left="1440" w:hanging="360"/>
      </w:pPr>
      <w:rPr>
        <w:rFonts w:ascii="Courier New" w:hAnsi="Courier New" w:hint="default"/>
      </w:rPr>
    </w:lvl>
    <w:lvl w:ilvl="2" w:tplc="46302E14">
      <w:start w:val="1"/>
      <w:numFmt w:val="bullet"/>
      <w:lvlText w:val=""/>
      <w:lvlJc w:val="left"/>
      <w:pPr>
        <w:ind w:left="2160" w:hanging="360"/>
      </w:pPr>
      <w:rPr>
        <w:rFonts w:ascii="Cambria Math" w:hAnsi="Cambria Math" w:hint="default"/>
      </w:rPr>
    </w:lvl>
    <w:lvl w:ilvl="3" w:tplc="45AEA71E">
      <w:start w:val="1"/>
      <w:numFmt w:val="bullet"/>
      <w:lvlText w:val=""/>
      <w:lvlJc w:val="left"/>
      <w:pPr>
        <w:ind w:left="2880" w:hanging="360"/>
      </w:pPr>
      <w:rPr>
        <w:rFonts w:ascii="Segoe UI" w:hAnsi="Segoe UI" w:hint="default"/>
      </w:rPr>
    </w:lvl>
    <w:lvl w:ilvl="4" w:tplc="DCFA0596">
      <w:start w:val="1"/>
      <w:numFmt w:val="bullet"/>
      <w:lvlText w:val="o"/>
      <w:lvlJc w:val="left"/>
      <w:pPr>
        <w:ind w:left="3600" w:hanging="360"/>
      </w:pPr>
      <w:rPr>
        <w:rFonts w:ascii="Courier New" w:hAnsi="Courier New" w:hint="default"/>
      </w:rPr>
    </w:lvl>
    <w:lvl w:ilvl="5" w:tplc="A1EAF564">
      <w:start w:val="1"/>
      <w:numFmt w:val="bullet"/>
      <w:lvlText w:val=""/>
      <w:lvlJc w:val="left"/>
      <w:pPr>
        <w:ind w:left="4320" w:hanging="360"/>
      </w:pPr>
      <w:rPr>
        <w:rFonts w:ascii="Cambria Math" w:hAnsi="Cambria Math" w:hint="default"/>
      </w:rPr>
    </w:lvl>
    <w:lvl w:ilvl="6" w:tplc="AB3830B2">
      <w:start w:val="1"/>
      <w:numFmt w:val="bullet"/>
      <w:lvlText w:val=""/>
      <w:lvlJc w:val="left"/>
      <w:pPr>
        <w:ind w:left="5040" w:hanging="360"/>
      </w:pPr>
      <w:rPr>
        <w:rFonts w:ascii="Segoe UI" w:hAnsi="Segoe UI" w:hint="default"/>
      </w:rPr>
    </w:lvl>
    <w:lvl w:ilvl="7" w:tplc="A89CF254">
      <w:start w:val="1"/>
      <w:numFmt w:val="bullet"/>
      <w:lvlText w:val="o"/>
      <w:lvlJc w:val="left"/>
      <w:pPr>
        <w:ind w:left="5760" w:hanging="360"/>
      </w:pPr>
      <w:rPr>
        <w:rFonts w:ascii="Courier New" w:hAnsi="Courier New" w:hint="default"/>
      </w:rPr>
    </w:lvl>
    <w:lvl w:ilvl="8" w:tplc="0CAA5174">
      <w:start w:val="1"/>
      <w:numFmt w:val="bullet"/>
      <w:lvlText w:val=""/>
      <w:lvlJc w:val="left"/>
      <w:pPr>
        <w:ind w:left="6480" w:hanging="360"/>
      </w:pPr>
      <w:rPr>
        <w:rFonts w:ascii="Cambria Math" w:hAnsi="Cambria Math" w:hint="default"/>
      </w:rPr>
    </w:lvl>
  </w:abstractNum>
  <w:abstractNum w:abstractNumId="127" w15:restartNumberingAfterBreak="0">
    <w:nsid w:val="143D2CF2"/>
    <w:multiLevelType w:val="hybridMultilevel"/>
    <w:tmpl w:val="E5E082A8"/>
    <w:lvl w:ilvl="0" w:tplc="08090017">
      <w:start w:val="1"/>
      <w:numFmt w:val="lowerLetter"/>
      <w:lvlText w:val="%1)"/>
      <w:lvlJc w:val="left"/>
      <w:pPr>
        <w:ind w:left="360" w:hanging="360"/>
      </w:pPr>
    </w:lvl>
    <w:lvl w:ilvl="1" w:tplc="0410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145231BC"/>
    <w:multiLevelType w:val="multilevel"/>
    <w:tmpl w:val="89C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45F24DE"/>
    <w:multiLevelType w:val="multilevel"/>
    <w:tmpl w:val="E002623E"/>
    <w:lvl w:ilvl="0">
      <w:start w:val="4"/>
      <w:numFmt w:val="lowerLetter"/>
      <w:lvlText w:val="%1."/>
      <w:lvlJc w:val="left"/>
      <w:pPr>
        <w:tabs>
          <w:tab w:val="num" w:pos="720"/>
        </w:tabs>
        <w:ind w:left="720" w:hanging="360"/>
      </w:pPr>
    </w:lvl>
    <w:lvl w:ilvl="1">
      <w:start w:val="2023"/>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147F7C40"/>
    <w:multiLevelType w:val="multilevel"/>
    <w:tmpl w:val="F1ACF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4E55253"/>
    <w:multiLevelType w:val="hybridMultilevel"/>
    <w:tmpl w:val="161EF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15225C80"/>
    <w:multiLevelType w:val="hybridMultilevel"/>
    <w:tmpl w:val="D996C9CC"/>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133" w15:restartNumberingAfterBreak="0">
    <w:nsid w:val="152BD716"/>
    <w:multiLevelType w:val="multilevel"/>
    <w:tmpl w:val="FFFFFFFF"/>
    <w:lvl w:ilvl="0">
      <w:start w:val="1"/>
      <w:numFmt w:val="decimal"/>
      <w:lvlText w:val="%1."/>
      <w:lvlJc w:val="left"/>
      <w:pPr>
        <w:ind w:left="720" w:hanging="360"/>
      </w:pPr>
    </w:lvl>
    <w:lvl w:ilvl="1">
      <w:start w:val="1"/>
      <w:numFmt w:val="lowerLetter"/>
      <w:lvlText w:val="%1."/>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156B6A43"/>
    <w:multiLevelType w:val="hybridMultilevel"/>
    <w:tmpl w:val="C820240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5" w15:restartNumberingAfterBreak="0">
    <w:nsid w:val="15CA0880"/>
    <w:multiLevelType w:val="hybridMultilevel"/>
    <w:tmpl w:val="6B425758"/>
    <w:lvl w:ilvl="0" w:tplc="FFFFFFFF">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36" w15:restartNumberingAfterBreak="0">
    <w:nsid w:val="15DCBDAA"/>
    <w:multiLevelType w:val="hybridMultilevel"/>
    <w:tmpl w:val="FFFFFFFF"/>
    <w:lvl w:ilvl="0" w:tplc="35EAA3CC">
      <w:start w:val="1"/>
      <w:numFmt w:val="bullet"/>
      <w:lvlText w:val=""/>
      <w:lvlJc w:val="left"/>
      <w:pPr>
        <w:ind w:left="720" w:hanging="360"/>
      </w:pPr>
      <w:rPr>
        <w:rFonts w:ascii="Segoe UI" w:hAnsi="Segoe UI" w:hint="default"/>
      </w:rPr>
    </w:lvl>
    <w:lvl w:ilvl="1" w:tplc="43E27F94">
      <w:start w:val="1"/>
      <w:numFmt w:val="bullet"/>
      <w:lvlText w:val="o"/>
      <w:lvlJc w:val="left"/>
      <w:pPr>
        <w:ind w:left="1440" w:hanging="360"/>
      </w:pPr>
      <w:rPr>
        <w:rFonts w:ascii="Courier New" w:hAnsi="Courier New" w:hint="default"/>
      </w:rPr>
    </w:lvl>
    <w:lvl w:ilvl="2" w:tplc="CC56AAA8">
      <w:start w:val="1"/>
      <w:numFmt w:val="bullet"/>
      <w:lvlText w:val=""/>
      <w:lvlJc w:val="left"/>
      <w:pPr>
        <w:ind w:left="2160" w:hanging="360"/>
      </w:pPr>
      <w:rPr>
        <w:rFonts w:ascii="Cambria Math" w:hAnsi="Cambria Math" w:hint="default"/>
      </w:rPr>
    </w:lvl>
    <w:lvl w:ilvl="3" w:tplc="9254356A">
      <w:start w:val="1"/>
      <w:numFmt w:val="bullet"/>
      <w:lvlText w:val=""/>
      <w:lvlJc w:val="left"/>
      <w:pPr>
        <w:ind w:left="2880" w:hanging="360"/>
      </w:pPr>
      <w:rPr>
        <w:rFonts w:ascii="Segoe UI" w:hAnsi="Segoe UI" w:hint="default"/>
      </w:rPr>
    </w:lvl>
    <w:lvl w:ilvl="4" w:tplc="A5D8D5CA">
      <w:start w:val="1"/>
      <w:numFmt w:val="bullet"/>
      <w:lvlText w:val="o"/>
      <w:lvlJc w:val="left"/>
      <w:pPr>
        <w:ind w:left="3600" w:hanging="360"/>
      </w:pPr>
      <w:rPr>
        <w:rFonts w:ascii="Courier New" w:hAnsi="Courier New" w:hint="default"/>
      </w:rPr>
    </w:lvl>
    <w:lvl w:ilvl="5" w:tplc="2CBA3158">
      <w:start w:val="1"/>
      <w:numFmt w:val="bullet"/>
      <w:lvlText w:val=""/>
      <w:lvlJc w:val="left"/>
      <w:pPr>
        <w:ind w:left="4320" w:hanging="360"/>
      </w:pPr>
      <w:rPr>
        <w:rFonts w:ascii="Cambria Math" w:hAnsi="Cambria Math" w:hint="default"/>
      </w:rPr>
    </w:lvl>
    <w:lvl w:ilvl="6" w:tplc="55CE145A">
      <w:start w:val="1"/>
      <w:numFmt w:val="bullet"/>
      <w:lvlText w:val=""/>
      <w:lvlJc w:val="left"/>
      <w:pPr>
        <w:ind w:left="5040" w:hanging="360"/>
      </w:pPr>
      <w:rPr>
        <w:rFonts w:ascii="Segoe UI" w:hAnsi="Segoe UI" w:hint="default"/>
      </w:rPr>
    </w:lvl>
    <w:lvl w:ilvl="7" w:tplc="1F56A178">
      <w:start w:val="1"/>
      <w:numFmt w:val="bullet"/>
      <w:lvlText w:val="o"/>
      <w:lvlJc w:val="left"/>
      <w:pPr>
        <w:ind w:left="5760" w:hanging="360"/>
      </w:pPr>
      <w:rPr>
        <w:rFonts w:ascii="Courier New" w:hAnsi="Courier New" w:hint="default"/>
      </w:rPr>
    </w:lvl>
    <w:lvl w:ilvl="8" w:tplc="FAE00FD0">
      <w:start w:val="1"/>
      <w:numFmt w:val="bullet"/>
      <w:lvlText w:val=""/>
      <w:lvlJc w:val="left"/>
      <w:pPr>
        <w:ind w:left="6480" w:hanging="360"/>
      </w:pPr>
      <w:rPr>
        <w:rFonts w:ascii="Cambria Math" w:hAnsi="Cambria Math" w:hint="default"/>
      </w:rPr>
    </w:lvl>
  </w:abstractNum>
  <w:abstractNum w:abstractNumId="137" w15:restartNumberingAfterBreak="0">
    <w:nsid w:val="16311B8D"/>
    <w:multiLevelType w:val="multilevel"/>
    <w:tmpl w:val="5088DD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68A62A0"/>
    <w:multiLevelType w:val="hybridMultilevel"/>
    <w:tmpl w:val="F6B41F1E"/>
    <w:lvl w:ilvl="0" w:tplc="2A789E00">
      <w:start w:val="1"/>
      <w:numFmt w:val="lowerRoman"/>
      <w:lvlText w:val="%1."/>
      <w:lvlJc w:val="right"/>
      <w:pPr>
        <w:ind w:left="1080" w:hanging="720"/>
      </w:pPr>
      <w:rPr>
        <w:rFonts w:hint="default"/>
      </w:rPr>
    </w:lvl>
    <w:lvl w:ilvl="1" w:tplc="B7303C30">
      <w:start w:val="2"/>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1697510B"/>
    <w:multiLevelType w:val="hybridMultilevel"/>
    <w:tmpl w:val="FD88D5BA"/>
    <w:lvl w:ilvl="0" w:tplc="08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140" w15:restartNumberingAfterBreak="0">
    <w:nsid w:val="16B83602"/>
    <w:multiLevelType w:val="hybridMultilevel"/>
    <w:tmpl w:val="FFFFFFFF"/>
    <w:lvl w:ilvl="0" w:tplc="D81AD85A">
      <w:start w:val="12"/>
      <w:numFmt w:val="decimal"/>
      <w:lvlText w:val="%1."/>
      <w:lvlJc w:val="left"/>
      <w:pPr>
        <w:ind w:left="720" w:hanging="360"/>
      </w:pPr>
    </w:lvl>
    <w:lvl w:ilvl="1" w:tplc="AE600D4E">
      <w:start w:val="1"/>
      <w:numFmt w:val="lowerLetter"/>
      <w:lvlText w:val="%2."/>
      <w:lvlJc w:val="left"/>
      <w:pPr>
        <w:ind w:left="1440" w:hanging="360"/>
      </w:pPr>
    </w:lvl>
    <w:lvl w:ilvl="2" w:tplc="C5A0487C">
      <w:start w:val="1"/>
      <w:numFmt w:val="lowerRoman"/>
      <w:lvlText w:val="%3."/>
      <w:lvlJc w:val="right"/>
      <w:pPr>
        <w:ind w:left="2160" w:hanging="180"/>
      </w:pPr>
    </w:lvl>
    <w:lvl w:ilvl="3" w:tplc="1BD04700">
      <w:start w:val="1"/>
      <w:numFmt w:val="decimal"/>
      <w:lvlText w:val="%4."/>
      <w:lvlJc w:val="left"/>
      <w:pPr>
        <w:ind w:left="2880" w:hanging="360"/>
      </w:pPr>
    </w:lvl>
    <w:lvl w:ilvl="4" w:tplc="354026D6">
      <w:start w:val="1"/>
      <w:numFmt w:val="lowerLetter"/>
      <w:lvlText w:val="%5."/>
      <w:lvlJc w:val="left"/>
      <w:pPr>
        <w:ind w:left="3600" w:hanging="360"/>
      </w:pPr>
    </w:lvl>
    <w:lvl w:ilvl="5" w:tplc="22C2B9D2">
      <w:start w:val="1"/>
      <w:numFmt w:val="lowerRoman"/>
      <w:lvlText w:val="%6."/>
      <w:lvlJc w:val="right"/>
      <w:pPr>
        <w:ind w:left="4320" w:hanging="180"/>
      </w:pPr>
    </w:lvl>
    <w:lvl w:ilvl="6" w:tplc="280802DC">
      <w:start w:val="1"/>
      <w:numFmt w:val="decimal"/>
      <w:lvlText w:val="%7."/>
      <w:lvlJc w:val="left"/>
      <w:pPr>
        <w:ind w:left="5040" w:hanging="360"/>
      </w:pPr>
    </w:lvl>
    <w:lvl w:ilvl="7" w:tplc="FA8A068E">
      <w:start w:val="1"/>
      <w:numFmt w:val="lowerLetter"/>
      <w:lvlText w:val="%8."/>
      <w:lvlJc w:val="left"/>
      <w:pPr>
        <w:ind w:left="5760" w:hanging="360"/>
      </w:pPr>
    </w:lvl>
    <w:lvl w:ilvl="8" w:tplc="D7928F34">
      <w:start w:val="1"/>
      <w:numFmt w:val="lowerRoman"/>
      <w:lvlText w:val="%9."/>
      <w:lvlJc w:val="right"/>
      <w:pPr>
        <w:ind w:left="6480" w:hanging="180"/>
      </w:pPr>
    </w:lvl>
  </w:abstractNum>
  <w:abstractNum w:abstractNumId="141" w15:restartNumberingAfterBreak="0">
    <w:nsid w:val="16BD8D73"/>
    <w:multiLevelType w:val="hybridMultilevel"/>
    <w:tmpl w:val="FFFFFFFF"/>
    <w:lvl w:ilvl="0" w:tplc="FB58280E">
      <w:start w:val="1"/>
      <w:numFmt w:val="bullet"/>
      <w:lvlText w:val="·"/>
      <w:lvlJc w:val="left"/>
      <w:pPr>
        <w:ind w:left="720" w:hanging="360"/>
      </w:pPr>
      <w:rPr>
        <w:rFonts w:ascii="Symbol" w:hAnsi="Symbol" w:hint="default"/>
      </w:rPr>
    </w:lvl>
    <w:lvl w:ilvl="1" w:tplc="0096EE6A">
      <w:start w:val="1"/>
      <w:numFmt w:val="bullet"/>
      <w:lvlText w:val="o"/>
      <w:lvlJc w:val="left"/>
      <w:pPr>
        <w:ind w:left="1440" w:hanging="360"/>
      </w:pPr>
      <w:rPr>
        <w:rFonts w:ascii="Courier New" w:hAnsi="Courier New" w:hint="default"/>
      </w:rPr>
    </w:lvl>
    <w:lvl w:ilvl="2" w:tplc="0EF2E08E">
      <w:start w:val="1"/>
      <w:numFmt w:val="bullet"/>
      <w:lvlText w:val=""/>
      <w:lvlJc w:val="left"/>
      <w:pPr>
        <w:ind w:left="2160" w:hanging="360"/>
      </w:pPr>
      <w:rPr>
        <w:rFonts w:ascii="Wingdings" w:hAnsi="Wingdings" w:hint="default"/>
      </w:rPr>
    </w:lvl>
    <w:lvl w:ilvl="3" w:tplc="386626AC">
      <w:start w:val="1"/>
      <w:numFmt w:val="bullet"/>
      <w:lvlText w:val=""/>
      <w:lvlJc w:val="left"/>
      <w:pPr>
        <w:ind w:left="2880" w:hanging="360"/>
      </w:pPr>
      <w:rPr>
        <w:rFonts w:ascii="Symbol" w:hAnsi="Symbol" w:hint="default"/>
      </w:rPr>
    </w:lvl>
    <w:lvl w:ilvl="4" w:tplc="FDC8A05E">
      <w:start w:val="1"/>
      <w:numFmt w:val="bullet"/>
      <w:lvlText w:val="o"/>
      <w:lvlJc w:val="left"/>
      <w:pPr>
        <w:ind w:left="3600" w:hanging="360"/>
      </w:pPr>
      <w:rPr>
        <w:rFonts w:ascii="Courier New" w:hAnsi="Courier New" w:hint="default"/>
      </w:rPr>
    </w:lvl>
    <w:lvl w:ilvl="5" w:tplc="C9A41C04">
      <w:start w:val="1"/>
      <w:numFmt w:val="bullet"/>
      <w:lvlText w:val=""/>
      <w:lvlJc w:val="left"/>
      <w:pPr>
        <w:ind w:left="4320" w:hanging="360"/>
      </w:pPr>
      <w:rPr>
        <w:rFonts w:ascii="Wingdings" w:hAnsi="Wingdings" w:hint="default"/>
      </w:rPr>
    </w:lvl>
    <w:lvl w:ilvl="6" w:tplc="4E08E5BC">
      <w:start w:val="1"/>
      <w:numFmt w:val="bullet"/>
      <w:lvlText w:val=""/>
      <w:lvlJc w:val="left"/>
      <w:pPr>
        <w:ind w:left="5040" w:hanging="360"/>
      </w:pPr>
      <w:rPr>
        <w:rFonts w:ascii="Symbol" w:hAnsi="Symbol" w:hint="default"/>
      </w:rPr>
    </w:lvl>
    <w:lvl w:ilvl="7" w:tplc="D9228FA4">
      <w:start w:val="1"/>
      <w:numFmt w:val="bullet"/>
      <w:lvlText w:val="o"/>
      <w:lvlJc w:val="left"/>
      <w:pPr>
        <w:ind w:left="5760" w:hanging="360"/>
      </w:pPr>
      <w:rPr>
        <w:rFonts w:ascii="Courier New" w:hAnsi="Courier New" w:hint="default"/>
      </w:rPr>
    </w:lvl>
    <w:lvl w:ilvl="8" w:tplc="185E3B4A">
      <w:start w:val="1"/>
      <w:numFmt w:val="bullet"/>
      <w:lvlText w:val=""/>
      <w:lvlJc w:val="left"/>
      <w:pPr>
        <w:ind w:left="6480" w:hanging="360"/>
      </w:pPr>
      <w:rPr>
        <w:rFonts w:ascii="Wingdings" w:hAnsi="Wingdings" w:hint="default"/>
      </w:rPr>
    </w:lvl>
  </w:abstractNum>
  <w:abstractNum w:abstractNumId="142" w15:restartNumberingAfterBreak="0">
    <w:nsid w:val="16E2119D"/>
    <w:multiLevelType w:val="hybridMultilevel"/>
    <w:tmpl w:val="FFFFFFFF"/>
    <w:lvl w:ilvl="0" w:tplc="613CA06A">
      <w:start w:val="1"/>
      <w:numFmt w:val="bullet"/>
      <w:lvlText w:val="o"/>
      <w:lvlJc w:val="left"/>
      <w:pPr>
        <w:ind w:left="720" w:hanging="360"/>
      </w:pPr>
      <w:rPr>
        <w:rFonts w:ascii="&quot;Courier New&quot;" w:hAnsi="&quot;Courier New&quot;" w:hint="default"/>
      </w:rPr>
    </w:lvl>
    <w:lvl w:ilvl="1" w:tplc="AE76813E">
      <w:start w:val="1"/>
      <w:numFmt w:val="bullet"/>
      <w:lvlText w:val="o"/>
      <w:lvlJc w:val="left"/>
      <w:pPr>
        <w:ind w:left="1440" w:hanging="360"/>
      </w:pPr>
      <w:rPr>
        <w:rFonts w:ascii="Courier New" w:hAnsi="Courier New" w:hint="default"/>
      </w:rPr>
    </w:lvl>
    <w:lvl w:ilvl="2" w:tplc="913C3326">
      <w:start w:val="1"/>
      <w:numFmt w:val="bullet"/>
      <w:lvlText w:val=""/>
      <w:lvlJc w:val="left"/>
      <w:pPr>
        <w:ind w:left="2160" w:hanging="360"/>
      </w:pPr>
      <w:rPr>
        <w:rFonts w:ascii="Wingdings" w:hAnsi="Wingdings" w:hint="default"/>
      </w:rPr>
    </w:lvl>
    <w:lvl w:ilvl="3" w:tplc="9BFA3142">
      <w:start w:val="1"/>
      <w:numFmt w:val="bullet"/>
      <w:lvlText w:val=""/>
      <w:lvlJc w:val="left"/>
      <w:pPr>
        <w:ind w:left="2880" w:hanging="360"/>
      </w:pPr>
      <w:rPr>
        <w:rFonts w:ascii="Symbol" w:hAnsi="Symbol" w:hint="default"/>
      </w:rPr>
    </w:lvl>
    <w:lvl w:ilvl="4" w:tplc="18A49514">
      <w:start w:val="1"/>
      <w:numFmt w:val="bullet"/>
      <w:lvlText w:val="o"/>
      <w:lvlJc w:val="left"/>
      <w:pPr>
        <w:ind w:left="3600" w:hanging="360"/>
      </w:pPr>
      <w:rPr>
        <w:rFonts w:ascii="Courier New" w:hAnsi="Courier New" w:hint="default"/>
      </w:rPr>
    </w:lvl>
    <w:lvl w:ilvl="5" w:tplc="8D009E16">
      <w:start w:val="1"/>
      <w:numFmt w:val="bullet"/>
      <w:lvlText w:val=""/>
      <w:lvlJc w:val="left"/>
      <w:pPr>
        <w:ind w:left="4320" w:hanging="360"/>
      </w:pPr>
      <w:rPr>
        <w:rFonts w:ascii="Wingdings" w:hAnsi="Wingdings" w:hint="default"/>
      </w:rPr>
    </w:lvl>
    <w:lvl w:ilvl="6" w:tplc="1B8AFBB4">
      <w:start w:val="1"/>
      <w:numFmt w:val="bullet"/>
      <w:lvlText w:val=""/>
      <w:lvlJc w:val="left"/>
      <w:pPr>
        <w:ind w:left="5040" w:hanging="360"/>
      </w:pPr>
      <w:rPr>
        <w:rFonts w:ascii="Symbol" w:hAnsi="Symbol" w:hint="default"/>
      </w:rPr>
    </w:lvl>
    <w:lvl w:ilvl="7" w:tplc="AF4EB9AC">
      <w:start w:val="1"/>
      <w:numFmt w:val="bullet"/>
      <w:lvlText w:val="o"/>
      <w:lvlJc w:val="left"/>
      <w:pPr>
        <w:ind w:left="5760" w:hanging="360"/>
      </w:pPr>
      <w:rPr>
        <w:rFonts w:ascii="Courier New" w:hAnsi="Courier New" w:hint="default"/>
      </w:rPr>
    </w:lvl>
    <w:lvl w:ilvl="8" w:tplc="7C32FDB4">
      <w:start w:val="1"/>
      <w:numFmt w:val="bullet"/>
      <w:lvlText w:val=""/>
      <w:lvlJc w:val="left"/>
      <w:pPr>
        <w:ind w:left="6480" w:hanging="360"/>
      </w:pPr>
      <w:rPr>
        <w:rFonts w:ascii="Wingdings" w:hAnsi="Wingdings" w:hint="default"/>
      </w:rPr>
    </w:lvl>
  </w:abstractNum>
  <w:abstractNum w:abstractNumId="143" w15:restartNumberingAfterBreak="0">
    <w:nsid w:val="16F339BD"/>
    <w:multiLevelType w:val="hybridMultilevel"/>
    <w:tmpl w:val="FFFFFFFF"/>
    <w:lvl w:ilvl="0" w:tplc="19BEF37A">
      <w:start w:val="1"/>
      <w:numFmt w:val="bullet"/>
      <w:lvlText w:val=""/>
      <w:lvlJc w:val="left"/>
      <w:pPr>
        <w:ind w:left="720" w:hanging="360"/>
      </w:pPr>
      <w:rPr>
        <w:rFonts w:ascii="Symbol" w:hAnsi="Symbol" w:hint="default"/>
      </w:rPr>
    </w:lvl>
    <w:lvl w:ilvl="1" w:tplc="120493A4">
      <w:start w:val="1"/>
      <w:numFmt w:val="bullet"/>
      <w:lvlText w:val="-"/>
      <w:lvlJc w:val="left"/>
      <w:pPr>
        <w:ind w:left="1440" w:hanging="360"/>
      </w:pPr>
      <w:rPr>
        <w:rFonts w:ascii="Calibri" w:hAnsi="Calibri" w:hint="default"/>
      </w:rPr>
    </w:lvl>
    <w:lvl w:ilvl="2" w:tplc="7598CDE6">
      <w:start w:val="1"/>
      <w:numFmt w:val="bullet"/>
      <w:lvlText w:val=""/>
      <w:lvlJc w:val="left"/>
      <w:pPr>
        <w:ind w:left="2160" w:hanging="360"/>
      </w:pPr>
      <w:rPr>
        <w:rFonts w:ascii="Wingdings" w:hAnsi="Wingdings" w:hint="default"/>
      </w:rPr>
    </w:lvl>
    <w:lvl w:ilvl="3" w:tplc="822C59DA">
      <w:start w:val="1"/>
      <w:numFmt w:val="bullet"/>
      <w:lvlText w:val=""/>
      <w:lvlJc w:val="left"/>
      <w:pPr>
        <w:ind w:left="2880" w:hanging="360"/>
      </w:pPr>
      <w:rPr>
        <w:rFonts w:ascii="Symbol" w:hAnsi="Symbol" w:hint="default"/>
      </w:rPr>
    </w:lvl>
    <w:lvl w:ilvl="4" w:tplc="6382D4BA">
      <w:start w:val="1"/>
      <w:numFmt w:val="bullet"/>
      <w:lvlText w:val="o"/>
      <w:lvlJc w:val="left"/>
      <w:pPr>
        <w:ind w:left="3600" w:hanging="360"/>
      </w:pPr>
      <w:rPr>
        <w:rFonts w:ascii="Courier New" w:hAnsi="Courier New" w:hint="default"/>
      </w:rPr>
    </w:lvl>
    <w:lvl w:ilvl="5" w:tplc="7236F44C">
      <w:start w:val="1"/>
      <w:numFmt w:val="bullet"/>
      <w:lvlText w:val=""/>
      <w:lvlJc w:val="left"/>
      <w:pPr>
        <w:ind w:left="4320" w:hanging="360"/>
      </w:pPr>
      <w:rPr>
        <w:rFonts w:ascii="Wingdings" w:hAnsi="Wingdings" w:hint="default"/>
      </w:rPr>
    </w:lvl>
    <w:lvl w:ilvl="6" w:tplc="977AA446">
      <w:start w:val="1"/>
      <w:numFmt w:val="bullet"/>
      <w:lvlText w:val=""/>
      <w:lvlJc w:val="left"/>
      <w:pPr>
        <w:ind w:left="5040" w:hanging="360"/>
      </w:pPr>
      <w:rPr>
        <w:rFonts w:ascii="Symbol" w:hAnsi="Symbol" w:hint="default"/>
      </w:rPr>
    </w:lvl>
    <w:lvl w:ilvl="7" w:tplc="C3A2CB9E">
      <w:start w:val="1"/>
      <w:numFmt w:val="bullet"/>
      <w:lvlText w:val="o"/>
      <w:lvlJc w:val="left"/>
      <w:pPr>
        <w:ind w:left="5760" w:hanging="360"/>
      </w:pPr>
      <w:rPr>
        <w:rFonts w:ascii="Courier New" w:hAnsi="Courier New" w:hint="default"/>
      </w:rPr>
    </w:lvl>
    <w:lvl w:ilvl="8" w:tplc="1E089CC4">
      <w:start w:val="1"/>
      <w:numFmt w:val="bullet"/>
      <w:lvlText w:val=""/>
      <w:lvlJc w:val="left"/>
      <w:pPr>
        <w:ind w:left="6480" w:hanging="360"/>
      </w:pPr>
      <w:rPr>
        <w:rFonts w:ascii="Wingdings" w:hAnsi="Wingdings" w:hint="default"/>
      </w:rPr>
    </w:lvl>
  </w:abstractNum>
  <w:abstractNum w:abstractNumId="144" w15:restartNumberingAfterBreak="0">
    <w:nsid w:val="16FE42D5"/>
    <w:multiLevelType w:val="hybridMultilevel"/>
    <w:tmpl w:val="1809001D"/>
    <w:lvl w:ilvl="0" w:tplc="823C9A8C">
      <w:start w:val="1"/>
      <w:numFmt w:val="bullet"/>
      <w:lvlText w:val=""/>
      <w:lvlJc w:val="left"/>
      <w:pPr>
        <w:ind w:left="360" w:hanging="360"/>
      </w:pPr>
    </w:lvl>
    <w:lvl w:ilvl="1" w:tplc="92B015E4">
      <w:start w:val="1"/>
      <w:numFmt w:val="lowerLetter"/>
      <w:lvlText w:val="%2)"/>
      <w:lvlJc w:val="left"/>
      <w:pPr>
        <w:ind w:left="720" w:hanging="360"/>
      </w:pPr>
    </w:lvl>
    <w:lvl w:ilvl="2" w:tplc="3214B6D8">
      <w:start w:val="1"/>
      <w:numFmt w:val="lowerRoman"/>
      <w:lvlText w:val="%3)"/>
      <w:lvlJc w:val="left"/>
      <w:pPr>
        <w:ind w:left="1080" w:hanging="360"/>
      </w:pPr>
    </w:lvl>
    <w:lvl w:ilvl="3" w:tplc="0F768270">
      <w:start w:val="1"/>
      <w:numFmt w:val="decimal"/>
      <w:lvlText w:val="(%4)"/>
      <w:lvlJc w:val="left"/>
      <w:pPr>
        <w:ind w:left="1440" w:hanging="360"/>
      </w:pPr>
    </w:lvl>
    <w:lvl w:ilvl="4" w:tplc="94B42FB0">
      <w:start w:val="1"/>
      <w:numFmt w:val="lowerLetter"/>
      <w:lvlText w:val="(%5)"/>
      <w:lvlJc w:val="left"/>
      <w:pPr>
        <w:ind w:left="1800" w:hanging="360"/>
      </w:pPr>
    </w:lvl>
    <w:lvl w:ilvl="5" w:tplc="BFF6B416">
      <w:start w:val="1"/>
      <w:numFmt w:val="lowerRoman"/>
      <w:lvlText w:val="(%6)"/>
      <w:lvlJc w:val="left"/>
      <w:pPr>
        <w:ind w:left="2160" w:hanging="360"/>
      </w:pPr>
    </w:lvl>
    <w:lvl w:ilvl="6" w:tplc="4866DEE0">
      <w:start w:val="1"/>
      <w:numFmt w:val="decimal"/>
      <w:lvlText w:val="%7."/>
      <w:lvlJc w:val="left"/>
      <w:pPr>
        <w:ind w:left="2520" w:hanging="360"/>
      </w:pPr>
    </w:lvl>
    <w:lvl w:ilvl="7" w:tplc="BCE6487C">
      <w:start w:val="1"/>
      <w:numFmt w:val="lowerLetter"/>
      <w:lvlText w:val="%8."/>
      <w:lvlJc w:val="left"/>
      <w:pPr>
        <w:ind w:left="2880" w:hanging="360"/>
      </w:pPr>
    </w:lvl>
    <w:lvl w:ilvl="8" w:tplc="3F9CCE28">
      <w:start w:val="1"/>
      <w:numFmt w:val="lowerRoman"/>
      <w:lvlText w:val="%9."/>
      <w:lvlJc w:val="left"/>
      <w:pPr>
        <w:ind w:left="3240" w:hanging="360"/>
      </w:pPr>
    </w:lvl>
  </w:abstractNum>
  <w:abstractNum w:abstractNumId="145" w15:restartNumberingAfterBreak="0">
    <w:nsid w:val="17070BCB"/>
    <w:multiLevelType w:val="multilevel"/>
    <w:tmpl w:val="528088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71A697E"/>
    <w:multiLevelType w:val="hybridMultilevel"/>
    <w:tmpl w:val="C7B892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72AE620"/>
    <w:multiLevelType w:val="hybridMultilevel"/>
    <w:tmpl w:val="FFFFFFFF"/>
    <w:lvl w:ilvl="0" w:tplc="85DCC0C0">
      <w:start w:val="1"/>
      <w:numFmt w:val="bullet"/>
      <w:lvlText w:val="·"/>
      <w:lvlJc w:val="left"/>
      <w:pPr>
        <w:ind w:left="720" w:hanging="360"/>
      </w:pPr>
      <w:rPr>
        <w:rFonts w:ascii="Symbol" w:hAnsi="Symbol" w:hint="default"/>
      </w:rPr>
    </w:lvl>
    <w:lvl w:ilvl="1" w:tplc="31FE3C28">
      <w:start w:val="1"/>
      <w:numFmt w:val="bullet"/>
      <w:lvlText w:val="o"/>
      <w:lvlJc w:val="left"/>
      <w:pPr>
        <w:ind w:left="1440" w:hanging="360"/>
      </w:pPr>
      <w:rPr>
        <w:rFonts w:ascii="Courier New" w:hAnsi="Courier New" w:hint="default"/>
      </w:rPr>
    </w:lvl>
    <w:lvl w:ilvl="2" w:tplc="35E4E2B0">
      <w:start w:val="1"/>
      <w:numFmt w:val="bullet"/>
      <w:lvlText w:val=""/>
      <w:lvlJc w:val="left"/>
      <w:pPr>
        <w:ind w:left="2160" w:hanging="360"/>
      </w:pPr>
      <w:rPr>
        <w:rFonts w:ascii="Wingdings" w:hAnsi="Wingdings" w:hint="default"/>
      </w:rPr>
    </w:lvl>
    <w:lvl w:ilvl="3" w:tplc="1376F07C">
      <w:start w:val="1"/>
      <w:numFmt w:val="bullet"/>
      <w:lvlText w:val=""/>
      <w:lvlJc w:val="left"/>
      <w:pPr>
        <w:ind w:left="2880" w:hanging="360"/>
      </w:pPr>
      <w:rPr>
        <w:rFonts w:ascii="Symbol" w:hAnsi="Symbol" w:hint="default"/>
      </w:rPr>
    </w:lvl>
    <w:lvl w:ilvl="4" w:tplc="8356E9A6">
      <w:start w:val="1"/>
      <w:numFmt w:val="bullet"/>
      <w:lvlText w:val="o"/>
      <w:lvlJc w:val="left"/>
      <w:pPr>
        <w:ind w:left="3600" w:hanging="360"/>
      </w:pPr>
      <w:rPr>
        <w:rFonts w:ascii="Courier New" w:hAnsi="Courier New" w:hint="default"/>
      </w:rPr>
    </w:lvl>
    <w:lvl w:ilvl="5" w:tplc="4D14875E">
      <w:start w:val="1"/>
      <w:numFmt w:val="bullet"/>
      <w:lvlText w:val=""/>
      <w:lvlJc w:val="left"/>
      <w:pPr>
        <w:ind w:left="4320" w:hanging="360"/>
      </w:pPr>
      <w:rPr>
        <w:rFonts w:ascii="Wingdings" w:hAnsi="Wingdings" w:hint="default"/>
      </w:rPr>
    </w:lvl>
    <w:lvl w:ilvl="6" w:tplc="BD18DA40">
      <w:start w:val="1"/>
      <w:numFmt w:val="bullet"/>
      <w:lvlText w:val=""/>
      <w:lvlJc w:val="left"/>
      <w:pPr>
        <w:ind w:left="5040" w:hanging="360"/>
      </w:pPr>
      <w:rPr>
        <w:rFonts w:ascii="Symbol" w:hAnsi="Symbol" w:hint="default"/>
      </w:rPr>
    </w:lvl>
    <w:lvl w:ilvl="7" w:tplc="6E7CEB2C">
      <w:start w:val="1"/>
      <w:numFmt w:val="bullet"/>
      <w:lvlText w:val="o"/>
      <w:lvlJc w:val="left"/>
      <w:pPr>
        <w:ind w:left="5760" w:hanging="360"/>
      </w:pPr>
      <w:rPr>
        <w:rFonts w:ascii="Courier New" w:hAnsi="Courier New" w:hint="default"/>
      </w:rPr>
    </w:lvl>
    <w:lvl w:ilvl="8" w:tplc="8DAC9A2C">
      <w:start w:val="1"/>
      <w:numFmt w:val="bullet"/>
      <w:lvlText w:val=""/>
      <w:lvlJc w:val="left"/>
      <w:pPr>
        <w:ind w:left="6480" w:hanging="360"/>
      </w:pPr>
      <w:rPr>
        <w:rFonts w:ascii="Wingdings" w:hAnsi="Wingdings" w:hint="default"/>
      </w:rPr>
    </w:lvl>
  </w:abstractNum>
  <w:abstractNum w:abstractNumId="148" w15:restartNumberingAfterBreak="0">
    <w:nsid w:val="174C0401"/>
    <w:multiLevelType w:val="hybridMultilevel"/>
    <w:tmpl w:val="02F4A94C"/>
    <w:lvl w:ilvl="0" w:tplc="A5D6A21A">
      <w:start w:val="7"/>
      <w:numFmt w:val="lowerRoman"/>
      <w:lvlText w:val="%1."/>
      <w:lvlJc w:val="right"/>
      <w:pPr>
        <w:ind w:left="720" w:hanging="360"/>
      </w:pPr>
      <w:rPr>
        <w:rFonts w:hint="default"/>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175320BD"/>
    <w:multiLevelType w:val="hybridMultilevel"/>
    <w:tmpl w:val="827677EE"/>
    <w:lvl w:ilvl="0" w:tplc="FFFFFFFF">
      <w:start w:val="1"/>
      <w:numFmt w:val="lowerLetter"/>
      <w:lvlText w:val="%1)"/>
      <w:lvlJc w:val="left"/>
      <w:pPr>
        <w:ind w:left="720" w:hanging="360"/>
      </w:pPr>
    </w:lvl>
    <w:lvl w:ilvl="1" w:tplc="2822E80E">
      <w:start w:val="1"/>
      <w:numFmt w:val="lowerLetter"/>
      <w:lvlText w:val="%2."/>
      <w:lvlJc w:val="left"/>
      <w:pPr>
        <w:ind w:left="1440" w:hanging="360"/>
      </w:pPr>
    </w:lvl>
    <w:lvl w:ilvl="2" w:tplc="F84E68BC">
      <w:start w:val="1"/>
      <w:numFmt w:val="lowerRoman"/>
      <w:lvlText w:val="%3."/>
      <w:lvlJc w:val="right"/>
      <w:pPr>
        <w:ind w:left="2160" w:hanging="180"/>
      </w:pPr>
    </w:lvl>
    <w:lvl w:ilvl="3" w:tplc="80A24C0A">
      <w:start w:val="1"/>
      <w:numFmt w:val="decimal"/>
      <w:lvlText w:val="%4."/>
      <w:lvlJc w:val="left"/>
      <w:pPr>
        <w:ind w:left="2880" w:hanging="360"/>
      </w:pPr>
    </w:lvl>
    <w:lvl w:ilvl="4" w:tplc="A216A36A">
      <w:start w:val="1"/>
      <w:numFmt w:val="lowerLetter"/>
      <w:lvlText w:val="%5."/>
      <w:lvlJc w:val="left"/>
      <w:pPr>
        <w:ind w:left="3600" w:hanging="360"/>
      </w:pPr>
    </w:lvl>
    <w:lvl w:ilvl="5" w:tplc="81367842">
      <w:start w:val="1"/>
      <w:numFmt w:val="lowerRoman"/>
      <w:lvlText w:val="%6."/>
      <w:lvlJc w:val="right"/>
      <w:pPr>
        <w:ind w:left="4320" w:hanging="180"/>
      </w:pPr>
    </w:lvl>
    <w:lvl w:ilvl="6" w:tplc="ED78C922">
      <w:start w:val="1"/>
      <w:numFmt w:val="decimal"/>
      <w:lvlText w:val="%7."/>
      <w:lvlJc w:val="left"/>
      <w:pPr>
        <w:ind w:left="5040" w:hanging="360"/>
      </w:pPr>
    </w:lvl>
    <w:lvl w:ilvl="7" w:tplc="D9DC85F2">
      <w:start w:val="1"/>
      <w:numFmt w:val="lowerLetter"/>
      <w:lvlText w:val="%8."/>
      <w:lvlJc w:val="left"/>
      <w:pPr>
        <w:ind w:left="5760" w:hanging="360"/>
      </w:pPr>
    </w:lvl>
    <w:lvl w:ilvl="8" w:tplc="22CC4B32">
      <w:start w:val="1"/>
      <w:numFmt w:val="lowerRoman"/>
      <w:lvlText w:val="%9."/>
      <w:lvlJc w:val="right"/>
      <w:pPr>
        <w:ind w:left="6480" w:hanging="180"/>
      </w:pPr>
    </w:lvl>
  </w:abstractNum>
  <w:abstractNum w:abstractNumId="150" w15:restartNumberingAfterBreak="0">
    <w:nsid w:val="175C52A5"/>
    <w:multiLevelType w:val="multilevel"/>
    <w:tmpl w:val="7F880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15:restartNumberingAfterBreak="0">
    <w:nsid w:val="175F447F"/>
    <w:multiLevelType w:val="multilevel"/>
    <w:tmpl w:val="1E6C5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77F18D1"/>
    <w:multiLevelType w:val="hybridMultilevel"/>
    <w:tmpl w:val="3506A8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3" w15:restartNumberingAfterBreak="0">
    <w:nsid w:val="17AE1517"/>
    <w:multiLevelType w:val="hybridMultilevel"/>
    <w:tmpl w:val="88EC5F1A"/>
    <w:lvl w:ilvl="0" w:tplc="58C26BEA">
      <w:numFmt w:val="bullet"/>
      <w:lvlText w:val="-"/>
      <w:lvlJc w:val="left"/>
      <w:pPr>
        <w:ind w:left="720" w:hanging="360"/>
      </w:pPr>
      <w:rPr>
        <w:rFonts w:ascii="Times New Roman" w:eastAsia="Times New Roman" w:hAnsi="Times New Roman" w:cs="Times New Roman" w:hint="default"/>
        <w:b/>
        <w:color w:val="4471C4"/>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4" w15:restartNumberingAfterBreak="0">
    <w:nsid w:val="17E31F37"/>
    <w:multiLevelType w:val="multilevel"/>
    <w:tmpl w:val="750E313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5" w15:restartNumberingAfterBreak="0">
    <w:nsid w:val="17F7E91D"/>
    <w:multiLevelType w:val="hybridMultilevel"/>
    <w:tmpl w:val="FFFFFFFF"/>
    <w:lvl w:ilvl="0" w:tplc="06CE4D6E">
      <w:start w:val="1"/>
      <w:numFmt w:val="decimal"/>
      <w:lvlText w:val="%1."/>
      <w:lvlJc w:val="left"/>
      <w:pPr>
        <w:ind w:left="720" w:hanging="360"/>
      </w:pPr>
    </w:lvl>
    <w:lvl w:ilvl="1" w:tplc="F88A5140">
      <w:start w:val="1"/>
      <w:numFmt w:val="lowerLetter"/>
      <w:lvlText w:val="%2."/>
      <w:lvlJc w:val="left"/>
      <w:pPr>
        <w:ind w:left="1440" w:hanging="360"/>
      </w:pPr>
    </w:lvl>
    <w:lvl w:ilvl="2" w:tplc="7DD83C00">
      <w:start w:val="1"/>
      <w:numFmt w:val="lowerRoman"/>
      <w:lvlText w:val="%3."/>
      <w:lvlJc w:val="right"/>
      <w:pPr>
        <w:ind w:left="2160" w:hanging="180"/>
      </w:pPr>
    </w:lvl>
    <w:lvl w:ilvl="3" w:tplc="42262488">
      <w:start w:val="1"/>
      <w:numFmt w:val="decimal"/>
      <w:lvlText w:val="%4."/>
      <w:lvlJc w:val="left"/>
      <w:pPr>
        <w:ind w:left="2880" w:hanging="360"/>
      </w:pPr>
    </w:lvl>
    <w:lvl w:ilvl="4" w:tplc="DDB61756">
      <w:start w:val="1"/>
      <w:numFmt w:val="lowerLetter"/>
      <w:lvlText w:val="%5."/>
      <w:lvlJc w:val="left"/>
      <w:pPr>
        <w:ind w:left="3600" w:hanging="360"/>
      </w:pPr>
    </w:lvl>
    <w:lvl w:ilvl="5" w:tplc="9C3418C6">
      <w:start w:val="1"/>
      <w:numFmt w:val="lowerRoman"/>
      <w:lvlText w:val="%6."/>
      <w:lvlJc w:val="right"/>
      <w:pPr>
        <w:ind w:left="4320" w:hanging="180"/>
      </w:pPr>
    </w:lvl>
    <w:lvl w:ilvl="6" w:tplc="CCAA5372">
      <w:start w:val="1"/>
      <w:numFmt w:val="decimal"/>
      <w:lvlText w:val="%7."/>
      <w:lvlJc w:val="left"/>
      <w:pPr>
        <w:ind w:left="5040" w:hanging="360"/>
      </w:pPr>
    </w:lvl>
    <w:lvl w:ilvl="7" w:tplc="A364A22A">
      <w:start w:val="1"/>
      <w:numFmt w:val="lowerLetter"/>
      <w:lvlText w:val="%8."/>
      <w:lvlJc w:val="left"/>
      <w:pPr>
        <w:ind w:left="5760" w:hanging="360"/>
      </w:pPr>
    </w:lvl>
    <w:lvl w:ilvl="8" w:tplc="CF2EBD62">
      <w:start w:val="1"/>
      <w:numFmt w:val="lowerRoman"/>
      <w:lvlText w:val="%9."/>
      <w:lvlJc w:val="right"/>
      <w:pPr>
        <w:ind w:left="6480" w:hanging="180"/>
      </w:pPr>
    </w:lvl>
  </w:abstractNum>
  <w:abstractNum w:abstractNumId="156" w15:restartNumberingAfterBreak="0">
    <w:nsid w:val="180E159D"/>
    <w:multiLevelType w:val="multilevel"/>
    <w:tmpl w:val="CD2C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189538D0"/>
    <w:multiLevelType w:val="multilevel"/>
    <w:tmpl w:val="9184F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9" w15:restartNumberingAfterBreak="0">
    <w:nsid w:val="18F52294"/>
    <w:multiLevelType w:val="hybridMultilevel"/>
    <w:tmpl w:val="EDD0EC6E"/>
    <w:lvl w:ilvl="0" w:tplc="6DE8B5BE">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190C54CA"/>
    <w:multiLevelType w:val="hybridMultilevel"/>
    <w:tmpl w:val="FFFFFFFF"/>
    <w:lvl w:ilvl="0" w:tplc="0FACBD9A">
      <w:start w:val="1"/>
      <w:numFmt w:val="lowerLetter"/>
      <w:lvlText w:val="%1."/>
      <w:lvlJc w:val="left"/>
      <w:pPr>
        <w:ind w:left="720" w:hanging="360"/>
      </w:pPr>
    </w:lvl>
    <w:lvl w:ilvl="1" w:tplc="6CF8024C">
      <w:start w:val="1"/>
      <w:numFmt w:val="lowerRoman"/>
      <w:lvlText w:val="%2."/>
      <w:lvlJc w:val="right"/>
      <w:pPr>
        <w:ind w:left="1440" w:hanging="360"/>
      </w:pPr>
    </w:lvl>
    <w:lvl w:ilvl="2" w:tplc="6B58957E">
      <w:start w:val="1"/>
      <w:numFmt w:val="lowerRoman"/>
      <w:lvlText w:val="%3."/>
      <w:lvlJc w:val="right"/>
      <w:pPr>
        <w:ind w:left="2160" w:hanging="180"/>
      </w:pPr>
    </w:lvl>
    <w:lvl w:ilvl="3" w:tplc="9C0E3714">
      <w:start w:val="1"/>
      <w:numFmt w:val="decimal"/>
      <w:lvlText w:val="%4."/>
      <w:lvlJc w:val="left"/>
      <w:pPr>
        <w:ind w:left="2880" w:hanging="360"/>
      </w:pPr>
    </w:lvl>
    <w:lvl w:ilvl="4" w:tplc="7D76AFA8">
      <w:start w:val="1"/>
      <w:numFmt w:val="lowerLetter"/>
      <w:lvlText w:val="%5."/>
      <w:lvlJc w:val="left"/>
      <w:pPr>
        <w:ind w:left="3600" w:hanging="360"/>
      </w:pPr>
    </w:lvl>
    <w:lvl w:ilvl="5" w:tplc="595CAD86">
      <w:start w:val="1"/>
      <w:numFmt w:val="lowerRoman"/>
      <w:lvlText w:val="%6."/>
      <w:lvlJc w:val="right"/>
      <w:pPr>
        <w:ind w:left="4320" w:hanging="180"/>
      </w:pPr>
    </w:lvl>
    <w:lvl w:ilvl="6" w:tplc="96688CAC">
      <w:start w:val="1"/>
      <w:numFmt w:val="decimal"/>
      <w:lvlText w:val="%7."/>
      <w:lvlJc w:val="left"/>
      <w:pPr>
        <w:ind w:left="5040" w:hanging="360"/>
      </w:pPr>
    </w:lvl>
    <w:lvl w:ilvl="7" w:tplc="1680A0D2">
      <w:start w:val="1"/>
      <w:numFmt w:val="lowerLetter"/>
      <w:lvlText w:val="%8."/>
      <w:lvlJc w:val="left"/>
      <w:pPr>
        <w:ind w:left="5760" w:hanging="360"/>
      </w:pPr>
    </w:lvl>
    <w:lvl w:ilvl="8" w:tplc="174AF652">
      <w:start w:val="1"/>
      <w:numFmt w:val="lowerRoman"/>
      <w:lvlText w:val="%9."/>
      <w:lvlJc w:val="right"/>
      <w:pPr>
        <w:ind w:left="6480" w:hanging="180"/>
      </w:pPr>
    </w:lvl>
  </w:abstractNum>
  <w:abstractNum w:abstractNumId="161" w15:restartNumberingAfterBreak="0">
    <w:nsid w:val="1911A4DB"/>
    <w:multiLevelType w:val="hybridMultilevel"/>
    <w:tmpl w:val="FFFFFFFF"/>
    <w:lvl w:ilvl="0" w:tplc="455EA81A">
      <w:start w:val="1"/>
      <w:numFmt w:val="bullet"/>
      <w:lvlText w:val=""/>
      <w:lvlJc w:val="left"/>
      <w:pPr>
        <w:ind w:left="720" w:hanging="360"/>
      </w:pPr>
      <w:rPr>
        <w:rFonts w:ascii="Symbol" w:hAnsi="Symbol" w:hint="default"/>
      </w:rPr>
    </w:lvl>
    <w:lvl w:ilvl="1" w:tplc="65FCEC66">
      <w:start w:val="1"/>
      <w:numFmt w:val="bullet"/>
      <w:lvlText w:val="o"/>
      <w:lvlJc w:val="left"/>
      <w:pPr>
        <w:ind w:left="1440" w:hanging="360"/>
      </w:pPr>
      <w:rPr>
        <w:rFonts w:ascii="Courier New" w:hAnsi="Courier New" w:hint="default"/>
      </w:rPr>
    </w:lvl>
    <w:lvl w:ilvl="2" w:tplc="A6220DF8">
      <w:start w:val="1"/>
      <w:numFmt w:val="bullet"/>
      <w:lvlText w:val="§"/>
      <w:lvlJc w:val="left"/>
      <w:pPr>
        <w:ind w:left="2160" w:hanging="360"/>
      </w:pPr>
      <w:rPr>
        <w:rFonts w:ascii="Wingdings" w:hAnsi="Wingdings" w:hint="default"/>
      </w:rPr>
    </w:lvl>
    <w:lvl w:ilvl="3" w:tplc="5CBCEBAA">
      <w:start w:val="1"/>
      <w:numFmt w:val="bullet"/>
      <w:lvlText w:val=""/>
      <w:lvlJc w:val="left"/>
      <w:pPr>
        <w:ind w:left="2880" w:hanging="360"/>
      </w:pPr>
      <w:rPr>
        <w:rFonts w:ascii="Symbol" w:hAnsi="Symbol" w:hint="default"/>
      </w:rPr>
    </w:lvl>
    <w:lvl w:ilvl="4" w:tplc="766A6638">
      <w:start w:val="1"/>
      <w:numFmt w:val="bullet"/>
      <w:lvlText w:val="o"/>
      <w:lvlJc w:val="left"/>
      <w:pPr>
        <w:ind w:left="3600" w:hanging="360"/>
      </w:pPr>
      <w:rPr>
        <w:rFonts w:ascii="Courier New" w:hAnsi="Courier New" w:hint="default"/>
      </w:rPr>
    </w:lvl>
    <w:lvl w:ilvl="5" w:tplc="C7D6D318">
      <w:start w:val="1"/>
      <w:numFmt w:val="bullet"/>
      <w:lvlText w:val=""/>
      <w:lvlJc w:val="left"/>
      <w:pPr>
        <w:ind w:left="4320" w:hanging="360"/>
      </w:pPr>
      <w:rPr>
        <w:rFonts w:ascii="Wingdings" w:hAnsi="Wingdings" w:hint="default"/>
      </w:rPr>
    </w:lvl>
    <w:lvl w:ilvl="6" w:tplc="D5326C18">
      <w:start w:val="1"/>
      <w:numFmt w:val="bullet"/>
      <w:lvlText w:val=""/>
      <w:lvlJc w:val="left"/>
      <w:pPr>
        <w:ind w:left="5040" w:hanging="360"/>
      </w:pPr>
      <w:rPr>
        <w:rFonts w:ascii="Symbol" w:hAnsi="Symbol" w:hint="default"/>
      </w:rPr>
    </w:lvl>
    <w:lvl w:ilvl="7" w:tplc="379A8996">
      <w:start w:val="1"/>
      <w:numFmt w:val="bullet"/>
      <w:lvlText w:val="o"/>
      <w:lvlJc w:val="left"/>
      <w:pPr>
        <w:ind w:left="5760" w:hanging="360"/>
      </w:pPr>
      <w:rPr>
        <w:rFonts w:ascii="Courier New" w:hAnsi="Courier New" w:hint="default"/>
      </w:rPr>
    </w:lvl>
    <w:lvl w:ilvl="8" w:tplc="D89EA68C">
      <w:start w:val="1"/>
      <w:numFmt w:val="bullet"/>
      <w:lvlText w:val=""/>
      <w:lvlJc w:val="left"/>
      <w:pPr>
        <w:ind w:left="6480" w:hanging="360"/>
      </w:pPr>
      <w:rPr>
        <w:rFonts w:ascii="Wingdings" w:hAnsi="Wingdings" w:hint="default"/>
      </w:rPr>
    </w:lvl>
  </w:abstractNum>
  <w:abstractNum w:abstractNumId="162" w15:restartNumberingAfterBreak="0">
    <w:nsid w:val="192607B3"/>
    <w:multiLevelType w:val="hybridMultilevel"/>
    <w:tmpl w:val="812E4DBA"/>
    <w:lvl w:ilvl="0" w:tplc="0B90F794">
      <w:numFmt w:val="bullet"/>
      <w:lvlText w:val="•"/>
      <w:lvlJc w:val="left"/>
      <w:pPr>
        <w:ind w:left="720" w:hanging="360"/>
      </w:pPr>
      <w:rPr>
        <w:rFonts w:ascii="Symbol" w:eastAsiaTheme="minorHAnsi"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163" w15:restartNumberingAfterBreak="0">
    <w:nsid w:val="194D4AEC"/>
    <w:multiLevelType w:val="hybridMultilevel"/>
    <w:tmpl w:val="774C0776"/>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64" w15:restartNumberingAfterBreak="0">
    <w:nsid w:val="19E93DA4"/>
    <w:multiLevelType w:val="multilevel"/>
    <w:tmpl w:val="1E0887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A4B63A7"/>
    <w:multiLevelType w:val="hybridMultilevel"/>
    <w:tmpl w:val="B824E7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6" w15:restartNumberingAfterBreak="0">
    <w:nsid w:val="1A5DFAFD"/>
    <w:multiLevelType w:val="hybridMultilevel"/>
    <w:tmpl w:val="FFFFFFFF"/>
    <w:lvl w:ilvl="0" w:tplc="E2903D62">
      <w:start w:val="1"/>
      <w:numFmt w:val="decimal"/>
      <w:lvlText w:val="%1."/>
      <w:lvlJc w:val="left"/>
      <w:pPr>
        <w:ind w:left="1080" w:hanging="360"/>
      </w:pPr>
    </w:lvl>
    <w:lvl w:ilvl="1" w:tplc="515E0DF4">
      <w:start w:val="1"/>
      <w:numFmt w:val="lowerLetter"/>
      <w:lvlText w:val="%2."/>
      <w:lvlJc w:val="left"/>
      <w:pPr>
        <w:ind w:left="1800" w:hanging="360"/>
      </w:pPr>
    </w:lvl>
    <w:lvl w:ilvl="2" w:tplc="95F09ACA">
      <w:start w:val="1"/>
      <w:numFmt w:val="lowerRoman"/>
      <w:lvlText w:val="%3."/>
      <w:lvlJc w:val="right"/>
      <w:pPr>
        <w:ind w:left="2520" w:hanging="180"/>
      </w:pPr>
    </w:lvl>
    <w:lvl w:ilvl="3" w:tplc="E764A776">
      <w:start w:val="1"/>
      <w:numFmt w:val="decimal"/>
      <w:lvlText w:val="%4."/>
      <w:lvlJc w:val="left"/>
      <w:pPr>
        <w:ind w:left="3240" w:hanging="360"/>
      </w:pPr>
    </w:lvl>
    <w:lvl w:ilvl="4" w:tplc="E292A3D2">
      <w:start w:val="1"/>
      <w:numFmt w:val="lowerLetter"/>
      <w:lvlText w:val="%5."/>
      <w:lvlJc w:val="left"/>
      <w:pPr>
        <w:ind w:left="3960" w:hanging="360"/>
      </w:pPr>
    </w:lvl>
    <w:lvl w:ilvl="5" w:tplc="5EF2F5D4">
      <w:start w:val="1"/>
      <w:numFmt w:val="lowerRoman"/>
      <w:lvlText w:val="%6."/>
      <w:lvlJc w:val="right"/>
      <w:pPr>
        <w:ind w:left="4680" w:hanging="180"/>
      </w:pPr>
    </w:lvl>
    <w:lvl w:ilvl="6" w:tplc="8F82D18E">
      <w:start w:val="1"/>
      <w:numFmt w:val="decimal"/>
      <w:lvlText w:val="%7."/>
      <w:lvlJc w:val="left"/>
      <w:pPr>
        <w:ind w:left="5400" w:hanging="360"/>
      </w:pPr>
    </w:lvl>
    <w:lvl w:ilvl="7" w:tplc="EE7C9662">
      <w:start w:val="1"/>
      <w:numFmt w:val="lowerLetter"/>
      <w:lvlText w:val="%8."/>
      <w:lvlJc w:val="left"/>
      <w:pPr>
        <w:ind w:left="6120" w:hanging="360"/>
      </w:pPr>
    </w:lvl>
    <w:lvl w:ilvl="8" w:tplc="B2AC04C6">
      <w:start w:val="1"/>
      <w:numFmt w:val="lowerRoman"/>
      <w:lvlText w:val="%9."/>
      <w:lvlJc w:val="right"/>
      <w:pPr>
        <w:ind w:left="6840" w:hanging="180"/>
      </w:pPr>
    </w:lvl>
  </w:abstractNum>
  <w:abstractNum w:abstractNumId="167" w15:restartNumberingAfterBreak="0">
    <w:nsid w:val="1A7FFF7F"/>
    <w:multiLevelType w:val="hybridMultilevel"/>
    <w:tmpl w:val="FFFFFFFF"/>
    <w:lvl w:ilvl="0" w:tplc="DBE47A76">
      <w:start w:val="1"/>
      <w:numFmt w:val="bullet"/>
      <w:lvlText w:val="o"/>
      <w:lvlJc w:val="left"/>
      <w:pPr>
        <w:ind w:left="720" w:hanging="360"/>
      </w:pPr>
      <w:rPr>
        <w:rFonts w:ascii="&quot;Courier New&quot;" w:hAnsi="&quot;Courier New&quot;" w:hint="default"/>
      </w:rPr>
    </w:lvl>
    <w:lvl w:ilvl="1" w:tplc="95B02ABC">
      <w:start w:val="1"/>
      <w:numFmt w:val="bullet"/>
      <w:lvlText w:val="o"/>
      <w:lvlJc w:val="left"/>
      <w:pPr>
        <w:ind w:left="1440" w:hanging="360"/>
      </w:pPr>
      <w:rPr>
        <w:rFonts w:ascii="Courier New" w:hAnsi="Courier New" w:hint="default"/>
      </w:rPr>
    </w:lvl>
    <w:lvl w:ilvl="2" w:tplc="CE0C4E50">
      <w:start w:val="1"/>
      <w:numFmt w:val="bullet"/>
      <w:lvlText w:val=""/>
      <w:lvlJc w:val="left"/>
      <w:pPr>
        <w:ind w:left="2160" w:hanging="360"/>
      </w:pPr>
      <w:rPr>
        <w:rFonts w:ascii="Wingdings" w:hAnsi="Wingdings" w:hint="default"/>
      </w:rPr>
    </w:lvl>
    <w:lvl w:ilvl="3" w:tplc="D08E6D00">
      <w:start w:val="1"/>
      <w:numFmt w:val="bullet"/>
      <w:lvlText w:val=""/>
      <w:lvlJc w:val="left"/>
      <w:pPr>
        <w:ind w:left="2880" w:hanging="360"/>
      </w:pPr>
      <w:rPr>
        <w:rFonts w:ascii="Symbol" w:hAnsi="Symbol" w:hint="default"/>
      </w:rPr>
    </w:lvl>
    <w:lvl w:ilvl="4" w:tplc="34A29F2A">
      <w:start w:val="1"/>
      <w:numFmt w:val="bullet"/>
      <w:lvlText w:val="o"/>
      <w:lvlJc w:val="left"/>
      <w:pPr>
        <w:ind w:left="3600" w:hanging="360"/>
      </w:pPr>
      <w:rPr>
        <w:rFonts w:ascii="Courier New" w:hAnsi="Courier New" w:hint="default"/>
      </w:rPr>
    </w:lvl>
    <w:lvl w:ilvl="5" w:tplc="8B90AC04">
      <w:start w:val="1"/>
      <w:numFmt w:val="bullet"/>
      <w:lvlText w:val=""/>
      <w:lvlJc w:val="left"/>
      <w:pPr>
        <w:ind w:left="4320" w:hanging="360"/>
      </w:pPr>
      <w:rPr>
        <w:rFonts w:ascii="Wingdings" w:hAnsi="Wingdings" w:hint="default"/>
      </w:rPr>
    </w:lvl>
    <w:lvl w:ilvl="6" w:tplc="A5924F2E">
      <w:start w:val="1"/>
      <w:numFmt w:val="bullet"/>
      <w:lvlText w:val=""/>
      <w:lvlJc w:val="left"/>
      <w:pPr>
        <w:ind w:left="5040" w:hanging="360"/>
      </w:pPr>
      <w:rPr>
        <w:rFonts w:ascii="Symbol" w:hAnsi="Symbol" w:hint="default"/>
      </w:rPr>
    </w:lvl>
    <w:lvl w:ilvl="7" w:tplc="E868805E">
      <w:start w:val="1"/>
      <w:numFmt w:val="bullet"/>
      <w:lvlText w:val="o"/>
      <w:lvlJc w:val="left"/>
      <w:pPr>
        <w:ind w:left="5760" w:hanging="360"/>
      </w:pPr>
      <w:rPr>
        <w:rFonts w:ascii="Courier New" w:hAnsi="Courier New" w:hint="default"/>
      </w:rPr>
    </w:lvl>
    <w:lvl w:ilvl="8" w:tplc="1018C856">
      <w:start w:val="1"/>
      <w:numFmt w:val="bullet"/>
      <w:lvlText w:val=""/>
      <w:lvlJc w:val="left"/>
      <w:pPr>
        <w:ind w:left="6480" w:hanging="360"/>
      </w:pPr>
      <w:rPr>
        <w:rFonts w:ascii="Wingdings" w:hAnsi="Wingdings" w:hint="default"/>
      </w:rPr>
    </w:lvl>
  </w:abstractNum>
  <w:abstractNum w:abstractNumId="168" w15:restartNumberingAfterBreak="0">
    <w:nsid w:val="1AB540A8"/>
    <w:multiLevelType w:val="hybridMultilevel"/>
    <w:tmpl w:val="3A1E0F3A"/>
    <w:lvl w:ilvl="0" w:tplc="7DE891F8">
      <w:start w:val="1"/>
      <w:numFmt w:val="lowerRoman"/>
      <w:lvlText w:val="%1."/>
      <w:lvlJc w:val="right"/>
      <w:pPr>
        <w:ind w:left="1440" w:hanging="360"/>
      </w:pPr>
      <w:rPr>
        <w:b w:val="0"/>
        <w:bCs/>
        <w:color w:val="4F81BD" w:themeColor="accent1"/>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9"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0" w15:restartNumberingAfterBreak="0">
    <w:nsid w:val="1B60664A"/>
    <w:multiLevelType w:val="hybridMultilevel"/>
    <w:tmpl w:val="FFFFFFFF"/>
    <w:lvl w:ilvl="0" w:tplc="B8EE1040">
      <w:start w:val="1"/>
      <w:numFmt w:val="bullet"/>
      <w:lvlText w:val="o"/>
      <w:lvlJc w:val="left"/>
      <w:pPr>
        <w:ind w:left="720" w:hanging="360"/>
      </w:pPr>
      <w:rPr>
        <w:rFonts w:ascii="&quot;Courier New&quot;" w:hAnsi="&quot;Courier New&quot;" w:hint="default"/>
      </w:rPr>
    </w:lvl>
    <w:lvl w:ilvl="1" w:tplc="EB4C651A">
      <w:start w:val="1"/>
      <w:numFmt w:val="bullet"/>
      <w:lvlText w:val="o"/>
      <w:lvlJc w:val="left"/>
      <w:pPr>
        <w:ind w:left="1440" w:hanging="360"/>
      </w:pPr>
      <w:rPr>
        <w:rFonts w:ascii="Courier New" w:hAnsi="Courier New" w:hint="default"/>
      </w:rPr>
    </w:lvl>
    <w:lvl w:ilvl="2" w:tplc="263E9C30">
      <w:start w:val="1"/>
      <w:numFmt w:val="bullet"/>
      <w:lvlText w:val=""/>
      <w:lvlJc w:val="left"/>
      <w:pPr>
        <w:ind w:left="2160" w:hanging="360"/>
      </w:pPr>
      <w:rPr>
        <w:rFonts w:ascii="Wingdings" w:hAnsi="Wingdings" w:hint="default"/>
      </w:rPr>
    </w:lvl>
    <w:lvl w:ilvl="3" w:tplc="4A7492DE">
      <w:start w:val="1"/>
      <w:numFmt w:val="bullet"/>
      <w:lvlText w:val=""/>
      <w:lvlJc w:val="left"/>
      <w:pPr>
        <w:ind w:left="2880" w:hanging="360"/>
      </w:pPr>
      <w:rPr>
        <w:rFonts w:ascii="Symbol" w:hAnsi="Symbol" w:hint="default"/>
      </w:rPr>
    </w:lvl>
    <w:lvl w:ilvl="4" w:tplc="C12E9ADC">
      <w:start w:val="1"/>
      <w:numFmt w:val="bullet"/>
      <w:lvlText w:val="o"/>
      <w:lvlJc w:val="left"/>
      <w:pPr>
        <w:ind w:left="3600" w:hanging="360"/>
      </w:pPr>
      <w:rPr>
        <w:rFonts w:ascii="Courier New" w:hAnsi="Courier New" w:hint="default"/>
      </w:rPr>
    </w:lvl>
    <w:lvl w:ilvl="5" w:tplc="849608DC">
      <w:start w:val="1"/>
      <w:numFmt w:val="bullet"/>
      <w:lvlText w:val=""/>
      <w:lvlJc w:val="left"/>
      <w:pPr>
        <w:ind w:left="4320" w:hanging="360"/>
      </w:pPr>
      <w:rPr>
        <w:rFonts w:ascii="Wingdings" w:hAnsi="Wingdings" w:hint="default"/>
      </w:rPr>
    </w:lvl>
    <w:lvl w:ilvl="6" w:tplc="43B622B6">
      <w:start w:val="1"/>
      <w:numFmt w:val="bullet"/>
      <w:lvlText w:val=""/>
      <w:lvlJc w:val="left"/>
      <w:pPr>
        <w:ind w:left="5040" w:hanging="360"/>
      </w:pPr>
      <w:rPr>
        <w:rFonts w:ascii="Symbol" w:hAnsi="Symbol" w:hint="default"/>
      </w:rPr>
    </w:lvl>
    <w:lvl w:ilvl="7" w:tplc="E5DCEF84">
      <w:start w:val="1"/>
      <w:numFmt w:val="bullet"/>
      <w:lvlText w:val="o"/>
      <w:lvlJc w:val="left"/>
      <w:pPr>
        <w:ind w:left="5760" w:hanging="360"/>
      </w:pPr>
      <w:rPr>
        <w:rFonts w:ascii="Courier New" w:hAnsi="Courier New" w:hint="default"/>
      </w:rPr>
    </w:lvl>
    <w:lvl w:ilvl="8" w:tplc="51269408">
      <w:start w:val="1"/>
      <w:numFmt w:val="bullet"/>
      <w:lvlText w:val=""/>
      <w:lvlJc w:val="left"/>
      <w:pPr>
        <w:ind w:left="6480" w:hanging="360"/>
      </w:pPr>
      <w:rPr>
        <w:rFonts w:ascii="Wingdings" w:hAnsi="Wingdings" w:hint="default"/>
      </w:rPr>
    </w:lvl>
  </w:abstractNum>
  <w:abstractNum w:abstractNumId="171" w15:restartNumberingAfterBreak="0">
    <w:nsid w:val="1BAD28DC"/>
    <w:multiLevelType w:val="hybridMultilevel"/>
    <w:tmpl w:val="FFFFFFFF"/>
    <w:lvl w:ilvl="0" w:tplc="B89CB830">
      <w:start w:val="1"/>
      <w:numFmt w:val="bullet"/>
      <w:lvlText w:val=""/>
      <w:lvlJc w:val="left"/>
      <w:pPr>
        <w:ind w:left="720" w:hanging="360"/>
      </w:pPr>
      <w:rPr>
        <w:rFonts w:ascii="Segoe UI" w:hAnsi="Segoe UI" w:hint="default"/>
      </w:rPr>
    </w:lvl>
    <w:lvl w:ilvl="1" w:tplc="7D742AD4">
      <w:start w:val="1"/>
      <w:numFmt w:val="bullet"/>
      <w:lvlText w:val="o"/>
      <w:lvlJc w:val="left"/>
      <w:pPr>
        <w:ind w:left="1440" w:hanging="360"/>
      </w:pPr>
      <w:rPr>
        <w:rFonts w:ascii="Courier New" w:hAnsi="Courier New" w:hint="default"/>
      </w:rPr>
    </w:lvl>
    <w:lvl w:ilvl="2" w:tplc="5352EB2E">
      <w:start w:val="1"/>
      <w:numFmt w:val="bullet"/>
      <w:lvlText w:val=""/>
      <w:lvlJc w:val="left"/>
      <w:pPr>
        <w:ind w:left="2160" w:hanging="360"/>
      </w:pPr>
      <w:rPr>
        <w:rFonts w:ascii="Cambria Math" w:hAnsi="Cambria Math" w:hint="default"/>
      </w:rPr>
    </w:lvl>
    <w:lvl w:ilvl="3" w:tplc="FA24F754">
      <w:start w:val="1"/>
      <w:numFmt w:val="bullet"/>
      <w:lvlText w:val=""/>
      <w:lvlJc w:val="left"/>
      <w:pPr>
        <w:ind w:left="2880" w:hanging="360"/>
      </w:pPr>
      <w:rPr>
        <w:rFonts w:ascii="Segoe UI" w:hAnsi="Segoe UI" w:hint="default"/>
      </w:rPr>
    </w:lvl>
    <w:lvl w:ilvl="4" w:tplc="1BCCE446">
      <w:start w:val="1"/>
      <w:numFmt w:val="bullet"/>
      <w:lvlText w:val="o"/>
      <w:lvlJc w:val="left"/>
      <w:pPr>
        <w:ind w:left="3600" w:hanging="360"/>
      </w:pPr>
      <w:rPr>
        <w:rFonts w:ascii="Courier New" w:hAnsi="Courier New" w:hint="default"/>
      </w:rPr>
    </w:lvl>
    <w:lvl w:ilvl="5" w:tplc="CE9836C6">
      <w:start w:val="1"/>
      <w:numFmt w:val="bullet"/>
      <w:lvlText w:val=""/>
      <w:lvlJc w:val="left"/>
      <w:pPr>
        <w:ind w:left="4320" w:hanging="360"/>
      </w:pPr>
      <w:rPr>
        <w:rFonts w:ascii="Cambria Math" w:hAnsi="Cambria Math" w:hint="default"/>
      </w:rPr>
    </w:lvl>
    <w:lvl w:ilvl="6" w:tplc="C110173C">
      <w:start w:val="1"/>
      <w:numFmt w:val="bullet"/>
      <w:lvlText w:val=""/>
      <w:lvlJc w:val="left"/>
      <w:pPr>
        <w:ind w:left="5040" w:hanging="360"/>
      </w:pPr>
      <w:rPr>
        <w:rFonts w:ascii="Segoe UI" w:hAnsi="Segoe UI" w:hint="default"/>
      </w:rPr>
    </w:lvl>
    <w:lvl w:ilvl="7" w:tplc="D6507C64">
      <w:start w:val="1"/>
      <w:numFmt w:val="bullet"/>
      <w:lvlText w:val="o"/>
      <w:lvlJc w:val="left"/>
      <w:pPr>
        <w:ind w:left="5760" w:hanging="360"/>
      </w:pPr>
      <w:rPr>
        <w:rFonts w:ascii="Courier New" w:hAnsi="Courier New" w:hint="default"/>
      </w:rPr>
    </w:lvl>
    <w:lvl w:ilvl="8" w:tplc="674A1674">
      <w:start w:val="1"/>
      <w:numFmt w:val="bullet"/>
      <w:lvlText w:val=""/>
      <w:lvlJc w:val="left"/>
      <w:pPr>
        <w:ind w:left="6480" w:hanging="360"/>
      </w:pPr>
      <w:rPr>
        <w:rFonts w:ascii="Cambria Math" w:hAnsi="Cambria Math" w:hint="default"/>
      </w:rPr>
    </w:lvl>
  </w:abstractNum>
  <w:abstractNum w:abstractNumId="172" w15:restartNumberingAfterBreak="0">
    <w:nsid w:val="1BB40FF4"/>
    <w:multiLevelType w:val="multilevel"/>
    <w:tmpl w:val="60785D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1BBC89D2"/>
    <w:multiLevelType w:val="hybridMultilevel"/>
    <w:tmpl w:val="FFFFFFFF"/>
    <w:lvl w:ilvl="0" w:tplc="58A075AA">
      <w:start w:val="6"/>
      <w:numFmt w:val="decimal"/>
      <w:lvlText w:val="%1."/>
      <w:lvlJc w:val="left"/>
      <w:pPr>
        <w:ind w:left="720" w:hanging="360"/>
      </w:pPr>
    </w:lvl>
    <w:lvl w:ilvl="1" w:tplc="7BA28180">
      <w:start w:val="1"/>
      <w:numFmt w:val="lowerLetter"/>
      <w:lvlText w:val="%2."/>
      <w:lvlJc w:val="left"/>
      <w:pPr>
        <w:ind w:left="1440" w:hanging="360"/>
      </w:pPr>
    </w:lvl>
    <w:lvl w:ilvl="2" w:tplc="93163FDC">
      <w:start w:val="1"/>
      <w:numFmt w:val="lowerRoman"/>
      <w:lvlText w:val="%3."/>
      <w:lvlJc w:val="right"/>
      <w:pPr>
        <w:ind w:left="2160" w:hanging="180"/>
      </w:pPr>
    </w:lvl>
    <w:lvl w:ilvl="3" w:tplc="699E2C3E">
      <w:start w:val="1"/>
      <w:numFmt w:val="decimal"/>
      <w:lvlText w:val="%4."/>
      <w:lvlJc w:val="left"/>
      <w:pPr>
        <w:ind w:left="2880" w:hanging="360"/>
      </w:pPr>
    </w:lvl>
    <w:lvl w:ilvl="4" w:tplc="9B12844E">
      <w:start w:val="1"/>
      <w:numFmt w:val="lowerLetter"/>
      <w:lvlText w:val="%5."/>
      <w:lvlJc w:val="left"/>
      <w:pPr>
        <w:ind w:left="3600" w:hanging="360"/>
      </w:pPr>
    </w:lvl>
    <w:lvl w:ilvl="5" w:tplc="188AB13C">
      <w:start w:val="1"/>
      <w:numFmt w:val="lowerRoman"/>
      <w:lvlText w:val="%6."/>
      <w:lvlJc w:val="right"/>
      <w:pPr>
        <w:ind w:left="4320" w:hanging="180"/>
      </w:pPr>
    </w:lvl>
    <w:lvl w:ilvl="6" w:tplc="D3A4D292">
      <w:start w:val="1"/>
      <w:numFmt w:val="decimal"/>
      <w:lvlText w:val="%7."/>
      <w:lvlJc w:val="left"/>
      <w:pPr>
        <w:ind w:left="5040" w:hanging="360"/>
      </w:pPr>
    </w:lvl>
    <w:lvl w:ilvl="7" w:tplc="AF56F00A">
      <w:start w:val="1"/>
      <w:numFmt w:val="lowerLetter"/>
      <w:lvlText w:val="%8."/>
      <w:lvlJc w:val="left"/>
      <w:pPr>
        <w:ind w:left="5760" w:hanging="360"/>
      </w:pPr>
    </w:lvl>
    <w:lvl w:ilvl="8" w:tplc="30C09FB2">
      <w:start w:val="1"/>
      <w:numFmt w:val="lowerRoman"/>
      <w:lvlText w:val="%9."/>
      <w:lvlJc w:val="right"/>
      <w:pPr>
        <w:ind w:left="6480" w:hanging="180"/>
      </w:pPr>
    </w:lvl>
  </w:abstractNum>
  <w:abstractNum w:abstractNumId="174" w15:restartNumberingAfterBreak="0">
    <w:nsid w:val="1C912417"/>
    <w:multiLevelType w:val="multilevel"/>
    <w:tmpl w:val="6FEE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C9663C3"/>
    <w:multiLevelType w:val="hybridMultilevel"/>
    <w:tmpl w:val="C2AA9766"/>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1CCB4B20"/>
    <w:multiLevelType w:val="hybridMultilevel"/>
    <w:tmpl w:val="BB32ED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1CCBE4A3"/>
    <w:multiLevelType w:val="hybridMultilevel"/>
    <w:tmpl w:val="FFFFFFFF"/>
    <w:lvl w:ilvl="0" w:tplc="169A5CEE">
      <w:start w:val="4"/>
      <w:numFmt w:val="decimal"/>
      <w:lvlText w:val="%1."/>
      <w:lvlJc w:val="left"/>
      <w:pPr>
        <w:ind w:left="720" w:hanging="360"/>
      </w:pPr>
    </w:lvl>
    <w:lvl w:ilvl="1" w:tplc="7C904576">
      <w:start w:val="1"/>
      <w:numFmt w:val="lowerLetter"/>
      <w:lvlText w:val="%2."/>
      <w:lvlJc w:val="left"/>
      <w:pPr>
        <w:ind w:left="1440" w:hanging="360"/>
      </w:pPr>
    </w:lvl>
    <w:lvl w:ilvl="2" w:tplc="2D8EEED8">
      <w:start w:val="1"/>
      <w:numFmt w:val="lowerRoman"/>
      <w:lvlText w:val="%3."/>
      <w:lvlJc w:val="right"/>
      <w:pPr>
        <w:ind w:left="2160" w:hanging="180"/>
      </w:pPr>
    </w:lvl>
    <w:lvl w:ilvl="3" w:tplc="7CB2500A">
      <w:start w:val="1"/>
      <w:numFmt w:val="decimal"/>
      <w:lvlText w:val="%4."/>
      <w:lvlJc w:val="left"/>
      <w:pPr>
        <w:ind w:left="2880" w:hanging="360"/>
      </w:pPr>
    </w:lvl>
    <w:lvl w:ilvl="4" w:tplc="FC3E8126">
      <w:start w:val="1"/>
      <w:numFmt w:val="lowerLetter"/>
      <w:lvlText w:val="%5."/>
      <w:lvlJc w:val="left"/>
      <w:pPr>
        <w:ind w:left="3600" w:hanging="360"/>
      </w:pPr>
    </w:lvl>
    <w:lvl w:ilvl="5" w:tplc="05E8D93E">
      <w:start w:val="1"/>
      <w:numFmt w:val="lowerRoman"/>
      <w:lvlText w:val="%6."/>
      <w:lvlJc w:val="right"/>
      <w:pPr>
        <w:ind w:left="4320" w:hanging="180"/>
      </w:pPr>
    </w:lvl>
    <w:lvl w:ilvl="6" w:tplc="DD6862F4">
      <w:start w:val="1"/>
      <w:numFmt w:val="decimal"/>
      <w:lvlText w:val="%7."/>
      <w:lvlJc w:val="left"/>
      <w:pPr>
        <w:ind w:left="5040" w:hanging="360"/>
      </w:pPr>
    </w:lvl>
    <w:lvl w:ilvl="7" w:tplc="92707230">
      <w:start w:val="1"/>
      <w:numFmt w:val="lowerLetter"/>
      <w:lvlText w:val="%8."/>
      <w:lvlJc w:val="left"/>
      <w:pPr>
        <w:ind w:left="5760" w:hanging="360"/>
      </w:pPr>
    </w:lvl>
    <w:lvl w:ilvl="8" w:tplc="3FAC0E32">
      <w:start w:val="1"/>
      <w:numFmt w:val="lowerRoman"/>
      <w:lvlText w:val="%9."/>
      <w:lvlJc w:val="right"/>
      <w:pPr>
        <w:ind w:left="6480" w:hanging="180"/>
      </w:pPr>
    </w:lvl>
  </w:abstractNum>
  <w:abstractNum w:abstractNumId="178" w15:restartNumberingAfterBreak="0">
    <w:nsid w:val="1D033DC7"/>
    <w:multiLevelType w:val="multilevel"/>
    <w:tmpl w:val="904AF7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D0F04A0"/>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0" w15:restartNumberingAfterBreak="0">
    <w:nsid w:val="1D3B0F62"/>
    <w:multiLevelType w:val="hybridMultilevel"/>
    <w:tmpl w:val="3CE0C580"/>
    <w:lvl w:ilvl="0" w:tplc="1F6E05A8">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1D5EF0CD"/>
    <w:multiLevelType w:val="hybridMultilevel"/>
    <w:tmpl w:val="FFFFFFFF"/>
    <w:lvl w:ilvl="0" w:tplc="5AA26166">
      <w:start w:val="9"/>
      <w:numFmt w:val="decimal"/>
      <w:lvlText w:val="%1."/>
      <w:lvlJc w:val="left"/>
      <w:pPr>
        <w:ind w:left="720" w:hanging="360"/>
      </w:pPr>
    </w:lvl>
    <w:lvl w:ilvl="1" w:tplc="0F7413DC">
      <w:start w:val="1"/>
      <w:numFmt w:val="lowerLetter"/>
      <w:lvlText w:val="%2."/>
      <w:lvlJc w:val="left"/>
      <w:pPr>
        <w:ind w:left="1440" w:hanging="360"/>
      </w:pPr>
    </w:lvl>
    <w:lvl w:ilvl="2" w:tplc="1D3A98DC">
      <w:start w:val="1"/>
      <w:numFmt w:val="lowerRoman"/>
      <w:lvlText w:val="%3."/>
      <w:lvlJc w:val="right"/>
      <w:pPr>
        <w:ind w:left="2160" w:hanging="180"/>
      </w:pPr>
    </w:lvl>
    <w:lvl w:ilvl="3" w:tplc="D19CC3C0">
      <w:start w:val="1"/>
      <w:numFmt w:val="decimal"/>
      <w:lvlText w:val="%4."/>
      <w:lvlJc w:val="left"/>
      <w:pPr>
        <w:ind w:left="2880" w:hanging="360"/>
      </w:pPr>
    </w:lvl>
    <w:lvl w:ilvl="4" w:tplc="3224F878">
      <w:start w:val="1"/>
      <w:numFmt w:val="lowerLetter"/>
      <w:lvlText w:val="%5."/>
      <w:lvlJc w:val="left"/>
      <w:pPr>
        <w:ind w:left="3600" w:hanging="360"/>
      </w:pPr>
    </w:lvl>
    <w:lvl w:ilvl="5" w:tplc="95F676AA">
      <w:start w:val="1"/>
      <w:numFmt w:val="lowerRoman"/>
      <w:lvlText w:val="%6."/>
      <w:lvlJc w:val="right"/>
      <w:pPr>
        <w:ind w:left="4320" w:hanging="180"/>
      </w:pPr>
    </w:lvl>
    <w:lvl w:ilvl="6" w:tplc="EA82F9EC">
      <w:start w:val="1"/>
      <w:numFmt w:val="decimal"/>
      <w:lvlText w:val="%7."/>
      <w:lvlJc w:val="left"/>
      <w:pPr>
        <w:ind w:left="5040" w:hanging="360"/>
      </w:pPr>
    </w:lvl>
    <w:lvl w:ilvl="7" w:tplc="948E84EA">
      <w:start w:val="1"/>
      <w:numFmt w:val="lowerLetter"/>
      <w:lvlText w:val="%8."/>
      <w:lvlJc w:val="left"/>
      <w:pPr>
        <w:ind w:left="5760" w:hanging="360"/>
      </w:pPr>
    </w:lvl>
    <w:lvl w:ilvl="8" w:tplc="A68CF282">
      <w:start w:val="1"/>
      <w:numFmt w:val="lowerRoman"/>
      <w:lvlText w:val="%9."/>
      <w:lvlJc w:val="right"/>
      <w:pPr>
        <w:ind w:left="6480" w:hanging="180"/>
      </w:pPr>
    </w:lvl>
  </w:abstractNum>
  <w:abstractNum w:abstractNumId="182" w15:restartNumberingAfterBreak="0">
    <w:nsid w:val="1DC17AA4"/>
    <w:multiLevelType w:val="hybridMultilevel"/>
    <w:tmpl w:val="FFFFFFFF"/>
    <w:lvl w:ilvl="0" w:tplc="1DF0C1C8">
      <w:start w:val="1"/>
      <w:numFmt w:val="bullet"/>
      <w:lvlText w:val=""/>
      <w:lvlJc w:val="left"/>
      <w:pPr>
        <w:ind w:left="720" w:hanging="360"/>
      </w:pPr>
      <w:rPr>
        <w:rFonts w:ascii="Symbol" w:hAnsi="Symbol" w:hint="default"/>
      </w:rPr>
    </w:lvl>
    <w:lvl w:ilvl="1" w:tplc="CFBE2B5C">
      <w:start w:val="1"/>
      <w:numFmt w:val="bullet"/>
      <w:lvlText w:val="o"/>
      <w:lvlJc w:val="left"/>
      <w:pPr>
        <w:ind w:left="1440" w:hanging="360"/>
      </w:pPr>
      <w:rPr>
        <w:rFonts w:ascii="Courier New" w:hAnsi="Courier New" w:hint="default"/>
      </w:rPr>
    </w:lvl>
    <w:lvl w:ilvl="2" w:tplc="E1AE82BE">
      <w:start w:val="1"/>
      <w:numFmt w:val="bullet"/>
      <w:lvlText w:val=""/>
      <w:lvlJc w:val="left"/>
      <w:pPr>
        <w:ind w:left="2160" w:hanging="360"/>
      </w:pPr>
      <w:rPr>
        <w:rFonts w:ascii="Wingdings" w:hAnsi="Wingdings" w:hint="default"/>
      </w:rPr>
    </w:lvl>
    <w:lvl w:ilvl="3" w:tplc="25302BBE">
      <w:start w:val="1"/>
      <w:numFmt w:val="bullet"/>
      <w:lvlText w:val=""/>
      <w:lvlJc w:val="left"/>
      <w:pPr>
        <w:ind w:left="2880" w:hanging="360"/>
      </w:pPr>
      <w:rPr>
        <w:rFonts w:ascii="Symbol" w:hAnsi="Symbol" w:hint="default"/>
      </w:rPr>
    </w:lvl>
    <w:lvl w:ilvl="4" w:tplc="777C3C68">
      <w:start w:val="1"/>
      <w:numFmt w:val="bullet"/>
      <w:lvlText w:val="o"/>
      <w:lvlJc w:val="left"/>
      <w:pPr>
        <w:ind w:left="3600" w:hanging="360"/>
      </w:pPr>
      <w:rPr>
        <w:rFonts w:ascii="Courier New" w:hAnsi="Courier New" w:hint="default"/>
      </w:rPr>
    </w:lvl>
    <w:lvl w:ilvl="5" w:tplc="E286D97A">
      <w:start w:val="1"/>
      <w:numFmt w:val="bullet"/>
      <w:lvlText w:val=""/>
      <w:lvlJc w:val="left"/>
      <w:pPr>
        <w:ind w:left="4320" w:hanging="360"/>
      </w:pPr>
      <w:rPr>
        <w:rFonts w:ascii="Wingdings" w:hAnsi="Wingdings" w:hint="default"/>
      </w:rPr>
    </w:lvl>
    <w:lvl w:ilvl="6" w:tplc="CC821F8E">
      <w:start w:val="1"/>
      <w:numFmt w:val="bullet"/>
      <w:lvlText w:val=""/>
      <w:lvlJc w:val="left"/>
      <w:pPr>
        <w:ind w:left="5040" w:hanging="360"/>
      </w:pPr>
      <w:rPr>
        <w:rFonts w:ascii="Symbol" w:hAnsi="Symbol" w:hint="default"/>
      </w:rPr>
    </w:lvl>
    <w:lvl w:ilvl="7" w:tplc="1228F2C0">
      <w:start w:val="1"/>
      <w:numFmt w:val="bullet"/>
      <w:lvlText w:val="o"/>
      <w:lvlJc w:val="left"/>
      <w:pPr>
        <w:ind w:left="5760" w:hanging="360"/>
      </w:pPr>
      <w:rPr>
        <w:rFonts w:ascii="Courier New" w:hAnsi="Courier New" w:hint="default"/>
      </w:rPr>
    </w:lvl>
    <w:lvl w:ilvl="8" w:tplc="503205EC">
      <w:start w:val="1"/>
      <w:numFmt w:val="bullet"/>
      <w:lvlText w:val=""/>
      <w:lvlJc w:val="left"/>
      <w:pPr>
        <w:ind w:left="6480" w:hanging="360"/>
      </w:pPr>
      <w:rPr>
        <w:rFonts w:ascii="Wingdings" w:hAnsi="Wingdings" w:hint="default"/>
      </w:rPr>
    </w:lvl>
  </w:abstractNum>
  <w:abstractNum w:abstractNumId="183" w15:restartNumberingAfterBreak="0">
    <w:nsid w:val="1DC87C10"/>
    <w:multiLevelType w:val="hybridMultilevel"/>
    <w:tmpl w:val="F7121D94"/>
    <w:lvl w:ilvl="0" w:tplc="3552DF72">
      <w:start w:val="1"/>
      <w:numFmt w:val="lowerLetter"/>
      <w:lvlText w:val="%1."/>
      <w:lvlJc w:val="left"/>
      <w:pPr>
        <w:ind w:left="720" w:hanging="360"/>
      </w:pPr>
    </w:lvl>
    <w:lvl w:ilvl="1" w:tplc="B1DA723A">
      <w:start w:val="1"/>
      <w:numFmt w:val="lowerLetter"/>
      <w:lvlText w:val="%2."/>
      <w:lvlJc w:val="left"/>
      <w:pPr>
        <w:ind w:left="1440" w:hanging="360"/>
      </w:pPr>
    </w:lvl>
    <w:lvl w:ilvl="2" w:tplc="A212FD38">
      <w:start w:val="1"/>
      <w:numFmt w:val="lowerRoman"/>
      <w:lvlText w:val="%3."/>
      <w:lvlJc w:val="right"/>
      <w:pPr>
        <w:ind w:left="2160" w:hanging="180"/>
      </w:pPr>
    </w:lvl>
    <w:lvl w:ilvl="3" w:tplc="08D2B136">
      <w:start w:val="1"/>
      <w:numFmt w:val="decimal"/>
      <w:lvlText w:val="%4."/>
      <w:lvlJc w:val="left"/>
      <w:pPr>
        <w:ind w:left="2880" w:hanging="360"/>
      </w:pPr>
    </w:lvl>
    <w:lvl w:ilvl="4" w:tplc="CFD6CD62">
      <w:start w:val="1"/>
      <w:numFmt w:val="lowerLetter"/>
      <w:lvlText w:val="%5."/>
      <w:lvlJc w:val="left"/>
      <w:pPr>
        <w:ind w:left="3600" w:hanging="360"/>
      </w:pPr>
    </w:lvl>
    <w:lvl w:ilvl="5" w:tplc="C56AEF8C">
      <w:start w:val="1"/>
      <w:numFmt w:val="lowerRoman"/>
      <w:lvlText w:val="%6."/>
      <w:lvlJc w:val="right"/>
      <w:pPr>
        <w:ind w:left="4320" w:hanging="180"/>
      </w:pPr>
    </w:lvl>
    <w:lvl w:ilvl="6" w:tplc="8A86B7A0">
      <w:start w:val="1"/>
      <w:numFmt w:val="decimal"/>
      <w:lvlText w:val="%7."/>
      <w:lvlJc w:val="left"/>
      <w:pPr>
        <w:ind w:left="5040" w:hanging="360"/>
      </w:pPr>
    </w:lvl>
    <w:lvl w:ilvl="7" w:tplc="1F2C5B74">
      <w:start w:val="1"/>
      <w:numFmt w:val="lowerLetter"/>
      <w:lvlText w:val="%8."/>
      <w:lvlJc w:val="left"/>
      <w:pPr>
        <w:ind w:left="5760" w:hanging="360"/>
      </w:pPr>
    </w:lvl>
    <w:lvl w:ilvl="8" w:tplc="F932B108">
      <w:start w:val="1"/>
      <w:numFmt w:val="lowerRoman"/>
      <w:lvlText w:val="%9."/>
      <w:lvlJc w:val="right"/>
      <w:pPr>
        <w:ind w:left="6480" w:hanging="180"/>
      </w:pPr>
    </w:lvl>
  </w:abstractNum>
  <w:abstractNum w:abstractNumId="184" w15:restartNumberingAfterBreak="0">
    <w:nsid w:val="1E832D1B"/>
    <w:multiLevelType w:val="hybridMultilevel"/>
    <w:tmpl w:val="254E87B4"/>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5" w15:restartNumberingAfterBreak="0">
    <w:nsid w:val="1E9A5DD5"/>
    <w:multiLevelType w:val="hybridMultilevel"/>
    <w:tmpl w:val="8A429BBE"/>
    <w:lvl w:ilvl="0" w:tplc="3850D732">
      <w:start w:val="1"/>
      <w:numFmt w:val="bullet"/>
      <w:lvlText w:val=""/>
      <w:lvlJc w:val="left"/>
      <w:pPr>
        <w:ind w:left="720" w:hanging="360"/>
      </w:pPr>
      <w:rPr>
        <w:rFonts w:ascii="Symbol" w:hAnsi="Symbol" w:hint="default"/>
      </w:rPr>
    </w:lvl>
    <w:lvl w:ilvl="1" w:tplc="5A7264BC">
      <w:start w:val="1"/>
      <w:numFmt w:val="bullet"/>
      <w:lvlText w:val="o"/>
      <w:lvlJc w:val="left"/>
      <w:pPr>
        <w:ind w:left="1440" w:hanging="360"/>
      </w:pPr>
      <w:rPr>
        <w:rFonts w:ascii="Courier New" w:hAnsi="Courier New" w:hint="default"/>
      </w:rPr>
    </w:lvl>
    <w:lvl w:ilvl="2" w:tplc="E14CE09C">
      <w:start w:val="1"/>
      <w:numFmt w:val="bullet"/>
      <w:lvlText w:val=""/>
      <w:lvlJc w:val="left"/>
      <w:pPr>
        <w:ind w:left="2160" w:hanging="360"/>
      </w:pPr>
      <w:rPr>
        <w:rFonts w:ascii="Wingdings" w:hAnsi="Wingdings" w:hint="default"/>
      </w:rPr>
    </w:lvl>
    <w:lvl w:ilvl="3" w:tplc="78D6246C">
      <w:start w:val="1"/>
      <w:numFmt w:val="bullet"/>
      <w:lvlText w:val=""/>
      <w:lvlJc w:val="left"/>
      <w:pPr>
        <w:ind w:left="2880" w:hanging="360"/>
      </w:pPr>
      <w:rPr>
        <w:rFonts w:ascii="Symbol" w:hAnsi="Symbol" w:hint="default"/>
      </w:rPr>
    </w:lvl>
    <w:lvl w:ilvl="4" w:tplc="C23E426C">
      <w:start w:val="1"/>
      <w:numFmt w:val="bullet"/>
      <w:lvlText w:val="o"/>
      <w:lvlJc w:val="left"/>
      <w:pPr>
        <w:ind w:left="3600" w:hanging="360"/>
      </w:pPr>
      <w:rPr>
        <w:rFonts w:ascii="Courier New" w:hAnsi="Courier New" w:hint="default"/>
      </w:rPr>
    </w:lvl>
    <w:lvl w:ilvl="5" w:tplc="7CD4317E">
      <w:start w:val="1"/>
      <w:numFmt w:val="bullet"/>
      <w:lvlText w:val=""/>
      <w:lvlJc w:val="left"/>
      <w:pPr>
        <w:ind w:left="4320" w:hanging="360"/>
      </w:pPr>
      <w:rPr>
        <w:rFonts w:ascii="Wingdings" w:hAnsi="Wingdings" w:hint="default"/>
      </w:rPr>
    </w:lvl>
    <w:lvl w:ilvl="6" w:tplc="3D44E254">
      <w:start w:val="1"/>
      <w:numFmt w:val="bullet"/>
      <w:lvlText w:val=""/>
      <w:lvlJc w:val="left"/>
      <w:pPr>
        <w:ind w:left="5040" w:hanging="360"/>
      </w:pPr>
      <w:rPr>
        <w:rFonts w:ascii="Symbol" w:hAnsi="Symbol" w:hint="default"/>
      </w:rPr>
    </w:lvl>
    <w:lvl w:ilvl="7" w:tplc="6A98C89C">
      <w:start w:val="1"/>
      <w:numFmt w:val="bullet"/>
      <w:lvlText w:val="o"/>
      <w:lvlJc w:val="left"/>
      <w:pPr>
        <w:ind w:left="5760" w:hanging="360"/>
      </w:pPr>
      <w:rPr>
        <w:rFonts w:ascii="Courier New" w:hAnsi="Courier New" w:hint="default"/>
      </w:rPr>
    </w:lvl>
    <w:lvl w:ilvl="8" w:tplc="A6662AB8">
      <w:start w:val="1"/>
      <w:numFmt w:val="bullet"/>
      <w:lvlText w:val=""/>
      <w:lvlJc w:val="left"/>
      <w:pPr>
        <w:ind w:left="6480" w:hanging="360"/>
      </w:pPr>
      <w:rPr>
        <w:rFonts w:ascii="Wingdings" w:hAnsi="Wingdings" w:hint="default"/>
      </w:rPr>
    </w:lvl>
  </w:abstractNum>
  <w:abstractNum w:abstractNumId="186" w15:restartNumberingAfterBreak="0">
    <w:nsid w:val="1E9E592C"/>
    <w:multiLevelType w:val="hybridMultilevel"/>
    <w:tmpl w:val="6FB88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EAA26B3"/>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188" w15:restartNumberingAfterBreak="0">
    <w:nsid w:val="1EAC68F1"/>
    <w:multiLevelType w:val="hybridMultilevel"/>
    <w:tmpl w:val="41E8D650"/>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9" w15:restartNumberingAfterBreak="0">
    <w:nsid w:val="1EF2EC73"/>
    <w:multiLevelType w:val="hybridMultilevel"/>
    <w:tmpl w:val="E3A267EC"/>
    <w:lvl w:ilvl="0" w:tplc="4C82A8B8">
      <w:start w:val="1"/>
      <w:numFmt w:val="bullet"/>
      <w:lvlText w:val="-"/>
      <w:lvlJc w:val="left"/>
      <w:pPr>
        <w:ind w:left="720" w:hanging="360"/>
      </w:pPr>
      <w:rPr>
        <w:rFonts w:ascii="Symbol" w:hAnsi="Symbol" w:hint="default"/>
      </w:rPr>
    </w:lvl>
    <w:lvl w:ilvl="1" w:tplc="2DE2B662">
      <w:start w:val="1"/>
      <w:numFmt w:val="bullet"/>
      <w:lvlText w:val="o"/>
      <w:lvlJc w:val="left"/>
      <w:pPr>
        <w:ind w:left="1440" w:hanging="360"/>
      </w:pPr>
      <w:rPr>
        <w:rFonts w:ascii="Courier New" w:hAnsi="Courier New" w:hint="default"/>
      </w:rPr>
    </w:lvl>
    <w:lvl w:ilvl="2" w:tplc="3F42369C">
      <w:start w:val="1"/>
      <w:numFmt w:val="bullet"/>
      <w:lvlText w:val=""/>
      <w:lvlJc w:val="left"/>
      <w:pPr>
        <w:ind w:left="2160" w:hanging="360"/>
      </w:pPr>
      <w:rPr>
        <w:rFonts w:ascii="Wingdings" w:hAnsi="Wingdings" w:hint="default"/>
      </w:rPr>
    </w:lvl>
    <w:lvl w:ilvl="3" w:tplc="85CEC0E0">
      <w:start w:val="1"/>
      <w:numFmt w:val="bullet"/>
      <w:lvlText w:val=""/>
      <w:lvlJc w:val="left"/>
      <w:pPr>
        <w:ind w:left="2880" w:hanging="360"/>
      </w:pPr>
      <w:rPr>
        <w:rFonts w:ascii="Symbol" w:hAnsi="Symbol" w:hint="default"/>
      </w:rPr>
    </w:lvl>
    <w:lvl w:ilvl="4" w:tplc="EAB824B0">
      <w:start w:val="1"/>
      <w:numFmt w:val="bullet"/>
      <w:lvlText w:val="o"/>
      <w:lvlJc w:val="left"/>
      <w:pPr>
        <w:ind w:left="3600" w:hanging="360"/>
      </w:pPr>
      <w:rPr>
        <w:rFonts w:ascii="Courier New" w:hAnsi="Courier New" w:hint="default"/>
      </w:rPr>
    </w:lvl>
    <w:lvl w:ilvl="5" w:tplc="E5860CEE">
      <w:start w:val="1"/>
      <w:numFmt w:val="bullet"/>
      <w:lvlText w:val=""/>
      <w:lvlJc w:val="left"/>
      <w:pPr>
        <w:ind w:left="4320" w:hanging="360"/>
      </w:pPr>
      <w:rPr>
        <w:rFonts w:ascii="Wingdings" w:hAnsi="Wingdings" w:hint="default"/>
      </w:rPr>
    </w:lvl>
    <w:lvl w:ilvl="6" w:tplc="6C1269E4">
      <w:start w:val="1"/>
      <w:numFmt w:val="bullet"/>
      <w:lvlText w:val=""/>
      <w:lvlJc w:val="left"/>
      <w:pPr>
        <w:ind w:left="5040" w:hanging="360"/>
      </w:pPr>
      <w:rPr>
        <w:rFonts w:ascii="Symbol" w:hAnsi="Symbol" w:hint="default"/>
      </w:rPr>
    </w:lvl>
    <w:lvl w:ilvl="7" w:tplc="C1928E2E">
      <w:start w:val="1"/>
      <w:numFmt w:val="bullet"/>
      <w:lvlText w:val="o"/>
      <w:lvlJc w:val="left"/>
      <w:pPr>
        <w:ind w:left="5760" w:hanging="360"/>
      </w:pPr>
      <w:rPr>
        <w:rFonts w:ascii="Courier New" w:hAnsi="Courier New" w:hint="default"/>
      </w:rPr>
    </w:lvl>
    <w:lvl w:ilvl="8" w:tplc="DE00459A">
      <w:start w:val="1"/>
      <w:numFmt w:val="bullet"/>
      <w:lvlText w:val=""/>
      <w:lvlJc w:val="left"/>
      <w:pPr>
        <w:ind w:left="6480" w:hanging="360"/>
      </w:pPr>
      <w:rPr>
        <w:rFonts w:ascii="Wingdings" w:hAnsi="Wingdings" w:hint="default"/>
      </w:rPr>
    </w:lvl>
  </w:abstractNum>
  <w:abstractNum w:abstractNumId="190" w15:restartNumberingAfterBreak="0">
    <w:nsid w:val="1EF42DD0"/>
    <w:multiLevelType w:val="hybridMultilevel"/>
    <w:tmpl w:val="A0626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1" w15:restartNumberingAfterBreak="0">
    <w:nsid w:val="1EF63531"/>
    <w:multiLevelType w:val="hybridMultilevel"/>
    <w:tmpl w:val="FFFFFFFF"/>
    <w:lvl w:ilvl="0" w:tplc="E76A602C">
      <w:start w:val="1"/>
      <w:numFmt w:val="bullet"/>
      <w:lvlText w:val=""/>
      <w:lvlJc w:val="left"/>
      <w:pPr>
        <w:ind w:left="720" w:hanging="360"/>
      </w:pPr>
      <w:rPr>
        <w:rFonts w:ascii="Segoe UI" w:hAnsi="Segoe UI" w:hint="default"/>
      </w:rPr>
    </w:lvl>
    <w:lvl w:ilvl="1" w:tplc="D78CBC28">
      <w:start w:val="1"/>
      <w:numFmt w:val="bullet"/>
      <w:lvlText w:val="o"/>
      <w:lvlJc w:val="left"/>
      <w:pPr>
        <w:ind w:left="1440" w:hanging="360"/>
      </w:pPr>
      <w:rPr>
        <w:rFonts w:ascii="Courier New" w:hAnsi="Courier New" w:hint="default"/>
      </w:rPr>
    </w:lvl>
    <w:lvl w:ilvl="2" w:tplc="057CD43A">
      <w:start w:val="1"/>
      <w:numFmt w:val="bullet"/>
      <w:lvlText w:val=""/>
      <w:lvlJc w:val="left"/>
      <w:pPr>
        <w:ind w:left="2160" w:hanging="360"/>
      </w:pPr>
      <w:rPr>
        <w:rFonts w:ascii="Cambria Math" w:hAnsi="Cambria Math" w:hint="default"/>
      </w:rPr>
    </w:lvl>
    <w:lvl w:ilvl="3" w:tplc="75549562">
      <w:start w:val="1"/>
      <w:numFmt w:val="bullet"/>
      <w:lvlText w:val=""/>
      <w:lvlJc w:val="left"/>
      <w:pPr>
        <w:ind w:left="2880" w:hanging="360"/>
      </w:pPr>
      <w:rPr>
        <w:rFonts w:ascii="Segoe UI" w:hAnsi="Segoe UI" w:hint="default"/>
      </w:rPr>
    </w:lvl>
    <w:lvl w:ilvl="4" w:tplc="6D46B136">
      <w:start w:val="1"/>
      <w:numFmt w:val="bullet"/>
      <w:lvlText w:val="o"/>
      <w:lvlJc w:val="left"/>
      <w:pPr>
        <w:ind w:left="3600" w:hanging="360"/>
      </w:pPr>
      <w:rPr>
        <w:rFonts w:ascii="Courier New" w:hAnsi="Courier New" w:hint="default"/>
      </w:rPr>
    </w:lvl>
    <w:lvl w:ilvl="5" w:tplc="04A0AA44">
      <w:start w:val="1"/>
      <w:numFmt w:val="bullet"/>
      <w:lvlText w:val=""/>
      <w:lvlJc w:val="left"/>
      <w:pPr>
        <w:ind w:left="4320" w:hanging="360"/>
      </w:pPr>
      <w:rPr>
        <w:rFonts w:ascii="Cambria Math" w:hAnsi="Cambria Math" w:hint="default"/>
      </w:rPr>
    </w:lvl>
    <w:lvl w:ilvl="6" w:tplc="896C637C">
      <w:start w:val="1"/>
      <w:numFmt w:val="bullet"/>
      <w:lvlText w:val=""/>
      <w:lvlJc w:val="left"/>
      <w:pPr>
        <w:ind w:left="5040" w:hanging="360"/>
      </w:pPr>
      <w:rPr>
        <w:rFonts w:ascii="Segoe UI" w:hAnsi="Segoe UI" w:hint="default"/>
      </w:rPr>
    </w:lvl>
    <w:lvl w:ilvl="7" w:tplc="1AFCAB9A">
      <w:start w:val="1"/>
      <w:numFmt w:val="bullet"/>
      <w:lvlText w:val="o"/>
      <w:lvlJc w:val="left"/>
      <w:pPr>
        <w:ind w:left="5760" w:hanging="360"/>
      </w:pPr>
      <w:rPr>
        <w:rFonts w:ascii="Courier New" w:hAnsi="Courier New" w:hint="default"/>
      </w:rPr>
    </w:lvl>
    <w:lvl w:ilvl="8" w:tplc="ACAA6306">
      <w:start w:val="1"/>
      <w:numFmt w:val="bullet"/>
      <w:lvlText w:val=""/>
      <w:lvlJc w:val="left"/>
      <w:pPr>
        <w:ind w:left="6480" w:hanging="360"/>
      </w:pPr>
      <w:rPr>
        <w:rFonts w:ascii="Cambria Math" w:hAnsi="Cambria Math" w:hint="default"/>
      </w:rPr>
    </w:lvl>
  </w:abstractNum>
  <w:abstractNum w:abstractNumId="192" w15:restartNumberingAfterBreak="0">
    <w:nsid w:val="1F2917EA"/>
    <w:multiLevelType w:val="multilevel"/>
    <w:tmpl w:val="3F0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F4A0A56"/>
    <w:multiLevelType w:val="hybridMultilevel"/>
    <w:tmpl w:val="793EDD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4" w15:restartNumberingAfterBreak="0">
    <w:nsid w:val="1F867D0D"/>
    <w:multiLevelType w:val="hybridMultilevel"/>
    <w:tmpl w:val="AF5A99A4"/>
    <w:lvl w:ilvl="0" w:tplc="892E0A2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5" w15:restartNumberingAfterBreak="0">
    <w:nsid w:val="1F8FDFE6"/>
    <w:multiLevelType w:val="hybridMultilevel"/>
    <w:tmpl w:val="FFFFFFFF"/>
    <w:lvl w:ilvl="0" w:tplc="B3B6FF2A">
      <w:start w:val="1"/>
      <w:numFmt w:val="bullet"/>
      <w:lvlText w:val=""/>
      <w:lvlJc w:val="left"/>
      <w:pPr>
        <w:ind w:left="720" w:hanging="360"/>
      </w:pPr>
      <w:rPr>
        <w:rFonts w:ascii="Symbol" w:hAnsi="Symbol" w:hint="default"/>
      </w:rPr>
    </w:lvl>
    <w:lvl w:ilvl="1" w:tplc="972E2E84">
      <w:start w:val="1"/>
      <w:numFmt w:val="bullet"/>
      <w:lvlText w:val="-"/>
      <w:lvlJc w:val="left"/>
      <w:pPr>
        <w:ind w:left="1440" w:hanging="360"/>
      </w:pPr>
      <w:rPr>
        <w:rFonts w:ascii="Calibri" w:hAnsi="Calibri" w:hint="default"/>
      </w:rPr>
    </w:lvl>
    <w:lvl w:ilvl="2" w:tplc="0B1464CA">
      <w:start w:val="1"/>
      <w:numFmt w:val="bullet"/>
      <w:lvlText w:val=""/>
      <w:lvlJc w:val="left"/>
      <w:pPr>
        <w:ind w:left="2160" w:hanging="360"/>
      </w:pPr>
      <w:rPr>
        <w:rFonts w:ascii="Wingdings" w:hAnsi="Wingdings" w:hint="default"/>
      </w:rPr>
    </w:lvl>
    <w:lvl w:ilvl="3" w:tplc="F8A6C55C">
      <w:start w:val="1"/>
      <w:numFmt w:val="bullet"/>
      <w:lvlText w:val=""/>
      <w:lvlJc w:val="left"/>
      <w:pPr>
        <w:ind w:left="2880" w:hanging="360"/>
      </w:pPr>
      <w:rPr>
        <w:rFonts w:ascii="Symbol" w:hAnsi="Symbol" w:hint="default"/>
      </w:rPr>
    </w:lvl>
    <w:lvl w:ilvl="4" w:tplc="092C5D50">
      <w:start w:val="1"/>
      <w:numFmt w:val="bullet"/>
      <w:lvlText w:val="o"/>
      <w:lvlJc w:val="left"/>
      <w:pPr>
        <w:ind w:left="3600" w:hanging="360"/>
      </w:pPr>
      <w:rPr>
        <w:rFonts w:ascii="Courier New" w:hAnsi="Courier New" w:hint="default"/>
      </w:rPr>
    </w:lvl>
    <w:lvl w:ilvl="5" w:tplc="2DD488FA">
      <w:start w:val="1"/>
      <w:numFmt w:val="bullet"/>
      <w:lvlText w:val=""/>
      <w:lvlJc w:val="left"/>
      <w:pPr>
        <w:ind w:left="4320" w:hanging="360"/>
      </w:pPr>
      <w:rPr>
        <w:rFonts w:ascii="Wingdings" w:hAnsi="Wingdings" w:hint="default"/>
      </w:rPr>
    </w:lvl>
    <w:lvl w:ilvl="6" w:tplc="76760C90">
      <w:start w:val="1"/>
      <w:numFmt w:val="bullet"/>
      <w:lvlText w:val=""/>
      <w:lvlJc w:val="left"/>
      <w:pPr>
        <w:ind w:left="5040" w:hanging="360"/>
      </w:pPr>
      <w:rPr>
        <w:rFonts w:ascii="Symbol" w:hAnsi="Symbol" w:hint="default"/>
      </w:rPr>
    </w:lvl>
    <w:lvl w:ilvl="7" w:tplc="58B80C26">
      <w:start w:val="1"/>
      <w:numFmt w:val="bullet"/>
      <w:lvlText w:val="o"/>
      <w:lvlJc w:val="left"/>
      <w:pPr>
        <w:ind w:left="5760" w:hanging="360"/>
      </w:pPr>
      <w:rPr>
        <w:rFonts w:ascii="Courier New" w:hAnsi="Courier New" w:hint="default"/>
      </w:rPr>
    </w:lvl>
    <w:lvl w:ilvl="8" w:tplc="7C764058">
      <w:start w:val="1"/>
      <w:numFmt w:val="bullet"/>
      <w:lvlText w:val=""/>
      <w:lvlJc w:val="left"/>
      <w:pPr>
        <w:ind w:left="6480" w:hanging="360"/>
      </w:pPr>
      <w:rPr>
        <w:rFonts w:ascii="Wingdings" w:hAnsi="Wingdings" w:hint="default"/>
      </w:rPr>
    </w:lvl>
  </w:abstractNum>
  <w:abstractNum w:abstractNumId="196" w15:restartNumberingAfterBreak="0">
    <w:nsid w:val="1FA373CD"/>
    <w:multiLevelType w:val="hybridMultilevel"/>
    <w:tmpl w:val="A2E0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1FA52BE5"/>
    <w:multiLevelType w:val="multilevel"/>
    <w:tmpl w:val="765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FAC5028"/>
    <w:multiLevelType w:val="multilevel"/>
    <w:tmpl w:val="9E22EC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1FC57EB4"/>
    <w:multiLevelType w:val="hybridMultilevel"/>
    <w:tmpl w:val="82DCD27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1FD32F02"/>
    <w:multiLevelType w:val="hybridMultilevel"/>
    <w:tmpl w:val="1BA6F6AC"/>
    <w:lvl w:ilvl="0" w:tplc="1809001B">
      <w:start w:val="1"/>
      <w:numFmt w:val="lowerRoman"/>
      <w:lvlText w:val="%1."/>
      <w:lvlJc w:val="right"/>
      <w:pPr>
        <w:ind w:left="1440" w:hanging="360"/>
      </w:pPr>
      <w:rPr>
        <w:rFonts w:hint="default"/>
      </w:rPr>
    </w:lvl>
    <w:lvl w:ilvl="1" w:tplc="2D9C0DB8">
      <w:start w:val="1"/>
      <w:numFmt w:val="bullet"/>
      <w:lvlText w:val="o"/>
      <w:lvlJc w:val="left"/>
      <w:pPr>
        <w:ind w:left="2160" w:hanging="360"/>
      </w:pPr>
      <w:rPr>
        <w:rFonts w:ascii="Courier New" w:hAnsi="Courier New" w:hint="default"/>
      </w:rPr>
    </w:lvl>
    <w:lvl w:ilvl="2" w:tplc="932C93D8">
      <w:start w:val="1"/>
      <w:numFmt w:val="bullet"/>
      <w:lvlText w:val=""/>
      <w:lvlJc w:val="left"/>
      <w:pPr>
        <w:ind w:left="2880" w:hanging="360"/>
      </w:pPr>
      <w:rPr>
        <w:rFonts w:ascii="Wingdings" w:hAnsi="Wingdings" w:hint="default"/>
      </w:rPr>
    </w:lvl>
    <w:lvl w:ilvl="3" w:tplc="4B16F8DA">
      <w:start w:val="1"/>
      <w:numFmt w:val="bullet"/>
      <w:lvlText w:val=""/>
      <w:lvlJc w:val="left"/>
      <w:pPr>
        <w:ind w:left="3600" w:hanging="360"/>
      </w:pPr>
      <w:rPr>
        <w:rFonts w:ascii="Symbol" w:hAnsi="Symbol" w:hint="default"/>
      </w:rPr>
    </w:lvl>
    <w:lvl w:ilvl="4" w:tplc="5D448ABE">
      <w:start w:val="1"/>
      <w:numFmt w:val="bullet"/>
      <w:lvlText w:val="o"/>
      <w:lvlJc w:val="left"/>
      <w:pPr>
        <w:ind w:left="4320" w:hanging="360"/>
      </w:pPr>
      <w:rPr>
        <w:rFonts w:ascii="Courier New" w:hAnsi="Courier New" w:hint="default"/>
      </w:rPr>
    </w:lvl>
    <w:lvl w:ilvl="5" w:tplc="FF9CD1CA">
      <w:start w:val="1"/>
      <w:numFmt w:val="bullet"/>
      <w:lvlText w:val=""/>
      <w:lvlJc w:val="left"/>
      <w:pPr>
        <w:ind w:left="5040" w:hanging="360"/>
      </w:pPr>
      <w:rPr>
        <w:rFonts w:ascii="Wingdings" w:hAnsi="Wingdings" w:hint="default"/>
      </w:rPr>
    </w:lvl>
    <w:lvl w:ilvl="6" w:tplc="C0668976">
      <w:start w:val="1"/>
      <w:numFmt w:val="bullet"/>
      <w:lvlText w:val=""/>
      <w:lvlJc w:val="left"/>
      <w:pPr>
        <w:ind w:left="5760" w:hanging="360"/>
      </w:pPr>
      <w:rPr>
        <w:rFonts w:ascii="Symbol" w:hAnsi="Symbol" w:hint="default"/>
      </w:rPr>
    </w:lvl>
    <w:lvl w:ilvl="7" w:tplc="D562BF1E">
      <w:start w:val="1"/>
      <w:numFmt w:val="bullet"/>
      <w:lvlText w:val="o"/>
      <w:lvlJc w:val="left"/>
      <w:pPr>
        <w:ind w:left="6480" w:hanging="360"/>
      </w:pPr>
      <w:rPr>
        <w:rFonts w:ascii="Courier New" w:hAnsi="Courier New" w:hint="default"/>
      </w:rPr>
    </w:lvl>
    <w:lvl w:ilvl="8" w:tplc="8EC21BFE">
      <w:start w:val="1"/>
      <w:numFmt w:val="bullet"/>
      <w:lvlText w:val=""/>
      <w:lvlJc w:val="left"/>
      <w:pPr>
        <w:ind w:left="7200" w:hanging="360"/>
      </w:pPr>
      <w:rPr>
        <w:rFonts w:ascii="Wingdings" w:hAnsi="Wingdings" w:hint="default"/>
      </w:rPr>
    </w:lvl>
  </w:abstractNum>
  <w:abstractNum w:abstractNumId="201" w15:restartNumberingAfterBreak="0">
    <w:nsid w:val="1FE2A96D"/>
    <w:multiLevelType w:val="hybridMultilevel"/>
    <w:tmpl w:val="FFFFFFFF"/>
    <w:lvl w:ilvl="0" w:tplc="4C105798">
      <w:start w:val="1"/>
      <w:numFmt w:val="bullet"/>
      <w:lvlText w:val="·"/>
      <w:lvlJc w:val="left"/>
      <w:pPr>
        <w:ind w:left="720" w:hanging="360"/>
      </w:pPr>
      <w:rPr>
        <w:rFonts w:ascii="Symbol" w:hAnsi="Symbol" w:hint="default"/>
      </w:rPr>
    </w:lvl>
    <w:lvl w:ilvl="1" w:tplc="BBD2FF70">
      <w:start w:val="1"/>
      <w:numFmt w:val="bullet"/>
      <w:lvlText w:val="o"/>
      <w:lvlJc w:val="left"/>
      <w:pPr>
        <w:ind w:left="1440" w:hanging="360"/>
      </w:pPr>
      <w:rPr>
        <w:rFonts w:ascii="Courier New" w:hAnsi="Courier New" w:hint="default"/>
      </w:rPr>
    </w:lvl>
    <w:lvl w:ilvl="2" w:tplc="3A068084">
      <w:start w:val="1"/>
      <w:numFmt w:val="bullet"/>
      <w:pStyle w:val="LegalNumPar3"/>
      <w:lvlText w:val=""/>
      <w:lvlJc w:val="left"/>
      <w:pPr>
        <w:ind w:left="2160" w:hanging="360"/>
      </w:pPr>
      <w:rPr>
        <w:rFonts w:ascii="Wingdings" w:hAnsi="Wingdings" w:hint="default"/>
      </w:rPr>
    </w:lvl>
    <w:lvl w:ilvl="3" w:tplc="DF5C69DE">
      <w:start w:val="1"/>
      <w:numFmt w:val="bullet"/>
      <w:lvlText w:val=""/>
      <w:lvlJc w:val="left"/>
      <w:pPr>
        <w:ind w:left="2880" w:hanging="360"/>
      </w:pPr>
      <w:rPr>
        <w:rFonts w:ascii="Symbol" w:hAnsi="Symbol" w:hint="default"/>
      </w:rPr>
    </w:lvl>
    <w:lvl w:ilvl="4" w:tplc="0A7ECCBC">
      <w:start w:val="1"/>
      <w:numFmt w:val="bullet"/>
      <w:lvlText w:val="o"/>
      <w:lvlJc w:val="left"/>
      <w:pPr>
        <w:ind w:left="3600" w:hanging="360"/>
      </w:pPr>
      <w:rPr>
        <w:rFonts w:ascii="Courier New" w:hAnsi="Courier New" w:hint="default"/>
      </w:rPr>
    </w:lvl>
    <w:lvl w:ilvl="5" w:tplc="C48E069A">
      <w:start w:val="1"/>
      <w:numFmt w:val="bullet"/>
      <w:lvlText w:val=""/>
      <w:lvlJc w:val="left"/>
      <w:pPr>
        <w:ind w:left="4320" w:hanging="360"/>
      </w:pPr>
      <w:rPr>
        <w:rFonts w:ascii="Wingdings" w:hAnsi="Wingdings" w:hint="default"/>
      </w:rPr>
    </w:lvl>
    <w:lvl w:ilvl="6" w:tplc="C5E21020">
      <w:start w:val="1"/>
      <w:numFmt w:val="bullet"/>
      <w:lvlText w:val=""/>
      <w:lvlJc w:val="left"/>
      <w:pPr>
        <w:ind w:left="5040" w:hanging="360"/>
      </w:pPr>
      <w:rPr>
        <w:rFonts w:ascii="Symbol" w:hAnsi="Symbol" w:hint="default"/>
      </w:rPr>
    </w:lvl>
    <w:lvl w:ilvl="7" w:tplc="0100CFE2">
      <w:start w:val="1"/>
      <w:numFmt w:val="bullet"/>
      <w:lvlText w:val="o"/>
      <w:lvlJc w:val="left"/>
      <w:pPr>
        <w:ind w:left="5760" w:hanging="360"/>
      </w:pPr>
      <w:rPr>
        <w:rFonts w:ascii="Courier New" w:hAnsi="Courier New" w:hint="default"/>
      </w:rPr>
    </w:lvl>
    <w:lvl w:ilvl="8" w:tplc="9D56902C">
      <w:start w:val="1"/>
      <w:numFmt w:val="bullet"/>
      <w:lvlText w:val=""/>
      <w:lvlJc w:val="left"/>
      <w:pPr>
        <w:ind w:left="6480" w:hanging="360"/>
      </w:pPr>
      <w:rPr>
        <w:rFonts w:ascii="Wingdings" w:hAnsi="Wingdings" w:hint="default"/>
      </w:rPr>
    </w:lvl>
  </w:abstractNum>
  <w:abstractNum w:abstractNumId="202" w15:restartNumberingAfterBreak="0">
    <w:nsid w:val="1FF6510E"/>
    <w:multiLevelType w:val="hybridMultilevel"/>
    <w:tmpl w:val="91641C6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3" w15:restartNumberingAfterBreak="0">
    <w:nsid w:val="1FFE2FD8"/>
    <w:multiLevelType w:val="hybridMultilevel"/>
    <w:tmpl w:val="FFFFFFFF"/>
    <w:lvl w:ilvl="0" w:tplc="8C8A30C2">
      <w:start w:val="1"/>
      <w:numFmt w:val="bullet"/>
      <w:lvlText w:val=""/>
      <w:lvlJc w:val="left"/>
      <w:pPr>
        <w:ind w:left="720" w:hanging="360"/>
      </w:pPr>
      <w:rPr>
        <w:rFonts w:ascii="Courier New" w:hAnsi="Courier New" w:hint="default"/>
      </w:rPr>
    </w:lvl>
    <w:lvl w:ilvl="1" w:tplc="E6B68BD2">
      <w:start w:val="1"/>
      <w:numFmt w:val="bullet"/>
      <w:lvlText w:val="o"/>
      <w:lvlJc w:val="left"/>
      <w:pPr>
        <w:ind w:left="1440" w:hanging="360"/>
      </w:pPr>
      <w:rPr>
        <w:rFonts w:ascii="Cambria Math" w:hAnsi="Cambria Math" w:hint="default"/>
      </w:rPr>
    </w:lvl>
    <w:lvl w:ilvl="2" w:tplc="9C3E761A">
      <w:start w:val="1"/>
      <w:numFmt w:val="bullet"/>
      <w:lvlText w:val=""/>
      <w:lvlJc w:val="left"/>
      <w:pPr>
        <w:ind w:left="2160" w:hanging="360"/>
      </w:pPr>
      <w:rPr>
        <w:rFonts w:ascii="Wingdings" w:hAnsi="Wingdings" w:hint="default"/>
      </w:rPr>
    </w:lvl>
    <w:lvl w:ilvl="3" w:tplc="5E3A3288">
      <w:start w:val="1"/>
      <w:numFmt w:val="bullet"/>
      <w:lvlText w:val=""/>
      <w:lvlJc w:val="left"/>
      <w:pPr>
        <w:ind w:left="2880" w:hanging="360"/>
      </w:pPr>
      <w:rPr>
        <w:rFonts w:ascii="Courier New" w:hAnsi="Courier New" w:hint="default"/>
      </w:rPr>
    </w:lvl>
    <w:lvl w:ilvl="4" w:tplc="177C66E8">
      <w:start w:val="1"/>
      <w:numFmt w:val="bullet"/>
      <w:lvlText w:val="o"/>
      <w:lvlJc w:val="left"/>
      <w:pPr>
        <w:ind w:left="3600" w:hanging="360"/>
      </w:pPr>
      <w:rPr>
        <w:rFonts w:ascii="Cambria Math" w:hAnsi="Cambria Math" w:hint="default"/>
      </w:rPr>
    </w:lvl>
    <w:lvl w:ilvl="5" w:tplc="34B2EA7E">
      <w:start w:val="1"/>
      <w:numFmt w:val="bullet"/>
      <w:lvlText w:val=""/>
      <w:lvlJc w:val="left"/>
      <w:pPr>
        <w:ind w:left="4320" w:hanging="360"/>
      </w:pPr>
      <w:rPr>
        <w:rFonts w:ascii="Wingdings" w:hAnsi="Wingdings" w:hint="default"/>
      </w:rPr>
    </w:lvl>
    <w:lvl w:ilvl="6" w:tplc="9D567332">
      <w:start w:val="1"/>
      <w:numFmt w:val="bullet"/>
      <w:lvlText w:val=""/>
      <w:lvlJc w:val="left"/>
      <w:pPr>
        <w:ind w:left="5040" w:hanging="360"/>
      </w:pPr>
      <w:rPr>
        <w:rFonts w:ascii="Courier New" w:hAnsi="Courier New" w:hint="default"/>
      </w:rPr>
    </w:lvl>
    <w:lvl w:ilvl="7" w:tplc="C5C25534">
      <w:start w:val="1"/>
      <w:numFmt w:val="bullet"/>
      <w:lvlText w:val="o"/>
      <w:lvlJc w:val="left"/>
      <w:pPr>
        <w:ind w:left="5760" w:hanging="360"/>
      </w:pPr>
      <w:rPr>
        <w:rFonts w:ascii="Cambria Math" w:hAnsi="Cambria Math" w:hint="default"/>
      </w:rPr>
    </w:lvl>
    <w:lvl w:ilvl="8" w:tplc="35BA6FEE">
      <w:start w:val="1"/>
      <w:numFmt w:val="bullet"/>
      <w:lvlText w:val=""/>
      <w:lvlJc w:val="left"/>
      <w:pPr>
        <w:ind w:left="6480" w:hanging="360"/>
      </w:pPr>
      <w:rPr>
        <w:rFonts w:ascii="Wingdings" w:hAnsi="Wingdings" w:hint="default"/>
      </w:rPr>
    </w:lvl>
  </w:abstractNum>
  <w:abstractNum w:abstractNumId="204" w15:restartNumberingAfterBreak="0">
    <w:nsid w:val="2037C66A"/>
    <w:multiLevelType w:val="hybridMultilevel"/>
    <w:tmpl w:val="FFFFFFFF"/>
    <w:lvl w:ilvl="0" w:tplc="6A34D0E2">
      <w:start w:val="1"/>
      <w:numFmt w:val="bullet"/>
      <w:lvlText w:val="·"/>
      <w:lvlJc w:val="left"/>
      <w:pPr>
        <w:ind w:left="720" w:hanging="360"/>
      </w:pPr>
      <w:rPr>
        <w:rFonts w:ascii="Symbol" w:hAnsi="Symbol" w:hint="default"/>
      </w:rPr>
    </w:lvl>
    <w:lvl w:ilvl="1" w:tplc="0A06E67A">
      <w:start w:val="1"/>
      <w:numFmt w:val="bullet"/>
      <w:lvlText w:val="o"/>
      <w:lvlJc w:val="left"/>
      <w:pPr>
        <w:ind w:left="1440" w:hanging="360"/>
      </w:pPr>
      <w:rPr>
        <w:rFonts w:ascii="Courier New" w:hAnsi="Courier New" w:hint="default"/>
      </w:rPr>
    </w:lvl>
    <w:lvl w:ilvl="2" w:tplc="710A20FA">
      <w:start w:val="1"/>
      <w:numFmt w:val="bullet"/>
      <w:lvlText w:val=""/>
      <w:lvlJc w:val="left"/>
      <w:pPr>
        <w:ind w:left="2160" w:hanging="360"/>
      </w:pPr>
      <w:rPr>
        <w:rFonts w:ascii="Wingdings" w:hAnsi="Wingdings" w:hint="default"/>
      </w:rPr>
    </w:lvl>
    <w:lvl w:ilvl="3" w:tplc="7EBEA020">
      <w:start w:val="1"/>
      <w:numFmt w:val="bullet"/>
      <w:lvlText w:val=""/>
      <w:lvlJc w:val="left"/>
      <w:pPr>
        <w:ind w:left="2880" w:hanging="360"/>
      </w:pPr>
      <w:rPr>
        <w:rFonts w:ascii="Symbol" w:hAnsi="Symbol" w:hint="default"/>
      </w:rPr>
    </w:lvl>
    <w:lvl w:ilvl="4" w:tplc="892A8BFE">
      <w:start w:val="1"/>
      <w:numFmt w:val="bullet"/>
      <w:lvlText w:val="o"/>
      <w:lvlJc w:val="left"/>
      <w:pPr>
        <w:ind w:left="3600" w:hanging="360"/>
      </w:pPr>
      <w:rPr>
        <w:rFonts w:ascii="Courier New" w:hAnsi="Courier New" w:hint="default"/>
      </w:rPr>
    </w:lvl>
    <w:lvl w:ilvl="5" w:tplc="1196F89A">
      <w:start w:val="1"/>
      <w:numFmt w:val="bullet"/>
      <w:lvlText w:val=""/>
      <w:lvlJc w:val="left"/>
      <w:pPr>
        <w:ind w:left="4320" w:hanging="360"/>
      </w:pPr>
      <w:rPr>
        <w:rFonts w:ascii="Wingdings" w:hAnsi="Wingdings" w:hint="default"/>
      </w:rPr>
    </w:lvl>
    <w:lvl w:ilvl="6" w:tplc="EBD046C0">
      <w:start w:val="1"/>
      <w:numFmt w:val="bullet"/>
      <w:lvlText w:val=""/>
      <w:lvlJc w:val="left"/>
      <w:pPr>
        <w:ind w:left="5040" w:hanging="360"/>
      </w:pPr>
      <w:rPr>
        <w:rFonts w:ascii="Symbol" w:hAnsi="Symbol" w:hint="default"/>
      </w:rPr>
    </w:lvl>
    <w:lvl w:ilvl="7" w:tplc="B82613D8">
      <w:start w:val="1"/>
      <w:numFmt w:val="bullet"/>
      <w:lvlText w:val="o"/>
      <w:lvlJc w:val="left"/>
      <w:pPr>
        <w:ind w:left="5760" w:hanging="360"/>
      </w:pPr>
      <w:rPr>
        <w:rFonts w:ascii="Courier New" w:hAnsi="Courier New" w:hint="default"/>
      </w:rPr>
    </w:lvl>
    <w:lvl w:ilvl="8" w:tplc="B8E80D06">
      <w:start w:val="1"/>
      <w:numFmt w:val="bullet"/>
      <w:lvlText w:val=""/>
      <w:lvlJc w:val="left"/>
      <w:pPr>
        <w:ind w:left="6480" w:hanging="360"/>
      </w:pPr>
      <w:rPr>
        <w:rFonts w:ascii="Wingdings" w:hAnsi="Wingdings" w:hint="default"/>
      </w:rPr>
    </w:lvl>
  </w:abstractNum>
  <w:abstractNum w:abstractNumId="205" w15:restartNumberingAfterBreak="0">
    <w:nsid w:val="205E6EFE"/>
    <w:multiLevelType w:val="multilevel"/>
    <w:tmpl w:val="AE6E3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0661B2B"/>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07" w15:restartNumberingAfterBreak="0">
    <w:nsid w:val="20AA53D0"/>
    <w:multiLevelType w:val="hybridMultilevel"/>
    <w:tmpl w:val="23DC3B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20CA250E"/>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9" w15:restartNumberingAfterBreak="0">
    <w:nsid w:val="21031EDB"/>
    <w:multiLevelType w:val="hybridMultilevel"/>
    <w:tmpl w:val="E95CF80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15:restartNumberingAfterBreak="0">
    <w:nsid w:val="212F5199"/>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2168403C"/>
    <w:multiLevelType w:val="hybridMultilevel"/>
    <w:tmpl w:val="E99CBD8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2" w15:restartNumberingAfterBreak="0">
    <w:nsid w:val="21967B8E"/>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21DC26E2"/>
    <w:multiLevelType w:val="multilevel"/>
    <w:tmpl w:val="C00E4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1E32FB7"/>
    <w:multiLevelType w:val="multilevel"/>
    <w:tmpl w:val="95542B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1E75F17"/>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221C1B56"/>
    <w:multiLevelType w:val="hybridMultilevel"/>
    <w:tmpl w:val="FFFFFFFF"/>
    <w:lvl w:ilvl="0" w:tplc="3A86AD1A">
      <w:start w:val="6"/>
      <w:numFmt w:val="decimal"/>
      <w:lvlText w:val="%1."/>
      <w:lvlJc w:val="left"/>
      <w:pPr>
        <w:ind w:left="720" w:hanging="360"/>
      </w:pPr>
    </w:lvl>
    <w:lvl w:ilvl="1" w:tplc="669CEEBA">
      <w:start w:val="1"/>
      <w:numFmt w:val="lowerLetter"/>
      <w:lvlText w:val="%2."/>
      <w:lvlJc w:val="left"/>
      <w:pPr>
        <w:ind w:left="1440" w:hanging="360"/>
      </w:pPr>
    </w:lvl>
    <w:lvl w:ilvl="2" w:tplc="F86AA534">
      <w:start w:val="1"/>
      <w:numFmt w:val="lowerRoman"/>
      <w:lvlText w:val="%3."/>
      <w:lvlJc w:val="right"/>
      <w:pPr>
        <w:ind w:left="2160" w:hanging="180"/>
      </w:pPr>
    </w:lvl>
    <w:lvl w:ilvl="3" w:tplc="6D9C95AA">
      <w:start w:val="1"/>
      <w:numFmt w:val="decimal"/>
      <w:lvlText w:val="%4."/>
      <w:lvlJc w:val="left"/>
      <w:pPr>
        <w:ind w:left="2880" w:hanging="360"/>
      </w:pPr>
    </w:lvl>
    <w:lvl w:ilvl="4" w:tplc="027CA6F2">
      <w:start w:val="1"/>
      <w:numFmt w:val="lowerLetter"/>
      <w:lvlText w:val="%5."/>
      <w:lvlJc w:val="left"/>
      <w:pPr>
        <w:ind w:left="3600" w:hanging="360"/>
      </w:pPr>
    </w:lvl>
    <w:lvl w:ilvl="5" w:tplc="07B63906">
      <w:start w:val="1"/>
      <w:numFmt w:val="lowerRoman"/>
      <w:lvlText w:val="%6."/>
      <w:lvlJc w:val="right"/>
      <w:pPr>
        <w:ind w:left="4320" w:hanging="180"/>
      </w:pPr>
    </w:lvl>
    <w:lvl w:ilvl="6" w:tplc="0A9EC6EC">
      <w:start w:val="1"/>
      <w:numFmt w:val="decimal"/>
      <w:lvlText w:val="%7."/>
      <w:lvlJc w:val="left"/>
      <w:pPr>
        <w:ind w:left="5040" w:hanging="360"/>
      </w:pPr>
    </w:lvl>
    <w:lvl w:ilvl="7" w:tplc="F008F128">
      <w:start w:val="1"/>
      <w:numFmt w:val="lowerLetter"/>
      <w:lvlText w:val="%8."/>
      <w:lvlJc w:val="left"/>
      <w:pPr>
        <w:ind w:left="5760" w:hanging="360"/>
      </w:pPr>
    </w:lvl>
    <w:lvl w:ilvl="8" w:tplc="3BAEEEF6">
      <w:start w:val="1"/>
      <w:numFmt w:val="lowerRoman"/>
      <w:lvlText w:val="%9."/>
      <w:lvlJc w:val="right"/>
      <w:pPr>
        <w:ind w:left="6480" w:hanging="180"/>
      </w:pPr>
    </w:lvl>
  </w:abstractNum>
  <w:abstractNum w:abstractNumId="217" w15:restartNumberingAfterBreak="0">
    <w:nsid w:val="224B3FAA"/>
    <w:multiLevelType w:val="multilevel"/>
    <w:tmpl w:val="5FAEF1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25BAEB2"/>
    <w:multiLevelType w:val="hybridMultilevel"/>
    <w:tmpl w:val="AB7EB6C8"/>
    <w:lvl w:ilvl="0" w:tplc="9EB06766">
      <w:start w:val="1"/>
      <w:numFmt w:val="bullet"/>
      <w:lvlText w:val="-"/>
      <w:lvlJc w:val="left"/>
      <w:pPr>
        <w:ind w:left="720" w:hanging="360"/>
      </w:pPr>
      <w:rPr>
        <w:rFonts w:ascii="Symbol" w:hAnsi="Symbol" w:hint="default"/>
      </w:rPr>
    </w:lvl>
    <w:lvl w:ilvl="1" w:tplc="0B842BD4">
      <w:start w:val="1"/>
      <w:numFmt w:val="bullet"/>
      <w:lvlText w:val="o"/>
      <w:lvlJc w:val="left"/>
      <w:pPr>
        <w:ind w:left="1440" w:hanging="360"/>
      </w:pPr>
      <w:rPr>
        <w:rFonts w:ascii="Courier New" w:hAnsi="Courier New" w:hint="default"/>
      </w:rPr>
    </w:lvl>
    <w:lvl w:ilvl="2" w:tplc="EB7A46CC">
      <w:start w:val="1"/>
      <w:numFmt w:val="bullet"/>
      <w:lvlText w:val=""/>
      <w:lvlJc w:val="left"/>
      <w:pPr>
        <w:ind w:left="2160" w:hanging="360"/>
      </w:pPr>
      <w:rPr>
        <w:rFonts w:ascii="Wingdings" w:hAnsi="Wingdings" w:hint="default"/>
      </w:rPr>
    </w:lvl>
    <w:lvl w:ilvl="3" w:tplc="812CD752">
      <w:start w:val="1"/>
      <w:numFmt w:val="bullet"/>
      <w:lvlText w:val=""/>
      <w:lvlJc w:val="left"/>
      <w:pPr>
        <w:ind w:left="2880" w:hanging="360"/>
      </w:pPr>
      <w:rPr>
        <w:rFonts w:ascii="Symbol" w:hAnsi="Symbol" w:hint="default"/>
      </w:rPr>
    </w:lvl>
    <w:lvl w:ilvl="4" w:tplc="1CBE133A">
      <w:start w:val="1"/>
      <w:numFmt w:val="bullet"/>
      <w:lvlText w:val="o"/>
      <w:lvlJc w:val="left"/>
      <w:pPr>
        <w:ind w:left="3600" w:hanging="360"/>
      </w:pPr>
      <w:rPr>
        <w:rFonts w:ascii="Courier New" w:hAnsi="Courier New" w:hint="default"/>
      </w:rPr>
    </w:lvl>
    <w:lvl w:ilvl="5" w:tplc="E7B6AD7A">
      <w:start w:val="1"/>
      <w:numFmt w:val="bullet"/>
      <w:lvlText w:val=""/>
      <w:lvlJc w:val="left"/>
      <w:pPr>
        <w:ind w:left="4320" w:hanging="360"/>
      </w:pPr>
      <w:rPr>
        <w:rFonts w:ascii="Wingdings" w:hAnsi="Wingdings" w:hint="default"/>
      </w:rPr>
    </w:lvl>
    <w:lvl w:ilvl="6" w:tplc="D45C4A9E">
      <w:start w:val="1"/>
      <w:numFmt w:val="bullet"/>
      <w:lvlText w:val=""/>
      <w:lvlJc w:val="left"/>
      <w:pPr>
        <w:ind w:left="5040" w:hanging="360"/>
      </w:pPr>
      <w:rPr>
        <w:rFonts w:ascii="Symbol" w:hAnsi="Symbol" w:hint="default"/>
      </w:rPr>
    </w:lvl>
    <w:lvl w:ilvl="7" w:tplc="E3E8E42C">
      <w:start w:val="1"/>
      <w:numFmt w:val="bullet"/>
      <w:lvlText w:val="o"/>
      <w:lvlJc w:val="left"/>
      <w:pPr>
        <w:ind w:left="5760" w:hanging="360"/>
      </w:pPr>
      <w:rPr>
        <w:rFonts w:ascii="Courier New" w:hAnsi="Courier New" w:hint="default"/>
      </w:rPr>
    </w:lvl>
    <w:lvl w:ilvl="8" w:tplc="2506B31C">
      <w:start w:val="1"/>
      <w:numFmt w:val="bullet"/>
      <w:lvlText w:val=""/>
      <w:lvlJc w:val="left"/>
      <w:pPr>
        <w:ind w:left="6480" w:hanging="360"/>
      </w:pPr>
      <w:rPr>
        <w:rFonts w:ascii="Wingdings" w:hAnsi="Wingdings" w:hint="default"/>
      </w:rPr>
    </w:lvl>
  </w:abstractNum>
  <w:abstractNum w:abstractNumId="219" w15:restartNumberingAfterBreak="0">
    <w:nsid w:val="22E44180"/>
    <w:multiLevelType w:val="multilevel"/>
    <w:tmpl w:val="4B16EF00"/>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6236"/>
        </w:tabs>
        <w:ind w:left="6236"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23471337"/>
    <w:multiLevelType w:val="hybridMultilevel"/>
    <w:tmpl w:val="AF68C1C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1" w15:restartNumberingAfterBreak="0">
    <w:nsid w:val="2349D677"/>
    <w:multiLevelType w:val="hybridMultilevel"/>
    <w:tmpl w:val="FFFFFFFF"/>
    <w:lvl w:ilvl="0" w:tplc="31B2F49E">
      <w:start w:val="1"/>
      <w:numFmt w:val="bullet"/>
      <w:lvlText w:val="·"/>
      <w:lvlJc w:val="left"/>
      <w:pPr>
        <w:ind w:left="720" w:hanging="360"/>
      </w:pPr>
      <w:rPr>
        <w:rFonts w:ascii="Symbol" w:hAnsi="Symbol" w:hint="default"/>
      </w:rPr>
    </w:lvl>
    <w:lvl w:ilvl="1" w:tplc="03B45972">
      <w:start w:val="1"/>
      <w:numFmt w:val="bullet"/>
      <w:lvlText w:val="o"/>
      <w:lvlJc w:val="left"/>
      <w:pPr>
        <w:ind w:left="1440" w:hanging="360"/>
      </w:pPr>
      <w:rPr>
        <w:rFonts w:ascii="Courier New" w:hAnsi="Courier New" w:hint="default"/>
      </w:rPr>
    </w:lvl>
    <w:lvl w:ilvl="2" w:tplc="F21259EE">
      <w:start w:val="1"/>
      <w:numFmt w:val="bullet"/>
      <w:lvlText w:val=""/>
      <w:lvlJc w:val="left"/>
      <w:pPr>
        <w:ind w:left="2160" w:hanging="360"/>
      </w:pPr>
      <w:rPr>
        <w:rFonts w:ascii="Wingdings" w:hAnsi="Wingdings" w:hint="default"/>
      </w:rPr>
    </w:lvl>
    <w:lvl w:ilvl="3" w:tplc="783E4C9A">
      <w:start w:val="1"/>
      <w:numFmt w:val="bullet"/>
      <w:lvlText w:val=""/>
      <w:lvlJc w:val="left"/>
      <w:pPr>
        <w:ind w:left="2880" w:hanging="360"/>
      </w:pPr>
      <w:rPr>
        <w:rFonts w:ascii="Symbol" w:hAnsi="Symbol" w:hint="default"/>
      </w:rPr>
    </w:lvl>
    <w:lvl w:ilvl="4" w:tplc="120CC240">
      <w:start w:val="1"/>
      <w:numFmt w:val="bullet"/>
      <w:lvlText w:val="o"/>
      <w:lvlJc w:val="left"/>
      <w:pPr>
        <w:ind w:left="3600" w:hanging="360"/>
      </w:pPr>
      <w:rPr>
        <w:rFonts w:ascii="Courier New" w:hAnsi="Courier New" w:hint="default"/>
      </w:rPr>
    </w:lvl>
    <w:lvl w:ilvl="5" w:tplc="8858F81C">
      <w:start w:val="1"/>
      <w:numFmt w:val="bullet"/>
      <w:lvlText w:val=""/>
      <w:lvlJc w:val="left"/>
      <w:pPr>
        <w:ind w:left="4320" w:hanging="360"/>
      </w:pPr>
      <w:rPr>
        <w:rFonts w:ascii="Wingdings" w:hAnsi="Wingdings" w:hint="default"/>
      </w:rPr>
    </w:lvl>
    <w:lvl w:ilvl="6" w:tplc="D5944A32">
      <w:start w:val="1"/>
      <w:numFmt w:val="bullet"/>
      <w:lvlText w:val=""/>
      <w:lvlJc w:val="left"/>
      <w:pPr>
        <w:ind w:left="5040" w:hanging="360"/>
      </w:pPr>
      <w:rPr>
        <w:rFonts w:ascii="Symbol" w:hAnsi="Symbol" w:hint="default"/>
      </w:rPr>
    </w:lvl>
    <w:lvl w:ilvl="7" w:tplc="F3EC6E24">
      <w:start w:val="1"/>
      <w:numFmt w:val="bullet"/>
      <w:lvlText w:val="o"/>
      <w:lvlJc w:val="left"/>
      <w:pPr>
        <w:ind w:left="5760" w:hanging="360"/>
      </w:pPr>
      <w:rPr>
        <w:rFonts w:ascii="Courier New" w:hAnsi="Courier New" w:hint="default"/>
      </w:rPr>
    </w:lvl>
    <w:lvl w:ilvl="8" w:tplc="CFE04244">
      <w:start w:val="1"/>
      <w:numFmt w:val="bullet"/>
      <w:lvlText w:val=""/>
      <w:lvlJc w:val="left"/>
      <w:pPr>
        <w:ind w:left="6480" w:hanging="360"/>
      </w:pPr>
      <w:rPr>
        <w:rFonts w:ascii="Wingdings" w:hAnsi="Wingdings" w:hint="default"/>
      </w:rPr>
    </w:lvl>
  </w:abstractNum>
  <w:abstractNum w:abstractNumId="222" w15:restartNumberingAfterBreak="0">
    <w:nsid w:val="2398492B"/>
    <w:multiLevelType w:val="multilevel"/>
    <w:tmpl w:val="690698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39F3794"/>
    <w:multiLevelType w:val="hybridMultilevel"/>
    <w:tmpl w:val="BD421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4" w15:restartNumberingAfterBreak="0">
    <w:nsid w:val="23D67882"/>
    <w:multiLevelType w:val="multilevel"/>
    <w:tmpl w:val="C4E86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3ED68BB"/>
    <w:multiLevelType w:val="hybridMultilevel"/>
    <w:tmpl w:val="46C2EA6C"/>
    <w:lvl w:ilvl="0" w:tplc="F29E19DE">
      <w:start w:val="1"/>
      <w:numFmt w:val="bullet"/>
      <w:lvlText w:val=""/>
      <w:lvlJc w:val="left"/>
      <w:pPr>
        <w:ind w:left="720" w:hanging="360"/>
      </w:pPr>
      <w:rPr>
        <w:rFonts w:ascii="Segoe UI" w:hAnsi="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Cambria Math" w:hAnsi="Cambria Math" w:hint="default"/>
      </w:rPr>
    </w:lvl>
    <w:lvl w:ilvl="3" w:tplc="08090001">
      <w:start w:val="1"/>
      <w:numFmt w:val="bullet"/>
      <w:lvlText w:val=""/>
      <w:lvlJc w:val="left"/>
      <w:pPr>
        <w:ind w:left="2880" w:hanging="360"/>
      </w:pPr>
      <w:rPr>
        <w:rFonts w:ascii="Segoe UI" w:hAnsi="Segoe UI"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Cambria Math" w:hAnsi="Cambria Math" w:hint="default"/>
      </w:rPr>
    </w:lvl>
    <w:lvl w:ilvl="6" w:tplc="08090001">
      <w:start w:val="1"/>
      <w:numFmt w:val="bullet"/>
      <w:lvlText w:val=""/>
      <w:lvlJc w:val="left"/>
      <w:pPr>
        <w:ind w:left="5040" w:hanging="360"/>
      </w:pPr>
      <w:rPr>
        <w:rFonts w:ascii="Segoe UI" w:hAnsi="Segoe UI"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Cambria Math" w:hAnsi="Cambria Math" w:hint="default"/>
      </w:rPr>
    </w:lvl>
  </w:abstractNum>
  <w:abstractNum w:abstractNumId="226" w15:restartNumberingAfterBreak="0">
    <w:nsid w:val="24371AD6"/>
    <w:multiLevelType w:val="multilevel"/>
    <w:tmpl w:val="66CABC7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7" w15:restartNumberingAfterBreak="0">
    <w:nsid w:val="24690017"/>
    <w:multiLevelType w:val="hybridMultilevel"/>
    <w:tmpl w:val="FD7C0AE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8" w15:restartNumberingAfterBreak="0">
    <w:nsid w:val="2494C848"/>
    <w:multiLevelType w:val="hybridMultilevel"/>
    <w:tmpl w:val="FFFFFFFF"/>
    <w:lvl w:ilvl="0" w:tplc="5F328E78">
      <w:start w:val="1"/>
      <w:numFmt w:val="decimal"/>
      <w:lvlText w:val="%1)"/>
      <w:lvlJc w:val="left"/>
      <w:pPr>
        <w:ind w:left="720" w:hanging="360"/>
      </w:pPr>
    </w:lvl>
    <w:lvl w:ilvl="1" w:tplc="13564B42">
      <w:start w:val="1"/>
      <w:numFmt w:val="lowerLetter"/>
      <w:lvlText w:val="%2."/>
      <w:lvlJc w:val="left"/>
      <w:pPr>
        <w:ind w:left="1440" w:hanging="360"/>
      </w:pPr>
    </w:lvl>
    <w:lvl w:ilvl="2" w:tplc="8668E534">
      <w:start w:val="1"/>
      <w:numFmt w:val="lowerRoman"/>
      <w:lvlText w:val="%3."/>
      <w:lvlJc w:val="right"/>
      <w:pPr>
        <w:ind w:left="2160" w:hanging="180"/>
      </w:pPr>
    </w:lvl>
    <w:lvl w:ilvl="3" w:tplc="A30C9548">
      <w:start w:val="1"/>
      <w:numFmt w:val="decimal"/>
      <w:lvlText w:val="%4."/>
      <w:lvlJc w:val="left"/>
      <w:pPr>
        <w:ind w:left="2880" w:hanging="360"/>
      </w:pPr>
    </w:lvl>
    <w:lvl w:ilvl="4" w:tplc="67C8F23C">
      <w:start w:val="1"/>
      <w:numFmt w:val="lowerLetter"/>
      <w:lvlText w:val="%5."/>
      <w:lvlJc w:val="left"/>
      <w:pPr>
        <w:ind w:left="3600" w:hanging="360"/>
      </w:pPr>
    </w:lvl>
    <w:lvl w:ilvl="5" w:tplc="8C32C8A0">
      <w:start w:val="1"/>
      <w:numFmt w:val="lowerRoman"/>
      <w:lvlText w:val="%6."/>
      <w:lvlJc w:val="right"/>
      <w:pPr>
        <w:ind w:left="4320" w:hanging="180"/>
      </w:pPr>
    </w:lvl>
    <w:lvl w:ilvl="6" w:tplc="1ADE28DA">
      <w:start w:val="1"/>
      <w:numFmt w:val="decimal"/>
      <w:lvlText w:val="%7."/>
      <w:lvlJc w:val="left"/>
      <w:pPr>
        <w:ind w:left="5040" w:hanging="360"/>
      </w:pPr>
    </w:lvl>
    <w:lvl w:ilvl="7" w:tplc="C130E88C">
      <w:start w:val="1"/>
      <w:numFmt w:val="lowerLetter"/>
      <w:lvlText w:val="%8."/>
      <w:lvlJc w:val="left"/>
      <w:pPr>
        <w:ind w:left="5760" w:hanging="360"/>
      </w:pPr>
    </w:lvl>
    <w:lvl w:ilvl="8" w:tplc="DBFAA8CE">
      <w:start w:val="1"/>
      <w:numFmt w:val="lowerRoman"/>
      <w:lvlText w:val="%9."/>
      <w:lvlJc w:val="right"/>
      <w:pPr>
        <w:ind w:left="6480" w:hanging="180"/>
      </w:pPr>
    </w:lvl>
  </w:abstractNum>
  <w:abstractNum w:abstractNumId="229" w15:restartNumberingAfterBreak="0">
    <w:nsid w:val="25404E49"/>
    <w:multiLevelType w:val="hybridMultilevel"/>
    <w:tmpl w:val="19064A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15:restartNumberingAfterBreak="0">
    <w:nsid w:val="25D2335B"/>
    <w:multiLevelType w:val="multilevel"/>
    <w:tmpl w:val="CD1063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62C11A4"/>
    <w:multiLevelType w:val="multilevel"/>
    <w:tmpl w:val="E9DA1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63B6DE3"/>
    <w:multiLevelType w:val="hybridMultilevel"/>
    <w:tmpl w:val="25B4C256"/>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33" w15:restartNumberingAfterBreak="0">
    <w:nsid w:val="26474AC4"/>
    <w:multiLevelType w:val="hybridMultilevel"/>
    <w:tmpl w:val="449A5922"/>
    <w:lvl w:ilvl="0" w:tplc="FDA2DF24">
      <w:start w:val="1"/>
      <w:numFmt w:val="bullet"/>
      <w:lvlText w:val=""/>
      <w:lvlJc w:val="left"/>
      <w:pPr>
        <w:ind w:left="720" w:hanging="360"/>
      </w:pPr>
      <w:rPr>
        <w:rFonts w:ascii="Symbol" w:hAnsi="Symbol" w:hint="default"/>
      </w:rPr>
    </w:lvl>
    <w:lvl w:ilvl="1" w:tplc="FBFA27CC">
      <w:start w:val="1"/>
      <w:numFmt w:val="bullet"/>
      <w:lvlText w:val="o"/>
      <w:lvlJc w:val="left"/>
      <w:pPr>
        <w:ind w:left="1440" w:hanging="360"/>
      </w:pPr>
      <w:rPr>
        <w:rFonts w:ascii="Courier New" w:hAnsi="Courier New" w:hint="default"/>
      </w:rPr>
    </w:lvl>
    <w:lvl w:ilvl="2" w:tplc="21BEBB74">
      <w:start w:val="1"/>
      <w:numFmt w:val="bullet"/>
      <w:lvlText w:val=""/>
      <w:lvlJc w:val="left"/>
      <w:pPr>
        <w:ind w:left="2160" w:hanging="360"/>
      </w:pPr>
      <w:rPr>
        <w:rFonts w:ascii="Wingdings" w:hAnsi="Wingdings" w:hint="default"/>
      </w:rPr>
    </w:lvl>
    <w:lvl w:ilvl="3" w:tplc="E65AC2DC">
      <w:start w:val="1"/>
      <w:numFmt w:val="bullet"/>
      <w:lvlText w:val=""/>
      <w:lvlJc w:val="left"/>
      <w:pPr>
        <w:ind w:left="2880" w:hanging="360"/>
      </w:pPr>
      <w:rPr>
        <w:rFonts w:ascii="Symbol" w:hAnsi="Symbol" w:hint="default"/>
      </w:rPr>
    </w:lvl>
    <w:lvl w:ilvl="4" w:tplc="01C8B9AE">
      <w:start w:val="1"/>
      <w:numFmt w:val="bullet"/>
      <w:lvlText w:val="o"/>
      <w:lvlJc w:val="left"/>
      <w:pPr>
        <w:ind w:left="3600" w:hanging="360"/>
      </w:pPr>
      <w:rPr>
        <w:rFonts w:ascii="Courier New" w:hAnsi="Courier New" w:hint="default"/>
      </w:rPr>
    </w:lvl>
    <w:lvl w:ilvl="5" w:tplc="D4322414">
      <w:start w:val="1"/>
      <w:numFmt w:val="bullet"/>
      <w:lvlText w:val=""/>
      <w:lvlJc w:val="left"/>
      <w:pPr>
        <w:ind w:left="4320" w:hanging="360"/>
      </w:pPr>
      <w:rPr>
        <w:rFonts w:ascii="Wingdings" w:hAnsi="Wingdings" w:hint="default"/>
      </w:rPr>
    </w:lvl>
    <w:lvl w:ilvl="6" w:tplc="789C5A18">
      <w:start w:val="1"/>
      <w:numFmt w:val="bullet"/>
      <w:lvlText w:val=""/>
      <w:lvlJc w:val="left"/>
      <w:pPr>
        <w:ind w:left="5040" w:hanging="360"/>
      </w:pPr>
      <w:rPr>
        <w:rFonts w:ascii="Symbol" w:hAnsi="Symbol" w:hint="default"/>
      </w:rPr>
    </w:lvl>
    <w:lvl w:ilvl="7" w:tplc="C75EDAE4">
      <w:start w:val="1"/>
      <w:numFmt w:val="bullet"/>
      <w:lvlText w:val="o"/>
      <w:lvlJc w:val="left"/>
      <w:pPr>
        <w:ind w:left="5760" w:hanging="360"/>
      </w:pPr>
      <w:rPr>
        <w:rFonts w:ascii="Courier New" w:hAnsi="Courier New" w:hint="default"/>
      </w:rPr>
    </w:lvl>
    <w:lvl w:ilvl="8" w:tplc="045A5832">
      <w:start w:val="1"/>
      <w:numFmt w:val="bullet"/>
      <w:lvlText w:val=""/>
      <w:lvlJc w:val="left"/>
      <w:pPr>
        <w:ind w:left="6480" w:hanging="360"/>
      </w:pPr>
      <w:rPr>
        <w:rFonts w:ascii="Wingdings" w:hAnsi="Wingdings" w:hint="default"/>
      </w:rPr>
    </w:lvl>
  </w:abstractNum>
  <w:abstractNum w:abstractNumId="234" w15:restartNumberingAfterBreak="0">
    <w:nsid w:val="26512302"/>
    <w:multiLevelType w:val="hybridMultilevel"/>
    <w:tmpl w:val="A430446C"/>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5" w15:restartNumberingAfterBreak="0">
    <w:nsid w:val="267E785F"/>
    <w:multiLevelType w:val="hybridMultilevel"/>
    <w:tmpl w:val="701E8B0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67E7C63"/>
    <w:multiLevelType w:val="hybridMultilevel"/>
    <w:tmpl w:val="89B6A706"/>
    <w:lvl w:ilvl="0" w:tplc="18090001">
      <w:start w:val="1"/>
      <w:numFmt w:val="bullet"/>
      <w:lvlText w:val=""/>
      <w:lvlJc w:val="left"/>
      <w:pPr>
        <w:ind w:left="360" w:hanging="360"/>
      </w:pPr>
      <w:rPr>
        <w:rFonts w:ascii="Segoe UI" w:hAnsi="Segoe UI" w:hint="default"/>
      </w:rPr>
    </w:lvl>
    <w:lvl w:ilvl="1" w:tplc="18090003" w:tentative="1">
      <w:start w:val="1"/>
      <w:numFmt w:val="bullet"/>
      <w:lvlText w:val="o"/>
      <w:lvlJc w:val="left"/>
      <w:pPr>
        <w:ind w:left="1080" w:hanging="360"/>
      </w:pPr>
      <w:rPr>
        <w:rFonts w:ascii="@MS Mincho" w:hAnsi="@MS Mincho" w:cs="@MS Mincho" w:hint="default"/>
      </w:rPr>
    </w:lvl>
    <w:lvl w:ilvl="2" w:tplc="18090005" w:tentative="1">
      <w:start w:val="1"/>
      <w:numFmt w:val="bullet"/>
      <w:lvlText w:val=""/>
      <w:lvlJc w:val="left"/>
      <w:pPr>
        <w:ind w:left="1800" w:hanging="360"/>
      </w:pPr>
      <w:rPr>
        <w:rFonts w:ascii="Symbol" w:hAnsi="Symbol"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MS Mincho" w:hAnsi="@MS Mincho" w:cs="@MS Mincho" w:hint="default"/>
      </w:rPr>
    </w:lvl>
    <w:lvl w:ilvl="5" w:tplc="18090005" w:tentative="1">
      <w:start w:val="1"/>
      <w:numFmt w:val="bullet"/>
      <w:lvlText w:val=""/>
      <w:lvlJc w:val="left"/>
      <w:pPr>
        <w:ind w:left="3960" w:hanging="360"/>
      </w:pPr>
      <w:rPr>
        <w:rFonts w:ascii="Symbol" w:hAnsi="Symbol"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MS Mincho" w:hAnsi="@MS Mincho" w:cs="@MS Mincho" w:hint="default"/>
      </w:rPr>
    </w:lvl>
    <w:lvl w:ilvl="8" w:tplc="18090005" w:tentative="1">
      <w:start w:val="1"/>
      <w:numFmt w:val="bullet"/>
      <w:lvlText w:val=""/>
      <w:lvlJc w:val="left"/>
      <w:pPr>
        <w:ind w:left="6120" w:hanging="360"/>
      </w:pPr>
      <w:rPr>
        <w:rFonts w:ascii="Symbol" w:hAnsi="Symbol" w:hint="default"/>
      </w:rPr>
    </w:lvl>
  </w:abstractNum>
  <w:abstractNum w:abstractNumId="237" w15:restartNumberingAfterBreak="0">
    <w:nsid w:val="26AC4092"/>
    <w:multiLevelType w:val="hybridMultilevel"/>
    <w:tmpl w:val="B1FCB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8" w15:restartNumberingAfterBreak="0">
    <w:nsid w:val="26BD585B"/>
    <w:multiLevelType w:val="multilevel"/>
    <w:tmpl w:val="A17CA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6CB29BA"/>
    <w:multiLevelType w:val="hybridMultilevel"/>
    <w:tmpl w:val="0896B9DA"/>
    <w:lvl w:ilvl="0" w:tplc="6C30E62A">
      <w:start w:val="1"/>
      <w:numFmt w:val="bullet"/>
      <w:lvlText w:val="-"/>
      <w:lvlJc w:val="left"/>
      <w:pPr>
        <w:ind w:left="720" w:hanging="360"/>
      </w:pPr>
      <w:rPr>
        <w:rFonts w:ascii="Calibri" w:hAnsi="Calibri" w:hint="default"/>
      </w:rPr>
    </w:lvl>
    <w:lvl w:ilvl="1" w:tplc="A0D82BA2">
      <w:start w:val="1"/>
      <w:numFmt w:val="bullet"/>
      <w:lvlText w:val="o"/>
      <w:lvlJc w:val="left"/>
      <w:pPr>
        <w:ind w:left="1440" w:hanging="360"/>
      </w:pPr>
      <w:rPr>
        <w:rFonts w:ascii="Courier New" w:hAnsi="Courier New" w:hint="default"/>
      </w:rPr>
    </w:lvl>
    <w:lvl w:ilvl="2" w:tplc="4816CCB8">
      <w:start w:val="1"/>
      <w:numFmt w:val="bullet"/>
      <w:lvlText w:val=""/>
      <w:lvlJc w:val="left"/>
      <w:pPr>
        <w:ind w:left="2160" w:hanging="360"/>
      </w:pPr>
      <w:rPr>
        <w:rFonts w:ascii="Wingdings" w:hAnsi="Wingdings" w:hint="default"/>
      </w:rPr>
    </w:lvl>
    <w:lvl w:ilvl="3" w:tplc="498CDB6E">
      <w:start w:val="1"/>
      <w:numFmt w:val="bullet"/>
      <w:lvlText w:val=""/>
      <w:lvlJc w:val="left"/>
      <w:pPr>
        <w:ind w:left="2880" w:hanging="360"/>
      </w:pPr>
      <w:rPr>
        <w:rFonts w:ascii="Symbol" w:hAnsi="Symbol" w:hint="default"/>
      </w:rPr>
    </w:lvl>
    <w:lvl w:ilvl="4" w:tplc="B4607B30">
      <w:start w:val="1"/>
      <w:numFmt w:val="bullet"/>
      <w:lvlText w:val="o"/>
      <w:lvlJc w:val="left"/>
      <w:pPr>
        <w:ind w:left="3600" w:hanging="360"/>
      </w:pPr>
      <w:rPr>
        <w:rFonts w:ascii="Courier New" w:hAnsi="Courier New" w:hint="default"/>
      </w:rPr>
    </w:lvl>
    <w:lvl w:ilvl="5" w:tplc="733C4D3C">
      <w:start w:val="1"/>
      <w:numFmt w:val="bullet"/>
      <w:lvlText w:val=""/>
      <w:lvlJc w:val="left"/>
      <w:pPr>
        <w:ind w:left="4320" w:hanging="360"/>
      </w:pPr>
      <w:rPr>
        <w:rFonts w:ascii="Wingdings" w:hAnsi="Wingdings" w:hint="default"/>
      </w:rPr>
    </w:lvl>
    <w:lvl w:ilvl="6" w:tplc="4F84C98E">
      <w:start w:val="1"/>
      <w:numFmt w:val="bullet"/>
      <w:lvlText w:val=""/>
      <w:lvlJc w:val="left"/>
      <w:pPr>
        <w:ind w:left="5040" w:hanging="360"/>
      </w:pPr>
      <w:rPr>
        <w:rFonts w:ascii="Symbol" w:hAnsi="Symbol" w:hint="default"/>
      </w:rPr>
    </w:lvl>
    <w:lvl w:ilvl="7" w:tplc="F9B2DB46">
      <w:start w:val="1"/>
      <w:numFmt w:val="bullet"/>
      <w:lvlText w:val="o"/>
      <w:lvlJc w:val="left"/>
      <w:pPr>
        <w:ind w:left="5760" w:hanging="360"/>
      </w:pPr>
      <w:rPr>
        <w:rFonts w:ascii="Courier New" w:hAnsi="Courier New" w:hint="default"/>
      </w:rPr>
    </w:lvl>
    <w:lvl w:ilvl="8" w:tplc="C464C74A">
      <w:start w:val="1"/>
      <w:numFmt w:val="bullet"/>
      <w:lvlText w:val=""/>
      <w:lvlJc w:val="left"/>
      <w:pPr>
        <w:ind w:left="6480" w:hanging="360"/>
      </w:pPr>
      <w:rPr>
        <w:rFonts w:ascii="Wingdings" w:hAnsi="Wingdings" w:hint="default"/>
      </w:rPr>
    </w:lvl>
  </w:abstractNum>
  <w:abstractNum w:abstractNumId="240" w15:restartNumberingAfterBreak="0">
    <w:nsid w:val="26E01D97"/>
    <w:multiLevelType w:val="hybridMultilevel"/>
    <w:tmpl w:val="EA822BFE"/>
    <w:lvl w:ilvl="0" w:tplc="38662FF4">
      <w:numFmt w:val="bullet"/>
      <w:lvlText w:val="-"/>
      <w:lvlJc w:val="left"/>
      <w:pPr>
        <w:ind w:left="720" w:hanging="360"/>
      </w:pPr>
      <w:rPr>
        <w:rFonts w:ascii="Calibri" w:eastAsia="Times New Roman" w:hAnsi="Calibri" w:cs="Calibri" w:hint="default"/>
        <w:b/>
        <w:color w:val="000000"/>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27329CF0"/>
    <w:multiLevelType w:val="hybridMultilevel"/>
    <w:tmpl w:val="FFFFFFFF"/>
    <w:lvl w:ilvl="0" w:tplc="3D926846">
      <w:start w:val="11"/>
      <w:numFmt w:val="decimal"/>
      <w:lvlText w:val="%1."/>
      <w:lvlJc w:val="left"/>
      <w:pPr>
        <w:ind w:left="720" w:hanging="360"/>
      </w:pPr>
    </w:lvl>
    <w:lvl w:ilvl="1" w:tplc="B34C0416">
      <w:start w:val="1"/>
      <w:numFmt w:val="lowerLetter"/>
      <w:lvlText w:val="%2."/>
      <w:lvlJc w:val="left"/>
      <w:pPr>
        <w:ind w:left="1440" w:hanging="360"/>
      </w:pPr>
    </w:lvl>
    <w:lvl w:ilvl="2" w:tplc="2D8A7CEA">
      <w:start w:val="1"/>
      <w:numFmt w:val="lowerRoman"/>
      <w:lvlText w:val="%3."/>
      <w:lvlJc w:val="right"/>
      <w:pPr>
        <w:ind w:left="2160" w:hanging="180"/>
      </w:pPr>
    </w:lvl>
    <w:lvl w:ilvl="3" w:tplc="A3021550">
      <w:start w:val="1"/>
      <w:numFmt w:val="decimal"/>
      <w:lvlText w:val="%4."/>
      <w:lvlJc w:val="left"/>
      <w:pPr>
        <w:ind w:left="2880" w:hanging="360"/>
      </w:pPr>
    </w:lvl>
    <w:lvl w:ilvl="4" w:tplc="F4D2B036">
      <w:start w:val="1"/>
      <w:numFmt w:val="lowerLetter"/>
      <w:lvlText w:val="%5."/>
      <w:lvlJc w:val="left"/>
      <w:pPr>
        <w:ind w:left="3600" w:hanging="360"/>
      </w:pPr>
    </w:lvl>
    <w:lvl w:ilvl="5" w:tplc="9B1060B6">
      <w:start w:val="1"/>
      <w:numFmt w:val="lowerRoman"/>
      <w:lvlText w:val="%6."/>
      <w:lvlJc w:val="right"/>
      <w:pPr>
        <w:ind w:left="4320" w:hanging="180"/>
      </w:pPr>
    </w:lvl>
    <w:lvl w:ilvl="6" w:tplc="975AF560">
      <w:start w:val="1"/>
      <w:numFmt w:val="decimal"/>
      <w:lvlText w:val="%7."/>
      <w:lvlJc w:val="left"/>
      <w:pPr>
        <w:ind w:left="5040" w:hanging="360"/>
      </w:pPr>
    </w:lvl>
    <w:lvl w:ilvl="7" w:tplc="E4B6A196">
      <w:start w:val="1"/>
      <w:numFmt w:val="lowerLetter"/>
      <w:lvlText w:val="%8."/>
      <w:lvlJc w:val="left"/>
      <w:pPr>
        <w:ind w:left="5760" w:hanging="360"/>
      </w:pPr>
    </w:lvl>
    <w:lvl w:ilvl="8" w:tplc="99E0A448">
      <w:start w:val="1"/>
      <w:numFmt w:val="lowerRoman"/>
      <w:lvlText w:val="%9."/>
      <w:lvlJc w:val="right"/>
      <w:pPr>
        <w:ind w:left="6480" w:hanging="180"/>
      </w:pPr>
    </w:lvl>
  </w:abstractNum>
  <w:abstractNum w:abstractNumId="242" w15:restartNumberingAfterBreak="0">
    <w:nsid w:val="27680DC2"/>
    <w:multiLevelType w:val="hybridMultilevel"/>
    <w:tmpl w:val="B36EFB98"/>
    <w:lvl w:ilvl="0" w:tplc="080C001B">
      <w:start w:val="1"/>
      <w:numFmt w:val="lowerRoman"/>
      <w:lvlText w:val="%1."/>
      <w:lvlJc w:val="right"/>
      <w:pPr>
        <w:ind w:left="2138" w:hanging="360"/>
      </w:pPr>
    </w:lvl>
    <w:lvl w:ilvl="1" w:tplc="080C0019" w:tentative="1">
      <w:start w:val="1"/>
      <w:numFmt w:val="lowerLetter"/>
      <w:lvlText w:val="%2."/>
      <w:lvlJc w:val="left"/>
      <w:pPr>
        <w:ind w:left="2858" w:hanging="360"/>
      </w:pPr>
    </w:lvl>
    <w:lvl w:ilvl="2" w:tplc="080C001B" w:tentative="1">
      <w:start w:val="1"/>
      <w:numFmt w:val="lowerRoman"/>
      <w:lvlText w:val="%3."/>
      <w:lvlJc w:val="right"/>
      <w:pPr>
        <w:ind w:left="3578" w:hanging="180"/>
      </w:pPr>
    </w:lvl>
    <w:lvl w:ilvl="3" w:tplc="080C000F" w:tentative="1">
      <w:start w:val="1"/>
      <w:numFmt w:val="decimal"/>
      <w:lvlText w:val="%4."/>
      <w:lvlJc w:val="left"/>
      <w:pPr>
        <w:ind w:left="4298" w:hanging="360"/>
      </w:pPr>
    </w:lvl>
    <w:lvl w:ilvl="4" w:tplc="080C0019" w:tentative="1">
      <w:start w:val="1"/>
      <w:numFmt w:val="lowerLetter"/>
      <w:lvlText w:val="%5."/>
      <w:lvlJc w:val="left"/>
      <w:pPr>
        <w:ind w:left="5018" w:hanging="360"/>
      </w:pPr>
    </w:lvl>
    <w:lvl w:ilvl="5" w:tplc="080C001B" w:tentative="1">
      <w:start w:val="1"/>
      <w:numFmt w:val="lowerRoman"/>
      <w:lvlText w:val="%6."/>
      <w:lvlJc w:val="right"/>
      <w:pPr>
        <w:ind w:left="5738" w:hanging="180"/>
      </w:pPr>
    </w:lvl>
    <w:lvl w:ilvl="6" w:tplc="080C000F" w:tentative="1">
      <w:start w:val="1"/>
      <w:numFmt w:val="decimal"/>
      <w:lvlText w:val="%7."/>
      <w:lvlJc w:val="left"/>
      <w:pPr>
        <w:ind w:left="6458" w:hanging="360"/>
      </w:pPr>
    </w:lvl>
    <w:lvl w:ilvl="7" w:tplc="080C0019" w:tentative="1">
      <w:start w:val="1"/>
      <w:numFmt w:val="lowerLetter"/>
      <w:lvlText w:val="%8."/>
      <w:lvlJc w:val="left"/>
      <w:pPr>
        <w:ind w:left="7178" w:hanging="360"/>
      </w:pPr>
    </w:lvl>
    <w:lvl w:ilvl="8" w:tplc="080C001B" w:tentative="1">
      <w:start w:val="1"/>
      <w:numFmt w:val="lowerRoman"/>
      <w:lvlText w:val="%9."/>
      <w:lvlJc w:val="right"/>
      <w:pPr>
        <w:ind w:left="7898" w:hanging="180"/>
      </w:pPr>
    </w:lvl>
  </w:abstractNum>
  <w:abstractNum w:abstractNumId="243" w15:restartNumberingAfterBreak="0">
    <w:nsid w:val="27964909"/>
    <w:multiLevelType w:val="hybridMultilevel"/>
    <w:tmpl w:val="FFFFFFFF"/>
    <w:lvl w:ilvl="0" w:tplc="2D72F43A">
      <w:start w:val="5"/>
      <w:numFmt w:val="decimal"/>
      <w:lvlText w:val="%1."/>
      <w:lvlJc w:val="left"/>
      <w:pPr>
        <w:ind w:left="720" w:hanging="360"/>
      </w:pPr>
    </w:lvl>
    <w:lvl w:ilvl="1" w:tplc="D9866E08">
      <w:start w:val="1"/>
      <w:numFmt w:val="lowerLetter"/>
      <w:lvlText w:val="%2."/>
      <w:lvlJc w:val="left"/>
      <w:pPr>
        <w:ind w:left="1440" w:hanging="360"/>
      </w:pPr>
    </w:lvl>
    <w:lvl w:ilvl="2" w:tplc="A9803292">
      <w:start w:val="1"/>
      <w:numFmt w:val="lowerRoman"/>
      <w:lvlText w:val="%3."/>
      <w:lvlJc w:val="right"/>
      <w:pPr>
        <w:ind w:left="2160" w:hanging="180"/>
      </w:pPr>
    </w:lvl>
    <w:lvl w:ilvl="3" w:tplc="5EC4E932">
      <w:start w:val="1"/>
      <w:numFmt w:val="decimal"/>
      <w:lvlText w:val="%4."/>
      <w:lvlJc w:val="left"/>
      <w:pPr>
        <w:ind w:left="2880" w:hanging="360"/>
      </w:pPr>
    </w:lvl>
    <w:lvl w:ilvl="4" w:tplc="E7A8D74E">
      <w:start w:val="1"/>
      <w:numFmt w:val="lowerLetter"/>
      <w:lvlText w:val="%5."/>
      <w:lvlJc w:val="left"/>
      <w:pPr>
        <w:ind w:left="3600" w:hanging="360"/>
      </w:pPr>
    </w:lvl>
    <w:lvl w:ilvl="5" w:tplc="77522904">
      <w:start w:val="1"/>
      <w:numFmt w:val="lowerRoman"/>
      <w:lvlText w:val="%6."/>
      <w:lvlJc w:val="right"/>
      <w:pPr>
        <w:ind w:left="4320" w:hanging="180"/>
      </w:pPr>
    </w:lvl>
    <w:lvl w:ilvl="6" w:tplc="E200C024">
      <w:start w:val="1"/>
      <w:numFmt w:val="decimal"/>
      <w:lvlText w:val="%7."/>
      <w:lvlJc w:val="left"/>
      <w:pPr>
        <w:ind w:left="5040" w:hanging="360"/>
      </w:pPr>
    </w:lvl>
    <w:lvl w:ilvl="7" w:tplc="AFC4986A">
      <w:start w:val="1"/>
      <w:numFmt w:val="lowerLetter"/>
      <w:lvlText w:val="%8."/>
      <w:lvlJc w:val="left"/>
      <w:pPr>
        <w:ind w:left="5760" w:hanging="360"/>
      </w:pPr>
    </w:lvl>
    <w:lvl w:ilvl="8" w:tplc="C2E0ABB0">
      <w:start w:val="1"/>
      <w:numFmt w:val="lowerRoman"/>
      <w:lvlText w:val="%9."/>
      <w:lvlJc w:val="right"/>
      <w:pPr>
        <w:ind w:left="6480" w:hanging="180"/>
      </w:pPr>
    </w:lvl>
  </w:abstractNum>
  <w:abstractNum w:abstractNumId="244" w15:restartNumberingAfterBreak="0">
    <w:nsid w:val="27A17326"/>
    <w:multiLevelType w:val="multilevel"/>
    <w:tmpl w:val="974855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5"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2872466F"/>
    <w:multiLevelType w:val="hybridMultilevel"/>
    <w:tmpl w:val="EC1C706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247" w15:restartNumberingAfterBreak="0">
    <w:nsid w:val="28A57E8C"/>
    <w:multiLevelType w:val="hybridMultilevel"/>
    <w:tmpl w:val="14788740"/>
    <w:lvl w:ilvl="0" w:tplc="080C0019">
      <w:start w:val="1"/>
      <w:numFmt w:val="lowerLetter"/>
      <w:lvlText w:val="%1."/>
      <w:lvlJc w:val="left"/>
      <w:pPr>
        <w:ind w:left="2160" w:hanging="360"/>
      </w:p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248" w15:restartNumberingAfterBreak="0">
    <w:nsid w:val="28AC70DE"/>
    <w:multiLevelType w:val="hybridMultilevel"/>
    <w:tmpl w:val="FFFFFFFF"/>
    <w:lvl w:ilvl="0" w:tplc="F292825E">
      <w:start w:val="1"/>
      <w:numFmt w:val="bullet"/>
      <w:lvlText w:val=""/>
      <w:lvlJc w:val="left"/>
      <w:pPr>
        <w:ind w:left="720" w:hanging="360"/>
      </w:pPr>
      <w:rPr>
        <w:rFonts w:ascii="Symbol" w:hAnsi="Symbol" w:hint="default"/>
      </w:rPr>
    </w:lvl>
    <w:lvl w:ilvl="1" w:tplc="EA6E0448">
      <w:start w:val="1"/>
      <w:numFmt w:val="bullet"/>
      <w:lvlText w:val="o"/>
      <w:lvlJc w:val="left"/>
      <w:pPr>
        <w:ind w:left="1440" w:hanging="360"/>
      </w:pPr>
      <w:rPr>
        <w:rFonts w:ascii="Courier New" w:hAnsi="Courier New" w:hint="default"/>
      </w:rPr>
    </w:lvl>
    <w:lvl w:ilvl="2" w:tplc="B706CE40">
      <w:start w:val="1"/>
      <w:numFmt w:val="bullet"/>
      <w:lvlText w:val=""/>
      <w:lvlJc w:val="left"/>
      <w:pPr>
        <w:ind w:left="2160" w:hanging="360"/>
      </w:pPr>
      <w:rPr>
        <w:rFonts w:ascii="Wingdings" w:hAnsi="Wingdings" w:hint="default"/>
      </w:rPr>
    </w:lvl>
    <w:lvl w:ilvl="3" w:tplc="F19EE0CE">
      <w:start w:val="1"/>
      <w:numFmt w:val="bullet"/>
      <w:lvlText w:val=""/>
      <w:lvlJc w:val="left"/>
      <w:pPr>
        <w:ind w:left="2880" w:hanging="360"/>
      </w:pPr>
      <w:rPr>
        <w:rFonts w:ascii="Symbol" w:hAnsi="Symbol" w:hint="default"/>
      </w:rPr>
    </w:lvl>
    <w:lvl w:ilvl="4" w:tplc="E36E97E6">
      <w:start w:val="1"/>
      <w:numFmt w:val="bullet"/>
      <w:lvlText w:val="o"/>
      <w:lvlJc w:val="left"/>
      <w:pPr>
        <w:ind w:left="3600" w:hanging="360"/>
      </w:pPr>
      <w:rPr>
        <w:rFonts w:ascii="Courier New" w:hAnsi="Courier New" w:hint="default"/>
      </w:rPr>
    </w:lvl>
    <w:lvl w:ilvl="5" w:tplc="F19A281E">
      <w:start w:val="1"/>
      <w:numFmt w:val="bullet"/>
      <w:lvlText w:val=""/>
      <w:lvlJc w:val="left"/>
      <w:pPr>
        <w:ind w:left="4320" w:hanging="360"/>
      </w:pPr>
      <w:rPr>
        <w:rFonts w:ascii="Wingdings" w:hAnsi="Wingdings" w:hint="default"/>
      </w:rPr>
    </w:lvl>
    <w:lvl w:ilvl="6" w:tplc="62E67FD8">
      <w:start w:val="1"/>
      <w:numFmt w:val="bullet"/>
      <w:lvlText w:val=""/>
      <w:lvlJc w:val="left"/>
      <w:pPr>
        <w:ind w:left="5040" w:hanging="360"/>
      </w:pPr>
      <w:rPr>
        <w:rFonts w:ascii="Symbol" w:hAnsi="Symbol" w:hint="default"/>
      </w:rPr>
    </w:lvl>
    <w:lvl w:ilvl="7" w:tplc="07C8E5E0">
      <w:start w:val="1"/>
      <w:numFmt w:val="bullet"/>
      <w:lvlText w:val="o"/>
      <w:lvlJc w:val="left"/>
      <w:pPr>
        <w:ind w:left="5760" w:hanging="360"/>
      </w:pPr>
      <w:rPr>
        <w:rFonts w:ascii="Courier New" w:hAnsi="Courier New" w:hint="default"/>
      </w:rPr>
    </w:lvl>
    <w:lvl w:ilvl="8" w:tplc="4B0ED5E2">
      <w:start w:val="1"/>
      <w:numFmt w:val="bullet"/>
      <w:lvlText w:val=""/>
      <w:lvlJc w:val="left"/>
      <w:pPr>
        <w:ind w:left="6480" w:hanging="360"/>
      </w:pPr>
      <w:rPr>
        <w:rFonts w:ascii="Wingdings" w:hAnsi="Wingdings" w:hint="default"/>
      </w:rPr>
    </w:lvl>
  </w:abstractNum>
  <w:abstractNum w:abstractNumId="249" w15:restartNumberingAfterBreak="0">
    <w:nsid w:val="28AD3912"/>
    <w:multiLevelType w:val="hybridMultilevel"/>
    <w:tmpl w:val="CE284AF6"/>
    <w:lvl w:ilvl="0" w:tplc="165ACFAE">
      <w:start w:val="1"/>
      <w:numFmt w:val="decimal"/>
      <w:lvlText w:val="%1)"/>
      <w:lvlJc w:val="left"/>
      <w:pPr>
        <w:ind w:left="360" w:hanging="360"/>
      </w:pPr>
      <w:rPr>
        <w:rFonts w:ascii="Times New Roman" w:eastAsiaTheme="minorHAnsi" w:hAnsi="Times New Roman" w:cs="Times New Roman"/>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250" w15:restartNumberingAfterBreak="0">
    <w:nsid w:val="28FB5300"/>
    <w:multiLevelType w:val="hybridMultilevel"/>
    <w:tmpl w:val="915CF76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251" w15:restartNumberingAfterBreak="0">
    <w:nsid w:val="297003E1"/>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29AA1EDE"/>
    <w:multiLevelType w:val="hybridMultilevel"/>
    <w:tmpl w:val="B1C8EDC6"/>
    <w:lvl w:ilvl="0" w:tplc="0809001B">
      <w:start w:val="1"/>
      <w:numFmt w:val="lowerRoman"/>
      <w:lvlText w:val="%1."/>
      <w:lvlJc w:val="righ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53" w15:restartNumberingAfterBreak="0">
    <w:nsid w:val="29B66F43"/>
    <w:multiLevelType w:val="hybridMultilevel"/>
    <w:tmpl w:val="42D08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4" w15:restartNumberingAfterBreak="0">
    <w:nsid w:val="29E9906E"/>
    <w:multiLevelType w:val="hybridMultilevel"/>
    <w:tmpl w:val="FFFFFFFF"/>
    <w:lvl w:ilvl="0" w:tplc="D024A652">
      <w:start w:val="1"/>
      <w:numFmt w:val="bullet"/>
      <w:lvlText w:val=""/>
      <w:lvlJc w:val="left"/>
      <w:pPr>
        <w:ind w:left="720" w:hanging="360"/>
      </w:pPr>
      <w:rPr>
        <w:rFonts w:ascii="Segoe UI" w:hAnsi="Segoe UI" w:hint="default"/>
      </w:rPr>
    </w:lvl>
    <w:lvl w:ilvl="1" w:tplc="023631BC">
      <w:start w:val="1"/>
      <w:numFmt w:val="bullet"/>
      <w:lvlText w:val="o"/>
      <w:lvlJc w:val="left"/>
      <w:pPr>
        <w:ind w:left="1440" w:hanging="360"/>
      </w:pPr>
      <w:rPr>
        <w:rFonts w:ascii="Courier New" w:hAnsi="Courier New" w:hint="default"/>
      </w:rPr>
    </w:lvl>
    <w:lvl w:ilvl="2" w:tplc="59BE6496">
      <w:start w:val="1"/>
      <w:numFmt w:val="bullet"/>
      <w:lvlText w:val=""/>
      <w:lvlJc w:val="left"/>
      <w:pPr>
        <w:ind w:left="2160" w:hanging="360"/>
      </w:pPr>
      <w:rPr>
        <w:rFonts w:ascii="Cambria Math" w:hAnsi="Cambria Math" w:hint="default"/>
      </w:rPr>
    </w:lvl>
    <w:lvl w:ilvl="3" w:tplc="620CD2D6">
      <w:start w:val="1"/>
      <w:numFmt w:val="bullet"/>
      <w:lvlText w:val=""/>
      <w:lvlJc w:val="left"/>
      <w:pPr>
        <w:ind w:left="2880" w:hanging="360"/>
      </w:pPr>
      <w:rPr>
        <w:rFonts w:ascii="Segoe UI" w:hAnsi="Segoe UI" w:hint="default"/>
      </w:rPr>
    </w:lvl>
    <w:lvl w:ilvl="4" w:tplc="02B40CB6">
      <w:start w:val="1"/>
      <w:numFmt w:val="bullet"/>
      <w:lvlText w:val="o"/>
      <w:lvlJc w:val="left"/>
      <w:pPr>
        <w:ind w:left="3600" w:hanging="360"/>
      </w:pPr>
      <w:rPr>
        <w:rFonts w:ascii="Courier New" w:hAnsi="Courier New" w:hint="default"/>
      </w:rPr>
    </w:lvl>
    <w:lvl w:ilvl="5" w:tplc="14068EBC">
      <w:start w:val="1"/>
      <w:numFmt w:val="bullet"/>
      <w:lvlText w:val=""/>
      <w:lvlJc w:val="left"/>
      <w:pPr>
        <w:ind w:left="4320" w:hanging="360"/>
      </w:pPr>
      <w:rPr>
        <w:rFonts w:ascii="Cambria Math" w:hAnsi="Cambria Math" w:hint="default"/>
      </w:rPr>
    </w:lvl>
    <w:lvl w:ilvl="6" w:tplc="61649512">
      <w:start w:val="1"/>
      <w:numFmt w:val="bullet"/>
      <w:lvlText w:val=""/>
      <w:lvlJc w:val="left"/>
      <w:pPr>
        <w:ind w:left="5040" w:hanging="360"/>
      </w:pPr>
      <w:rPr>
        <w:rFonts w:ascii="Segoe UI" w:hAnsi="Segoe UI" w:hint="default"/>
      </w:rPr>
    </w:lvl>
    <w:lvl w:ilvl="7" w:tplc="3B3A7500">
      <w:start w:val="1"/>
      <w:numFmt w:val="bullet"/>
      <w:lvlText w:val="o"/>
      <w:lvlJc w:val="left"/>
      <w:pPr>
        <w:ind w:left="5760" w:hanging="360"/>
      </w:pPr>
      <w:rPr>
        <w:rFonts w:ascii="Courier New" w:hAnsi="Courier New" w:hint="default"/>
      </w:rPr>
    </w:lvl>
    <w:lvl w:ilvl="8" w:tplc="22A80364">
      <w:start w:val="1"/>
      <w:numFmt w:val="bullet"/>
      <w:lvlText w:val=""/>
      <w:lvlJc w:val="left"/>
      <w:pPr>
        <w:ind w:left="6480" w:hanging="360"/>
      </w:pPr>
      <w:rPr>
        <w:rFonts w:ascii="Cambria Math" w:hAnsi="Cambria Math" w:hint="default"/>
      </w:rPr>
    </w:lvl>
  </w:abstractNum>
  <w:abstractNum w:abstractNumId="255" w15:restartNumberingAfterBreak="0">
    <w:nsid w:val="2A9A0C23"/>
    <w:multiLevelType w:val="hybridMultilevel"/>
    <w:tmpl w:val="87DA39C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6" w15:restartNumberingAfterBreak="0">
    <w:nsid w:val="2AC454D0"/>
    <w:multiLevelType w:val="hybridMultilevel"/>
    <w:tmpl w:val="D1F2D384"/>
    <w:lvl w:ilvl="0" w:tplc="08090019">
      <w:start w:val="1"/>
      <w:numFmt w:val="lowerLetter"/>
      <w:lvlText w:val="%1."/>
      <w:lvlJc w:val="left"/>
      <w:pPr>
        <w:ind w:left="1429" w:hanging="360"/>
      </w:pPr>
    </w:lvl>
    <w:lvl w:ilvl="1" w:tplc="0809001B">
      <w:start w:val="1"/>
      <w:numFmt w:val="lowerRoman"/>
      <w:lvlText w:val="%2."/>
      <w:lvlJc w:val="righ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7" w15:restartNumberingAfterBreak="0">
    <w:nsid w:val="2ADA1D71"/>
    <w:multiLevelType w:val="hybridMultilevel"/>
    <w:tmpl w:val="815041A8"/>
    <w:lvl w:ilvl="0" w:tplc="21F04AAA">
      <w:start w:val="1"/>
      <w:numFmt w:val="decimal"/>
      <w:lvlText w:val="%1."/>
      <w:lvlJc w:val="left"/>
      <w:pPr>
        <w:ind w:left="720" w:hanging="360"/>
      </w:pPr>
    </w:lvl>
    <w:lvl w:ilvl="1" w:tplc="D532679E">
      <w:start w:val="1"/>
      <w:numFmt w:val="lowerLetter"/>
      <w:lvlText w:val="%2."/>
      <w:lvlJc w:val="left"/>
      <w:pPr>
        <w:ind w:left="1440" w:hanging="360"/>
      </w:pPr>
    </w:lvl>
    <w:lvl w:ilvl="2" w:tplc="77489986">
      <w:start w:val="1"/>
      <w:numFmt w:val="lowerRoman"/>
      <w:lvlText w:val="%3."/>
      <w:lvlJc w:val="right"/>
      <w:pPr>
        <w:ind w:left="2160" w:hanging="180"/>
      </w:pPr>
    </w:lvl>
    <w:lvl w:ilvl="3" w:tplc="135047BE">
      <w:start w:val="1"/>
      <w:numFmt w:val="decimal"/>
      <w:lvlText w:val="%4."/>
      <w:lvlJc w:val="left"/>
      <w:pPr>
        <w:ind w:left="2880" w:hanging="360"/>
      </w:pPr>
    </w:lvl>
    <w:lvl w:ilvl="4" w:tplc="A41E92C2">
      <w:start w:val="1"/>
      <w:numFmt w:val="lowerLetter"/>
      <w:lvlText w:val="%5."/>
      <w:lvlJc w:val="left"/>
      <w:pPr>
        <w:ind w:left="3600" w:hanging="360"/>
      </w:pPr>
    </w:lvl>
    <w:lvl w:ilvl="5" w:tplc="A740CBAE">
      <w:start w:val="1"/>
      <w:numFmt w:val="lowerRoman"/>
      <w:lvlText w:val="%6."/>
      <w:lvlJc w:val="right"/>
      <w:pPr>
        <w:ind w:left="4320" w:hanging="180"/>
      </w:pPr>
    </w:lvl>
    <w:lvl w:ilvl="6" w:tplc="7D628940">
      <w:start w:val="1"/>
      <w:numFmt w:val="decimal"/>
      <w:lvlText w:val="%7."/>
      <w:lvlJc w:val="left"/>
      <w:pPr>
        <w:ind w:left="5040" w:hanging="360"/>
      </w:pPr>
    </w:lvl>
    <w:lvl w:ilvl="7" w:tplc="E91C5DFE">
      <w:start w:val="1"/>
      <w:numFmt w:val="lowerLetter"/>
      <w:lvlText w:val="%8."/>
      <w:lvlJc w:val="left"/>
      <w:pPr>
        <w:ind w:left="5760" w:hanging="360"/>
      </w:pPr>
    </w:lvl>
    <w:lvl w:ilvl="8" w:tplc="6ECE6982">
      <w:start w:val="1"/>
      <w:numFmt w:val="lowerRoman"/>
      <w:lvlText w:val="%9."/>
      <w:lvlJc w:val="right"/>
      <w:pPr>
        <w:ind w:left="6480" w:hanging="180"/>
      </w:pPr>
    </w:lvl>
  </w:abstractNum>
  <w:abstractNum w:abstractNumId="258" w15:restartNumberingAfterBreak="0">
    <w:nsid w:val="2B021AF9"/>
    <w:multiLevelType w:val="hybridMultilevel"/>
    <w:tmpl w:val="E93E7FE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9" w15:restartNumberingAfterBreak="0">
    <w:nsid w:val="2B0E774A"/>
    <w:multiLevelType w:val="hybridMultilevel"/>
    <w:tmpl w:val="2A78B3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15:restartNumberingAfterBreak="0">
    <w:nsid w:val="2B343659"/>
    <w:multiLevelType w:val="multilevel"/>
    <w:tmpl w:val="4B30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B3C5D07"/>
    <w:multiLevelType w:val="hybridMultilevel"/>
    <w:tmpl w:val="96BE8BFE"/>
    <w:lvl w:ilvl="0" w:tplc="18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2" w15:restartNumberingAfterBreak="0">
    <w:nsid w:val="2B4D6ED1"/>
    <w:multiLevelType w:val="multilevel"/>
    <w:tmpl w:val="1F30E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B9E0268"/>
    <w:multiLevelType w:val="hybridMultilevel"/>
    <w:tmpl w:val="007AB2AA"/>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4" w15:restartNumberingAfterBreak="0">
    <w:nsid w:val="2BA628AA"/>
    <w:multiLevelType w:val="hybridMultilevel"/>
    <w:tmpl w:val="78026892"/>
    <w:lvl w:ilvl="0" w:tplc="6C30E62A">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2BC3320C"/>
    <w:multiLevelType w:val="hybridMultilevel"/>
    <w:tmpl w:val="FFFFFFFF"/>
    <w:lvl w:ilvl="0" w:tplc="DDEA078C">
      <w:start w:val="1"/>
      <w:numFmt w:val="bullet"/>
      <w:lvlText w:val=""/>
      <w:lvlJc w:val="left"/>
      <w:pPr>
        <w:ind w:left="720" w:hanging="360"/>
      </w:pPr>
      <w:rPr>
        <w:rFonts w:ascii="Symbol" w:hAnsi="Symbol" w:hint="default"/>
      </w:rPr>
    </w:lvl>
    <w:lvl w:ilvl="1" w:tplc="0A18BACC">
      <w:start w:val="1"/>
      <w:numFmt w:val="bullet"/>
      <w:lvlText w:val="o"/>
      <w:lvlJc w:val="left"/>
      <w:pPr>
        <w:ind w:left="1440" w:hanging="360"/>
      </w:pPr>
      <w:rPr>
        <w:rFonts w:ascii="Courier New" w:hAnsi="Courier New" w:hint="default"/>
      </w:rPr>
    </w:lvl>
    <w:lvl w:ilvl="2" w:tplc="BB9866DE">
      <w:start w:val="1"/>
      <w:numFmt w:val="bullet"/>
      <w:lvlText w:val=""/>
      <w:lvlJc w:val="left"/>
      <w:pPr>
        <w:ind w:left="2160" w:hanging="360"/>
      </w:pPr>
      <w:rPr>
        <w:rFonts w:ascii="Wingdings" w:hAnsi="Wingdings" w:hint="default"/>
      </w:rPr>
    </w:lvl>
    <w:lvl w:ilvl="3" w:tplc="DB2CB6EE">
      <w:start w:val="1"/>
      <w:numFmt w:val="bullet"/>
      <w:lvlText w:val=""/>
      <w:lvlJc w:val="left"/>
      <w:pPr>
        <w:ind w:left="2880" w:hanging="360"/>
      </w:pPr>
      <w:rPr>
        <w:rFonts w:ascii="Symbol" w:hAnsi="Symbol" w:hint="default"/>
      </w:rPr>
    </w:lvl>
    <w:lvl w:ilvl="4" w:tplc="3F18CBF2">
      <w:start w:val="1"/>
      <w:numFmt w:val="bullet"/>
      <w:lvlText w:val="o"/>
      <w:lvlJc w:val="left"/>
      <w:pPr>
        <w:ind w:left="3600" w:hanging="360"/>
      </w:pPr>
      <w:rPr>
        <w:rFonts w:ascii="Courier New" w:hAnsi="Courier New" w:hint="default"/>
      </w:rPr>
    </w:lvl>
    <w:lvl w:ilvl="5" w:tplc="9D08D2A2">
      <w:start w:val="1"/>
      <w:numFmt w:val="bullet"/>
      <w:lvlText w:val=""/>
      <w:lvlJc w:val="left"/>
      <w:pPr>
        <w:ind w:left="4320" w:hanging="360"/>
      </w:pPr>
      <w:rPr>
        <w:rFonts w:ascii="Wingdings" w:hAnsi="Wingdings" w:hint="default"/>
      </w:rPr>
    </w:lvl>
    <w:lvl w:ilvl="6" w:tplc="13748B46">
      <w:start w:val="1"/>
      <w:numFmt w:val="bullet"/>
      <w:lvlText w:val=""/>
      <w:lvlJc w:val="left"/>
      <w:pPr>
        <w:ind w:left="5040" w:hanging="360"/>
      </w:pPr>
      <w:rPr>
        <w:rFonts w:ascii="Symbol" w:hAnsi="Symbol" w:hint="default"/>
      </w:rPr>
    </w:lvl>
    <w:lvl w:ilvl="7" w:tplc="7744FAB2">
      <w:start w:val="1"/>
      <w:numFmt w:val="bullet"/>
      <w:lvlText w:val="o"/>
      <w:lvlJc w:val="left"/>
      <w:pPr>
        <w:ind w:left="5760" w:hanging="360"/>
      </w:pPr>
      <w:rPr>
        <w:rFonts w:ascii="Courier New" w:hAnsi="Courier New" w:hint="default"/>
      </w:rPr>
    </w:lvl>
    <w:lvl w:ilvl="8" w:tplc="2C2A9E20">
      <w:start w:val="1"/>
      <w:numFmt w:val="bullet"/>
      <w:lvlText w:val=""/>
      <w:lvlJc w:val="left"/>
      <w:pPr>
        <w:ind w:left="6480" w:hanging="360"/>
      </w:pPr>
      <w:rPr>
        <w:rFonts w:ascii="Wingdings" w:hAnsi="Wingdings" w:hint="default"/>
      </w:rPr>
    </w:lvl>
  </w:abstractNum>
  <w:abstractNum w:abstractNumId="266" w15:restartNumberingAfterBreak="0">
    <w:nsid w:val="2BD5FA74"/>
    <w:multiLevelType w:val="hybridMultilevel"/>
    <w:tmpl w:val="FFFFFFFF"/>
    <w:lvl w:ilvl="0" w:tplc="6B5AB244">
      <w:start w:val="1"/>
      <w:numFmt w:val="bullet"/>
      <w:lvlText w:val=""/>
      <w:lvlJc w:val="left"/>
      <w:pPr>
        <w:ind w:left="720" w:hanging="360"/>
      </w:pPr>
      <w:rPr>
        <w:rFonts w:ascii="Symbol" w:hAnsi="Symbol" w:hint="default"/>
      </w:rPr>
    </w:lvl>
    <w:lvl w:ilvl="1" w:tplc="813A351E">
      <w:start w:val="1"/>
      <w:numFmt w:val="bullet"/>
      <w:lvlText w:val="o"/>
      <w:lvlJc w:val="left"/>
      <w:pPr>
        <w:ind w:left="1440" w:hanging="360"/>
      </w:pPr>
      <w:rPr>
        <w:rFonts w:ascii="Courier New" w:hAnsi="Courier New" w:hint="default"/>
      </w:rPr>
    </w:lvl>
    <w:lvl w:ilvl="2" w:tplc="2F7E7612">
      <w:start w:val="1"/>
      <w:numFmt w:val="bullet"/>
      <w:lvlText w:val=""/>
      <w:lvlJc w:val="left"/>
      <w:pPr>
        <w:ind w:left="2160" w:hanging="360"/>
      </w:pPr>
      <w:rPr>
        <w:rFonts w:ascii="Wingdings" w:hAnsi="Wingdings" w:hint="default"/>
      </w:rPr>
    </w:lvl>
    <w:lvl w:ilvl="3" w:tplc="05AE497A">
      <w:start w:val="1"/>
      <w:numFmt w:val="bullet"/>
      <w:lvlText w:val=""/>
      <w:lvlJc w:val="left"/>
      <w:pPr>
        <w:ind w:left="2880" w:hanging="360"/>
      </w:pPr>
      <w:rPr>
        <w:rFonts w:ascii="Symbol" w:hAnsi="Symbol" w:hint="default"/>
      </w:rPr>
    </w:lvl>
    <w:lvl w:ilvl="4" w:tplc="3CA01868">
      <w:start w:val="1"/>
      <w:numFmt w:val="bullet"/>
      <w:lvlText w:val="o"/>
      <w:lvlJc w:val="left"/>
      <w:pPr>
        <w:ind w:left="3600" w:hanging="360"/>
      </w:pPr>
      <w:rPr>
        <w:rFonts w:ascii="Courier New" w:hAnsi="Courier New" w:hint="default"/>
      </w:rPr>
    </w:lvl>
    <w:lvl w:ilvl="5" w:tplc="9D48394E">
      <w:start w:val="1"/>
      <w:numFmt w:val="bullet"/>
      <w:lvlText w:val=""/>
      <w:lvlJc w:val="left"/>
      <w:pPr>
        <w:ind w:left="4320" w:hanging="360"/>
      </w:pPr>
      <w:rPr>
        <w:rFonts w:ascii="Wingdings" w:hAnsi="Wingdings" w:hint="default"/>
      </w:rPr>
    </w:lvl>
    <w:lvl w:ilvl="6" w:tplc="F732EFF2">
      <w:start w:val="1"/>
      <w:numFmt w:val="bullet"/>
      <w:lvlText w:val=""/>
      <w:lvlJc w:val="left"/>
      <w:pPr>
        <w:ind w:left="5040" w:hanging="360"/>
      </w:pPr>
      <w:rPr>
        <w:rFonts w:ascii="Symbol" w:hAnsi="Symbol" w:hint="default"/>
      </w:rPr>
    </w:lvl>
    <w:lvl w:ilvl="7" w:tplc="C23E3C62">
      <w:start w:val="1"/>
      <w:numFmt w:val="bullet"/>
      <w:lvlText w:val="o"/>
      <w:lvlJc w:val="left"/>
      <w:pPr>
        <w:ind w:left="5760" w:hanging="360"/>
      </w:pPr>
      <w:rPr>
        <w:rFonts w:ascii="Courier New" w:hAnsi="Courier New" w:hint="default"/>
      </w:rPr>
    </w:lvl>
    <w:lvl w:ilvl="8" w:tplc="F0EC22D0">
      <w:start w:val="1"/>
      <w:numFmt w:val="bullet"/>
      <w:lvlText w:val=""/>
      <w:lvlJc w:val="left"/>
      <w:pPr>
        <w:ind w:left="6480" w:hanging="360"/>
      </w:pPr>
      <w:rPr>
        <w:rFonts w:ascii="Wingdings" w:hAnsi="Wingdings" w:hint="default"/>
      </w:rPr>
    </w:lvl>
  </w:abstractNum>
  <w:abstractNum w:abstractNumId="267" w15:restartNumberingAfterBreak="0">
    <w:nsid w:val="2C4C08BD"/>
    <w:multiLevelType w:val="hybridMultilevel"/>
    <w:tmpl w:val="7480B484"/>
    <w:lvl w:ilvl="0" w:tplc="04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2C823E9D"/>
    <w:multiLevelType w:val="hybridMultilevel"/>
    <w:tmpl w:val="86587B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9" w15:restartNumberingAfterBreak="0">
    <w:nsid w:val="2CA45D9E"/>
    <w:multiLevelType w:val="multilevel"/>
    <w:tmpl w:val="9AA4F5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egoe UI" w:hAnsi="Segoe UI" w:hint="default"/>
      </w:rPr>
    </w:lvl>
  </w:abstractNum>
  <w:abstractNum w:abstractNumId="27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2" w15:restartNumberingAfterBreak="0">
    <w:nsid w:val="2D110E14"/>
    <w:multiLevelType w:val="multilevel"/>
    <w:tmpl w:val="82C2B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D14067A"/>
    <w:multiLevelType w:val="hybridMultilevel"/>
    <w:tmpl w:val="325A2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D7B7DD8"/>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75" w15:restartNumberingAfterBreak="0">
    <w:nsid w:val="2D972AD3"/>
    <w:multiLevelType w:val="hybridMultilevel"/>
    <w:tmpl w:val="5CC68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2E360B7E"/>
    <w:multiLevelType w:val="hybridMultilevel"/>
    <w:tmpl w:val="2356F73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2E385B4E"/>
    <w:multiLevelType w:val="multilevel"/>
    <w:tmpl w:val="091A8B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E7F064A"/>
    <w:multiLevelType w:val="hybridMultilevel"/>
    <w:tmpl w:val="0C5A429A"/>
    <w:lvl w:ilvl="0" w:tplc="319233EA">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9" w15:restartNumberingAfterBreak="0">
    <w:nsid w:val="2EA12BC2"/>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2EB252F5"/>
    <w:multiLevelType w:val="hybridMultilevel"/>
    <w:tmpl w:val="FFFFFFFF"/>
    <w:lvl w:ilvl="0" w:tplc="907EAF6A">
      <w:start w:val="1"/>
      <w:numFmt w:val="bullet"/>
      <w:lvlText w:val=""/>
      <w:lvlJc w:val="left"/>
      <w:pPr>
        <w:ind w:left="360" w:hanging="360"/>
      </w:pPr>
      <w:rPr>
        <w:rFonts w:ascii="Segoe UI" w:hAnsi="Segoe UI" w:hint="default"/>
      </w:rPr>
    </w:lvl>
    <w:lvl w:ilvl="1" w:tplc="101C44C6">
      <w:start w:val="1"/>
      <w:numFmt w:val="bullet"/>
      <w:lvlText w:val="o"/>
      <w:lvlJc w:val="left"/>
      <w:pPr>
        <w:ind w:left="1080" w:hanging="360"/>
      </w:pPr>
      <w:rPr>
        <w:rFonts w:ascii="Courier New" w:hAnsi="Courier New" w:hint="default"/>
      </w:rPr>
    </w:lvl>
    <w:lvl w:ilvl="2" w:tplc="BC9A14D4">
      <w:start w:val="1"/>
      <w:numFmt w:val="bullet"/>
      <w:lvlText w:val=""/>
      <w:lvlJc w:val="left"/>
      <w:pPr>
        <w:ind w:left="1800" w:hanging="360"/>
      </w:pPr>
      <w:rPr>
        <w:rFonts w:ascii="Cambria Math" w:hAnsi="Cambria Math" w:hint="default"/>
      </w:rPr>
    </w:lvl>
    <w:lvl w:ilvl="3" w:tplc="70BEC26C">
      <w:start w:val="1"/>
      <w:numFmt w:val="bullet"/>
      <w:lvlText w:val=""/>
      <w:lvlJc w:val="left"/>
      <w:pPr>
        <w:ind w:left="2520" w:hanging="360"/>
      </w:pPr>
      <w:rPr>
        <w:rFonts w:ascii="Segoe UI" w:hAnsi="Segoe UI" w:hint="default"/>
      </w:rPr>
    </w:lvl>
    <w:lvl w:ilvl="4" w:tplc="6430196C">
      <w:start w:val="1"/>
      <w:numFmt w:val="bullet"/>
      <w:lvlText w:val="o"/>
      <w:lvlJc w:val="left"/>
      <w:pPr>
        <w:ind w:left="3240" w:hanging="360"/>
      </w:pPr>
      <w:rPr>
        <w:rFonts w:ascii="Courier New" w:hAnsi="Courier New" w:hint="default"/>
      </w:rPr>
    </w:lvl>
    <w:lvl w:ilvl="5" w:tplc="A67C6C4E">
      <w:start w:val="1"/>
      <w:numFmt w:val="bullet"/>
      <w:lvlText w:val=""/>
      <w:lvlJc w:val="left"/>
      <w:pPr>
        <w:ind w:left="3960" w:hanging="360"/>
      </w:pPr>
      <w:rPr>
        <w:rFonts w:ascii="Cambria Math" w:hAnsi="Cambria Math" w:hint="default"/>
      </w:rPr>
    </w:lvl>
    <w:lvl w:ilvl="6" w:tplc="4A26018E">
      <w:start w:val="1"/>
      <w:numFmt w:val="bullet"/>
      <w:lvlText w:val=""/>
      <w:lvlJc w:val="left"/>
      <w:pPr>
        <w:ind w:left="4680" w:hanging="360"/>
      </w:pPr>
      <w:rPr>
        <w:rFonts w:ascii="Segoe UI" w:hAnsi="Segoe UI" w:hint="default"/>
      </w:rPr>
    </w:lvl>
    <w:lvl w:ilvl="7" w:tplc="EE000560">
      <w:start w:val="1"/>
      <w:numFmt w:val="bullet"/>
      <w:lvlText w:val="o"/>
      <w:lvlJc w:val="left"/>
      <w:pPr>
        <w:ind w:left="5400" w:hanging="360"/>
      </w:pPr>
      <w:rPr>
        <w:rFonts w:ascii="Courier New" w:hAnsi="Courier New" w:hint="default"/>
      </w:rPr>
    </w:lvl>
    <w:lvl w:ilvl="8" w:tplc="A8D0CD18">
      <w:start w:val="1"/>
      <w:numFmt w:val="bullet"/>
      <w:lvlText w:val=""/>
      <w:lvlJc w:val="left"/>
      <w:pPr>
        <w:ind w:left="6120" w:hanging="360"/>
      </w:pPr>
      <w:rPr>
        <w:rFonts w:ascii="Cambria Math" w:hAnsi="Cambria Math" w:hint="default"/>
      </w:rPr>
    </w:lvl>
  </w:abstractNum>
  <w:abstractNum w:abstractNumId="281" w15:restartNumberingAfterBreak="0">
    <w:nsid w:val="2F772BFB"/>
    <w:multiLevelType w:val="hybridMultilevel"/>
    <w:tmpl w:val="444A1582"/>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2" w15:restartNumberingAfterBreak="0">
    <w:nsid w:val="2FFCFBEF"/>
    <w:multiLevelType w:val="hybridMultilevel"/>
    <w:tmpl w:val="FFFFFFFF"/>
    <w:lvl w:ilvl="0" w:tplc="D77C4466">
      <w:start w:val="3"/>
      <w:numFmt w:val="decimal"/>
      <w:lvlText w:val="%1."/>
      <w:lvlJc w:val="left"/>
      <w:pPr>
        <w:ind w:left="720" w:hanging="360"/>
      </w:pPr>
    </w:lvl>
    <w:lvl w:ilvl="1" w:tplc="724C664E">
      <w:start w:val="1"/>
      <w:numFmt w:val="lowerLetter"/>
      <w:lvlText w:val="%2."/>
      <w:lvlJc w:val="left"/>
      <w:pPr>
        <w:ind w:left="1440" w:hanging="360"/>
      </w:pPr>
    </w:lvl>
    <w:lvl w:ilvl="2" w:tplc="398AC8FC">
      <w:start w:val="1"/>
      <w:numFmt w:val="lowerRoman"/>
      <w:lvlText w:val="%3."/>
      <w:lvlJc w:val="right"/>
      <w:pPr>
        <w:ind w:left="2160" w:hanging="180"/>
      </w:pPr>
    </w:lvl>
    <w:lvl w:ilvl="3" w:tplc="E3A004D6">
      <w:start w:val="1"/>
      <w:numFmt w:val="decimal"/>
      <w:lvlText w:val="%4."/>
      <w:lvlJc w:val="left"/>
      <w:pPr>
        <w:ind w:left="2880" w:hanging="360"/>
      </w:pPr>
    </w:lvl>
    <w:lvl w:ilvl="4" w:tplc="06C4D0E4">
      <w:start w:val="1"/>
      <w:numFmt w:val="lowerLetter"/>
      <w:lvlText w:val="%5."/>
      <w:lvlJc w:val="left"/>
      <w:pPr>
        <w:ind w:left="3600" w:hanging="360"/>
      </w:pPr>
    </w:lvl>
    <w:lvl w:ilvl="5" w:tplc="3E92EF9E">
      <w:start w:val="1"/>
      <w:numFmt w:val="lowerRoman"/>
      <w:lvlText w:val="%6."/>
      <w:lvlJc w:val="right"/>
      <w:pPr>
        <w:ind w:left="4320" w:hanging="180"/>
      </w:pPr>
    </w:lvl>
    <w:lvl w:ilvl="6" w:tplc="4300E2FE">
      <w:start w:val="1"/>
      <w:numFmt w:val="decimal"/>
      <w:lvlText w:val="%7."/>
      <w:lvlJc w:val="left"/>
      <w:pPr>
        <w:ind w:left="5040" w:hanging="360"/>
      </w:pPr>
    </w:lvl>
    <w:lvl w:ilvl="7" w:tplc="AD96C5B0">
      <w:start w:val="1"/>
      <w:numFmt w:val="lowerLetter"/>
      <w:lvlText w:val="%8."/>
      <w:lvlJc w:val="left"/>
      <w:pPr>
        <w:ind w:left="5760" w:hanging="360"/>
      </w:pPr>
    </w:lvl>
    <w:lvl w:ilvl="8" w:tplc="9082452A">
      <w:start w:val="1"/>
      <w:numFmt w:val="lowerRoman"/>
      <w:lvlText w:val="%9."/>
      <w:lvlJc w:val="right"/>
      <w:pPr>
        <w:ind w:left="6480" w:hanging="180"/>
      </w:pPr>
    </w:lvl>
  </w:abstractNum>
  <w:abstractNum w:abstractNumId="283" w15:restartNumberingAfterBreak="0">
    <w:nsid w:val="30015E7C"/>
    <w:multiLevelType w:val="hybridMultilevel"/>
    <w:tmpl w:val="FF2E4128"/>
    <w:lvl w:ilvl="0" w:tplc="B65EBF50">
      <w:start w:val="1"/>
      <w:numFmt w:val="lowerRoman"/>
      <w:lvlText w:val="%1."/>
      <w:lvlJc w:val="righ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84" w15:restartNumberingAfterBreak="0">
    <w:nsid w:val="3048683C"/>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304E5DDC"/>
    <w:multiLevelType w:val="hybridMultilevel"/>
    <w:tmpl w:val="10169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6" w15:restartNumberingAfterBreak="0">
    <w:nsid w:val="304FA210"/>
    <w:multiLevelType w:val="hybridMultilevel"/>
    <w:tmpl w:val="FFFFFFFF"/>
    <w:lvl w:ilvl="0" w:tplc="C70A81A6">
      <w:start w:val="1"/>
      <w:numFmt w:val="bullet"/>
      <w:lvlText w:val=""/>
      <w:lvlJc w:val="left"/>
      <w:pPr>
        <w:ind w:left="720" w:hanging="360"/>
      </w:pPr>
      <w:rPr>
        <w:rFonts w:ascii="Symbol" w:hAnsi="Symbol" w:hint="default"/>
      </w:rPr>
    </w:lvl>
    <w:lvl w:ilvl="1" w:tplc="482E9D7E">
      <w:start w:val="1"/>
      <w:numFmt w:val="bullet"/>
      <w:lvlText w:val="o"/>
      <w:lvlJc w:val="left"/>
      <w:pPr>
        <w:ind w:left="1440" w:hanging="360"/>
      </w:pPr>
      <w:rPr>
        <w:rFonts w:ascii="Courier New" w:hAnsi="Courier New" w:hint="default"/>
      </w:rPr>
    </w:lvl>
    <w:lvl w:ilvl="2" w:tplc="71402B10">
      <w:start w:val="1"/>
      <w:numFmt w:val="bullet"/>
      <w:lvlText w:val="§"/>
      <w:lvlJc w:val="left"/>
      <w:pPr>
        <w:ind w:left="2160" w:hanging="360"/>
      </w:pPr>
      <w:rPr>
        <w:rFonts w:ascii="Wingdings" w:hAnsi="Wingdings" w:hint="default"/>
      </w:rPr>
    </w:lvl>
    <w:lvl w:ilvl="3" w:tplc="75048432">
      <w:start w:val="1"/>
      <w:numFmt w:val="bullet"/>
      <w:lvlText w:val=""/>
      <w:lvlJc w:val="left"/>
      <w:pPr>
        <w:ind w:left="2880" w:hanging="360"/>
      </w:pPr>
      <w:rPr>
        <w:rFonts w:ascii="Symbol" w:hAnsi="Symbol" w:hint="default"/>
      </w:rPr>
    </w:lvl>
    <w:lvl w:ilvl="4" w:tplc="F2FA0850">
      <w:start w:val="1"/>
      <w:numFmt w:val="bullet"/>
      <w:lvlText w:val="o"/>
      <w:lvlJc w:val="left"/>
      <w:pPr>
        <w:ind w:left="3600" w:hanging="360"/>
      </w:pPr>
      <w:rPr>
        <w:rFonts w:ascii="Courier New" w:hAnsi="Courier New" w:hint="default"/>
      </w:rPr>
    </w:lvl>
    <w:lvl w:ilvl="5" w:tplc="5DD0825A">
      <w:start w:val="1"/>
      <w:numFmt w:val="bullet"/>
      <w:lvlText w:val=""/>
      <w:lvlJc w:val="left"/>
      <w:pPr>
        <w:ind w:left="4320" w:hanging="360"/>
      </w:pPr>
      <w:rPr>
        <w:rFonts w:ascii="Wingdings" w:hAnsi="Wingdings" w:hint="default"/>
      </w:rPr>
    </w:lvl>
    <w:lvl w:ilvl="6" w:tplc="46E06694">
      <w:start w:val="1"/>
      <w:numFmt w:val="bullet"/>
      <w:lvlText w:val=""/>
      <w:lvlJc w:val="left"/>
      <w:pPr>
        <w:ind w:left="5040" w:hanging="360"/>
      </w:pPr>
      <w:rPr>
        <w:rFonts w:ascii="Symbol" w:hAnsi="Symbol" w:hint="default"/>
      </w:rPr>
    </w:lvl>
    <w:lvl w:ilvl="7" w:tplc="9AB22FF6">
      <w:start w:val="1"/>
      <w:numFmt w:val="bullet"/>
      <w:lvlText w:val="o"/>
      <w:lvlJc w:val="left"/>
      <w:pPr>
        <w:ind w:left="5760" w:hanging="360"/>
      </w:pPr>
      <w:rPr>
        <w:rFonts w:ascii="Courier New" w:hAnsi="Courier New" w:hint="default"/>
      </w:rPr>
    </w:lvl>
    <w:lvl w:ilvl="8" w:tplc="73EE16F4">
      <w:start w:val="1"/>
      <w:numFmt w:val="bullet"/>
      <w:lvlText w:val=""/>
      <w:lvlJc w:val="left"/>
      <w:pPr>
        <w:ind w:left="6480" w:hanging="360"/>
      </w:pPr>
      <w:rPr>
        <w:rFonts w:ascii="Wingdings" w:hAnsi="Wingdings" w:hint="default"/>
      </w:rPr>
    </w:lvl>
  </w:abstractNum>
  <w:abstractNum w:abstractNumId="287" w15:restartNumberingAfterBreak="0">
    <w:nsid w:val="307C33EB"/>
    <w:multiLevelType w:val="multilevel"/>
    <w:tmpl w:val="E6E6A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08B074D"/>
    <w:multiLevelType w:val="hybridMultilevel"/>
    <w:tmpl w:val="7DF0D0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44E692C8">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309CA0E6"/>
    <w:multiLevelType w:val="hybridMultilevel"/>
    <w:tmpl w:val="23BAF4A0"/>
    <w:lvl w:ilvl="0" w:tplc="60B80966">
      <w:start w:val="1"/>
      <w:numFmt w:val="upperLetter"/>
      <w:lvlText w:val="%1)"/>
      <w:lvlJc w:val="left"/>
      <w:pPr>
        <w:ind w:left="720" w:hanging="360"/>
      </w:pPr>
    </w:lvl>
    <w:lvl w:ilvl="1" w:tplc="DBB2F3CC">
      <w:start w:val="1"/>
      <w:numFmt w:val="lowerLetter"/>
      <w:lvlText w:val="%2."/>
      <w:lvlJc w:val="left"/>
      <w:pPr>
        <w:ind w:left="1440" w:hanging="360"/>
      </w:pPr>
    </w:lvl>
    <w:lvl w:ilvl="2" w:tplc="8CEEFB62">
      <w:start w:val="1"/>
      <w:numFmt w:val="lowerRoman"/>
      <w:lvlText w:val="%3."/>
      <w:lvlJc w:val="right"/>
      <w:pPr>
        <w:ind w:left="2160" w:hanging="180"/>
      </w:pPr>
    </w:lvl>
    <w:lvl w:ilvl="3" w:tplc="867E0526">
      <w:start w:val="1"/>
      <w:numFmt w:val="decimal"/>
      <w:lvlText w:val="%4."/>
      <w:lvlJc w:val="left"/>
      <w:pPr>
        <w:ind w:left="2880" w:hanging="360"/>
      </w:pPr>
    </w:lvl>
    <w:lvl w:ilvl="4" w:tplc="C7BACF64">
      <w:start w:val="1"/>
      <w:numFmt w:val="lowerLetter"/>
      <w:lvlText w:val="%5."/>
      <w:lvlJc w:val="left"/>
      <w:pPr>
        <w:ind w:left="3600" w:hanging="360"/>
      </w:pPr>
    </w:lvl>
    <w:lvl w:ilvl="5" w:tplc="DB1C43F8">
      <w:start w:val="1"/>
      <w:numFmt w:val="lowerRoman"/>
      <w:lvlText w:val="%6."/>
      <w:lvlJc w:val="right"/>
      <w:pPr>
        <w:ind w:left="4320" w:hanging="180"/>
      </w:pPr>
    </w:lvl>
    <w:lvl w:ilvl="6" w:tplc="14CA0F08">
      <w:start w:val="1"/>
      <w:numFmt w:val="decimal"/>
      <w:lvlText w:val="%7."/>
      <w:lvlJc w:val="left"/>
      <w:pPr>
        <w:ind w:left="5040" w:hanging="360"/>
      </w:pPr>
    </w:lvl>
    <w:lvl w:ilvl="7" w:tplc="2102D450">
      <w:start w:val="1"/>
      <w:numFmt w:val="lowerLetter"/>
      <w:lvlText w:val="%8."/>
      <w:lvlJc w:val="left"/>
      <w:pPr>
        <w:ind w:left="5760" w:hanging="360"/>
      </w:pPr>
    </w:lvl>
    <w:lvl w:ilvl="8" w:tplc="81B4515C">
      <w:start w:val="1"/>
      <w:numFmt w:val="lowerRoman"/>
      <w:lvlText w:val="%9."/>
      <w:lvlJc w:val="right"/>
      <w:pPr>
        <w:ind w:left="6480" w:hanging="180"/>
      </w:pPr>
    </w:lvl>
  </w:abstractNum>
  <w:abstractNum w:abstractNumId="290" w15:restartNumberingAfterBreak="0">
    <w:nsid w:val="30BD0203"/>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1" w15:restartNumberingAfterBreak="0">
    <w:nsid w:val="30CA7D8F"/>
    <w:multiLevelType w:val="hybridMultilevel"/>
    <w:tmpl w:val="34A6287E"/>
    <w:lvl w:ilvl="0" w:tplc="B65EBF50">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2" w15:restartNumberingAfterBreak="0">
    <w:nsid w:val="30EA3C3E"/>
    <w:multiLevelType w:val="hybridMultilevel"/>
    <w:tmpl w:val="AA728CC0"/>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93" w15:restartNumberingAfterBreak="0">
    <w:nsid w:val="30FC79B2"/>
    <w:multiLevelType w:val="hybridMultilevel"/>
    <w:tmpl w:val="9670F2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4" w15:restartNumberingAfterBreak="0">
    <w:nsid w:val="3118171D"/>
    <w:multiLevelType w:val="hybridMultilevel"/>
    <w:tmpl w:val="D6C8395E"/>
    <w:lvl w:ilvl="0" w:tplc="B65EBF50">
      <w:start w:val="1"/>
      <w:numFmt w:val="lowerRoman"/>
      <w:lvlText w:val="%1."/>
      <w:lvlJc w:val="righ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95" w15:restartNumberingAfterBreak="0">
    <w:nsid w:val="311F3EC1"/>
    <w:multiLevelType w:val="hybridMultilevel"/>
    <w:tmpl w:val="49FA748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6" w15:restartNumberingAfterBreak="0">
    <w:nsid w:val="314D1D10"/>
    <w:multiLevelType w:val="multilevel"/>
    <w:tmpl w:val="6EF663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7" w15:restartNumberingAfterBreak="0">
    <w:nsid w:val="31B40937"/>
    <w:multiLevelType w:val="hybridMultilevel"/>
    <w:tmpl w:val="C5A0FD04"/>
    <w:lvl w:ilvl="0" w:tplc="B3B4833A">
      <w:numFmt w:val="bullet"/>
      <w:lvlText w:val="•"/>
      <w:lvlJc w:val="left"/>
      <w:pPr>
        <w:ind w:left="720" w:hanging="360"/>
      </w:pPr>
      <w:rPr>
        <w:rFonts w:asciiTheme="minorHAnsi" w:eastAsiaTheme="minorHAnsi" w:hAnsiTheme="minorHAns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31BB13B6"/>
    <w:multiLevelType w:val="hybridMultilevel"/>
    <w:tmpl w:val="48067D6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299" w15:restartNumberingAfterBreak="0">
    <w:nsid w:val="31BED350"/>
    <w:multiLevelType w:val="hybridMultilevel"/>
    <w:tmpl w:val="FFFFFFFF"/>
    <w:lvl w:ilvl="0" w:tplc="812CF33C">
      <w:start w:val="1"/>
      <w:numFmt w:val="bullet"/>
      <w:lvlText w:val="·"/>
      <w:lvlJc w:val="left"/>
      <w:pPr>
        <w:ind w:left="720" w:hanging="360"/>
      </w:pPr>
      <w:rPr>
        <w:rFonts w:ascii="Symbol" w:hAnsi="Symbol" w:hint="default"/>
      </w:rPr>
    </w:lvl>
    <w:lvl w:ilvl="1" w:tplc="0338D63A">
      <w:start w:val="1"/>
      <w:numFmt w:val="bullet"/>
      <w:lvlText w:val="o"/>
      <w:lvlJc w:val="left"/>
      <w:pPr>
        <w:ind w:left="1440" w:hanging="360"/>
      </w:pPr>
      <w:rPr>
        <w:rFonts w:ascii="Courier New" w:hAnsi="Courier New" w:hint="default"/>
      </w:rPr>
    </w:lvl>
    <w:lvl w:ilvl="2" w:tplc="F350098C">
      <w:start w:val="1"/>
      <w:numFmt w:val="bullet"/>
      <w:lvlText w:val=""/>
      <w:lvlJc w:val="left"/>
      <w:pPr>
        <w:ind w:left="2160" w:hanging="360"/>
      </w:pPr>
      <w:rPr>
        <w:rFonts w:ascii="Wingdings" w:hAnsi="Wingdings" w:hint="default"/>
      </w:rPr>
    </w:lvl>
    <w:lvl w:ilvl="3" w:tplc="A8007B1E">
      <w:start w:val="1"/>
      <w:numFmt w:val="bullet"/>
      <w:lvlText w:val=""/>
      <w:lvlJc w:val="left"/>
      <w:pPr>
        <w:ind w:left="2880" w:hanging="360"/>
      </w:pPr>
      <w:rPr>
        <w:rFonts w:ascii="Symbol" w:hAnsi="Symbol" w:hint="default"/>
      </w:rPr>
    </w:lvl>
    <w:lvl w:ilvl="4" w:tplc="C324C494">
      <w:start w:val="1"/>
      <w:numFmt w:val="bullet"/>
      <w:lvlText w:val="o"/>
      <w:lvlJc w:val="left"/>
      <w:pPr>
        <w:ind w:left="3600" w:hanging="360"/>
      </w:pPr>
      <w:rPr>
        <w:rFonts w:ascii="Courier New" w:hAnsi="Courier New" w:hint="default"/>
      </w:rPr>
    </w:lvl>
    <w:lvl w:ilvl="5" w:tplc="FE860BFA">
      <w:start w:val="1"/>
      <w:numFmt w:val="bullet"/>
      <w:lvlText w:val=""/>
      <w:lvlJc w:val="left"/>
      <w:pPr>
        <w:ind w:left="4320" w:hanging="360"/>
      </w:pPr>
      <w:rPr>
        <w:rFonts w:ascii="Wingdings" w:hAnsi="Wingdings" w:hint="default"/>
      </w:rPr>
    </w:lvl>
    <w:lvl w:ilvl="6" w:tplc="E674826A">
      <w:start w:val="1"/>
      <w:numFmt w:val="bullet"/>
      <w:lvlText w:val=""/>
      <w:lvlJc w:val="left"/>
      <w:pPr>
        <w:ind w:left="5040" w:hanging="360"/>
      </w:pPr>
      <w:rPr>
        <w:rFonts w:ascii="Symbol" w:hAnsi="Symbol" w:hint="default"/>
      </w:rPr>
    </w:lvl>
    <w:lvl w:ilvl="7" w:tplc="BCA826D0">
      <w:start w:val="1"/>
      <w:numFmt w:val="bullet"/>
      <w:lvlText w:val="o"/>
      <w:lvlJc w:val="left"/>
      <w:pPr>
        <w:ind w:left="5760" w:hanging="360"/>
      </w:pPr>
      <w:rPr>
        <w:rFonts w:ascii="Courier New" w:hAnsi="Courier New" w:hint="default"/>
      </w:rPr>
    </w:lvl>
    <w:lvl w:ilvl="8" w:tplc="69FA1742">
      <w:start w:val="1"/>
      <w:numFmt w:val="bullet"/>
      <w:lvlText w:val=""/>
      <w:lvlJc w:val="left"/>
      <w:pPr>
        <w:ind w:left="6480" w:hanging="360"/>
      </w:pPr>
      <w:rPr>
        <w:rFonts w:ascii="Wingdings" w:hAnsi="Wingdings" w:hint="default"/>
      </w:rPr>
    </w:lvl>
  </w:abstractNum>
  <w:abstractNum w:abstractNumId="300" w15:restartNumberingAfterBreak="0">
    <w:nsid w:val="31DA452E"/>
    <w:multiLevelType w:val="hybridMultilevel"/>
    <w:tmpl w:val="6F3E401E"/>
    <w:lvl w:ilvl="0" w:tplc="51D84CFA">
      <w:start w:val="1"/>
      <w:numFmt w:val="lowerLetter"/>
      <w:lvlText w:val="%1."/>
      <w:lvlJc w:val="left"/>
      <w:pPr>
        <w:ind w:left="1080" w:hanging="720"/>
      </w:pPr>
      <w:rPr>
        <w:rFonts w:hint="default"/>
      </w:rPr>
    </w:lvl>
    <w:lvl w:ilvl="1" w:tplc="1809001B">
      <w:start w:val="1"/>
      <w:numFmt w:val="lowerRoman"/>
      <w:lvlText w:val="%2."/>
      <w:lvlJc w:val="righ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1" w15:restartNumberingAfterBreak="0">
    <w:nsid w:val="3200F11E"/>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32285587"/>
    <w:multiLevelType w:val="hybridMultilevel"/>
    <w:tmpl w:val="BBFC40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3" w15:restartNumberingAfterBreak="0">
    <w:nsid w:val="322A42BD"/>
    <w:multiLevelType w:val="hybridMultilevel"/>
    <w:tmpl w:val="23D63790"/>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4" w15:restartNumberingAfterBreak="0">
    <w:nsid w:val="3253FB27"/>
    <w:multiLevelType w:val="hybridMultilevel"/>
    <w:tmpl w:val="FFFFFFFF"/>
    <w:lvl w:ilvl="0" w:tplc="20526A0E">
      <w:start w:val="1"/>
      <w:numFmt w:val="upperRoman"/>
      <w:lvlText w:val="%1)"/>
      <w:lvlJc w:val="left"/>
      <w:pPr>
        <w:ind w:left="720" w:hanging="360"/>
      </w:pPr>
    </w:lvl>
    <w:lvl w:ilvl="1" w:tplc="10DC3BEE">
      <w:start w:val="1"/>
      <w:numFmt w:val="lowerLetter"/>
      <w:lvlText w:val="%2."/>
      <w:lvlJc w:val="left"/>
      <w:pPr>
        <w:ind w:left="1440" w:hanging="360"/>
      </w:pPr>
    </w:lvl>
    <w:lvl w:ilvl="2" w:tplc="74A44CF2">
      <w:start w:val="1"/>
      <w:numFmt w:val="lowerRoman"/>
      <w:lvlText w:val="%3."/>
      <w:lvlJc w:val="right"/>
      <w:pPr>
        <w:ind w:left="2160" w:hanging="180"/>
      </w:pPr>
    </w:lvl>
    <w:lvl w:ilvl="3" w:tplc="512A145C">
      <w:start w:val="1"/>
      <w:numFmt w:val="decimal"/>
      <w:lvlText w:val="%4."/>
      <w:lvlJc w:val="left"/>
      <w:pPr>
        <w:ind w:left="2880" w:hanging="360"/>
      </w:pPr>
    </w:lvl>
    <w:lvl w:ilvl="4" w:tplc="8674757E">
      <w:start w:val="1"/>
      <w:numFmt w:val="lowerLetter"/>
      <w:lvlText w:val="%5."/>
      <w:lvlJc w:val="left"/>
      <w:pPr>
        <w:ind w:left="3600" w:hanging="360"/>
      </w:pPr>
    </w:lvl>
    <w:lvl w:ilvl="5" w:tplc="FE5EDFBA">
      <w:start w:val="1"/>
      <w:numFmt w:val="lowerRoman"/>
      <w:lvlText w:val="%6."/>
      <w:lvlJc w:val="right"/>
      <w:pPr>
        <w:ind w:left="4320" w:hanging="180"/>
      </w:pPr>
    </w:lvl>
    <w:lvl w:ilvl="6" w:tplc="92A0A77A">
      <w:start w:val="1"/>
      <w:numFmt w:val="decimal"/>
      <w:lvlText w:val="%7."/>
      <w:lvlJc w:val="left"/>
      <w:pPr>
        <w:ind w:left="5040" w:hanging="360"/>
      </w:pPr>
    </w:lvl>
    <w:lvl w:ilvl="7" w:tplc="7F3C85FE">
      <w:start w:val="1"/>
      <w:numFmt w:val="lowerLetter"/>
      <w:lvlText w:val="%8."/>
      <w:lvlJc w:val="left"/>
      <w:pPr>
        <w:ind w:left="5760" w:hanging="360"/>
      </w:pPr>
    </w:lvl>
    <w:lvl w:ilvl="8" w:tplc="EB70CAE0">
      <w:start w:val="1"/>
      <w:numFmt w:val="lowerRoman"/>
      <w:lvlText w:val="%9."/>
      <w:lvlJc w:val="right"/>
      <w:pPr>
        <w:ind w:left="6480" w:hanging="180"/>
      </w:pPr>
    </w:lvl>
  </w:abstractNum>
  <w:abstractNum w:abstractNumId="305" w15:restartNumberingAfterBreak="0">
    <w:nsid w:val="32CA2E3B"/>
    <w:multiLevelType w:val="hybridMultilevel"/>
    <w:tmpl w:val="8D208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32DCA173"/>
    <w:multiLevelType w:val="hybridMultilevel"/>
    <w:tmpl w:val="FFFFFFFF"/>
    <w:lvl w:ilvl="0" w:tplc="7AF2FBA6">
      <w:start w:val="1"/>
      <w:numFmt w:val="lowerLetter"/>
      <w:lvlText w:val="%1."/>
      <w:lvlJc w:val="left"/>
      <w:pPr>
        <w:ind w:left="720" w:hanging="360"/>
      </w:pPr>
    </w:lvl>
    <w:lvl w:ilvl="1" w:tplc="A28EC116">
      <w:start w:val="1"/>
      <w:numFmt w:val="lowerLetter"/>
      <w:lvlText w:val="%2."/>
      <w:lvlJc w:val="left"/>
      <w:pPr>
        <w:ind w:left="1440" w:hanging="360"/>
      </w:pPr>
    </w:lvl>
    <w:lvl w:ilvl="2" w:tplc="F1888C7E">
      <w:start w:val="1"/>
      <w:numFmt w:val="lowerRoman"/>
      <w:lvlText w:val="%3."/>
      <w:lvlJc w:val="right"/>
      <w:pPr>
        <w:ind w:left="2160" w:hanging="180"/>
      </w:pPr>
    </w:lvl>
    <w:lvl w:ilvl="3" w:tplc="4FA04712">
      <w:start w:val="1"/>
      <w:numFmt w:val="decimal"/>
      <w:lvlText w:val="%4."/>
      <w:lvlJc w:val="left"/>
      <w:pPr>
        <w:ind w:left="2880" w:hanging="360"/>
      </w:pPr>
    </w:lvl>
    <w:lvl w:ilvl="4" w:tplc="DC2055D2">
      <w:start w:val="1"/>
      <w:numFmt w:val="lowerLetter"/>
      <w:lvlText w:val="%5."/>
      <w:lvlJc w:val="left"/>
      <w:pPr>
        <w:ind w:left="3600" w:hanging="360"/>
      </w:pPr>
    </w:lvl>
    <w:lvl w:ilvl="5" w:tplc="E8A463B2">
      <w:start w:val="1"/>
      <w:numFmt w:val="lowerRoman"/>
      <w:lvlText w:val="%6."/>
      <w:lvlJc w:val="right"/>
      <w:pPr>
        <w:ind w:left="4320" w:hanging="180"/>
      </w:pPr>
    </w:lvl>
    <w:lvl w:ilvl="6" w:tplc="FFEA5414">
      <w:start w:val="1"/>
      <w:numFmt w:val="decimal"/>
      <w:lvlText w:val="%7."/>
      <w:lvlJc w:val="left"/>
      <w:pPr>
        <w:ind w:left="5040" w:hanging="360"/>
      </w:pPr>
    </w:lvl>
    <w:lvl w:ilvl="7" w:tplc="14F44666">
      <w:start w:val="1"/>
      <w:numFmt w:val="lowerLetter"/>
      <w:lvlText w:val="%8."/>
      <w:lvlJc w:val="left"/>
      <w:pPr>
        <w:ind w:left="5760" w:hanging="360"/>
      </w:pPr>
    </w:lvl>
    <w:lvl w:ilvl="8" w:tplc="3454D21A">
      <w:start w:val="1"/>
      <w:numFmt w:val="lowerRoman"/>
      <w:lvlText w:val="%9."/>
      <w:lvlJc w:val="right"/>
      <w:pPr>
        <w:ind w:left="6480" w:hanging="180"/>
      </w:pPr>
    </w:lvl>
  </w:abstractNum>
  <w:abstractNum w:abstractNumId="307" w15:restartNumberingAfterBreak="0">
    <w:nsid w:val="333CC5C6"/>
    <w:multiLevelType w:val="hybridMultilevel"/>
    <w:tmpl w:val="FFFFFFFF"/>
    <w:lvl w:ilvl="0" w:tplc="FFFFFFFF">
      <w:start w:val="1"/>
      <w:numFmt w:val="decimal"/>
      <w:lvlText w:val="%1."/>
      <w:lvlJc w:val="left"/>
      <w:pPr>
        <w:ind w:left="720" w:hanging="360"/>
      </w:pPr>
    </w:lvl>
    <w:lvl w:ilvl="1" w:tplc="4F26DE7E">
      <w:start w:val="1"/>
      <w:numFmt w:val="lowerLetter"/>
      <w:lvlText w:val="%2."/>
      <w:lvlJc w:val="left"/>
      <w:pPr>
        <w:ind w:left="1440" w:hanging="360"/>
      </w:pPr>
    </w:lvl>
    <w:lvl w:ilvl="2" w:tplc="162CFF2E">
      <w:start w:val="1"/>
      <w:numFmt w:val="lowerRoman"/>
      <w:lvlText w:val="%3."/>
      <w:lvlJc w:val="right"/>
      <w:pPr>
        <w:ind w:left="2160" w:hanging="180"/>
      </w:pPr>
    </w:lvl>
    <w:lvl w:ilvl="3" w:tplc="0BA869FC">
      <w:start w:val="1"/>
      <w:numFmt w:val="decimal"/>
      <w:lvlText w:val="%4."/>
      <w:lvlJc w:val="left"/>
      <w:pPr>
        <w:ind w:left="2880" w:hanging="360"/>
      </w:pPr>
    </w:lvl>
    <w:lvl w:ilvl="4" w:tplc="4488A29A">
      <w:start w:val="1"/>
      <w:numFmt w:val="lowerLetter"/>
      <w:lvlText w:val="%5."/>
      <w:lvlJc w:val="left"/>
      <w:pPr>
        <w:ind w:left="3600" w:hanging="360"/>
      </w:pPr>
    </w:lvl>
    <w:lvl w:ilvl="5" w:tplc="6B2E62AC">
      <w:start w:val="1"/>
      <w:numFmt w:val="lowerRoman"/>
      <w:lvlText w:val="%6."/>
      <w:lvlJc w:val="right"/>
      <w:pPr>
        <w:ind w:left="4320" w:hanging="180"/>
      </w:pPr>
    </w:lvl>
    <w:lvl w:ilvl="6" w:tplc="B8760CE0">
      <w:start w:val="1"/>
      <w:numFmt w:val="decimal"/>
      <w:lvlText w:val="%7."/>
      <w:lvlJc w:val="left"/>
      <w:pPr>
        <w:ind w:left="5040" w:hanging="360"/>
      </w:pPr>
    </w:lvl>
    <w:lvl w:ilvl="7" w:tplc="7214CE82">
      <w:start w:val="1"/>
      <w:numFmt w:val="lowerLetter"/>
      <w:lvlText w:val="%8."/>
      <w:lvlJc w:val="left"/>
      <w:pPr>
        <w:ind w:left="5760" w:hanging="360"/>
      </w:pPr>
    </w:lvl>
    <w:lvl w:ilvl="8" w:tplc="E280C41C">
      <w:start w:val="1"/>
      <w:numFmt w:val="lowerRoman"/>
      <w:lvlText w:val="%9."/>
      <w:lvlJc w:val="right"/>
      <w:pPr>
        <w:ind w:left="6480" w:hanging="180"/>
      </w:pPr>
    </w:lvl>
  </w:abstractNum>
  <w:abstractNum w:abstractNumId="308" w15:restartNumberingAfterBreak="0">
    <w:nsid w:val="3354496A"/>
    <w:multiLevelType w:val="hybridMultilevel"/>
    <w:tmpl w:val="FFFFFFFF"/>
    <w:lvl w:ilvl="0" w:tplc="36801E02">
      <w:start w:val="1"/>
      <w:numFmt w:val="bullet"/>
      <w:lvlText w:val=""/>
      <w:lvlJc w:val="left"/>
      <w:pPr>
        <w:ind w:left="720" w:hanging="360"/>
      </w:pPr>
      <w:rPr>
        <w:rFonts w:ascii="Symbol" w:hAnsi="Symbol" w:hint="default"/>
      </w:rPr>
    </w:lvl>
    <w:lvl w:ilvl="1" w:tplc="8E1C7002">
      <w:start w:val="1"/>
      <w:numFmt w:val="bullet"/>
      <w:lvlText w:val="o"/>
      <w:lvlJc w:val="left"/>
      <w:pPr>
        <w:ind w:left="1440" w:hanging="360"/>
      </w:pPr>
      <w:rPr>
        <w:rFonts w:ascii="Courier New" w:hAnsi="Courier New" w:hint="default"/>
      </w:rPr>
    </w:lvl>
    <w:lvl w:ilvl="2" w:tplc="6ACEC22E">
      <w:start w:val="1"/>
      <w:numFmt w:val="bullet"/>
      <w:lvlText w:val="§"/>
      <w:lvlJc w:val="left"/>
      <w:pPr>
        <w:ind w:left="2160" w:hanging="360"/>
      </w:pPr>
      <w:rPr>
        <w:rFonts w:ascii="Wingdings" w:hAnsi="Wingdings" w:hint="default"/>
      </w:rPr>
    </w:lvl>
    <w:lvl w:ilvl="3" w:tplc="1BBAF388">
      <w:start w:val="1"/>
      <w:numFmt w:val="bullet"/>
      <w:lvlText w:val=""/>
      <w:lvlJc w:val="left"/>
      <w:pPr>
        <w:ind w:left="2880" w:hanging="360"/>
      </w:pPr>
      <w:rPr>
        <w:rFonts w:ascii="Symbol" w:hAnsi="Symbol" w:hint="default"/>
      </w:rPr>
    </w:lvl>
    <w:lvl w:ilvl="4" w:tplc="603075C2">
      <w:start w:val="1"/>
      <w:numFmt w:val="bullet"/>
      <w:lvlText w:val="o"/>
      <w:lvlJc w:val="left"/>
      <w:pPr>
        <w:ind w:left="3600" w:hanging="360"/>
      </w:pPr>
      <w:rPr>
        <w:rFonts w:ascii="Courier New" w:hAnsi="Courier New" w:hint="default"/>
      </w:rPr>
    </w:lvl>
    <w:lvl w:ilvl="5" w:tplc="21F28180">
      <w:start w:val="1"/>
      <w:numFmt w:val="bullet"/>
      <w:lvlText w:val=""/>
      <w:lvlJc w:val="left"/>
      <w:pPr>
        <w:ind w:left="4320" w:hanging="360"/>
      </w:pPr>
      <w:rPr>
        <w:rFonts w:ascii="Wingdings" w:hAnsi="Wingdings" w:hint="default"/>
      </w:rPr>
    </w:lvl>
    <w:lvl w:ilvl="6" w:tplc="7C961C80">
      <w:start w:val="1"/>
      <w:numFmt w:val="bullet"/>
      <w:lvlText w:val=""/>
      <w:lvlJc w:val="left"/>
      <w:pPr>
        <w:ind w:left="5040" w:hanging="360"/>
      </w:pPr>
      <w:rPr>
        <w:rFonts w:ascii="Symbol" w:hAnsi="Symbol" w:hint="default"/>
      </w:rPr>
    </w:lvl>
    <w:lvl w:ilvl="7" w:tplc="E25A3C70">
      <w:start w:val="1"/>
      <w:numFmt w:val="bullet"/>
      <w:lvlText w:val="o"/>
      <w:lvlJc w:val="left"/>
      <w:pPr>
        <w:ind w:left="5760" w:hanging="360"/>
      </w:pPr>
      <w:rPr>
        <w:rFonts w:ascii="Courier New" w:hAnsi="Courier New" w:hint="default"/>
      </w:rPr>
    </w:lvl>
    <w:lvl w:ilvl="8" w:tplc="10B6648C">
      <w:start w:val="1"/>
      <w:numFmt w:val="bullet"/>
      <w:lvlText w:val=""/>
      <w:lvlJc w:val="left"/>
      <w:pPr>
        <w:ind w:left="6480" w:hanging="360"/>
      </w:pPr>
      <w:rPr>
        <w:rFonts w:ascii="Wingdings" w:hAnsi="Wingdings" w:hint="default"/>
      </w:rPr>
    </w:lvl>
  </w:abstractNum>
  <w:abstractNum w:abstractNumId="309" w15:restartNumberingAfterBreak="0">
    <w:nsid w:val="3393A513"/>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33E63B41"/>
    <w:multiLevelType w:val="hybridMultilevel"/>
    <w:tmpl w:val="D05616C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4532AF3"/>
    <w:multiLevelType w:val="hybridMultilevel"/>
    <w:tmpl w:val="74C62D90"/>
    <w:lvl w:ilvl="0" w:tplc="3A342B12">
      <w:start w:val="1"/>
      <w:numFmt w:val="decimal"/>
      <w:lvlText w:val="%1)"/>
      <w:lvlJc w:val="left"/>
      <w:pPr>
        <w:ind w:left="720" w:hanging="360"/>
      </w:pPr>
    </w:lvl>
    <w:lvl w:ilvl="1" w:tplc="BEB49D8E">
      <w:start w:val="1"/>
      <w:numFmt w:val="lowerLetter"/>
      <w:lvlText w:val="%2."/>
      <w:lvlJc w:val="left"/>
      <w:pPr>
        <w:ind w:left="1440" w:hanging="360"/>
      </w:pPr>
    </w:lvl>
    <w:lvl w:ilvl="2" w:tplc="000AF8E2">
      <w:start w:val="1"/>
      <w:numFmt w:val="lowerRoman"/>
      <w:lvlText w:val="%3."/>
      <w:lvlJc w:val="right"/>
      <w:pPr>
        <w:ind w:left="2160" w:hanging="180"/>
      </w:pPr>
    </w:lvl>
    <w:lvl w:ilvl="3" w:tplc="7FFA0D30">
      <w:start w:val="1"/>
      <w:numFmt w:val="decimal"/>
      <w:lvlText w:val="%4."/>
      <w:lvlJc w:val="left"/>
      <w:pPr>
        <w:ind w:left="2880" w:hanging="360"/>
      </w:pPr>
    </w:lvl>
    <w:lvl w:ilvl="4" w:tplc="25A0DA3A">
      <w:start w:val="1"/>
      <w:numFmt w:val="lowerLetter"/>
      <w:lvlText w:val="%5."/>
      <w:lvlJc w:val="left"/>
      <w:pPr>
        <w:ind w:left="3600" w:hanging="360"/>
      </w:pPr>
    </w:lvl>
    <w:lvl w:ilvl="5" w:tplc="A5C279E6">
      <w:start w:val="1"/>
      <w:numFmt w:val="lowerRoman"/>
      <w:lvlText w:val="%6."/>
      <w:lvlJc w:val="right"/>
      <w:pPr>
        <w:ind w:left="4320" w:hanging="180"/>
      </w:pPr>
    </w:lvl>
    <w:lvl w:ilvl="6" w:tplc="DC96F7E4">
      <w:start w:val="1"/>
      <w:numFmt w:val="decimal"/>
      <w:lvlText w:val="%7."/>
      <w:lvlJc w:val="left"/>
      <w:pPr>
        <w:ind w:left="5040" w:hanging="360"/>
      </w:pPr>
    </w:lvl>
    <w:lvl w:ilvl="7" w:tplc="AFE444BE">
      <w:start w:val="1"/>
      <w:numFmt w:val="lowerLetter"/>
      <w:lvlText w:val="%8."/>
      <w:lvlJc w:val="left"/>
      <w:pPr>
        <w:ind w:left="5760" w:hanging="360"/>
      </w:pPr>
    </w:lvl>
    <w:lvl w:ilvl="8" w:tplc="8356F8A8">
      <w:start w:val="1"/>
      <w:numFmt w:val="lowerRoman"/>
      <w:lvlText w:val="%9."/>
      <w:lvlJc w:val="right"/>
      <w:pPr>
        <w:ind w:left="6480" w:hanging="180"/>
      </w:pPr>
    </w:lvl>
  </w:abstractNum>
  <w:abstractNum w:abstractNumId="312" w15:restartNumberingAfterBreak="0">
    <w:nsid w:val="345B50B2"/>
    <w:multiLevelType w:val="multilevel"/>
    <w:tmpl w:val="2B18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4B25819"/>
    <w:multiLevelType w:val="hybridMultilevel"/>
    <w:tmpl w:val="0ED07DF8"/>
    <w:lvl w:ilvl="0" w:tplc="64966EAA">
      <w:start w:val="7"/>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4" w15:restartNumberingAfterBreak="0">
    <w:nsid w:val="34B83759"/>
    <w:multiLevelType w:val="hybridMultilevel"/>
    <w:tmpl w:val="582E43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5" w15:restartNumberingAfterBreak="0">
    <w:nsid w:val="34CC36E5"/>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6" w15:restartNumberingAfterBreak="0">
    <w:nsid w:val="35205951"/>
    <w:multiLevelType w:val="hybridMultilevel"/>
    <w:tmpl w:val="96969A3A"/>
    <w:lvl w:ilvl="0" w:tplc="C3365FD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7" w15:restartNumberingAfterBreak="0">
    <w:nsid w:val="352B0090"/>
    <w:multiLevelType w:val="hybridMultilevel"/>
    <w:tmpl w:val="6A280A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35345A99"/>
    <w:multiLevelType w:val="hybridMultilevel"/>
    <w:tmpl w:val="CCAC888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19" w15:restartNumberingAfterBreak="0">
    <w:nsid w:val="3553699C"/>
    <w:multiLevelType w:val="hybridMultilevel"/>
    <w:tmpl w:val="B24C8E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0" w15:restartNumberingAfterBreak="0">
    <w:nsid w:val="355491D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35B64F34"/>
    <w:multiLevelType w:val="hybridMultilevel"/>
    <w:tmpl w:val="B9AC749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22" w15:restartNumberingAfterBreak="0">
    <w:nsid w:val="35C809AF"/>
    <w:multiLevelType w:val="multilevel"/>
    <w:tmpl w:val="59C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5CD5B1A"/>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3646F29F"/>
    <w:multiLevelType w:val="hybridMultilevel"/>
    <w:tmpl w:val="52748D8C"/>
    <w:lvl w:ilvl="0" w:tplc="A3380B94">
      <w:start w:val="1"/>
      <w:numFmt w:val="bullet"/>
      <w:lvlText w:val=""/>
      <w:lvlJc w:val="left"/>
      <w:pPr>
        <w:ind w:left="720" w:hanging="360"/>
      </w:pPr>
      <w:rPr>
        <w:rFonts w:ascii="Symbol" w:hAnsi="Symbol" w:hint="default"/>
      </w:rPr>
    </w:lvl>
    <w:lvl w:ilvl="1" w:tplc="74EC271C">
      <w:start w:val="1"/>
      <w:numFmt w:val="bullet"/>
      <w:lvlText w:val="o"/>
      <w:lvlJc w:val="left"/>
      <w:pPr>
        <w:ind w:left="1440" w:hanging="360"/>
      </w:pPr>
      <w:rPr>
        <w:rFonts w:ascii="Courier New" w:hAnsi="Courier New" w:hint="default"/>
      </w:rPr>
    </w:lvl>
    <w:lvl w:ilvl="2" w:tplc="D34A3C98">
      <w:start w:val="1"/>
      <w:numFmt w:val="bullet"/>
      <w:lvlText w:val=""/>
      <w:lvlJc w:val="left"/>
      <w:pPr>
        <w:ind w:left="2160" w:hanging="360"/>
      </w:pPr>
      <w:rPr>
        <w:rFonts w:ascii="Wingdings" w:hAnsi="Wingdings" w:hint="default"/>
      </w:rPr>
    </w:lvl>
    <w:lvl w:ilvl="3" w:tplc="E9D40826">
      <w:start w:val="1"/>
      <w:numFmt w:val="bullet"/>
      <w:lvlText w:val=""/>
      <w:lvlJc w:val="left"/>
      <w:pPr>
        <w:ind w:left="2880" w:hanging="360"/>
      </w:pPr>
      <w:rPr>
        <w:rFonts w:ascii="Symbol" w:hAnsi="Symbol" w:hint="default"/>
      </w:rPr>
    </w:lvl>
    <w:lvl w:ilvl="4" w:tplc="EF0E7D06">
      <w:start w:val="1"/>
      <w:numFmt w:val="bullet"/>
      <w:lvlText w:val="o"/>
      <w:lvlJc w:val="left"/>
      <w:pPr>
        <w:ind w:left="3600" w:hanging="360"/>
      </w:pPr>
      <w:rPr>
        <w:rFonts w:ascii="Courier New" w:hAnsi="Courier New" w:hint="default"/>
      </w:rPr>
    </w:lvl>
    <w:lvl w:ilvl="5" w:tplc="ADA4D712">
      <w:start w:val="1"/>
      <w:numFmt w:val="bullet"/>
      <w:lvlText w:val=""/>
      <w:lvlJc w:val="left"/>
      <w:pPr>
        <w:ind w:left="4320" w:hanging="360"/>
      </w:pPr>
      <w:rPr>
        <w:rFonts w:ascii="Wingdings" w:hAnsi="Wingdings" w:hint="default"/>
      </w:rPr>
    </w:lvl>
    <w:lvl w:ilvl="6" w:tplc="4BF0BFAA">
      <w:start w:val="1"/>
      <w:numFmt w:val="bullet"/>
      <w:lvlText w:val=""/>
      <w:lvlJc w:val="left"/>
      <w:pPr>
        <w:ind w:left="5040" w:hanging="360"/>
      </w:pPr>
      <w:rPr>
        <w:rFonts w:ascii="Symbol" w:hAnsi="Symbol" w:hint="default"/>
      </w:rPr>
    </w:lvl>
    <w:lvl w:ilvl="7" w:tplc="694E5F88">
      <w:start w:val="1"/>
      <w:numFmt w:val="bullet"/>
      <w:lvlText w:val="o"/>
      <w:lvlJc w:val="left"/>
      <w:pPr>
        <w:ind w:left="5760" w:hanging="360"/>
      </w:pPr>
      <w:rPr>
        <w:rFonts w:ascii="Courier New" w:hAnsi="Courier New" w:hint="default"/>
      </w:rPr>
    </w:lvl>
    <w:lvl w:ilvl="8" w:tplc="3DA202B6">
      <w:start w:val="1"/>
      <w:numFmt w:val="bullet"/>
      <w:lvlText w:val=""/>
      <w:lvlJc w:val="left"/>
      <w:pPr>
        <w:ind w:left="6480" w:hanging="360"/>
      </w:pPr>
      <w:rPr>
        <w:rFonts w:ascii="Wingdings" w:hAnsi="Wingdings" w:hint="default"/>
      </w:rPr>
    </w:lvl>
  </w:abstractNum>
  <w:abstractNum w:abstractNumId="325" w15:restartNumberingAfterBreak="0">
    <w:nsid w:val="36C86235"/>
    <w:multiLevelType w:val="hybridMultilevel"/>
    <w:tmpl w:val="FFFFFFFF"/>
    <w:lvl w:ilvl="0" w:tplc="7CEE343C">
      <w:start w:val="1"/>
      <w:numFmt w:val="decimal"/>
      <w:lvlText w:val="%1."/>
      <w:lvlJc w:val="left"/>
      <w:pPr>
        <w:ind w:left="720" w:hanging="360"/>
      </w:pPr>
    </w:lvl>
    <w:lvl w:ilvl="1" w:tplc="36F49550">
      <w:start w:val="1"/>
      <w:numFmt w:val="lowerLetter"/>
      <w:lvlText w:val="%2."/>
      <w:lvlJc w:val="left"/>
      <w:pPr>
        <w:ind w:left="1440" w:hanging="360"/>
      </w:pPr>
    </w:lvl>
    <w:lvl w:ilvl="2" w:tplc="B8F2CB70">
      <w:start w:val="1"/>
      <w:numFmt w:val="lowerRoman"/>
      <w:lvlText w:val="%3."/>
      <w:lvlJc w:val="right"/>
      <w:pPr>
        <w:ind w:left="2160" w:hanging="180"/>
      </w:pPr>
    </w:lvl>
    <w:lvl w:ilvl="3" w:tplc="04207E44">
      <w:start w:val="1"/>
      <w:numFmt w:val="decimal"/>
      <w:lvlText w:val="%4."/>
      <w:lvlJc w:val="left"/>
      <w:pPr>
        <w:ind w:left="2880" w:hanging="360"/>
      </w:pPr>
    </w:lvl>
    <w:lvl w:ilvl="4" w:tplc="98F691CE">
      <w:start w:val="1"/>
      <w:numFmt w:val="lowerLetter"/>
      <w:lvlText w:val="%5."/>
      <w:lvlJc w:val="left"/>
      <w:pPr>
        <w:ind w:left="3600" w:hanging="360"/>
      </w:pPr>
    </w:lvl>
    <w:lvl w:ilvl="5" w:tplc="26EA54D2">
      <w:start w:val="1"/>
      <w:numFmt w:val="lowerRoman"/>
      <w:lvlText w:val="%6."/>
      <w:lvlJc w:val="right"/>
      <w:pPr>
        <w:ind w:left="4320" w:hanging="180"/>
      </w:pPr>
    </w:lvl>
    <w:lvl w:ilvl="6" w:tplc="5428F120">
      <w:start w:val="1"/>
      <w:numFmt w:val="decimal"/>
      <w:lvlText w:val="%7."/>
      <w:lvlJc w:val="left"/>
      <w:pPr>
        <w:ind w:left="5040" w:hanging="360"/>
      </w:pPr>
    </w:lvl>
    <w:lvl w:ilvl="7" w:tplc="E25C7460">
      <w:start w:val="1"/>
      <w:numFmt w:val="lowerLetter"/>
      <w:lvlText w:val="%8."/>
      <w:lvlJc w:val="left"/>
      <w:pPr>
        <w:ind w:left="5760" w:hanging="360"/>
      </w:pPr>
    </w:lvl>
    <w:lvl w:ilvl="8" w:tplc="0CB86F56">
      <w:start w:val="1"/>
      <w:numFmt w:val="lowerRoman"/>
      <w:lvlText w:val="%9."/>
      <w:lvlJc w:val="right"/>
      <w:pPr>
        <w:ind w:left="6480" w:hanging="180"/>
      </w:pPr>
    </w:lvl>
  </w:abstractNum>
  <w:abstractNum w:abstractNumId="326" w15:restartNumberingAfterBreak="0">
    <w:nsid w:val="37253B71"/>
    <w:multiLevelType w:val="hybridMultilevel"/>
    <w:tmpl w:val="8E2815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7557CCC"/>
    <w:multiLevelType w:val="hybridMultilevel"/>
    <w:tmpl w:val="F43AF28E"/>
    <w:lvl w:ilvl="0" w:tplc="0C0A0001">
      <w:start w:val="1"/>
      <w:numFmt w:val="bullet"/>
      <w:lvlText w:val=""/>
      <w:lvlJc w:val="left"/>
      <w:pPr>
        <w:ind w:left="720" w:hanging="360"/>
      </w:pPr>
      <w:rPr>
        <w:rFonts w:ascii="Segoe UI" w:hAnsi="Segoe U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328" w15:restartNumberingAfterBreak="0">
    <w:nsid w:val="3758C3CB"/>
    <w:multiLevelType w:val="hybridMultilevel"/>
    <w:tmpl w:val="4DFC13A4"/>
    <w:lvl w:ilvl="0" w:tplc="BA84E760">
      <w:start w:val="1"/>
      <w:numFmt w:val="bullet"/>
      <w:lvlText w:val=""/>
      <w:lvlJc w:val="left"/>
      <w:pPr>
        <w:ind w:left="1080" w:hanging="360"/>
      </w:pPr>
      <w:rPr>
        <w:rFonts w:ascii="Symbol" w:hAnsi="Symbol" w:hint="default"/>
      </w:rPr>
    </w:lvl>
    <w:lvl w:ilvl="1" w:tplc="ED1A8E8E">
      <w:start w:val="1"/>
      <w:numFmt w:val="bullet"/>
      <w:lvlText w:val="o"/>
      <w:lvlJc w:val="left"/>
      <w:pPr>
        <w:ind w:left="1800" w:hanging="360"/>
      </w:pPr>
      <w:rPr>
        <w:rFonts w:ascii="Courier New" w:hAnsi="Courier New" w:hint="default"/>
      </w:rPr>
    </w:lvl>
    <w:lvl w:ilvl="2" w:tplc="67B85CAA">
      <w:start w:val="1"/>
      <w:numFmt w:val="bullet"/>
      <w:lvlText w:val=""/>
      <w:lvlJc w:val="left"/>
      <w:pPr>
        <w:ind w:left="2520" w:hanging="360"/>
      </w:pPr>
      <w:rPr>
        <w:rFonts w:ascii="Wingdings" w:hAnsi="Wingdings" w:hint="default"/>
      </w:rPr>
    </w:lvl>
    <w:lvl w:ilvl="3" w:tplc="39DE89E6">
      <w:start w:val="1"/>
      <w:numFmt w:val="bullet"/>
      <w:lvlText w:val=""/>
      <w:lvlJc w:val="left"/>
      <w:pPr>
        <w:ind w:left="3240" w:hanging="360"/>
      </w:pPr>
      <w:rPr>
        <w:rFonts w:ascii="Symbol" w:hAnsi="Symbol" w:hint="default"/>
      </w:rPr>
    </w:lvl>
    <w:lvl w:ilvl="4" w:tplc="D560473C">
      <w:start w:val="1"/>
      <w:numFmt w:val="bullet"/>
      <w:lvlText w:val="o"/>
      <w:lvlJc w:val="left"/>
      <w:pPr>
        <w:ind w:left="3960" w:hanging="360"/>
      </w:pPr>
      <w:rPr>
        <w:rFonts w:ascii="Courier New" w:hAnsi="Courier New" w:hint="default"/>
      </w:rPr>
    </w:lvl>
    <w:lvl w:ilvl="5" w:tplc="5ACE0484">
      <w:start w:val="1"/>
      <w:numFmt w:val="bullet"/>
      <w:lvlText w:val=""/>
      <w:lvlJc w:val="left"/>
      <w:pPr>
        <w:ind w:left="4680" w:hanging="360"/>
      </w:pPr>
      <w:rPr>
        <w:rFonts w:ascii="Wingdings" w:hAnsi="Wingdings" w:hint="default"/>
      </w:rPr>
    </w:lvl>
    <w:lvl w:ilvl="6" w:tplc="8E560066">
      <w:start w:val="1"/>
      <w:numFmt w:val="bullet"/>
      <w:lvlText w:val=""/>
      <w:lvlJc w:val="left"/>
      <w:pPr>
        <w:ind w:left="5400" w:hanging="360"/>
      </w:pPr>
      <w:rPr>
        <w:rFonts w:ascii="Symbol" w:hAnsi="Symbol" w:hint="default"/>
      </w:rPr>
    </w:lvl>
    <w:lvl w:ilvl="7" w:tplc="8D743554">
      <w:start w:val="1"/>
      <w:numFmt w:val="bullet"/>
      <w:lvlText w:val="o"/>
      <w:lvlJc w:val="left"/>
      <w:pPr>
        <w:ind w:left="6120" w:hanging="360"/>
      </w:pPr>
      <w:rPr>
        <w:rFonts w:ascii="Courier New" w:hAnsi="Courier New" w:hint="default"/>
      </w:rPr>
    </w:lvl>
    <w:lvl w:ilvl="8" w:tplc="40A0AD42">
      <w:start w:val="1"/>
      <w:numFmt w:val="bullet"/>
      <w:lvlText w:val=""/>
      <w:lvlJc w:val="left"/>
      <w:pPr>
        <w:ind w:left="6840" w:hanging="360"/>
      </w:pPr>
      <w:rPr>
        <w:rFonts w:ascii="Wingdings" w:hAnsi="Wingdings" w:hint="default"/>
      </w:rPr>
    </w:lvl>
  </w:abstractNum>
  <w:abstractNum w:abstractNumId="329" w15:restartNumberingAfterBreak="0">
    <w:nsid w:val="379E54E2"/>
    <w:multiLevelType w:val="hybridMultilevel"/>
    <w:tmpl w:val="4498E6FC"/>
    <w:lvl w:ilvl="0" w:tplc="FFFFFFFF">
      <w:start w:val="1"/>
      <w:numFmt w:val="bullet"/>
      <w:lvlText w:val="-"/>
      <w:lvlJc w:val="left"/>
      <w:pPr>
        <w:ind w:left="1080" w:hanging="360"/>
      </w:pPr>
      <w:rPr>
        <w:rFonts w:ascii="Cambria" w:hAnsi="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330" w15:restartNumberingAfterBreak="0">
    <w:nsid w:val="37A0B7A1"/>
    <w:multiLevelType w:val="hybridMultilevel"/>
    <w:tmpl w:val="FFFFFFFF"/>
    <w:lvl w:ilvl="0" w:tplc="278EC38A">
      <w:start w:val="1"/>
      <w:numFmt w:val="bullet"/>
      <w:lvlText w:val=""/>
      <w:lvlJc w:val="left"/>
      <w:pPr>
        <w:ind w:left="720" w:hanging="360"/>
      </w:pPr>
      <w:rPr>
        <w:rFonts w:ascii="Symbol" w:hAnsi="Symbol" w:hint="default"/>
      </w:rPr>
    </w:lvl>
    <w:lvl w:ilvl="1" w:tplc="029A480E">
      <w:start w:val="1"/>
      <w:numFmt w:val="bullet"/>
      <w:lvlText w:val="-"/>
      <w:lvlJc w:val="left"/>
      <w:pPr>
        <w:ind w:left="1440" w:hanging="360"/>
      </w:pPr>
      <w:rPr>
        <w:rFonts w:ascii="Calibri" w:hAnsi="Calibri" w:hint="default"/>
      </w:rPr>
    </w:lvl>
    <w:lvl w:ilvl="2" w:tplc="933E3984">
      <w:start w:val="1"/>
      <w:numFmt w:val="bullet"/>
      <w:lvlText w:val=""/>
      <w:lvlJc w:val="left"/>
      <w:pPr>
        <w:ind w:left="2160" w:hanging="360"/>
      </w:pPr>
      <w:rPr>
        <w:rFonts w:ascii="Wingdings" w:hAnsi="Wingdings" w:hint="default"/>
      </w:rPr>
    </w:lvl>
    <w:lvl w:ilvl="3" w:tplc="EDD814BC">
      <w:start w:val="1"/>
      <w:numFmt w:val="bullet"/>
      <w:lvlText w:val=""/>
      <w:lvlJc w:val="left"/>
      <w:pPr>
        <w:ind w:left="2880" w:hanging="360"/>
      </w:pPr>
      <w:rPr>
        <w:rFonts w:ascii="Symbol" w:hAnsi="Symbol" w:hint="default"/>
      </w:rPr>
    </w:lvl>
    <w:lvl w:ilvl="4" w:tplc="D0C49014">
      <w:start w:val="1"/>
      <w:numFmt w:val="bullet"/>
      <w:lvlText w:val="o"/>
      <w:lvlJc w:val="left"/>
      <w:pPr>
        <w:ind w:left="3600" w:hanging="360"/>
      </w:pPr>
      <w:rPr>
        <w:rFonts w:ascii="Courier New" w:hAnsi="Courier New" w:hint="default"/>
      </w:rPr>
    </w:lvl>
    <w:lvl w:ilvl="5" w:tplc="DCB0D614">
      <w:start w:val="1"/>
      <w:numFmt w:val="bullet"/>
      <w:lvlText w:val=""/>
      <w:lvlJc w:val="left"/>
      <w:pPr>
        <w:ind w:left="4320" w:hanging="360"/>
      </w:pPr>
      <w:rPr>
        <w:rFonts w:ascii="Wingdings" w:hAnsi="Wingdings" w:hint="default"/>
      </w:rPr>
    </w:lvl>
    <w:lvl w:ilvl="6" w:tplc="41D2806C">
      <w:start w:val="1"/>
      <w:numFmt w:val="bullet"/>
      <w:lvlText w:val=""/>
      <w:lvlJc w:val="left"/>
      <w:pPr>
        <w:ind w:left="5040" w:hanging="360"/>
      </w:pPr>
      <w:rPr>
        <w:rFonts w:ascii="Symbol" w:hAnsi="Symbol" w:hint="default"/>
      </w:rPr>
    </w:lvl>
    <w:lvl w:ilvl="7" w:tplc="5680F026">
      <w:start w:val="1"/>
      <w:numFmt w:val="bullet"/>
      <w:lvlText w:val="o"/>
      <w:lvlJc w:val="left"/>
      <w:pPr>
        <w:ind w:left="5760" w:hanging="360"/>
      </w:pPr>
      <w:rPr>
        <w:rFonts w:ascii="Courier New" w:hAnsi="Courier New" w:hint="default"/>
      </w:rPr>
    </w:lvl>
    <w:lvl w:ilvl="8" w:tplc="873C6F26">
      <w:start w:val="1"/>
      <w:numFmt w:val="bullet"/>
      <w:lvlText w:val=""/>
      <w:lvlJc w:val="left"/>
      <w:pPr>
        <w:ind w:left="6480" w:hanging="360"/>
      </w:pPr>
      <w:rPr>
        <w:rFonts w:ascii="Wingdings" w:hAnsi="Wingdings" w:hint="default"/>
      </w:rPr>
    </w:lvl>
  </w:abstractNum>
  <w:abstractNum w:abstractNumId="331" w15:restartNumberingAfterBreak="0">
    <w:nsid w:val="37CA0639"/>
    <w:multiLevelType w:val="hybridMultilevel"/>
    <w:tmpl w:val="E5463E5A"/>
    <w:lvl w:ilvl="0" w:tplc="18090001">
      <w:start w:val="1"/>
      <w:numFmt w:val="bullet"/>
      <w:lvlText w:val=""/>
      <w:lvlJc w:val="left"/>
      <w:pPr>
        <w:ind w:left="19" w:hanging="360"/>
      </w:pPr>
      <w:rPr>
        <w:rFonts w:ascii="Courier New" w:hAnsi="Courier New" w:hint="default"/>
      </w:rPr>
    </w:lvl>
    <w:lvl w:ilvl="1" w:tplc="18090003" w:tentative="1">
      <w:start w:val="1"/>
      <w:numFmt w:val="bullet"/>
      <w:lvlText w:val="o"/>
      <w:lvlJc w:val="left"/>
      <w:pPr>
        <w:ind w:left="739" w:hanging="360"/>
      </w:pPr>
      <w:rPr>
        <w:rFonts w:ascii="Cambria Math" w:hAnsi="Cambria Math" w:cs="Cambria Math" w:hint="default"/>
      </w:rPr>
    </w:lvl>
    <w:lvl w:ilvl="2" w:tplc="18090005" w:tentative="1">
      <w:start w:val="1"/>
      <w:numFmt w:val="bullet"/>
      <w:lvlText w:val=""/>
      <w:lvlJc w:val="left"/>
      <w:pPr>
        <w:ind w:left="1459" w:hanging="360"/>
      </w:pPr>
      <w:rPr>
        <w:rFonts w:ascii="Wingdings" w:hAnsi="Wingdings" w:hint="default"/>
      </w:rPr>
    </w:lvl>
    <w:lvl w:ilvl="3" w:tplc="18090001" w:tentative="1">
      <w:start w:val="1"/>
      <w:numFmt w:val="bullet"/>
      <w:lvlText w:val=""/>
      <w:lvlJc w:val="left"/>
      <w:pPr>
        <w:ind w:left="2179" w:hanging="360"/>
      </w:pPr>
      <w:rPr>
        <w:rFonts w:ascii="Courier New" w:hAnsi="Courier New" w:hint="default"/>
      </w:rPr>
    </w:lvl>
    <w:lvl w:ilvl="4" w:tplc="18090003" w:tentative="1">
      <w:start w:val="1"/>
      <w:numFmt w:val="bullet"/>
      <w:lvlText w:val="o"/>
      <w:lvlJc w:val="left"/>
      <w:pPr>
        <w:ind w:left="2899" w:hanging="360"/>
      </w:pPr>
      <w:rPr>
        <w:rFonts w:ascii="Cambria Math" w:hAnsi="Cambria Math" w:cs="Cambria Math" w:hint="default"/>
      </w:rPr>
    </w:lvl>
    <w:lvl w:ilvl="5" w:tplc="18090005" w:tentative="1">
      <w:start w:val="1"/>
      <w:numFmt w:val="bullet"/>
      <w:lvlText w:val=""/>
      <w:lvlJc w:val="left"/>
      <w:pPr>
        <w:ind w:left="3619" w:hanging="360"/>
      </w:pPr>
      <w:rPr>
        <w:rFonts w:ascii="Wingdings" w:hAnsi="Wingdings" w:hint="default"/>
      </w:rPr>
    </w:lvl>
    <w:lvl w:ilvl="6" w:tplc="18090001" w:tentative="1">
      <w:start w:val="1"/>
      <w:numFmt w:val="bullet"/>
      <w:lvlText w:val=""/>
      <w:lvlJc w:val="left"/>
      <w:pPr>
        <w:ind w:left="4339" w:hanging="360"/>
      </w:pPr>
      <w:rPr>
        <w:rFonts w:ascii="Courier New" w:hAnsi="Courier New" w:hint="default"/>
      </w:rPr>
    </w:lvl>
    <w:lvl w:ilvl="7" w:tplc="18090003" w:tentative="1">
      <w:start w:val="1"/>
      <w:numFmt w:val="bullet"/>
      <w:lvlText w:val="o"/>
      <w:lvlJc w:val="left"/>
      <w:pPr>
        <w:ind w:left="5059" w:hanging="360"/>
      </w:pPr>
      <w:rPr>
        <w:rFonts w:ascii="Cambria Math" w:hAnsi="Cambria Math" w:cs="Cambria Math" w:hint="default"/>
      </w:rPr>
    </w:lvl>
    <w:lvl w:ilvl="8" w:tplc="18090005" w:tentative="1">
      <w:start w:val="1"/>
      <w:numFmt w:val="bullet"/>
      <w:lvlText w:val=""/>
      <w:lvlJc w:val="left"/>
      <w:pPr>
        <w:ind w:left="5779" w:hanging="360"/>
      </w:pPr>
      <w:rPr>
        <w:rFonts w:ascii="Wingdings" w:hAnsi="Wingdings" w:hint="default"/>
      </w:rPr>
    </w:lvl>
  </w:abstractNum>
  <w:abstractNum w:abstractNumId="332" w15:restartNumberingAfterBreak="0">
    <w:nsid w:val="37D9C68C"/>
    <w:multiLevelType w:val="hybridMultilevel"/>
    <w:tmpl w:val="105AAA2C"/>
    <w:lvl w:ilvl="0" w:tplc="FFFFFFFF">
      <w:start w:val="1"/>
      <w:numFmt w:val="bullet"/>
      <w:lvlText w:val=""/>
      <w:lvlJc w:val="left"/>
      <w:pPr>
        <w:ind w:left="720" w:hanging="360"/>
      </w:pPr>
      <w:rPr>
        <w:rFonts w:ascii="Symbol" w:hAnsi="Symbol" w:hint="default"/>
      </w:rPr>
    </w:lvl>
    <w:lvl w:ilvl="1" w:tplc="B1E2B5DA">
      <w:start w:val="1"/>
      <w:numFmt w:val="bullet"/>
      <w:lvlText w:val="o"/>
      <w:lvlJc w:val="left"/>
      <w:pPr>
        <w:ind w:left="1440" w:hanging="360"/>
      </w:pPr>
      <w:rPr>
        <w:rFonts w:ascii="Courier New" w:hAnsi="Courier New" w:hint="default"/>
      </w:rPr>
    </w:lvl>
    <w:lvl w:ilvl="2" w:tplc="192868AE">
      <w:start w:val="1"/>
      <w:numFmt w:val="bullet"/>
      <w:lvlText w:val=""/>
      <w:lvlJc w:val="left"/>
      <w:pPr>
        <w:ind w:left="2160" w:hanging="360"/>
      </w:pPr>
      <w:rPr>
        <w:rFonts w:ascii="Wingdings" w:hAnsi="Wingdings" w:hint="default"/>
      </w:rPr>
    </w:lvl>
    <w:lvl w:ilvl="3" w:tplc="7A8A5DC4">
      <w:start w:val="1"/>
      <w:numFmt w:val="bullet"/>
      <w:lvlText w:val=""/>
      <w:lvlJc w:val="left"/>
      <w:pPr>
        <w:ind w:left="2880" w:hanging="360"/>
      </w:pPr>
      <w:rPr>
        <w:rFonts w:ascii="Symbol" w:hAnsi="Symbol" w:hint="default"/>
      </w:rPr>
    </w:lvl>
    <w:lvl w:ilvl="4" w:tplc="9B1CF73A">
      <w:start w:val="1"/>
      <w:numFmt w:val="bullet"/>
      <w:lvlText w:val="o"/>
      <w:lvlJc w:val="left"/>
      <w:pPr>
        <w:ind w:left="3600" w:hanging="360"/>
      </w:pPr>
      <w:rPr>
        <w:rFonts w:ascii="Courier New" w:hAnsi="Courier New" w:hint="default"/>
      </w:rPr>
    </w:lvl>
    <w:lvl w:ilvl="5" w:tplc="EF148F64">
      <w:start w:val="1"/>
      <w:numFmt w:val="bullet"/>
      <w:lvlText w:val=""/>
      <w:lvlJc w:val="left"/>
      <w:pPr>
        <w:ind w:left="4320" w:hanging="360"/>
      </w:pPr>
      <w:rPr>
        <w:rFonts w:ascii="Wingdings" w:hAnsi="Wingdings" w:hint="default"/>
      </w:rPr>
    </w:lvl>
    <w:lvl w:ilvl="6" w:tplc="68C4BAFE">
      <w:start w:val="1"/>
      <w:numFmt w:val="bullet"/>
      <w:lvlText w:val=""/>
      <w:lvlJc w:val="left"/>
      <w:pPr>
        <w:ind w:left="5040" w:hanging="360"/>
      </w:pPr>
      <w:rPr>
        <w:rFonts w:ascii="Symbol" w:hAnsi="Symbol" w:hint="default"/>
      </w:rPr>
    </w:lvl>
    <w:lvl w:ilvl="7" w:tplc="30B88E74">
      <w:start w:val="1"/>
      <w:numFmt w:val="bullet"/>
      <w:lvlText w:val="o"/>
      <w:lvlJc w:val="left"/>
      <w:pPr>
        <w:ind w:left="5760" w:hanging="360"/>
      </w:pPr>
      <w:rPr>
        <w:rFonts w:ascii="Courier New" w:hAnsi="Courier New" w:hint="default"/>
      </w:rPr>
    </w:lvl>
    <w:lvl w:ilvl="8" w:tplc="7212C15A">
      <w:start w:val="1"/>
      <w:numFmt w:val="bullet"/>
      <w:lvlText w:val=""/>
      <w:lvlJc w:val="left"/>
      <w:pPr>
        <w:ind w:left="6480" w:hanging="360"/>
      </w:pPr>
      <w:rPr>
        <w:rFonts w:ascii="Wingdings" w:hAnsi="Wingdings" w:hint="default"/>
      </w:rPr>
    </w:lvl>
  </w:abstractNum>
  <w:abstractNum w:abstractNumId="333" w15:restartNumberingAfterBreak="0">
    <w:nsid w:val="37F0B873"/>
    <w:multiLevelType w:val="hybridMultilevel"/>
    <w:tmpl w:val="FFFFFFFF"/>
    <w:lvl w:ilvl="0" w:tplc="406024B6">
      <w:start w:val="1"/>
      <w:numFmt w:val="bullet"/>
      <w:lvlText w:val="o"/>
      <w:lvlJc w:val="left"/>
      <w:pPr>
        <w:ind w:left="720" w:hanging="360"/>
      </w:pPr>
      <w:rPr>
        <w:rFonts w:ascii="&quot;Courier New&quot;" w:hAnsi="&quot;Courier New&quot;" w:hint="default"/>
      </w:rPr>
    </w:lvl>
    <w:lvl w:ilvl="1" w:tplc="BFC0AB2E">
      <w:start w:val="1"/>
      <w:numFmt w:val="bullet"/>
      <w:lvlText w:val="o"/>
      <w:lvlJc w:val="left"/>
      <w:pPr>
        <w:ind w:left="1440" w:hanging="360"/>
      </w:pPr>
      <w:rPr>
        <w:rFonts w:ascii="Courier New" w:hAnsi="Courier New" w:hint="default"/>
      </w:rPr>
    </w:lvl>
    <w:lvl w:ilvl="2" w:tplc="785AA948">
      <w:start w:val="1"/>
      <w:numFmt w:val="bullet"/>
      <w:lvlText w:val=""/>
      <w:lvlJc w:val="left"/>
      <w:pPr>
        <w:ind w:left="2160" w:hanging="360"/>
      </w:pPr>
      <w:rPr>
        <w:rFonts w:ascii="Wingdings" w:hAnsi="Wingdings" w:hint="default"/>
      </w:rPr>
    </w:lvl>
    <w:lvl w:ilvl="3" w:tplc="D9D8E0B0">
      <w:start w:val="1"/>
      <w:numFmt w:val="bullet"/>
      <w:lvlText w:val=""/>
      <w:lvlJc w:val="left"/>
      <w:pPr>
        <w:ind w:left="2880" w:hanging="360"/>
      </w:pPr>
      <w:rPr>
        <w:rFonts w:ascii="Symbol" w:hAnsi="Symbol" w:hint="default"/>
      </w:rPr>
    </w:lvl>
    <w:lvl w:ilvl="4" w:tplc="583EAAC0">
      <w:start w:val="1"/>
      <w:numFmt w:val="bullet"/>
      <w:lvlText w:val="o"/>
      <w:lvlJc w:val="left"/>
      <w:pPr>
        <w:ind w:left="3600" w:hanging="360"/>
      </w:pPr>
      <w:rPr>
        <w:rFonts w:ascii="Courier New" w:hAnsi="Courier New" w:hint="default"/>
      </w:rPr>
    </w:lvl>
    <w:lvl w:ilvl="5" w:tplc="F56AA998">
      <w:start w:val="1"/>
      <w:numFmt w:val="bullet"/>
      <w:lvlText w:val=""/>
      <w:lvlJc w:val="left"/>
      <w:pPr>
        <w:ind w:left="4320" w:hanging="360"/>
      </w:pPr>
      <w:rPr>
        <w:rFonts w:ascii="Wingdings" w:hAnsi="Wingdings" w:hint="default"/>
      </w:rPr>
    </w:lvl>
    <w:lvl w:ilvl="6" w:tplc="BFEA29C2">
      <w:start w:val="1"/>
      <w:numFmt w:val="bullet"/>
      <w:lvlText w:val=""/>
      <w:lvlJc w:val="left"/>
      <w:pPr>
        <w:ind w:left="5040" w:hanging="360"/>
      </w:pPr>
      <w:rPr>
        <w:rFonts w:ascii="Symbol" w:hAnsi="Symbol" w:hint="default"/>
      </w:rPr>
    </w:lvl>
    <w:lvl w:ilvl="7" w:tplc="7F765CFE">
      <w:start w:val="1"/>
      <w:numFmt w:val="bullet"/>
      <w:lvlText w:val="o"/>
      <w:lvlJc w:val="left"/>
      <w:pPr>
        <w:ind w:left="5760" w:hanging="360"/>
      </w:pPr>
      <w:rPr>
        <w:rFonts w:ascii="Courier New" w:hAnsi="Courier New" w:hint="default"/>
      </w:rPr>
    </w:lvl>
    <w:lvl w:ilvl="8" w:tplc="0268CD42">
      <w:start w:val="1"/>
      <w:numFmt w:val="bullet"/>
      <w:lvlText w:val=""/>
      <w:lvlJc w:val="left"/>
      <w:pPr>
        <w:ind w:left="6480" w:hanging="360"/>
      </w:pPr>
      <w:rPr>
        <w:rFonts w:ascii="Wingdings" w:hAnsi="Wingdings" w:hint="default"/>
      </w:rPr>
    </w:lvl>
  </w:abstractNum>
  <w:abstractNum w:abstractNumId="334" w15:restartNumberingAfterBreak="0">
    <w:nsid w:val="382356CE"/>
    <w:multiLevelType w:val="hybridMultilevel"/>
    <w:tmpl w:val="87DA39C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5" w15:restartNumberingAfterBreak="0">
    <w:nsid w:val="382521B6"/>
    <w:multiLevelType w:val="multilevel"/>
    <w:tmpl w:val="10E2F84E"/>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6" w15:restartNumberingAfterBreak="0">
    <w:nsid w:val="382D639E"/>
    <w:multiLevelType w:val="hybridMultilevel"/>
    <w:tmpl w:val="F30240C8"/>
    <w:lvl w:ilvl="0" w:tplc="08090017">
      <w:start w:val="1"/>
      <w:numFmt w:val="lowerLetter"/>
      <w:lvlText w:val="%1)"/>
      <w:lvlJc w:val="left"/>
      <w:pPr>
        <w:ind w:left="720" w:hanging="360"/>
      </w:pPr>
    </w:lvl>
    <w:lvl w:ilvl="1" w:tplc="1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384B3251"/>
    <w:multiLevelType w:val="hybridMultilevel"/>
    <w:tmpl w:val="FFFFFFFF"/>
    <w:lvl w:ilvl="0" w:tplc="77044720">
      <w:start w:val="7"/>
      <w:numFmt w:val="decimal"/>
      <w:lvlText w:val="%1."/>
      <w:lvlJc w:val="left"/>
      <w:pPr>
        <w:ind w:left="720" w:hanging="360"/>
      </w:pPr>
    </w:lvl>
    <w:lvl w:ilvl="1" w:tplc="0F3E2B3A">
      <w:start w:val="1"/>
      <w:numFmt w:val="lowerLetter"/>
      <w:lvlText w:val="%2."/>
      <w:lvlJc w:val="left"/>
      <w:pPr>
        <w:ind w:left="1440" w:hanging="360"/>
      </w:pPr>
    </w:lvl>
    <w:lvl w:ilvl="2" w:tplc="DB8AFC12">
      <w:start w:val="1"/>
      <w:numFmt w:val="lowerRoman"/>
      <w:lvlText w:val="%3."/>
      <w:lvlJc w:val="right"/>
      <w:pPr>
        <w:ind w:left="2160" w:hanging="180"/>
      </w:pPr>
    </w:lvl>
    <w:lvl w:ilvl="3" w:tplc="D15EA9F4">
      <w:start w:val="1"/>
      <w:numFmt w:val="decimal"/>
      <w:lvlText w:val="%4."/>
      <w:lvlJc w:val="left"/>
      <w:pPr>
        <w:ind w:left="2880" w:hanging="360"/>
      </w:pPr>
    </w:lvl>
    <w:lvl w:ilvl="4" w:tplc="9DFEC8E8">
      <w:start w:val="1"/>
      <w:numFmt w:val="lowerLetter"/>
      <w:lvlText w:val="%5."/>
      <w:lvlJc w:val="left"/>
      <w:pPr>
        <w:ind w:left="3600" w:hanging="360"/>
      </w:pPr>
    </w:lvl>
    <w:lvl w:ilvl="5" w:tplc="05FE2D8A">
      <w:start w:val="1"/>
      <w:numFmt w:val="lowerRoman"/>
      <w:lvlText w:val="%6."/>
      <w:lvlJc w:val="right"/>
      <w:pPr>
        <w:ind w:left="4320" w:hanging="180"/>
      </w:pPr>
    </w:lvl>
    <w:lvl w:ilvl="6" w:tplc="7A86DCDC">
      <w:start w:val="1"/>
      <w:numFmt w:val="decimal"/>
      <w:lvlText w:val="%7."/>
      <w:lvlJc w:val="left"/>
      <w:pPr>
        <w:ind w:left="5040" w:hanging="360"/>
      </w:pPr>
    </w:lvl>
    <w:lvl w:ilvl="7" w:tplc="9CAA9070">
      <w:start w:val="1"/>
      <w:numFmt w:val="lowerLetter"/>
      <w:lvlText w:val="%8."/>
      <w:lvlJc w:val="left"/>
      <w:pPr>
        <w:ind w:left="5760" w:hanging="360"/>
      </w:pPr>
    </w:lvl>
    <w:lvl w:ilvl="8" w:tplc="A22611A0">
      <w:start w:val="1"/>
      <w:numFmt w:val="lowerRoman"/>
      <w:lvlText w:val="%9."/>
      <w:lvlJc w:val="right"/>
      <w:pPr>
        <w:ind w:left="6480" w:hanging="180"/>
      </w:pPr>
    </w:lvl>
  </w:abstractNum>
  <w:abstractNum w:abstractNumId="338" w15:restartNumberingAfterBreak="0">
    <w:nsid w:val="38596246"/>
    <w:multiLevelType w:val="hybridMultilevel"/>
    <w:tmpl w:val="D0C6C9E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39" w15:restartNumberingAfterBreak="0">
    <w:nsid w:val="388D8155"/>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38AE9E28"/>
    <w:multiLevelType w:val="hybridMultilevel"/>
    <w:tmpl w:val="FFFFFFFF"/>
    <w:lvl w:ilvl="0" w:tplc="6DE69E20">
      <w:start w:val="1"/>
      <w:numFmt w:val="bullet"/>
      <w:lvlText w:val="o"/>
      <w:lvlJc w:val="left"/>
      <w:pPr>
        <w:ind w:left="720" w:hanging="360"/>
      </w:pPr>
      <w:rPr>
        <w:rFonts w:ascii="&quot;Courier New&quot;" w:hAnsi="&quot;Courier New&quot;" w:hint="default"/>
      </w:rPr>
    </w:lvl>
    <w:lvl w:ilvl="1" w:tplc="D8302986">
      <w:start w:val="1"/>
      <w:numFmt w:val="bullet"/>
      <w:lvlText w:val="o"/>
      <w:lvlJc w:val="left"/>
      <w:pPr>
        <w:ind w:left="1440" w:hanging="360"/>
      </w:pPr>
      <w:rPr>
        <w:rFonts w:ascii="Courier New" w:hAnsi="Courier New" w:hint="default"/>
      </w:rPr>
    </w:lvl>
    <w:lvl w:ilvl="2" w:tplc="55D4FF1E">
      <w:start w:val="1"/>
      <w:numFmt w:val="bullet"/>
      <w:lvlText w:val=""/>
      <w:lvlJc w:val="left"/>
      <w:pPr>
        <w:ind w:left="2160" w:hanging="360"/>
      </w:pPr>
      <w:rPr>
        <w:rFonts w:ascii="Wingdings" w:hAnsi="Wingdings" w:hint="default"/>
      </w:rPr>
    </w:lvl>
    <w:lvl w:ilvl="3" w:tplc="B63837BC">
      <w:start w:val="1"/>
      <w:numFmt w:val="bullet"/>
      <w:lvlText w:val=""/>
      <w:lvlJc w:val="left"/>
      <w:pPr>
        <w:ind w:left="2880" w:hanging="360"/>
      </w:pPr>
      <w:rPr>
        <w:rFonts w:ascii="Symbol" w:hAnsi="Symbol" w:hint="default"/>
      </w:rPr>
    </w:lvl>
    <w:lvl w:ilvl="4" w:tplc="A9D039E6">
      <w:start w:val="1"/>
      <w:numFmt w:val="bullet"/>
      <w:lvlText w:val="o"/>
      <w:lvlJc w:val="left"/>
      <w:pPr>
        <w:ind w:left="3600" w:hanging="360"/>
      </w:pPr>
      <w:rPr>
        <w:rFonts w:ascii="Courier New" w:hAnsi="Courier New" w:hint="default"/>
      </w:rPr>
    </w:lvl>
    <w:lvl w:ilvl="5" w:tplc="AA680628">
      <w:start w:val="1"/>
      <w:numFmt w:val="bullet"/>
      <w:lvlText w:val=""/>
      <w:lvlJc w:val="left"/>
      <w:pPr>
        <w:ind w:left="4320" w:hanging="360"/>
      </w:pPr>
      <w:rPr>
        <w:rFonts w:ascii="Wingdings" w:hAnsi="Wingdings" w:hint="default"/>
      </w:rPr>
    </w:lvl>
    <w:lvl w:ilvl="6" w:tplc="AEAC7BCC">
      <w:start w:val="1"/>
      <w:numFmt w:val="bullet"/>
      <w:lvlText w:val=""/>
      <w:lvlJc w:val="left"/>
      <w:pPr>
        <w:ind w:left="5040" w:hanging="360"/>
      </w:pPr>
      <w:rPr>
        <w:rFonts w:ascii="Symbol" w:hAnsi="Symbol" w:hint="default"/>
      </w:rPr>
    </w:lvl>
    <w:lvl w:ilvl="7" w:tplc="D5723520">
      <w:start w:val="1"/>
      <w:numFmt w:val="bullet"/>
      <w:lvlText w:val="o"/>
      <w:lvlJc w:val="left"/>
      <w:pPr>
        <w:ind w:left="5760" w:hanging="360"/>
      </w:pPr>
      <w:rPr>
        <w:rFonts w:ascii="Courier New" w:hAnsi="Courier New" w:hint="default"/>
      </w:rPr>
    </w:lvl>
    <w:lvl w:ilvl="8" w:tplc="5C5EEAA4">
      <w:start w:val="1"/>
      <w:numFmt w:val="bullet"/>
      <w:lvlText w:val=""/>
      <w:lvlJc w:val="left"/>
      <w:pPr>
        <w:ind w:left="6480" w:hanging="360"/>
      </w:pPr>
      <w:rPr>
        <w:rFonts w:ascii="Wingdings" w:hAnsi="Wingdings" w:hint="default"/>
      </w:rPr>
    </w:lvl>
  </w:abstractNum>
  <w:abstractNum w:abstractNumId="341" w15:restartNumberingAfterBreak="0">
    <w:nsid w:val="38CD5C44"/>
    <w:multiLevelType w:val="multilevel"/>
    <w:tmpl w:val="E8C2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93F677D"/>
    <w:multiLevelType w:val="multilevel"/>
    <w:tmpl w:val="C1B8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39A82B28"/>
    <w:multiLevelType w:val="hybridMultilevel"/>
    <w:tmpl w:val="8CF89BE6"/>
    <w:lvl w:ilvl="0" w:tplc="08090017">
      <w:start w:val="1"/>
      <w:numFmt w:val="lowerLetter"/>
      <w:lvlText w:val="%1)"/>
      <w:lvlJc w:val="left"/>
      <w:pPr>
        <w:ind w:left="2704" w:hanging="360"/>
      </w:pPr>
    </w:lvl>
    <w:lvl w:ilvl="1" w:tplc="04090019" w:tentative="1">
      <w:start w:val="1"/>
      <w:numFmt w:val="lowerLetter"/>
      <w:lvlText w:val="%2."/>
      <w:lvlJc w:val="left"/>
      <w:pPr>
        <w:ind w:left="3424" w:hanging="360"/>
      </w:pPr>
    </w:lvl>
    <w:lvl w:ilvl="2" w:tplc="0409001B" w:tentative="1">
      <w:start w:val="1"/>
      <w:numFmt w:val="lowerRoman"/>
      <w:lvlText w:val="%3."/>
      <w:lvlJc w:val="right"/>
      <w:pPr>
        <w:ind w:left="4144" w:hanging="180"/>
      </w:pPr>
    </w:lvl>
    <w:lvl w:ilvl="3" w:tplc="0409000F" w:tentative="1">
      <w:start w:val="1"/>
      <w:numFmt w:val="decimal"/>
      <w:lvlText w:val="%4."/>
      <w:lvlJc w:val="left"/>
      <w:pPr>
        <w:ind w:left="4864" w:hanging="360"/>
      </w:pPr>
    </w:lvl>
    <w:lvl w:ilvl="4" w:tplc="04090019" w:tentative="1">
      <w:start w:val="1"/>
      <w:numFmt w:val="lowerLetter"/>
      <w:lvlText w:val="%5."/>
      <w:lvlJc w:val="left"/>
      <w:pPr>
        <w:ind w:left="5584" w:hanging="360"/>
      </w:pPr>
    </w:lvl>
    <w:lvl w:ilvl="5" w:tplc="0409001B" w:tentative="1">
      <w:start w:val="1"/>
      <w:numFmt w:val="lowerRoman"/>
      <w:lvlText w:val="%6."/>
      <w:lvlJc w:val="right"/>
      <w:pPr>
        <w:ind w:left="6304" w:hanging="180"/>
      </w:pPr>
    </w:lvl>
    <w:lvl w:ilvl="6" w:tplc="0409000F" w:tentative="1">
      <w:start w:val="1"/>
      <w:numFmt w:val="decimal"/>
      <w:lvlText w:val="%7."/>
      <w:lvlJc w:val="left"/>
      <w:pPr>
        <w:ind w:left="7024" w:hanging="360"/>
      </w:pPr>
    </w:lvl>
    <w:lvl w:ilvl="7" w:tplc="04090019" w:tentative="1">
      <w:start w:val="1"/>
      <w:numFmt w:val="lowerLetter"/>
      <w:lvlText w:val="%8."/>
      <w:lvlJc w:val="left"/>
      <w:pPr>
        <w:ind w:left="7744" w:hanging="360"/>
      </w:pPr>
    </w:lvl>
    <w:lvl w:ilvl="8" w:tplc="0409001B" w:tentative="1">
      <w:start w:val="1"/>
      <w:numFmt w:val="lowerRoman"/>
      <w:lvlText w:val="%9."/>
      <w:lvlJc w:val="right"/>
      <w:pPr>
        <w:ind w:left="8464" w:hanging="180"/>
      </w:pPr>
    </w:lvl>
  </w:abstractNum>
  <w:abstractNum w:abstractNumId="344" w15:restartNumberingAfterBreak="0">
    <w:nsid w:val="39B21F2D"/>
    <w:multiLevelType w:val="hybridMultilevel"/>
    <w:tmpl w:val="84460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5" w15:restartNumberingAfterBreak="0">
    <w:nsid w:val="39D13959"/>
    <w:multiLevelType w:val="hybridMultilevel"/>
    <w:tmpl w:val="8832742C"/>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6" w15:restartNumberingAfterBreak="0">
    <w:nsid w:val="3A050833"/>
    <w:multiLevelType w:val="hybridMultilevel"/>
    <w:tmpl w:val="838AEB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7" w15:restartNumberingAfterBreak="0">
    <w:nsid w:val="3A255E93"/>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15:restartNumberingAfterBreak="0">
    <w:nsid w:val="3A3979AC"/>
    <w:multiLevelType w:val="hybridMultilevel"/>
    <w:tmpl w:val="FFFFFFFF"/>
    <w:lvl w:ilvl="0" w:tplc="01D0EA4A">
      <w:start w:val="5"/>
      <w:numFmt w:val="decimal"/>
      <w:lvlText w:val="%1."/>
      <w:lvlJc w:val="left"/>
      <w:pPr>
        <w:ind w:left="720" w:hanging="360"/>
      </w:pPr>
    </w:lvl>
    <w:lvl w:ilvl="1" w:tplc="B7801D44">
      <w:start w:val="1"/>
      <w:numFmt w:val="lowerLetter"/>
      <w:lvlText w:val="%2."/>
      <w:lvlJc w:val="left"/>
      <w:pPr>
        <w:ind w:left="1440" w:hanging="360"/>
      </w:pPr>
    </w:lvl>
    <w:lvl w:ilvl="2" w:tplc="3EDA91C4">
      <w:start w:val="1"/>
      <w:numFmt w:val="lowerRoman"/>
      <w:lvlText w:val="%3."/>
      <w:lvlJc w:val="right"/>
      <w:pPr>
        <w:ind w:left="2160" w:hanging="180"/>
      </w:pPr>
    </w:lvl>
    <w:lvl w:ilvl="3" w:tplc="7514ECD6">
      <w:start w:val="1"/>
      <w:numFmt w:val="decimal"/>
      <w:lvlText w:val="%4."/>
      <w:lvlJc w:val="left"/>
      <w:pPr>
        <w:ind w:left="2880" w:hanging="360"/>
      </w:pPr>
    </w:lvl>
    <w:lvl w:ilvl="4" w:tplc="785E25A0">
      <w:start w:val="1"/>
      <w:numFmt w:val="lowerLetter"/>
      <w:lvlText w:val="%5."/>
      <w:lvlJc w:val="left"/>
      <w:pPr>
        <w:ind w:left="3600" w:hanging="360"/>
      </w:pPr>
    </w:lvl>
    <w:lvl w:ilvl="5" w:tplc="F196BE30">
      <w:start w:val="1"/>
      <w:numFmt w:val="lowerRoman"/>
      <w:lvlText w:val="%6."/>
      <w:lvlJc w:val="right"/>
      <w:pPr>
        <w:ind w:left="4320" w:hanging="180"/>
      </w:pPr>
    </w:lvl>
    <w:lvl w:ilvl="6" w:tplc="A7A03540">
      <w:start w:val="1"/>
      <w:numFmt w:val="decimal"/>
      <w:lvlText w:val="%7."/>
      <w:lvlJc w:val="left"/>
      <w:pPr>
        <w:ind w:left="5040" w:hanging="360"/>
      </w:pPr>
    </w:lvl>
    <w:lvl w:ilvl="7" w:tplc="5FDCFE84">
      <w:start w:val="1"/>
      <w:numFmt w:val="lowerLetter"/>
      <w:lvlText w:val="%8."/>
      <w:lvlJc w:val="left"/>
      <w:pPr>
        <w:ind w:left="5760" w:hanging="360"/>
      </w:pPr>
    </w:lvl>
    <w:lvl w:ilvl="8" w:tplc="BBC2A2C8">
      <w:start w:val="1"/>
      <w:numFmt w:val="lowerRoman"/>
      <w:lvlText w:val="%9."/>
      <w:lvlJc w:val="right"/>
      <w:pPr>
        <w:ind w:left="6480" w:hanging="180"/>
      </w:pPr>
    </w:lvl>
  </w:abstractNum>
  <w:abstractNum w:abstractNumId="349" w15:restartNumberingAfterBreak="0">
    <w:nsid w:val="3A471EE4"/>
    <w:multiLevelType w:val="hybridMultilevel"/>
    <w:tmpl w:val="FFFFFFFF"/>
    <w:lvl w:ilvl="0" w:tplc="9BB4BCA0">
      <w:start w:val="1"/>
      <w:numFmt w:val="bullet"/>
      <w:lvlText w:val="o"/>
      <w:lvlJc w:val="left"/>
      <w:pPr>
        <w:ind w:left="720" w:hanging="360"/>
      </w:pPr>
      <w:rPr>
        <w:rFonts w:ascii="&quot;Courier New&quot;" w:hAnsi="&quot;Courier New&quot;" w:hint="default"/>
      </w:rPr>
    </w:lvl>
    <w:lvl w:ilvl="1" w:tplc="E8B60D9C">
      <w:start w:val="1"/>
      <w:numFmt w:val="bullet"/>
      <w:lvlText w:val="o"/>
      <w:lvlJc w:val="left"/>
      <w:pPr>
        <w:ind w:left="1440" w:hanging="360"/>
      </w:pPr>
      <w:rPr>
        <w:rFonts w:ascii="Courier New" w:hAnsi="Courier New" w:hint="default"/>
      </w:rPr>
    </w:lvl>
    <w:lvl w:ilvl="2" w:tplc="7944ACB0">
      <w:start w:val="1"/>
      <w:numFmt w:val="bullet"/>
      <w:lvlText w:val=""/>
      <w:lvlJc w:val="left"/>
      <w:pPr>
        <w:ind w:left="2160" w:hanging="360"/>
      </w:pPr>
      <w:rPr>
        <w:rFonts w:ascii="Wingdings" w:hAnsi="Wingdings" w:hint="default"/>
      </w:rPr>
    </w:lvl>
    <w:lvl w:ilvl="3" w:tplc="8794B12A">
      <w:start w:val="1"/>
      <w:numFmt w:val="bullet"/>
      <w:lvlText w:val=""/>
      <w:lvlJc w:val="left"/>
      <w:pPr>
        <w:ind w:left="2880" w:hanging="360"/>
      </w:pPr>
      <w:rPr>
        <w:rFonts w:ascii="Symbol" w:hAnsi="Symbol" w:hint="default"/>
      </w:rPr>
    </w:lvl>
    <w:lvl w:ilvl="4" w:tplc="0994C470">
      <w:start w:val="1"/>
      <w:numFmt w:val="bullet"/>
      <w:lvlText w:val="o"/>
      <w:lvlJc w:val="left"/>
      <w:pPr>
        <w:ind w:left="3600" w:hanging="360"/>
      </w:pPr>
      <w:rPr>
        <w:rFonts w:ascii="Courier New" w:hAnsi="Courier New" w:hint="default"/>
      </w:rPr>
    </w:lvl>
    <w:lvl w:ilvl="5" w:tplc="7B862510">
      <w:start w:val="1"/>
      <w:numFmt w:val="bullet"/>
      <w:lvlText w:val=""/>
      <w:lvlJc w:val="left"/>
      <w:pPr>
        <w:ind w:left="4320" w:hanging="360"/>
      </w:pPr>
      <w:rPr>
        <w:rFonts w:ascii="Wingdings" w:hAnsi="Wingdings" w:hint="default"/>
      </w:rPr>
    </w:lvl>
    <w:lvl w:ilvl="6" w:tplc="2984FC64">
      <w:start w:val="1"/>
      <w:numFmt w:val="bullet"/>
      <w:lvlText w:val=""/>
      <w:lvlJc w:val="left"/>
      <w:pPr>
        <w:ind w:left="5040" w:hanging="360"/>
      </w:pPr>
      <w:rPr>
        <w:rFonts w:ascii="Symbol" w:hAnsi="Symbol" w:hint="default"/>
      </w:rPr>
    </w:lvl>
    <w:lvl w:ilvl="7" w:tplc="3EDA8984">
      <w:start w:val="1"/>
      <w:numFmt w:val="bullet"/>
      <w:lvlText w:val="o"/>
      <w:lvlJc w:val="left"/>
      <w:pPr>
        <w:ind w:left="5760" w:hanging="360"/>
      </w:pPr>
      <w:rPr>
        <w:rFonts w:ascii="Courier New" w:hAnsi="Courier New" w:hint="default"/>
      </w:rPr>
    </w:lvl>
    <w:lvl w:ilvl="8" w:tplc="1DC2F516">
      <w:start w:val="1"/>
      <w:numFmt w:val="bullet"/>
      <w:lvlText w:val=""/>
      <w:lvlJc w:val="left"/>
      <w:pPr>
        <w:ind w:left="6480" w:hanging="360"/>
      </w:pPr>
      <w:rPr>
        <w:rFonts w:ascii="Wingdings" w:hAnsi="Wingdings" w:hint="default"/>
      </w:rPr>
    </w:lvl>
  </w:abstractNum>
  <w:abstractNum w:abstractNumId="350" w15:restartNumberingAfterBreak="0">
    <w:nsid w:val="3A575E44"/>
    <w:multiLevelType w:val="hybridMultilevel"/>
    <w:tmpl w:val="8F66C5BA"/>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3A871943"/>
    <w:multiLevelType w:val="hybridMultilevel"/>
    <w:tmpl w:val="1E8EB4CC"/>
    <w:lvl w:ilvl="0" w:tplc="772AEDB4">
      <w:start w:val="1"/>
      <w:numFmt w:val="bullet"/>
      <w:lvlText w:val=""/>
      <w:lvlJc w:val="left"/>
      <w:pPr>
        <w:ind w:left="720" w:hanging="360"/>
      </w:pPr>
      <w:rPr>
        <w:rFonts w:ascii="Symbol" w:hAnsi="Symbol" w:hint="default"/>
      </w:rPr>
    </w:lvl>
    <w:lvl w:ilvl="1" w:tplc="DC72B5F2">
      <w:start w:val="1"/>
      <w:numFmt w:val="bullet"/>
      <w:lvlText w:val="o"/>
      <w:lvlJc w:val="left"/>
      <w:pPr>
        <w:ind w:left="1440" w:hanging="360"/>
      </w:pPr>
      <w:rPr>
        <w:rFonts w:ascii="Courier New" w:hAnsi="Courier New" w:hint="default"/>
      </w:rPr>
    </w:lvl>
    <w:lvl w:ilvl="2" w:tplc="9A7ACB34">
      <w:start w:val="1"/>
      <w:numFmt w:val="bullet"/>
      <w:lvlText w:val=""/>
      <w:lvlJc w:val="left"/>
      <w:pPr>
        <w:ind w:left="2160" w:hanging="360"/>
      </w:pPr>
      <w:rPr>
        <w:rFonts w:ascii="Wingdings" w:hAnsi="Wingdings" w:hint="default"/>
      </w:rPr>
    </w:lvl>
    <w:lvl w:ilvl="3" w:tplc="3D565D64">
      <w:start w:val="1"/>
      <w:numFmt w:val="bullet"/>
      <w:lvlText w:val=""/>
      <w:lvlJc w:val="left"/>
      <w:pPr>
        <w:ind w:left="2880" w:hanging="360"/>
      </w:pPr>
      <w:rPr>
        <w:rFonts w:ascii="Symbol" w:hAnsi="Symbol" w:hint="default"/>
      </w:rPr>
    </w:lvl>
    <w:lvl w:ilvl="4" w:tplc="3F5C3424">
      <w:start w:val="1"/>
      <w:numFmt w:val="bullet"/>
      <w:lvlText w:val="o"/>
      <w:lvlJc w:val="left"/>
      <w:pPr>
        <w:ind w:left="3600" w:hanging="360"/>
      </w:pPr>
      <w:rPr>
        <w:rFonts w:ascii="Courier New" w:hAnsi="Courier New" w:hint="default"/>
      </w:rPr>
    </w:lvl>
    <w:lvl w:ilvl="5" w:tplc="B8866D8E">
      <w:start w:val="1"/>
      <w:numFmt w:val="bullet"/>
      <w:lvlText w:val=""/>
      <w:lvlJc w:val="left"/>
      <w:pPr>
        <w:ind w:left="4320" w:hanging="360"/>
      </w:pPr>
      <w:rPr>
        <w:rFonts w:ascii="Wingdings" w:hAnsi="Wingdings" w:hint="default"/>
      </w:rPr>
    </w:lvl>
    <w:lvl w:ilvl="6" w:tplc="802EC9E0">
      <w:start w:val="1"/>
      <w:numFmt w:val="bullet"/>
      <w:lvlText w:val=""/>
      <w:lvlJc w:val="left"/>
      <w:pPr>
        <w:ind w:left="5040" w:hanging="360"/>
      </w:pPr>
      <w:rPr>
        <w:rFonts w:ascii="Symbol" w:hAnsi="Symbol" w:hint="default"/>
      </w:rPr>
    </w:lvl>
    <w:lvl w:ilvl="7" w:tplc="3AE6DB1E">
      <w:start w:val="1"/>
      <w:numFmt w:val="bullet"/>
      <w:lvlText w:val="o"/>
      <w:lvlJc w:val="left"/>
      <w:pPr>
        <w:ind w:left="5760" w:hanging="360"/>
      </w:pPr>
      <w:rPr>
        <w:rFonts w:ascii="Courier New" w:hAnsi="Courier New" w:hint="default"/>
      </w:rPr>
    </w:lvl>
    <w:lvl w:ilvl="8" w:tplc="B928DB12">
      <w:start w:val="1"/>
      <w:numFmt w:val="bullet"/>
      <w:lvlText w:val=""/>
      <w:lvlJc w:val="left"/>
      <w:pPr>
        <w:ind w:left="6480" w:hanging="360"/>
      </w:pPr>
      <w:rPr>
        <w:rFonts w:ascii="Wingdings" w:hAnsi="Wingdings" w:hint="default"/>
      </w:rPr>
    </w:lvl>
  </w:abstractNum>
  <w:abstractNum w:abstractNumId="352" w15:restartNumberingAfterBreak="0">
    <w:nsid w:val="3AB60FF4"/>
    <w:multiLevelType w:val="hybridMultilevel"/>
    <w:tmpl w:val="81EE075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353" w15:restartNumberingAfterBreak="0">
    <w:nsid w:val="3ACD0EAB"/>
    <w:multiLevelType w:val="hybridMultilevel"/>
    <w:tmpl w:val="7FBE42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4" w15:restartNumberingAfterBreak="0">
    <w:nsid w:val="3AE17AE4"/>
    <w:multiLevelType w:val="hybridMultilevel"/>
    <w:tmpl w:val="6772E446"/>
    <w:lvl w:ilvl="0" w:tplc="FF7C00E4">
      <w:numFmt w:val="bullet"/>
      <w:lvlText w:val=""/>
      <w:lvlJc w:val="left"/>
      <w:pPr>
        <w:ind w:left="720" w:hanging="360"/>
      </w:pPr>
      <w:rPr>
        <w:rFonts w:ascii="Wingdings" w:eastAsiaTheme="minorHAnsi" w:hAnsi="Wingdings"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5" w15:restartNumberingAfterBreak="0">
    <w:nsid w:val="3B3B0D0E"/>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6" w15:restartNumberingAfterBreak="0">
    <w:nsid w:val="3B57295C"/>
    <w:multiLevelType w:val="hybridMultilevel"/>
    <w:tmpl w:val="B53C2B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7" w15:restartNumberingAfterBreak="0">
    <w:nsid w:val="3B753FFD"/>
    <w:multiLevelType w:val="multilevel"/>
    <w:tmpl w:val="1A06D2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3C111795"/>
    <w:multiLevelType w:val="hybridMultilevel"/>
    <w:tmpl w:val="EA404980"/>
    <w:lvl w:ilvl="0" w:tplc="75EAFCA8">
      <w:start w:val="1"/>
      <w:numFmt w:val="lowerLetter"/>
      <w:lvlText w:val="%1."/>
      <w:lvlJc w:val="left"/>
      <w:pPr>
        <w:ind w:left="144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9" w15:restartNumberingAfterBreak="0">
    <w:nsid w:val="3C16594F"/>
    <w:multiLevelType w:val="hybridMultilevel"/>
    <w:tmpl w:val="FFFFFFFF"/>
    <w:lvl w:ilvl="0" w:tplc="EC1EE548">
      <w:start w:val="2"/>
      <w:numFmt w:val="decimal"/>
      <w:lvlText w:val="%1."/>
      <w:lvlJc w:val="left"/>
      <w:pPr>
        <w:ind w:left="720" w:hanging="360"/>
      </w:pPr>
    </w:lvl>
    <w:lvl w:ilvl="1" w:tplc="96EA1A6A">
      <w:start w:val="1"/>
      <w:numFmt w:val="lowerLetter"/>
      <w:lvlText w:val="%2."/>
      <w:lvlJc w:val="left"/>
      <w:pPr>
        <w:ind w:left="1440" w:hanging="360"/>
      </w:pPr>
    </w:lvl>
    <w:lvl w:ilvl="2" w:tplc="DAA0BBFA">
      <w:start w:val="1"/>
      <w:numFmt w:val="lowerRoman"/>
      <w:lvlText w:val="%3."/>
      <w:lvlJc w:val="right"/>
      <w:pPr>
        <w:ind w:left="2160" w:hanging="180"/>
      </w:pPr>
    </w:lvl>
    <w:lvl w:ilvl="3" w:tplc="EE5E4A5C">
      <w:start w:val="1"/>
      <w:numFmt w:val="decimal"/>
      <w:lvlText w:val="%4."/>
      <w:lvlJc w:val="left"/>
      <w:pPr>
        <w:ind w:left="2880" w:hanging="360"/>
      </w:pPr>
    </w:lvl>
    <w:lvl w:ilvl="4" w:tplc="2474BAF4">
      <w:start w:val="1"/>
      <w:numFmt w:val="lowerLetter"/>
      <w:lvlText w:val="%5."/>
      <w:lvlJc w:val="left"/>
      <w:pPr>
        <w:ind w:left="3600" w:hanging="360"/>
      </w:pPr>
    </w:lvl>
    <w:lvl w:ilvl="5" w:tplc="B3429FD8">
      <w:start w:val="1"/>
      <w:numFmt w:val="lowerRoman"/>
      <w:lvlText w:val="%6."/>
      <w:lvlJc w:val="right"/>
      <w:pPr>
        <w:ind w:left="4320" w:hanging="180"/>
      </w:pPr>
    </w:lvl>
    <w:lvl w:ilvl="6" w:tplc="87DA57D4">
      <w:start w:val="1"/>
      <w:numFmt w:val="decimal"/>
      <w:lvlText w:val="%7."/>
      <w:lvlJc w:val="left"/>
      <w:pPr>
        <w:ind w:left="5040" w:hanging="360"/>
      </w:pPr>
    </w:lvl>
    <w:lvl w:ilvl="7" w:tplc="BFC0E164">
      <w:start w:val="1"/>
      <w:numFmt w:val="lowerLetter"/>
      <w:lvlText w:val="%8."/>
      <w:lvlJc w:val="left"/>
      <w:pPr>
        <w:ind w:left="5760" w:hanging="360"/>
      </w:pPr>
    </w:lvl>
    <w:lvl w:ilvl="8" w:tplc="69F664A2">
      <w:start w:val="1"/>
      <w:numFmt w:val="lowerRoman"/>
      <w:lvlText w:val="%9."/>
      <w:lvlJc w:val="right"/>
      <w:pPr>
        <w:ind w:left="6480" w:hanging="180"/>
      </w:pPr>
    </w:lvl>
  </w:abstractNum>
  <w:abstractNum w:abstractNumId="360" w15:restartNumberingAfterBreak="0">
    <w:nsid w:val="3C52555E"/>
    <w:multiLevelType w:val="hybridMultilevel"/>
    <w:tmpl w:val="2D989A44"/>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1" w15:restartNumberingAfterBreak="0">
    <w:nsid w:val="3C525F88"/>
    <w:multiLevelType w:val="hybridMultilevel"/>
    <w:tmpl w:val="719CF70E"/>
    <w:lvl w:ilvl="0" w:tplc="75C0B32A">
      <w:start w:val="1"/>
      <w:numFmt w:val="bullet"/>
      <w:lvlText w:val=""/>
      <w:lvlJc w:val="left"/>
      <w:pPr>
        <w:ind w:left="720" w:hanging="360"/>
      </w:pPr>
      <w:rPr>
        <w:rFonts w:ascii="Symbol" w:hAnsi="Symbol"/>
      </w:rPr>
    </w:lvl>
    <w:lvl w:ilvl="1" w:tplc="0600AA72">
      <w:start w:val="1"/>
      <w:numFmt w:val="bullet"/>
      <w:lvlText w:val=""/>
      <w:lvlJc w:val="left"/>
      <w:pPr>
        <w:ind w:left="720" w:hanging="360"/>
      </w:pPr>
      <w:rPr>
        <w:rFonts w:ascii="Symbol" w:hAnsi="Symbol"/>
      </w:rPr>
    </w:lvl>
    <w:lvl w:ilvl="2" w:tplc="7CA68260">
      <w:start w:val="1"/>
      <w:numFmt w:val="bullet"/>
      <w:lvlText w:val=""/>
      <w:lvlJc w:val="left"/>
      <w:pPr>
        <w:ind w:left="720" w:hanging="360"/>
      </w:pPr>
      <w:rPr>
        <w:rFonts w:ascii="Symbol" w:hAnsi="Symbol"/>
      </w:rPr>
    </w:lvl>
    <w:lvl w:ilvl="3" w:tplc="16E811F2">
      <w:start w:val="1"/>
      <w:numFmt w:val="bullet"/>
      <w:lvlText w:val=""/>
      <w:lvlJc w:val="left"/>
      <w:pPr>
        <w:ind w:left="720" w:hanging="360"/>
      </w:pPr>
      <w:rPr>
        <w:rFonts w:ascii="Symbol" w:hAnsi="Symbol"/>
      </w:rPr>
    </w:lvl>
    <w:lvl w:ilvl="4" w:tplc="F460B32E">
      <w:start w:val="1"/>
      <w:numFmt w:val="bullet"/>
      <w:lvlText w:val=""/>
      <w:lvlJc w:val="left"/>
      <w:pPr>
        <w:ind w:left="720" w:hanging="360"/>
      </w:pPr>
      <w:rPr>
        <w:rFonts w:ascii="Symbol" w:hAnsi="Symbol"/>
      </w:rPr>
    </w:lvl>
    <w:lvl w:ilvl="5" w:tplc="8D125C64">
      <w:start w:val="1"/>
      <w:numFmt w:val="bullet"/>
      <w:lvlText w:val=""/>
      <w:lvlJc w:val="left"/>
      <w:pPr>
        <w:ind w:left="720" w:hanging="360"/>
      </w:pPr>
      <w:rPr>
        <w:rFonts w:ascii="Symbol" w:hAnsi="Symbol"/>
      </w:rPr>
    </w:lvl>
    <w:lvl w:ilvl="6" w:tplc="F2EC0BF0">
      <w:start w:val="1"/>
      <w:numFmt w:val="bullet"/>
      <w:lvlText w:val=""/>
      <w:lvlJc w:val="left"/>
      <w:pPr>
        <w:ind w:left="720" w:hanging="360"/>
      </w:pPr>
      <w:rPr>
        <w:rFonts w:ascii="Symbol" w:hAnsi="Symbol"/>
      </w:rPr>
    </w:lvl>
    <w:lvl w:ilvl="7" w:tplc="54B4FC5A">
      <w:start w:val="1"/>
      <w:numFmt w:val="bullet"/>
      <w:lvlText w:val=""/>
      <w:lvlJc w:val="left"/>
      <w:pPr>
        <w:ind w:left="720" w:hanging="360"/>
      </w:pPr>
      <w:rPr>
        <w:rFonts w:ascii="Symbol" w:hAnsi="Symbol"/>
      </w:rPr>
    </w:lvl>
    <w:lvl w:ilvl="8" w:tplc="D08E4D1A">
      <w:start w:val="1"/>
      <w:numFmt w:val="bullet"/>
      <w:lvlText w:val=""/>
      <w:lvlJc w:val="left"/>
      <w:pPr>
        <w:ind w:left="720" w:hanging="360"/>
      </w:pPr>
      <w:rPr>
        <w:rFonts w:ascii="Symbol" w:hAnsi="Symbol"/>
      </w:rPr>
    </w:lvl>
  </w:abstractNum>
  <w:abstractNum w:abstractNumId="362" w15:restartNumberingAfterBreak="0">
    <w:nsid w:val="3CC1C70E"/>
    <w:multiLevelType w:val="hybridMultilevel"/>
    <w:tmpl w:val="0FB0158E"/>
    <w:lvl w:ilvl="0" w:tplc="48902276">
      <w:start w:val="1"/>
      <w:numFmt w:val="bullet"/>
      <w:lvlText w:val="-"/>
      <w:lvlJc w:val="left"/>
      <w:pPr>
        <w:ind w:left="720" w:hanging="360"/>
      </w:pPr>
      <w:rPr>
        <w:rFonts w:ascii="Symbol" w:hAnsi="Symbol" w:hint="default"/>
      </w:rPr>
    </w:lvl>
    <w:lvl w:ilvl="1" w:tplc="7E088152">
      <w:start w:val="1"/>
      <w:numFmt w:val="bullet"/>
      <w:lvlText w:val="o"/>
      <w:lvlJc w:val="left"/>
      <w:pPr>
        <w:ind w:left="1440" w:hanging="360"/>
      </w:pPr>
      <w:rPr>
        <w:rFonts w:ascii="Courier New" w:hAnsi="Courier New" w:hint="default"/>
      </w:rPr>
    </w:lvl>
    <w:lvl w:ilvl="2" w:tplc="A214801E">
      <w:start w:val="1"/>
      <w:numFmt w:val="bullet"/>
      <w:lvlText w:val=""/>
      <w:lvlJc w:val="left"/>
      <w:pPr>
        <w:ind w:left="2160" w:hanging="360"/>
      </w:pPr>
      <w:rPr>
        <w:rFonts w:ascii="Wingdings" w:hAnsi="Wingdings" w:hint="default"/>
      </w:rPr>
    </w:lvl>
    <w:lvl w:ilvl="3" w:tplc="715EA164">
      <w:start w:val="1"/>
      <w:numFmt w:val="bullet"/>
      <w:lvlText w:val=""/>
      <w:lvlJc w:val="left"/>
      <w:pPr>
        <w:ind w:left="2880" w:hanging="360"/>
      </w:pPr>
      <w:rPr>
        <w:rFonts w:ascii="Symbol" w:hAnsi="Symbol" w:hint="default"/>
      </w:rPr>
    </w:lvl>
    <w:lvl w:ilvl="4" w:tplc="03C055FE">
      <w:start w:val="1"/>
      <w:numFmt w:val="bullet"/>
      <w:lvlText w:val="o"/>
      <w:lvlJc w:val="left"/>
      <w:pPr>
        <w:ind w:left="3600" w:hanging="360"/>
      </w:pPr>
      <w:rPr>
        <w:rFonts w:ascii="Courier New" w:hAnsi="Courier New" w:hint="default"/>
      </w:rPr>
    </w:lvl>
    <w:lvl w:ilvl="5" w:tplc="78B09410">
      <w:start w:val="1"/>
      <w:numFmt w:val="bullet"/>
      <w:lvlText w:val=""/>
      <w:lvlJc w:val="left"/>
      <w:pPr>
        <w:ind w:left="4320" w:hanging="360"/>
      </w:pPr>
      <w:rPr>
        <w:rFonts w:ascii="Wingdings" w:hAnsi="Wingdings" w:hint="default"/>
      </w:rPr>
    </w:lvl>
    <w:lvl w:ilvl="6" w:tplc="8FBC999C">
      <w:start w:val="1"/>
      <w:numFmt w:val="bullet"/>
      <w:lvlText w:val=""/>
      <w:lvlJc w:val="left"/>
      <w:pPr>
        <w:ind w:left="5040" w:hanging="360"/>
      </w:pPr>
      <w:rPr>
        <w:rFonts w:ascii="Symbol" w:hAnsi="Symbol" w:hint="default"/>
      </w:rPr>
    </w:lvl>
    <w:lvl w:ilvl="7" w:tplc="9FB0B642">
      <w:start w:val="1"/>
      <w:numFmt w:val="bullet"/>
      <w:lvlText w:val="o"/>
      <w:lvlJc w:val="left"/>
      <w:pPr>
        <w:ind w:left="5760" w:hanging="360"/>
      </w:pPr>
      <w:rPr>
        <w:rFonts w:ascii="Courier New" w:hAnsi="Courier New" w:hint="default"/>
      </w:rPr>
    </w:lvl>
    <w:lvl w:ilvl="8" w:tplc="7EE81258">
      <w:start w:val="1"/>
      <w:numFmt w:val="bullet"/>
      <w:lvlText w:val=""/>
      <w:lvlJc w:val="left"/>
      <w:pPr>
        <w:ind w:left="6480" w:hanging="360"/>
      </w:pPr>
      <w:rPr>
        <w:rFonts w:ascii="Wingdings" w:hAnsi="Wingdings" w:hint="default"/>
      </w:rPr>
    </w:lvl>
  </w:abstractNum>
  <w:abstractNum w:abstractNumId="363" w15:restartNumberingAfterBreak="0">
    <w:nsid w:val="3D3C77D2"/>
    <w:multiLevelType w:val="hybridMultilevel"/>
    <w:tmpl w:val="F8D25CF6"/>
    <w:lvl w:ilvl="0" w:tplc="08090019">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4" w15:restartNumberingAfterBreak="0">
    <w:nsid w:val="3D616403"/>
    <w:multiLevelType w:val="hybridMultilevel"/>
    <w:tmpl w:val="394A4B1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5" w15:restartNumberingAfterBreak="0">
    <w:nsid w:val="3D786D4A"/>
    <w:multiLevelType w:val="hybridMultilevel"/>
    <w:tmpl w:val="00A8AC6A"/>
    <w:lvl w:ilvl="0" w:tplc="0C0A0001">
      <w:start w:val="1"/>
      <w:numFmt w:val="bullet"/>
      <w:lvlText w:val=""/>
      <w:lvlJc w:val="left"/>
      <w:pPr>
        <w:ind w:left="644" w:hanging="360"/>
      </w:pPr>
      <w:rPr>
        <w:rFonts w:ascii="Courier New" w:hAnsi="Courier New" w:hint="default"/>
      </w:rPr>
    </w:lvl>
    <w:lvl w:ilvl="1" w:tplc="0C0A0003" w:tentative="1">
      <w:start w:val="1"/>
      <w:numFmt w:val="bullet"/>
      <w:lvlText w:val="o"/>
      <w:lvlJc w:val="left"/>
      <w:pPr>
        <w:ind w:left="1364" w:hanging="360"/>
      </w:pPr>
      <w:rPr>
        <w:rFonts w:ascii="Cambria Math" w:hAnsi="Cambria Math" w:cs="Cambria Math"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Courier New" w:hAnsi="Courier New" w:hint="default"/>
      </w:rPr>
    </w:lvl>
    <w:lvl w:ilvl="4" w:tplc="0C0A0003" w:tentative="1">
      <w:start w:val="1"/>
      <w:numFmt w:val="bullet"/>
      <w:lvlText w:val="o"/>
      <w:lvlJc w:val="left"/>
      <w:pPr>
        <w:ind w:left="3524" w:hanging="360"/>
      </w:pPr>
      <w:rPr>
        <w:rFonts w:ascii="Cambria Math" w:hAnsi="Cambria Math" w:cs="Cambria Math"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Courier New" w:hAnsi="Courier New" w:hint="default"/>
      </w:rPr>
    </w:lvl>
    <w:lvl w:ilvl="7" w:tplc="0C0A0003" w:tentative="1">
      <w:start w:val="1"/>
      <w:numFmt w:val="bullet"/>
      <w:lvlText w:val="o"/>
      <w:lvlJc w:val="left"/>
      <w:pPr>
        <w:ind w:left="5684" w:hanging="360"/>
      </w:pPr>
      <w:rPr>
        <w:rFonts w:ascii="Cambria Math" w:hAnsi="Cambria Math" w:cs="Cambria Math" w:hint="default"/>
      </w:rPr>
    </w:lvl>
    <w:lvl w:ilvl="8" w:tplc="0C0A0005" w:tentative="1">
      <w:start w:val="1"/>
      <w:numFmt w:val="bullet"/>
      <w:lvlText w:val=""/>
      <w:lvlJc w:val="left"/>
      <w:pPr>
        <w:ind w:left="6404" w:hanging="360"/>
      </w:pPr>
      <w:rPr>
        <w:rFonts w:ascii="Wingdings" w:hAnsi="Wingdings" w:hint="default"/>
      </w:rPr>
    </w:lvl>
  </w:abstractNum>
  <w:abstractNum w:abstractNumId="366" w15:restartNumberingAfterBreak="0">
    <w:nsid w:val="3DD6741B"/>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7" w15:restartNumberingAfterBreak="0">
    <w:nsid w:val="3DE11682"/>
    <w:multiLevelType w:val="hybridMultilevel"/>
    <w:tmpl w:val="0CF090B0"/>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8" w15:restartNumberingAfterBreak="0">
    <w:nsid w:val="3E267AD6"/>
    <w:multiLevelType w:val="hybridMultilevel"/>
    <w:tmpl w:val="923A1DD2"/>
    <w:lvl w:ilvl="0" w:tplc="0809000F">
      <w:start w:val="1"/>
      <w:numFmt w:val="decimal"/>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9" w15:restartNumberingAfterBreak="0">
    <w:nsid w:val="3E6159E3"/>
    <w:multiLevelType w:val="multilevel"/>
    <w:tmpl w:val="23DAC1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3E7CB0DB"/>
    <w:multiLevelType w:val="hybridMultilevel"/>
    <w:tmpl w:val="7FD69194"/>
    <w:lvl w:ilvl="0" w:tplc="63DE98F2">
      <w:start w:val="1"/>
      <w:numFmt w:val="bullet"/>
      <w:lvlText w:val="-"/>
      <w:lvlJc w:val="left"/>
      <w:pPr>
        <w:ind w:left="720" w:hanging="360"/>
      </w:pPr>
      <w:rPr>
        <w:rFonts w:ascii="&quot;Times New Roman&quot;,serif" w:hAnsi="&quot;Times New Roman&quot;,serif" w:hint="default"/>
      </w:rPr>
    </w:lvl>
    <w:lvl w:ilvl="1" w:tplc="E27C4182">
      <w:start w:val="1"/>
      <w:numFmt w:val="bullet"/>
      <w:lvlText w:val="o"/>
      <w:lvlJc w:val="left"/>
      <w:pPr>
        <w:ind w:left="1440" w:hanging="360"/>
      </w:pPr>
      <w:rPr>
        <w:rFonts w:ascii="Courier New" w:hAnsi="Courier New" w:hint="default"/>
      </w:rPr>
    </w:lvl>
    <w:lvl w:ilvl="2" w:tplc="A1941C3A">
      <w:start w:val="1"/>
      <w:numFmt w:val="bullet"/>
      <w:lvlText w:val=""/>
      <w:lvlJc w:val="left"/>
      <w:pPr>
        <w:ind w:left="2160" w:hanging="360"/>
      </w:pPr>
      <w:rPr>
        <w:rFonts w:ascii="Wingdings" w:hAnsi="Wingdings" w:hint="default"/>
      </w:rPr>
    </w:lvl>
    <w:lvl w:ilvl="3" w:tplc="2BD4D914">
      <w:start w:val="1"/>
      <w:numFmt w:val="bullet"/>
      <w:lvlText w:val=""/>
      <w:lvlJc w:val="left"/>
      <w:pPr>
        <w:ind w:left="2880" w:hanging="360"/>
      </w:pPr>
      <w:rPr>
        <w:rFonts w:ascii="Symbol" w:hAnsi="Symbol" w:hint="default"/>
      </w:rPr>
    </w:lvl>
    <w:lvl w:ilvl="4" w:tplc="53A67A3E">
      <w:start w:val="1"/>
      <w:numFmt w:val="bullet"/>
      <w:lvlText w:val="o"/>
      <w:lvlJc w:val="left"/>
      <w:pPr>
        <w:ind w:left="3600" w:hanging="360"/>
      </w:pPr>
      <w:rPr>
        <w:rFonts w:ascii="Courier New" w:hAnsi="Courier New" w:hint="default"/>
      </w:rPr>
    </w:lvl>
    <w:lvl w:ilvl="5" w:tplc="2B802CE0">
      <w:start w:val="1"/>
      <w:numFmt w:val="bullet"/>
      <w:lvlText w:val=""/>
      <w:lvlJc w:val="left"/>
      <w:pPr>
        <w:ind w:left="4320" w:hanging="360"/>
      </w:pPr>
      <w:rPr>
        <w:rFonts w:ascii="Wingdings" w:hAnsi="Wingdings" w:hint="default"/>
      </w:rPr>
    </w:lvl>
    <w:lvl w:ilvl="6" w:tplc="F4502A18">
      <w:start w:val="1"/>
      <w:numFmt w:val="bullet"/>
      <w:lvlText w:val=""/>
      <w:lvlJc w:val="left"/>
      <w:pPr>
        <w:ind w:left="5040" w:hanging="360"/>
      </w:pPr>
      <w:rPr>
        <w:rFonts w:ascii="Symbol" w:hAnsi="Symbol" w:hint="default"/>
      </w:rPr>
    </w:lvl>
    <w:lvl w:ilvl="7" w:tplc="1E4A6288">
      <w:start w:val="1"/>
      <w:numFmt w:val="bullet"/>
      <w:lvlText w:val="o"/>
      <w:lvlJc w:val="left"/>
      <w:pPr>
        <w:ind w:left="5760" w:hanging="360"/>
      </w:pPr>
      <w:rPr>
        <w:rFonts w:ascii="Courier New" w:hAnsi="Courier New" w:hint="default"/>
      </w:rPr>
    </w:lvl>
    <w:lvl w:ilvl="8" w:tplc="8BD27DD6">
      <w:start w:val="1"/>
      <w:numFmt w:val="bullet"/>
      <w:lvlText w:val=""/>
      <w:lvlJc w:val="left"/>
      <w:pPr>
        <w:ind w:left="6480" w:hanging="360"/>
      </w:pPr>
      <w:rPr>
        <w:rFonts w:ascii="Wingdings" w:hAnsi="Wingdings" w:hint="default"/>
      </w:rPr>
    </w:lvl>
  </w:abstractNum>
  <w:abstractNum w:abstractNumId="371" w15:restartNumberingAfterBreak="0">
    <w:nsid w:val="3EA27F64"/>
    <w:multiLevelType w:val="hybridMultilevel"/>
    <w:tmpl w:val="FBCC6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2" w15:restartNumberingAfterBreak="0">
    <w:nsid w:val="3ECD71E5"/>
    <w:multiLevelType w:val="hybridMultilevel"/>
    <w:tmpl w:val="13BEE066"/>
    <w:lvl w:ilvl="0" w:tplc="FFFFFFFF">
      <w:start w:val="1"/>
      <w:numFmt w:val="lowerLetter"/>
      <w:lvlText w:val="%1."/>
      <w:lvlJc w:val="left"/>
      <w:pPr>
        <w:ind w:left="1429" w:hanging="360"/>
      </w:pPr>
    </w:lvl>
    <w:lvl w:ilvl="1" w:tplc="0C0A0019">
      <w:start w:val="1"/>
      <w:numFmt w:val="lowerLetter"/>
      <w:lvlText w:val="%2."/>
      <w:lvlJc w:val="left"/>
      <w:pPr>
        <w:ind w:left="2149" w:hanging="360"/>
      </w:pPr>
    </w:lvl>
    <w:lvl w:ilvl="2" w:tplc="6D606202">
      <w:numFmt w:val="bullet"/>
      <w:lvlText w:val="•"/>
      <w:lvlJc w:val="left"/>
      <w:pPr>
        <w:ind w:left="3409" w:hanging="720"/>
      </w:pPr>
      <w:rPr>
        <w:rFonts w:ascii="Times New Roman" w:eastAsia="Symbol" w:hAnsi="Times New Roman" w:cs="Times New Roman" w:hint="default"/>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73" w15:restartNumberingAfterBreak="0">
    <w:nsid w:val="3EDD6DF1"/>
    <w:multiLevelType w:val="hybridMultilevel"/>
    <w:tmpl w:val="E97CB79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15:restartNumberingAfterBreak="0">
    <w:nsid w:val="3F0557EB"/>
    <w:multiLevelType w:val="multilevel"/>
    <w:tmpl w:val="1AE8A6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3F1E171E"/>
    <w:multiLevelType w:val="hybridMultilevel"/>
    <w:tmpl w:val="37C60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6" w15:restartNumberingAfterBreak="0">
    <w:nsid w:val="3F4C10D6"/>
    <w:multiLevelType w:val="hybridMultilevel"/>
    <w:tmpl w:val="175EF330"/>
    <w:lvl w:ilvl="0" w:tplc="0C0A0017">
      <w:start w:val="1"/>
      <w:numFmt w:val="lowerLetter"/>
      <w:lvlText w:val="%1)"/>
      <w:lvlJc w:val="left"/>
      <w:pPr>
        <w:ind w:left="720" w:hanging="360"/>
      </w:pPr>
      <w:rPr>
        <w:rFonts w:hint="default"/>
      </w:rPr>
    </w:lvl>
    <w:lvl w:ilvl="1" w:tplc="C0B0BEF8">
      <w:start w:val="1"/>
      <w:numFmt w:val="lowerRoman"/>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7" w15:restartNumberingAfterBreak="0">
    <w:nsid w:val="3F5CB97E"/>
    <w:multiLevelType w:val="hybridMultilevel"/>
    <w:tmpl w:val="FFFFFFFF"/>
    <w:lvl w:ilvl="0" w:tplc="231C6618">
      <w:start w:val="1"/>
      <w:numFmt w:val="bullet"/>
      <w:lvlText w:val="-"/>
      <w:lvlJc w:val="left"/>
      <w:pPr>
        <w:ind w:left="720" w:hanging="360"/>
      </w:pPr>
      <w:rPr>
        <w:rFonts w:ascii="Wingdings" w:hAnsi="Wingdings" w:hint="default"/>
      </w:rPr>
    </w:lvl>
    <w:lvl w:ilvl="1" w:tplc="3DAECB66">
      <w:start w:val="1"/>
      <w:numFmt w:val="bullet"/>
      <w:lvlText w:val="o"/>
      <w:lvlJc w:val="left"/>
      <w:pPr>
        <w:ind w:left="1440" w:hanging="360"/>
      </w:pPr>
      <w:rPr>
        <w:rFonts w:ascii="Courier New" w:hAnsi="Courier New" w:hint="default"/>
      </w:rPr>
    </w:lvl>
    <w:lvl w:ilvl="2" w:tplc="C20282DC">
      <w:start w:val="1"/>
      <w:numFmt w:val="bullet"/>
      <w:lvlText w:val=""/>
      <w:lvlJc w:val="left"/>
      <w:pPr>
        <w:ind w:left="2160" w:hanging="360"/>
      </w:pPr>
      <w:rPr>
        <w:rFonts w:ascii="Cambria Math" w:hAnsi="Cambria Math" w:hint="default"/>
      </w:rPr>
    </w:lvl>
    <w:lvl w:ilvl="3" w:tplc="9F9E1E4C">
      <w:start w:val="1"/>
      <w:numFmt w:val="bullet"/>
      <w:lvlText w:val=""/>
      <w:lvlJc w:val="left"/>
      <w:pPr>
        <w:ind w:left="2880" w:hanging="360"/>
      </w:pPr>
      <w:rPr>
        <w:rFonts w:ascii="Segoe UI" w:hAnsi="Segoe UI" w:hint="default"/>
      </w:rPr>
    </w:lvl>
    <w:lvl w:ilvl="4" w:tplc="91C23C20">
      <w:start w:val="1"/>
      <w:numFmt w:val="bullet"/>
      <w:lvlText w:val="o"/>
      <w:lvlJc w:val="left"/>
      <w:pPr>
        <w:ind w:left="3600" w:hanging="360"/>
      </w:pPr>
      <w:rPr>
        <w:rFonts w:ascii="Courier New" w:hAnsi="Courier New" w:hint="default"/>
      </w:rPr>
    </w:lvl>
    <w:lvl w:ilvl="5" w:tplc="2BD4CAB2">
      <w:start w:val="1"/>
      <w:numFmt w:val="bullet"/>
      <w:lvlText w:val=""/>
      <w:lvlJc w:val="left"/>
      <w:pPr>
        <w:ind w:left="4320" w:hanging="360"/>
      </w:pPr>
      <w:rPr>
        <w:rFonts w:ascii="Cambria Math" w:hAnsi="Cambria Math" w:hint="default"/>
      </w:rPr>
    </w:lvl>
    <w:lvl w:ilvl="6" w:tplc="8A4C29C8">
      <w:start w:val="1"/>
      <w:numFmt w:val="bullet"/>
      <w:lvlText w:val=""/>
      <w:lvlJc w:val="left"/>
      <w:pPr>
        <w:ind w:left="5040" w:hanging="360"/>
      </w:pPr>
      <w:rPr>
        <w:rFonts w:ascii="Segoe UI" w:hAnsi="Segoe UI" w:hint="default"/>
      </w:rPr>
    </w:lvl>
    <w:lvl w:ilvl="7" w:tplc="3C4C8E34">
      <w:start w:val="1"/>
      <w:numFmt w:val="bullet"/>
      <w:lvlText w:val="o"/>
      <w:lvlJc w:val="left"/>
      <w:pPr>
        <w:ind w:left="5760" w:hanging="360"/>
      </w:pPr>
      <w:rPr>
        <w:rFonts w:ascii="Courier New" w:hAnsi="Courier New" w:hint="default"/>
      </w:rPr>
    </w:lvl>
    <w:lvl w:ilvl="8" w:tplc="E4A4F676">
      <w:start w:val="1"/>
      <w:numFmt w:val="bullet"/>
      <w:lvlText w:val=""/>
      <w:lvlJc w:val="left"/>
      <w:pPr>
        <w:ind w:left="6480" w:hanging="360"/>
      </w:pPr>
      <w:rPr>
        <w:rFonts w:ascii="Cambria Math" w:hAnsi="Cambria Math" w:hint="default"/>
      </w:rPr>
    </w:lvl>
  </w:abstractNum>
  <w:abstractNum w:abstractNumId="378" w15:restartNumberingAfterBreak="0">
    <w:nsid w:val="3F73DD3B"/>
    <w:multiLevelType w:val="hybridMultilevel"/>
    <w:tmpl w:val="394A4B14"/>
    <w:lvl w:ilvl="0" w:tplc="BA888930">
      <w:start w:val="1"/>
      <w:numFmt w:val="lowerLetter"/>
      <w:lvlText w:val="%1)"/>
      <w:lvlJc w:val="left"/>
      <w:pPr>
        <w:ind w:left="720" w:hanging="360"/>
      </w:pPr>
    </w:lvl>
    <w:lvl w:ilvl="1" w:tplc="7CD200C2">
      <w:start w:val="1"/>
      <w:numFmt w:val="lowerLetter"/>
      <w:lvlText w:val="%2."/>
      <w:lvlJc w:val="left"/>
      <w:pPr>
        <w:ind w:left="1440" w:hanging="360"/>
      </w:pPr>
    </w:lvl>
    <w:lvl w:ilvl="2" w:tplc="5814482A">
      <w:start w:val="1"/>
      <w:numFmt w:val="lowerRoman"/>
      <w:lvlText w:val="%3."/>
      <w:lvlJc w:val="right"/>
      <w:pPr>
        <w:ind w:left="2160" w:hanging="180"/>
      </w:pPr>
    </w:lvl>
    <w:lvl w:ilvl="3" w:tplc="ED440DEC">
      <w:start w:val="1"/>
      <w:numFmt w:val="decimal"/>
      <w:lvlText w:val="%4."/>
      <w:lvlJc w:val="left"/>
      <w:pPr>
        <w:ind w:left="2880" w:hanging="360"/>
      </w:pPr>
    </w:lvl>
    <w:lvl w:ilvl="4" w:tplc="51CA1262">
      <w:start w:val="1"/>
      <w:numFmt w:val="lowerLetter"/>
      <w:lvlText w:val="%5."/>
      <w:lvlJc w:val="left"/>
      <w:pPr>
        <w:ind w:left="3600" w:hanging="360"/>
      </w:pPr>
    </w:lvl>
    <w:lvl w:ilvl="5" w:tplc="B3EACFCA">
      <w:start w:val="1"/>
      <w:numFmt w:val="lowerRoman"/>
      <w:lvlText w:val="%6."/>
      <w:lvlJc w:val="right"/>
      <w:pPr>
        <w:ind w:left="4320" w:hanging="180"/>
      </w:pPr>
    </w:lvl>
    <w:lvl w:ilvl="6" w:tplc="10B8BDE6">
      <w:start w:val="1"/>
      <w:numFmt w:val="decimal"/>
      <w:lvlText w:val="%7."/>
      <w:lvlJc w:val="left"/>
      <w:pPr>
        <w:ind w:left="5040" w:hanging="360"/>
      </w:pPr>
    </w:lvl>
    <w:lvl w:ilvl="7" w:tplc="AC4C7D8A">
      <w:start w:val="1"/>
      <w:numFmt w:val="lowerLetter"/>
      <w:lvlText w:val="%8."/>
      <w:lvlJc w:val="left"/>
      <w:pPr>
        <w:ind w:left="5760" w:hanging="360"/>
      </w:pPr>
    </w:lvl>
    <w:lvl w:ilvl="8" w:tplc="805CE7D8">
      <w:start w:val="1"/>
      <w:numFmt w:val="lowerRoman"/>
      <w:lvlText w:val="%9."/>
      <w:lvlJc w:val="right"/>
      <w:pPr>
        <w:ind w:left="6480" w:hanging="180"/>
      </w:pPr>
    </w:lvl>
  </w:abstractNum>
  <w:abstractNum w:abstractNumId="379" w15:restartNumberingAfterBreak="0">
    <w:nsid w:val="40280D20"/>
    <w:multiLevelType w:val="hybridMultilevel"/>
    <w:tmpl w:val="8AE4D1F8"/>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380" w15:restartNumberingAfterBreak="0">
    <w:nsid w:val="404C74A0"/>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1" w15:restartNumberingAfterBreak="0">
    <w:nsid w:val="40802ABA"/>
    <w:multiLevelType w:val="multilevel"/>
    <w:tmpl w:val="C5B2DE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09B4355"/>
    <w:multiLevelType w:val="multilevel"/>
    <w:tmpl w:val="BD248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40C63169"/>
    <w:multiLevelType w:val="hybridMultilevel"/>
    <w:tmpl w:val="E1A28D56"/>
    <w:lvl w:ilvl="0" w:tplc="561CD8F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091" w:hanging="360"/>
      </w:pPr>
      <w:rPr>
        <w:rFonts w:ascii="Courier New" w:hAnsi="Courier New" w:cs="Courier New" w:hint="default"/>
      </w:rPr>
    </w:lvl>
    <w:lvl w:ilvl="2" w:tplc="FFFFFFFF" w:tentative="1">
      <w:start w:val="1"/>
      <w:numFmt w:val="bullet"/>
      <w:lvlText w:val=""/>
      <w:lvlJc w:val="left"/>
      <w:pPr>
        <w:ind w:left="1811" w:hanging="360"/>
      </w:pPr>
      <w:rPr>
        <w:rFonts w:ascii="Cambria Math" w:hAnsi="Cambria Math" w:hint="default"/>
      </w:rPr>
    </w:lvl>
    <w:lvl w:ilvl="3" w:tplc="FFFFFFFF" w:tentative="1">
      <w:start w:val="1"/>
      <w:numFmt w:val="bullet"/>
      <w:lvlText w:val=""/>
      <w:lvlJc w:val="left"/>
      <w:pPr>
        <w:ind w:left="2531" w:hanging="360"/>
      </w:pPr>
      <w:rPr>
        <w:rFonts w:ascii="Segoe UI" w:hAnsi="Segoe UI"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Cambria Math" w:hAnsi="Cambria Math" w:hint="default"/>
      </w:rPr>
    </w:lvl>
    <w:lvl w:ilvl="6" w:tplc="FFFFFFFF" w:tentative="1">
      <w:start w:val="1"/>
      <w:numFmt w:val="bullet"/>
      <w:lvlText w:val=""/>
      <w:lvlJc w:val="left"/>
      <w:pPr>
        <w:ind w:left="4691" w:hanging="360"/>
      </w:pPr>
      <w:rPr>
        <w:rFonts w:ascii="Segoe UI" w:hAnsi="Segoe UI"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Cambria Math" w:hAnsi="Cambria Math" w:hint="default"/>
      </w:rPr>
    </w:lvl>
  </w:abstractNum>
  <w:abstractNum w:abstractNumId="384" w15:restartNumberingAfterBreak="0">
    <w:nsid w:val="41064672"/>
    <w:multiLevelType w:val="hybridMultilevel"/>
    <w:tmpl w:val="2BEE9B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5" w15:restartNumberingAfterBreak="0">
    <w:nsid w:val="417C777B"/>
    <w:multiLevelType w:val="hybridMultilevel"/>
    <w:tmpl w:val="FFFFFFFF"/>
    <w:lvl w:ilvl="0" w:tplc="C596C72A">
      <w:start w:val="3"/>
      <w:numFmt w:val="decimal"/>
      <w:lvlText w:val="%1."/>
      <w:lvlJc w:val="left"/>
      <w:pPr>
        <w:ind w:left="720" w:hanging="360"/>
      </w:pPr>
    </w:lvl>
    <w:lvl w:ilvl="1" w:tplc="3B48A12C">
      <w:start w:val="1"/>
      <w:numFmt w:val="lowerLetter"/>
      <w:lvlText w:val="%2."/>
      <w:lvlJc w:val="left"/>
      <w:pPr>
        <w:ind w:left="1440" w:hanging="360"/>
      </w:pPr>
    </w:lvl>
    <w:lvl w:ilvl="2" w:tplc="891A5072">
      <w:start w:val="1"/>
      <w:numFmt w:val="lowerRoman"/>
      <w:lvlText w:val="%3."/>
      <w:lvlJc w:val="right"/>
      <w:pPr>
        <w:ind w:left="2160" w:hanging="180"/>
      </w:pPr>
    </w:lvl>
    <w:lvl w:ilvl="3" w:tplc="A028A254">
      <w:start w:val="1"/>
      <w:numFmt w:val="decimal"/>
      <w:lvlText w:val="%4."/>
      <w:lvlJc w:val="left"/>
      <w:pPr>
        <w:ind w:left="2880" w:hanging="360"/>
      </w:pPr>
    </w:lvl>
    <w:lvl w:ilvl="4" w:tplc="E1B20A0C">
      <w:start w:val="1"/>
      <w:numFmt w:val="lowerLetter"/>
      <w:lvlText w:val="%5."/>
      <w:lvlJc w:val="left"/>
      <w:pPr>
        <w:ind w:left="3600" w:hanging="360"/>
      </w:pPr>
    </w:lvl>
    <w:lvl w:ilvl="5" w:tplc="CA76A276">
      <w:start w:val="1"/>
      <w:numFmt w:val="lowerRoman"/>
      <w:lvlText w:val="%6."/>
      <w:lvlJc w:val="right"/>
      <w:pPr>
        <w:ind w:left="4320" w:hanging="180"/>
      </w:pPr>
    </w:lvl>
    <w:lvl w:ilvl="6" w:tplc="23BA0D1E">
      <w:start w:val="1"/>
      <w:numFmt w:val="decimal"/>
      <w:lvlText w:val="%7."/>
      <w:lvlJc w:val="left"/>
      <w:pPr>
        <w:ind w:left="5040" w:hanging="360"/>
      </w:pPr>
    </w:lvl>
    <w:lvl w:ilvl="7" w:tplc="A7A60AB8">
      <w:start w:val="1"/>
      <w:numFmt w:val="lowerLetter"/>
      <w:lvlText w:val="%8."/>
      <w:lvlJc w:val="left"/>
      <w:pPr>
        <w:ind w:left="5760" w:hanging="360"/>
      </w:pPr>
    </w:lvl>
    <w:lvl w:ilvl="8" w:tplc="855822C6">
      <w:start w:val="1"/>
      <w:numFmt w:val="lowerRoman"/>
      <w:lvlText w:val="%9."/>
      <w:lvlJc w:val="right"/>
      <w:pPr>
        <w:ind w:left="6480" w:hanging="180"/>
      </w:pPr>
    </w:lvl>
  </w:abstractNum>
  <w:abstractNum w:abstractNumId="386" w15:restartNumberingAfterBreak="0">
    <w:nsid w:val="41CE3108"/>
    <w:multiLevelType w:val="hybridMultilevel"/>
    <w:tmpl w:val="147C164C"/>
    <w:lvl w:ilvl="0" w:tplc="0C0A0001">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ambria Math" w:hAnsi="Cambria Math" w:cs="Cambria Math"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Courier New" w:hAnsi="Courier New" w:hint="default"/>
      </w:rPr>
    </w:lvl>
    <w:lvl w:ilvl="4" w:tplc="0C0A0003" w:tentative="1">
      <w:start w:val="1"/>
      <w:numFmt w:val="bullet"/>
      <w:lvlText w:val="o"/>
      <w:lvlJc w:val="left"/>
      <w:pPr>
        <w:ind w:left="3884" w:hanging="360"/>
      </w:pPr>
      <w:rPr>
        <w:rFonts w:ascii="Cambria Math" w:hAnsi="Cambria Math" w:cs="Cambria Math"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Courier New" w:hAnsi="Courier New" w:hint="default"/>
      </w:rPr>
    </w:lvl>
    <w:lvl w:ilvl="7" w:tplc="0C0A0003" w:tentative="1">
      <w:start w:val="1"/>
      <w:numFmt w:val="bullet"/>
      <w:lvlText w:val="o"/>
      <w:lvlJc w:val="left"/>
      <w:pPr>
        <w:ind w:left="6044" w:hanging="360"/>
      </w:pPr>
      <w:rPr>
        <w:rFonts w:ascii="Cambria Math" w:hAnsi="Cambria Math" w:cs="Cambria Math" w:hint="default"/>
      </w:rPr>
    </w:lvl>
    <w:lvl w:ilvl="8" w:tplc="0C0A0005" w:tentative="1">
      <w:start w:val="1"/>
      <w:numFmt w:val="bullet"/>
      <w:lvlText w:val=""/>
      <w:lvlJc w:val="left"/>
      <w:pPr>
        <w:ind w:left="6764" w:hanging="360"/>
      </w:pPr>
      <w:rPr>
        <w:rFonts w:ascii="Wingdings" w:hAnsi="Wingdings" w:hint="default"/>
      </w:rPr>
    </w:lvl>
  </w:abstractNum>
  <w:abstractNum w:abstractNumId="387" w15:restartNumberingAfterBreak="0">
    <w:nsid w:val="41F92C60"/>
    <w:multiLevelType w:val="hybridMultilevel"/>
    <w:tmpl w:val="4C888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8" w15:restartNumberingAfterBreak="0">
    <w:nsid w:val="42156377"/>
    <w:multiLevelType w:val="multilevel"/>
    <w:tmpl w:val="4A04C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4230647F"/>
    <w:multiLevelType w:val="hybridMultilevel"/>
    <w:tmpl w:val="E708B93A"/>
    <w:lvl w:ilvl="0" w:tplc="EC9CDDDE">
      <w:start w:val="6"/>
      <w:numFmt w:val="lowerRoman"/>
      <w:lvlText w:val="%1."/>
      <w:lvlJc w:val="righ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90" w15:restartNumberingAfterBreak="0">
    <w:nsid w:val="425C18B6"/>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92" w15:restartNumberingAfterBreak="0">
    <w:nsid w:val="42C25F88"/>
    <w:multiLevelType w:val="hybridMultilevel"/>
    <w:tmpl w:val="720E005E"/>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3" w15:restartNumberingAfterBreak="0">
    <w:nsid w:val="42E05589"/>
    <w:multiLevelType w:val="multilevel"/>
    <w:tmpl w:val="68C6D42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4"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95" w15:restartNumberingAfterBreak="0">
    <w:nsid w:val="439D2A30"/>
    <w:multiLevelType w:val="hybridMultilevel"/>
    <w:tmpl w:val="C69E0D52"/>
    <w:lvl w:ilvl="0" w:tplc="080C0001">
      <w:start w:val="1"/>
      <w:numFmt w:val="bullet"/>
      <w:lvlText w:val=""/>
      <w:lvlJc w:val="left"/>
      <w:pPr>
        <w:ind w:left="907" w:hanging="360"/>
      </w:pPr>
      <w:rPr>
        <w:rFonts w:ascii="Symbol" w:hAnsi="Symbol"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396" w15:restartNumberingAfterBreak="0">
    <w:nsid w:val="43ABD986"/>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43B94045"/>
    <w:multiLevelType w:val="hybridMultilevel"/>
    <w:tmpl w:val="840E809C"/>
    <w:lvl w:ilvl="0" w:tplc="C80AB80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8" w15:restartNumberingAfterBreak="0">
    <w:nsid w:val="43BC3B8D"/>
    <w:multiLevelType w:val="hybridMultilevel"/>
    <w:tmpl w:val="FFFFFFFF"/>
    <w:lvl w:ilvl="0" w:tplc="0010CF46">
      <w:start w:val="1"/>
      <w:numFmt w:val="bullet"/>
      <w:lvlText w:val=""/>
      <w:lvlJc w:val="left"/>
      <w:pPr>
        <w:ind w:left="720" w:hanging="360"/>
      </w:pPr>
      <w:rPr>
        <w:rFonts w:ascii="Symbol" w:hAnsi="Symbol" w:hint="default"/>
      </w:rPr>
    </w:lvl>
    <w:lvl w:ilvl="1" w:tplc="3ABED63C">
      <w:start w:val="1"/>
      <w:numFmt w:val="bullet"/>
      <w:lvlText w:val="-"/>
      <w:lvlJc w:val="left"/>
      <w:pPr>
        <w:ind w:left="1440" w:hanging="360"/>
      </w:pPr>
      <w:rPr>
        <w:rFonts w:ascii="Calibri" w:hAnsi="Calibri" w:hint="default"/>
      </w:rPr>
    </w:lvl>
    <w:lvl w:ilvl="2" w:tplc="69C87C28">
      <w:start w:val="1"/>
      <w:numFmt w:val="bullet"/>
      <w:lvlText w:val=""/>
      <w:lvlJc w:val="left"/>
      <w:pPr>
        <w:ind w:left="2160" w:hanging="360"/>
      </w:pPr>
      <w:rPr>
        <w:rFonts w:ascii="Wingdings" w:hAnsi="Wingdings" w:hint="default"/>
      </w:rPr>
    </w:lvl>
    <w:lvl w:ilvl="3" w:tplc="9B3858EE">
      <w:start w:val="1"/>
      <w:numFmt w:val="bullet"/>
      <w:lvlText w:val=""/>
      <w:lvlJc w:val="left"/>
      <w:pPr>
        <w:ind w:left="2880" w:hanging="360"/>
      </w:pPr>
      <w:rPr>
        <w:rFonts w:ascii="Symbol" w:hAnsi="Symbol" w:hint="default"/>
      </w:rPr>
    </w:lvl>
    <w:lvl w:ilvl="4" w:tplc="1706C458">
      <w:start w:val="1"/>
      <w:numFmt w:val="bullet"/>
      <w:lvlText w:val="o"/>
      <w:lvlJc w:val="left"/>
      <w:pPr>
        <w:ind w:left="3600" w:hanging="360"/>
      </w:pPr>
      <w:rPr>
        <w:rFonts w:ascii="Courier New" w:hAnsi="Courier New" w:hint="default"/>
      </w:rPr>
    </w:lvl>
    <w:lvl w:ilvl="5" w:tplc="E0C6A61A">
      <w:start w:val="1"/>
      <w:numFmt w:val="bullet"/>
      <w:lvlText w:val=""/>
      <w:lvlJc w:val="left"/>
      <w:pPr>
        <w:ind w:left="4320" w:hanging="360"/>
      </w:pPr>
      <w:rPr>
        <w:rFonts w:ascii="Wingdings" w:hAnsi="Wingdings" w:hint="default"/>
      </w:rPr>
    </w:lvl>
    <w:lvl w:ilvl="6" w:tplc="C7D4B6BE">
      <w:start w:val="1"/>
      <w:numFmt w:val="bullet"/>
      <w:lvlText w:val=""/>
      <w:lvlJc w:val="left"/>
      <w:pPr>
        <w:ind w:left="5040" w:hanging="360"/>
      </w:pPr>
      <w:rPr>
        <w:rFonts w:ascii="Symbol" w:hAnsi="Symbol" w:hint="default"/>
      </w:rPr>
    </w:lvl>
    <w:lvl w:ilvl="7" w:tplc="419087A2">
      <w:start w:val="1"/>
      <w:numFmt w:val="bullet"/>
      <w:lvlText w:val="o"/>
      <w:lvlJc w:val="left"/>
      <w:pPr>
        <w:ind w:left="5760" w:hanging="360"/>
      </w:pPr>
      <w:rPr>
        <w:rFonts w:ascii="Courier New" w:hAnsi="Courier New" w:hint="default"/>
      </w:rPr>
    </w:lvl>
    <w:lvl w:ilvl="8" w:tplc="E076CA9C">
      <w:start w:val="1"/>
      <w:numFmt w:val="bullet"/>
      <w:lvlText w:val=""/>
      <w:lvlJc w:val="left"/>
      <w:pPr>
        <w:ind w:left="6480" w:hanging="360"/>
      </w:pPr>
      <w:rPr>
        <w:rFonts w:ascii="Wingdings" w:hAnsi="Wingdings" w:hint="default"/>
      </w:rPr>
    </w:lvl>
  </w:abstractNum>
  <w:abstractNum w:abstractNumId="399" w15:restartNumberingAfterBreak="0">
    <w:nsid w:val="43D7ACDD"/>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43F42D98"/>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1" w15:restartNumberingAfterBreak="0">
    <w:nsid w:val="44180FBC"/>
    <w:multiLevelType w:val="multilevel"/>
    <w:tmpl w:val="895633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2" w15:restartNumberingAfterBreak="0">
    <w:nsid w:val="442C7C07"/>
    <w:multiLevelType w:val="hybridMultilevel"/>
    <w:tmpl w:val="CBDC5E2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403" w15:restartNumberingAfterBreak="0">
    <w:nsid w:val="445409E8"/>
    <w:multiLevelType w:val="hybridMultilevel"/>
    <w:tmpl w:val="798432B0"/>
    <w:lvl w:ilvl="0" w:tplc="312A5F28">
      <w:start w:val="1"/>
      <w:numFmt w:val="bullet"/>
      <w:lvlText w:val="-"/>
      <w:lvlJc w:val="left"/>
      <w:pPr>
        <w:ind w:left="2138" w:hanging="360"/>
      </w:pPr>
      <w:rPr>
        <w:rFonts w:ascii="Calibri" w:eastAsiaTheme="minorHAnsi" w:hAnsi="Calibri" w:cs="Calibri" w:hint="default"/>
        <w:color w:val="7030A0"/>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404" w15:restartNumberingAfterBreak="0">
    <w:nsid w:val="445E1128"/>
    <w:multiLevelType w:val="hybridMultilevel"/>
    <w:tmpl w:val="CFB86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5" w15:restartNumberingAfterBreak="0">
    <w:nsid w:val="446227E7"/>
    <w:multiLevelType w:val="hybridMultilevel"/>
    <w:tmpl w:val="082024BA"/>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6" w15:restartNumberingAfterBreak="0">
    <w:nsid w:val="446F0980"/>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7" w15:restartNumberingAfterBreak="0">
    <w:nsid w:val="44746AF7"/>
    <w:multiLevelType w:val="hybridMultilevel"/>
    <w:tmpl w:val="8BA606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8" w15:restartNumberingAfterBreak="0">
    <w:nsid w:val="447A3124"/>
    <w:multiLevelType w:val="hybridMultilevel"/>
    <w:tmpl w:val="8BF0012C"/>
    <w:lvl w:ilvl="0" w:tplc="04090001">
      <w:start w:val="1"/>
      <w:numFmt w:val="bullet"/>
      <w:lvlText w:val=""/>
      <w:lvlJc w:val="left"/>
      <w:pPr>
        <w:ind w:left="720" w:hanging="360"/>
      </w:pPr>
      <w:rPr>
        <w:rFonts w:ascii="Segoe UI" w:hAnsi="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44D271F3"/>
    <w:multiLevelType w:val="multilevel"/>
    <w:tmpl w:val="9790F1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44F10CD8"/>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45157FFE"/>
    <w:multiLevelType w:val="hybridMultilevel"/>
    <w:tmpl w:val="F2729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2" w15:restartNumberingAfterBreak="0">
    <w:nsid w:val="453A952F"/>
    <w:multiLevelType w:val="hybridMultilevel"/>
    <w:tmpl w:val="FFFFFFFF"/>
    <w:lvl w:ilvl="0" w:tplc="CB563A50">
      <w:start w:val="1"/>
      <w:numFmt w:val="bullet"/>
      <w:lvlText w:val="o"/>
      <w:lvlJc w:val="left"/>
      <w:pPr>
        <w:ind w:left="720" w:hanging="360"/>
      </w:pPr>
      <w:rPr>
        <w:rFonts w:ascii="&quot;Courier New&quot;" w:hAnsi="&quot;Courier New&quot;" w:hint="default"/>
      </w:rPr>
    </w:lvl>
    <w:lvl w:ilvl="1" w:tplc="99107D2E">
      <w:start w:val="1"/>
      <w:numFmt w:val="bullet"/>
      <w:lvlText w:val="o"/>
      <w:lvlJc w:val="left"/>
      <w:pPr>
        <w:ind w:left="1440" w:hanging="360"/>
      </w:pPr>
      <w:rPr>
        <w:rFonts w:ascii="Courier New" w:hAnsi="Courier New" w:hint="default"/>
      </w:rPr>
    </w:lvl>
    <w:lvl w:ilvl="2" w:tplc="E8300AB8">
      <w:start w:val="1"/>
      <w:numFmt w:val="bullet"/>
      <w:lvlText w:val=""/>
      <w:lvlJc w:val="left"/>
      <w:pPr>
        <w:ind w:left="2160" w:hanging="360"/>
      </w:pPr>
      <w:rPr>
        <w:rFonts w:ascii="Wingdings" w:hAnsi="Wingdings" w:hint="default"/>
      </w:rPr>
    </w:lvl>
    <w:lvl w:ilvl="3" w:tplc="98E2AB34">
      <w:start w:val="1"/>
      <w:numFmt w:val="bullet"/>
      <w:lvlText w:val=""/>
      <w:lvlJc w:val="left"/>
      <w:pPr>
        <w:ind w:left="2880" w:hanging="360"/>
      </w:pPr>
      <w:rPr>
        <w:rFonts w:ascii="Symbol" w:hAnsi="Symbol" w:hint="default"/>
      </w:rPr>
    </w:lvl>
    <w:lvl w:ilvl="4" w:tplc="62FCD6FA">
      <w:start w:val="1"/>
      <w:numFmt w:val="bullet"/>
      <w:lvlText w:val="o"/>
      <w:lvlJc w:val="left"/>
      <w:pPr>
        <w:ind w:left="3600" w:hanging="360"/>
      </w:pPr>
      <w:rPr>
        <w:rFonts w:ascii="Courier New" w:hAnsi="Courier New" w:hint="default"/>
      </w:rPr>
    </w:lvl>
    <w:lvl w:ilvl="5" w:tplc="EC703CF2">
      <w:start w:val="1"/>
      <w:numFmt w:val="bullet"/>
      <w:lvlText w:val=""/>
      <w:lvlJc w:val="left"/>
      <w:pPr>
        <w:ind w:left="4320" w:hanging="360"/>
      </w:pPr>
      <w:rPr>
        <w:rFonts w:ascii="Wingdings" w:hAnsi="Wingdings" w:hint="default"/>
      </w:rPr>
    </w:lvl>
    <w:lvl w:ilvl="6" w:tplc="89E48626">
      <w:start w:val="1"/>
      <w:numFmt w:val="bullet"/>
      <w:lvlText w:val=""/>
      <w:lvlJc w:val="left"/>
      <w:pPr>
        <w:ind w:left="5040" w:hanging="360"/>
      </w:pPr>
      <w:rPr>
        <w:rFonts w:ascii="Symbol" w:hAnsi="Symbol" w:hint="default"/>
      </w:rPr>
    </w:lvl>
    <w:lvl w:ilvl="7" w:tplc="CF84975A">
      <w:start w:val="1"/>
      <w:numFmt w:val="bullet"/>
      <w:lvlText w:val="o"/>
      <w:lvlJc w:val="left"/>
      <w:pPr>
        <w:ind w:left="5760" w:hanging="360"/>
      </w:pPr>
      <w:rPr>
        <w:rFonts w:ascii="Courier New" w:hAnsi="Courier New" w:hint="default"/>
      </w:rPr>
    </w:lvl>
    <w:lvl w:ilvl="8" w:tplc="F3384326">
      <w:start w:val="1"/>
      <w:numFmt w:val="bullet"/>
      <w:lvlText w:val=""/>
      <w:lvlJc w:val="left"/>
      <w:pPr>
        <w:ind w:left="6480" w:hanging="360"/>
      </w:pPr>
      <w:rPr>
        <w:rFonts w:ascii="Wingdings" w:hAnsi="Wingdings" w:hint="default"/>
      </w:rPr>
    </w:lvl>
  </w:abstractNum>
  <w:abstractNum w:abstractNumId="413" w15:restartNumberingAfterBreak="0">
    <w:nsid w:val="454654C8"/>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egoe UI" w:hAnsi="Segoe UI" w:hint="default"/>
      </w:rPr>
    </w:lvl>
  </w:abstractNum>
  <w:abstractNum w:abstractNumId="415" w15:restartNumberingAfterBreak="0">
    <w:nsid w:val="45615454"/>
    <w:multiLevelType w:val="hybridMultilevel"/>
    <w:tmpl w:val="D714C7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6" w15:restartNumberingAfterBreak="0">
    <w:nsid w:val="457E3020"/>
    <w:multiLevelType w:val="hybridMultilevel"/>
    <w:tmpl w:val="DA6AA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7" w15:restartNumberingAfterBreak="0">
    <w:nsid w:val="459DE1EA"/>
    <w:multiLevelType w:val="hybridMultilevel"/>
    <w:tmpl w:val="FFFFFFFF"/>
    <w:lvl w:ilvl="0" w:tplc="FAC89114">
      <w:start w:val="1"/>
      <w:numFmt w:val="bullet"/>
      <w:lvlText w:val=""/>
      <w:lvlJc w:val="left"/>
      <w:pPr>
        <w:ind w:left="720" w:hanging="360"/>
      </w:pPr>
      <w:rPr>
        <w:rFonts w:ascii="Segoe UI" w:hAnsi="Segoe UI" w:hint="default"/>
      </w:rPr>
    </w:lvl>
    <w:lvl w:ilvl="1" w:tplc="23BEAF7C">
      <w:start w:val="1"/>
      <w:numFmt w:val="bullet"/>
      <w:lvlText w:val="o"/>
      <w:lvlJc w:val="left"/>
      <w:pPr>
        <w:ind w:left="1440" w:hanging="360"/>
      </w:pPr>
      <w:rPr>
        <w:rFonts w:ascii="Courier New" w:hAnsi="Courier New" w:hint="default"/>
      </w:rPr>
    </w:lvl>
    <w:lvl w:ilvl="2" w:tplc="9E1C0434">
      <w:start w:val="1"/>
      <w:numFmt w:val="bullet"/>
      <w:lvlText w:val=""/>
      <w:lvlJc w:val="left"/>
      <w:pPr>
        <w:ind w:left="2160" w:hanging="360"/>
      </w:pPr>
      <w:rPr>
        <w:rFonts w:ascii="Cambria Math" w:hAnsi="Cambria Math" w:hint="default"/>
      </w:rPr>
    </w:lvl>
    <w:lvl w:ilvl="3" w:tplc="95AC53D2">
      <w:start w:val="1"/>
      <w:numFmt w:val="bullet"/>
      <w:lvlText w:val=""/>
      <w:lvlJc w:val="left"/>
      <w:pPr>
        <w:ind w:left="2880" w:hanging="360"/>
      </w:pPr>
      <w:rPr>
        <w:rFonts w:ascii="Segoe UI" w:hAnsi="Segoe UI" w:hint="default"/>
      </w:rPr>
    </w:lvl>
    <w:lvl w:ilvl="4" w:tplc="2646D9A6">
      <w:start w:val="1"/>
      <w:numFmt w:val="bullet"/>
      <w:lvlText w:val="o"/>
      <w:lvlJc w:val="left"/>
      <w:pPr>
        <w:ind w:left="3600" w:hanging="360"/>
      </w:pPr>
      <w:rPr>
        <w:rFonts w:ascii="Courier New" w:hAnsi="Courier New" w:hint="default"/>
      </w:rPr>
    </w:lvl>
    <w:lvl w:ilvl="5" w:tplc="4D4CD87C">
      <w:start w:val="1"/>
      <w:numFmt w:val="bullet"/>
      <w:lvlText w:val=""/>
      <w:lvlJc w:val="left"/>
      <w:pPr>
        <w:ind w:left="4320" w:hanging="360"/>
      </w:pPr>
      <w:rPr>
        <w:rFonts w:ascii="Cambria Math" w:hAnsi="Cambria Math" w:hint="default"/>
      </w:rPr>
    </w:lvl>
    <w:lvl w:ilvl="6" w:tplc="8BD6F5E8">
      <w:start w:val="1"/>
      <w:numFmt w:val="bullet"/>
      <w:lvlText w:val=""/>
      <w:lvlJc w:val="left"/>
      <w:pPr>
        <w:ind w:left="5040" w:hanging="360"/>
      </w:pPr>
      <w:rPr>
        <w:rFonts w:ascii="Segoe UI" w:hAnsi="Segoe UI" w:hint="default"/>
      </w:rPr>
    </w:lvl>
    <w:lvl w:ilvl="7" w:tplc="49940C00">
      <w:start w:val="1"/>
      <w:numFmt w:val="bullet"/>
      <w:lvlText w:val="o"/>
      <w:lvlJc w:val="left"/>
      <w:pPr>
        <w:ind w:left="5760" w:hanging="360"/>
      </w:pPr>
      <w:rPr>
        <w:rFonts w:ascii="Courier New" w:hAnsi="Courier New" w:hint="default"/>
      </w:rPr>
    </w:lvl>
    <w:lvl w:ilvl="8" w:tplc="DBD06F86">
      <w:start w:val="1"/>
      <w:numFmt w:val="bullet"/>
      <w:lvlText w:val=""/>
      <w:lvlJc w:val="left"/>
      <w:pPr>
        <w:ind w:left="6480" w:hanging="360"/>
      </w:pPr>
      <w:rPr>
        <w:rFonts w:ascii="Cambria Math" w:hAnsi="Cambria Math" w:hint="default"/>
      </w:rPr>
    </w:lvl>
  </w:abstractNum>
  <w:abstractNum w:abstractNumId="418" w15:restartNumberingAfterBreak="0">
    <w:nsid w:val="45BC00BD"/>
    <w:multiLevelType w:val="hybridMultilevel"/>
    <w:tmpl w:val="2DC2D88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9" w15:restartNumberingAfterBreak="0">
    <w:nsid w:val="45FB70EA"/>
    <w:multiLevelType w:val="hybridMultilevel"/>
    <w:tmpl w:val="A53C969E"/>
    <w:lvl w:ilvl="0" w:tplc="18090019">
      <w:start w:val="1"/>
      <w:numFmt w:val="lowerLetter"/>
      <w:lvlText w:val="%1."/>
      <w:lvlJc w:val="left"/>
      <w:pPr>
        <w:ind w:left="720" w:hanging="360"/>
      </w:pPr>
      <w:rPr>
        <w:rFonts w:hint="default"/>
      </w:rPr>
    </w:lvl>
    <w:lvl w:ilvl="1" w:tplc="1809001B">
      <w:start w:val="1"/>
      <w:numFmt w:val="lowerRoman"/>
      <w:lvlText w:val="%2."/>
      <w:lvlJc w:val="right"/>
      <w:pPr>
        <w:ind w:left="1440" w:hanging="360"/>
      </w:pPr>
    </w:lvl>
    <w:lvl w:ilvl="2" w:tplc="1809000F">
      <w:start w:val="1"/>
      <w:numFmt w:val="decimal"/>
      <w:lvlText w:val="%3."/>
      <w:lvlJc w:val="left"/>
      <w:pPr>
        <w:ind w:left="2340" w:hanging="36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0" w15:restartNumberingAfterBreak="0">
    <w:nsid w:val="462B24AF"/>
    <w:multiLevelType w:val="multilevel"/>
    <w:tmpl w:val="F412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2" w15:restartNumberingAfterBreak="0">
    <w:nsid w:val="46CED197"/>
    <w:multiLevelType w:val="hybridMultilevel"/>
    <w:tmpl w:val="FFFFFFFF"/>
    <w:lvl w:ilvl="0" w:tplc="4AB8E898">
      <w:start w:val="1"/>
      <w:numFmt w:val="bullet"/>
      <w:lvlText w:val="o"/>
      <w:lvlJc w:val="left"/>
      <w:pPr>
        <w:ind w:left="720" w:hanging="360"/>
      </w:pPr>
      <w:rPr>
        <w:rFonts w:ascii="&quot;Courier New&quot;" w:hAnsi="&quot;Courier New&quot;" w:hint="default"/>
      </w:rPr>
    </w:lvl>
    <w:lvl w:ilvl="1" w:tplc="A718E9C4">
      <w:start w:val="1"/>
      <w:numFmt w:val="bullet"/>
      <w:lvlText w:val="o"/>
      <w:lvlJc w:val="left"/>
      <w:pPr>
        <w:ind w:left="1440" w:hanging="360"/>
      </w:pPr>
      <w:rPr>
        <w:rFonts w:ascii="Courier New" w:hAnsi="Courier New" w:hint="default"/>
      </w:rPr>
    </w:lvl>
    <w:lvl w:ilvl="2" w:tplc="9B3A8E0E">
      <w:start w:val="1"/>
      <w:numFmt w:val="bullet"/>
      <w:lvlText w:val=""/>
      <w:lvlJc w:val="left"/>
      <w:pPr>
        <w:ind w:left="2160" w:hanging="360"/>
      </w:pPr>
      <w:rPr>
        <w:rFonts w:ascii="Wingdings" w:hAnsi="Wingdings" w:hint="default"/>
      </w:rPr>
    </w:lvl>
    <w:lvl w:ilvl="3" w:tplc="36C6D10E">
      <w:start w:val="1"/>
      <w:numFmt w:val="bullet"/>
      <w:lvlText w:val=""/>
      <w:lvlJc w:val="left"/>
      <w:pPr>
        <w:ind w:left="2880" w:hanging="360"/>
      </w:pPr>
      <w:rPr>
        <w:rFonts w:ascii="Symbol" w:hAnsi="Symbol" w:hint="default"/>
      </w:rPr>
    </w:lvl>
    <w:lvl w:ilvl="4" w:tplc="7D186640">
      <w:start w:val="1"/>
      <w:numFmt w:val="bullet"/>
      <w:lvlText w:val="o"/>
      <w:lvlJc w:val="left"/>
      <w:pPr>
        <w:ind w:left="3600" w:hanging="360"/>
      </w:pPr>
      <w:rPr>
        <w:rFonts w:ascii="Courier New" w:hAnsi="Courier New" w:hint="default"/>
      </w:rPr>
    </w:lvl>
    <w:lvl w:ilvl="5" w:tplc="44C6EE56">
      <w:start w:val="1"/>
      <w:numFmt w:val="bullet"/>
      <w:lvlText w:val=""/>
      <w:lvlJc w:val="left"/>
      <w:pPr>
        <w:ind w:left="4320" w:hanging="360"/>
      </w:pPr>
      <w:rPr>
        <w:rFonts w:ascii="Wingdings" w:hAnsi="Wingdings" w:hint="default"/>
      </w:rPr>
    </w:lvl>
    <w:lvl w:ilvl="6" w:tplc="E9248694">
      <w:start w:val="1"/>
      <w:numFmt w:val="bullet"/>
      <w:lvlText w:val=""/>
      <w:lvlJc w:val="left"/>
      <w:pPr>
        <w:ind w:left="5040" w:hanging="360"/>
      </w:pPr>
      <w:rPr>
        <w:rFonts w:ascii="Symbol" w:hAnsi="Symbol" w:hint="default"/>
      </w:rPr>
    </w:lvl>
    <w:lvl w:ilvl="7" w:tplc="76AAF964">
      <w:start w:val="1"/>
      <w:numFmt w:val="bullet"/>
      <w:lvlText w:val="o"/>
      <w:lvlJc w:val="left"/>
      <w:pPr>
        <w:ind w:left="5760" w:hanging="360"/>
      </w:pPr>
      <w:rPr>
        <w:rFonts w:ascii="Courier New" w:hAnsi="Courier New" w:hint="default"/>
      </w:rPr>
    </w:lvl>
    <w:lvl w:ilvl="8" w:tplc="395CF626">
      <w:start w:val="1"/>
      <w:numFmt w:val="bullet"/>
      <w:lvlText w:val=""/>
      <w:lvlJc w:val="left"/>
      <w:pPr>
        <w:ind w:left="6480" w:hanging="360"/>
      </w:pPr>
      <w:rPr>
        <w:rFonts w:ascii="Wingdings" w:hAnsi="Wingdings" w:hint="default"/>
      </w:rPr>
    </w:lvl>
  </w:abstractNum>
  <w:abstractNum w:abstractNumId="423" w15:restartNumberingAfterBreak="0">
    <w:nsid w:val="46EC1C26"/>
    <w:multiLevelType w:val="hybridMultilevel"/>
    <w:tmpl w:val="9B160284"/>
    <w:lvl w:ilvl="0" w:tplc="0C0A0001">
      <w:start w:val="1"/>
      <w:numFmt w:val="bullet"/>
      <w:lvlText w:val=""/>
      <w:lvlJc w:val="left"/>
      <w:pPr>
        <w:ind w:left="360" w:hanging="360"/>
      </w:pPr>
      <w:rPr>
        <w:rFonts w:ascii="Courier New" w:hAnsi="Courier New" w:hint="default"/>
        <w:color w:val="7030A0"/>
      </w:rPr>
    </w:lvl>
    <w:lvl w:ilvl="1" w:tplc="FFFFFFFF" w:tentative="1">
      <w:start w:val="1"/>
      <w:numFmt w:val="bullet"/>
      <w:lvlText w:val="o"/>
      <w:lvlJc w:val="left"/>
      <w:pPr>
        <w:ind w:left="1080" w:hanging="360"/>
      </w:pPr>
      <w:rPr>
        <w:rFonts w:ascii="Cambria Math" w:hAnsi="Cambria Math" w:cs="Cambria Math"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Cambria Math" w:hAnsi="Cambria Math" w:cs="Cambria Math"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Cambria Math" w:hAnsi="Cambria Math" w:cs="Cambria Math" w:hint="default"/>
      </w:rPr>
    </w:lvl>
    <w:lvl w:ilvl="8" w:tplc="FFFFFFFF" w:tentative="1">
      <w:start w:val="1"/>
      <w:numFmt w:val="bullet"/>
      <w:lvlText w:val=""/>
      <w:lvlJc w:val="left"/>
      <w:pPr>
        <w:ind w:left="6120" w:hanging="360"/>
      </w:pPr>
      <w:rPr>
        <w:rFonts w:ascii="Wingdings" w:hAnsi="Wingdings" w:hint="default"/>
      </w:rPr>
    </w:lvl>
  </w:abstractNum>
  <w:abstractNum w:abstractNumId="424" w15:restartNumberingAfterBreak="0">
    <w:nsid w:val="471D56DD"/>
    <w:multiLevelType w:val="hybridMultilevel"/>
    <w:tmpl w:val="26D88BD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474EE9FC"/>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478F718B"/>
    <w:multiLevelType w:val="hybridMultilevel"/>
    <w:tmpl w:val="0C14B1D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27" w15:restartNumberingAfterBreak="0">
    <w:nsid w:val="47ABBE4E"/>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8" w15:restartNumberingAfterBreak="0">
    <w:nsid w:val="47BB1A89"/>
    <w:multiLevelType w:val="hybridMultilevel"/>
    <w:tmpl w:val="41C23C94"/>
    <w:lvl w:ilvl="0" w:tplc="FFFFFFF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29" w15:restartNumberingAfterBreak="0">
    <w:nsid w:val="47BCC550"/>
    <w:multiLevelType w:val="hybridMultilevel"/>
    <w:tmpl w:val="FFFFFFFF"/>
    <w:lvl w:ilvl="0" w:tplc="2CCABC2A">
      <w:start w:val="1"/>
      <w:numFmt w:val="bullet"/>
      <w:lvlText w:val=""/>
      <w:lvlJc w:val="left"/>
      <w:pPr>
        <w:ind w:left="720" w:hanging="360"/>
      </w:pPr>
    </w:lvl>
    <w:lvl w:ilvl="1" w:tplc="144C074E">
      <w:start w:val="1"/>
      <w:numFmt w:val="lowerLetter"/>
      <w:lvlText w:val="%2."/>
      <w:lvlJc w:val="left"/>
      <w:pPr>
        <w:ind w:left="1440" w:hanging="360"/>
      </w:pPr>
    </w:lvl>
    <w:lvl w:ilvl="2" w:tplc="BF466FBC">
      <w:start w:val="1"/>
      <w:numFmt w:val="lowerRoman"/>
      <w:lvlText w:val="%3."/>
      <w:lvlJc w:val="right"/>
      <w:pPr>
        <w:ind w:left="2160" w:hanging="180"/>
      </w:pPr>
    </w:lvl>
    <w:lvl w:ilvl="3" w:tplc="E67A738C">
      <w:start w:val="1"/>
      <w:numFmt w:val="decimal"/>
      <w:lvlText w:val="%4."/>
      <w:lvlJc w:val="left"/>
      <w:pPr>
        <w:ind w:left="2880" w:hanging="360"/>
      </w:pPr>
    </w:lvl>
    <w:lvl w:ilvl="4" w:tplc="1BAAB264">
      <w:start w:val="1"/>
      <w:numFmt w:val="lowerLetter"/>
      <w:lvlText w:val="%5."/>
      <w:lvlJc w:val="left"/>
      <w:pPr>
        <w:ind w:left="3600" w:hanging="360"/>
      </w:pPr>
    </w:lvl>
    <w:lvl w:ilvl="5" w:tplc="3508FCD2">
      <w:start w:val="1"/>
      <w:numFmt w:val="lowerRoman"/>
      <w:lvlText w:val="%6."/>
      <w:lvlJc w:val="right"/>
      <w:pPr>
        <w:ind w:left="4320" w:hanging="180"/>
      </w:pPr>
    </w:lvl>
    <w:lvl w:ilvl="6" w:tplc="AC76CA2C">
      <w:start w:val="1"/>
      <w:numFmt w:val="decimal"/>
      <w:lvlText w:val="%7."/>
      <w:lvlJc w:val="left"/>
      <w:pPr>
        <w:ind w:left="5040" w:hanging="360"/>
      </w:pPr>
    </w:lvl>
    <w:lvl w:ilvl="7" w:tplc="7BF2817E">
      <w:start w:val="1"/>
      <w:numFmt w:val="lowerLetter"/>
      <w:lvlText w:val="%8."/>
      <w:lvlJc w:val="left"/>
      <w:pPr>
        <w:ind w:left="5760" w:hanging="360"/>
      </w:pPr>
    </w:lvl>
    <w:lvl w:ilvl="8" w:tplc="5B229082">
      <w:start w:val="1"/>
      <w:numFmt w:val="lowerRoman"/>
      <w:lvlText w:val="%9."/>
      <w:lvlJc w:val="right"/>
      <w:pPr>
        <w:ind w:left="6480" w:hanging="180"/>
      </w:pPr>
    </w:lvl>
  </w:abstractNum>
  <w:abstractNum w:abstractNumId="430" w15:restartNumberingAfterBreak="0">
    <w:nsid w:val="48397EFD"/>
    <w:multiLevelType w:val="multilevel"/>
    <w:tmpl w:val="14625D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1" w15:restartNumberingAfterBreak="0">
    <w:nsid w:val="483B528B"/>
    <w:multiLevelType w:val="hybridMultilevel"/>
    <w:tmpl w:val="FFFFFFFF"/>
    <w:lvl w:ilvl="0" w:tplc="7F821BE2">
      <w:start w:val="10"/>
      <w:numFmt w:val="decimal"/>
      <w:lvlText w:val="%1."/>
      <w:lvlJc w:val="left"/>
      <w:pPr>
        <w:ind w:left="720" w:hanging="360"/>
      </w:pPr>
    </w:lvl>
    <w:lvl w:ilvl="1" w:tplc="2B82A458">
      <w:start w:val="1"/>
      <w:numFmt w:val="lowerLetter"/>
      <w:lvlText w:val="%2."/>
      <w:lvlJc w:val="left"/>
      <w:pPr>
        <w:ind w:left="1440" w:hanging="360"/>
      </w:pPr>
    </w:lvl>
    <w:lvl w:ilvl="2" w:tplc="347624B2">
      <w:start w:val="1"/>
      <w:numFmt w:val="lowerRoman"/>
      <w:lvlText w:val="%3."/>
      <w:lvlJc w:val="right"/>
      <w:pPr>
        <w:ind w:left="2160" w:hanging="180"/>
      </w:pPr>
    </w:lvl>
    <w:lvl w:ilvl="3" w:tplc="10803E08">
      <w:start w:val="1"/>
      <w:numFmt w:val="decimal"/>
      <w:lvlText w:val="%4."/>
      <w:lvlJc w:val="left"/>
      <w:pPr>
        <w:ind w:left="2880" w:hanging="360"/>
      </w:pPr>
    </w:lvl>
    <w:lvl w:ilvl="4" w:tplc="1CD0DEAC">
      <w:start w:val="1"/>
      <w:numFmt w:val="lowerLetter"/>
      <w:lvlText w:val="%5."/>
      <w:lvlJc w:val="left"/>
      <w:pPr>
        <w:ind w:left="3600" w:hanging="360"/>
      </w:pPr>
    </w:lvl>
    <w:lvl w:ilvl="5" w:tplc="218C4D84">
      <w:start w:val="1"/>
      <w:numFmt w:val="lowerRoman"/>
      <w:lvlText w:val="%6."/>
      <w:lvlJc w:val="right"/>
      <w:pPr>
        <w:ind w:left="4320" w:hanging="180"/>
      </w:pPr>
    </w:lvl>
    <w:lvl w:ilvl="6" w:tplc="3A763472">
      <w:start w:val="1"/>
      <w:numFmt w:val="decimal"/>
      <w:lvlText w:val="%7."/>
      <w:lvlJc w:val="left"/>
      <w:pPr>
        <w:ind w:left="5040" w:hanging="360"/>
      </w:pPr>
    </w:lvl>
    <w:lvl w:ilvl="7" w:tplc="79B8FE1C">
      <w:start w:val="1"/>
      <w:numFmt w:val="lowerLetter"/>
      <w:lvlText w:val="%8."/>
      <w:lvlJc w:val="left"/>
      <w:pPr>
        <w:ind w:left="5760" w:hanging="360"/>
      </w:pPr>
    </w:lvl>
    <w:lvl w:ilvl="8" w:tplc="FE1E7EBA">
      <w:start w:val="1"/>
      <w:numFmt w:val="lowerRoman"/>
      <w:lvlText w:val="%9."/>
      <w:lvlJc w:val="right"/>
      <w:pPr>
        <w:ind w:left="6480" w:hanging="180"/>
      </w:pPr>
    </w:lvl>
  </w:abstractNum>
  <w:abstractNum w:abstractNumId="432" w15:restartNumberingAfterBreak="0">
    <w:nsid w:val="485B142E"/>
    <w:multiLevelType w:val="hybridMultilevel"/>
    <w:tmpl w:val="E45670F2"/>
    <w:lvl w:ilvl="0" w:tplc="18090019">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3" w15:restartNumberingAfterBreak="0">
    <w:nsid w:val="487B4A95"/>
    <w:multiLevelType w:val="hybridMultilevel"/>
    <w:tmpl w:val="D7FA092A"/>
    <w:lvl w:ilvl="0" w:tplc="EF6EEC0C">
      <w:start w:val="1"/>
      <w:numFmt w:val="lowerLetter"/>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4" w15:restartNumberingAfterBreak="0">
    <w:nsid w:val="4890172E"/>
    <w:multiLevelType w:val="hybridMultilevel"/>
    <w:tmpl w:val="FFFFFFFF"/>
    <w:lvl w:ilvl="0" w:tplc="3BB4CCB0">
      <w:start w:val="1"/>
      <w:numFmt w:val="bullet"/>
      <w:lvlText w:val="-"/>
      <w:lvlJc w:val="left"/>
      <w:pPr>
        <w:ind w:left="720" w:hanging="360"/>
      </w:pPr>
      <w:rPr>
        <w:rFonts w:ascii="Wingdings" w:hAnsi="Wingdings" w:hint="default"/>
      </w:rPr>
    </w:lvl>
    <w:lvl w:ilvl="1" w:tplc="F67EFD16">
      <w:start w:val="1"/>
      <w:numFmt w:val="bullet"/>
      <w:lvlText w:val="o"/>
      <w:lvlJc w:val="left"/>
      <w:pPr>
        <w:ind w:left="1440" w:hanging="360"/>
      </w:pPr>
      <w:rPr>
        <w:rFonts w:ascii="Courier New" w:hAnsi="Courier New" w:hint="default"/>
      </w:rPr>
    </w:lvl>
    <w:lvl w:ilvl="2" w:tplc="E0189C88">
      <w:start w:val="1"/>
      <w:numFmt w:val="bullet"/>
      <w:lvlText w:val=""/>
      <w:lvlJc w:val="left"/>
      <w:pPr>
        <w:ind w:left="2160" w:hanging="360"/>
      </w:pPr>
      <w:rPr>
        <w:rFonts w:ascii="Cambria Math" w:hAnsi="Cambria Math" w:hint="default"/>
      </w:rPr>
    </w:lvl>
    <w:lvl w:ilvl="3" w:tplc="AE14D020">
      <w:start w:val="1"/>
      <w:numFmt w:val="bullet"/>
      <w:lvlText w:val=""/>
      <w:lvlJc w:val="left"/>
      <w:pPr>
        <w:ind w:left="2880" w:hanging="360"/>
      </w:pPr>
      <w:rPr>
        <w:rFonts w:ascii="Segoe UI" w:hAnsi="Segoe UI" w:hint="default"/>
      </w:rPr>
    </w:lvl>
    <w:lvl w:ilvl="4" w:tplc="1B5C0688">
      <w:start w:val="1"/>
      <w:numFmt w:val="bullet"/>
      <w:lvlText w:val="o"/>
      <w:lvlJc w:val="left"/>
      <w:pPr>
        <w:ind w:left="3600" w:hanging="360"/>
      </w:pPr>
      <w:rPr>
        <w:rFonts w:ascii="Courier New" w:hAnsi="Courier New" w:hint="default"/>
      </w:rPr>
    </w:lvl>
    <w:lvl w:ilvl="5" w:tplc="11B811CC">
      <w:start w:val="1"/>
      <w:numFmt w:val="bullet"/>
      <w:lvlText w:val=""/>
      <w:lvlJc w:val="left"/>
      <w:pPr>
        <w:ind w:left="4320" w:hanging="360"/>
      </w:pPr>
      <w:rPr>
        <w:rFonts w:ascii="Cambria Math" w:hAnsi="Cambria Math" w:hint="default"/>
      </w:rPr>
    </w:lvl>
    <w:lvl w:ilvl="6" w:tplc="00E0D25C">
      <w:start w:val="1"/>
      <w:numFmt w:val="bullet"/>
      <w:lvlText w:val=""/>
      <w:lvlJc w:val="left"/>
      <w:pPr>
        <w:ind w:left="5040" w:hanging="360"/>
      </w:pPr>
      <w:rPr>
        <w:rFonts w:ascii="Segoe UI" w:hAnsi="Segoe UI" w:hint="default"/>
      </w:rPr>
    </w:lvl>
    <w:lvl w:ilvl="7" w:tplc="CDAAA7F6">
      <w:start w:val="1"/>
      <w:numFmt w:val="bullet"/>
      <w:lvlText w:val="o"/>
      <w:lvlJc w:val="left"/>
      <w:pPr>
        <w:ind w:left="5760" w:hanging="360"/>
      </w:pPr>
      <w:rPr>
        <w:rFonts w:ascii="Courier New" w:hAnsi="Courier New" w:hint="default"/>
      </w:rPr>
    </w:lvl>
    <w:lvl w:ilvl="8" w:tplc="2E0CCC68">
      <w:start w:val="1"/>
      <w:numFmt w:val="bullet"/>
      <w:lvlText w:val=""/>
      <w:lvlJc w:val="left"/>
      <w:pPr>
        <w:ind w:left="6480" w:hanging="360"/>
      </w:pPr>
      <w:rPr>
        <w:rFonts w:ascii="Cambria Math" w:hAnsi="Cambria Math" w:hint="default"/>
      </w:rPr>
    </w:lvl>
  </w:abstractNum>
  <w:abstractNum w:abstractNumId="435" w15:restartNumberingAfterBreak="0">
    <w:nsid w:val="48C90469"/>
    <w:multiLevelType w:val="hybridMultilevel"/>
    <w:tmpl w:val="A83C9AC2"/>
    <w:lvl w:ilvl="0" w:tplc="04090001">
      <w:start w:val="1"/>
      <w:numFmt w:val="bullet"/>
      <w:lvlText w:val=""/>
      <w:lvlJc w:val="left"/>
      <w:pPr>
        <w:ind w:left="1146" w:hanging="360"/>
      </w:pPr>
      <w:rPr>
        <w:rFonts w:ascii="Segoe UI" w:hAnsi="Segoe U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436" w15:restartNumberingAfterBreak="0">
    <w:nsid w:val="48EB12EE"/>
    <w:multiLevelType w:val="multilevel"/>
    <w:tmpl w:val="EE165C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48FC77B1"/>
    <w:multiLevelType w:val="hybridMultilevel"/>
    <w:tmpl w:val="FFFFFFFF"/>
    <w:lvl w:ilvl="0" w:tplc="75B658A6">
      <w:start w:val="3"/>
      <w:numFmt w:val="decimal"/>
      <w:lvlText w:val="%1."/>
      <w:lvlJc w:val="left"/>
      <w:pPr>
        <w:ind w:left="720" w:hanging="360"/>
      </w:pPr>
    </w:lvl>
    <w:lvl w:ilvl="1" w:tplc="7584D310">
      <w:start w:val="1"/>
      <w:numFmt w:val="lowerLetter"/>
      <w:lvlText w:val="%2."/>
      <w:lvlJc w:val="left"/>
      <w:pPr>
        <w:ind w:left="1440" w:hanging="360"/>
      </w:pPr>
    </w:lvl>
    <w:lvl w:ilvl="2" w:tplc="A5A09F02">
      <w:start w:val="1"/>
      <w:numFmt w:val="lowerRoman"/>
      <w:lvlText w:val="%3."/>
      <w:lvlJc w:val="right"/>
      <w:pPr>
        <w:ind w:left="2160" w:hanging="180"/>
      </w:pPr>
    </w:lvl>
    <w:lvl w:ilvl="3" w:tplc="85B048FA">
      <w:start w:val="1"/>
      <w:numFmt w:val="decimal"/>
      <w:lvlText w:val="%4."/>
      <w:lvlJc w:val="left"/>
      <w:pPr>
        <w:ind w:left="2880" w:hanging="360"/>
      </w:pPr>
    </w:lvl>
    <w:lvl w:ilvl="4" w:tplc="17F8DA0E">
      <w:start w:val="1"/>
      <w:numFmt w:val="lowerLetter"/>
      <w:lvlText w:val="%5."/>
      <w:lvlJc w:val="left"/>
      <w:pPr>
        <w:ind w:left="3600" w:hanging="360"/>
      </w:pPr>
    </w:lvl>
    <w:lvl w:ilvl="5" w:tplc="C8481808">
      <w:start w:val="1"/>
      <w:numFmt w:val="lowerRoman"/>
      <w:lvlText w:val="%6."/>
      <w:lvlJc w:val="right"/>
      <w:pPr>
        <w:ind w:left="4320" w:hanging="180"/>
      </w:pPr>
    </w:lvl>
    <w:lvl w:ilvl="6" w:tplc="5DB69FEA">
      <w:start w:val="1"/>
      <w:numFmt w:val="decimal"/>
      <w:lvlText w:val="%7."/>
      <w:lvlJc w:val="left"/>
      <w:pPr>
        <w:ind w:left="5040" w:hanging="360"/>
      </w:pPr>
    </w:lvl>
    <w:lvl w:ilvl="7" w:tplc="54103C44">
      <w:start w:val="1"/>
      <w:numFmt w:val="lowerLetter"/>
      <w:lvlText w:val="%8."/>
      <w:lvlJc w:val="left"/>
      <w:pPr>
        <w:ind w:left="5760" w:hanging="360"/>
      </w:pPr>
    </w:lvl>
    <w:lvl w:ilvl="8" w:tplc="725A59E2">
      <w:start w:val="1"/>
      <w:numFmt w:val="lowerRoman"/>
      <w:lvlText w:val="%9."/>
      <w:lvlJc w:val="right"/>
      <w:pPr>
        <w:ind w:left="6480" w:hanging="180"/>
      </w:pPr>
    </w:lvl>
  </w:abstractNum>
  <w:abstractNum w:abstractNumId="438" w15:restartNumberingAfterBreak="0">
    <w:nsid w:val="4915D071"/>
    <w:multiLevelType w:val="hybridMultilevel"/>
    <w:tmpl w:val="FFFFFFFF"/>
    <w:lvl w:ilvl="0" w:tplc="2EE0A928">
      <w:start w:val="11"/>
      <w:numFmt w:val="decimal"/>
      <w:lvlText w:val="%1."/>
      <w:lvlJc w:val="left"/>
      <w:pPr>
        <w:ind w:left="720" w:hanging="360"/>
      </w:pPr>
    </w:lvl>
    <w:lvl w:ilvl="1" w:tplc="EAB2449E">
      <w:start w:val="1"/>
      <w:numFmt w:val="lowerLetter"/>
      <w:lvlText w:val="%2."/>
      <w:lvlJc w:val="left"/>
      <w:pPr>
        <w:ind w:left="1440" w:hanging="360"/>
      </w:pPr>
    </w:lvl>
    <w:lvl w:ilvl="2" w:tplc="C9AEC134">
      <w:start w:val="1"/>
      <w:numFmt w:val="lowerRoman"/>
      <w:lvlText w:val="%3."/>
      <w:lvlJc w:val="right"/>
      <w:pPr>
        <w:ind w:left="2160" w:hanging="180"/>
      </w:pPr>
    </w:lvl>
    <w:lvl w:ilvl="3" w:tplc="A132A81C">
      <w:start w:val="1"/>
      <w:numFmt w:val="decimal"/>
      <w:lvlText w:val="%4."/>
      <w:lvlJc w:val="left"/>
      <w:pPr>
        <w:ind w:left="2880" w:hanging="360"/>
      </w:pPr>
    </w:lvl>
    <w:lvl w:ilvl="4" w:tplc="C2AA79EC">
      <w:start w:val="1"/>
      <w:numFmt w:val="lowerLetter"/>
      <w:lvlText w:val="%5."/>
      <w:lvlJc w:val="left"/>
      <w:pPr>
        <w:ind w:left="3600" w:hanging="360"/>
      </w:pPr>
    </w:lvl>
    <w:lvl w:ilvl="5" w:tplc="BFB2A5F0">
      <w:start w:val="1"/>
      <w:numFmt w:val="lowerRoman"/>
      <w:lvlText w:val="%6."/>
      <w:lvlJc w:val="right"/>
      <w:pPr>
        <w:ind w:left="4320" w:hanging="180"/>
      </w:pPr>
    </w:lvl>
    <w:lvl w:ilvl="6" w:tplc="9226222C">
      <w:start w:val="1"/>
      <w:numFmt w:val="decimal"/>
      <w:lvlText w:val="%7."/>
      <w:lvlJc w:val="left"/>
      <w:pPr>
        <w:ind w:left="5040" w:hanging="360"/>
      </w:pPr>
    </w:lvl>
    <w:lvl w:ilvl="7" w:tplc="62E41EAC">
      <w:start w:val="1"/>
      <w:numFmt w:val="lowerLetter"/>
      <w:lvlText w:val="%8."/>
      <w:lvlJc w:val="left"/>
      <w:pPr>
        <w:ind w:left="5760" w:hanging="360"/>
      </w:pPr>
    </w:lvl>
    <w:lvl w:ilvl="8" w:tplc="1B82CF3E">
      <w:start w:val="1"/>
      <w:numFmt w:val="lowerRoman"/>
      <w:lvlText w:val="%9."/>
      <w:lvlJc w:val="right"/>
      <w:pPr>
        <w:ind w:left="6480" w:hanging="180"/>
      </w:pPr>
    </w:lvl>
  </w:abstractNum>
  <w:abstractNum w:abstractNumId="439" w15:restartNumberingAfterBreak="0">
    <w:nsid w:val="492A0F6F"/>
    <w:multiLevelType w:val="hybridMultilevel"/>
    <w:tmpl w:val="FFFFFFFF"/>
    <w:lvl w:ilvl="0" w:tplc="B6BAA23E">
      <w:start w:val="8"/>
      <w:numFmt w:val="decimal"/>
      <w:lvlText w:val="%1."/>
      <w:lvlJc w:val="left"/>
      <w:pPr>
        <w:ind w:left="720" w:hanging="360"/>
      </w:pPr>
    </w:lvl>
    <w:lvl w:ilvl="1" w:tplc="CD5E39DA">
      <w:start w:val="1"/>
      <w:numFmt w:val="lowerLetter"/>
      <w:lvlText w:val="%2."/>
      <w:lvlJc w:val="left"/>
      <w:pPr>
        <w:ind w:left="1440" w:hanging="360"/>
      </w:pPr>
    </w:lvl>
    <w:lvl w:ilvl="2" w:tplc="B6A219F0">
      <w:start w:val="1"/>
      <w:numFmt w:val="lowerRoman"/>
      <w:lvlText w:val="%3."/>
      <w:lvlJc w:val="right"/>
      <w:pPr>
        <w:ind w:left="2160" w:hanging="180"/>
      </w:pPr>
    </w:lvl>
    <w:lvl w:ilvl="3" w:tplc="7ACC67FA">
      <w:start w:val="1"/>
      <w:numFmt w:val="decimal"/>
      <w:lvlText w:val="%4."/>
      <w:lvlJc w:val="left"/>
      <w:pPr>
        <w:ind w:left="2880" w:hanging="360"/>
      </w:pPr>
    </w:lvl>
    <w:lvl w:ilvl="4" w:tplc="80945330">
      <w:start w:val="1"/>
      <w:numFmt w:val="lowerLetter"/>
      <w:lvlText w:val="%5."/>
      <w:lvlJc w:val="left"/>
      <w:pPr>
        <w:ind w:left="3600" w:hanging="360"/>
      </w:pPr>
    </w:lvl>
    <w:lvl w:ilvl="5" w:tplc="DF1CE57A">
      <w:start w:val="1"/>
      <w:numFmt w:val="lowerRoman"/>
      <w:lvlText w:val="%6."/>
      <w:lvlJc w:val="right"/>
      <w:pPr>
        <w:ind w:left="4320" w:hanging="180"/>
      </w:pPr>
    </w:lvl>
    <w:lvl w:ilvl="6" w:tplc="3970EC86">
      <w:start w:val="1"/>
      <w:numFmt w:val="decimal"/>
      <w:lvlText w:val="%7."/>
      <w:lvlJc w:val="left"/>
      <w:pPr>
        <w:ind w:left="5040" w:hanging="360"/>
      </w:pPr>
    </w:lvl>
    <w:lvl w:ilvl="7" w:tplc="85A20DBA">
      <w:start w:val="1"/>
      <w:numFmt w:val="lowerLetter"/>
      <w:lvlText w:val="%8."/>
      <w:lvlJc w:val="left"/>
      <w:pPr>
        <w:ind w:left="5760" w:hanging="360"/>
      </w:pPr>
    </w:lvl>
    <w:lvl w:ilvl="8" w:tplc="D3D4FDF2">
      <w:start w:val="1"/>
      <w:numFmt w:val="lowerRoman"/>
      <w:lvlText w:val="%9."/>
      <w:lvlJc w:val="right"/>
      <w:pPr>
        <w:ind w:left="6480" w:hanging="180"/>
      </w:pPr>
    </w:lvl>
  </w:abstractNum>
  <w:abstractNum w:abstractNumId="440" w15:restartNumberingAfterBreak="0">
    <w:nsid w:val="495C0E24"/>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41" w15:restartNumberingAfterBreak="0">
    <w:nsid w:val="49E21ADC"/>
    <w:multiLevelType w:val="multilevel"/>
    <w:tmpl w:val="59A2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49E2FE03"/>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3" w15:restartNumberingAfterBreak="0">
    <w:nsid w:val="49E34E33"/>
    <w:multiLevelType w:val="multilevel"/>
    <w:tmpl w:val="1AA44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4A100B21"/>
    <w:multiLevelType w:val="hybridMultilevel"/>
    <w:tmpl w:val="E640C21C"/>
    <w:lvl w:ilvl="0" w:tplc="1809000F">
      <w:start w:val="1"/>
      <w:numFmt w:val="decimal"/>
      <w:lvlText w:val="%1."/>
      <w:lvlJc w:val="left"/>
      <w:pPr>
        <w:ind w:left="720" w:hanging="360"/>
      </w:pPr>
    </w:lvl>
    <w:lvl w:ilvl="1" w:tplc="295AC798">
      <w:start w:val="1"/>
      <w:numFmt w:val="decimal"/>
      <w:lvlText w:val="%2."/>
      <w:lvlJc w:val="left"/>
      <w:pPr>
        <w:ind w:left="1440" w:hanging="360"/>
      </w:pPr>
      <w:rPr>
        <w:rFonts w:ascii="Times New Roman" w:eastAsiaTheme="minorHAnsi" w:hAnsi="Times New Roman" w:cs="Times New Roman"/>
        <w:lang w:val="en-IE"/>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5" w15:restartNumberingAfterBreak="0">
    <w:nsid w:val="4A142CC1"/>
    <w:multiLevelType w:val="multilevel"/>
    <w:tmpl w:val="5D54D40A"/>
    <w:lvl w:ilvl="0">
      <w:start w:val="1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6" w15:restartNumberingAfterBreak="0">
    <w:nsid w:val="4A1C5412"/>
    <w:multiLevelType w:val="hybridMultilevel"/>
    <w:tmpl w:val="FFFFFFFF"/>
    <w:lvl w:ilvl="0" w:tplc="03AACEC4">
      <w:start w:val="9"/>
      <w:numFmt w:val="decimal"/>
      <w:lvlText w:val="%1."/>
      <w:lvlJc w:val="left"/>
      <w:pPr>
        <w:ind w:left="720" w:hanging="360"/>
      </w:pPr>
    </w:lvl>
    <w:lvl w:ilvl="1" w:tplc="AFDC1670">
      <w:start w:val="1"/>
      <w:numFmt w:val="lowerLetter"/>
      <w:lvlText w:val="%2."/>
      <w:lvlJc w:val="left"/>
      <w:pPr>
        <w:ind w:left="1440" w:hanging="360"/>
      </w:pPr>
    </w:lvl>
    <w:lvl w:ilvl="2" w:tplc="26C82212">
      <w:start w:val="1"/>
      <w:numFmt w:val="lowerRoman"/>
      <w:lvlText w:val="%3."/>
      <w:lvlJc w:val="right"/>
      <w:pPr>
        <w:ind w:left="2160" w:hanging="180"/>
      </w:pPr>
    </w:lvl>
    <w:lvl w:ilvl="3" w:tplc="7FE85760">
      <w:start w:val="1"/>
      <w:numFmt w:val="decimal"/>
      <w:lvlText w:val="%4."/>
      <w:lvlJc w:val="left"/>
      <w:pPr>
        <w:ind w:left="2880" w:hanging="360"/>
      </w:pPr>
    </w:lvl>
    <w:lvl w:ilvl="4" w:tplc="84C057FE">
      <w:start w:val="1"/>
      <w:numFmt w:val="lowerLetter"/>
      <w:lvlText w:val="%5."/>
      <w:lvlJc w:val="left"/>
      <w:pPr>
        <w:ind w:left="3600" w:hanging="360"/>
      </w:pPr>
    </w:lvl>
    <w:lvl w:ilvl="5" w:tplc="2A9ACB2E">
      <w:start w:val="1"/>
      <w:numFmt w:val="lowerRoman"/>
      <w:lvlText w:val="%6."/>
      <w:lvlJc w:val="right"/>
      <w:pPr>
        <w:ind w:left="4320" w:hanging="180"/>
      </w:pPr>
    </w:lvl>
    <w:lvl w:ilvl="6" w:tplc="21D07984">
      <w:start w:val="1"/>
      <w:numFmt w:val="decimal"/>
      <w:lvlText w:val="%7."/>
      <w:lvlJc w:val="left"/>
      <w:pPr>
        <w:ind w:left="5040" w:hanging="360"/>
      </w:pPr>
    </w:lvl>
    <w:lvl w:ilvl="7" w:tplc="1856F046">
      <w:start w:val="1"/>
      <w:numFmt w:val="lowerLetter"/>
      <w:lvlText w:val="%8."/>
      <w:lvlJc w:val="left"/>
      <w:pPr>
        <w:ind w:left="5760" w:hanging="360"/>
      </w:pPr>
    </w:lvl>
    <w:lvl w:ilvl="8" w:tplc="541AC522">
      <w:start w:val="1"/>
      <w:numFmt w:val="lowerRoman"/>
      <w:lvlText w:val="%9."/>
      <w:lvlJc w:val="right"/>
      <w:pPr>
        <w:ind w:left="6480" w:hanging="180"/>
      </w:pPr>
    </w:lvl>
  </w:abstractNum>
  <w:abstractNum w:abstractNumId="447" w15:restartNumberingAfterBreak="0">
    <w:nsid w:val="4A544A98"/>
    <w:multiLevelType w:val="hybridMultilevel"/>
    <w:tmpl w:val="B2CA72D2"/>
    <w:lvl w:ilvl="0" w:tplc="D852426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8" w15:restartNumberingAfterBreak="0">
    <w:nsid w:val="4AC4F422"/>
    <w:multiLevelType w:val="hybridMultilevel"/>
    <w:tmpl w:val="FFFFFFFF"/>
    <w:lvl w:ilvl="0" w:tplc="998E45FA">
      <w:start w:val="1"/>
      <w:numFmt w:val="bullet"/>
      <w:lvlText w:val=""/>
      <w:lvlJc w:val="left"/>
      <w:pPr>
        <w:ind w:left="720" w:hanging="360"/>
      </w:pPr>
      <w:rPr>
        <w:rFonts w:ascii="Segoe UI" w:hAnsi="Segoe UI" w:hint="default"/>
      </w:rPr>
    </w:lvl>
    <w:lvl w:ilvl="1" w:tplc="061A7F9E">
      <w:start w:val="1"/>
      <w:numFmt w:val="bullet"/>
      <w:lvlText w:val="o"/>
      <w:lvlJc w:val="left"/>
      <w:pPr>
        <w:ind w:left="1440" w:hanging="360"/>
      </w:pPr>
      <w:rPr>
        <w:rFonts w:ascii="Courier New" w:hAnsi="Courier New" w:hint="default"/>
      </w:rPr>
    </w:lvl>
    <w:lvl w:ilvl="2" w:tplc="4D8445D2">
      <w:start w:val="1"/>
      <w:numFmt w:val="bullet"/>
      <w:lvlText w:val=""/>
      <w:lvlJc w:val="left"/>
      <w:pPr>
        <w:ind w:left="2160" w:hanging="360"/>
      </w:pPr>
      <w:rPr>
        <w:rFonts w:ascii="Cambria Math" w:hAnsi="Cambria Math" w:hint="default"/>
      </w:rPr>
    </w:lvl>
    <w:lvl w:ilvl="3" w:tplc="DCCC24B6">
      <w:start w:val="1"/>
      <w:numFmt w:val="bullet"/>
      <w:lvlText w:val=""/>
      <w:lvlJc w:val="left"/>
      <w:pPr>
        <w:ind w:left="2880" w:hanging="360"/>
      </w:pPr>
      <w:rPr>
        <w:rFonts w:ascii="Segoe UI" w:hAnsi="Segoe UI" w:hint="default"/>
      </w:rPr>
    </w:lvl>
    <w:lvl w:ilvl="4" w:tplc="E196C9A8">
      <w:start w:val="1"/>
      <w:numFmt w:val="bullet"/>
      <w:lvlText w:val="o"/>
      <w:lvlJc w:val="left"/>
      <w:pPr>
        <w:ind w:left="3600" w:hanging="360"/>
      </w:pPr>
      <w:rPr>
        <w:rFonts w:ascii="Courier New" w:hAnsi="Courier New" w:hint="default"/>
      </w:rPr>
    </w:lvl>
    <w:lvl w:ilvl="5" w:tplc="DF14B97E">
      <w:start w:val="1"/>
      <w:numFmt w:val="bullet"/>
      <w:lvlText w:val=""/>
      <w:lvlJc w:val="left"/>
      <w:pPr>
        <w:ind w:left="4320" w:hanging="360"/>
      </w:pPr>
      <w:rPr>
        <w:rFonts w:ascii="Cambria Math" w:hAnsi="Cambria Math" w:hint="default"/>
      </w:rPr>
    </w:lvl>
    <w:lvl w:ilvl="6" w:tplc="BA86517A">
      <w:start w:val="1"/>
      <w:numFmt w:val="bullet"/>
      <w:lvlText w:val=""/>
      <w:lvlJc w:val="left"/>
      <w:pPr>
        <w:ind w:left="5040" w:hanging="360"/>
      </w:pPr>
      <w:rPr>
        <w:rFonts w:ascii="Segoe UI" w:hAnsi="Segoe UI" w:hint="default"/>
      </w:rPr>
    </w:lvl>
    <w:lvl w:ilvl="7" w:tplc="43241E1A">
      <w:start w:val="1"/>
      <w:numFmt w:val="bullet"/>
      <w:lvlText w:val="o"/>
      <w:lvlJc w:val="left"/>
      <w:pPr>
        <w:ind w:left="5760" w:hanging="360"/>
      </w:pPr>
      <w:rPr>
        <w:rFonts w:ascii="Courier New" w:hAnsi="Courier New" w:hint="default"/>
      </w:rPr>
    </w:lvl>
    <w:lvl w:ilvl="8" w:tplc="20301AF0">
      <w:start w:val="1"/>
      <w:numFmt w:val="bullet"/>
      <w:lvlText w:val=""/>
      <w:lvlJc w:val="left"/>
      <w:pPr>
        <w:ind w:left="6480" w:hanging="360"/>
      </w:pPr>
      <w:rPr>
        <w:rFonts w:ascii="Cambria Math" w:hAnsi="Cambria Math" w:hint="default"/>
      </w:rPr>
    </w:lvl>
  </w:abstractNum>
  <w:abstractNum w:abstractNumId="449" w15:restartNumberingAfterBreak="0">
    <w:nsid w:val="4ACD50C2"/>
    <w:multiLevelType w:val="hybridMultilevel"/>
    <w:tmpl w:val="FFFFFFFF"/>
    <w:lvl w:ilvl="0" w:tplc="0E1459E4">
      <w:start w:val="6"/>
      <w:numFmt w:val="decimal"/>
      <w:lvlText w:val="%1."/>
      <w:lvlJc w:val="left"/>
      <w:pPr>
        <w:ind w:left="720" w:hanging="360"/>
      </w:pPr>
    </w:lvl>
    <w:lvl w:ilvl="1" w:tplc="164816D0">
      <w:start w:val="1"/>
      <w:numFmt w:val="lowerLetter"/>
      <w:lvlText w:val="%2."/>
      <w:lvlJc w:val="left"/>
      <w:pPr>
        <w:ind w:left="1440" w:hanging="360"/>
      </w:pPr>
    </w:lvl>
    <w:lvl w:ilvl="2" w:tplc="84E265F8">
      <w:start w:val="1"/>
      <w:numFmt w:val="lowerRoman"/>
      <w:lvlText w:val="%3."/>
      <w:lvlJc w:val="right"/>
      <w:pPr>
        <w:ind w:left="2160" w:hanging="180"/>
      </w:pPr>
    </w:lvl>
    <w:lvl w:ilvl="3" w:tplc="49B8967A">
      <w:start w:val="1"/>
      <w:numFmt w:val="decimal"/>
      <w:lvlText w:val="%4."/>
      <w:lvlJc w:val="left"/>
      <w:pPr>
        <w:ind w:left="2880" w:hanging="360"/>
      </w:pPr>
    </w:lvl>
    <w:lvl w:ilvl="4" w:tplc="4B72ACA0">
      <w:start w:val="1"/>
      <w:numFmt w:val="lowerLetter"/>
      <w:lvlText w:val="%5."/>
      <w:lvlJc w:val="left"/>
      <w:pPr>
        <w:ind w:left="3600" w:hanging="360"/>
      </w:pPr>
    </w:lvl>
    <w:lvl w:ilvl="5" w:tplc="E7E6EB1C">
      <w:start w:val="1"/>
      <w:numFmt w:val="lowerRoman"/>
      <w:lvlText w:val="%6."/>
      <w:lvlJc w:val="right"/>
      <w:pPr>
        <w:ind w:left="4320" w:hanging="180"/>
      </w:pPr>
    </w:lvl>
    <w:lvl w:ilvl="6" w:tplc="4C0CD5D2">
      <w:start w:val="1"/>
      <w:numFmt w:val="decimal"/>
      <w:lvlText w:val="%7."/>
      <w:lvlJc w:val="left"/>
      <w:pPr>
        <w:ind w:left="5040" w:hanging="360"/>
      </w:pPr>
    </w:lvl>
    <w:lvl w:ilvl="7" w:tplc="9B92CA5E">
      <w:start w:val="1"/>
      <w:numFmt w:val="lowerLetter"/>
      <w:lvlText w:val="%8."/>
      <w:lvlJc w:val="left"/>
      <w:pPr>
        <w:ind w:left="5760" w:hanging="360"/>
      </w:pPr>
    </w:lvl>
    <w:lvl w:ilvl="8" w:tplc="309AFE0E">
      <w:start w:val="1"/>
      <w:numFmt w:val="lowerRoman"/>
      <w:lvlText w:val="%9."/>
      <w:lvlJc w:val="right"/>
      <w:pPr>
        <w:ind w:left="6480" w:hanging="180"/>
      </w:pPr>
    </w:lvl>
  </w:abstractNum>
  <w:abstractNum w:abstractNumId="450" w15:restartNumberingAfterBreak="0">
    <w:nsid w:val="4B221C64"/>
    <w:multiLevelType w:val="hybridMultilevel"/>
    <w:tmpl w:val="E006F966"/>
    <w:lvl w:ilvl="0" w:tplc="6C30E62A">
      <w:start w:val="1"/>
      <w:numFmt w:val="bullet"/>
      <w:lvlText w:val="-"/>
      <w:lvlJc w:val="left"/>
      <w:pPr>
        <w:ind w:left="1440" w:hanging="360"/>
      </w:pPr>
      <w:rPr>
        <w:rFonts w:ascii="Calibri"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1" w15:restartNumberingAfterBreak="0">
    <w:nsid w:val="4B401D32"/>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2" w15:restartNumberingAfterBreak="0">
    <w:nsid w:val="4B7BC656"/>
    <w:multiLevelType w:val="hybridMultilevel"/>
    <w:tmpl w:val="FFFFFFFF"/>
    <w:lvl w:ilvl="0" w:tplc="F1BC6B3E">
      <w:start w:val="1"/>
      <w:numFmt w:val="lowerLetter"/>
      <w:lvlText w:val="%1."/>
      <w:lvlJc w:val="left"/>
      <w:pPr>
        <w:ind w:left="720" w:hanging="360"/>
      </w:pPr>
    </w:lvl>
    <w:lvl w:ilvl="1" w:tplc="CBD07CD8">
      <w:start w:val="1"/>
      <w:numFmt w:val="lowerRoman"/>
      <w:lvlText w:val="%2."/>
      <w:lvlJc w:val="right"/>
      <w:pPr>
        <w:ind w:left="1440" w:hanging="360"/>
      </w:pPr>
    </w:lvl>
    <w:lvl w:ilvl="2" w:tplc="E9E817C6">
      <w:start w:val="1"/>
      <w:numFmt w:val="lowerRoman"/>
      <w:lvlText w:val="%3."/>
      <w:lvlJc w:val="right"/>
      <w:pPr>
        <w:ind w:left="2160" w:hanging="180"/>
      </w:pPr>
    </w:lvl>
    <w:lvl w:ilvl="3" w:tplc="75886F1E">
      <w:start w:val="1"/>
      <w:numFmt w:val="decimal"/>
      <w:lvlText w:val="%4."/>
      <w:lvlJc w:val="left"/>
      <w:pPr>
        <w:ind w:left="2880" w:hanging="360"/>
      </w:pPr>
    </w:lvl>
    <w:lvl w:ilvl="4" w:tplc="42CAC498">
      <w:start w:val="1"/>
      <w:numFmt w:val="lowerLetter"/>
      <w:lvlText w:val="%5."/>
      <w:lvlJc w:val="left"/>
      <w:pPr>
        <w:ind w:left="3600" w:hanging="360"/>
      </w:pPr>
    </w:lvl>
    <w:lvl w:ilvl="5" w:tplc="7B9CB042">
      <w:start w:val="1"/>
      <w:numFmt w:val="lowerRoman"/>
      <w:lvlText w:val="%6."/>
      <w:lvlJc w:val="right"/>
      <w:pPr>
        <w:ind w:left="4320" w:hanging="180"/>
      </w:pPr>
    </w:lvl>
    <w:lvl w:ilvl="6" w:tplc="41EC63E2">
      <w:start w:val="1"/>
      <w:numFmt w:val="decimal"/>
      <w:lvlText w:val="%7."/>
      <w:lvlJc w:val="left"/>
      <w:pPr>
        <w:ind w:left="5040" w:hanging="360"/>
      </w:pPr>
    </w:lvl>
    <w:lvl w:ilvl="7" w:tplc="48928852">
      <w:start w:val="1"/>
      <w:numFmt w:val="lowerLetter"/>
      <w:lvlText w:val="%8."/>
      <w:lvlJc w:val="left"/>
      <w:pPr>
        <w:ind w:left="5760" w:hanging="360"/>
      </w:pPr>
    </w:lvl>
    <w:lvl w:ilvl="8" w:tplc="23389E8C">
      <w:start w:val="1"/>
      <w:numFmt w:val="lowerRoman"/>
      <w:lvlText w:val="%9."/>
      <w:lvlJc w:val="right"/>
      <w:pPr>
        <w:ind w:left="6480" w:hanging="180"/>
      </w:pPr>
    </w:lvl>
  </w:abstractNum>
  <w:abstractNum w:abstractNumId="453" w15:restartNumberingAfterBreak="0">
    <w:nsid w:val="4B9D0986"/>
    <w:multiLevelType w:val="hybridMultilevel"/>
    <w:tmpl w:val="3AA8B12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4" w15:restartNumberingAfterBreak="0">
    <w:nsid w:val="4BAF3466"/>
    <w:multiLevelType w:val="multilevel"/>
    <w:tmpl w:val="B40A63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4BC92E30"/>
    <w:multiLevelType w:val="hybridMultilevel"/>
    <w:tmpl w:val="45B22948"/>
    <w:lvl w:ilvl="0" w:tplc="312A5F28">
      <w:start w:val="1"/>
      <w:numFmt w:val="bullet"/>
      <w:lvlText w:val="-"/>
      <w:lvlJc w:val="left"/>
      <w:pPr>
        <w:ind w:left="1080" w:hanging="360"/>
      </w:pPr>
      <w:rPr>
        <w:rFonts w:ascii="Cambria" w:eastAsiaTheme="minorHAnsi" w:hAnsi="Cambria" w:cs="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456" w15:restartNumberingAfterBreak="0">
    <w:nsid w:val="4BD02FAE"/>
    <w:multiLevelType w:val="hybridMultilevel"/>
    <w:tmpl w:val="E6141A08"/>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57" w15:restartNumberingAfterBreak="0">
    <w:nsid w:val="4C3D555F"/>
    <w:multiLevelType w:val="hybridMultilevel"/>
    <w:tmpl w:val="FFFFFFFF"/>
    <w:lvl w:ilvl="0" w:tplc="2DF6AB6C">
      <w:start w:val="1"/>
      <w:numFmt w:val="bullet"/>
      <w:lvlText w:val=""/>
      <w:lvlJc w:val="left"/>
      <w:pPr>
        <w:ind w:left="720" w:hanging="360"/>
      </w:pPr>
      <w:rPr>
        <w:rFonts w:ascii="Symbol" w:hAnsi="Symbol" w:hint="default"/>
      </w:rPr>
    </w:lvl>
    <w:lvl w:ilvl="1" w:tplc="E7B25F50">
      <w:start w:val="1"/>
      <w:numFmt w:val="bullet"/>
      <w:lvlText w:val="o"/>
      <w:lvlJc w:val="left"/>
      <w:pPr>
        <w:ind w:left="1440" w:hanging="360"/>
      </w:pPr>
      <w:rPr>
        <w:rFonts w:ascii="Courier New" w:hAnsi="Courier New" w:hint="default"/>
      </w:rPr>
    </w:lvl>
    <w:lvl w:ilvl="2" w:tplc="F9B06542">
      <w:start w:val="1"/>
      <w:numFmt w:val="bullet"/>
      <w:lvlText w:val=""/>
      <w:lvlJc w:val="left"/>
      <w:pPr>
        <w:ind w:left="2160" w:hanging="360"/>
      </w:pPr>
      <w:rPr>
        <w:rFonts w:ascii="Wingdings" w:hAnsi="Wingdings" w:hint="default"/>
      </w:rPr>
    </w:lvl>
    <w:lvl w:ilvl="3" w:tplc="2F40155E">
      <w:start w:val="1"/>
      <w:numFmt w:val="bullet"/>
      <w:lvlText w:val=""/>
      <w:lvlJc w:val="left"/>
      <w:pPr>
        <w:ind w:left="2880" w:hanging="360"/>
      </w:pPr>
      <w:rPr>
        <w:rFonts w:ascii="Symbol" w:hAnsi="Symbol" w:hint="default"/>
      </w:rPr>
    </w:lvl>
    <w:lvl w:ilvl="4" w:tplc="23968724">
      <w:start w:val="1"/>
      <w:numFmt w:val="bullet"/>
      <w:lvlText w:val="o"/>
      <w:lvlJc w:val="left"/>
      <w:pPr>
        <w:ind w:left="3600" w:hanging="360"/>
      </w:pPr>
      <w:rPr>
        <w:rFonts w:ascii="Courier New" w:hAnsi="Courier New" w:hint="default"/>
      </w:rPr>
    </w:lvl>
    <w:lvl w:ilvl="5" w:tplc="0E30839A">
      <w:start w:val="1"/>
      <w:numFmt w:val="bullet"/>
      <w:lvlText w:val=""/>
      <w:lvlJc w:val="left"/>
      <w:pPr>
        <w:ind w:left="4320" w:hanging="360"/>
      </w:pPr>
      <w:rPr>
        <w:rFonts w:ascii="Wingdings" w:hAnsi="Wingdings" w:hint="default"/>
      </w:rPr>
    </w:lvl>
    <w:lvl w:ilvl="6" w:tplc="1E7AAFDE">
      <w:start w:val="1"/>
      <w:numFmt w:val="bullet"/>
      <w:lvlText w:val=""/>
      <w:lvlJc w:val="left"/>
      <w:pPr>
        <w:ind w:left="5040" w:hanging="360"/>
      </w:pPr>
      <w:rPr>
        <w:rFonts w:ascii="Symbol" w:hAnsi="Symbol" w:hint="default"/>
      </w:rPr>
    </w:lvl>
    <w:lvl w:ilvl="7" w:tplc="8D706BDA">
      <w:start w:val="1"/>
      <w:numFmt w:val="bullet"/>
      <w:lvlText w:val="o"/>
      <w:lvlJc w:val="left"/>
      <w:pPr>
        <w:ind w:left="5760" w:hanging="360"/>
      </w:pPr>
      <w:rPr>
        <w:rFonts w:ascii="Courier New" w:hAnsi="Courier New" w:hint="default"/>
      </w:rPr>
    </w:lvl>
    <w:lvl w:ilvl="8" w:tplc="FBAE07B4">
      <w:start w:val="1"/>
      <w:numFmt w:val="bullet"/>
      <w:lvlText w:val=""/>
      <w:lvlJc w:val="left"/>
      <w:pPr>
        <w:ind w:left="6480" w:hanging="360"/>
      </w:pPr>
      <w:rPr>
        <w:rFonts w:ascii="Wingdings" w:hAnsi="Wingdings" w:hint="default"/>
      </w:rPr>
    </w:lvl>
  </w:abstractNum>
  <w:abstractNum w:abstractNumId="458" w15:restartNumberingAfterBreak="0">
    <w:nsid w:val="4D29707D"/>
    <w:multiLevelType w:val="multilevel"/>
    <w:tmpl w:val="753CFED6"/>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9" w15:restartNumberingAfterBreak="0">
    <w:nsid w:val="4D3C2974"/>
    <w:multiLevelType w:val="hybridMultilevel"/>
    <w:tmpl w:val="24CE4604"/>
    <w:lvl w:ilvl="0" w:tplc="080C000F">
      <w:start w:val="1"/>
      <w:numFmt w:val="decimal"/>
      <w:lvlText w:val="%1."/>
      <w:lvlJc w:val="left"/>
      <w:pPr>
        <w:ind w:left="907" w:hanging="360"/>
      </w:pPr>
    </w:lvl>
    <w:lvl w:ilvl="1" w:tplc="080C0019" w:tentative="1">
      <w:start w:val="1"/>
      <w:numFmt w:val="lowerLetter"/>
      <w:lvlText w:val="%2."/>
      <w:lvlJc w:val="left"/>
      <w:pPr>
        <w:ind w:left="1627" w:hanging="360"/>
      </w:pPr>
    </w:lvl>
    <w:lvl w:ilvl="2" w:tplc="080C001B" w:tentative="1">
      <w:start w:val="1"/>
      <w:numFmt w:val="lowerRoman"/>
      <w:lvlText w:val="%3."/>
      <w:lvlJc w:val="right"/>
      <w:pPr>
        <w:ind w:left="2347" w:hanging="180"/>
      </w:pPr>
    </w:lvl>
    <w:lvl w:ilvl="3" w:tplc="080C000F" w:tentative="1">
      <w:start w:val="1"/>
      <w:numFmt w:val="decimal"/>
      <w:lvlText w:val="%4."/>
      <w:lvlJc w:val="left"/>
      <w:pPr>
        <w:ind w:left="3067" w:hanging="360"/>
      </w:pPr>
    </w:lvl>
    <w:lvl w:ilvl="4" w:tplc="080C0019" w:tentative="1">
      <w:start w:val="1"/>
      <w:numFmt w:val="lowerLetter"/>
      <w:lvlText w:val="%5."/>
      <w:lvlJc w:val="left"/>
      <w:pPr>
        <w:ind w:left="3787" w:hanging="360"/>
      </w:pPr>
    </w:lvl>
    <w:lvl w:ilvl="5" w:tplc="080C001B" w:tentative="1">
      <w:start w:val="1"/>
      <w:numFmt w:val="lowerRoman"/>
      <w:lvlText w:val="%6."/>
      <w:lvlJc w:val="right"/>
      <w:pPr>
        <w:ind w:left="4507" w:hanging="180"/>
      </w:pPr>
    </w:lvl>
    <w:lvl w:ilvl="6" w:tplc="080C000F" w:tentative="1">
      <w:start w:val="1"/>
      <w:numFmt w:val="decimal"/>
      <w:lvlText w:val="%7."/>
      <w:lvlJc w:val="left"/>
      <w:pPr>
        <w:ind w:left="5227" w:hanging="360"/>
      </w:pPr>
    </w:lvl>
    <w:lvl w:ilvl="7" w:tplc="080C0019" w:tentative="1">
      <w:start w:val="1"/>
      <w:numFmt w:val="lowerLetter"/>
      <w:lvlText w:val="%8."/>
      <w:lvlJc w:val="left"/>
      <w:pPr>
        <w:ind w:left="5947" w:hanging="360"/>
      </w:pPr>
    </w:lvl>
    <w:lvl w:ilvl="8" w:tplc="080C001B" w:tentative="1">
      <w:start w:val="1"/>
      <w:numFmt w:val="lowerRoman"/>
      <w:lvlText w:val="%9."/>
      <w:lvlJc w:val="right"/>
      <w:pPr>
        <w:ind w:left="6667" w:hanging="180"/>
      </w:pPr>
    </w:lvl>
  </w:abstractNum>
  <w:abstractNum w:abstractNumId="460" w15:restartNumberingAfterBreak="0">
    <w:nsid w:val="4D6F6364"/>
    <w:multiLevelType w:val="hybridMultilevel"/>
    <w:tmpl w:val="5E7E5BB8"/>
    <w:lvl w:ilvl="0" w:tplc="1809001B">
      <w:start w:val="1"/>
      <w:numFmt w:val="lowerRoman"/>
      <w:lvlText w:val="%1."/>
      <w:lvlJc w:val="righ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1" w15:restartNumberingAfterBreak="0">
    <w:nsid w:val="4DA4525B"/>
    <w:multiLevelType w:val="hybridMultilevel"/>
    <w:tmpl w:val="8DEC0CF8"/>
    <w:lvl w:ilvl="0" w:tplc="94AC1BB0">
      <w:start w:val="1"/>
      <w:numFmt w:val="lowerRoman"/>
      <w:lvlText w:val="%1."/>
      <w:lvlJc w:val="right"/>
      <w:pPr>
        <w:ind w:left="1080" w:hanging="360"/>
      </w:pPr>
      <w:rPr>
        <w:rFonts w:ascii="Symbol" w:hAnsi="Symbol" w:cs="Symbol" w:hint="default"/>
        <w:sz w:val="24"/>
        <w:szCs w:val="24"/>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62" w15:restartNumberingAfterBreak="0">
    <w:nsid w:val="4DFE3F60"/>
    <w:multiLevelType w:val="hybridMultilevel"/>
    <w:tmpl w:val="0436031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463" w15:restartNumberingAfterBreak="0">
    <w:nsid w:val="4E1C48B9"/>
    <w:multiLevelType w:val="hybridMultilevel"/>
    <w:tmpl w:val="6F8A712C"/>
    <w:lvl w:ilvl="0" w:tplc="312A5F28">
      <w:start w:val="1"/>
      <w:numFmt w:val="bullet"/>
      <w:lvlText w:val="-"/>
      <w:lvlJc w:val="left"/>
      <w:pPr>
        <w:ind w:left="1080" w:hanging="360"/>
      </w:pPr>
      <w:rPr>
        <w:rFonts w:ascii="Calibri" w:eastAsiaTheme="minorHAnsi" w:hAnsi="Calibri" w:cs="Calibri" w:hint="default"/>
        <w:color w:val="7030A0"/>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64" w15:restartNumberingAfterBreak="0">
    <w:nsid w:val="4E2770FB"/>
    <w:multiLevelType w:val="multilevel"/>
    <w:tmpl w:val="3C6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E60AA28"/>
    <w:multiLevelType w:val="hybridMultilevel"/>
    <w:tmpl w:val="919C7EA2"/>
    <w:lvl w:ilvl="0" w:tplc="6A7C9602">
      <w:start w:val="1"/>
      <w:numFmt w:val="bullet"/>
      <w:lvlText w:val="-"/>
      <w:lvlJc w:val="left"/>
      <w:pPr>
        <w:ind w:left="720" w:hanging="360"/>
      </w:pPr>
      <w:rPr>
        <w:rFonts w:ascii="Symbol" w:hAnsi="Symbol" w:hint="default"/>
      </w:rPr>
    </w:lvl>
    <w:lvl w:ilvl="1" w:tplc="6F1AC4D6">
      <w:start w:val="1"/>
      <w:numFmt w:val="bullet"/>
      <w:lvlText w:val="o"/>
      <w:lvlJc w:val="left"/>
      <w:pPr>
        <w:ind w:left="1440" w:hanging="360"/>
      </w:pPr>
      <w:rPr>
        <w:rFonts w:ascii="Courier New" w:hAnsi="Courier New" w:hint="default"/>
      </w:rPr>
    </w:lvl>
    <w:lvl w:ilvl="2" w:tplc="C8620C1C">
      <w:start w:val="1"/>
      <w:numFmt w:val="bullet"/>
      <w:lvlText w:val=""/>
      <w:lvlJc w:val="left"/>
      <w:pPr>
        <w:ind w:left="2160" w:hanging="360"/>
      </w:pPr>
      <w:rPr>
        <w:rFonts w:ascii="Wingdings" w:hAnsi="Wingdings" w:hint="default"/>
      </w:rPr>
    </w:lvl>
    <w:lvl w:ilvl="3" w:tplc="F9700870">
      <w:start w:val="1"/>
      <w:numFmt w:val="bullet"/>
      <w:lvlText w:val=""/>
      <w:lvlJc w:val="left"/>
      <w:pPr>
        <w:ind w:left="2880" w:hanging="360"/>
      </w:pPr>
      <w:rPr>
        <w:rFonts w:ascii="Symbol" w:hAnsi="Symbol" w:hint="default"/>
      </w:rPr>
    </w:lvl>
    <w:lvl w:ilvl="4" w:tplc="F00CB9FC">
      <w:start w:val="1"/>
      <w:numFmt w:val="bullet"/>
      <w:lvlText w:val="o"/>
      <w:lvlJc w:val="left"/>
      <w:pPr>
        <w:ind w:left="3600" w:hanging="360"/>
      </w:pPr>
      <w:rPr>
        <w:rFonts w:ascii="Courier New" w:hAnsi="Courier New" w:hint="default"/>
      </w:rPr>
    </w:lvl>
    <w:lvl w:ilvl="5" w:tplc="8F485124">
      <w:start w:val="1"/>
      <w:numFmt w:val="bullet"/>
      <w:lvlText w:val=""/>
      <w:lvlJc w:val="left"/>
      <w:pPr>
        <w:ind w:left="4320" w:hanging="360"/>
      </w:pPr>
      <w:rPr>
        <w:rFonts w:ascii="Wingdings" w:hAnsi="Wingdings" w:hint="default"/>
      </w:rPr>
    </w:lvl>
    <w:lvl w:ilvl="6" w:tplc="618A4322">
      <w:start w:val="1"/>
      <w:numFmt w:val="bullet"/>
      <w:lvlText w:val=""/>
      <w:lvlJc w:val="left"/>
      <w:pPr>
        <w:ind w:left="5040" w:hanging="360"/>
      </w:pPr>
      <w:rPr>
        <w:rFonts w:ascii="Symbol" w:hAnsi="Symbol" w:hint="default"/>
      </w:rPr>
    </w:lvl>
    <w:lvl w:ilvl="7" w:tplc="FEE2C43E">
      <w:start w:val="1"/>
      <w:numFmt w:val="bullet"/>
      <w:lvlText w:val="o"/>
      <w:lvlJc w:val="left"/>
      <w:pPr>
        <w:ind w:left="5760" w:hanging="360"/>
      </w:pPr>
      <w:rPr>
        <w:rFonts w:ascii="Courier New" w:hAnsi="Courier New" w:hint="default"/>
      </w:rPr>
    </w:lvl>
    <w:lvl w:ilvl="8" w:tplc="3B929AB8">
      <w:start w:val="1"/>
      <w:numFmt w:val="bullet"/>
      <w:lvlText w:val=""/>
      <w:lvlJc w:val="left"/>
      <w:pPr>
        <w:ind w:left="6480" w:hanging="360"/>
      </w:pPr>
      <w:rPr>
        <w:rFonts w:ascii="Wingdings" w:hAnsi="Wingdings" w:hint="default"/>
      </w:rPr>
    </w:lvl>
  </w:abstractNum>
  <w:abstractNum w:abstractNumId="466" w15:restartNumberingAfterBreak="0">
    <w:nsid w:val="4E625C50"/>
    <w:multiLevelType w:val="hybridMultilevel"/>
    <w:tmpl w:val="49B87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7" w15:restartNumberingAfterBreak="0">
    <w:nsid w:val="4E7A5F2F"/>
    <w:multiLevelType w:val="multilevel"/>
    <w:tmpl w:val="D45C8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8" w15:restartNumberingAfterBreak="0">
    <w:nsid w:val="4E8B6C85"/>
    <w:multiLevelType w:val="hybridMultilevel"/>
    <w:tmpl w:val="4DCE3ABA"/>
    <w:lvl w:ilvl="0" w:tplc="548E3914">
      <w:start w:val="1"/>
      <w:numFmt w:val="lowerLetter"/>
      <w:lvlText w:val="%1)"/>
      <w:lvlJc w:val="left"/>
      <w:pPr>
        <w:ind w:left="1080" w:hanging="360"/>
      </w:pPr>
      <w:rPr>
        <w:rFonts w:hint="default"/>
        <w:color w:val="548DD4" w:themeColor="text2" w:themeTint="99"/>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69" w15:restartNumberingAfterBreak="0">
    <w:nsid w:val="4E9F6D40"/>
    <w:multiLevelType w:val="hybridMultilevel"/>
    <w:tmpl w:val="10281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0" w15:restartNumberingAfterBreak="0">
    <w:nsid w:val="4F000961"/>
    <w:multiLevelType w:val="hybridMultilevel"/>
    <w:tmpl w:val="B7F6EDCE"/>
    <w:lvl w:ilvl="0" w:tplc="1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1" w15:restartNumberingAfterBreak="0">
    <w:nsid w:val="4F381148"/>
    <w:multiLevelType w:val="hybridMultilevel"/>
    <w:tmpl w:val="FFFFFFFF"/>
    <w:lvl w:ilvl="0" w:tplc="FE3837F8">
      <w:start w:val="1"/>
      <w:numFmt w:val="bullet"/>
      <w:lvlText w:val=""/>
      <w:lvlJc w:val="left"/>
      <w:pPr>
        <w:ind w:left="720" w:hanging="360"/>
      </w:pPr>
      <w:rPr>
        <w:rFonts w:ascii="Symbol" w:hAnsi="Symbol" w:hint="default"/>
      </w:rPr>
    </w:lvl>
    <w:lvl w:ilvl="1" w:tplc="8820A552">
      <w:start w:val="1"/>
      <w:numFmt w:val="bullet"/>
      <w:lvlText w:val="o"/>
      <w:lvlJc w:val="left"/>
      <w:pPr>
        <w:ind w:left="1440" w:hanging="360"/>
      </w:pPr>
      <w:rPr>
        <w:rFonts w:ascii="Courier New" w:hAnsi="Courier New" w:hint="default"/>
      </w:rPr>
    </w:lvl>
    <w:lvl w:ilvl="2" w:tplc="C336974E">
      <w:start w:val="1"/>
      <w:numFmt w:val="bullet"/>
      <w:lvlText w:val=""/>
      <w:lvlJc w:val="left"/>
      <w:pPr>
        <w:ind w:left="2160" w:hanging="360"/>
      </w:pPr>
      <w:rPr>
        <w:rFonts w:ascii="Wingdings" w:hAnsi="Wingdings" w:hint="default"/>
      </w:rPr>
    </w:lvl>
    <w:lvl w:ilvl="3" w:tplc="0C0C68E8">
      <w:start w:val="1"/>
      <w:numFmt w:val="bullet"/>
      <w:lvlText w:val=""/>
      <w:lvlJc w:val="left"/>
      <w:pPr>
        <w:ind w:left="2880" w:hanging="360"/>
      </w:pPr>
      <w:rPr>
        <w:rFonts w:ascii="Symbol" w:hAnsi="Symbol" w:hint="default"/>
      </w:rPr>
    </w:lvl>
    <w:lvl w:ilvl="4" w:tplc="F224D27C">
      <w:start w:val="1"/>
      <w:numFmt w:val="bullet"/>
      <w:lvlText w:val="o"/>
      <w:lvlJc w:val="left"/>
      <w:pPr>
        <w:ind w:left="3600" w:hanging="360"/>
      </w:pPr>
      <w:rPr>
        <w:rFonts w:ascii="Courier New" w:hAnsi="Courier New" w:hint="default"/>
      </w:rPr>
    </w:lvl>
    <w:lvl w:ilvl="5" w:tplc="6AA48C32">
      <w:start w:val="1"/>
      <w:numFmt w:val="bullet"/>
      <w:lvlText w:val=""/>
      <w:lvlJc w:val="left"/>
      <w:pPr>
        <w:ind w:left="4320" w:hanging="360"/>
      </w:pPr>
      <w:rPr>
        <w:rFonts w:ascii="Wingdings" w:hAnsi="Wingdings" w:hint="default"/>
      </w:rPr>
    </w:lvl>
    <w:lvl w:ilvl="6" w:tplc="BDE45234">
      <w:start w:val="1"/>
      <w:numFmt w:val="bullet"/>
      <w:lvlText w:val=""/>
      <w:lvlJc w:val="left"/>
      <w:pPr>
        <w:ind w:left="5040" w:hanging="360"/>
      </w:pPr>
      <w:rPr>
        <w:rFonts w:ascii="Symbol" w:hAnsi="Symbol" w:hint="default"/>
      </w:rPr>
    </w:lvl>
    <w:lvl w:ilvl="7" w:tplc="11E8377C">
      <w:start w:val="1"/>
      <w:numFmt w:val="bullet"/>
      <w:lvlText w:val="o"/>
      <w:lvlJc w:val="left"/>
      <w:pPr>
        <w:ind w:left="5760" w:hanging="360"/>
      </w:pPr>
      <w:rPr>
        <w:rFonts w:ascii="Courier New" w:hAnsi="Courier New" w:hint="default"/>
      </w:rPr>
    </w:lvl>
    <w:lvl w:ilvl="8" w:tplc="0A829A30">
      <w:start w:val="1"/>
      <w:numFmt w:val="bullet"/>
      <w:lvlText w:val=""/>
      <w:lvlJc w:val="left"/>
      <w:pPr>
        <w:ind w:left="6480" w:hanging="360"/>
      </w:pPr>
      <w:rPr>
        <w:rFonts w:ascii="Wingdings" w:hAnsi="Wingdings" w:hint="default"/>
      </w:rPr>
    </w:lvl>
  </w:abstractNum>
  <w:abstractNum w:abstractNumId="472" w15:restartNumberingAfterBreak="0">
    <w:nsid w:val="4F41352B"/>
    <w:multiLevelType w:val="hybridMultilevel"/>
    <w:tmpl w:val="DFD454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3" w15:restartNumberingAfterBreak="0">
    <w:nsid w:val="4F53A2B2"/>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4" w15:restartNumberingAfterBreak="0">
    <w:nsid w:val="4F5E055F"/>
    <w:multiLevelType w:val="hybridMultilevel"/>
    <w:tmpl w:val="F2FEC466"/>
    <w:lvl w:ilvl="0" w:tplc="EB329A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5" w15:restartNumberingAfterBreak="0">
    <w:nsid w:val="4F60E542"/>
    <w:multiLevelType w:val="hybridMultilevel"/>
    <w:tmpl w:val="FFFFFFFF"/>
    <w:lvl w:ilvl="0" w:tplc="8D00ADC8">
      <w:start w:val="1"/>
      <w:numFmt w:val="decimal"/>
      <w:lvlText w:val="%1."/>
      <w:lvlJc w:val="left"/>
      <w:pPr>
        <w:ind w:left="720" w:hanging="360"/>
      </w:pPr>
    </w:lvl>
    <w:lvl w:ilvl="1" w:tplc="528E9F82">
      <w:start w:val="1"/>
      <w:numFmt w:val="lowerLetter"/>
      <w:lvlText w:val="%2."/>
      <w:lvlJc w:val="left"/>
      <w:pPr>
        <w:ind w:left="1440" w:hanging="360"/>
      </w:pPr>
    </w:lvl>
    <w:lvl w:ilvl="2" w:tplc="BDD2D798">
      <w:start w:val="1"/>
      <w:numFmt w:val="lowerRoman"/>
      <w:lvlText w:val="%3."/>
      <w:lvlJc w:val="right"/>
      <w:pPr>
        <w:ind w:left="2160" w:hanging="180"/>
      </w:pPr>
    </w:lvl>
    <w:lvl w:ilvl="3" w:tplc="682CC4C0">
      <w:start w:val="1"/>
      <w:numFmt w:val="decimal"/>
      <w:lvlText w:val="%4."/>
      <w:lvlJc w:val="left"/>
      <w:pPr>
        <w:ind w:left="2880" w:hanging="360"/>
      </w:pPr>
    </w:lvl>
    <w:lvl w:ilvl="4" w:tplc="AF98F95A">
      <w:start w:val="1"/>
      <w:numFmt w:val="lowerLetter"/>
      <w:lvlText w:val="%5."/>
      <w:lvlJc w:val="left"/>
      <w:pPr>
        <w:ind w:left="3600" w:hanging="360"/>
      </w:pPr>
    </w:lvl>
    <w:lvl w:ilvl="5" w:tplc="7E26054E">
      <w:start w:val="1"/>
      <w:numFmt w:val="lowerRoman"/>
      <w:lvlText w:val="%6."/>
      <w:lvlJc w:val="right"/>
      <w:pPr>
        <w:ind w:left="4320" w:hanging="180"/>
      </w:pPr>
    </w:lvl>
    <w:lvl w:ilvl="6" w:tplc="E51E4F88">
      <w:start w:val="1"/>
      <w:numFmt w:val="decimal"/>
      <w:lvlText w:val="%7."/>
      <w:lvlJc w:val="left"/>
      <w:pPr>
        <w:ind w:left="5040" w:hanging="360"/>
      </w:pPr>
    </w:lvl>
    <w:lvl w:ilvl="7" w:tplc="6E80C5DE">
      <w:start w:val="1"/>
      <w:numFmt w:val="lowerLetter"/>
      <w:lvlText w:val="%8."/>
      <w:lvlJc w:val="left"/>
      <w:pPr>
        <w:ind w:left="5760" w:hanging="360"/>
      </w:pPr>
    </w:lvl>
    <w:lvl w:ilvl="8" w:tplc="5B7C290C">
      <w:start w:val="1"/>
      <w:numFmt w:val="lowerRoman"/>
      <w:lvlText w:val="%9."/>
      <w:lvlJc w:val="right"/>
      <w:pPr>
        <w:ind w:left="6480" w:hanging="180"/>
      </w:pPr>
    </w:lvl>
  </w:abstractNum>
  <w:abstractNum w:abstractNumId="476" w15:restartNumberingAfterBreak="0">
    <w:nsid w:val="4F676DD8"/>
    <w:multiLevelType w:val="hybridMultilevel"/>
    <w:tmpl w:val="67FA4728"/>
    <w:lvl w:ilvl="0" w:tplc="DDEA078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MS Mincho" w:hAnsi="@MS Mincho" w:cs="@MS Mincho" w:hint="default"/>
      </w:rPr>
    </w:lvl>
    <w:lvl w:ilvl="2" w:tplc="18090005" w:tentative="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MS Mincho" w:hAnsi="@MS Mincho" w:cs="@MS Mincho" w:hint="default"/>
      </w:rPr>
    </w:lvl>
    <w:lvl w:ilvl="5" w:tplc="18090005" w:tentative="1">
      <w:start w:val="1"/>
      <w:numFmt w:val="bullet"/>
      <w:lvlText w:val=""/>
      <w:lvlJc w:val="left"/>
      <w:pPr>
        <w:ind w:left="4320" w:hanging="360"/>
      </w:pPr>
      <w:rPr>
        <w:rFonts w:ascii="Symbol" w:hAnsi="Symbol"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MS Mincho" w:hAnsi="@MS Mincho" w:cs="@MS Mincho" w:hint="default"/>
      </w:rPr>
    </w:lvl>
    <w:lvl w:ilvl="8" w:tplc="18090005" w:tentative="1">
      <w:start w:val="1"/>
      <w:numFmt w:val="bullet"/>
      <w:lvlText w:val=""/>
      <w:lvlJc w:val="left"/>
      <w:pPr>
        <w:ind w:left="6480" w:hanging="360"/>
      </w:pPr>
      <w:rPr>
        <w:rFonts w:ascii="Symbol" w:hAnsi="Symbol" w:hint="default"/>
      </w:rPr>
    </w:lvl>
  </w:abstractNum>
  <w:abstractNum w:abstractNumId="477" w15:restartNumberingAfterBreak="0">
    <w:nsid w:val="4F913A25"/>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78" w15:restartNumberingAfterBreak="0">
    <w:nsid w:val="4FAA787B"/>
    <w:multiLevelType w:val="multilevel"/>
    <w:tmpl w:val="C6A4F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506330B7"/>
    <w:multiLevelType w:val="hybridMultilevel"/>
    <w:tmpl w:val="43AC80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0" w15:restartNumberingAfterBreak="0">
    <w:nsid w:val="50A20E8D"/>
    <w:multiLevelType w:val="hybridMultilevel"/>
    <w:tmpl w:val="DFFED572"/>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1" w15:restartNumberingAfterBreak="0">
    <w:nsid w:val="50A33AB2"/>
    <w:multiLevelType w:val="hybridMultilevel"/>
    <w:tmpl w:val="F2CC1CD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2" w15:restartNumberingAfterBreak="0">
    <w:nsid w:val="50CD07A2"/>
    <w:multiLevelType w:val="hybridMultilevel"/>
    <w:tmpl w:val="0198933E"/>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3" w15:restartNumberingAfterBreak="0">
    <w:nsid w:val="510AB057"/>
    <w:multiLevelType w:val="hybridMultilevel"/>
    <w:tmpl w:val="FFFFFFFF"/>
    <w:lvl w:ilvl="0" w:tplc="E26E2978">
      <w:start w:val="1"/>
      <w:numFmt w:val="bullet"/>
      <w:lvlText w:val=""/>
      <w:lvlJc w:val="left"/>
      <w:pPr>
        <w:ind w:left="720" w:hanging="360"/>
      </w:pPr>
      <w:rPr>
        <w:rFonts w:ascii="Segoe UI" w:hAnsi="Segoe UI" w:hint="default"/>
      </w:rPr>
    </w:lvl>
    <w:lvl w:ilvl="1" w:tplc="4F2A8830">
      <w:start w:val="1"/>
      <w:numFmt w:val="bullet"/>
      <w:lvlText w:val="o"/>
      <w:lvlJc w:val="left"/>
      <w:pPr>
        <w:ind w:left="1440" w:hanging="360"/>
      </w:pPr>
      <w:rPr>
        <w:rFonts w:ascii="Courier New" w:hAnsi="Courier New" w:hint="default"/>
      </w:rPr>
    </w:lvl>
    <w:lvl w:ilvl="2" w:tplc="414C835A">
      <w:start w:val="1"/>
      <w:numFmt w:val="bullet"/>
      <w:lvlText w:val=""/>
      <w:lvlJc w:val="left"/>
      <w:pPr>
        <w:ind w:left="2160" w:hanging="360"/>
      </w:pPr>
      <w:rPr>
        <w:rFonts w:ascii="Cambria Math" w:hAnsi="Cambria Math" w:hint="default"/>
      </w:rPr>
    </w:lvl>
    <w:lvl w:ilvl="3" w:tplc="7D442194">
      <w:start w:val="1"/>
      <w:numFmt w:val="bullet"/>
      <w:lvlText w:val=""/>
      <w:lvlJc w:val="left"/>
      <w:pPr>
        <w:ind w:left="2880" w:hanging="360"/>
      </w:pPr>
      <w:rPr>
        <w:rFonts w:ascii="Segoe UI" w:hAnsi="Segoe UI" w:hint="default"/>
      </w:rPr>
    </w:lvl>
    <w:lvl w:ilvl="4" w:tplc="93F8080A">
      <w:start w:val="1"/>
      <w:numFmt w:val="bullet"/>
      <w:lvlText w:val="o"/>
      <w:lvlJc w:val="left"/>
      <w:pPr>
        <w:ind w:left="3600" w:hanging="360"/>
      </w:pPr>
      <w:rPr>
        <w:rFonts w:ascii="Courier New" w:hAnsi="Courier New" w:hint="default"/>
      </w:rPr>
    </w:lvl>
    <w:lvl w:ilvl="5" w:tplc="E4368C72">
      <w:start w:val="1"/>
      <w:numFmt w:val="bullet"/>
      <w:lvlText w:val=""/>
      <w:lvlJc w:val="left"/>
      <w:pPr>
        <w:ind w:left="4320" w:hanging="360"/>
      </w:pPr>
      <w:rPr>
        <w:rFonts w:ascii="Cambria Math" w:hAnsi="Cambria Math" w:hint="default"/>
      </w:rPr>
    </w:lvl>
    <w:lvl w:ilvl="6" w:tplc="880843AA">
      <w:start w:val="1"/>
      <w:numFmt w:val="bullet"/>
      <w:lvlText w:val=""/>
      <w:lvlJc w:val="left"/>
      <w:pPr>
        <w:ind w:left="5040" w:hanging="360"/>
      </w:pPr>
      <w:rPr>
        <w:rFonts w:ascii="Segoe UI" w:hAnsi="Segoe UI" w:hint="default"/>
      </w:rPr>
    </w:lvl>
    <w:lvl w:ilvl="7" w:tplc="5A48E46C">
      <w:start w:val="1"/>
      <w:numFmt w:val="bullet"/>
      <w:lvlText w:val="o"/>
      <w:lvlJc w:val="left"/>
      <w:pPr>
        <w:ind w:left="5760" w:hanging="360"/>
      </w:pPr>
      <w:rPr>
        <w:rFonts w:ascii="Courier New" w:hAnsi="Courier New" w:hint="default"/>
      </w:rPr>
    </w:lvl>
    <w:lvl w:ilvl="8" w:tplc="8A60E514">
      <w:start w:val="1"/>
      <w:numFmt w:val="bullet"/>
      <w:lvlText w:val=""/>
      <w:lvlJc w:val="left"/>
      <w:pPr>
        <w:ind w:left="6480" w:hanging="360"/>
      </w:pPr>
      <w:rPr>
        <w:rFonts w:ascii="Cambria Math" w:hAnsi="Cambria Math" w:hint="default"/>
      </w:rPr>
    </w:lvl>
  </w:abstractNum>
  <w:abstractNum w:abstractNumId="484" w15:restartNumberingAfterBreak="0">
    <w:nsid w:val="511C9559"/>
    <w:multiLevelType w:val="hybridMultilevel"/>
    <w:tmpl w:val="FFFFFFFF"/>
    <w:lvl w:ilvl="0" w:tplc="EAA673D0">
      <w:start w:val="1"/>
      <w:numFmt w:val="bullet"/>
      <w:lvlText w:val="·"/>
      <w:lvlJc w:val="left"/>
      <w:pPr>
        <w:ind w:left="720" w:hanging="360"/>
      </w:pPr>
      <w:rPr>
        <w:rFonts w:ascii="Symbol" w:hAnsi="Symbol" w:hint="default"/>
      </w:rPr>
    </w:lvl>
    <w:lvl w:ilvl="1" w:tplc="73FE48B4">
      <w:start w:val="1"/>
      <w:numFmt w:val="bullet"/>
      <w:lvlText w:val="o"/>
      <w:lvlJc w:val="left"/>
      <w:pPr>
        <w:ind w:left="1440" w:hanging="360"/>
      </w:pPr>
      <w:rPr>
        <w:rFonts w:ascii="Courier New" w:hAnsi="Courier New" w:hint="default"/>
      </w:rPr>
    </w:lvl>
    <w:lvl w:ilvl="2" w:tplc="8F98518A">
      <w:start w:val="1"/>
      <w:numFmt w:val="bullet"/>
      <w:lvlText w:val=""/>
      <w:lvlJc w:val="left"/>
      <w:pPr>
        <w:ind w:left="2160" w:hanging="360"/>
      </w:pPr>
      <w:rPr>
        <w:rFonts w:ascii="Wingdings" w:hAnsi="Wingdings" w:hint="default"/>
      </w:rPr>
    </w:lvl>
    <w:lvl w:ilvl="3" w:tplc="B53AF142">
      <w:start w:val="1"/>
      <w:numFmt w:val="bullet"/>
      <w:lvlText w:val=""/>
      <w:lvlJc w:val="left"/>
      <w:pPr>
        <w:ind w:left="2880" w:hanging="360"/>
      </w:pPr>
      <w:rPr>
        <w:rFonts w:ascii="Symbol" w:hAnsi="Symbol" w:hint="default"/>
      </w:rPr>
    </w:lvl>
    <w:lvl w:ilvl="4" w:tplc="F04EA886">
      <w:start w:val="1"/>
      <w:numFmt w:val="bullet"/>
      <w:lvlText w:val="o"/>
      <w:lvlJc w:val="left"/>
      <w:pPr>
        <w:ind w:left="3600" w:hanging="360"/>
      </w:pPr>
      <w:rPr>
        <w:rFonts w:ascii="Courier New" w:hAnsi="Courier New" w:hint="default"/>
      </w:rPr>
    </w:lvl>
    <w:lvl w:ilvl="5" w:tplc="B84000F6">
      <w:start w:val="1"/>
      <w:numFmt w:val="bullet"/>
      <w:lvlText w:val=""/>
      <w:lvlJc w:val="left"/>
      <w:pPr>
        <w:ind w:left="4320" w:hanging="360"/>
      </w:pPr>
      <w:rPr>
        <w:rFonts w:ascii="Wingdings" w:hAnsi="Wingdings" w:hint="default"/>
      </w:rPr>
    </w:lvl>
    <w:lvl w:ilvl="6" w:tplc="1936A2F8">
      <w:start w:val="1"/>
      <w:numFmt w:val="bullet"/>
      <w:lvlText w:val=""/>
      <w:lvlJc w:val="left"/>
      <w:pPr>
        <w:ind w:left="5040" w:hanging="360"/>
      </w:pPr>
      <w:rPr>
        <w:rFonts w:ascii="Symbol" w:hAnsi="Symbol" w:hint="default"/>
      </w:rPr>
    </w:lvl>
    <w:lvl w:ilvl="7" w:tplc="8B944BB2">
      <w:start w:val="1"/>
      <w:numFmt w:val="bullet"/>
      <w:lvlText w:val="o"/>
      <w:lvlJc w:val="left"/>
      <w:pPr>
        <w:ind w:left="5760" w:hanging="360"/>
      </w:pPr>
      <w:rPr>
        <w:rFonts w:ascii="Courier New" w:hAnsi="Courier New" w:hint="default"/>
      </w:rPr>
    </w:lvl>
    <w:lvl w:ilvl="8" w:tplc="7800FF68">
      <w:start w:val="1"/>
      <w:numFmt w:val="bullet"/>
      <w:lvlText w:val=""/>
      <w:lvlJc w:val="left"/>
      <w:pPr>
        <w:ind w:left="6480" w:hanging="360"/>
      </w:pPr>
      <w:rPr>
        <w:rFonts w:ascii="Wingdings" w:hAnsi="Wingdings" w:hint="default"/>
      </w:rPr>
    </w:lvl>
  </w:abstractNum>
  <w:abstractNum w:abstractNumId="485" w15:restartNumberingAfterBreak="0">
    <w:nsid w:val="5127E5C3"/>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6" w15:restartNumberingAfterBreak="0">
    <w:nsid w:val="514A3B46"/>
    <w:multiLevelType w:val="hybridMultilevel"/>
    <w:tmpl w:val="4560C06E"/>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487" w15:restartNumberingAfterBreak="0">
    <w:nsid w:val="51667B89"/>
    <w:multiLevelType w:val="hybridMultilevel"/>
    <w:tmpl w:val="2B222B1C"/>
    <w:lvl w:ilvl="0" w:tplc="0C0A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8" w15:restartNumberingAfterBreak="0">
    <w:nsid w:val="51706D2B"/>
    <w:multiLevelType w:val="multilevel"/>
    <w:tmpl w:val="C1CE77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9" w15:restartNumberingAfterBreak="0">
    <w:nsid w:val="5173633C"/>
    <w:multiLevelType w:val="hybridMultilevel"/>
    <w:tmpl w:val="ED580A56"/>
    <w:lvl w:ilvl="0" w:tplc="312A5F28">
      <w:start w:val="1"/>
      <w:numFmt w:val="bullet"/>
      <w:lvlText w:val="-"/>
      <w:lvlJc w:val="left"/>
      <w:pPr>
        <w:ind w:left="644" w:hanging="360"/>
      </w:pPr>
      <w:rPr>
        <w:rFonts w:ascii="Wingdings" w:eastAsiaTheme="minorHAnsi" w:hAnsi="Wingdings" w:cs="Wingdings" w:hint="default"/>
        <w:color w:val="7030A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51840DD6"/>
    <w:multiLevelType w:val="hybridMultilevel"/>
    <w:tmpl w:val="FB78DDC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91" w15:restartNumberingAfterBreak="0">
    <w:nsid w:val="518D46EC"/>
    <w:multiLevelType w:val="hybridMultilevel"/>
    <w:tmpl w:val="09AA04B4"/>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2" w15:restartNumberingAfterBreak="0">
    <w:nsid w:val="51C34FD6"/>
    <w:multiLevelType w:val="hybridMultilevel"/>
    <w:tmpl w:val="FFFFFFFF"/>
    <w:lvl w:ilvl="0" w:tplc="339404DC">
      <w:start w:val="7"/>
      <w:numFmt w:val="decimal"/>
      <w:lvlText w:val="%1."/>
      <w:lvlJc w:val="left"/>
      <w:pPr>
        <w:ind w:left="720" w:hanging="360"/>
      </w:pPr>
    </w:lvl>
    <w:lvl w:ilvl="1" w:tplc="C542F2B4">
      <w:start w:val="1"/>
      <w:numFmt w:val="lowerLetter"/>
      <w:lvlText w:val="%2."/>
      <w:lvlJc w:val="left"/>
      <w:pPr>
        <w:ind w:left="1440" w:hanging="360"/>
      </w:pPr>
    </w:lvl>
    <w:lvl w:ilvl="2" w:tplc="AA4EE380">
      <w:start w:val="1"/>
      <w:numFmt w:val="lowerRoman"/>
      <w:lvlText w:val="%3."/>
      <w:lvlJc w:val="right"/>
      <w:pPr>
        <w:ind w:left="2160" w:hanging="180"/>
      </w:pPr>
    </w:lvl>
    <w:lvl w:ilvl="3" w:tplc="60B8FCD8">
      <w:start w:val="1"/>
      <w:numFmt w:val="decimal"/>
      <w:lvlText w:val="%4."/>
      <w:lvlJc w:val="left"/>
      <w:pPr>
        <w:ind w:left="2880" w:hanging="360"/>
      </w:pPr>
    </w:lvl>
    <w:lvl w:ilvl="4" w:tplc="7640E2B6">
      <w:start w:val="1"/>
      <w:numFmt w:val="lowerLetter"/>
      <w:lvlText w:val="%5."/>
      <w:lvlJc w:val="left"/>
      <w:pPr>
        <w:ind w:left="3600" w:hanging="360"/>
      </w:pPr>
    </w:lvl>
    <w:lvl w:ilvl="5" w:tplc="097AF2C4">
      <w:start w:val="1"/>
      <w:numFmt w:val="lowerRoman"/>
      <w:lvlText w:val="%6."/>
      <w:lvlJc w:val="right"/>
      <w:pPr>
        <w:ind w:left="4320" w:hanging="180"/>
      </w:pPr>
    </w:lvl>
    <w:lvl w:ilvl="6" w:tplc="F7507E80">
      <w:start w:val="1"/>
      <w:numFmt w:val="decimal"/>
      <w:lvlText w:val="%7."/>
      <w:lvlJc w:val="left"/>
      <w:pPr>
        <w:ind w:left="5040" w:hanging="360"/>
      </w:pPr>
    </w:lvl>
    <w:lvl w:ilvl="7" w:tplc="9BF0E004">
      <w:start w:val="1"/>
      <w:numFmt w:val="lowerLetter"/>
      <w:lvlText w:val="%8."/>
      <w:lvlJc w:val="left"/>
      <w:pPr>
        <w:ind w:left="5760" w:hanging="360"/>
      </w:pPr>
    </w:lvl>
    <w:lvl w:ilvl="8" w:tplc="BDE219B6">
      <w:start w:val="1"/>
      <w:numFmt w:val="lowerRoman"/>
      <w:lvlText w:val="%9."/>
      <w:lvlJc w:val="right"/>
      <w:pPr>
        <w:ind w:left="6480" w:hanging="180"/>
      </w:pPr>
    </w:lvl>
  </w:abstractNum>
  <w:abstractNum w:abstractNumId="493" w15:restartNumberingAfterBreak="0">
    <w:nsid w:val="51F39252"/>
    <w:multiLevelType w:val="hybridMultilevel"/>
    <w:tmpl w:val="FFFFFFFF"/>
    <w:lvl w:ilvl="0" w:tplc="98801298">
      <w:start w:val="1"/>
      <w:numFmt w:val="bullet"/>
      <w:lvlText w:val=""/>
      <w:lvlJc w:val="left"/>
      <w:pPr>
        <w:ind w:left="720" w:hanging="360"/>
      </w:pPr>
      <w:rPr>
        <w:rFonts w:ascii="Symbol" w:hAnsi="Symbol" w:hint="default"/>
      </w:rPr>
    </w:lvl>
    <w:lvl w:ilvl="1" w:tplc="D90C2952">
      <w:start w:val="1"/>
      <w:numFmt w:val="bullet"/>
      <w:lvlText w:val="-"/>
      <w:lvlJc w:val="left"/>
      <w:pPr>
        <w:ind w:left="1440" w:hanging="360"/>
      </w:pPr>
      <w:rPr>
        <w:rFonts w:ascii="Calibri" w:hAnsi="Calibri" w:hint="default"/>
      </w:rPr>
    </w:lvl>
    <w:lvl w:ilvl="2" w:tplc="9F24B08E">
      <w:start w:val="1"/>
      <w:numFmt w:val="bullet"/>
      <w:lvlText w:val=""/>
      <w:lvlJc w:val="left"/>
      <w:pPr>
        <w:ind w:left="2160" w:hanging="360"/>
      </w:pPr>
      <w:rPr>
        <w:rFonts w:ascii="Wingdings" w:hAnsi="Wingdings" w:hint="default"/>
      </w:rPr>
    </w:lvl>
    <w:lvl w:ilvl="3" w:tplc="B9881090">
      <w:start w:val="1"/>
      <w:numFmt w:val="bullet"/>
      <w:lvlText w:val=""/>
      <w:lvlJc w:val="left"/>
      <w:pPr>
        <w:ind w:left="2880" w:hanging="360"/>
      </w:pPr>
      <w:rPr>
        <w:rFonts w:ascii="Symbol" w:hAnsi="Symbol" w:hint="default"/>
      </w:rPr>
    </w:lvl>
    <w:lvl w:ilvl="4" w:tplc="A3929228">
      <w:start w:val="1"/>
      <w:numFmt w:val="bullet"/>
      <w:lvlText w:val="o"/>
      <w:lvlJc w:val="left"/>
      <w:pPr>
        <w:ind w:left="3600" w:hanging="360"/>
      </w:pPr>
      <w:rPr>
        <w:rFonts w:ascii="Courier New" w:hAnsi="Courier New" w:hint="default"/>
      </w:rPr>
    </w:lvl>
    <w:lvl w:ilvl="5" w:tplc="88C2EE56">
      <w:start w:val="1"/>
      <w:numFmt w:val="bullet"/>
      <w:lvlText w:val=""/>
      <w:lvlJc w:val="left"/>
      <w:pPr>
        <w:ind w:left="4320" w:hanging="360"/>
      </w:pPr>
      <w:rPr>
        <w:rFonts w:ascii="Wingdings" w:hAnsi="Wingdings" w:hint="default"/>
      </w:rPr>
    </w:lvl>
    <w:lvl w:ilvl="6" w:tplc="00E222D6">
      <w:start w:val="1"/>
      <w:numFmt w:val="bullet"/>
      <w:lvlText w:val=""/>
      <w:lvlJc w:val="left"/>
      <w:pPr>
        <w:ind w:left="5040" w:hanging="360"/>
      </w:pPr>
      <w:rPr>
        <w:rFonts w:ascii="Symbol" w:hAnsi="Symbol" w:hint="default"/>
      </w:rPr>
    </w:lvl>
    <w:lvl w:ilvl="7" w:tplc="D33E97CE">
      <w:start w:val="1"/>
      <w:numFmt w:val="bullet"/>
      <w:lvlText w:val="o"/>
      <w:lvlJc w:val="left"/>
      <w:pPr>
        <w:ind w:left="5760" w:hanging="360"/>
      </w:pPr>
      <w:rPr>
        <w:rFonts w:ascii="Courier New" w:hAnsi="Courier New" w:hint="default"/>
      </w:rPr>
    </w:lvl>
    <w:lvl w:ilvl="8" w:tplc="3FC86346">
      <w:start w:val="1"/>
      <w:numFmt w:val="bullet"/>
      <w:lvlText w:val=""/>
      <w:lvlJc w:val="left"/>
      <w:pPr>
        <w:ind w:left="6480" w:hanging="360"/>
      </w:pPr>
      <w:rPr>
        <w:rFonts w:ascii="Wingdings" w:hAnsi="Wingdings" w:hint="default"/>
      </w:rPr>
    </w:lvl>
  </w:abstractNum>
  <w:abstractNum w:abstractNumId="494" w15:restartNumberingAfterBreak="0">
    <w:nsid w:val="51F6139C"/>
    <w:multiLevelType w:val="multilevel"/>
    <w:tmpl w:val="E80EF2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51FBD3EC"/>
    <w:multiLevelType w:val="hybridMultilevel"/>
    <w:tmpl w:val="FFFFFFFF"/>
    <w:lvl w:ilvl="0" w:tplc="A5541B30">
      <w:start w:val="1"/>
      <w:numFmt w:val="bullet"/>
      <w:lvlText w:val=""/>
      <w:lvlJc w:val="left"/>
      <w:pPr>
        <w:ind w:left="720" w:hanging="360"/>
      </w:pPr>
      <w:rPr>
        <w:rFonts w:ascii="Segoe UI" w:hAnsi="Segoe UI" w:hint="default"/>
      </w:rPr>
    </w:lvl>
    <w:lvl w:ilvl="1" w:tplc="7F30CC54">
      <w:start w:val="1"/>
      <w:numFmt w:val="bullet"/>
      <w:lvlText w:val="o"/>
      <w:lvlJc w:val="left"/>
      <w:pPr>
        <w:ind w:left="1440" w:hanging="360"/>
      </w:pPr>
      <w:rPr>
        <w:rFonts w:ascii="Courier New" w:hAnsi="Courier New" w:hint="default"/>
      </w:rPr>
    </w:lvl>
    <w:lvl w:ilvl="2" w:tplc="505E863C">
      <w:start w:val="1"/>
      <w:numFmt w:val="bullet"/>
      <w:lvlText w:val=""/>
      <w:lvlJc w:val="left"/>
      <w:pPr>
        <w:ind w:left="2160" w:hanging="360"/>
      </w:pPr>
      <w:rPr>
        <w:rFonts w:ascii="Cambria Math" w:hAnsi="Cambria Math" w:hint="default"/>
      </w:rPr>
    </w:lvl>
    <w:lvl w:ilvl="3" w:tplc="512C99E4">
      <w:start w:val="1"/>
      <w:numFmt w:val="bullet"/>
      <w:lvlText w:val=""/>
      <w:lvlJc w:val="left"/>
      <w:pPr>
        <w:ind w:left="2880" w:hanging="360"/>
      </w:pPr>
      <w:rPr>
        <w:rFonts w:ascii="Segoe UI" w:hAnsi="Segoe UI" w:hint="default"/>
      </w:rPr>
    </w:lvl>
    <w:lvl w:ilvl="4" w:tplc="395A8F88">
      <w:start w:val="1"/>
      <w:numFmt w:val="bullet"/>
      <w:lvlText w:val="o"/>
      <w:lvlJc w:val="left"/>
      <w:pPr>
        <w:ind w:left="3600" w:hanging="360"/>
      </w:pPr>
      <w:rPr>
        <w:rFonts w:ascii="Courier New" w:hAnsi="Courier New" w:hint="default"/>
      </w:rPr>
    </w:lvl>
    <w:lvl w:ilvl="5" w:tplc="CDF81730">
      <w:start w:val="1"/>
      <w:numFmt w:val="bullet"/>
      <w:lvlText w:val=""/>
      <w:lvlJc w:val="left"/>
      <w:pPr>
        <w:ind w:left="4320" w:hanging="360"/>
      </w:pPr>
      <w:rPr>
        <w:rFonts w:ascii="Cambria Math" w:hAnsi="Cambria Math" w:hint="default"/>
      </w:rPr>
    </w:lvl>
    <w:lvl w:ilvl="6" w:tplc="E8CA51C0">
      <w:start w:val="1"/>
      <w:numFmt w:val="bullet"/>
      <w:lvlText w:val=""/>
      <w:lvlJc w:val="left"/>
      <w:pPr>
        <w:ind w:left="5040" w:hanging="360"/>
      </w:pPr>
      <w:rPr>
        <w:rFonts w:ascii="Segoe UI" w:hAnsi="Segoe UI" w:hint="default"/>
      </w:rPr>
    </w:lvl>
    <w:lvl w:ilvl="7" w:tplc="B0EA966E">
      <w:start w:val="1"/>
      <w:numFmt w:val="bullet"/>
      <w:lvlText w:val="o"/>
      <w:lvlJc w:val="left"/>
      <w:pPr>
        <w:ind w:left="5760" w:hanging="360"/>
      </w:pPr>
      <w:rPr>
        <w:rFonts w:ascii="Courier New" w:hAnsi="Courier New" w:hint="default"/>
      </w:rPr>
    </w:lvl>
    <w:lvl w:ilvl="8" w:tplc="9A846126">
      <w:start w:val="1"/>
      <w:numFmt w:val="bullet"/>
      <w:lvlText w:val=""/>
      <w:lvlJc w:val="left"/>
      <w:pPr>
        <w:ind w:left="6480" w:hanging="360"/>
      </w:pPr>
      <w:rPr>
        <w:rFonts w:ascii="Cambria Math" w:hAnsi="Cambria Math" w:hint="default"/>
      </w:rPr>
    </w:lvl>
  </w:abstractNum>
  <w:abstractNum w:abstractNumId="496" w15:restartNumberingAfterBreak="0">
    <w:nsid w:val="528F05AD"/>
    <w:multiLevelType w:val="hybridMultilevel"/>
    <w:tmpl w:val="FFFFFFFF"/>
    <w:lvl w:ilvl="0" w:tplc="4FA4B262">
      <w:start w:val="7"/>
      <w:numFmt w:val="decimal"/>
      <w:lvlText w:val="%1."/>
      <w:lvlJc w:val="left"/>
      <w:pPr>
        <w:ind w:left="720" w:hanging="360"/>
      </w:pPr>
    </w:lvl>
    <w:lvl w:ilvl="1" w:tplc="0D80471E">
      <w:start w:val="1"/>
      <w:numFmt w:val="lowerLetter"/>
      <w:lvlText w:val="%2."/>
      <w:lvlJc w:val="left"/>
      <w:pPr>
        <w:ind w:left="1440" w:hanging="360"/>
      </w:pPr>
    </w:lvl>
    <w:lvl w:ilvl="2" w:tplc="AC4AFCF2">
      <w:start w:val="1"/>
      <w:numFmt w:val="lowerRoman"/>
      <w:lvlText w:val="%3."/>
      <w:lvlJc w:val="right"/>
      <w:pPr>
        <w:ind w:left="2160" w:hanging="180"/>
      </w:pPr>
    </w:lvl>
    <w:lvl w:ilvl="3" w:tplc="7186BF4E">
      <w:start w:val="1"/>
      <w:numFmt w:val="decimal"/>
      <w:lvlText w:val="%4."/>
      <w:lvlJc w:val="left"/>
      <w:pPr>
        <w:ind w:left="2880" w:hanging="360"/>
      </w:pPr>
    </w:lvl>
    <w:lvl w:ilvl="4" w:tplc="A85E92A6">
      <w:start w:val="1"/>
      <w:numFmt w:val="lowerLetter"/>
      <w:lvlText w:val="%5."/>
      <w:lvlJc w:val="left"/>
      <w:pPr>
        <w:ind w:left="3600" w:hanging="360"/>
      </w:pPr>
    </w:lvl>
    <w:lvl w:ilvl="5" w:tplc="5B182BEA">
      <w:start w:val="1"/>
      <w:numFmt w:val="lowerRoman"/>
      <w:lvlText w:val="%6."/>
      <w:lvlJc w:val="right"/>
      <w:pPr>
        <w:ind w:left="4320" w:hanging="180"/>
      </w:pPr>
    </w:lvl>
    <w:lvl w:ilvl="6" w:tplc="36FCD0BE">
      <w:start w:val="1"/>
      <w:numFmt w:val="decimal"/>
      <w:lvlText w:val="%7."/>
      <w:lvlJc w:val="left"/>
      <w:pPr>
        <w:ind w:left="5040" w:hanging="360"/>
      </w:pPr>
    </w:lvl>
    <w:lvl w:ilvl="7" w:tplc="AE5A4B86">
      <w:start w:val="1"/>
      <w:numFmt w:val="lowerLetter"/>
      <w:lvlText w:val="%8."/>
      <w:lvlJc w:val="left"/>
      <w:pPr>
        <w:ind w:left="5760" w:hanging="360"/>
      </w:pPr>
    </w:lvl>
    <w:lvl w:ilvl="8" w:tplc="C4F8FDF2">
      <w:start w:val="1"/>
      <w:numFmt w:val="lowerRoman"/>
      <w:lvlText w:val="%9."/>
      <w:lvlJc w:val="right"/>
      <w:pPr>
        <w:ind w:left="6480" w:hanging="180"/>
      </w:pPr>
    </w:lvl>
  </w:abstractNum>
  <w:abstractNum w:abstractNumId="497" w15:restartNumberingAfterBreak="0">
    <w:nsid w:val="52A67588"/>
    <w:multiLevelType w:val="hybridMultilevel"/>
    <w:tmpl w:val="339EC5E2"/>
    <w:lvl w:ilvl="0" w:tplc="ED7E88AA">
      <w:start w:val="1"/>
      <w:numFmt w:val="decimal"/>
      <w:lvlText w:val="%1."/>
      <w:lvlJc w:val="left"/>
      <w:pPr>
        <w:ind w:left="720" w:hanging="360"/>
      </w:pPr>
      <w:rPr>
        <w:rFonts w:ascii="Symbol" w:hAnsi="Symbol" w:cs="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8" w15:restartNumberingAfterBreak="0">
    <w:nsid w:val="52E145F1"/>
    <w:multiLevelType w:val="multilevel"/>
    <w:tmpl w:val="FD02E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53092700"/>
    <w:multiLevelType w:val="hybridMultilevel"/>
    <w:tmpl w:val="FFFFFFFF"/>
    <w:lvl w:ilvl="0" w:tplc="4C34D632">
      <w:start w:val="1"/>
      <w:numFmt w:val="bullet"/>
      <w:lvlText w:val=""/>
      <w:lvlJc w:val="left"/>
      <w:pPr>
        <w:ind w:left="720" w:hanging="360"/>
      </w:pPr>
      <w:rPr>
        <w:rFonts w:ascii="Symbol" w:hAnsi="Symbol" w:hint="default"/>
      </w:rPr>
    </w:lvl>
    <w:lvl w:ilvl="1" w:tplc="CC94CA28">
      <w:start w:val="1"/>
      <w:numFmt w:val="bullet"/>
      <w:lvlText w:val="-"/>
      <w:lvlJc w:val="left"/>
      <w:pPr>
        <w:ind w:left="1440" w:hanging="360"/>
      </w:pPr>
      <w:rPr>
        <w:rFonts w:ascii="Calibri" w:hAnsi="Calibri" w:hint="default"/>
      </w:rPr>
    </w:lvl>
    <w:lvl w:ilvl="2" w:tplc="17FA51DA">
      <w:start w:val="1"/>
      <w:numFmt w:val="bullet"/>
      <w:lvlText w:val=""/>
      <w:lvlJc w:val="left"/>
      <w:pPr>
        <w:ind w:left="2160" w:hanging="360"/>
      </w:pPr>
      <w:rPr>
        <w:rFonts w:ascii="Wingdings" w:hAnsi="Wingdings" w:hint="default"/>
      </w:rPr>
    </w:lvl>
    <w:lvl w:ilvl="3" w:tplc="878C740E">
      <w:start w:val="1"/>
      <w:numFmt w:val="bullet"/>
      <w:lvlText w:val=""/>
      <w:lvlJc w:val="left"/>
      <w:pPr>
        <w:ind w:left="2880" w:hanging="360"/>
      </w:pPr>
      <w:rPr>
        <w:rFonts w:ascii="Symbol" w:hAnsi="Symbol" w:hint="default"/>
      </w:rPr>
    </w:lvl>
    <w:lvl w:ilvl="4" w:tplc="DD386FEC">
      <w:start w:val="1"/>
      <w:numFmt w:val="bullet"/>
      <w:lvlText w:val="o"/>
      <w:lvlJc w:val="left"/>
      <w:pPr>
        <w:ind w:left="3600" w:hanging="360"/>
      </w:pPr>
      <w:rPr>
        <w:rFonts w:ascii="Courier New" w:hAnsi="Courier New" w:hint="default"/>
      </w:rPr>
    </w:lvl>
    <w:lvl w:ilvl="5" w:tplc="3CB4266E">
      <w:start w:val="1"/>
      <w:numFmt w:val="bullet"/>
      <w:lvlText w:val=""/>
      <w:lvlJc w:val="left"/>
      <w:pPr>
        <w:ind w:left="4320" w:hanging="360"/>
      </w:pPr>
      <w:rPr>
        <w:rFonts w:ascii="Wingdings" w:hAnsi="Wingdings" w:hint="default"/>
      </w:rPr>
    </w:lvl>
    <w:lvl w:ilvl="6" w:tplc="B83EC450">
      <w:start w:val="1"/>
      <w:numFmt w:val="bullet"/>
      <w:lvlText w:val=""/>
      <w:lvlJc w:val="left"/>
      <w:pPr>
        <w:ind w:left="5040" w:hanging="360"/>
      </w:pPr>
      <w:rPr>
        <w:rFonts w:ascii="Symbol" w:hAnsi="Symbol" w:hint="default"/>
      </w:rPr>
    </w:lvl>
    <w:lvl w:ilvl="7" w:tplc="A52623A0">
      <w:start w:val="1"/>
      <w:numFmt w:val="bullet"/>
      <w:lvlText w:val="o"/>
      <w:lvlJc w:val="left"/>
      <w:pPr>
        <w:ind w:left="5760" w:hanging="360"/>
      </w:pPr>
      <w:rPr>
        <w:rFonts w:ascii="Courier New" w:hAnsi="Courier New" w:hint="default"/>
      </w:rPr>
    </w:lvl>
    <w:lvl w:ilvl="8" w:tplc="2B2203C8">
      <w:start w:val="1"/>
      <w:numFmt w:val="bullet"/>
      <w:lvlText w:val=""/>
      <w:lvlJc w:val="left"/>
      <w:pPr>
        <w:ind w:left="6480" w:hanging="360"/>
      </w:pPr>
      <w:rPr>
        <w:rFonts w:ascii="Wingdings" w:hAnsi="Wingdings" w:hint="default"/>
      </w:rPr>
    </w:lvl>
  </w:abstractNum>
  <w:abstractNum w:abstractNumId="500" w15:restartNumberingAfterBreak="0">
    <w:nsid w:val="536649EB"/>
    <w:multiLevelType w:val="hybridMultilevel"/>
    <w:tmpl w:val="4B7655CA"/>
    <w:lvl w:ilvl="0" w:tplc="18090001">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Wingdings" w:eastAsiaTheme="minorHAnsi" w:hAnsi="Wingdings" w:cs="Wingdings" w:hint="default"/>
      </w:rPr>
    </w:lvl>
    <w:lvl w:ilvl="2" w:tplc="CE645904">
      <w:start w:val="1"/>
      <w:numFmt w:val="lowerLetter"/>
      <w:lvlText w:val="%3)"/>
      <w:lvlJc w:val="left"/>
      <w:pPr>
        <w:ind w:left="2160" w:hanging="360"/>
      </w:pPr>
      <w:rPr>
        <w:rFonts w:asciiTheme="minorHAnsi" w:eastAsia="Aptos" w:hAnsiTheme="minorHAnsi" w:cstheme="minorHAnsi"/>
      </w:rPr>
    </w:lvl>
    <w:lvl w:ilvl="3" w:tplc="9E2A1D18">
      <w:start w:val="1"/>
      <w:numFmt w:val="bullet"/>
      <w:lvlText w:val=""/>
      <w:lvlJc w:val="left"/>
      <w:pPr>
        <w:ind w:left="2880" w:hanging="360"/>
      </w:pPr>
      <w:rPr>
        <w:rFonts w:ascii="Segoe UI" w:hAnsi="Segoe UI"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Cambria Math" w:hAnsi="Cambria Math" w:hint="default"/>
      </w:rPr>
    </w:lvl>
    <w:lvl w:ilvl="6" w:tplc="302ED93E">
      <w:start w:val="1"/>
      <w:numFmt w:val="bullet"/>
      <w:lvlText w:val=""/>
      <w:lvlJc w:val="left"/>
      <w:pPr>
        <w:ind w:left="5040" w:hanging="360"/>
      </w:pPr>
      <w:rPr>
        <w:rFonts w:ascii="Segoe UI" w:hAnsi="Segoe UI"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Cambria Math" w:hAnsi="Cambria Math" w:hint="default"/>
      </w:rPr>
    </w:lvl>
  </w:abstractNum>
  <w:abstractNum w:abstractNumId="501" w15:restartNumberingAfterBreak="0">
    <w:nsid w:val="537F1D99"/>
    <w:multiLevelType w:val="hybridMultilevel"/>
    <w:tmpl w:val="48E299CE"/>
    <w:lvl w:ilvl="0" w:tplc="FFFFFFFF">
      <w:start w:val="1"/>
      <w:numFmt w:val="bullet"/>
      <w:lvlText w:val=""/>
      <w:lvlJc w:val="left"/>
      <w:pPr>
        <w:ind w:left="720" w:hanging="360"/>
      </w:pPr>
      <w:rPr>
        <w:rFonts w:ascii="Symbol" w:hAnsi="Symbol" w:hint="default"/>
      </w:rPr>
    </w:lvl>
    <w:lvl w:ilvl="1" w:tplc="8550B768">
      <w:start w:val="1"/>
      <w:numFmt w:val="bullet"/>
      <w:lvlText w:val="o"/>
      <w:lvlJc w:val="left"/>
      <w:pPr>
        <w:ind w:left="1440" w:hanging="360"/>
      </w:pPr>
      <w:rPr>
        <w:rFonts w:ascii="Courier New" w:hAnsi="Courier New" w:hint="default"/>
      </w:rPr>
    </w:lvl>
    <w:lvl w:ilvl="2" w:tplc="993E8EF8">
      <w:start w:val="1"/>
      <w:numFmt w:val="bullet"/>
      <w:lvlText w:val=""/>
      <w:lvlJc w:val="left"/>
      <w:pPr>
        <w:ind w:left="2160" w:hanging="360"/>
      </w:pPr>
      <w:rPr>
        <w:rFonts w:ascii="Wingdings" w:hAnsi="Wingdings" w:hint="default"/>
      </w:rPr>
    </w:lvl>
    <w:lvl w:ilvl="3" w:tplc="5186F328">
      <w:start w:val="1"/>
      <w:numFmt w:val="bullet"/>
      <w:lvlText w:val=""/>
      <w:lvlJc w:val="left"/>
      <w:pPr>
        <w:ind w:left="2880" w:hanging="360"/>
      </w:pPr>
      <w:rPr>
        <w:rFonts w:ascii="Symbol" w:hAnsi="Symbol" w:hint="default"/>
      </w:rPr>
    </w:lvl>
    <w:lvl w:ilvl="4" w:tplc="0CC43702">
      <w:start w:val="1"/>
      <w:numFmt w:val="bullet"/>
      <w:lvlText w:val="o"/>
      <w:lvlJc w:val="left"/>
      <w:pPr>
        <w:ind w:left="3600" w:hanging="360"/>
      </w:pPr>
      <w:rPr>
        <w:rFonts w:ascii="Courier New" w:hAnsi="Courier New" w:hint="default"/>
      </w:rPr>
    </w:lvl>
    <w:lvl w:ilvl="5" w:tplc="A2A89980">
      <w:start w:val="1"/>
      <w:numFmt w:val="bullet"/>
      <w:lvlText w:val=""/>
      <w:lvlJc w:val="left"/>
      <w:pPr>
        <w:ind w:left="4320" w:hanging="360"/>
      </w:pPr>
      <w:rPr>
        <w:rFonts w:ascii="Wingdings" w:hAnsi="Wingdings" w:hint="default"/>
      </w:rPr>
    </w:lvl>
    <w:lvl w:ilvl="6" w:tplc="71E4B7E6">
      <w:start w:val="1"/>
      <w:numFmt w:val="bullet"/>
      <w:lvlText w:val=""/>
      <w:lvlJc w:val="left"/>
      <w:pPr>
        <w:ind w:left="5040" w:hanging="360"/>
      </w:pPr>
      <w:rPr>
        <w:rFonts w:ascii="Symbol" w:hAnsi="Symbol" w:hint="default"/>
      </w:rPr>
    </w:lvl>
    <w:lvl w:ilvl="7" w:tplc="6F8A6104">
      <w:start w:val="1"/>
      <w:numFmt w:val="bullet"/>
      <w:lvlText w:val="o"/>
      <w:lvlJc w:val="left"/>
      <w:pPr>
        <w:ind w:left="5760" w:hanging="360"/>
      </w:pPr>
      <w:rPr>
        <w:rFonts w:ascii="Courier New" w:hAnsi="Courier New" w:hint="default"/>
      </w:rPr>
    </w:lvl>
    <w:lvl w:ilvl="8" w:tplc="3A009252">
      <w:start w:val="1"/>
      <w:numFmt w:val="bullet"/>
      <w:lvlText w:val=""/>
      <w:lvlJc w:val="left"/>
      <w:pPr>
        <w:ind w:left="6480" w:hanging="360"/>
      </w:pPr>
      <w:rPr>
        <w:rFonts w:ascii="Wingdings" w:hAnsi="Wingdings" w:hint="default"/>
      </w:rPr>
    </w:lvl>
  </w:abstractNum>
  <w:abstractNum w:abstractNumId="502" w15:restartNumberingAfterBreak="0">
    <w:nsid w:val="54161E50"/>
    <w:multiLevelType w:val="multilevel"/>
    <w:tmpl w:val="358249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544A54A6"/>
    <w:multiLevelType w:val="hybridMultilevel"/>
    <w:tmpl w:val="42BA6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4" w15:restartNumberingAfterBreak="0">
    <w:nsid w:val="54551344"/>
    <w:multiLevelType w:val="multilevel"/>
    <w:tmpl w:val="929E4F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5" w15:restartNumberingAfterBreak="0">
    <w:nsid w:val="546BE445"/>
    <w:multiLevelType w:val="hybridMultilevel"/>
    <w:tmpl w:val="FFFFFFFF"/>
    <w:lvl w:ilvl="0" w:tplc="7A186E2A">
      <w:start w:val="1"/>
      <w:numFmt w:val="bullet"/>
      <w:lvlText w:val="§"/>
      <w:lvlJc w:val="left"/>
      <w:pPr>
        <w:ind w:left="720" w:hanging="360"/>
      </w:pPr>
      <w:rPr>
        <w:rFonts w:ascii="Wingdings" w:hAnsi="Wingdings" w:hint="default"/>
      </w:rPr>
    </w:lvl>
    <w:lvl w:ilvl="1" w:tplc="B9E0477C">
      <w:start w:val="1"/>
      <w:numFmt w:val="bullet"/>
      <w:lvlText w:val="o"/>
      <w:lvlJc w:val="left"/>
      <w:pPr>
        <w:ind w:left="1440" w:hanging="360"/>
      </w:pPr>
      <w:rPr>
        <w:rFonts w:ascii="Courier New" w:hAnsi="Courier New" w:hint="default"/>
      </w:rPr>
    </w:lvl>
    <w:lvl w:ilvl="2" w:tplc="CA08245A">
      <w:start w:val="1"/>
      <w:numFmt w:val="bullet"/>
      <w:lvlText w:val=""/>
      <w:lvlJc w:val="left"/>
      <w:pPr>
        <w:ind w:left="2160" w:hanging="360"/>
      </w:pPr>
      <w:rPr>
        <w:rFonts w:ascii="Wingdings" w:hAnsi="Wingdings" w:hint="default"/>
      </w:rPr>
    </w:lvl>
    <w:lvl w:ilvl="3" w:tplc="0B504C2E">
      <w:start w:val="1"/>
      <w:numFmt w:val="bullet"/>
      <w:lvlText w:val=""/>
      <w:lvlJc w:val="left"/>
      <w:pPr>
        <w:ind w:left="2880" w:hanging="360"/>
      </w:pPr>
      <w:rPr>
        <w:rFonts w:ascii="Symbol" w:hAnsi="Symbol" w:hint="default"/>
      </w:rPr>
    </w:lvl>
    <w:lvl w:ilvl="4" w:tplc="D74E8CDC">
      <w:start w:val="1"/>
      <w:numFmt w:val="bullet"/>
      <w:lvlText w:val="o"/>
      <w:lvlJc w:val="left"/>
      <w:pPr>
        <w:ind w:left="3600" w:hanging="360"/>
      </w:pPr>
      <w:rPr>
        <w:rFonts w:ascii="Courier New" w:hAnsi="Courier New" w:hint="default"/>
      </w:rPr>
    </w:lvl>
    <w:lvl w:ilvl="5" w:tplc="65141C40">
      <w:start w:val="1"/>
      <w:numFmt w:val="bullet"/>
      <w:lvlText w:val=""/>
      <w:lvlJc w:val="left"/>
      <w:pPr>
        <w:ind w:left="4320" w:hanging="360"/>
      </w:pPr>
      <w:rPr>
        <w:rFonts w:ascii="Wingdings" w:hAnsi="Wingdings" w:hint="default"/>
      </w:rPr>
    </w:lvl>
    <w:lvl w:ilvl="6" w:tplc="2D28BE2C">
      <w:start w:val="1"/>
      <w:numFmt w:val="bullet"/>
      <w:lvlText w:val=""/>
      <w:lvlJc w:val="left"/>
      <w:pPr>
        <w:ind w:left="5040" w:hanging="360"/>
      </w:pPr>
      <w:rPr>
        <w:rFonts w:ascii="Symbol" w:hAnsi="Symbol" w:hint="default"/>
      </w:rPr>
    </w:lvl>
    <w:lvl w:ilvl="7" w:tplc="1CA8B536">
      <w:start w:val="1"/>
      <w:numFmt w:val="bullet"/>
      <w:lvlText w:val="o"/>
      <w:lvlJc w:val="left"/>
      <w:pPr>
        <w:ind w:left="5760" w:hanging="360"/>
      </w:pPr>
      <w:rPr>
        <w:rFonts w:ascii="Courier New" w:hAnsi="Courier New" w:hint="default"/>
      </w:rPr>
    </w:lvl>
    <w:lvl w:ilvl="8" w:tplc="6D84D894">
      <w:start w:val="1"/>
      <w:numFmt w:val="bullet"/>
      <w:lvlText w:val=""/>
      <w:lvlJc w:val="left"/>
      <w:pPr>
        <w:ind w:left="6480" w:hanging="360"/>
      </w:pPr>
      <w:rPr>
        <w:rFonts w:ascii="Wingdings" w:hAnsi="Wingdings" w:hint="default"/>
      </w:rPr>
    </w:lvl>
  </w:abstractNum>
  <w:abstractNum w:abstractNumId="506" w15:restartNumberingAfterBreak="0">
    <w:nsid w:val="54BA1EAB"/>
    <w:multiLevelType w:val="hybridMultilevel"/>
    <w:tmpl w:val="7C449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7" w15:restartNumberingAfterBreak="0">
    <w:nsid w:val="54C71877"/>
    <w:multiLevelType w:val="hybridMultilevel"/>
    <w:tmpl w:val="86864030"/>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508" w15:restartNumberingAfterBreak="0">
    <w:nsid w:val="54D8239D"/>
    <w:multiLevelType w:val="multilevel"/>
    <w:tmpl w:val="E466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55085006"/>
    <w:multiLevelType w:val="hybridMultilevel"/>
    <w:tmpl w:val="8BD045BC"/>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0" w15:restartNumberingAfterBreak="0">
    <w:nsid w:val="551C6B9F"/>
    <w:multiLevelType w:val="hybridMultilevel"/>
    <w:tmpl w:val="0636A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1" w15:restartNumberingAfterBreak="0">
    <w:nsid w:val="554C0712"/>
    <w:multiLevelType w:val="hybridMultilevel"/>
    <w:tmpl w:val="DCE87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2" w15:restartNumberingAfterBreak="0">
    <w:nsid w:val="55666125"/>
    <w:multiLevelType w:val="hybridMultilevel"/>
    <w:tmpl w:val="34BC7C10"/>
    <w:lvl w:ilvl="0" w:tplc="3F2A7D3A">
      <w:start w:val="1"/>
      <w:numFmt w:val="lowerLetter"/>
      <w:lvlText w:val="%1)"/>
      <w:lvlJc w:val="left"/>
      <w:pPr>
        <w:ind w:left="1444"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egoe UI" w:hAnsi="Segoe UI" w:hint="default"/>
      </w:rPr>
    </w:lvl>
  </w:abstractNum>
  <w:abstractNum w:abstractNumId="514" w15:restartNumberingAfterBreak="0">
    <w:nsid w:val="557C33CE"/>
    <w:multiLevelType w:val="hybridMultilevel"/>
    <w:tmpl w:val="4372D5B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55A85B81"/>
    <w:multiLevelType w:val="hybridMultilevel"/>
    <w:tmpl w:val="63926BA2"/>
    <w:lvl w:ilvl="0" w:tplc="312A5F28">
      <w:start w:val="1"/>
      <w:numFmt w:val="bullet"/>
      <w:lvlText w:val="-"/>
      <w:lvlJc w:val="left"/>
      <w:pPr>
        <w:ind w:left="1080" w:hanging="720"/>
      </w:pPr>
      <w:rPr>
        <w:rFonts w:ascii="Calibri" w:eastAsiaTheme="minorHAnsi" w:hAnsi="Calibri" w:cs="Calibri"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6" w15:restartNumberingAfterBreak="0">
    <w:nsid w:val="55C10E65"/>
    <w:multiLevelType w:val="hybridMultilevel"/>
    <w:tmpl w:val="83C0C036"/>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7" w15:restartNumberingAfterBreak="0">
    <w:nsid w:val="55CF40BA"/>
    <w:multiLevelType w:val="multilevel"/>
    <w:tmpl w:val="AC7A5FC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8" w15:restartNumberingAfterBreak="0">
    <w:nsid w:val="55E5095B"/>
    <w:multiLevelType w:val="hybridMultilevel"/>
    <w:tmpl w:val="0DDE5C0E"/>
    <w:lvl w:ilvl="0" w:tplc="080C0017">
      <w:start w:val="1"/>
      <w:numFmt w:val="lowerLetter"/>
      <w:lvlText w:val="%1)"/>
      <w:lvlJc w:val="left"/>
      <w:pPr>
        <w:ind w:left="907" w:hanging="360"/>
      </w:p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519" w15:restartNumberingAfterBreak="0">
    <w:nsid w:val="560C4BE4"/>
    <w:multiLevelType w:val="hybridMultilevel"/>
    <w:tmpl w:val="AE5A2B4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0" w15:restartNumberingAfterBreak="0">
    <w:nsid w:val="56C178BC"/>
    <w:multiLevelType w:val="hybridMultilevel"/>
    <w:tmpl w:val="63D6893E"/>
    <w:lvl w:ilvl="0" w:tplc="11B6EE4C">
      <w:start w:val="202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1" w15:restartNumberingAfterBreak="0">
    <w:nsid w:val="56E8A771"/>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56FC4E08"/>
    <w:multiLevelType w:val="hybridMultilevel"/>
    <w:tmpl w:val="FFFFFFFF"/>
    <w:lvl w:ilvl="0" w:tplc="195AD704">
      <w:start w:val="1"/>
      <w:numFmt w:val="bullet"/>
      <w:lvlText w:val="o"/>
      <w:lvlJc w:val="left"/>
      <w:pPr>
        <w:ind w:left="720" w:hanging="360"/>
      </w:pPr>
      <w:rPr>
        <w:rFonts w:ascii="&quot;Courier New&quot;" w:hAnsi="&quot;Courier New&quot;" w:hint="default"/>
      </w:rPr>
    </w:lvl>
    <w:lvl w:ilvl="1" w:tplc="75BE5F86">
      <w:start w:val="1"/>
      <w:numFmt w:val="bullet"/>
      <w:lvlText w:val="o"/>
      <w:lvlJc w:val="left"/>
      <w:pPr>
        <w:ind w:left="1440" w:hanging="360"/>
      </w:pPr>
      <w:rPr>
        <w:rFonts w:ascii="Courier New" w:hAnsi="Courier New" w:hint="default"/>
      </w:rPr>
    </w:lvl>
    <w:lvl w:ilvl="2" w:tplc="049412AC">
      <w:start w:val="1"/>
      <w:numFmt w:val="bullet"/>
      <w:lvlText w:val=""/>
      <w:lvlJc w:val="left"/>
      <w:pPr>
        <w:ind w:left="2160" w:hanging="360"/>
      </w:pPr>
      <w:rPr>
        <w:rFonts w:ascii="Wingdings" w:hAnsi="Wingdings" w:hint="default"/>
      </w:rPr>
    </w:lvl>
    <w:lvl w:ilvl="3" w:tplc="C2B664F4">
      <w:start w:val="1"/>
      <w:numFmt w:val="bullet"/>
      <w:lvlText w:val=""/>
      <w:lvlJc w:val="left"/>
      <w:pPr>
        <w:ind w:left="2880" w:hanging="360"/>
      </w:pPr>
      <w:rPr>
        <w:rFonts w:ascii="Symbol" w:hAnsi="Symbol" w:hint="default"/>
      </w:rPr>
    </w:lvl>
    <w:lvl w:ilvl="4" w:tplc="8084BDD2">
      <w:start w:val="1"/>
      <w:numFmt w:val="bullet"/>
      <w:lvlText w:val="o"/>
      <w:lvlJc w:val="left"/>
      <w:pPr>
        <w:ind w:left="3600" w:hanging="360"/>
      </w:pPr>
      <w:rPr>
        <w:rFonts w:ascii="Courier New" w:hAnsi="Courier New" w:hint="default"/>
      </w:rPr>
    </w:lvl>
    <w:lvl w:ilvl="5" w:tplc="C1D219A2">
      <w:start w:val="1"/>
      <w:numFmt w:val="bullet"/>
      <w:lvlText w:val=""/>
      <w:lvlJc w:val="left"/>
      <w:pPr>
        <w:ind w:left="4320" w:hanging="360"/>
      </w:pPr>
      <w:rPr>
        <w:rFonts w:ascii="Wingdings" w:hAnsi="Wingdings" w:hint="default"/>
      </w:rPr>
    </w:lvl>
    <w:lvl w:ilvl="6" w:tplc="9B0C8668">
      <w:start w:val="1"/>
      <w:numFmt w:val="bullet"/>
      <w:lvlText w:val=""/>
      <w:lvlJc w:val="left"/>
      <w:pPr>
        <w:ind w:left="5040" w:hanging="360"/>
      </w:pPr>
      <w:rPr>
        <w:rFonts w:ascii="Symbol" w:hAnsi="Symbol" w:hint="default"/>
      </w:rPr>
    </w:lvl>
    <w:lvl w:ilvl="7" w:tplc="A8EC0420">
      <w:start w:val="1"/>
      <w:numFmt w:val="bullet"/>
      <w:lvlText w:val="o"/>
      <w:lvlJc w:val="left"/>
      <w:pPr>
        <w:ind w:left="5760" w:hanging="360"/>
      </w:pPr>
      <w:rPr>
        <w:rFonts w:ascii="Courier New" w:hAnsi="Courier New" w:hint="default"/>
      </w:rPr>
    </w:lvl>
    <w:lvl w:ilvl="8" w:tplc="797C00BA">
      <w:start w:val="1"/>
      <w:numFmt w:val="bullet"/>
      <w:lvlText w:val=""/>
      <w:lvlJc w:val="left"/>
      <w:pPr>
        <w:ind w:left="6480" w:hanging="360"/>
      </w:pPr>
      <w:rPr>
        <w:rFonts w:ascii="Wingdings" w:hAnsi="Wingdings" w:hint="default"/>
      </w:rPr>
    </w:lvl>
  </w:abstractNum>
  <w:abstractNum w:abstractNumId="523" w15:restartNumberingAfterBreak="0">
    <w:nsid w:val="571D3C10"/>
    <w:multiLevelType w:val="hybridMultilevel"/>
    <w:tmpl w:val="71E02424"/>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4" w15:restartNumberingAfterBreak="0">
    <w:nsid w:val="57576697"/>
    <w:multiLevelType w:val="hybridMultilevel"/>
    <w:tmpl w:val="3D3A5860"/>
    <w:lvl w:ilvl="0" w:tplc="FFFFFFFF">
      <w:start w:val="1"/>
      <w:numFmt w:val="decimal"/>
      <w:lvlText w:val="%1."/>
      <w:lvlJc w:val="left"/>
      <w:pPr>
        <w:ind w:left="720" w:hanging="360"/>
      </w:pPr>
    </w:lvl>
    <w:lvl w:ilvl="1" w:tplc="1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5" w15:restartNumberingAfterBreak="0">
    <w:nsid w:val="57F812D0"/>
    <w:multiLevelType w:val="hybridMultilevel"/>
    <w:tmpl w:val="F8B0005E"/>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26" w15:restartNumberingAfterBreak="0">
    <w:nsid w:val="57FB002C"/>
    <w:multiLevelType w:val="multilevel"/>
    <w:tmpl w:val="7F22A7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15:restartNumberingAfterBreak="0">
    <w:nsid w:val="58119116"/>
    <w:multiLevelType w:val="hybridMultilevel"/>
    <w:tmpl w:val="FFFFFFFF"/>
    <w:lvl w:ilvl="0" w:tplc="058890D4">
      <w:start w:val="1"/>
      <w:numFmt w:val="bullet"/>
      <w:lvlText w:val="-"/>
      <w:lvlJc w:val="left"/>
      <w:pPr>
        <w:ind w:left="720" w:hanging="360"/>
      </w:pPr>
      <w:rPr>
        <w:rFonts w:ascii="Wingdings" w:hAnsi="Wingdings" w:hint="default"/>
      </w:rPr>
    </w:lvl>
    <w:lvl w:ilvl="1" w:tplc="93F2199C">
      <w:start w:val="1"/>
      <w:numFmt w:val="bullet"/>
      <w:lvlText w:val="o"/>
      <w:lvlJc w:val="left"/>
      <w:pPr>
        <w:ind w:left="1440" w:hanging="360"/>
      </w:pPr>
      <w:rPr>
        <w:rFonts w:ascii="Courier New" w:hAnsi="Courier New" w:hint="default"/>
      </w:rPr>
    </w:lvl>
    <w:lvl w:ilvl="2" w:tplc="CE623FF8">
      <w:start w:val="1"/>
      <w:numFmt w:val="bullet"/>
      <w:lvlText w:val=""/>
      <w:lvlJc w:val="left"/>
      <w:pPr>
        <w:ind w:left="2160" w:hanging="360"/>
      </w:pPr>
      <w:rPr>
        <w:rFonts w:ascii="Cambria Math" w:hAnsi="Cambria Math" w:hint="default"/>
      </w:rPr>
    </w:lvl>
    <w:lvl w:ilvl="3" w:tplc="97D2F198">
      <w:start w:val="1"/>
      <w:numFmt w:val="bullet"/>
      <w:lvlText w:val=""/>
      <w:lvlJc w:val="left"/>
      <w:pPr>
        <w:ind w:left="2880" w:hanging="360"/>
      </w:pPr>
      <w:rPr>
        <w:rFonts w:ascii="Segoe UI" w:hAnsi="Segoe UI" w:hint="default"/>
      </w:rPr>
    </w:lvl>
    <w:lvl w:ilvl="4" w:tplc="09DA6CC0">
      <w:start w:val="1"/>
      <w:numFmt w:val="bullet"/>
      <w:lvlText w:val="o"/>
      <w:lvlJc w:val="left"/>
      <w:pPr>
        <w:ind w:left="3600" w:hanging="360"/>
      </w:pPr>
      <w:rPr>
        <w:rFonts w:ascii="Courier New" w:hAnsi="Courier New" w:hint="default"/>
      </w:rPr>
    </w:lvl>
    <w:lvl w:ilvl="5" w:tplc="8506AE90">
      <w:start w:val="1"/>
      <w:numFmt w:val="bullet"/>
      <w:lvlText w:val=""/>
      <w:lvlJc w:val="left"/>
      <w:pPr>
        <w:ind w:left="4320" w:hanging="360"/>
      </w:pPr>
      <w:rPr>
        <w:rFonts w:ascii="Cambria Math" w:hAnsi="Cambria Math" w:hint="default"/>
      </w:rPr>
    </w:lvl>
    <w:lvl w:ilvl="6" w:tplc="6ADCDA52">
      <w:start w:val="1"/>
      <w:numFmt w:val="bullet"/>
      <w:lvlText w:val=""/>
      <w:lvlJc w:val="left"/>
      <w:pPr>
        <w:ind w:left="5040" w:hanging="360"/>
      </w:pPr>
      <w:rPr>
        <w:rFonts w:ascii="Segoe UI" w:hAnsi="Segoe UI" w:hint="default"/>
      </w:rPr>
    </w:lvl>
    <w:lvl w:ilvl="7" w:tplc="1978596C">
      <w:start w:val="1"/>
      <w:numFmt w:val="bullet"/>
      <w:lvlText w:val="o"/>
      <w:lvlJc w:val="left"/>
      <w:pPr>
        <w:ind w:left="5760" w:hanging="360"/>
      </w:pPr>
      <w:rPr>
        <w:rFonts w:ascii="Courier New" w:hAnsi="Courier New" w:hint="default"/>
      </w:rPr>
    </w:lvl>
    <w:lvl w:ilvl="8" w:tplc="0C848482">
      <w:start w:val="1"/>
      <w:numFmt w:val="bullet"/>
      <w:lvlText w:val=""/>
      <w:lvlJc w:val="left"/>
      <w:pPr>
        <w:ind w:left="6480" w:hanging="360"/>
      </w:pPr>
      <w:rPr>
        <w:rFonts w:ascii="Cambria Math" w:hAnsi="Cambria Math" w:hint="default"/>
      </w:rPr>
    </w:lvl>
  </w:abstractNum>
  <w:abstractNum w:abstractNumId="528" w15:restartNumberingAfterBreak="0">
    <w:nsid w:val="581B5597"/>
    <w:multiLevelType w:val="hybridMultilevel"/>
    <w:tmpl w:val="8646BF4E"/>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529" w15:restartNumberingAfterBreak="0">
    <w:nsid w:val="5850A998"/>
    <w:multiLevelType w:val="hybridMultilevel"/>
    <w:tmpl w:val="FFFFFFFF"/>
    <w:lvl w:ilvl="0" w:tplc="254AE15A">
      <w:start w:val="2"/>
      <w:numFmt w:val="decimal"/>
      <w:lvlText w:val="%1."/>
      <w:lvlJc w:val="left"/>
      <w:pPr>
        <w:ind w:left="720" w:hanging="360"/>
      </w:pPr>
    </w:lvl>
    <w:lvl w:ilvl="1" w:tplc="CFACB5DA">
      <w:start w:val="1"/>
      <w:numFmt w:val="lowerLetter"/>
      <w:lvlText w:val="%2."/>
      <w:lvlJc w:val="left"/>
      <w:pPr>
        <w:ind w:left="1440" w:hanging="360"/>
      </w:pPr>
    </w:lvl>
    <w:lvl w:ilvl="2" w:tplc="FCAE2B8C">
      <w:start w:val="1"/>
      <w:numFmt w:val="lowerRoman"/>
      <w:lvlText w:val="%3."/>
      <w:lvlJc w:val="right"/>
      <w:pPr>
        <w:ind w:left="2160" w:hanging="180"/>
      </w:pPr>
    </w:lvl>
    <w:lvl w:ilvl="3" w:tplc="0A1EA522">
      <w:start w:val="1"/>
      <w:numFmt w:val="decimal"/>
      <w:lvlText w:val="%4."/>
      <w:lvlJc w:val="left"/>
      <w:pPr>
        <w:ind w:left="2880" w:hanging="360"/>
      </w:pPr>
    </w:lvl>
    <w:lvl w:ilvl="4" w:tplc="A2E0F3B8">
      <w:start w:val="1"/>
      <w:numFmt w:val="lowerLetter"/>
      <w:lvlText w:val="%5."/>
      <w:lvlJc w:val="left"/>
      <w:pPr>
        <w:ind w:left="3600" w:hanging="360"/>
      </w:pPr>
    </w:lvl>
    <w:lvl w:ilvl="5" w:tplc="6F8E200A">
      <w:start w:val="1"/>
      <w:numFmt w:val="lowerRoman"/>
      <w:lvlText w:val="%6."/>
      <w:lvlJc w:val="right"/>
      <w:pPr>
        <w:ind w:left="4320" w:hanging="180"/>
      </w:pPr>
    </w:lvl>
    <w:lvl w:ilvl="6" w:tplc="7062D54A">
      <w:start w:val="1"/>
      <w:numFmt w:val="decimal"/>
      <w:lvlText w:val="%7."/>
      <w:lvlJc w:val="left"/>
      <w:pPr>
        <w:ind w:left="5040" w:hanging="360"/>
      </w:pPr>
    </w:lvl>
    <w:lvl w:ilvl="7" w:tplc="091488C4">
      <w:start w:val="1"/>
      <w:numFmt w:val="lowerLetter"/>
      <w:lvlText w:val="%8."/>
      <w:lvlJc w:val="left"/>
      <w:pPr>
        <w:ind w:left="5760" w:hanging="360"/>
      </w:pPr>
    </w:lvl>
    <w:lvl w:ilvl="8" w:tplc="61B000B6">
      <w:start w:val="1"/>
      <w:numFmt w:val="lowerRoman"/>
      <w:lvlText w:val="%9."/>
      <w:lvlJc w:val="right"/>
      <w:pPr>
        <w:ind w:left="6480" w:hanging="180"/>
      </w:pPr>
    </w:lvl>
  </w:abstractNum>
  <w:abstractNum w:abstractNumId="530" w15:restartNumberingAfterBreak="0">
    <w:nsid w:val="585D1F16"/>
    <w:multiLevelType w:val="multilevel"/>
    <w:tmpl w:val="752223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58A4E6FE"/>
    <w:multiLevelType w:val="hybridMultilevel"/>
    <w:tmpl w:val="912E3942"/>
    <w:lvl w:ilvl="0" w:tplc="1694847E">
      <w:start w:val="2"/>
      <w:numFmt w:val="lowerRoman"/>
      <w:lvlText w:val="%1."/>
      <w:lvlJc w:val="right"/>
      <w:pPr>
        <w:ind w:left="720" w:hanging="360"/>
      </w:pPr>
    </w:lvl>
    <w:lvl w:ilvl="1" w:tplc="6DAAA322">
      <w:start w:val="1"/>
      <w:numFmt w:val="lowerLetter"/>
      <w:lvlText w:val="%2."/>
      <w:lvlJc w:val="left"/>
      <w:pPr>
        <w:ind w:left="1440" w:hanging="360"/>
      </w:pPr>
    </w:lvl>
    <w:lvl w:ilvl="2" w:tplc="C2B8B4C4">
      <w:start w:val="1"/>
      <w:numFmt w:val="lowerRoman"/>
      <w:lvlText w:val="%3."/>
      <w:lvlJc w:val="right"/>
      <w:pPr>
        <w:ind w:left="2160" w:hanging="180"/>
      </w:pPr>
    </w:lvl>
    <w:lvl w:ilvl="3" w:tplc="49A23434">
      <w:start w:val="1"/>
      <w:numFmt w:val="decimal"/>
      <w:lvlText w:val="%4."/>
      <w:lvlJc w:val="left"/>
      <w:pPr>
        <w:ind w:left="2880" w:hanging="360"/>
      </w:pPr>
    </w:lvl>
    <w:lvl w:ilvl="4" w:tplc="224287DA">
      <w:start w:val="1"/>
      <w:numFmt w:val="lowerLetter"/>
      <w:lvlText w:val="%5."/>
      <w:lvlJc w:val="left"/>
      <w:pPr>
        <w:ind w:left="3600" w:hanging="360"/>
      </w:pPr>
    </w:lvl>
    <w:lvl w:ilvl="5" w:tplc="1F24F904">
      <w:start w:val="1"/>
      <w:numFmt w:val="lowerRoman"/>
      <w:lvlText w:val="%6."/>
      <w:lvlJc w:val="right"/>
      <w:pPr>
        <w:ind w:left="4320" w:hanging="180"/>
      </w:pPr>
    </w:lvl>
    <w:lvl w:ilvl="6" w:tplc="C96480BE">
      <w:start w:val="1"/>
      <w:numFmt w:val="decimal"/>
      <w:lvlText w:val="%7."/>
      <w:lvlJc w:val="left"/>
      <w:pPr>
        <w:ind w:left="5040" w:hanging="360"/>
      </w:pPr>
    </w:lvl>
    <w:lvl w:ilvl="7" w:tplc="84B45902">
      <w:start w:val="1"/>
      <w:numFmt w:val="lowerLetter"/>
      <w:lvlText w:val="%8."/>
      <w:lvlJc w:val="left"/>
      <w:pPr>
        <w:ind w:left="5760" w:hanging="360"/>
      </w:pPr>
    </w:lvl>
    <w:lvl w:ilvl="8" w:tplc="3648E4D6">
      <w:start w:val="1"/>
      <w:numFmt w:val="lowerRoman"/>
      <w:lvlText w:val="%9."/>
      <w:lvlJc w:val="right"/>
      <w:pPr>
        <w:ind w:left="6480" w:hanging="180"/>
      </w:pPr>
    </w:lvl>
  </w:abstractNum>
  <w:abstractNum w:abstractNumId="532" w15:restartNumberingAfterBreak="0">
    <w:nsid w:val="58D93C35"/>
    <w:multiLevelType w:val="hybridMultilevel"/>
    <w:tmpl w:val="D6761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3" w15:restartNumberingAfterBreak="0">
    <w:nsid w:val="58DA6251"/>
    <w:multiLevelType w:val="hybridMultilevel"/>
    <w:tmpl w:val="BFA48D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4" w15:restartNumberingAfterBreak="0">
    <w:nsid w:val="58E57F62"/>
    <w:multiLevelType w:val="hybridMultilevel"/>
    <w:tmpl w:val="6B367C20"/>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35" w15:restartNumberingAfterBreak="0">
    <w:nsid w:val="59067F31"/>
    <w:multiLevelType w:val="hybridMultilevel"/>
    <w:tmpl w:val="A800B374"/>
    <w:lvl w:ilvl="0" w:tplc="040A0001">
      <w:start w:val="1"/>
      <w:numFmt w:val="bullet"/>
      <w:lvlText w:val=""/>
      <w:lvlJc w:val="left"/>
      <w:pPr>
        <w:ind w:left="1690" w:hanging="360"/>
      </w:pPr>
      <w:rPr>
        <w:rFonts w:ascii="Segoe UI" w:hAnsi="Segoe UI" w:hint="default"/>
      </w:rPr>
    </w:lvl>
    <w:lvl w:ilvl="1" w:tplc="040A0003" w:tentative="1">
      <w:start w:val="1"/>
      <w:numFmt w:val="bullet"/>
      <w:lvlText w:val="o"/>
      <w:lvlJc w:val="left"/>
      <w:pPr>
        <w:ind w:left="2410" w:hanging="360"/>
      </w:pPr>
      <w:rPr>
        <w:rFonts w:ascii="Courier New" w:hAnsi="Courier New" w:cs="Courier New" w:hint="default"/>
      </w:rPr>
    </w:lvl>
    <w:lvl w:ilvl="2" w:tplc="040A0005" w:tentative="1">
      <w:start w:val="1"/>
      <w:numFmt w:val="bullet"/>
      <w:lvlText w:val=""/>
      <w:lvlJc w:val="left"/>
      <w:pPr>
        <w:ind w:left="3130" w:hanging="360"/>
      </w:pPr>
      <w:rPr>
        <w:rFonts w:ascii="Cambria Math" w:hAnsi="Cambria Math" w:hint="default"/>
      </w:rPr>
    </w:lvl>
    <w:lvl w:ilvl="3" w:tplc="040A0001" w:tentative="1">
      <w:start w:val="1"/>
      <w:numFmt w:val="bullet"/>
      <w:lvlText w:val=""/>
      <w:lvlJc w:val="left"/>
      <w:pPr>
        <w:ind w:left="3850" w:hanging="360"/>
      </w:pPr>
      <w:rPr>
        <w:rFonts w:ascii="Segoe UI" w:hAnsi="Segoe UI" w:hint="default"/>
      </w:rPr>
    </w:lvl>
    <w:lvl w:ilvl="4" w:tplc="040A0003" w:tentative="1">
      <w:start w:val="1"/>
      <w:numFmt w:val="bullet"/>
      <w:lvlText w:val="o"/>
      <w:lvlJc w:val="left"/>
      <w:pPr>
        <w:ind w:left="4570" w:hanging="360"/>
      </w:pPr>
      <w:rPr>
        <w:rFonts w:ascii="Courier New" w:hAnsi="Courier New" w:cs="Courier New" w:hint="default"/>
      </w:rPr>
    </w:lvl>
    <w:lvl w:ilvl="5" w:tplc="040A0005" w:tentative="1">
      <w:start w:val="1"/>
      <w:numFmt w:val="bullet"/>
      <w:lvlText w:val=""/>
      <w:lvlJc w:val="left"/>
      <w:pPr>
        <w:ind w:left="5290" w:hanging="360"/>
      </w:pPr>
      <w:rPr>
        <w:rFonts w:ascii="Cambria Math" w:hAnsi="Cambria Math" w:hint="default"/>
      </w:rPr>
    </w:lvl>
    <w:lvl w:ilvl="6" w:tplc="040A0001" w:tentative="1">
      <w:start w:val="1"/>
      <w:numFmt w:val="bullet"/>
      <w:lvlText w:val=""/>
      <w:lvlJc w:val="left"/>
      <w:pPr>
        <w:ind w:left="6010" w:hanging="360"/>
      </w:pPr>
      <w:rPr>
        <w:rFonts w:ascii="Segoe UI" w:hAnsi="Segoe UI" w:hint="default"/>
      </w:rPr>
    </w:lvl>
    <w:lvl w:ilvl="7" w:tplc="040A0003" w:tentative="1">
      <w:start w:val="1"/>
      <w:numFmt w:val="bullet"/>
      <w:lvlText w:val="o"/>
      <w:lvlJc w:val="left"/>
      <w:pPr>
        <w:ind w:left="6730" w:hanging="360"/>
      </w:pPr>
      <w:rPr>
        <w:rFonts w:ascii="Courier New" w:hAnsi="Courier New" w:cs="Courier New" w:hint="default"/>
      </w:rPr>
    </w:lvl>
    <w:lvl w:ilvl="8" w:tplc="040A0005" w:tentative="1">
      <w:start w:val="1"/>
      <w:numFmt w:val="bullet"/>
      <w:lvlText w:val=""/>
      <w:lvlJc w:val="left"/>
      <w:pPr>
        <w:ind w:left="7450" w:hanging="360"/>
      </w:pPr>
      <w:rPr>
        <w:rFonts w:ascii="Cambria Math" w:hAnsi="Cambria Math" w:hint="default"/>
      </w:rPr>
    </w:lvl>
  </w:abstractNum>
  <w:abstractNum w:abstractNumId="536" w15:restartNumberingAfterBreak="0">
    <w:nsid w:val="595302CE"/>
    <w:multiLevelType w:val="hybridMultilevel"/>
    <w:tmpl w:val="9B4672BE"/>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7" w15:restartNumberingAfterBreak="0">
    <w:nsid w:val="59D8017D"/>
    <w:multiLevelType w:val="hybridMultilevel"/>
    <w:tmpl w:val="FFFFFFFF"/>
    <w:lvl w:ilvl="0" w:tplc="FFFFFFFF">
      <w:start w:val="1"/>
      <w:numFmt w:val="bullet"/>
      <w:lvlText w:val=""/>
      <w:lvlJc w:val="left"/>
      <w:pPr>
        <w:ind w:left="720" w:hanging="360"/>
      </w:pPr>
      <w:rPr>
        <w:rFonts w:ascii="Symbol" w:hAnsi="Symbol" w:hint="default"/>
      </w:rPr>
    </w:lvl>
    <w:lvl w:ilvl="1" w:tplc="E42AB74A">
      <w:start w:val="1"/>
      <w:numFmt w:val="bullet"/>
      <w:lvlText w:val="o"/>
      <w:lvlJc w:val="left"/>
      <w:pPr>
        <w:ind w:left="1440" w:hanging="360"/>
      </w:pPr>
      <w:rPr>
        <w:rFonts w:ascii="Courier New" w:hAnsi="Courier New" w:hint="default"/>
      </w:rPr>
    </w:lvl>
    <w:lvl w:ilvl="2" w:tplc="05748652">
      <w:start w:val="1"/>
      <w:numFmt w:val="bullet"/>
      <w:lvlText w:val=""/>
      <w:lvlJc w:val="left"/>
      <w:pPr>
        <w:ind w:left="2160" w:hanging="360"/>
      </w:pPr>
      <w:rPr>
        <w:rFonts w:ascii="Wingdings" w:hAnsi="Wingdings" w:hint="default"/>
      </w:rPr>
    </w:lvl>
    <w:lvl w:ilvl="3" w:tplc="6D60643C">
      <w:start w:val="1"/>
      <w:numFmt w:val="bullet"/>
      <w:lvlText w:val=""/>
      <w:lvlJc w:val="left"/>
      <w:pPr>
        <w:ind w:left="2880" w:hanging="360"/>
      </w:pPr>
      <w:rPr>
        <w:rFonts w:ascii="Symbol" w:hAnsi="Symbol" w:hint="default"/>
      </w:rPr>
    </w:lvl>
    <w:lvl w:ilvl="4" w:tplc="CBB80EE8">
      <w:start w:val="1"/>
      <w:numFmt w:val="bullet"/>
      <w:lvlText w:val="o"/>
      <w:lvlJc w:val="left"/>
      <w:pPr>
        <w:ind w:left="3600" w:hanging="360"/>
      </w:pPr>
      <w:rPr>
        <w:rFonts w:ascii="Courier New" w:hAnsi="Courier New" w:hint="default"/>
      </w:rPr>
    </w:lvl>
    <w:lvl w:ilvl="5" w:tplc="508EA88C">
      <w:start w:val="1"/>
      <w:numFmt w:val="bullet"/>
      <w:lvlText w:val=""/>
      <w:lvlJc w:val="left"/>
      <w:pPr>
        <w:ind w:left="4320" w:hanging="360"/>
      </w:pPr>
      <w:rPr>
        <w:rFonts w:ascii="Wingdings" w:hAnsi="Wingdings" w:hint="default"/>
      </w:rPr>
    </w:lvl>
    <w:lvl w:ilvl="6" w:tplc="8A20889C">
      <w:start w:val="1"/>
      <w:numFmt w:val="bullet"/>
      <w:lvlText w:val=""/>
      <w:lvlJc w:val="left"/>
      <w:pPr>
        <w:ind w:left="5040" w:hanging="360"/>
      </w:pPr>
      <w:rPr>
        <w:rFonts w:ascii="Symbol" w:hAnsi="Symbol" w:hint="default"/>
      </w:rPr>
    </w:lvl>
    <w:lvl w:ilvl="7" w:tplc="5364B416">
      <w:start w:val="1"/>
      <w:numFmt w:val="bullet"/>
      <w:lvlText w:val="o"/>
      <w:lvlJc w:val="left"/>
      <w:pPr>
        <w:ind w:left="5760" w:hanging="360"/>
      </w:pPr>
      <w:rPr>
        <w:rFonts w:ascii="Courier New" w:hAnsi="Courier New" w:hint="default"/>
      </w:rPr>
    </w:lvl>
    <w:lvl w:ilvl="8" w:tplc="41A021EE">
      <w:start w:val="1"/>
      <w:numFmt w:val="bullet"/>
      <w:lvlText w:val=""/>
      <w:lvlJc w:val="left"/>
      <w:pPr>
        <w:ind w:left="6480" w:hanging="360"/>
      </w:pPr>
      <w:rPr>
        <w:rFonts w:ascii="Wingdings" w:hAnsi="Wingdings" w:hint="default"/>
      </w:rPr>
    </w:lvl>
  </w:abstractNum>
  <w:abstractNum w:abstractNumId="538" w15:restartNumberingAfterBreak="0">
    <w:nsid w:val="59DC70B1"/>
    <w:multiLevelType w:val="hybridMultilevel"/>
    <w:tmpl w:val="FFFFFFFF"/>
    <w:lvl w:ilvl="0" w:tplc="883AC0FA">
      <w:start w:val="1"/>
      <w:numFmt w:val="bullet"/>
      <w:lvlText w:val=""/>
      <w:lvlJc w:val="left"/>
      <w:pPr>
        <w:ind w:left="720" w:hanging="360"/>
      </w:pPr>
      <w:rPr>
        <w:rFonts w:ascii="Symbol" w:hAnsi="Symbol" w:hint="default"/>
      </w:rPr>
    </w:lvl>
    <w:lvl w:ilvl="1" w:tplc="C9F6743A">
      <w:start w:val="1"/>
      <w:numFmt w:val="bullet"/>
      <w:lvlText w:val="-"/>
      <w:lvlJc w:val="left"/>
      <w:pPr>
        <w:ind w:left="1440" w:hanging="360"/>
      </w:pPr>
      <w:rPr>
        <w:rFonts w:ascii="Calibri" w:hAnsi="Calibri" w:hint="default"/>
      </w:rPr>
    </w:lvl>
    <w:lvl w:ilvl="2" w:tplc="35045244">
      <w:start w:val="1"/>
      <w:numFmt w:val="bullet"/>
      <w:lvlText w:val=""/>
      <w:lvlJc w:val="left"/>
      <w:pPr>
        <w:ind w:left="2160" w:hanging="360"/>
      </w:pPr>
      <w:rPr>
        <w:rFonts w:ascii="Wingdings" w:hAnsi="Wingdings" w:hint="default"/>
      </w:rPr>
    </w:lvl>
    <w:lvl w:ilvl="3" w:tplc="4A0620B8">
      <w:start w:val="1"/>
      <w:numFmt w:val="bullet"/>
      <w:lvlText w:val=""/>
      <w:lvlJc w:val="left"/>
      <w:pPr>
        <w:ind w:left="2880" w:hanging="360"/>
      </w:pPr>
      <w:rPr>
        <w:rFonts w:ascii="Symbol" w:hAnsi="Symbol" w:hint="default"/>
      </w:rPr>
    </w:lvl>
    <w:lvl w:ilvl="4" w:tplc="9EAA4CDE">
      <w:start w:val="1"/>
      <w:numFmt w:val="bullet"/>
      <w:lvlText w:val="o"/>
      <w:lvlJc w:val="left"/>
      <w:pPr>
        <w:ind w:left="3600" w:hanging="360"/>
      </w:pPr>
      <w:rPr>
        <w:rFonts w:ascii="Courier New" w:hAnsi="Courier New" w:hint="default"/>
      </w:rPr>
    </w:lvl>
    <w:lvl w:ilvl="5" w:tplc="41724238">
      <w:start w:val="1"/>
      <w:numFmt w:val="bullet"/>
      <w:lvlText w:val=""/>
      <w:lvlJc w:val="left"/>
      <w:pPr>
        <w:ind w:left="4320" w:hanging="360"/>
      </w:pPr>
      <w:rPr>
        <w:rFonts w:ascii="Wingdings" w:hAnsi="Wingdings" w:hint="default"/>
      </w:rPr>
    </w:lvl>
    <w:lvl w:ilvl="6" w:tplc="D9E8294C">
      <w:start w:val="1"/>
      <w:numFmt w:val="bullet"/>
      <w:lvlText w:val=""/>
      <w:lvlJc w:val="left"/>
      <w:pPr>
        <w:ind w:left="5040" w:hanging="360"/>
      </w:pPr>
      <w:rPr>
        <w:rFonts w:ascii="Symbol" w:hAnsi="Symbol" w:hint="default"/>
      </w:rPr>
    </w:lvl>
    <w:lvl w:ilvl="7" w:tplc="9CB09EC2">
      <w:start w:val="1"/>
      <w:numFmt w:val="bullet"/>
      <w:lvlText w:val="o"/>
      <w:lvlJc w:val="left"/>
      <w:pPr>
        <w:ind w:left="5760" w:hanging="360"/>
      </w:pPr>
      <w:rPr>
        <w:rFonts w:ascii="Courier New" w:hAnsi="Courier New" w:hint="default"/>
      </w:rPr>
    </w:lvl>
    <w:lvl w:ilvl="8" w:tplc="058055D4">
      <w:start w:val="1"/>
      <w:numFmt w:val="bullet"/>
      <w:lvlText w:val=""/>
      <w:lvlJc w:val="left"/>
      <w:pPr>
        <w:ind w:left="6480" w:hanging="360"/>
      </w:pPr>
      <w:rPr>
        <w:rFonts w:ascii="Wingdings" w:hAnsi="Wingdings" w:hint="default"/>
      </w:rPr>
    </w:lvl>
  </w:abstractNum>
  <w:abstractNum w:abstractNumId="539" w15:restartNumberingAfterBreak="0">
    <w:nsid w:val="59E333DF"/>
    <w:multiLevelType w:val="hybridMultilevel"/>
    <w:tmpl w:val="D54AFFAA"/>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0" w15:restartNumberingAfterBreak="0">
    <w:nsid w:val="59F96ABB"/>
    <w:multiLevelType w:val="hybridMultilevel"/>
    <w:tmpl w:val="85F45C06"/>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1" w15:restartNumberingAfterBreak="0">
    <w:nsid w:val="5A165091"/>
    <w:multiLevelType w:val="hybridMultilevel"/>
    <w:tmpl w:val="A9803D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542" w15:restartNumberingAfterBreak="0">
    <w:nsid w:val="5A3076D4"/>
    <w:multiLevelType w:val="hybridMultilevel"/>
    <w:tmpl w:val="49140D80"/>
    <w:lvl w:ilvl="0" w:tplc="2A3A5080">
      <w:start w:val="1"/>
      <w:numFmt w:val="bullet"/>
      <w:lvlText w:val="-"/>
      <w:lvlJc w:val="left"/>
      <w:pPr>
        <w:ind w:left="720" w:hanging="360"/>
      </w:pPr>
      <w:rPr>
        <w:rFonts w:ascii="Symbol" w:hAnsi="Symbol" w:hint="default"/>
      </w:rPr>
    </w:lvl>
    <w:lvl w:ilvl="1" w:tplc="A60EF0CC">
      <w:start w:val="1"/>
      <w:numFmt w:val="bullet"/>
      <w:lvlText w:val="o"/>
      <w:lvlJc w:val="left"/>
      <w:pPr>
        <w:ind w:left="1440" w:hanging="360"/>
      </w:pPr>
      <w:rPr>
        <w:rFonts w:ascii="Courier New" w:hAnsi="Courier New" w:hint="default"/>
      </w:rPr>
    </w:lvl>
    <w:lvl w:ilvl="2" w:tplc="494446E8">
      <w:start w:val="1"/>
      <w:numFmt w:val="bullet"/>
      <w:lvlText w:val=""/>
      <w:lvlJc w:val="left"/>
      <w:pPr>
        <w:ind w:left="2160" w:hanging="360"/>
      </w:pPr>
      <w:rPr>
        <w:rFonts w:ascii="Wingdings" w:hAnsi="Wingdings" w:hint="default"/>
      </w:rPr>
    </w:lvl>
    <w:lvl w:ilvl="3" w:tplc="B424782C">
      <w:start w:val="1"/>
      <w:numFmt w:val="bullet"/>
      <w:lvlText w:val=""/>
      <w:lvlJc w:val="left"/>
      <w:pPr>
        <w:ind w:left="2880" w:hanging="360"/>
      </w:pPr>
      <w:rPr>
        <w:rFonts w:ascii="Symbol" w:hAnsi="Symbol" w:hint="default"/>
      </w:rPr>
    </w:lvl>
    <w:lvl w:ilvl="4" w:tplc="B5D2E892">
      <w:start w:val="1"/>
      <w:numFmt w:val="bullet"/>
      <w:lvlText w:val="o"/>
      <w:lvlJc w:val="left"/>
      <w:pPr>
        <w:ind w:left="3600" w:hanging="360"/>
      </w:pPr>
      <w:rPr>
        <w:rFonts w:ascii="Courier New" w:hAnsi="Courier New" w:hint="default"/>
      </w:rPr>
    </w:lvl>
    <w:lvl w:ilvl="5" w:tplc="BF4EBF48">
      <w:start w:val="1"/>
      <w:numFmt w:val="bullet"/>
      <w:lvlText w:val=""/>
      <w:lvlJc w:val="left"/>
      <w:pPr>
        <w:ind w:left="4320" w:hanging="360"/>
      </w:pPr>
      <w:rPr>
        <w:rFonts w:ascii="Wingdings" w:hAnsi="Wingdings" w:hint="default"/>
      </w:rPr>
    </w:lvl>
    <w:lvl w:ilvl="6" w:tplc="C7D6DAB6">
      <w:start w:val="1"/>
      <w:numFmt w:val="bullet"/>
      <w:lvlText w:val=""/>
      <w:lvlJc w:val="left"/>
      <w:pPr>
        <w:ind w:left="5040" w:hanging="360"/>
      </w:pPr>
      <w:rPr>
        <w:rFonts w:ascii="Symbol" w:hAnsi="Symbol" w:hint="default"/>
      </w:rPr>
    </w:lvl>
    <w:lvl w:ilvl="7" w:tplc="2D5ED11A">
      <w:start w:val="1"/>
      <w:numFmt w:val="bullet"/>
      <w:lvlText w:val="o"/>
      <w:lvlJc w:val="left"/>
      <w:pPr>
        <w:ind w:left="5760" w:hanging="360"/>
      </w:pPr>
      <w:rPr>
        <w:rFonts w:ascii="Courier New" w:hAnsi="Courier New" w:hint="default"/>
      </w:rPr>
    </w:lvl>
    <w:lvl w:ilvl="8" w:tplc="4FB42F3C">
      <w:start w:val="1"/>
      <w:numFmt w:val="bullet"/>
      <w:lvlText w:val=""/>
      <w:lvlJc w:val="left"/>
      <w:pPr>
        <w:ind w:left="6480" w:hanging="360"/>
      </w:pPr>
      <w:rPr>
        <w:rFonts w:ascii="Wingdings" w:hAnsi="Wingdings" w:hint="default"/>
      </w:rPr>
    </w:lvl>
  </w:abstractNum>
  <w:abstractNum w:abstractNumId="543" w15:restartNumberingAfterBreak="0">
    <w:nsid w:val="5A4560F3"/>
    <w:multiLevelType w:val="hybridMultilevel"/>
    <w:tmpl w:val="7BC602B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44" w15:restartNumberingAfterBreak="0">
    <w:nsid w:val="5A8B5642"/>
    <w:multiLevelType w:val="multilevel"/>
    <w:tmpl w:val="C07024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5A984617"/>
    <w:multiLevelType w:val="hybridMultilevel"/>
    <w:tmpl w:val="1D0E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5ABAF4B5"/>
    <w:multiLevelType w:val="hybridMultilevel"/>
    <w:tmpl w:val="FFFFFFFF"/>
    <w:lvl w:ilvl="0" w:tplc="0BA6462C">
      <w:start w:val="1"/>
      <w:numFmt w:val="bullet"/>
      <w:lvlText w:val=""/>
      <w:lvlJc w:val="left"/>
      <w:pPr>
        <w:ind w:left="720" w:hanging="360"/>
      </w:pPr>
      <w:rPr>
        <w:rFonts w:ascii="Symbol" w:hAnsi="Symbol" w:hint="default"/>
      </w:rPr>
    </w:lvl>
    <w:lvl w:ilvl="1" w:tplc="5ACE1DEE">
      <w:start w:val="1"/>
      <w:numFmt w:val="bullet"/>
      <w:lvlText w:val="-"/>
      <w:lvlJc w:val="left"/>
      <w:pPr>
        <w:ind w:left="1440" w:hanging="360"/>
      </w:pPr>
      <w:rPr>
        <w:rFonts w:ascii="Calibri" w:hAnsi="Calibri" w:hint="default"/>
      </w:rPr>
    </w:lvl>
    <w:lvl w:ilvl="2" w:tplc="B984A4B2">
      <w:start w:val="1"/>
      <w:numFmt w:val="bullet"/>
      <w:lvlText w:val=""/>
      <w:lvlJc w:val="left"/>
      <w:pPr>
        <w:ind w:left="2160" w:hanging="360"/>
      </w:pPr>
      <w:rPr>
        <w:rFonts w:ascii="Wingdings" w:hAnsi="Wingdings" w:hint="default"/>
      </w:rPr>
    </w:lvl>
    <w:lvl w:ilvl="3" w:tplc="C1346996">
      <w:start w:val="1"/>
      <w:numFmt w:val="bullet"/>
      <w:lvlText w:val=""/>
      <w:lvlJc w:val="left"/>
      <w:pPr>
        <w:ind w:left="2880" w:hanging="360"/>
      </w:pPr>
      <w:rPr>
        <w:rFonts w:ascii="Symbol" w:hAnsi="Symbol" w:hint="default"/>
      </w:rPr>
    </w:lvl>
    <w:lvl w:ilvl="4" w:tplc="2C320182">
      <w:start w:val="1"/>
      <w:numFmt w:val="bullet"/>
      <w:lvlText w:val="o"/>
      <w:lvlJc w:val="left"/>
      <w:pPr>
        <w:ind w:left="3600" w:hanging="360"/>
      </w:pPr>
      <w:rPr>
        <w:rFonts w:ascii="Courier New" w:hAnsi="Courier New" w:hint="default"/>
      </w:rPr>
    </w:lvl>
    <w:lvl w:ilvl="5" w:tplc="2B44160A">
      <w:start w:val="1"/>
      <w:numFmt w:val="bullet"/>
      <w:lvlText w:val=""/>
      <w:lvlJc w:val="left"/>
      <w:pPr>
        <w:ind w:left="4320" w:hanging="360"/>
      </w:pPr>
      <w:rPr>
        <w:rFonts w:ascii="Wingdings" w:hAnsi="Wingdings" w:hint="default"/>
      </w:rPr>
    </w:lvl>
    <w:lvl w:ilvl="6" w:tplc="C0145FC0">
      <w:start w:val="1"/>
      <w:numFmt w:val="bullet"/>
      <w:lvlText w:val=""/>
      <w:lvlJc w:val="left"/>
      <w:pPr>
        <w:ind w:left="5040" w:hanging="360"/>
      </w:pPr>
      <w:rPr>
        <w:rFonts w:ascii="Symbol" w:hAnsi="Symbol" w:hint="default"/>
      </w:rPr>
    </w:lvl>
    <w:lvl w:ilvl="7" w:tplc="DBA4ABE2">
      <w:start w:val="1"/>
      <w:numFmt w:val="bullet"/>
      <w:lvlText w:val="o"/>
      <w:lvlJc w:val="left"/>
      <w:pPr>
        <w:ind w:left="5760" w:hanging="360"/>
      </w:pPr>
      <w:rPr>
        <w:rFonts w:ascii="Courier New" w:hAnsi="Courier New" w:hint="default"/>
      </w:rPr>
    </w:lvl>
    <w:lvl w:ilvl="8" w:tplc="7D98B9E6">
      <w:start w:val="1"/>
      <w:numFmt w:val="bullet"/>
      <w:lvlText w:val=""/>
      <w:lvlJc w:val="left"/>
      <w:pPr>
        <w:ind w:left="6480" w:hanging="360"/>
      </w:pPr>
      <w:rPr>
        <w:rFonts w:ascii="Wingdings" w:hAnsi="Wingdings" w:hint="default"/>
      </w:rPr>
    </w:lvl>
  </w:abstractNum>
  <w:abstractNum w:abstractNumId="547" w15:restartNumberingAfterBreak="0">
    <w:nsid w:val="5B0F1134"/>
    <w:multiLevelType w:val="hybridMultilevel"/>
    <w:tmpl w:val="38F0B8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8" w15:restartNumberingAfterBreak="0">
    <w:nsid w:val="5B1158AD"/>
    <w:multiLevelType w:val="hybridMultilevel"/>
    <w:tmpl w:val="7A9666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9"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egoe UI" w:hAnsi="Segoe UI" w:hint="default"/>
      </w:rPr>
    </w:lvl>
  </w:abstractNum>
  <w:abstractNum w:abstractNumId="550" w15:restartNumberingAfterBreak="0">
    <w:nsid w:val="5B4E2D28"/>
    <w:multiLevelType w:val="hybridMultilevel"/>
    <w:tmpl w:val="FFFFFFFF"/>
    <w:lvl w:ilvl="0" w:tplc="05C6BB3E">
      <w:start w:val="5"/>
      <w:numFmt w:val="decimal"/>
      <w:lvlText w:val="%1."/>
      <w:lvlJc w:val="left"/>
      <w:pPr>
        <w:ind w:left="720" w:hanging="360"/>
      </w:pPr>
    </w:lvl>
    <w:lvl w:ilvl="1" w:tplc="B852DACA">
      <w:start w:val="1"/>
      <w:numFmt w:val="lowerLetter"/>
      <w:lvlText w:val="%2."/>
      <w:lvlJc w:val="left"/>
      <w:pPr>
        <w:ind w:left="1440" w:hanging="360"/>
      </w:pPr>
    </w:lvl>
    <w:lvl w:ilvl="2" w:tplc="337A38FA">
      <w:start w:val="1"/>
      <w:numFmt w:val="lowerRoman"/>
      <w:lvlText w:val="%3."/>
      <w:lvlJc w:val="right"/>
      <w:pPr>
        <w:ind w:left="2160" w:hanging="180"/>
      </w:pPr>
    </w:lvl>
    <w:lvl w:ilvl="3" w:tplc="5DBC536E">
      <w:start w:val="1"/>
      <w:numFmt w:val="decimal"/>
      <w:lvlText w:val="%4."/>
      <w:lvlJc w:val="left"/>
      <w:pPr>
        <w:ind w:left="2880" w:hanging="360"/>
      </w:pPr>
    </w:lvl>
    <w:lvl w:ilvl="4" w:tplc="23ACD4E8">
      <w:start w:val="1"/>
      <w:numFmt w:val="lowerLetter"/>
      <w:lvlText w:val="%5."/>
      <w:lvlJc w:val="left"/>
      <w:pPr>
        <w:ind w:left="3600" w:hanging="360"/>
      </w:pPr>
    </w:lvl>
    <w:lvl w:ilvl="5" w:tplc="83528A22">
      <w:start w:val="1"/>
      <w:numFmt w:val="lowerRoman"/>
      <w:lvlText w:val="%6."/>
      <w:lvlJc w:val="right"/>
      <w:pPr>
        <w:ind w:left="4320" w:hanging="180"/>
      </w:pPr>
    </w:lvl>
    <w:lvl w:ilvl="6" w:tplc="D8B6496A">
      <w:start w:val="1"/>
      <w:numFmt w:val="decimal"/>
      <w:lvlText w:val="%7."/>
      <w:lvlJc w:val="left"/>
      <w:pPr>
        <w:ind w:left="5040" w:hanging="360"/>
      </w:pPr>
    </w:lvl>
    <w:lvl w:ilvl="7" w:tplc="E3B43124">
      <w:start w:val="1"/>
      <w:numFmt w:val="lowerLetter"/>
      <w:lvlText w:val="%8."/>
      <w:lvlJc w:val="left"/>
      <w:pPr>
        <w:ind w:left="5760" w:hanging="360"/>
      </w:pPr>
    </w:lvl>
    <w:lvl w:ilvl="8" w:tplc="BDA03F02">
      <w:start w:val="1"/>
      <w:numFmt w:val="lowerRoman"/>
      <w:lvlText w:val="%9."/>
      <w:lvlJc w:val="right"/>
      <w:pPr>
        <w:ind w:left="6480" w:hanging="180"/>
      </w:pPr>
    </w:lvl>
  </w:abstractNum>
  <w:abstractNum w:abstractNumId="551" w15:restartNumberingAfterBreak="0">
    <w:nsid w:val="5C056EE5"/>
    <w:multiLevelType w:val="singleLevel"/>
    <w:tmpl w:val="3378D27C"/>
    <w:name w:val="Bullet 2"/>
    <w:lvl w:ilvl="0">
      <w:start w:val="1"/>
      <w:numFmt w:val="bullet"/>
      <w:lvlRestart w:val="0"/>
      <w:pStyle w:val="Bullet20"/>
      <w:lvlText w:val=""/>
      <w:lvlJc w:val="left"/>
      <w:pPr>
        <w:tabs>
          <w:tab w:val="num" w:pos="1984"/>
        </w:tabs>
        <w:ind w:left="1984" w:hanging="567"/>
      </w:pPr>
      <w:rPr>
        <w:rFonts w:ascii="Segoe UI" w:hAnsi="Segoe UI" w:hint="default"/>
      </w:rPr>
    </w:lvl>
  </w:abstractNum>
  <w:abstractNum w:abstractNumId="552" w15:restartNumberingAfterBreak="0">
    <w:nsid w:val="5C666E04"/>
    <w:multiLevelType w:val="hybridMultilevel"/>
    <w:tmpl w:val="66449CEA"/>
    <w:lvl w:ilvl="0" w:tplc="7214FC08">
      <w:start w:val="7"/>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3" w15:restartNumberingAfterBreak="0">
    <w:nsid w:val="5C6F4C3A"/>
    <w:multiLevelType w:val="hybridMultilevel"/>
    <w:tmpl w:val="FFFFFFFF"/>
    <w:lvl w:ilvl="0" w:tplc="33C8D67A">
      <w:start w:val="5"/>
      <w:numFmt w:val="decimal"/>
      <w:lvlText w:val="%1."/>
      <w:lvlJc w:val="left"/>
      <w:pPr>
        <w:ind w:left="720" w:hanging="360"/>
      </w:pPr>
    </w:lvl>
    <w:lvl w:ilvl="1" w:tplc="B5BC7CCE">
      <w:start w:val="1"/>
      <w:numFmt w:val="lowerLetter"/>
      <w:lvlText w:val="%2."/>
      <w:lvlJc w:val="left"/>
      <w:pPr>
        <w:ind w:left="1440" w:hanging="360"/>
      </w:pPr>
    </w:lvl>
    <w:lvl w:ilvl="2" w:tplc="5846D7D6">
      <w:start w:val="1"/>
      <w:numFmt w:val="lowerRoman"/>
      <w:lvlText w:val="%3."/>
      <w:lvlJc w:val="right"/>
      <w:pPr>
        <w:ind w:left="2160" w:hanging="180"/>
      </w:pPr>
    </w:lvl>
    <w:lvl w:ilvl="3" w:tplc="D72AF2CA">
      <w:start w:val="1"/>
      <w:numFmt w:val="decimal"/>
      <w:lvlText w:val="%4."/>
      <w:lvlJc w:val="left"/>
      <w:pPr>
        <w:ind w:left="2880" w:hanging="360"/>
      </w:pPr>
    </w:lvl>
    <w:lvl w:ilvl="4" w:tplc="C17C29EC">
      <w:start w:val="1"/>
      <w:numFmt w:val="lowerLetter"/>
      <w:lvlText w:val="%5."/>
      <w:lvlJc w:val="left"/>
      <w:pPr>
        <w:ind w:left="3600" w:hanging="360"/>
      </w:pPr>
    </w:lvl>
    <w:lvl w:ilvl="5" w:tplc="90D244DE">
      <w:start w:val="1"/>
      <w:numFmt w:val="lowerRoman"/>
      <w:lvlText w:val="%6."/>
      <w:lvlJc w:val="right"/>
      <w:pPr>
        <w:ind w:left="4320" w:hanging="180"/>
      </w:pPr>
    </w:lvl>
    <w:lvl w:ilvl="6" w:tplc="6FB604C0">
      <w:start w:val="1"/>
      <w:numFmt w:val="decimal"/>
      <w:lvlText w:val="%7."/>
      <w:lvlJc w:val="left"/>
      <w:pPr>
        <w:ind w:left="5040" w:hanging="360"/>
      </w:pPr>
    </w:lvl>
    <w:lvl w:ilvl="7" w:tplc="7A048A36">
      <w:start w:val="1"/>
      <w:numFmt w:val="lowerLetter"/>
      <w:lvlText w:val="%8."/>
      <w:lvlJc w:val="left"/>
      <w:pPr>
        <w:ind w:left="5760" w:hanging="360"/>
      </w:pPr>
    </w:lvl>
    <w:lvl w:ilvl="8" w:tplc="B1F8FC22">
      <w:start w:val="1"/>
      <w:numFmt w:val="lowerRoman"/>
      <w:lvlText w:val="%9."/>
      <w:lvlJc w:val="right"/>
      <w:pPr>
        <w:ind w:left="6480" w:hanging="180"/>
      </w:pPr>
    </w:lvl>
  </w:abstractNum>
  <w:abstractNum w:abstractNumId="554" w15:restartNumberingAfterBreak="0">
    <w:nsid w:val="5C6F55BC"/>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15:restartNumberingAfterBreak="0">
    <w:nsid w:val="5CA1C009"/>
    <w:multiLevelType w:val="hybridMultilevel"/>
    <w:tmpl w:val="FFFFFFFF"/>
    <w:lvl w:ilvl="0" w:tplc="9FB200DC">
      <w:start w:val="1"/>
      <w:numFmt w:val="bullet"/>
      <w:lvlText w:val=""/>
      <w:lvlJc w:val="left"/>
      <w:pPr>
        <w:ind w:left="720" w:hanging="360"/>
      </w:pPr>
      <w:rPr>
        <w:rFonts w:ascii="Segoe UI" w:hAnsi="Segoe UI" w:hint="default"/>
      </w:rPr>
    </w:lvl>
    <w:lvl w:ilvl="1" w:tplc="7932DE4E">
      <w:start w:val="1"/>
      <w:numFmt w:val="bullet"/>
      <w:lvlText w:val="o"/>
      <w:lvlJc w:val="left"/>
      <w:pPr>
        <w:ind w:left="1440" w:hanging="360"/>
      </w:pPr>
      <w:rPr>
        <w:rFonts w:ascii="Courier New" w:hAnsi="Courier New" w:hint="default"/>
      </w:rPr>
    </w:lvl>
    <w:lvl w:ilvl="2" w:tplc="D0EC6D78">
      <w:start w:val="1"/>
      <w:numFmt w:val="bullet"/>
      <w:lvlText w:val=""/>
      <w:lvlJc w:val="left"/>
      <w:pPr>
        <w:ind w:left="2160" w:hanging="360"/>
      </w:pPr>
      <w:rPr>
        <w:rFonts w:ascii="Cambria Math" w:hAnsi="Cambria Math" w:hint="default"/>
      </w:rPr>
    </w:lvl>
    <w:lvl w:ilvl="3" w:tplc="F196C276">
      <w:start w:val="1"/>
      <w:numFmt w:val="bullet"/>
      <w:lvlText w:val=""/>
      <w:lvlJc w:val="left"/>
      <w:pPr>
        <w:ind w:left="2880" w:hanging="360"/>
      </w:pPr>
      <w:rPr>
        <w:rFonts w:ascii="Segoe UI" w:hAnsi="Segoe UI" w:hint="default"/>
      </w:rPr>
    </w:lvl>
    <w:lvl w:ilvl="4" w:tplc="E4C4F74A">
      <w:start w:val="1"/>
      <w:numFmt w:val="bullet"/>
      <w:lvlText w:val="o"/>
      <w:lvlJc w:val="left"/>
      <w:pPr>
        <w:ind w:left="3600" w:hanging="360"/>
      </w:pPr>
      <w:rPr>
        <w:rFonts w:ascii="Courier New" w:hAnsi="Courier New" w:hint="default"/>
      </w:rPr>
    </w:lvl>
    <w:lvl w:ilvl="5" w:tplc="9000BAF8">
      <w:start w:val="1"/>
      <w:numFmt w:val="bullet"/>
      <w:lvlText w:val=""/>
      <w:lvlJc w:val="left"/>
      <w:pPr>
        <w:ind w:left="4320" w:hanging="360"/>
      </w:pPr>
      <w:rPr>
        <w:rFonts w:ascii="Cambria Math" w:hAnsi="Cambria Math" w:hint="default"/>
      </w:rPr>
    </w:lvl>
    <w:lvl w:ilvl="6" w:tplc="596845C4">
      <w:start w:val="1"/>
      <w:numFmt w:val="bullet"/>
      <w:lvlText w:val=""/>
      <w:lvlJc w:val="left"/>
      <w:pPr>
        <w:ind w:left="5040" w:hanging="360"/>
      </w:pPr>
      <w:rPr>
        <w:rFonts w:ascii="Segoe UI" w:hAnsi="Segoe UI" w:hint="default"/>
      </w:rPr>
    </w:lvl>
    <w:lvl w:ilvl="7" w:tplc="BC163D40">
      <w:start w:val="1"/>
      <w:numFmt w:val="bullet"/>
      <w:lvlText w:val="o"/>
      <w:lvlJc w:val="left"/>
      <w:pPr>
        <w:ind w:left="5760" w:hanging="360"/>
      </w:pPr>
      <w:rPr>
        <w:rFonts w:ascii="Courier New" w:hAnsi="Courier New" w:hint="default"/>
      </w:rPr>
    </w:lvl>
    <w:lvl w:ilvl="8" w:tplc="15FCE2BE">
      <w:start w:val="1"/>
      <w:numFmt w:val="bullet"/>
      <w:lvlText w:val=""/>
      <w:lvlJc w:val="left"/>
      <w:pPr>
        <w:ind w:left="6480" w:hanging="360"/>
      </w:pPr>
      <w:rPr>
        <w:rFonts w:ascii="Cambria Math" w:hAnsi="Cambria Math" w:hint="default"/>
      </w:rPr>
    </w:lvl>
  </w:abstractNum>
  <w:abstractNum w:abstractNumId="55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7" w15:restartNumberingAfterBreak="0">
    <w:nsid w:val="5CA57E7E"/>
    <w:multiLevelType w:val="hybridMultilevel"/>
    <w:tmpl w:val="887ED81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58" w15:restartNumberingAfterBreak="0">
    <w:nsid w:val="5CB24AB3"/>
    <w:multiLevelType w:val="hybridMultilevel"/>
    <w:tmpl w:val="FFFFFFFF"/>
    <w:lvl w:ilvl="0" w:tplc="C3702E2A">
      <w:start w:val="1"/>
      <w:numFmt w:val="bullet"/>
      <w:lvlText w:val=""/>
      <w:lvlJc w:val="left"/>
      <w:pPr>
        <w:ind w:left="720" w:hanging="360"/>
      </w:pPr>
      <w:rPr>
        <w:rFonts w:ascii="Symbol" w:hAnsi="Symbol" w:hint="default"/>
      </w:rPr>
    </w:lvl>
    <w:lvl w:ilvl="1" w:tplc="52A6302E">
      <w:start w:val="1"/>
      <w:numFmt w:val="bullet"/>
      <w:lvlText w:val="o"/>
      <w:lvlJc w:val="left"/>
      <w:pPr>
        <w:ind w:left="1440" w:hanging="360"/>
      </w:pPr>
      <w:rPr>
        <w:rFonts w:ascii="Courier New" w:hAnsi="Courier New" w:hint="default"/>
      </w:rPr>
    </w:lvl>
    <w:lvl w:ilvl="2" w:tplc="DAB84212">
      <w:start w:val="1"/>
      <w:numFmt w:val="bullet"/>
      <w:lvlText w:val=""/>
      <w:lvlJc w:val="left"/>
      <w:pPr>
        <w:ind w:left="2160" w:hanging="360"/>
      </w:pPr>
      <w:rPr>
        <w:rFonts w:ascii="Wingdings" w:hAnsi="Wingdings" w:hint="default"/>
      </w:rPr>
    </w:lvl>
    <w:lvl w:ilvl="3" w:tplc="01EC1336">
      <w:start w:val="1"/>
      <w:numFmt w:val="bullet"/>
      <w:lvlText w:val=""/>
      <w:lvlJc w:val="left"/>
      <w:pPr>
        <w:ind w:left="2880" w:hanging="360"/>
      </w:pPr>
      <w:rPr>
        <w:rFonts w:ascii="Symbol" w:hAnsi="Symbol" w:hint="default"/>
      </w:rPr>
    </w:lvl>
    <w:lvl w:ilvl="4" w:tplc="5792DE34">
      <w:start w:val="1"/>
      <w:numFmt w:val="bullet"/>
      <w:lvlText w:val="o"/>
      <w:lvlJc w:val="left"/>
      <w:pPr>
        <w:ind w:left="3600" w:hanging="360"/>
      </w:pPr>
      <w:rPr>
        <w:rFonts w:ascii="Courier New" w:hAnsi="Courier New" w:hint="default"/>
      </w:rPr>
    </w:lvl>
    <w:lvl w:ilvl="5" w:tplc="06FEC32C">
      <w:start w:val="1"/>
      <w:numFmt w:val="bullet"/>
      <w:lvlText w:val=""/>
      <w:lvlJc w:val="left"/>
      <w:pPr>
        <w:ind w:left="4320" w:hanging="360"/>
      </w:pPr>
      <w:rPr>
        <w:rFonts w:ascii="Wingdings" w:hAnsi="Wingdings" w:hint="default"/>
      </w:rPr>
    </w:lvl>
    <w:lvl w:ilvl="6" w:tplc="E80821A2">
      <w:start w:val="1"/>
      <w:numFmt w:val="bullet"/>
      <w:lvlText w:val=""/>
      <w:lvlJc w:val="left"/>
      <w:pPr>
        <w:ind w:left="5040" w:hanging="360"/>
      </w:pPr>
      <w:rPr>
        <w:rFonts w:ascii="Symbol" w:hAnsi="Symbol" w:hint="default"/>
      </w:rPr>
    </w:lvl>
    <w:lvl w:ilvl="7" w:tplc="98AA58EA">
      <w:start w:val="1"/>
      <w:numFmt w:val="bullet"/>
      <w:lvlText w:val="o"/>
      <w:lvlJc w:val="left"/>
      <w:pPr>
        <w:ind w:left="5760" w:hanging="360"/>
      </w:pPr>
      <w:rPr>
        <w:rFonts w:ascii="Courier New" w:hAnsi="Courier New" w:hint="default"/>
      </w:rPr>
    </w:lvl>
    <w:lvl w:ilvl="8" w:tplc="99C82904">
      <w:start w:val="1"/>
      <w:numFmt w:val="bullet"/>
      <w:lvlText w:val=""/>
      <w:lvlJc w:val="left"/>
      <w:pPr>
        <w:ind w:left="6480" w:hanging="360"/>
      </w:pPr>
      <w:rPr>
        <w:rFonts w:ascii="Wingdings" w:hAnsi="Wingdings" w:hint="default"/>
      </w:rPr>
    </w:lvl>
  </w:abstractNum>
  <w:abstractNum w:abstractNumId="559" w15:restartNumberingAfterBreak="0">
    <w:nsid w:val="5CB30917"/>
    <w:multiLevelType w:val="multilevel"/>
    <w:tmpl w:val="AEE056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5CBB9621"/>
    <w:multiLevelType w:val="hybridMultilevel"/>
    <w:tmpl w:val="FFFFFFFF"/>
    <w:lvl w:ilvl="0" w:tplc="C074CE24">
      <w:start w:val="3"/>
      <w:numFmt w:val="decimal"/>
      <w:lvlText w:val="%1."/>
      <w:lvlJc w:val="left"/>
      <w:pPr>
        <w:ind w:left="720" w:hanging="360"/>
      </w:pPr>
    </w:lvl>
    <w:lvl w:ilvl="1" w:tplc="B798BE02">
      <w:start w:val="1"/>
      <w:numFmt w:val="lowerLetter"/>
      <w:lvlText w:val="%2."/>
      <w:lvlJc w:val="left"/>
      <w:pPr>
        <w:ind w:left="1440" w:hanging="360"/>
      </w:pPr>
    </w:lvl>
    <w:lvl w:ilvl="2" w:tplc="075CB1E4">
      <w:start w:val="1"/>
      <w:numFmt w:val="lowerRoman"/>
      <w:lvlText w:val="%3."/>
      <w:lvlJc w:val="right"/>
      <w:pPr>
        <w:ind w:left="2160" w:hanging="180"/>
      </w:pPr>
    </w:lvl>
    <w:lvl w:ilvl="3" w:tplc="0E5E8AC0">
      <w:start w:val="1"/>
      <w:numFmt w:val="decimal"/>
      <w:lvlText w:val="%4."/>
      <w:lvlJc w:val="left"/>
      <w:pPr>
        <w:ind w:left="2880" w:hanging="360"/>
      </w:pPr>
    </w:lvl>
    <w:lvl w:ilvl="4" w:tplc="921CEA28">
      <w:start w:val="1"/>
      <w:numFmt w:val="lowerLetter"/>
      <w:lvlText w:val="%5."/>
      <w:lvlJc w:val="left"/>
      <w:pPr>
        <w:ind w:left="3600" w:hanging="360"/>
      </w:pPr>
    </w:lvl>
    <w:lvl w:ilvl="5" w:tplc="B3A67F66">
      <w:start w:val="1"/>
      <w:numFmt w:val="lowerRoman"/>
      <w:lvlText w:val="%6."/>
      <w:lvlJc w:val="right"/>
      <w:pPr>
        <w:ind w:left="4320" w:hanging="180"/>
      </w:pPr>
    </w:lvl>
    <w:lvl w:ilvl="6" w:tplc="F14C80B6">
      <w:start w:val="1"/>
      <w:numFmt w:val="decimal"/>
      <w:lvlText w:val="%7."/>
      <w:lvlJc w:val="left"/>
      <w:pPr>
        <w:ind w:left="5040" w:hanging="360"/>
      </w:pPr>
    </w:lvl>
    <w:lvl w:ilvl="7" w:tplc="6622AA46">
      <w:start w:val="1"/>
      <w:numFmt w:val="lowerLetter"/>
      <w:lvlText w:val="%8."/>
      <w:lvlJc w:val="left"/>
      <w:pPr>
        <w:ind w:left="5760" w:hanging="360"/>
      </w:pPr>
    </w:lvl>
    <w:lvl w:ilvl="8" w:tplc="D8C6AFA4">
      <w:start w:val="1"/>
      <w:numFmt w:val="lowerRoman"/>
      <w:lvlText w:val="%9."/>
      <w:lvlJc w:val="right"/>
      <w:pPr>
        <w:ind w:left="6480" w:hanging="180"/>
      </w:pPr>
    </w:lvl>
  </w:abstractNum>
  <w:abstractNum w:abstractNumId="561" w15:restartNumberingAfterBreak="0">
    <w:nsid w:val="5CF47D0B"/>
    <w:multiLevelType w:val="hybridMultilevel"/>
    <w:tmpl w:val="FFFFFFFF"/>
    <w:lvl w:ilvl="0" w:tplc="29F27958">
      <w:start w:val="1"/>
      <w:numFmt w:val="bullet"/>
      <w:lvlText w:val="·"/>
      <w:lvlJc w:val="left"/>
      <w:pPr>
        <w:ind w:left="720" w:hanging="360"/>
      </w:pPr>
      <w:rPr>
        <w:rFonts w:ascii="Symbol" w:hAnsi="Symbol" w:hint="default"/>
      </w:rPr>
    </w:lvl>
    <w:lvl w:ilvl="1" w:tplc="C706BA24">
      <w:start w:val="1"/>
      <w:numFmt w:val="bullet"/>
      <w:lvlText w:val="o"/>
      <w:lvlJc w:val="left"/>
      <w:pPr>
        <w:ind w:left="1440" w:hanging="360"/>
      </w:pPr>
      <w:rPr>
        <w:rFonts w:ascii="Courier New" w:hAnsi="Courier New" w:hint="default"/>
      </w:rPr>
    </w:lvl>
    <w:lvl w:ilvl="2" w:tplc="7F4E5E84">
      <w:start w:val="1"/>
      <w:numFmt w:val="bullet"/>
      <w:lvlText w:val=""/>
      <w:lvlJc w:val="left"/>
      <w:pPr>
        <w:ind w:left="2160" w:hanging="360"/>
      </w:pPr>
      <w:rPr>
        <w:rFonts w:ascii="Wingdings" w:hAnsi="Wingdings" w:hint="default"/>
      </w:rPr>
    </w:lvl>
    <w:lvl w:ilvl="3" w:tplc="69F434BA">
      <w:start w:val="1"/>
      <w:numFmt w:val="bullet"/>
      <w:lvlText w:val=""/>
      <w:lvlJc w:val="left"/>
      <w:pPr>
        <w:ind w:left="2880" w:hanging="360"/>
      </w:pPr>
      <w:rPr>
        <w:rFonts w:ascii="Symbol" w:hAnsi="Symbol" w:hint="default"/>
      </w:rPr>
    </w:lvl>
    <w:lvl w:ilvl="4" w:tplc="4F46C1BC">
      <w:start w:val="1"/>
      <w:numFmt w:val="bullet"/>
      <w:lvlText w:val="o"/>
      <w:lvlJc w:val="left"/>
      <w:pPr>
        <w:ind w:left="3600" w:hanging="360"/>
      </w:pPr>
      <w:rPr>
        <w:rFonts w:ascii="Courier New" w:hAnsi="Courier New" w:hint="default"/>
      </w:rPr>
    </w:lvl>
    <w:lvl w:ilvl="5" w:tplc="DBDE9106">
      <w:start w:val="1"/>
      <w:numFmt w:val="bullet"/>
      <w:lvlText w:val=""/>
      <w:lvlJc w:val="left"/>
      <w:pPr>
        <w:ind w:left="4320" w:hanging="360"/>
      </w:pPr>
      <w:rPr>
        <w:rFonts w:ascii="Wingdings" w:hAnsi="Wingdings" w:hint="default"/>
      </w:rPr>
    </w:lvl>
    <w:lvl w:ilvl="6" w:tplc="07BE7B44">
      <w:start w:val="1"/>
      <w:numFmt w:val="bullet"/>
      <w:lvlText w:val=""/>
      <w:lvlJc w:val="left"/>
      <w:pPr>
        <w:ind w:left="5040" w:hanging="360"/>
      </w:pPr>
      <w:rPr>
        <w:rFonts w:ascii="Symbol" w:hAnsi="Symbol" w:hint="default"/>
      </w:rPr>
    </w:lvl>
    <w:lvl w:ilvl="7" w:tplc="41246B1E">
      <w:start w:val="1"/>
      <w:numFmt w:val="bullet"/>
      <w:lvlText w:val="o"/>
      <w:lvlJc w:val="left"/>
      <w:pPr>
        <w:ind w:left="5760" w:hanging="360"/>
      </w:pPr>
      <w:rPr>
        <w:rFonts w:ascii="Courier New" w:hAnsi="Courier New" w:hint="default"/>
      </w:rPr>
    </w:lvl>
    <w:lvl w:ilvl="8" w:tplc="D6CE58D8">
      <w:start w:val="1"/>
      <w:numFmt w:val="bullet"/>
      <w:lvlText w:val=""/>
      <w:lvlJc w:val="left"/>
      <w:pPr>
        <w:ind w:left="6480" w:hanging="360"/>
      </w:pPr>
      <w:rPr>
        <w:rFonts w:ascii="Wingdings" w:hAnsi="Wingdings" w:hint="default"/>
      </w:rPr>
    </w:lvl>
  </w:abstractNum>
  <w:abstractNum w:abstractNumId="562" w15:restartNumberingAfterBreak="0">
    <w:nsid w:val="5D060240"/>
    <w:multiLevelType w:val="hybridMultilevel"/>
    <w:tmpl w:val="1006120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3" w15:restartNumberingAfterBreak="0">
    <w:nsid w:val="5D3E4E34"/>
    <w:multiLevelType w:val="multilevel"/>
    <w:tmpl w:val="EE26A6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4" w15:restartNumberingAfterBreak="0">
    <w:nsid w:val="5DA07DA8"/>
    <w:multiLevelType w:val="hybridMultilevel"/>
    <w:tmpl w:val="FFFFFFFF"/>
    <w:lvl w:ilvl="0" w:tplc="A484E5A4">
      <w:start w:val="1"/>
      <w:numFmt w:val="bullet"/>
      <w:lvlText w:val=""/>
      <w:lvlJc w:val="left"/>
      <w:pPr>
        <w:ind w:left="720" w:hanging="360"/>
      </w:pPr>
      <w:rPr>
        <w:rFonts w:ascii="Symbol" w:hAnsi="Symbol" w:hint="default"/>
      </w:rPr>
    </w:lvl>
    <w:lvl w:ilvl="1" w:tplc="73087B4E">
      <w:start w:val="1"/>
      <w:numFmt w:val="bullet"/>
      <w:lvlText w:val="-"/>
      <w:lvlJc w:val="left"/>
      <w:pPr>
        <w:ind w:left="1440" w:hanging="360"/>
      </w:pPr>
      <w:rPr>
        <w:rFonts w:ascii="Calibri" w:hAnsi="Calibri" w:hint="default"/>
      </w:rPr>
    </w:lvl>
    <w:lvl w:ilvl="2" w:tplc="E8CC8A8C">
      <w:start w:val="1"/>
      <w:numFmt w:val="bullet"/>
      <w:lvlText w:val=""/>
      <w:lvlJc w:val="left"/>
      <w:pPr>
        <w:ind w:left="2160" w:hanging="360"/>
      </w:pPr>
      <w:rPr>
        <w:rFonts w:ascii="Wingdings" w:hAnsi="Wingdings" w:hint="default"/>
      </w:rPr>
    </w:lvl>
    <w:lvl w:ilvl="3" w:tplc="A88ED84E">
      <w:start w:val="1"/>
      <w:numFmt w:val="bullet"/>
      <w:lvlText w:val=""/>
      <w:lvlJc w:val="left"/>
      <w:pPr>
        <w:ind w:left="2880" w:hanging="360"/>
      </w:pPr>
      <w:rPr>
        <w:rFonts w:ascii="Symbol" w:hAnsi="Symbol" w:hint="default"/>
      </w:rPr>
    </w:lvl>
    <w:lvl w:ilvl="4" w:tplc="AB1E3C84">
      <w:start w:val="1"/>
      <w:numFmt w:val="bullet"/>
      <w:lvlText w:val="o"/>
      <w:lvlJc w:val="left"/>
      <w:pPr>
        <w:ind w:left="3600" w:hanging="360"/>
      </w:pPr>
      <w:rPr>
        <w:rFonts w:ascii="Courier New" w:hAnsi="Courier New" w:hint="default"/>
      </w:rPr>
    </w:lvl>
    <w:lvl w:ilvl="5" w:tplc="F9748E36">
      <w:start w:val="1"/>
      <w:numFmt w:val="bullet"/>
      <w:lvlText w:val=""/>
      <w:lvlJc w:val="left"/>
      <w:pPr>
        <w:ind w:left="4320" w:hanging="360"/>
      </w:pPr>
      <w:rPr>
        <w:rFonts w:ascii="Wingdings" w:hAnsi="Wingdings" w:hint="default"/>
      </w:rPr>
    </w:lvl>
    <w:lvl w:ilvl="6" w:tplc="418ACFA0">
      <w:start w:val="1"/>
      <w:numFmt w:val="bullet"/>
      <w:lvlText w:val=""/>
      <w:lvlJc w:val="left"/>
      <w:pPr>
        <w:ind w:left="5040" w:hanging="360"/>
      </w:pPr>
      <w:rPr>
        <w:rFonts w:ascii="Symbol" w:hAnsi="Symbol" w:hint="default"/>
      </w:rPr>
    </w:lvl>
    <w:lvl w:ilvl="7" w:tplc="B9440862">
      <w:start w:val="1"/>
      <w:numFmt w:val="bullet"/>
      <w:lvlText w:val="o"/>
      <w:lvlJc w:val="left"/>
      <w:pPr>
        <w:ind w:left="5760" w:hanging="360"/>
      </w:pPr>
      <w:rPr>
        <w:rFonts w:ascii="Courier New" w:hAnsi="Courier New" w:hint="default"/>
      </w:rPr>
    </w:lvl>
    <w:lvl w:ilvl="8" w:tplc="E37A5E24">
      <w:start w:val="1"/>
      <w:numFmt w:val="bullet"/>
      <w:lvlText w:val=""/>
      <w:lvlJc w:val="left"/>
      <w:pPr>
        <w:ind w:left="6480" w:hanging="360"/>
      </w:pPr>
      <w:rPr>
        <w:rFonts w:ascii="Wingdings" w:hAnsi="Wingdings" w:hint="default"/>
      </w:rPr>
    </w:lvl>
  </w:abstractNum>
  <w:abstractNum w:abstractNumId="565" w15:restartNumberingAfterBreak="0">
    <w:nsid w:val="5DCDF669"/>
    <w:multiLevelType w:val="hybridMultilevel"/>
    <w:tmpl w:val="FFFFFFFF"/>
    <w:lvl w:ilvl="0" w:tplc="303CE6B6">
      <w:start w:val="1"/>
      <w:numFmt w:val="bullet"/>
      <w:lvlText w:val=""/>
      <w:lvlJc w:val="left"/>
      <w:pPr>
        <w:ind w:left="720" w:hanging="360"/>
      </w:pPr>
      <w:rPr>
        <w:rFonts w:ascii="Symbol" w:hAnsi="Symbol" w:hint="default"/>
      </w:rPr>
    </w:lvl>
    <w:lvl w:ilvl="1" w:tplc="70782C8C">
      <w:start w:val="1"/>
      <w:numFmt w:val="bullet"/>
      <w:lvlText w:val="o"/>
      <w:lvlJc w:val="left"/>
      <w:pPr>
        <w:ind w:left="1440" w:hanging="360"/>
      </w:pPr>
      <w:rPr>
        <w:rFonts w:ascii="Courier New" w:hAnsi="Courier New" w:hint="default"/>
      </w:rPr>
    </w:lvl>
    <w:lvl w:ilvl="2" w:tplc="5B30B4D0">
      <w:start w:val="1"/>
      <w:numFmt w:val="bullet"/>
      <w:lvlText w:val="§"/>
      <w:lvlJc w:val="left"/>
      <w:pPr>
        <w:ind w:left="2160" w:hanging="360"/>
      </w:pPr>
      <w:rPr>
        <w:rFonts w:ascii="Wingdings" w:hAnsi="Wingdings" w:hint="default"/>
      </w:rPr>
    </w:lvl>
    <w:lvl w:ilvl="3" w:tplc="1BCA7220">
      <w:start w:val="1"/>
      <w:numFmt w:val="bullet"/>
      <w:lvlText w:val=""/>
      <w:lvlJc w:val="left"/>
      <w:pPr>
        <w:ind w:left="2880" w:hanging="360"/>
      </w:pPr>
      <w:rPr>
        <w:rFonts w:ascii="Symbol" w:hAnsi="Symbol" w:hint="default"/>
      </w:rPr>
    </w:lvl>
    <w:lvl w:ilvl="4" w:tplc="A33E10E6">
      <w:start w:val="1"/>
      <w:numFmt w:val="bullet"/>
      <w:lvlText w:val="o"/>
      <w:lvlJc w:val="left"/>
      <w:pPr>
        <w:ind w:left="3600" w:hanging="360"/>
      </w:pPr>
      <w:rPr>
        <w:rFonts w:ascii="Courier New" w:hAnsi="Courier New" w:hint="default"/>
      </w:rPr>
    </w:lvl>
    <w:lvl w:ilvl="5" w:tplc="BB8C94B8">
      <w:start w:val="1"/>
      <w:numFmt w:val="bullet"/>
      <w:lvlText w:val=""/>
      <w:lvlJc w:val="left"/>
      <w:pPr>
        <w:ind w:left="4320" w:hanging="360"/>
      </w:pPr>
      <w:rPr>
        <w:rFonts w:ascii="Wingdings" w:hAnsi="Wingdings" w:hint="default"/>
      </w:rPr>
    </w:lvl>
    <w:lvl w:ilvl="6" w:tplc="020ABAD0">
      <w:start w:val="1"/>
      <w:numFmt w:val="bullet"/>
      <w:lvlText w:val=""/>
      <w:lvlJc w:val="left"/>
      <w:pPr>
        <w:ind w:left="5040" w:hanging="360"/>
      </w:pPr>
      <w:rPr>
        <w:rFonts w:ascii="Symbol" w:hAnsi="Symbol" w:hint="default"/>
      </w:rPr>
    </w:lvl>
    <w:lvl w:ilvl="7" w:tplc="59C696FC">
      <w:start w:val="1"/>
      <w:numFmt w:val="bullet"/>
      <w:lvlText w:val="o"/>
      <w:lvlJc w:val="left"/>
      <w:pPr>
        <w:ind w:left="5760" w:hanging="360"/>
      </w:pPr>
      <w:rPr>
        <w:rFonts w:ascii="Courier New" w:hAnsi="Courier New" w:hint="default"/>
      </w:rPr>
    </w:lvl>
    <w:lvl w:ilvl="8" w:tplc="CD34E486">
      <w:start w:val="1"/>
      <w:numFmt w:val="bullet"/>
      <w:lvlText w:val=""/>
      <w:lvlJc w:val="left"/>
      <w:pPr>
        <w:ind w:left="6480" w:hanging="360"/>
      </w:pPr>
      <w:rPr>
        <w:rFonts w:ascii="Wingdings" w:hAnsi="Wingdings" w:hint="default"/>
      </w:rPr>
    </w:lvl>
  </w:abstractNum>
  <w:abstractNum w:abstractNumId="566" w15:restartNumberingAfterBreak="0">
    <w:nsid w:val="5DDF71F9"/>
    <w:multiLevelType w:val="hybridMultilevel"/>
    <w:tmpl w:val="58308540"/>
    <w:lvl w:ilvl="0" w:tplc="1809001B">
      <w:start w:val="1"/>
      <w:numFmt w:val="lowerRoman"/>
      <w:lvlText w:val="%1."/>
      <w:lvlJc w:val="right"/>
      <w:pPr>
        <w:ind w:left="108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67" w15:restartNumberingAfterBreak="0">
    <w:nsid w:val="5E2D8F07"/>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8" w15:restartNumberingAfterBreak="0">
    <w:nsid w:val="5E4962A7"/>
    <w:multiLevelType w:val="hybridMultilevel"/>
    <w:tmpl w:val="B2D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5E7C7858"/>
    <w:multiLevelType w:val="multilevel"/>
    <w:tmpl w:val="359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EC27C6E"/>
    <w:multiLevelType w:val="hybridMultilevel"/>
    <w:tmpl w:val="E2E653EA"/>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1" w15:restartNumberingAfterBreak="0">
    <w:nsid w:val="5ECC7FFE"/>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572" w15:restartNumberingAfterBreak="0">
    <w:nsid w:val="5ED02D43"/>
    <w:multiLevelType w:val="multilevel"/>
    <w:tmpl w:val="563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EF47B74"/>
    <w:multiLevelType w:val="hybridMultilevel"/>
    <w:tmpl w:val="C84CB30E"/>
    <w:lvl w:ilvl="0" w:tplc="18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4" w15:restartNumberingAfterBreak="0">
    <w:nsid w:val="5F36C172"/>
    <w:multiLevelType w:val="hybridMultilevel"/>
    <w:tmpl w:val="FFFFFFFF"/>
    <w:lvl w:ilvl="0" w:tplc="CCC413A6">
      <w:start w:val="1"/>
      <w:numFmt w:val="bullet"/>
      <w:lvlText w:val=""/>
      <w:lvlJc w:val="left"/>
      <w:pPr>
        <w:ind w:left="720" w:hanging="360"/>
      </w:pPr>
      <w:rPr>
        <w:rFonts w:ascii="Segoe UI" w:hAnsi="Segoe UI" w:hint="default"/>
      </w:rPr>
    </w:lvl>
    <w:lvl w:ilvl="1" w:tplc="43186FF0">
      <w:start w:val="1"/>
      <w:numFmt w:val="bullet"/>
      <w:lvlText w:val="o"/>
      <w:lvlJc w:val="left"/>
      <w:pPr>
        <w:ind w:left="1440" w:hanging="360"/>
      </w:pPr>
      <w:rPr>
        <w:rFonts w:ascii="Courier New" w:hAnsi="Courier New" w:hint="default"/>
      </w:rPr>
    </w:lvl>
    <w:lvl w:ilvl="2" w:tplc="A238B444">
      <w:start w:val="1"/>
      <w:numFmt w:val="bullet"/>
      <w:lvlText w:val=""/>
      <w:lvlJc w:val="left"/>
      <w:pPr>
        <w:ind w:left="2160" w:hanging="360"/>
      </w:pPr>
      <w:rPr>
        <w:rFonts w:ascii="Cambria Math" w:hAnsi="Cambria Math" w:hint="default"/>
      </w:rPr>
    </w:lvl>
    <w:lvl w:ilvl="3" w:tplc="2EE0C6CE">
      <w:start w:val="1"/>
      <w:numFmt w:val="bullet"/>
      <w:lvlText w:val=""/>
      <w:lvlJc w:val="left"/>
      <w:pPr>
        <w:ind w:left="2880" w:hanging="360"/>
      </w:pPr>
      <w:rPr>
        <w:rFonts w:ascii="Segoe UI" w:hAnsi="Segoe UI" w:hint="default"/>
      </w:rPr>
    </w:lvl>
    <w:lvl w:ilvl="4" w:tplc="7AF0B69E">
      <w:start w:val="1"/>
      <w:numFmt w:val="bullet"/>
      <w:lvlText w:val="o"/>
      <w:lvlJc w:val="left"/>
      <w:pPr>
        <w:ind w:left="3600" w:hanging="360"/>
      </w:pPr>
      <w:rPr>
        <w:rFonts w:ascii="Courier New" w:hAnsi="Courier New" w:hint="default"/>
      </w:rPr>
    </w:lvl>
    <w:lvl w:ilvl="5" w:tplc="844E2120">
      <w:start w:val="1"/>
      <w:numFmt w:val="bullet"/>
      <w:lvlText w:val=""/>
      <w:lvlJc w:val="left"/>
      <w:pPr>
        <w:ind w:left="4320" w:hanging="360"/>
      </w:pPr>
      <w:rPr>
        <w:rFonts w:ascii="Cambria Math" w:hAnsi="Cambria Math" w:hint="default"/>
      </w:rPr>
    </w:lvl>
    <w:lvl w:ilvl="6" w:tplc="4FE68592">
      <w:start w:val="1"/>
      <w:numFmt w:val="bullet"/>
      <w:lvlText w:val=""/>
      <w:lvlJc w:val="left"/>
      <w:pPr>
        <w:ind w:left="5040" w:hanging="360"/>
      </w:pPr>
      <w:rPr>
        <w:rFonts w:ascii="Segoe UI" w:hAnsi="Segoe UI" w:hint="default"/>
      </w:rPr>
    </w:lvl>
    <w:lvl w:ilvl="7" w:tplc="A6BE538E">
      <w:start w:val="1"/>
      <w:numFmt w:val="bullet"/>
      <w:lvlText w:val="o"/>
      <w:lvlJc w:val="left"/>
      <w:pPr>
        <w:ind w:left="5760" w:hanging="360"/>
      </w:pPr>
      <w:rPr>
        <w:rFonts w:ascii="Courier New" w:hAnsi="Courier New" w:hint="default"/>
      </w:rPr>
    </w:lvl>
    <w:lvl w:ilvl="8" w:tplc="FC5E6E2A">
      <w:start w:val="1"/>
      <w:numFmt w:val="bullet"/>
      <w:lvlText w:val=""/>
      <w:lvlJc w:val="left"/>
      <w:pPr>
        <w:ind w:left="6480" w:hanging="360"/>
      </w:pPr>
      <w:rPr>
        <w:rFonts w:ascii="Cambria Math" w:hAnsi="Cambria Math" w:hint="default"/>
      </w:rPr>
    </w:lvl>
  </w:abstractNum>
  <w:abstractNum w:abstractNumId="575" w15:restartNumberingAfterBreak="0">
    <w:nsid w:val="5F9812CB"/>
    <w:multiLevelType w:val="hybridMultilevel"/>
    <w:tmpl w:val="44ACD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6" w15:restartNumberingAfterBreak="0">
    <w:nsid w:val="5FA00B46"/>
    <w:multiLevelType w:val="hybridMultilevel"/>
    <w:tmpl w:val="FFFFFFFF"/>
    <w:lvl w:ilvl="0" w:tplc="F2E603A2">
      <w:start w:val="1"/>
      <w:numFmt w:val="lowerRoman"/>
      <w:lvlText w:val="%1."/>
      <w:lvlJc w:val="right"/>
      <w:pPr>
        <w:ind w:left="720" w:hanging="360"/>
      </w:pPr>
    </w:lvl>
    <w:lvl w:ilvl="1" w:tplc="B7081B0C">
      <w:start w:val="1"/>
      <w:numFmt w:val="lowerLetter"/>
      <w:lvlText w:val="%2."/>
      <w:lvlJc w:val="left"/>
      <w:pPr>
        <w:ind w:left="1440" w:hanging="360"/>
      </w:pPr>
    </w:lvl>
    <w:lvl w:ilvl="2" w:tplc="03C4D730">
      <w:start w:val="1"/>
      <w:numFmt w:val="lowerRoman"/>
      <w:lvlText w:val="%3."/>
      <w:lvlJc w:val="right"/>
      <w:pPr>
        <w:ind w:left="2160" w:hanging="180"/>
      </w:pPr>
    </w:lvl>
    <w:lvl w:ilvl="3" w:tplc="E946E3A4">
      <w:start w:val="1"/>
      <w:numFmt w:val="decimal"/>
      <w:lvlText w:val="%4."/>
      <w:lvlJc w:val="left"/>
      <w:pPr>
        <w:ind w:left="2880" w:hanging="360"/>
      </w:pPr>
    </w:lvl>
    <w:lvl w:ilvl="4" w:tplc="CF626B94">
      <w:start w:val="1"/>
      <w:numFmt w:val="lowerLetter"/>
      <w:lvlText w:val="%5."/>
      <w:lvlJc w:val="left"/>
      <w:pPr>
        <w:ind w:left="3600" w:hanging="360"/>
      </w:pPr>
    </w:lvl>
    <w:lvl w:ilvl="5" w:tplc="8D268734">
      <w:start w:val="1"/>
      <w:numFmt w:val="lowerRoman"/>
      <w:lvlText w:val="%6."/>
      <w:lvlJc w:val="right"/>
      <w:pPr>
        <w:ind w:left="4320" w:hanging="180"/>
      </w:pPr>
    </w:lvl>
    <w:lvl w:ilvl="6" w:tplc="52D04584">
      <w:start w:val="1"/>
      <w:numFmt w:val="decimal"/>
      <w:lvlText w:val="%7."/>
      <w:lvlJc w:val="left"/>
      <w:pPr>
        <w:ind w:left="5040" w:hanging="360"/>
      </w:pPr>
    </w:lvl>
    <w:lvl w:ilvl="7" w:tplc="5C70A86E">
      <w:start w:val="1"/>
      <w:numFmt w:val="lowerLetter"/>
      <w:lvlText w:val="%8."/>
      <w:lvlJc w:val="left"/>
      <w:pPr>
        <w:ind w:left="5760" w:hanging="360"/>
      </w:pPr>
    </w:lvl>
    <w:lvl w:ilvl="8" w:tplc="0FCC67CA">
      <w:start w:val="1"/>
      <w:numFmt w:val="lowerRoman"/>
      <w:lvlText w:val="%9."/>
      <w:lvlJc w:val="right"/>
      <w:pPr>
        <w:ind w:left="6480" w:hanging="180"/>
      </w:pPr>
    </w:lvl>
  </w:abstractNum>
  <w:abstractNum w:abstractNumId="577" w15:restartNumberingAfterBreak="0">
    <w:nsid w:val="5FB4379E"/>
    <w:multiLevelType w:val="multilevel"/>
    <w:tmpl w:val="BEB6C23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8" w15:restartNumberingAfterBreak="0">
    <w:nsid w:val="5FC14C06"/>
    <w:multiLevelType w:val="multilevel"/>
    <w:tmpl w:val="8E306C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5FFDFF64"/>
    <w:multiLevelType w:val="hybridMultilevel"/>
    <w:tmpl w:val="FFFFFFFF"/>
    <w:lvl w:ilvl="0" w:tplc="B40E1F02">
      <w:start w:val="1"/>
      <w:numFmt w:val="bullet"/>
      <w:lvlText w:val=""/>
      <w:lvlJc w:val="left"/>
      <w:pPr>
        <w:ind w:left="720" w:hanging="360"/>
      </w:pPr>
      <w:rPr>
        <w:rFonts w:ascii="Symbol" w:hAnsi="Symbol" w:hint="default"/>
      </w:rPr>
    </w:lvl>
    <w:lvl w:ilvl="1" w:tplc="E91A3BE6">
      <w:start w:val="1"/>
      <w:numFmt w:val="bullet"/>
      <w:lvlText w:val="-"/>
      <w:lvlJc w:val="left"/>
      <w:pPr>
        <w:ind w:left="1440" w:hanging="360"/>
      </w:pPr>
      <w:rPr>
        <w:rFonts w:ascii="Calibri" w:hAnsi="Calibri" w:hint="default"/>
      </w:rPr>
    </w:lvl>
    <w:lvl w:ilvl="2" w:tplc="5D6A018C">
      <w:start w:val="1"/>
      <w:numFmt w:val="bullet"/>
      <w:lvlText w:val=""/>
      <w:lvlJc w:val="left"/>
      <w:pPr>
        <w:ind w:left="2160" w:hanging="360"/>
      </w:pPr>
      <w:rPr>
        <w:rFonts w:ascii="Wingdings" w:hAnsi="Wingdings" w:hint="default"/>
      </w:rPr>
    </w:lvl>
    <w:lvl w:ilvl="3" w:tplc="BD76CB5E">
      <w:start w:val="1"/>
      <w:numFmt w:val="bullet"/>
      <w:lvlText w:val=""/>
      <w:lvlJc w:val="left"/>
      <w:pPr>
        <w:ind w:left="2880" w:hanging="360"/>
      </w:pPr>
      <w:rPr>
        <w:rFonts w:ascii="Symbol" w:hAnsi="Symbol" w:hint="default"/>
      </w:rPr>
    </w:lvl>
    <w:lvl w:ilvl="4" w:tplc="78F4CF52">
      <w:start w:val="1"/>
      <w:numFmt w:val="bullet"/>
      <w:lvlText w:val="o"/>
      <w:lvlJc w:val="left"/>
      <w:pPr>
        <w:ind w:left="3600" w:hanging="360"/>
      </w:pPr>
      <w:rPr>
        <w:rFonts w:ascii="Courier New" w:hAnsi="Courier New" w:hint="default"/>
      </w:rPr>
    </w:lvl>
    <w:lvl w:ilvl="5" w:tplc="28325988">
      <w:start w:val="1"/>
      <w:numFmt w:val="bullet"/>
      <w:lvlText w:val=""/>
      <w:lvlJc w:val="left"/>
      <w:pPr>
        <w:ind w:left="4320" w:hanging="360"/>
      </w:pPr>
      <w:rPr>
        <w:rFonts w:ascii="Wingdings" w:hAnsi="Wingdings" w:hint="default"/>
      </w:rPr>
    </w:lvl>
    <w:lvl w:ilvl="6" w:tplc="26CCBA80">
      <w:start w:val="1"/>
      <w:numFmt w:val="bullet"/>
      <w:lvlText w:val=""/>
      <w:lvlJc w:val="left"/>
      <w:pPr>
        <w:ind w:left="5040" w:hanging="360"/>
      </w:pPr>
      <w:rPr>
        <w:rFonts w:ascii="Symbol" w:hAnsi="Symbol" w:hint="default"/>
      </w:rPr>
    </w:lvl>
    <w:lvl w:ilvl="7" w:tplc="6B3C7216">
      <w:start w:val="1"/>
      <w:numFmt w:val="bullet"/>
      <w:lvlText w:val="o"/>
      <w:lvlJc w:val="left"/>
      <w:pPr>
        <w:ind w:left="5760" w:hanging="360"/>
      </w:pPr>
      <w:rPr>
        <w:rFonts w:ascii="Courier New" w:hAnsi="Courier New" w:hint="default"/>
      </w:rPr>
    </w:lvl>
    <w:lvl w:ilvl="8" w:tplc="491AFFF2">
      <w:start w:val="1"/>
      <w:numFmt w:val="bullet"/>
      <w:lvlText w:val=""/>
      <w:lvlJc w:val="left"/>
      <w:pPr>
        <w:ind w:left="6480" w:hanging="360"/>
      </w:pPr>
      <w:rPr>
        <w:rFonts w:ascii="Wingdings" w:hAnsi="Wingdings" w:hint="default"/>
      </w:rPr>
    </w:lvl>
  </w:abstractNum>
  <w:abstractNum w:abstractNumId="580" w15:restartNumberingAfterBreak="0">
    <w:nsid w:val="60097C19"/>
    <w:multiLevelType w:val="multilevel"/>
    <w:tmpl w:val="2550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608B73F9"/>
    <w:multiLevelType w:val="multilevel"/>
    <w:tmpl w:val="D4EAD64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2" w15:restartNumberingAfterBreak="0">
    <w:nsid w:val="60B41314"/>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83" w15:restartNumberingAfterBreak="0">
    <w:nsid w:val="60B8958C"/>
    <w:multiLevelType w:val="hybridMultilevel"/>
    <w:tmpl w:val="FFFFFFFF"/>
    <w:lvl w:ilvl="0" w:tplc="AF78FF98">
      <w:start w:val="1"/>
      <w:numFmt w:val="decimal"/>
      <w:lvlText w:val="%1."/>
      <w:lvlJc w:val="left"/>
      <w:pPr>
        <w:ind w:left="720" w:hanging="360"/>
      </w:pPr>
    </w:lvl>
    <w:lvl w:ilvl="1" w:tplc="EF88C4D0">
      <w:start w:val="1"/>
      <w:numFmt w:val="lowerLetter"/>
      <w:lvlText w:val="%2."/>
      <w:lvlJc w:val="left"/>
      <w:pPr>
        <w:ind w:left="1440" w:hanging="360"/>
      </w:pPr>
    </w:lvl>
    <w:lvl w:ilvl="2" w:tplc="0610F478">
      <w:start w:val="1"/>
      <w:numFmt w:val="lowerRoman"/>
      <w:lvlText w:val="%3."/>
      <w:lvlJc w:val="right"/>
      <w:pPr>
        <w:ind w:left="2160" w:hanging="180"/>
      </w:pPr>
    </w:lvl>
    <w:lvl w:ilvl="3" w:tplc="499A12DC">
      <w:start w:val="1"/>
      <w:numFmt w:val="decimal"/>
      <w:lvlText w:val="%4."/>
      <w:lvlJc w:val="left"/>
      <w:pPr>
        <w:ind w:left="2880" w:hanging="360"/>
      </w:pPr>
    </w:lvl>
    <w:lvl w:ilvl="4" w:tplc="F6361154">
      <w:start w:val="1"/>
      <w:numFmt w:val="lowerLetter"/>
      <w:lvlText w:val="%5."/>
      <w:lvlJc w:val="left"/>
      <w:pPr>
        <w:ind w:left="3600" w:hanging="360"/>
      </w:pPr>
    </w:lvl>
    <w:lvl w:ilvl="5" w:tplc="3568312C">
      <w:start w:val="1"/>
      <w:numFmt w:val="lowerRoman"/>
      <w:lvlText w:val="%6."/>
      <w:lvlJc w:val="right"/>
      <w:pPr>
        <w:ind w:left="4320" w:hanging="180"/>
      </w:pPr>
    </w:lvl>
    <w:lvl w:ilvl="6" w:tplc="D4F2FF80">
      <w:start w:val="1"/>
      <w:numFmt w:val="decimal"/>
      <w:lvlText w:val="%7."/>
      <w:lvlJc w:val="left"/>
      <w:pPr>
        <w:ind w:left="5040" w:hanging="360"/>
      </w:pPr>
    </w:lvl>
    <w:lvl w:ilvl="7" w:tplc="8C3691EC">
      <w:start w:val="1"/>
      <w:numFmt w:val="lowerLetter"/>
      <w:lvlText w:val="%8."/>
      <w:lvlJc w:val="left"/>
      <w:pPr>
        <w:ind w:left="5760" w:hanging="360"/>
      </w:pPr>
    </w:lvl>
    <w:lvl w:ilvl="8" w:tplc="786A002A">
      <w:start w:val="1"/>
      <w:numFmt w:val="lowerRoman"/>
      <w:lvlText w:val="%9."/>
      <w:lvlJc w:val="right"/>
      <w:pPr>
        <w:ind w:left="6480" w:hanging="180"/>
      </w:pPr>
    </w:lvl>
  </w:abstractNum>
  <w:abstractNum w:abstractNumId="584" w15:restartNumberingAfterBreak="0">
    <w:nsid w:val="60CD527E"/>
    <w:multiLevelType w:val="hybridMultilevel"/>
    <w:tmpl w:val="0422CC8C"/>
    <w:lvl w:ilvl="0" w:tplc="95229FA6">
      <w:start w:val="1"/>
      <w:numFmt w:val="lowerLetter"/>
      <w:lvlText w:val="%1)"/>
      <w:lvlJc w:val="left"/>
      <w:pPr>
        <w:ind w:left="720" w:hanging="360"/>
      </w:pPr>
    </w:lvl>
    <w:lvl w:ilvl="1" w:tplc="55F89914">
      <w:start w:val="1"/>
      <w:numFmt w:val="lowerLetter"/>
      <w:lvlText w:val="%2)"/>
      <w:lvlJc w:val="left"/>
      <w:pPr>
        <w:ind w:left="720" w:hanging="360"/>
      </w:pPr>
    </w:lvl>
    <w:lvl w:ilvl="2" w:tplc="166EF770">
      <w:start w:val="1"/>
      <w:numFmt w:val="lowerLetter"/>
      <w:lvlText w:val="%3)"/>
      <w:lvlJc w:val="left"/>
      <w:pPr>
        <w:ind w:left="720" w:hanging="360"/>
      </w:pPr>
    </w:lvl>
    <w:lvl w:ilvl="3" w:tplc="0D8C130A">
      <w:start w:val="1"/>
      <w:numFmt w:val="lowerLetter"/>
      <w:lvlText w:val="%4)"/>
      <w:lvlJc w:val="left"/>
      <w:pPr>
        <w:ind w:left="720" w:hanging="360"/>
      </w:pPr>
    </w:lvl>
    <w:lvl w:ilvl="4" w:tplc="BCD60F26">
      <w:start w:val="1"/>
      <w:numFmt w:val="lowerLetter"/>
      <w:lvlText w:val="%5)"/>
      <w:lvlJc w:val="left"/>
      <w:pPr>
        <w:ind w:left="720" w:hanging="360"/>
      </w:pPr>
    </w:lvl>
    <w:lvl w:ilvl="5" w:tplc="75B2CD54">
      <w:start w:val="1"/>
      <w:numFmt w:val="lowerLetter"/>
      <w:lvlText w:val="%6)"/>
      <w:lvlJc w:val="left"/>
      <w:pPr>
        <w:ind w:left="720" w:hanging="360"/>
      </w:pPr>
    </w:lvl>
    <w:lvl w:ilvl="6" w:tplc="9FC4C67A">
      <w:start w:val="1"/>
      <w:numFmt w:val="lowerLetter"/>
      <w:lvlText w:val="%7)"/>
      <w:lvlJc w:val="left"/>
      <w:pPr>
        <w:ind w:left="720" w:hanging="360"/>
      </w:pPr>
    </w:lvl>
    <w:lvl w:ilvl="7" w:tplc="B9185C34">
      <w:start w:val="1"/>
      <w:numFmt w:val="lowerLetter"/>
      <w:lvlText w:val="%8)"/>
      <w:lvlJc w:val="left"/>
      <w:pPr>
        <w:ind w:left="720" w:hanging="360"/>
      </w:pPr>
    </w:lvl>
    <w:lvl w:ilvl="8" w:tplc="999A4C50">
      <w:start w:val="1"/>
      <w:numFmt w:val="lowerLetter"/>
      <w:lvlText w:val="%9)"/>
      <w:lvlJc w:val="left"/>
      <w:pPr>
        <w:ind w:left="720" w:hanging="360"/>
      </w:pPr>
    </w:lvl>
  </w:abstractNum>
  <w:abstractNum w:abstractNumId="585" w15:restartNumberingAfterBreak="0">
    <w:nsid w:val="60DDC073"/>
    <w:multiLevelType w:val="hybridMultilevel"/>
    <w:tmpl w:val="FFFFFFFF"/>
    <w:lvl w:ilvl="0" w:tplc="16BC9412">
      <w:start w:val="1"/>
      <w:numFmt w:val="bullet"/>
      <w:lvlText w:val="o"/>
      <w:lvlJc w:val="left"/>
      <w:pPr>
        <w:ind w:left="720" w:hanging="360"/>
      </w:pPr>
      <w:rPr>
        <w:rFonts w:ascii="&quot;Courier New&quot;" w:hAnsi="&quot;Courier New&quot;" w:hint="default"/>
      </w:rPr>
    </w:lvl>
    <w:lvl w:ilvl="1" w:tplc="18BE9CAC">
      <w:start w:val="1"/>
      <w:numFmt w:val="bullet"/>
      <w:lvlText w:val="o"/>
      <w:lvlJc w:val="left"/>
      <w:pPr>
        <w:ind w:left="1440" w:hanging="360"/>
      </w:pPr>
      <w:rPr>
        <w:rFonts w:ascii="Courier New" w:hAnsi="Courier New" w:hint="default"/>
      </w:rPr>
    </w:lvl>
    <w:lvl w:ilvl="2" w:tplc="DD360680">
      <w:start w:val="1"/>
      <w:numFmt w:val="bullet"/>
      <w:lvlText w:val=""/>
      <w:lvlJc w:val="left"/>
      <w:pPr>
        <w:ind w:left="2160" w:hanging="360"/>
      </w:pPr>
      <w:rPr>
        <w:rFonts w:ascii="Wingdings" w:hAnsi="Wingdings" w:hint="default"/>
      </w:rPr>
    </w:lvl>
    <w:lvl w:ilvl="3" w:tplc="B2BA1404">
      <w:start w:val="1"/>
      <w:numFmt w:val="bullet"/>
      <w:lvlText w:val=""/>
      <w:lvlJc w:val="left"/>
      <w:pPr>
        <w:ind w:left="2880" w:hanging="360"/>
      </w:pPr>
      <w:rPr>
        <w:rFonts w:ascii="Symbol" w:hAnsi="Symbol" w:hint="default"/>
      </w:rPr>
    </w:lvl>
    <w:lvl w:ilvl="4" w:tplc="472A782E">
      <w:start w:val="1"/>
      <w:numFmt w:val="bullet"/>
      <w:lvlText w:val="o"/>
      <w:lvlJc w:val="left"/>
      <w:pPr>
        <w:ind w:left="3600" w:hanging="360"/>
      </w:pPr>
      <w:rPr>
        <w:rFonts w:ascii="Courier New" w:hAnsi="Courier New" w:hint="default"/>
      </w:rPr>
    </w:lvl>
    <w:lvl w:ilvl="5" w:tplc="189C98D0">
      <w:start w:val="1"/>
      <w:numFmt w:val="bullet"/>
      <w:lvlText w:val=""/>
      <w:lvlJc w:val="left"/>
      <w:pPr>
        <w:ind w:left="4320" w:hanging="360"/>
      </w:pPr>
      <w:rPr>
        <w:rFonts w:ascii="Wingdings" w:hAnsi="Wingdings" w:hint="default"/>
      </w:rPr>
    </w:lvl>
    <w:lvl w:ilvl="6" w:tplc="C7F20378">
      <w:start w:val="1"/>
      <w:numFmt w:val="bullet"/>
      <w:lvlText w:val=""/>
      <w:lvlJc w:val="left"/>
      <w:pPr>
        <w:ind w:left="5040" w:hanging="360"/>
      </w:pPr>
      <w:rPr>
        <w:rFonts w:ascii="Symbol" w:hAnsi="Symbol" w:hint="default"/>
      </w:rPr>
    </w:lvl>
    <w:lvl w:ilvl="7" w:tplc="71DCA112">
      <w:start w:val="1"/>
      <w:numFmt w:val="bullet"/>
      <w:lvlText w:val="o"/>
      <w:lvlJc w:val="left"/>
      <w:pPr>
        <w:ind w:left="5760" w:hanging="360"/>
      </w:pPr>
      <w:rPr>
        <w:rFonts w:ascii="Courier New" w:hAnsi="Courier New" w:hint="default"/>
      </w:rPr>
    </w:lvl>
    <w:lvl w:ilvl="8" w:tplc="AC70D3B8">
      <w:start w:val="1"/>
      <w:numFmt w:val="bullet"/>
      <w:lvlText w:val=""/>
      <w:lvlJc w:val="left"/>
      <w:pPr>
        <w:ind w:left="6480" w:hanging="360"/>
      </w:pPr>
      <w:rPr>
        <w:rFonts w:ascii="Wingdings" w:hAnsi="Wingdings" w:hint="default"/>
      </w:rPr>
    </w:lvl>
  </w:abstractNum>
  <w:abstractNum w:abstractNumId="586" w15:restartNumberingAfterBreak="0">
    <w:nsid w:val="6104252A"/>
    <w:multiLevelType w:val="hybridMultilevel"/>
    <w:tmpl w:val="D1040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7" w15:restartNumberingAfterBreak="0">
    <w:nsid w:val="617504BD"/>
    <w:multiLevelType w:val="multilevel"/>
    <w:tmpl w:val="FE8A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61816B35"/>
    <w:multiLevelType w:val="hybridMultilevel"/>
    <w:tmpl w:val="72A47300"/>
    <w:lvl w:ilvl="0" w:tplc="18090019">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621768EE"/>
    <w:multiLevelType w:val="hybridMultilevel"/>
    <w:tmpl w:val="5E20883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0" w15:restartNumberingAfterBreak="0">
    <w:nsid w:val="6219183D"/>
    <w:multiLevelType w:val="hybridMultilevel"/>
    <w:tmpl w:val="4D3C6348"/>
    <w:lvl w:ilvl="0" w:tplc="080C0019">
      <w:start w:val="1"/>
      <w:numFmt w:val="lowerLetter"/>
      <w:lvlText w:val="%1."/>
      <w:lvlJc w:val="lef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1" w15:restartNumberingAfterBreak="0">
    <w:nsid w:val="62531B47"/>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2" w15:restartNumberingAfterBreak="0">
    <w:nsid w:val="62867FF6"/>
    <w:multiLevelType w:val="multilevel"/>
    <w:tmpl w:val="92F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6290243E"/>
    <w:multiLevelType w:val="hybridMultilevel"/>
    <w:tmpl w:val="C4DEF61A"/>
    <w:lvl w:ilvl="0" w:tplc="D1E6F966">
      <w:start w:val="1"/>
      <w:numFmt w:val="bullet"/>
      <w:lvlText w:val="-"/>
      <w:lvlJc w:val="left"/>
      <w:pPr>
        <w:ind w:left="720" w:hanging="360"/>
      </w:pPr>
      <w:rPr>
        <w:rFonts w:ascii="&quot;Times New Roman&quot;,serif" w:hAnsi="&quot;Times New Roman&quot;,serif" w:hint="default"/>
      </w:rPr>
    </w:lvl>
    <w:lvl w:ilvl="1" w:tplc="6374C602">
      <w:start w:val="1"/>
      <w:numFmt w:val="bullet"/>
      <w:lvlText w:val="o"/>
      <w:lvlJc w:val="left"/>
      <w:pPr>
        <w:ind w:left="1440" w:hanging="360"/>
      </w:pPr>
      <w:rPr>
        <w:rFonts w:ascii="Courier New" w:hAnsi="Courier New" w:hint="default"/>
      </w:rPr>
    </w:lvl>
    <w:lvl w:ilvl="2" w:tplc="CEEAA4D2">
      <w:start w:val="1"/>
      <w:numFmt w:val="bullet"/>
      <w:lvlText w:val=""/>
      <w:lvlJc w:val="left"/>
      <w:pPr>
        <w:ind w:left="2160" w:hanging="360"/>
      </w:pPr>
      <w:rPr>
        <w:rFonts w:ascii="Wingdings" w:hAnsi="Wingdings" w:hint="default"/>
      </w:rPr>
    </w:lvl>
    <w:lvl w:ilvl="3" w:tplc="B74092B6">
      <w:start w:val="1"/>
      <w:numFmt w:val="bullet"/>
      <w:lvlText w:val=""/>
      <w:lvlJc w:val="left"/>
      <w:pPr>
        <w:ind w:left="2880" w:hanging="360"/>
      </w:pPr>
      <w:rPr>
        <w:rFonts w:ascii="Symbol" w:hAnsi="Symbol" w:hint="default"/>
      </w:rPr>
    </w:lvl>
    <w:lvl w:ilvl="4" w:tplc="EFDC5E12">
      <w:start w:val="1"/>
      <w:numFmt w:val="bullet"/>
      <w:lvlText w:val="o"/>
      <w:lvlJc w:val="left"/>
      <w:pPr>
        <w:ind w:left="3600" w:hanging="360"/>
      </w:pPr>
      <w:rPr>
        <w:rFonts w:ascii="Courier New" w:hAnsi="Courier New" w:hint="default"/>
      </w:rPr>
    </w:lvl>
    <w:lvl w:ilvl="5" w:tplc="6D76ADFA">
      <w:start w:val="1"/>
      <w:numFmt w:val="bullet"/>
      <w:lvlText w:val=""/>
      <w:lvlJc w:val="left"/>
      <w:pPr>
        <w:ind w:left="4320" w:hanging="360"/>
      </w:pPr>
      <w:rPr>
        <w:rFonts w:ascii="Wingdings" w:hAnsi="Wingdings" w:hint="default"/>
      </w:rPr>
    </w:lvl>
    <w:lvl w:ilvl="6" w:tplc="EF9AAC72">
      <w:start w:val="1"/>
      <w:numFmt w:val="bullet"/>
      <w:lvlText w:val=""/>
      <w:lvlJc w:val="left"/>
      <w:pPr>
        <w:ind w:left="5040" w:hanging="360"/>
      </w:pPr>
      <w:rPr>
        <w:rFonts w:ascii="Symbol" w:hAnsi="Symbol" w:hint="default"/>
      </w:rPr>
    </w:lvl>
    <w:lvl w:ilvl="7" w:tplc="089A3C0A">
      <w:start w:val="1"/>
      <w:numFmt w:val="bullet"/>
      <w:lvlText w:val="o"/>
      <w:lvlJc w:val="left"/>
      <w:pPr>
        <w:ind w:left="5760" w:hanging="360"/>
      </w:pPr>
      <w:rPr>
        <w:rFonts w:ascii="Courier New" w:hAnsi="Courier New" w:hint="default"/>
      </w:rPr>
    </w:lvl>
    <w:lvl w:ilvl="8" w:tplc="B1603BC0">
      <w:start w:val="1"/>
      <w:numFmt w:val="bullet"/>
      <w:lvlText w:val=""/>
      <w:lvlJc w:val="left"/>
      <w:pPr>
        <w:ind w:left="6480" w:hanging="360"/>
      </w:pPr>
      <w:rPr>
        <w:rFonts w:ascii="Wingdings" w:hAnsi="Wingdings" w:hint="default"/>
      </w:rPr>
    </w:lvl>
  </w:abstractNum>
  <w:abstractNum w:abstractNumId="594" w15:restartNumberingAfterBreak="0">
    <w:nsid w:val="63087B6D"/>
    <w:multiLevelType w:val="hybridMultilevel"/>
    <w:tmpl w:val="C70CC2DC"/>
    <w:lvl w:ilvl="0" w:tplc="1809001B">
      <w:start w:val="1"/>
      <w:numFmt w:val="low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95" w15:restartNumberingAfterBreak="0">
    <w:nsid w:val="63730DA7"/>
    <w:multiLevelType w:val="hybridMultilevel"/>
    <w:tmpl w:val="07A46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64539AB4"/>
    <w:multiLevelType w:val="hybridMultilevel"/>
    <w:tmpl w:val="6CAA3520"/>
    <w:lvl w:ilvl="0" w:tplc="5CB28036">
      <w:start w:val="1"/>
      <w:numFmt w:val="lowerLetter"/>
      <w:lvlText w:val="%1)"/>
      <w:lvlJc w:val="left"/>
      <w:pPr>
        <w:ind w:left="720" w:hanging="360"/>
      </w:pPr>
    </w:lvl>
    <w:lvl w:ilvl="1" w:tplc="141275F8">
      <w:start w:val="1"/>
      <w:numFmt w:val="lowerLetter"/>
      <w:lvlText w:val="%2."/>
      <w:lvlJc w:val="left"/>
      <w:pPr>
        <w:ind w:left="1440" w:hanging="360"/>
      </w:pPr>
    </w:lvl>
    <w:lvl w:ilvl="2" w:tplc="1AC4374E">
      <w:start w:val="1"/>
      <w:numFmt w:val="lowerRoman"/>
      <w:lvlText w:val="%3."/>
      <w:lvlJc w:val="right"/>
      <w:pPr>
        <w:ind w:left="2160" w:hanging="180"/>
      </w:pPr>
    </w:lvl>
    <w:lvl w:ilvl="3" w:tplc="1EB21326">
      <w:start w:val="1"/>
      <w:numFmt w:val="decimal"/>
      <w:lvlText w:val="%4."/>
      <w:lvlJc w:val="left"/>
      <w:pPr>
        <w:ind w:left="2880" w:hanging="360"/>
      </w:pPr>
    </w:lvl>
    <w:lvl w:ilvl="4" w:tplc="E4CA95FE">
      <w:start w:val="1"/>
      <w:numFmt w:val="lowerLetter"/>
      <w:lvlText w:val="%5."/>
      <w:lvlJc w:val="left"/>
      <w:pPr>
        <w:ind w:left="3600" w:hanging="360"/>
      </w:pPr>
    </w:lvl>
    <w:lvl w:ilvl="5" w:tplc="BEBCCB5E">
      <w:start w:val="1"/>
      <w:numFmt w:val="lowerRoman"/>
      <w:lvlText w:val="%6."/>
      <w:lvlJc w:val="right"/>
      <w:pPr>
        <w:ind w:left="4320" w:hanging="180"/>
      </w:pPr>
    </w:lvl>
    <w:lvl w:ilvl="6" w:tplc="82AEC7C8">
      <w:start w:val="1"/>
      <w:numFmt w:val="decimal"/>
      <w:lvlText w:val="%7."/>
      <w:lvlJc w:val="left"/>
      <w:pPr>
        <w:ind w:left="5040" w:hanging="360"/>
      </w:pPr>
    </w:lvl>
    <w:lvl w:ilvl="7" w:tplc="B5C26AA2">
      <w:start w:val="1"/>
      <w:numFmt w:val="lowerLetter"/>
      <w:lvlText w:val="%8."/>
      <w:lvlJc w:val="left"/>
      <w:pPr>
        <w:ind w:left="5760" w:hanging="360"/>
      </w:pPr>
    </w:lvl>
    <w:lvl w:ilvl="8" w:tplc="28083F8E">
      <w:start w:val="1"/>
      <w:numFmt w:val="lowerRoman"/>
      <w:lvlText w:val="%9."/>
      <w:lvlJc w:val="right"/>
      <w:pPr>
        <w:ind w:left="6480" w:hanging="180"/>
      </w:pPr>
    </w:lvl>
  </w:abstractNum>
  <w:abstractNum w:abstractNumId="597" w15:restartNumberingAfterBreak="0">
    <w:nsid w:val="645A52C9"/>
    <w:multiLevelType w:val="hybridMultilevel"/>
    <w:tmpl w:val="FFFFFFFF"/>
    <w:lvl w:ilvl="0" w:tplc="3904A072">
      <w:start w:val="1"/>
      <w:numFmt w:val="bullet"/>
      <w:lvlText w:val=""/>
      <w:lvlJc w:val="left"/>
      <w:pPr>
        <w:ind w:left="720" w:hanging="360"/>
      </w:pPr>
      <w:rPr>
        <w:rFonts w:ascii="Symbol" w:hAnsi="Symbol" w:hint="default"/>
      </w:rPr>
    </w:lvl>
    <w:lvl w:ilvl="1" w:tplc="C26C50D6">
      <w:start w:val="1"/>
      <w:numFmt w:val="bullet"/>
      <w:lvlText w:val="o"/>
      <w:lvlJc w:val="left"/>
      <w:pPr>
        <w:ind w:left="1440" w:hanging="360"/>
      </w:pPr>
      <w:rPr>
        <w:rFonts w:ascii="Courier New" w:hAnsi="Courier New" w:hint="default"/>
      </w:rPr>
    </w:lvl>
    <w:lvl w:ilvl="2" w:tplc="981AB5EA">
      <w:start w:val="1"/>
      <w:numFmt w:val="bullet"/>
      <w:lvlText w:val=""/>
      <w:lvlJc w:val="left"/>
      <w:pPr>
        <w:ind w:left="2160" w:hanging="360"/>
      </w:pPr>
      <w:rPr>
        <w:rFonts w:ascii="Wingdings" w:hAnsi="Wingdings" w:hint="default"/>
      </w:rPr>
    </w:lvl>
    <w:lvl w:ilvl="3" w:tplc="81F8891A">
      <w:start w:val="1"/>
      <w:numFmt w:val="bullet"/>
      <w:lvlText w:val=""/>
      <w:lvlJc w:val="left"/>
      <w:pPr>
        <w:ind w:left="2880" w:hanging="360"/>
      </w:pPr>
      <w:rPr>
        <w:rFonts w:ascii="Symbol" w:hAnsi="Symbol" w:hint="default"/>
      </w:rPr>
    </w:lvl>
    <w:lvl w:ilvl="4" w:tplc="336C2DC6">
      <w:start w:val="1"/>
      <w:numFmt w:val="bullet"/>
      <w:lvlText w:val="o"/>
      <w:lvlJc w:val="left"/>
      <w:pPr>
        <w:ind w:left="3600" w:hanging="360"/>
      </w:pPr>
      <w:rPr>
        <w:rFonts w:ascii="Courier New" w:hAnsi="Courier New" w:hint="default"/>
      </w:rPr>
    </w:lvl>
    <w:lvl w:ilvl="5" w:tplc="770ED320">
      <w:start w:val="1"/>
      <w:numFmt w:val="bullet"/>
      <w:lvlText w:val=""/>
      <w:lvlJc w:val="left"/>
      <w:pPr>
        <w:ind w:left="4320" w:hanging="360"/>
      </w:pPr>
      <w:rPr>
        <w:rFonts w:ascii="Wingdings" w:hAnsi="Wingdings" w:hint="default"/>
      </w:rPr>
    </w:lvl>
    <w:lvl w:ilvl="6" w:tplc="EDC424A2">
      <w:start w:val="1"/>
      <w:numFmt w:val="bullet"/>
      <w:lvlText w:val=""/>
      <w:lvlJc w:val="left"/>
      <w:pPr>
        <w:ind w:left="5040" w:hanging="360"/>
      </w:pPr>
      <w:rPr>
        <w:rFonts w:ascii="Symbol" w:hAnsi="Symbol" w:hint="default"/>
      </w:rPr>
    </w:lvl>
    <w:lvl w:ilvl="7" w:tplc="D0A61050">
      <w:start w:val="1"/>
      <w:numFmt w:val="bullet"/>
      <w:lvlText w:val="o"/>
      <w:lvlJc w:val="left"/>
      <w:pPr>
        <w:ind w:left="5760" w:hanging="360"/>
      </w:pPr>
      <w:rPr>
        <w:rFonts w:ascii="Courier New" w:hAnsi="Courier New" w:hint="default"/>
      </w:rPr>
    </w:lvl>
    <w:lvl w:ilvl="8" w:tplc="11CAC0C0">
      <w:start w:val="1"/>
      <w:numFmt w:val="bullet"/>
      <w:lvlText w:val=""/>
      <w:lvlJc w:val="left"/>
      <w:pPr>
        <w:ind w:left="6480" w:hanging="360"/>
      </w:pPr>
      <w:rPr>
        <w:rFonts w:ascii="Wingdings" w:hAnsi="Wingdings" w:hint="default"/>
      </w:rPr>
    </w:lvl>
  </w:abstractNum>
  <w:abstractNum w:abstractNumId="598" w15:restartNumberingAfterBreak="0">
    <w:nsid w:val="646F42C6"/>
    <w:multiLevelType w:val="hybridMultilevel"/>
    <w:tmpl w:val="D0004FD8"/>
    <w:lvl w:ilvl="0" w:tplc="18090015">
      <w:start w:val="1"/>
      <w:numFmt w:val="upperLetter"/>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599" w15:restartNumberingAfterBreak="0">
    <w:nsid w:val="648A36A7"/>
    <w:multiLevelType w:val="hybridMultilevel"/>
    <w:tmpl w:val="007A82FC"/>
    <w:lvl w:ilvl="0" w:tplc="7DC0AED8">
      <w:start w:val="1"/>
      <w:numFmt w:val="lowerRoman"/>
      <w:lvlText w:val="%1."/>
      <w:lvlJc w:val="right"/>
      <w:pPr>
        <w:ind w:left="720" w:hanging="360"/>
      </w:pPr>
      <w:rPr>
        <w:color w:val="auto"/>
      </w:rPr>
    </w:lvl>
    <w:lvl w:ilvl="1" w:tplc="E0583D70">
      <w:start w:val="1"/>
      <w:numFmt w:val="lowerLetter"/>
      <w:lvlText w:val="%2."/>
      <w:lvlJc w:val="left"/>
      <w:pPr>
        <w:ind w:left="1440" w:hanging="360"/>
      </w:pPr>
    </w:lvl>
    <w:lvl w:ilvl="2" w:tplc="4CD0447A">
      <w:start w:val="1"/>
      <w:numFmt w:val="lowerRoman"/>
      <w:lvlText w:val="%3."/>
      <w:lvlJc w:val="right"/>
      <w:pPr>
        <w:ind w:left="2160" w:hanging="180"/>
      </w:pPr>
    </w:lvl>
    <w:lvl w:ilvl="3" w:tplc="814A5392">
      <w:start w:val="1"/>
      <w:numFmt w:val="decimal"/>
      <w:lvlText w:val="%4."/>
      <w:lvlJc w:val="left"/>
      <w:pPr>
        <w:ind w:left="2880" w:hanging="360"/>
      </w:pPr>
    </w:lvl>
    <w:lvl w:ilvl="4" w:tplc="8B34E246">
      <w:start w:val="1"/>
      <w:numFmt w:val="lowerLetter"/>
      <w:lvlText w:val="%5."/>
      <w:lvlJc w:val="left"/>
      <w:pPr>
        <w:ind w:left="3600" w:hanging="360"/>
      </w:pPr>
    </w:lvl>
    <w:lvl w:ilvl="5" w:tplc="28602E44">
      <w:start w:val="1"/>
      <w:numFmt w:val="lowerRoman"/>
      <w:lvlText w:val="%6."/>
      <w:lvlJc w:val="right"/>
      <w:pPr>
        <w:ind w:left="4320" w:hanging="180"/>
      </w:pPr>
    </w:lvl>
    <w:lvl w:ilvl="6" w:tplc="2B6E804C">
      <w:start w:val="1"/>
      <w:numFmt w:val="decimal"/>
      <w:lvlText w:val="%7."/>
      <w:lvlJc w:val="left"/>
      <w:pPr>
        <w:ind w:left="5040" w:hanging="360"/>
      </w:pPr>
    </w:lvl>
    <w:lvl w:ilvl="7" w:tplc="823232E8">
      <w:start w:val="1"/>
      <w:numFmt w:val="lowerLetter"/>
      <w:lvlText w:val="%8."/>
      <w:lvlJc w:val="left"/>
      <w:pPr>
        <w:ind w:left="5760" w:hanging="360"/>
      </w:pPr>
    </w:lvl>
    <w:lvl w:ilvl="8" w:tplc="363607DE">
      <w:start w:val="1"/>
      <w:numFmt w:val="lowerRoman"/>
      <w:lvlText w:val="%9."/>
      <w:lvlJc w:val="right"/>
      <w:pPr>
        <w:ind w:left="6480" w:hanging="180"/>
      </w:pPr>
    </w:lvl>
  </w:abstractNum>
  <w:abstractNum w:abstractNumId="600" w15:restartNumberingAfterBreak="0">
    <w:nsid w:val="64A12FA4"/>
    <w:multiLevelType w:val="multilevel"/>
    <w:tmpl w:val="BC1C158C"/>
    <w:name w:val="Heading"/>
    <w:lvl w:ilvl="0">
      <w:start w:val="1"/>
      <w:numFmt w:val="decimal"/>
      <w:lvlRestart w:val="0"/>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1" w15:restartNumberingAfterBreak="0">
    <w:nsid w:val="652A3F9F"/>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2" w15:restartNumberingAfterBreak="0">
    <w:nsid w:val="65344370"/>
    <w:multiLevelType w:val="hybridMultilevel"/>
    <w:tmpl w:val="DD8287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3" w15:restartNumberingAfterBreak="0">
    <w:nsid w:val="65634AF6"/>
    <w:multiLevelType w:val="multilevel"/>
    <w:tmpl w:val="2AA8E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656B771A"/>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05" w15:restartNumberingAfterBreak="0">
    <w:nsid w:val="65900B82"/>
    <w:multiLevelType w:val="multilevel"/>
    <w:tmpl w:val="480E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65C33A2F"/>
    <w:multiLevelType w:val="multilevel"/>
    <w:tmpl w:val="D99024DE"/>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7" w15:restartNumberingAfterBreak="0">
    <w:nsid w:val="65EC59D4"/>
    <w:multiLevelType w:val="multilevel"/>
    <w:tmpl w:val="C592E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66396D30"/>
    <w:multiLevelType w:val="multilevel"/>
    <w:tmpl w:val="2C3EA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665278A0"/>
    <w:multiLevelType w:val="hybridMultilevel"/>
    <w:tmpl w:val="FFFFFFFF"/>
    <w:lvl w:ilvl="0" w:tplc="6FB4DD4A">
      <w:start w:val="1"/>
      <w:numFmt w:val="bullet"/>
      <w:lvlText w:val=""/>
      <w:lvlJc w:val="left"/>
      <w:pPr>
        <w:ind w:left="720" w:hanging="360"/>
      </w:pPr>
      <w:rPr>
        <w:rFonts w:ascii="Symbol" w:hAnsi="Symbol" w:hint="default"/>
      </w:rPr>
    </w:lvl>
    <w:lvl w:ilvl="1" w:tplc="DFEA9B34">
      <w:start w:val="1"/>
      <w:numFmt w:val="bullet"/>
      <w:lvlText w:val="o"/>
      <w:lvlJc w:val="left"/>
      <w:pPr>
        <w:ind w:left="1440" w:hanging="360"/>
      </w:pPr>
      <w:rPr>
        <w:rFonts w:ascii="Courier New" w:hAnsi="Courier New" w:hint="default"/>
      </w:rPr>
    </w:lvl>
    <w:lvl w:ilvl="2" w:tplc="BEDA5D46">
      <w:start w:val="1"/>
      <w:numFmt w:val="bullet"/>
      <w:lvlText w:val=""/>
      <w:lvlJc w:val="left"/>
      <w:pPr>
        <w:ind w:left="2160" w:hanging="360"/>
      </w:pPr>
      <w:rPr>
        <w:rFonts w:ascii="Wingdings" w:hAnsi="Wingdings" w:hint="default"/>
      </w:rPr>
    </w:lvl>
    <w:lvl w:ilvl="3" w:tplc="BC9C45D0">
      <w:start w:val="1"/>
      <w:numFmt w:val="bullet"/>
      <w:lvlText w:val=""/>
      <w:lvlJc w:val="left"/>
      <w:pPr>
        <w:ind w:left="2880" w:hanging="360"/>
      </w:pPr>
      <w:rPr>
        <w:rFonts w:ascii="Symbol" w:hAnsi="Symbol" w:hint="default"/>
      </w:rPr>
    </w:lvl>
    <w:lvl w:ilvl="4" w:tplc="D430C006">
      <w:start w:val="1"/>
      <w:numFmt w:val="bullet"/>
      <w:lvlText w:val="o"/>
      <w:lvlJc w:val="left"/>
      <w:pPr>
        <w:ind w:left="3600" w:hanging="360"/>
      </w:pPr>
      <w:rPr>
        <w:rFonts w:ascii="Courier New" w:hAnsi="Courier New" w:hint="default"/>
      </w:rPr>
    </w:lvl>
    <w:lvl w:ilvl="5" w:tplc="44D2C032">
      <w:start w:val="1"/>
      <w:numFmt w:val="bullet"/>
      <w:lvlText w:val=""/>
      <w:lvlJc w:val="left"/>
      <w:pPr>
        <w:ind w:left="4320" w:hanging="360"/>
      </w:pPr>
      <w:rPr>
        <w:rFonts w:ascii="Wingdings" w:hAnsi="Wingdings" w:hint="default"/>
      </w:rPr>
    </w:lvl>
    <w:lvl w:ilvl="6" w:tplc="BDDA01B8">
      <w:start w:val="1"/>
      <w:numFmt w:val="bullet"/>
      <w:lvlText w:val=""/>
      <w:lvlJc w:val="left"/>
      <w:pPr>
        <w:ind w:left="5040" w:hanging="360"/>
      </w:pPr>
      <w:rPr>
        <w:rFonts w:ascii="Symbol" w:hAnsi="Symbol" w:hint="default"/>
      </w:rPr>
    </w:lvl>
    <w:lvl w:ilvl="7" w:tplc="4E5696D6">
      <w:start w:val="1"/>
      <w:numFmt w:val="bullet"/>
      <w:lvlText w:val="o"/>
      <w:lvlJc w:val="left"/>
      <w:pPr>
        <w:ind w:left="5760" w:hanging="360"/>
      </w:pPr>
      <w:rPr>
        <w:rFonts w:ascii="Courier New" w:hAnsi="Courier New" w:hint="default"/>
      </w:rPr>
    </w:lvl>
    <w:lvl w:ilvl="8" w:tplc="056A0BDA">
      <w:start w:val="1"/>
      <w:numFmt w:val="bullet"/>
      <w:lvlText w:val=""/>
      <w:lvlJc w:val="left"/>
      <w:pPr>
        <w:ind w:left="6480" w:hanging="360"/>
      </w:pPr>
      <w:rPr>
        <w:rFonts w:ascii="Wingdings" w:hAnsi="Wingdings" w:hint="default"/>
      </w:rPr>
    </w:lvl>
  </w:abstractNum>
  <w:abstractNum w:abstractNumId="610" w15:restartNumberingAfterBreak="0">
    <w:nsid w:val="66883E46"/>
    <w:multiLevelType w:val="hybridMultilevel"/>
    <w:tmpl w:val="A7D4E9B0"/>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1" w15:restartNumberingAfterBreak="0">
    <w:nsid w:val="669B0B48"/>
    <w:multiLevelType w:val="hybridMultilevel"/>
    <w:tmpl w:val="F574105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2" w15:restartNumberingAfterBreak="0">
    <w:nsid w:val="669F3250"/>
    <w:multiLevelType w:val="hybridMultilevel"/>
    <w:tmpl w:val="BD0AC6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3" w15:restartNumberingAfterBreak="0">
    <w:nsid w:val="66AE6F18"/>
    <w:multiLevelType w:val="hybridMultilevel"/>
    <w:tmpl w:val="8CFE81A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14" w15:restartNumberingAfterBreak="0">
    <w:nsid w:val="66DD7123"/>
    <w:multiLevelType w:val="multilevel"/>
    <w:tmpl w:val="4F7EFF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5" w15:restartNumberingAfterBreak="0">
    <w:nsid w:val="66EA63FD"/>
    <w:multiLevelType w:val="hybridMultilevel"/>
    <w:tmpl w:val="7B42F528"/>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6" w15:restartNumberingAfterBreak="0">
    <w:nsid w:val="66F2106C"/>
    <w:multiLevelType w:val="multilevel"/>
    <w:tmpl w:val="8D7C4D2A"/>
    <w:lvl w:ilvl="0">
      <w:start w:val="1"/>
      <w:numFmt w:val="decimal"/>
      <w:lvlText w:val="%1."/>
      <w:lvlJc w:val="left"/>
      <w:pPr>
        <w:ind w:left="476" w:hanging="476"/>
      </w:pPr>
      <w:rPr>
        <w:rFonts w:hint="default"/>
        <w:b/>
        <w:bCs/>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7" w15:restartNumberingAfterBreak="0">
    <w:nsid w:val="6754F1B3"/>
    <w:multiLevelType w:val="hybridMultilevel"/>
    <w:tmpl w:val="FFFFFFFF"/>
    <w:lvl w:ilvl="0" w:tplc="60AAD636">
      <w:start w:val="1"/>
      <w:numFmt w:val="bullet"/>
      <w:lvlText w:val="o"/>
      <w:lvlJc w:val="left"/>
      <w:pPr>
        <w:ind w:left="720" w:hanging="360"/>
      </w:pPr>
      <w:rPr>
        <w:rFonts w:ascii="&quot;Courier New&quot;" w:hAnsi="&quot;Courier New&quot;" w:hint="default"/>
      </w:rPr>
    </w:lvl>
    <w:lvl w:ilvl="1" w:tplc="516E6876">
      <w:start w:val="1"/>
      <w:numFmt w:val="bullet"/>
      <w:lvlText w:val="o"/>
      <w:lvlJc w:val="left"/>
      <w:pPr>
        <w:ind w:left="1440" w:hanging="360"/>
      </w:pPr>
      <w:rPr>
        <w:rFonts w:ascii="Courier New" w:hAnsi="Courier New" w:hint="default"/>
      </w:rPr>
    </w:lvl>
    <w:lvl w:ilvl="2" w:tplc="FC107CE0">
      <w:start w:val="1"/>
      <w:numFmt w:val="bullet"/>
      <w:lvlText w:val=""/>
      <w:lvlJc w:val="left"/>
      <w:pPr>
        <w:ind w:left="2160" w:hanging="360"/>
      </w:pPr>
      <w:rPr>
        <w:rFonts w:ascii="Wingdings" w:hAnsi="Wingdings" w:hint="default"/>
      </w:rPr>
    </w:lvl>
    <w:lvl w:ilvl="3" w:tplc="3B0A64BE">
      <w:start w:val="1"/>
      <w:numFmt w:val="bullet"/>
      <w:lvlText w:val=""/>
      <w:lvlJc w:val="left"/>
      <w:pPr>
        <w:ind w:left="2880" w:hanging="360"/>
      </w:pPr>
      <w:rPr>
        <w:rFonts w:ascii="Symbol" w:hAnsi="Symbol" w:hint="default"/>
      </w:rPr>
    </w:lvl>
    <w:lvl w:ilvl="4" w:tplc="33628574">
      <w:start w:val="1"/>
      <w:numFmt w:val="bullet"/>
      <w:lvlText w:val="o"/>
      <w:lvlJc w:val="left"/>
      <w:pPr>
        <w:ind w:left="3600" w:hanging="360"/>
      </w:pPr>
      <w:rPr>
        <w:rFonts w:ascii="Courier New" w:hAnsi="Courier New" w:hint="default"/>
      </w:rPr>
    </w:lvl>
    <w:lvl w:ilvl="5" w:tplc="15F81690">
      <w:start w:val="1"/>
      <w:numFmt w:val="bullet"/>
      <w:lvlText w:val=""/>
      <w:lvlJc w:val="left"/>
      <w:pPr>
        <w:ind w:left="4320" w:hanging="360"/>
      </w:pPr>
      <w:rPr>
        <w:rFonts w:ascii="Wingdings" w:hAnsi="Wingdings" w:hint="default"/>
      </w:rPr>
    </w:lvl>
    <w:lvl w:ilvl="6" w:tplc="F34A0164">
      <w:start w:val="1"/>
      <w:numFmt w:val="bullet"/>
      <w:lvlText w:val=""/>
      <w:lvlJc w:val="left"/>
      <w:pPr>
        <w:ind w:left="5040" w:hanging="360"/>
      </w:pPr>
      <w:rPr>
        <w:rFonts w:ascii="Symbol" w:hAnsi="Symbol" w:hint="default"/>
      </w:rPr>
    </w:lvl>
    <w:lvl w:ilvl="7" w:tplc="AD4CD0EC">
      <w:start w:val="1"/>
      <w:numFmt w:val="bullet"/>
      <w:lvlText w:val="o"/>
      <w:lvlJc w:val="left"/>
      <w:pPr>
        <w:ind w:left="5760" w:hanging="360"/>
      </w:pPr>
      <w:rPr>
        <w:rFonts w:ascii="Courier New" w:hAnsi="Courier New" w:hint="default"/>
      </w:rPr>
    </w:lvl>
    <w:lvl w:ilvl="8" w:tplc="7194AAE0">
      <w:start w:val="1"/>
      <w:numFmt w:val="bullet"/>
      <w:lvlText w:val=""/>
      <w:lvlJc w:val="left"/>
      <w:pPr>
        <w:ind w:left="6480" w:hanging="360"/>
      </w:pPr>
      <w:rPr>
        <w:rFonts w:ascii="Wingdings" w:hAnsi="Wingdings" w:hint="default"/>
      </w:rPr>
    </w:lvl>
  </w:abstractNum>
  <w:abstractNum w:abstractNumId="618"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19" w15:restartNumberingAfterBreak="0">
    <w:nsid w:val="67CA10CF"/>
    <w:multiLevelType w:val="hybridMultilevel"/>
    <w:tmpl w:val="9BACB9A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20" w15:restartNumberingAfterBreak="0">
    <w:nsid w:val="68223F0D"/>
    <w:multiLevelType w:val="multilevel"/>
    <w:tmpl w:val="23C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68735CA3"/>
    <w:multiLevelType w:val="hybridMultilevel"/>
    <w:tmpl w:val="FF96D2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2" w15:restartNumberingAfterBreak="0">
    <w:nsid w:val="68C809B0"/>
    <w:multiLevelType w:val="hybridMultilevel"/>
    <w:tmpl w:val="AA46E654"/>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3" w15:restartNumberingAfterBreak="0">
    <w:nsid w:val="69761DC7"/>
    <w:multiLevelType w:val="hybridMultilevel"/>
    <w:tmpl w:val="45FC3090"/>
    <w:lvl w:ilvl="0" w:tplc="080C0003">
      <w:start w:val="1"/>
      <w:numFmt w:val="bullet"/>
      <w:lvlText w:val="o"/>
      <w:lvlJc w:val="left"/>
      <w:pPr>
        <w:ind w:left="907" w:hanging="360"/>
      </w:pPr>
      <w:rPr>
        <w:rFonts w:ascii="Courier New" w:hAnsi="Courier New" w:cs="Courier New"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624" w15:restartNumberingAfterBreak="0">
    <w:nsid w:val="69C032C2"/>
    <w:multiLevelType w:val="multilevel"/>
    <w:tmpl w:val="E9E82A2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5" w15:restartNumberingAfterBreak="0">
    <w:nsid w:val="69F52714"/>
    <w:multiLevelType w:val="hybridMultilevel"/>
    <w:tmpl w:val="C32CEE4E"/>
    <w:lvl w:ilvl="0" w:tplc="0C0A0001">
      <w:start w:val="1"/>
      <w:numFmt w:val="bullet"/>
      <w:lvlText w:val=""/>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626" w15:restartNumberingAfterBreak="0">
    <w:nsid w:val="6A0172F0"/>
    <w:multiLevelType w:val="hybridMultilevel"/>
    <w:tmpl w:val="888CFB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6A050295"/>
    <w:multiLevelType w:val="multilevel"/>
    <w:tmpl w:val="619629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6A5224B1"/>
    <w:multiLevelType w:val="multilevel"/>
    <w:tmpl w:val="97B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6A563A2D"/>
    <w:multiLevelType w:val="hybridMultilevel"/>
    <w:tmpl w:val="080056A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30" w15:restartNumberingAfterBreak="0">
    <w:nsid w:val="6A5A1370"/>
    <w:multiLevelType w:val="hybridMultilevel"/>
    <w:tmpl w:val="FFFFFFFF"/>
    <w:lvl w:ilvl="0" w:tplc="671AAC7E">
      <w:start w:val="2"/>
      <w:numFmt w:val="decimal"/>
      <w:lvlText w:val="%1."/>
      <w:lvlJc w:val="left"/>
      <w:pPr>
        <w:ind w:left="720" w:hanging="360"/>
      </w:pPr>
    </w:lvl>
    <w:lvl w:ilvl="1" w:tplc="007E2BD6">
      <w:start w:val="1"/>
      <w:numFmt w:val="lowerLetter"/>
      <w:lvlText w:val="%2."/>
      <w:lvlJc w:val="left"/>
      <w:pPr>
        <w:ind w:left="1440" w:hanging="360"/>
      </w:pPr>
    </w:lvl>
    <w:lvl w:ilvl="2" w:tplc="0F3016EE">
      <w:start w:val="1"/>
      <w:numFmt w:val="lowerRoman"/>
      <w:lvlText w:val="%3."/>
      <w:lvlJc w:val="right"/>
      <w:pPr>
        <w:ind w:left="2160" w:hanging="180"/>
      </w:pPr>
    </w:lvl>
    <w:lvl w:ilvl="3" w:tplc="23467664">
      <w:start w:val="1"/>
      <w:numFmt w:val="decimal"/>
      <w:lvlText w:val="%4."/>
      <w:lvlJc w:val="left"/>
      <w:pPr>
        <w:ind w:left="2880" w:hanging="360"/>
      </w:pPr>
    </w:lvl>
    <w:lvl w:ilvl="4" w:tplc="49DA7CA8">
      <w:start w:val="1"/>
      <w:numFmt w:val="lowerLetter"/>
      <w:lvlText w:val="%5."/>
      <w:lvlJc w:val="left"/>
      <w:pPr>
        <w:ind w:left="3600" w:hanging="360"/>
      </w:pPr>
    </w:lvl>
    <w:lvl w:ilvl="5" w:tplc="9B48C7C6">
      <w:start w:val="1"/>
      <w:numFmt w:val="lowerRoman"/>
      <w:lvlText w:val="%6."/>
      <w:lvlJc w:val="right"/>
      <w:pPr>
        <w:ind w:left="4320" w:hanging="180"/>
      </w:pPr>
    </w:lvl>
    <w:lvl w:ilvl="6" w:tplc="ADB2099C">
      <w:start w:val="1"/>
      <w:numFmt w:val="decimal"/>
      <w:lvlText w:val="%7."/>
      <w:lvlJc w:val="left"/>
      <w:pPr>
        <w:ind w:left="5040" w:hanging="360"/>
      </w:pPr>
    </w:lvl>
    <w:lvl w:ilvl="7" w:tplc="077EA7A2">
      <w:start w:val="1"/>
      <w:numFmt w:val="lowerLetter"/>
      <w:lvlText w:val="%8."/>
      <w:lvlJc w:val="left"/>
      <w:pPr>
        <w:ind w:left="5760" w:hanging="360"/>
      </w:pPr>
    </w:lvl>
    <w:lvl w:ilvl="8" w:tplc="5E7E9E22">
      <w:start w:val="1"/>
      <w:numFmt w:val="lowerRoman"/>
      <w:lvlText w:val="%9."/>
      <w:lvlJc w:val="right"/>
      <w:pPr>
        <w:ind w:left="6480" w:hanging="180"/>
      </w:pPr>
    </w:lvl>
  </w:abstractNum>
  <w:abstractNum w:abstractNumId="631" w15:restartNumberingAfterBreak="0">
    <w:nsid w:val="6A9527FE"/>
    <w:multiLevelType w:val="hybridMultilevel"/>
    <w:tmpl w:val="2A08BB40"/>
    <w:lvl w:ilvl="0" w:tplc="FFFFFFFF">
      <w:start w:val="1"/>
      <w:numFmt w:val="decimal"/>
      <w:lvlText w:val="%1."/>
      <w:lvlJc w:val="left"/>
      <w:pPr>
        <w:ind w:left="720" w:hanging="360"/>
      </w:pPr>
    </w:lvl>
    <w:lvl w:ilvl="1" w:tplc="1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2" w15:restartNumberingAfterBreak="0">
    <w:nsid w:val="6A9A5717"/>
    <w:multiLevelType w:val="hybridMultilevel"/>
    <w:tmpl w:val="3822D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3" w15:restartNumberingAfterBreak="0">
    <w:nsid w:val="6A9D45A4"/>
    <w:multiLevelType w:val="hybridMultilevel"/>
    <w:tmpl w:val="A50660FE"/>
    <w:lvl w:ilvl="0" w:tplc="312A5F28">
      <w:start w:val="1"/>
      <w:numFmt w:val="bullet"/>
      <w:lvlText w:val="-"/>
      <w:lvlJc w:val="left"/>
      <w:pPr>
        <w:ind w:left="1004" w:hanging="360"/>
      </w:pPr>
      <w:rPr>
        <w:rFonts w:ascii="Cambria" w:eastAsiaTheme="minorHAnsi" w:hAnsi="Cambria" w:cs="Cambria" w:hint="default"/>
        <w:color w:val="7030A0"/>
      </w:rPr>
    </w:lvl>
    <w:lvl w:ilvl="1" w:tplc="FFFFFFFF" w:tentative="1">
      <w:start w:val="1"/>
      <w:numFmt w:val="bullet"/>
      <w:lvlText w:val="o"/>
      <w:lvlJc w:val="left"/>
      <w:pPr>
        <w:ind w:left="1724" w:hanging="360"/>
      </w:pPr>
      <w:rPr>
        <w:rFonts w:ascii="Cambria Math" w:hAnsi="Cambria Math" w:cs="Cambria Math"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Courier New" w:hAnsi="Courier New" w:hint="default"/>
      </w:rPr>
    </w:lvl>
    <w:lvl w:ilvl="4" w:tplc="FFFFFFFF" w:tentative="1">
      <w:start w:val="1"/>
      <w:numFmt w:val="bullet"/>
      <w:lvlText w:val="o"/>
      <w:lvlJc w:val="left"/>
      <w:pPr>
        <w:ind w:left="3884" w:hanging="360"/>
      </w:pPr>
      <w:rPr>
        <w:rFonts w:ascii="Cambria Math" w:hAnsi="Cambria Math" w:cs="Cambria Math"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Courier New" w:hAnsi="Courier New" w:hint="default"/>
      </w:rPr>
    </w:lvl>
    <w:lvl w:ilvl="7" w:tplc="FFFFFFFF" w:tentative="1">
      <w:start w:val="1"/>
      <w:numFmt w:val="bullet"/>
      <w:lvlText w:val="o"/>
      <w:lvlJc w:val="left"/>
      <w:pPr>
        <w:ind w:left="6044" w:hanging="360"/>
      </w:pPr>
      <w:rPr>
        <w:rFonts w:ascii="Cambria Math" w:hAnsi="Cambria Math" w:cs="Cambria Math" w:hint="default"/>
      </w:rPr>
    </w:lvl>
    <w:lvl w:ilvl="8" w:tplc="FFFFFFFF" w:tentative="1">
      <w:start w:val="1"/>
      <w:numFmt w:val="bullet"/>
      <w:lvlText w:val=""/>
      <w:lvlJc w:val="left"/>
      <w:pPr>
        <w:ind w:left="6764" w:hanging="360"/>
      </w:pPr>
      <w:rPr>
        <w:rFonts w:ascii="Wingdings" w:hAnsi="Wingdings" w:hint="default"/>
      </w:rPr>
    </w:lvl>
  </w:abstractNum>
  <w:abstractNum w:abstractNumId="634" w15:restartNumberingAfterBreak="0">
    <w:nsid w:val="6AB606B0"/>
    <w:multiLevelType w:val="hybridMultilevel"/>
    <w:tmpl w:val="D3BAFE1E"/>
    <w:lvl w:ilvl="0" w:tplc="FFFFFFFF">
      <w:start w:val="1"/>
      <w:numFmt w:val="bullet"/>
      <w:lvlText w:val=""/>
      <w:lvlJc w:val="left"/>
      <w:pPr>
        <w:ind w:left="720" w:hanging="360"/>
      </w:pPr>
      <w:rPr>
        <w:rFonts w:ascii="Symbol" w:hAnsi="Symbol" w:hint="default"/>
        <w:b/>
        <w:bCs/>
      </w:rPr>
    </w:lvl>
    <w:lvl w:ilvl="1" w:tplc="75EAFCA8">
      <w:start w:val="1"/>
      <w:numFmt w:val="lowerLetter"/>
      <w:lvlText w:val="%2."/>
      <w:lvlJc w:val="left"/>
      <w:pPr>
        <w:ind w:left="1440" w:hanging="360"/>
      </w:pPr>
      <w:rPr>
        <w:rFonts w:ascii="Times New Roman" w:eastAsiaTheme="minorHAnsi" w:hAnsi="Times New Roman" w:cs="Times New Roman"/>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5" w15:restartNumberingAfterBreak="0">
    <w:nsid w:val="6AC6D58C"/>
    <w:multiLevelType w:val="hybridMultilevel"/>
    <w:tmpl w:val="5E94D240"/>
    <w:lvl w:ilvl="0" w:tplc="7FDEF720">
      <w:start w:val="1"/>
      <w:numFmt w:val="lowerRoman"/>
      <w:lvlText w:val="%1."/>
      <w:lvlJc w:val="right"/>
      <w:pPr>
        <w:ind w:left="720" w:hanging="360"/>
      </w:pPr>
      <w:rPr>
        <w:color w:val="auto"/>
        <w:sz w:val="18"/>
        <w:szCs w:val="18"/>
      </w:rPr>
    </w:lvl>
    <w:lvl w:ilvl="1" w:tplc="263C1BC4">
      <w:start w:val="1"/>
      <w:numFmt w:val="lowerLetter"/>
      <w:lvlText w:val="%2."/>
      <w:lvlJc w:val="left"/>
      <w:pPr>
        <w:ind w:left="1440" w:hanging="360"/>
      </w:pPr>
    </w:lvl>
    <w:lvl w:ilvl="2" w:tplc="6FC661DC">
      <w:start w:val="1"/>
      <w:numFmt w:val="lowerRoman"/>
      <w:lvlText w:val="%3."/>
      <w:lvlJc w:val="right"/>
      <w:pPr>
        <w:ind w:left="2160" w:hanging="180"/>
      </w:pPr>
    </w:lvl>
    <w:lvl w:ilvl="3" w:tplc="8EF24CE6">
      <w:start w:val="1"/>
      <w:numFmt w:val="decimal"/>
      <w:lvlText w:val="%4."/>
      <w:lvlJc w:val="left"/>
      <w:pPr>
        <w:ind w:left="2880" w:hanging="360"/>
      </w:pPr>
    </w:lvl>
    <w:lvl w:ilvl="4" w:tplc="6F626566">
      <w:start w:val="1"/>
      <w:numFmt w:val="lowerLetter"/>
      <w:lvlText w:val="%5."/>
      <w:lvlJc w:val="left"/>
      <w:pPr>
        <w:ind w:left="3600" w:hanging="360"/>
      </w:pPr>
    </w:lvl>
    <w:lvl w:ilvl="5" w:tplc="754678B6">
      <w:start w:val="1"/>
      <w:numFmt w:val="lowerRoman"/>
      <w:lvlText w:val="%6."/>
      <w:lvlJc w:val="right"/>
      <w:pPr>
        <w:ind w:left="4320" w:hanging="180"/>
      </w:pPr>
    </w:lvl>
    <w:lvl w:ilvl="6" w:tplc="669271CA">
      <w:start w:val="1"/>
      <w:numFmt w:val="decimal"/>
      <w:lvlText w:val="%7."/>
      <w:lvlJc w:val="left"/>
      <w:pPr>
        <w:ind w:left="5040" w:hanging="360"/>
      </w:pPr>
    </w:lvl>
    <w:lvl w:ilvl="7" w:tplc="C59ED434">
      <w:start w:val="1"/>
      <w:numFmt w:val="lowerLetter"/>
      <w:lvlText w:val="%8."/>
      <w:lvlJc w:val="left"/>
      <w:pPr>
        <w:ind w:left="5760" w:hanging="360"/>
      </w:pPr>
    </w:lvl>
    <w:lvl w:ilvl="8" w:tplc="4BB027E2">
      <w:start w:val="1"/>
      <w:numFmt w:val="lowerRoman"/>
      <w:lvlText w:val="%9."/>
      <w:lvlJc w:val="right"/>
      <w:pPr>
        <w:ind w:left="6480" w:hanging="180"/>
      </w:pPr>
    </w:lvl>
  </w:abstractNum>
  <w:abstractNum w:abstractNumId="636" w15:restartNumberingAfterBreak="0">
    <w:nsid w:val="6B002138"/>
    <w:multiLevelType w:val="hybridMultilevel"/>
    <w:tmpl w:val="54B8A282"/>
    <w:lvl w:ilvl="0" w:tplc="13446122">
      <w:start w:val="1"/>
      <w:numFmt w:val="lowerRoman"/>
      <w:lvlText w:val="%1."/>
      <w:lvlJc w:val="right"/>
      <w:pPr>
        <w:ind w:left="720" w:hanging="360"/>
      </w:pPr>
      <w:rPr>
        <w:color w:val="0070C0"/>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7" w15:restartNumberingAfterBreak="0">
    <w:nsid w:val="6B8345B1"/>
    <w:multiLevelType w:val="hybridMultilevel"/>
    <w:tmpl w:val="B34877A4"/>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638" w15:restartNumberingAfterBreak="0">
    <w:nsid w:val="6B921634"/>
    <w:multiLevelType w:val="hybridMultilevel"/>
    <w:tmpl w:val="9A74D662"/>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9" w15:restartNumberingAfterBreak="0">
    <w:nsid w:val="6BA555E5"/>
    <w:multiLevelType w:val="hybridMultilevel"/>
    <w:tmpl w:val="F9E69036"/>
    <w:lvl w:ilvl="0" w:tplc="1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0" w15:restartNumberingAfterBreak="0">
    <w:nsid w:val="6BB9719F"/>
    <w:multiLevelType w:val="hybridMultilevel"/>
    <w:tmpl w:val="66F098D0"/>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641" w15:restartNumberingAfterBreak="0">
    <w:nsid w:val="6C24649E"/>
    <w:multiLevelType w:val="hybridMultilevel"/>
    <w:tmpl w:val="B7861CF2"/>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42" w15:restartNumberingAfterBreak="0">
    <w:nsid w:val="6C7D3549"/>
    <w:multiLevelType w:val="hybridMultilevel"/>
    <w:tmpl w:val="FDD6BEBC"/>
    <w:lvl w:ilvl="0" w:tplc="6272088A">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3" w15:restartNumberingAfterBreak="0">
    <w:nsid w:val="6C815D80"/>
    <w:multiLevelType w:val="multilevel"/>
    <w:tmpl w:val="7BDE59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15:restartNumberingAfterBreak="0">
    <w:nsid w:val="6C962040"/>
    <w:multiLevelType w:val="hybridMultilevel"/>
    <w:tmpl w:val="FFFFFFFF"/>
    <w:lvl w:ilvl="0" w:tplc="06100BC6">
      <w:start w:val="1"/>
      <w:numFmt w:val="bullet"/>
      <w:lvlText w:val="·"/>
      <w:lvlJc w:val="left"/>
      <w:pPr>
        <w:ind w:left="720" w:hanging="360"/>
      </w:pPr>
      <w:rPr>
        <w:rFonts w:ascii="Symbol" w:hAnsi="Symbol" w:hint="default"/>
      </w:rPr>
    </w:lvl>
    <w:lvl w:ilvl="1" w:tplc="098EF74A">
      <w:start w:val="1"/>
      <w:numFmt w:val="bullet"/>
      <w:lvlText w:val="o"/>
      <w:lvlJc w:val="left"/>
      <w:pPr>
        <w:ind w:left="1440" w:hanging="360"/>
      </w:pPr>
      <w:rPr>
        <w:rFonts w:ascii="Courier New" w:hAnsi="Courier New" w:hint="default"/>
      </w:rPr>
    </w:lvl>
    <w:lvl w:ilvl="2" w:tplc="5720DDAC">
      <w:start w:val="1"/>
      <w:numFmt w:val="bullet"/>
      <w:lvlText w:val=""/>
      <w:lvlJc w:val="left"/>
      <w:pPr>
        <w:ind w:left="2160" w:hanging="360"/>
      </w:pPr>
      <w:rPr>
        <w:rFonts w:ascii="Wingdings" w:hAnsi="Wingdings" w:hint="default"/>
      </w:rPr>
    </w:lvl>
    <w:lvl w:ilvl="3" w:tplc="BA6660A2">
      <w:start w:val="1"/>
      <w:numFmt w:val="bullet"/>
      <w:lvlText w:val=""/>
      <w:lvlJc w:val="left"/>
      <w:pPr>
        <w:ind w:left="2880" w:hanging="360"/>
      </w:pPr>
      <w:rPr>
        <w:rFonts w:ascii="Symbol" w:hAnsi="Symbol" w:hint="default"/>
      </w:rPr>
    </w:lvl>
    <w:lvl w:ilvl="4" w:tplc="8C5C27F0">
      <w:start w:val="1"/>
      <w:numFmt w:val="bullet"/>
      <w:lvlText w:val="o"/>
      <w:lvlJc w:val="left"/>
      <w:pPr>
        <w:ind w:left="3600" w:hanging="360"/>
      </w:pPr>
      <w:rPr>
        <w:rFonts w:ascii="Courier New" w:hAnsi="Courier New" w:hint="default"/>
      </w:rPr>
    </w:lvl>
    <w:lvl w:ilvl="5" w:tplc="660A179C">
      <w:start w:val="1"/>
      <w:numFmt w:val="bullet"/>
      <w:lvlText w:val=""/>
      <w:lvlJc w:val="left"/>
      <w:pPr>
        <w:ind w:left="4320" w:hanging="360"/>
      </w:pPr>
      <w:rPr>
        <w:rFonts w:ascii="Wingdings" w:hAnsi="Wingdings" w:hint="default"/>
      </w:rPr>
    </w:lvl>
    <w:lvl w:ilvl="6" w:tplc="0C928458">
      <w:start w:val="1"/>
      <w:numFmt w:val="bullet"/>
      <w:lvlText w:val=""/>
      <w:lvlJc w:val="left"/>
      <w:pPr>
        <w:ind w:left="5040" w:hanging="360"/>
      </w:pPr>
      <w:rPr>
        <w:rFonts w:ascii="Symbol" w:hAnsi="Symbol" w:hint="default"/>
      </w:rPr>
    </w:lvl>
    <w:lvl w:ilvl="7" w:tplc="B51ECFFA">
      <w:start w:val="1"/>
      <w:numFmt w:val="bullet"/>
      <w:lvlText w:val="o"/>
      <w:lvlJc w:val="left"/>
      <w:pPr>
        <w:ind w:left="5760" w:hanging="360"/>
      </w:pPr>
      <w:rPr>
        <w:rFonts w:ascii="Courier New" w:hAnsi="Courier New" w:hint="default"/>
      </w:rPr>
    </w:lvl>
    <w:lvl w:ilvl="8" w:tplc="636E11E4">
      <w:start w:val="1"/>
      <w:numFmt w:val="bullet"/>
      <w:lvlText w:val=""/>
      <w:lvlJc w:val="left"/>
      <w:pPr>
        <w:ind w:left="6480" w:hanging="360"/>
      </w:pPr>
      <w:rPr>
        <w:rFonts w:ascii="Wingdings" w:hAnsi="Wingdings" w:hint="default"/>
      </w:rPr>
    </w:lvl>
  </w:abstractNum>
  <w:abstractNum w:abstractNumId="645" w15:restartNumberingAfterBreak="0">
    <w:nsid w:val="6C97FDD9"/>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6" w15:restartNumberingAfterBreak="0">
    <w:nsid w:val="6DA07262"/>
    <w:multiLevelType w:val="multilevel"/>
    <w:tmpl w:val="BAEEAF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DB30E0C"/>
    <w:multiLevelType w:val="hybridMultilevel"/>
    <w:tmpl w:val="FFFFFFFF"/>
    <w:lvl w:ilvl="0" w:tplc="E04A01CE">
      <w:start w:val="2"/>
      <w:numFmt w:val="decimal"/>
      <w:lvlText w:val="%1."/>
      <w:lvlJc w:val="left"/>
      <w:pPr>
        <w:ind w:left="720" w:hanging="360"/>
      </w:pPr>
    </w:lvl>
    <w:lvl w:ilvl="1" w:tplc="BA08502C">
      <w:start w:val="1"/>
      <w:numFmt w:val="lowerLetter"/>
      <w:lvlText w:val="%2."/>
      <w:lvlJc w:val="left"/>
      <w:pPr>
        <w:ind w:left="1440" w:hanging="360"/>
      </w:pPr>
    </w:lvl>
    <w:lvl w:ilvl="2" w:tplc="27E83C2C">
      <w:start w:val="1"/>
      <w:numFmt w:val="lowerRoman"/>
      <w:lvlText w:val="%3."/>
      <w:lvlJc w:val="right"/>
      <w:pPr>
        <w:ind w:left="2160" w:hanging="180"/>
      </w:pPr>
    </w:lvl>
    <w:lvl w:ilvl="3" w:tplc="C3ECD98E">
      <w:start w:val="1"/>
      <w:numFmt w:val="decimal"/>
      <w:lvlText w:val="%4."/>
      <w:lvlJc w:val="left"/>
      <w:pPr>
        <w:ind w:left="2880" w:hanging="360"/>
      </w:pPr>
    </w:lvl>
    <w:lvl w:ilvl="4" w:tplc="C8FE5974">
      <w:start w:val="1"/>
      <w:numFmt w:val="lowerLetter"/>
      <w:lvlText w:val="%5."/>
      <w:lvlJc w:val="left"/>
      <w:pPr>
        <w:ind w:left="3600" w:hanging="360"/>
      </w:pPr>
    </w:lvl>
    <w:lvl w:ilvl="5" w:tplc="536CCB6C">
      <w:start w:val="1"/>
      <w:numFmt w:val="lowerRoman"/>
      <w:lvlText w:val="%6."/>
      <w:lvlJc w:val="right"/>
      <w:pPr>
        <w:ind w:left="4320" w:hanging="180"/>
      </w:pPr>
    </w:lvl>
    <w:lvl w:ilvl="6" w:tplc="99642C7E">
      <w:start w:val="1"/>
      <w:numFmt w:val="decimal"/>
      <w:lvlText w:val="%7."/>
      <w:lvlJc w:val="left"/>
      <w:pPr>
        <w:ind w:left="5040" w:hanging="360"/>
      </w:pPr>
    </w:lvl>
    <w:lvl w:ilvl="7" w:tplc="6A4C50E6">
      <w:start w:val="1"/>
      <w:numFmt w:val="lowerLetter"/>
      <w:lvlText w:val="%8."/>
      <w:lvlJc w:val="left"/>
      <w:pPr>
        <w:ind w:left="5760" w:hanging="360"/>
      </w:pPr>
    </w:lvl>
    <w:lvl w:ilvl="8" w:tplc="EA3C9864">
      <w:start w:val="1"/>
      <w:numFmt w:val="lowerRoman"/>
      <w:lvlText w:val="%9."/>
      <w:lvlJc w:val="right"/>
      <w:pPr>
        <w:ind w:left="6480" w:hanging="180"/>
      </w:pPr>
    </w:lvl>
  </w:abstractNum>
  <w:abstractNum w:abstractNumId="648" w15:restartNumberingAfterBreak="0">
    <w:nsid w:val="6DD191DF"/>
    <w:multiLevelType w:val="hybridMultilevel"/>
    <w:tmpl w:val="FFFFFFFF"/>
    <w:lvl w:ilvl="0" w:tplc="FCDAE8AE">
      <w:start w:val="1"/>
      <w:numFmt w:val="bullet"/>
      <w:lvlText w:val="·"/>
      <w:lvlJc w:val="left"/>
      <w:pPr>
        <w:ind w:left="720" w:hanging="360"/>
      </w:pPr>
      <w:rPr>
        <w:rFonts w:ascii="Symbol" w:hAnsi="Symbol" w:hint="default"/>
      </w:rPr>
    </w:lvl>
    <w:lvl w:ilvl="1" w:tplc="0ED442A4">
      <w:start w:val="1"/>
      <w:numFmt w:val="bullet"/>
      <w:lvlText w:val="o"/>
      <w:lvlJc w:val="left"/>
      <w:pPr>
        <w:ind w:left="1440" w:hanging="360"/>
      </w:pPr>
      <w:rPr>
        <w:rFonts w:ascii="Courier New" w:hAnsi="Courier New" w:hint="default"/>
      </w:rPr>
    </w:lvl>
    <w:lvl w:ilvl="2" w:tplc="F62CBD46">
      <w:start w:val="1"/>
      <w:numFmt w:val="bullet"/>
      <w:lvlText w:val=""/>
      <w:lvlJc w:val="left"/>
      <w:pPr>
        <w:ind w:left="2160" w:hanging="360"/>
      </w:pPr>
      <w:rPr>
        <w:rFonts w:ascii="Wingdings" w:hAnsi="Wingdings" w:hint="default"/>
      </w:rPr>
    </w:lvl>
    <w:lvl w:ilvl="3" w:tplc="C52A8E0C">
      <w:start w:val="1"/>
      <w:numFmt w:val="bullet"/>
      <w:lvlText w:val=""/>
      <w:lvlJc w:val="left"/>
      <w:pPr>
        <w:ind w:left="2880" w:hanging="360"/>
      </w:pPr>
      <w:rPr>
        <w:rFonts w:ascii="Symbol" w:hAnsi="Symbol" w:hint="default"/>
      </w:rPr>
    </w:lvl>
    <w:lvl w:ilvl="4" w:tplc="FE1C3402">
      <w:start w:val="1"/>
      <w:numFmt w:val="bullet"/>
      <w:lvlText w:val="o"/>
      <w:lvlJc w:val="left"/>
      <w:pPr>
        <w:ind w:left="3600" w:hanging="360"/>
      </w:pPr>
      <w:rPr>
        <w:rFonts w:ascii="Courier New" w:hAnsi="Courier New" w:hint="default"/>
      </w:rPr>
    </w:lvl>
    <w:lvl w:ilvl="5" w:tplc="C14C0C48">
      <w:start w:val="1"/>
      <w:numFmt w:val="bullet"/>
      <w:lvlText w:val=""/>
      <w:lvlJc w:val="left"/>
      <w:pPr>
        <w:ind w:left="4320" w:hanging="360"/>
      </w:pPr>
      <w:rPr>
        <w:rFonts w:ascii="Wingdings" w:hAnsi="Wingdings" w:hint="default"/>
      </w:rPr>
    </w:lvl>
    <w:lvl w:ilvl="6" w:tplc="8F0C56C8">
      <w:start w:val="1"/>
      <w:numFmt w:val="bullet"/>
      <w:lvlText w:val=""/>
      <w:lvlJc w:val="left"/>
      <w:pPr>
        <w:ind w:left="5040" w:hanging="360"/>
      </w:pPr>
      <w:rPr>
        <w:rFonts w:ascii="Symbol" w:hAnsi="Symbol" w:hint="default"/>
      </w:rPr>
    </w:lvl>
    <w:lvl w:ilvl="7" w:tplc="916C80C2">
      <w:start w:val="1"/>
      <w:numFmt w:val="bullet"/>
      <w:lvlText w:val="o"/>
      <w:lvlJc w:val="left"/>
      <w:pPr>
        <w:ind w:left="5760" w:hanging="360"/>
      </w:pPr>
      <w:rPr>
        <w:rFonts w:ascii="Courier New" w:hAnsi="Courier New" w:hint="default"/>
      </w:rPr>
    </w:lvl>
    <w:lvl w:ilvl="8" w:tplc="F1725350">
      <w:start w:val="1"/>
      <w:numFmt w:val="bullet"/>
      <w:lvlText w:val=""/>
      <w:lvlJc w:val="left"/>
      <w:pPr>
        <w:ind w:left="6480" w:hanging="360"/>
      </w:pPr>
      <w:rPr>
        <w:rFonts w:ascii="Wingdings" w:hAnsi="Wingdings" w:hint="default"/>
      </w:rPr>
    </w:lvl>
  </w:abstractNum>
  <w:abstractNum w:abstractNumId="649" w15:restartNumberingAfterBreak="0">
    <w:nsid w:val="6E0F02FB"/>
    <w:multiLevelType w:val="hybridMultilevel"/>
    <w:tmpl w:val="6714E3B4"/>
    <w:lvl w:ilvl="0" w:tplc="1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0" w15:restartNumberingAfterBreak="0">
    <w:nsid w:val="6E3D7768"/>
    <w:multiLevelType w:val="hybridMultilevel"/>
    <w:tmpl w:val="3806B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1" w15:restartNumberingAfterBreak="0">
    <w:nsid w:val="6E4E734A"/>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52" w15:restartNumberingAfterBreak="0">
    <w:nsid w:val="6EF03967"/>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3" w15:restartNumberingAfterBreak="0">
    <w:nsid w:val="6F58292D"/>
    <w:multiLevelType w:val="hybridMultilevel"/>
    <w:tmpl w:val="FFFFFFFF"/>
    <w:lvl w:ilvl="0" w:tplc="D78EED72">
      <w:start w:val="10"/>
      <w:numFmt w:val="decimal"/>
      <w:lvlText w:val="%1."/>
      <w:lvlJc w:val="left"/>
      <w:pPr>
        <w:ind w:left="720" w:hanging="360"/>
      </w:pPr>
    </w:lvl>
    <w:lvl w:ilvl="1" w:tplc="C2469B4A">
      <w:start w:val="1"/>
      <w:numFmt w:val="lowerLetter"/>
      <w:lvlText w:val="%2."/>
      <w:lvlJc w:val="left"/>
      <w:pPr>
        <w:ind w:left="1440" w:hanging="360"/>
      </w:pPr>
    </w:lvl>
    <w:lvl w:ilvl="2" w:tplc="F9E681EE">
      <w:start w:val="1"/>
      <w:numFmt w:val="lowerRoman"/>
      <w:lvlText w:val="%3."/>
      <w:lvlJc w:val="right"/>
      <w:pPr>
        <w:ind w:left="2160" w:hanging="180"/>
      </w:pPr>
    </w:lvl>
    <w:lvl w:ilvl="3" w:tplc="162A8792">
      <w:start w:val="1"/>
      <w:numFmt w:val="decimal"/>
      <w:lvlText w:val="%4."/>
      <w:lvlJc w:val="left"/>
      <w:pPr>
        <w:ind w:left="2880" w:hanging="360"/>
      </w:pPr>
    </w:lvl>
    <w:lvl w:ilvl="4" w:tplc="8EB42746">
      <w:start w:val="1"/>
      <w:numFmt w:val="lowerLetter"/>
      <w:lvlText w:val="%5."/>
      <w:lvlJc w:val="left"/>
      <w:pPr>
        <w:ind w:left="3600" w:hanging="360"/>
      </w:pPr>
    </w:lvl>
    <w:lvl w:ilvl="5" w:tplc="F0580B6C">
      <w:start w:val="1"/>
      <w:numFmt w:val="lowerRoman"/>
      <w:lvlText w:val="%6."/>
      <w:lvlJc w:val="right"/>
      <w:pPr>
        <w:ind w:left="4320" w:hanging="180"/>
      </w:pPr>
    </w:lvl>
    <w:lvl w:ilvl="6" w:tplc="9A506642">
      <w:start w:val="1"/>
      <w:numFmt w:val="decimal"/>
      <w:lvlText w:val="%7."/>
      <w:lvlJc w:val="left"/>
      <w:pPr>
        <w:ind w:left="5040" w:hanging="360"/>
      </w:pPr>
    </w:lvl>
    <w:lvl w:ilvl="7" w:tplc="6160F8F2">
      <w:start w:val="1"/>
      <w:numFmt w:val="lowerLetter"/>
      <w:lvlText w:val="%8."/>
      <w:lvlJc w:val="left"/>
      <w:pPr>
        <w:ind w:left="5760" w:hanging="360"/>
      </w:pPr>
    </w:lvl>
    <w:lvl w:ilvl="8" w:tplc="0ECCE7DA">
      <w:start w:val="1"/>
      <w:numFmt w:val="lowerRoman"/>
      <w:lvlText w:val="%9."/>
      <w:lvlJc w:val="right"/>
      <w:pPr>
        <w:ind w:left="6480" w:hanging="180"/>
      </w:pPr>
    </w:lvl>
  </w:abstractNum>
  <w:abstractNum w:abstractNumId="654" w15:restartNumberingAfterBreak="0">
    <w:nsid w:val="6F9C0D1B"/>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5" w15:restartNumberingAfterBreak="0">
    <w:nsid w:val="6FC9332E"/>
    <w:multiLevelType w:val="multilevel"/>
    <w:tmpl w:val="37C61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15:restartNumberingAfterBreak="0">
    <w:nsid w:val="700D6F1F"/>
    <w:multiLevelType w:val="hybridMultilevel"/>
    <w:tmpl w:val="795664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7" w15:restartNumberingAfterBreak="0">
    <w:nsid w:val="701F0FBE"/>
    <w:multiLevelType w:val="hybridMultilevel"/>
    <w:tmpl w:val="FFFFFFFF"/>
    <w:lvl w:ilvl="0" w:tplc="C59A48B0">
      <w:start w:val="8"/>
      <w:numFmt w:val="decimal"/>
      <w:lvlText w:val="%1."/>
      <w:lvlJc w:val="left"/>
      <w:pPr>
        <w:ind w:left="720" w:hanging="360"/>
      </w:pPr>
    </w:lvl>
    <w:lvl w:ilvl="1" w:tplc="DCC87EB6">
      <w:start w:val="1"/>
      <w:numFmt w:val="lowerLetter"/>
      <w:lvlText w:val="%2."/>
      <w:lvlJc w:val="left"/>
      <w:pPr>
        <w:ind w:left="1440" w:hanging="360"/>
      </w:pPr>
    </w:lvl>
    <w:lvl w:ilvl="2" w:tplc="9E1AC784">
      <w:start w:val="1"/>
      <w:numFmt w:val="lowerRoman"/>
      <w:lvlText w:val="%3."/>
      <w:lvlJc w:val="right"/>
      <w:pPr>
        <w:ind w:left="2160" w:hanging="180"/>
      </w:pPr>
    </w:lvl>
    <w:lvl w:ilvl="3" w:tplc="8ADEE8F2">
      <w:start w:val="1"/>
      <w:numFmt w:val="decimal"/>
      <w:lvlText w:val="%4."/>
      <w:lvlJc w:val="left"/>
      <w:pPr>
        <w:ind w:left="2880" w:hanging="360"/>
      </w:pPr>
    </w:lvl>
    <w:lvl w:ilvl="4" w:tplc="177EA73E">
      <w:start w:val="1"/>
      <w:numFmt w:val="lowerLetter"/>
      <w:lvlText w:val="%5."/>
      <w:lvlJc w:val="left"/>
      <w:pPr>
        <w:ind w:left="3600" w:hanging="360"/>
      </w:pPr>
    </w:lvl>
    <w:lvl w:ilvl="5" w:tplc="7DBCFEBA">
      <w:start w:val="1"/>
      <w:numFmt w:val="lowerRoman"/>
      <w:lvlText w:val="%6."/>
      <w:lvlJc w:val="right"/>
      <w:pPr>
        <w:ind w:left="4320" w:hanging="180"/>
      </w:pPr>
    </w:lvl>
    <w:lvl w:ilvl="6" w:tplc="B1C6730E">
      <w:start w:val="1"/>
      <w:numFmt w:val="decimal"/>
      <w:lvlText w:val="%7."/>
      <w:lvlJc w:val="left"/>
      <w:pPr>
        <w:ind w:left="5040" w:hanging="360"/>
      </w:pPr>
    </w:lvl>
    <w:lvl w:ilvl="7" w:tplc="3D9ABE9A">
      <w:start w:val="1"/>
      <w:numFmt w:val="lowerLetter"/>
      <w:lvlText w:val="%8."/>
      <w:lvlJc w:val="left"/>
      <w:pPr>
        <w:ind w:left="5760" w:hanging="360"/>
      </w:pPr>
    </w:lvl>
    <w:lvl w:ilvl="8" w:tplc="BAD05C06">
      <w:start w:val="1"/>
      <w:numFmt w:val="lowerRoman"/>
      <w:lvlText w:val="%9."/>
      <w:lvlJc w:val="right"/>
      <w:pPr>
        <w:ind w:left="6480" w:hanging="180"/>
      </w:pPr>
    </w:lvl>
  </w:abstractNum>
  <w:abstractNum w:abstractNumId="658" w15:restartNumberingAfterBreak="0">
    <w:nsid w:val="70216735"/>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9" w15:restartNumberingAfterBreak="0">
    <w:nsid w:val="70D3BD8D"/>
    <w:multiLevelType w:val="hybridMultilevel"/>
    <w:tmpl w:val="FFFFFFFF"/>
    <w:lvl w:ilvl="0" w:tplc="1E063A50">
      <w:start w:val="1"/>
      <w:numFmt w:val="bullet"/>
      <w:lvlText w:val="o"/>
      <w:lvlJc w:val="left"/>
      <w:pPr>
        <w:ind w:left="720" w:hanging="360"/>
      </w:pPr>
      <w:rPr>
        <w:rFonts w:ascii="&quot;Courier New&quot;" w:hAnsi="&quot;Courier New&quot;" w:hint="default"/>
      </w:rPr>
    </w:lvl>
    <w:lvl w:ilvl="1" w:tplc="98625956">
      <w:start w:val="1"/>
      <w:numFmt w:val="bullet"/>
      <w:lvlText w:val="o"/>
      <w:lvlJc w:val="left"/>
      <w:pPr>
        <w:ind w:left="1440" w:hanging="360"/>
      </w:pPr>
      <w:rPr>
        <w:rFonts w:ascii="Courier New" w:hAnsi="Courier New" w:hint="default"/>
      </w:rPr>
    </w:lvl>
    <w:lvl w:ilvl="2" w:tplc="B8B20AC8">
      <w:start w:val="1"/>
      <w:numFmt w:val="bullet"/>
      <w:lvlText w:val=""/>
      <w:lvlJc w:val="left"/>
      <w:pPr>
        <w:ind w:left="2160" w:hanging="360"/>
      </w:pPr>
      <w:rPr>
        <w:rFonts w:ascii="Wingdings" w:hAnsi="Wingdings" w:hint="default"/>
      </w:rPr>
    </w:lvl>
    <w:lvl w:ilvl="3" w:tplc="E51C29F4">
      <w:start w:val="1"/>
      <w:numFmt w:val="bullet"/>
      <w:lvlText w:val=""/>
      <w:lvlJc w:val="left"/>
      <w:pPr>
        <w:ind w:left="2880" w:hanging="360"/>
      </w:pPr>
      <w:rPr>
        <w:rFonts w:ascii="Symbol" w:hAnsi="Symbol" w:hint="default"/>
      </w:rPr>
    </w:lvl>
    <w:lvl w:ilvl="4" w:tplc="DCDEADCA">
      <w:start w:val="1"/>
      <w:numFmt w:val="bullet"/>
      <w:lvlText w:val="o"/>
      <w:lvlJc w:val="left"/>
      <w:pPr>
        <w:ind w:left="3600" w:hanging="360"/>
      </w:pPr>
      <w:rPr>
        <w:rFonts w:ascii="Courier New" w:hAnsi="Courier New" w:hint="default"/>
      </w:rPr>
    </w:lvl>
    <w:lvl w:ilvl="5" w:tplc="9DD6A638">
      <w:start w:val="1"/>
      <w:numFmt w:val="bullet"/>
      <w:lvlText w:val=""/>
      <w:lvlJc w:val="left"/>
      <w:pPr>
        <w:ind w:left="4320" w:hanging="360"/>
      </w:pPr>
      <w:rPr>
        <w:rFonts w:ascii="Wingdings" w:hAnsi="Wingdings" w:hint="default"/>
      </w:rPr>
    </w:lvl>
    <w:lvl w:ilvl="6" w:tplc="2786A708">
      <w:start w:val="1"/>
      <w:numFmt w:val="bullet"/>
      <w:lvlText w:val=""/>
      <w:lvlJc w:val="left"/>
      <w:pPr>
        <w:ind w:left="5040" w:hanging="360"/>
      </w:pPr>
      <w:rPr>
        <w:rFonts w:ascii="Symbol" w:hAnsi="Symbol" w:hint="default"/>
      </w:rPr>
    </w:lvl>
    <w:lvl w:ilvl="7" w:tplc="65FE41B8">
      <w:start w:val="1"/>
      <w:numFmt w:val="bullet"/>
      <w:lvlText w:val="o"/>
      <w:lvlJc w:val="left"/>
      <w:pPr>
        <w:ind w:left="5760" w:hanging="360"/>
      </w:pPr>
      <w:rPr>
        <w:rFonts w:ascii="Courier New" w:hAnsi="Courier New" w:hint="default"/>
      </w:rPr>
    </w:lvl>
    <w:lvl w:ilvl="8" w:tplc="80746A54">
      <w:start w:val="1"/>
      <w:numFmt w:val="bullet"/>
      <w:lvlText w:val=""/>
      <w:lvlJc w:val="left"/>
      <w:pPr>
        <w:ind w:left="6480" w:hanging="360"/>
      </w:pPr>
      <w:rPr>
        <w:rFonts w:ascii="Wingdings" w:hAnsi="Wingdings" w:hint="default"/>
      </w:rPr>
    </w:lvl>
  </w:abstractNum>
  <w:abstractNum w:abstractNumId="660" w15:restartNumberingAfterBreak="0">
    <w:nsid w:val="70DFAB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1" w15:restartNumberingAfterBreak="0">
    <w:nsid w:val="70E83BC6"/>
    <w:multiLevelType w:val="hybridMultilevel"/>
    <w:tmpl w:val="B77CB0D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2" w15:restartNumberingAfterBreak="0">
    <w:nsid w:val="70EA1A3D"/>
    <w:multiLevelType w:val="hybridMultilevel"/>
    <w:tmpl w:val="AE3CCA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3" w15:restartNumberingAfterBreak="0">
    <w:nsid w:val="7105FF17"/>
    <w:multiLevelType w:val="hybridMultilevel"/>
    <w:tmpl w:val="FFFFFFFF"/>
    <w:lvl w:ilvl="0" w:tplc="CEEA69C6">
      <w:start w:val="1"/>
      <w:numFmt w:val="bullet"/>
      <w:lvlText w:val=""/>
      <w:lvlJc w:val="left"/>
      <w:pPr>
        <w:ind w:left="720" w:hanging="360"/>
      </w:pPr>
      <w:rPr>
        <w:rFonts w:ascii="Symbol" w:hAnsi="Symbol" w:hint="default"/>
      </w:rPr>
    </w:lvl>
    <w:lvl w:ilvl="1" w:tplc="660C72EA">
      <w:start w:val="1"/>
      <w:numFmt w:val="bullet"/>
      <w:lvlText w:val="-"/>
      <w:lvlJc w:val="left"/>
      <w:pPr>
        <w:ind w:left="1440" w:hanging="360"/>
      </w:pPr>
      <w:rPr>
        <w:rFonts w:ascii="Calibri" w:hAnsi="Calibri" w:hint="default"/>
      </w:rPr>
    </w:lvl>
    <w:lvl w:ilvl="2" w:tplc="D5025BAC">
      <w:start w:val="1"/>
      <w:numFmt w:val="bullet"/>
      <w:lvlText w:val=""/>
      <w:lvlJc w:val="left"/>
      <w:pPr>
        <w:ind w:left="2160" w:hanging="360"/>
      </w:pPr>
      <w:rPr>
        <w:rFonts w:ascii="Wingdings" w:hAnsi="Wingdings" w:hint="default"/>
      </w:rPr>
    </w:lvl>
    <w:lvl w:ilvl="3" w:tplc="72A4826A">
      <w:start w:val="1"/>
      <w:numFmt w:val="bullet"/>
      <w:lvlText w:val=""/>
      <w:lvlJc w:val="left"/>
      <w:pPr>
        <w:ind w:left="2880" w:hanging="360"/>
      </w:pPr>
      <w:rPr>
        <w:rFonts w:ascii="Symbol" w:hAnsi="Symbol" w:hint="default"/>
      </w:rPr>
    </w:lvl>
    <w:lvl w:ilvl="4" w:tplc="BB203824">
      <w:start w:val="1"/>
      <w:numFmt w:val="bullet"/>
      <w:lvlText w:val="o"/>
      <w:lvlJc w:val="left"/>
      <w:pPr>
        <w:ind w:left="3600" w:hanging="360"/>
      </w:pPr>
      <w:rPr>
        <w:rFonts w:ascii="Courier New" w:hAnsi="Courier New" w:hint="default"/>
      </w:rPr>
    </w:lvl>
    <w:lvl w:ilvl="5" w:tplc="1AC425EC">
      <w:start w:val="1"/>
      <w:numFmt w:val="bullet"/>
      <w:lvlText w:val=""/>
      <w:lvlJc w:val="left"/>
      <w:pPr>
        <w:ind w:left="4320" w:hanging="360"/>
      </w:pPr>
      <w:rPr>
        <w:rFonts w:ascii="Wingdings" w:hAnsi="Wingdings" w:hint="default"/>
      </w:rPr>
    </w:lvl>
    <w:lvl w:ilvl="6" w:tplc="4C3E4930">
      <w:start w:val="1"/>
      <w:numFmt w:val="bullet"/>
      <w:lvlText w:val=""/>
      <w:lvlJc w:val="left"/>
      <w:pPr>
        <w:ind w:left="5040" w:hanging="360"/>
      </w:pPr>
      <w:rPr>
        <w:rFonts w:ascii="Symbol" w:hAnsi="Symbol" w:hint="default"/>
      </w:rPr>
    </w:lvl>
    <w:lvl w:ilvl="7" w:tplc="0A523DF0">
      <w:start w:val="1"/>
      <w:numFmt w:val="bullet"/>
      <w:lvlText w:val="o"/>
      <w:lvlJc w:val="left"/>
      <w:pPr>
        <w:ind w:left="5760" w:hanging="360"/>
      </w:pPr>
      <w:rPr>
        <w:rFonts w:ascii="Courier New" w:hAnsi="Courier New" w:hint="default"/>
      </w:rPr>
    </w:lvl>
    <w:lvl w:ilvl="8" w:tplc="854A0FB4">
      <w:start w:val="1"/>
      <w:numFmt w:val="bullet"/>
      <w:lvlText w:val=""/>
      <w:lvlJc w:val="left"/>
      <w:pPr>
        <w:ind w:left="6480" w:hanging="360"/>
      </w:pPr>
      <w:rPr>
        <w:rFonts w:ascii="Wingdings" w:hAnsi="Wingdings" w:hint="default"/>
      </w:rPr>
    </w:lvl>
  </w:abstractNum>
  <w:abstractNum w:abstractNumId="664" w15:restartNumberingAfterBreak="0">
    <w:nsid w:val="71745158"/>
    <w:multiLevelType w:val="hybridMultilevel"/>
    <w:tmpl w:val="A19436BC"/>
    <w:lvl w:ilvl="0" w:tplc="FFFFFFF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5" w15:restartNumberingAfterBreak="0">
    <w:nsid w:val="71871271"/>
    <w:multiLevelType w:val="hybridMultilevel"/>
    <w:tmpl w:val="62364146"/>
    <w:lvl w:ilvl="0" w:tplc="561CD8F8">
      <w:start w:val="1"/>
      <w:numFmt w:val="bullet"/>
      <w:lvlText w:val="-"/>
      <w:lvlJc w:val="left"/>
      <w:pPr>
        <w:ind w:left="1069" w:hanging="360"/>
      </w:pPr>
      <w:rPr>
        <w:rFonts w:ascii="Calibri" w:hAnsi="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Cambria Math" w:hAnsi="Cambria Math" w:hint="default"/>
      </w:rPr>
    </w:lvl>
    <w:lvl w:ilvl="3" w:tplc="FFFFFFFF" w:tentative="1">
      <w:start w:val="1"/>
      <w:numFmt w:val="bullet"/>
      <w:lvlText w:val=""/>
      <w:lvlJc w:val="left"/>
      <w:pPr>
        <w:ind w:left="3229" w:hanging="360"/>
      </w:pPr>
      <w:rPr>
        <w:rFonts w:ascii="Segoe UI" w:hAnsi="Segoe UI"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Cambria Math" w:hAnsi="Cambria Math" w:hint="default"/>
      </w:rPr>
    </w:lvl>
    <w:lvl w:ilvl="6" w:tplc="FFFFFFFF" w:tentative="1">
      <w:start w:val="1"/>
      <w:numFmt w:val="bullet"/>
      <w:lvlText w:val=""/>
      <w:lvlJc w:val="left"/>
      <w:pPr>
        <w:ind w:left="5389" w:hanging="360"/>
      </w:pPr>
      <w:rPr>
        <w:rFonts w:ascii="Segoe UI" w:hAnsi="Segoe UI"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Cambria Math" w:hAnsi="Cambria Math" w:hint="default"/>
      </w:rPr>
    </w:lvl>
  </w:abstractNum>
  <w:abstractNum w:abstractNumId="666" w15:restartNumberingAfterBreak="0">
    <w:nsid w:val="71EB1CC2"/>
    <w:multiLevelType w:val="hybridMultilevel"/>
    <w:tmpl w:val="3E84AF54"/>
    <w:lvl w:ilvl="0" w:tplc="1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7" w15:restartNumberingAfterBreak="0">
    <w:nsid w:val="72586C97"/>
    <w:multiLevelType w:val="multilevel"/>
    <w:tmpl w:val="566A9D42"/>
    <w:lvl w:ilvl="0">
      <w:start w:val="1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8" w15:restartNumberingAfterBreak="0">
    <w:nsid w:val="727FCEFD"/>
    <w:multiLevelType w:val="hybridMultilevel"/>
    <w:tmpl w:val="FFFFFFFF"/>
    <w:lvl w:ilvl="0" w:tplc="F02C7C3A">
      <w:start w:val="1"/>
      <w:numFmt w:val="bullet"/>
      <w:lvlText w:val=""/>
      <w:lvlJc w:val="left"/>
      <w:pPr>
        <w:ind w:left="720" w:hanging="360"/>
      </w:pPr>
      <w:rPr>
        <w:rFonts w:ascii="Segoe UI" w:hAnsi="Segoe UI" w:hint="default"/>
      </w:rPr>
    </w:lvl>
    <w:lvl w:ilvl="1" w:tplc="30D25C38">
      <w:start w:val="1"/>
      <w:numFmt w:val="bullet"/>
      <w:lvlText w:val="o"/>
      <w:lvlJc w:val="left"/>
      <w:pPr>
        <w:ind w:left="1440" w:hanging="360"/>
      </w:pPr>
      <w:rPr>
        <w:rFonts w:ascii="Courier New" w:hAnsi="Courier New" w:hint="default"/>
      </w:rPr>
    </w:lvl>
    <w:lvl w:ilvl="2" w:tplc="249613D4">
      <w:start w:val="1"/>
      <w:numFmt w:val="bullet"/>
      <w:lvlText w:val=""/>
      <w:lvlJc w:val="left"/>
      <w:pPr>
        <w:ind w:left="2160" w:hanging="360"/>
      </w:pPr>
      <w:rPr>
        <w:rFonts w:ascii="Cambria Math" w:hAnsi="Cambria Math" w:hint="default"/>
      </w:rPr>
    </w:lvl>
    <w:lvl w:ilvl="3" w:tplc="171616C4">
      <w:start w:val="1"/>
      <w:numFmt w:val="bullet"/>
      <w:lvlText w:val=""/>
      <w:lvlJc w:val="left"/>
      <w:pPr>
        <w:ind w:left="2880" w:hanging="360"/>
      </w:pPr>
      <w:rPr>
        <w:rFonts w:ascii="Segoe UI" w:hAnsi="Segoe UI" w:hint="default"/>
      </w:rPr>
    </w:lvl>
    <w:lvl w:ilvl="4" w:tplc="BED0D7CA">
      <w:start w:val="1"/>
      <w:numFmt w:val="bullet"/>
      <w:lvlText w:val="o"/>
      <w:lvlJc w:val="left"/>
      <w:pPr>
        <w:ind w:left="3600" w:hanging="360"/>
      </w:pPr>
      <w:rPr>
        <w:rFonts w:ascii="Courier New" w:hAnsi="Courier New" w:hint="default"/>
      </w:rPr>
    </w:lvl>
    <w:lvl w:ilvl="5" w:tplc="F81ABE2C">
      <w:start w:val="1"/>
      <w:numFmt w:val="bullet"/>
      <w:lvlText w:val=""/>
      <w:lvlJc w:val="left"/>
      <w:pPr>
        <w:ind w:left="4320" w:hanging="360"/>
      </w:pPr>
      <w:rPr>
        <w:rFonts w:ascii="Cambria Math" w:hAnsi="Cambria Math" w:hint="default"/>
      </w:rPr>
    </w:lvl>
    <w:lvl w:ilvl="6" w:tplc="2EDAE4CE">
      <w:start w:val="1"/>
      <w:numFmt w:val="bullet"/>
      <w:lvlText w:val=""/>
      <w:lvlJc w:val="left"/>
      <w:pPr>
        <w:ind w:left="5040" w:hanging="360"/>
      </w:pPr>
      <w:rPr>
        <w:rFonts w:ascii="Segoe UI" w:hAnsi="Segoe UI" w:hint="default"/>
      </w:rPr>
    </w:lvl>
    <w:lvl w:ilvl="7" w:tplc="49440FF6">
      <w:start w:val="1"/>
      <w:numFmt w:val="bullet"/>
      <w:lvlText w:val="o"/>
      <w:lvlJc w:val="left"/>
      <w:pPr>
        <w:ind w:left="5760" w:hanging="360"/>
      </w:pPr>
      <w:rPr>
        <w:rFonts w:ascii="Courier New" w:hAnsi="Courier New" w:hint="default"/>
      </w:rPr>
    </w:lvl>
    <w:lvl w:ilvl="8" w:tplc="D54A08C4">
      <w:start w:val="1"/>
      <w:numFmt w:val="bullet"/>
      <w:lvlText w:val=""/>
      <w:lvlJc w:val="left"/>
      <w:pPr>
        <w:ind w:left="6480" w:hanging="360"/>
      </w:pPr>
      <w:rPr>
        <w:rFonts w:ascii="Cambria Math" w:hAnsi="Cambria Math" w:hint="default"/>
      </w:rPr>
    </w:lvl>
  </w:abstractNum>
  <w:abstractNum w:abstractNumId="669" w15:restartNumberingAfterBreak="0">
    <w:nsid w:val="7286459C"/>
    <w:multiLevelType w:val="multilevel"/>
    <w:tmpl w:val="6A1AEF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0" w15:restartNumberingAfterBreak="0">
    <w:nsid w:val="72951372"/>
    <w:multiLevelType w:val="hybridMultilevel"/>
    <w:tmpl w:val="396C76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1" w15:restartNumberingAfterBreak="0">
    <w:nsid w:val="737D4DD3"/>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2" w15:restartNumberingAfterBreak="0">
    <w:nsid w:val="73803551"/>
    <w:multiLevelType w:val="hybridMultilevel"/>
    <w:tmpl w:val="FFFFFFFF"/>
    <w:lvl w:ilvl="0" w:tplc="F1586C76">
      <w:start w:val="1"/>
      <w:numFmt w:val="bullet"/>
      <w:lvlText w:val="·"/>
      <w:lvlJc w:val="left"/>
      <w:pPr>
        <w:ind w:left="720" w:hanging="360"/>
      </w:pPr>
      <w:rPr>
        <w:rFonts w:ascii="Symbol" w:hAnsi="Symbol" w:hint="default"/>
      </w:rPr>
    </w:lvl>
    <w:lvl w:ilvl="1" w:tplc="831C4390">
      <w:start w:val="1"/>
      <w:numFmt w:val="bullet"/>
      <w:lvlText w:val="o"/>
      <w:lvlJc w:val="left"/>
      <w:pPr>
        <w:ind w:left="1440" w:hanging="360"/>
      </w:pPr>
      <w:rPr>
        <w:rFonts w:ascii="Courier New" w:hAnsi="Courier New" w:hint="default"/>
      </w:rPr>
    </w:lvl>
    <w:lvl w:ilvl="2" w:tplc="513E2626">
      <w:start w:val="1"/>
      <w:numFmt w:val="bullet"/>
      <w:lvlText w:val=""/>
      <w:lvlJc w:val="left"/>
      <w:pPr>
        <w:ind w:left="2160" w:hanging="360"/>
      </w:pPr>
      <w:rPr>
        <w:rFonts w:ascii="Wingdings" w:hAnsi="Wingdings" w:hint="default"/>
      </w:rPr>
    </w:lvl>
    <w:lvl w:ilvl="3" w:tplc="064E1C5A">
      <w:start w:val="1"/>
      <w:numFmt w:val="bullet"/>
      <w:lvlText w:val=""/>
      <w:lvlJc w:val="left"/>
      <w:pPr>
        <w:ind w:left="2880" w:hanging="360"/>
      </w:pPr>
      <w:rPr>
        <w:rFonts w:ascii="Symbol" w:hAnsi="Symbol" w:hint="default"/>
      </w:rPr>
    </w:lvl>
    <w:lvl w:ilvl="4" w:tplc="EF703F82">
      <w:start w:val="1"/>
      <w:numFmt w:val="bullet"/>
      <w:lvlText w:val="o"/>
      <w:lvlJc w:val="left"/>
      <w:pPr>
        <w:ind w:left="3600" w:hanging="360"/>
      </w:pPr>
      <w:rPr>
        <w:rFonts w:ascii="Courier New" w:hAnsi="Courier New" w:hint="default"/>
      </w:rPr>
    </w:lvl>
    <w:lvl w:ilvl="5" w:tplc="C3763C70">
      <w:start w:val="1"/>
      <w:numFmt w:val="bullet"/>
      <w:lvlText w:val=""/>
      <w:lvlJc w:val="left"/>
      <w:pPr>
        <w:ind w:left="4320" w:hanging="360"/>
      </w:pPr>
      <w:rPr>
        <w:rFonts w:ascii="Wingdings" w:hAnsi="Wingdings" w:hint="default"/>
      </w:rPr>
    </w:lvl>
    <w:lvl w:ilvl="6" w:tplc="E146BA90">
      <w:start w:val="1"/>
      <w:numFmt w:val="bullet"/>
      <w:lvlText w:val=""/>
      <w:lvlJc w:val="left"/>
      <w:pPr>
        <w:ind w:left="5040" w:hanging="360"/>
      </w:pPr>
      <w:rPr>
        <w:rFonts w:ascii="Symbol" w:hAnsi="Symbol" w:hint="default"/>
      </w:rPr>
    </w:lvl>
    <w:lvl w:ilvl="7" w:tplc="987AE4D6">
      <w:start w:val="1"/>
      <w:numFmt w:val="bullet"/>
      <w:lvlText w:val="o"/>
      <w:lvlJc w:val="left"/>
      <w:pPr>
        <w:ind w:left="5760" w:hanging="360"/>
      </w:pPr>
      <w:rPr>
        <w:rFonts w:ascii="Courier New" w:hAnsi="Courier New" w:hint="default"/>
      </w:rPr>
    </w:lvl>
    <w:lvl w:ilvl="8" w:tplc="71821848">
      <w:start w:val="1"/>
      <w:numFmt w:val="bullet"/>
      <w:lvlText w:val=""/>
      <w:lvlJc w:val="left"/>
      <w:pPr>
        <w:ind w:left="6480" w:hanging="360"/>
      </w:pPr>
      <w:rPr>
        <w:rFonts w:ascii="Wingdings" w:hAnsi="Wingdings" w:hint="default"/>
      </w:rPr>
    </w:lvl>
  </w:abstractNum>
  <w:abstractNum w:abstractNumId="673" w15:restartNumberingAfterBreak="0">
    <w:nsid w:val="739B483A"/>
    <w:multiLevelType w:val="hybridMultilevel"/>
    <w:tmpl w:val="1FF204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4" w15:restartNumberingAfterBreak="0">
    <w:nsid w:val="73D5F0CC"/>
    <w:multiLevelType w:val="hybridMultilevel"/>
    <w:tmpl w:val="FFFFFFFF"/>
    <w:lvl w:ilvl="0" w:tplc="00AAC428">
      <w:start w:val="1"/>
      <w:numFmt w:val="bullet"/>
      <w:lvlText w:val="·"/>
      <w:lvlJc w:val="left"/>
      <w:pPr>
        <w:ind w:left="720" w:hanging="360"/>
      </w:pPr>
      <w:rPr>
        <w:rFonts w:ascii="Symbol" w:hAnsi="Symbol" w:hint="default"/>
      </w:rPr>
    </w:lvl>
    <w:lvl w:ilvl="1" w:tplc="DF6CAFA8">
      <w:start w:val="1"/>
      <w:numFmt w:val="bullet"/>
      <w:lvlText w:val="o"/>
      <w:lvlJc w:val="left"/>
      <w:pPr>
        <w:ind w:left="1440" w:hanging="360"/>
      </w:pPr>
      <w:rPr>
        <w:rFonts w:ascii="Courier New" w:hAnsi="Courier New" w:hint="default"/>
      </w:rPr>
    </w:lvl>
    <w:lvl w:ilvl="2" w:tplc="6D7CBF90">
      <w:start w:val="1"/>
      <w:numFmt w:val="bullet"/>
      <w:lvlText w:val=""/>
      <w:lvlJc w:val="left"/>
      <w:pPr>
        <w:ind w:left="2160" w:hanging="360"/>
      </w:pPr>
      <w:rPr>
        <w:rFonts w:ascii="Wingdings" w:hAnsi="Wingdings" w:hint="default"/>
      </w:rPr>
    </w:lvl>
    <w:lvl w:ilvl="3" w:tplc="A27A90AC">
      <w:start w:val="1"/>
      <w:numFmt w:val="bullet"/>
      <w:lvlText w:val=""/>
      <w:lvlJc w:val="left"/>
      <w:pPr>
        <w:ind w:left="2880" w:hanging="360"/>
      </w:pPr>
      <w:rPr>
        <w:rFonts w:ascii="Symbol" w:hAnsi="Symbol" w:hint="default"/>
      </w:rPr>
    </w:lvl>
    <w:lvl w:ilvl="4" w:tplc="88B2BB7C">
      <w:start w:val="1"/>
      <w:numFmt w:val="bullet"/>
      <w:lvlText w:val="o"/>
      <w:lvlJc w:val="left"/>
      <w:pPr>
        <w:ind w:left="3600" w:hanging="360"/>
      </w:pPr>
      <w:rPr>
        <w:rFonts w:ascii="Courier New" w:hAnsi="Courier New" w:hint="default"/>
      </w:rPr>
    </w:lvl>
    <w:lvl w:ilvl="5" w:tplc="F5266F2A">
      <w:start w:val="1"/>
      <w:numFmt w:val="bullet"/>
      <w:lvlText w:val=""/>
      <w:lvlJc w:val="left"/>
      <w:pPr>
        <w:ind w:left="4320" w:hanging="360"/>
      </w:pPr>
      <w:rPr>
        <w:rFonts w:ascii="Wingdings" w:hAnsi="Wingdings" w:hint="default"/>
      </w:rPr>
    </w:lvl>
    <w:lvl w:ilvl="6" w:tplc="2ABE094C">
      <w:start w:val="1"/>
      <w:numFmt w:val="bullet"/>
      <w:lvlText w:val=""/>
      <w:lvlJc w:val="left"/>
      <w:pPr>
        <w:ind w:left="5040" w:hanging="360"/>
      </w:pPr>
      <w:rPr>
        <w:rFonts w:ascii="Symbol" w:hAnsi="Symbol" w:hint="default"/>
      </w:rPr>
    </w:lvl>
    <w:lvl w:ilvl="7" w:tplc="1764C5AE">
      <w:start w:val="1"/>
      <w:numFmt w:val="bullet"/>
      <w:lvlText w:val="o"/>
      <w:lvlJc w:val="left"/>
      <w:pPr>
        <w:ind w:left="5760" w:hanging="360"/>
      </w:pPr>
      <w:rPr>
        <w:rFonts w:ascii="Courier New" w:hAnsi="Courier New" w:hint="default"/>
      </w:rPr>
    </w:lvl>
    <w:lvl w:ilvl="8" w:tplc="2722CD54">
      <w:start w:val="1"/>
      <w:numFmt w:val="bullet"/>
      <w:lvlText w:val=""/>
      <w:lvlJc w:val="left"/>
      <w:pPr>
        <w:ind w:left="6480" w:hanging="360"/>
      </w:pPr>
      <w:rPr>
        <w:rFonts w:ascii="Wingdings" w:hAnsi="Wingdings" w:hint="default"/>
      </w:rPr>
    </w:lvl>
  </w:abstractNum>
  <w:abstractNum w:abstractNumId="675" w15:restartNumberingAfterBreak="0">
    <w:nsid w:val="73E84D6F"/>
    <w:multiLevelType w:val="multilevel"/>
    <w:tmpl w:val="C340F7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15:restartNumberingAfterBreak="0">
    <w:nsid w:val="74203113"/>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7" w15:restartNumberingAfterBreak="0">
    <w:nsid w:val="742E6556"/>
    <w:multiLevelType w:val="hybridMultilevel"/>
    <w:tmpl w:val="B6ECF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8" w15:restartNumberingAfterBreak="0">
    <w:nsid w:val="74CFAB80"/>
    <w:multiLevelType w:val="hybridMultilevel"/>
    <w:tmpl w:val="FFFFFFFF"/>
    <w:lvl w:ilvl="0" w:tplc="7E0ABB5C">
      <w:start w:val="1"/>
      <w:numFmt w:val="bullet"/>
      <w:lvlText w:val=""/>
      <w:lvlJc w:val="left"/>
      <w:pPr>
        <w:ind w:left="720" w:hanging="360"/>
      </w:pPr>
      <w:rPr>
        <w:rFonts w:ascii="Symbol" w:hAnsi="Symbol" w:hint="default"/>
      </w:rPr>
    </w:lvl>
    <w:lvl w:ilvl="1" w:tplc="4AF62788">
      <w:start w:val="1"/>
      <w:numFmt w:val="bullet"/>
      <w:lvlText w:val="-"/>
      <w:lvlJc w:val="left"/>
      <w:pPr>
        <w:ind w:left="1440" w:hanging="360"/>
      </w:pPr>
      <w:rPr>
        <w:rFonts w:ascii="Calibri" w:hAnsi="Calibri" w:hint="default"/>
      </w:rPr>
    </w:lvl>
    <w:lvl w:ilvl="2" w:tplc="D674BEA8">
      <w:start w:val="1"/>
      <w:numFmt w:val="bullet"/>
      <w:lvlText w:val=""/>
      <w:lvlJc w:val="left"/>
      <w:pPr>
        <w:ind w:left="2160" w:hanging="360"/>
      </w:pPr>
      <w:rPr>
        <w:rFonts w:ascii="Wingdings" w:hAnsi="Wingdings" w:hint="default"/>
      </w:rPr>
    </w:lvl>
    <w:lvl w:ilvl="3" w:tplc="CCB2774E">
      <w:start w:val="1"/>
      <w:numFmt w:val="bullet"/>
      <w:lvlText w:val=""/>
      <w:lvlJc w:val="left"/>
      <w:pPr>
        <w:ind w:left="2880" w:hanging="360"/>
      </w:pPr>
      <w:rPr>
        <w:rFonts w:ascii="Symbol" w:hAnsi="Symbol" w:hint="default"/>
      </w:rPr>
    </w:lvl>
    <w:lvl w:ilvl="4" w:tplc="601C6A82">
      <w:start w:val="1"/>
      <w:numFmt w:val="bullet"/>
      <w:lvlText w:val="o"/>
      <w:lvlJc w:val="left"/>
      <w:pPr>
        <w:ind w:left="3600" w:hanging="360"/>
      </w:pPr>
      <w:rPr>
        <w:rFonts w:ascii="Courier New" w:hAnsi="Courier New" w:hint="default"/>
      </w:rPr>
    </w:lvl>
    <w:lvl w:ilvl="5" w:tplc="65D4D590">
      <w:start w:val="1"/>
      <w:numFmt w:val="bullet"/>
      <w:lvlText w:val=""/>
      <w:lvlJc w:val="left"/>
      <w:pPr>
        <w:ind w:left="4320" w:hanging="360"/>
      </w:pPr>
      <w:rPr>
        <w:rFonts w:ascii="Wingdings" w:hAnsi="Wingdings" w:hint="default"/>
      </w:rPr>
    </w:lvl>
    <w:lvl w:ilvl="6" w:tplc="92BA6D0C">
      <w:start w:val="1"/>
      <w:numFmt w:val="bullet"/>
      <w:lvlText w:val=""/>
      <w:lvlJc w:val="left"/>
      <w:pPr>
        <w:ind w:left="5040" w:hanging="360"/>
      </w:pPr>
      <w:rPr>
        <w:rFonts w:ascii="Symbol" w:hAnsi="Symbol" w:hint="default"/>
      </w:rPr>
    </w:lvl>
    <w:lvl w:ilvl="7" w:tplc="C674DD8C">
      <w:start w:val="1"/>
      <w:numFmt w:val="bullet"/>
      <w:lvlText w:val="o"/>
      <w:lvlJc w:val="left"/>
      <w:pPr>
        <w:ind w:left="5760" w:hanging="360"/>
      </w:pPr>
      <w:rPr>
        <w:rFonts w:ascii="Courier New" w:hAnsi="Courier New" w:hint="default"/>
      </w:rPr>
    </w:lvl>
    <w:lvl w:ilvl="8" w:tplc="BCD275FC">
      <w:start w:val="1"/>
      <w:numFmt w:val="bullet"/>
      <w:lvlText w:val=""/>
      <w:lvlJc w:val="left"/>
      <w:pPr>
        <w:ind w:left="6480" w:hanging="360"/>
      </w:pPr>
      <w:rPr>
        <w:rFonts w:ascii="Wingdings" w:hAnsi="Wingdings" w:hint="default"/>
      </w:rPr>
    </w:lvl>
  </w:abstractNum>
  <w:abstractNum w:abstractNumId="679" w15:restartNumberingAfterBreak="0">
    <w:nsid w:val="74D08EB9"/>
    <w:multiLevelType w:val="hybridMultilevel"/>
    <w:tmpl w:val="FFFFFFFF"/>
    <w:lvl w:ilvl="0" w:tplc="E9669072">
      <w:start w:val="10"/>
      <w:numFmt w:val="decimal"/>
      <w:lvlText w:val="%1."/>
      <w:lvlJc w:val="left"/>
      <w:pPr>
        <w:ind w:left="720" w:hanging="360"/>
      </w:pPr>
    </w:lvl>
    <w:lvl w:ilvl="1" w:tplc="E6C47B78">
      <w:start w:val="1"/>
      <w:numFmt w:val="lowerLetter"/>
      <w:lvlText w:val="%2."/>
      <w:lvlJc w:val="left"/>
      <w:pPr>
        <w:ind w:left="1440" w:hanging="360"/>
      </w:pPr>
    </w:lvl>
    <w:lvl w:ilvl="2" w:tplc="0E2A9FA2">
      <w:start w:val="1"/>
      <w:numFmt w:val="lowerRoman"/>
      <w:lvlText w:val="%3."/>
      <w:lvlJc w:val="right"/>
      <w:pPr>
        <w:ind w:left="2160" w:hanging="180"/>
      </w:pPr>
    </w:lvl>
    <w:lvl w:ilvl="3" w:tplc="70969F18">
      <w:start w:val="1"/>
      <w:numFmt w:val="decimal"/>
      <w:lvlText w:val="%4."/>
      <w:lvlJc w:val="left"/>
      <w:pPr>
        <w:ind w:left="2880" w:hanging="360"/>
      </w:pPr>
    </w:lvl>
    <w:lvl w:ilvl="4" w:tplc="E8F6D386">
      <w:start w:val="1"/>
      <w:numFmt w:val="lowerLetter"/>
      <w:lvlText w:val="%5."/>
      <w:lvlJc w:val="left"/>
      <w:pPr>
        <w:ind w:left="3600" w:hanging="360"/>
      </w:pPr>
    </w:lvl>
    <w:lvl w:ilvl="5" w:tplc="4ACCECA2">
      <w:start w:val="1"/>
      <w:numFmt w:val="lowerRoman"/>
      <w:lvlText w:val="%6."/>
      <w:lvlJc w:val="right"/>
      <w:pPr>
        <w:ind w:left="4320" w:hanging="180"/>
      </w:pPr>
    </w:lvl>
    <w:lvl w:ilvl="6" w:tplc="B5D67D2A">
      <w:start w:val="1"/>
      <w:numFmt w:val="decimal"/>
      <w:lvlText w:val="%7."/>
      <w:lvlJc w:val="left"/>
      <w:pPr>
        <w:ind w:left="5040" w:hanging="360"/>
      </w:pPr>
    </w:lvl>
    <w:lvl w:ilvl="7" w:tplc="47481278">
      <w:start w:val="1"/>
      <w:numFmt w:val="lowerLetter"/>
      <w:lvlText w:val="%8."/>
      <w:lvlJc w:val="left"/>
      <w:pPr>
        <w:ind w:left="5760" w:hanging="360"/>
      </w:pPr>
    </w:lvl>
    <w:lvl w:ilvl="8" w:tplc="DA323166">
      <w:start w:val="1"/>
      <w:numFmt w:val="lowerRoman"/>
      <w:lvlText w:val="%9."/>
      <w:lvlJc w:val="right"/>
      <w:pPr>
        <w:ind w:left="6480" w:hanging="180"/>
      </w:pPr>
    </w:lvl>
  </w:abstractNum>
  <w:abstractNum w:abstractNumId="680" w15:restartNumberingAfterBreak="0">
    <w:nsid w:val="74F64C9D"/>
    <w:multiLevelType w:val="hybridMultilevel"/>
    <w:tmpl w:val="B7C6D54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1" w15:restartNumberingAfterBreak="0">
    <w:nsid w:val="750A7F51"/>
    <w:multiLevelType w:val="hybridMultilevel"/>
    <w:tmpl w:val="70F03E56"/>
    <w:lvl w:ilvl="0" w:tplc="B38CA8B0">
      <w:start w:val="1"/>
      <w:numFmt w:val="decimal"/>
      <w:lvlText w:val="%1."/>
      <w:lvlJc w:val="left"/>
      <w:pPr>
        <w:ind w:left="720" w:hanging="360"/>
      </w:pPr>
    </w:lvl>
    <w:lvl w:ilvl="1" w:tplc="09AE9C1E">
      <w:start w:val="1"/>
      <w:numFmt w:val="lowerLetter"/>
      <w:lvlText w:val="%2."/>
      <w:lvlJc w:val="left"/>
      <w:pPr>
        <w:ind w:left="1440" w:hanging="360"/>
      </w:pPr>
    </w:lvl>
    <w:lvl w:ilvl="2" w:tplc="B0B0DB4C">
      <w:start w:val="1"/>
      <w:numFmt w:val="lowerRoman"/>
      <w:lvlText w:val="%3."/>
      <w:lvlJc w:val="right"/>
      <w:pPr>
        <w:ind w:left="2160" w:hanging="180"/>
      </w:pPr>
    </w:lvl>
    <w:lvl w:ilvl="3" w:tplc="B23A0C7C">
      <w:start w:val="1"/>
      <w:numFmt w:val="decimal"/>
      <w:lvlText w:val="%4."/>
      <w:lvlJc w:val="left"/>
      <w:pPr>
        <w:ind w:left="2880" w:hanging="360"/>
      </w:pPr>
    </w:lvl>
    <w:lvl w:ilvl="4" w:tplc="69DC798A">
      <w:start w:val="1"/>
      <w:numFmt w:val="lowerLetter"/>
      <w:lvlText w:val="%5."/>
      <w:lvlJc w:val="left"/>
      <w:pPr>
        <w:ind w:left="3600" w:hanging="360"/>
      </w:pPr>
    </w:lvl>
    <w:lvl w:ilvl="5" w:tplc="07105AB2">
      <w:start w:val="1"/>
      <w:numFmt w:val="lowerRoman"/>
      <w:lvlText w:val="%6."/>
      <w:lvlJc w:val="right"/>
      <w:pPr>
        <w:ind w:left="4320" w:hanging="180"/>
      </w:pPr>
    </w:lvl>
    <w:lvl w:ilvl="6" w:tplc="C56EBF6C">
      <w:start w:val="1"/>
      <w:numFmt w:val="decimal"/>
      <w:lvlText w:val="%7."/>
      <w:lvlJc w:val="left"/>
      <w:pPr>
        <w:ind w:left="5040" w:hanging="360"/>
      </w:pPr>
    </w:lvl>
    <w:lvl w:ilvl="7" w:tplc="259417C0">
      <w:start w:val="1"/>
      <w:numFmt w:val="lowerLetter"/>
      <w:lvlText w:val="%8."/>
      <w:lvlJc w:val="left"/>
      <w:pPr>
        <w:ind w:left="5760" w:hanging="360"/>
      </w:pPr>
    </w:lvl>
    <w:lvl w:ilvl="8" w:tplc="8ECA402C">
      <w:start w:val="1"/>
      <w:numFmt w:val="lowerRoman"/>
      <w:lvlText w:val="%9."/>
      <w:lvlJc w:val="right"/>
      <w:pPr>
        <w:ind w:left="6480" w:hanging="180"/>
      </w:pPr>
    </w:lvl>
  </w:abstractNum>
  <w:abstractNum w:abstractNumId="682" w15:restartNumberingAfterBreak="0">
    <w:nsid w:val="751D23BE"/>
    <w:multiLevelType w:val="hybridMultilevel"/>
    <w:tmpl w:val="D83C1824"/>
    <w:lvl w:ilvl="0" w:tplc="0C0A0001">
      <w:start w:val="1"/>
      <w:numFmt w:val="bullet"/>
      <w:lvlText w:val=""/>
      <w:lvlJc w:val="left"/>
      <w:pPr>
        <w:ind w:left="1460" w:hanging="360"/>
      </w:pPr>
      <w:rPr>
        <w:rFonts w:ascii="Symbol" w:hAnsi="Symbol" w:hint="default"/>
      </w:rPr>
    </w:lvl>
    <w:lvl w:ilvl="1" w:tplc="0C0A0003" w:tentative="1">
      <w:start w:val="1"/>
      <w:numFmt w:val="bullet"/>
      <w:lvlText w:val="o"/>
      <w:lvlJc w:val="left"/>
      <w:pPr>
        <w:ind w:left="2180" w:hanging="360"/>
      </w:pPr>
      <w:rPr>
        <w:rFonts w:ascii="Courier New" w:hAnsi="Courier New" w:cs="Courier New" w:hint="default"/>
      </w:rPr>
    </w:lvl>
    <w:lvl w:ilvl="2" w:tplc="0C0A0005" w:tentative="1">
      <w:start w:val="1"/>
      <w:numFmt w:val="bullet"/>
      <w:lvlText w:val=""/>
      <w:lvlJc w:val="left"/>
      <w:pPr>
        <w:ind w:left="2900" w:hanging="360"/>
      </w:pPr>
      <w:rPr>
        <w:rFonts w:ascii="Wingdings" w:hAnsi="Wingdings" w:hint="default"/>
      </w:rPr>
    </w:lvl>
    <w:lvl w:ilvl="3" w:tplc="0C0A0001" w:tentative="1">
      <w:start w:val="1"/>
      <w:numFmt w:val="bullet"/>
      <w:lvlText w:val=""/>
      <w:lvlJc w:val="left"/>
      <w:pPr>
        <w:ind w:left="3620" w:hanging="360"/>
      </w:pPr>
      <w:rPr>
        <w:rFonts w:ascii="Symbol" w:hAnsi="Symbol" w:hint="default"/>
      </w:rPr>
    </w:lvl>
    <w:lvl w:ilvl="4" w:tplc="0C0A0003" w:tentative="1">
      <w:start w:val="1"/>
      <w:numFmt w:val="bullet"/>
      <w:lvlText w:val="o"/>
      <w:lvlJc w:val="left"/>
      <w:pPr>
        <w:ind w:left="4340" w:hanging="360"/>
      </w:pPr>
      <w:rPr>
        <w:rFonts w:ascii="Courier New" w:hAnsi="Courier New" w:cs="Courier New" w:hint="default"/>
      </w:rPr>
    </w:lvl>
    <w:lvl w:ilvl="5" w:tplc="0C0A0005" w:tentative="1">
      <w:start w:val="1"/>
      <w:numFmt w:val="bullet"/>
      <w:lvlText w:val=""/>
      <w:lvlJc w:val="left"/>
      <w:pPr>
        <w:ind w:left="5060" w:hanging="360"/>
      </w:pPr>
      <w:rPr>
        <w:rFonts w:ascii="Wingdings" w:hAnsi="Wingdings" w:hint="default"/>
      </w:rPr>
    </w:lvl>
    <w:lvl w:ilvl="6" w:tplc="0C0A0001" w:tentative="1">
      <w:start w:val="1"/>
      <w:numFmt w:val="bullet"/>
      <w:lvlText w:val=""/>
      <w:lvlJc w:val="left"/>
      <w:pPr>
        <w:ind w:left="5780" w:hanging="360"/>
      </w:pPr>
      <w:rPr>
        <w:rFonts w:ascii="Symbol" w:hAnsi="Symbol" w:hint="default"/>
      </w:rPr>
    </w:lvl>
    <w:lvl w:ilvl="7" w:tplc="0C0A0003" w:tentative="1">
      <w:start w:val="1"/>
      <w:numFmt w:val="bullet"/>
      <w:lvlText w:val="o"/>
      <w:lvlJc w:val="left"/>
      <w:pPr>
        <w:ind w:left="6500" w:hanging="360"/>
      </w:pPr>
      <w:rPr>
        <w:rFonts w:ascii="Courier New" w:hAnsi="Courier New" w:cs="Courier New" w:hint="default"/>
      </w:rPr>
    </w:lvl>
    <w:lvl w:ilvl="8" w:tplc="0C0A0005" w:tentative="1">
      <w:start w:val="1"/>
      <w:numFmt w:val="bullet"/>
      <w:lvlText w:val=""/>
      <w:lvlJc w:val="left"/>
      <w:pPr>
        <w:ind w:left="7220" w:hanging="360"/>
      </w:pPr>
      <w:rPr>
        <w:rFonts w:ascii="Wingdings" w:hAnsi="Wingdings" w:hint="default"/>
      </w:rPr>
    </w:lvl>
  </w:abstractNum>
  <w:abstractNum w:abstractNumId="683" w15:restartNumberingAfterBreak="0">
    <w:nsid w:val="752D060D"/>
    <w:multiLevelType w:val="hybridMultilevel"/>
    <w:tmpl w:val="A49096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4" w15:restartNumberingAfterBreak="0">
    <w:nsid w:val="753C5BA9"/>
    <w:multiLevelType w:val="hybridMultilevel"/>
    <w:tmpl w:val="99C0C08E"/>
    <w:lvl w:ilvl="0" w:tplc="0409000F">
      <w:start w:val="1"/>
      <w:numFmt w:val="decimal"/>
      <w:lvlText w:val="%1."/>
      <w:lvlJc w:val="left"/>
      <w:pPr>
        <w:ind w:left="-3872" w:hanging="360"/>
      </w:pPr>
    </w:lvl>
    <w:lvl w:ilvl="1" w:tplc="04090019" w:tentative="1">
      <w:start w:val="1"/>
      <w:numFmt w:val="lowerLetter"/>
      <w:lvlText w:val="%2."/>
      <w:lvlJc w:val="left"/>
      <w:pPr>
        <w:ind w:left="-315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1712" w:hanging="360"/>
      </w:pPr>
    </w:lvl>
    <w:lvl w:ilvl="4" w:tplc="04090019" w:tentative="1">
      <w:start w:val="1"/>
      <w:numFmt w:val="lowerLetter"/>
      <w:lvlText w:val="%5."/>
      <w:lvlJc w:val="left"/>
      <w:pPr>
        <w:ind w:left="-992" w:hanging="360"/>
      </w:pPr>
    </w:lvl>
    <w:lvl w:ilvl="5" w:tplc="0409001B" w:tentative="1">
      <w:start w:val="1"/>
      <w:numFmt w:val="lowerRoman"/>
      <w:lvlText w:val="%6."/>
      <w:lvlJc w:val="right"/>
      <w:pPr>
        <w:ind w:left="-272" w:hanging="180"/>
      </w:pPr>
    </w:lvl>
    <w:lvl w:ilvl="6" w:tplc="0409000F" w:tentative="1">
      <w:start w:val="1"/>
      <w:numFmt w:val="decimal"/>
      <w:lvlText w:val="%7."/>
      <w:lvlJc w:val="left"/>
      <w:pPr>
        <w:ind w:left="448" w:hanging="360"/>
      </w:pPr>
    </w:lvl>
    <w:lvl w:ilvl="7" w:tplc="04090019" w:tentative="1">
      <w:start w:val="1"/>
      <w:numFmt w:val="lowerLetter"/>
      <w:lvlText w:val="%8."/>
      <w:lvlJc w:val="left"/>
      <w:pPr>
        <w:ind w:left="1168" w:hanging="360"/>
      </w:pPr>
    </w:lvl>
    <w:lvl w:ilvl="8" w:tplc="0409001B" w:tentative="1">
      <w:start w:val="1"/>
      <w:numFmt w:val="lowerRoman"/>
      <w:lvlText w:val="%9."/>
      <w:lvlJc w:val="right"/>
      <w:pPr>
        <w:ind w:left="1888" w:hanging="180"/>
      </w:pPr>
    </w:lvl>
  </w:abstractNum>
  <w:abstractNum w:abstractNumId="685" w15:restartNumberingAfterBreak="0">
    <w:nsid w:val="753D6644"/>
    <w:multiLevelType w:val="hybridMultilevel"/>
    <w:tmpl w:val="0F8E2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6" w15:restartNumberingAfterBreak="0">
    <w:nsid w:val="75447ECE"/>
    <w:multiLevelType w:val="hybridMultilevel"/>
    <w:tmpl w:val="05AAC7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7" w15:restartNumberingAfterBreak="0">
    <w:nsid w:val="755516F6"/>
    <w:multiLevelType w:val="hybridMultilevel"/>
    <w:tmpl w:val="4E7C846A"/>
    <w:lvl w:ilvl="0" w:tplc="B65EBF50">
      <w:start w:val="1"/>
      <w:numFmt w:val="lowerRoman"/>
      <w:lvlText w:val="%1."/>
      <w:lvlJc w:val="righ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8" w15:restartNumberingAfterBreak="0">
    <w:nsid w:val="755D41BE"/>
    <w:multiLevelType w:val="multilevel"/>
    <w:tmpl w:val="01C0A1CC"/>
    <w:lvl w:ilvl="0">
      <w:start w:val="1"/>
      <w:numFmt w:val="bullet"/>
      <w:lvlText w:val=""/>
      <w:lvlJc w:val="left"/>
      <w:pPr>
        <w:tabs>
          <w:tab w:val="num" w:pos="720"/>
        </w:tabs>
        <w:ind w:left="720" w:hanging="360"/>
      </w:pPr>
      <w:rPr>
        <w:rFonts w:ascii="Symbol" w:hAnsi="Symbol" w:hint="default"/>
        <w:sz w:val="20"/>
      </w:rPr>
    </w:lvl>
    <w:lvl w:ilvl="1">
      <w:start w:val="2023"/>
      <w:numFmt w:val="decimal"/>
      <w:lvlText w:val="%2"/>
      <w:lvlJc w:val="left"/>
      <w:pPr>
        <w:ind w:left="1440" w:hanging="360"/>
      </w:pPr>
      <w:rPr>
        <w:rFonts w:eastAsia="Times New Roman" w:hint="default"/>
        <w:color w:val="548DD4" w:themeColor="text2" w:themeTint="9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75644865"/>
    <w:multiLevelType w:val="hybridMultilevel"/>
    <w:tmpl w:val="2698E86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0" w15:restartNumberingAfterBreak="0">
    <w:nsid w:val="75940135"/>
    <w:multiLevelType w:val="multilevel"/>
    <w:tmpl w:val="0AB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759C3BE0"/>
    <w:multiLevelType w:val="multilevel"/>
    <w:tmpl w:val="9B7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59F26AC"/>
    <w:multiLevelType w:val="hybridMultilevel"/>
    <w:tmpl w:val="FFFFFFFF"/>
    <w:lvl w:ilvl="0" w:tplc="F3523702">
      <w:start w:val="1"/>
      <w:numFmt w:val="bullet"/>
      <w:lvlText w:val=""/>
      <w:lvlJc w:val="left"/>
      <w:pPr>
        <w:ind w:left="720" w:hanging="360"/>
      </w:pPr>
      <w:rPr>
        <w:rFonts w:ascii="Symbol" w:hAnsi="Symbol" w:hint="default"/>
      </w:rPr>
    </w:lvl>
    <w:lvl w:ilvl="1" w:tplc="B20E5D48">
      <w:start w:val="1"/>
      <w:numFmt w:val="bullet"/>
      <w:lvlText w:val="o"/>
      <w:lvlJc w:val="left"/>
      <w:pPr>
        <w:ind w:left="1440" w:hanging="360"/>
      </w:pPr>
      <w:rPr>
        <w:rFonts w:ascii="Courier New" w:hAnsi="Courier New" w:hint="default"/>
      </w:rPr>
    </w:lvl>
    <w:lvl w:ilvl="2" w:tplc="F5F0908A">
      <w:start w:val="1"/>
      <w:numFmt w:val="bullet"/>
      <w:lvlText w:val=""/>
      <w:lvlJc w:val="left"/>
      <w:pPr>
        <w:ind w:left="2160" w:hanging="360"/>
      </w:pPr>
      <w:rPr>
        <w:rFonts w:ascii="Wingdings" w:hAnsi="Wingdings" w:hint="default"/>
      </w:rPr>
    </w:lvl>
    <w:lvl w:ilvl="3" w:tplc="68D084CC">
      <w:start w:val="1"/>
      <w:numFmt w:val="bullet"/>
      <w:lvlText w:val=""/>
      <w:lvlJc w:val="left"/>
      <w:pPr>
        <w:ind w:left="2880" w:hanging="360"/>
      </w:pPr>
      <w:rPr>
        <w:rFonts w:ascii="Symbol" w:hAnsi="Symbol" w:hint="default"/>
      </w:rPr>
    </w:lvl>
    <w:lvl w:ilvl="4" w:tplc="EB549A46">
      <w:start w:val="1"/>
      <w:numFmt w:val="bullet"/>
      <w:lvlText w:val="o"/>
      <w:lvlJc w:val="left"/>
      <w:pPr>
        <w:ind w:left="3600" w:hanging="360"/>
      </w:pPr>
      <w:rPr>
        <w:rFonts w:ascii="Courier New" w:hAnsi="Courier New" w:hint="default"/>
      </w:rPr>
    </w:lvl>
    <w:lvl w:ilvl="5" w:tplc="109C9360">
      <w:start w:val="1"/>
      <w:numFmt w:val="bullet"/>
      <w:lvlText w:val=""/>
      <w:lvlJc w:val="left"/>
      <w:pPr>
        <w:ind w:left="4320" w:hanging="360"/>
      </w:pPr>
      <w:rPr>
        <w:rFonts w:ascii="Wingdings" w:hAnsi="Wingdings" w:hint="default"/>
      </w:rPr>
    </w:lvl>
    <w:lvl w:ilvl="6" w:tplc="2F5C5C86">
      <w:start w:val="1"/>
      <w:numFmt w:val="bullet"/>
      <w:lvlText w:val=""/>
      <w:lvlJc w:val="left"/>
      <w:pPr>
        <w:ind w:left="5040" w:hanging="360"/>
      </w:pPr>
      <w:rPr>
        <w:rFonts w:ascii="Symbol" w:hAnsi="Symbol" w:hint="default"/>
      </w:rPr>
    </w:lvl>
    <w:lvl w:ilvl="7" w:tplc="064E19E8">
      <w:start w:val="1"/>
      <w:numFmt w:val="bullet"/>
      <w:lvlText w:val="o"/>
      <w:lvlJc w:val="left"/>
      <w:pPr>
        <w:ind w:left="5760" w:hanging="360"/>
      </w:pPr>
      <w:rPr>
        <w:rFonts w:ascii="Courier New" w:hAnsi="Courier New" w:hint="default"/>
      </w:rPr>
    </w:lvl>
    <w:lvl w:ilvl="8" w:tplc="3C24B684">
      <w:start w:val="1"/>
      <w:numFmt w:val="bullet"/>
      <w:lvlText w:val=""/>
      <w:lvlJc w:val="left"/>
      <w:pPr>
        <w:ind w:left="6480" w:hanging="360"/>
      </w:pPr>
      <w:rPr>
        <w:rFonts w:ascii="Wingdings" w:hAnsi="Wingdings" w:hint="default"/>
      </w:rPr>
    </w:lvl>
  </w:abstractNum>
  <w:abstractNum w:abstractNumId="693" w15:restartNumberingAfterBreak="0">
    <w:nsid w:val="75A051E3"/>
    <w:multiLevelType w:val="multilevel"/>
    <w:tmpl w:val="5E58CE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4" w15:restartNumberingAfterBreak="0">
    <w:nsid w:val="75A46586"/>
    <w:multiLevelType w:val="hybridMultilevel"/>
    <w:tmpl w:val="3EC8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5" w15:restartNumberingAfterBreak="0">
    <w:nsid w:val="75E2E40D"/>
    <w:multiLevelType w:val="hybridMultilevel"/>
    <w:tmpl w:val="FFFFFFFF"/>
    <w:lvl w:ilvl="0" w:tplc="8BBAF528">
      <w:start w:val="1"/>
      <w:numFmt w:val="bullet"/>
      <w:lvlText w:val=""/>
      <w:lvlJc w:val="left"/>
      <w:pPr>
        <w:ind w:left="720" w:hanging="360"/>
      </w:pPr>
      <w:rPr>
        <w:rFonts w:ascii="Symbol" w:hAnsi="Symbol" w:hint="default"/>
      </w:rPr>
    </w:lvl>
    <w:lvl w:ilvl="1" w:tplc="8CF88772">
      <w:start w:val="1"/>
      <w:numFmt w:val="bullet"/>
      <w:lvlText w:val="-"/>
      <w:lvlJc w:val="left"/>
      <w:pPr>
        <w:ind w:left="1440" w:hanging="360"/>
      </w:pPr>
      <w:rPr>
        <w:rFonts w:ascii="Calibri" w:hAnsi="Calibri" w:hint="default"/>
      </w:rPr>
    </w:lvl>
    <w:lvl w:ilvl="2" w:tplc="CB04EB02">
      <w:start w:val="1"/>
      <w:numFmt w:val="bullet"/>
      <w:lvlText w:val=""/>
      <w:lvlJc w:val="left"/>
      <w:pPr>
        <w:ind w:left="2160" w:hanging="360"/>
      </w:pPr>
      <w:rPr>
        <w:rFonts w:ascii="Wingdings" w:hAnsi="Wingdings" w:hint="default"/>
      </w:rPr>
    </w:lvl>
    <w:lvl w:ilvl="3" w:tplc="376EFA6E">
      <w:start w:val="1"/>
      <w:numFmt w:val="bullet"/>
      <w:lvlText w:val=""/>
      <w:lvlJc w:val="left"/>
      <w:pPr>
        <w:ind w:left="2880" w:hanging="360"/>
      </w:pPr>
      <w:rPr>
        <w:rFonts w:ascii="Symbol" w:hAnsi="Symbol" w:hint="default"/>
      </w:rPr>
    </w:lvl>
    <w:lvl w:ilvl="4" w:tplc="F8687A8C">
      <w:start w:val="1"/>
      <w:numFmt w:val="bullet"/>
      <w:lvlText w:val="o"/>
      <w:lvlJc w:val="left"/>
      <w:pPr>
        <w:ind w:left="3600" w:hanging="360"/>
      </w:pPr>
      <w:rPr>
        <w:rFonts w:ascii="Courier New" w:hAnsi="Courier New" w:hint="default"/>
      </w:rPr>
    </w:lvl>
    <w:lvl w:ilvl="5" w:tplc="C2641544">
      <w:start w:val="1"/>
      <w:numFmt w:val="bullet"/>
      <w:lvlText w:val=""/>
      <w:lvlJc w:val="left"/>
      <w:pPr>
        <w:ind w:left="4320" w:hanging="360"/>
      </w:pPr>
      <w:rPr>
        <w:rFonts w:ascii="Wingdings" w:hAnsi="Wingdings" w:hint="default"/>
      </w:rPr>
    </w:lvl>
    <w:lvl w:ilvl="6" w:tplc="2660AD78">
      <w:start w:val="1"/>
      <w:numFmt w:val="bullet"/>
      <w:lvlText w:val=""/>
      <w:lvlJc w:val="left"/>
      <w:pPr>
        <w:ind w:left="5040" w:hanging="360"/>
      </w:pPr>
      <w:rPr>
        <w:rFonts w:ascii="Symbol" w:hAnsi="Symbol" w:hint="default"/>
      </w:rPr>
    </w:lvl>
    <w:lvl w:ilvl="7" w:tplc="7A7ECEEA">
      <w:start w:val="1"/>
      <w:numFmt w:val="bullet"/>
      <w:lvlText w:val="o"/>
      <w:lvlJc w:val="left"/>
      <w:pPr>
        <w:ind w:left="5760" w:hanging="360"/>
      </w:pPr>
      <w:rPr>
        <w:rFonts w:ascii="Courier New" w:hAnsi="Courier New" w:hint="default"/>
      </w:rPr>
    </w:lvl>
    <w:lvl w:ilvl="8" w:tplc="8470220C">
      <w:start w:val="1"/>
      <w:numFmt w:val="bullet"/>
      <w:lvlText w:val=""/>
      <w:lvlJc w:val="left"/>
      <w:pPr>
        <w:ind w:left="6480" w:hanging="360"/>
      </w:pPr>
      <w:rPr>
        <w:rFonts w:ascii="Wingdings" w:hAnsi="Wingdings" w:hint="default"/>
      </w:rPr>
    </w:lvl>
  </w:abstractNum>
  <w:abstractNum w:abstractNumId="696" w15:restartNumberingAfterBreak="0">
    <w:nsid w:val="75E51489"/>
    <w:multiLevelType w:val="hybridMultilevel"/>
    <w:tmpl w:val="F89881B8"/>
    <w:lvl w:ilvl="0" w:tplc="1809001B">
      <w:start w:val="1"/>
      <w:numFmt w:val="lowerRoman"/>
      <w:lvlText w:val="%1."/>
      <w:lvlJc w:val="right"/>
      <w:pPr>
        <w:ind w:left="1440" w:hanging="360"/>
      </w:pPr>
    </w:lvl>
    <w:lvl w:ilvl="1" w:tplc="B7303C30">
      <w:start w:val="2"/>
      <w:numFmt w:val="bullet"/>
      <w:lvlText w:val="-"/>
      <w:lvlJc w:val="left"/>
      <w:pPr>
        <w:ind w:left="1080" w:hanging="360"/>
      </w:pPr>
      <w:rPr>
        <w:rFonts w:ascii="Calibri" w:eastAsiaTheme="minorHAnsi" w:hAnsi="Calibri" w:cs="Calibri" w:hint="default"/>
      </w:rPr>
    </w:lvl>
    <w:lvl w:ilvl="2" w:tplc="1809001B">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697" w15:restartNumberingAfterBreak="0">
    <w:nsid w:val="75F74C4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8" w15:restartNumberingAfterBreak="0">
    <w:nsid w:val="769F7C97"/>
    <w:multiLevelType w:val="hybridMultilevel"/>
    <w:tmpl w:val="E7E0111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9" w15:restartNumberingAfterBreak="0">
    <w:nsid w:val="76B69A53"/>
    <w:multiLevelType w:val="hybridMultilevel"/>
    <w:tmpl w:val="FFFFFFFF"/>
    <w:lvl w:ilvl="0" w:tplc="D3C00F80">
      <w:start w:val="1"/>
      <w:numFmt w:val="bullet"/>
      <w:lvlText w:val="·"/>
      <w:lvlJc w:val="left"/>
      <w:pPr>
        <w:ind w:left="720" w:hanging="360"/>
      </w:pPr>
      <w:rPr>
        <w:rFonts w:ascii="Symbol" w:hAnsi="Symbol" w:hint="default"/>
      </w:rPr>
    </w:lvl>
    <w:lvl w:ilvl="1" w:tplc="F6DE2E7C">
      <w:start w:val="1"/>
      <w:numFmt w:val="bullet"/>
      <w:lvlText w:val="o"/>
      <w:lvlJc w:val="left"/>
      <w:pPr>
        <w:ind w:left="1440" w:hanging="360"/>
      </w:pPr>
      <w:rPr>
        <w:rFonts w:ascii="Courier New" w:hAnsi="Courier New" w:hint="default"/>
      </w:rPr>
    </w:lvl>
    <w:lvl w:ilvl="2" w:tplc="CDEEB4B2">
      <w:start w:val="1"/>
      <w:numFmt w:val="bullet"/>
      <w:lvlText w:val=""/>
      <w:lvlJc w:val="left"/>
      <w:pPr>
        <w:ind w:left="2160" w:hanging="360"/>
      </w:pPr>
      <w:rPr>
        <w:rFonts w:ascii="Wingdings" w:hAnsi="Wingdings" w:hint="default"/>
      </w:rPr>
    </w:lvl>
    <w:lvl w:ilvl="3" w:tplc="9200A498">
      <w:start w:val="1"/>
      <w:numFmt w:val="bullet"/>
      <w:lvlText w:val=""/>
      <w:lvlJc w:val="left"/>
      <w:pPr>
        <w:ind w:left="2880" w:hanging="360"/>
      </w:pPr>
      <w:rPr>
        <w:rFonts w:ascii="Symbol" w:hAnsi="Symbol" w:hint="default"/>
      </w:rPr>
    </w:lvl>
    <w:lvl w:ilvl="4" w:tplc="F2880D60">
      <w:start w:val="1"/>
      <w:numFmt w:val="bullet"/>
      <w:lvlText w:val="o"/>
      <w:lvlJc w:val="left"/>
      <w:pPr>
        <w:ind w:left="3600" w:hanging="360"/>
      </w:pPr>
      <w:rPr>
        <w:rFonts w:ascii="Courier New" w:hAnsi="Courier New" w:hint="default"/>
      </w:rPr>
    </w:lvl>
    <w:lvl w:ilvl="5" w:tplc="9788CCFE">
      <w:start w:val="1"/>
      <w:numFmt w:val="bullet"/>
      <w:lvlText w:val=""/>
      <w:lvlJc w:val="left"/>
      <w:pPr>
        <w:ind w:left="4320" w:hanging="360"/>
      </w:pPr>
      <w:rPr>
        <w:rFonts w:ascii="Wingdings" w:hAnsi="Wingdings" w:hint="default"/>
      </w:rPr>
    </w:lvl>
    <w:lvl w:ilvl="6" w:tplc="D896A366">
      <w:start w:val="1"/>
      <w:numFmt w:val="bullet"/>
      <w:lvlText w:val=""/>
      <w:lvlJc w:val="left"/>
      <w:pPr>
        <w:ind w:left="5040" w:hanging="360"/>
      </w:pPr>
      <w:rPr>
        <w:rFonts w:ascii="Symbol" w:hAnsi="Symbol" w:hint="default"/>
      </w:rPr>
    </w:lvl>
    <w:lvl w:ilvl="7" w:tplc="07DE3DB2">
      <w:start w:val="1"/>
      <w:numFmt w:val="bullet"/>
      <w:lvlText w:val="o"/>
      <w:lvlJc w:val="left"/>
      <w:pPr>
        <w:ind w:left="5760" w:hanging="360"/>
      </w:pPr>
      <w:rPr>
        <w:rFonts w:ascii="Courier New" w:hAnsi="Courier New" w:hint="default"/>
      </w:rPr>
    </w:lvl>
    <w:lvl w:ilvl="8" w:tplc="6576FEE0">
      <w:start w:val="1"/>
      <w:numFmt w:val="bullet"/>
      <w:lvlText w:val=""/>
      <w:lvlJc w:val="left"/>
      <w:pPr>
        <w:ind w:left="6480" w:hanging="360"/>
      </w:pPr>
      <w:rPr>
        <w:rFonts w:ascii="Wingdings" w:hAnsi="Wingdings" w:hint="default"/>
      </w:rPr>
    </w:lvl>
  </w:abstractNum>
  <w:abstractNum w:abstractNumId="700" w15:restartNumberingAfterBreak="0">
    <w:nsid w:val="76D7F70F"/>
    <w:multiLevelType w:val="hybridMultilevel"/>
    <w:tmpl w:val="1CE849FA"/>
    <w:lvl w:ilvl="0" w:tplc="1809000F">
      <w:start w:val="1"/>
      <w:numFmt w:val="decimal"/>
      <w:lvlText w:val="%1."/>
      <w:lvlJc w:val="left"/>
      <w:pPr>
        <w:ind w:left="1080" w:hanging="360"/>
      </w:pPr>
      <w:rPr>
        <w:rFonts w:hint="default"/>
      </w:rPr>
    </w:lvl>
    <w:lvl w:ilvl="1" w:tplc="EA2A0A7A">
      <w:start w:val="1"/>
      <w:numFmt w:val="bullet"/>
      <w:lvlText w:val="o"/>
      <w:lvlJc w:val="left"/>
      <w:pPr>
        <w:ind w:left="1800" w:hanging="360"/>
      </w:pPr>
      <w:rPr>
        <w:rFonts w:ascii="Courier New" w:hAnsi="Courier New" w:hint="default"/>
      </w:rPr>
    </w:lvl>
    <w:lvl w:ilvl="2" w:tplc="4086B520">
      <w:start w:val="1"/>
      <w:numFmt w:val="bullet"/>
      <w:lvlText w:val=""/>
      <w:lvlJc w:val="left"/>
      <w:pPr>
        <w:ind w:left="2520" w:hanging="360"/>
      </w:pPr>
      <w:rPr>
        <w:rFonts w:ascii="Wingdings" w:hAnsi="Wingdings" w:hint="default"/>
      </w:rPr>
    </w:lvl>
    <w:lvl w:ilvl="3" w:tplc="FFC0FC78">
      <w:start w:val="1"/>
      <w:numFmt w:val="bullet"/>
      <w:lvlText w:val=""/>
      <w:lvlJc w:val="left"/>
      <w:pPr>
        <w:ind w:left="3240" w:hanging="360"/>
      </w:pPr>
      <w:rPr>
        <w:rFonts w:ascii="Symbol" w:hAnsi="Symbol" w:hint="default"/>
      </w:rPr>
    </w:lvl>
    <w:lvl w:ilvl="4" w:tplc="4484E05C">
      <w:start w:val="1"/>
      <w:numFmt w:val="bullet"/>
      <w:lvlText w:val="o"/>
      <w:lvlJc w:val="left"/>
      <w:pPr>
        <w:ind w:left="3960" w:hanging="360"/>
      </w:pPr>
      <w:rPr>
        <w:rFonts w:ascii="Courier New" w:hAnsi="Courier New" w:hint="default"/>
      </w:rPr>
    </w:lvl>
    <w:lvl w:ilvl="5" w:tplc="D7FC5BE6">
      <w:start w:val="1"/>
      <w:numFmt w:val="bullet"/>
      <w:lvlText w:val=""/>
      <w:lvlJc w:val="left"/>
      <w:pPr>
        <w:ind w:left="4680" w:hanging="360"/>
      </w:pPr>
      <w:rPr>
        <w:rFonts w:ascii="Wingdings" w:hAnsi="Wingdings" w:hint="default"/>
      </w:rPr>
    </w:lvl>
    <w:lvl w:ilvl="6" w:tplc="E41214CC">
      <w:start w:val="1"/>
      <w:numFmt w:val="bullet"/>
      <w:lvlText w:val=""/>
      <w:lvlJc w:val="left"/>
      <w:pPr>
        <w:ind w:left="5400" w:hanging="360"/>
      </w:pPr>
      <w:rPr>
        <w:rFonts w:ascii="Symbol" w:hAnsi="Symbol" w:hint="default"/>
      </w:rPr>
    </w:lvl>
    <w:lvl w:ilvl="7" w:tplc="57A6D0E0">
      <w:start w:val="1"/>
      <w:numFmt w:val="bullet"/>
      <w:lvlText w:val="o"/>
      <w:lvlJc w:val="left"/>
      <w:pPr>
        <w:ind w:left="6120" w:hanging="360"/>
      </w:pPr>
      <w:rPr>
        <w:rFonts w:ascii="Courier New" w:hAnsi="Courier New" w:hint="default"/>
      </w:rPr>
    </w:lvl>
    <w:lvl w:ilvl="8" w:tplc="B314A550">
      <w:start w:val="1"/>
      <w:numFmt w:val="bullet"/>
      <w:lvlText w:val=""/>
      <w:lvlJc w:val="left"/>
      <w:pPr>
        <w:ind w:left="6840" w:hanging="360"/>
      </w:pPr>
      <w:rPr>
        <w:rFonts w:ascii="Wingdings" w:hAnsi="Wingdings" w:hint="default"/>
      </w:rPr>
    </w:lvl>
  </w:abstractNum>
  <w:abstractNum w:abstractNumId="701" w15:restartNumberingAfterBreak="0">
    <w:nsid w:val="76E1E40F"/>
    <w:multiLevelType w:val="hybridMultilevel"/>
    <w:tmpl w:val="FFFFFFFF"/>
    <w:lvl w:ilvl="0" w:tplc="B8786F04">
      <w:start w:val="1"/>
      <w:numFmt w:val="decimal"/>
      <w:lvlText w:val="%1."/>
      <w:lvlJc w:val="left"/>
      <w:pPr>
        <w:ind w:left="720" w:hanging="360"/>
      </w:pPr>
    </w:lvl>
    <w:lvl w:ilvl="1" w:tplc="53869E1E">
      <w:start w:val="1"/>
      <w:numFmt w:val="lowerLetter"/>
      <w:lvlText w:val="%2."/>
      <w:lvlJc w:val="left"/>
      <w:pPr>
        <w:ind w:left="1440" w:hanging="360"/>
      </w:pPr>
    </w:lvl>
    <w:lvl w:ilvl="2" w:tplc="773229FC">
      <w:start w:val="1"/>
      <w:numFmt w:val="lowerRoman"/>
      <w:lvlText w:val="%3."/>
      <w:lvlJc w:val="right"/>
      <w:pPr>
        <w:ind w:left="2160" w:hanging="180"/>
      </w:pPr>
    </w:lvl>
    <w:lvl w:ilvl="3" w:tplc="140ED2E8">
      <w:start w:val="1"/>
      <w:numFmt w:val="decimal"/>
      <w:lvlText w:val="%4."/>
      <w:lvlJc w:val="left"/>
      <w:pPr>
        <w:ind w:left="2880" w:hanging="360"/>
      </w:pPr>
    </w:lvl>
    <w:lvl w:ilvl="4" w:tplc="8976D74E">
      <w:start w:val="1"/>
      <w:numFmt w:val="lowerLetter"/>
      <w:lvlText w:val="%5."/>
      <w:lvlJc w:val="left"/>
      <w:pPr>
        <w:ind w:left="3600" w:hanging="360"/>
      </w:pPr>
    </w:lvl>
    <w:lvl w:ilvl="5" w:tplc="852EC7BE">
      <w:start w:val="1"/>
      <w:numFmt w:val="lowerRoman"/>
      <w:lvlText w:val="%6."/>
      <w:lvlJc w:val="right"/>
      <w:pPr>
        <w:ind w:left="4320" w:hanging="180"/>
      </w:pPr>
    </w:lvl>
    <w:lvl w:ilvl="6" w:tplc="570E229C">
      <w:start w:val="1"/>
      <w:numFmt w:val="decimal"/>
      <w:lvlText w:val="%7."/>
      <w:lvlJc w:val="left"/>
      <w:pPr>
        <w:ind w:left="5040" w:hanging="360"/>
      </w:pPr>
    </w:lvl>
    <w:lvl w:ilvl="7" w:tplc="0448B08A">
      <w:start w:val="1"/>
      <w:numFmt w:val="lowerLetter"/>
      <w:lvlText w:val="%8."/>
      <w:lvlJc w:val="left"/>
      <w:pPr>
        <w:ind w:left="5760" w:hanging="360"/>
      </w:pPr>
    </w:lvl>
    <w:lvl w:ilvl="8" w:tplc="1340FA92">
      <w:start w:val="1"/>
      <w:numFmt w:val="lowerRoman"/>
      <w:lvlText w:val="%9."/>
      <w:lvlJc w:val="right"/>
      <w:pPr>
        <w:ind w:left="6480" w:hanging="180"/>
      </w:pPr>
    </w:lvl>
  </w:abstractNum>
  <w:abstractNum w:abstractNumId="702" w15:restartNumberingAfterBreak="0">
    <w:nsid w:val="76E74A32"/>
    <w:multiLevelType w:val="hybridMultilevel"/>
    <w:tmpl w:val="8F66C5BA"/>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3" w15:restartNumberingAfterBreak="0">
    <w:nsid w:val="76F56463"/>
    <w:multiLevelType w:val="multilevel"/>
    <w:tmpl w:val="D38425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4" w15:restartNumberingAfterBreak="0">
    <w:nsid w:val="771806C4"/>
    <w:multiLevelType w:val="hybridMultilevel"/>
    <w:tmpl w:val="99B64566"/>
    <w:lvl w:ilvl="0" w:tplc="AF1E810C">
      <w:start w:val="1"/>
      <w:numFmt w:val="bullet"/>
      <w:lvlText w:val="-"/>
      <w:lvlJc w:val="left"/>
      <w:pPr>
        <w:ind w:left="720" w:hanging="360"/>
      </w:pPr>
      <w:rPr>
        <w:rFonts w:ascii="Symbol" w:hAnsi="Symbol" w:hint="default"/>
      </w:rPr>
    </w:lvl>
    <w:lvl w:ilvl="1" w:tplc="0C5805FE">
      <w:start w:val="1"/>
      <w:numFmt w:val="bullet"/>
      <w:lvlText w:val="o"/>
      <w:lvlJc w:val="left"/>
      <w:pPr>
        <w:ind w:left="1440" w:hanging="360"/>
      </w:pPr>
      <w:rPr>
        <w:rFonts w:ascii="Courier New" w:hAnsi="Courier New" w:hint="default"/>
      </w:rPr>
    </w:lvl>
    <w:lvl w:ilvl="2" w:tplc="3384A5C6">
      <w:start w:val="1"/>
      <w:numFmt w:val="bullet"/>
      <w:lvlText w:val=""/>
      <w:lvlJc w:val="left"/>
      <w:pPr>
        <w:ind w:left="2160" w:hanging="360"/>
      </w:pPr>
      <w:rPr>
        <w:rFonts w:ascii="Wingdings" w:hAnsi="Wingdings" w:hint="default"/>
      </w:rPr>
    </w:lvl>
    <w:lvl w:ilvl="3" w:tplc="0A02715A">
      <w:start w:val="1"/>
      <w:numFmt w:val="bullet"/>
      <w:lvlText w:val=""/>
      <w:lvlJc w:val="left"/>
      <w:pPr>
        <w:ind w:left="2880" w:hanging="360"/>
      </w:pPr>
      <w:rPr>
        <w:rFonts w:ascii="Symbol" w:hAnsi="Symbol" w:hint="default"/>
      </w:rPr>
    </w:lvl>
    <w:lvl w:ilvl="4" w:tplc="24789A00">
      <w:start w:val="1"/>
      <w:numFmt w:val="bullet"/>
      <w:lvlText w:val="o"/>
      <w:lvlJc w:val="left"/>
      <w:pPr>
        <w:ind w:left="3600" w:hanging="360"/>
      </w:pPr>
      <w:rPr>
        <w:rFonts w:ascii="Courier New" w:hAnsi="Courier New" w:hint="default"/>
      </w:rPr>
    </w:lvl>
    <w:lvl w:ilvl="5" w:tplc="9E4A1B9A">
      <w:start w:val="1"/>
      <w:numFmt w:val="bullet"/>
      <w:lvlText w:val=""/>
      <w:lvlJc w:val="left"/>
      <w:pPr>
        <w:ind w:left="4320" w:hanging="360"/>
      </w:pPr>
      <w:rPr>
        <w:rFonts w:ascii="Wingdings" w:hAnsi="Wingdings" w:hint="default"/>
      </w:rPr>
    </w:lvl>
    <w:lvl w:ilvl="6" w:tplc="24BA7062">
      <w:start w:val="1"/>
      <w:numFmt w:val="bullet"/>
      <w:lvlText w:val=""/>
      <w:lvlJc w:val="left"/>
      <w:pPr>
        <w:ind w:left="5040" w:hanging="360"/>
      </w:pPr>
      <w:rPr>
        <w:rFonts w:ascii="Symbol" w:hAnsi="Symbol" w:hint="default"/>
      </w:rPr>
    </w:lvl>
    <w:lvl w:ilvl="7" w:tplc="EE9EE00E">
      <w:start w:val="1"/>
      <w:numFmt w:val="bullet"/>
      <w:lvlText w:val="o"/>
      <w:lvlJc w:val="left"/>
      <w:pPr>
        <w:ind w:left="5760" w:hanging="360"/>
      </w:pPr>
      <w:rPr>
        <w:rFonts w:ascii="Courier New" w:hAnsi="Courier New" w:hint="default"/>
      </w:rPr>
    </w:lvl>
    <w:lvl w:ilvl="8" w:tplc="11A2CCEC">
      <w:start w:val="1"/>
      <w:numFmt w:val="bullet"/>
      <w:lvlText w:val=""/>
      <w:lvlJc w:val="left"/>
      <w:pPr>
        <w:ind w:left="6480" w:hanging="360"/>
      </w:pPr>
      <w:rPr>
        <w:rFonts w:ascii="Wingdings" w:hAnsi="Wingdings" w:hint="default"/>
      </w:rPr>
    </w:lvl>
  </w:abstractNum>
  <w:abstractNum w:abstractNumId="705" w15:restartNumberingAfterBreak="0">
    <w:nsid w:val="77B16DD8"/>
    <w:multiLevelType w:val="hybridMultilevel"/>
    <w:tmpl w:val="FFFFFFFF"/>
    <w:lvl w:ilvl="0" w:tplc="87FC3F1A">
      <w:start w:val="1"/>
      <w:numFmt w:val="bullet"/>
      <w:lvlText w:val="·"/>
      <w:lvlJc w:val="left"/>
      <w:pPr>
        <w:ind w:left="720" w:hanging="360"/>
      </w:pPr>
      <w:rPr>
        <w:rFonts w:ascii="Symbol" w:hAnsi="Symbol" w:hint="default"/>
      </w:rPr>
    </w:lvl>
    <w:lvl w:ilvl="1" w:tplc="59AA67E8">
      <w:start w:val="1"/>
      <w:numFmt w:val="bullet"/>
      <w:lvlText w:val="o"/>
      <w:lvlJc w:val="left"/>
      <w:pPr>
        <w:ind w:left="1440" w:hanging="360"/>
      </w:pPr>
      <w:rPr>
        <w:rFonts w:ascii="Courier New" w:hAnsi="Courier New" w:hint="default"/>
      </w:rPr>
    </w:lvl>
    <w:lvl w:ilvl="2" w:tplc="A6B04B9C">
      <w:start w:val="1"/>
      <w:numFmt w:val="bullet"/>
      <w:lvlText w:val=""/>
      <w:lvlJc w:val="left"/>
      <w:pPr>
        <w:ind w:left="2160" w:hanging="360"/>
      </w:pPr>
      <w:rPr>
        <w:rFonts w:ascii="Wingdings" w:hAnsi="Wingdings" w:hint="default"/>
      </w:rPr>
    </w:lvl>
    <w:lvl w:ilvl="3" w:tplc="30EA10B0">
      <w:start w:val="1"/>
      <w:numFmt w:val="bullet"/>
      <w:lvlText w:val=""/>
      <w:lvlJc w:val="left"/>
      <w:pPr>
        <w:ind w:left="2880" w:hanging="360"/>
      </w:pPr>
      <w:rPr>
        <w:rFonts w:ascii="Symbol" w:hAnsi="Symbol" w:hint="default"/>
      </w:rPr>
    </w:lvl>
    <w:lvl w:ilvl="4" w:tplc="83AE0B2E">
      <w:start w:val="1"/>
      <w:numFmt w:val="bullet"/>
      <w:lvlText w:val="o"/>
      <w:lvlJc w:val="left"/>
      <w:pPr>
        <w:ind w:left="3600" w:hanging="360"/>
      </w:pPr>
      <w:rPr>
        <w:rFonts w:ascii="Courier New" w:hAnsi="Courier New" w:hint="default"/>
      </w:rPr>
    </w:lvl>
    <w:lvl w:ilvl="5" w:tplc="2ADED522">
      <w:start w:val="1"/>
      <w:numFmt w:val="bullet"/>
      <w:lvlText w:val=""/>
      <w:lvlJc w:val="left"/>
      <w:pPr>
        <w:ind w:left="4320" w:hanging="360"/>
      </w:pPr>
      <w:rPr>
        <w:rFonts w:ascii="Wingdings" w:hAnsi="Wingdings" w:hint="default"/>
      </w:rPr>
    </w:lvl>
    <w:lvl w:ilvl="6" w:tplc="F998E482">
      <w:start w:val="1"/>
      <w:numFmt w:val="bullet"/>
      <w:lvlText w:val=""/>
      <w:lvlJc w:val="left"/>
      <w:pPr>
        <w:ind w:left="5040" w:hanging="360"/>
      </w:pPr>
      <w:rPr>
        <w:rFonts w:ascii="Symbol" w:hAnsi="Symbol" w:hint="default"/>
      </w:rPr>
    </w:lvl>
    <w:lvl w:ilvl="7" w:tplc="1324A0EC">
      <w:start w:val="1"/>
      <w:numFmt w:val="bullet"/>
      <w:lvlText w:val="o"/>
      <w:lvlJc w:val="left"/>
      <w:pPr>
        <w:ind w:left="5760" w:hanging="360"/>
      </w:pPr>
      <w:rPr>
        <w:rFonts w:ascii="Courier New" w:hAnsi="Courier New" w:hint="default"/>
      </w:rPr>
    </w:lvl>
    <w:lvl w:ilvl="8" w:tplc="E60CEBE0">
      <w:start w:val="1"/>
      <w:numFmt w:val="bullet"/>
      <w:lvlText w:val=""/>
      <w:lvlJc w:val="left"/>
      <w:pPr>
        <w:ind w:left="6480" w:hanging="360"/>
      </w:pPr>
      <w:rPr>
        <w:rFonts w:ascii="Wingdings" w:hAnsi="Wingdings" w:hint="default"/>
      </w:rPr>
    </w:lvl>
  </w:abstractNum>
  <w:abstractNum w:abstractNumId="706" w15:restartNumberingAfterBreak="0">
    <w:nsid w:val="77B53224"/>
    <w:multiLevelType w:val="hybridMultilevel"/>
    <w:tmpl w:val="7138CDAA"/>
    <w:lvl w:ilvl="0" w:tplc="69B4948C">
      <w:start w:val="1"/>
      <w:numFmt w:val="bullet"/>
      <w:lvlText w:val="-"/>
      <w:lvlJc w:val="left"/>
      <w:pPr>
        <w:ind w:left="720" w:hanging="360"/>
      </w:pPr>
      <w:rPr>
        <w:rFonts w:ascii="Symbol" w:hAnsi="Symbol" w:hint="default"/>
      </w:rPr>
    </w:lvl>
    <w:lvl w:ilvl="1" w:tplc="5798E1D8">
      <w:start w:val="1"/>
      <w:numFmt w:val="bullet"/>
      <w:lvlText w:val="o"/>
      <w:lvlJc w:val="left"/>
      <w:pPr>
        <w:ind w:left="1440" w:hanging="360"/>
      </w:pPr>
      <w:rPr>
        <w:rFonts w:ascii="Courier New" w:hAnsi="Courier New" w:hint="default"/>
      </w:rPr>
    </w:lvl>
    <w:lvl w:ilvl="2" w:tplc="9612D82C">
      <w:start w:val="1"/>
      <w:numFmt w:val="bullet"/>
      <w:lvlText w:val=""/>
      <w:lvlJc w:val="left"/>
      <w:pPr>
        <w:ind w:left="2160" w:hanging="360"/>
      </w:pPr>
      <w:rPr>
        <w:rFonts w:ascii="Wingdings" w:hAnsi="Wingdings" w:hint="default"/>
      </w:rPr>
    </w:lvl>
    <w:lvl w:ilvl="3" w:tplc="8BA84C4C">
      <w:start w:val="1"/>
      <w:numFmt w:val="bullet"/>
      <w:lvlText w:val=""/>
      <w:lvlJc w:val="left"/>
      <w:pPr>
        <w:ind w:left="2880" w:hanging="360"/>
      </w:pPr>
      <w:rPr>
        <w:rFonts w:ascii="Symbol" w:hAnsi="Symbol" w:hint="default"/>
      </w:rPr>
    </w:lvl>
    <w:lvl w:ilvl="4" w:tplc="517A0D04">
      <w:start w:val="1"/>
      <w:numFmt w:val="bullet"/>
      <w:lvlText w:val="o"/>
      <w:lvlJc w:val="left"/>
      <w:pPr>
        <w:ind w:left="3600" w:hanging="360"/>
      </w:pPr>
      <w:rPr>
        <w:rFonts w:ascii="Courier New" w:hAnsi="Courier New" w:hint="default"/>
      </w:rPr>
    </w:lvl>
    <w:lvl w:ilvl="5" w:tplc="9F2A96C6">
      <w:start w:val="1"/>
      <w:numFmt w:val="bullet"/>
      <w:lvlText w:val=""/>
      <w:lvlJc w:val="left"/>
      <w:pPr>
        <w:ind w:left="4320" w:hanging="360"/>
      </w:pPr>
      <w:rPr>
        <w:rFonts w:ascii="Wingdings" w:hAnsi="Wingdings" w:hint="default"/>
      </w:rPr>
    </w:lvl>
    <w:lvl w:ilvl="6" w:tplc="B4ACE1C8">
      <w:start w:val="1"/>
      <w:numFmt w:val="bullet"/>
      <w:lvlText w:val=""/>
      <w:lvlJc w:val="left"/>
      <w:pPr>
        <w:ind w:left="5040" w:hanging="360"/>
      </w:pPr>
      <w:rPr>
        <w:rFonts w:ascii="Symbol" w:hAnsi="Symbol" w:hint="default"/>
      </w:rPr>
    </w:lvl>
    <w:lvl w:ilvl="7" w:tplc="5706EA50">
      <w:start w:val="1"/>
      <w:numFmt w:val="bullet"/>
      <w:lvlText w:val="o"/>
      <w:lvlJc w:val="left"/>
      <w:pPr>
        <w:ind w:left="5760" w:hanging="360"/>
      </w:pPr>
      <w:rPr>
        <w:rFonts w:ascii="Courier New" w:hAnsi="Courier New" w:hint="default"/>
      </w:rPr>
    </w:lvl>
    <w:lvl w:ilvl="8" w:tplc="A26A3BC8">
      <w:start w:val="1"/>
      <w:numFmt w:val="bullet"/>
      <w:lvlText w:val=""/>
      <w:lvlJc w:val="left"/>
      <w:pPr>
        <w:ind w:left="6480" w:hanging="360"/>
      </w:pPr>
      <w:rPr>
        <w:rFonts w:ascii="Wingdings" w:hAnsi="Wingdings" w:hint="default"/>
      </w:rPr>
    </w:lvl>
  </w:abstractNum>
  <w:abstractNum w:abstractNumId="707" w15:restartNumberingAfterBreak="0">
    <w:nsid w:val="77D4553C"/>
    <w:multiLevelType w:val="hybridMultilevel"/>
    <w:tmpl w:val="6BF8647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8" w15:restartNumberingAfterBreak="0">
    <w:nsid w:val="783F5EBD"/>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09" w15:restartNumberingAfterBreak="0">
    <w:nsid w:val="78A407C3"/>
    <w:multiLevelType w:val="hybridMultilevel"/>
    <w:tmpl w:val="E52A0778"/>
    <w:lvl w:ilvl="0" w:tplc="CC824516">
      <w:start w:val="1"/>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710" w15:restartNumberingAfterBreak="0">
    <w:nsid w:val="78AA6207"/>
    <w:multiLevelType w:val="hybridMultilevel"/>
    <w:tmpl w:val="C0B454EA"/>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78AE7AB8"/>
    <w:multiLevelType w:val="hybridMultilevel"/>
    <w:tmpl w:val="641C0FF0"/>
    <w:lvl w:ilvl="0" w:tplc="18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2" w15:restartNumberingAfterBreak="0">
    <w:nsid w:val="78D59BCD"/>
    <w:multiLevelType w:val="hybridMultilevel"/>
    <w:tmpl w:val="8C4CEC46"/>
    <w:lvl w:ilvl="0" w:tplc="F45E8384">
      <w:start w:val="1"/>
      <w:numFmt w:val="bullet"/>
      <w:lvlText w:val=""/>
      <w:lvlJc w:val="left"/>
      <w:pPr>
        <w:ind w:left="720" w:hanging="360"/>
      </w:pPr>
      <w:rPr>
        <w:rFonts w:ascii="Symbol" w:hAnsi="Symbol" w:hint="default"/>
      </w:rPr>
    </w:lvl>
    <w:lvl w:ilvl="1" w:tplc="D48235BE">
      <w:start w:val="1"/>
      <w:numFmt w:val="bullet"/>
      <w:lvlText w:val="o"/>
      <w:lvlJc w:val="left"/>
      <w:pPr>
        <w:ind w:left="1440" w:hanging="360"/>
      </w:pPr>
      <w:rPr>
        <w:rFonts w:ascii="Courier New" w:hAnsi="Courier New" w:hint="default"/>
      </w:rPr>
    </w:lvl>
    <w:lvl w:ilvl="2" w:tplc="4B6CF0F8">
      <w:start w:val="1"/>
      <w:numFmt w:val="bullet"/>
      <w:lvlText w:val=""/>
      <w:lvlJc w:val="left"/>
      <w:pPr>
        <w:ind w:left="2160" w:hanging="360"/>
      </w:pPr>
      <w:rPr>
        <w:rFonts w:ascii="Wingdings" w:hAnsi="Wingdings" w:hint="default"/>
      </w:rPr>
    </w:lvl>
    <w:lvl w:ilvl="3" w:tplc="0F5CB2E4">
      <w:start w:val="1"/>
      <w:numFmt w:val="bullet"/>
      <w:lvlText w:val=""/>
      <w:lvlJc w:val="left"/>
      <w:pPr>
        <w:ind w:left="2880" w:hanging="360"/>
      </w:pPr>
      <w:rPr>
        <w:rFonts w:ascii="Symbol" w:hAnsi="Symbol" w:hint="default"/>
      </w:rPr>
    </w:lvl>
    <w:lvl w:ilvl="4" w:tplc="88B0626A">
      <w:start w:val="1"/>
      <w:numFmt w:val="bullet"/>
      <w:lvlText w:val="o"/>
      <w:lvlJc w:val="left"/>
      <w:pPr>
        <w:ind w:left="3600" w:hanging="360"/>
      </w:pPr>
      <w:rPr>
        <w:rFonts w:ascii="Courier New" w:hAnsi="Courier New" w:hint="default"/>
      </w:rPr>
    </w:lvl>
    <w:lvl w:ilvl="5" w:tplc="E32E12E0">
      <w:start w:val="1"/>
      <w:numFmt w:val="bullet"/>
      <w:lvlText w:val=""/>
      <w:lvlJc w:val="left"/>
      <w:pPr>
        <w:ind w:left="4320" w:hanging="360"/>
      </w:pPr>
      <w:rPr>
        <w:rFonts w:ascii="Wingdings" w:hAnsi="Wingdings" w:hint="default"/>
      </w:rPr>
    </w:lvl>
    <w:lvl w:ilvl="6" w:tplc="7D546A18">
      <w:start w:val="1"/>
      <w:numFmt w:val="bullet"/>
      <w:lvlText w:val=""/>
      <w:lvlJc w:val="left"/>
      <w:pPr>
        <w:ind w:left="5040" w:hanging="360"/>
      </w:pPr>
      <w:rPr>
        <w:rFonts w:ascii="Symbol" w:hAnsi="Symbol" w:hint="default"/>
      </w:rPr>
    </w:lvl>
    <w:lvl w:ilvl="7" w:tplc="7116DBEA">
      <w:start w:val="1"/>
      <w:numFmt w:val="bullet"/>
      <w:lvlText w:val="o"/>
      <w:lvlJc w:val="left"/>
      <w:pPr>
        <w:ind w:left="5760" w:hanging="360"/>
      </w:pPr>
      <w:rPr>
        <w:rFonts w:ascii="Courier New" w:hAnsi="Courier New" w:hint="default"/>
      </w:rPr>
    </w:lvl>
    <w:lvl w:ilvl="8" w:tplc="37D8E236">
      <w:start w:val="1"/>
      <w:numFmt w:val="bullet"/>
      <w:lvlText w:val=""/>
      <w:lvlJc w:val="left"/>
      <w:pPr>
        <w:ind w:left="6480" w:hanging="360"/>
      </w:pPr>
      <w:rPr>
        <w:rFonts w:ascii="Wingdings" w:hAnsi="Wingdings" w:hint="default"/>
      </w:rPr>
    </w:lvl>
  </w:abstractNum>
  <w:abstractNum w:abstractNumId="713" w15:restartNumberingAfterBreak="0">
    <w:nsid w:val="790585AC"/>
    <w:multiLevelType w:val="hybridMultilevel"/>
    <w:tmpl w:val="FFFFFFFF"/>
    <w:lvl w:ilvl="0" w:tplc="96584A66">
      <w:start w:val="2"/>
      <w:numFmt w:val="decimal"/>
      <w:lvlText w:val="%1."/>
      <w:lvlJc w:val="left"/>
      <w:pPr>
        <w:ind w:left="720" w:hanging="360"/>
      </w:pPr>
    </w:lvl>
    <w:lvl w:ilvl="1" w:tplc="8208FC1E">
      <w:start w:val="1"/>
      <w:numFmt w:val="lowerLetter"/>
      <w:lvlText w:val="%2."/>
      <w:lvlJc w:val="left"/>
      <w:pPr>
        <w:ind w:left="1440" w:hanging="360"/>
      </w:pPr>
    </w:lvl>
    <w:lvl w:ilvl="2" w:tplc="96EA19B2">
      <w:start w:val="1"/>
      <w:numFmt w:val="lowerRoman"/>
      <w:lvlText w:val="%3."/>
      <w:lvlJc w:val="right"/>
      <w:pPr>
        <w:ind w:left="2160" w:hanging="180"/>
      </w:pPr>
    </w:lvl>
    <w:lvl w:ilvl="3" w:tplc="06542F16">
      <w:start w:val="1"/>
      <w:numFmt w:val="decimal"/>
      <w:lvlText w:val="%4."/>
      <w:lvlJc w:val="left"/>
      <w:pPr>
        <w:ind w:left="2880" w:hanging="360"/>
      </w:pPr>
    </w:lvl>
    <w:lvl w:ilvl="4" w:tplc="BF7464C0">
      <w:start w:val="1"/>
      <w:numFmt w:val="lowerLetter"/>
      <w:lvlText w:val="%5."/>
      <w:lvlJc w:val="left"/>
      <w:pPr>
        <w:ind w:left="3600" w:hanging="360"/>
      </w:pPr>
    </w:lvl>
    <w:lvl w:ilvl="5" w:tplc="A4D28FD8">
      <w:start w:val="1"/>
      <w:numFmt w:val="lowerRoman"/>
      <w:lvlText w:val="%6."/>
      <w:lvlJc w:val="right"/>
      <w:pPr>
        <w:ind w:left="4320" w:hanging="180"/>
      </w:pPr>
    </w:lvl>
    <w:lvl w:ilvl="6" w:tplc="D018B258">
      <w:start w:val="1"/>
      <w:numFmt w:val="decimal"/>
      <w:lvlText w:val="%7."/>
      <w:lvlJc w:val="left"/>
      <w:pPr>
        <w:ind w:left="5040" w:hanging="360"/>
      </w:pPr>
    </w:lvl>
    <w:lvl w:ilvl="7" w:tplc="621C2AA8">
      <w:start w:val="1"/>
      <w:numFmt w:val="lowerLetter"/>
      <w:lvlText w:val="%8."/>
      <w:lvlJc w:val="left"/>
      <w:pPr>
        <w:ind w:left="5760" w:hanging="360"/>
      </w:pPr>
    </w:lvl>
    <w:lvl w:ilvl="8" w:tplc="CD9A1BDC">
      <w:start w:val="1"/>
      <w:numFmt w:val="lowerRoman"/>
      <w:lvlText w:val="%9."/>
      <w:lvlJc w:val="right"/>
      <w:pPr>
        <w:ind w:left="6480" w:hanging="180"/>
      </w:pPr>
    </w:lvl>
  </w:abstractNum>
  <w:abstractNum w:abstractNumId="714" w15:restartNumberingAfterBreak="0">
    <w:nsid w:val="7941852A"/>
    <w:multiLevelType w:val="hybridMultilevel"/>
    <w:tmpl w:val="FFFFFFFF"/>
    <w:lvl w:ilvl="0" w:tplc="799AAA4C">
      <w:start w:val="4"/>
      <w:numFmt w:val="decimal"/>
      <w:lvlText w:val="%1."/>
      <w:lvlJc w:val="left"/>
      <w:pPr>
        <w:ind w:left="720" w:hanging="360"/>
      </w:pPr>
    </w:lvl>
    <w:lvl w:ilvl="1" w:tplc="A80ECE9A">
      <w:start w:val="1"/>
      <w:numFmt w:val="lowerLetter"/>
      <w:lvlText w:val="%2."/>
      <w:lvlJc w:val="left"/>
      <w:pPr>
        <w:ind w:left="1440" w:hanging="360"/>
      </w:pPr>
    </w:lvl>
    <w:lvl w:ilvl="2" w:tplc="A650FE20">
      <w:start w:val="1"/>
      <w:numFmt w:val="lowerRoman"/>
      <w:lvlText w:val="%3."/>
      <w:lvlJc w:val="right"/>
      <w:pPr>
        <w:ind w:left="2160" w:hanging="180"/>
      </w:pPr>
    </w:lvl>
    <w:lvl w:ilvl="3" w:tplc="D55A9A90">
      <w:start w:val="1"/>
      <w:numFmt w:val="decimal"/>
      <w:lvlText w:val="%4."/>
      <w:lvlJc w:val="left"/>
      <w:pPr>
        <w:ind w:left="2880" w:hanging="360"/>
      </w:pPr>
    </w:lvl>
    <w:lvl w:ilvl="4" w:tplc="2E98F672">
      <w:start w:val="1"/>
      <w:numFmt w:val="lowerLetter"/>
      <w:lvlText w:val="%5."/>
      <w:lvlJc w:val="left"/>
      <w:pPr>
        <w:ind w:left="3600" w:hanging="360"/>
      </w:pPr>
    </w:lvl>
    <w:lvl w:ilvl="5" w:tplc="20E8A7D4">
      <w:start w:val="1"/>
      <w:numFmt w:val="lowerRoman"/>
      <w:lvlText w:val="%6."/>
      <w:lvlJc w:val="right"/>
      <w:pPr>
        <w:ind w:left="4320" w:hanging="180"/>
      </w:pPr>
    </w:lvl>
    <w:lvl w:ilvl="6" w:tplc="07F80F88">
      <w:start w:val="1"/>
      <w:numFmt w:val="decimal"/>
      <w:lvlText w:val="%7."/>
      <w:lvlJc w:val="left"/>
      <w:pPr>
        <w:ind w:left="5040" w:hanging="360"/>
      </w:pPr>
    </w:lvl>
    <w:lvl w:ilvl="7" w:tplc="4A1C89C8">
      <w:start w:val="1"/>
      <w:numFmt w:val="lowerLetter"/>
      <w:lvlText w:val="%8."/>
      <w:lvlJc w:val="left"/>
      <w:pPr>
        <w:ind w:left="5760" w:hanging="360"/>
      </w:pPr>
    </w:lvl>
    <w:lvl w:ilvl="8" w:tplc="2BDC0566">
      <w:start w:val="1"/>
      <w:numFmt w:val="lowerRoman"/>
      <w:lvlText w:val="%9."/>
      <w:lvlJc w:val="right"/>
      <w:pPr>
        <w:ind w:left="6480" w:hanging="180"/>
      </w:pPr>
    </w:lvl>
  </w:abstractNum>
  <w:abstractNum w:abstractNumId="715" w15:restartNumberingAfterBreak="0">
    <w:nsid w:val="79D36099"/>
    <w:multiLevelType w:val="hybridMultilevel"/>
    <w:tmpl w:val="10341BCE"/>
    <w:lvl w:ilvl="0" w:tplc="1809000F">
      <w:start w:val="1"/>
      <w:numFmt w:val="decimal"/>
      <w:lvlText w:val="%1."/>
      <w:lvlJc w:val="left"/>
      <w:pPr>
        <w:ind w:left="720" w:hanging="360"/>
      </w:pPr>
      <w:rPr>
        <w:rFonts w:hint="default"/>
      </w:rPr>
    </w:lvl>
    <w:lvl w:ilvl="1" w:tplc="1809000F">
      <w:start w:val="1"/>
      <w:numFmt w:val="decimal"/>
      <w:lvlText w:val="%2."/>
      <w:lvlJc w:val="left"/>
      <w:pPr>
        <w:ind w:left="1440" w:hanging="360"/>
      </w:pPr>
    </w:lvl>
    <w:lvl w:ilvl="2" w:tplc="1809001B">
      <w:start w:val="1"/>
      <w:numFmt w:val="lowerRoman"/>
      <w:lvlText w:val="%3."/>
      <w:lvlJc w:val="right"/>
      <w:pPr>
        <w:ind w:left="2340" w:hanging="360"/>
      </w:p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6" w15:restartNumberingAfterBreak="0">
    <w:nsid w:val="7A0E4170"/>
    <w:multiLevelType w:val="hybridMultilevel"/>
    <w:tmpl w:val="2D826320"/>
    <w:lvl w:ilvl="0" w:tplc="0C0A0001">
      <w:start w:val="1"/>
      <w:numFmt w:val="bullet"/>
      <w:lvlText w:val=""/>
      <w:lvlJc w:val="left"/>
      <w:pPr>
        <w:ind w:left="1068" w:hanging="360"/>
      </w:pPr>
      <w:rPr>
        <w:rFonts w:ascii="Segoe UI" w:hAnsi="Segoe UI" w:hint="default"/>
      </w:rPr>
    </w:lvl>
    <w:lvl w:ilvl="1" w:tplc="0C0A0003">
      <w:start w:val="1"/>
      <w:numFmt w:val="bullet"/>
      <w:lvlText w:val="o"/>
      <w:lvlJc w:val="left"/>
      <w:pPr>
        <w:ind w:left="1788" w:hanging="360"/>
      </w:pPr>
      <w:rPr>
        <w:rFonts w:ascii="Courier New" w:hAnsi="Courier New" w:cs="Courier New" w:hint="default"/>
      </w:rPr>
    </w:lvl>
    <w:lvl w:ilvl="2" w:tplc="4A08A748">
      <w:numFmt w:val="bullet"/>
      <w:lvlText w:val="•"/>
      <w:lvlJc w:val="left"/>
      <w:pPr>
        <w:ind w:left="2508" w:hanging="360"/>
      </w:pPr>
      <w:rPr>
        <w:rFonts w:ascii="Aptos" w:eastAsiaTheme="minorHAnsi" w:hAnsi="Aptos" w:cs="Aptos" w:hint="default"/>
      </w:rPr>
    </w:lvl>
    <w:lvl w:ilvl="3" w:tplc="0C0A0001" w:tentative="1">
      <w:start w:val="1"/>
      <w:numFmt w:val="bullet"/>
      <w:lvlText w:val=""/>
      <w:lvlJc w:val="left"/>
      <w:pPr>
        <w:ind w:left="3228" w:hanging="360"/>
      </w:pPr>
      <w:rPr>
        <w:rFonts w:ascii="Segoe UI" w:hAnsi="Segoe UI"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Cambria Math" w:hAnsi="Cambria Math" w:hint="default"/>
      </w:rPr>
    </w:lvl>
    <w:lvl w:ilvl="6" w:tplc="0C0A0001" w:tentative="1">
      <w:start w:val="1"/>
      <w:numFmt w:val="bullet"/>
      <w:lvlText w:val=""/>
      <w:lvlJc w:val="left"/>
      <w:pPr>
        <w:ind w:left="5388" w:hanging="360"/>
      </w:pPr>
      <w:rPr>
        <w:rFonts w:ascii="Segoe UI" w:hAnsi="Segoe UI"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Cambria Math" w:hAnsi="Cambria Math" w:hint="default"/>
      </w:rPr>
    </w:lvl>
  </w:abstractNum>
  <w:abstractNum w:abstractNumId="717" w15:restartNumberingAfterBreak="0">
    <w:nsid w:val="7A211D65"/>
    <w:multiLevelType w:val="multilevel"/>
    <w:tmpl w:val="D7F8F7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7A4151A5"/>
    <w:multiLevelType w:val="multilevel"/>
    <w:tmpl w:val="F89C2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9" w15:restartNumberingAfterBreak="0">
    <w:nsid w:val="7A4EB1C6"/>
    <w:multiLevelType w:val="hybridMultilevel"/>
    <w:tmpl w:val="FFFFFFFF"/>
    <w:lvl w:ilvl="0" w:tplc="AE206D24">
      <w:start w:val="3"/>
      <w:numFmt w:val="decimal"/>
      <w:lvlText w:val="%1."/>
      <w:lvlJc w:val="left"/>
      <w:pPr>
        <w:ind w:left="720" w:hanging="360"/>
      </w:pPr>
    </w:lvl>
    <w:lvl w:ilvl="1" w:tplc="9EDE2A3C">
      <w:start w:val="1"/>
      <w:numFmt w:val="lowerLetter"/>
      <w:lvlText w:val="%2."/>
      <w:lvlJc w:val="left"/>
      <w:pPr>
        <w:ind w:left="1440" w:hanging="360"/>
      </w:pPr>
    </w:lvl>
    <w:lvl w:ilvl="2" w:tplc="8A704C0A">
      <w:start w:val="1"/>
      <w:numFmt w:val="lowerRoman"/>
      <w:lvlText w:val="%3."/>
      <w:lvlJc w:val="right"/>
      <w:pPr>
        <w:ind w:left="2160" w:hanging="180"/>
      </w:pPr>
    </w:lvl>
    <w:lvl w:ilvl="3" w:tplc="B17C7608">
      <w:start w:val="1"/>
      <w:numFmt w:val="decimal"/>
      <w:lvlText w:val="%4."/>
      <w:lvlJc w:val="left"/>
      <w:pPr>
        <w:ind w:left="2880" w:hanging="360"/>
      </w:pPr>
    </w:lvl>
    <w:lvl w:ilvl="4" w:tplc="7CE258FC">
      <w:start w:val="1"/>
      <w:numFmt w:val="lowerLetter"/>
      <w:lvlText w:val="%5."/>
      <w:lvlJc w:val="left"/>
      <w:pPr>
        <w:ind w:left="3600" w:hanging="360"/>
      </w:pPr>
    </w:lvl>
    <w:lvl w:ilvl="5" w:tplc="215ACD00">
      <w:start w:val="1"/>
      <w:numFmt w:val="lowerRoman"/>
      <w:lvlText w:val="%6."/>
      <w:lvlJc w:val="right"/>
      <w:pPr>
        <w:ind w:left="4320" w:hanging="180"/>
      </w:pPr>
    </w:lvl>
    <w:lvl w:ilvl="6" w:tplc="245C2CCE">
      <w:start w:val="1"/>
      <w:numFmt w:val="decimal"/>
      <w:lvlText w:val="%7."/>
      <w:lvlJc w:val="left"/>
      <w:pPr>
        <w:ind w:left="5040" w:hanging="360"/>
      </w:pPr>
    </w:lvl>
    <w:lvl w:ilvl="7" w:tplc="50A411FC">
      <w:start w:val="1"/>
      <w:numFmt w:val="lowerLetter"/>
      <w:lvlText w:val="%8."/>
      <w:lvlJc w:val="left"/>
      <w:pPr>
        <w:ind w:left="5760" w:hanging="360"/>
      </w:pPr>
    </w:lvl>
    <w:lvl w:ilvl="8" w:tplc="532C40E0">
      <w:start w:val="1"/>
      <w:numFmt w:val="lowerRoman"/>
      <w:lvlText w:val="%9."/>
      <w:lvlJc w:val="right"/>
      <w:pPr>
        <w:ind w:left="6480" w:hanging="180"/>
      </w:pPr>
    </w:lvl>
  </w:abstractNum>
  <w:abstractNum w:abstractNumId="720" w15:restartNumberingAfterBreak="0">
    <w:nsid w:val="7A57295F"/>
    <w:multiLevelType w:val="multilevel"/>
    <w:tmpl w:val="AB7EAA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7ACE5AA2"/>
    <w:multiLevelType w:val="hybridMultilevel"/>
    <w:tmpl w:val="FFFFFFFF"/>
    <w:lvl w:ilvl="0" w:tplc="C17E9188">
      <w:start w:val="1"/>
      <w:numFmt w:val="bullet"/>
      <w:lvlText w:val="·"/>
      <w:lvlJc w:val="left"/>
      <w:pPr>
        <w:ind w:left="720" w:hanging="360"/>
      </w:pPr>
      <w:rPr>
        <w:rFonts w:ascii="Symbol" w:hAnsi="Symbol" w:hint="default"/>
      </w:rPr>
    </w:lvl>
    <w:lvl w:ilvl="1" w:tplc="853CC648">
      <w:start w:val="1"/>
      <w:numFmt w:val="bullet"/>
      <w:lvlText w:val="o"/>
      <w:lvlJc w:val="left"/>
      <w:pPr>
        <w:ind w:left="1440" w:hanging="360"/>
      </w:pPr>
      <w:rPr>
        <w:rFonts w:ascii="Courier New" w:hAnsi="Courier New" w:hint="default"/>
      </w:rPr>
    </w:lvl>
    <w:lvl w:ilvl="2" w:tplc="32FA20BC">
      <w:start w:val="1"/>
      <w:numFmt w:val="bullet"/>
      <w:lvlText w:val=""/>
      <w:lvlJc w:val="left"/>
      <w:pPr>
        <w:ind w:left="2160" w:hanging="360"/>
      </w:pPr>
      <w:rPr>
        <w:rFonts w:ascii="Wingdings" w:hAnsi="Wingdings" w:hint="default"/>
      </w:rPr>
    </w:lvl>
    <w:lvl w:ilvl="3" w:tplc="26A6384E">
      <w:start w:val="1"/>
      <w:numFmt w:val="bullet"/>
      <w:lvlText w:val=""/>
      <w:lvlJc w:val="left"/>
      <w:pPr>
        <w:ind w:left="2880" w:hanging="360"/>
      </w:pPr>
      <w:rPr>
        <w:rFonts w:ascii="Symbol" w:hAnsi="Symbol" w:hint="default"/>
      </w:rPr>
    </w:lvl>
    <w:lvl w:ilvl="4" w:tplc="504029F2">
      <w:start w:val="1"/>
      <w:numFmt w:val="bullet"/>
      <w:lvlText w:val="o"/>
      <w:lvlJc w:val="left"/>
      <w:pPr>
        <w:ind w:left="3600" w:hanging="360"/>
      </w:pPr>
      <w:rPr>
        <w:rFonts w:ascii="Courier New" w:hAnsi="Courier New" w:hint="default"/>
      </w:rPr>
    </w:lvl>
    <w:lvl w:ilvl="5" w:tplc="8506C1A4">
      <w:start w:val="1"/>
      <w:numFmt w:val="bullet"/>
      <w:lvlText w:val=""/>
      <w:lvlJc w:val="left"/>
      <w:pPr>
        <w:ind w:left="4320" w:hanging="360"/>
      </w:pPr>
      <w:rPr>
        <w:rFonts w:ascii="Wingdings" w:hAnsi="Wingdings" w:hint="default"/>
      </w:rPr>
    </w:lvl>
    <w:lvl w:ilvl="6" w:tplc="50007B82">
      <w:start w:val="1"/>
      <w:numFmt w:val="bullet"/>
      <w:lvlText w:val=""/>
      <w:lvlJc w:val="left"/>
      <w:pPr>
        <w:ind w:left="5040" w:hanging="360"/>
      </w:pPr>
      <w:rPr>
        <w:rFonts w:ascii="Symbol" w:hAnsi="Symbol" w:hint="default"/>
      </w:rPr>
    </w:lvl>
    <w:lvl w:ilvl="7" w:tplc="91B2E404">
      <w:start w:val="1"/>
      <w:numFmt w:val="bullet"/>
      <w:lvlText w:val="o"/>
      <w:lvlJc w:val="left"/>
      <w:pPr>
        <w:ind w:left="5760" w:hanging="360"/>
      </w:pPr>
      <w:rPr>
        <w:rFonts w:ascii="Courier New" w:hAnsi="Courier New" w:hint="default"/>
      </w:rPr>
    </w:lvl>
    <w:lvl w:ilvl="8" w:tplc="059C8FF0">
      <w:start w:val="1"/>
      <w:numFmt w:val="bullet"/>
      <w:lvlText w:val=""/>
      <w:lvlJc w:val="left"/>
      <w:pPr>
        <w:ind w:left="6480" w:hanging="360"/>
      </w:pPr>
      <w:rPr>
        <w:rFonts w:ascii="Wingdings" w:hAnsi="Wingdings" w:hint="default"/>
      </w:rPr>
    </w:lvl>
  </w:abstractNum>
  <w:abstractNum w:abstractNumId="722" w15:restartNumberingAfterBreak="0">
    <w:nsid w:val="7B245AD1"/>
    <w:multiLevelType w:val="hybridMultilevel"/>
    <w:tmpl w:val="976C9254"/>
    <w:lvl w:ilvl="0" w:tplc="7BD636D8">
      <w:start w:val="5"/>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3" w15:restartNumberingAfterBreak="0">
    <w:nsid w:val="7B314C45"/>
    <w:multiLevelType w:val="hybridMultilevel"/>
    <w:tmpl w:val="60C62A9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4" w15:restartNumberingAfterBreak="0">
    <w:nsid w:val="7B414B80"/>
    <w:multiLevelType w:val="hybridMultilevel"/>
    <w:tmpl w:val="C66E115C"/>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725" w15:restartNumberingAfterBreak="0">
    <w:nsid w:val="7BA53934"/>
    <w:multiLevelType w:val="hybridMultilevel"/>
    <w:tmpl w:val="32A40AE4"/>
    <w:lvl w:ilvl="0" w:tplc="561CD8F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6" w15:restartNumberingAfterBreak="0">
    <w:nsid w:val="7BACEA30"/>
    <w:multiLevelType w:val="hybridMultilevel"/>
    <w:tmpl w:val="FFFFFFFF"/>
    <w:lvl w:ilvl="0" w:tplc="C620755C">
      <w:start w:val="1"/>
      <w:numFmt w:val="decimal"/>
      <w:lvlText w:val="%1."/>
      <w:lvlJc w:val="left"/>
      <w:pPr>
        <w:ind w:left="720" w:hanging="360"/>
      </w:pPr>
    </w:lvl>
    <w:lvl w:ilvl="1" w:tplc="DD92B60A">
      <w:start w:val="1"/>
      <w:numFmt w:val="lowerLetter"/>
      <w:lvlText w:val="%2."/>
      <w:lvlJc w:val="left"/>
      <w:pPr>
        <w:ind w:left="1440" w:hanging="360"/>
      </w:pPr>
    </w:lvl>
    <w:lvl w:ilvl="2" w:tplc="431255E4">
      <w:start w:val="1"/>
      <w:numFmt w:val="lowerRoman"/>
      <w:lvlText w:val="%3."/>
      <w:lvlJc w:val="right"/>
      <w:pPr>
        <w:ind w:left="2160" w:hanging="180"/>
      </w:pPr>
    </w:lvl>
    <w:lvl w:ilvl="3" w:tplc="8B0A7E44">
      <w:start w:val="1"/>
      <w:numFmt w:val="decimal"/>
      <w:lvlText w:val="%4."/>
      <w:lvlJc w:val="left"/>
      <w:pPr>
        <w:ind w:left="2880" w:hanging="360"/>
      </w:pPr>
    </w:lvl>
    <w:lvl w:ilvl="4" w:tplc="6D98B9CA">
      <w:start w:val="1"/>
      <w:numFmt w:val="lowerLetter"/>
      <w:lvlText w:val="%5."/>
      <w:lvlJc w:val="left"/>
      <w:pPr>
        <w:ind w:left="3600" w:hanging="360"/>
      </w:pPr>
    </w:lvl>
    <w:lvl w:ilvl="5" w:tplc="2DF8FDF2">
      <w:start w:val="1"/>
      <w:numFmt w:val="lowerRoman"/>
      <w:lvlText w:val="%6."/>
      <w:lvlJc w:val="right"/>
      <w:pPr>
        <w:ind w:left="4320" w:hanging="180"/>
      </w:pPr>
    </w:lvl>
    <w:lvl w:ilvl="6" w:tplc="CCD6CB4A">
      <w:start w:val="1"/>
      <w:numFmt w:val="decimal"/>
      <w:lvlText w:val="%7."/>
      <w:lvlJc w:val="left"/>
      <w:pPr>
        <w:ind w:left="5040" w:hanging="360"/>
      </w:pPr>
    </w:lvl>
    <w:lvl w:ilvl="7" w:tplc="8CD2EEEE">
      <w:start w:val="1"/>
      <w:numFmt w:val="lowerLetter"/>
      <w:lvlText w:val="%8."/>
      <w:lvlJc w:val="left"/>
      <w:pPr>
        <w:ind w:left="5760" w:hanging="360"/>
      </w:pPr>
    </w:lvl>
    <w:lvl w:ilvl="8" w:tplc="A9FA6A58">
      <w:start w:val="1"/>
      <w:numFmt w:val="lowerRoman"/>
      <w:lvlText w:val="%9."/>
      <w:lvlJc w:val="right"/>
      <w:pPr>
        <w:ind w:left="6480" w:hanging="180"/>
      </w:pPr>
    </w:lvl>
  </w:abstractNum>
  <w:abstractNum w:abstractNumId="727" w15:restartNumberingAfterBreak="0">
    <w:nsid w:val="7BEB3116"/>
    <w:multiLevelType w:val="hybridMultilevel"/>
    <w:tmpl w:val="6F8CDA72"/>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28" w15:restartNumberingAfterBreak="0">
    <w:nsid w:val="7BEB322F"/>
    <w:multiLevelType w:val="multilevel"/>
    <w:tmpl w:val="D1869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9" w15:restartNumberingAfterBreak="0">
    <w:nsid w:val="7BF06854"/>
    <w:multiLevelType w:val="multilevel"/>
    <w:tmpl w:val="6F9A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0" w15:restartNumberingAfterBreak="0">
    <w:nsid w:val="7BF86B53"/>
    <w:multiLevelType w:val="hybridMultilevel"/>
    <w:tmpl w:val="D858486E"/>
    <w:lvl w:ilvl="0" w:tplc="23AE571E">
      <w:start w:val="2"/>
      <w:numFmt w:val="lowerLetter"/>
      <w:lvlText w:val="%1."/>
      <w:lvlJc w:val="left"/>
      <w:pPr>
        <w:ind w:left="720" w:hanging="360"/>
      </w:pPr>
    </w:lvl>
    <w:lvl w:ilvl="1" w:tplc="7E82A9C6">
      <w:start w:val="1"/>
      <w:numFmt w:val="lowerLetter"/>
      <w:lvlText w:val="%2."/>
      <w:lvlJc w:val="left"/>
      <w:pPr>
        <w:ind w:left="1440" w:hanging="360"/>
      </w:pPr>
    </w:lvl>
    <w:lvl w:ilvl="2" w:tplc="B0BC943C">
      <w:start w:val="1"/>
      <w:numFmt w:val="lowerRoman"/>
      <w:lvlText w:val="%3."/>
      <w:lvlJc w:val="right"/>
      <w:pPr>
        <w:ind w:left="2160" w:hanging="180"/>
      </w:pPr>
    </w:lvl>
    <w:lvl w:ilvl="3" w:tplc="3E1AFD4C">
      <w:start w:val="1"/>
      <w:numFmt w:val="decimal"/>
      <w:lvlText w:val="%4."/>
      <w:lvlJc w:val="left"/>
      <w:pPr>
        <w:ind w:left="2880" w:hanging="360"/>
      </w:pPr>
    </w:lvl>
    <w:lvl w:ilvl="4" w:tplc="CFCC7AEA">
      <w:start w:val="1"/>
      <w:numFmt w:val="lowerLetter"/>
      <w:lvlText w:val="%5."/>
      <w:lvlJc w:val="left"/>
      <w:pPr>
        <w:ind w:left="3600" w:hanging="360"/>
      </w:pPr>
    </w:lvl>
    <w:lvl w:ilvl="5" w:tplc="00424DB4">
      <w:start w:val="1"/>
      <w:numFmt w:val="lowerRoman"/>
      <w:lvlText w:val="%6."/>
      <w:lvlJc w:val="right"/>
      <w:pPr>
        <w:ind w:left="4320" w:hanging="180"/>
      </w:pPr>
    </w:lvl>
    <w:lvl w:ilvl="6" w:tplc="892CF7A6">
      <w:start w:val="1"/>
      <w:numFmt w:val="decimal"/>
      <w:lvlText w:val="%7."/>
      <w:lvlJc w:val="left"/>
      <w:pPr>
        <w:ind w:left="5040" w:hanging="360"/>
      </w:pPr>
    </w:lvl>
    <w:lvl w:ilvl="7" w:tplc="25022B18">
      <w:start w:val="1"/>
      <w:numFmt w:val="lowerLetter"/>
      <w:lvlText w:val="%8."/>
      <w:lvlJc w:val="left"/>
      <w:pPr>
        <w:ind w:left="5760" w:hanging="360"/>
      </w:pPr>
    </w:lvl>
    <w:lvl w:ilvl="8" w:tplc="C3AE92A6">
      <w:start w:val="1"/>
      <w:numFmt w:val="lowerRoman"/>
      <w:lvlText w:val="%9."/>
      <w:lvlJc w:val="right"/>
      <w:pPr>
        <w:ind w:left="6480" w:hanging="180"/>
      </w:pPr>
    </w:lvl>
  </w:abstractNum>
  <w:abstractNum w:abstractNumId="731" w15:restartNumberingAfterBreak="0">
    <w:nsid w:val="7C065371"/>
    <w:multiLevelType w:val="multilevel"/>
    <w:tmpl w:val="D1EE0FAC"/>
    <w:lvl w:ilvl="0">
      <w:start w:val="1"/>
      <w:numFmt w:val="lowerRoman"/>
      <w:lvlText w:val="%1."/>
      <w:lvlJc w:val="right"/>
      <w:pPr>
        <w:tabs>
          <w:tab w:val="num" w:pos="1800"/>
        </w:tabs>
        <w:ind w:left="1800" w:hanging="360"/>
      </w:pPr>
      <w:rPr>
        <w:rFonts w:hint="default"/>
      </w:rPr>
    </w:lvl>
    <w:lvl w:ilvl="1">
      <w:start w:val="1"/>
      <w:numFmt w:val="lowerRoman"/>
      <w:lvlText w:val="%2."/>
      <w:lvlJc w:val="right"/>
      <w:pPr>
        <w:tabs>
          <w:tab w:val="num" w:pos="2520"/>
        </w:tabs>
        <w:ind w:left="2520" w:hanging="360"/>
      </w:pPr>
      <w:rPr>
        <w:rFonts w:hint="default"/>
      </w:rPr>
    </w:lvl>
    <w:lvl w:ilvl="2">
      <w:start w:val="1"/>
      <w:numFmt w:val="lowerRoman"/>
      <w:lvlText w:val="%3."/>
      <w:lvlJc w:val="right"/>
      <w:pPr>
        <w:tabs>
          <w:tab w:val="num" w:pos="3240"/>
        </w:tabs>
        <w:ind w:left="3240" w:hanging="360"/>
      </w:pPr>
      <w:rPr>
        <w:rFonts w:hint="default"/>
      </w:rPr>
    </w:lvl>
    <w:lvl w:ilvl="3">
      <w:start w:val="1"/>
      <w:numFmt w:val="lowerRoman"/>
      <w:lvlText w:val="%4."/>
      <w:lvlJc w:val="right"/>
      <w:pPr>
        <w:tabs>
          <w:tab w:val="num" w:pos="3960"/>
        </w:tabs>
        <w:ind w:left="3960" w:hanging="36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360"/>
      </w:pPr>
      <w:rPr>
        <w:rFonts w:hint="default"/>
      </w:rPr>
    </w:lvl>
    <w:lvl w:ilvl="6">
      <w:start w:val="1"/>
      <w:numFmt w:val="lowerRoman"/>
      <w:lvlText w:val="%7."/>
      <w:lvlJc w:val="right"/>
      <w:pPr>
        <w:tabs>
          <w:tab w:val="num" w:pos="6120"/>
        </w:tabs>
        <w:ind w:left="6120" w:hanging="360"/>
      </w:pPr>
      <w:rPr>
        <w:rFonts w:hint="default"/>
      </w:rPr>
    </w:lvl>
    <w:lvl w:ilvl="7">
      <w:start w:val="1"/>
      <w:numFmt w:val="lowerRoman"/>
      <w:lvlText w:val="%8."/>
      <w:lvlJc w:val="right"/>
      <w:pPr>
        <w:tabs>
          <w:tab w:val="num" w:pos="6840"/>
        </w:tabs>
        <w:ind w:left="6840" w:hanging="360"/>
      </w:pPr>
      <w:rPr>
        <w:rFonts w:hint="default"/>
      </w:rPr>
    </w:lvl>
    <w:lvl w:ilvl="8">
      <w:start w:val="1"/>
      <w:numFmt w:val="lowerRoman"/>
      <w:lvlText w:val="%9."/>
      <w:lvlJc w:val="right"/>
      <w:pPr>
        <w:tabs>
          <w:tab w:val="num" w:pos="7560"/>
        </w:tabs>
        <w:ind w:left="7560" w:hanging="360"/>
      </w:pPr>
      <w:rPr>
        <w:rFonts w:hint="default"/>
      </w:rPr>
    </w:lvl>
  </w:abstractNum>
  <w:abstractNum w:abstractNumId="732" w15:restartNumberingAfterBreak="0">
    <w:nsid w:val="7C227792"/>
    <w:multiLevelType w:val="hybridMultilevel"/>
    <w:tmpl w:val="1B82981A"/>
    <w:lvl w:ilvl="0" w:tplc="FFFFFFFF">
      <w:start w:val="1"/>
      <w:numFmt w:val="decimal"/>
      <w:lvlText w:val="%1."/>
      <w:lvlJc w:val="left"/>
      <w:pPr>
        <w:ind w:left="720" w:hanging="360"/>
      </w:pPr>
      <w:rPr>
        <w:rFonts w:hint="default"/>
        <w:b/>
        <w:bCs/>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3" w15:restartNumberingAfterBreak="0">
    <w:nsid w:val="7C4709B9"/>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34" w15:restartNumberingAfterBreak="0">
    <w:nsid w:val="7C7750A6"/>
    <w:multiLevelType w:val="hybridMultilevel"/>
    <w:tmpl w:val="FFFFFFFF"/>
    <w:lvl w:ilvl="0" w:tplc="70DE8CA2">
      <w:start w:val="1"/>
      <w:numFmt w:val="decimal"/>
      <w:lvlText w:val="%1."/>
      <w:lvlJc w:val="left"/>
      <w:pPr>
        <w:ind w:left="720" w:hanging="360"/>
      </w:pPr>
    </w:lvl>
    <w:lvl w:ilvl="1" w:tplc="CB5068AE">
      <w:start w:val="1"/>
      <w:numFmt w:val="lowerLetter"/>
      <w:lvlText w:val="%2."/>
      <w:lvlJc w:val="left"/>
      <w:pPr>
        <w:ind w:left="1440" w:hanging="360"/>
      </w:pPr>
    </w:lvl>
    <w:lvl w:ilvl="2" w:tplc="5A5E4106">
      <w:start w:val="1"/>
      <w:numFmt w:val="lowerRoman"/>
      <w:lvlText w:val="%3."/>
      <w:lvlJc w:val="right"/>
      <w:pPr>
        <w:ind w:left="2160" w:hanging="180"/>
      </w:pPr>
    </w:lvl>
    <w:lvl w:ilvl="3" w:tplc="159C5A98">
      <w:start w:val="1"/>
      <w:numFmt w:val="decimal"/>
      <w:lvlText w:val="%4."/>
      <w:lvlJc w:val="left"/>
      <w:pPr>
        <w:ind w:left="2880" w:hanging="360"/>
      </w:pPr>
    </w:lvl>
    <w:lvl w:ilvl="4" w:tplc="E08E504E">
      <w:start w:val="1"/>
      <w:numFmt w:val="lowerLetter"/>
      <w:lvlText w:val="%5."/>
      <w:lvlJc w:val="left"/>
      <w:pPr>
        <w:ind w:left="3600" w:hanging="360"/>
      </w:pPr>
    </w:lvl>
    <w:lvl w:ilvl="5" w:tplc="517ED0A0">
      <w:start w:val="1"/>
      <w:numFmt w:val="lowerRoman"/>
      <w:lvlText w:val="%6."/>
      <w:lvlJc w:val="right"/>
      <w:pPr>
        <w:ind w:left="4320" w:hanging="180"/>
      </w:pPr>
    </w:lvl>
    <w:lvl w:ilvl="6" w:tplc="2E3044F0">
      <w:start w:val="1"/>
      <w:numFmt w:val="decimal"/>
      <w:lvlText w:val="%7."/>
      <w:lvlJc w:val="left"/>
      <w:pPr>
        <w:ind w:left="5040" w:hanging="360"/>
      </w:pPr>
    </w:lvl>
    <w:lvl w:ilvl="7" w:tplc="3518557E">
      <w:start w:val="1"/>
      <w:numFmt w:val="lowerLetter"/>
      <w:lvlText w:val="%8."/>
      <w:lvlJc w:val="left"/>
      <w:pPr>
        <w:ind w:left="5760" w:hanging="360"/>
      </w:pPr>
    </w:lvl>
    <w:lvl w:ilvl="8" w:tplc="35C41E8E">
      <w:start w:val="1"/>
      <w:numFmt w:val="lowerRoman"/>
      <w:lvlText w:val="%9."/>
      <w:lvlJc w:val="right"/>
      <w:pPr>
        <w:ind w:left="6480" w:hanging="180"/>
      </w:pPr>
    </w:lvl>
  </w:abstractNum>
  <w:abstractNum w:abstractNumId="735" w15:restartNumberingAfterBreak="0">
    <w:nsid w:val="7C7A1769"/>
    <w:multiLevelType w:val="multilevel"/>
    <w:tmpl w:val="8CFC3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6" w15:restartNumberingAfterBreak="0">
    <w:nsid w:val="7C7E4710"/>
    <w:multiLevelType w:val="multilevel"/>
    <w:tmpl w:val="D81C37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7" w15:restartNumberingAfterBreak="0">
    <w:nsid w:val="7CA77FBF"/>
    <w:multiLevelType w:val="hybridMultilevel"/>
    <w:tmpl w:val="FFFFFFFF"/>
    <w:lvl w:ilvl="0" w:tplc="56345B4C">
      <w:start w:val="1"/>
      <w:numFmt w:val="bullet"/>
      <w:lvlText w:val=""/>
      <w:lvlJc w:val="left"/>
      <w:pPr>
        <w:ind w:left="720" w:hanging="360"/>
      </w:pPr>
      <w:rPr>
        <w:rFonts w:ascii="Segoe UI" w:hAnsi="Segoe UI" w:hint="default"/>
      </w:rPr>
    </w:lvl>
    <w:lvl w:ilvl="1" w:tplc="F9F60570">
      <w:start w:val="1"/>
      <w:numFmt w:val="bullet"/>
      <w:lvlText w:val="o"/>
      <w:lvlJc w:val="left"/>
      <w:pPr>
        <w:ind w:left="1440" w:hanging="360"/>
      </w:pPr>
      <w:rPr>
        <w:rFonts w:ascii="Courier New" w:hAnsi="Courier New" w:hint="default"/>
      </w:rPr>
    </w:lvl>
    <w:lvl w:ilvl="2" w:tplc="0584E2DA">
      <w:start w:val="1"/>
      <w:numFmt w:val="bullet"/>
      <w:lvlText w:val=""/>
      <w:lvlJc w:val="left"/>
      <w:pPr>
        <w:ind w:left="2160" w:hanging="360"/>
      </w:pPr>
      <w:rPr>
        <w:rFonts w:ascii="Cambria Math" w:hAnsi="Cambria Math" w:hint="default"/>
      </w:rPr>
    </w:lvl>
    <w:lvl w:ilvl="3" w:tplc="6E30AFB2">
      <w:start w:val="1"/>
      <w:numFmt w:val="bullet"/>
      <w:lvlText w:val=""/>
      <w:lvlJc w:val="left"/>
      <w:pPr>
        <w:ind w:left="2880" w:hanging="360"/>
      </w:pPr>
      <w:rPr>
        <w:rFonts w:ascii="Segoe UI" w:hAnsi="Segoe UI" w:hint="default"/>
      </w:rPr>
    </w:lvl>
    <w:lvl w:ilvl="4" w:tplc="E6CA7CD4">
      <w:start w:val="1"/>
      <w:numFmt w:val="bullet"/>
      <w:lvlText w:val="o"/>
      <w:lvlJc w:val="left"/>
      <w:pPr>
        <w:ind w:left="3600" w:hanging="360"/>
      </w:pPr>
      <w:rPr>
        <w:rFonts w:ascii="Courier New" w:hAnsi="Courier New" w:hint="default"/>
      </w:rPr>
    </w:lvl>
    <w:lvl w:ilvl="5" w:tplc="3A6EF328">
      <w:start w:val="1"/>
      <w:numFmt w:val="bullet"/>
      <w:lvlText w:val=""/>
      <w:lvlJc w:val="left"/>
      <w:pPr>
        <w:ind w:left="4320" w:hanging="360"/>
      </w:pPr>
      <w:rPr>
        <w:rFonts w:ascii="Cambria Math" w:hAnsi="Cambria Math" w:hint="default"/>
      </w:rPr>
    </w:lvl>
    <w:lvl w:ilvl="6" w:tplc="EC1A56BC">
      <w:start w:val="1"/>
      <w:numFmt w:val="bullet"/>
      <w:lvlText w:val=""/>
      <w:lvlJc w:val="left"/>
      <w:pPr>
        <w:ind w:left="5040" w:hanging="360"/>
      </w:pPr>
      <w:rPr>
        <w:rFonts w:ascii="Segoe UI" w:hAnsi="Segoe UI" w:hint="default"/>
      </w:rPr>
    </w:lvl>
    <w:lvl w:ilvl="7" w:tplc="05EC94D2">
      <w:start w:val="1"/>
      <w:numFmt w:val="bullet"/>
      <w:lvlText w:val="o"/>
      <w:lvlJc w:val="left"/>
      <w:pPr>
        <w:ind w:left="5760" w:hanging="360"/>
      </w:pPr>
      <w:rPr>
        <w:rFonts w:ascii="Courier New" w:hAnsi="Courier New" w:hint="default"/>
      </w:rPr>
    </w:lvl>
    <w:lvl w:ilvl="8" w:tplc="D04EC7E6">
      <w:start w:val="1"/>
      <w:numFmt w:val="bullet"/>
      <w:lvlText w:val=""/>
      <w:lvlJc w:val="left"/>
      <w:pPr>
        <w:ind w:left="6480" w:hanging="360"/>
      </w:pPr>
      <w:rPr>
        <w:rFonts w:ascii="Cambria Math" w:hAnsi="Cambria Math" w:hint="default"/>
      </w:rPr>
    </w:lvl>
  </w:abstractNum>
  <w:abstractNum w:abstractNumId="738" w15:restartNumberingAfterBreak="0">
    <w:nsid w:val="7CB1591F"/>
    <w:multiLevelType w:val="hybridMultilevel"/>
    <w:tmpl w:val="90465D9C"/>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9"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740" w15:restartNumberingAfterBreak="0">
    <w:nsid w:val="7CCF5ABA"/>
    <w:multiLevelType w:val="hybridMultilevel"/>
    <w:tmpl w:val="89528FFA"/>
    <w:lvl w:ilvl="0" w:tplc="16A62AA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1" w15:restartNumberingAfterBreak="0">
    <w:nsid w:val="7D081A82"/>
    <w:multiLevelType w:val="hybridMultilevel"/>
    <w:tmpl w:val="260AD7EC"/>
    <w:lvl w:ilvl="0" w:tplc="24CE598A">
      <w:start w:val="1"/>
      <w:numFmt w:val="bullet"/>
      <w:lvlText w:val=""/>
      <w:lvlJc w:val="left"/>
      <w:pPr>
        <w:ind w:left="720" w:hanging="360"/>
      </w:pPr>
      <w:rPr>
        <w:rFonts w:ascii="Symbol" w:hAnsi="Symbol" w:hint="default"/>
      </w:rPr>
    </w:lvl>
    <w:lvl w:ilvl="1" w:tplc="687A7700">
      <w:start w:val="1"/>
      <w:numFmt w:val="bullet"/>
      <w:lvlText w:val="o"/>
      <w:lvlJc w:val="left"/>
      <w:pPr>
        <w:ind w:left="1440" w:hanging="360"/>
      </w:pPr>
      <w:rPr>
        <w:rFonts w:ascii="Courier New" w:hAnsi="Courier New" w:hint="default"/>
      </w:rPr>
    </w:lvl>
    <w:lvl w:ilvl="2" w:tplc="9B6601BE">
      <w:start w:val="1"/>
      <w:numFmt w:val="bullet"/>
      <w:lvlText w:val=""/>
      <w:lvlJc w:val="left"/>
      <w:pPr>
        <w:ind w:left="2160" w:hanging="360"/>
      </w:pPr>
      <w:rPr>
        <w:rFonts w:ascii="Wingdings" w:hAnsi="Wingdings" w:hint="default"/>
      </w:rPr>
    </w:lvl>
    <w:lvl w:ilvl="3" w:tplc="48A2CBA8">
      <w:start w:val="1"/>
      <w:numFmt w:val="bullet"/>
      <w:lvlText w:val=""/>
      <w:lvlJc w:val="left"/>
      <w:pPr>
        <w:ind w:left="2880" w:hanging="360"/>
      </w:pPr>
      <w:rPr>
        <w:rFonts w:ascii="Symbol" w:hAnsi="Symbol" w:hint="default"/>
      </w:rPr>
    </w:lvl>
    <w:lvl w:ilvl="4" w:tplc="97C4CAE2">
      <w:start w:val="1"/>
      <w:numFmt w:val="bullet"/>
      <w:lvlText w:val="o"/>
      <w:lvlJc w:val="left"/>
      <w:pPr>
        <w:ind w:left="3600" w:hanging="360"/>
      </w:pPr>
      <w:rPr>
        <w:rFonts w:ascii="Courier New" w:hAnsi="Courier New" w:hint="default"/>
      </w:rPr>
    </w:lvl>
    <w:lvl w:ilvl="5" w:tplc="BF2A29EE">
      <w:start w:val="1"/>
      <w:numFmt w:val="bullet"/>
      <w:lvlText w:val=""/>
      <w:lvlJc w:val="left"/>
      <w:pPr>
        <w:ind w:left="4320" w:hanging="360"/>
      </w:pPr>
      <w:rPr>
        <w:rFonts w:ascii="Wingdings" w:hAnsi="Wingdings" w:hint="default"/>
      </w:rPr>
    </w:lvl>
    <w:lvl w:ilvl="6" w:tplc="D7043F78">
      <w:start w:val="1"/>
      <w:numFmt w:val="bullet"/>
      <w:lvlText w:val=""/>
      <w:lvlJc w:val="left"/>
      <w:pPr>
        <w:ind w:left="5040" w:hanging="360"/>
      </w:pPr>
      <w:rPr>
        <w:rFonts w:ascii="Symbol" w:hAnsi="Symbol" w:hint="default"/>
      </w:rPr>
    </w:lvl>
    <w:lvl w:ilvl="7" w:tplc="544C67B4">
      <w:start w:val="1"/>
      <w:numFmt w:val="bullet"/>
      <w:lvlText w:val="o"/>
      <w:lvlJc w:val="left"/>
      <w:pPr>
        <w:ind w:left="5760" w:hanging="360"/>
      </w:pPr>
      <w:rPr>
        <w:rFonts w:ascii="Courier New" w:hAnsi="Courier New" w:hint="default"/>
      </w:rPr>
    </w:lvl>
    <w:lvl w:ilvl="8" w:tplc="F070C0C2">
      <w:start w:val="1"/>
      <w:numFmt w:val="bullet"/>
      <w:lvlText w:val=""/>
      <w:lvlJc w:val="left"/>
      <w:pPr>
        <w:ind w:left="6480" w:hanging="360"/>
      </w:pPr>
      <w:rPr>
        <w:rFonts w:ascii="Wingdings" w:hAnsi="Wingdings" w:hint="default"/>
      </w:rPr>
    </w:lvl>
  </w:abstractNum>
  <w:abstractNum w:abstractNumId="742" w15:restartNumberingAfterBreak="0">
    <w:nsid w:val="7D9F107D"/>
    <w:multiLevelType w:val="hybridMultilevel"/>
    <w:tmpl w:val="5BDA4B4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3" w15:restartNumberingAfterBreak="0">
    <w:nsid w:val="7DBA1C74"/>
    <w:multiLevelType w:val="hybridMultilevel"/>
    <w:tmpl w:val="6A8CDE32"/>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44" w15:restartNumberingAfterBreak="0">
    <w:nsid w:val="7DF5CEA6"/>
    <w:multiLevelType w:val="hybridMultilevel"/>
    <w:tmpl w:val="FFFFFFFF"/>
    <w:lvl w:ilvl="0" w:tplc="EF80A4A0">
      <w:start w:val="1"/>
      <w:numFmt w:val="bullet"/>
      <w:lvlText w:val=""/>
      <w:lvlJc w:val="left"/>
      <w:pPr>
        <w:ind w:left="720" w:hanging="360"/>
      </w:pPr>
      <w:rPr>
        <w:rFonts w:ascii="Segoe UI" w:hAnsi="Segoe UI" w:hint="default"/>
      </w:rPr>
    </w:lvl>
    <w:lvl w:ilvl="1" w:tplc="3808D3AC">
      <w:start w:val="1"/>
      <w:numFmt w:val="bullet"/>
      <w:lvlText w:val="o"/>
      <w:lvlJc w:val="left"/>
      <w:pPr>
        <w:ind w:left="1440" w:hanging="360"/>
      </w:pPr>
      <w:rPr>
        <w:rFonts w:ascii="Courier New" w:hAnsi="Courier New" w:hint="default"/>
      </w:rPr>
    </w:lvl>
    <w:lvl w:ilvl="2" w:tplc="2AF0ABE8">
      <w:start w:val="1"/>
      <w:numFmt w:val="bullet"/>
      <w:lvlText w:val=""/>
      <w:lvlJc w:val="left"/>
      <w:pPr>
        <w:ind w:left="2160" w:hanging="360"/>
      </w:pPr>
      <w:rPr>
        <w:rFonts w:ascii="Cambria Math" w:hAnsi="Cambria Math" w:hint="default"/>
      </w:rPr>
    </w:lvl>
    <w:lvl w:ilvl="3" w:tplc="7018CE90">
      <w:start w:val="1"/>
      <w:numFmt w:val="bullet"/>
      <w:lvlText w:val=""/>
      <w:lvlJc w:val="left"/>
      <w:pPr>
        <w:ind w:left="2880" w:hanging="360"/>
      </w:pPr>
      <w:rPr>
        <w:rFonts w:ascii="Segoe UI" w:hAnsi="Segoe UI" w:hint="default"/>
      </w:rPr>
    </w:lvl>
    <w:lvl w:ilvl="4" w:tplc="1340FAF2">
      <w:start w:val="1"/>
      <w:numFmt w:val="bullet"/>
      <w:lvlText w:val="o"/>
      <w:lvlJc w:val="left"/>
      <w:pPr>
        <w:ind w:left="3600" w:hanging="360"/>
      </w:pPr>
      <w:rPr>
        <w:rFonts w:ascii="Courier New" w:hAnsi="Courier New" w:hint="default"/>
      </w:rPr>
    </w:lvl>
    <w:lvl w:ilvl="5" w:tplc="DB70E75E">
      <w:start w:val="1"/>
      <w:numFmt w:val="bullet"/>
      <w:lvlText w:val=""/>
      <w:lvlJc w:val="left"/>
      <w:pPr>
        <w:ind w:left="4320" w:hanging="360"/>
      </w:pPr>
      <w:rPr>
        <w:rFonts w:ascii="Cambria Math" w:hAnsi="Cambria Math" w:hint="default"/>
      </w:rPr>
    </w:lvl>
    <w:lvl w:ilvl="6" w:tplc="BF7EB72A">
      <w:start w:val="1"/>
      <w:numFmt w:val="bullet"/>
      <w:lvlText w:val=""/>
      <w:lvlJc w:val="left"/>
      <w:pPr>
        <w:ind w:left="5040" w:hanging="360"/>
      </w:pPr>
      <w:rPr>
        <w:rFonts w:ascii="Segoe UI" w:hAnsi="Segoe UI" w:hint="default"/>
      </w:rPr>
    </w:lvl>
    <w:lvl w:ilvl="7" w:tplc="78FCCF48">
      <w:start w:val="1"/>
      <w:numFmt w:val="bullet"/>
      <w:lvlText w:val="o"/>
      <w:lvlJc w:val="left"/>
      <w:pPr>
        <w:ind w:left="5760" w:hanging="360"/>
      </w:pPr>
      <w:rPr>
        <w:rFonts w:ascii="Courier New" w:hAnsi="Courier New" w:hint="default"/>
      </w:rPr>
    </w:lvl>
    <w:lvl w:ilvl="8" w:tplc="94FE6D1E">
      <w:start w:val="1"/>
      <w:numFmt w:val="bullet"/>
      <w:lvlText w:val=""/>
      <w:lvlJc w:val="left"/>
      <w:pPr>
        <w:ind w:left="6480" w:hanging="360"/>
      </w:pPr>
      <w:rPr>
        <w:rFonts w:ascii="Cambria Math" w:hAnsi="Cambria Math" w:hint="default"/>
      </w:rPr>
    </w:lvl>
  </w:abstractNum>
  <w:abstractNum w:abstractNumId="745" w15:restartNumberingAfterBreak="0">
    <w:nsid w:val="7E0025ED"/>
    <w:multiLevelType w:val="multilevel"/>
    <w:tmpl w:val="8160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6" w15:restartNumberingAfterBreak="0">
    <w:nsid w:val="7E281E05"/>
    <w:multiLevelType w:val="multilevel"/>
    <w:tmpl w:val="98F0D1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7E3A3C41"/>
    <w:multiLevelType w:val="hybridMultilevel"/>
    <w:tmpl w:val="FFFFFFFF"/>
    <w:lvl w:ilvl="0" w:tplc="04C8EDA8">
      <w:start w:val="1"/>
      <w:numFmt w:val="bullet"/>
      <w:lvlText w:val="-"/>
      <w:lvlJc w:val="left"/>
      <w:pPr>
        <w:ind w:left="720" w:hanging="360"/>
      </w:pPr>
      <w:rPr>
        <w:rFonts w:ascii="Calibri" w:hAnsi="Calibri" w:hint="default"/>
      </w:rPr>
    </w:lvl>
    <w:lvl w:ilvl="1" w:tplc="042E9370">
      <w:start w:val="1"/>
      <w:numFmt w:val="bullet"/>
      <w:lvlText w:val="o"/>
      <w:lvlJc w:val="left"/>
      <w:pPr>
        <w:ind w:left="1440" w:hanging="360"/>
      </w:pPr>
      <w:rPr>
        <w:rFonts w:ascii="Courier New" w:hAnsi="Courier New" w:hint="default"/>
      </w:rPr>
    </w:lvl>
    <w:lvl w:ilvl="2" w:tplc="A83CA1D6">
      <w:start w:val="1"/>
      <w:numFmt w:val="bullet"/>
      <w:lvlText w:val=""/>
      <w:lvlJc w:val="left"/>
      <w:pPr>
        <w:ind w:left="2160" w:hanging="360"/>
      </w:pPr>
      <w:rPr>
        <w:rFonts w:ascii="Wingdings" w:hAnsi="Wingdings" w:hint="default"/>
      </w:rPr>
    </w:lvl>
    <w:lvl w:ilvl="3" w:tplc="33A6D3BE">
      <w:start w:val="1"/>
      <w:numFmt w:val="bullet"/>
      <w:lvlText w:val=""/>
      <w:lvlJc w:val="left"/>
      <w:pPr>
        <w:ind w:left="2880" w:hanging="360"/>
      </w:pPr>
      <w:rPr>
        <w:rFonts w:ascii="Symbol" w:hAnsi="Symbol" w:hint="default"/>
      </w:rPr>
    </w:lvl>
    <w:lvl w:ilvl="4" w:tplc="AA6C9DCA">
      <w:start w:val="1"/>
      <w:numFmt w:val="bullet"/>
      <w:lvlText w:val="o"/>
      <w:lvlJc w:val="left"/>
      <w:pPr>
        <w:ind w:left="3600" w:hanging="360"/>
      </w:pPr>
      <w:rPr>
        <w:rFonts w:ascii="Courier New" w:hAnsi="Courier New" w:hint="default"/>
      </w:rPr>
    </w:lvl>
    <w:lvl w:ilvl="5" w:tplc="BAD8AAD2">
      <w:start w:val="1"/>
      <w:numFmt w:val="bullet"/>
      <w:lvlText w:val=""/>
      <w:lvlJc w:val="left"/>
      <w:pPr>
        <w:ind w:left="4320" w:hanging="360"/>
      </w:pPr>
      <w:rPr>
        <w:rFonts w:ascii="Wingdings" w:hAnsi="Wingdings" w:hint="default"/>
      </w:rPr>
    </w:lvl>
    <w:lvl w:ilvl="6" w:tplc="C98EFC24">
      <w:start w:val="1"/>
      <w:numFmt w:val="bullet"/>
      <w:lvlText w:val=""/>
      <w:lvlJc w:val="left"/>
      <w:pPr>
        <w:ind w:left="5040" w:hanging="360"/>
      </w:pPr>
      <w:rPr>
        <w:rFonts w:ascii="Symbol" w:hAnsi="Symbol" w:hint="default"/>
      </w:rPr>
    </w:lvl>
    <w:lvl w:ilvl="7" w:tplc="B4CC9DA8">
      <w:start w:val="1"/>
      <w:numFmt w:val="bullet"/>
      <w:lvlText w:val="o"/>
      <w:lvlJc w:val="left"/>
      <w:pPr>
        <w:ind w:left="5760" w:hanging="360"/>
      </w:pPr>
      <w:rPr>
        <w:rFonts w:ascii="Courier New" w:hAnsi="Courier New" w:hint="default"/>
      </w:rPr>
    </w:lvl>
    <w:lvl w:ilvl="8" w:tplc="DAE874B8">
      <w:start w:val="1"/>
      <w:numFmt w:val="bullet"/>
      <w:lvlText w:val=""/>
      <w:lvlJc w:val="left"/>
      <w:pPr>
        <w:ind w:left="6480" w:hanging="360"/>
      </w:pPr>
      <w:rPr>
        <w:rFonts w:ascii="Wingdings" w:hAnsi="Wingdings" w:hint="default"/>
      </w:rPr>
    </w:lvl>
  </w:abstractNum>
  <w:abstractNum w:abstractNumId="748" w15:restartNumberingAfterBreak="0">
    <w:nsid w:val="7E7F1D8C"/>
    <w:multiLevelType w:val="hybridMultilevel"/>
    <w:tmpl w:val="615A4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9" w15:restartNumberingAfterBreak="0">
    <w:nsid w:val="7E9A2E6F"/>
    <w:multiLevelType w:val="hybridMultilevel"/>
    <w:tmpl w:val="8AD4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0" w15:restartNumberingAfterBreak="0">
    <w:nsid w:val="7ECA4CEB"/>
    <w:multiLevelType w:val="hybridMultilevel"/>
    <w:tmpl w:val="E706756C"/>
    <w:lvl w:ilvl="0" w:tplc="224AE4EC">
      <w:start w:val="1"/>
      <w:numFmt w:val="bullet"/>
      <w:lvlText w:val="•"/>
      <w:lvlJc w:val="left"/>
      <w:pPr>
        <w:ind w:left="1069" w:hanging="360"/>
      </w:pPr>
      <w:rPr>
        <w:rFonts w:ascii="Symbol" w:eastAsiaTheme="minorHAnsi" w:hAnsi="Symbol" w:cs="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Cambria Math" w:hAnsi="Cambria Math" w:hint="default"/>
      </w:rPr>
    </w:lvl>
    <w:lvl w:ilvl="3" w:tplc="08090001" w:tentative="1">
      <w:start w:val="1"/>
      <w:numFmt w:val="bullet"/>
      <w:lvlText w:val=""/>
      <w:lvlJc w:val="left"/>
      <w:pPr>
        <w:ind w:left="3229" w:hanging="360"/>
      </w:pPr>
      <w:rPr>
        <w:rFonts w:ascii="Segoe UI" w:hAnsi="Segoe UI"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Cambria Math" w:hAnsi="Cambria Math" w:hint="default"/>
      </w:rPr>
    </w:lvl>
    <w:lvl w:ilvl="6" w:tplc="08090001" w:tentative="1">
      <w:start w:val="1"/>
      <w:numFmt w:val="bullet"/>
      <w:lvlText w:val=""/>
      <w:lvlJc w:val="left"/>
      <w:pPr>
        <w:ind w:left="5389" w:hanging="360"/>
      </w:pPr>
      <w:rPr>
        <w:rFonts w:ascii="Segoe UI" w:hAnsi="Segoe UI"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Cambria Math" w:hAnsi="Cambria Math" w:hint="default"/>
      </w:rPr>
    </w:lvl>
  </w:abstractNum>
  <w:abstractNum w:abstractNumId="751" w15:restartNumberingAfterBreak="0">
    <w:nsid w:val="7ED8092D"/>
    <w:multiLevelType w:val="hybridMultilevel"/>
    <w:tmpl w:val="FFFFFFFF"/>
    <w:lvl w:ilvl="0" w:tplc="DCE0F888">
      <w:start w:val="1"/>
      <w:numFmt w:val="bullet"/>
      <w:lvlText w:val="o"/>
      <w:lvlJc w:val="left"/>
      <w:pPr>
        <w:ind w:left="720" w:hanging="360"/>
      </w:pPr>
      <w:rPr>
        <w:rFonts w:ascii="&quot;Courier New&quot;" w:hAnsi="&quot;Courier New&quot;" w:hint="default"/>
      </w:rPr>
    </w:lvl>
    <w:lvl w:ilvl="1" w:tplc="214CC534">
      <w:start w:val="1"/>
      <w:numFmt w:val="bullet"/>
      <w:lvlText w:val="o"/>
      <w:lvlJc w:val="left"/>
      <w:pPr>
        <w:ind w:left="1440" w:hanging="360"/>
      </w:pPr>
      <w:rPr>
        <w:rFonts w:ascii="Courier New" w:hAnsi="Courier New" w:hint="default"/>
      </w:rPr>
    </w:lvl>
    <w:lvl w:ilvl="2" w:tplc="DA84A982">
      <w:start w:val="1"/>
      <w:numFmt w:val="bullet"/>
      <w:lvlText w:val=""/>
      <w:lvlJc w:val="left"/>
      <w:pPr>
        <w:ind w:left="2160" w:hanging="360"/>
      </w:pPr>
      <w:rPr>
        <w:rFonts w:ascii="Wingdings" w:hAnsi="Wingdings" w:hint="default"/>
      </w:rPr>
    </w:lvl>
    <w:lvl w:ilvl="3" w:tplc="6A0843C4">
      <w:start w:val="1"/>
      <w:numFmt w:val="bullet"/>
      <w:lvlText w:val=""/>
      <w:lvlJc w:val="left"/>
      <w:pPr>
        <w:ind w:left="2880" w:hanging="360"/>
      </w:pPr>
      <w:rPr>
        <w:rFonts w:ascii="Symbol" w:hAnsi="Symbol" w:hint="default"/>
      </w:rPr>
    </w:lvl>
    <w:lvl w:ilvl="4" w:tplc="16AE6DCE">
      <w:start w:val="1"/>
      <w:numFmt w:val="bullet"/>
      <w:lvlText w:val="o"/>
      <w:lvlJc w:val="left"/>
      <w:pPr>
        <w:ind w:left="3600" w:hanging="360"/>
      </w:pPr>
      <w:rPr>
        <w:rFonts w:ascii="Courier New" w:hAnsi="Courier New" w:hint="default"/>
      </w:rPr>
    </w:lvl>
    <w:lvl w:ilvl="5" w:tplc="F6AE23C8">
      <w:start w:val="1"/>
      <w:numFmt w:val="bullet"/>
      <w:lvlText w:val=""/>
      <w:lvlJc w:val="left"/>
      <w:pPr>
        <w:ind w:left="4320" w:hanging="360"/>
      </w:pPr>
      <w:rPr>
        <w:rFonts w:ascii="Wingdings" w:hAnsi="Wingdings" w:hint="default"/>
      </w:rPr>
    </w:lvl>
    <w:lvl w:ilvl="6" w:tplc="24B2449A">
      <w:start w:val="1"/>
      <w:numFmt w:val="bullet"/>
      <w:lvlText w:val=""/>
      <w:lvlJc w:val="left"/>
      <w:pPr>
        <w:ind w:left="5040" w:hanging="360"/>
      </w:pPr>
      <w:rPr>
        <w:rFonts w:ascii="Symbol" w:hAnsi="Symbol" w:hint="default"/>
      </w:rPr>
    </w:lvl>
    <w:lvl w:ilvl="7" w:tplc="3718E5AE">
      <w:start w:val="1"/>
      <w:numFmt w:val="bullet"/>
      <w:lvlText w:val="o"/>
      <w:lvlJc w:val="left"/>
      <w:pPr>
        <w:ind w:left="5760" w:hanging="360"/>
      </w:pPr>
      <w:rPr>
        <w:rFonts w:ascii="Courier New" w:hAnsi="Courier New" w:hint="default"/>
      </w:rPr>
    </w:lvl>
    <w:lvl w:ilvl="8" w:tplc="C86E99D4">
      <w:start w:val="1"/>
      <w:numFmt w:val="bullet"/>
      <w:lvlText w:val=""/>
      <w:lvlJc w:val="left"/>
      <w:pPr>
        <w:ind w:left="6480" w:hanging="360"/>
      </w:pPr>
      <w:rPr>
        <w:rFonts w:ascii="Wingdings" w:hAnsi="Wingdings" w:hint="default"/>
      </w:rPr>
    </w:lvl>
  </w:abstractNum>
  <w:abstractNum w:abstractNumId="752" w15:restartNumberingAfterBreak="0">
    <w:nsid w:val="7F6A51A4"/>
    <w:multiLevelType w:val="hybridMultilevel"/>
    <w:tmpl w:val="5CD4A7A4"/>
    <w:lvl w:ilvl="0" w:tplc="561CD8F8">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ambria Math" w:hAnsi="Cambria Math" w:cs="Cambria Math"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Courier New" w:hAnsi="Courier New" w:hint="default"/>
      </w:rPr>
    </w:lvl>
    <w:lvl w:ilvl="4" w:tplc="0C0A0003" w:tentative="1">
      <w:start w:val="1"/>
      <w:numFmt w:val="bullet"/>
      <w:lvlText w:val="o"/>
      <w:lvlJc w:val="left"/>
      <w:pPr>
        <w:ind w:left="3240" w:hanging="360"/>
      </w:pPr>
      <w:rPr>
        <w:rFonts w:ascii="Cambria Math" w:hAnsi="Cambria Math" w:cs="Cambria Math"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Courier New" w:hAnsi="Courier New" w:hint="default"/>
      </w:rPr>
    </w:lvl>
    <w:lvl w:ilvl="7" w:tplc="0C0A0003" w:tentative="1">
      <w:start w:val="1"/>
      <w:numFmt w:val="bullet"/>
      <w:lvlText w:val="o"/>
      <w:lvlJc w:val="left"/>
      <w:pPr>
        <w:ind w:left="5400" w:hanging="360"/>
      </w:pPr>
      <w:rPr>
        <w:rFonts w:ascii="Cambria Math" w:hAnsi="Cambria Math" w:cs="Cambria Math" w:hint="default"/>
      </w:rPr>
    </w:lvl>
    <w:lvl w:ilvl="8" w:tplc="0C0A0005" w:tentative="1">
      <w:start w:val="1"/>
      <w:numFmt w:val="bullet"/>
      <w:lvlText w:val=""/>
      <w:lvlJc w:val="left"/>
      <w:pPr>
        <w:ind w:left="6120" w:hanging="360"/>
      </w:pPr>
      <w:rPr>
        <w:rFonts w:ascii="Wingdings" w:hAnsi="Wingdings" w:hint="default"/>
      </w:rPr>
    </w:lvl>
  </w:abstractNum>
  <w:abstractNum w:abstractNumId="753" w15:restartNumberingAfterBreak="0">
    <w:nsid w:val="7FFD6A3A"/>
    <w:multiLevelType w:val="hybridMultilevel"/>
    <w:tmpl w:val="E9FC17D6"/>
    <w:lvl w:ilvl="0" w:tplc="FFFFFFFF">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76"/>
  </w:num>
  <w:num w:numId="2">
    <w:abstractNumId w:val="133"/>
  </w:num>
  <w:num w:numId="3">
    <w:abstractNumId w:val="531"/>
  </w:num>
  <w:num w:numId="4">
    <w:abstractNumId w:val="599"/>
  </w:num>
  <w:num w:numId="5">
    <w:abstractNumId w:val="712"/>
  </w:num>
  <w:num w:numId="6">
    <w:abstractNumId w:val="370"/>
  </w:num>
  <w:num w:numId="7">
    <w:abstractNumId w:val="593"/>
  </w:num>
  <w:num w:numId="8">
    <w:abstractNumId w:val="422"/>
  </w:num>
  <w:num w:numId="9">
    <w:abstractNumId w:val="585"/>
  </w:num>
  <w:num w:numId="10">
    <w:abstractNumId w:val="58"/>
  </w:num>
  <w:num w:numId="11">
    <w:abstractNumId w:val="648"/>
  </w:num>
  <w:num w:numId="12">
    <w:abstractNumId w:val="201"/>
  </w:num>
  <w:num w:numId="13">
    <w:abstractNumId w:val="170"/>
  </w:num>
  <w:num w:numId="14">
    <w:abstractNumId w:val="617"/>
  </w:num>
  <w:num w:numId="15">
    <w:abstractNumId w:val="412"/>
  </w:num>
  <w:num w:numId="16">
    <w:abstractNumId w:val="167"/>
  </w:num>
  <w:num w:numId="17">
    <w:abstractNumId w:val="751"/>
  </w:num>
  <w:num w:numId="18">
    <w:abstractNumId w:val="522"/>
  </w:num>
  <w:num w:numId="19">
    <w:abstractNumId w:val="700"/>
  </w:num>
  <w:num w:numId="20">
    <w:abstractNumId w:val="204"/>
  </w:num>
  <w:num w:numId="21">
    <w:abstractNumId w:val="221"/>
  </w:num>
  <w:num w:numId="22">
    <w:abstractNumId w:val="349"/>
  </w:num>
  <w:num w:numId="23">
    <w:abstractNumId w:val="505"/>
  </w:num>
  <w:num w:numId="24">
    <w:abstractNumId w:val="200"/>
  </w:num>
  <w:num w:numId="25">
    <w:abstractNumId w:val="659"/>
  </w:num>
  <w:num w:numId="26">
    <w:abstractNumId w:val="142"/>
  </w:num>
  <w:num w:numId="27">
    <w:abstractNumId w:val="6"/>
  </w:num>
  <w:num w:numId="28">
    <w:abstractNumId w:val="37"/>
  </w:num>
  <w:num w:numId="29">
    <w:abstractNumId w:val="340"/>
  </w:num>
  <w:num w:numId="30">
    <w:abstractNumId w:val="299"/>
  </w:num>
  <w:num w:numId="31">
    <w:abstractNumId w:val="79"/>
  </w:num>
  <w:num w:numId="32">
    <w:abstractNumId w:val="452"/>
  </w:num>
  <w:num w:numId="33">
    <w:abstractNumId w:val="265"/>
  </w:num>
  <w:num w:numId="34">
    <w:abstractNumId w:val="115"/>
  </w:num>
  <w:num w:numId="35">
    <w:abstractNumId w:val="182"/>
  </w:num>
  <w:num w:numId="36">
    <w:abstractNumId w:val="82"/>
  </w:num>
  <w:num w:numId="37">
    <w:abstractNumId w:val="692"/>
  </w:num>
  <w:num w:numId="38">
    <w:abstractNumId w:val="537"/>
  </w:num>
  <w:num w:numId="39">
    <w:abstractNumId w:val="44"/>
  </w:num>
  <w:num w:numId="40">
    <w:abstractNumId w:val="304"/>
  </w:num>
  <w:num w:numId="41">
    <w:abstractNumId w:val="228"/>
  </w:num>
  <w:num w:numId="42">
    <w:abstractNumId w:val="596"/>
  </w:num>
  <w:num w:numId="43">
    <w:abstractNumId w:val="378"/>
  </w:num>
  <w:num w:numId="44">
    <w:abstractNumId w:val="289"/>
  </w:num>
  <w:num w:numId="45">
    <w:abstractNumId w:val="556"/>
  </w:num>
  <w:num w:numId="46">
    <w:abstractNumId w:val="391"/>
  </w:num>
  <w:num w:numId="47">
    <w:abstractNumId w:val="618"/>
  </w:num>
  <w:num w:numId="48">
    <w:abstractNumId w:val="271"/>
  </w:num>
  <w:num w:numId="49">
    <w:abstractNumId w:val="394"/>
  </w:num>
  <w:num w:numId="50">
    <w:abstractNumId w:val="219"/>
  </w:num>
  <w:num w:numId="51">
    <w:abstractNumId w:val="600"/>
  </w:num>
  <w:num w:numId="52">
    <w:abstractNumId w:val="169"/>
  </w:num>
  <w:num w:numId="53">
    <w:abstractNumId w:val="414"/>
  </w:num>
  <w:num w:numId="54">
    <w:abstractNumId w:val="549"/>
  </w:num>
  <w:num w:numId="55">
    <w:abstractNumId w:val="551"/>
  </w:num>
  <w:num w:numId="56">
    <w:abstractNumId w:val="270"/>
  </w:num>
  <w:num w:numId="57">
    <w:abstractNumId w:val="513"/>
  </w:num>
  <w:num w:numId="58">
    <w:abstractNumId w:val="739"/>
  </w:num>
  <w:num w:numId="59">
    <w:abstractNumId w:val="4"/>
  </w:num>
  <w:num w:numId="60">
    <w:abstractNumId w:val="2"/>
  </w:num>
  <w:num w:numId="61">
    <w:abstractNumId w:val="1"/>
  </w:num>
  <w:num w:numId="62">
    <w:abstractNumId w:val="0"/>
  </w:num>
  <w:num w:numId="63">
    <w:abstractNumId w:val="612"/>
  </w:num>
  <w:num w:numId="64">
    <w:abstractNumId w:val="489"/>
  </w:num>
  <w:num w:numId="65">
    <w:abstractNumId w:val="490"/>
  </w:num>
  <w:num w:numId="66">
    <w:abstractNumId w:val="500"/>
  </w:num>
  <w:num w:numId="67">
    <w:abstractNumId w:val="16"/>
  </w:num>
  <w:num w:numId="68">
    <w:abstractNumId w:val="208"/>
  </w:num>
  <w:num w:numId="69">
    <w:abstractNumId w:val="179"/>
  </w:num>
  <w:num w:numId="70">
    <w:abstractNumId w:val="400"/>
  </w:num>
  <w:num w:numId="71">
    <w:abstractNumId w:val="74"/>
  </w:num>
  <w:num w:numId="72">
    <w:abstractNumId w:val="327"/>
  </w:num>
  <w:num w:numId="73">
    <w:abstractNumId w:val="343"/>
  </w:num>
  <w:num w:numId="74">
    <w:abstractNumId w:val="22"/>
  </w:num>
  <w:num w:numId="75">
    <w:abstractNumId w:val="255"/>
  </w:num>
  <w:num w:numId="76">
    <w:abstractNumId w:val="41"/>
  </w:num>
  <w:num w:numId="77">
    <w:abstractNumId w:val="611"/>
  </w:num>
  <w:num w:numId="78">
    <w:abstractNumId w:val="562"/>
  </w:num>
  <w:num w:numId="79">
    <w:abstractNumId w:val="491"/>
  </w:num>
  <w:num w:numId="80">
    <w:abstractNumId w:val="49"/>
  </w:num>
  <w:num w:numId="81">
    <w:abstractNumId w:val="540"/>
  </w:num>
  <w:num w:numId="82">
    <w:abstractNumId w:val="65"/>
  </w:num>
  <w:num w:numId="83">
    <w:abstractNumId w:val="36"/>
  </w:num>
  <w:num w:numId="84">
    <w:abstractNumId w:val="14"/>
  </w:num>
  <w:num w:numId="85">
    <w:abstractNumId w:val="410"/>
  </w:num>
  <w:num w:numId="86">
    <w:abstractNumId w:val="497"/>
  </w:num>
  <w:num w:numId="87">
    <w:abstractNumId w:val="477"/>
  </w:num>
  <w:num w:numId="88">
    <w:abstractNumId w:val="407"/>
  </w:num>
  <w:num w:numId="89">
    <w:abstractNumId w:val="229"/>
  </w:num>
  <w:num w:numId="90">
    <w:abstractNumId w:val="626"/>
  </w:num>
  <w:num w:numId="91">
    <w:abstractNumId w:val="571"/>
  </w:num>
  <w:num w:numId="92">
    <w:abstractNumId w:val="187"/>
  </w:num>
  <w:num w:numId="93">
    <w:abstractNumId w:val="249"/>
  </w:num>
  <w:num w:numId="94">
    <w:abstractNumId w:val="104"/>
  </w:num>
  <w:num w:numId="95">
    <w:abstractNumId w:val="38"/>
  </w:num>
  <w:num w:numId="96">
    <w:abstractNumId w:val="355"/>
  </w:num>
  <w:num w:numId="97">
    <w:abstractNumId w:val="604"/>
  </w:num>
  <w:num w:numId="98">
    <w:abstractNumId w:val="512"/>
  </w:num>
  <w:num w:numId="99">
    <w:abstractNumId w:val="519"/>
  </w:num>
  <w:num w:numId="100">
    <w:abstractNumId w:val="621"/>
  </w:num>
  <w:num w:numId="101">
    <w:abstractNumId w:val="514"/>
  </w:num>
  <w:num w:numId="102">
    <w:abstractNumId w:val="698"/>
  </w:num>
  <w:num w:numId="103">
    <w:abstractNumId w:val="60"/>
  </w:num>
  <w:num w:numId="104">
    <w:abstractNumId w:val="263"/>
  </w:num>
  <w:num w:numId="105">
    <w:abstractNumId w:val="314"/>
  </w:num>
  <w:num w:numId="106">
    <w:abstractNumId w:val="199"/>
  </w:num>
  <w:num w:numId="107">
    <w:abstractNumId w:val="418"/>
  </w:num>
  <w:num w:numId="108">
    <w:abstractNumId w:val="707"/>
  </w:num>
  <w:num w:numId="109">
    <w:abstractNumId w:val="642"/>
  </w:num>
  <w:num w:numId="110">
    <w:abstractNumId w:val="319"/>
  </w:num>
  <w:num w:numId="111">
    <w:abstractNumId w:val="127"/>
  </w:num>
  <w:num w:numId="112">
    <w:abstractNumId w:val="415"/>
  </w:num>
  <w:num w:numId="113">
    <w:abstractNumId w:val="305"/>
  </w:num>
  <w:num w:numId="114">
    <w:abstractNumId w:val="368"/>
  </w:num>
  <w:num w:numId="115">
    <w:abstractNumId w:val="486"/>
  </w:num>
  <w:num w:numId="116">
    <w:abstractNumId w:val="363"/>
  </w:num>
  <w:num w:numId="117">
    <w:abstractNumId w:val="256"/>
  </w:num>
  <w:num w:numId="118">
    <w:abstractNumId w:val="379"/>
  </w:num>
  <w:num w:numId="119">
    <w:abstractNumId w:val="640"/>
  </w:num>
  <w:num w:numId="120">
    <w:abstractNumId w:val="750"/>
  </w:num>
  <w:num w:numId="121">
    <w:abstractNumId w:val="40"/>
  </w:num>
  <w:num w:numId="122">
    <w:abstractNumId w:val="709"/>
  </w:num>
  <w:num w:numId="123">
    <w:abstractNumId w:val="100"/>
  </w:num>
  <w:num w:numId="124">
    <w:abstractNumId w:val="139"/>
  </w:num>
  <w:num w:numId="125">
    <w:abstractNumId w:val="303"/>
  </w:num>
  <w:num w:numId="126">
    <w:abstractNumId w:val="87"/>
  </w:num>
  <w:num w:numId="127">
    <w:abstractNumId w:val="424"/>
  </w:num>
  <w:num w:numId="128">
    <w:abstractNumId w:val="435"/>
  </w:num>
  <w:num w:numId="129">
    <w:abstractNumId w:val="749"/>
  </w:num>
  <w:num w:numId="130">
    <w:abstractNumId w:val="684"/>
  </w:num>
  <w:num w:numId="131">
    <w:abstractNumId w:val="557"/>
  </w:num>
  <w:num w:numId="132">
    <w:abstractNumId w:val="250"/>
  </w:num>
  <w:num w:numId="133">
    <w:abstractNumId w:val="318"/>
  </w:num>
  <w:num w:numId="134">
    <w:abstractNumId w:val="545"/>
  </w:num>
  <w:num w:numId="135">
    <w:abstractNumId w:val="86"/>
  </w:num>
  <w:num w:numId="136">
    <w:abstractNumId w:val="479"/>
  </w:num>
  <w:num w:numId="137">
    <w:abstractNumId w:val="413"/>
  </w:num>
  <w:num w:numId="138">
    <w:abstractNumId w:val="673"/>
  </w:num>
  <w:num w:numId="139">
    <w:abstractNumId w:val="275"/>
  </w:num>
  <w:num w:numId="140">
    <w:abstractNumId w:val="685"/>
  </w:num>
  <w:num w:numId="141">
    <w:abstractNumId w:val="258"/>
  </w:num>
  <w:num w:numId="142">
    <w:abstractNumId w:val="78"/>
  </w:num>
  <w:num w:numId="143">
    <w:abstractNumId w:val="426"/>
  </w:num>
  <w:num w:numId="144">
    <w:abstractNumId w:val="619"/>
  </w:num>
  <w:num w:numId="145">
    <w:abstractNumId w:val="288"/>
  </w:num>
  <w:num w:numId="146">
    <w:abstractNumId w:val="336"/>
  </w:num>
  <w:num w:numId="147">
    <w:abstractNumId w:val="629"/>
  </w:num>
  <w:num w:numId="148">
    <w:abstractNumId w:val="689"/>
  </w:num>
  <w:num w:numId="149">
    <w:abstractNumId w:val="246"/>
  </w:num>
  <w:num w:numId="150">
    <w:abstractNumId w:val="601"/>
  </w:num>
  <w:num w:numId="151">
    <w:abstractNumId w:val="406"/>
  </w:num>
  <w:num w:numId="152">
    <w:abstractNumId w:val="654"/>
  </w:num>
  <w:num w:numId="153">
    <w:abstractNumId w:val="541"/>
  </w:num>
  <w:num w:numId="154">
    <w:abstractNumId w:val="321"/>
  </w:num>
  <w:num w:numId="155">
    <w:abstractNumId w:val="723"/>
  </w:num>
  <w:num w:numId="156">
    <w:abstractNumId w:val="276"/>
  </w:num>
  <w:num w:numId="157">
    <w:abstractNumId w:val="680"/>
  </w:num>
  <w:num w:numId="158">
    <w:abstractNumId w:val="95"/>
  </w:num>
  <w:num w:numId="159">
    <w:abstractNumId w:val="310"/>
  </w:num>
  <w:num w:numId="160">
    <w:abstractNumId w:val="694"/>
  </w:num>
  <w:num w:numId="161">
    <w:abstractNumId w:val="118"/>
  </w:num>
  <w:num w:numId="162">
    <w:abstractNumId w:val="525"/>
  </w:num>
  <w:num w:numId="163">
    <w:abstractNumId w:val="402"/>
  </w:num>
  <w:num w:numId="164">
    <w:abstractNumId w:val="352"/>
  </w:num>
  <w:num w:numId="165">
    <w:abstractNumId w:val="637"/>
  </w:num>
  <w:num w:numId="166">
    <w:abstractNumId w:val="408"/>
  </w:num>
  <w:num w:numId="167">
    <w:abstractNumId w:val="461"/>
  </w:num>
  <w:num w:numId="168">
    <w:abstractNumId w:val="487"/>
  </w:num>
  <w:num w:numId="169">
    <w:abstractNumId w:val="652"/>
  </w:num>
  <w:num w:numId="170">
    <w:abstractNumId w:val="474"/>
  </w:num>
  <w:num w:numId="1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4"/>
    <w:lvlOverride w:ilvl="0">
      <w:startOverride w:val="1"/>
    </w:lvlOverride>
    <w:lvlOverride w:ilvl="1"/>
    <w:lvlOverride w:ilvl="2"/>
    <w:lvlOverride w:ilvl="3"/>
    <w:lvlOverride w:ilvl="4"/>
    <w:lvlOverride w:ilvl="5"/>
    <w:lvlOverride w:ilvl="6"/>
    <w:lvlOverride w:ilvl="7"/>
    <w:lvlOverride w:ilvl="8"/>
  </w:num>
  <w:num w:numId="176">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4"/>
    <w:lvlOverride w:ilvl="0">
      <w:startOverride w:val="1"/>
    </w:lvlOverride>
    <w:lvlOverride w:ilvl="1"/>
    <w:lvlOverride w:ilvl="2"/>
    <w:lvlOverride w:ilvl="3"/>
    <w:lvlOverride w:ilvl="4"/>
    <w:lvlOverride w:ilvl="5"/>
    <w:lvlOverride w:ilvl="6"/>
    <w:lvlOverride w:ilvl="7"/>
    <w:lvlOverride w:ilvl="8"/>
  </w:num>
  <w:num w:numId="1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num>
  <w:num w:numId="182">
    <w:abstractNumId w:val="589"/>
  </w:num>
  <w:num w:numId="183">
    <w:abstractNumId w:val="602"/>
  </w:num>
  <w:num w:numId="184">
    <w:abstractNumId w:val="481"/>
  </w:num>
  <w:num w:numId="185">
    <w:abstractNumId w:val="134"/>
  </w:num>
  <w:num w:numId="186">
    <w:abstractNumId w:val="547"/>
  </w:num>
  <w:num w:numId="187">
    <w:abstractNumId w:val="750"/>
  </w:num>
  <w:num w:numId="188">
    <w:abstractNumId w:val="40"/>
  </w:num>
  <w:num w:numId="189">
    <w:abstractNumId w:val="709"/>
  </w:num>
  <w:num w:numId="190">
    <w:abstractNumId w:val="88"/>
  </w:num>
  <w:num w:numId="19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
  </w:num>
  <w:num w:numId="19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74"/>
  </w:num>
  <w:num w:numId="196">
    <w:abstractNumId w:val="582"/>
  </w:num>
  <w:num w:numId="197">
    <w:abstractNumId w:val="5"/>
  </w:num>
  <w:num w:numId="198">
    <w:abstractNumId w:val="206"/>
  </w:num>
  <w:num w:numId="199">
    <w:abstractNumId w:val="252"/>
  </w:num>
  <w:num w:numId="200">
    <w:abstractNumId w:val="244"/>
  </w:num>
  <w:num w:numId="20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0"/>
  </w:num>
  <w:num w:numId="21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1"/>
  </w:num>
  <w:num w:numId="220">
    <w:abstractNumId w:val="535"/>
  </w:num>
  <w:num w:numId="221">
    <w:abstractNumId w:val="53"/>
  </w:num>
  <w:num w:numId="222">
    <w:abstractNumId w:val="194"/>
  </w:num>
  <w:num w:numId="223">
    <w:abstractNumId w:val="21"/>
  </w:num>
  <w:num w:numId="224">
    <w:abstractNumId w:val="534"/>
  </w:num>
  <w:num w:numId="225">
    <w:abstractNumId w:val="225"/>
  </w:num>
  <w:num w:numId="226">
    <w:abstractNumId w:val="440"/>
  </w:num>
  <w:num w:numId="227">
    <w:abstractNumId w:val="708"/>
  </w:num>
  <w:num w:numId="228">
    <w:abstractNumId w:val="733"/>
  </w:num>
  <w:num w:numId="229">
    <w:abstractNumId w:val="162"/>
  </w:num>
  <w:num w:numId="230">
    <w:abstractNumId w:val="533"/>
  </w:num>
  <w:num w:numId="231">
    <w:abstractNumId w:val="716"/>
  </w:num>
  <w:num w:numId="232">
    <w:abstractNumId w:val="132"/>
  </w:num>
  <w:num w:numId="233">
    <w:abstractNumId w:val="528"/>
  </w:num>
  <w:num w:numId="234">
    <w:abstractNumId w:val="23"/>
  </w:num>
  <w:num w:numId="235">
    <w:abstractNumId w:val="364"/>
  </w:num>
  <w:num w:numId="236">
    <w:abstractNumId w:val="438"/>
  </w:num>
  <w:num w:numId="237">
    <w:abstractNumId w:val="679"/>
  </w:num>
  <w:num w:numId="238">
    <w:abstractNumId w:val="181"/>
  </w:num>
  <w:num w:numId="239">
    <w:abstractNumId w:val="657"/>
  </w:num>
  <w:num w:numId="240">
    <w:abstractNumId w:val="492"/>
  </w:num>
  <w:num w:numId="241">
    <w:abstractNumId w:val="173"/>
  </w:num>
  <w:num w:numId="242">
    <w:abstractNumId w:val="243"/>
  </w:num>
  <w:num w:numId="243">
    <w:abstractNumId w:val="90"/>
  </w:num>
  <w:num w:numId="244">
    <w:abstractNumId w:val="282"/>
  </w:num>
  <w:num w:numId="245">
    <w:abstractNumId w:val="630"/>
  </w:num>
  <w:num w:numId="246">
    <w:abstractNumId w:val="583"/>
  </w:num>
  <w:num w:numId="247">
    <w:abstractNumId w:val="434"/>
  </w:num>
  <w:num w:numId="248">
    <w:abstractNumId w:val="527"/>
  </w:num>
  <w:num w:numId="249">
    <w:abstractNumId w:val="254"/>
  </w:num>
  <w:num w:numId="250">
    <w:abstractNumId w:val="448"/>
  </w:num>
  <w:num w:numId="251">
    <w:abstractNumId w:val="737"/>
  </w:num>
  <w:num w:numId="252">
    <w:abstractNumId w:val="110"/>
  </w:num>
  <w:num w:numId="253">
    <w:abstractNumId w:val="495"/>
  </w:num>
  <w:num w:numId="254">
    <w:abstractNumId w:val="191"/>
  </w:num>
  <w:num w:numId="255">
    <w:abstractNumId w:val="555"/>
  </w:num>
  <w:num w:numId="256">
    <w:abstractNumId w:val="483"/>
  </w:num>
  <w:num w:numId="257">
    <w:abstractNumId w:val="126"/>
  </w:num>
  <w:num w:numId="258">
    <w:abstractNumId w:val="377"/>
  </w:num>
  <w:num w:numId="259">
    <w:abstractNumId w:val="120"/>
  </w:num>
  <w:num w:numId="260">
    <w:abstractNumId w:val="136"/>
  </w:num>
  <w:num w:numId="261">
    <w:abstractNumId w:val="744"/>
  </w:num>
  <w:num w:numId="262">
    <w:abstractNumId w:val="668"/>
  </w:num>
  <w:num w:numId="263">
    <w:abstractNumId w:val="46"/>
  </w:num>
  <w:num w:numId="264">
    <w:abstractNumId w:val="574"/>
  </w:num>
  <w:num w:numId="265">
    <w:abstractNumId w:val="12"/>
  </w:num>
  <w:num w:numId="266">
    <w:abstractNumId w:val="171"/>
  </w:num>
  <w:num w:numId="267">
    <w:abstractNumId w:val="417"/>
  </w:num>
  <w:num w:numId="268">
    <w:abstractNumId w:val="280"/>
  </w:num>
  <w:num w:numId="269">
    <w:abstractNumId w:val="334"/>
  </w:num>
  <w:num w:numId="270">
    <w:abstractNumId w:val="386"/>
  </w:num>
  <w:num w:numId="271">
    <w:abstractNumId w:val="625"/>
  </w:num>
  <w:num w:numId="272">
    <w:abstractNumId w:val="633"/>
  </w:num>
  <w:num w:numId="273">
    <w:abstractNumId w:val="724"/>
  </w:num>
  <w:num w:numId="274">
    <w:abstractNumId w:val="98"/>
  </w:num>
  <w:num w:numId="275">
    <w:abstractNumId w:val="329"/>
  </w:num>
  <w:num w:numId="276">
    <w:abstractNumId w:val="455"/>
  </w:num>
  <w:num w:numId="277">
    <w:abstractNumId w:val="423"/>
  </w:num>
  <w:num w:numId="278">
    <w:abstractNumId w:val="52"/>
  </w:num>
  <w:num w:numId="279">
    <w:abstractNumId w:val="331"/>
  </w:num>
  <w:num w:numId="280">
    <w:abstractNumId w:val="107"/>
  </w:num>
  <w:num w:numId="281">
    <w:abstractNumId w:val="140"/>
  </w:num>
  <w:num w:numId="282">
    <w:abstractNumId w:val="241"/>
  </w:num>
  <w:num w:numId="283">
    <w:abstractNumId w:val="431"/>
  </w:num>
  <w:num w:numId="284">
    <w:abstractNumId w:val="67"/>
  </w:num>
  <w:num w:numId="285">
    <w:abstractNumId w:val="59"/>
  </w:num>
  <w:num w:numId="286">
    <w:abstractNumId w:val="337"/>
  </w:num>
  <w:num w:numId="287">
    <w:abstractNumId w:val="449"/>
  </w:num>
  <w:num w:numId="288">
    <w:abstractNumId w:val="553"/>
  </w:num>
  <w:num w:numId="289">
    <w:abstractNumId w:val="55"/>
  </w:num>
  <w:num w:numId="290">
    <w:abstractNumId w:val="560"/>
  </w:num>
  <w:num w:numId="291">
    <w:abstractNumId w:val="647"/>
  </w:num>
  <w:num w:numId="292">
    <w:abstractNumId w:val="307"/>
  </w:num>
  <w:num w:numId="293">
    <w:abstractNumId w:val="203"/>
  </w:num>
  <w:num w:numId="294">
    <w:abstractNumId w:val="365"/>
  </w:num>
  <w:num w:numId="295">
    <w:abstractNumId w:val="752"/>
  </w:num>
  <w:num w:numId="296">
    <w:abstractNumId w:val="476"/>
  </w:num>
  <w:num w:numId="297">
    <w:abstractNumId w:val="236"/>
  </w:num>
  <w:num w:numId="298">
    <w:abstractNumId w:val="466"/>
  </w:num>
  <w:num w:numId="299">
    <w:abstractNumId w:val="235"/>
  </w:num>
  <w:num w:numId="300">
    <w:abstractNumId w:val="92"/>
  </w:num>
  <w:num w:numId="301">
    <w:abstractNumId w:val="397"/>
  </w:num>
  <w:num w:numId="302">
    <w:abstractNumId w:val="354"/>
  </w:num>
  <w:num w:numId="303">
    <w:abstractNumId w:val="457"/>
  </w:num>
  <w:num w:numId="304">
    <w:abstractNumId w:val="361"/>
  </w:num>
  <w:num w:numId="305">
    <w:abstractNumId w:val="681"/>
  </w:num>
  <w:num w:numId="306">
    <w:abstractNumId w:val="257"/>
  </w:num>
  <w:num w:numId="307">
    <w:abstractNumId w:val="597"/>
  </w:num>
  <w:num w:numId="308">
    <w:abstractNumId w:val="266"/>
  </w:num>
  <w:num w:numId="309">
    <w:abstractNumId w:val="80"/>
  </w:num>
  <w:num w:numId="310">
    <w:abstractNumId w:val="166"/>
  </w:num>
  <w:num w:numId="311">
    <w:abstractNumId w:val="324"/>
  </w:num>
  <w:num w:numId="312">
    <w:abstractNumId w:val="501"/>
  </w:num>
  <w:num w:numId="313">
    <w:abstractNumId w:val="185"/>
  </w:num>
  <w:num w:numId="314">
    <w:abstractNumId w:val="311"/>
  </w:num>
  <w:num w:numId="315">
    <w:abstractNumId w:val="704"/>
  </w:num>
  <w:num w:numId="316">
    <w:abstractNumId w:val="189"/>
  </w:num>
  <w:num w:numId="317">
    <w:abstractNumId w:val="465"/>
  </w:num>
  <w:num w:numId="318">
    <w:abstractNumId w:val="218"/>
  </w:num>
  <w:num w:numId="319">
    <w:abstractNumId w:val="362"/>
  </w:num>
  <w:num w:numId="320">
    <w:abstractNumId w:val="97"/>
  </w:num>
  <w:num w:numId="321">
    <w:abstractNumId w:val="542"/>
  </w:num>
  <w:num w:numId="322">
    <w:abstractNumId w:val="706"/>
  </w:num>
  <w:num w:numId="323">
    <w:abstractNumId w:val="351"/>
  </w:num>
  <w:num w:numId="324">
    <w:abstractNumId w:val="94"/>
  </w:num>
  <w:num w:numId="325">
    <w:abstractNumId w:val="730"/>
  </w:num>
  <w:num w:numId="326">
    <w:abstractNumId w:val="183"/>
  </w:num>
  <w:num w:numId="327">
    <w:abstractNumId w:val="297"/>
  </w:num>
  <w:num w:numId="328">
    <w:abstractNumId w:val="146"/>
  </w:num>
  <w:num w:numId="329">
    <w:abstractNumId w:val="186"/>
  </w:num>
  <w:num w:numId="330">
    <w:abstractNumId w:val="273"/>
  </w:num>
  <w:num w:numId="331">
    <w:abstractNumId w:val="520"/>
  </w:num>
  <w:num w:numId="332">
    <w:abstractNumId w:val="376"/>
  </w:num>
  <w:num w:numId="333">
    <w:abstractNumId w:val="29"/>
  </w:num>
  <w:num w:numId="334">
    <w:abstractNumId w:val="366"/>
  </w:num>
  <w:num w:numId="335">
    <w:abstractNumId w:val="111"/>
  </w:num>
  <w:num w:numId="336">
    <w:abstractNumId w:val="210"/>
  </w:num>
  <w:num w:numId="337">
    <w:abstractNumId w:val="747"/>
  </w:num>
  <w:num w:numId="338">
    <w:abstractNumId w:val="112"/>
  </w:num>
  <w:num w:numId="339">
    <w:abstractNumId w:val="609"/>
  </w:num>
  <w:num w:numId="340">
    <w:abstractNumId w:val="61"/>
  </w:num>
  <w:num w:numId="341">
    <w:abstractNumId w:val="653"/>
  </w:num>
  <w:num w:numId="342">
    <w:abstractNumId w:val="446"/>
  </w:num>
  <w:num w:numId="343">
    <w:abstractNumId w:val="439"/>
  </w:num>
  <w:num w:numId="344">
    <w:abstractNumId w:val="496"/>
  </w:num>
  <w:num w:numId="345">
    <w:abstractNumId w:val="116"/>
  </w:num>
  <w:num w:numId="346">
    <w:abstractNumId w:val="348"/>
  </w:num>
  <w:num w:numId="347">
    <w:abstractNumId w:val="177"/>
  </w:num>
  <w:num w:numId="348">
    <w:abstractNumId w:val="437"/>
  </w:num>
  <w:num w:numId="349">
    <w:abstractNumId w:val="359"/>
  </w:num>
  <w:num w:numId="350">
    <w:abstractNumId w:val="475"/>
  </w:num>
  <w:num w:numId="351">
    <w:abstractNumId w:val="734"/>
  </w:num>
  <w:num w:numId="352">
    <w:abstractNumId w:val="71"/>
  </w:num>
  <w:num w:numId="353">
    <w:abstractNumId w:val="632"/>
  </w:num>
  <w:num w:numId="354">
    <w:abstractNumId w:val="341"/>
  </w:num>
  <w:num w:numId="355">
    <w:abstractNumId w:val="106"/>
  </w:num>
  <w:num w:numId="356">
    <w:abstractNumId w:val="464"/>
  </w:num>
  <w:num w:numId="357">
    <w:abstractNumId w:val="197"/>
  </w:num>
  <w:num w:numId="358">
    <w:abstractNumId w:val="124"/>
  </w:num>
  <w:num w:numId="359">
    <w:abstractNumId w:val="569"/>
  </w:num>
  <w:num w:numId="360">
    <w:abstractNumId w:val="121"/>
  </w:num>
  <w:num w:numId="361">
    <w:abstractNumId w:val="605"/>
  </w:num>
  <w:num w:numId="362">
    <w:abstractNumId w:val="174"/>
  </w:num>
  <w:num w:numId="363">
    <w:abstractNumId w:val="420"/>
  </w:num>
  <w:num w:numId="364">
    <w:abstractNumId w:val="592"/>
  </w:num>
  <w:num w:numId="365">
    <w:abstractNumId w:val="688"/>
  </w:num>
  <w:num w:numId="366">
    <w:abstractNumId w:val="17"/>
  </w:num>
  <w:num w:numId="367">
    <w:abstractNumId w:val="718"/>
  </w:num>
  <w:num w:numId="368">
    <w:abstractNumId w:val="559"/>
  </w:num>
  <w:num w:numId="369">
    <w:abstractNumId w:val="478"/>
  </w:num>
  <w:num w:numId="370">
    <w:abstractNumId w:val="205"/>
  </w:num>
  <w:num w:numId="371">
    <w:abstractNumId w:val="369"/>
  </w:num>
  <w:num w:numId="372">
    <w:abstractNumId w:val="374"/>
  </w:num>
  <w:num w:numId="373">
    <w:abstractNumId w:val="214"/>
  </w:num>
  <w:num w:numId="374">
    <w:abstractNumId w:val="675"/>
  </w:num>
  <w:num w:numId="375">
    <w:abstractNumId w:val="69"/>
  </w:num>
  <w:num w:numId="376">
    <w:abstractNumId w:val="720"/>
  </w:num>
  <w:num w:numId="377">
    <w:abstractNumId w:val="222"/>
  </w:num>
  <w:num w:numId="378">
    <w:abstractNumId w:val="735"/>
  </w:num>
  <w:num w:numId="379">
    <w:abstractNumId w:val="172"/>
  </w:num>
  <w:num w:numId="380">
    <w:abstractNumId w:val="603"/>
  </w:num>
  <w:num w:numId="381">
    <w:abstractNumId w:val="224"/>
  </w:num>
  <w:num w:numId="382">
    <w:abstractNumId w:val="454"/>
  </w:num>
  <w:num w:numId="383">
    <w:abstractNumId w:val="213"/>
  </w:num>
  <w:num w:numId="384">
    <w:abstractNumId w:val="388"/>
  </w:num>
  <w:num w:numId="385">
    <w:abstractNumId w:val="530"/>
  </w:num>
  <w:num w:numId="386">
    <w:abstractNumId w:val="646"/>
  </w:num>
  <w:num w:numId="387">
    <w:abstractNumId w:val="19"/>
  </w:num>
  <w:num w:numId="388">
    <w:abstractNumId w:val="342"/>
  </w:num>
  <w:num w:numId="389">
    <w:abstractNumId w:val="498"/>
  </w:num>
  <w:num w:numId="390">
    <w:abstractNumId w:val="101"/>
  </w:num>
  <w:num w:numId="391">
    <w:abstractNumId w:val="728"/>
  </w:num>
  <w:num w:numId="392">
    <w:abstractNumId w:val="607"/>
  </w:num>
  <w:num w:numId="393">
    <w:abstractNumId w:val="137"/>
  </w:num>
  <w:num w:numId="394">
    <w:abstractNumId w:val="109"/>
  </w:num>
  <w:num w:numId="395">
    <w:abstractNumId w:val="627"/>
  </w:num>
  <w:num w:numId="396">
    <w:abstractNumId w:val="409"/>
  </w:num>
  <w:num w:numId="397">
    <w:abstractNumId w:val="624"/>
  </w:num>
  <w:num w:numId="398">
    <w:abstractNumId w:val="436"/>
  </w:num>
  <w:num w:numId="399">
    <w:abstractNumId w:val="125"/>
  </w:num>
  <w:num w:numId="400">
    <w:abstractNumId w:val="523"/>
  </w:num>
  <w:num w:numId="401">
    <w:abstractNumId w:val="682"/>
  </w:num>
  <w:num w:numId="402">
    <w:abstractNumId w:val="511"/>
  </w:num>
  <w:num w:numId="403">
    <w:abstractNumId w:val="729"/>
  </w:num>
  <w:num w:numId="404">
    <w:abstractNumId w:val="443"/>
  </w:num>
  <w:num w:numId="405">
    <w:abstractNumId w:val="620"/>
  </w:num>
  <w:num w:numId="406">
    <w:abstractNumId w:val="587"/>
  </w:num>
  <w:num w:numId="407">
    <w:abstractNumId w:val="51"/>
  </w:num>
  <w:num w:numId="408">
    <w:abstractNumId w:val="231"/>
  </w:num>
  <w:num w:numId="409">
    <w:abstractNumId w:val="544"/>
  </w:num>
  <w:num w:numId="410">
    <w:abstractNumId w:val="151"/>
  </w:num>
  <w:num w:numId="411">
    <w:abstractNumId w:val="164"/>
  </w:num>
  <w:num w:numId="412">
    <w:abstractNumId w:val="746"/>
  </w:num>
  <w:num w:numId="413">
    <w:abstractNumId w:val="277"/>
  </w:num>
  <w:num w:numId="414">
    <w:abstractNumId w:val="614"/>
  </w:num>
  <w:num w:numId="415">
    <w:abstractNumId w:val="382"/>
  </w:num>
  <w:num w:numId="416">
    <w:abstractNumId w:val="357"/>
  </w:num>
  <w:num w:numId="417">
    <w:abstractNumId w:val="178"/>
  </w:num>
  <w:num w:numId="418">
    <w:abstractNumId w:val="75"/>
  </w:num>
  <w:num w:numId="419">
    <w:abstractNumId w:val="272"/>
  </w:num>
  <w:num w:numId="420">
    <w:abstractNumId w:val="578"/>
  </w:num>
  <w:num w:numId="421">
    <w:abstractNumId w:val="130"/>
  </w:num>
  <w:num w:numId="422">
    <w:abstractNumId w:val="494"/>
  </w:num>
  <w:num w:numId="423">
    <w:abstractNumId w:val="25"/>
  </w:num>
  <w:num w:numId="424">
    <w:abstractNumId w:val="230"/>
  </w:num>
  <w:num w:numId="425">
    <w:abstractNumId w:val="119"/>
  </w:num>
  <w:num w:numId="426">
    <w:abstractNumId w:val="10"/>
  </w:num>
  <w:num w:numId="427">
    <w:abstractNumId w:val="643"/>
  </w:num>
  <w:num w:numId="428">
    <w:abstractNumId w:val="381"/>
  </w:num>
  <w:num w:numId="429">
    <w:abstractNumId w:val="269"/>
  </w:num>
  <w:num w:numId="430">
    <w:abstractNumId w:val="701"/>
  </w:num>
  <w:num w:numId="431">
    <w:abstractNumId w:val="411"/>
  </w:num>
  <w:num w:numId="432">
    <w:abstractNumId w:val="240"/>
  </w:num>
  <w:num w:numId="433">
    <w:abstractNumId w:val="158"/>
  </w:num>
  <w:num w:numId="434">
    <w:abstractNumId w:val="81"/>
  </w:num>
  <w:num w:numId="435">
    <w:abstractNumId w:val="441"/>
  </w:num>
  <w:num w:numId="436">
    <w:abstractNumId w:val="262"/>
  </w:num>
  <w:num w:numId="437">
    <w:abstractNumId w:val="145"/>
  </w:num>
  <w:num w:numId="438">
    <w:abstractNumId w:val="655"/>
  </w:num>
  <w:num w:numId="439">
    <w:abstractNumId w:val="32"/>
  </w:num>
  <w:num w:numId="440">
    <w:abstractNumId w:val="287"/>
  </w:num>
  <w:num w:numId="441">
    <w:abstractNumId w:val="669"/>
  </w:num>
  <w:num w:numId="442">
    <w:abstractNumId w:val="526"/>
  </w:num>
  <w:num w:numId="443">
    <w:abstractNumId w:val="217"/>
  </w:num>
  <w:num w:numId="444">
    <w:abstractNumId w:val="502"/>
  </w:num>
  <w:num w:numId="445">
    <w:abstractNumId w:val="670"/>
  </w:num>
  <w:num w:numId="446">
    <w:abstractNumId w:val="9"/>
  </w:num>
  <w:num w:numId="447">
    <w:abstractNumId w:val="471"/>
  </w:num>
  <w:num w:numId="448">
    <w:abstractNumId w:val="442"/>
  </w:num>
  <w:num w:numId="449">
    <w:abstractNumId w:val="212"/>
  </w:num>
  <w:num w:numId="450">
    <w:abstractNumId w:val="567"/>
  </w:num>
  <w:num w:numId="451">
    <w:abstractNumId w:val="251"/>
  </w:num>
  <w:num w:numId="452">
    <w:abstractNumId w:val="301"/>
  </w:num>
  <w:num w:numId="453">
    <w:abstractNumId w:val="425"/>
  </w:num>
  <w:num w:numId="454">
    <w:abstractNumId w:val="591"/>
  </w:num>
  <w:num w:numId="455">
    <w:abstractNumId w:val="399"/>
  </w:num>
  <w:num w:numId="456">
    <w:abstractNumId w:val="473"/>
  </w:num>
  <w:num w:numId="457">
    <w:abstractNumId w:val="39"/>
  </w:num>
  <w:num w:numId="458">
    <w:abstractNumId w:val="339"/>
  </w:num>
  <w:num w:numId="459">
    <w:abstractNumId w:val="320"/>
  </w:num>
  <w:num w:numId="460">
    <w:abstractNumId w:val="645"/>
  </w:num>
  <w:num w:numId="461">
    <w:abstractNumId w:val="34"/>
  </w:num>
  <w:num w:numId="462">
    <w:abstractNumId w:val="521"/>
  </w:num>
  <w:num w:numId="463">
    <w:abstractNumId w:val="380"/>
  </w:num>
  <w:num w:numId="464">
    <w:abstractNumId w:val="123"/>
  </w:num>
  <w:num w:numId="465">
    <w:abstractNumId w:val="396"/>
  </w:num>
  <w:num w:numId="466">
    <w:abstractNumId w:val="279"/>
  </w:num>
  <w:num w:numId="467">
    <w:abstractNumId w:val="485"/>
  </w:num>
  <w:num w:numId="468">
    <w:abstractNumId w:val="427"/>
  </w:num>
  <w:num w:numId="469">
    <w:abstractNumId w:val="323"/>
  </w:num>
  <w:num w:numId="470">
    <w:abstractNumId w:val="309"/>
  </w:num>
  <w:num w:numId="471">
    <w:abstractNumId w:val="660"/>
  </w:num>
  <w:num w:numId="472">
    <w:abstractNumId w:val="561"/>
  </w:num>
  <w:num w:numId="473">
    <w:abstractNumId w:val="453"/>
  </w:num>
  <w:num w:numId="474">
    <w:abstractNumId w:val="661"/>
  </w:num>
  <w:num w:numId="475">
    <w:abstractNumId w:val="24"/>
  </w:num>
  <w:num w:numId="476">
    <w:abstractNumId w:val="472"/>
  </w:num>
  <w:num w:numId="477">
    <w:abstractNumId w:val="503"/>
  </w:num>
  <w:num w:numId="478">
    <w:abstractNumId w:val="543"/>
  </w:num>
  <w:num w:numId="479">
    <w:abstractNumId w:val="176"/>
  </w:num>
  <w:num w:numId="480">
    <w:abstractNumId w:val="532"/>
  </w:num>
  <w:num w:numId="481">
    <w:abstractNumId w:val="295"/>
  </w:num>
  <w:num w:numId="482">
    <w:abstractNumId w:val="302"/>
  </w:num>
  <w:num w:numId="483">
    <w:abstractNumId w:val="328"/>
  </w:num>
  <w:num w:numId="484">
    <w:abstractNumId w:val="741"/>
  </w:num>
  <w:num w:numId="485">
    <w:abstractNumId w:val="239"/>
  </w:num>
  <w:num w:numId="486">
    <w:abstractNumId w:val="28"/>
  </w:num>
  <w:num w:numId="487">
    <w:abstractNumId w:val="259"/>
  </w:num>
  <w:num w:numId="488">
    <w:abstractNumId w:val="160"/>
  </w:num>
  <w:num w:numId="489">
    <w:abstractNumId w:val="325"/>
  </w:num>
  <w:num w:numId="490">
    <w:abstractNumId w:val="306"/>
  </w:num>
  <w:num w:numId="491">
    <w:abstractNumId w:val="248"/>
  </w:num>
  <w:num w:numId="492">
    <w:abstractNumId w:val="163"/>
  </w:num>
  <w:num w:numId="493">
    <w:abstractNumId w:val="432"/>
  </w:num>
  <w:num w:numId="494">
    <w:abstractNumId w:val="748"/>
  </w:num>
  <w:num w:numId="495">
    <w:abstractNumId w:val="595"/>
  </w:num>
  <w:num w:numId="496">
    <w:abstractNumId w:val="317"/>
  </w:num>
  <w:num w:numId="497">
    <w:abstractNumId w:val="192"/>
  </w:num>
  <w:num w:numId="498">
    <w:abstractNumId w:val="260"/>
  </w:num>
  <w:num w:numId="499">
    <w:abstractNumId w:val="742"/>
  </w:num>
  <w:num w:numId="500">
    <w:abstractNumId w:val="450"/>
  </w:num>
  <w:num w:numId="501">
    <w:abstractNumId w:val="117"/>
  </w:num>
  <w:num w:numId="502">
    <w:abstractNumId w:val="283"/>
  </w:num>
  <w:num w:numId="503">
    <w:abstractNumId w:val="264"/>
  </w:num>
  <w:num w:numId="504">
    <w:abstractNumId w:val="403"/>
  </w:num>
  <w:num w:numId="505">
    <w:abstractNumId w:val="242"/>
  </w:num>
  <w:num w:numId="506">
    <w:abstractNumId w:val="389"/>
  </w:num>
  <w:num w:numId="507">
    <w:abstractNumId w:val="373"/>
  </w:num>
  <w:num w:numId="508">
    <w:abstractNumId w:val="54"/>
  </w:num>
  <w:num w:numId="509">
    <w:abstractNumId w:val="291"/>
  </w:num>
  <w:num w:numId="510">
    <w:abstractNumId w:val="313"/>
  </w:num>
  <w:num w:numId="511">
    <w:abstractNumId w:val="247"/>
  </w:num>
  <w:num w:numId="512">
    <w:abstractNumId w:val="722"/>
  </w:num>
  <w:num w:numId="513">
    <w:abstractNumId w:val="8"/>
  </w:num>
  <w:num w:numId="514">
    <w:abstractNumId w:val="91"/>
  </w:num>
  <w:num w:numId="515">
    <w:abstractNumId w:val="667"/>
  </w:num>
  <w:num w:numId="516">
    <w:abstractNumId w:val="445"/>
  </w:num>
  <w:num w:numId="517">
    <w:abstractNumId w:val="114"/>
  </w:num>
  <w:num w:numId="518">
    <w:abstractNumId w:val="294"/>
  </w:num>
  <w:num w:numId="519">
    <w:abstractNumId w:val="72"/>
  </w:num>
  <w:num w:numId="520">
    <w:abstractNumId w:val="615"/>
  </w:num>
  <w:num w:numId="521">
    <w:abstractNumId w:val="234"/>
  </w:num>
  <w:num w:numId="522">
    <w:abstractNumId w:val="300"/>
  </w:num>
  <w:num w:numId="523">
    <w:abstractNumId w:val="138"/>
  </w:num>
  <w:num w:numId="524">
    <w:abstractNumId w:val="515"/>
  </w:num>
  <w:num w:numId="525">
    <w:abstractNumId w:val="463"/>
  </w:num>
  <w:num w:numId="526">
    <w:abstractNumId w:val="687"/>
  </w:num>
  <w:num w:numId="527">
    <w:abstractNumId w:val="590"/>
  </w:num>
  <w:num w:numId="528">
    <w:abstractNumId w:val="105"/>
  </w:num>
  <w:num w:numId="529">
    <w:abstractNumId w:val="148"/>
  </w:num>
  <w:num w:numId="530">
    <w:abstractNumId w:val="608"/>
  </w:num>
  <w:num w:numId="531">
    <w:abstractNumId w:val="238"/>
  </w:num>
  <w:num w:numId="532">
    <w:abstractNumId w:val="717"/>
  </w:num>
  <w:num w:numId="533">
    <w:abstractNumId w:val="202"/>
  </w:num>
  <w:num w:numId="534">
    <w:abstractNumId w:val="18"/>
  </w:num>
  <w:num w:numId="535">
    <w:abstractNumId w:val="696"/>
  </w:num>
  <w:num w:numId="536">
    <w:abstractNumId w:val="57"/>
  </w:num>
  <w:num w:numId="537">
    <w:abstractNumId w:val="459"/>
  </w:num>
  <w:num w:numId="538">
    <w:abstractNumId w:val="518"/>
  </w:num>
  <w:num w:numId="539">
    <w:abstractNumId w:val="395"/>
  </w:num>
  <w:num w:numId="540">
    <w:abstractNumId w:val="622"/>
  </w:num>
  <w:num w:numId="541">
    <w:abstractNumId w:val="188"/>
  </w:num>
  <w:num w:numId="542">
    <w:abstractNumId w:val="509"/>
  </w:num>
  <w:num w:numId="543">
    <w:abstractNumId w:val="552"/>
  </w:num>
  <w:num w:numId="544">
    <w:abstractNumId w:val="152"/>
  </w:num>
  <w:num w:numId="545">
    <w:abstractNumId w:val="419"/>
  </w:num>
  <w:num w:numId="546">
    <w:abstractNumId w:val="753"/>
  </w:num>
  <w:num w:numId="547">
    <w:abstractNumId w:val="66"/>
  </w:num>
  <w:num w:numId="548">
    <w:abstractNumId w:val="50"/>
  </w:num>
  <w:num w:numId="549">
    <w:abstractNumId w:val="367"/>
  </w:num>
  <w:num w:numId="550">
    <w:abstractNumId w:val="293"/>
  </w:num>
  <w:num w:numId="551">
    <w:abstractNumId w:val="507"/>
  </w:num>
  <w:num w:numId="552">
    <w:abstractNumId w:val="89"/>
  </w:num>
  <w:num w:numId="553">
    <w:abstractNumId w:val="430"/>
  </w:num>
  <w:num w:numId="554">
    <w:abstractNumId w:val="63"/>
  </w:num>
  <w:num w:numId="555">
    <w:abstractNumId w:val="693"/>
  </w:num>
  <w:num w:numId="556">
    <w:abstractNumId w:val="581"/>
  </w:num>
  <w:num w:numId="557">
    <w:abstractNumId w:val="113"/>
  </w:num>
  <w:num w:numId="558">
    <w:abstractNumId w:val="577"/>
  </w:num>
  <w:num w:numId="559">
    <w:abstractNumId w:val="488"/>
  </w:num>
  <w:num w:numId="560">
    <w:abstractNumId w:val="517"/>
  </w:num>
  <w:num w:numId="561">
    <w:abstractNumId w:val="401"/>
  </w:num>
  <w:num w:numId="562">
    <w:abstractNumId w:val="129"/>
  </w:num>
  <w:num w:numId="563">
    <w:abstractNumId w:val="731"/>
  </w:num>
  <w:num w:numId="564">
    <w:abstractNumId w:val="226"/>
  </w:num>
  <w:num w:numId="565">
    <w:abstractNumId w:val="606"/>
  </w:num>
  <w:num w:numId="566">
    <w:abstractNumId w:val="458"/>
  </w:num>
  <w:num w:numId="567">
    <w:abstractNumId w:val="335"/>
  </w:num>
  <w:num w:numId="568">
    <w:abstractNumId w:val="154"/>
  </w:num>
  <w:num w:numId="569">
    <w:abstractNumId w:val="691"/>
  </w:num>
  <w:num w:numId="570">
    <w:abstractNumId w:val="70"/>
  </w:num>
  <w:num w:numId="571">
    <w:abstractNumId w:val="580"/>
  </w:num>
  <w:num w:numId="572">
    <w:abstractNumId w:val="745"/>
  </w:num>
  <w:num w:numId="573">
    <w:abstractNumId w:val="42"/>
  </w:num>
  <w:num w:numId="574">
    <w:abstractNumId w:val="312"/>
  </w:num>
  <w:num w:numId="575">
    <w:abstractNumId w:val="690"/>
  </w:num>
  <w:num w:numId="576">
    <w:abstractNumId w:val="35"/>
  </w:num>
  <w:num w:numId="577">
    <w:abstractNumId w:val="198"/>
  </w:num>
  <w:num w:numId="578">
    <w:abstractNumId w:val="671"/>
  </w:num>
  <w:num w:numId="579">
    <w:abstractNumId w:val="584"/>
  </w:num>
  <w:num w:numId="580">
    <w:abstractNumId w:val="470"/>
  </w:num>
  <w:num w:numId="581">
    <w:abstractNumId w:val="93"/>
  </w:num>
  <w:num w:numId="582">
    <w:abstractNumId w:val="209"/>
  </w:num>
  <w:num w:numId="583">
    <w:abstractNumId w:val="346"/>
  </w:num>
  <w:num w:numId="584">
    <w:abstractNumId w:val="193"/>
  </w:num>
  <w:num w:numId="585">
    <w:abstractNumId w:val="84"/>
  </w:num>
  <w:num w:numId="586">
    <w:abstractNumId w:val="623"/>
  </w:num>
  <w:num w:numId="587">
    <w:abstractNumId w:val="286"/>
  </w:num>
  <w:num w:numId="588">
    <w:abstractNumId w:val="333"/>
  </w:num>
  <w:num w:numId="589">
    <w:abstractNumId w:val="516"/>
  </w:num>
  <w:num w:numId="590">
    <w:abstractNumId w:val="245"/>
  </w:num>
  <w:num w:numId="591">
    <w:abstractNumId w:val="429"/>
  </w:num>
  <w:num w:numId="592">
    <w:abstractNumId w:val="195"/>
  </w:num>
  <w:num w:numId="593">
    <w:abstractNumId w:val="398"/>
  </w:num>
  <w:num w:numId="594">
    <w:abstractNumId w:val="695"/>
  </w:num>
  <w:num w:numId="595">
    <w:abstractNumId w:val="546"/>
  </w:num>
  <w:num w:numId="596">
    <w:abstractNumId w:val="77"/>
  </w:num>
  <w:num w:numId="597">
    <w:abstractNumId w:val="143"/>
  </w:num>
  <w:num w:numId="598">
    <w:abstractNumId w:val="564"/>
  </w:num>
  <w:num w:numId="599">
    <w:abstractNumId w:val="579"/>
  </w:num>
  <w:num w:numId="600">
    <w:abstractNumId w:val="538"/>
  </w:num>
  <w:num w:numId="601">
    <w:abstractNumId w:val="330"/>
  </w:num>
  <w:num w:numId="602">
    <w:abstractNumId w:val="663"/>
  </w:num>
  <w:num w:numId="603">
    <w:abstractNumId w:val="308"/>
  </w:num>
  <w:num w:numId="604">
    <w:abstractNumId w:val="565"/>
  </w:num>
  <w:num w:numId="605">
    <w:abstractNumId w:val="161"/>
  </w:num>
  <w:num w:numId="606">
    <w:abstractNumId w:val="499"/>
  </w:num>
  <w:num w:numId="607">
    <w:abstractNumId w:val="493"/>
  </w:num>
  <w:num w:numId="608">
    <w:abstractNumId w:val="678"/>
  </w:num>
  <w:num w:numId="609">
    <w:abstractNumId w:val="76"/>
  </w:num>
  <w:num w:numId="610">
    <w:abstractNumId w:val="122"/>
  </w:num>
  <w:num w:numId="611">
    <w:abstractNumId w:val="699"/>
  </w:num>
  <w:num w:numId="612">
    <w:abstractNumId w:val="639"/>
  </w:num>
  <w:num w:numId="613">
    <w:abstractNumId w:val="144"/>
  </w:num>
  <w:num w:numId="614">
    <w:abstractNumId w:val="353"/>
  </w:num>
  <w:num w:numId="615">
    <w:abstractNumId w:val="196"/>
  </w:num>
  <w:num w:numId="616">
    <w:abstractNumId w:val="360"/>
  </w:num>
  <w:num w:numId="617">
    <w:abstractNumId w:val="102"/>
  </w:num>
  <w:num w:numId="618">
    <w:abstractNumId w:val="672"/>
  </w:num>
  <w:num w:numId="619">
    <w:abstractNumId w:val="27"/>
  </w:num>
  <w:num w:numId="620">
    <w:abstractNumId w:val="141"/>
  </w:num>
  <w:num w:numId="621">
    <w:abstractNumId w:val="644"/>
  </w:num>
  <w:num w:numId="622">
    <w:abstractNumId w:val="558"/>
  </w:num>
  <w:num w:numId="623">
    <w:abstractNumId w:val="375"/>
  </w:num>
  <w:num w:numId="624">
    <w:abstractNumId w:val="131"/>
  </w:num>
  <w:num w:numId="625">
    <w:abstractNumId w:val="462"/>
  </w:num>
  <w:num w:numId="626">
    <w:abstractNumId w:val="267"/>
  </w:num>
  <w:num w:numId="627">
    <w:abstractNumId w:val="215"/>
  </w:num>
  <w:num w:numId="628">
    <w:abstractNumId w:val="738"/>
  </w:num>
  <w:num w:numId="629">
    <w:abstractNumId w:val="447"/>
  </w:num>
  <w:num w:numId="630">
    <w:abstractNumId w:val="404"/>
  </w:num>
  <w:num w:numId="631">
    <w:abstractNumId w:val="656"/>
  </w:num>
  <w:num w:numId="632">
    <w:abstractNumId w:val="285"/>
  </w:num>
  <w:num w:numId="633">
    <w:abstractNumId w:val="635"/>
  </w:num>
  <w:num w:numId="634">
    <w:abstractNumId w:val="233"/>
  </w:num>
  <w:num w:numId="635">
    <w:abstractNumId w:val="332"/>
  </w:num>
  <w:num w:numId="636">
    <w:abstractNumId w:val="149"/>
  </w:num>
  <w:num w:numId="637">
    <w:abstractNumId w:val="664"/>
  </w:num>
  <w:num w:numId="638">
    <w:abstractNumId w:val="506"/>
  </w:num>
  <w:num w:numId="639">
    <w:abstractNumId w:val="510"/>
  </w:num>
  <w:num w:numId="640">
    <w:abstractNumId w:val="575"/>
  </w:num>
  <w:num w:numId="641">
    <w:abstractNumId w:val="237"/>
  </w:num>
  <w:num w:numId="642">
    <w:abstractNumId w:val="64"/>
  </w:num>
  <w:num w:numId="643">
    <w:abstractNumId w:val="650"/>
  </w:num>
  <w:num w:numId="644">
    <w:abstractNumId w:val="726"/>
  </w:num>
  <w:num w:numId="645">
    <w:abstractNumId w:val="147"/>
  </w:num>
  <w:num w:numId="646">
    <w:abstractNumId w:val="721"/>
  </w:num>
  <w:num w:numId="647">
    <w:abstractNumId w:val="674"/>
  </w:num>
  <w:num w:numId="648">
    <w:abstractNumId w:val="705"/>
  </w:num>
  <w:num w:numId="649">
    <w:abstractNumId w:val="484"/>
  </w:num>
  <w:num w:numId="650">
    <w:abstractNumId w:val="469"/>
  </w:num>
  <w:num w:numId="651">
    <w:abstractNumId w:val="216"/>
  </w:num>
  <w:num w:numId="652">
    <w:abstractNumId w:val="550"/>
  </w:num>
  <w:num w:numId="653">
    <w:abstractNumId w:val="714"/>
  </w:num>
  <w:num w:numId="654">
    <w:abstractNumId w:val="719"/>
  </w:num>
  <w:num w:numId="655">
    <w:abstractNumId w:val="529"/>
  </w:num>
  <w:num w:numId="656">
    <w:abstractNumId w:val="26"/>
  </w:num>
  <w:num w:numId="657">
    <w:abstractNumId w:val="385"/>
  </w:num>
  <w:num w:numId="658">
    <w:abstractNumId w:val="713"/>
  </w:num>
  <w:num w:numId="659">
    <w:abstractNumId w:val="155"/>
  </w:num>
  <w:num w:numId="660">
    <w:abstractNumId w:val="740"/>
  </w:num>
  <w:num w:numId="661">
    <w:abstractNumId w:val="253"/>
  </w:num>
  <w:num w:numId="662">
    <w:abstractNumId w:val="405"/>
  </w:num>
  <w:num w:numId="663">
    <w:abstractNumId w:val="135"/>
  </w:num>
  <w:num w:numId="664">
    <w:abstractNumId w:val="508"/>
  </w:num>
  <w:num w:numId="665">
    <w:abstractNumId w:val="156"/>
  </w:num>
  <w:num w:numId="666">
    <w:abstractNumId w:val="223"/>
  </w:num>
  <w:num w:numId="667">
    <w:abstractNumId w:val="536"/>
  </w:num>
  <w:num w:numId="668">
    <w:abstractNumId w:val="322"/>
  </w:num>
  <w:num w:numId="669">
    <w:abstractNumId w:val="180"/>
  </w:num>
  <w:num w:numId="670">
    <w:abstractNumId w:val="159"/>
  </w:num>
  <w:num w:numId="671">
    <w:abstractNumId w:val="7"/>
  </w:num>
  <w:num w:numId="672">
    <w:abstractNumId w:val="572"/>
  </w:num>
  <w:num w:numId="673">
    <w:abstractNumId w:val="628"/>
  </w:num>
  <w:num w:numId="674">
    <w:abstractNumId w:val="128"/>
  </w:num>
  <w:num w:numId="675">
    <w:abstractNumId w:val="416"/>
  </w:num>
  <w:num w:numId="676">
    <w:abstractNumId w:val="153"/>
  </w:num>
  <w:num w:numId="677">
    <w:abstractNumId w:val="83"/>
  </w:num>
  <w:num w:numId="678">
    <w:abstractNumId w:val="207"/>
  </w:num>
  <w:num w:numId="679">
    <w:abstractNumId w:val="649"/>
  </w:num>
  <w:num w:numId="680">
    <w:abstractNumId w:val="460"/>
  </w:num>
  <w:num w:numId="681">
    <w:abstractNumId w:val="588"/>
  </w:num>
  <w:num w:numId="682">
    <w:abstractNumId w:val="566"/>
  </w:num>
  <w:num w:numId="683">
    <w:abstractNumId w:val="710"/>
  </w:num>
  <w:num w:numId="684">
    <w:abstractNumId w:val="371"/>
  </w:num>
  <w:num w:numId="685">
    <w:abstractNumId w:val="638"/>
  </w:num>
  <w:num w:numId="686">
    <w:abstractNumId w:val="190"/>
  </w:num>
  <w:num w:numId="687">
    <w:abstractNumId w:val="456"/>
  </w:num>
  <w:num w:numId="688">
    <w:abstractNumId w:val="468"/>
  </w:num>
  <w:num w:numId="689">
    <w:abstractNumId w:val="15"/>
  </w:num>
  <w:num w:numId="690">
    <w:abstractNumId w:val="261"/>
  </w:num>
  <w:num w:numId="691">
    <w:abstractNumId w:val="227"/>
  </w:num>
  <w:num w:numId="692">
    <w:abstractNumId w:val="344"/>
  </w:num>
  <w:num w:numId="693">
    <w:abstractNumId w:val="165"/>
  </w:num>
  <w:num w:numId="694">
    <w:abstractNumId w:val="613"/>
  </w:num>
  <w:num w:numId="695">
    <w:abstractNumId w:val="384"/>
  </w:num>
  <w:num w:numId="696">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33"/>
  </w:num>
  <w:num w:numId="698">
    <w:abstractNumId w:val="703"/>
  </w:num>
  <w:num w:numId="699">
    <w:abstractNumId w:val="504"/>
  </w:num>
  <w:num w:numId="700">
    <w:abstractNumId w:val="563"/>
  </w:num>
  <w:num w:numId="701">
    <w:abstractNumId w:val="345"/>
  </w:num>
  <w:num w:numId="702">
    <w:abstractNumId w:val="47"/>
  </w:num>
  <w:num w:numId="703">
    <w:abstractNumId w:val="62"/>
  </w:num>
  <w:num w:numId="704">
    <w:abstractNumId w:val="480"/>
  </w:num>
  <w:num w:numId="705">
    <w:abstractNumId w:val="281"/>
  </w:num>
  <w:num w:numId="706">
    <w:abstractNumId w:val="573"/>
  </w:num>
  <w:num w:numId="707">
    <w:abstractNumId w:val="316"/>
  </w:num>
  <w:num w:numId="708">
    <w:abstractNumId w:val="598"/>
  </w:num>
  <w:num w:numId="709">
    <w:abstractNumId w:val="175"/>
  </w:num>
  <w:num w:numId="710">
    <w:abstractNumId w:val="292"/>
  </w:num>
  <w:num w:numId="711">
    <w:abstractNumId w:val="278"/>
  </w:num>
  <w:num w:numId="712">
    <w:abstractNumId w:val="433"/>
  </w:num>
  <w:num w:numId="713">
    <w:abstractNumId w:val="11"/>
  </w:num>
  <w:num w:numId="714">
    <w:abstractNumId w:val="73"/>
  </w:num>
  <w:num w:numId="715">
    <w:abstractNumId w:val="636"/>
  </w:num>
  <w:num w:numId="716">
    <w:abstractNumId w:val="298"/>
  </w:num>
  <w:num w:numId="717">
    <w:abstractNumId w:val="184"/>
  </w:num>
  <w:num w:numId="718">
    <w:abstractNumId w:val="539"/>
  </w:num>
  <w:num w:numId="719">
    <w:abstractNumId w:val="725"/>
  </w:num>
  <w:num w:numId="720">
    <w:abstractNumId w:val="392"/>
  </w:num>
  <w:num w:numId="721">
    <w:abstractNumId w:val="610"/>
  </w:num>
  <w:num w:numId="722">
    <w:abstractNumId w:val="570"/>
  </w:num>
  <w:num w:numId="723">
    <w:abstractNumId w:val="743"/>
  </w:num>
  <w:num w:numId="724">
    <w:abstractNumId w:val="665"/>
  </w:num>
  <w:num w:numId="725">
    <w:abstractNumId w:val="383"/>
  </w:num>
  <w:num w:numId="726">
    <w:abstractNumId w:val="711"/>
  </w:num>
  <w:num w:numId="727">
    <w:abstractNumId w:val="372"/>
  </w:num>
  <w:num w:numId="728">
    <w:abstractNumId w:val="30"/>
  </w:num>
  <w:num w:numId="729">
    <w:abstractNumId w:val="727"/>
  </w:num>
  <w:num w:numId="730">
    <w:abstractNumId w:val="666"/>
  </w:num>
  <w:num w:numId="731">
    <w:abstractNumId w:val="641"/>
  </w:num>
  <w:num w:numId="732">
    <w:abstractNumId w:val="232"/>
  </w:num>
  <w:num w:numId="733">
    <w:abstractNumId w:val="428"/>
  </w:num>
  <w:num w:numId="734">
    <w:abstractNumId w:val="451"/>
  </w:num>
  <w:num w:numId="735">
    <w:abstractNumId w:val="467"/>
  </w:num>
  <w:num w:numId="736">
    <w:abstractNumId w:val="736"/>
  </w:num>
  <w:num w:numId="737">
    <w:abstractNumId w:val="296"/>
  </w:num>
  <w:num w:numId="738">
    <w:abstractNumId w:val="393"/>
  </w:num>
  <w:num w:numId="739">
    <w:abstractNumId w:val="103"/>
  </w:num>
  <w:num w:numId="740">
    <w:abstractNumId w:val="350"/>
  </w:num>
  <w:num w:numId="741">
    <w:abstractNumId w:val="634"/>
  </w:num>
  <w:num w:numId="742">
    <w:abstractNumId w:val="594"/>
  </w:num>
  <w:num w:numId="743">
    <w:abstractNumId w:val="732"/>
  </w:num>
  <w:num w:numId="744">
    <w:abstractNumId w:val="157"/>
  </w:num>
  <w:num w:numId="745">
    <w:abstractNumId w:val="616"/>
  </w:num>
  <w:num w:numId="746">
    <w:abstractNumId w:val="548"/>
  </w:num>
  <w:num w:numId="747">
    <w:abstractNumId w:val="686"/>
  </w:num>
  <w:num w:numId="748">
    <w:abstractNumId w:val="168"/>
  </w:num>
  <w:num w:numId="749">
    <w:abstractNumId w:val="20"/>
  </w:num>
  <w:num w:numId="750">
    <w:abstractNumId w:val="662"/>
  </w:num>
  <w:num w:numId="751">
    <w:abstractNumId w:val="268"/>
  </w:num>
  <w:num w:numId="752">
    <w:abstractNumId w:val="683"/>
  </w:num>
  <w:num w:numId="753">
    <w:abstractNumId w:val="482"/>
  </w:num>
  <w:num w:numId="754">
    <w:abstractNumId w:val="586"/>
  </w:num>
  <w:num w:numId="755">
    <w:abstractNumId w:val="284"/>
  </w:num>
  <w:num w:numId="756">
    <w:abstractNumId w:val="356"/>
  </w:num>
  <w:num w:numId="757">
    <w:abstractNumId w:val="13"/>
  </w:num>
  <w:num w:numId="758">
    <w:abstractNumId w:val="315"/>
  </w:num>
  <w:num w:numId="759">
    <w:abstractNumId w:val="338"/>
  </w:num>
  <w:num w:numId="760">
    <w:abstractNumId w:val="697"/>
  </w:num>
  <w:num w:numId="761">
    <w:abstractNumId w:val="290"/>
  </w:num>
  <w:num w:numId="762">
    <w:abstractNumId w:val="568"/>
  </w:num>
  <w:num w:numId="763">
    <w:abstractNumId w:val="48"/>
  </w:num>
  <w:num w:numId="764">
    <w:abstractNumId w:val="390"/>
  </w:num>
  <w:num w:numId="765">
    <w:abstractNumId w:val="56"/>
  </w:num>
  <w:num w:numId="766">
    <w:abstractNumId w:val="444"/>
  </w:num>
  <w:num w:numId="767">
    <w:abstractNumId w:val="631"/>
  </w:num>
  <w:num w:numId="768">
    <w:abstractNumId w:val="43"/>
  </w:num>
  <w:num w:numId="769">
    <w:abstractNumId w:val="68"/>
  </w:num>
  <w:num w:numId="770">
    <w:abstractNumId w:val="554"/>
  </w:num>
  <w:num w:numId="771">
    <w:abstractNumId w:val="347"/>
  </w:num>
  <w:num w:numId="772">
    <w:abstractNumId w:val="658"/>
  </w:num>
  <w:num w:numId="773">
    <w:abstractNumId w:val="702"/>
  </w:num>
  <w:num w:numId="774">
    <w:abstractNumId w:val="358"/>
  </w:num>
  <w:num w:numId="775">
    <w:abstractNumId w:val="651"/>
  </w:num>
  <w:num w:numId="776">
    <w:abstractNumId w:val="211"/>
  </w:num>
  <w:num w:numId="777">
    <w:abstractNumId w:val="715"/>
  </w:num>
  <w:num w:numId="778">
    <w:abstractNumId w:val="676"/>
  </w:num>
  <w:num w:numId="779">
    <w:abstractNumId w:val="524"/>
  </w:num>
  <w:num w:numId="780">
    <w:abstractNumId w:val="99"/>
  </w:num>
  <w:num w:numId="781">
    <w:abstractNumId w:val="45"/>
  </w:num>
  <w:num w:numId="782">
    <w:abstractNumId w:val="421"/>
  </w:num>
  <w:num w:numId="783">
    <w:abstractNumId w:val="387"/>
  </w:num>
  <w:num w:numId="784">
    <w:abstractNumId w:val="326"/>
  </w:num>
  <w:num w:numId="785">
    <w:abstractNumId w:val="108"/>
  </w:num>
  <w:num w:numId="786">
    <w:abstractNumId w:val="85"/>
  </w:num>
  <w:num w:numId="787">
    <w:abstractNumId w:val="220"/>
  </w:num>
  <w:num w:numId="788">
    <w:abstractNumId w:val="677"/>
  </w:num>
  <w:numIdMacAtCleanup w:val="7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0" w:nlCheck="1" w:checkStyle="0"/>
  <w:activeWritingStyle w:appName="MSWord" w:lang="en-IE"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de-DE"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asiakirjaan"/>
    <w:docVar w:name="LW_ANNEX_NBR_FIRST" w:val="1"/>
    <w:docVar w:name="LW_ANNEX_NBR_LAST" w:val="1"/>
    <w:docVar w:name="LW_ANNEX_UNIQUE" w:val="1"/>
    <w:docVar w:name="LW_CORRIGENDUM" w:val="&lt;UNUSED&gt;"/>
    <w:docVar w:name="LW_COVERPAGE_EXISTS" w:val="True"/>
    <w:docVar w:name="LW_COVERPAGE_GUID" w:val="968523BB-C478-4913-B9CB-9D7C229C8B87"/>
    <w:docVar w:name="LW_COVERPAGE_TYPE" w:val="1"/>
    <w:docVar w:name="LW_CROSSREFERENCE" w:val="{SWD(2023) 326 final}"/>
    <w:docVar w:name="LW_DocType" w:val="NORMAL"/>
    <w:docVar w:name="LW_EMISSION" w:val="2.10.2023"/>
    <w:docVar w:name="LW_EMISSION_ISODATE" w:val="2023-10-02"/>
    <w:docVar w:name="LW_EMISSION_LOCATION" w:val="BRX"/>
    <w:docVar w:name="LW_EMISSION_PREFIX" w:val="Bryssel "/>
    <w:docVar w:name="LW_EMISSION_SUFFIX" w:val=" "/>
    <w:docVar w:name="LW_ID_DOCTYPE_NONLW" w:val="CP-036"/>
    <w:docVar w:name="LW_LANGUE" w:val="FI"/>
    <w:docVar w:name="LW_LEVEL_OF_SENSITIVITY" w:val="Standard treatment"/>
    <w:docVar w:name="LW_NOM.INST" w:val="EUROOPAN KOMISSIO"/>
    <w:docVar w:name="LW_NOM.INST_JOINTDOC" w:val="&lt;EMPTY&gt;"/>
    <w:docVar w:name="LW_OBJETACTEPRINCIPAL.CP" w:val="Espanjan elpymis- ja palautumissuunnitelmasta tehdyn arvion hyväksymisestä 13 päivänä heinäkuuta 2021 annetun täytäntöönpanopäätöksen (EU) (ST 10150 2021; ST 10150 2021 ADD 1 REV 1) muuttamisesta"/>
    <w:docVar w:name="LW_PART_NBR" w:val="1"/>
    <w:docVar w:name="LW_PART_NBR_TOTAL" w:val="1"/>
    <w:docVar w:name="LW_REF.INST.NEW" w:val="COM"/>
    <w:docVar w:name="LW_REF.INST.NEW_ADOPTED" w:val="final"/>
    <w:docVar w:name="LW_REF.INST.NEW_TEXT" w:val="(2023) 57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LIITE_x000b_"/>
    <w:docVar w:name="LW_TYPEACTEPRINCIPAL.CP" w:val="Ehdotus NEUVOSTON TÄYTÄNTÖÖNPANOPÄÄTÖKSEKSI"/>
    <w:docVar w:name="LwApiVersions" w:val="LW4CoDe 1.23.2.0; LW 8.0, Build 20211117"/>
  </w:docVars>
  <w:rsids>
    <w:rsidRoot w:val="00D554E1"/>
    <w:rsid w:val="000005D9"/>
    <w:rsid w:val="0000094D"/>
    <w:rsid w:val="00000EA9"/>
    <w:rsid w:val="00001233"/>
    <w:rsid w:val="00001F33"/>
    <w:rsid w:val="000020D7"/>
    <w:rsid w:val="00002D2C"/>
    <w:rsid w:val="00003785"/>
    <w:rsid w:val="00003AD6"/>
    <w:rsid w:val="000048BC"/>
    <w:rsid w:val="00004B0D"/>
    <w:rsid w:val="00004FDD"/>
    <w:rsid w:val="00004FE8"/>
    <w:rsid w:val="000054DB"/>
    <w:rsid w:val="000058E5"/>
    <w:rsid w:val="00006DA6"/>
    <w:rsid w:val="00007054"/>
    <w:rsid w:val="00007198"/>
    <w:rsid w:val="00007556"/>
    <w:rsid w:val="00007D85"/>
    <w:rsid w:val="00007EF8"/>
    <w:rsid w:val="00007F0E"/>
    <w:rsid w:val="00010037"/>
    <w:rsid w:val="00010FCF"/>
    <w:rsid w:val="0001105A"/>
    <w:rsid w:val="00011B30"/>
    <w:rsid w:val="00011EA2"/>
    <w:rsid w:val="000120A0"/>
    <w:rsid w:val="00012577"/>
    <w:rsid w:val="00012998"/>
    <w:rsid w:val="000135BD"/>
    <w:rsid w:val="00013B03"/>
    <w:rsid w:val="00013C17"/>
    <w:rsid w:val="00013DB9"/>
    <w:rsid w:val="00014022"/>
    <w:rsid w:val="00014061"/>
    <w:rsid w:val="00014122"/>
    <w:rsid w:val="000145AC"/>
    <w:rsid w:val="00014776"/>
    <w:rsid w:val="00014C37"/>
    <w:rsid w:val="00015170"/>
    <w:rsid w:val="000152FF"/>
    <w:rsid w:val="00015325"/>
    <w:rsid w:val="00015346"/>
    <w:rsid w:val="000156DA"/>
    <w:rsid w:val="00016723"/>
    <w:rsid w:val="00016894"/>
    <w:rsid w:val="00016C54"/>
    <w:rsid w:val="00016E62"/>
    <w:rsid w:val="000171B9"/>
    <w:rsid w:val="000173C5"/>
    <w:rsid w:val="00017932"/>
    <w:rsid w:val="00017A67"/>
    <w:rsid w:val="00017CAC"/>
    <w:rsid w:val="00017D16"/>
    <w:rsid w:val="000203FF"/>
    <w:rsid w:val="00020F4E"/>
    <w:rsid w:val="0002238D"/>
    <w:rsid w:val="0002251F"/>
    <w:rsid w:val="00022597"/>
    <w:rsid w:val="00023051"/>
    <w:rsid w:val="0002362B"/>
    <w:rsid w:val="00023EB3"/>
    <w:rsid w:val="00023F18"/>
    <w:rsid w:val="00023F78"/>
    <w:rsid w:val="00023F8C"/>
    <w:rsid w:val="000246B3"/>
    <w:rsid w:val="00024F59"/>
    <w:rsid w:val="00024F78"/>
    <w:rsid w:val="000258C1"/>
    <w:rsid w:val="00026187"/>
    <w:rsid w:val="00026F22"/>
    <w:rsid w:val="00026F3E"/>
    <w:rsid w:val="000274E0"/>
    <w:rsid w:val="00027DE0"/>
    <w:rsid w:val="0003056F"/>
    <w:rsid w:val="000308F6"/>
    <w:rsid w:val="00030968"/>
    <w:rsid w:val="00030BDF"/>
    <w:rsid w:val="00031C74"/>
    <w:rsid w:val="00033473"/>
    <w:rsid w:val="0003380A"/>
    <w:rsid w:val="000339AD"/>
    <w:rsid w:val="00033BF8"/>
    <w:rsid w:val="00034133"/>
    <w:rsid w:val="00034167"/>
    <w:rsid w:val="000343EE"/>
    <w:rsid w:val="00034497"/>
    <w:rsid w:val="00034798"/>
    <w:rsid w:val="00034C9D"/>
    <w:rsid w:val="00034CEF"/>
    <w:rsid w:val="000355E4"/>
    <w:rsid w:val="00035A6F"/>
    <w:rsid w:val="00035FA1"/>
    <w:rsid w:val="00036FD8"/>
    <w:rsid w:val="0003728E"/>
    <w:rsid w:val="00037B55"/>
    <w:rsid w:val="000401EE"/>
    <w:rsid w:val="0004098A"/>
    <w:rsid w:val="00040BB5"/>
    <w:rsid w:val="00040D91"/>
    <w:rsid w:val="000410C1"/>
    <w:rsid w:val="00041223"/>
    <w:rsid w:val="000417AE"/>
    <w:rsid w:val="00041CD4"/>
    <w:rsid w:val="00042384"/>
    <w:rsid w:val="00042696"/>
    <w:rsid w:val="00042A04"/>
    <w:rsid w:val="00042C39"/>
    <w:rsid w:val="000432AA"/>
    <w:rsid w:val="00043852"/>
    <w:rsid w:val="000438E4"/>
    <w:rsid w:val="0004406D"/>
    <w:rsid w:val="000443EC"/>
    <w:rsid w:val="00044C0D"/>
    <w:rsid w:val="00045B59"/>
    <w:rsid w:val="00045BBB"/>
    <w:rsid w:val="000460B9"/>
    <w:rsid w:val="000465B7"/>
    <w:rsid w:val="00046B9D"/>
    <w:rsid w:val="000471B4"/>
    <w:rsid w:val="000476AA"/>
    <w:rsid w:val="000476E7"/>
    <w:rsid w:val="00047B28"/>
    <w:rsid w:val="000504C4"/>
    <w:rsid w:val="00050578"/>
    <w:rsid w:val="00051D89"/>
    <w:rsid w:val="0005263B"/>
    <w:rsid w:val="000533C7"/>
    <w:rsid w:val="00053406"/>
    <w:rsid w:val="0005346D"/>
    <w:rsid w:val="00053D02"/>
    <w:rsid w:val="0005485B"/>
    <w:rsid w:val="0005489C"/>
    <w:rsid w:val="00054AF4"/>
    <w:rsid w:val="00054D32"/>
    <w:rsid w:val="00054F5E"/>
    <w:rsid w:val="000552B8"/>
    <w:rsid w:val="0005553B"/>
    <w:rsid w:val="0005573A"/>
    <w:rsid w:val="000559E4"/>
    <w:rsid w:val="00055E42"/>
    <w:rsid w:val="000566FE"/>
    <w:rsid w:val="00056CA7"/>
    <w:rsid w:val="00056D9F"/>
    <w:rsid w:val="00056FBE"/>
    <w:rsid w:val="000570DF"/>
    <w:rsid w:val="000571E4"/>
    <w:rsid w:val="00057EE3"/>
    <w:rsid w:val="00060330"/>
    <w:rsid w:val="0006163F"/>
    <w:rsid w:val="000620A6"/>
    <w:rsid w:val="00062112"/>
    <w:rsid w:val="00062A52"/>
    <w:rsid w:val="00063025"/>
    <w:rsid w:val="00063250"/>
    <w:rsid w:val="0006362D"/>
    <w:rsid w:val="00063640"/>
    <w:rsid w:val="000636C2"/>
    <w:rsid w:val="00063925"/>
    <w:rsid w:val="000639FF"/>
    <w:rsid w:val="00063BED"/>
    <w:rsid w:val="0006417C"/>
    <w:rsid w:val="00064C2E"/>
    <w:rsid w:val="00064F0A"/>
    <w:rsid w:val="00064F8E"/>
    <w:rsid w:val="000653D6"/>
    <w:rsid w:val="00065CBE"/>
    <w:rsid w:val="00066617"/>
    <w:rsid w:val="00066747"/>
    <w:rsid w:val="00066A44"/>
    <w:rsid w:val="00066CCB"/>
    <w:rsid w:val="00067666"/>
    <w:rsid w:val="00067739"/>
    <w:rsid w:val="00067E33"/>
    <w:rsid w:val="000702AA"/>
    <w:rsid w:val="00070831"/>
    <w:rsid w:val="00070C20"/>
    <w:rsid w:val="00070F2E"/>
    <w:rsid w:val="000710F4"/>
    <w:rsid w:val="00071E41"/>
    <w:rsid w:val="00072125"/>
    <w:rsid w:val="000722B4"/>
    <w:rsid w:val="000722E4"/>
    <w:rsid w:val="00072522"/>
    <w:rsid w:val="000729AB"/>
    <w:rsid w:val="00072EE5"/>
    <w:rsid w:val="0007308C"/>
    <w:rsid w:val="00073E4F"/>
    <w:rsid w:val="0007410F"/>
    <w:rsid w:val="00074601"/>
    <w:rsid w:val="00074EBD"/>
    <w:rsid w:val="0007507E"/>
    <w:rsid w:val="00075898"/>
    <w:rsid w:val="00075B53"/>
    <w:rsid w:val="00075FA4"/>
    <w:rsid w:val="00076B4F"/>
    <w:rsid w:val="00076C9E"/>
    <w:rsid w:val="00077301"/>
    <w:rsid w:val="00077A18"/>
    <w:rsid w:val="00080044"/>
    <w:rsid w:val="00080431"/>
    <w:rsid w:val="0008138D"/>
    <w:rsid w:val="00081874"/>
    <w:rsid w:val="0008199D"/>
    <w:rsid w:val="000819FF"/>
    <w:rsid w:val="00082E42"/>
    <w:rsid w:val="00082EFC"/>
    <w:rsid w:val="000831E4"/>
    <w:rsid w:val="00083505"/>
    <w:rsid w:val="00083E04"/>
    <w:rsid w:val="00084383"/>
    <w:rsid w:val="00084B96"/>
    <w:rsid w:val="00085004"/>
    <w:rsid w:val="000851FB"/>
    <w:rsid w:val="0008562E"/>
    <w:rsid w:val="00085A1E"/>
    <w:rsid w:val="00085B3C"/>
    <w:rsid w:val="00085E59"/>
    <w:rsid w:val="00085F66"/>
    <w:rsid w:val="0008624A"/>
    <w:rsid w:val="0008639B"/>
    <w:rsid w:val="00086B2E"/>
    <w:rsid w:val="000874A5"/>
    <w:rsid w:val="00087C05"/>
    <w:rsid w:val="00087E17"/>
    <w:rsid w:val="00087F05"/>
    <w:rsid w:val="00087F3F"/>
    <w:rsid w:val="00090FC1"/>
    <w:rsid w:val="00091017"/>
    <w:rsid w:val="00091499"/>
    <w:rsid w:val="000918B8"/>
    <w:rsid w:val="00092324"/>
    <w:rsid w:val="00092806"/>
    <w:rsid w:val="000929B0"/>
    <w:rsid w:val="00092A2A"/>
    <w:rsid w:val="0009375E"/>
    <w:rsid w:val="000938FF"/>
    <w:rsid w:val="00093C08"/>
    <w:rsid w:val="000940A1"/>
    <w:rsid w:val="000940B4"/>
    <w:rsid w:val="00094507"/>
    <w:rsid w:val="00094C90"/>
    <w:rsid w:val="00094F7E"/>
    <w:rsid w:val="0009588B"/>
    <w:rsid w:val="00095897"/>
    <w:rsid w:val="00095DCA"/>
    <w:rsid w:val="000963D8"/>
    <w:rsid w:val="00096675"/>
    <w:rsid w:val="00097312"/>
    <w:rsid w:val="00097400"/>
    <w:rsid w:val="00097702"/>
    <w:rsid w:val="00097A4F"/>
    <w:rsid w:val="00097C3A"/>
    <w:rsid w:val="000A0175"/>
    <w:rsid w:val="000A0566"/>
    <w:rsid w:val="000A0B9E"/>
    <w:rsid w:val="000A0DFD"/>
    <w:rsid w:val="000A12EE"/>
    <w:rsid w:val="000A16C6"/>
    <w:rsid w:val="000A1A7C"/>
    <w:rsid w:val="000A1AF5"/>
    <w:rsid w:val="000A1B3B"/>
    <w:rsid w:val="000A1FF8"/>
    <w:rsid w:val="000A21E1"/>
    <w:rsid w:val="000A2437"/>
    <w:rsid w:val="000A359D"/>
    <w:rsid w:val="000A3681"/>
    <w:rsid w:val="000A36C9"/>
    <w:rsid w:val="000A4295"/>
    <w:rsid w:val="000A4B79"/>
    <w:rsid w:val="000A555D"/>
    <w:rsid w:val="000A5DBA"/>
    <w:rsid w:val="000A5E4E"/>
    <w:rsid w:val="000A632B"/>
    <w:rsid w:val="000A6676"/>
    <w:rsid w:val="000A715B"/>
    <w:rsid w:val="000A74F4"/>
    <w:rsid w:val="000A75C4"/>
    <w:rsid w:val="000A767B"/>
    <w:rsid w:val="000A781B"/>
    <w:rsid w:val="000A7E4C"/>
    <w:rsid w:val="000A7EB7"/>
    <w:rsid w:val="000A7EB9"/>
    <w:rsid w:val="000B0433"/>
    <w:rsid w:val="000B0CB2"/>
    <w:rsid w:val="000B1247"/>
    <w:rsid w:val="000B1500"/>
    <w:rsid w:val="000B1BEC"/>
    <w:rsid w:val="000B1C60"/>
    <w:rsid w:val="000B2473"/>
    <w:rsid w:val="000B258E"/>
    <w:rsid w:val="000B298E"/>
    <w:rsid w:val="000B2AF4"/>
    <w:rsid w:val="000B3154"/>
    <w:rsid w:val="000B318E"/>
    <w:rsid w:val="000B3292"/>
    <w:rsid w:val="000B3593"/>
    <w:rsid w:val="000B39BE"/>
    <w:rsid w:val="000B3A1A"/>
    <w:rsid w:val="000B3C23"/>
    <w:rsid w:val="000B40BF"/>
    <w:rsid w:val="000B42BE"/>
    <w:rsid w:val="000B453F"/>
    <w:rsid w:val="000B4889"/>
    <w:rsid w:val="000B48E7"/>
    <w:rsid w:val="000B4A35"/>
    <w:rsid w:val="000B4CAA"/>
    <w:rsid w:val="000B523D"/>
    <w:rsid w:val="000B56DE"/>
    <w:rsid w:val="000B5732"/>
    <w:rsid w:val="000B5873"/>
    <w:rsid w:val="000B5CF7"/>
    <w:rsid w:val="000B5F2C"/>
    <w:rsid w:val="000B634A"/>
    <w:rsid w:val="000B6972"/>
    <w:rsid w:val="000B6D4A"/>
    <w:rsid w:val="000B7173"/>
    <w:rsid w:val="000B717F"/>
    <w:rsid w:val="000B71A7"/>
    <w:rsid w:val="000B7838"/>
    <w:rsid w:val="000B7D52"/>
    <w:rsid w:val="000C010E"/>
    <w:rsid w:val="000C0B2F"/>
    <w:rsid w:val="000C0EF9"/>
    <w:rsid w:val="000C1037"/>
    <w:rsid w:val="000C13D0"/>
    <w:rsid w:val="000C1536"/>
    <w:rsid w:val="000C1AFB"/>
    <w:rsid w:val="000C1E20"/>
    <w:rsid w:val="000C305C"/>
    <w:rsid w:val="000C32C3"/>
    <w:rsid w:val="000C37A6"/>
    <w:rsid w:val="000C3A6D"/>
    <w:rsid w:val="000C4E67"/>
    <w:rsid w:val="000C5177"/>
    <w:rsid w:val="000C5516"/>
    <w:rsid w:val="000C574E"/>
    <w:rsid w:val="000C6459"/>
    <w:rsid w:val="000C6F00"/>
    <w:rsid w:val="000C7215"/>
    <w:rsid w:val="000C779C"/>
    <w:rsid w:val="000C79EE"/>
    <w:rsid w:val="000C7B74"/>
    <w:rsid w:val="000C7DEE"/>
    <w:rsid w:val="000D0012"/>
    <w:rsid w:val="000D00F6"/>
    <w:rsid w:val="000D0E02"/>
    <w:rsid w:val="000D0F03"/>
    <w:rsid w:val="000D21DC"/>
    <w:rsid w:val="000D2B18"/>
    <w:rsid w:val="000D2DC7"/>
    <w:rsid w:val="000D2EC0"/>
    <w:rsid w:val="000D32B4"/>
    <w:rsid w:val="000D3F35"/>
    <w:rsid w:val="000D40CB"/>
    <w:rsid w:val="000D56B2"/>
    <w:rsid w:val="000D6BC9"/>
    <w:rsid w:val="000D6E9C"/>
    <w:rsid w:val="000D7101"/>
    <w:rsid w:val="000D7201"/>
    <w:rsid w:val="000D75A4"/>
    <w:rsid w:val="000D7882"/>
    <w:rsid w:val="000D7CF0"/>
    <w:rsid w:val="000D7EBE"/>
    <w:rsid w:val="000E09FE"/>
    <w:rsid w:val="000E0BAC"/>
    <w:rsid w:val="000E0BF0"/>
    <w:rsid w:val="000E0FCD"/>
    <w:rsid w:val="000E1912"/>
    <w:rsid w:val="000E2180"/>
    <w:rsid w:val="000E2BA4"/>
    <w:rsid w:val="000E2FA8"/>
    <w:rsid w:val="000E3082"/>
    <w:rsid w:val="000E349A"/>
    <w:rsid w:val="000E3656"/>
    <w:rsid w:val="000E367D"/>
    <w:rsid w:val="000E36C5"/>
    <w:rsid w:val="000E405D"/>
    <w:rsid w:val="000E4262"/>
    <w:rsid w:val="000E4577"/>
    <w:rsid w:val="000E4749"/>
    <w:rsid w:val="000E48CE"/>
    <w:rsid w:val="000E4965"/>
    <w:rsid w:val="000E5048"/>
    <w:rsid w:val="000E573B"/>
    <w:rsid w:val="000E6366"/>
    <w:rsid w:val="000E63D6"/>
    <w:rsid w:val="000E648B"/>
    <w:rsid w:val="000E64AE"/>
    <w:rsid w:val="000E6A6E"/>
    <w:rsid w:val="000E6D06"/>
    <w:rsid w:val="000E70EB"/>
    <w:rsid w:val="000E7F55"/>
    <w:rsid w:val="000F00D3"/>
    <w:rsid w:val="000F051E"/>
    <w:rsid w:val="000F060E"/>
    <w:rsid w:val="000F08BB"/>
    <w:rsid w:val="000F0B2F"/>
    <w:rsid w:val="000F0C45"/>
    <w:rsid w:val="000F1278"/>
    <w:rsid w:val="000F13CF"/>
    <w:rsid w:val="000F1597"/>
    <w:rsid w:val="000F160C"/>
    <w:rsid w:val="000F1CCA"/>
    <w:rsid w:val="000F1F8F"/>
    <w:rsid w:val="000F1FAF"/>
    <w:rsid w:val="000F2312"/>
    <w:rsid w:val="000F23DD"/>
    <w:rsid w:val="000F25B8"/>
    <w:rsid w:val="000F2D78"/>
    <w:rsid w:val="000F3F2B"/>
    <w:rsid w:val="000F4037"/>
    <w:rsid w:val="000F4C4F"/>
    <w:rsid w:val="000F5D26"/>
    <w:rsid w:val="000F7306"/>
    <w:rsid w:val="000F7689"/>
    <w:rsid w:val="000F76C0"/>
    <w:rsid w:val="000F7AB3"/>
    <w:rsid w:val="000F7CD9"/>
    <w:rsid w:val="000F7F33"/>
    <w:rsid w:val="00100721"/>
    <w:rsid w:val="00100E7D"/>
    <w:rsid w:val="001016A5"/>
    <w:rsid w:val="00101815"/>
    <w:rsid w:val="00101EFF"/>
    <w:rsid w:val="00102130"/>
    <w:rsid w:val="0010267B"/>
    <w:rsid w:val="00102846"/>
    <w:rsid w:val="001028D2"/>
    <w:rsid w:val="00102B5D"/>
    <w:rsid w:val="00102FC8"/>
    <w:rsid w:val="00103412"/>
    <w:rsid w:val="00103E11"/>
    <w:rsid w:val="00103F27"/>
    <w:rsid w:val="00104490"/>
    <w:rsid w:val="00104CC7"/>
    <w:rsid w:val="00105D39"/>
    <w:rsid w:val="00105F58"/>
    <w:rsid w:val="00105FD1"/>
    <w:rsid w:val="001061B9"/>
    <w:rsid w:val="00106AE3"/>
    <w:rsid w:val="0010701E"/>
    <w:rsid w:val="001071DB"/>
    <w:rsid w:val="00107283"/>
    <w:rsid w:val="00107341"/>
    <w:rsid w:val="00107DE7"/>
    <w:rsid w:val="0010BA3C"/>
    <w:rsid w:val="00110061"/>
    <w:rsid w:val="001103B2"/>
    <w:rsid w:val="001106D6"/>
    <w:rsid w:val="0011094D"/>
    <w:rsid w:val="0011114D"/>
    <w:rsid w:val="001117EE"/>
    <w:rsid w:val="0011187C"/>
    <w:rsid w:val="00111CEF"/>
    <w:rsid w:val="00112187"/>
    <w:rsid w:val="001121C1"/>
    <w:rsid w:val="0011223B"/>
    <w:rsid w:val="0011237C"/>
    <w:rsid w:val="00112CC3"/>
    <w:rsid w:val="00112F4C"/>
    <w:rsid w:val="00112FA2"/>
    <w:rsid w:val="00113060"/>
    <w:rsid w:val="00114167"/>
    <w:rsid w:val="00114180"/>
    <w:rsid w:val="001144EF"/>
    <w:rsid w:val="0011489F"/>
    <w:rsid w:val="00114A42"/>
    <w:rsid w:val="00114B3B"/>
    <w:rsid w:val="00115000"/>
    <w:rsid w:val="00115980"/>
    <w:rsid w:val="0011631F"/>
    <w:rsid w:val="00116D1D"/>
    <w:rsid w:val="0011760C"/>
    <w:rsid w:val="00117DD4"/>
    <w:rsid w:val="00117E1A"/>
    <w:rsid w:val="001205F2"/>
    <w:rsid w:val="00120ECF"/>
    <w:rsid w:val="00121043"/>
    <w:rsid w:val="001210A9"/>
    <w:rsid w:val="0012151B"/>
    <w:rsid w:val="00121C3F"/>
    <w:rsid w:val="00121F82"/>
    <w:rsid w:val="001220F6"/>
    <w:rsid w:val="001226B8"/>
    <w:rsid w:val="00122756"/>
    <w:rsid w:val="001227A3"/>
    <w:rsid w:val="001231C8"/>
    <w:rsid w:val="00123A7B"/>
    <w:rsid w:val="00123ABC"/>
    <w:rsid w:val="00124051"/>
    <w:rsid w:val="0012463A"/>
    <w:rsid w:val="0012470D"/>
    <w:rsid w:val="00124F25"/>
    <w:rsid w:val="0012513F"/>
    <w:rsid w:val="00125844"/>
    <w:rsid w:val="00126110"/>
    <w:rsid w:val="00126F2A"/>
    <w:rsid w:val="0012726A"/>
    <w:rsid w:val="0012797F"/>
    <w:rsid w:val="00127F3F"/>
    <w:rsid w:val="00130769"/>
    <w:rsid w:val="00130BF2"/>
    <w:rsid w:val="00130F8E"/>
    <w:rsid w:val="00131718"/>
    <w:rsid w:val="00131D68"/>
    <w:rsid w:val="001322B3"/>
    <w:rsid w:val="001324A6"/>
    <w:rsid w:val="00132586"/>
    <w:rsid w:val="0013345B"/>
    <w:rsid w:val="00133656"/>
    <w:rsid w:val="00133D0F"/>
    <w:rsid w:val="00134439"/>
    <w:rsid w:val="00134931"/>
    <w:rsid w:val="0013536C"/>
    <w:rsid w:val="00135C58"/>
    <w:rsid w:val="0013685F"/>
    <w:rsid w:val="001373DB"/>
    <w:rsid w:val="001376F7"/>
    <w:rsid w:val="00137A92"/>
    <w:rsid w:val="00137F08"/>
    <w:rsid w:val="00137FAC"/>
    <w:rsid w:val="00140325"/>
    <w:rsid w:val="0014041C"/>
    <w:rsid w:val="0014100A"/>
    <w:rsid w:val="00141A86"/>
    <w:rsid w:val="00141B22"/>
    <w:rsid w:val="00141E57"/>
    <w:rsid w:val="001429B7"/>
    <w:rsid w:val="00142C93"/>
    <w:rsid w:val="001430C9"/>
    <w:rsid w:val="001430FD"/>
    <w:rsid w:val="00143233"/>
    <w:rsid w:val="00143720"/>
    <w:rsid w:val="00143A53"/>
    <w:rsid w:val="001440AE"/>
    <w:rsid w:val="001441EC"/>
    <w:rsid w:val="00144206"/>
    <w:rsid w:val="00144272"/>
    <w:rsid w:val="00144428"/>
    <w:rsid w:val="00144A5A"/>
    <w:rsid w:val="0014516C"/>
    <w:rsid w:val="00146A34"/>
    <w:rsid w:val="001478DA"/>
    <w:rsid w:val="00147BFE"/>
    <w:rsid w:val="00150012"/>
    <w:rsid w:val="001509DA"/>
    <w:rsid w:val="0015148B"/>
    <w:rsid w:val="00151523"/>
    <w:rsid w:val="0015171D"/>
    <w:rsid w:val="0015172C"/>
    <w:rsid w:val="00151ADF"/>
    <w:rsid w:val="00151FDC"/>
    <w:rsid w:val="0015229E"/>
    <w:rsid w:val="00152673"/>
    <w:rsid w:val="001533E8"/>
    <w:rsid w:val="00153A3D"/>
    <w:rsid w:val="00153F23"/>
    <w:rsid w:val="00154147"/>
    <w:rsid w:val="001544E0"/>
    <w:rsid w:val="0015482B"/>
    <w:rsid w:val="00154B37"/>
    <w:rsid w:val="00154C32"/>
    <w:rsid w:val="001553EA"/>
    <w:rsid w:val="001554C2"/>
    <w:rsid w:val="00155A51"/>
    <w:rsid w:val="001566D2"/>
    <w:rsid w:val="00156AFE"/>
    <w:rsid w:val="00156BDF"/>
    <w:rsid w:val="0015722B"/>
    <w:rsid w:val="001574E1"/>
    <w:rsid w:val="00157B02"/>
    <w:rsid w:val="00157EC5"/>
    <w:rsid w:val="001606AE"/>
    <w:rsid w:val="0016095B"/>
    <w:rsid w:val="00160A66"/>
    <w:rsid w:val="00160AFB"/>
    <w:rsid w:val="00161985"/>
    <w:rsid w:val="00162040"/>
    <w:rsid w:val="001621F0"/>
    <w:rsid w:val="0016303B"/>
    <w:rsid w:val="0016311F"/>
    <w:rsid w:val="00163B4A"/>
    <w:rsid w:val="001643CC"/>
    <w:rsid w:val="00164B95"/>
    <w:rsid w:val="00164EEA"/>
    <w:rsid w:val="00165408"/>
    <w:rsid w:val="00165675"/>
    <w:rsid w:val="00165F5F"/>
    <w:rsid w:val="0016615D"/>
    <w:rsid w:val="00166BE4"/>
    <w:rsid w:val="00166C55"/>
    <w:rsid w:val="00166D80"/>
    <w:rsid w:val="00167297"/>
    <w:rsid w:val="0016742E"/>
    <w:rsid w:val="00167469"/>
    <w:rsid w:val="001674BE"/>
    <w:rsid w:val="00167766"/>
    <w:rsid w:val="00170493"/>
    <w:rsid w:val="00170661"/>
    <w:rsid w:val="00170BE3"/>
    <w:rsid w:val="00170EF2"/>
    <w:rsid w:val="00170FDF"/>
    <w:rsid w:val="00171339"/>
    <w:rsid w:val="001715FB"/>
    <w:rsid w:val="00171983"/>
    <w:rsid w:val="001722C4"/>
    <w:rsid w:val="001724E5"/>
    <w:rsid w:val="0017275F"/>
    <w:rsid w:val="00172832"/>
    <w:rsid w:val="00172AA4"/>
    <w:rsid w:val="00172CF2"/>
    <w:rsid w:val="00172E1B"/>
    <w:rsid w:val="00173E76"/>
    <w:rsid w:val="00173FFF"/>
    <w:rsid w:val="0017418A"/>
    <w:rsid w:val="00174674"/>
    <w:rsid w:val="00174848"/>
    <w:rsid w:val="0017596D"/>
    <w:rsid w:val="00175D7D"/>
    <w:rsid w:val="0017655C"/>
    <w:rsid w:val="00176BFD"/>
    <w:rsid w:val="00177030"/>
    <w:rsid w:val="00177980"/>
    <w:rsid w:val="00177D5C"/>
    <w:rsid w:val="00177F6D"/>
    <w:rsid w:val="00180829"/>
    <w:rsid w:val="00180B2F"/>
    <w:rsid w:val="001828C6"/>
    <w:rsid w:val="00182A83"/>
    <w:rsid w:val="00182CD9"/>
    <w:rsid w:val="001831C5"/>
    <w:rsid w:val="00183F88"/>
    <w:rsid w:val="00184A1F"/>
    <w:rsid w:val="00184BE3"/>
    <w:rsid w:val="00184CD5"/>
    <w:rsid w:val="00184E2D"/>
    <w:rsid w:val="00184F10"/>
    <w:rsid w:val="00184FB0"/>
    <w:rsid w:val="00185154"/>
    <w:rsid w:val="00185158"/>
    <w:rsid w:val="001854A8"/>
    <w:rsid w:val="001858A4"/>
    <w:rsid w:val="001859A7"/>
    <w:rsid w:val="00185B37"/>
    <w:rsid w:val="00185E3E"/>
    <w:rsid w:val="00185F64"/>
    <w:rsid w:val="001875F5"/>
    <w:rsid w:val="00187B35"/>
    <w:rsid w:val="00187ECB"/>
    <w:rsid w:val="00187F04"/>
    <w:rsid w:val="00190C18"/>
    <w:rsid w:val="00191230"/>
    <w:rsid w:val="00191263"/>
    <w:rsid w:val="00191430"/>
    <w:rsid w:val="001914E6"/>
    <w:rsid w:val="00191A26"/>
    <w:rsid w:val="00191CCE"/>
    <w:rsid w:val="001921F0"/>
    <w:rsid w:val="0019244A"/>
    <w:rsid w:val="00192572"/>
    <w:rsid w:val="00192FB6"/>
    <w:rsid w:val="001931A5"/>
    <w:rsid w:val="00193BCC"/>
    <w:rsid w:val="001945D4"/>
    <w:rsid w:val="00194DC6"/>
    <w:rsid w:val="00194EBF"/>
    <w:rsid w:val="00194F5F"/>
    <w:rsid w:val="001950A8"/>
    <w:rsid w:val="001952A5"/>
    <w:rsid w:val="001959FD"/>
    <w:rsid w:val="00195A52"/>
    <w:rsid w:val="00195A68"/>
    <w:rsid w:val="00195FA8"/>
    <w:rsid w:val="001961E5"/>
    <w:rsid w:val="00196DCF"/>
    <w:rsid w:val="00197765"/>
    <w:rsid w:val="001A0835"/>
    <w:rsid w:val="001A0D08"/>
    <w:rsid w:val="001A1314"/>
    <w:rsid w:val="001A1378"/>
    <w:rsid w:val="001A2010"/>
    <w:rsid w:val="001A2E1E"/>
    <w:rsid w:val="001A3128"/>
    <w:rsid w:val="001A33CB"/>
    <w:rsid w:val="001A3668"/>
    <w:rsid w:val="001A4498"/>
    <w:rsid w:val="001A452D"/>
    <w:rsid w:val="001A46CC"/>
    <w:rsid w:val="001A495B"/>
    <w:rsid w:val="001A4E3A"/>
    <w:rsid w:val="001A5109"/>
    <w:rsid w:val="001A51AC"/>
    <w:rsid w:val="001A5E4F"/>
    <w:rsid w:val="001A60A6"/>
    <w:rsid w:val="001A6C40"/>
    <w:rsid w:val="001A6E95"/>
    <w:rsid w:val="001A7130"/>
    <w:rsid w:val="001A7230"/>
    <w:rsid w:val="001A7265"/>
    <w:rsid w:val="001A7577"/>
    <w:rsid w:val="001A7894"/>
    <w:rsid w:val="001A79FB"/>
    <w:rsid w:val="001B0764"/>
    <w:rsid w:val="001B09FF"/>
    <w:rsid w:val="001B0C35"/>
    <w:rsid w:val="001B128E"/>
    <w:rsid w:val="001B1467"/>
    <w:rsid w:val="001B1A02"/>
    <w:rsid w:val="001B1B66"/>
    <w:rsid w:val="001B1CB4"/>
    <w:rsid w:val="001B1E94"/>
    <w:rsid w:val="001B2031"/>
    <w:rsid w:val="001B2A02"/>
    <w:rsid w:val="001B2CD2"/>
    <w:rsid w:val="001B2CEA"/>
    <w:rsid w:val="001B2D1D"/>
    <w:rsid w:val="001B30F0"/>
    <w:rsid w:val="001B37AE"/>
    <w:rsid w:val="001B3AFB"/>
    <w:rsid w:val="001B4410"/>
    <w:rsid w:val="001B481E"/>
    <w:rsid w:val="001B4D8C"/>
    <w:rsid w:val="001B5764"/>
    <w:rsid w:val="001B5B89"/>
    <w:rsid w:val="001B6103"/>
    <w:rsid w:val="001B63D2"/>
    <w:rsid w:val="001B6860"/>
    <w:rsid w:val="001B6FFE"/>
    <w:rsid w:val="001B70ED"/>
    <w:rsid w:val="001B7D28"/>
    <w:rsid w:val="001B7E96"/>
    <w:rsid w:val="001B7F39"/>
    <w:rsid w:val="001C0036"/>
    <w:rsid w:val="001C019D"/>
    <w:rsid w:val="001C03A0"/>
    <w:rsid w:val="001C06A8"/>
    <w:rsid w:val="001C093C"/>
    <w:rsid w:val="001C095F"/>
    <w:rsid w:val="001C18F1"/>
    <w:rsid w:val="001C21FF"/>
    <w:rsid w:val="001C252B"/>
    <w:rsid w:val="001C2EC1"/>
    <w:rsid w:val="001C348B"/>
    <w:rsid w:val="001C3639"/>
    <w:rsid w:val="001C3CF0"/>
    <w:rsid w:val="001C4DD1"/>
    <w:rsid w:val="001C50B1"/>
    <w:rsid w:val="001C5208"/>
    <w:rsid w:val="001C543C"/>
    <w:rsid w:val="001C557F"/>
    <w:rsid w:val="001C5597"/>
    <w:rsid w:val="001C57D8"/>
    <w:rsid w:val="001C5E87"/>
    <w:rsid w:val="001C6182"/>
    <w:rsid w:val="001C6CCE"/>
    <w:rsid w:val="001C6D10"/>
    <w:rsid w:val="001C7162"/>
    <w:rsid w:val="001C7802"/>
    <w:rsid w:val="001C7D0C"/>
    <w:rsid w:val="001D01D8"/>
    <w:rsid w:val="001D0C4F"/>
    <w:rsid w:val="001D14C1"/>
    <w:rsid w:val="001D2981"/>
    <w:rsid w:val="001D29E2"/>
    <w:rsid w:val="001D2CEA"/>
    <w:rsid w:val="001D39B3"/>
    <w:rsid w:val="001D39CB"/>
    <w:rsid w:val="001D3CA9"/>
    <w:rsid w:val="001D3E42"/>
    <w:rsid w:val="001D4083"/>
    <w:rsid w:val="001D548B"/>
    <w:rsid w:val="001D54DB"/>
    <w:rsid w:val="001D5609"/>
    <w:rsid w:val="001D5B15"/>
    <w:rsid w:val="001D6008"/>
    <w:rsid w:val="001D6BF0"/>
    <w:rsid w:val="001D6CD5"/>
    <w:rsid w:val="001D6E08"/>
    <w:rsid w:val="001D6E30"/>
    <w:rsid w:val="001D6EEF"/>
    <w:rsid w:val="001D7108"/>
    <w:rsid w:val="001D723F"/>
    <w:rsid w:val="001D7696"/>
    <w:rsid w:val="001D79A6"/>
    <w:rsid w:val="001E05F8"/>
    <w:rsid w:val="001E0721"/>
    <w:rsid w:val="001E097F"/>
    <w:rsid w:val="001E1050"/>
    <w:rsid w:val="001E1138"/>
    <w:rsid w:val="001E13BE"/>
    <w:rsid w:val="001E142E"/>
    <w:rsid w:val="001E1596"/>
    <w:rsid w:val="001E1665"/>
    <w:rsid w:val="001E1D3C"/>
    <w:rsid w:val="001E2084"/>
    <w:rsid w:val="001E25CA"/>
    <w:rsid w:val="001E341B"/>
    <w:rsid w:val="001E3453"/>
    <w:rsid w:val="001E3478"/>
    <w:rsid w:val="001E34F2"/>
    <w:rsid w:val="001E3507"/>
    <w:rsid w:val="001E368D"/>
    <w:rsid w:val="001E38F0"/>
    <w:rsid w:val="001E3910"/>
    <w:rsid w:val="001E3979"/>
    <w:rsid w:val="001E4164"/>
    <w:rsid w:val="001E425F"/>
    <w:rsid w:val="001E4A25"/>
    <w:rsid w:val="001E4A40"/>
    <w:rsid w:val="001E4A65"/>
    <w:rsid w:val="001E5AC3"/>
    <w:rsid w:val="001E5EEF"/>
    <w:rsid w:val="001E7017"/>
    <w:rsid w:val="001E7EB9"/>
    <w:rsid w:val="001F05DB"/>
    <w:rsid w:val="001F0B58"/>
    <w:rsid w:val="001F0BDC"/>
    <w:rsid w:val="001F0F19"/>
    <w:rsid w:val="001F11AD"/>
    <w:rsid w:val="001F1397"/>
    <w:rsid w:val="001F14B2"/>
    <w:rsid w:val="001F1E0B"/>
    <w:rsid w:val="001F2585"/>
    <w:rsid w:val="001F27E4"/>
    <w:rsid w:val="001F3486"/>
    <w:rsid w:val="001F3CEF"/>
    <w:rsid w:val="001F40E0"/>
    <w:rsid w:val="001F4897"/>
    <w:rsid w:val="001F519C"/>
    <w:rsid w:val="001F52FC"/>
    <w:rsid w:val="001F558F"/>
    <w:rsid w:val="001F58EC"/>
    <w:rsid w:val="001F59E0"/>
    <w:rsid w:val="001F5A3B"/>
    <w:rsid w:val="001F5AA5"/>
    <w:rsid w:val="001F6133"/>
    <w:rsid w:val="001F67C2"/>
    <w:rsid w:val="001F701D"/>
    <w:rsid w:val="001F7305"/>
    <w:rsid w:val="001F75E6"/>
    <w:rsid w:val="001F7CB6"/>
    <w:rsid w:val="001F7D2A"/>
    <w:rsid w:val="001F7D81"/>
    <w:rsid w:val="00200459"/>
    <w:rsid w:val="00200599"/>
    <w:rsid w:val="00200E14"/>
    <w:rsid w:val="00200F0D"/>
    <w:rsid w:val="0020155C"/>
    <w:rsid w:val="0020178D"/>
    <w:rsid w:val="00201CC4"/>
    <w:rsid w:val="00201EB1"/>
    <w:rsid w:val="0020291E"/>
    <w:rsid w:val="0020334F"/>
    <w:rsid w:val="0020395D"/>
    <w:rsid w:val="0020410D"/>
    <w:rsid w:val="0020440E"/>
    <w:rsid w:val="00204C4E"/>
    <w:rsid w:val="00204D6C"/>
    <w:rsid w:val="0020558E"/>
    <w:rsid w:val="002056A4"/>
    <w:rsid w:val="00205757"/>
    <w:rsid w:val="00205FB2"/>
    <w:rsid w:val="00206067"/>
    <w:rsid w:val="0020628E"/>
    <w:rsid w:val="00206A0B"/>
    <w:rsid w:val="00206C1F"/>
    <w:rsid w:val="00206C82"/>
    <w:rsid w:val="0020752B"/>
    <w:rsid w:val="00207A17"/>
    <w:rsid w:val="002101F2"/>
    <w:rsid w:val="0021022D"/>
    <w:rsid w:val="002105D0"/>
    <w:rsid w:val="0021063F"/>
    <w:rsid w:val="00211FB1"/>
    <w:rsid w:val="002125A7"/>
    <w:rsid w:val="00212738"/>
    <w:rsid w:val="00212849"/>
    <w:rsid w:val="00213494"/>
    <w:rsid w:val="002136EC"/>
    <w:rsid w:val="00213918"/>
    <w:rsid w:val="0021418F"/>
    <w:rsid w:val="002147EF"/>
    <w:rsid w:val="00215480"/>
    <w:rsid w:val="002158C9"/>
    <w:rsid w:val="0021629D"/>
    <w:rsid w:val="0021644E"/>
    <w:rsid w:val="00217311"/>
    <w:rsid w:val="0021775D"/>
    <w:rsid w:val="00217BF5"/>
    <w:rsid w:val="002201AE"/>
    <w:rsid w:val="00220409"/>
    <w:rsid w:val="00220657"/>
    <w:rsid w:val="00220F02"/>
    <w:rsid w:val="00220F72"/>
    <w:rsid w:val="00221045"/>
    <w:rsid w:val="002213F6"/>
    <w:rsid w:val="0022191B"/>
    <w:rsid w:val="00223124"/>
    <w:rsid w:val="00223541"/>
    <w:rsid w:val="00223884"/>
    <w:rsid w:val="0022400F"/>
    <w:rsid w:val="0022438A"/>
    <w:rsid w:val="00224A45"/>
    <w:rsid w:val="00224CFE"/>
    <w:rsid w:val="00224EC0"/>
    <w:rsid w:val="0022518E"/>
    <w:rsid w:val="00225478"/>
    <w:rsid w:val="00225E66"/>
    <w:rsid w:val="002262E0"/>
    <w:rsid w:val="002272D0"/>
    <w:rsid w:val="002275B0"/>
    <w:rsid w:val="00227B41"/>
    <w:rsid w:val="00227D0D"/>
    <w:rsid w:val="00227E66"/>
    <w:rsid w:val="002303DA"/>
    <w:rsid w:val="0023040C"/>
    <w:rsid w:val="00230FC8"/>
    <w:rsid w:val="002310A6"/>
    <w:rsid w:val="0023172B"/>
    <w:rsid w:val="00231787"/>
    <w:rsid w:val="00231840"/>
    <w:rsid w:val="00231BA3"/>
    <w:rsid w:val="00231BFB"/>
    <w:rsid w:val="0023278C"/>
    <w:rsid w:val="00232E49"/>
    <w:rsid w:val="00233234"/>
    <w:rsid w:val="0023328A"/>
    <w:rsid w:val="002333C7"/>
    <w:rsid w:val="0023344C"/>
    <w:rsid w:val="00233861"/>
    <w:rsid w:val="00233D90"/>
    <w:rsid w:val="00233EC1"/>
    <w:rsid w:val="0023404E"/>
    <w:rsid w:val="002344BC"/>
    <w:rsid w:val="00234C6D"/>
    <w:rsid w:val="00234EB7"/>
    <w:rsid w:val="002359CD"/>
    <w:rsid w:val="00235E60"/>
    <w:rsid w:val="00236B27"/>
    <w:rsid w:val="002372FA"/>
    <w:rsid w:val="0023731D"/>
    <w:rsid w:val="002373E8"/>
    <w:rsid w:val="00237A41"/>
    <w:rsid w:val="00237CC0"/>
    <w:rsid w:val="00237E87"/>
    <w:rsid w:val="0024004E"/>
    <w:rsid w:val="00240706"/>
    <w:rsid w:val="0024077C"/>
    <w:rsid w:val="002407A2"/>
    <w:rsid w:val="00240BAA"/>
    <w:rsid w:val="002417F8"/>
    <w:rsid w:val="002423DF"/>
    <w:rsid w:val="002430C6"/>
    <w:rsid w:val="00243D74"/>
    <w:rsid w:val="00244181"/>
    <w:rsid w:val="00244491"/>
    <w:rsid w:val="002445BD"/>
    <w:rsid w:val="00244839"/>
    <w:rsid w:val="00244AC9"/>
    <w:rsid w:val="00244EB7"/>
    <w:rsid w:val="00244FED"/>
    <w:rsid w:val="00245049"/>
    <w:rsid w:val="002454A1"/>
    <w:rsid w:val="00245D56"/>
    <w:rsid w:val="0024604B"/>
    <w:rsid w:val="002464D9"/>
    <w:rsid w:val="00246A17"/>
    <w:rsid w:val="00246D2D"/>
    <w:rsid w:val="00246E2E"/>
    <w:rsid w:val="00247AC2"/>
    <w:rsid w:val="00250005"/>
    <w:rsid w:val="002506DD"/>
    <w:rsid w:val="002506E7"/>
    <w:rsid w:val="002508B6"/>
    <w:rsid w:val="00250A33"/>
    <w:rsid w:val="00250AF5"/>
    <w:rsid w:val="00251670"/>
    <w:rsid w:val="00251876"/>
    <w:rsid w:val="00251984"/>
    <w:rsid w:val="00251BCB"/>
    <w:rsid w:val="00251F8F"/>
    <w:rsid w:val="00252713"/>
    <w:rsid w:val="002529AA"/>
    <w:rsid w:val="0025310D"/>
    <w:rsid w:val="0025333F"/>
    <w:rsid w:val="002536A8"/>
    <w:rsid w:val="0025370F"/>
    <w:rsid w:val="00253947"/>
    <w:rsid w:val="00254854"/>
    <w:rsid w:val="00254869"/>
    <w:rsid w:val="00254AFD"/>
    <w:rsid w:val="00254BD6"/>
    <w:rsid w:val="00254E87"/>
    <w:rsid w:val="0025518B"/>
    <w:rsid w:val="0025524B"/>
    <w:rsid w:val="0025610D"/>
    <w:rsid w:val="00256508"/>
    <w:rsid w:val="0025651C"/>
    <w:rsid w:val="0025664E"/>
    <w:rsid w:val="002569CF"/>
    <w:rsid w:val="002575C8"/>
    <w:rsid w:val="00257DD9"/>
    <w:rsid w:val="00260274"/>
    <w:rsid w:val="00260BC2"/>
    <w:rsid w:val="00261C6A"/>
    <w:rsid w:val="00262199"/>
    <w:rsid w:val="0026269B"/>
    <w:rsid w:val="00263101"/>
    <w:rsid w:val="002644B8"/>
    <w:rsid w:val="00264FB3"/>
    <w:rsid w:val="00265299"/>
    <w:rsid w:val="0026588D"/>
    <w:rsid w:val="002658A9"/>
    <w:rsid w:val="00265A72"/>
    <w:rsid w:val="002660A0"/>
    <w:rsid w:val="002663E5"/>
    <w:rsid w:val="0026666F"/>
    <w:rsid w:val="0026677F"/>
    <w:rsid w:val="00267207"/>
    <w:rsid w:val="00267355"/>
    <w:rsid w:val="00267F8B"/>
    <w:rsid w:val="00270787"/>
    <w:rsid w:val="00270921"/>
    <w:rsid w:val="00270963"/>
    <w:rsid w:val="00271132"/>
    <w:rsid w:val="00271708"/>
    <w:rsid w:val="00271950"/>
    <w:rsid w:val="00271F19"/>
    <w:rsid w:val="0027270C"/>
    <w:rsid w:val="002730E7"/>
    <w:rsid w:val="00273101"/>
    <w:rsid w:val="00273706"/>
    <w:rsid w:val="00273D6D"/>
    <w:rsid w:val="00274143"/>
    <w:rsid w:val="00274151"/>
    <w:rsid w:val="00274537"/>
    <w:rsid w:val="00274A3A"/>
    <w:rsid w:val="002752E6"/>
    <w:rsid w:val="00275502"/>
    <w:rsid w:val="00275675"/>
    <w:rsid w:val="00275CF2"/>
    <w:rsid w:val="0027667F"/>
    <w:rsid w:val="00276A06"/>
    <w:rsid w:val="00276D84"/>
    <w:rsid w:val="002810BB"/>
    <w:rsid w:val="00281548"/>
    <w:rsid w:val="00281D1E"/>
    <w:rsid w:val="002820C3"/>
    <w:rsid w:val="0028222F"/>
    <w:rsid w:val="00282368"/>
    <w:rsid w:val="002828B2"/>
    <w:rsid w:val="00282EC7"/>
    <w:rsid w:val="002834C4"/>
    <w:rsid w:val="00283B2E"/>
    <w:rsid w:val="00284C88"/>
    <w:rsid w:val="0028506E"/>
    <w:rsid w:val="00285735"/>
    <w:rsid w:val="002857ED"/>
    <w:rsid w:val="0028600F"/>
    <w:rsid w:val="0028601F"/>
    <w:rsid w:val="00287873"/>
    <w:rsid w:val="00287A57"/>
    <w:rsid w:val="00290236"/>
    <w:rsid w:val="002905A5"/>
    <w:rsid w:val="0029104B"/>
    <w:rsid w:val="002918C7"/>
    <w:rsid w:val="00291D0D"/>
    <w:rsid w:val="002920CE"/>
    <w:rsid w:val="0029219F"/>
    <w:rsid w:val="002924CA"/>
    <w:rsid w:val="00292B61"/>
    <w:rsid w:val="00292CC0"/>
    <w:rsid w:val="00293C5E"/>
    <w:rsid w:val="00293DF4"/>
    <w:rsid w:val="0029407C"/>
    <w:rsid w:val="002942F0"/>
    <w:rsid w:val="0029507C"/>
    <w:rsid w:val="0029512F"/>
    <w:rsid w:val="00295280"/>
    <w:rsid w:val="00295C5A"/>
    <w:rsid w:val="00296264"/>
    <w:rsid w:val="00296A7F"/>
    <w:rsid w:val="0029708B"/>
    <w:rsid w:val="00297CF1"/>
    <w:rsid w:val="00297D80"/>
    <w:rsid w:val="00297F85"/>
    <w:rsid w:val="002A042C"/>
    <w:rsid w:val="002A09BA"/>
    <w:rsid w:val="002A0EDC"/>
    <w:rsid w:val="002A1353"/>
    <w:rsid w:val="002A19F0"/>
    <w:rsid w:val="002A2B3A"/>
    <w:rsid w:val="002A2D3E"/>
    <w:rsid w:val="002A2E4E"/>
    <w:rsid w:val="002A39E5"/>
    <w:rsid w:val="002A4B22"/>
    <w:rsid w:val="002A4BAD"/>
    <w:rsid w:val="002A5123"/>
    <w:rsid w:val="002A55FB"/>
    <w:rsid w:val="002A5656"/>
    <w:rsid w:val="002A63B0"/>
    <w:rsid w:val="002A680F"/>
    <w:rsid w:val="002A6913"/>
    <w:rsid w:val="002A7484"/>
    <w:rsid w:val="002A783D"/>
    <w:rsid w:val="002A7D03"/>
    <w:rsid w:val="002A7FB4"/>
    <w:rsid w:val="002B02E8"/>
    <w:rsid w:val="002B0A88"/>
    <w:rsid w:val="002B1679"/>
    <w:rsid w:val="002B1BB5"/>
    <w:rsid w:val="002B1E15"/>
    <w:rsid w:val="002B25A2"/>
    <w:rsid w:val="002B25DB"/>
    <w:rsid w:val="002B26A2"/>
    <w:rsid w:val="002B2B24"/>
    <w:rsid w:val="002B2CC3"/>
    <w:rsid w:val="002B3577"/>
    <w:rsid w:val="002B3923"/>
    <w:rsid w:val="002B3A73"/>
    <w:rsid w:val="002B3C48"/>
    <w:rsid w:val="002B421E"/>
    <w:rsid w:val="002B43BB"/>
    <w:rsid w:val="002B47FB"/>
    <w:rsid w:val="002B4E40"/>
    <w:rsid w:val="002B54BF"/>
    <w:rsid w:val="002B5645"/>
    <w:rsid w:val="002B596B"/>
    <w:rsid w:val="002B59E5"/>
    <w:rsid w:val="002B68BC"/>
    <w:rsid w:val="002B7453"/>
    <w:rsid w:val="002B7489"/>
    <w:rsid w:val="002B750A"/>
    <w:rsid w:val="002B7716"/>
    <w:rsid w:val="002B7901"/>
    <w:rsid w:val="002B7BA7"/>
    <w:rsid w:val="002B7FAC"/>
    <w:rsid w:val="002C00C5"/>
    <w:rsid w:val="002C1050"/>
    <w:rsid w:val="002C1374"/>
    <w:rsid w:val="002C1604"/>
    <w:rsid w:val="002C1DDB"/>
    <w:rsid w:val="002C1F4A"/>
    <w:rsid w:val="002C241D"/>
    <w:rsid w:val="002C2CE5"/>
    <w:rsid w:val="002C3578"/>
    <w:rsid w:val="002C3808"/>
    <w:rsid w:val="002C3C6B"/>
    <w:rsid w:val="002C3FEA"/>
    <w:rsid w:val="002C449C"/>
    <w:rsid w:val="002C4D30"/>
    <w:rsid w:val="002C505B"/>
    <w:rsid w:val="002C58DB"/>
    <w:rsid w:val="002C70EF"/>
    <w:rsid w:val="002C73BD"/>
    <w:rsid w:val="002C79B5"/>
    <w:rsid w:val="002C7A88"/>
    <w:rsid w:val="002C7C65"/>
    <w:rsid w:val="002D10F3"/>
    <w:rsid w:val="002D1462"/>
    <w:rsid w:val="002D2413"/>
    <w:rsid w:val="002D2869"/>
    <w:rsid w:val="002D287E"/>
    <w:rsid w:val="002D2AAE"/>
    <w:rsid w:val="002D3194"/>
    <w:rsid w:val="002D3331"/>
    <w:rsid w:val="002D431F"/>
    <w:rsid w:val="002D4541"/>
    <w:rsid w:val="002D49D2"/>
    <w:rsid w:val="002D4FFB"/>
    <w:rsid w:val="002D51B0"/>
    <w:rsid w:val="002D5428"/>
    <w:rsid w:val="002D5824"/>
    <w:rsid w:val="002D588C"/>
    <w:rsid w:val="002D61A6"/>
    <w:rsid w:val="002D62DC"/>
    <w:rsid w:val="002D6381"/>
    <w:rsid w:val="002D677F"/>
    <w:rsid w:val="002D6DCD"/>
    <w:rsid w:val="002D6E0C"/>
    <w:rsid w:val="002D7A2F"/>
    <w:rsid w:val="002E01A3"/>
    <w:rsid w:val="002E03FE"/>
    <w:rsid w:val="002E077F"/>
    <w:rsid w:val="002E0798"/>
    <w:rsid w:val="002E1D5B"/>
    <w:rsid w:val="002E2037"/>
    <w:rsid w:val="002E263D"/>
    <w:rsid w:val="002E2BE3"/>
    <w:rsid w:val="002E2E59"/>
    <w:rsid w:val="002E30E4"/>
    <w:rsid w:val="002E3653"/>
    <w:rsid w:val="002E36F4"/>
    <w:rsid w:val="002E489E"/>
    <w:rsid w:val="002E5445"/>
    <w:rsid w:val="002E58C9"/>
    <w:rsid w:val="002E58EC"/>
    <w:rsid w:val="002E59CC"/>
    <w:rsid w:val="002E5D2F"/>
    <w:rsid w:val="002E5D55"/>
    <w:rsid w:val="002E6091"/>
    <w:rsid w:val="002E683C"/>
    <w:rsid w:val="002E7613"/>
    <w:rsid w:val="002E78F9"/>
    <w:rsid w:val="002E7CA6"/>
    <w:rsid w:val="002F0277"/>
    <w:rsid w:val="002F037E"/>
    <w:rsid w:val="002F0571"/>
    <w:rsid w:val="002F067F"/>
    <w:rsid w:val="002F0789"/>
    <w:rsid w:val="002F0912"/>
    <w:rsid w:val="002F09CD"/>
    <w:rsid w:val="002F0D7F"/>
    <w:rsid w:val="002F1702"/>
    <w:rsid w:val="002F2C21"/>
    <w:rsid w:val="002F30F1"/>
    <w:rsid w:val="002F310D"/>
    <w:rsid w:val="002F3352"/>
    <w:rsid w:val="002F377A"/>
    <w:rsid w:val="002F3782"/>
    <w:rsid w:val="002F3935"/>
    <w:rsid w:val="002F3B56"/>
    <w:rsid w:val="002F3C1E"/>
    <w:rsid w:val="002F4B90"/>
    <w:rsid w:val="002F5222"/>
    <w:rsid w:val="002F556D"/>
    <w:rsid w:val="002F57E9"/>
    <w:rsid w:val="002F58F5"/>
    <w:rsid w:val="002F6044"/>
    <w:rsid w:val="002F60F9"/>
    <w:rsid w:val="002F624A"/>
    <w:rsid w:val="002F65CE"/>
    <w:rsid w:val="002F6C61"/>
    <w:rsid w:val="002F75A5"/>
    <w:rsid w:val="002F77BF"/>
    <w:rsid w:val="002F7D0E"/>
    <w:rsid w:val="003000AA"/>
    <w:rsid w:val="00300310"/>
    <w:rsid w:val="00300630"/>
    <w:rsid w:val="00300828"/>
    <w:rsid w:val="00300B60"/>
    <w:rsid w:val="00300E10"/>
    <w:rsid w:val="00300FC5"/>
    <w:rsid w:val="003010EF"/>
    <w:rsid w:val="003014CC"/>
    <w:rsid w:val="0030169C"/>
    <w:rsid w:val="003017B8"/>
    <w:rsid w:val="00301B77"/>
    <w:rsid w:val="003020CA"/>
    <w:rsid w:val="003020D5"/>
    <w:rsid w:val="003020E8"/>
    <w:rsid w:val="003024E5"/>
    <w:rsid w:val="0030265F"/>
    <w:rsid w:val="00302B26"/>
    <w:rsid w:val="0030323E"/>
    <w:rsid w:val="003035BE"/>
    <w:rsid w:val="00303B1F"/>
    <w:rsid w:val="00303C10"/>
    <w:rsid w:val="00303E88"/>
    <w:rsid w:val="00303E9B"/>
    <w:rsid w:val="0030414A"/>
    <w:rsid w:val="003049E4"/>
    <w:rsid w:val="00304D16"/>
    <w:rsid w:val="0030574E"/>
    <w:rsid w:val="00305E43"/>
    <w:rsid w:val="00305EC0"/>
    <w:rsid w:val="00305EFC"/>
    <w:rsid w:val="00306AE4"/>
    <w:rsid w:val="00307252"/>
    <w:rsid w:val="003072B2"/>
    <w:rsid w:val="003074FB"/>
    <w:rsid w:val="0030761C"/>
    <w:rsid w:val="00307BC2"/>
    <w:rsid w:val="003100F1"/>
    <w:rsid w:val="003100FF"/>
    <w:rsid w:val="003101F7"/>
    <w:rsid w:val="00310BFD"/>
    <w:rsid w:val="00311A8E"/>
    <w:rsid w:val="00311FF3"/>
    <w:rsid w:val="00312023"/>
    <w:rsid w:val="00312344"/>
    <w:rsid w:val="003129B7"/>
    <w:rsid w:val="00312ACA"/>
    <w:rsid w:val="00312C13"/>
    <w:rsid w:val="00312FA8"/>
    <w:rsid w:val="003130A3"/>
    <w:rsid w:val="00313250"/>
    <w:rsid w:val="00313332"/>
    <w:rsid w:val="00313A39"/>
    <w:rsid w:val="00313CDD"/>
    <w:rsid w:val="00314AB5"/>
    <w:rsid w:val="003159B1"/>
    <w:rsid w:val="00315B40"/>
    <w:rsid w:val="00316476"/>
    <w:rsid w:val="003167D5"/>
    <w:rsid w:val="00316A18"/>
    <w:rsid w:val="00316C41"/>
    <w:rsid w:val="00316FA6"/>
    <w:rsid w:val="0031752F"/>
    <w:rsid w:val="00317748"/>
    <w:rsid w:val="003177DB"/>
    <w:rsid w:val="003202C0"/>
    <w:rsid w:val="00320676"/>
    <w:rsid w:val="00320FE7"/>
    <w:rsid w:val="0032113B"/>
    <w:rsid w:val="00321529"/>
    <w:rsid w:val="00321E73"/>
    <w:rsid w:val="00322160"/>
    <w:rsid w:val="003228C0"/>
    <w:rsid w:val="00322A4A"/>
    <w:rsid w:val="00322B6D"/>
    <w:rsid w:val="00322FD8"/>
    <w:rsid w:val="003231AD"/>
    <w:rsid w:val="00323446"/>
    <w:rsid w:val="00323E61"/>
    <w:rsid w:val="00324129"/>
    <w:rsid w:val="0032414E"/>
    <w:rsid w:val="00324739"/>
    <w:rsid w:val="00324819"/>
    <w:rsid w:val="00324CA2"/>
    <w:rsid w:val="00324EAB"/>
    <w:rsid w:val="00325158"/>
    <w:rsid w:val="003252E5"/>
    <w:rsid w:val="003253F0"/>
    <w:rsid w:val="0032583A"/>
    <w:rsid w:val="0032588E"/>
    <w:rsid w:val="00325970"/>
    <w:rsid w:val="0032628B"/>
    <w:rsid w:val="003264BF"/>
    <w:rsid w:val="003269B2"/>
    <w:rsid w:val="00327BF5"/>
    <w:rsid w:val="00330067"/>
    <w:rsid w:val="00330390"/>
    <w:rsid w:val="00330519"/>
    <w:rsid w:val="003309E4"/>
    <w:rsid w:val="00330AE2"/>
    <w:rsid w:val="00330F8B"/>
    <w:rsid w:val="003314A9"/>
    <w:rsid w:val="00331541"/>
    <w:rsid w:val="00331BF9"/>
    <w:rsid w:val="00331EA2"/>
    <w:rsid w:val="00331F03"/>
    <w:rsid w:val="00331F88"/>
    <w:rsid w:val="003321BF"/>
    <w:rsid w:val="00332B6F"/>
    <w:rsid w:val="003332FE"/>
    <w:rsid w:val="00333531"/>
    <w:rsid w:val="00333A10"/>
    <w:rsid w:val="003345BD"/>
    <w:rsid w:val="0033491C"/>
    <w:rsid w:val="00334E29"/>
    <w:rsid w:val="00335201"/>
    <w:rsid w:val="0033563A"/>
    <w:rsid w:val="00335811"/>
    <w:rsid w:val="00335AE5"/>
    <w:rsid w:val="00335E25"/>
    <w:rsid w:val="003362A4"/>
    <w:rsid w:val="0033648C"/>
    <w:rsid w:val="003369B9"/>
    <w:rsid w:val="00336AA6"/>
    <w:rsid w:val="00336CEF"/>
    <w:rsid w:val="00336D24"/>
    <w:rsid w:val="003370B1"/>
    <w:rsid w:val="0033718E"/>
    <w:rsid w:val="0033744E"/>
    <w:rsid w:val="00340101"/>
    <w:rsid w:val="00340190"/>
    <w:rsid w:val="003404EE"/>
    <w:rsid w:val="00341DF4"/>
    <w:rsid w:val="00342CB9"/>
    <w:rsid w:val="00343183"/>
    <w:rsid w:val="0034429B"/>
    <w:rsid w:val="003442BB"/>
    <w:rsid w:val="00344664"/>
    <w:rsid w:val="00345ED9"/>
    <w:rsid w:val="00346033"/>
    <w:rsid w:val="00346401"/>
    <w:rsid w:val="003467C1"/>
    <w:rsid w:val="0034686B"/>
    <w:rsid w:val="003469CE"/>
    <w:rsid w:val="00346E48"/>
    <w:rsid w:val="0034793B"/>
    <w:rsid w:val="00347A5A"/>
    <w:rsid w:val="00347C49"/>
    <w:rsid w:val="00347DBC"/>
    <w:rsid w:val="003501A8"/>
    <w:rsid w:val="00350314"/>
    <w:rsid w:val="00350457"/>
    <w:rsid w:val="003509A4"/>
    <w:rsid w:val="00350AC3"/>
    <w:rsid w:val="00350D74"/>
    <w:rsid w:val="00350F46"/>
    <w:rsid w:val="00351074"/>
    <w:rsid w:val="003510EC"/>
    <w:rsid w:val="003512B4"/>
    <w:rsid w:val="003514E1"/>
    <w:rsid w:val="00351674"/>
    <w:rsid w:val="00351E2C"/>
    <w:rsid w:val="003522CE"/>
    <w:rsid w:val="003524DB"/>
    <w:rsid w:val="00352585"/>
    <w:rsid w:val="00352C52"/>
    <w:rsid w:val="00353192"/>
    <w:rsid w:val="0035364E"/>
    <w:rsid w:val="00353AF7"/>
    <w:rsid w:val="00355291"/>
    <w:rsid w:val="0035659C"/>
    <w:rsid w:val="00360628"/>
    <w:rsid w:val="00360D6E"/>
    <w:rsid w:val="00361287"/>
    <w:rsid w:val="0036144E"/>
    <w:rsid w:val="00361BD0"/>
    <w:rsid w:val="00361D62"/>
    <w:rsid w:val="00361E84"/>
    <w:rsid w:val="00363170"/>
    <w:rsid w:val="003642C3"/>
    <w:rsid w:val="003644C4"/>
    <w:rsid w:val="003648D1"/>
    <w:rsid w:val="003651F3"/>
    <w:rsid w:val="00365612"/>
    <w:rsid w:val="003673A0"/>
    <w:rsid w:val="003674F4"/>
    <w:rsid w:val="003677A9"/>
    <w:rsid w:val="00367D32"/>
    <w:rsid w:val="00370078"/>
    <w:rsid w:val="003705CA"/>
    <w:rsid w:val="00370DA7"/>
    <w:rsid w:val="0037165A"/>
    <w:rsid w:val="0037235B"/>
    <w:rsid w:val="0037240D"/>
    <w:rsid w:val="0037268F"/>
    <w:rsid w:val="00372EC4"/>
    <w:rsid w:val="0037330F"/>
    <w:rsid w:val="00373BA2"/>
    <w:rsid w:val="00374788"/>
    <w:rsid w:val="003749D2"/>
    <w:rsid w:val="00374C6B"/>
    <w:rsid w:val="003750B3"/>
    <w:rsid w:val="003751A5"/>
    <w:rsid w:val="003755CE"/>
    <w:rsid w:val="00375859"/>
    <w:rsid w:val="00376053"/>
    <w:rsid w:val="00376A6A"/>
    <w:rsid w:val="00376B15"/>
    <w:rsid w:val="003773C9"/>
    <w:rsid w:val="0037741C"/>
    <w:rsid w:val="003775AF"/>
    <w:rsid w:val="003775CE"/>
    <w:rsid w:val="00377B83"/>
    <w:rsid w:val="0038089B"/>
    <w:rsid w:val="003809F3"/>
    <w:rsid w:val="00380F64"/>
    <w:rsid w:val="00381FC2"/>
    <w:rsid w:val="003822F4"/>
    <w:rsid w:val="00382F9E"/>
    <w:rsid w:val="003830CF"/>
    <w:rsid w:val="00383723"/>
    <w:rsid w:val="00383780"/>
    <w:rsid w:val="00383BFD"/>
    <w:rsid w:val="00383D33"/>
    <w:rsid w:val="00383F9C"/>
    <w:rsid w:val="003843B8"/>
    <w:rsid w:val="00384C2D"/>
    <w:rsid w:val="00384CAC"/>
    <w:rsid w:val="00385688"/>
    <w:rsid w:val="00385FFE"/>
    <w:rsid w:val="00386268"/>
    <w:rsid w:val="00386A71"/>
    <w:rsid w:val="00386F84"/>
    <w:rsid w:val="003878F0"/>
    <w:rsid w:val="00387B73"/>
    <w:rsid w:val="0039027F"/>
    <w:rsid w:val="00390B70"/>
    <w:rsid w:val="00391AA5"/>
    <w:rsid w:val="003922D8"/>
    <w:rsid w:val="00392606"/>
    <w:rsid w:val="00392A79"/>
    <w:rsid w:val="00392CE4"/>
    <w:rsid w:val="003931A6"/>
    <w:rsid w:val="00393AE9"/>
    <w:rsid w:val="00393CBC"/>
    <w:rsid w:val="0039424D"/>
    <w:rsid w:val="0039530A"/>
    <w:rsid w:val="00395860"/>
    <w:rsid w:val="00395870"/>
    <w:rsid w:val="003966EB"/>
    <w:rsid w:val="00396DF9"/>
    <w:rsid w:val="00396FA7"/>
    <w:rsid w:val="00397702"/>
    <w:rsid w:val="00397AE2"/>
    <w:rsid w:val="00397BE6"/>
    <w:rsid w:val="003A057B"/>
    <w:rsid w:val="003A0939"/>
    <w:rsid w:val="003A0CA8"/>
    <w:rsid w:val="003A0D56"/>
    <w:rsid w:val="003A0D84"/>
    <w:rsid w:val="003A1026"/>
    <w:rsid w:val="003A13B9"/>
    <w:rsid w:val="003A14FB"/>
    <w:rsid w:val="003A1EF4"/>
    <w:rsid w:val="003A20A6"/>
    <w:rsid w:val="003A20D3"/>
    <w:rsid w:val="003A231B"/>
    <w:rsid w:val="003A2591"/>
    <w:rsid w:val="003A2E6E"/>
    <w:rsid w:val="003A3301"/>
    <w:rsid w:val="003A3423"/>
    <w:rsid w:val="003A37F7"/>
    <w:rsid w:val="003A3E27"/>
    <w:rsid w:val="003A4236"/>
    <w:rsid w:val="003A430F"/>
    <w:rsid w:val="003A471E"/>
    <w:rsid w:val="003A4915"/>
    <w:rsid w:val="003A4CC8"/>
    <w:rsid w:val="003A4DCE"/>
    <w:rsid w:val="003A55C3"/>
    <w:rsid w:val="003A57F9"/>
    <w:rsid w:val="003A617D"/>
    <w:rsid w:val="003A6331"/>
    <w:rsid w:val="003A659F"/>
    <w:rsid w:val="003A73A5"/>
    <w:rsid w:val="003A76F7"/>
    <w:rsid w:val="003A7846"/>
    <w:rsid w:val="003A7A54"/>
    <w:rsid w:val="003A7C5A"/>
    <w:rsid w:val="003A7DA3"/>
    <w:rsid w:val="003B00B5"/>
    <w:rsid w:val="003B0247"/>
    <w:rsid w:val="003B0287"/>
    <w:rsid w:val="003B0358"/>
    <w:rsid w:val="003B12E7"/>
    <w:rsid w:val="003B13FF"/>
    <w:rsid w:val="003B1628"/>
    <w:rsid w:val="003B1CAB"/>
    <w:rsid w:val="003B290C"/>
    <w:rsid w:val="003B294F"/>
    <w:rsid w:val="003B3103"/>
    <w:rsid w:val="003B323C"/>
    <w:rsid w:val="003B3295"/>
    <w:rsid w:val="003B3A9B"/>
    <w:rsid w:val="003B3E86"/>
    <w:rsid w:val="003B3F24"/>
    <w:rsid w:val="003B4011"/>
    <w:rsid w:val="003B42FC"/>
    <w:rsid w:val="003B43FD"/>
    <w:rsid w:val="003B498B"/>
    <w:rsid w:val="003B540A"/>
    <w:rsid w:val="003B5901"/>
    <w:rsid w:val="003B5C6C"/>
    <w:rsid w:val="003B644C"/>
    <w:rsid w:val="003B658C"/>
    <w:rsid w:val="003B6FC6"/>
    <w:rsid w:val="003B7104"/>
    <w:rsid w:val="003B725D"/>
    <w:rsid w:val="003B735F"/>
    <w:rsid w:val="003B73E1"/>
    <w:rsid w:val="003B743A"/>
    <w:rsid w:val="003B7629"/>
    <w:rsid w:val="003B77DD"/>
    <w:rsid w:val="003B78DB"/>
    <w:rsid w:val="003B7EF4"/>
    <w:rsid w:val="003C0119"/>
    <w:rsid w:val="003C039C"/>
    <w:rsid w:val="003C06C9"/>
    <w:rsid w:val="003C06D6"/>
    <w:rsid w:val="003C094B"/>
    <w:rsid w:val="003C0AA2"/>
    <w:rsid w:val="003C141C"/>
    <w:rsid w:val="003C15D3"/>
    <w:rsid w:val="003C1C5E"/>
    <w:rsid w:val="003C2390"/>
    <w:rsid w:val="003C23D3"/>
    <w:rsid w:val="003C2A2C"/>
    <w:rsid w:val="003C2FFD"/>
    <w:rsid w:val="003C3300"/>
    <w:rsid w:val="003C3FF9"/>
    <w:rsid w:val="003C447A"/>
    <w:rsid w:val="003C46AF"/>
    <w:rsid w:val="003C48D6"/>
    <w:rsid w:val="003C5583"/>
    <w:rsid w:val="003C568B"/>
    <w:rsid w:val="003C631E"/>
    <w:rsid w:val="003C63B5"/>
    <w:rsid w:val="003C6974"/>
    <w:rsid w:val="003C6B34"/>
    <w:rsid w:val="003C7CA4"/>
    <w:rsid w:val="003D01C8"/>
    <w:rsid w:val="003D08C1"/>
    <w:rsid w:val="003D0AE3"/>
    <w:rsid w:val="003D0C19"/>
    <w:rsid w:val="003D1077"/>
    <w:rsid w:val="003D1632"/>
    <w:rsid w:val="003D2693"/>
    <w:rsid w:val="003D2B37"/>
    <w:rsid w:val="003D2C0C"/>
    <w:rsid w:val="003D2C4A"/>
    <w:rsid w:val="003D30ED"/>
    <w:rsid w:val="003D3302"/>
    <w:rsid w:val="003D33FA"/>
    <w:rsid w:val="003D34B7"/>
    <w:rsid w:val="003D3F64"/>
    <w:rsid w:val="003D43AC"/>
    <w:rsid w:val="003D4BCE"/>
    <w:rsid w:val="003D4DAE"/>
    <w:rsid w:val="003D541D"/>
    <w:rsid w:val="003D548C"/>
    <w:rsid w:val="003D5E50"/>
    <w:rsid w:val="003D5EAA"/>
    <w:rsid w:val="003D5F29"/>
    <w:rsid w:val="003D5F73"/>
    <w:rsid w:val="003D607D"/>
    <w:rsid w:val="003D65BD"/>
    <w:rsid w:val="003D661F"/>
    <w:rsid w:val="003E03BE"/>
    <w:rsid w:val="003E046C"/>
    <w:rsid w:val="003E0539"/>
    <w:rsid w:val="003E0AE8"/>
    <w:rsid w:val="003E0F17"/>
    <w:rsid w:val="003E2378"/>
    <w:rsid w:val="003E2736"/>
    <w:rsid w:val="003E2F3F"/>
    <w:rsid w:val="003E3120"/>
    <w:rsid w:val="003E321C"/>
    <w:rsid w:val="003E385D"/>
    <w:rsid w:val="003E38F1"/>
    <w:rsid w:val="003E39F0"/>
    <w:rsid w:val="003E3EAC"/>
    <w:rsid w:val="003E3F05"/>
    <w:rsid w:val="003E4E3B"/>
    <w:rsid w:val="003E4F22"/>
    <w:rsid w:val="003E511A"/>
    <w:rsid w:val="003E513F"/>
    <w:rsid w:val="003E5BF0"/>
    <w:rsid w:val="003E5E63"/>
    <w:rsid w:val="003E60AF"/>
    <w:rsid w:val="003E6A49"/>
    <w:rsid w:val="003E6AD6"/>
    <w:rsid w:val="003E6C28"/>
    <w:rsid w:val="003E6C8B"/>
    <w:rsid w:val="003E6F73"/>
    <w:rsid w:val="003E7071"/>
    <w:rsid w:val="003F00B8"/>
    <w:rsid w:val="003F0105"/>
    <w:rsid w:val="003F0428"/>
    <w:rsid w:val="003F06B9"/>
    <w:rsid w:val="003F12B1"/>
    <w:rsid w:val="003F1933"/>
    <w:rsid w:val="003F1D82"/>
    <w:rsid w:val="003F1E20"/>
    <w:rsid w:val="003F239B"/>
    <w:rsid w:val="003F2722"/>
    <w:rsid w:val="003F2868"/>
    <w:rsid w:val="003F29B9"/>
    <w:rsid w:val="003F3224"/>
    <w:rsid w:val="003F3323"/>
    <w:rsid w:val="003F3693"/>
    <w:rsid w:val="003F392A"/>
    <w:rsid w:val="003F3BB7"/>
    <w:rsid w:val="003F3D18"/>
    <w:rsid w:val="003F3D29"/>
    <w:rsid w:val="003F48B9"/>
    <w:rsid w:val="003F492D"/>
    <w:rsid w:val="003F4D97"/>
    <w:rsid w:val="003F4FE2"/>
    <w:rsid w:val="003F5191"/>
    <w:rsid w:val="003F53A6"/>
    <w:rsid w:val="003F5D0C"/>
    <w:rsid w:val="003F63ED"/>
    <w:rsid w:val="003F6522"/>
    <w:rsid w:val="003F7127"/>
    <w:rsid w:val="003F758B"/>
    <w:rsid w:val="003F7920"/>
    <w:rsid w:val="003F7A43"/>
    <w:rsid w:val="003F7AE3"/>
    <w:rsid w:val="004000C2"/>
    <w:rsid w:val="0040044A"/>
    <w:rsid w:val="0040067D"/>
    <w:rsid w:val="004008E9"/>
    <w:rsid w:val="00400C39"/>
    <w:rsid w:val="00400E5F"/>
    <w:rsid w:val="00400F6A"/>
    <w:rsid w:val="00400FD7"/>
    <w:rsid w:val="004018EF"/>
    <w:rsid w:val="00401C0B"/>
    <w:rsid w:val="00401E07"/>
    <w:rsid w:val="004028A8"/>
    <w:rsid w:val="00402919"/>
    <w:rsid w:val="00402B71"/>
    <w:rsid w:val="00402C6A"/>
    <w:rsid w:val="00402EE7"/>
    <w:rsid w:val="0040306A"/>
    <w:rsid w:val="00403342"/>
    <w:rsid w:val="00403937"/>
    <w:rsid w:val="00403D2C"/>
    <w:rsid w:val="00403F7C"/>
    <w:rsid w:val="00404259"/>
    <w:rsid w:val="004043DB"/>
    <w:rsid w:val="00404C70"/>
    <w:rsid w:val="004054B3"/>
    <w:rsid w:val="00405835"/>
    <w:rsid w:val="004058EA"/>
    <w:rsid w:val="004063EE"/>
    <w:rsid w:val="0040699A"/>
    <w:rsid w:val="004069EB"/>
    <w:rsid w:val="00406A14"/>
    <w:rsid w:val="00406C30"/>
    <w:rsid w:val="00406DA9"/>
    <w:rsid w:val="00407521"/>
    <w:rsid w:val="004107DD"/>
    <w:rsid w:val="004108BC"/>
    <w:rsid w:val="00410ACD"/>
    <w:rsid w:val="00411041"/>
    <w:rsid w:val="0041109D"/>
    <w:rsid w:val="00411AF9"/>
    <w:rsid w:val="00411C4E"/>
    <w:rsid w:val="0041268A"/>
    <w:rsid w:val="00412A67"/>
    <w:rsid w:val="00412C6F"/>
    <w:rsid w:val="0041303F"/>
    <w:rsid w:val="00413589"/>
    <w:rsid w:val="00413955"/>
    <w:rsid w:val="0041480A"/>
    <w:rsid w:val="0041483E"/>
    <w:rsid w:val="00414D9A"/>
    <w:rsid w:val="00415396"/>
    <w:rsid w:val="00415659"/>
    <w:rsid w:val="00415A55"/>
    <w:rsid w:val="00415F13"/>
    <w:rsid w:val="00416C0A"/>
    <w:rsid w:val="00416D7C"/>
    <w:rsid w:val="004171B2"/>
    <w:rsid w:val="004172EF"/>
    <w:rsid w:val="00417DF6"/>
    <w:rsid w:val="004202DD"/>
    <w:rsid w:val="0042037B"/>
    <w:rsid w:val="00420A2C"/>
    <w:rsid w:val="00420C47"/>
    <w:rsid w:val="00420D67"/>
    <w:rsid w:val="00420E30"/>
    <w:rsid w:val="00421308"/>
    <w:rsid w:val="00421A83"/>
    <w:rsid w:val="00421D08"/>
    <w:rsid w:val="00421FD0"/>
    <w:rsid w:val="00422277"/>
    <w:rsid w:val="004224B3"/>
    <w:rsid w:val="00422804"/>
    <w:rsid w:val="004231D7"/>
    <w:rsid w:val="0042349D"/>
    <w:rsid w:val="00423876"/>
    <w:rsid w:val="004238BD"/>
    <w:rsid w:val="00423A41"/>
    <w:rsid w:val="00423BA5"/>
    <w:rsid w:val="00423C1D"/>
    <w:rsid w:val="00423CCC"/>
    <w:rsid w:val="00423D26"/>
    <w:rsid w:val="00423E4D"/>
    <w:rsid w:val="00424295"/>
    <w:rsid w:val="004252C3"/>
    <w:rsid w:val="004256CF"/>
    <w:rsid w:val="00425F26"/>
    <w:rsid w:val="00425F27"/>
    <w:rsid w:val="00427550"/>
    <w:rsid w:val="00427EF9"/>
    <w:rsid w:val="00430168"/>
    <w:rsid w:val="004302B1"/>
    <w:rsid w:val="0043042C"/>
    <w:rsid w:val="00430B99"/>
    <w:rsid w:val="00432049"/>
    <w:rsid w:val="00432240"/>
    <w:rsid w:val="004326AD"/>
    <w:rsid w:val="004326DC"/>
    <w:rsid w:val="00432774"/>
    <w:rsid w:val="004327DB"/>
    <w:rsid w:val="00432BD0"/>
    <w:rsid w:val="00432FE1"/>
    <w:rsid w:val="00433024"/>
    <w:rsid w:val="00433318"/>
    <w:rsid w:val="00433846"/>
    <w:rsid w:val="00433B45"/>
    <w:rsid w:val="00433D75"/>
    <w:rsid w:val="00433E4C"/>
    <w:rsid w:val="004344D0"/>
    <w:rsid w:val="00434916"/>
    <w:rsid w:val="004350AB"/>
    <w:rsid w:val="004356F7"/>
    <w:rsid w:val="00435972"/>
    <w:rsid w:val="00435F59"/>
    <w:rsid w:val="00436862"/>
    <w:rsid w:val="004373A6"/>
    <w:rsid w:val="0043757E"/>
    <w:rsid w:val="00437716"/>
    <w:rsid w:val="00440045"/>
    <w:rsid w:val="00440225"/>
    <w:rsid w:val="00440386"/>
    <w:rsid w:val="004403F8"/>
    <w:rsid w:val="0044072F"/>
    <w:rsid w:val="00440F51"/>
    <w:rsid w:val="00441224"/>
    <w:rsid w:val="004415CE"/>
    <w:rsid w:val="0044177A"/>
    <w:rsid w:val="0044205F"/>
    <w:rsid w:val="004428CA"/>
    <w:rsid w:val="004429E4"/>
    <w:rsid w:val="00442B45"/>
    <w:rsid w:val="004434AC"/>
    <w:rsid w:val="004435EA"/>
    <w:rsid w:val="00443B07"/>
    <w:rsid w:val="00444241"/>
    <w:rsid w:val="00444CF4"/>
    <w:rsid w:val="00444DCA"/>
    <w:rsid w:val="00444E08"/>
    <w:rsid w:val="0044537C"/>
    <w:rsid w:val="00445547"/>
    <w:rsid w:val="00445B07"/>
    <w:rsid w:val="00445B76"/>
    <w:rsid w:val="00445B92"/>
    <w:rsid w:val="00445D10"/>
    <w:rsid w:val="004465CC"/>
    <w:rsid w:val="004466D6"/>
    <w:rsid w:val="004467D6"/>
    <w:rsid w:val="00446B97"/>
    <w:rsid w:val="00446F01"/>
    <w:rsid w:val="00446F8C"/>
    <w:rsid w:val="0044706B"/>
    <w:rsid w:val="004476BB"/>
    <w:rsid w:val="004476C4"/>
    <w:rsid w:val="004476D9"/>
    <w:rsid w:val="00447DE4"/>
    <w:rsid w:val="00447E38"/>
    <w:rsid w:val="00447E6F"/>
    <w:rsid w:val="004504BF"/>
    <w:rsid w:val="004506EB"/>
    <w:rsid w:val="00450D78"/>
    <w:rsid w:val="004512D1"/>
    <w:rsid w:val="00451711"/>
    <w:rsid w:val="004518B2"/>
    <w:rsid w:val="00451997"/>
    <w:rsid w:val="00451A67"/>
    <w:rsid w:val="004520FB"/>
    <w:rsid w:val="00452286"/>
    <w:rsid w:val="00452289"/>
    <w:rsid w:val="0045231A"/>
    <w:rsid w:val="004526FD"/>
    <w:rsid w:val="00452894"/>
    <w:rsid w:val="00452A3A"/>
    <w:rsid w:val="00453196"/>
    <w:rsid w:val="004531F6"/>
    <w:rsid w:val="00453375"/>
    <w:rsid w:val="00453499"/>
    <w:rsid w:val="004536C5"/>
    <w:rsid w:val="00453961"/>
    <w:rsid w:val="00453B03"/>
    <w:rsid w:val="00453B69"/>
    <w:rsid w:val="00453FB6"/>
    <w:rsid w:val="0045404D"/>
    <w:rsid w:val="0045446C"/>
    <w:rsid w:val="0045465B"/>
    <w:rsid w:val="00454ACD"/>
    <w:rsid w:val="00454E14"/>
    <w:rsid w:val="004556AA"/>
    <w:rsid w:val="0045597A"/>
    <w:rsid w:val="00455D30"/>
    <w:rsid w:val="0045631E"/>
    <w:rsid w:val="004565EC"/>
    <w:rsid w:val="00456FC2"/>
    <w:rsid w:val="00457077"/>
    <w:rsid w:val="004576BD"/>
    <w:rsid w:val="00457814"/>
    <w:rsid w:val="00460167"/>
    <w:rsid w:val="0046041F"/>
    <w:rsid w:val="00460D89"/>
    <w:rsid w:val="00461008"/>
    <w:rsid w:val="004611D3"/>
    <w:rsid w:val="00461294"/>
    <w:rsid w:val="004613F3"/>
    <w:rsid w:val="0046167F"/>
    <w:rsid w:val="004617EF"/>
    <w:rsid w:val="004619A4"/>
    <w:rsid w:val="00461A4B"/>
    <w:rsid w:val="00461A54"/>
    <w:rsid w:val="00461CCA"/>
    <w:rsid w:val="00462661"/>
    <w:rsid w:val="004631C2"/>
    <w:rsid w:val="00463491"/>
    <w:rsid w:val="004647B6"/>
    <w:rsid w:val="00464DDB"/>
    <w:rsid w:val="00466F9A"/>
    <w:rsid w:val="004675BA"/>
    <w:rsid w:val="00467C94"/>
    <w:rsid w:val="00470585"/>
    <w:rsid w:val="00470D3E"/>
    <w:rsid w:val="004711A2"/>
    <w:rsid w:val="0047179A"/>
    <w:rsid w:val="00471B26"/>
    <w:rsid w:val="00471C97"/>
    <w:rsid w:val="00471DA2"/>
    <w:rsid w:val="00471DA9"/>
    <w:rsid w:val="00471F8E"/>
    <w:rsid w:val="004724BF"/>
    <w:rsid w:val="0047268D"/>
    <w:rsid w:val="00472A0E"/>
    <w:rsid w:val="0047319C"/>
    <w:rsid w:val="004734C0"/>
    <w:rsid w:val="004736CE"/>
    <w:rsid w:val="00473C49"/>
    <w:rsid w:val="004742C9"/>
    <w:rsid w:val="00474DCB"/>
    <w:rsid w:val="0047536B"/>
    <w:rsid w:val="0047542A"/>
    <w:rsid w:val="00475D4F"/>
    <w:rsid w:val="00475DFA"/>
    <w:rsid w:val="00476572"/>
    <w:rsid w:val="00476A08"/>
    <w:rsid w:val="00476F13"/>
    <w:rsid w:val="004772A2"/>
    <w:rsid w:val="004775B7"/>
    <w:rsid w:val="00478836"/>
    <w:rsid w:val="0047D039"/>
    <w:rsid w:val="0048045A"/>
    <w:rsid w:val="004805DC"/>
    <w:rsid w:val="00480715"/>
    <w:rsid w:val="00480D19"/>
    <w:rsid w:val="00481435"/>
    <w:rsid w:val="004817F5"/>
    <w:rsid w:val="00481E03"/>
    <w:rsid w:val="00482527"/>
    <w:rsid w:val="00482C6E"/>
    <w:rsid w:val="004830B9"/>
    <w:rsid w:val="00483524"/>
    <w:rsid w:val="004839BE"/>
    <w:rsid w:val="00483E15"/>
    <w:rsid w:val="004844D6"/>
    <w:rsid w:val="00484935"/>
    <w:rsid w:val="004858CE"/>
    <w:rsid w:val="00485971"/>
    <w:rsid w:val="004862D2"/>
    <w:rsid w:val="004863CE"/>
    <w:rsid w:val="00486774"/>
    <w:rsid w:val="00486918"/>
    <w:rsid w:val="00486B49"/>
    <w:rsid w:val="00486B88"/>
    <w:rsid w:val="0048707E"/>
    <w:rsid w:val="004870E4"/>
    <w:rsid w:val="00487A67"/>
    <w:rsid w:val="00491147"/>
    <w:rsid w:val="004911D8"/>
    <w:rsid w:val="00491636"/>
    <w:rsid w:val="00491DAD"/>
    <w:rsid w:val="00492701"/>
    <w:rsid w:val="00492983"/>
    <w:rsid w:val="00492BA6"/>
    <w:rsid w:val="00492FCF"/>
    <w:rsid w:val="004934A6"/>
    <w:rsid w:val="00493A3E"/>
    <w:rsid w:val="004940BF"/>
    <w:rsid w:val="004940CD"/>
    <w:rsid w:val="00494125"/>
    <w:rsid w:val="00494A6A"/>
    <w:rsid w:val="0049537B"/>
    <w:rsid w:val="00495443"/>
    <w:rsid w:val="00495551"/>
    <w:rsid w:val="00495754"/>
    <w:rsid w:val="00496116"/>
    <w:rsid w:val="004966C6"/>
    <w:rsid w:val="00496C19"/>
    <w:rsid w:val="00497A12"/>
    <w:rsid w:val="00497AE9"/>
    <w:rsid w:val="00497E6D"/>
    <w:rsid w:val="004A0614"/>
    <w:rsid w:val="004A0CB0"/>
    <w:rsid w:val="004A0DE2"/>
    <w:rsid w:val="004A141B"/>
    <w:rsid w:val="004A14B8"/>
    <w:rsid w:val="004A1643"/>
    <w:rsid w:val="004A1694"/>
    <w:rsid w:val="004A1CAD"/>
    <w:rsid w:val="004A1D85"/>
    <w:rsid w:val="004A2126"/>
    <w:rsid w:val="004A253D"/>
    <w:rsid w:val="004A2C3A"/>
    <w:rsid w:val="004A2D43"/>
    <w:rsid w:val="004A2E89"/>
    <w:rsid w:val="004A3326"/>
    <w:rsid w:val="004A3330"/>
    <w:rsid w:val="004A34AA"/>
    <w:rsid w:val="004A353A"/>
    <w:rsid w:val="004A35AC"/>
    <w:rsid w:val="004A3753"/>
    <w:rsid w:val="004A39D7"/>
    <w:rsid w:val="004A3AE0"/>
    <w:rsid w:val="004A40B8"/>
    <w:rsid w:val="004A42A2"/>
    <w:rsid w:val="004A4B40"/>
    <w:rsid w:val="004A4EC6"/>
    <w:rsid w:val="004A52DE"/>
    <w:rsid w:val="004A52FA"/>
    <w:rsid w:val="004A5D8A"/>
    <w:rsid w:val="004A61BF"/>
    <w:rsid w:val="004A638E"/>
    <w:rsid w:val="004A7581"/>
    <w:rsid w:val="004A768C"/>
    <w:rsid w:val="004A7A3F"/>
    <w:rsid w:val="004B083B"/>
    <w:rsid w:val="004B09FE"/>
    <w:rsid w:val="004B0A10"/>
    <w:rsid w:val="004B1666"/>
    <w:rsid w:val="004B22CF"/>
    <w:rsid w:val="004B252B"/>
    <w:rsid w:val="004B2A6A"/>
    <w:rsid w:val="004B2FEE"/>
    <w:rsid w:val="004B321F"/>
    <w:rsid w:val="004B3B31"/>
    <w:rsid w:val="004B3D03"/>
    <w:rsid w:val="004B3E73"/>
    <w:rsid w:val="004B44D6"/>
    <w:rsid w:val="004B4615"/>
    <w:rsid w:val="004B498C"/>
    <w:rsid w:val="004B4D36"/>
    <w:rsid w:val="004B4EEE"/>
    <w:rsid w:val="004B5331"/>
    <w:rsid w:val="004B5896"/>
    <w:rsid w:val="004B647C"/>
    <w:rsid w:val="004B6D6D"/>
    <w:rsid w:val="004B7A4E"/>
    <w:rsid w:val="004C07F1"/>
    <w:rsid w:val="004C0EB1"/>
    <w:rsid w:val="004C135D"/>
    <w:rsid w:val="004C1D27"/>
    <w:rsid w:val="004C1FBD"/>
    <w:rsid w:val="004C2BC3"/>
    <w:rsid w:val="004C3EDB"/>
    <w:rsid w:val="004C3EFA"/>
    <w:rsid w:val="004C514E"/>
    <w:rsid w:val="004C5F10"/>
    <w:rsid w:val="004C6348"/>
    <w:rsid w:val="004C6952"/>
    <w:rsid w:val="004C7159"/>
    <w:rsid w:val="004C7A31"/>
    <w:rsid w:val="004C7D6F"/>
    <w:rsid w:val="004D0094"/>
    <w:rsid w:val="004D021D"/>
    <w:rsid w:val="004D09F7"/>
    <w:rsid w:val="004D1248"/>
    <w:rsid w:val="004D337B"/>
    <w:rsid w:val="004D3594"/>
    <w:rsid w:val="004D3605"/>
    <w:rsid w:val="004D3F22"/>
    <w:rsid w:val="004D45C9"/>
    <w:rsid w:val="004D47B9"/>
    <w:rsid w:val="004D4A50"/>
    <w:rsid w:val="004D526B"/>
    <w:rsid w:val="004D555C"/>
    <w:rsid w:val="004D5904"/>
    <w:rsid w:val="004D5A07"/>
    <w:rsid w:val="004D5A14"/>
    <w:rsid w:val="004D5CBC"/>
    <w:rsid w:val="004D6133"/>
    <w:rsid w:val="004D63E5"/>
    <w:rsid w:val="004D6672"/>
    <w:rsid w:val="004D69E5"/>
    <w:rsid w:val="004D711F"/>
    <w:rsid w:val="004D7228"/>
    <w:rsid w:val="004D7F25"/>
    <w:rsid w:val="004E0D34"/>
    <w:rsid w:val="004E1072"/>
    <w:rsid w:val="004E1080"/>
    <w:rsid w:val="004E14B0"/>
    <w:rsid w:val="004E1BFF"/>
    <w:rsid w:val="004E1E28"/>
    <w:rsid w:val="004E1EB5"/>
    <w:rsid w:val="004E2ED7"/>
    <w:rsid w:val="004E360E"/>
    <w:rsid w:val="004E3904"/>
    <w:rsid w:val="004E3F18"/>
    <w:rsid w:val="004E4181"/>
    <w:rsid w:val="004E43DD"/>
    <w:rsid w:val="004E464B"/>
    <w:rsid w:val="004E4EE6"/>
    <w:rsid w:val="004E4FA3"/>
    <w:rsid w:val="004E52C8"/>
    <w:rsid w:val="004E54FC"/>
    <w:rsid w:val="004E55C9"/>
    <w:rsid w:val="004E5819"/>
    <w:rsid w:val="004E5863"/>
    <w:rsid w:val="004E60FF"/>
    <w:rsid w:val="004E6D16"/>
    <w:rsid w:val="004E7BC9"/>
    <w:rsid w:val="004E7C8E"/>
    <w:rsid w:val="004F0596"/>
    <w:rsid w:val="004F0626"/>
    <w:rsid w:val="004F0858"/>
    <w:rsid w:val="004F13E0"/>
    <w:rsid w:val="004F19A6"/>
    <w:rsid w:val="004F1AA7"/>
    <w:rsid w:val="004F1EC3"/>
    <w:rsid w:val="004F235F"/>
    <w:rsid w:val="004F270F"/>
    <w:rsid w:val="004F2C60"/>
    <w:rsid w:val="004F2CB7"/>
    <w:rsid w:val="004F2E6A"/>
    <w:rsid w:val="004F3E48"/>
    <w:rsid w:val="004F41B7"/>
    <w:rsid w:val="004F4268"/>
    <w:rsid w:val="004F43EB"/>
    <w:rsid w:val="004F45DA"/>
    <w:rsid w:val="004F4CB4"/>
    <w:rsid w:val="004F5461"/>
    <w:rsid w:val="004F6AA5"/>
    <w:rsid w:val="004F70AC"/>
    <w:rsid w:val="004F7196"/>
    <w:rsid w:val="005004EE"/>
    <w:rsid w:val="005007FA"/>
    <w:rsid w:val="005009CF"/>
    <w:rsid w:val="00500DDE"/>
    <w:rsid w:val="00500F5E"/>
    <w:rsid w:val="005012FC"/>
    <w:rsid w:val="00501E1E"/>
    <w:rsid w:val="00502060"/>
    <w:rsid w:val="005026DE"/>
    <w:rsid w:val="005026E8"/>
    <w:rsid w:val="00502CD8"/>
    <w:rsid w:val="00502E44"/>
    <w:rsid w:val="00502FB8"/>
    <w:rsid w:val="005030A1"/>
    <w:rsid w:val="00503175"/>
    <w:rsid w:val="00503254"/>
    <w:rsid w:val="00503BD0"/>
    <w:rsid w:val="00503D25"/>
    <w:rsid w:val="0050416B"/>
    <w:rsid w:val="00504AEE"/>
    <w:rsid w:val="00504C0D"/>
    <w:rsid w:val="00504D67"/>
    <w:rsid w:val="00505170"/>
    <w:rsid w:val="00505320"/>
    <w:rsid w:val="0050532B"/>
    <w:rsid w:val="00505915"/>
    <w:rsid w:val="00505D3B"/>
    <w:rsid w:val="00506E67"/>
    <w:rsid w:val="00506E81"/>
    <w:rsid w:val="0050766B"/>
    <w:rsid w:val="0050794A"/>
    <w:rsid w:val="00507E2E"/>
    <w:rsid w:val="00510ED7"/>
    <w:rsid w:val="00511134"/>
    <w:rsid w:val="005111F7"/>
    <w:rsid w:val="00511286"/>
    <w:rsid w:val="005117F6"/>
    <w:rsid w:val="00511931"/>
    <w:rsid w:val="00512384"/>
    <w:rsid w:val="005125D2"/>
    <w:rsid w:val="00512AA1"/>
    <w:rsid w:val="00513B93"/>
    <w:rsid w:val="00513ED6"/>
    <w:rsid w:val="00514606"/>
    <w:rsid w:val="00514761"/>
    <w:rsid w:val="00514B33"/>
    <w:rsid w:val="005152E4"/>
    <w:rsid w:val="00515A18"/>
    <w:rsid w:val="005160B0"/>
    <w:rsid w:val="00516732"/>
    <w:rsid w:val="0051720A"/>
    <w:rsid w:val="005176C6"/>
    <w:rsid w:val="0051798D"/>
    <w:rsid w:val="00517C5C"/>
    <w:rsid w:val="00519D74"/>
    <w:rsid w:val="005201FE"/>
    <w:rsid w:val="00520216"/>
    <w:rsid w:val="00520834"/>
    <w:rsid w:val="005208DE"/>
    <w:rsid w:val="005212D2"/>
    <w:rsid w:val="00522183"/>
    <w:rsid w:val="00522500"/>
    <w:rsid w:val="00522D44"/>
    <w:rsid w:val="00522F61"/>
    <w:rsid w:val="0052343E"/>
    <w:rsid w:val="0052351C"/>
    <w:rsid w:val="005244FF"/>
    <w:rsid w:val="00524A0B"/>
    <w:rsid w:val="00524C83"/>
    <w:rsid w:val="00525869"/>
    <w:rsid w:val="005262C3"/>
    <w:rsid w:val="00526534"/>
    <w:rsid w:val="005265C1"/>
    <w:rsid w:val="00526D8E"/>
    <w:rsid w:val="005273AC"/>
    <w:rsid w:val="00527703"/>
    <w:rsid w:val="00527EEF"/>
    <w:rsid w:val="00527FA4"/>
    <w:rsid w:val="005307B3"/>
    <w:rsid w:val="00530C90"/>
    <w:rsid w:val="00530FB9"/>
    <w:rsid w:val="0053112A"/>
    <w:rsid w:val="0053254B"/>
    <w:rsid w:val="005334A9"/>
    <w:rsid w:val="00533800"/>
    <w:rsid w:val="005338E3"/>
    <w:rsid w:val="00533A2D"/>
    <w:rsid w:val="00533C8A"/>
    <w:rsid w:val="00533EC4"/>
    <w:rsid w:val="00534423"/>
    <w:rsid w:val="00534576"/>
    <w:rsid w:val="005351E8"/>
    <w:rsid w:val="0053594F"/>
    <w:rsid w:val="00535FB0"/>
    <w:rsid w:val="00536042"/>
    <w:rsid w:val="005360C3"/>
    <w:rsid w:val="00536777"/>
    <w:rsid w:val="00536822"/>
    <w:rsid w:val="00536F06"/>
    <w:rsid w:val="005374BC"/>
    <w:rsid w:val="0053777A"/>
    <w:rsid w:val="00537EF7"/>
    <w:rsid w:val="005402A7"/>
    <w:rsid w:val="005402CB"/>
    <w:rsid w:val="00540B00"/>
    <w:rsid w:val="0054133C"/>
    <w:rsid w:val="0054218E"/>
    <w:rsid w:val="005425D3"/>
    <w:rsid w:val="00542BAB"/>
    <w:rsid w:val="00542CB3"/>
    <w:rsid w:val="005430B8"/>
    <w:rsid w:val="0054314E"/>
    <w:rsid w:val="00543463"/>
    <w:rsid w:val="00543820"/>
    <w:rsid w:val="00543C2A"/>
    <w:rsid w:val="00543E15"/>
    <w:rsid w:val="00544465"/>
    <w:rsid w:val="0054483C"/>
    <w:rsid w:val="005448F8"/>
    <w:rsid w:val="00544A75"/>
    <w:rsid w:val="00545032"/>
    <w:rsid w:val="00545171"/>
    <w:rsid w:val="005451B8"/>
    <w:rsid w:val="00545381"/>
    <w:rsid w:val="0054580B"/>
    <w:rsid w:val="005459ED"/>
    <w:rsid w:val="00545B7D"/>
    <w:rsid w:val="00545DC1"/>
    <w:rsid w:val="005460A6"/>
    <w:rsid w:val="0054623F"/>
    <w:rsid w:val="005467D0"/>
    <w:rsid w:val="00546A7A"/>
    <w:rsid w:val="00546C59"/>
    <w:rsid w:val="00546DE3"/>
    <w:rsid w:val="0054753C"/>
    <w:rsid w:val="00547DBE"/>
    <w:rsid w:val="00547FBA"/>
    <w:rsid w:val="005500B2"/>
    <w:rsid w:val="005501A6"/>
    <w:rsid w:val="005502F9"/>
    <w:rsid w:val="00550386"/>
    <w:rsid w:val="0055046F"/>
    <w:rsid w:val="00551120"/>
    <w:rsid w:val="00551375"/>
    <w:rsid w:val="0055164E"/>
    <w:rsid w:val="00551B54"/>
    <w:rsid w:val="00552185"/>
    <w:rsid w:val="0055241C"/>
    <w:rsid w:val="00552429"/>
    <w:rsid w:val="00552788"/>
    <w:rsid w:val="005529D4"/>
    <w:rsid w:val="00552EA7"/>
    <w:rsid w:val="00552F30"/>
    <w:rsid w:val="00553698"/>
    <w:rsid w:val="005536CC"/>
    <w:rsid w:val="00554390"/>
    <w:rsid w:val="005546D8"/>
    <w:rsid w:val="00554878"/>
    <w:rsid w:val="00554BE1"/>
    <w:rsid w:val="00554ED3"/>
    <w:rsid w:val="00555141"/>
    <w:rsid w:val="0055546A"/>
    <w:rsid w:val="00555565"/>
    <w:rsid w:val="00555749"/>
    <w:rsid w:val="00555A30"/>
    <w:rsid w:val="00555B23"/>
    <w:rsid w:val="00555FDF"/>
    <w:rsid w:val="005562E4"/>
    <w:rsid w:val="005566FC"/>
    <w:rsid w:val="00557134"/>
    <w:rsid w:val="005574C0"/>
    <w:rsid w:val="0055755D"/>
    <w:rsid w:val="0055771D"/>
    <w:rsid w:val="00557A64"/>
    <w:rsid w:val="0056037A"/>
    <w:rsid w:val="00561156"/>
    <w:rsid w:val="005613F9"/>
    <w:rsid w:val="005617BA"/>
    <w:rsid w:val="00561DD4"/>
    <w:rsid w:val="00561F9E"/>
    <w:rsid w:val="0056210F"/>
    <w:rsid w:val="00562137"/>
    <w:rsid w:val="00562997"/>
    <w:rsid w:val="005630D5"/>
    <w:rsid w:val="00563509"/>
    <w:rsid w:val="00564A82"/>
    <w:rsid w:val="00564F13"/>
    <w:rsid w:val="00564FD6"/>
    <w:rsid w:val="00565C75"/>
    <w:rsid w:val="00566930"/>
    <w:rsid w:val="00567024"/>
    <w:rsid w:val="005670E2"/>
    <w:rsid w:val="005671ED"/>
    <w:rsid w:val="00567E65"/>
    <w:rsid w:val="0057037E"/>
    <w:rsid w:val="0057056D"/>
    <w:rsid w:val="00571581"/>
    <w:rsid w:val="005717A3"/>
    <w:rsid w:val="00571E3F"/>
    <w:rsid w:val="00571E9A"/>
    <w:rsid w:val="00571F36"/>
    <w:rsid w:val="00571F58"/>
    <w:rsid w:val="00572008"/>
    <w:rsid w:val="00572672"/>
    <w:rsid w:val="00572704"/>
    <w:rsid w:val="005728D8"/>
    <w:rsid w:val="005729AB"/>
    <w:rsid w:val="005730CC"/>
    <w:rsid w:val="00573332"/>
    <w:rsid w:val="005734BE"/>
    <w:rsid w:val="00573C86"/>
    <w:rsid w:val="0057426A"/>
    <w:rsid w:val="00574658"/>
    <w:rsid w:val="00574A9E"/>
    <w:rsid w:val="00575AE6"/>
    <w:rsid w:val="00575C31"/>
    <w:rsid w:val="0057683A"/>
    <w:rsid w:val="00576843"/>
    <w:rsid w:val="00577154"/>
    <w:rsid w:val="0057756C"/>
    <w:rsid w:val="005776AC"/>
    <w:rsid w:val="00577C51"/>
    <w:rsid w:val="00577F81"/>
    <w:rsid w:val="0058037F"/>
    <w:rsid w:val="00580A69"/>
    <w:rsid w:val="00581031"/>
    <w:rsid w:val="0058107B"/>
    <w:rsid w:val="00581303"/>
    <w:rsid w:val="005818BE"/>
    <w:rsid w:val="00581B96"/>
    <w:rsid w:val="005825DE"/>
    <w:rsid w:val="00582DC4"/>
    <w:rsid w:val="005831D7"/>
    <w:rsid w:val="0058426C"/>
    <w:rsid w:val="00584657"/>
    <w:rsid w:val="0058467D"/>
    <w:rsid w:val="00584763"/>
    <w:rsid w:val="00584970"/>
    <w:rsid w:val="005856DD"/>
    <w:rsid w:val="00585824"/>
    <w:rsid w:val="0058583E"/>
    <w:rsid w:val="00585B4F"/>
    <w:rsid w:val="00585D47"/>
    <w:rsid w:val="005861BC"/>
    <w:rsid w:val="005870ED"/>
    <w:rsid w:val="00587121"/>
    <w:rsid w:val="00587DE6"/>
    <w:rsid w:val="00590601"/>
    <w:rsid w:val="0059069C"/>
    <w:rsid w:val="00590BED"/>
    <w:rsid w:val="00590C35"/>
    <w:rsid w:val="00590CDA"/>
    <w:rsid w:val="005919FE"/>
    <w:rsid w:val="0059221D"/>
    <w:rsid w:val="005928DF"/>
    <w:rsid w:val="00592B59"/>
    <w:rsid w:val="00592E99"/>
    <w:rsid w:val="0059332D"/>
    <w:rsid w:val="005935C9"/>
    <w:rsid w:val="00593A6F"/>
    <w:rsid w:val="00593BA9"/>
    <w:rsid w:val="00593E31"/>
    <w:rsid w:val="00593E4E"/>
    <w:rsid w:val="00595915"/>
    <w:rsid w:val="005964E3"/>
    <w:rsid w:val="005964E9"/>
    <w:rsid w:val="005965C2"/>
    <w:rsid w:val="00596BC2"/>
    <w:rsid w:val="00597639"/>
    <w:rsid w:val="005977E6"/>
    <w:rsid w:val="00597996"/>
    <w:rsid w:val="005979C3"/>
    <w:rsid w:val="005A01E2"/>
    <w:rsid w:val="005A0239"/>
    <w:rsid w:val="005A0475"/>
    <w:rsid w:val="005A0587"/>
    <w:rsid w:val="005A0632"/>
    <w:rsid w:val="005A06E6"/>
    <w:rsid w:val="005A0D30"/>
    <w:rsid w:val="005A1109"/>
    <w:rsid w:val="005A1411"/>
    <w:rsid w:val="005A1CE3"/>
    <w:rsid w:val="005A1FF9"/>
    <w:rsid w:val="005A25F6"/>
    <w:rsid w:val="005A30A7"/>
    <w:rsid w:val="005A3AE1"/>
    <w:rsid w:val="005A41FD"/>
    <w:rsid w:val="005A4533"/>
    <w:rsid w:val="005A4593"/>
    <w:rsid w:val="005A468F"/>
    <w:rsid w:val="005A4876"/>
    <w:rsid w:val="005A4B51"/>
    <w:rsid w:val="005A5166"/>
    <w:rsid w:val="005A5769"/>
    <w:rsid w:val="005A580F"/>
    <w:rsid w:val="005A5B02"/>
    <w:rsid w:val="005A5B92"/>
    <w:rsid w:val="005A5E73"/>
    <w:rsid w:val="005A6216"/>
    <w:rsid w:val="005A6437"/>
    <w:rsid w:val="005A7277"/>
    <w:rsid w:val="005A76AA"/>
    <w:rsid w:val="005A779F"/>
    <w:rsid w:val="005A7950"/>
    <w:rsid w:val="005A7B5D"/>
    <w:rsid w:val="005B0726"/>
    <w:rsid w:val="005B0898"/>
    <w:rsid w:val="005B0968"/>
    <w:rsid w:val="005B1420"/>
    <w:rsid w:val="005B155E"/>
    <w:rsid w:val="005B18B8"/>
    <w:rsid w:val="005B1B11"/>
    <w:rsid w:val="005B1DC2"/>
    <w:rsid w:val="005B256A"/>
    <w:rsid w:val="005B28FF"/>
    <w:rsid w:val="005B2E4B"/>
    <w:rsid w:val="005B2E56"/>
    <w:rsid w:val="005B3067"/>
    <w:rsid w:val="005B340C"/>
    <w:rsid w:val="005B3A94"/>
    <w:rsid w:val="005B426F"/>
    <w:rsid w:val="005B4592"/>
    <w:rsid w:val="005B47BD"/>
    <w:rsid w:val="005B48EA"/>
    <w:rsid w:val="005B4C29"/>
    <w:rsid w:val="005B4C9F"/>
    <w:rsid w:val="005B5BD9"/>
    <w:rsid w:val="005B626F"/>
    <w:rsid w:val="005B65AD"/>
    <w:rsid w:val="005B69E6"/>
    <w:rsid w:val="005B6A65"/>
    <w:rsid w:val="005B7822"/>
    <w:rsid w:val="005B7EF6"/>
    <w:rsid w:val="005C02F1"/>
    <w:rsid w:val="005C13D2"/>
    <w:rsid w:val="005C1419"/>
    <w:rsid w:val="005C23F7"/>
    <w:rsid w:val="005C2710"/>
    <w:rsid w:val="005C294A"/>
    <w:rsid w:val="005C2D19"/>
    <w:rsid w:val="005C3249"/>
    <w:rsid w:val="005C331D"/>
    <w:rsid w:val="005C36C6"/>
    <w:rsid w:val="005C37A8"/>
    <w:rsid w:val="005C3EA5"/>
    <w:rsid w:val="005C490B"/>
    <w:rsid w:val="005C4961"/>
    <w:rsid w:val="005C4BF3"/>
    <w:rsid w:val="005C4BFA"/>
    <w:rsid w:val="005C5220"/>
    <w:rsid w:val="005C55C7"/>
    <w:rsid w:val="005C5F68"/>
    <w:rsid w:val="005C623D"/>
    <w:rsid w:val="005C68E1"/>
    <w:rsid w:val="005C6B1F"/>
    <w:rsid w:val="005C6BA5"/>
    <w:rsid w:val="005C7053"/>
    <w:rsid w:val="005C7580"/>
    <w:rsid w:val="005C75A5"/>
    <w:rsid w:val="005C7AB1"/>
    <w:rsid w:val="005C7CA1"/>
    <w:rsid w:val="005C7E64"/>
    <w:rsid w:val="005D05C4"/>
    <w:rsid w:val="005D05E9"/>
    <w:rsid w:val="005D0832"/>
    <w:rsid w:val="005D133A"/>
    <w:rsid w:val="005D1A13"/>
    <w:rsid w:val="005D1FF1"/>
    <w:rsid w:val="005D21C2"/>
    <w:rsid w:val="005D27F4"/>
    <w:rsid w:val="005D28C2"/>
    <w:rsid w:val="005D2BEA"/>
    <w:rsid w:val="005D300D"/>
    <w:rsid w:val="005D345A"/>
    <w:rsid w:val="005D34AE"/>
    <w:rsid w:val="005D36FA"/>
    <w:rsid w:val="005D3785"/>
    <w:rsid w:val="005D386D"/>
    <w:rsid w:val="005D3C87"/>
    <w:rsid w:val="005D3FB9"/>
    <w:rsid w:val="005D41C9"/>
    <w:rsid w:val="005D44DF"/>
    <w:rsid w:val="005D458B"/>
    <w:rsid w:val="005D46C6"/>
    <w:rsid w:val="005D4AAE"/>
    <w:rsid w:val="005D502F"/>
    <w:rsid w:val="005D6405"/>
    <w:rsid w:val="005D6A78"/>
    <w:rsid w:val="005D76FB"/>
    <w:rsid w:val="005D79AD"/>
    <w:rsid w:val="005D7D42"/>
    <w:rsid w:val="005E01D2"/>
    <w:rsid w:val="005E0678"/>
    <w:rsid w:val="005E1CE5"/>
    <w:rsid w:val="005E1E6D"/>
    <w:rsid w:val="005E23D0"/>
    <w:rsid w:val="005E269F"/>
    <w:rsid w:val="005E28AA"/>
    <w:rsid w:val="005E3317"/>
    <w:rsid w:val="005E3518"/>
    <w:rsid w:val="005E389D"/>
    <w:rsid w:val="005E3C27"/>
    <w:rsid w:val="005E3DB5"/>
    <w:rsid w:val="005E4704"/>
    <w:rsid w:val="005E4FED"/>
    <w:rsid w:val="005E5694"/>
    <w:rsid w:val="005E5852"/>
    <w:rsid w:val="005E5A1E"/>
    <w:rsid w:val="005E60E3"/>
    <w:rsid w:val="005E7065"/>
    <w:rsid w:val="005E7077"/>
    <w:rsid w:val="005F00B4"/>
    <w:rsid w:val="005F060C"/>
    <w:rsid w:val="005F0BFA"/>
    <w:rsid w:val="005F1318"/>
    <w:rsid w:val="005F18C2"/>
    <w:rsid w:val="005F20B0"/>
    <w:rsid w:val="005F2245"/>
    <w:rsid w:val="005F22CB"/>
    <w:rsid w:val="005F2E0A"/>
    <w:rsid w:val="005F3265"/>
    <w:rsid w:val="005F33B6"/>
    <w:rsid w:val="005F3513"/>
    <w:rsid w:val="005F3E40"/>
    <w:rsid w:val="005F41E8"/>
    <w:rsid w:val="005F4846"/>
    <w:rsid w:val="005F48ED"/>
    <w:rsid w:val="005F4B78"/>
    <w:rsid w:val="005F4B85"/>
    <w:rsid w:val="005F53E1"/>
    <w:rsid w:val="005F5DB5"/>
    <w:rsid w:val="005F5EB8"/>
    <w:rsid w:val="005F5EEA"/>
    <w:rsid w:val="005F782B"/>
    <w:rsid w:val="005F7FF7"/>
    <w:rsid w:val="00602060"/>
    <w:rsid w:val="00602FB8"/>
    <w:rsid w:val="00603D3B"/>
    <w:rsid w:val="00604019"/>
    <w:rsid w:val="00604401"/>
    <w:rsid w:val="00605336"/>
    <w:rsid w:val="006055F5"/>
    <w:rsid w:val="00605C4F"/>
    <w:rsid w:val="00606420"/>
    <w:rsid w:val="006066E3"/>
    <w:rsid w:val="00606928"/>
    <w:rsid w:val="00606D7F"/>
    <w:rsid w:val="00606FF6"/>
    <w:rsid w:val="00607120"/>
    <w:rsid w:val="00607CD8"/>
    <w:rsid w:val="00607D95"/>
    <w:rsid w:val="0061010E"/>
    <w:rsid w:val="006102AD"/>
    <w:rsid w:val="0061044E"/>
    <w:rsid w:val="00610FEE"/>
    <w:rsid w:val="00611682"/>
    <w:rsid w:val="00611B24"/>
    <w:rsid w:val="00611C8C"/>
    <w:rsid w:val="00611FD4"/>
    <w:rsid w:val="0061254F"/>
    <w:rsid w:val="00612E1C"/>
    <w:rsid w:val="0061311C"/>
    <w:rsid w:val="006136EC"/>
    <w:rsid w:val="00613FAB"/>
    <w:rsid w:val="006158B2"/>
    <w:rsid w:val="006159B8"/>
    <w:rsid w:val="00615E29"/>
    <w:rsid w:val="00615F2D"/>
    <w:rsid w:val="00615FA4"/>
    <w:rsid w:val="006160F3"/>
    <w:rsid w:val="00616195"/>
    <w:rsid w:val="006165C9"/>
    <w:rsid w:val="00616689"/>
    <w:rsid w:val="00616DF7"/>
    <w:rsid w:val="0061738C"/>
    <w:rsid w:val="006175F2"/>
    <w:rsid w:val="00617820"/>
    <w:rsid w:val="006202CE"/>
    <w:rsid w:val="00620C2E"/>
    <w:rsid w:val="00620EFB"/>
    <w:rsid w:val="00621745"/>
    <w:rsid w:val="00621859"/>
    <w:rsid w:val="006219D1"/>
    <w:rsid w:val="00621A95"/>
    <w:rsid w:val="006225FE"/>
    <w:rsid w:val="00622B1B"/>
    <w:rsid w:val="00622B92"/>
    <w:rsid w:val="00622D20"/>
    <w:rsid w:val="00622F09"/>
    <w:rsid w:val="00622F70"/>
    <w:rsid w:val="00622FDB"/>
    <w:rsid w:val="0062391D"/>
    <w:rsid w:val="00623A47"/>
    <w:rsid w:val="00623AC3"/>
    <w:rsid w:val="00623D36"/>
    <w:rsid w:val="00623DF0"/>
    <w:rsid w:val="006240BC"/>
    <w:rsid w:val="00624423"/>
    <w:rsid w:val="0062444B"/>
    <w:rsid w:val="00624A3A"/>
    <w:rsid w:val="006252F3"/>
    <w:rsid w:val="00625444"/>
    <w:rsid w:val="0062550C"/>
    <w:rsid w:val="00625E07"/>
    <w:rsid w:val="00625E0F"/>
    <w:rsid w:val="00626C65"/>
    <w:rsid w:val="006275A3"/>
    <w:rsid w:val="00627721"/>
    <w:rsid w:val="006278D2"/>
    <w:rsid w:val="00627B9F"/>
    <w:rsid w:val="00630989"/>
    <w:rsid w:val="00630AD3"/>
    <w:rsid w:val="00630DCD"/>
    <w:rsid w:val="00630E62"/>
    <w:rsid w:val="00630F2B"/>
    <w:rsid w:val="0063157E"/>
    <w:rsid w:val="00632006"/>
    <w:rsid w:val="006320FF"/>
    <w:rsid w:val="00632115"/>
    <w:rsid w:val="0063211B"/>
    <w:rsid w:val="00632861"/>
    <w:rsid w:val="006328B4"/>
    <w:rsid w:val="00632CD4"/>
    <w:rsid w:val="00632E07"/>
    <w:rsid w:val="00632EE1"/>
    <w:rsid w:val="00633233"/>
    <w:rsid w:val="00633497"/>
    <w:rsid w:val="0063349D"/>
    <w:rsid w:val="006337D0"/>
    <w:rsid w:val="006339A9"/>
    <w:rsid w:val="00633E3E"/>
    <w:rsid w:val="006342BA"/>
    <w:rsid w:val="006345DC"/>
    <w:rsid w:val="00634982"/>
    <w:rsid w:val="006350F9"/>
    <w:rsid w:val="00635118"/>
    <w:rsid w:val="00635781"/>
    <w:rsid w:val="006357B6"/>
    <w:rsid w:val="00635874"/>
    <w:rsid w:val="00636017"/>
    <w:rsid w:val="00636519"/>
    <w:rsid w:val="00636E8D"/>
    <w:rsid w:val="0063796C"/>
    <w:rsid w:val="006403FE"/>
    <w:rsid w:val="00640B8E"/>
    <w:rsid w:val="00640E90"/>
    <w:rsid w:val="00641543"/>
    <w:rsid w:val="0064167F"/>
    <w:rsid w:val="00641A7A"/>
    <w:rsid w:val="00641B55"/>
    <w:rsid w:val="00641B6D"/>
    <w:rsid w:val="006424E9"/>
    <w:rsid w:val="006427F1"/>
    <w:rsid w:val="00643EF7"/>
    <w:rsid w:val="00643F06"/>
    <w:rsid w:val="00643F4A"/>
    <w:rsid w:val="006441EC"/>
    <w:rsid w:val="00644601"/>
    <w:rsid w:val="0064476B"/>
    <w:rsid w:val="00644CAB"/>
    <w:rsid w:val="006452ED"/>
    <w:rsid w:val="0064532D"/>
    <w:rsid w:val="006465EF"/>
    <w:rsid w:val="006466BD"/>
    <w:rsid w:val="00646E27"/>
    <w:rsid w:val="0064771E"/>
    <w:rsid w:val="00647A93"/>
    <w:rsid w:val="00647EDD"/>
    <w:rsid w:val="0065054A"/>
    <w:rsid w:val="0065061B"/>
    <w:rsid w:val="00650AFC"/>
    <w:rsid w:val="0065137E"/>
    <w:rsid w:val="00651401"/>
    <w:rsid w:val="00651FA3"/>
    <w:rsid w:val="00652612"/>
    <w:rsid w:val="0065262A"/>
    <w:rsid w:val="00652CCC"/>
    <w:rsid w:val="00653319"/>
    <w:rsid w:val="006537BC"/>
    <w:rsid w:val="006537FF"/>
    <w:rsid w:val="0065388D"/>
    <w:rsid w:val="00653C61"/>
    <w:rsid w:val="00653F70"/>
    <w:rsid w:val="006549CF"/>
    <w:rsid w:val="00654A8C"/>
    <w:rsid w:val="00655523"/>
    <w:rsid w:val="00656506"/>
    <w:rsid w:val="0065683E"/>
    <w:rsid w:val="00656863"/>
    <w:rsid w:val="00656AF1"/>
    <w:rsid w:val="00656B44"/>
    <w:rsid w:val="00656C03"/>
    <w:rsid w:val="0065719B"/>
    <w:rsid w:val="00657286"/>
    <w:rsid w:val="00657B40"/>
    <w:rsid w:val="00657CC5"/>
    <w:rsid w:val="006600CC"/>
    <w:rsid w:val="006609A3"/>
    <w:rsid w:val="00660D36"/>
    <w:rsid w:val="00661166"/>
    <w:rsid w:val="006611AF"/>
    <w:rsid w:val="00661952"/>
    <w:rsid w:val="00661A68"/>
    <w:rsid w:val="006620A7"/>
    <w:rsid w:val="00662DFE"/>
    <w:rsid w:val="00663307"/>
    <w:rsid w:val="00663A24"/>
    <w:rsid w:val="00663CD5"/>
    <w:rsid w:val="00664885"/>
    <w:rsid w:val="00664971"/>
    <w:rsid w:val="00664EF1"/>
    <w:rsid w:val="00665CCB"/>
    <w:rsid w:val="00665F21"/>
    <w:rsid w:val="0066621A"/>
    <w:rsid w:val="00666754"/>
    <w:rsid w:val="00666828"/>
    <w:rsid w:val="006673ED"/>
    <w:rsid w:val="006675B9"/>
    <w:rsid w:val="0066777D"/>
    <w:rsid w:val="00667785"/>
    <w:rsid w:val="00667C46"/>
    <w:rsid w:val="0067010A"/>
    <w:rsid w:val="00671473"/>
    <w:rsid w:val="00672152"/>
    <w:rsid w:val="00672703"/>
    <w:rsid w:val="00672CE2"/>
    <w:rsid w:val="00672E6F"/>
    <w:rsid w:val="00672F2E"/>
    <w:rsid w:val="00673771"/>
    <w:rsid w:val="0067409F"/>
    <w:rsid w:val="00674213"/>
    <w:rsid w:val="00674611"/>
    <w:rsid w:val="0067472E"/>
    <w:rsid w:val="00674E1A"/>
    <w:rsid w:val="006752FC"/>
    <w:rsid w:val="0067619E"/>
    <w:rsid w:val="006765EA"/>
    <w:rsid w:val="00676A96"/>
    <w:rsid w:val="00676ED3"/>
    <w:rsid w:val="00677293"/>
    <w:rsid w:val="00677739"/>
    <w:rsid w:val="00680600"/>
    <w:rsid w:val="006806AD"/>
    <w:rsid w:val="00680790"/>
    <w:rsid w:val="00680BD6"/>
    <w:rsid w:val="00680E8D"/>
    <w:rsid w:val="00681034"/>
    <w:rsid w:val="00681905"/>
    <w:rsid w:val="00681B95"/>
    <w:rsid w:val="00681F87"/>
    <w:rsid w:val="00681FA3"/>
    <w:rsid w:val="00682654"/>
    <w:rsid w:val="00682989"/>
    <w:rsid w:val="00683139"/>
    <w:rsid w:val="0068334C"/>
    <w:rsid w:val="006836D8"/>
    <w:rsid w:val="00683819"/>
    <w:rsid w:val="00683F7A"/>
    <w:rsid w:val="00684376"/>
    <w:rsid w:val="00685185"/>
    <w:rsid w:val="006853FF"/>
    <w:rsid w:val="006854A0"/>
    <w:rsid w:val="00685CAB"/>
    <w:rsid w:val="00685DB9"/>
    <w:rsid w:val="00686516"/>
    <w:rsid w:val="00686D55"/>
    <w:rsid w:val="00687997"/>
    <w:rsid w:val="00687FED"/>
    <w:rsid w:val="006907A0"/>
    <w:rsid w:val="00690A92"/>
    <w:rsid w:val="00690AB0"/>
    <w:rsid w:val="0069146E"/>
    <w:rsid w:val="00691A32"/>
    <w:rsid w:val="006923C0"/>
    <w:rsid w:val="00692798"/>
    <w:rsid w:val="0069282F"/>
    <w:rsid w:val="0069284C"/>
    <w:rsid w:val="00692C51"/>
    <w:rsid w:val="00692CEB"/>
    <w:rsid w:val="00693D07"/>
    <w:rsid w:val="00694272"/>
    <w:rsid w:val="00694468"/>
    <w:rsid w:val="006944BE"/>
    <w:rsid w:val="006945C1"/>
    <w:rsid w:val="0069539D"/>
    <w:rsid w:val="00695AA4"/>
    <w:rsid w:val="00695B67"/>
    <w:rsid w:val="006961D2"/>
    <w:rsid w:val="00696615"/>
    <w:rsid w:val="00696723"/>
    <w:rsid w:val="006971C3"/>
    <w:rsid w:val="006972A4"/>
    <w:rsid w:val="00697579"/>
    <w:rsid w:val="006976D3"/>
    <w:rsid w:val="00697982"/>
    <w:rsid w:val="00697D86"/>
    <w:rsid w:val="006A00B5"/>
    <w:rsid w:val="006A0820"/>
    <w:rsid w:val="006A09B2"/>
    <w:rsid w:val="006A1620"/>
    <w:rsid w:val="006A16D7"/>
    <w:rsid w:val="006A1C13"/>
    <w:rsid w:val="006A2062"/>
    <w:rsid w:val="006A2381"/>
    <w:rsid w:val="006A2D4A"/>
    <w:rsid w:val="006A31C6"/>
    <w:rsid w:val="006A352C"/>
    <w:rsid w:val="006A39AD"/>
    <w:rsid w:val="006A3C15"/>
    <w:rsid w:val="006A4024"/>
    <w:rsid w:val="006A40CF"/>
    <w:rsid w:val="006A4269"/>
    <w:rsid w:val="006A4AB2"/>
    <w:rsid w:val="006A4FE5"/>
    <w:rsid w:val="006A5241"/>
    <w:rsid w:val="006A543A"/>
    <w:rsid w:val="006A5630"/>
    <w:rsid w:val="006A5846"/>
    <w:rsid w:val="006A5AFF"/>
    <w:rsid w:val="006A5FDB"/>
    <w:rsid w:val="006A61F1"/>
    <w:rsid w:val="006A645E"/>
    <w:rsid w:val="006A6578"/>
    <w:rsid w:val="006A6BAC"/>
    <w:rsid w:val="006A6E14"/>
    <w:rsid w:val="006A7154"/>
    <w:rsid w:val="006A71D3"/>
    <w:rsid w:val="006A75D9"/>
    <w:rsid w:val="006A768E"/>
    <w:rsid w:val="006A78B3"/>
    <w:rsid w:val="006A7D3D"/>
    <w:rsid w:val="006A7E46"/>
    <w:rsid w:val="006B02B0"/>
    <w:rsid w:val="006B0605"/>
    <w:rsid w:val="006B0A3E"/>
    <w:rsid w:val="006B10B5"/>
    <w:rsid w:val="006B11A8"/>
    <w:rsid w:val="006B130C"/>
    <w:rsid w:val="006B13F1"/>
    <w:rsid w:val="006B19AC"/>
    <w:rsid w:val="006B1B5B"/>
    <w:rsid w:val="006B1D30"/>
    <w:rsid w:val="006B2025"/>
    <w:rsid w:val="006B2323"/>
    <w:rsid w:val="006B33C9"/>
    <w:rsid w:val="006B4018"/>
    <w:rsid w:val="006B4A1A"/>
    <w:rsid w:val="006B4B10"/>
    <w:rsid w:val="006B4D6B"/>
    <w:rsid w:val="006B5129"/>
    <w:rsid w:val="006B51BB"/>
    <w:rsid w:val="006B557D"/>
    <w:rsid w:val="006B5586"/>
    <w:rsid w:val="006B666F"/>
    <w:rsid w:val="006B66EF"/>
    <w:rsid w:val="006B75C2"/>
    <w:rsid w:val="006C0369"/>
    <w:rsid w:val="006C0900"/>
    <w:rsid w:val="006C09A5"/>
    <w:rsid w:val="006C0FD6"/>
    <w:rsid w:val="006C1056"/>
    <w:rsid w:val="006C151F"/>
    <w:rsid w:val="006C19BF"/>
    <w:rsid w:val="006C1DA9"/>
    <w:rsid w:val="006C22FD"/>
    <w:rsid w:val="006C386A"/>
    <w:rsid w:val="006C4218"/>
    <w:rsid w:val="006C4620"/>
    <w:rsid w:val="006C4A17"/>
    <w:rsid w:val="006C4F4F"/>
    <w:rsid w:val="006C5105"/>
    <w:rsid w:val="006C5285"/>
    <w:rsid w:val="006C53DE"/>
    <w:rsid w:val="006C5723"/>
    <w:rsid w:val="006C5BB2"/>
    <w:rsid w:val="006C5BE1"/>
    <w:rsid w:val="006C5BE6"/>
    <w:rsid w:val="006C6198"/>
    <w:rsid w:val="006C6704"/>
    <w:rsid w:val="006C6C01"/>
    <w:rsid w:val="006C72B2"/>
    <w:rsid w:val="006C79D1"/>
    <w:rsid w:val="006C7EB8"/>
    <w:rsid w:val="006D0336"/>
    <w:rsid w:val="006D0A32"/>
    <w:rsid w:val="006D0E1C"/>
    <w:rsid w:val="006D0E83"/>
    <w:rsid w:val="006D0F1E"/>
    <w:rsid w:val="006D14CB"/>
    <w:rsid w:val="006D1A0E"/>
    <w:rsid w:val="006D29D1"/>
    <w:rsid w:val="006D2B22"/>
    <w:rsid w:val="006D307F"/>
    <w:rsid w:val="006D334B"/>
    <w:rsid w:val="006D3691"/>
    <w:rsid w:val="006D3A4C"/>
    <w:rsid w:val="006D3E76"/>
    <w:rsid w:val="006D3ED8"/>
    <w:rsid w:val="006D537D"/>
    <w:rsid w:val="006D5690"/>
    <w:rsid w:val="006D5E24"/>
    <w:rsid w:val="006D6B56"/>
    <w:rsid w:val="006D6D87"/>
    <w:rsid w:val="006D776D"/>
    <w:rsid w:val="006D7C36"/>
    <w:rsid w:val="006D7C83"/>
    <w:rsid w:val="006E0247"/>
    <w:rsid w:val="006E04E2"/>
    <w:rsid w:val="006E05DA"/>
    <w:rsid w:val="006E064B"/>
    <w:rsid w:val="006E107A"/>
    <w:rsid w:val="006E1338"/>
    <w:rsid w:val="006E134E"/>
    <w:rsid w:val="006E135E"/>
    <w:rsid w:val="006E1612"/>
    <w:rsid w:val="006E1CCB"/>
    <w:rsid w:val="006E1E26"/>
    <w:rsid w:val="006E1F81"/>
    <w:rsid w:val="006E1F92"/>
    <w:rsid w:val="006E203C"/>
    <w:rsid w:val="006E21C3"/>
    <w:rsid w:val="006E2282"/>
    <w:rsid w:val="006E241F"/>
    <w:rsid w:val="006E28F5"/>
    <w:rsid w:val="006E33F7"/>
    <w:rsid w:val="006E4190"/>
    <w:rsid w:val="006E4740"/>
    <w:rsid w:val="006E4ADB"/>
    <w:rsid w:val="006E62D2"/>
    <w:rsid w:val="006E66CF"/>
    <w:rsid w:val="006E674A"/>
    <w:rsid w:val="006E6D8A"/>
    <w:rsid w:val="006E709F"/>
    <w:rsid w:val="006E74F1"/>
    <w:rsid w:val="006E7CE6"/>
    <w:rsid w:val="006F0266"/>
    <w:rsid w:val="006F03E9"/>
    <w:rsid w:val="006F0724"/>
    <w:rsid w:val="006F0A85"/>
    <w:rsid w:val="006F0E9F"/>
    <w:rsid w:val="006F173E"/>
    <w:rsid w:val="006F1EBF"/>
    <w:rsid w:val="006F2185"/>
    <w:rsid w:val="006F288E"/>
    <w:rsid w:val="006F2C6C"/>
    <w:rsid w:val="006F3312"/>
    <w:rsid w:val="006F34E5"/>
    <w:rsid w:val="006F37B2"/>
    <w:rsid w:val="006F4456"/>
    <w:rsid w:val="006F4AA5"/>
    <w:rsid w:val="006F5109"/>
    <w:rsid w:val="006F53B0"/>
    <w:rsid w:val="006F5610"/>
    <w:rsid w:val="006F5775"/>
    <w:rsid w:val="006F5AD1"/>
    <w:rsid w:val="006F5E52"/>
    <w:rsid w:val="006F5FF2"/>
    <w:rsid w:val="006F6063"/>
    <w:rsid w:val="006F6107"/>
    <w:rsid w:val="006F6F68"/>
    <w:rsid w:val="006F7290"/>
    <w:rsid w:val="006F72D2"/>
    <w:rsid w:val="006F7504"/>
    <w:rsid w:val="006F7E3A"/>
    <w:rsid w:val="006FA5A0"/>
    <w:rsid w:val="00700400"/>
    <w:rsid w:val="00700663"/>
    <w:rsid w:val="0070075F"/>
    <w:rsid w:val="007007D1"/>
    <w:rsid w:val="0070080B"/>
    <w:rsid w:val="0070081D"/>
    <w:rsid w:val="00701202"/>
    <w:rsid w:val="00701B9A"/>
    <w:rsid w:val="00702140"/>
    <w:rsid w:val="00702A6F"/>
    <w:rsid w:val="00702B22"/>
    <w:rsid w:val="00702C2B"/>
    <w:rsid w:val="00702DDD"/>
    <w:rsid w:val="00703230"/>
    <w:rsid w:val="0070376D"/>
    <w:rsid w:val="00703913"/>
    <w:rsid w:val="00703AE6"/>
    <w:rsid w:val="00703D15"/>
    <w:rsid w:val="007043A5"/>
    <w:rsid w:val="00704770"/>
    <w:rsid w:val="00704BFF"/>
    <w:rsid w:val="00704F24"/>
    <w:rsid w:val="007053D8"/>
    <w:rsid w:val="00705C1B"/>
    <w:rsid w:val="00705D0C"/>
    <w:rsid w:val="00705D51"/>
    <w:rsid w:val="00706195"/>
    <w:rsid w:val="007068B7"/>
    <w:rsid w:val="0070762B"/>
    <w:rsid w:val="00707C84"/>
    <w:rsid w:val="00710421"/>
    <w:rsid w:val="00710E3E"/>
    <w:rsid w:val="00710F72"/>
    <w:rsid w:val="007112D0"/>
    <w:rsid w:val="007114BE"/>
    <w:rsid w:val="00711DEA"/>
    <w:rsid w:val="007120DC"/>
    <w:rsid w:val="00712189"/>
    <w:rsid w:val="0071262F"/>
    <w:rsid w:val="007126A4"/>
    <w:rsid w:val="00712E23"/>
    <w:rsid w:val="0071340A"/>
    <w:rsid w:val="00713B9C"/>
    <w:rsid w:val="00713BAC"/>
    <w:rsid w:val="00713F83"/>
    <w:rsid w:val="007140A0"/>
    <w:rsid w:val="00714364"/>
    <w:rsid w:val="007148D9"/>
    <w:rsid w:val="00715418"/>
    <w:rsid w:val="0071565D"/>
    <w:rsid w:val="00715F7C"/>
    <w:rsid w:val="007160EB"/>
    <w:rsid w:val="00716824"/>
    <w:rsid w:val="00716A4A"/>
    <w:rsid w:val="00716B39"/>
    <w:rsid w:val="00716CA9"/>
    <w:rsid w:val="007170F1"/>
    <w:rsid w:val="00720D89"/>
    <w:rsid w:val="00720FCC"/>
    <w:rsid w:val="00721276"/>
    <w:rsid w:val="00721B8F"/>
    <w:rsid w:val="00721F6D"/>
    <w:rsid w:val="00722DE4"/>
    <w:rsid w:val="007231C1"/>
    <w:rsid w:val="00723935"/>
    <w:rsid w:val="00723A07"/>
    <w:rsid w:val="00723C63"/>
    <w:rsid w:val="00723D93"/>
    <w:rsid w:val="00724699"/>
    <w:rsid w:val="00724A41"/>
    <w:rsid w:val="007255ED"/>
    <w:rsid w:val="007257EE"/>
    <w:rsid w:val="00725C72"/>
    <w:rsid w:val="0072615B"/>
    <w:rsid w:val="0072677A"/>
    <w:rsid w:val="00726AA5"/>
    <w:rsid w:val="00727E17"/>
    <w:rsid w:val="0073046A"/>
    <w:rsid w:val="007304D7"/>
    <w:rsid w:val="00731876"/>
    <w:rsid w:val="00732621"/>
    <w:rsid w:val="00732D44"/>
    <w:rsid w:val="00733384"/>
    <w:rsid w:val="00734D71"/>
    <w:rsid w:val="007366AA"/>
    <w:rsid w:val="00737459"/>
    <w:rsid w:val="007375B4"/>
    <w:rsid w:val="007378BC"/>
    <w:rsid w:val="00737B26"/>
    <w:rsid w:val="007406F0"/>
    <w:rsid w:val="00740855"/>
    <w:rsid w:val="0074140F"/>
    <w:rsid w:val="00741FBA"/>
    <w:rsid w:val="00742AA3"/>
    <w:rsid w:val="007434F4"/>
    <w:rsid w:val="00744116"/>
    <w:rsid w:val="00744164"/>
    <w:rsid w:val="00744F46"/>
    <w:rsid w:val="00745079"/>
    <w:rsid w:val="007451A9"/>
    <w:rsid w:val="007452E8"/>
    <w:rsid w:val="00745736"/>
    <w:rsid w:val="007457FA"/>
    <w:rsid w:val="00745BC4"/>
    <w:rsid w:val="0074664B"/>
    <w:rsid w:val="00746BD0"/>
    <w:rsid w:val="007477D3"/>
    <w:rsid w:val="007478E0"/>
    <w:rsid w:val="00747926"/>
    <w:rsid w:val="00747D6D"/>
    <w:rsid w:val="00747E53"/>
    <w:rsid w:val="0075111B"/>
    <w:rsid w:val="0075162B"/>
    <w:rsid w:val="00751685"/>
    <w:rsid w:val="00751768"/>
    <w:rsid w:val="00751FE4"/>
    <w:rsid w:val="00752901"/>
    <w:rsid w:val="00752A55"/>
    <w:rsid w:val="00752BD1"/>
    <w:rsid w:val="00752D97"/>
    <w:rsid w:val="0075304B"/>
    <w:rsid w:val="00753BE4"/>
    <w:rsid w:val="0075406C"/>
    <w:rsid w:val="0075476B"/>
    <w:rsid w:val="00754D0B"/>
    <w:rsid w:val="00755170"/>
    <w:rsid w:val="00755275"/>
    <w:rsid w:val="007552F3"/>
    <w:rsid w:val="007555CB"/>
    <w:rsid w:val="007556C2"/>
    <w:rsid w:val="00755A36"/>
    <w:rsid w:val="0075604E"/>
    <w:rsid w:val="00756B05"/>
    <w:rsid w:val="00756B44"/>
    <w:rsid w:val="00757086"/>
    <w:rsid w:val="00757D63"/>
    <w:rsid w:val="007604D9"/>
    <w:rsid w:val="00760785"/>
    <w:rsid w:val="0076087D"/>
    <w:rsid w:val="007608B5"/>
    <w:rsid w:val="0076155E"/>
    <w:rsid w:val="00761B41"/>
    <w:rsid w:val="00762491"/>
    <w:rsid w:val="00762ACE"/>
    <w:rsid w:val="0076322F"/>
    <w:rsid w:val="007636A9"/>
    <w:rsid w:val="007643DE"/>
    <w:rsid w:val="0076455B"/>
    <w:rsid w:val="00764942"/>
    <w:rsid w:val="007655A1"/>
    <w:rsid w:val="00765AB0"/>
    <w:rsid w:val="007663C8"/>
    <w:rsid w:val="0076668B"/>
    <w:rsid w:val="00766716"/>
    <w:rsid w:val="00766EA7"/>
    <w:rsid w:val="0076749F"/>
    <w:rsid w:val="0076759E"/>
    <w:rsid w:val="00767619"/>
    <w:rsid w:val="00767C9D"/>
    <w:rsid w:val="00767FC8"/>
    <w:rsid w:val="007701D0"/>
    <w:rsid w:val="00770B10"/>
    <w:rsid w:val="00770B7E"/>
    <w:rsid w:val="00770B94"/>
    <w:rsid w:val="00772176"/>
    <w:rsid w:val="0077272A"/>
    <w:rsid w:val="00772EE0"/>
    <w:rsid w:val="00772FEF"/>
    <w:rsid w:val="007739F7"/>
    <w:rsid w:val="00773C1F"/>
    <w:rsid w:val="00773D60"/>
    <w:rsid w:val="00773FAE"/>
    <w:rsid w:val="007740E9"/>
    <w:rsid w:val="00774DA0"/>
    <w:rsid w:val="00774E1D"/>
    <w:rsid w:val="00775346"/>
    <w:rsid w:val="007754B9"/>
    <w:rsid w:val="00776014"/>
    <w:rsid w:val="007761C7"/>
    <w:rsid w:val="007764F9"/>
    <w:rsid w:val="0077675F"/>
    <w:rsid w:val="007769B2"/>
    <w:rsid w:val="007773ED"/>
    <w:rsid w:val="00777853"/>
    <w:rsid w:val="00777B3F"/>
    <w:rsid w:val="00780BA5"/>
    <w:rsid w:val="0078140B"/>
    <w:rsid w:val="00781557"/>
    <w:rsid w:val="007821C4"/>
    <w:rsid w:val="00782233"/>
    <w:rsid w:val="007822A3"/>
    <w:rsid w:val="007827A2"/>
    <w:rsid w:val="007832BA"/>
    <w:rsid w:val="00783658"/>
    <w:rsid w:val="007837F4"/>
    <w:rsid w:val="007840B2"/>
    <w:rsid w:val="00784DE7"/>
    <w:rsid w:val="00785230"/>
    <w:rsid w:val="0078527A"/>
    <w:rsid w:val="00785D3B"/>
    <w:rsid w:val="007864CB"/>
    <w:rsid w:val="0078653A"/>
    <w:rsid w:val="00786DA7"/>
    <w:rsid w:val="00787C5F"/>
    <w:rsid w:val="00787CAB"/>
    <w:rsid w:val="0079033E"/>
    <w:rsid w:val="00790477"/>
    <w:rsid w:val="007904D1"/>
    <w:rsid w:val="00790701"/>
    <w:rsid w:val="00790F70"/>
    <w:rsid w:val="00791340"/>
    <w:rsid w:val="007916C9"/>
    <w:rsid w:val="007919DA"/>
    <w:rsid w:val="00791C37"/>
    <w:rsid w:val="00792210"/>
    <w:rsid w:val="00792631"/>
    <w:rsid w:val="00792C30"/>
    <w:rsid w:val="00792E67"/>
    <w:rsid w:val="00793143"/>
    <w:rsid w:val="007936DE"/>
    <w:rsid w:val="00793EBE"/>
    <w:rsid w:val="007940CB"/>
    <w:rsid w:val="00794391"/>
    <w:rsid w:val="007946D2"/>
    <w:rsid w:val="00794C8B"/>
    <w:rsid w:val="00794F5B"/>
    <w:rsid w:val="00795D8A"/>
    <w:rsid w:val="00795FED"/>
    <w:rsid w:val="00795FFC"/>
    <w:rsid w:val="0079615C"/>
    <w:rsid w:val="0079624F"/>
    <w:rsid w:val="0079626F"/>
    <w:rsid w:val="0079708F"/>
    <w:rsid w:val="00797C40"/>
    <w:rsid w:val="007A072A"/>
    <w:rsid w:val="007A09AE"/>
    <w:rsid w:val="007A09DC"/>
    <w:rsid w:val="007A0CB2"/>
    <w:rsid w:val="007A1709"/>
    <w:rsid w:val="007A17D2"/>
    <w:rsid w:val="007A19A4"/>
    <w:rsid w:val="007A1C8D"/>
    <w:rsid w:val="007A1E1A"/>
    <w:rsid w:val="007A261D"/>
    <w:rsid w:val="007A267E"/>
    <w:rsid w:val="007A27E4"/>
    <w:rsid w:val="007A3382"/>
    <w:rsid w:val="007A367A"/>
    <w:rsid w:val="007A3CC4"/>
    <w:rsid w:val="007A41D6"/>
    <w:rsid w:val="007A42CD"/>
    <w:rsid w:val="007A4934"/>
    <w:rsid w:val="007A533E"/>
    <w:rsid w:val="007A5720"/>
    <w:rsid w:val="007A5A01"/>
    <w:rsid w:val="007A610C"/>
    <w:rsid w:val="007A611F"/>
    <w:rsid w:val="007A61F2"/>
    <w:rsid w:val="007A653B"/>
    <w:rsid w:val="007A665B"/>
    <w:rsid w:val="007A6BED"/>
    <w:rsid w:val="007A7004"/>
    <w:rsid w:val="007B0A89"/>
    <w:rsid w:val="007B0EF9"/>
    <w:rsid w:val="007B0FCD"/>
    <w:rsid w:val="007B1010"/>
    <w:rsid w:val="007B1394"/>
    <w:rsid w:val="007B16C8"/>
    <w:rsid w:val="007B1E67"/>
    <w:rsid w:val="007B1E78"/>
    <w:rsid w:val="007B1EB2"/>
    <w:rsid w:val="007B1FC0"/>
    <w:rsid w:val="007B2BE4"/>
    <w:rsid w:val="007B4206"/>
    <w:rsid w:val="007B43C1"/>
    <w:rsid w:val="007B4E54"/>
    <w:rsid w:val="007B4EF5"/>
    <w:rsid w:val="007B5A2A"/>
    <w:rsid w:val="007B5B05"/>
    <w:rsid w:val="007B5E30"/>
    <w:rsid w:val="007B5E90"/>
    <w:rsid w:val="007B61FF"/>
    <w:rsid w:val="007B66B8"/>
    <w:rsid w:val="007B6B0F"/>
    <w:rsid w:val="007B7A87"/>
    <w:rsid w:val="007B7E30"/>
    <w:rsid w:val="007C008E"/>
    <w:rsid w:val="007C0476"/>
    <w:rsid w:val="007C0690"/>
    <w:rsid w:val="007C0C2B"/>
    <w:rsid w:val="007C1F5B"/>
    <w:rsid w:val="007C25F6"/>
    <w:rsid w:val="007C3153"/>
    <w:rsid w:val="007C41CB"/>
    <w:rsid w:val="007C4A7C"/>
    <w:rsid w:val="007C4C99"/>
    <w:rsid w:val="007C4E94"/>
    <w:rsid w:val="007C503C"/>
    <w:rsid w:val="007C5A3B"/>
    <w:rsid w:val="007C5C39"/>
    <w:rsid w:val="007C5C8B"/>
    <w:rsid w:val="007C624E"/>
    <w:rsid w:val="007C6575"/>
    <w:rsid w:val="007C67F1"/>
    <w:rsid w:val="007C6CA6"/>
    <w:rsid w:val="007C6CE5"/>
    <w:rsid w:val="007C7753"/>
    <w:rsid w:val="007C7859"/>
    <w:rsid w:val="007C7AA7"/>
    <w:rsid w:val="007C7AF8"/>
    <w:rsid w:val="007C7E57"/>
    <w:rsid w:val="007C7E87"/>
    <w:rsid w:val="007D01F6"/>
    <w:rsid w:val="007D0384"/>
    <w:rsid w:val="007D0543"/>
    <w:rsid w:val="007D06AB"/>
    <w:rsid w:val="007D0D46"/>
    <w:rsid w:val="007D161F"/>
    <w:rsid w:val="007D1757"/>
    <w:rsid w:val="007D1957"/>
    <w:rsid w:val="007D1DB6"/>
    <w:rsid w:val="007D1E42"/>
    <w:rsid w:val="007D1F1A"/>
    <w:rsid w:val="007D2066"/>
    <w:rsid w:val="007D21C6"/>
    <w:rsid w:val="007D3571"/>
    <w:rsid w:val="007D3641"/>
    <w:rsid w:val="007D3AB9"/>
    <w:rsid w:val="007D3DA1"/>
    <w:rsid w:val="007D3E09"/>
    <w:rsid w:val="007D3E97"/>
    <w:rsid w:val="007D45FB"/>
    <w:rsid w:val="007D4DAA"/>
    <w:rsid w:val="007D4DBA"/>
    <w:rsid w:val="007D5049"/>
    <w:rsid w:val="007D5BA3"/>
    <w:rsid w:val="007D5D9A"/>
    <w:rsid w:val="007D5EF3"/>
    <w:rsid w:val="007D5FC3"/>
    <w:rsid w:val="007D6058"/>
    <w:rsid w:val="007D6A16"/>
    <w:rsid w:val="007D6C30"/>
    <w:rsid w:val="007D7023"/>
    <w:rsid w:val="007D7BFF"/>
    <w:rsid w:val="007D7D50"/>
    <w:rsid w:val="007E06BE"/>
    <w:rsid w:val="007E0778"/>
    <w:rsid w:val="007E11E7"/>
    <w:rsid w:val="007E122E"/>
    <w:rsid w:val="007E151E"/>
    <w:rsid w:val="007E299F"/>
    <w:rsid w:val="007E2D75"/>
    <w:rsid w:val="007E368A"/>
    <w:rsid w:val="007E3875"/>
    <w:rsid w:val="007E3D26"/>
    <w:rsid w:val="007E40C7"/>
    <w:rsid w:val="007E424F"/>
    <w:rsid w:val="007E4B12"/>
    <w:rsid w:val="007E4EE7"/>
    <w:rsid w:val="007E5026"/>
    <w:rsid w:val="007E5328"/>
    <w:rsid w:val="007E6301"/>
    <w:rsid w:val="007E651C"/>
    <w:rsid w:val="007E6793"/>
    <w:rsid w:val="007E75DE"/>
    <w:rsid w:val="007E75F1"/>
    <w:rsid w:val="007E7FDD"/>
    <w:rsid w:val="007F061F"/>
    <w:rsid w:val="007F065B"/>
    <w:rsid w:val="007F0E7D"/>
    <w:rsid w:val="007F176C"/>
    <w:rsid w:val="007F17FC"/>
    <w:rsid w:val="007F1E79"/>
    <w:rsid w:val="007F2539"/>
    <w:rsid w:val="007F29E6"/>
    <w:rsid w:val="007F2BAA"/>
    <w:rsid w:val="007F3249"/>
    <w:rsid w:val="007F33EE"/>
    <w:rsid w:val="007F352D"/>
    <w:rsid w:val="007F39A4"/>
    <w:rsid w:val="007F3D0D"/>
    <w:rsid w:val="007F3E17"/>
    <w:rsid w:val="007F4A9D"/>
    <w:rsid w:val="007F4B06"/>
    <w:rsid w:val="007F4BAE"/>
    <w:rsid w:val="007F55AE"/>
    <w:rsid w:val="007F57AA"/>
    <w:rsid w:val="007F5886"/>
    <w:rsid w:val="007F5C4B"/>
    <w:rsid w:val="007F6025"/>
    <w:rsid w:val="007F667B"/>
    <w:rsid w:val="007F7E34"/>
    <w:rsid w:val="007F7F5F"/>
    <w:rsid w:val="0080000C"/>
    <w:rsid w:val="008003A8"/>
    <w:rsid w:val="008005BD"/>
    <w:rsid w:val="0080093F"/>
    <w:rsid w:val="00800A59"/>
    <w:rsid w:val="00800FAA"/>
    <w:rsid w:val="00801000"/>
    <w:rsid w:val="0080105E"/>
    <w:rsid w:val="0080113E"/>
    <w:rsid w:val="00801867"/>
    <w:rsid w:val="00801CE8"/>
    <w:rsid w:val="00802ADA"/>
    <w:rsid w:val="00803069"/>
    <w:rsid w:val="00803082"/>
    <w:rsid w:val="0080364E"/>
    <w:rsid w:val="008040F2"/>
    <w:rsid w:val="00804629"/>
    <w:rsid w:val="00804B05"/>
    <w:rsid w:val="008053BC"/>
    <w:rsid w:val="008053CA"/>
    <w:rsid w:val="00805846"/>
    <w:rsid w:val="00805885"/>
    <w:rsid w:val="00805A13"/>
    <w:rsid w:val="00806059"/>
    <w:rsid w:val="008061D9"/>
    <w:rsid w:val="0080682D"/>
    <w:rsid w:val="00806D58"/>
    <w:rsid w:val="00806F7C"/>
    <w:rsid w:val="00807040"/>
    <w:rsid w:val="00807057"/>
    <w:rsid w:val="00807344"/>
    <w:rsid w:val="00807A7E"/>
    <w:rsid w:val="0081088F"/>
    <w:rsid w:val="008109DB"/>
    <w:rsid w:val="00810AA5"/>
    <w:rsid w:val="00811106"/>
    <w:rsid w:val="00812521"/>
    <w:rsid w:val="00813104"/>
    <w:rsid w:val="00813EEA"/>
    <w:rsid w:val="00813F7B"/>
    <w:rsid w:val="00813FB9"/>
    <w:rsid w:val="00814E14"/>
    <w:rsid w:val="00815515"/>
    <w:rsid w:val="0081599C"/>
    <w:rsid w:val="00815B5F"/>
    <w:rsid w:val="00815D31"/>
    <w:rsid w:val="00815EE8"/>
    <w:rsid w:val="00815FF2"/>
    <w:rsid w:val="008165A9"/>
    <w:rsid w:val="00816662"/>
    <w:rsid w:val="0081666F"/>
    <w:rsid w:val="00816741"/>
    <w:rsid w:val="00816E19"/>
    <w:rsid w:val="0081765A"/>
    <w:rsid w:val="00817F60"/>
    <w:rsid w:val="008204B5"/>
    <w:rsid w:val="008207EE"/>
    <w:rsid w:val="00821616"/>
    <w:rsid w:val="00821BDD"/>
    <w:rsid w:val="00822F43"/>
    <w:rsid w:val="008233A6"/>
    <w:rsid w:val="00823747"/>
    <w:rsid w:val="00823A88"/>
    <w:rsid w:val="008241FB"/>
    <w:rsid w:val="00824D28"/>
    <w:rsid w:val="00824E5C"/>
    <w:rsid w:val="0082548C"/>
    <w:rsid w:val="00825B84"/>
    <w:rsid w:val="00825D28"/>
    <w:rsid w:val="00825EC7"/>
    <w:rsid w:val="00825F0D"/>
    <w:rsid w:val="008270E2"/>
    <w:rsid w:val="00827154"/>
    <w:rsid w:val="0082747E"/>
    <w:rsid w:val="0082771F"/>
    <w:rsid w:val="00827822"/>
    <w:rsid w:val="00827852"/>
    <w:rsid w:val="00827AF6"/>
    <w:rsid w:val="00827B92"/>
    <w:rsid w:val="00827C90"/>
    <w:rsid w:val="0083064D"/>
    <w:rsid w:val="00830A83"/>
    <w:rsid w:val="00830DFA"/>
    <w:rsid w:val="00830E0D"/>
    <w:rsid w:val="00831675"/>
    <w:rsid w:val="00831A56"/>
    <w:rsid w:val="00831C72"/>
    <w:rsid w:val="008320D6"/>
    <w:rsid w:val="0083232F"/>
    <w:rsid w:val="008326AE"/>
    <w:rsid w:val="00832B69"/>
    <w:rsid w:val="00832B7D"/>
    <w:rsid w:val="00832C3D"/>
    <w:rsid w:val="00832EDB"/>
    <w:rsid w:val="0083321C"/>
    <w:rsid w:val="008336D2"/>
    <w:rsid w:val="00833736"/>
    <w:rsid w:val="00833C5F"/>
    <w:rsid w:val="00835811"/>
    <w:rsid w:val="00835A25"/>
    <w:rsid w:val="00835BA0"/>
    <w:rsid w:val="00835D80"/>
    <w:rsid w:val="00836391"/>
    <w:rsid w:val="00836504"/>
    <w:rsid w:val="0083659B"/>
    <w:rsid w:val="00836D60"/>
    <w:rsid w:val="00836DF8"/>
    <w:rsid w:val="00837B1F"/>
    <w:rsid w:val="0084079F"/>
    <w:rsid w:val="00840DE4"/>
    <w:rsid w:val="00840E53"/>
    <w:rsid w:val="008411FE"/>
    <w:rsid w:val="0084149B"/>
    <w:rsid w:val="00841837"/>
    <w:rsid w:val="00841917"/>
    <w:rsid w:val="00841930"/>
    <w:rsid w:val="00841940"/>
    <w:rsid w:val="008420DA"/>
    <w:rsid w:val="00842569"/>
    <w:rsid w:val="00842F37"/>
    <w:rsid w:val="00842FAC"/>
    <w:rsid w:val="00843260"/>
    <w:rsid w:val="008436AD"/>
    <w:rsid w:val="00843D89"/>
    <w:rsid w:val="008448A2"/>
    <w:rsid w:val="00844A6B"/>
    <w:rsid w:val="00844BF0"/>
    <w:rsid w:val="0084550F"/>
    <w:rsid w:val="008457B0"/>
    <w:rsid w:val="00845A0E"/>
    <w:rsid w:val="00845BA4"/>
    <w:rsid w:val="00845D2D"/>
    <w:rsid w:val="00845FBF"/>
    <w:rsid w:val="00846253"/>
    <w:rsid w:val="0084671F"/>
    <w:rsid w:val="00846BC4"/>
    <w:rsid w:val="00846FE7"/>
    <w:rsid w:val="0084764A"/>
    <w:rsid w:val="00847686"/>
    <w:rsid w:val="008477C1"/>
    <w:rsid w:val="008503FA"/>
    <w:rsid w:val="00850A4F"/>
    <w:rsid w:val="00851396"/>
    <w:rsid w:val="008517EE"/>
    <w:rsid w:val="0085181B"/>
    <w:rsid w:val="00852E74"/>
    <w:rsid w:val="00853237"/>
    <w:rsid w:val="00853755"/>
    <w:rsid w:val="00854508"/>
    <w:rsid w:val="008547AA"/>
    <w:rsid w:val="00854B50"/>
    <w:rsid w:val="00855894"/>
    <w:rsid w:val="008559EB"/>
    <w:rsid w:val="00855A01"/>
    <w:rsid w:val="00855BD8"/>
    <w:rsid w:val="00856198"/>
    <w:rsid w:val="008576EA"/>
    <w:rsid w:val="00860375"/>
    <w:rsid w:val="008604A8"/>
    <w:rsid w:val="0086087F"/>
    <w:rsid w:val="00860A30"/>
    <w:rsid w:val="00860AA5"/>
    <w:rsid w:val="00860C58"/>
    <w:rsid w:val="00860E62"/>
    <w:rsid w:val="0086105D"/>
    <w:rsid w:val="008616A9"/>
    <w:rsid w:val="008617FB"/>
    <w:rsid w:val="0086180E"/>
    <w:rsid w:val="0086220A"/>
    <w:rsid w:val="0086314B"/>
    <w:rsid w:val="00863923"/>
    <w:rsid w:val="0086433D"/>
    <w:rsid w:val="00864763"/>
    <w:rsid w:val="00864A24"/>
    <w:rsid w:val="00864C6E"/>
    <w:rsid w:val="00864D7B"/>
    <w:rsid w:val="00864FBD"/>
    <w:rsid w:val="00865100"/>
    <w:rsid w:val="00865513"/>
    <w:rsid w:val="00865771"/>
    <w:rsid w:val="00865B1F"/>
    <w:rsid w:val="00865E02"/>
    <w:rsid w:val="00865FBF"/>
    <w:rsid w:val="008661AC"/>
    <w:rsid w:val="0086622A"/>
    <w:rsid w:val="008666BD"/>
    <w:rsid w:val="00866C23"/>
    <w:rsid w:val="00866E15"/>
    <w:rsid w:val="00866E7B"/>
    <w:rsid w:val="00866ECD"/>
    <w:rsid w:val="00866F52"/>
    <w:rsid w:val="00867C9E"/>
    <w:rsid w:val="00870351"/>
    <w:rsid w:val="0087044F"/>
    <w:rsid w:val="0087062E"/>
    <w:rsid w:val="00870884"/>
    <w:rsid w:val="00870A3D"/>
    <w:rsid w:val="00870AA1"/>
    <w:rsid w:val="00870E74"/>
    <w:rsid w:val="00871DCE"/>
    <w:rsid w:val="00871F90"/>
    <w:rsid w:val="008724F5"/>
    <w:rsid w:val="00872822"/>
    <w:rsid w:val="00872F85"/>
    <w:rsid w:val="008734E3"/>
    <w:rsid w:val="00873886"/>
    <w:rsid w:val="008738BE"/>
    <w:rsid w:val="00873AE6"/>
    <w:rsid w:val="00874914"/>
    <w:rsid w:val="00874B67"/>
    <w:rsid w:val="00874E5A"/>
    <w:rsid w:val="008759CD"/>
    <w:rsid w:val="00875A9E"/>
    <w:rsid w:val="00876221"/>
    <w:rsid w:val="00876AB9"/>
    <w:rsid w:val="00876B7B"/>
    <w:rsid w:val="00876EB5"/>
    <w:rsid w:val="008777BC"/>
    <w:rsid w:val="00877B15"/>
    <w:rsid w:val="00877EBA"/>
    <w:rsid w:val="00877FE5"/>
    <w:rsid w:val="0088029B"/>
    <w:rsid w:val="00880463"/>
    <w:rsid w:val="00880B1B"/>
    <w:rsid w:val="00880B6A"/>
    <w:rsid w:val="00881ACD"/>
    <w:rsid w:val="00881C32"/>
    <w:rsid w:val="00881C3C"/>
    <w:rsid w:val="008820CC"/>
    <w:rsid w:val="008825B7"/>
    <w:rsid w:val="00882E67"/>
    <w:rsid w:val="00883102"/>
    <w:rsid w:val="0088331A"/>
    <w:rsid w:val="00883C56"/>
    <w:rsid w:val="00883D10"/>
    <w:rsid w:val="008841A7"/>
    <w:rsid w:val="00884CCD"/>
    <w:rsid w:val="00884DE9"/>
    <w:rsid w:val="00886291"/>
    <w:rsid w:val="00886F82"/>
    <w:rsid w:val="00887491"/>
    <w:rsid w:val="008878FB"/>
    <w:rsid w:val="00887C40"/>
    <w:rsid w:val="008901D3"/>
    <w:rsid w:val="008902C5"/>
    <w:rsid w:val="0089061D"/>
    <w:rsid w:val="00890897"/>
    <w:rsid w:val="00890C90"/>
    <w:rsid w:val="00890CAE"/>
    <w:rsid w:val="00890D3E"/>
    <w:rsid w:val="008916C5"/>
    <w:rsid w:val="008919B1"/>
    <w:rsid w:val="00891CDF"/>
    <w:rsid w:val="00891F1A"/>
    <w:rsid w:val="00891F8B"/>
    <w:rsid w:val="0089203C"/>
    <w:rsid w:val="00892406"/>
    <w:rsid w:val="00892C46"/>
    <w:rsid w:val="00893D43"/>
    <w:rsid w:val="008940D9"/>
    <w:rsid w:val="00894507"/>
    <w:rsid w:val="0089475C"/>
    <w:rsid w:val="008947A6"/>
    <w:rsid w:val="00894D95"/>
    <w:rsid w:val="00895A00"/>
    <w:rsid w:val="00895AAF"/>
    <w:rsid w:val="00896ACE"/>
    <w:rsid w:val="00897178"/>
    <w:rsid w:val="00897665"/>
    <w:rsid w:val="00897A86"/>
    <w:rsid w:val="008A00AB"/>
    <w:rsid w:val="008A019C"/>
    <w:rsid w:val="008A0D85"/>
    <w:rsid w:val="008A1090"/>
    <w:rsid w:val="008A1631"/>
    <w:rsid w:val="008A1EDA"/>
    <w:rsid w:val="008A25F4"/>
    <w:rsid w:val="008A2EF8"/>
    <w:rsid w:val="008A35EA"/>
    <w:rsid w:val="008A3605"/>
    <w:rsid w:val="008A3644"/>
    <w:rsid w:val="008A36A3"/>
    <w:rsid w:val="008A3A89"/>
    <w:rsid w:val="008A42A7"/>
    <w:rsid w:val="008A4C99"/>
    <w:rsid w:val="008A4CE4"/>
    <w:rsid w:val="008A529B"/>
    <w:rsid w:val="008A5A57"/>
    <w:rsid w:val="008A6029"/>
    <w:rsid w:val="008A6171"/>
    <w:rsid w:val="008A6654"/>
    <w:rsid w:val="008A6A94"/>
    <w:rsid w:val="008A6B33"/>
    <w:rsid w:val="008A6E22"/>
    <w:rsid w:val="008A7016"/>
    <w:rsid w:val="008B042C"/>
    <w:rsid w:val="008B046C"/>
    <w:rsid w:val="008B06D9"/>
    <w:rsid w:val="008B0C65"/>
    <w:rsid w:val="008B0DAC"/>
    <w:rsid w:val="008B0E48"/>
    <w:rsid w:val="008B0F87"/>
    <w:rsid w:val="008B1171"/>
    <w:rsid w:val="008B1DF8"/>
    <w:rsid w:val="008B1E3B"/>
    <w:rsid w:val="008B246E"/>
    <w:rsid w:val="008B2729"/>
    <w:rsid w:val="008B2733"/>
    <w:rsid w:val="008B2E89"/>
    <w:rsid w:val="008B309A"/>
    <w:rsid w:val="008B372F"/>
    <w:rsid w:val="008B3B60"/>
    <w:rsid w:val="008B4290"/>
    <w:rsid w:val="008B42EA"/>
    <w:rsid w:val="008B4765"/>
    <w:rsid w:val="008B4835"/>
    <w:rsid w:val="008B4A55"/>
    <w:rsid w:val="008B5394"/>
    <w:rsid w:val="008B59CB"/>
    <w:rsid w:val="008B5BE8"/>
    <w:rsid w:val="008B609B"/>
    <w:rsid w:val="008B64D8"/>
    <w:rsid w:val="008B6C19"/>
    <w:rsid w:val="008B75FA"/>
    <w:rsid w:val="008C0593"/>
    <w:rsid w:val="008C0689"/>
    <w:rsid w:val="008C0925"/>
    <w:rsid w:val="008C12AE"/>
    <w:rsid w:val="008C1352"/>
    <w:rsid w:val="008C196B"/>
    <w:rsid w:val="008C1B35"/>
    <w:rsid w:val="008C25E4"/>
    <w:rsid w:val="008C32A2"/>
    <w:rsid w:val="008C34B7"/>
    <w:rsid w:val="008C35FB"/>
    <w:rsid w:val="008C375E"/>
    <w:rsid w:val="008C3DA7"/>
    <w:rsid w:val="008C3F06"/>
    <w:rsid w:val="008C4039"/>
    <w:rsid w:val="008C43D6"/>
    <w:rsid w:val="008C47F8"/>
    <w:rsid w:val="008C49E4"/>
    <w:rsid w:val="008C4A81"/>
    <w:rsid w:val="008C5111"/>
    <w:rsid w:val="008C5648"/>
    <w:rsid w:val="008C5775"/>
    <w:rsid w:val="008C5C93"/>
    <w:rsid w:val="008C5D98"/>
    <w:rsid w:val="008C5DF8"/>
    <w:rsid w:val="008C7404"/>
    <w:rsid w:val="008C75B4"/>
    <w:rsid w:val="008C77B2"/>
    <w:rsid w:val="008D03E2"/>
    <w:rsid w:val="008D0B93"/>
    <w:rsid w:val="008D18B7"/>
    <w:rsid w:val="008D1EA4"/>
    <w:rsid w:val="008D288E"/>
    <w:rsid w:val="008D29F8"/>
    <w:rsid w:val="008D34B9"/>
    <w:rsid w:val="008D34D6"/>
    <w:rsid w:val="008D35B2"/>
    <w:rsid w:val="008D4027"/>
    <w:rsid w:val="008D4157"/>
    <w:rsid w:val="008D44D4"/>
    <w:rsid w:val="008D4AD3"/>
    <w:rsid w:val="008D4B36"/>
    <w:rsid w:val="008D50E3"/>
    <w:rsid w:val="008D519D"/>
    <w:rsid w:val="008D55DB"/>
    <w:rsid w:val="008D5DAA"/>
    <w:rsid w:val="008D6229"/>
    <w:rsid w:val="008D6F73"/>
    <w:rsid w:val="008D6FED"/>
    <w:rsid w:val="008E079F"/>
    <w:rsid w:val="008E10BA"/>
    <w:rsid w:val="008E132E"/>
    <w:rsid w:val="008E13AA"/>
    <w:rsid w:val="008E1567"/>
    <w:rsid w:val="008E1D38"/>
    <w:rsid w:val="008E32C1"/>
    <w:rsid w:val="008E3764"/>
    <w:rsid w:val="008E3D78"/>
    <w:rsid w:val="008E3EF3"/>
    <w:rsid w:val="008E3FD9"/>
    <w:rsid w:val="008E434E"/>
    <w:rsid w:val="008E46CC"/>
    <w:rsid w:val="008E4C68"/>
    <w:rsid w:val="008E5258"/>
    <w:rsid w:val="008E60BA"/>
    <w:rsid w:val="008E631A"/>
    <w:rsid w:val="008E69A2"/>
    <w:rsid w:val="008E6ECC"/>
    <w:rsid w:val="008E7A4B"/>
    <w:rsid w:val="008E7D88"/>
    <w:rsid w:val="008E7E8F"/>
    <w:rsid w:val="008F0196"/>
    <w:rsid w:val="008F082F"/>
    <w:rsid w:val="008F09F6"/>
    <w:rsid w:val="008F1520"/>
    <w:rsid w:val="008F1EB7"/>
    <w:rsid w:val="008F1EE8"/>
    <w:rsid w:val="008F1F8A"/>
    <w:rsid w:val="008F20F1"/>
    <w:rsid w:val="008F2153"/>
    <w:rsid w:val="008F25C0"/>
    <w:rsid w:val="008F2AFD"/>
    <w:rsid w:val="008F2BFE"/>
    <w:rsid w:val="008F2C28"/>
    <w:rsid w:val="008F2D6F"/>
    <w:rsid w:val="008F367E"/>
    <w:rsid w:val="008F388B"/>
    <w:rsid w:val="008F3C00"/>
    <w:rsid w:val="008F3F6F"/>
    <w:rsid w:val="008F533C"/>
    <w:rsid w:val="008F57BA"/>
    <w:rsid w:val="008F5CD2"/>
    <w:rsid w:val="008F6775"/>
    <w:rsid w:val="008F6918"/>
    <w:rsid w:val="008F6AAD"/>
    <w:rsid w:val="008F74C6"/>
    <w:rsid w:val="008F771C"/>
    <w:rsid w:val="008F7D56"/>
    <w:rsid w:val="00900064"/>
    <w:rsid w:val="0090091E"/>
    <w:rsid w:val="00900B95"/>
    <w:rsid w:val="00901205"/>
    <w:rsid w:val="009016FF"/>
    <w:rsid w:val="00901B5B"/>
    <w:rsid w:val="009028DF"/>
    <w:rsid w:val="00903089"/>
    <w:rsid w:val="009031AE"/>
    <w:rsid w:val="009035F1"/>
    <w:rsid w:val="009036B0"/>
    <w:rsid w:val="009037A2"/>
    <w:rsid w:val="00903A50"/>
    <w:rsid w:val="00903A52"/>
    <w:rsid w:val="009041FE"/>
    <w:rsid w:val="009042B5"/>
    <w:rsid w:val="009045F6"/>
    <w:rsid w:val="00905BA0"/>
    <w:rsid w:val="00905CE7"/>
    <w:rsid w:val="00905DEF"/>
    <w:rsid w:val="00905F70"/>
    <w:rsid w:val="00905F95"/>
    <w:rsid w:val="009062ED"/>
    <w:rsid w:val="00906A24"/>
    <w:rsid w:val="00906ABA"/>
    <w:rsid w:val="00907447"/>
    <w:rsid w:val="00907983"/>
    <w:rsid w:val="009079A6"/>
    <w:rsid w:val="0091034B"/>
    <w:rsid w:val="00910E90"/>
    <w:rsid w:val="0091153B"/>
    <w:rsid w:val="00911588"/>
    <w:rsid w:val="009122A4"/>
    <w:rsid w:val="009127F2"/>
    <w:rsid w:val="00912FF8"/>
    <w:rsid w:val="0091315C"/>
    <w:rsid w:val="0091348B"/>
    <w:rsid w:val="009135AF"/>
    <w:rsid w:val="00913D7F"/>
    <w:rsid w:val="009144BD"/>
    <w:rsid w:val="0091464A"/>
    <w:rsid w:val="00914CBF"/>
    <w:rsid w:val="00914DC4"/>
    <w:rsid w:val="00914F0B"/>
    <w:rsid w:val="009151CE"/>
    <w:rsid w:val="00915341"/>
    <w:rsid w:val="0091577A"/>
    <w:rsid w:val="00916455"/>
    <w:rsid w:val="00916849"/>
    <w:rsid w:val="00916A13"/>
    <w:rsid w:val="00916F01"/>
    <w:rsid w:val="009172E7"/>
    <w:rsid w:val="009174DC"/>
    <w:rsid w:val="0091782F"/>
    <w:rsid w:val="00917C2C"/>
    <w:rsid w:val="00917D7F"/>
    <w:rsid w:val="00920516"/>
    <w:rsid w:val="0092055F"/>
    <w:rsid w:val="0092063F"/>
    <w:rsid w:val="00920862"/>
    <w:rsid w:val="00920878"/>
    <w:rsid w:val="00920E46"/>
    <w:rsid w:val="009212B1"/>
    <w:rsid w:val="009212E6"/>
    <w:rsid w:val="0092185C"/>
    <w:rsid w:val="009218A4"/>
    <w:rsid w:val="00921C9A"/>
    <w:rsid w:val="00921E57"/>
    <w:rsid w:val="009221E3"/>
    <w:rsid w:val="0092237B"/>
    <w:rsid w:val="00922387"/>
    <w:rsid w:val="009223A3"/>
    <w:rsid w:val="00922695"/>
    <w:rsid w:val="00922872"/>
    <w:rsid w:val="00922AA0"/>
    <w:rsid w:val="0092346E"/>
    <w:rsid w:val="009241F5"/>
    <w:rsid w:val="0092421F"/>
    <w:rsid w:val="0092466F"/>
    <w:rsid w:val="00924AAC"/>
    <w:rsid w:val="009252B4"/>
    <w:rsid w:val="00925789"/>
    <w:rsid w:val="00925B8B"/>
    <w:rsid w:val="00925CC3"/>
    <w:rsid w:val="009267D4"/>
    <w:rsid w:val="009268FC"/>
    <w:rsid w:val="00926BDC"/>
    <w:rsid w:val="0092701E"/>
    <w:rsid w:val="009271B5"/>
    <w:rsid w:val="00927393"/>
    <w:rsid w:val="009273A7"/>
    <w:rsid w:val="009273F8"/>
    <w:rsid w:val="00927483"/>
    <w:rsid w:val="00927C68"/>
    <w:rsid w:val="0093021E"/>
    <w:rsid w:val="009308DA"/>
    <w:rsid w:val="009311C9"/>
    <w:rsid w:val="0093135A"/>
    <w:rsid w:val="009313C4"/>
    <w:rsid w:val="00931773"/>
    <w:rsid w:val="0093179A"/>
    <w:rsid w:val="009317A2"/>
    <w:rsid w:val="009317AC"/>
    <w:rsid w:val="00931DDA"/>
    <w:rsid w:val="009320B7"/>
    <w:rsid w:val="009327F1"/>
    <w:rsid w:val="00933A30"/>
    <w:rsid w:val="00933DB2"/>
    <w:rsid w:val="00933DC0"/>
    <w:rsid w:val="00933DE0"/>
    <w:rsid w:val="00934795"/>
    <w:rsid w:val="00934927"/>
    <w:rsid w:val="00935307"/>
    <w:rsid w:val="00935580"/>
    <w:rsid w:val="0093596E"/>
    <w:rsid w:val="00935984"/>
    <w:rsid w:val="00936021"/>
    <w:rsid w:val="009360E7"/>
    <w:rsid w:val="00936462"/>
    <w:rsid w:val="00936494"/>
    <w:rsid w:val="0093707F"/>
    <w:rsid w:val="009373D3"/>
    <w:rsid w:val="00937C0F"/>
    <w:rsid w:val="00937E7B"/>
    <w:rsid w:val="00940335"/>
    <w:rsid w:val="00940342"/>
    <w:rsid w:val="00940B26"/>
    <w:rsid w:val="00940C14"/>
    <w:rsid w:val="009410CA"/>
    <w:rsid w:val="00941467"/>
    <w:rsid w:val="00941620"/>
    <w:rsid w:val="0094213E"/>
    <w:rsid w:val="0094238D"/>
    <w:rsid w:val="009424F4"/>
    <w:rsid w:val="00942C95"/>
    <w:rsid w:val="00943737"/>
    <w:rsid w:val="00943A3F"/>
    <w:rsid w:val="00943DF2"/>
    <w:rsid w:val="00944370"/>
    <w:rsid w:val="009446DE"/>
    <w:rsid w:val="00945123"/>
    <w:rsid w:val="009451CE"/>
    <w:rsid w:val="00946029"/>
    <w:rsid w:val="009467B5"/>
    <w:rsid w:val="0094765F"/>
    <w:rsid w:val="00947A2C"/>
    <w:rsid w:val="00947F18"/>
    <w:rsid w:val="00950526"/>
    <w:rsid w:val="0095085D"/>
    <w:rsid w:val="00950DCD"/>
    <w:rsid w:val="00951383"/>
    <w:rsid w:val="009518E5"/>
    <w:rsid w:val="00951FCF"/>
    <w:rsid w:val="0095214A"/>
    <w:rsid w:val="00952623"/>
    <w:rsid w:val="009526B5"/>
    <w:rsid w:val="00952915"/>
    <w:rsid w:val="00952EF7"/>
    <w:rsid w:val="0095390C"/>
    <w:rsid w:val="00953C7D"/>
    <w:rsid w:val="00953FDE"/>
    <w:rsid w:val="009543CD"/>
    <w:rsid w:val="009546A8"/>
    <w:rsid w:val="009554FB"/>
    <w:rsid w:val="00955D8B"/>
    <w:rsid w:val="0095624A"/>
    <w:rsid w:val="00956432"/>
    <w:rsid w:val="00956B40"/>
    <w:rsid w:val="00956F36"/>
    <w:rsid w:val="0095706A"/>
    <w:rsid w:val="0095745F"/>
    <w:rsid w:val="00957F2F"/>
    <w:rsid w:val="009606D0"/>
    <w:rsid w:val="0096076F"/>
    <w:rsid w:val="00961671"/>
    <w:rsid w:val="0096218D"/>
    <w:rsid w:val="0096234E"/>
    <w:rsid w:val="00962631"/>
    <w:rsid w:val="009627B8"/>
    <w:rsid w:val="00962B03"/>
    <w:rsid w:val="00962B68"/>
    <w:rsid w:val="00962DC4"/>
    <w:rsid w:val="00963FB7"/>
    <w:rsid w:val="00964C51"/>
    <w:rsid w:val="00965205"/>
    <w:rsid w:val="00965283"/>
    <w:rsid w:val="009652E4"/>
    <w:rsid w:val="0096545A"/>
    <w:rsid w:val="00965E44"/>
    <w:rsid w:val="009666F4"/>
    <w:rsid w:val="00967077"/>
    <w:rsid w:val="00967379"/>
    <w:rsid w:val="00967FAA"/>
    <w:rsid w:val="00970A49"/>
    <w:rsid w:val="00970A91"/>
    <w:rsid w:val="00970CFF"/>
    <w:rsid w:val="00971865"/>
    <w:rsid w:val="00971A26"/>
    <w:rsid w:val="0097241D"/>
    <w:rsid w:val="00972484"/>
    <w:rsid w:val="009724A2"/>
    <w:rsid w:val="00972B0A"/>
    <w:rsid w:val="00973031"/>
    <w:rsid w:val="00973280"/>
    <w:rsid w:val="009739A9"/>
    <w:rsid w:val="00973D7A"/>
    <w:rsid w:val="0097437A"/>
    <w:rsid w:val="009745B6"/>
    <w:rsid w:val="00974832"/>
    <w:rsid w:val="00974BB1"/>
    <w:rsid w:val="00974D18"/>
    <w:rsid w:val="00974D62"/>
    <w:rsid w:val="00976021"/>
    <w:rsid w:val="009763FD"/>
    <w:rsid w:val="00977588"/>
    <w:rsid w:val="00977956"/>
    <w:rsid w:val="00977BBB"/>
    <w:rsid w:val="0098174A"/>
    <w:rsid w:val="00981C4C"/>
    <w:rsid w:val="00982BD2"/>
    <w:rsid w:val="00982C41"/>
    <w:rsid w:val="00983F68"/>
    <w:rsid w:val="00983FE9"/>
    <w:rsid w:val="009840B5"/>
    <w:rsid w:val="009843C4"/>
    <w:rsid w:val="00984431"/>
    <w:rsid w:val="00984438"/>
    <w:rsid w:val="00984DCE"/>
    <w:rsid w:val="00984E95"/>
    <w:rsid w:val="0098505A"/>
    <w:rsid w:val="0098529C"/>
    <w:rsid w:val="009858EE"/>
    <w:rsid w:val="0098652F"/>
    <w:rsid w:val="00987315"/>
    <w:rsid w:val="00987886"/>
    <w:rsid w:val="00987A27"/>
    <w:rsid w:val="00987D74"/>
    <w:rsid w:val="009900F8"/>
    <w:rsid w:val="00990DD0"/>
    <w:rsid w:val="009917AA"/>
    <w:rsid w:val="00991BFC"/>
    <w:rsid w:val="00992EF4"/>
    <w:rsid w:val="00992F5F"/>
    <w:rsid w:val="00992FEB"/>
    <w:rsid w:val="00993433"/>
    <w:rsid w:val="0099414B"/>
    <w:rsid w:val="00994AC5"/>
    <w:rsid w:val="0099542A"/>
    <w:rsid w:val="009959FA"/>
    <w:rsid w:val="00995BE2"/>
    <w:rsid w:val="00995C67"/>
    <w:rsid w:val="00995E25"/>
    <w:rsid w:val="009962CB"/>
    <w:rsid w:val="009962FB"/>
    <w:rsid w:val="009966A5"/>
    <w:rsid w:val="00996749"/>
    <w:rsid w:val="0099717E"/>
    <w:rsid w:val="009971CA"/>
    <w:rsid w:val="0099794A"/>
    <w:rsid w:val="00997C73"/>
    <w:rsid w:val="00997CE5"/>
    <w:rsid w:val="00997E27"/>
    <w:rsid w:val="00997F15"/>
    <w:rsid w:val="009A04CE"/>
    <w:rsid w:val="009A121E"/>
    <w:rsid w:val="009A1832"/>
    <w:rsid w:val="009A1A33"/>
    <w:rsid w:val="009A2803"/>
    <w:rsid w:val="009A2A90"/>
    <w:rsid w:val="009A31D9"/>
    <w:rsid w:val="009A3414"/>
    <w:rsid w:val="009A34FA"/>
    <w:rsid w:val="009A3D58"/>
    <w:rsid w:val="009A561C"/>
    <w:rsid w:val="009A57A4"/>
    <w:rsid w:val="009A5EA2"/>
    <w:rsid w:val="009A610F"/>
    <w:rsid w:val="009A68DE"/>
    <w:rsid w:val="009A6C1A"/>
    <w:rsid w:val="009A6EB1"/>
    <w:rsid w:val="009A728B"/>
    <w:rsid w:val="009A7425"/>
    <w:rsid w:val="009A7526"/>
    <w:rsid w:val="009A7897"/>
    <w:rsid w:val="009A7C80"/>
    <w:rsid w:val="009B00B7"/>
    <w:rsid w:val="009B059F"/>
    <w:rsid w:val="009B0757"/>
    <w:rsid w:val="009B0A32"/>
    <w:rsid w:val="009B0C1D"/>
    <w:rsid w:val="009B0FE4"/>
    <w:rsid w:val="009B1234"/>
    <w:rsid w:val="009B1765"/>
    <w:rsid w:val="009B17FB"/>
    <w:rsid w:val="009B1BEE"/>
    <w:rsid w:val="009B24E8"/>
    <w:rsid w:val="009B2996"/>
    <w:rsid w:val="009B3293"/>
    <w:rsid w:val="009B3389"/>
    <w:rsid w:val="009B3427"/>
    <w:rsid w:val="009B384D"/>
    <w:rsid w:val="009B3DF9"/>
    <w:rsid w:val="009B3FC0"/>
    <w:rsid w:val="009B475D"/>
    <w:rsid w:val="009B4CE8"/>
    <w:rsid w:val="009B4E23"/>
    <w:rsid w:val="009B4FA7"/>
    <w:rsid w:val="009B5C3A"/>
    <w:rsid w:val="009B5D81"/>
    <w:rsid w:val="009B5E3B"/>
    <w:rsid w:val="009B6566"/>
    <w:rsid w:val="009B6CEC"/>
    <w:rsid w:val="009B6DAF"/>
    <w:rsid w:val="009B743F"/>
    <w:rsid w:val="009B77EF"/>
    <w:rsid w:val="009B7C46"/>
    <w:rsid w:val="009B7E6B"/>
    <w:rsid w:val="009C0186"/>
    <w:rsid w:val="009C0EAB"/>
    <w:rsid w:val="009C0F20"/>
    <w:rsid w:val="009C10AF"/>
    <w:rsid w:val="009C1303"/>
    <w:rsid w:val="009C18A8"/>
    <w:rsid w:val="009C1E10"/>
    <w:rsid w:val="009C1EA6"/>
    <w:rsid w:val="009C21F4"/>
    <w:rsid w:val="009C2456"/>
    <w:rsid w:val="009C269B"/>
    <w:rsid w:val="009C271F"/>
    <w:rsid w:val="009C3046"/>
    <w:rsid w:val="009C30C2"/>
    <w:rsid w:val="009C3627"/>
    <w:rsid w:val="009C3715"/>
    <w:rsid w:val="009C4122"/>
    <w:rsid w:val="009C442A"/>
    <w:rsid w:val="009C4561"/>
    <w:rsid w:val="009C47EA"/>
    <w:rsid w:val="009C523B"/>
    <w:rsid w:val="009C53DE"/>
    <w:rsid w:val="009C5896"/>
    <w:rsid w:val="009C5C56"/>
    <w:rsid w:val="009C5CAC"/>
    <w:rsid w:val="009C5D27"/>
    <w:rsid w:val="009C6089"/>
    <w:rsid w:val="009C63D6"/>
    <w:rsid w:val="009C6B60"/>
    <w:rsid w:val="009C72F6"/>
    <w:rsid w:val="009C7350"/>
    <w:rsid w:val="009C7E02"/>
    <w:rsid w:val="009D0B72"/>
    <w:rsid w:val="009D136B"/>
    <w:rsid w:val="009D13D6"/>
    <w:rsid w:val="009D179D"/>
    <w:rsid w:val="009D18AF"/>
    <w:rsid w:val="009D2916"/>
    <w:rsid w:val="009D2931"/>
    <w:rsid w:val="009D30C8"/>
    <w:rsid w:val="009D3D5A"/>
    <w:rsid w:val="009D4E63"/>
    <w:rsid w:val="009D518A"/>
    <w:rsid w:val="009D5753"/>
    <w:rsid w:val="009D6242"/>
    <w:rsid w:val="009D6DC0"/>
    <w:rsid w:val="009D733F"/>
    <w:rsid w:val="009D769A"/>
    <w:rsid w:val="009D7C77"/>
    <w:rsid w:val="009D7CF0"/>
    <w:rsid w:val="009D7EC5"/>
    <w:rsid w:val="009E0542"/>
    <w:rsid w:val="009E0CBF"/>
    <w:rsid w:val="009E0E86"/>
    <w:rsid w:val="009E0F0A"/>
    <w:rsid w:val="009E1A69"/>
    <w:rsid w:val="009E1EBB"/>
    <w:rsid w:val="009E2452"/>
    <w:rsid w:val="009E2BB8"/>
    <w:rsid w:val="009E33E4"/>
    <w:rsid w:val="009E35E7"/>
    <w:rsid w:val="009E392F"/>
    <w:rsid w:val="009E3B99"/>
    <w:rsid w:val="009E3C20"/>
    <w:rsid w:val="009E40F0"/>
    <w:rsid w:val="009E4201"/>
    <w:rsid w:val="009E43D0"/>
    <w:rsid w:val="009E52F7"/>
    <w:rsid w:val="009E5364"/>
    <w:rsid w:val="009E56A0"/>
    <w:rsid w:val="009E57E5"/>
    <w:rsid w:val="009E5C97"/>
    <w:rsid w:val="009E5CF8"/>
    <w:rsid w:val="009E63F4"/>
    <w:rsid w:val="009E727A"/>
    <w:rsid w:val="009E7603"/>
    <w:rsid w:val="009E77B0"/>
    <w:rsid w:val="009E7AC0"/>
    <w:rsid w:val="009F0DC3"/>
    <w:rsid w:val="009F1379"/>
    <w:rsid w:val="009F14DC"/>
    <w:rsid w:val="009F16A5"/>
    <w:rsid w:val="009F1AE0"/>
    <w:rsid w:val="009F1BCC"/>
    <w:rsid w:val="009F1D61"/>
    <w:rsid w:val="009F20A6"/>
    <w:rsid w:val="009F2CE5"/>
    <w:rsid w:val="009F418D"/>
    <w:rsid w:val="009F4311"/>
    <w:rsid w:val="009F4751"/>
    <w:rsid w:val="009F546D"/>
    <w:rsid w:val="009F54CA"/>
    <w:rsid w:val="009F5831"/>
    <w:rsid w:val="009F5F8F"/>
    <w:rsid w:val="009F614B"/>
    <w:rsid w:val="009F6151"/>
    <w:rsid w:val="009F661C"/>
    <w:rsid w:val="009F6781"/>
    <w:rsid w:val="009F6A68"/>
    <w:rsid w:val="009F6A9B"/>
    <w:rsid w:val="009F6BFE"/>
    <w:rsid w:val="009F708B"/>
    <w:rsid w:val="009F70E0"/>
    <w:rsid w:val="009F75C5"/>
    <w:rsid w:val="00A001F1"/>
    <w:rsid w:val="00A00466"/>
    <w:rsid w:val="00A00A08"/>
    <w:rsid w:val="00A00BF1"/>
    <w:rsid w:val="00A010D9"/>
    <w:rsid w:val="00A013D9"/>
    <w:rsid w:val="00A015D8"/>
    <w:rsid w:val="00A01648"/>
    <w:rsid w:val="00A01CD6"/>
    <w:rsid w:val="00A021CF"/>
    <w:rsid w:val="00A02421"/>
    <w:rsid w:val="00A02481"/>
    <w:rsid w:val="00A02B28"/>
    <w:rsid w:val="00A02D04"/>
    <w:rsid w:val="00A02ED9"/>
    <w:rsid w:val="00A02F7B"/>
    <w:rsid w:val="00A033CD"/>
    <w:rsid w:val="00A03541"/>
    <w:rsid w:val="00A03E93"/>
    <w:rsid w:val="00A0406B"/>
    <w:rsid w:val="00A045B2"/>
    <w:rsid w:val="00A046BF"/>
    <w:rsid w:val="00A04CF9"/>
    <w:rsid w:val="00A04D98"/>
    <w:rsid w:val="00A05BB4"/>
    <w:rsid w:val="00A05CA1"/>
    <w:rsid w:val="00A06640"/>
    <w:rsid w:val="00A06B5C"/>
    <w:rsid w:val="00A07877"/>
    <w:rsid w:val="00A1060F"/>
    <w:rsid w:val="00A10D45"/>
    <w:rsid w:val="00A11D25"/>
    <w:rsid w:val="00A1206D"/>
    <w:rsid w:val="00A13039"/>
    <w:rsid w:val="00A13179"/>
    <w:rsid w:val="00A13182"/>
    <w:rsid w:val="00A13190"/>
    <w:rsid w:val="00A1334A"/>
    <w:rsid w:val="00A1344C"/>
    <w:rsid w:val="00A137E6"/>
    <w:rsid w:val="00A1404D"/>
    <w:rsid w:val="00A14360"/>
    <w:rsid w:val="00A146D1"/>
    <w:rsid w:val="00A14C24"/>
    <w:rsid w:val="00A158A3"/>
    <w:rsid w:val="00A158C8"/>
    <w:rsid w:val="00A159AB"/>
    <w:rsid w:val="00A15A54"/>
    <w:rsid w:val="00A15E21"/>
    <w:rsid w:val="00A15EA1"/>
    <w:rsid w:val="00A16EC0"/>
    <w:rsid w:val="00A178BD"/>
    <w:rsid w:val="00A17B89"/>
    <w:rsid w:val="00A203DD"/>
    <w:rsid w:val="00A20411"/>
    <w:rsid w:val="00A2048D"/>
    <w:rsid w:val="00A210D1"/>
    <w:rsid w:val="00A21208"/>
    <w:rsid w:val="00A21A18"/>
    <w:rsid w:val="00A21D95"/>
    <w:rsid w:val="00A22763"/>
    <w:rsid w:val="00A22B7E"/>
    <w:rsid w:val="00A232AF"/>
    <w:rsid w:val="00A236A7"/>
    <w:rsid w:val="00A23F64"/>
    <w:rsid w:val="00A246DA"/>
    <w:rsid w:val="00A246FA"/>
    <w:rsid w:val="00A250C4"/>
    <w:rsid w:val="00A253E1"/>
    <w:rsid w:val="00A259FA"/>
    <w:rsid w:val="00A25D94"/>
    <w:rsid w:val="00A26713"/>
    <w:rsid w:val="00A26D96"/>
    <w:rsid w:val="00A270C5"/>
    <w:rsid w:val="00A2789D"/>
    <w:rsid w:val="00A27901"/>
    <w:rsid w:val="00A27A9B"/>
    <w:rsid w:val="00A27D4F"/>
    <w:rsid w:val="00A27F69"/>
    <w:rsid w:val="00A30A14"/>
    <w:rsid w:val="00A30A27"/>
    <w:rsid w:val="00A30DA6"/>
    <w:rsid w:val="00A30DF0"/>
    <w:rsid w:val="00A31265"/>
    <w:rsid w:val="00A3145E"/>
    <w:rsid w:val="00A32C36"/>
    <w:rsid w:val="00A3315C"/>
    <w:rsid w:val="00A338ED"/>
    <w:rsid w:val="00A33954"/>
    <w:rsid w:val="00A33E43"/>
    <w:rsid w:val="00A34216"/>
    <w:rsid w:val="00A344A1"/>
    <w:rsid w:val="00A34B22"/>
    <w:rsid w:val="00A34D55"/>
    <w:rsid w:val="00A34DE3"/>
    <w:rsid w:val="00A35072"/>
    <w:rsid w:val="00A35237"/>
    <w:rsid w:val="00A35C4C"/>
    <w:rsid w:val="00A35EC6"/>
    <w:rsid w:val="00A35FA2"/>
    <w:rsid w:val="00A363CC"/>
    <w:rsid w:val="00A36A96"/>
    <w:rsid w:val="00A36B50"/>
    <w:rsid w:val="00A36C06"/>
    <w:rsid w:val="00A36DBD"/>
    <w:rsid w:val="00A372A2"/>
    <w:rsid w:val="00A37574"/>
    <w:rsid w:val="00A3766B"/>
    <w:rsid w:val="00A3794E"/>
    <w:rsid w:val="00A37E00"/>
    <w:rsid w:val="00A40099"/>
    <w:rsid w:val="00A40DC5"/>
    <w:rsid w:val="00A412CA"/>
    <w:rsid w:val="00A41334"/>
    <w:rsid w:val="00A415D6"/>
    <w:rsid w:val="00A41712"/>
    <w:rsid w:val="00A417CB"/>
    <w:rsid w:val="00A41BE5"/>
    <w:rsid w:val="00A4291B"/>
    <w:rsid w:val="00A42A82"/>
    <w:rsid w:val="00A42B5C"/>
    <w:rsid w:val="00A43AAB"/>
    <w:rsid w:val="00A43AB0"/>
    <w:rsid w:val="00A443F4"/>
    <w:rsid w:val="00A4494F"/>
    <w:rsid w:val="00A44C36"/>
    <w:rsid w:val="00A44D77"/>
    <w:rsid w:val="00A45CE8"/>
    <w:rsid w:val="00A45FE7"/>
    <w:rsid w:val="00A465E7"/>
    <w:rsid w:val="00A46A1B"/>
    <w:rsid w:val="00A472E8"/>
    <w:rsid w:val="00A507F1"/>
    <w:rsid w:val="00A50C83"/>
    <w:rsid w:val="00A50FE8"/>
    <w:rsid w:val="00A511EA"/>
    <w:rsid w:val="00A518D0"/>
    <w:rsid w:val="00A52590"/>
    <w:rsid w:val="00A5290E"/>
    <w:rsid w:val="00A53571"/>
    <w:rsid w:val="00A53660"/>
    <w:rsid w:val="00A537D9"/>
    <w:rsid w:val="00A53A5F"/>
    <w:rsid w:val="00A53F1D"/>
    <w:rsid w:val="00A54572"/>
    <w:rsid w:val="00A54837"/>
    <w:rsid w:val="00A54DCB"/>
    <w:rsid w:val="00A54E37"/>
    <w:rsid w:val="00A55010"/>
    <w:rsid w:val="00A554C7"/>
    <w:rsid w:val="00A5575B"/>
    <w:rsid w:val="00A55C95"/>
    <w:rsid w:val="00A56103"/>
    <w:rsid w:val="00A5633A"/>
    <w:rsid w:val="00A56531"/>
    <w:rsid w:val="00A565CC"/>
    <w:rsid w:val="00A56DEA"/>
    <w:rsid w:val="00A571D8"/>
    <w:rsid w:val="00A57214"/>
    <w:rsid w:val="00A5722D"/>
    <w:rsid w:val="00A57437"/>
    <w:rsid w:val="00A575E7"/>
    <w:rsid w:val="00A57FF0"/>
    <w:rsid w:val="00A60890"/>
    <w:rsid w:val="00A60951"/>
    <w:rsid w:val="00A60ADA"/>
    <w:rsid w:val="00A60AED"/>
    <w:rsid w:val="00A610E2"/>
    <w:rsid w:val="00A613FC"/>
    <w:rsid w:val="00A61725"/>
    <w:rsid w:val="00A61727"/>
    <w:rsid w:val="00A61874"/>
    <w:rsid w:val="00A62782"/>
    <w:rsid w:val="00A62CA9"/>
    <w:rsid w:val="00A62F4B"/>
    <w:rsid w:val="00A63C02"/>
    <w:rsid w:val="00A64443"/>
    <w:rsid w:val="00A6457B"/>
    <w:rsid w:val="00A655A4"/>
    <w:rsid w:val="00A6584B"/>
    <w:rsid w:val="00A65943"/>
    <w:rsid w:val="00A65F99"/>
    <w:rsid w:val="00A66045"/>
    <w:rsid w:val="00A66A12"/>
    <w:rsid w:val="00A66AEA"/>
    <w:rsid w:val="00A66D63"/>
    <w:rsid w:val="00A670CB"/>
    <w:rsid w:val="00A6730B"/>
    <w:rsid w:val="00A7026C"/>
    <w:rsid w:val="00A7097A"/>
    <w:rsid w:val="00A70BC2"/>
    <w:rsid w:val="00A70BE5"/>
    <w:rsid w:val="00A71559"/>
    <w:rsid w:val="00A715F6"/>
    <w:rsid w:val="00A7167D"/>
    <w:rsid w:val="00A71829"/>
    <w:rsid w:val="00A71830"/>
    <w:rsid w:val="00A71A18"/>
    <w:rsid w:val="00A7294B"/>
    <w:rsid w:val="00A72F3E"/>
    <w:rsid w:val="00A72F87"/>
    <w:rsid w:val="00A7348F"/>
    <w:rsid w:val="00A737B8"/>
    <w:rsid w:val="00A738E0"/>
    <w:rsid w:val="00A73A87"/>
    <w:rsid w:val="00A73C3E"/>
    <w:rsid w:val="00A74370"/>
    <w:rsid w:val="00A743D1"/>
    <w:rsid w:val="00A74A9F"/>
    <w:rsid w:val="00A75084"/>
    <w:rsid w:val="00A75499"/>
    <w:rsid w:val="00A75A91"/>
    <w:rsid w:val="00A75B6B"/>
    <w:rsid w:val="00A75BC4"/>
    <w:rsid w:val="00A7679D"/>
    <w:rsid w:val="00A768B3"/>
    <w:rsid w:val="00A76A9C"/>
    <w:rsid w:val="00A7711F"/>
    <w:rsid w:val="00A776AE"/>
    <w:rsid w:val="00A77F32"/>
    <w:rsid w:val="00A77FA5"/>
    <w:rsid w:val="00A80BB7"/>
    <w:rsid w:val="00A80F2B"/>
    <w:rsid w:val="00A81C49"/>
    <w:rsid w:val="00A81FCB"/>
    <w:rsid w:val="00A82061"/>
    <w:rsid w:val="00A82C30"/>
    <w:rsid w:val="00A82DED"/>
    <w:rsid w:val="00A832E1"/>
    <w:rsid w:val="00A8330B"/>
    <w:rsid w:val="00A83673"/>
    <w:rsid w:val="00A84BA1"/>
    <w:rsid w:val="00A851B7"/>
    <w:rsid w:val="00A853FD"/>
    <w:rsid w:val="00A85B04"/>
    <w:rsid w:val="00A85C86"/>
    <w:rsid w:val="00A85D1A"/>
    <w:rsid w:val="00A85E21"/>
    <w:rsid w:val="00A86294"/>
    <w:rsid w:val="00A8713C"/>
    <w:rsid w:val="00A8720C"/>
    <w:rsid w:val="00A87424"/>
    <w:rsid w:val="00A905D9"/>
    <w:rsid w:val="00A90D7A"/>
    <w:rsid w:val="00A9157E"/>
    <w:rsid w:val="00A916C1"/>
    <w:rsid w:val="00A923DC"/>
    <w:rsid w:val="00A924E0"/>
    <w:rsid w:val="00A927DF"/>
    <w:rsid w:val="00A929D6"/>
    <w:rsid w:val="00A93257"/>
    <w:rsid w:val="00A933FF"/>
    <w:rsid w:val="00A93638"/>
    <w:rsid w:val="00A9377B"/>
    <w:rsid w:val="00A9383A"/>
    <w:rsid w:val="00A93CFD"/>
    <w:rsid w:val="00A93F9F"/>
    <w:rsid w:val="00A94190"/>
    <w:rsid w:val="00A9477C"/>
    <w:rsid w:val="00A94C74"/>
    <w:rsid w:val="00A957DC"/>
    <w:rsid w:val="00A95C1B"/>
    <w:rsid w:val="00A95E0C"/>
    <w:rsid w:val="00A95E6B"/>
    <w:rsid w:val="00A96329"/>
    <w:rsid w:val="00A970F3"/>
    <w:rsid w:val="00A97299"/>
    <w:rsid w:val="00A975C1"/>
    <w:rsid w:val="00A9788F"/>
    <w:rsid w:val="00A978FF"/>
    <w:rsid w:val="00AA0237"/>
    <w:rsid w:val="00AA0736"/>
    <w:rsid w:val="00AA0955"/>
    <w:rsid w:val="00AA0CCB"/>
    <w:rsid w:val="00AA0E1F"/>
    <w:rsid w:val="00AA0FAD"/>
    <w:rsid w:val="00AA105C"/>
    <w:rsid w:val="00AA11A0"/>
    <w:rsid w:val="00AA1219"/>
    <w:rsid w:val="00AA141F"/>
    <w:rsid w:val="00AA1816"/>
    <w:rsid w:val="00AA1AB2"/>
    <w:rsid w:val="00AA1C17"/>
    <w:rsid w:val="00AA1DB4"/>
    <w:rsid w:val="00AA2022"/>
    <w:rsid w:val="00AA2065"/>
    <w:rsid w:val="00AA23D5"/>
    <w:rsid w:val="00AA2419"/>
    <w:rsid w:val="00AA26FF"/>
    <w:rsid w:val="00AA32EA"/>
    <w:rsid w:val="00AA3C78"/>
    <w:rsid w:val="00AA3D6A"/>
    <w:rsid w:val="00AA3D80"/>
    <w:rsid w:val="00AA3E3B"/>
    <w:rsid w:val="00AA4423"/>
    <w:rsid w:val="00AA4EE4"/>
    <w:rsid w:val="00AA5067"/>
    <w:rsid w:val="00AA5975"/>
    <w:rsid w:val="00AA5E6F"/>
    <w:rsid w:val="00AA5EAA"/>
    <w:rsid w:val="00AA6308"/>
    <w:rsid w:val="00AA65D4"/>
    <w:rsid w:val="00AA6A00"/>
    <w:rsid w:val="00AA6CDE"/>
    <w:rsid w:val="00AA6D98"/>
    <w:rsid w:val="00AA78D9"/>
    <w:rsid w:val="00AA79FC"/>
    <w:rsid w:val="00AB004B"/>
    <w:rsid w:val="00AB00A1"/>
    <w:rsid w:val="00AB068E"/>
    <w:rsid w:val="00AB0829"/>
    <w:rsid w:val="00AB091A"/>
    <w:rsid w:val="00AB0DA2"/>
    <w:rsid w:val="00AB1A14"/>
    <w:rsid w:val="00AB1EA9"/>
    <w:rsid w:val="00AB218C"/>
    <w:rsid w:val="00AB222B"/>
    <w:rsid w:val="00AB23F9"/>
    <w:rsid w:val="00AB326F"/>
    <w:rsid w:val="00AB3807"/>
    <w:rsid w:val="00AB390A"/>
    <w:rsid w:val="00AB3A19"/>
    <w:rsid w:val="00AB3AFD"/>
    <w:rsid w:val="00AB3C1B"/>
    <w:rsid w:val="00AB3CC6"/>
    <w:rsid w:val="00AB3F82"/>
    <w:rsid w:val="00AB3F95"/>
    <w:rsid w:val="00AB4E11"/>
    <w:rsid w:val="00AB4E22"/>
    <w:rsid w:val="00AB5819"/>
    <w:rsid w:val="00AB5E73"/>
    <w:rsid w:val="00AB7437"/>
    <w:rsid w:val="00AB7CB3"/>
    <w:rsid w:val="00AB7DFC"/>
    <w:rsid w:val="00AB7FBD"/>
    <w:rsid w:val="00AC0544"/>
    <w:rsid w:val="00AC0751"/>
    <w:rsid w:val="00AC0ADA"/>
    <w:rsid w:val="00AC0E14"/>
    <w:rsid w:val="00AC0E92"/>
    <w:rsid w:val="00AC196F"/>
    <w:rsid w:val="00AC1B23"/>
    <w:rsid w:val="00AC1DDA"/>
    <w:rsid w:val="00AC1E13"/>
    <w:rsid w:val="00AC1EA8"/>
    <w:rsid w:val="00AC1ECF"/>
    <w:rsid w:val="00AC2389"/>
    <w:rsid w:val="00AC28AD"/>
    <w:rsid w:val="00AC2AF6"/>
    <w:rsid w:val="00AC2E8A"/>
    <w:rsid w:val="00AC30FD"/>
    <w:rsid w:val="00AC4095"/>
    <w:rsid w:val="00AC430D"/>
    <w:rsid w:val="00AC43E0"/>
    <w:rsid w:val="00AC48C7"/>
    <w:rsid w:val="00AC4F53"/>
    <w:rsid w:val="00AC50D0"/>
    <w:rsid w:val="00AC60A7"/>
    <w:rsid w:val="00AC6663"/>
    <w:rsid w:val="00AC6A26"/>
    <w:rsid w:val="00AC6DB3"/>
    <w:rsid w:val="00AC7119"/>
    <w:rsid w:val="00AC7140"/>
    <w:rsid w:val="00AD058E"/>
    <w:rsid w:val="00AD08EF"/>
    <w:rsid w:val="00AD0BD0"/>
    <w:rsid w:val="00AD1A89"/>
    <w:rsid w:val="00AD1BBB"/>
    <w:rsid w:val="00AD1CC4"/>
    <w:rsid w:val="00AD1F42"/>
    <w:rsid w:val="00AD20B3"/>
    <w:rsid w:val="00AD2721"/>
    <w:rsid w:val="00AD38C3"/>
    <w:rsid w:val="00AD4173"/>
    <w:rsid w:val="00AD462A"/>
    <w:rsid w:val="00AD4715"/>
    <w:rsid w:val="00AD49CD"/>
    <w:rsid w:val="00AD4DA4"/>
    <w:rsid w:val="00AD5602"/>
    <w:rsid w:val="00AD5DBD"/>
    <w:rsid w:val="00AD64CD"/>
    <w:rsid w:val="00AD6B61"/>
    <w:rsid w:val="00AD6D3C"/>
    <w:rsid w:val="00AD6E0E"/>
    <w:rsid w:val="00AD7606"/>
    <w:rsid w:val="00AD795C"/>
    <w:rsid w:val="00AD7A5E"/>
    <w:rsid w:val="00AD7CEE"/>
    <w:rsid w:val="00AE0108"/>
    <w:rsid w:val="00AE0F5D"/>
    <w:rsid w:val="00AE1018"/>
    <w:rsid w:val="00AE17F0"/>
    <w:rsid w:val="00AE2039"/>
    <w:rsid w:val="00AE24CA"/>
    <w:rsid w:val="00AE2522"/>
    <w:rsid w:val="00AE2587"/>
    <w:rsid w:val="00AE27A8"/>
    <w:rsid w:val="00AE27D9"/>
    <w:rsid w:val="00AE2A74"/>
    <w:rsid w:val="00AE2CD1"/>
    <w:rsid w:val="00AE32C2"/>
    <w:rsid w:val="00AE34F2"/>
    <w:rsid w:val="00AE3E52"/>
    <w:rsid w:val="00AE4962"/>
    <w:rsid w:val="00AE5111"/>
    <w:rsid w:val="00AE58AC"/>
    <w:rsid w:val="00AE58C8"/>
    <w:rsid w:val="00AE59C4"/>
    <w:rsid w:val="00AE5DEC"/>
    <w:rsid w:val="00AE6C8A"/>
    <w:rsid w:val="00AE7B80"/>
    <w:rsid w:val="00AE7DED"/>
    <w:rsid w:val="00AF0285"/>
    <w:rsid w:val="00AF08F7"/>
    <w:rsid w:val="00AF0917"/>
    <w:rsid w:val="00AF0AA9"/>
    <w:rsid w:val="00AF0C5B"/>
    <w:rsid w:val="00AF0E10"/>
    <w:rsid w:val="00AF1133"/>
    <w:rsid w:val="00AF192D"/>
    <w:rsid w:val="00AF1A98"/>
    <w:rsid w:val="00AF230A"/>
    <w:rsid w:val="00AF26A2"/>
    <w:rsid w:val="00AF2E5F"/>
    <w:rsid w:val="00AF30D7"/>
    <w:rsid w:val="00AF31C1"/>
    <w:rsid w:val="00AF32A5"/>
    <w:rsid w:val="00AF37B7"/>
    <w:rsid w:val="00AF4664"/>
    <w:rsid w:val="00AF5205"/>
    <w:rsid w:val="00AF6713"/>
    <w:rsid w:val="00AF691B"/>
    <w:rsid w:val="00AF6CFA"/>
    <w:rsid w:val="00AF6DA2"/>
    <w:rsid w:val="00AF7833"/>
    <w:rsid w:val="00AF7C00"/>
    <w:rsid w:val="00AF7CC1"/>
    <w:rsid w:val="00AF7FEA"/>
    <w:rsid w:val="00B0001F"/>
    <w:rsid w:val="00B00BC1"/>
    <w:rsid w:val="00B00DC4"/>
    <w:rsid w:val="00B015A4"/>
    <w:rsid w:val="00B01D5F"/>
    <w:rsid w:val="00B024A7"/>
    <w:rsid w:val="00B02EFA"/>
    <w:rsid w:val="00B02F09"/>
    <w:rsid w:val="00B02F7C"/>
    <w:rsid w:val="00B02FCC"/>
    <w:rsid w:val="00B031B0"/>
    <w:rsid w:val="00B033A5"/>
    <w:rsid w:val="00B035FA"/>
    <w:rsid w:val="00B0397E"/>
    <w:rsid w:val="00B03B46"/>
    <w:rsid w:val="00B03E48"/>
    <w:rsid w:val="00B03E8A"/>
    <w:rsid w:val="00B04173"/>
    <w:rsid w:val="00B04390"/>
    <w:rsid w:val="00B04CAE"/>
    <w:rsid w:val="00B051E2"/>
    <w:rsid w:val="00B0660E"/>
    <w:rsid w:val="00B067C2"/>
    <w:rsid w:val="00B0719E"/>
    <w:rsid w:val="00B079E7"/>
    <w:rsid w:val="00B10A4D"/>
    <w:rsid w:val="00B10BAF"/>
    <w:rsid w:val="00B11567"/>
    <w:rsid w:val="00B11B53"/>
    <w:rsid w:val="00B11D45"/>
    <w:rsid w:val="00B12C33"/>
    <w:rsid w:val="00B12E39"/>
    <w:rsid w:val="00B1362C"/>
    <w:rsid w:val="00B13F61"/>
    <w:rsid w:val="00B1479F"/>
    <w:rsid w:val="00B147C4"/>
    <w:rsid w:val="00B14980"/>
    <w:rsid w:val="00B14C17"/>
    <w:rsid w:val="00B150A4"/>
    <w:rsid w:val="00B151B8"/>
    <w:rsid w:val="00B152D0"/>
    <w:rsid w:val="00B15378"/>
    <w:rsid w:val="00B154AC"/>
    <w:rsid w:val="00B1553D"/>
    <w:rsid w:val="00B1570C"/>
    <w:rsid w:val="00B163D0"/>
    <w:rsid w:val="00B165C0"/>
    <w:rsid w:val="00B16A52"/>
    <w:rsid w:val="00B16FCA"/>
    <w:rsid w:val="00B17A2C"/>
    <w:rsid w:val="00B17B6E"/>
    <w:rsid w:val="00B20003"/>
    <w:rsid w:val="00B202C8"/>
    <w:rsid w:val="00B205B2"/>
    <w:rsid w:val="00B20618"/>
    <w:rsid w:val="00B20AAE"/>
    <w:rsid w:val="00B21073"/>
    <w:rsid w:val="00B211BE"/>
    <w:rsid w:val="00B21218"/>
    <w:rsid w:val="00B221CA"/>
    <w:rsid w:val="00B22746"/>
    <w:rsid w:val="00B22863"/>
    <w:rsid w:val="00B228D6"/>
    <w:rsid w:val="00B22ABB"/>
    <w:rsid w:val="00B22F92"/>
    <w:rsid w:val="00B23270"/>
    <w:rsid w:val="00B23B62"/>
    <w:rsid w:val="00B23EDD"/>
    <w:rsid w:val="00B242D6"/>
    <w:rsid w:val="00B2500B"/>
    <w:rsid w:val="00B2503E"/>
    <w:rsid w:val="00B25302"/>
    <w:rsid w:val="00B25492"/>
    <w:rsid w:val="00B256C1"/>
    <w:rsid w:val="00B26160"/>
    <w:rsid w:val="00B26A0B"/>
    <w:rsid w:val="00B26C6E"/>
    <w:rsid w:val="00B2730E"/>
    <w:rsid w:val="00B27E31"/>
    <w:rsid w:val="00B27F24"/>
    <w:rsid w:val="00B30611"/>
    <w:rsid w:val="00B31128"/>
    <w:rsid w:val="00B31520"/>
    <w:rsid w:val="00B3201D"/>
    <w:rsid w:val="00B3202B"/>
    <w:rsid w:val="00B320B0"/>
    <w:rsid w:val="00B322D2"/>
    <w:rsid w:val="00B3277F"/>
    <w:rsid w:val="00B32995"/>
    <w:rsid w:val="00B33092"/>
    <w:rsid w:val="00B3359A"/>
    <w:rsid w:val="00B3395D"/>
    <w:rsid w:val="00B33A32"/>
    <w:rsid w:val="00B33E0C"/>
    <w:rsid w:val="00B3416B"/>
    <w:rsid w:val="00B34A5C"/>
    <w:rsid w:val="00B34D30"/>
    <w:rsid w:val="00B352B9"/>
    <w:rsid w:val="00B35570"/>
    <w:rsid w:val="00B35AFB"/>
    <w:rsid w:val="00B3630A"/>
    <w:rsid w:val="00B36B34"/>
    <w:rsid w:val="00B373B3"/>
    <w:rsid w:val="00B37484"/>
    <w:rsid w:val="00B4015B"/>
    <w:rsid w:val="00B401DA"/>
    <w:rsid w:val="00B4088E"/>
    <w:rsid w:val="00B409E4"/>
    <w:rsid w:val="00B42275"/>
    <w:rsid w:val="00B422B5"/>
    <w:rsid w:val="00B42F9B"/>
    <w:rsid w:val="00B4390A"/>
    <w:rsid w:val="00B44618"/>
    <w:rsid w:val="00B447E5"/>
    <w:rsid w:val="00B449A8"/>
    <w:rsid w:val="00B45E53"/>
    <w:rsid w:val="00B46101"/>
    <w:rsid w:val="00B46526"/>
    <w:rsid w:val="00B46552"/>
    <w:rsid w:val="00B4685C"/>
    <w:rsid w:val="00B47723"/>
    <w:rsid w:val="00B500D9"/>
    <w:rsid w:val="00B50901"/>
    <w:rsid w:val="00B50A3A"/>
    <w:rsid w:val="00B50BCF"/>
    <w:rsid w:val="00B50E0D"/>
    <w:rsid w:val="00B50EA5"/>
    <w:rsid w:val="00B51085"/>
    <w:rsid w:val="00B51429"/>
    <w:rsid w:val="00B518CD"/>
    <w:rsid w:val="00B52BA4"/>
    <w:rsid w:val="00B532C9"/>
    <w:rsid w:val="00B53580"/>
    <w:rsid w:val="00B53597"/>
    <w:rsid w:val="00B53BBC"/>
    <w:rsid w:val="00B542EF"/>
    <w:rsid w:val="00B54B4A"/>
    <w:rsid w:val="00B54E4A"/>
    <w:rsid w:val="00B5516B"/>
    <w:rsid w:val="00B554F4"/>
    <w:rsid w:val="00B55854"/>
    <w:rsid w:val="00B55863"/>
    <w:rsid w:val="00B55E1D"/>
    <w:rsid w:val="00B55E30"/>
    <w:rsid w:val="00B55F1A"/>
    <w:rsid w:val="00B5697B"/>
    <w:rsid w:val="00B569D5"/>
    <w:rsid w:val="00B57864"/>
    <w:rsid w:val="00B57A50"/>
    <w:rsid w:val="00B57B75"/>
    <w:rsid w:val="00B600C1"/>
    <w:rsid w:val="00B60B0E"/>
    <w:rsid w:val="00B60D15"/>
    <w:rsid w:val="00B60D37"/>
    <w:rsid w:val="00B60DAF"/>
    <w:rsid w:val="00B62262"/>
    <w:rsid w:val="00B628C3"/>
    <w:rsid w:val="00B62A1F"/>
    <w:rsid w:val="00B62E2A"/>
    <w:rsid w:val="00B632D3"/>
    <w:rsid w:val="00B63DFF"/>
    <w:rsid w:val="00B64379"/>
    <w:rsid w:val="00B64395"/>
    <w:rsid w:val="00B65E2B"/>
    <w:rsid w:val="00B65EF9"/>
    <w:rsid w:val="00B670A3"/>
    <w:rsid w:val="00B67A9E"/>
    <w:rsid w:val="00B7006E"/>
    <w:rsid w:val="00B701BE"/>
    <w:rsid w:val="00B7086A"/>
    <w:rsid w:val="00B7115D"/>
    <w:rsid w:val="00B71328"/>
    <w:rsid w:val="00B71429"/>
    <w:rsid w:val="00B714E0"/>
    <w:rsid w:val="00B7197B"/>
    <w:rsid w:val="00B71A1A"/>
    <w:rsid w:val="00B72130"/>
    <w:rsid w:val="00B72265"/>
    <w:rsid w:val="00B72304"/>
    <w:rsid w:val="00B72678"/>
    <w:rsid w:val="00B72B53"/>
    <w:rsid w:val="00B72D4C"/>
    <w:rsid w:val="00B73187"/>
    <w:rsid w:val="00B7346E"/>
    <w:rsid w:val="00B73B06"/>
    <w:rsid w:val="00B73BCE"/>
    <w:rsid w:val="00B74009"/>
    <w:rsid w:val="00B740BA"/>
    <w:rsid w:val="00B74183"/>
    <w:rsid w:val="00B744A6"/>
    <w:rsid w:val="00B757C5"/>
    <w:rsid w:val="00B75B9F"/>
    <w:rsid w:val="00B76417"/>
    <w:rsid w:val="00B76765"/>
    <w:rsid w:val="00B774E2"/>
    <w:rsid w:val="00B774E4"/>
    <w:rsid w:val="00B77696"/>
    <w:rsid w:val="00B77DBA"/>
    <w:rsid w:val="00B8009C"/>
    <w:rsid w:val="00B8060F"/>
    <w:rsid w:val="00B807E0"/>
    <w:rsid w:val="00B80C1C"/>
    <w:rsid w:val="00B80C67"/>
    <w:rsid w:val="00B80E7A"/>
    <w:rsid w:val="00B80F69"/>
    <w:rsid w:val="00B815A3"/>
    <w:rsid w:val="00B8184C"/>
    <w:rsid w:val="00B82570"/>
    <w:rsid w:val="00B83829"/>
    <w:rsid w:val="00B83CC4"/>
    <w:rsid w:val="00B855F2"/>
    <w:rsid w:val="00B85847"/>
    <w:rsid w:val="00B85AC6"/>
    <w:rsid w:val="00B8698F"/>
    <w:rsid w:val="00B86B80"/>
    <w:rsid w:val="00B90723"/>
    <w:rsid w:val="00B907D7"/>
    <w:rsid w:val="00B90987"/>
    <w:rsid w:val="00B90A7B"/>
    <w:rsid w:val="00B90E2C"/>
    <w:rsid w:val="00B91345"/>
    <w:rsid w:val="00B9163C"/>
    <w:rsid w:val="00B9163E"/>
    <w:rsid w:val="00B91975"/>
    <w:rsid w:val="00B91B51"/>
    <w:rsid w:val="00B91DEC"/>
    <w:rsid w:val="00B9235B"/>
    <w:rsid w:val="00B92472"/>
    <w:rsid w:val="00B924F2"/>
    <w:rsid w:val="00B92AF1"/>
    <w:rsid w:val="00B92E14"/>
    <w:rsid w:val="00B93176"/>
    <w:rsid w:val="00B932EF"/>
    <w:rsid w:val="00B940D2"/>
    <w:rsid w:val="00B945AE"/>
    <w:rsid w:val="00B9566F"/>
    <w:rsid w:val="00B95751"/>
    <w:rsid w:val="00B959E5"/>
    <w:rsid w:val="00B96039"/>
    <w:rsid w:val="00B96710"/>
    <w:rsid w:val="00B96B52"/>
    <w:rsid w:val="00B9749B"/>
    <w:rsid w:val="00B978F1"/>
    <w:rsid w:val="00BA006F"/>
    <w:rsid w:val="00BA02A3"/>
    <w:rsid w:val="00BA074D"/>
    <w:rsid w:val="00BA0B65"/>
    <w:rsid w:val="00BA0B8A"/>
    <w:rsid w:val="00BA0D63"/>
    <w:rsid w:val="00BA0EF0"/>
    <w:rsid w:val="00BA137B"/>
    <w:rsid w:val="00BA156D"/>
    <w:rsid w:val="00BA18EC"/>
    <w:rsid w:val="00BA19BD"/>
    <w:rsid w:val="00BA1B6B"/>
    <w:rsid w:val="00BA262B"/>
    <w:rsid w:val="00BA311C"/>
    <w:rsid w:val="00BA3737"/>
    <w:rsid w:val="00BA3E5B"/>
    <w:rsid w:val="00BA4973"/>
    <w:rsid w:val="00BA5395"/>
    <w:rsid w:val="00BA5DA8"/>
    <w:rsid w:val="00BA6610"/>
    <w:rsid w:val="00BA66B5"/>
    <w:rsid w:val="00BA6709"/>
    <w:rsid w:val="00BA698B"/>
    <w:rsid w:val="00BA7205"/>
    <w:rsid w:val="00BB0222"/>
    <w:rsid w:val="00BB026C"/>
    <w:rsid w:val="00BB0372"/>
    <w:rsid w:val="00BB12DD"/>
    <w:rsid w:val="00BB25B6"/>
    <w:rsid w:val="00BB27C9"/>
    <w:rsid w:val="00BB2B6F"/>
    <w:rsid w:val="00BB2E30"/>
    <w:rsid w:val="00BB2E47"/>
    <w:rsid w:val="00BB327C"/>
    <w:rsid w:val="00BB35F5"/>
    <w:rsid w:val="00BB3C32"/>
    <w:rsid w:val="00BB3DB7"/>
    <w:rsid w:val="00BB3F15"/>
    <w:rsid w:val="00BB4DFE"/>
    <w:rsid w:val="00BB56E2"/>
    <w:rsid w:val="00BB5788"/>
    <w:rsid w:val="00BB5A7B"/>
    <w:rsid w:val="00BB5C86"/>
    <w:rsid w:val="00BB5DED"/>
    <w:rsid w:val="00BB6413"/>
    <w:rsid w:val="00BB67EF"/>
    <w:rsid w:val="00BB6C3B"/>
    <w:rsid w:val="00BB7104"/>
    <w:rsid w:val="00BB7570"/>
    <w:rsid w:val="00BB75BA"/>
    <w:rsid w:val="00BB79A4"/>
    <w:rsid w:val="00BB7A7C"/>
    <w:rsid w:val="00BB7BF5"/>
    <w:rsid w:val="00BB7E4E"/>
    <w:rsid w:val="00BB7E9B"/>
    <w:rsid w:val="00BC015C"/>
    <w:rsid w:val="00BC0560"/>
    <w:rsid w:val="00BC075B"/>
    <w:rsid w:val="00BC07A4"/>
    <w:rsid w:val="00BC0E6A"/>
    <w:rsid w:val="00BC0F37"/>
    <w:rsid w:val="00BC11F3"/>
    <w:rsid w:val="00BC127F"/>
    <w:rsid w:val="00BC1CD3"/>
    <w:rsid w:val="00BC1D21"/>
    <w:rsid w:val="00BC1E94"/>
    <w:rsid w:val="00BC2AC8"/>
    <w:rsid w:val="00BC37D8"/>
    <w:rsid w:val="00BC4487"/>
    <w:rsid w:val="00BC455C"/>
    <w:rsid w:val="00BC46AD"/>
    <w:rsid w:val="00BC5898"/>
    <w:rsid w:val="00BC5C88"/>
    <w:rsid w:val="00BC5D53"/>
    <w:rsid w:val="00BC60B5"/>
    <w:rsid w:val="00BC6227"/>
    <w:rsid w:val="00BC65EE"/>
    <w:rsid w:val="00BC6EAF"/>
    <w:rsid w:val="00BC6F57"/>
    <w:rsid w:val="00BC7384"/>
    <w:rsid w:val="00BC7783"/>
    <w:rsid w:val="00BC7B7D"/>
    <w:rsid w:val="00BC7BEE"/>
    <w:rsid w:val="00BC7CA7"/>
    <w:rsid w:val="00BD0F77"/>
    <w:rsid w:val="00BD134D"/>
    <w:rsid w:val="00BD1C38"/>
    <w:rsid w:val="00BD3206"/>
    <w:rsid w:val="00BD408D"/>
    <w:rsid w:val="00BD40DE"/>
    <w:rsid w:val="00BD419F"/>
    <w:rsid w:val="00BD4444"/>
    <w:rsid w:val="00BD4D17"/>
    <w:rsid w:val="00BD4FD9"/>
    <w:rsid w:val="00BD4FF6"/>
    <w:rsid w:val="00BD5199"/>
    <w:rsid w:val="00BD53B2"/>
    <w:rsid w:val="00BD56EC"/>
    <w:rsid w:val="00BD5710"/>
    <w:rsid w:val="00BD576A"/>
    <w:rsid w:val="00BD5A00"/>
    <w:rsid w:val="00BD5C8F"/>
    <w:rsid w:val="00BD5C9C"/>
    <w:rsid w:val="00BD6715"/>
    <w:rsid w:val="00BD68D0"/>
    <w:rsid w:val="00BD6968"/>
    <w:rsid w:val="00BD6A3A"/>
    <w:rsid w:val="00BD6DCC"/>
    <w:rsid w:val="00BD782C"/>
    <w:rsid w:val="00BE06D4"/>
    <w:rsid w:val="00BE06E3"/>
    <w:rsid w:val="00BE1137"/>
    <w:rsid w:val="00BE190E"/>
    <w:rsid w:val="00BE1FC0"/>
    <w:rsid w:val="00BE2057"/>
    <w:rsid w:val="00BE2068"/>
    <w:rsid w:val="00BE256A"/>
    <w:rsid w:val="00BE257B"/>
    <w:rsid w:val="00BE2ADF"/>
    <w:rsid w:val="00BE3AAD"/>
    <w:rsid w:val="00BE3BCD"/>
    <w:rsid w:val="00BE3CF3"/>
    <w:rsid w:val="00BE3D49"/>
    <w:rsid w:val="00BE47C0"/>
    <w:rsid w:val="00BE47F7"/>
    <w:rsid w:val="00BE4F4A"/>
    <w:rsid w:val="00BE52AA"/>
    <w:rsid w:val="00BE5CBF"/>
    <w:rsid w:val="00BE620C"/>
    <w:rsid w:val="00BE643F"/>
    <w:rsid w:val="00BE64F5"/>
    <w:rsid w:val="00BE6595"/>
    <w:rsid w:val="00BE666F"/>
    <w:rsid w:val="00BE6933"/>
    <w:rsid w:val="00BE6E5F"/>
    <w:rsid w:val="00BE7139"/>
    <w:rsid w:val="00BE74AD"/>
    <w:rsid w:val="00BE7CA8"/>
    <w:rsid w:val="00BF0075"/>
    <w:rsid w:val="00BF02DB"/>
    <w:rsid w:val="00BF0942"/>
    <w:rsid w:val="00BF0BE2"/>
    <w:rsid w:val="00BF0E8D"/>
    <w:rsid w:val="00BF1D52"/>
    <w:rsid w:val="00BF209B"/>
    <w:rsid w:val="00BF226C"/>
    <w:rsid w:val="00BF2399"/>
    <w:rsid w:val="00BF266E"/>
    <w:rsid w:val="00BF2772"/>
    <w:rsid w:val="00BF2962"/>
    <w:rsid w:val="00BF2C55"/>
    <w:rsid w:val="00BF2CBA"/>
    <w:rsid w:val="00BF2DA5"/>
    <w:rsid w:val="00BF344D"/>
    <w:rsid w:val="00BF3775"/>
    <w:rsid w:val="00BF48D3"/>
    <w:rsid w:val="00BF598B"/>
    <w:rsid w:val="00BF611A"/>
    <w:rsid w:val="00BF6BFF"/>
    <w:rsid w:val="00BF6ECF"/>
    <w:rsid w:val="00BF7132"/>
    <w:rsid w:val="00BF7304"/>
    <w:rsid w:val="00BF76F6"/>
    <w:rsid w:val="00BF7A4D"/>
    <w:rsid w:val="00BF7C7E"/>
    <w:rsid w:val="00BF7DFA"/>
    <w:rsid w:val="00C002FB"/>
    <w:rsid w:val="00C007A9"/>
    <w:rsid w:val="00C01130"/>
    <w:rsid w:val="00C014C0"/>
    <w:rsid w:val="00C01901"/>
    <w:rsid w:val="00C02C81"/>
    <w:rsid w:val="00C03445"/>
    <w:rsid w:val="00C03542"/>
    <w:rsid w:val="00C04271"/>
    <w:rsid w:val="00C043FD"/>
    <w:rsid w:val="00C04611"/>
    <w:rsid w:val="00C04D58"/>
    <w:rsid w:val="00C063DE"/>
    <w:rsid w:val="00C06A5F"/>
    <w:rsid w:val="00C06D2A"/>
    <w:rsid w:val="00C0758D"/>
    <w:rsid w:val="00C07D3C"/>
    <w:rsid w:val="00C07F69"/>
    <w:rsid w:val="00C1016B"/>
    <w:rsid w:val="00C10466"/>
    <w:rsid w:val="00C104FC"/>
    <w:rsid w:val="00C10686"/>
    <w:rsid w:val="00C108A3"/>
    <w:rsid w:val="00C10F3C"/>
    <w:rsid w:val="00C11078"/>
    <w:rsid w:val="00C110BB"/>
    <w:rsid w:val="00C1139F"/>
    <w:rsid w:val="00C11D10"/>
    <w:rsid w:val="00C13211"/>
    <w:rsid w:val="00C1339F"/>
    <w:rsid w:val="00C1354E"/>
    <w:rsid w:val="00C1364A"/>
    <w:rsid w:val="00C14048"/>
    <w:rsid w:val="00C14081"/>
    <w:rsid w:val="00C14857"/>
    <w:rsid w:val="00C14BEB"/>
    <w:rsid w:val="00C14E43"/>
    <w:rsid w:val="00C15350"/>
    <w:rsid w:val="00C15723"/>
    <w:rsid w:val="00C15F10"/>
    <w:rsid w:val="00C16155"/>
    <w:rsid w:val="00C16245"/>
    <w:rsid w:val="00C1651B"/>
    <w:rsid w:val="00C1681B"/>
    <w:rsid w:val="00C16888"/>
    <w:rsid w:val="00C17027"/>
    <w:rsid w:val="00C174C0"/>
    <w:rsid w:val="00C17572"/>
    <w:rsid w:val="00C17F6F"/>
    <w:rsid w:val="00C20DFC"/>
    <w:rsid w:val="00C20FB8"/>
    <w:rsid w:val="00C21595"/>
    <w:rsid w:val="00C21629"/>
    <w:rsid w:val="00C21916"/>
    <w:rsid w:val="00C21D80"/>
    <w:rsid w:val="00C223CF"/>
    <w:rsid w:val="00C2255B"/>
    <w:rsid w:val="00C22CE8"/>
    <w:rsid w:val="00C22D92"/>
    <w:rsid w:val="00C22FBF"/>
    <w:rsid w:val="00C24327"/>
    <w:rsid w:val="00C2476B"/>
    <w:rsid w:val="00C250BD"/>
    <w:rsid w:val="00C257A2"/>
    <w:rsid w:val="00C2582C"/>
    <w:rsid w:val="00C25B83"/>
    <w:rsid w:val="00C25BB7"/>
    <w:rsid w:val="00C25E14"/>
    <w:rsid w:val="00C264DC"/>
    <w:rsid w:val="00C2684E"/>
    <w:rsid w:val="00C26B16"/>
    <w:rsid w:val="00C26CAD"/>
    <w:rsid w:val="00C277B1"/>
    <w:rsid w:val="00C27872"/>
    <w:rsid w:val="00C27C39"/>
    <w:rsid w:val="00C27DB2"/>
    <w:rsid w:val="00C31E61"/>
    <w:rsid w:val="00C31FE3"/>
    <w:rsid w:val="00C32459"/>
    <w:rsid w:val="00C326D0"/>
    <w:rsid w:val="00C32827"/>
    <w:rsid w:val="00C32938"/>
    <w:rsid w:val="00C3307F"/>
    <w:rsid w:val="00C33DD6"/>
    <w:rsid w:val="00C33FD1"/>
    <w:rsid w:val="00C342AF"/>
    <w:rsid w:val="00C343CD"/>
    <w:rsid w:val="00C34BCF"/>
    <w:rsid w:val="00C3625C"/>
    <w:rsid w:val="00C3676D"/>
    <w:rsid w:val="00C3699C"/>
    <w:rsid w:val="00C36A1A"/>
    <w:rsid w:val="00C36B34"/>
    <w:rsid w:val="00C374D0"/>
    <w:rsid w:val="00C37821"/>
    <w:rsid w:val="00C37BED"/>
    <w:rsid w:val="00C40025"/>
    <w:rsid w:val="00C401CA"/>
    <w:rsid w:val="00C404F6"/>
    <w:rsid w:val="00C408CE"/>
    <w:rsid w:val="00C408DD"/>
    <w:rsid w:val="00C40BC2"/>
    <w:rsid w:val="00C40BFD"/>
    <w:rsid w:val="00C40D0C"/>
    <w:rsid w:val="00C41254"/>
    <w:rsid w:val="00C41717"/>
    <w:rsid w:val="00C4171D"/>
    <w:rsid w:val="00C41822"/>
    <w:rsid w:val="00C41C52"/>
    <w:rsid w:val="00C41DE6"/>
    <w:rsid w:val="00C42087"/>
    <w:rsid w:val="00C4222D"/>
    <w:rsid w:val="00C424A4"/>
    <w:rsid w:val="00C43699"/>
    <w:rsid w:val="00C43D93"/>
    <w:rsid w:val="00C43E31"/>
    <w:rsid w:val="00C4527B"/>
    <w:rsid w:val="00C45F48"/>
    <w:rsid w:val="00C45FCB"/>
    <w:rsid w:val="00C46BBA"/>
    <w:rsid w:val="00C46BBE"/>
    <w:rsid w:val="00C46C0E"/>
    <w:rsid w:val="00C47181"/>
    <w:rsid w:val="00C4765F"/>
    <w:rsid w:val="00C50A04"/>
    <w:rsid w:val="00C50A45"/>
    <w:rsid w:val="00C50C47"/>
    <w:rsid w:val="00C50F80"/>
    <w:rsid w:val="00C5111A"/>
    <w:rsid w:val="00C51438"/>
    <w:rsid w:val="00C517DD"/>
    <w:rsid w:val="00C51ADB"/>
    <w:rsid w:val="00C520E7"/>
    <w:rsid w:val="00C52844"/>
    <w:rsid w:val="00C52B61"/>
    <w:rsid w:val="00C52F06"/>
    <w:rsid w:val="00C52FAA"/>
    <w:rsid w:val="00C52FF5"/>
    <w:rsid w:val="00C5300B"/>
    <w:rsid w:val="00C5336B"/>
    <w:rsid w:val="00C53CDC"/>
    <w:rsid w:val="00C53E20"/>
    <w:rsid w:val="00C53F45"/>
    <w:rsid w:val="00C543DC"/>
    <w:rsid w:val="00C543E0"/>
    <w:rsid w:val="00C54A29"/>
    <w:rsid w:val="00C54E87"/>
    <w:rsid w:val="00C554B3"/>
    <w:rsid w:val="00C55714"/>
    <w:rsid w:val="00C5587A"/>
    <w:rsid w:val="00C56888"/>
    <w:rsid w:val="00C56A2B"/>
    <w:rsid w:val="00C56B6D"/>
    <w:rsid w:val="00C56E72"/>
    <w:rsid w:val="00C56EA8"/>
    <w:rsid w:val="00C56FA9"/>
    <w:rsid w:val="00C57656"/>
    <w:rsid w:val="00C57EF5"/>
    <w:rsid w:val="00C600FB"/>
    <w:rsid w:val="00C60495"/>
    <w:rsid w:val="00C61353"/>
    <w:rsid w:val="00C616DD"/>
    <w:rsid w:val="00C6170D"/>
    <w:rsid w:val="00C61C6D"/>
    <w:rsid w:val="00C61D94"/>
    <w:rsid w:val="00C6262D"/>
    <w:rsid w:val="00C62E22"/>
    <w:rsid w:val="00C62EE1"/>
    <w:rsid w:val="00C63273"/>
    <w:rsid w:val="00C633F8"/>
    <w:rsid w:val="00C63AF6"/>
    <w:rsid w:val="00C63CF3"/>
    <w:rsid w:val="00C63DE4"/>
    <w:rsid w:val="00C64056"/>
    <w:rsid w:val="00C6405B"/>
    <w:rsid w:val="00C64376"/>
    <w:rsid w:val="00C6458B"/>
    <w:rsid w:val="00C646F2"/>
    <w:rsid w:val="00C64A94"/>
    <w:rsid w:val="00C65251"/>
    <w:rsid w:val="00C655EA"/>
    <w:rsid w:val="00C656A2"/>
    <w:rsid w:val="00C65A3D"/>
    <w:rsid w:val="00C65F8E"/>
    <w:rsid w:val="00C66215"/>
    <w:rsid w:val="00C665EB"/>
    <w:rsid w:val="00C66AEB"/>
    <w:rsid w:val="00C66C3D"/>
    <w:rsid w:val="00C66E98"/>
    <w:rsid w:val="00C674E0"/>
    <w:rsid w:val="00C67571"/>
    <w:rsid w:val="00C679C3"/>
    <w:rsid w:val="00C70299"/>
    <w:rsid w:val="00C702A3"/>
    <w:rsid w:val="00C70311"/>
    <w:rsid w:val="00C70436"/>
    <w:rsid w:val="00C712EE"/>
    <w:rsid w:val="00C71A03"/>
    <w:rsid w:val="00C71BD8"/>
    <w:rsid w:val="00C71EB4"/>
    <w:rsid w:val="00C7224A"/>
    <w:rsid w:val="00C72B9C"/>
    <w:rsid w:val="00C72DF7"/>
    <w:rsid w:val="00C72F0A"/>
    <w:rsid w:val="00C730EE"/>
    <w:rsid w:val="00C73416"/>
    <w:rsid w:val="00C7350A"/>
    <w:rsid w:val="00C739D6"/>
    <w:rsid w:val="00C74217"/>
    <w:rsid w:val="00C7430F"/>
    <w:rsid w:val="00C74C3E"/>
    <w:rsid w:val="00C75397"/>
    <w:rsid w:val="00C766F4"/>
    <w:rsid w:val="00C77F31"/>
    <w:rsid w:val="00C80175"/>
    <w:rsid w:val="00C80AAB"/>
    <w:rsid w:val="00C80C8B"/>
    <w:rsid w:val="00C8131B"/>
    <w:rsid w:val="00C815C8"/>
    <w:rsid w:val="00C8199B"/>
    <w:rsid w:val="00C81C20"/>
    <w:rsid w:val="00C81D0B"/>
    <w:rsid w:val="00C82B27"/>
    <w:rsid w:val="00C82CE3"/>
    <w:rsid w:val="00C831D9"/>
    <w:rsid w:val="00C83391"/>
    <w:rsid w:val="00C83744"/>
    <w:rsid w:val="00C838FB"/>
    <w:rsid w:val="00C83EF9"/>
    <w:rsid w:val="00C845F6"/>
    <w:rsid w:val="00C86053"/>
    <w:rsid w:val="00C86146"/>
    <w:rsid w:val="00C86E01"/>
    <w:rsid w:val="00C87730"/>
    <w:rsid w:val="00C8773E"/>
    <w:rsid w:val="00C9014C"/>
    <w:rsid w:val="00C9083F"/>
    <w:rsid w:val="00C90A34"/>
    <w:rsid w:val="00C90C50"/>
    <w:rsid w:val="00C90FF5"/>
    <w:rsid w:val="00C91C74"/>
    <w:rsid w:val="00C920E6"/>
    <w:rsid w:val="00C9210C"/>
    <w:rsid w:val="00C929A6"/>
    <w:rsid w:val="00C92B4A"/>
    <w:rsid w:val="00C92E8E"/>
    <w:rsid w:val="00C92ED6"/>
    <w:rsid w:val="00C93215"/>
    <w:rsid w:val="00C936DF"/>
    <w:rsid w:val="00C9376E"/>
    <w:rsid w:val="00C93A1C"/>
    <w:rsid w:val="00C94ADD"/>
    <w:rsid w:val="00C94F09"/>
    <w:rsid w:val="00C94F66"/>
    <w:rsid w:val="00C9552B"/>
    <w:rsid w:val="00C95770"/>
    <w:rsid w:val="00C95B74"/>
    <w:rsid w:val="00C96000"/>
    <w:rsid w:val="00C96035"/>
    <w:rsid w:val="00C96099"/>
    <w:rsid w:val="00C960A5"/>
    <w:rsid w:val="00C96D29"/>
    <w:rsid w:val="00C97539"/>
    <w:rsid w:val="00C97EEF"/>
    <w:rsid w:val="00CA0114"/>
    <w:rsid w:val="00CA148E"/>
    <w:rsid w:val="00CA1A95"/>
    <w:rsid w:val="00CA1C15"/>
    <w:rsid w:val="00CA2395"/>
    <w:rsid w:val="00CA29CB"/>
    <w:rsid w:val="00CA2CDF"/>
    <w:rsid w:val="00CA3042"/>
    <w:rsid w:val="00CA37CC"/>
    <w:rsid w:val="00CA38DD"/>
    <w:rsid w:val="00CA3AEB"/>
    <w:rsid w:val="00CA3B44"/>
    <w:rsid w:val="00CA4071"/>
    <w:rsid w:val="00CA4079"/>
    <w:rsid w:val="00CA4509"/>
    <w:rsid w:val="00CA5D9B"/>
    <w:rsid w:val="00CA5E7C"/>
    <w:rsid w:val="00CA5E7D"/>
    <w:rsid w:val="00CA6059"/>
    <w:rsid w:val="00CA6B17"/>
    <w:rsid w:val="00CA6D08"/>
    <w:rsid w:val="00CA71DD"/>
    <w:rsid w:val="00CA73DD"/>
    <w:rsid w:val="00CA7F04"/>
    <w:rsid w:val="00CB0B32"/>
    <w:rsid w:val="00CB0BEB"/>
    <w:rsid w:val="00CB0CD7"/>
    <w:rsid w:val="00CB0D7B"/>
    <w:rsid w:val="00CB1174"/>
    <w:rsid w:val="00CB137F"/>
    <w:rsid w:val="00CB13CC"/>
    <w:rsid w:val="00CB1E1D"/>
    <w:rsid w:val="00CB1FF9"/>
    <w:rsid w:val="00CB218D"/>
    <w:rsid w:val="00CB287F"/>
    <w:rsid w:val="00CB2AA5"/>
    <w:rsid w:val="00CB2EC7"/>
    <w:rsid w:val="00CB3A28"/>
    <w:rsid w:val="00CB3D2B"/>
    <w:rsid w:val="00CB3E1F"/>
    <w:rsid w:val="00CB3FA5"/>
    <w:rsid w:val="00CB4207"/>
    <w:rsid w:val="00CB4BC1"/>
    <w:rsid w:val="00CB4FD0"/>
    <w:rsid w:val="00CB5091"/>
    <w:rsid w:val="00CB5C62"/>
    <w:rsid w:val="00CB5CA5"/>
    <w:rsid w:val="00CB5DFC"/>
    <w:rsid w:val="00CB60AF"/>
    <w:rsid w:val="00CB6225"/>
    <w:rsid w:val="00CB627B"/>
    <w:rsid w:val="00CB68A1"/>
    <w:rsid w:val="00CB68C3"/>
    <w:rsid w:val="00CB7014"/>
    <w:rsid w:val="00CB74FF"/>
    <w:rsid w:val="00CB7578"/>
    <w:rsid w:val="00CB75BB"/>
    <w:rsid w:val="00CB77BE"/>
    <w:rsid w:val="00CB7A85"/>
    <w:rsid w:val="00CC00F8"/>
    <w:rsid w:val="00CC014D"/>
    <w:rsid w:val="00CC0160"/>
    <w:rsid w:val="00CC04F3"/>
    <w:rsid w:val="00CC1F01"/>
    <w:rsid w:val="00CC1F13"/>
    <w:rsid w:val="00CC26E3"/>
    <w:rsid w:val="00CC2DC3"/>
    <w:rsid w:val="00CC2E40"/>
    <w:rsid w:val="00CC3060"/>
    <w:rsid w:val="00CC3063"/>
    <w:rsid w:val="00CC361D"/>
    <w:rsid w:val="00CC3C32"/>
    <w:rsid w:val="00CC3C5F"/>
    <w:rsid w:val="00CC431A"/>
    <w:rsid w:val="00CC469B"/>
    <w:rsid w:val="00CC51AD"/>
    <w:rsid w:val="00CC5501"/>
    <w:rsid w:val="00CC5F14"/>
    <w:rsid w:val="00CC61AB"/>
    <w:rsid w:val="00CC698C"/>
    <w:rsid w:val="00CC7682"/>
    <w:rsid w:val="00CC7CE8"/>
    <w:rsid w:val="00CD0295"/>
    <w:rsid w:val="00CD0414"/>
    <w:rsid w:val="00CD05AD"/>
    <w:rsid w:val="00CD0682"/>
    <w:rsid w:val="00CD08E8"/>
    <w:rsid w:val="00CD0964"/>
    <w:rsid w:val="00CD129C"/>
    <w:rsid w:val="00CD1461"/>
    <w:rsid w:val="00CD1473"/>
    <w:rsid w:val="00CD1956"/>
    <w:rsid w:val="00CD1A9F"/>
    <w:rsid w:val="00CD1B05"/>
    <w:rsid w:val="00CD2474"/>
    <w:rsid w:val="00CD26E2"/>
    <w:rsid w:val="00CD2807"/>
    <w:rsid w:val="00CD34E7"/>
    <w:rsid w:val="00CD3687"/>
    <w:rsid w:val="00CD3738"/>
    <w:rsid w:val="00CD3F18"/>
    <w:rsid w:val="00CD490A"/>
    <w:rsid w:val="00CD4C30"/>
    <w:rsid w:val="00CD4C74"/>
    <w:rsid w:val="00CD5B5C"/>
    <w:rsid w:val="00CD5FFF"/>
    <w:rsid w:val="00CD6748"/>
    <w:rsid w:val="00CD6B99"/>
    <w:rsid w:val="00CD74DA"/>
    <w:rsid w:val="00CD778F"/>
    <w:rsid w:val="00CD7AE0"/>
    <w:rsid w:val="00CD7CB0"/>
    <w:rsid w:val="00CE0958"/>
    <w:rsid w:val="00CE0B79"/>
    <w:rsid w:val="00CE0F04"/>
    <w:rsid w:val="00CE1194"/>
    <w:rsid w:val="00CE12CE"/>
    <w:rsid w:val="00CE1309"/>
    <w:rsid w:val="00CE1520"/>
    <w:rsid w:val="00CE17FD"/>
    <w:rsid w:val="00CE1923"/>
    <w:rsid w:val="00CE1DBF"/>
    <w:rsid w:val="00CE23B2"/>
    <w:rsid w:val="00CE26CF"/>
    <w:rsid w:val="00CE2754"/>
    <w:rsid w:val="00CE2C2C"/>
    <w:rsid w:val="00CE300F"/>
    <w:rsid w:val="00CE35C8"/>
    <w:rsid w:val="00CE40A6"/>
    <w:rsid w:val="00CE4280"/>
    <w:rsid w:val="00CE4322"/>
    <w:rsid w:val="00CE45F8"/>
    <w:rsid w:val="00CE4603"/>
    <w:rsid w:val="00CE4A3B"/>
    <w:rsid w:val="00CE4B91"/>
    <w:rsid w:val="00CE4F59"/>
    <w:rsid w:val="00CE4FC4"/>
    <w:rsid w:val="00CE5D6F"/>
    <w:rsid w:val="00CE5FC2"/>
    <w:rsid w:val="00CE642E"/>
    <w:rsid w:val="00CE70E8"/>
    <w:rsid w:val="00CF0698"/>
    <w:rsid w:val="00CF0780"/>
    <w:rsid w:val="00CF0C07"/>
    <w:rsid w:val="00CF1F07"/>
    <w:rsid w:val="00CF2A1D"/>
    <w:rsid w:val="00CF2C7C"/>
    <w:rsid w:val="00CF2D0B"/>
    <w:rsid w:val="00CF30D1"/>
    <w:rsid w:val="00CF3198"/>
    <w:rsid w:val="00CF31FA"/>
    <w:rsid w:val="00CF342B"/>
    <w:rsid w:val="00CF37B4"/>
    <w:rsid w:val="00CF3BA0"/>
    <w:rsid w:val="00CF42F7"/>
    <w:rsid w:val="00CF4B83"/>
    <w:rsid w:val="00CF513F"/>
    <w:rsid w:val="00CF545D"/>
    <w:rsid w:val="00CF567E"/>
    <w:rsid w:val="00CF56B0"/>
    <w:rsid w:val="00CF5CF0"/>
    <w:rsid w:val="00CF6058"/>
    <w:rsid w:val="00CF6ED4"/>
    <w:rsid w:val="00CF71B5"/>
    <w:rsid w:val="00CF7220"/>
    <w:rsid w:val="00CF7585"/>
    <w:rsid w:val="00CF786A"/>
    <w:rsid w:val="00CF7987"/>
    <w:rsid w:val="00D00070"/>
    <w:rsid w:val="00D00679"/>
    <w:rsid w:val="00D007BF"/>
    <w:rsid w:val="00D009E8"/>
    <w:rsid w:val="00D00E4C"/>
    <w:rsid w:val="00D00FCA"/>
    <w:rsid w:val="00D014C5"/>
    <w:rsid w:val="00D01A12"/>
    <w:rsid w:val="00D01BE3"/>
    <w:rsid w:val="00D01E78"/>
    <w:rsid w:val="00D01FF0"/>
    <w:rsid w:val="00D02193"/>
    <w:rsid w:val="00D021AD"/>
    <w:rsid w:val="00D02DED"/>
    <w:rsid w:val="00D0306D"/>
    <w:rsid w:val="00D0341F"/>
    <w:rsid w:val="00D03440"/>
    <w:rsid w:val="00D03772"/>
    <w:rsid w:val="00D0508E"/>
    <w:rsid w:val="00D051E0"/>
    <w:rsid w:val="00D06199"/>
    <w:rsid w:val="00D062C4"/>
    <w:rsid w:val="00D06701"/>
    <w:rsid w:val="00D067D9"/>
    <w:rsid w:val="00D06E21"/>
    <w:rsid w:val="00D071C6"/>
    <w:rsid w:val="00D0722F"/>
    <w:rsid w:val="00D07A99"/>
    <w:rsid w:val="00D07C83"/>
    <w:rsid w:val="00D10259"/>
    <w:rsid w:val="00D10306"/>
    <w:rsid w:val="00D1045A"/>
    <w:rsid w:val="00D10670"/>
    <w:rsid w:val="00D108A5"/>
    <w:rsid w:val="00D11830"/>
    <w:rsid w:val="00D11D5E"/>
    <w:rsid w:val="00D12343"/>
    <w:rsid w:val="00D1247A"/>
    <w:rsid w:val="00D12491"/>
    <w:rsid w:val="00D124C1"/>
    <w:rsid w:val="00D12D15"/>
    <w:rsid w:val="00D12D9D"/>
    <w:rsid w:val="00D12DAF"/>
    <w:rsid w:val="00D1335A"/>
    <w:rsid w:val="00D134E1"/>
    <w:rsid w:val="00D1352E"/>
    <w:rsid w:val="00D13545"/>
    <w:rsid w:val="00D13F08"/>
    <w:rsid w:val="00D14273"/>
    <w:rsid w:val="00D14985"/>
    <w:rsid w:val="00D14B5F"/>
    <w:rsid w:val="00D15D13"/>
    <w:rsid w:val="00D15D8E"/>
    <w:rsid w:val="00D16236"/>
    <w:rsid w:val="00D1659D"/>
    <w:rsid w:val="00D16668"/>
    <w:rsid w:val="00D17389"/>
    <w:rsid w:val="00D174AB"/>
    <w:rsid w:val="00D17804"/>
    <w:rsid w:val="00D17B1B"/>
    <w:rsid w:val="00D17D6B"/>
    <w:rsid w:val="00D17D7C"/>
    <w:rsid w:val="00D203A5"/>
    <w:rsid w:val="00D204AA"/>
    <w:rsid w:val="00D2075C"/>
    <w:rsid w:val="00D20E51"/>
    <w:rsid w:val="00D20EAD"/>
    <w:rsid w:val="00D21C07"/>
    <w:rsid w:val="00D2258D"/>
    <w:rsid w:val="00D227E7"/>
    <w:rsid w:val="00D228D9"/>
    <w:rsid w:val="00D237AB"/>
    <w:rsid w:val="00D23CFB"/>
    <w:rsid w:val="00D23E84"/>
    <w:rsid w:val="00D2407D"/>
    <w:rsid w:val="00D24853"/>
    <w:rsid w:val="00D24CE5"/>
    <w:rsid w:val="00D24EF7"/>
    <w:rsid w:val="00D25636"/>
    <w:rsid w:val="00D2589A"/>
    <w:rsid w:val="00D25F0D"/>
    <w:rsid w:val="00D26205"/>
    <w:rsid w:val="00D26A3C"/>
    <w:rsid w:val="00D2703B"/>
    <w:rsid w:val="00D27121"/>
    <w:rsid w:val="00D271AA"/>
    <w:rsid w:val="00D272CD"/>
    <w:rsid w:val="00D27CB6"/>
    <w:rsid w:val="00D27DE4"/>
    <w:rsid w:val="00D30010"/>
    <w:rsid w:val="00D3006E"/>
    <w:rsid w:val="00D30458"/>
    <w:rsid w:val="00D30467"/>
    <w:rsid w:val="00D304D0"/>
    <w:rsid w:val="00D30916"/>
    <w:rsid w:val="00D3106B"/>
    <w:rsid w:val="00D31607"/>
    <w:rsid w:val="00D31DBC"/>
    <w:rsid w:val="00D321CB"/>
    <w:rsid w:val="00D32427"/>
    <w:rsid w:val="00D3290F"/>
    <w:rsid w:val="00D32C98"/>
    <w:rsid w:val="00D32EC5"/>
    <w:rsid w:val="00D33330"/>
    <w:rsid w:val="00D3337C"/>
    <w:rsid w:val="00D339ED"/>
    <w:rsid w:val="00D347BF"/>
    <w:rsid w:val="00D34EE2"/>
    <w:rsid w:val="00D365FE"/>
    <w:rsid w:val="00D36961"/>
    <w:rsid w:val="00D36C3D"/>
    <w:rsid w:val="00D36D1F"/>
    <w:rsid w:val="00D37153"/>
    <w:rsid w:val="00D37774"/>
    <w:rsid w:val="00D37830"/>
    <w:rsid w:val="00D37A77"/>
    <w:rsid w:val="00D40DC9"/>
    <w:rsid w:val="00D413C0"/>
    <w:rsid w:val="00D4149C"/>
    <w:rsid w:val="00D41708"/>
    <w:rsid w:val="00D4170E"/>
    <w:rsid w:val="00D420B1"/>
    <w:rsid w:val="00D4291B"/>
    <w:rsid w:val="00D42B61"/>
    <w:rsid w:val="00D42C9A"/>
    <w:rsid w:val="00D42D7F"/>
    <w:rsid w:val="00D42F3B"/>
    <w:rsid w:val="00D430A3"/>
    <w:rsid w:val="00D430B1"/>
    <w:rsid w:val="00D430F7"/>
    <w:rsid w:val="00D434A6"/>
    <w:rsid w:val="00D43BF4"/>
    <w:rsid w:val="00D44545"/>
    <w:rsid w:val="00D445D3"/>
    <w:rsid w:val="00D44663"/>
    <w:rsid w:val="00D44684"/>
    <w:rsid w:val="00D451CC"/>
    <w:rsid w:val="00D45354"/>
    <w:rsid w:val="00D45C06"/>
    <w:rsid w:val="00D45D9D"/>
    <w:rsid w:val="00D45F8E"/>
    <w:rsid w:val="00D45FF1"/>
    <w:rsid w:val="00D4614A"/>
    <w:rsid w:val="00D46614"/>
    <w:rsid w:val="00D4674B"/>
    <w:rsid w:val="00D47097"/>
    <w:rsid w:val="00D4714A"/>
    <w:rsid w:val="00D504B7"/>
    <w:rsid w:val="00D50C12"/>
    <w:rsid w:val="00D5140D"/>
    <w:rsid w:val="00D517B3"/>
    <w:rsid w:val="00D521F2"/>
    <w:rsid w:val="00D529A8"/>
    <w:rsid w:val="00D53326"/>
    <w:rsid w:val="00D5335D"/>
    <w:rsid w:val="00D53654"/>
    <w:rsid w:val="00D53C0F"/>
    <w:rsid w:val="00D53F51"/>
    <w:rsid w:val="00D541C5"/>
    <w:rsid w:val="00D54D2C"/>
    <w:rsid w:val="00D54FE2"/>
    <w:rsid w:val="00D554E1"/>
    <w:rsid w:val="00D55B1E"/>
    <w:rsid w:val="00D55E64"/>
    <w:rsid w:val="00D56258"/>
    <w:rsid w:val="00D56745"/>
    <w:rsid w:val="00D56A90"/>
    <w:rsid w:val="00D56B39"/>
    <w:rsid w:val="00D572C8"/>
    <w:rsid w:val="00D57F70"/>
    <w:rsid w:val="00D6027F"/>
    <w:rsid w:val="00D604FA"/>
    <w:rsid w:val="00D61159"/>
    <w:rsid w:val="00D612F9"/>
    <w:rsid w:val="00D616A5"/>
    <w:rsid w:val="00D618E6"/>
    <w:rsid w:val="00D61C8E"/>
    <w:rsid w:val="00D62C7A"/>
    <w:rsid w:val="00D633C0"/>
    <w:rsid w:val="00D63471"/>
    <w:rsid w:val="00D634FF"/>
    <w:rsid w:val="00D6358E"/>
    <w:rsid w:val="00D63D16"/>
    <w:rsid w:val="00D63E8B"/>
    <w:rsid w:val="00D64360"/>
    <w:rsid w:val="00D645FB"/>
    <w:rsid w:val="00D64ECF"/>
    <w:rsid w:val="00D65353"/>
    <w:rsid w:val="00D656BF"/>
    <w:rsid w:val="00D65A59"/>
    <w:rsid w:val="00D65EED"/>
    <w:rsid w:val="00D65F40"/>
    <w:rsid w:val="00D660C9"/>
    <w:rsid w:val="00D6658D"/>
    <w:rsid w:val="00D66626"/>
    <w:rsid w:val="00D66630"/>
    <w:rsid w:val="00D66B42"/>
    <w:rsid w:val="00D672CB"/>
    <w:rsid w:val="00D6767A"/>
    <w:rsid w:val="00D67A0C"/>
    <w:rsid w:val="00D67BA3"/>
    <w:rsid w:val="00D67CFB"/>
    <w:rsid w:val="00D7023D"/>
    <w:rsid w:val="00D70755"/>
    <w:rsid w:val="00D70C66"/>
    <w:rsid w:val="00D70C7A"/>
    <w:rsid w:val="00D70CCE"/>
    <w:rsid w:val="00D713BE"/>
    <w:rsid w:val="00D716E6"/>
    <w:rsid w:val="00D71A95"/>
    <w:rsid w:val="00D71FF1"/>
    <w:rsid w:val="00D72CFD"/>
    <w:rsid w:val="00D72E0A"/>
    <w:rsid w:val="00D72EA1"/>
    <w:rsid w:val="00D731BE"/>
    <w:rsid w:val="00D737FB"/>
    <w:rsid w:val="00D73A4E"/>
    <w:rsid w:val="00D73BE2"/>
    <w:rsid w:val="00D73F03"/>
    <w:rsid w:val="00D740BC"/>
    <w:rsid w:val="00D7441C"/>
    <w:rsid w:val="00D7442A"/>
    <w:rsid w:val="00D750DB"/>
    <w:rsid w:val="00D75D0A"/>
    <w:rsid w:val="00D760DA"/>
    <w:rsid w:val="00D76126"/>
    <w:rsid w:val="00D76194"/>
    <w:rsid w:val="00D76767"/>
    <w:rsid w:val="00D7679B"/>
    <w:rsid w:val="00D76FEA"/>
    <w:rsid w:val="00D7726F"/>
    <w:rsid w:val="00D7756C"/>
    <w:rsid w:val="00D77A80"/>
    <w:rsid w:val="00D77A87"/>
    <w:rsid w:val="00D80097"/>
    <w:rsid w:val="00D8014C"/>
    <w:rsid w:val="00D80C07"/>
    <w:rsid w:val="00D80D4B"/>
    <w:rsid w:val="00D80F0D"/>
    <w:rsid w:val="00D816BE"/>
    <w:rsid w:val="00D81BED"/>
    <w:rsid w:val="00D81E7F"/>
    <w:rsid w:val="00D81EC8"/>
    <w:rsid w:val="00D82088"/>
    <w:rsid w:val="00D82355"/>
    <w:rsid w:val="00D82419"/>
    <w:rsid w:val="00D82E54"/>
    <w:rsid w:val="00D8309F"/>
    <w:rsid w:val="00D83E8F"/>
    <w:rsid w:val="00D84383"/>
    <w:rsid w:val="00D843AF"/>
    <w:rsid w:val="00D84F4F"/>
    <w:rsid w:val="00D85071"/>
    <w:rsid w:val="00D8518E"/>
    <w:rsid w:val="00D85367"/>
    <w:rsid w:val="00D854D9"/>
    <w:rsid w:val="00D85C11"/>
    <w:rsid w:val="00D85F93"/>
    <w:rsid w:val="00D86239"/>
    <w:rsid w:val="00D866F3"/>
    <w:rsid w:val="00D866FA"/>
    <w:rsid w:val="00D8673D"/>
    <w:rsid w:val="00D86A9E"/>
    <w:rsid w:val="00D86B2C"/>
    <w:rsid w:val="00D8721D"/>
    <w:rsid w:val="00D87427"/>
    <w:rsid w:val="00D8746D"/>
    <w:rsid w:val="00D87661"/>
    <w:rsid w:val="00D87CA9"/>
    <w:rsid w:val="00D87F31"/>
    <w:rsid w:val="00D9001F"/>
    <w:rsid w:val="00D90E6B"/>
    <w:rsid w:val="00D910DF"/>
    <w:rsid w:val="00D91259"/>
    <w:rsid w:val="00D92917"/>
    <w:rsid w:val="00D92AB4"/>
    <w:rsid w:val="00D92D30"/>
    <w:rsid w:val="00D93236"/>
    <w:rsid w:val="00D934C5"/>
    <w:rsid w:val="00D93A0F"/>
    <w:rsid w:val="00D93D6D"/>
    <w:rsid w:val="00D946C7"/>
    <w:rsid w:val="00D94D9F"/>
    <w:rsid w:val="00D94E7E"/>
    <w:rsid w:val="00D9521E"/>
    <w:rsid w:val="00D95DD1"/>
    <w:rsid w:val="00D95EF2"/>
    <w:rsid w:val="00D969A0"/>
    <w:rsid w:val="00D96F12"/>
    <w:rsid w:val="00D972DF"/>
    <w:rsid w:val="00D973A1"/>
    <w:rsid w:val="00D975A6"/>
    <w:rsid w:val="00D97C16"/>
    <w:rsid w:val="00D97DBE"/>
    <w:rsid w:val="00D97E57"/>
    <w:rsid w:val="00D97FC9"/>
    <w:rsid w:val="00DA01FD"/>
    <w:rsid w:val="00DA0DA5"/>
    <w:rsid w:val="00DA0E27"/>
    <w:rsid w:val="00DA0FCF"/>
    <w:rsid w:val="00DA1568"/>
    <w:rsid w:val="00DA15E8"/>
    <w:rsid w:val="00DA2869"/>
    <w:rsid w:val="00DA309A"/>
    <w:rsid w:val="00DA4329"/>
    <w:rsid w:val="00DA4811"/>
    <w:rsid w:val="00DA48AB"/>
    <w:rsid w:val="00DA4986"/>
    <w:rsid w:val="00DA4D6D"/>
    <w:rsid w:val="00DA5269"/>
    <w:rsid w:val="00DA57E6"/>
    <w:rsid w:val="00DA59D7"/>
    <w:rsid w:val="00DA6454"/>
    <w:rsid w:val="00DA654D"/>
    <w:rsid w:val="00DA6871"/>
    <w:rsid w:val="00DA72E1"/>
    <w:rsid w:val="00DA79A0"/>
    <w:rsid w:val="00DA7E87"/>
    <w:rsid w:val="00DB098B"/>
    <w:rsid w:val="00DB1127"/>
    <w:rsid w:val="00DB1CE3"/>
    <w:rsid w:val="00DB207F"/>
    <w:rsid w:val="00DB27DB"/>
    <w:rsid w:val="00DB2D8C"/>
    <w:rsid w:val="00DB2ED7"/>
    <w:rsid w:val="00DB3C34"/>
    <w:rsid w:val="00DB3CC4"/>
    <w:rsid w:val="00DB4404"/>
    <w:rsid w:val="00DB4AD2"/>
    <w:rsid w:val="00DB6155"/>
    <w:rsid w:val="00DB6261"/>
    <w:rsid w:val="00DB6BE0"/>
    <w:rsid w:val="00DB702F"/>
    <w:rsid w:val="00DB74EF"/>
    <w:rsid w:val="00DB7A7E"/>
    <w:rsid w:val="00DC00E0"/>
    <w:rsid w:val="00DC03C1"/>
    <w:rsid w:val="00DC0494"/>
    <w:rsid w:val="00DC0865"/>
    <w:rsid w:val="00DC0B02"/>
    <w:rsid w:val="00DC0B41"/>
    <w:rsid w:val="00DC0FF3"/>
    <w:rsid w:val="00DC1A8B"/>
    <w:rsid w:val="00DC2047"/>
    <w:rsid w:val="00DC230A"/>
    <w:rsid w:val="00DC2329"/>
    <w:rsid w:val="00DC295A"/>
    <w:rsid w:val="00DC2A70"/>
    <w:rsid w:val="00DC2C6B"/>
    <w:rsid w:val="00DC40B9"/>
    <w:rsid w:val="00DC4157"/>
    <w:rsid w:val="00DC457B"/>
    <w:rsid w:val="00DC46CE"/>
    <w:rsid w:val="00DC4CE7"/>
    <w:rsid w:val="00DC5157"/>
    <w:rsid w:val="00DC57F6"/>
    <w:rsid w:val="00DC5D83"/>
    <w:rsid w:val="00DC657A"/>
    <w:rsid w:val="00DC66F6"/>
    <w:rsid w:val="00DC6D07"/>
    <w:rsid w:val="00DC721A"/>
    <w:rsid w:val="00DC75A0"/>
    <w:rsid w:val="00DC7F91"/>
    <w:rsid w:val="00DD0261"/>
    <w:rsid w:val="00DD0A07"/>
    <w:rsid w:val="00DD13F0"/>
    <w:rsid w:val="00DD1916"/>
    <w:rsid w:val="00DD1C06"/>
    <w:rsid w:val="00DD1F0D"/>
    <w:rsid w:val="00DD233B"/>
    <w:rsid w:val="00DD26D2"/>
    <w:rsid w:val="00DD28CD"/>
    <w:rsid w:val="00DD2A83"/>
    <w:rsid w:val="00DD2E77"/>
    <w:rsid w:val="00DD3005"/>
    <w:rsid w:val="00DD34A2"/>
    <w:rsid w:val="00DD3944"/>
    <w:rsid w:val="00DD3F1D"/>
    <w:rsid w:val="00DD4095"/>
    <w:rsid w:val="00DD42DA"/>
    <w:rsid w:val="00DD5017"/>
    <w:rsid w:val="00DD5187"/>
    <w:rsid w:val="00DD584E"/>
    <w:rsid w:val="00DD5FA4"/>
    <w:rsid w:val="00DD65D8"/>
    <w:rsid w:val="00DD72D5"/>
    <w:rsid w:val="00DE0375"/>
    <w:rsid w:val="00DE10FC"/>
    <w:rsid w:val="00DE1900"/>
    <w:rsid w:val="00DE1B0F"/>
    <w:rsid w:val="00DE2309"/>
    <w:rsid w:val="00DE2B37"/>
    <w:rsid w:val="00DE33DE"/>
    <w:rsid w:val="00DE351C"/>
    <w:rsid w:val="00DE47AF"/>
    <w:rsid w:val="00DE4B44"/>
    <w:rsid w:val="00DE4D8C"/>
    <w:rsid w:val="00DE59F6"/>
    <w:rsid w:val="00DE60BA"/>
    <w:rsid w:val="00DE61CA"/>
    <w:rsid w:val="00DE6732"/>
    <w:rsid w:val="00DE782C"/>
    <w:rsid w:val="00DF0006"/>
    <w:rsid w:val="00DF0F23"/>
    <w:rsid w:val="00DF2CF5"/>
    <w:rsid w:val="00DF2F91"/>
    <w:rsid w:val="00DF3288"/>
    <w:rsid w:val="00DF3FB0"/>
    <w:rsid w:val="00DF484A"/>
    <w:rsid w:val="00DF51BD"/>
    <w:rsid w:val="00DF53B6"/>
    <w:rsid w:val="00DF5A9D"/>
    <w:rsid w:val="00DF5B49"/>
    <w:rsid w:val="00DF5BB7"/>
    <w:rsid w:val="00DF5C58"/>
    <w:rsid w:val="00DF60D9"/>
    <w:rsid w:val="00DF63F9"/>
    <w:rsid w:val="00DF65C9"/>
    <w:rsid w:val="00DF6E28"/>
    <w:rsid w:val="00DF737B"/>
    <w:rsid w:val="00DF7497"/>
    <w:rsid w:val="00DF7A82"/>
    <w:rsid w:val="00DF7C61"/>
    <w:rsid w:val="00DF7FDF"/>
    <w:rsid w:val="00DFCD71"/>
    <w:rsid w:val="00E0014B"/>
    <w:rsid w:val="00E003F1"/>
    <w:rsid w:val="00E00FAE"/>
    <w:rsid w:val="00E01290"/>
    <w:rsid w:val="00E01686"/>
    <w:rsid w:val="00E01F2B"/>
    <w:rsid w:val="00E024D7"/>
    <w:rsid w:val="00E0268E"/>
    <w:rsid w:val="00E02B83"/>
    <w:rsid w:val="00E02CA5"/>
    <w:rsid w:val="00E02CF2"/>
    <w:rsid w:val="00E0335D"/>
    <w:rsid w:val="00E03489"/>
    <w:rsid w:val="00E037D8"/>
    <w:rsid w:val="00E03C98"/>
    <w:rsid w:val="00E03D33"/>
    <w:rsid w:val="00E04501"/>
    <w:rsid w:val="00E048E1"/>
    <w:rsid w:val="00E048E6"/>
    <w:rsid w:val="00E048E7"/>
    <w:rsid w:val="00E0497E"/>
    <w:rsid w:val="00E0527C"/>
    <w:rsid w:val="00E05472"/>
    <w:rsid w:val="00E05FBC"/>
    <w:rsid w:val="00E06093"/>
    <w:rsid w:val="00E06577"/>
    <w:rsid w:val="00E0676A"/>
    <w:rsid w:val="00E06ED7"/>
    <w:rsid w:val="00E06EDB"/>
    <w:rsid w:val="00E07832"/>
    <w:rsid w:val="00E079B6"/>
    <w:rsid w:val="00E10281"/>
    <w:rsid w:val="00E108AF"/>
    <w:rsid w:val="00E10917"/>
    <w:rsid w:val="00E10F4A"/>
    <w:rsid w:val="00E10FA1"/>
    <w:rsid w:val="00E11272"/>
    <w:rsid w:val="00E11374"/>
    <w:rsid w:val="00E113EF"/>
    <w:rsid w:val="00E117A6"/>
    <w:rsid w:val="00E12051"/>
    <w:rsid w:val="00E12787"/>
    <w:rsid w:val="00E12A19"/>
    <w:rsid w:val="00E12DD7"/>
    <w:rsid w:val="00E132E8"/>
    <w:rsid w:val="00E1395F"/>
    <w:rsid w:val="00E13E57"/>
    <w:rsid w:val="00E14551"/>
    <w:rsid w:val="00E146DA"/>
    <w:rsid w:val="00E15678"/>
    <w:rsid w:val="00E15BA4"/>
    <w:rsid w:val="00E16A8B"/>
    <w:rsid w:val="00E17292"/>
    <w:rsid w:val="00E17974"/>
    <w:rsid w:val="00E17B7A"/>
    <w:rsid w:val="00E17EC6"/>
    <w:rsid w:val="00E208E7"/>
    <w:rsid w:val="00E20A16"/>
    <w:rsid w:val="00E20B1A"/>
    <w:rsid w:val="00E20E56"/>
    <w:rsid w:val="00E21058"/>
    <w:rsid w:val="00E214B6"/>
    <w:rsid w:val="00E21D25"/>
    <w:rsid w:val="00E21F34"/>
    <w:rsid w:val="00E2259C"/>
    <w:rsid w:val="00E22754"/>
    <w:rsid w:val="00E22E8D"/>
    <w:rsid w:val="00E23630"/>
    <w:rsid w:val="00E24DDF"/>
    <w:rsid w:val="00E24F76"/>
    <w:rsid w:val="00E250CA"/>
    <w:rsid w:val="00E250EC"/>
    <w:rsid w:val="00E251C6"/>
    <w:rsid w:val="00E253E7"/>
    <w:rsid w:val="00E25646"/>
    <w:rsid w:val="00E25E9C"/>
    <w:rsid w:val="00E2629E"/>
    <w:rsid w:val="00E26465"/>
    <w:rsid w:val="00E26BB9"/>
    <w:rsid w:val="00E26C22"/>
    <w:rsid w:val="00E27407"/>
    <w:rsid w:val="00E301BB"/>
    <w:rsid w:val="00E3083B"/>
    <w:rsid w:val="00E31671"/>
    <w:rsid w:val="00E31B9B"/>
    <w:rsid w:val="00E31ED1"/>
    <w:rsid w:val="00E32066"/>
    <w:rsid w:val="00E3254E"/>
    <w:rsid w:val="00E329E0"/>
    <w:rsid w:val="00E32ABD"/>
    <w:rsid w:val="00E33021"/>
    <w:rsid w:val="00E33472"/>
    <w:rsid w:val="00E33ACF"/>
    <w:rsid w:val="00E33CA8"/>
    <w:rsid w:val="00E341CB"/>
    <w:rsid w:val="00E34319"/>
    <w:rsid w:val="00E34771"/>
    <w:rsid w:val="00E353C6"/>
    <w:rsid w:val="00E3548E"/>
    <w:rsid w:val="00E35661"/>
    <w:rsid w:val="00E35D8E"/>
    <w:rsid w:val="00E35E11"/>
    <w:rsid w:val="00E370F7"/>
    <w:rsid w:val="00E3734A"/>
    <w:rsid w:val="00E37455"/>
    <w:rsid w:val="00E37A39"/>
    <w:rsid w:val="00E405CB"/>
    <w:rsid w:val="00E40896"/>
    <w:rsid w:val="00E408C2"/>
    <w:rsid w:val="00E40D37"/>
    <w:rsid w:val="00E40D96"/>
    <w:rsid w:val="00E412FF"/>
    <w:rsid w:val="00E416E2"/>
    <w:rsid w:val="00E41808"/>
    <w:rsid w:val="00E424A9"/>
    <w:rsid w:val="00E428F5"/>
    <w:rsid w:val="00E42D64"/>
    <w:rsid w:val="00E431FD"/>
    <w:rsid w:val="00E43263"/>
    <w:rsid w:val="00E433A0"/>
    <w:rsid w:val="00E44060"/>
    <w:rsid w:val="00E44135"/>
    <w:rsid w:val="00E44596"/>
    <w:rsid w:val="00E446C2"/>
    <w:rsid w:val="00E455DC"/>
    <w:rsid w:val="00E45A08"/>
    <w:rsid w:val="00E45A3C"/>
    <w:rsid w:val="00E46062"/>
    <w:rsid w:val="00E4633F"/>
    <w:rsid w:val="00E46BC3"/>
    <w:rsid w:val="00E46D02"/>
    <w:rsid w:val="00E46EF6"/>
    <w:rsid w:val="00E4715D"/>
    <w:rsid w:val="00E47411"/>
    <w:rsid w:val="00E47E81"/>
    <w:rsid w:val="00E47FB8"/>
    <w:rsid w:val="00E500C4"/>
    <w:rsid w:val="00E50219"/>
    <w:rsid w:val="00E50625"/>
    <w:rsid w:val="00E50B01"/>
    <w:rsid w:val="00E512B5"/>
    <w:rsid w:val="00E520B4"/>
    <w:rsid w:val="00E5212F"/>
    <w:rsid w:val="00E523DB"/>
    <w:rsid w:val="00E52A80"/>
    <w:rsid w:val="00E52BCB"/>
    <w:rsid w:val="00E52D46"/>
    <w:rsid w:val="00E52E1C"/>
    <w:rsid w:val="00E537F8"/>
    <w:rsid w:val="00E53DED"/>
    <w:rsid w:val="00E544B8"/>
    <w:rsid w:val="00E5454F"/>
    <w:rsid w:val="00E54FD2"/>
    <w:rsid w:val="00E55207"/>
    <w:rsid w:val="00E5577C"/>
    <w:rsid w:val="00E55C6F"/>
    <w:rsid w:val="00E55F6A"/>
    <w:rsid w:val="00E55F9D"/>
    <w:rsid w:val="00E568C2"/>
    <w:rsid w:val="00E57492"/>
    <w:rsid w:val="00E5766A"/>
    <w:rsid w:val="00E57739"/>
    <w:rsid w:val="00E57A9B"/>
    <w:rsid w:val="00E60018"/>
    <w:rsid w:val="00E603A0"/>
    <w:rsid w:val="00E60A35"/>
    <w:rsid w:val="00E61C84"/>
    <w:rsid w:val="00E62040"/>
    <w:rsid w:val="00E6299A"/>
    <w:rsid w:val="00E63A39"/>
    <w:rsid w:val="00E63CA8"/>
    <w:rsid w:val="00E63E63"/>
    <w:rsid w:val="00E6414D"/>
    <w:rsid w:val="00E647D5"/>
    <w:rsid w:val="00E64B73"/>
    <w:rsid w:val="00E65155"/>
    <w:rsid w:val="00E65289"/>
    <w:rsid w:val="00E658AC"/>
    <w:rsid w:val="00E65AD5"/>
    <w:rsid w:val="00E65F6A"/>
    <w:rsid w:val="00E65FE0"/>
    <w:rsid w:val="00E66048"/>
    <w:rsid w:val="00E66C66"/>
    <w:rsid w:val="00E66E76"/>
    <w:rsid w:val="00E671DC"/>
    <w:rsid w:val="00E67891"/>
    <w:rsid w:val="00E67CD7"/>
    <w:rsid w:val="00E7057F"/>
    <w:rsid w:val="00E7062B"/>
    <w:rsid w:val="00E706BA"/>
    <w:rsid w:val="00E70EA7"/>
    <w:rsid w:val="00E70F51"/>
    <w:rsid w:val="00E70F70"/>
    <w:rsid w:val="00E71B95"/>
    <w:rsid w:val="00E71CB0"/>
    <w:rsid w:val="00E72995"/>
    <w:rsid w:val="00E72B52"/>
    <w:rsid w:val="00E73B3C"/>
    <w:rsid w:val="00E73C30"/>
    <w:rsid w:val="00E73CBC"/>
    <w:rsid w:val="00E74139"/>
    <w:rsid w:val="00E745D8"/>
    <w:rsid w:val="00E74855"/>
    <w:rsid w:val="00E74E1F"/>
    <w:rsid w:val="00E75265"/>
    <w:rsid w:val="00E75888"/>
    <w:rsid w:val="00E75F64"/>
    <w:rsid w:val="00E76546"/>
    <w:rsid w:val="00E76DBA"/>
    <w:rsid w:val="00E76F2D"/>
    <w:rsid w:val="00E7726A"/>
    <w:rsid w:val="00E77E65"/>
    <w:rsid w:val="00E80A08"/>
    <w:rsid w:val="00E80D27"/>
    <w:rsid w:val="00E80EA3"/>
    <w:rsid w:val="00E81A4D"/>
    <w:rsid w:val="00E81A88"/>
    <w:rsid w:val="00E8273C"/>
    <w:rsid w:val="00E82856"/>
    <w:rsid w:val="00E82CC9"/>
    <w:rsid w:val="00E82ECA"/>
    <w:rsid w:val="00E830EF"/>
    <w:rsid w:val="00E832CD"/>
    <w:rsid w:val="00E8362D"/>
    <w:rsid w:val="00E836B6"/>
    <w:rsid w:val="00E837BF"/>
    <w:rsid w:val="00E83CB3"/>
    <w:rsid w:val="00E83EAF"/>
    <w:rsid w:val="00E83F51"/>
    <w:rsid w:val="00E83F53"/>
    <w:rsid w:val="00E83F69"/>
    <w:rsid w:val="00E843AE"/>
    <w:rsid w:val="00E843DE"/>
    <w:rsid w:val="00E84906"/>
    <w:rsid w:val="00E850D1"/>
    <w:rsid w:val="00E850FD"/>
    <w:rsid w:val="00E85AB3"/>
    <w:rsid w:val="00E85B5B"/>
    <w:rsid w:val="00E864FE"/>
    <w:rsid w:val="00E86BE8"/>
    <w:rsid w:val="00E86E10"/>
    <w:rsid w:val="00E87059"/>
    <w:rsid w:val="00E87173"/>
    <w:rsid w:val="00E872CC"/>
    <w:rsid w:val="00E87613"/>
    <w:rsid w:val="00E87660"/>
    <w:rsid w:val="00E8780B"/>
    <w:rsid w:val="00E8786C"/>
    <w:rsid w:val="00E87B89"/>
    <w:rsid w:val="00E9034A"/>
    <w:rsid w:val="00E90EED"/>
    <w:rsid w:val="00E916E1"/>
    <w:rsid w:val="00E9197D"/>
    <w:rsid w:val="00E920D8"/>
    <w:rsid w:val="00E92171"/>
    <w:rsid w:val="00E92EBB"/>
    <w:rsid w:val="00E9301E"/>
    <w:rsid w:val="00E93215"/>
    <w:rsid w:val="00E93CE7"/>
    <w:rsid w:val="00E9443D"/>
    <w:rsid w:val="00E9449F"/>
    <w:rsid w:val="00E948E7"/>
    <w:rsid w:val="00E94B79"/>
    <w:rsid w:val="00E956CC"/>
    <w:rsid w:val="00E959DF"/>
    <w:rsid w:val="00E96321"/>
    <w:rsid w:val="00E96768"/>
    <w:rsid w:val="00E9684F"/>
    <w:rsid w:val="00E96AD8"/>
    <w:rsid w:val="00E96C4F"/>
    <w:rsid w:val="00E97483"/>
    <w:rsid w:val="00E978B7"/>
    <w:rsid w:val="00E978F3"/>
    <w:rsid w:val="00EA042B"/>
    <w:rsid w:val="00EA0C11"/>
    <w:rsid w:val="00EA1B07"/>
    <w:rsid w:val="00EA21A3"/>
    <w:rsid w:val="00EA2703"/>
    <w:rsid w:val="00EA27B9"/>
    <w:rsid w:val="00EA2818"/>
    <w:rsid w:val="00EA3095"/>
    <w:rsid w:val="00EA376E"/>
    <w:rsid w:val="00EA393B"/>
    <w:rsid w:val="00EA3A35"/>
    <w:rsid w:val="00EA3E34"/>
    <w:rsid w:val="00EA48EC"/>
    <w:rsid w:val="00EA4A49"/>
    <w:rsid w:val="00EA4B47"/>
    <w:rsid w:val="00EA4C15"/>
    <w:rsid w:val="00EA4C80"/>
    <w:rsid w:val="00EA4E40"/>
    <w:rsid w:val="00EA5E4C"/>
    <w:rsid w:val="00EA628B"/>
    <w:rsid w:val="00EA633A"/>
    <w:rsid w:val="00EA6D3A"/>
    <w:rsid w:val="00EA6D9A"/>
    <w:rsid w:val="00EA71DE"/>
    <w:rsid w:val="00EA749C"/>
    <w:rsid w:val="00EA79D9"/>
    <w:rsid w:val="00EA79E3"/>
    <w:rsid w:val="00EA7B65"/>
    <w:rsid w:val="00EA7D48"/>
    <w:rsid w:val="00EA7FFC"/>
    <w:rsid w:val="00EB003A"/>
    <w:rsid w:val="00EB0099"/>
    <w:rsid w:val="00EB1A75"/>
    <w:rsid w:val="00EB1AE8"/>
    <w:rsid w:val="00EB1B45"/>
    <w:rsid w:val="00EB1E36"/>
    <w:rsid w:val="00EB21C6"/>
    <w:rsid w:val="00EB2365"/>
    <w:rsid w:val="00EB27EF"/>
    <w:rsid w:val="00EB29E4"/>
    <w:rsid w:val="00EB2EB4"/>
    <w:rsid w:val="00EB2EE7"/>
    <w:rsid w:val="00EB325F"/>
    <w:rsid w:val="00EB3801"/>
    <w:rsid w:val="00EB3A07"/>
    <w:rsid w:val="00EB5614"/>
    <w:rsid w:val="00EB5AFF"/>
    <w:rsid w:val="00EB5CD8"/>
    <w:rsid w:val="00EB5DC8"/>
    <w:rsid w:val="00EB5FAE"/>
    <w:rsid w:val="00EB624B"/>
    <w:rsid w:val="00EB6B7F"/>
    <w:rsid w:val="00EB74A4"/>
    <w:rsid w:val="00EB7888"/>
    <w:rsid w:val="00EB7CB9"/>
    <w:rsid w:val="00EB7CC8"/>
    <w:rsid w:val="00EC0198"/>
    <w:rsid w:val="00EC05E2"/>
    <w:rsid w:val="00EC0663"/>
    <w:rsid w:val="00EC09DA"/>
    <w:rsid w:val="00EC1584"/>
    <w:rsid w:val="00EC29CB"/>
    <w:rsid w:val="00EC429E"/>
    <w:rsid w:val="00EC4317"/>
    <w:rsid w:val="00EC52AF"/>
    <w:rsid w:val="00EC53C2"/>
    <w:rsid w:val="00EC54C0"/>
    <w:rsid w:val="00EC55AC"/>
    <w:rsid w:val="00EC62CB"/>
    <w:rsid w:val="00EC6955"/>
    <w:rsid w:val="00EC722F"/>
    <w:rsid w:val="00ED0351"/>
    <w:rsid w:val="00ED0645"/>
    <w:rsid w:val="00ED0D60"/>
    <w:rsid w:val="00ED0F86"/>
    <w:rsid w:val="00ED14C1"/>
    <w:rsid w:val="00ED1738"/>
    <w:rsid w:val="00ED1E77"/>
    <w:rsid w:val="00ED2215"/>
    <w:rsid w:val="00ED2244"/>
    <w:rsid w:val="00ED2473"/>
    <w:rsid w:val="00ED2675"/>
    <w:rsid w:val="00ED26A4"/>
    <w:rsid w:val="00ED2A7D"/>
    <w:rsid w:val="00ED316C"/>
    <w:rsid w:val="00ED3B16"/>
    <w:rsid w:val="00ED4101"/>
    <w:rsid w:val="00ED41A1"/>
    <w:rsid w:val="00ED4F9A"/>
    <w:rsid w:val="00ED509A"/>
    <w:rsid w:val="00ED52B8"/>
    <w:rsid w:val="00ED564D"/>
    <w:rsid w:val="00ED5793"/>
    <w:rsid w:val="00ED5ABA"/>
    <w:rsid w:val="00ED5E4E"/>
    <w:rsid w:val="00ED6ACD"/>
    <w:rsid w:val="00ED708C"/>
    <w:rsid w:val="00ED7689"/>
    <w:rsid w:val="00ED7DDC"/>
    <w:rsid w:val="00EE050E"/>
    <w:rsid w:val="00EE0875"/>
    <w:rsid w:val="00EE0B85"/>
    <w:rsid w:val="00EE0C32"/>
    <w:rsid w:val="00EE0D1F"/>
    <w:rsid w:val="00EE0E96"/>
    <w:rsid w:val="00EE0EF7"/>
    <w:rsid w:val="00EE0FE9"/>
    <w:rsid w:val="00EE117A"/>
    <w:rsid w:val="00EE1360"/>
    <w:rsid w:val="00EE1A6D"/>
    <w:rsid w:val="00EE2287"/>
    <w:rsid w:val="00EE229C"/>
    <w:rsid w:val="00EE22CE"/>
    <w:rsid w:val="00EE23E8"/>
    <w:rsid w:val="00EE2D30"/>
    <w:rsid w:val="00EE2FFA"/>
    <w:rsid w:val="00EE34AA"/>
    <w:rsid w:val="00EE3A8D"/>
    <w:rsid w:val="00EE3AFB"/>
    <w:rsid w:val="00EE3C74"/>
    <w:rsid w:val="00EE43A7"/>
    <w:rsid w:val="00EE4AAD"/>
    <w:rsid w:val="00EE5FE7"/>
    <w:rsid w:val="00EE6081"/>
    <w:rsid w:val="00EE62C3"/>
    <w:rsid w:val="00EE65B3"/>
    <w:rsid w:val="00EE6825"/>
    <w:rsid w:val="00EE6E57"/>
    <w:rsid w:val="00EE7174"/>
    <w:rsid w:val="00EE733F"/>
    <w:rsid w:val="00EE75EC"/>
    <w:rsid w:val="00EE7C00"/>
    <w:rsid w:val="00EF165E"/>
    <w:rsid w:val="00EF1773"/>
    <w:rsid w:val="00EF177C"/>
    <w:rsid w:val="00EF1860"/>
    <w:rsid w:val="00EF190E"/>
    <w:rsid w:val="00EF1A01"/>
    <w:rsid w:val="00EF1D06"/>
    <w:rsid w:val="00EF1E03"/>
    <w:rsid w:val="00EF2214"/>
    <w:rsid w:val="00EF251E"/>
    <w:rsid w:val="00EF3596"/>
    <w:rsid w:val="00EF3832"/>
    <w:rsid w:val="00EF3B07"/>
    <w:rsid w:val="00EF3F01"/>
    <w:rsid w:val="00EF409E"/>
    <w:rsid w:val="00EF4563"/>
    <w:rsid w:val="00EF4694"/>
    <w:rsid w:val="00EF4A69"/>
    <w:rsid w:val="00EF4C0C"/>
    <w:rsid w:val="00EF4C66"/>
    <w:rsid w:val="00EF5863"/>
    <w:rsid w:val="00EF5C00"/>
    <w:rsid w:val="00EF5E3A"/>
    <w:rsid w:val="00EF63E0"/>
    <w:rsid w:val="00EF65B8"/>
    <w:rsid w:val="00EF68B7"/>
    <w:rsid w:val="00EF6999"/>
    <w:rsid w:val="00EF6BAC"/>
    <w:rsid w:val="00EF7248"/>
    <w:rsid w:val="00EF74DC"/>
    <w:rsid w:val="00EF7765"/>
    <w:rsid w:val="00F007C8"/>
    <w:rsid w:val="00F00CBF"/>
    <w:rsid w:val="00F00F7A"/>
    <w:rsid w:val="00F011D3"/>
    <w:rsid w:val="00F0168B"/>
    <w:rsid w:val="00F021DB"/>
    <w:rsid w:val="00F02431"/>
    <w:rsid w:val="00F0291C"/>
    <w:rsid w:val="00F02CC0"/>
    <w:rsid w:val="00F02F89"/>
    <w:rsid w:val="00F0309F"/>
    <w:rsid w:val="00F0359F"/>
    <w:rsid w:val="00F03721"/>
    <w:rsid w:val="00F03A1E"/>
    <w:rsid w:val="00F03B7E"/>
    <w:rsid w:val="00F03DC8"/>
    <w:rsid w:val="00F03E3C"/>
    <w:rsid w:val="00F04340"/>
    <w:rsid w:val="00F04CB1"/>
    <w:rsid w:val="00F04EC7"/>
    <w:rsid w:val="00F05947"/>
    <w:rsid w:val="00F059AF"/>
    <w:rsid w:val="00F05A21"/>
    <w:rsid w:val="00F05E1A"/>
    <w:rsid w:val="00F06BF0"/>
    <w:rsid w:val="00F06FDE"/>
    <w:rsid w:val="00F0789A"/>
    <w:rsid w:val="00F07A54"/>
    <w:rsid w:val="00F07B40"/>
    <w:rsid w:val="00F07C44"/>
    <w:rsid w:val="00F0CED2"/>
    <w:rsid w:val="00F1011A"/>
    <w:rsid w:val="00F101E6"/>
    <w:rsid w:val="00F109B8"/>
    <w:rsid w:val="00F10F19"/>
    <w:rsid w:val="00F1120F"/>
    <w:rsid w:val="00F11821"/>
    <w:rsid w:val="00F11CB1"/>
    <w:rsid w:val="00F12201"/>
    <w:rsid w:val="00F1259D"/>
    <w:rsid w:val="00F1282F"/>
    <w:rsid w:val="00F129F9"/>
    <w:rsid w:val="00F12C3B"/>
    <w:rsid w:val="00F133F9"/>
    <w:rsid w:val="00F13599"/>
    <w:rsid w:val="00F139D4"/>
    <w:rsid w:val="00F13DAC"/>
    <w:rsid w:val="00F14092"/>
    <w:rsid w:val="00F1493B"/>
    <w:rsid w:val="00F15184"/>
    <w:rsid w:val="00F1519A"/>
    <w:rsid w:val="00F154C5"/>
    <w:rsid w:val="00F160A8"/>
    <w:rsid w:val="00F16475"/>
    <w:rsid w:val="00F169E1"/>
    <w:rsid w:val="00F169FA"/>
    <w:rsid w:val="00F177B0"/>
    <w:rsid w:val="00F178B8"/>
    <w:rsid w:val="00F17C3C"/>
    <w:rsid w:val="00F17D48"/>
    <w:rsid w:val="00F17F7B"/>
    <w:rsid w:val="00F20016"/>
    <w:rsid w:val="00F207C6"/>
    <w:rsid w:val="00F20BDE"/>
    <w:rsid w:val="00F21199"/>
    <w:rsid w:val="00F212A3"/>
    <w:rsid w:val="00F2153F"/>
    <w:rsid w:val="00F21A4C"/>
    <w:rsid w:val="00F21DB5"/>
    <w:rsid w:val="00F21E50"/>
    <w:rsid w:val="00F224CF"/>
    <w:rsid w:val="00F226A9"/>
    <w:rsid w:val="00F226C1"/>
    <w:rsid w:val="00F2329C"/>
    <w:rsid w:val="00F2388C"/>
    <w:rsid w:val="00F24054"/>
    <w:rsid w:val="00F2442E"/>
    <w:rsid w:val="00F2463D"/>
    <w:rsid w:val="00F24822"/>
    <w:rsid w:val="00F25E2A"/>
    <w:rsid w:val="00F26102"/>
    <w:rsid w:val="00F26EE0"/>
    <w:rsid w:val="00F27C96"/>
    <w:rsid w:val="00F27E7B"/>
    <w:rsid w:val="00F27FA8"/>
    <w:rsid w:val="00F3021E"/>
    <w:rsid w:val="00F30B68"/>
    <w:rsid w:val="00F30BBA"/>
    <w:rsid w:val="00F30DEC"/>
    <w:rsid w:val="00F3122A"/>
    <w:rsid w:val="00F315A7"/>
    <w:rsid w:val="00F315BE"/>
    <w:rsid w:val="00F315FE"/>
    <w:rsid w:val="00F31B4B"/>
    <w:rsid w:val="00F31DDF"/>
    <w:rsid w:val="00F3212F"/>
    <w:rsid w:val="00F32BCE"/>
    <w:rsid w:val="00F33034"/>
    <w:rsid w:val="00F344E2"/>
    <w:rsid w:val="00F3467F"/>
    <w:rsid w:val="00F34EED"/>
    <w:rsid w:val="00F35944"/>
    <w:rsid w:val="00F35BEC"/>
    <w:rsid w:val="00F36865"/>
    <w:rsid w:val="00F36A42"/>
    <w:rsid w:val="00F36FAE"/>
    <w:rsid w:val="00F371C7"/>
    <w:rsid w:val="00F3797D"/>
    <w:rsid w:val="00F37AD5"/>
    <w:rsid w:val="00F37BBA"/>
    <w:rsid w:val="00F403E8"/>
    <w:rsid w:val="00F405D3"/>
    <w:rsid w:val="00F40981"/>
    <w:rsid w:val="00F40DB6"/>
    <w:rsid w:val="00F41CC5"/>
    <w:rsid w:val="00F420E4"/>
    <w:rsid w:val="00F425E7"/>
    <w:rsid w:val="00F42910"/>
    <w:rsid w:val="00F42B81"/>
    <w:rsid w:val="00F42D6F"/>
    <w:rsid w:val="00F43382"/>
    <w:rsid w:val="00F43997"/>
    <w:rsid w:val="00F439C8"/>
    <w:rsid w:val="00F4419C"/>
    <w:rsid w:val="00F4420E"/>
    <w:rsid w:val="00F445BF"/>
    <w:rsid w:val="00F44DAA"/>
    <w:rsid w:val="00F4513C"/>
    <w:rsid w:val="00F45886"/>
    <w:rsid w:val="00F458DC"/>
    <w:rsid w:val="00F45C98"/>
    <w:rsid w:val="00F45DAA"/>
    <w:rsid w:val="00F45E2B"/>
    <w:rsid w:val="00F46652"/>
    <w:rsid w:val="00F46696"/>
    <w:rsid w:val="00F46D85"/>
    <w:rsid w:val="00F47A75"/>
    <w:rsid w:val="00F50007"/>
    <w:rsid w:val="00F50A36"/>
    <w:rsid w:val="00F50B7E"/>
    <w:rsid w:val="00F50D15"/>
    <w:rsid w:val="00F50E23"/>
    <w:rsid w:val="00F50FA6"/>
    <w:rsid w:val="00F5120A"/>
    <w:rsid w:val="00F5161B"/>
    <w:rsid w:val="00F51A24"/>
    <w:rsid w:val="00F524E5"/>
    <w:rsid w:val="00F52605"/>
    <w:rsid w:val="00F528B9"/>
    <w:rsid w:val="00F52C31"/>
    <w:rsid w:val="00F52C95"/>
    <w:rsid w:val="00F53066"/>
    <w:rsid w:val="00F53623"/>
    <w:rsid w:val="00F537C0"/>
    <w:rsid w:val="00F53D81"/>
    <w:rsid w:val="00F541D0"/>
    <w:rsid w:val="00F54302"/>
    <w:rsid w:val="00F549CE"/>
    <w:rsid w:val="00F550DC"/>
    <w:rsid w:val="00F55D8D"/>
    <w:rsid w:val="00F56A3B"/>
    <w:rsid w:val="00F56EB0"/>
    <w:rsid w:val="00F57284"/>
    <w:rsid w:val="00F5759E"/>
    <w:rsid w:val="00F577DA"/>
    <w:rsid w:val="00F57A29"/>
    <w:rsid w:val="00F57CF1"/>
    <w:rsid w:val="00F57EE5"/>
    <w:rsid w:val="00F6008D"/>
    <w:rsid w:val="00F600F5"/>
    <w:rsid w:val="00F60949"/>
    <w:rsid w:val="00F60ADA"/>
    <w:rsid w:val="00F61304"/>
    <w:rsid w:val="00F61314"/>
    <w:rsid w:val="00F6144D"/>
    <w:rsid w:val="00F6170F"/>
    <w:rsid w:val="00F61D58"/>
    <w:rsid w:val="00F61DFC"/>
    <w:rsid w:val="00F62592"/>
    <w:rsid w:val="00F626DD"/>
    <w:rsid w:val="00F627AD"/>
    <w:rsid w:val="00F63CD2"/>
    <w:rsid w:val="00F643B3"/>
    <w:rsid w:val="00F64BBD"/>
    <w:rsid w:val="00F64E1C"/>
    <w:rsid w:val="00F65226"/>
    <w:rsid w:val="00F66300"/>
    <w:rsid w:val="00F668AA"/>
    <w:rsid w:val="00F67D71"/>
    <w:rsid w:val="00F67FCF"/>
    <w:rsid w:val="00F70037"/>
    <w:rsid w:val="00F7046A"/>
    <w:rsid w:val="00F70480"/>
    <w:rsid w:val="00F70671"/>
    <w:rsid w:val="00F706C8"/>
    <w:rsid w:val="00F708E9"/>
    <w:rsid w:val="00F70946"/>
    <w:rsid w:val="00F70CCD"/>
    <w:rsid w:val="00F71160"/>
    <w:rsid w:val="00F714F6"/>
    <w:rsid w:val="00F71D9D"/>
    <w:rsid w:val="00F72148"/>
    <w:rsid w:val="00F72A23"/>
    <w:rsid w:val="00F72A5F"/>
    <w:rsid w:val="00F72CF9"/>
    <w:rsid w:val="00F731C2"/>
    <w:rsid w:val="00F735CE"/>
    <w:rsid w:val="00F7383A"/>
    <w:rsid w:val="00F7398B"/>
    <w:rsid w:val="00F73F72"/>
    <w:rsid w:val="00F7482C"/>
    <w:rsid w:val="00F74E1A"/>
    <w:rsid w:val="00F74F9C"/>
    <w:rsid w:val="00F751D2"/>
    <w:rsid w:val="00F75295"/>
    <w:rsid w:val="00F761BA"/>
    <w:rsid w:val="00F764C9"/>
    <w:rsid w:val="00F768F7"/>
    <w:rsid w:val="00F772FE"/>
    <w:rsid w:val="00F7741D"/>
    <w:rsid w:val="00F77776"/>
    <w:rsid w:val="00F77963"/>
    <w:rsid w:val="00F77997"/>
    <w:rsid w:val="00F77BEA"/>
    <w:rsid w:val="00F8018A"/>
    <w:rsid w:val="00F8072F"/>
    <w:rsid w:val="00F80A89"/>
    <w:rsid w:val="00F80D00"/>
    <w:rsid w:val="00F812B9"/>
    <w:rsid w:val="00F825EB"/>
    <w:rsid w:val="00F82D0B"/>
    <w:rsid w:val="00F82F64"/>
    <w:rsid w:val="00F833B5"/>
    <w:rsid w:val="00F83533"/>
    <w:rsid w:val="00F83B10"/>
    <w:rsid w:val="00F84439"/>
    <w:rsid w:val="00F84A54"/>
    <w:rsid w:val="00F85604"/>
    <w:rsid w:val="00F856EB"/>
    <w:rsid w:val="00F85951"/>
    <w:rsid w:val="00F85BDC"/>
    <w:rsid w:val="00F85BE5"/>
    <w:rsid w:val="00F85FEB"/>
    <w:rsid w:val="00F86C7E"/>
    <w:rsid w:val="00F86ECB"/>
    <w:rsid w:val="00F87396"/>
    <w:rsid w:val="00F87584"/>
    <w:rsid w:val="00F87C94"/>
    <w:rsid w:val="00F90B16"/>
    <w:rsid w:val="00F90DF7"/>
    <w:rsid w:val="00F91B8A"/>
    <w:rsid w:val="00F91B94"/>
    <w:rsid w:val="00F92709"/>
    <w:rsid w:val="00F92FF4"/>
    <w:rsid w:val="00F931DB"/>
    <w:rsid w:val="00F93475"/>
    <w:rsid w:val="00F93673"/>
    <w:rsid w:val="00F938B9"/>
    <w:rsid w:val="00F93F14"/>
    <w:rsid w:val="00F93F6D"/>
    <w:rsid w:val="00F94463"/>
    <w:rsid w:val="00F94799"/>
    <w:rsid w:val="00F94CB5"/>
    <w:rsid w:val="00F95988"/>
    <w:rsid w:val="00F95AA2"/>
    <w:rsid w:val="00F95FBB"/>
    <w:rsid w:val="00F965FD"/>
    <w:rsid w:val="00F966CC"/>
    <w:rsid w:val="00F966F7"/>
    <w:rsid w:val="00F96C31"/>
    <w:rsid w:val="00F96CF8"/>
    <w:rsid w:val="00F96DE6"/>
    <w:rsid w:val="00F9722A"/>
    <w:rsid w:val="00F97C13"/>
    <w:rsid w:val="00F97F50"/>
    <w:rsid w:val="00FA0551"/>
    <w:rsid w:val="00FA06D5"/>
    <w:rsid w:val="00FA0B9A"/>
    <w:rsid w:val="00FA0E70"/>
    <w:rsid w:val="00FA2633"/>
    <w:rsid w:val="00FA2A36"/>
    <w:rsid w:val="00FA2B94"/>
    <w:rsid w:val="00FA35B2"/>
    <w:rsid w:val="00FA3B2E"/>
    <w:rsid w:val="00FA3DA1"/>
    <w:rsid w:val="00FA4203"/>
    <w:rsid w:val="00FA47FC"/>
    <w:rsid w:val="00FA48A4"/>
    <w:rsid w:val="00FA4B6A"/>
    <w:rsid w:val="00FA4C98"/>
    <w:rsid w:val="00FA4D20"/>
    <w:rsid w:val="00FA51E8"/>
    <w:rsid w:val="00FA52AA"/>
    <w:rsid w:val="00FA52CD"/>
    <w:rsid w:val="00FA55B1"/>
    <w:rsid w:val="00FA663C"/>
    <w:rsid w:val="00FA6CEE"/>
    <w:rsid w:val="00FA7321"/>
    <w:rsid w:val="00FA770D"/>
    <w:rsid w:val="00FA777F"/>
    <w:rsid w:val="00FB02EB"/>
    <w:rsid w:val="00FB03E6"/>
    <w:rsid w:val="00FB0D2F"/>
    <w:rsid w:val="00FB106B"/>
    <w:rsid w:val="00FB1216"/>
    <w:rsid w:val="00FB14C8"/>
    <w:rsid w:val="00FB1605"/>
    <w:rsid w:val="00FB18AD"/>
    <w:rsid w:val="00FB1AC9"/>
    <w:rsid w:val="00FB2291"/>
    <w:rsid w:val="00FB2760"/>
    <w:rsid w:val="00FB3473"/>
    <w:rsid w:val="00FB3928"/>
    <w:rsid w:val="00FB3936"/>
    <w:rsid w:val="00FB3F54"/>
    <w:rsid w:val="00FB42BC"/>
    <w:rsid w:val="00FB441A"/>
    <w:rsid w:val="00FB4753"/>
    <w:rsid w:val="00FB49F5"/>
    <w:rsid w:val="00FB4E02"/>
    <w:rsid w:val="00FB5D63"/>
    <w:rsid w:val="00FB5F64"/>
    <w:rsid w:val="00FB6634"/>
    <w:rsid w:val="00FB6AA1"/>
    <w:rsid w:val="00FB6AF3"/>
    <w:rsid w:val="00FB6C9F"/>
    <w:rsid w:val="00FB6D1E"/>
    <w:rsid w:val="00FB726A"/>
    <w:rsid w:val="00FB73D5"/>
    <w:rsid w:val="00FB77A3"/>
    <w:rsid w:val="00FC0A12"/>
    <w:rsid w:val="00FC0CAC"/>
    <w:rsid w:val="00FC0D44"/>
    <w:rsid w:val="00FC1026"/>
    <w:rsid w:val="00FC10C4"/>
    <w:rsid w:val="00FC180C"/>
    <w:rsid w:val="00FC1A73"/>
    <w:rsid w:val="00FC2993"/>
    <w:rsid w:val="00FC2BF8"/>
    <w:rsid w:val="00FC2C3A"/>
    <w:rsid w:val="00FC2EA6"/>
    <w:rsid w:val="00FC321B"/>
    <w:rsid w:val="00FC3261"/>
    <w:rsid w:val="00FC3300"/>
    <w:rsid w:val="00FC3A40"/>
    <w:rsid w:val="00FC3DC9"/>
    <w:rsid w:val="00FC3DD9"/>
    <w:rsid w:val="00FC44E9"/>
    <w:rsid w:val="00FC4616"/>
    <w:rsid w:val="00FC462F"/>
    <w:rsid w:val="00FC4A27"/>
    <w:rsid w:val="00FC57EE"/>
    <w:rsid w:val="00FC5947"/>
    <w:rsid w:val="00FC5CAC"/>
    <w:rsid w:val="00FC6A2D"/>
    <w:rsid w:val="00FC6C0E"/>
    <w:rsid w:val="00FC771C"/>
    <w:rsid w:val="00FC7927"/>
    <w:rsid w:val="00FD0160"/>
    <w:rsid w:val="00FD06F6"/>
    <w:rsid w:val="00FD0FBD"/>
    <w:rsid w:val="00FD11FE"/>
    <w:rsid w:val="00FD1ABE"/>
    <w:rsid w:val="00FD1DE5"/>
    <w:rsid w:val="00FD2916"/>
    <w:rsid w:val="00FD296F"/>
    <w:rsid w:val="00FD2BAD"/>
    <w:rsid w:val="00FD2BEE"/>
    <w:rsid w:val="00FD3805"/>
    <w:rsid w:val="00FD3B74"/>
    <w:rsid w:val="00FD42BE"/>
    <w:rsid w:val="00FD4853"/>
    <w:rsid w:val="00FD5032"/>
    <w:rsid w:val="00FD5145"/>
    <w:rsid w:val="00FD528A"/>
    <w:rsid w:val="00FD5B4E"/>
    <w:rsid w:val="00FD5CA0"/>
    <w:rsid w:val="00FD65DB"/>
    <w:rsid w:val="00FD687C"/>
    <w:rsid w:val="00FD6CD6"/>
    <w:rsid w:val="00FD6CF8"/>
    <w:rsid w:val="00FD733D"/>
    <w:rsid w:val="00FD7C36"/>
    <w:rsid w:val="00FE003E"/>
    <w:rsid w:val="00FE0519"/>
    <w:rsid w:val="00FE079F"/>
    <w:rsid w:val="00FE1A7E"/>
    <w:rsid w:val="00FE1E9B"/>
    <w:rsid w:val="00FE1F87"/>
    <w:rsid w:val="00FE20A9"/>
    <w:rsid w:val="00FE21FB"/>
    <w:rsid w:val="00FE2A80"/>
    <w:rsid w:val="00FE311B"/>
    <w:rsid w:val="00FE3462"/>
    <w:rsid w:val="00FE381A"/>
    <w:rsid w:val="00FE39B0"/>
    <w:rsid w:val="00FE4288"/>
    <w:rsid w:val="00FE45D1"/>
    <w:rsid w:val="00FE45E0"/>
    <w:rsid w:val="00FE4ED2"/>
    <w:rsid w:val="00FE55F5"/>
    <w:rsid w:val="00FE5613"/>
    <w:rsid w:val="00FE5AE9"/>
    <w:rsid w:val="00FE5EAA"/>
    <w:rsid w:val="00FE649E"/>
    <w:rsid w:val="00FE6737"/>
    <w:rsid w:val="00FE69CE"/>
    <w:rsid w:val="00FE6C29"/>
    <w:rsid w:val="00FE6CEB"/>
    <w:rsid w:val="00FE7522"/>
    <w:rsid w:val="00FF0681"/>
    <w:rsid w:val="00FF0B8B"/>
    <w:rsid w:val="00FF0E7D"/>
    <w:rsid w:val="00FF11A7"/>
    <w:rsid w:val="00FF168D"/>
    <w:rsid w:val="00FF1730"/>
    <w:rsid w:val="00FF17BE"/>
    <w:rsid w:val="00FF190E"/>
    <w:rsid w:val="00FF191E"/>
    <w:rsid w:val="00FF1FAC"/>
    <w:rsid w:val="00FF3265"/>
    <w:rsid w:val="00FF344A"/>
    <w:rsid w:val="00FF3FA6"/>
    <w:rsid w:val="00FF43B4"/>
    <w:rsid w:val="00FF4C4E"/>
    <w:rsid w:val="00FF4E1D"/>
    <w:rsid w:val="00FF4F88"/>
    <w:rsid w:val="00FF52C3"/>
    <w:rsid w:val="00FF58E4"/>
    <w:rsid w:val="00FF5AFE"/>
    <w:rsid w:val="00FF5E95"/>
    <w:rsid w:val="00FF629D"/>
    <w:rsid w:val="00FF62D5"/>
    <w:rsid w:val="00FF6DD9"/>
    <w:rsid w:val="00FF703C"/>
    <w:rsid w:val="00FF70B0"/>
    <w:rsid w:val="00FF70C5"/>
    <w:rsid w:val="00FF75CA"/>
    <w:rsid w:val="00FF7B8D"/>
    <w:rsid w:val="01142677"/>
    <w:rsid w:val="01166963"/>
    <w:rsid w:val="01413927"/>
    <w:rsid w:val="0143C747"/>
    <w:rsid w:val="015D8ED1"/>
    <w:rsid w:val="01600CE6"/>
    <w:rsid w:val="0163925B"/>
    <w:rsid w:val="01697275"/>
    <w:rsid w:val="0169C04E"/>
    <w:rsid w:val="016ECE59"/>
    <w:rsid w:val="017ECAB0"/>
    <w:rsid w:val="01838300"/>
    <w:rsid w:val="01879C80"/>
    <w:rsid w:val="0193EC5F"/>
    <w:rsid w:val="01993600"/>
    <w:rsid w:val="019CF11A"/>
    <w:rsid w:val="01AEE359"/>
    <w:rsid w:val="01B115B7"/>
    <w:rsid w:val="01B141CA"/>
    <w:rsid w:val="01B385BE"/>
    <w:rsid w:val="01BA4BA3"/>
    <w:rsid w:val="01BF26BF"/>
    <w:rsid w:val="01CAD3E3"/>
    <w:rsid w:val="01E0918C"/>
    <w:rsid w:val="01ED6DD5"/>
    <w:rsid w:val="01FC4FA3"/>
    <w:rsid w:val="020A4C6C"/>
    <w:rsid w:val="021037A2"/>
    <w:rsid w:val="0212377B"/>
    <w:rsid w:val="0215191A"/>
    <w:rsid w:val="0215AB90"/>
    <w:rsid w:val="021AF3B0"/>
    <w:rsid w:val="021DA64F"/>
    <w:rsid w:val="0225D6E1"/>
    <w:rsid w:val="0228BDD1"/>
    <w:rsid w:val="022B14B8"/>
    <w:rsid w:val="0239F3D0"/>
    <w:rsid w:val="028A70E6"/>
    <w:rsid w:val="029A4E24"/>
    <w:rsid w:val="02AC8DCF"/>
    <w:rsid w:val="02BD7F22"/>
    <w:rsid w:val="02DC4201"/>
    <w:rsid w:val="0300EE87"/>
    <w:rsid w:val="03089A09"/>
    <w:rsid w:val="0325A66E"/>
    <w:rsid w:val="032D1EB1"/>
    <w:rsid w:val="032FE551"/>
    <w:rsid w:val="03373661"/>
    <w:rsid w:val="0350DB93"/>
    <w:rsid w:val="0353D723"/>
    <w:rsid w:val="0364CA8F"/>
    <w:rsid w:val="03696536"/>
    <w:rsid w:val="0379C240"/>
    <w:rsid w:val="038C05AA"/>
    <w:rsid w:val="0394C0A3"/>
    <w:rsid w:val="039950AE"/>
    <w:rsid w:val="039C06D9"/>
    <w:rsid w:val="03A5C134"/>
    <w:rsid w:val="03A9F7F3"/>
    <w:rsid w:val="03EE92C1"/>
    <w:rsid w:val="03F9790A"/>
    <w:rsid w:val="03FAA033"/>
    <w:rsid w:val="0402C9E5"/>
    <w:rsid w:val="0403FE8F"/>
    <w:rsid w:val="04264147"/>
    <w:rsid w:val="04508DCD"/>
    <w:rsid w:val="046BD76A"/>
    <w:rsid w:val="046FAB21"/>
    <w:rsid w:val="04725A2D"/>
    <w:rsid w:val="048FB726"/>
    <w:rsid w:val="0498F7B8"/>
    <w:rsid w:val="04DD33D5"/>
    <w:rsid w:val="04ED13D7"/>
    <w:rsid w:val="04F112B7"/>
    <w:rsid w:val="050BE63A"/>
    <w:rsid w:val="051C94CE"/>
    <w:rsid w:val="053A2CB9"/>
    <w:rsid w:val="053C3AAA"/>
    <w:rsid w:val="054185BA"/>
    <w:rsid w:val="05453074"/>
    <w:rsid w:val="054CB9DC"/>
    <w:rsid w:val="054EA55D"/>
    <w:rsid w:val="0553EA0F"/>
    <w:rsid w:val="055A4C23"/>
    <w:rsid w:val="05789E6C"/>
    <w:rsid w:val="05880E21"/>
    <w:rsid w:val="059BB5AC"/>
    <w:rsid w:val="05B82BE4"/>
    <w:rsid w:val="05C5B42E"/>
    <w:rsid w:val="05CFA0DD"/>
    <w:rsid w:val="05D14D44"/>
    <w:rsid w:val="05D9138D"/>
    <w:rsid w:val="05F43A38"/>
    <w:rsid w:val="060065B6"/>
    <w:rsid w:val="060D822A"/>
    <w:rsid w:val="061E22CC"/>
    <w:rsid w:val="06209C24"/>
    <w:rsid w:val="06243150"/>
    <w:rsid w:val="0628F31F"/>
    <w:rsid w:val="062E072C"/>
    <w:rsid w:val="063CC395"/>
    <w:rsid w:val="06431A83"/>
    <w:rsid w:val="0656A153"/>
    <w:rsid w:val="0677972D"/>
    <w:rsid w:val="068283C5"/>
    <w:rsid w:val="06856F6F"/>
    <w:rsid w:val="068D1303"/>
    <w:rsid w:val="06933277"/>
    <w:rsid w:val="06994010"/>
    <w:rsid w:val="0699BB7B"/>
    <w:rsid w:val="06A41B9C"/>
    <w:rsid w:val="06B383B1"/>
    <w:rsid w:val="06B8A660"/>
    <w:rsid w:val="06E1B9FF"/>
    <w:rsid w:val="07046CF0"/>
    <w:rsid w:val="070A9E52"/>
    <w:rsid w:val="0718CC5C"/>
    <w:rsid w:val="072735BA"/>
    <w:rsid w:val="0733F680"/>
    <w:rsid w:val="075412B6"/>
    <w:rsid w:val="0754CA43"/>
    <w:rsid w:val="07563232"/>
    <w:rsid w:val="075A1348"/>
    <w:rsid w:val="077F0807"/>
    <w:rsid w:val="07801B18"/>
    <w:rsid w:val="078A7BCC"/>
    <w:rsid w:val="07913FFF"/>
    <w:rsid w:val="07A60E67"/>
    <w:rsid w:val="07CFB5FD"/>
    <w:rsid w:val="07DF4B2F"/>
    <w:rsid w:val="07E495B8"/>
    <w:rsid w:val="07E951DA"/>
    <w:rsid w:val="07F170A0"/>
    <w:rsid w:val="07F2E393"/>
    <w:rsid w:val="0800BB83"/>
    <w:rsid w:val="080146CA"/>
    <w:rsid w:val="0802DA2E"/>
    <w:rsid w:val="081D415C"/>
    <w:rsid w:val="082319CB"/>
    <w:rsid w:val="082D97DB"/>
    <w:rsid w:val="0833ED11"/>
    <w:rsid w:val="0852A854"/>
    <w:rsid w:val="085AB075"/>
    <w:rsid w:val="08602413"/>
    <w:rsid w:val="087902BA"/>
    <w:rsid w:val="0887589D"/>
    <w:rsid w:val="088D709E"/>
    <w:rsid w:val="08944646"/>
    <w:rsid w:val="089D91AC"/>
    <w:rsid w:val="089F648C"/>
    <w:rsid w:val="08AEF8DA"/>
    <w:rsid w:val="08AF0956"/>
    <w:rsid w:val="08AF1E08"/>
    <w:rsid w:val="08BEA643"/>
    <w:rsid w:val="08D9ECB2"/>
    <w:rsid w:val="08DA04D4"/>
    <w:rsid w:val="08E04BA9"/>
    <w:rsid w:val="08E407C5"/>
    <w:rsid w:val="08E48743"/>
    <w:rsid w:val="08F3C12E"/>
    <w:rsid w:val="08F9B26A"/>
    <w:rsid w:val="08FDD9D7"/>
    <w:rsid w:val="090D5C37"/>
    <w:rsid w:val="0919B0BE"/>
    <w:rsid w:val="09385065"/>
    <w:rsid w:val="09428912"/>
    <w:rsid w:val="095C0DCD"/>
    <w:rsid w:val="0968D1C3"/>
    <w:rsid w:val="09757FD3"/>
    <w:rsid w:val="09833798"/>
    <w:rsid w:val="098546FB"/>
    <w:rsid w:val="09948846"/>
    <w:rsid w:val="09952659"/>
    <w:rsid w:val="099D0533"/>
    <w:rsid w:val="099D8EB4"/>
    <w:rsid w:val="09D21EA0"/>
    <w:rsid w:val="09DF575D"/>
    <w:rsid w:val="09E43C16"/>
    <w:rsid w:val="09E8B325"/>
    <w:rsid w:val="09F6F6BB"/>
    <w:rsid w:val="0A13C9AA"/>
    <w:rsid w:val="0A18131A"/>
    <w:rsid w:val="0A1852F1"/>
    <w:rsid w:val="0A2A5709"/>
    <w:rsid w:val="0A2BBECC"/>
    <w:rsid w:val="0A36BA2D"/>
    <w:rsid w:val="0A3CB042"/>
    <w:rsid w:val="0A3FD3A6"/>
    <w:rsid w:val="0A702AEC"/>
    <w:rsid w:val="0A71FBB3"/>
    <w:rsid w:val="0A7E0219"/>
    <w:rsid w:val="0A8074A2"/>
    <w:rsid w:val="0A87F717"/>
    <w:rsid w:val="0A88960F"/>
    <w:rsid w:val="0A889DE1"/>
    <w:rsid w:val="0A898823"/>
    <w:rsid w:val="0A912893"/>
    <w:rsid w:val="0A92F714"/>
    <w:rsid w:val="0A9661C0"/>
    <w:rsid w:val="0AA23F91"/>
    <w:rsid w:val="0AB5CF6F"/>
    <w:rsid w:val="0AEB3002"/>
    <w:rsid w:val="0AF97370"/>
    <w:rsid w:val="0B042118"/>
    <w:rsid w:val="0B05C297"/>
    <w:rsid w:val="0B13AA38"/>
    <w:rsid w:val="0B13EDF2"/>
    <w:rsid w:val="0B2F71C1"/>
    <w:rsid w:val="0B33A09B"/>
    <w:rsid w:val="0B3663E3"/>
    <w:rsid w:val="0B3C2819"/>
    <w:rsid w:val="0B503FBC"/>
    <w:rsid w:val="0B530B06"/>
    <w:rsid w:val="0B5B2E8A"/>
    <w:rsid w:val="0B6188AD"/>
    <w:rsid w:val="0B6C70B3"/>
    <w:rsid w:val="0B75B22A"/>
    <w:rsid w:val="0B77ED8C"/>
    <w:rsid w:val="0BA19645"/>
    <w:rsid w:val="0BB0193E"/>
    <w:rsid w:val="0BBC8DD6"/>
    <w:rsid w:val="0BC04627"/>
    <w:rsid w:val="0BC4D3B4"/>
    <w:rsid w:val="0BC5DF93"/>
    <w:rsid w:val="0BCEF79D"/>
    <w:rsid w:val="0BE5B9E2"/>
    <w:rsid w:val="0BF18F36"/>
    <w:rsid w:val="0BF7E628"/>
    <w:rsid w:val="0C35FDCF"/>
    <w:rsid w:val="0C5E8CB5"/>
    <w:rsid w:val="0C6996B5"/>
    <w:rsid w:val="0C6EEAB1"/>
    <w:rsid w:val="0C8350D3"/>
    <w:rsid w:val="0C84DC1A"/>
    <w:rsid w:val="0CB2A485"/>
    <w:rsid w:val="0CB58DC0"/>
    <w:rsid w:val="0CD0A5AC"/>
    <w:rsid w:val="0CD3C26C"/>
    <w:rsid w:val="0CE1F0E2"/>
    <w:rsid w:val="0CE45811"/>
    <w:rsid w:val="0CEA8917"/>
    <w:rsid w:val="0CED58B9"/>
    <w:rsid w:val="0D045ABF"/>
    <w:rsid w:val="0D0A2A17"/>
    <w:rsid w:val="0D0E06F1"/>
    <w:rsid w:val="0D0F32DA"/>
    <w:rsid w:val="0D116F2C"/>
    <w:rsid w:val="0D270E3F"/>
    <w:rsid w:val="0D34144C"/>
    <w:rsid w:val="0D36EFD8"/>
    <w:rsid w:val="0D499147"/>
    <w:rsid w:val="0D5961CC"/>
    <w:rsid w:val="0D60AB76"/>
    <w:rsid w:val="0D6273DC"/>
    <w:rsid w:val="0D6AC7FE"/>
    <w:rsid w:val="0D6D9DA1"/>
    <w:rsid w:val="0D70981F"/>
    <w:rsid w:val="0D73E87B"/>
    <w:rsid w:val="0D8797CA"/>
    <w:rsid w:val="0D88189D"/>
    <w:rsid w:val="0DADF72A"/>
    <w:rsid w:val="0DB6E76F"/>
    <w:rsid w:val="0DC98DA4"/>
    <w:rsid w:val="0DDD606D"/>
    <w:rsid w:val="0E05E61B"/>
    <w:rsid w:val="0E138D09"/>
    <w:rsid w:val="0E18C83A"/>
    <w:rsid w:val="0E198CF9"/>
    <w:rsid w:val="0E23E905"/>
    <w:rsid w:val="0E53A26A"/>
    <w:rsid w:val="0E578ABF"/>
    <w:rsid w:val="0E6C13D5"/>
    <w:rsid w:val="0E74072E"/>
    <w:rsid w:val="0E7957DA"/>
    <w:rsid w:val="0E7C69E0"/>
    <w:rsid w:val="0E7CE69B"/>
    <w:rsid w:val="0E8E02E3"/>
    <w:rsid w:val="0EC146D9"/>
    <w:rsid w:val="0ED91424"/>
    <w:rsid w:val="0EEEE029"/>
    <w:rsid w:val="0EFD92F9"/>
    <w:rsid w:val="0F02227A"/>
    <w:rsid w:val="0F05B878"/>
    <w:rsid w:val="0F096901"/>
    <w:rsid w:val="0F10A4E3"/>
    <w:rsid w:val="0F1D8297"/>
    <w:rsid w:val="0F264259"/>
    <w:rsid w:val="0F3DD9A3"/>
    <w:rsid w:val="0F453628"/>
    <w:rsid w:val="0F49CA7A"/>
    <w:rsid w:val="0F691861"/>
    <w:rsid w:val="0F8A7534"/>
    <w:rsid w:val="0F9284F6"/>
    <w:rsid w:val="0FA4F161"/>
    <w:rsid w:val="0FA68B73"/>
    <w:rsid w:val="0FBA0DF3"/>
    <w:rsid w:val="0FCF5A9D"/>
    <w:rsid w:val="0FCFC648"/>
    <w:rsid w:val="0FE1060A"/>
    <w:rsid w:val="0FE6F9A7"/>
    <w:rsid w:val="0FF02DB9"/>
    <w:rsid w:val="0FFE45F2"/>
    <w:rsid w:val="100EADC0"/>
    <w:rsid w:val="1032E935"/>
    <w:rsid w:val="103E8D1B"/>
    <w:rsid w:val="10457E98"/>
    <w:rsid w:val="1051D0BD"/>
    <w:rsid w:val="1057396F"/>
    <w:rsid w:val="1077DA31"/>
    <w:rsid w:val="107D681B"/>
    <w:rsid w:val="108CBEFB"/>
    <w:rsid w:val="1096B289"/>
    <w:rsid w:val="10A0D529"/>
    <w:rsid w:val="10A2DD0B"/>
    <w:rsid w:val="10A9F11A"/>
    <w:rsid w:val="10ACE7F0"/>
    <w:rsid w:val="10AE9223"/>
    <w:rsid w:val="10C33C72"/>
    <w:rsid w:val="10C9E56B"/>
    <w:rsid w:val="10D39643"/>
    <w:rsid w:val="10DACABD"/>
    <w:rsid w:val="10E630BF"/>
    <w:rsid w:val="10F1F88D"/>
    <w:rsid w:val="1105B458"/>
    <w:rsid w:val="1121F05C"/>
    <w:rsid w:val="113E9D71"/>
    <w:rsid w:val="1141FC6F"/>
    <w:rsid w:val="116D5AE2"/>
    <w:rsid w:val="118D6C33"/>
    <w:rsid w:val="118E4CE6"/>
    <w:rsid w:val="119947C7"/>
    <w:rsid w:val="11ACB00A"/>
    <w:rsid w:val="11BEF09D"/>
    <w:rsid w:val="11C8FDBD"/>
    <w:rsid w:val="11C982D1"/>
    <w:rsid w:val="11DCC93D"/>
    <w:rsid w:val="11E864BC"/>
    <w:rsid w:val="11F82FBF"/>
    <w:rsid w:val="1202AD0E"/>
    <w:rsid w:val="121A52CC"/>
    <w:rsid w:val="122BB35A"/>
    <w:rsid w:val="122F52B2"/>
    <w:rsid w:val="1238B1E7"/>
    <w:rsid w:val="12492FB8"/>
    <w:rsid w:val="125D6C4C"/>
    <w:rsid w:val="126B3ECC"/>
    <w:rsid w:val="1285CABA"/>
    <w:rsid w:val="12860784"/>
    <w:rsid w:val="1290791C"/>
    <w:rsid w:val="1292C5D5"/>
    <w:rsid w:val="12936BF7"/>
    <w:rsid w:val="1297B41D"/>
    <w:rsid w:val="129D4F5E"/>
    <w:rsid w:val="12A31C67"/>
    <w:rsid w:val="12A40CB8"/>
    <w:rsid w:val="12B807BB"/>
    <w:rsid w:val="12B9D99D"/>
    <w:rsid w:val="12D4BE26"/>
    <w:rsid w:val="12D5C545"/>
    <w:rsid w:val="12E14AA0"/>
    <w:rsid w:val="131F924D"/>
    <w:rsid w:val="132516BB"/>
    <w:rsid w:val="13390ABB"/>
    <w:rsid w:val="133C9BC3"/>
    <w:rsid w:val="1369008B"/>
    <w:rsid w:val="136BDBE0"/>
    <w:rsid w:val="136DA33E"/>
    <w:rsid w:val="136DA781"/>
    <w:rsid w:val="1370A6E5"/>
    <w:rsid w:val="137230D4"/>
    <w:rsid w:val="138639A3"/>
    <w:rsid w:val="138B581E"/>
    <w:rsid w:val="139AB53D"/>
    <w:rsid w:val="13A91A00"/>
    <w:rsid w:val="13BFE428"/>
    <w:rsid w:val="13D231FD"/>
    <w:rsid w:val="13F34DAD"/>
    <w:rsid w:val="13F387BB"/>
    <w:rsid w:val="1407C14B"/>
    <w:rsid w:val="1422A512"/>
    <w:rsid w:val="143F9CB2"/>
    <w:rsid w:val="1459B91F"/>
    <w:rsid w:val="1467B45B"/>
    <w:rsid w:val="148A9F25"/>
    <w:rsid w:val="14A1A7DB"/>
    <w:rsid w:val="14A9770D"/>
    <w:rsid w:val="14AC2E08"/>
    <w:rsid w:val="14BA0DD2"/>
    <w:rsid w:val="14CB4313"/>
    <w:rsid w:val="14D844F5"/>
    <w:rsid w:val="14E8D8CB"/>
    <w:rsid w:val="14FB864E"/>
    <w:rsid w:val="1502EE98"/>
    <w:rsid w:val="1520086C"/>
    <w:rsid w:val="15220A04"/>
    <w:rsid w:val="152BEE5B"/>
    <w:rsid w:val="152EB8F8"/>
    <w:rsid w:val="153B6D66"/>
    <w:rsid w:val="153D81F6"/>
    <w:rsid w:val="1545AF24"/>
    <w:rsid w:val="15498959"/>
    <w:rsid w:val="155727DC"/>
    <w:rsid w:val="1558369E"/>
    <w:rsid w:val="155B1EB8"/>
    <w:rsid w:val="155E32F9"/>
    <w:rsid w:val="157159BB"/>
    <w:rsid w:val="15820ADA"/>
    <w:rsid w:val="15846A4A"/>
    <w:rsid w:val="159221E7"/>
    <w:rsid w:val="159DBF83"/>
    <w:rsid w:val="159E71E7"/>
    <w:rsid w:val="15C65050"/>
    <w:rsid w:val="15D33D2E"/>
    <w:rsid w:val="15D40231"/>
    <w:rsid w:val="15D82223"/>
    <w:rsid w:val="15EDA6D8"/>
    <w:rsid w:val="15F05AB2"/>
    <w:rsid w:val="15F818B2"/>
    <w:rsid w:val="1613E707"/>
    <w:rsid w:val="161E498C"/>
    <w:rsid w:val="163264AD"/>
    <w:rsid w:val="1645FA80"/>
    <w:rsid w:val="16505119"/>
    <w:rsid w:val="165648B6"/>
    <w:rsid w:val="16AD22E5"/>
    <w:rsid w:val="16B99C05"/>
    <w:rsid w:val="16CEF1D1"/>
    <w:rsid w:val="170082FA"/>
    <w:rsid w:val="17024CAF"/>
    <w:rsid w:val="170C4E56"/>
    <w:rsid w:val="1717154D"/>
    <w:rsid w:val="1723655E"/>
    <w:rsid w:val="173115D4"/>
    <w:rsid w:val="17340D19"/>
    <w:rsid w:val="175A45D4"/>
    <w:rsid w:val="17618C35"/>
    <w:rsid w:val="17691419"/>
    <w:rsid w:val="17698BB0"/>
    <w:rsid w:val="177198E8"/>
    <w:rsid w:val="17808FDC"/>
    <w:rsid w:val="1793A004"/>
    <w:rsid w:val="179D6D34"/>
    <w:rsid w:val="179F4976"/>
    <w:rsid w:val="17B47C76"/>
    <w:rsid w:val="17B8FE14"/>
    <w:rsid w:val="17DB3D5A"/>
    <w:rsid w:val="18005FC3"/>
    <w:rsid w:val="1805B8F2"/>
    <w:rsid w:val="18144746"/>
    <w:rsid w:val="1814EF54"/>
    <w:rsid w:val="181B1308"/>
    <w:rsid w:val="18230636"/>
    <w:rsid w:val="1823DF68"/>
    <w:rsid w:val="18335522"/>
    <w:rsid w:val="1838CF0F"/>
    <w:rsid w:val="18412706"/>
    <w:rsid w:val="184251AA"/>
    <w:rsid w:val="1861C1D9"/>
    <w:rsid w:val="18A00C4F"/>
    <w:rsid w:val="18AF9BCF"/>
    <w:rsid w:val="18B82ED7"/>
    <w:rsid w:val="18B88B65"/>
    <w:rsid w:val="18C44822"/>
    <w:rsid w:val="18C45899"/>
    <w:rsid w:val="18DD3893"/>
    <w:rsid w:val="18E9D750"/>
    <w:rsid w:val="18F2A8AF"/>
    <w:rsid w:val="18F786BE"/>
    <w:rsid w:val="1901871B"/>
    <w:rsid w:val="1903F3A6"/>
    <w:rsid w:val="191EF1B4"/>
    <w:rsid w:val="1939DE34"/>
    <w:rsid w:val="1946E347"/>
    <w:rsid w:val="1957769E"/>
    <w:rsid w:val="1959BFB6"/>
    <w:rsid w:val="1974DA80"/>
    <w:rsid w:val="1983E9D3"/>
    <w:rsid w:val="19916F87"/>
    <w:rsid w:val="19991D17"/>
    <w:rsid w:val="19ABB516"/>
    <w:rsid w:val="19C88F36"/>
    <w:rsid w:val="19CC3C5B"/>
    <w:rsid w:val="19CDC571"/>
    <w:rsid w:val="19D75F5C"/>
    <w:rsid w:val="19E58D75"/>
    <w:rsid w:val="19F57B27"/>
    <w:rsid w:val="19F8264A"/>
    <w:rsid w:val="1A04EDB4"/>
    <w:rsid w:val="1A091408"/>
    <w:rsid w:val="1A120CBF"/>
    <w:rsid w:val="1A1E326E"/>
    <w:rsid w:val="1A2B4D07"/>
    <w:rsid w:val="1A3F8A11"/>
    <w:rsid w:val="1A439D3E"/>
    <w:rsid w:val="1A6A1A01"/>
    <w:rsid w:val="1A787CB6"/>
    <w:rsid w:val="1A7DDC6C"/>
    <w:rsid w:val="1A7DE00F"/>
    <w:rsid w:val="1A80F1BE"/>
    <w:rsid w:val="1A8F3FA3"/>
    <w:rsid w:val="1A9B811C"/>
    <w:rsid w:val="1AB0DE04"/>
    <w:rsid w:val="1ABAC0F5"/>
    <w:rsid w:val="1AD83221"/>
    <w:rsid w:val="1AD8E180"/>
    <w:rsid w:val="1AE3CC28"/>
    <w:rsid w:val="1AF15EA3"/>
    <w:rsid w:val="1AF3F3BD"/>
    <w:rsid w:val="1AF7F214"/>
    <w:rsid w:val="1AFE775E"/>
    <w:rsid w:val="1B078F55"/>
    <w:rsid w:val="1B158B87"/>
    <w:rsid w:val="1B238DB3"/>
    <w:rsid w:val="1B458C7A"/>
    <w:rsid w:val="1B461560"/>
    <w:rsid w:val="1B474278"/>
    <w:rsid w:val="1B53905F"/>
    <w:rsid w:val="1B5AE32D"/>
    <w:rsid w:val="1B5E8031"/>
    <w:rsid w:val="1B646FE8"/>
    <w:rsid w:val="1B6EAF09"/>
    <w:rsid w:val="1B7A8973"/>
    <w:rsid w:val="1B822831"/>
    <w:rsid w:val="1B933DEA"/>
    <w:rsid w:val="1BA68272"/>
    <w:rsid w:val="1BB20E44"/>
    <w:rsid w:val="1BCA0C04"/>
    <w:rsid w:val="1BE3A0C6"/>
    <w:rsid w:val="1BF68FA2"/>
    <w:rsid w:val="1C1FDBBB"/>
    <w:rsid w:val="1C250241"/>
    <w:rsid w:val="1C3F1DCB"/>
    <w:rsid w:val="1C77EC13"/>
    <w:rsid w:val="1C80A345"/>
    <w:rsid w:val="1C98F49F"/>
    <w:rsid w:val="1CA3252B"/>
    <w:rsid w:val="1CA9338C"/>
    <w:rsid w:val="1CAC6C33"/>
    <w:rsid w:val="1CB016A3"/>
    <w:rsid w:val="1CB31457"/>
    <w:rsid w:val="1CBE83D5"/>
    <w:rsid w:val="1CC67493"/>
    <w:rsid w:val="1CC9E129"/>
    <w:rsid w:val="1CD2A43B"/>
    <w:rsid w:val="1CD83CBA"/>
    <w:rsid w:val="1CE80A18"/>
    <w:rsid w:val="1CF02520"/>
    <w:rsid w:val="1D03C34B"/>
    <w:rsid w:val="1D17274A"/>
    <w:rsid w:val="1D2F4FD1"/>
    <w:rsid w:val="1D31CF3D"/>
    <w:rsid w:val="1D895847"/>
    <w:rsid w:val="1D942190"/>
    <w:rsid w:val="1D9A81EB"/>
    <w:rsid w:val="1DA87D08"/>
    <w:rsid w:val="1DB21D29"/>
    <w:rsid w:val="1DB6B223"/>
    <w:rsid w:val="1DCF9B9C"/>
    <w:rsid w:val="1DD03021"/>
    <w:rsid w:val="1DED6E1E"/>
    <w:rsid w:val="1E0468B8"/>
    <w:rsid w:val="1E0A3DAC"/>
    <w:rsid w:val="1E18C1DE"/>
    <w:rsid w:val="1E3399A9"/>
    <w:rsid w:val="1E4517FB"/>
    <w:rsid w:val="1E4C029F"/>
    <w:rsid w:val="1E6C124A"/>
    <w:rsid w:val="1E7D90ED"/>
    <w:rsid w:val="1E81A678"/>
    <w:rsid w:val="1E84B9A1"/>
    <w:rsid w:val="1EB2E762"/>
    <w:rsid w:val="1EC3FDCA"/>
    <w:rsid w:val="1ED2B117"/>
    <w:rsid w:val="1EED28D0"/>
    <w:rsid w:val="1F067044"/>
    <w:rsid w:val="1F081AA9"/>
    <w:rsid w:val="1F0BFA38"/>
    <w:rsid w:val="1F291880"/>
    <w:rsid w:val="1F38E563"/>
    <w:rsid w:val="1F428239"/>
    <w:rsid w:val="1F4A8D3D"/>
    <w:rsid w:val="1F5607E7"/>
    <w:rsid w:val="1F68B443"/>
    <w:rsid w:val="1F6ED944"/>
    <w:rsid w:val="1F91076E"/>
    <w:rsid w:val="1FCA1161"/>
    <w:rsid w:val="1FD2430A"/>
    <w:rsid w:val="1FDFF7E9"/>
    <w:rsid w:val="1FE79A00"/>
    <w:rsid w:val="1FF4485D"/>
    <w:rsid w:val="2001E752"/>
    <w:rsid w:val="20049019"/>
    <w:rsid w:val="20304D8C"/>
    <w:rsid w:val="203D864D"/>
    <w:rsid w:val="2041F6D6"/>
    <w:rsid w:val="20526B6D"/>
    <w:rsid w:val="2054B0A2"/>
    <w:rsid w:val="2061CCA0"/>
    <w:rsid w:val="2077FB1E"/>
    <w:rsid w:val="2091F5D7"/>
    <w:rsid w:val="2097235A"/>
    <w:rsid w:val="2098C704"/>
    <w:rsid w:val="209CE2AB"/>
    <w:rsid w:val="209D2718"/>
    <w:rsid w:val="20AFDDF3"/>
    <w:rsid w:val="20B47286"/>
    <w:rsid w:val="20DD800A"/>
    <w:rsid w:val="20DDF1CE"/>
    <w:rsid w:val="20E0C9F4"/>
    <w:rsid w:val="20E382E2"/>
    <w:rsid w:val="20FF505C"/>
    <w:rsid w:val="21038D69"/>
    <w:rsid w:val="210DE0CE"/>
    <w:rsid w:val="21297AEA"/>
    <w:rsid w:val="2133F4DE"/>
    <w:rsid w:val="2135E234"/>
    <w:rsid w:val="217D2D64"/>
    <w:rsid w:val="218588B0"/>
    <w:rsid w:val="218EFDE1"/>
    <w:rsid w:val="21932720"/>
    <w:rsid w:val="219F90C6"/>
    <w:rsid w:val="21B02B2D"/>
    <w:rsid w:val="21C974CE"/>
    <w:rsid w:val="21CA2819"/>
    <w:rsid w:val="21CFFB7E"/>
    <w:rsid w:val="21D04710"/>
    <w:rsid w:val="22190674"/>
    <w:rsid w:val="2219800E"/>
    <w:rsid w:val="221D1F42"/>
    <w:rsid w:val="221DB64A"/>
    <w:rsid w:val="22289E60"/>
    <w:rsid w:val="223A64AD"/>
    <w:rsid w:val="223A8E29"/>
    <w:rsid w:val="223B71A3"/>
    <w:rsid w:val="22454A4A"/>
    <w:rsid w:val="2249EBF5"/>
    <w:rsid w:val="225C273A"/>
    <w:rsid w:val="22687B68"/>
    <w:rsid w:val="228DB426"/>
    <w:rsid w:val="22B021B2"/>
    <w:rsid w:val="22BF9609"/>
    <w:rsid w:val="22C3DEBC"/>
    <w:rsid w:val="22C5441E"/>
    <w:rsid w:val="22E9C82B"/>
    <w:rsid w:val="22F97F45"/>
    <w:rsid w:val="230B287F"/>
    <w:rsid w:val="2312976C"/>
    <w:rsid w:val="231B92AA"/>
    <w:rsid w:val="231FC5B7"/>
    <w:rsid w:val="234AE324"/>
    <w:rsid w:val="235CE1A4"/>
    <w:rsid w:val="23666B68"/>
    <w:rsid w:val="236703AD"/>
    <w:rsid w:val="2373105E"/>
    <w:rsid w:val="237B61E8"/>
    <w:rsid w:val="238B16DD"/>
    <w:rsid w:val="23943A7A"/>
    <w:rsid w:val="23C9A673"/>
    <w:rsid w:val="23D5CE16"/>
    <w:rsid w:val="23F2C895"/>
    <w:rsid w:val="23F81AD2"/>
    <w:rsid w:val="24003C76"/>
    <w:rsid w:val="240E0BB2"/>
    <w:rsid w:val="2422E530"/>
    <w:rsid w:val="24256B93"/>
    <w:rsid w:val="244B6386"/>
    <w:rsid w:val="2455D55F"/>
    <w:rsid w:val="24669B69"/>
    <w:rsid w:val="248C8237"/>
    <w:rsid w:val="24B2626C"/>
    <w:rsid w:val="24B6C518"/>
    <w:rsid w:val="24C590E0"/>
    <w:rsid w:val="250531FC"/>
    <w:rsid w:val="25065F6B"/>
    <w:rsid w:val="250DFCD4"/>
    <w:rsid w:val="251E6879"/>
    <w:rsid w:val="251F8D19"/>
    <w:rsid w:val="252A9360"/>
    <w:rsid w:val="252D47E4"/>
    <w:rsid w:val="252DE2A1"/>
    <w:rsid w:val="253E306B"/>
    <w:rsid w:val="254C2122"/>
    <w:rsid w:val="256EAB5F"/>
    <w:rsid w:val="2580A921"/>
    <w:rsid w:val="25A01C2A"/>
    <w:rsid w:val="25A4645D"/>
    <w:rsid w:val="25ADB32C"/>
    <w:rsid w:val="25AFAE21"/>
    <w:rsid w:val="25C02370"/>
    <w:rsid w:val="25DD1E65"/>
    <w:rsid w:val="25E5032F"/>
    <w:rsid w:val="25FEA261"/>
    <w:rsid w:val="26050919"/>
    <w:rsid w:val="260ED2D3"/>
    <w:rsid w:val="2618D638"/>
    <w:rsid w:val="261B0E5F"/>
    <w:rsid w:val="261D5E29"/>
    <w:rsid w:val="2633903F"/>
    <w:rsid w:val="263C68EE"/>
    <w:rsid w:val="2661F0D1"/>
    <w:rsid w:val="2663ADDA"/>
    <w:rsid w:val="2676B381"/>
    <w:rsid w:val="26862A53"/>
    <w:rsid w:val="2688373D"/>
    <w:rsid w:val="2689749C"/>
    <w:rsid w:val="268F282D"/>
    <w:rsid w:val="26A1D65F"/>
    <w:rsid w:val="26A73172"/>
    <w:rsid w:val="26AAC58B"/>
    <w:rsid w:val="26ACCC8B"/>
    <w:rsid w:val="26B16B60"/>
    <w:rsid w:val="26B8FAEF"/>
    <w:rsid w:val="26D28230"/>
    <w:rsid w:val="26E7320C"/>
    <w:rsid w:val="26F3007E"/>
    <w:rsid w:val="2703BA32"/>
    <w:rsid w:val="272E27FD"/>
    <w:rsid w:val="273192DA"/>
    <w:rsid w:val="27468D54"/>
    <w:rsid w:val="274BF8FB"/>
    <w:rsid w:val="275C4010"/>
    <w:rsid w:val="27661EAD"/>
    <w:rsid w:val="2768B1E9"/>
    <w:rsid w:val="276CC9F8"/>
    <w:rsid w:val="276DCE00"/>
    <w:rsid w:val="277F62E1"/>
    <w:rsid w:val="27843BCE"/>
    <w:rsid w:val="2784882F"/>
    <w:rsid w:val="27A775DB"/>
    <w:rsid w:val="27AAF995"/>
    <w:rsid w:val="27AB487E"/>
    <w:rsid w:val="27D82B2D"/>
    <w:rsid w:val="27DC44E5"/>
    <w:rsid w:val="27E72696"/>
    <w:rsid w:val="28063626"/>
    <w:rsid w:val="28217425"/>
    <w:rsid w:val="2826F4A2"/>
    <w:rsid w:val="282CA49A"/>
    <w:rsid w:val="282CA711"/>
    <w:rsid w:val="2843F021"/>
    <w:rsid w:val="2858E993"/>
    <w:rsid w:val="285ADEF2"/>
    <w:rsid w:val="287051F4"/>
    <w:rsid w:val="287593EB"/>
    <w:rsid w:val="28856481"/>
    <w:rsid w:val="28A297BB"/>
    <w:rsid w:val="28AED431"/>
    <w:rsid w:val="28CA598C"/>
    <w:rsid w:val="28CACEC3"/>
    <w:rsid w:val="28D16386"/>
    <w:rsid w:val="28E21CCA"/>
    <w:rsid w:val="28FEB6FA"/>
    <w:rsid w:val="2901B1E0"/>
    <w:rsid w:val="2904101C"/>
    <w:rsid w:val="2915DC4F"/>
    <w:rsid w:val="29253E19"/>
    <w:rsid w:val="292D03A3"/>
    <w:rsid w:val="292F0DFB"/>
    <w:rsid w:val="2946E4C0"/>
    <w:rsid w:val="294A7526"/>
    <w:rsid w:val="294AF5B7"/>
    <w:rsid w:val="294F00E5"/>
    <w:rsid w:val="29538B99"/>
    <w:rsid w:val="29553C4F"/>
    <w:rsid w:val="2955BBC6"/>
    <w:rsid w:val="29874FB6"/>
    <w:rsid w:val="29C0FA8D"/>
    <w:rsid w:val="29C15C23"/>
    <w:rsid w:val="29E0E7EB"/>
    <w:rsid w:val="29ED1238"/>
    <w:rsid w:val="29F17DE4"/>
    <w:rsid w:val="29FA2112"/>
    <w:rsid w:val="2A0BD5DF"/>
    <w:rsid w:val="2A231D18"/>
    <w:rsid w:val="2A27C6DA"/>
    <w:rsid w:val="2A2E9388"/>
    <w:rsid w:val="2A2EDEE8"/>
    <w:rsid w:val="2A39B367"/>
    <w:rsid w:val="2A4BF6CB"/>
    <w:rsid w:val="2A6A6090"/>
    <w:rsid w:val="2A77721A"/>
    <w:rsid w:val="2A89CD7E"/>
    <w:rsid w:val="2A98BDDF"/>
    <w:rsid w:val="2A998B23"/>
    <w:rsid w:val="2A9D8EAA"/>
    <w:rsid w:val="2AA2E896"/>
    <w:rsid w:val="2AB6B98F"/>
    <w:rsid w:val="2AC6BFA9"/>
    <w:rsid w:val="2ACC93BC"/>
    <w:rsid w:val="2ACEAAFE"/>
    <w:rsid w:val="2ADB269B"/>
    <w:rsid w:val="2AE0DFD9"/>
    <w:rsid w:val="2AED779E"/>
    <w:rsid w:val="2AF30079"/>
    <w:rsid w:val="2AFD0B77"/>
    <w:rsid w:val="2AFD90D2"/>
    <w:rsid w:val="2AFFA5C8"/>
    <w:rsid w:val="2B0F7AD7"/>
    <w:rsid w:val="2B0F8BA6"/>
    <w:rsid w:val="2B13CCED"/>
    <w:rsid w:val="2B41A78D"/>
    <w:rsid w:val="2B5D0E6B"/>
    <w:rsid w:val="2B7DED4B"/>
    <w:rsid w:val="2B811902"/>
    <w:rsid w:val="2B87AF6B"/>
    <w:rsid w:val="2B9C8968"/>
    <w:rsid w:val="2B9D3063"/>
    <w:rsid w:val="2B9F91D1"/>
    <w:rsid w:val="2BA37AE3"/>
    <w:rsid w:val="2BE7A167"/>
    <w:rsid w:val="2BF92D5E"/>
    <w:rsid w:val="2BFF4BA1"/>
    <w:rsid w:val="2C266C5F"/>
    <w:rsid w:val="2C26C56E"/>
    <w:rsid w:val="2C2B41A5"/>
    <w:rsid w:val="2C331B2B"/>
    <w:rsid w:val="2C3F1D31"/>
    <w:rsid w:val="2C580790"/>
    <w:rsid w:val="2C62900A"/>
    <w:rsid w:val="2C760493"/>
    <w:rsid w:val="2C8A0110"/>
    <w:rsid w:val="2CAE5BE4"/>
    <w:rsid w:val="2CC61577"/>
    <w:rsid w:val="2CC69FDD"/>
    <w:rsid w:val="2CD4388F"/>
    <w:rsid w:val="2CEC2A57"/>
    <w:rsid w:val="2CF1527D"/>
    <w:rsid w:val="2CF835E5"/>
    <w:rsid w:val="2D126AE3"/>
    <w:rsid w:val="2D12A3A9"/>
    <w:rsid w:val="2D2364CA"/>
    <w:rsid w:val="2D25F8DD"/>
    <w:rsid w:val="2D27721A"/>
    <w:rsid w:val="2D29092E"/>
    <w:rsid w:val="2D2B2D9D"/>
    <w:rsid w:val="2D2D9A78"/>
    <w:rsid w:val="2D448444"/>
    <w:rsid w:val="2D646F6F"/>
    <w:rsid w:val="2D65EE85"/>
    <w:rsid w:val="2D700ED4"/>
    <w:rsid w:val="2D72A160"/>
    <w:rsid w:val="2D782A29"/>
    <w:rsid w:val="2D79953A"/>
    <w:rsid w:val="2D88B428"/>
    <w:rsid w:val="2D90248F"/>
    <w:rsid w:val="2DADE453"/>
    <w:rsid w:val="2DB4EAFD"/>
    <w:rsid w:val="2DBC6E99"/>
    <w:rsid w:val="2DBCC679"/>
    <w:rsid w:val="2DBCEC37"/>
    <w:rsid w:val="2DCAD89E"/>
    <w:rsid w:val="2DE99A45"/>
    <w:rsid w:val="2DF5DA37"/>
    <w:rsid w:val="2E01C275"/>
    <w:rsid w:val="2E05F76F"/>
    <w:rsid w:val="2E072855"/>
    <w:rsid w:val="2E19B997"/>
    <w:rsid w:val="2E34F680"/>
    <w:rsid w:val="2E506B3F"/>
    <w:rsid w:val="2E5636EF"/>
    <w:rsid w:val="2E5CD8EF"/>
    <w:rsid w:val="2E5D1256"/>
    <w:rsid w:val="2E5EF096"/>
    <w:rsid w:val="2E6B37E7"/>
    <w:rsid w:val="2E6BB750"/>
    <w:rsid w:val="2E701691"/>
    <w:rsid w:val="2E7825D0"/>
    <w:rsid w:val="2E8393F4"/>
    <w:rsid w:val="2E8957E4"/>
    <w:rsid w:val="2EA7A7EA"/>
    <w:rsid w:val="2EAF1434"/>
    <w:rsid w:val="2EB23435"/>
    <w:rsid w:val="2EBB01CD"/>
    <w:rsid w:val="2EBFA93E"/>
    <w:rsid w:val="2EC564BA"/>
    <w:rsid w:val="2EF2AE22"/>
    <w:rsid w:val="2F0140A2"/>
    <w:rsid w:val="2F0184C4"/>
    <w:rsid w:val="2F1922ED"/>
    <w:rsid w:val="2F1A652A"/>
    <w:rsid w:val="2F2DD613"/>
    <w:rsid w:val="2F3B7FEC"/>
    <w:rsid w:val="2F4E3766"/>
    <w:rsid w:val="2F530354"/>
    <w:rsid w:val="2F77DD51"/>
    <w:rsid w:val="2F8B639D"/>
    <w:rsid w:val="2F8C5DB6"/>
    <w:rsid w:val="2F9EDD3A"/>
    <w:rsid w:val="2F9FBA75"/>
    <w:rsid w:val="2FA03E2F"/>
    <w:rsid w:val="2FA37F88"/>
    <w:rsid w:val="2FAF1748"/>
    <w:rsid w:val="2FBF75EE"/>
    <w:rsid w:val="2FC93F9E"/>
    <w:rsid w:val="2FC97901"/>
    <w:rsid w:val="2FCF1C4A"/>
    <w:rsid w:val="2FEC96F9"/>
    <w:rsid w:val="2FECD062"/>
    <w:rsid w:val="2FF05BD0"/>
    <w:rsid w:val="2FF5B8EF"/>
    <w:rsid w:val="2FF6A198"/>
    <w:rsid w:val="3000423C"/>
    <w:rsid w:val="30312F28"/>
    <w:rsid w:val="30810CD5"/>
    <w:rsid w:val="30842C90"/>
    <w:rsid w:val="308A6A32"/>
    <w:rsid w:val="309310D0"/>
    <w:rsid w:val="309B85F4"/>
    <w:rsid w:val="30A60745"/>
    <w:rsid w:val="30B82340"/>
    <w:rsid w:val="30BFFA9D"/>
    <w:rsid w:val="30C0414A"/>
    <w:rsid w:val="30C6A79A"/>
    <w:rsid w:val="30CADB67"/>
    <w:rsid w:val="30F23B1C"/>
    <w:rsid w:val="30F8A61C"/>
    <w:rsid w:val="30F9523C"/>
    <w:rsid w:val="31050716"/>
    <w:rsid w:val="310A4FE6"/>
    <w:rsid w:val="3117F8C8"/>
    <w:rsid w:val="3135AC35"/>
    <w:rsid w:val="3137A5DA"/>
    <w:rsid w:val="3142C5AC"/>
    <w:rsid w:val="3143BDC8"/>
    <w:rsid w:val="314FF7BE"/>
    <w:rsid w:val="315F6F54"/>
    <w:rsid w:val="3167BC86"/>
    <w:rsid w:val="316D796C"/>
    <w:rsid w:val="31937A69"/>
    <w:rsid w:val="319A07F7"/>
    <w:rsid w:val="319C129D"/>
    <w:rsid w:val="31A60C6C"/>
    <w:rsid w:val="31A7BC98"/>
    <w:rsid w:val="31A93689"/>
    <w:rsid w:val="31AE1A8B"/>
    <w:rsid w:val="31B23F76"/>
    <w:rsid w:val="31B44EC7"/>
    <w:rsid w:val="31B996C4"/>
    <w:rsid w:val="31D170AD"/>
    <w:rsid w:val="31D4345C"/>
    <w:rsid w:val="31D6A644"/>
    <w:rsid w:val="3205D0AA"/>
    <w:rsid w:val="32137C14"/>
    <w:rsid w:val="3215ECCA"/>
    <w:rsid w:val="3241993A"/>
    <w:rsid w:val="3245A2FF"/>
    <w:rsid w:val="325595DC"/>
    <w:rsid w:val="3259E28C"/>
    <w:rsid w:val="327266BF"/>
    <w:rsid w:val="327E5E2E"/>
    <w:rsid w:val="3296888E"/>
    <w:rsid w:val="32A07383"/>
    <w:rsid w:val="32A3D0BD"/>
    <w:rsid w:val="32B6C40B"/>
    <w:rsid w:val="32BDFA4D"/>
    <w:rsid w:val="32EE37D1"/>
    <w:rsid w:val="32F9A672"/>
    <w:rsid w:val="330135EF"/>
    <w:rsid w:val="33096BC0"/>
    <w:rsid w:val="330F8944"/>
    <w:rsid w:val="3320E276"/>
    <w:rsid w:val="33264773"/>
    <w:rsid w:val="33288F9B"/>
    <w:rsid w:val="33410901"/>
    <w:rsid w:val="33494797"/>
    <w:rsid w:val="335E10AD"/>
    <w:rsid w:val="335F2960"/>
    <w:rsid w:val="3361AC37"/>
    <w:rsid w:val="33622AD2"/>
    <w:rsid w:val="3363805A"/>
    <w:rsid w:val="3377CF29"/>
    <w:rsid w:val="3381FA3E"/>
    <w:rsid w:val="33843BCB"/>
    <w:rsid w:val="338DB3E6"/>
    <w:rsid w:val="339DE4FB"/>
    <w:rsid w:val="33A471AB"/>
    <w:rsid w:val="33B387AD"/>
    <w:rsid w:val="33D074E3"/>
    <w:rsid w:val="33EE2C8D"/>
    <w:rsid w:val="33EFD222"/>
    <w:rsid w:val="33F4FA1E"/>
    <w:rsid w:val="34014736"/>
    <w:rsid w:val="34235F41"/>
    <w:rsid w:val="342B7F3E"/>
    <w:rsid w:val="343652CF"/>
    <w:rsid w:val="343D6AB5"/>
    <w:rsid w:val="3446401A"/>
    <w:rsid w:val="344F18A3"/>
    <w:rsid w:val="34950953"/>
    <w:rsid w:val="3497D3C5"/>
    <w:rsid w:val="34A6BC9B"/>
    <w:rsid w:val="34C5217A"/>
    <w:rsid w:val="34D5C07F"/>
    <w:rsid w:val="34D5DCF5"/>
    <w:rsid w:val="34D66F6B"/>
    <w:rsid w:val="34DF8575"/>
    <w:rsid w:val="34E84B03"/>
    <w:rsid w:val="34EC4B35"/>
    <w:rsid w:val="34F7EE3F"/>
    <w:rsid w:val="352342F0"/>
    <w:rsid w:val="352698D3"/>
    <w:rsid w:val="352A4351"/>
    <w:rsid w:val="35363B50"/>
    <w:rsid w:val="353D4E02"/>
    <w:rsid w:val="35414EFD"/>
    <w:rsid w:val="354A5589"/>
    <w:rsid w:val="355EEDE2"/>
    <w:rsid w:val="356816EE"/>
    <w:rsid w:val="3580D8BD"/>
    <w:rsid w:val="35A6F04F"/>
    <w:rsid w:val="35C01AA0"/>
    <w:rsid w:val="35C18B91"/>
    <w:rsid w:val="35CC3600"/>
    <w:rsid w:val="35E5FAB9"/>
    <w:rsid w:val="35ECB95F"/>
    <w:rsid w:val="35F211B9"/>
    <w:rsid w:val="35FD84DF"/>
    <w:rsid w:val="36006CBD"/>
    <w:rsid w:val="3603A9A4"/>
    <w:rsid w:val="36043283"/>
    <w:rsid w:val="360953D5"/>
    <w:rsid w:val="360E9288"/>
    <w:rsid w:val="3617F737"/>
    <w:rsid w:val="3637883E"/>
    <w:rsid w:val="36493CEB"/>
    <w:rsid w:val="364A7627"/>
    <w:rsid w:val="364B7423"/>
    <w:rsid w:val="364F9A9E"/>
    <w:rsid w:val="36590C46"/>
    <w:rsid w:val="365B7B70"/>
    <w:rsid w:val="36605D76"/>
    <w:rsid w:val="3679AC32"/>
    <w:rsid w:val="368DD706"/>
    <w:rsid w:val="368FCFDF"/>
    <w:rsid w:val="369B0489"/>
    <w:rsid w:val="369D1222"/>
    <w:rsid w:val="36A8E834"/>
    <w:rsid w:val="36AF7596"/>
    <w:rsid w:val="36B60BDB"/>
    <w:rsid w:val="36D2A9B4"/>
    <w:rsid w:val="36D6EC53"/>
    <w:rsid w:val="36E16DD6"/>
    <w:rsid w:val="36E76C0B"/>
    <w:rsid w:val="3704D537"/>
    <w:rsid w:val="37229897"/>
    <w:rsid w:val="37249B18"/>
    <w:rsid w:val="372CC199"/>
    <w:rsid w:val="37412DE2"/>
    <w:rsid w:val="37480632"/>
    <w:rsid w:val="3761F376"/>
    <w:rsid w:val="3789A37C"/>
    <w:rsid w:val="37993FD2"/>
    <w:rsid w:val="37A56CD0"/>
    <w:rsid w:val="37AA62E9"/>
    <w:rsid w:val="37B1E5E0"/>
    <w:rsid w:val="37C10D95"/>
    <w:rsid w:val="37CF2072"/>
    <w:rsid w:val="37E69B1E"/>
    <w:rsid w:val="37F2F0FA"/>
    <w:rsid w:val="3802D6BE"/>
    <w:rsid w:val="382094C2"/>
    <w:rsid w:val="382A8399"/>
    <w:rsid w:val="38464E9C"/>
    <w:rsid w:val="3846E120"/>
    <w:rsid w:val="3849704A"/>
    <w:rsid w:val="3851BA9A"/>
    <w:rsid w:val="385376A8"/>
    <w:rsid w:val="38580FCD"/>
    <w:rsid w:val="385CA5F0"/>
    <w:rsid w:val="386E962E"/>
    <w:rsid w:val="38725A9E"/>
    <w:rsid w:val="38727398"/>
    <w:rsid w:val="38804BA3"/>
    <w:rsid w:val="388657CB"/>
    <w:rsid w:val="388A267C"/>
    <w:rsid w:val="388A6132"/>
    <w:rsid w:val="3893F130"/>
    <w:rsid w:val="38A3AF12"/>
    <w:rsid w:val="38CC8AC1"/>
    <w:rsid w:val="38D0293E"/>
    <w:rsid w:val="38D0948E"/>
    <w:rsid w:val="38D4E576"/>
    <w:rsid w:val="38DD2725"/>
    <w:rsid w:val="38E56862"/>
    <w:rsid w:val="38FD1AA3"/>
    <w:rsid w:val="3906E94F"/>
    <w:rsid w:val="390B64A1"/>
    <w:rsid w:val="391C0ABC"/>
    <w:rsid w:val="39203374"/>
    <w:rsid w:val="392E57BD"/>
    <w:rsid w:val="39301A18"/>
    <w:rsid w:val="3949BBEF"/>
    <w:rsid w:val="3959D497"/>
    <w:rsid w:val="395B69BB"/>
    <w:rsid w:val="39758208"/>
    <w:rsid w:val="397C609A"/>
    <w:rsid w:val="397CFA3C"/>
    <w:rsid w:val="399EC6A0"/>
    <w:rsid w:val="39A6AA04"/>
    <w:rsid w:val="39AA18DB"/>
    <w:rsid w:val="39B40CA8"/>
    <w:rsid w:val="39D2F9A5"/>
    <w:rsid w:val="39ED2D9E"/>
    <w:rsid w:val="39F6123F"/>
    <w:rsid w:val="3A1DC6AC"/>
    <w:rsid w:val="3A1EB760"/>
    <w:rsid w:val="3A20DD11"/>
    <w:rsid w:val="3A284AE9"/>
    <w:rsid w:val="3A288AFB"/>
    <w:rsid w:val="3A2976BB"/>
    <w:rsid w:val="3A2D3688"/>
    <w:rsid w:val="3A2F2D93"/>
    <w:rsid w:val="3A39D234"/>
    <w:rsid w:val="3A4094BF"/>
    <w:rsid w:val="3A90D508"/>
    <w:rsid w:val="3AA4F186"/>
    <w:rsid w:val="3AB4E3EC"/>
    <w:rsid w:val="3AB69B00"/>
    <w:rsid w:val="3ABA2543"/>
    <w:rsid w:val="3AC0932E"/>
    <w:rsid w:val="3ACB5832"/>
    <w:rsid w:val="3AD38EE9"/>
    <w:rsid w:val="3AE39014"/>
    <w:rsid w:val="3AE64D83"/>
    <w:rsid w:val="3AE69A19"/>
    <w:rsid w:val="3AF19DF1"/>
    <w:rsid w:val="3AF62361"/>
    <w:rsid w:val="3B109D64"/>
    <w:rsid w:val="3B43F79E"/>
    <w:rsid w:val="3B4BCC9A"/>
    <w:rsid w:val="3B516669"/>
    <w:rsid w:val="3B63A02B"/>
    <w:rsid w:val="3B662FD6"/>
    <w:rsid w:val="3B7044C3"/>
    <w:rsid w:val="3B8EBC1A"/>
    <w:rsid w:val="3BB69CD1"/>
    <w:rsid w:val="3BC8CD36"/>
    <w:rsid w:val="3BD373DE"/>
    <w:rsid w:val="3BD6A072"/>
    <w:rsid w:val="3BE77882"/>
    <w:rsid w:val="3BE9F83C"/>
    <w:rsid w:val="3BF80DCA"/>
    <w:rsid w:val="3BF9B571"/>
    <w:rsid w:val="3BFCF3A4"/>
    <w:rsid w:val="3C0677C0"/>
    <w:rsid w:val="3C1C0B25"/>
    <w:rsid w:val="3C3C42C0"/>
    <w:rsid w:val="3C4888D6"/>
    <w:rsid w:val="3C5350EB"/>
    <w:rsid w:val="3C72AA6F"/>
    <w:rsid w:val="3C7BC1A3"/>
    <w:rsid w:val="3C834264"/>
    <w:rsid w:val="3C93C220"/>
    <w:rsid w:val="3CA94713"/>
    <w:rsid w:val="3CD52BFB"/>
    <w:rsid w:val="3CEEFF16"/>
    <w:rsid w:val="3D0F2E34"/>
    <w:rsid w:val="3D43A785"/>
    <w:rsid w:val="3D4DD950"/>
    <w:rsid w:val="3D4E3B03"/>
    <w:rsid w:val="3D5345D6"/>
    <w:rsid w:val="3D632324"/>
    <w:rsid w:val="3D7561D2"/>
    <w:rsid w:val="3DB78132"/>
    <w:rsid w:val="3DB7D036"/>
    <w:rsid w:val="3DD15A2A"/>
    <w:rsid w:val="3DEB0039"/>
    <w:rsid w:val="3E080877"/>
    <w:rsid w:val="3E13F92A"/>
    <w:rsid w:val="3E24DDE7"/>
    <w:rsid w:val="3E314E3F"/>
    <w:rsid w:val="3E31ED56"/>
    <w:rsid w:val="3E4A78D8"/>
    <w:rsid w:val="3E5855DB"/>
    <w:rsid w:val="3E74AA00"/>
    <w:rsid w:val="3E7CA0A4"/>
    <w:rsid w:val="3E830102"/>
    <w:rsid w:val="3E8EC5C2"/>
    <w:rsid w:val="3E945848"/>
    <w:rsid w:val="3E98DFB8"/>
    <w:rsid w:val="3E9B26B4"/>
    <w:rsid w:val="3EB29A82"/>
    <w:rsid w:val="3EB483E3"/>
    <w:rsid w:val="3EC99B35"/>
    <w:rsid w:val="3ECC9553"/>
    <w:rsid w:val="3EDA00CC"/>
    <w:rsid w:val="3EDA333E"/>
    <w:rsid w:val="3EE7ED4C"/>
    <w:rsid w:val="3EE9223E"/>
    <w:rsid w:val="3F090EC8"/>
    <w:rsid w:val="3F127E5A"/>
    <w:rsid w:val="3F22CB34"/>
    <w:rsid w:val="3F41A7D3"/>
    <w:rsid w:val="3F446031"/>
    <w:rsid w:val="3F5359F7"/>
    <w:rsid w:val="3F6E5623"/>
    <w:rsid w:val="3F7E2007"/>
    <w:rsid w:val="3F8B9249"/>
    <w:rsid w:val="3F8CA47E"/>
    <w:rsid w:val="3FA276E4"/>
    <w:rsid w:val="3FB35552"/>
    <w:rsid w:val="3FB35B42"/>
    <w:rsid w:val="3FCD3426"/>
    <w:rsid w:val="3FD148AB"/>
    <w:rsid w:val="3FD20123"/>
    <w:rsid w:val="3FDD0D3F"/>
    <w:rsid w:val="40069232"/>
    <w:rsid w:val="4013B5E9"/>
    <w:rsid w:val="401AA696"/>
    <w:rsid w:val="402244B3"/>
    <w:rsid w:val="402A2884"/>
    <w:rsid w:val="402F42F8"/>
    <w:rsid w:val="404A1AE1"/>
    <w:rsid w:val="404CEC40"/>
    <w:rsid w:val="404E70D5"/>
    <w:rsid w:val="40526726"/>
    <w:rsid w:val="4055D7D6"/>
    <w:rsid w:val="4071C516"/>
    <w:rsid w:val="4074BF0B"/>
    <w:rsid w:val="407A69A8"/>
    <w:rsid w:val="4097A3CA"/>
    <w:rsid w:val="4098556A"/>
    <w:rsid w:val="409F1C7F"/>
    <w:rsid w:val="40C4F9B7"/>
    <w:rsid w:val="40D7087C"/>
    <w:rsid w:val="40D74182"/>
    <w:rsid w:val="41069824"/>
    <w:rsid w:val="410A28F9"/>
    <w:rsid w:val="4115E6A5"/>
    <w:rsid w:val="41214282"/>
    <w:rsid w:val="414973F6"/>
    <w:rsid w:val="4155FA85"/>
    <w:rsid w:val="415C5744"/>
    <w:rsid w:val="415DEB2C"/>
    <w:rsid w:val="41704D2A"/>
    <w:rsid w:val="41823429"/>
    <w:rsid w:val="419EA1DD"/>
    <w:rsid w:val="41A3302B"/>
    <w:rsid w:val="41BF85C4"/>
    <w:rsid w:val="41C76C89"/>
    <w:rsid w:val="41D5896D"/>
    <w:rsid w:val="41D5FD7D"/>
    <w:rsid w:val="41DC1228"/>
    <w:rsid w:val="41EE792C"/>
    <w:rsid w:val="41F0A6AD"/>
    <w:rsid w:val="41FC18BB"/>
    <w:rsid w:val="421A64A7"/>
    <w:rsid w:val="421AA656"/>
    <w:rsid w:val="4228E875"/>
    <w:rsid w:val="42299707"/>
    <w:rsid w:val="422A01C6"/>
    <w:rsid w:val="422E5B72"/>
    <w:rsid w:val="4232201C"/>
    <w:rsid w:val="424B3F56"/>
    <w:rsid w:val="424BAB05"/>
    <w:rsid w:val="424F156D"/>
    <w:rsid w:val="426393D8"/>
    <w:rsid w:val="426DEF07"/>
    <w:rsid w:val="42941002"/>
    <w:rsid w:val="42A20FC6"/>
    <w:rsid w:val="42A72417"/>
    <w:rsid w:val="42B13115"/>
    <w:rsid w:val="42B1B74C"/>
    <w:rsid w:val="42B7A2F6"/>
    <w:rsid w:val="42D52138"/>
    <w:rsid w:val="43065BB3"/>
    <w:rsid w:val="4315700A"/>
    <w:rsid w:val="43373433"/>
    <w:rsid w:val="433F9BC6"/>
    <w:rsid w:val="4377DC9B"/>
    <w:rsid w:val="4383432C"/>
    <w:rsid w:val="43888B9D"/>
    <w:rsid w:val="4398D854"/>
    <w:rsid w:val="439A1890"/>
    <w:rsid w:val="43A38555"/>
    <w:rsid w:val="43A7CA04"/>
    <w:rsid w:val="43ADF8FB"/>
    <w:rsid w:val="43C88022"/>
    <w:rsid w:val="43D20878"/>
    <w:rsid w:val="43D366A4"/>
    <w:rsid w:val="43EA00F4"/>
    <w:rsid w:val="43EAD243"/>
    <w:rsid w:val="442408AF"/>
    <w:rsid w:val="442B0504"/>
    <w:rsid w:val="4444FEB9"/>
    <w:rsid w:val="44767327"/>
    <w:rsid w:val="4487BCC9"/>
    <w:rsid w:val="4488EBF0"/>
    <w:rsid w:val="44A24B9F"/>
    <w:rsid w:val="44BA1A79"/>
    <w:rsid w:val="44BD74C6"/>
    <w:rsid w:val="44CABAF2"/>
    <w:rsid w:val="44D46E6D"/>
    <w:rsid w:val="44D9EDA1"/>
    <w:rsid w:val="44E35E65"/>
    <w:rsid w:val="44EE675B"/>
    <w:rsid w:val="44FB2A4D"/>
    <w:rsid w:val="450DA210"/>
    <w:rsid w:val="4522AE7A"/>
    <w:rsid w:val="4526D598"/>
    <w:rsid w:val="4537B549"/>
    <w:rsid w:val="4539888D"/>
    <w:rsid w:val="45584263"/>
    <w:rsid w:val="4593E60A"/>
    <w:rsid w:val="4599A930"/>
    <w:rsid w:val="45AAD037"/>
    <w:rsid w:val="45B63590"/>
    <w:rsid w:val="45D7C123"/>
    <w:rsid w:val="45FE5BBC"/>
    <w:rsid w:val="4611153B"/>
    <w:rsid w:val="46211247"/>
    <w:rsid w:val="463018B9"/>
    <w:rsid w:val="46338292"/>
    <w:rsid w:val="46340571"/>
    <w:rsid w:val="4657E7AD"/>
    <w:rsid w:val="465D1CB6"/>
    <w:rsid w:val="4669B577"/>
    <w:rsid w:val="46761BE1"/>
    <w:rsid w:val="46799448"/>
    <w:rsid w:val="4679CA01"/>
    <w:rsid w:val="46895B2C"/>
    <w:rsid w:val="468BDAF0"/>
    <w:rsid w:val="4695DEA0"/>
    <w:rsid w:val="46C0D167"/>
    <w:rsid w:val="46C87B4D"/>
    <w:rsid w:val="46C9D48F"/>
    <w:rsid w:val="46CEE317"/>
    <w:rsid w:val="46D1F44E"/>
    <w:rsid w:val="46E54028"/>
    <w:rsid w:val="46EBB957"/>
    <w:rsid w:val="46F19823"/>
    <w:rsid w:val="46F47504"/>
    <w:rsid w:val="470ADE96"/>
    <w:rsid w:val="474142C5"/>
    <w:rsid w:val="474BE7D4"/>
    <w:rsid w:val="476E30D1"/>
    <w:rsid w:val="4784561E"/>
    <w:rsid w:val="478A1D54"/>
    <w:rsid w:val="4790CF4C"/>
    <w:rsid w:val="479EB2A5"/>
    <w:rsid w:val="47E31AE1"/>
    <w:rsid w:val="47E9A2BF"/>
    <w:rsid w:val="480E61DE"/>
    <w:rsid w:val="481B72A4"/>
    <w:rsid w:val="481ED85C"/>
    <w:rsid w:val="4821E875"/>
    <w:rsid w:val="482367D9"/>
    <w:rsid w:val="48331F1B"/>
    <w:rsid w:val="48357D0F"/>
    <w:rsid w:val="4835C732"/>
    <w:rsid w:val="485BCB45"/>
    <w:rsid w:val="48623269"/>
    <w:rsid w:val="48713CA7"/>
    <w:rsid w:val="4871F7CD"/>
    <w:rsid w:val="487B57C8"/>
    <w:rsid w:val="487EE976"/>
    <w:rsid w:val="488BF8E4"/>
    <w:rsid w:val="488EB8B0"/>
    <w:rsid w:val="4896FB42"/>
    <w:rsid w:val="48AC64BA"/>
    <w:rsid w:val="48B059AC"/>
    <w:rsid w:val="48CC4667"/>
    <w:rsid w:val="48D11F7E"/>
    <w:rsid w:val="48D7421A"/>
    <w:rsid w:val="48E446D2"/>
    <w:rsid w:val="48EA76F6"/>
    <w:rsid w:val="490AA3E1"/>
    <w:rsid w:val="490D7835"/>
    <w:rsid w:val="49182577"/>
    <w:rsid w:val="492431C9"/>
    <w:rsid w:val="492A2EF8"/>
    <w:rsid w:val="49342A66"/>
    <w:rsid w:val="494AF210"/>
    <w:rsid w:val="49628CA9"/>
    <w:rsid w:val="496355F1"/>
    <w:rsid w:val="497194C6"/>
    <w:rsid w:val="49785C2A"/>
    <w:rsid w:val="497E9E40"/>
    <w:rsid w:val="49994D6F"/>
    <w:rsid w:val="499B017C"/>
    <w:rsid w:val="499DC18F"/>
    <w:rsid w:val="49AA1C7E"/>
    <w:rsid w:val="49B30B04"/>
    <w:rsid w:val="49C1C628"/>
    <w:rsid w:val="49E057B4"/>
    <w:rsid w:val="49FC8A31"/>
    <w:rsid w:val="4A258904"/>
    <w:rsid w:val="4A5938D6"/>
    <w:rsid w:val="4A5BFF56"/>
    <w:rsid w:val="4A5DA8EA"/>
    <w:rsid w:val="4A616671"/>
    <w:rsid w:val="4A69750B"/>
    <w:rsid w:val="4A7869BA"/>
    <w:rsid w:val="4A7D16D6"/>
    <w:rsid w:val="4A830F6D"/>
    <w:rsid w:val="4A894073"/>
    <w:rsid w:val="4A8EE643"/>
    <w:rsid w:val="4A90215E"/>
    <w:rsid w:val="4A9DD060"/>
    <w:rsid w:val="4AA733DC"/>
    <w:rsid w:val="4AA8B16B"/>
    <w:rsid w:val="4ACB2FA5"/>
    <w:rsid w:val="4ACB8296"/>
    <w:rsid w:val="4ADB364B"/>
    <w:rsid w:val="4ADF0230"/>
    <w:rsid w:val="4AF6C544"/>
    <w:rsid w:val="4AFAB840"/>
    <w:rsid w:val="4B182A29"/>
    <w:rsid w:val="4B292BF4"/>
    <w:rsid w:val="4B2C6541"/>
    <w:rsid w:val="4B49FFBE"/>
    <w:rsid w:val="4B4FC3E6"/>
    <w:rsid w:val="4B5079A3"/>
    <w:rsid w:val="4B5661B6"/>
    <w:rsid w:val="4B578EAC"/>
    <w:rsid w:val="4B5E3A53"/>
    <w:rsid w:val="4B72C44B"/>
    <w:rsid w:val="4B7E839D"/>
    <w:rsid w:val="4B82FD62"/>
    <w:rsid w:val="4B83FD92"/>
    <w:rsid w:val="4B9F16BF"/>
    <w:rsid w:val="4BA18F04"/>
    <w:rsid w:val="4BA5855E"/>
    <w:rsid w:val="4BA8603F"/>
    <w:rsid w:val="4BBAD3D5"/>
    <w:rsid w:val="4BC08802"/>
    <w:rsid w:val="4BCCBC09"/>
    <w:rsid w:val="4BFD66C2"/>
    <w:rsid w:val="4C1AC25B"/>
    <w:rsid w:val="4C3534D9"/>
    <w:rsid w:val="4C39D955"/>
    <w:rsid w:val="4C3ADAC5"/>
    <w:rsid w:val="4C4C19B9"/>
    <w:rsid w:val="4C4C74B6"/>
    <w:rsid w:val="4C56A67A"/>
    <w:rsid w:val="4C5729A8"/>
    <w:rsid w:val="4C5A20CD"/>
    <w:rsid w:val="4C666D42"/>
    <w:rsid w:val="4C8301F7"/>
    <w:rsid w:val="4C8AF06B"/>
    <w:rsid w:val="4C90A445"/>
    <w:rsid w:val="4C9B85B2"/>
    <w:rsid w:val="4CC32619"/>
    <w:rsid w:val="4CC33891"/>
    <w:rsid w:val="4CD212AC"/>
    <w:rsid w:val="4CEECC77"/>
    <w:rsid w:val="4CF0156C"/>
    <w:rsid w:val="4CFEFDD3"/>
    <w:rsid w:val="4D26EA3B"/>
    <w:rsid w:val="4D2FAE15"/>
    <w:rsid w:val="4D3DBDA7"/>
    <w:rsid w:val="4D53AB60"/>
    <w:rsid w:val="4D5A27B7"/>
    <w:rsid w:val="4D5BB19C"/>
    <w:rsid w:val="4D848163"/>
    <w:rsid w:val="4D92FE76"/>
    <w:rsid w:val="4DAC331B"/>
    <w:rsid w:val="4DAD0CEA"/>
    <w:rsid w:val="4DAE9C7A"/>
    <w:rsid w:val="4DB1C80C"/>
    <w:rsid w:val="4DB529D4"/>
    <w:rsid w:val="4DC6A07F"/>
    <w:rsid w:val="4DC73540"/>
    <w:rsid w:val="4DDA5C1D"/>
    <w:rsid w:val="4DDD33F8"/>
    <w:rsid w:val="4DEDFCEC"/>
    <w:rsid w:val="4E24F5A8"/>
    <w:rsid w:val="4E35DD23"/>
    <w:rsid w:val="4E39FE92"/>
    <w:rsid w:val="4E4EB011"/>
    <w:rsid w:val="4E5836C4"/>
    <w:rsid w:val="4E6E25A4"/>
    <w:rsid w:val="4E8519B6"/>
    <w:rsid w:val="4E8A9876"/>
    <w:rsid w:val="4E8F69D2"/>
    <w:rsid w:val="4E91C8D9"/>
    <w:rsid w:val="4E91CBFB"/>
    <w:rsid w:val="4E9B19EF"/>
    <w:rsid w:val="4E9BFEC3"/>
    <w:rsid w:val="4EA1B0F3"/>
    <w:rsid w:val="4EA1F356"/>
    <w:rsid w:val="4EAA2664"/>
    <w:rsid w:val="4EAC5B6D"/>
    <w:rsid w:val="4EB2DBA1"/>
    <w:rsid w:val="4ED1DBA6"/>
    <w:rsid w:val="4EE1930D"/>
    <w:rsid w:val="4EF2C7BE"/>
    <w:rsid w:val="4EFE4FF8"/>
    <w:rsid w:val="4F093170"/>
    <w:rsid w:val="4F222A8E"/>
    <w:rsid w:val="4F377478"/>
    <w:rsid w:val="4F39A1A4"/>
    <w:rsid w:val="4F3B9A62"/>
    <w:rsid w:val="4F43ED2D"/>
    <w:rsid w:val="4F4A5B09"/>
    <w:rsid w:val="4F5021E5"/>
    <w:rsid w:val="4F661F53"/>
    <w:rsid w:val="4F6D7D9B"/>
    <w:rsid w:val="4F726EF2"/>
    <w:rsid w:val="4F915078"/>
    <w:rsid w:val="4F9D8D2C"/>
    <w:rsid w:val="4FA9BFF3"/>
    <w:rsid w:val="4FAFFC5F"/>
    <w:rsid w:val="4FCBDCBF"/>
    <w:rsid w:val="4FE5839B"/>
    <w:rsid w:val="4FECFAEF"/>
    <w:rsid w:val="4FEFB0C4"/>
    <w:rsid w:val="4FF2376F"/>
    <w:rsid w:val="4FFB1501"/>
    <w:rsid w:val="4FFD9EE3"/>
    <w:rsid w:val="50046DC8"/>
    <w:rsid w:val="5004CBDF"/>
    <w:rsid w:val="500A5175"/>
    <w:rsid w:val="5031403E"/>
    <w:rsid w:val="5034B83D"/>
    <w:rsid w:val="50399ADF"/>
    <w:rsid w:val="504AE276"/>
    <w:rsid w:val="504C107A"/>
    <w:rsid w:val="5052B303"/>
    <w:rsid w:val="50579DF5"/>
    <w:rsid w:val="505CBD3D"/>
    <w:rsid w:val="507ABE68"/>
    <w:rsid w:val="50804625"/>
    <w:rsid w:val="5087C079"/>
    <w:rsid w:val="508D9A28"/>
    <w:rsid w:val="509958C7"/>
    <w:rsid w:val="50AC8F68"/>
    <w:rsid w:val="50C1F999"/>
    <w:rsid w:val="50C43EA0"/>
    <w:rsid w:val="50C4DF5B"/>
    <w:rsid w:val="50C91318"/>
    <w:rsid w:val="50CD166D"/>
    <w:rsid w:val="50D3073C"/>
    <w:rsid w:val="50F947CB"/>
    <w:rsid w:val="50F968D7"/>
    <w:rsid w:val="50FBC7E3"/>
    <w:rsid w:val="50FD20D6"/>
    <w:rsid w:val="50FE8310"/>
    <w:rsid w:val="5100955C"/>
    <w:rsid w:val="5104AFEF"/>
    <w:rsid w:val="5105528F"/>
    <w:rsid w:val="513B0B85"/>
    <w:rsid w:val="5149135B"/>
    <w:rsid w:val="518153FC"/>
    <w:rsid w:val="51827DBE"/>
    <w:rsid w:val="51832A41"/>
    <w:rsid w:val="5199AB04"/>
    <w:rsid w:val="51AE4132"/>
    <w:rsid w:val="51C268B2"/>
    <w:rsid w:val="51C7B7FD"/>
    <w:rsid w:val="51D135A8"/>
    <w:rsid w:val="51DC26B6"/>
    <w:rsid w:val="51F7C719"/>
    <w:rsid w:val="52004821"/>
    <w:rsid w:val="520702C4"/>
    <w:rsid w:val="5211E9A2"/>
    <w:rsid w:val="5217BD5A"/>
    <w:rsid w:val="522514AE"/>
    <w:rsid w:val="522580CB"/>
    <w:rsid w:val="5272004E"/>
    <w:rsid w:val="52839035"/>
    <w:rsid w:val="5285F022"/>
    <w:rsid w:val="528BF600"/>
    <w:rsid w:val="52B02F5E"/>
    <w:rsid w:val="52D7E40C"/>
    <w:rsid w:val="52E9BFAF"/>
    <w:rsid w:val="52EE586E"/>
    <w:rsid w:val="52F5815B"/>
    <w:rsid w:val="52F7E060"/>
    <w:rsid w:val="52FC912E"/>
    <w:rsid w:val="53015F9A"/>
    <w:rsid w:val="53049F8A"/>
    <w:rsid w:val="530FD0B3"/>
    <w:rsid w:val="531D3392"/>
    <w:rsid w:val="53338CB6"/>
    <w:rsid w:val="533B6DDD"/>
    <w:rsid w:val="5348737A"/>
    <w:rsid w:val="534FF550"/>
    <w:rsid w:val="5350B871"/>
    <w:rsid w:val="53837362"/>
    <w:rsid w:val="538B23B2"/>
    <w:rsid w:val="53A14A9B"/>
    <w:rsid w:val="53C808D2"/>
    <w:rsid w:val="53D11B93"/>
    <w:rsid w:val="53D81AB9"/>
    <w:rsid w:val="53DE8D27"/>
    <w:rsid w:val="540F456B"/>
    <w:rsid w:val="5427D0B8"/>
    <w:rsid w:val="542AEDD2"/>
    <w:rsid w:val="5437B43C"/>
    <w:rsid w:val="543A0C16"/>
    <w:rsid w:val="54400669"/>
    <w:rsid w:val="5442F4C5"/>
    <w:rsid w:val="5465D8A0"/>
    <w:rsid w:val="546B98B7"/>
    <w:rsid w:val="548AA61A"/>
    <w:rsid w:val="54ACC986"/>
    <w:rsid w:val="54ADBB57"/>
    <w:rsid w:val="54B01FB2"/>
    <w:rsid w:val="54D0945B"/>
    <w:rsid w:val="54D0B2DE"/>
    <w:rsid w:val="54D770FF"/>
    <w:rsid w:val="54E9B004"/>
    <w:rsid w:val="54EEC01C"/>
    <w:rsid w:val="54F0755B"/>
    <w:rsid w:val="54F0AE11"/>
    <w:rsid w:val="54F74630"/>
    <w:rsid w:val="54FBD7D3"/>
    <w:rsid w:val="55040098"/>
    <w:rsid w:val="554A2770"/>
    <w:rsid w:val="555214E9"/>
    <w:rsid w:val="55797721"/>
    <w:rsid w:val="557A5823"/>
    <w:rsid w:val="557DEE29"/>
    <w:rsid w:val="55A08FE6"/>
    <w:rsid w:val="55B743A5"/>
    <w:rsid w:val="55BA9698"/>
    <w:rsid w:val="55C0C49E"/>
    <w:rsid w:val="55CC89EA"/>
    <w:rsid w:val="55FF3D79"/>
    <w:rsid w:val="5601669A"/>
    <w:rsid w:val="5604323D"/>
    <w:rsid w:val="5614748C"/>
    <w:rsid w:val="561F8F74"/>
    <w:rsid w:val="562C34AD"/>
    <w:rsid w:val="5645F23C"/>
    <w:rsid w:val="564952C8"/>
    <w:rsid w:val="564B1821"/>
    <w:rsid w:val="5653337C"/>
    <w:rsid w:val="5687B5CE"/>
    <w:rsid w:val="5693B1C9"/>
    <w:rsid w:val="56964E29"/>
    <w:rsid w:val="569CDE83"/>
    <w:rsid w:val="569D65EE"/>
    <w:rsid w:val="56A681C6"/>
    <w:rsid w:val="56BCFC32"/>
    <w:rsid w:val="56C09190"/>
    <w:rsid w:val="56C6A47D"/>
    <w:rsid w:val="56F45551"/>
    <w:rsid w:val="56F72019"/>
    <w:rsid w:val="56FDF607"/>
    <w:rsid w:val="5714887D"/>
    <w:rsid w:val="57151217"/>
    <w:rsid w:val="572F676C"/>
    <w:rsid w:val="5735F20C"/>
    <w:rsid w:val="573FA964"/>
    <w:rsid w:val="5740605B"/>
    <w:rsid w:val="575653A1"/>
    <w:rsid w:val="575DE76F"/>
    <w:rsid w:val="576197C2"/>
    <w:rsid w:val="5765E3A4"/>
    <w:rsid w:val="57713972"/>
    <w:rsid w:val="57975C6D"/>
    <w:rsid w:val="579D8F54"/>
    <w:rsid w:val="579EE53B"/>
    <w:rsid w:val="57AF8350"/>
    <w:rsid w:val="57C2354A"/>
    <w:rsid w:val="57C925F4"/>
    <w:rsid w:val="57CAEF9C"/>
    <w:rsid w:val="57DE7FF0"/>
    <w:rsid w:val="57E93443"/>
    <w:rsid w:val="57EBBE36"/>
    <w:rsid w:val="57F3975C"/>
    <w:rsid w:val="5805FA94"/>
    <w:rsid w:val="581357B7"/>
    <w:rsid w:val="583B74C5"/>
    <w:rsid w:val="583DEA72"/>
    <w:rsid w:val="583EC000"/>
    <w:rsid w:val="585D0A1F"/>
    <w:rsid w:val="586D55C4"/>
    <w:rsid w:val="58808F3C"/>
    <w:rsid w:val="588C75F3"/>
    <w:rsid w:val="589E924E"/>
    <w:rsid w:val="58A4BEF2"/>
    <w:rsid w:val="58A4C080"/>
    <w:rsid w:val="58C34290"/>
    <w:rsid w:val="58C54E9E"/>
    <w:rsid w:val="58D40BC1"/>
    <w:rsid w:val="58DA35C7"/>
    <w:rsid w:val="58DB79C5"/>
    <w:rsid w:val="58DC28F8"/>
    <w:rsid w:val="58E6D924"/>
    <w:rsid w:val="5902BCFE"/>
    <w:rsid w:val="591E56B8"/>
    <w:rsid w:val="591F4FC6"/>
    <w:rsid w:val="5925ACEB"/>
    <w:rsid w:val="59287DBC"/>
    <w:rsid w:val="594B78FA"/>
    <w:rsid w:val="59513C79"/>
    <w:rsid w:val="5969D04D"/>
    <w:rsid w:val="596A6878"/>
    <w:rsid w:val="598556E1"/>
    <w:rsid w:val="5989CF56"/>
    <w:rsid w:val="598AA4A5"/>
    <w:rsid w:val="598AA7B6"/>
    <w:rsid w:val="598CDFA1"/>
    <w:rsid w:val="59A57025"/>
    <w:rsid w:val="59A5CC7E"/>
    <w:rsid w:val="59A604CF"/>
    <w:rsid w:val="59BA7CF4"/>
    <w:rsid w:val="59CB3AF2"/>
    <w:rsid w:val="59CCA371"/>
    <w:rsid w:val="59D23735"/>
    <w:rsid w:val="59DB2EAE"/>
    <w:rsid w:val="59E315F7"/>
    <w:rsid w:val="5A031016"/>
    <w:rsid w:val="5A119733"/>
    <w:rsid w:val="5A155E37"/>
    <w:rsid w:val="5A207042"/>
    <w:rsid w:val="5A25C91D"/>
    <w:rsid w:val="5A32AE20"/>
    <w:rsid w:val="5A422499"/>
    <w:rsid w:val="5A500C4B"/>
    <w:rsid w:val="5A522E52"/>
    <w:rsid w:val="5A6D6B60"/>
    <w:rsid w:val="5A7F5A29"/>
    <w:rsid w:val="5A81DEF0"/>
    <w:rsid w:val="5A8434CD"/>
    <w:rsid w:val="5A8FC8B7"/>
    <w:rsid w:val="5A97B3C9"/>
    <w:rsid w:val="5ABF55EF"/>
    <w:rsid w:val="5ACA0019"/>
    <w:rsid w:val="5AEF9B41"/>
    <w:rsid w:val="5AF93C60"/>
    <w:rsid w:val="5B00F824"/>
    <w:rsid w:val="5B109F0F"/>
    <w:rsid w:val="5B172DFF"/>
    <w:rsid w:val="5B2B3D27"/>
    <w:rsid w:val="5B3235DC"/>
    <w:rsid w:val="5B377648"/>
    <w:rsid w:val="5B43CE59"/>
    <w:rsid w:val="5B4B6F66"/>
    <w:rsid w:val="5B549AB2"/>
    <w:rsid w:val="5B7D1B42"/>
    <w:rsid w:val="5B896E0C"/>
    <w:rsid w:val="5BA328E0"/>
    <w:rsid w:val="5BC050E9"/>
    <w:rsid w:val="5BC5081D"/>
    <w:rsid w:val="5BC70A42"/>
    <w:rsid w:val="5BDC0262"/>
    <w:rsid w:val="5BE0647F"/>
    <w:rsid w:val="5BE6CABE"/>
    <w:rsid w:val="5BE807AE"/>
    <w:rsid w:val="5BECCC2B"/>
    <w:rsid w:val="5BF9DC91"/>
    <w:rsid w:val="5BFDCC48"/>
    <w:rsid w:val="5C139A67"/>
    <w:rsid w:val="5C2DAD72"/>
    <w:rsid w:val="5C33BD44"/>
    <w:rsid w:val="5C3E1589"/>
    <w:rsid w:val="5C4D1854"/>
    <w:rsid w:val="5C56AF57"/>
    <w:rsid w:val="5C69219F"/>
    <w:rsid w:val="5C7C6937"/>
    <w:rsid w:val="5C976E4E"/>
    <w:rsid w:val="5CA80E86"/>
    <w:rsid w:val="5CAB3D2C"/>
    <w:rsid w:val="5CB0DD8A"/>
    <w:rsid w:val="5CB1D856"/>
    <w:rsid w:val="5CB2F096"/>
    <w:rsid w:val="5CCF4AB9"/>
    <w:rsid w:val="5D24791B"/>
    <w:rsid w:val="5D2EA232"/>
    <w:rsid w:val="5D2FF95F"/>
    <w:rsid w:val="5D34E8CD"/>
    <w:rsid w:val="5D35A486"/>
    <w:rsid w:val="5D3E1216"/>
    <w:rsid w:val="5D3F6E36"/>
    <w:rsid w:val="5D47F856"/>
    <w:rsid w:val="5D725403"/>
    <w:rsid w:val="5D76906B"/>
    <w:rsid w:val="5D779143"/>
    <w:rsid w:val="5D89A370"/>
    <w:rsid w:val="5D8F87A0"/>
    <w:rsid w:val="5D965F45"/>
    <w:rsid w:val="5DB05FE8"/>
    <w:rsid w:val="5DB29839"/>
    <w:rsid w:val="5DC5A274"/>
    <w:rsid w:val="5DC9171B"/>
    <w:rsid w:val="5DD1911B"/>
    <w:rsid w:val="5DE0645D"/>
    <w:rsid w:val="5DE1C563"/>
    <w:rsid w:val="5DED97DB"/>
    <w:rsid w:val="5DF10C4C"/>
    <w:rsid w:val="5DF1B4E5"/>
    <w:rsid w:val="5DF7F624"/>
    <w:rsid w:val="5DF97EEF"/>
    <w:rsid w:val="5E09304B"/>
    <w:rsid w:val="5E12614B"/>
    <w:rsid w:val="5E26F423"/>
    <w:rsid w:val="5E2AD570"/>
    <w:rsid w:val="5E434EC7"/>
    <w:rsid w:val="5E4B2476"/>
    <w:rsid w:val="5E4E3787"/>
    <w:rsid w:val="5E560522"/>
    <w:rsid w:val="5E5C2BBC"/>
    <w:rsid w:val="5E5D1738"/>
    <w:rsid w:val="5E70EAB1"/>
    <w:rsid w:val="5E7A8FE4"/>
    <w:rsid w:val="5E7EAA16"/>
    <w:rsid w:val="5E84D134"/>
    <w:rsid w:val="5EB92851"/>
    <w:rsid w:val="5EBA514C"/>
    <w:rsid w:val="5EBAA40D"/>
    <w:rsid w:val="5EBDA316"/>
    <w:rsid w:val="5EC33E2B"/>
    <w:rsid w:val="5ED917B2"/>
    <w:rsid w:val="5EE6DBD6"/>
    <w:rsid w:val="5EF3A242"/>
    <w:rsid w:val="5EF9BCE2"/>
    <w:rsid w:val="5F008397"/>
    <w:rsid w:val="5F15E9F3"/>
    <w:rsid w:val="5F259E63"/>
    <w:rsid w:val="5F25AA5A"/>
    <w:rsid w:val="5F42CDC3"/>
    <w:rsid w:val="5F56D436"/>
    <w:rsid w:val="5F71301B"/>
    <w:rsid w:val="5F7946C1"/>
    <w:rsid w:val="5F91C7B6"/>
    <w:rsid w:val="5FA9980E"/>
    <w:rsid w:val="5FCAFA15"/>
    <w:rsid w:val="5FD557B4"/>
    <w:rsid w:val="5FD84E5A"/>
    <w:rsid w:val="5FF3349E"/>
    <w:rsid w:val="5FFAE98C"/>
    <w:rsid w:val="5FFAF013"/>
    <w:rsid w:val="601E4696"/>
    <w:rsid w:val="6030F487"/>
    <w:rsid w:val="603D7F63"/>
    <w:rsid w:val="604484F3"/>
    <w:rsid w:val="6044EBDB"/>
    <w:rsid w:val="6048F38C"/>
    <w:rsid w:val="6057844E"/>
    <w:rsid w:val="605BE626"/>
    <w:rsid w:val="605D644B"/>
    <w:rsid w:val="605ECE71"/>
    <w:rsid w:val="60924469"/>
    <w:rsid w:val="60992DBF"/>
    <w:rsid w:val="60B59BD0"/>
    <w:rsid w:val="60BF0D9C"/>
    <w:rsid w:val="60C8262B"/>
    <w:rsid w:val="60CA2440"/>
    <w:rsid w:val="60CCA4A0"/>
    <w:rsid w:val="60DA3146"/>
    <w:rsid w:val="60E93426"/>
    <w:rsid w:val="60F2FCEE"/>
    <w:rsid w:val="610513D9"/>
    <w:rsid w:val="610E3D6A"/>
    <w:rsid w:val="611191FA"/>
    <w:rsid w:val="614FF140"/>
    <w:rsid w:val="6159FF43"/>
    <w:rsid w:val="615E4BB7"/>
    <w:rsid w:val="6163E60C"/>
    <w:rsid w:val="616C0C3A"/>
    <w:rsid w:val="617818FA"/>
    <w:rsid w:val="619B2E35"/>
    <w:rsid w:val="61AB072F"/>
    <w:rsid w:val="61B6035D"/>
    <w:rsid w:val="61B9D574"/>
    <w:rsid w:val="61E7CB11"/>
    <w:rsid w:val="61E7EA22"/>
    <w:rsid w:val="61E83B8C"/>
    <w:rsid w:val="61EF89CA"/>
    <w:rsid w:val="61F535F7"/>
    <w:rsid w:val="621D2B90"/>
    <w:rsid w:val="621F2C5E"/>
    <w:rsid w:val="622074A3"/>
    <w:rsid w:val="62428ECE"/>
    <w:rsid w:val="624CF214"/>
    <w:rsid w:val="624DB985"/>
    <w:rsid w:val="62719AC4"/>
    <w:rsid w:val="62778264"/>
    <w:rsid w:val="6287AD4D"/>
    <w:rsid w:val="629493CA"/>
    <w:rsid w:val="62C7957E"/>
    <w:rsid w:val="62DAD17A"/>
    <w:rsid w:val="62DE03C9"/>
    <w:rsid w:val="62EE7DA2"/>
    <w:rsid w:val="62F42D7A"/>
    <w:rsid w:val="62F5CFA4"/>
    <w:rsid w:val="62F9C230"/>
    <w:rsid w:val="6300702E"/>
    <w:rsid w:val="63047885"/>
    <w:rsid w:val="63186ADA"/>
    <w:rsid w:val="631F5F1C"/>
    <w:rsid w:val="633FB453"/>
    <w:rsid w:val="63417996"/>
    <w:rsid w:val="635A6D0A"/>
    <w:rsid w:val="636833A4"/>
    <w:rsid w:val="638462E9"/>
    <w:rsid w:val="6387F629"/>
    <w:rsid w:val="639C273F"/>
    <w:rsid w:val="63A21578"/>
    <w:rsid w:val="63AF3C32"/>
    <w:rsid w:val="63B40BC0"/>
    <w:rsid w:val="63D0F185"/>
    <w:rsid w:val="63EDF1B5"/>
    <w:rsid w:val="63F77AA3"/>
    <w:rsid w:val="63FEDB32"/>
    <w:rsid w:val="64216AAA"/>
    <w:rsid w:val="6426BE04"/>
    <w:rsid w:val="643EE2C1"/>
    <w:rsid w:val="64489654"/>
    <w:rsid w:val="64514724"/>
    <w:rsid w:val="647D5EFC"/>
    <w:rsid w:val="64986229"/>
    <w:rsid w:val="64A1D6F3"/>
    <w:rsid w:val="64A38869"/>
    <w:rsid w:val="64A6663F"/>
    <w:rsid w:val="64B1481A"/>
    <w:rsid w:val="64BB2F7D"/>
    <w:rsid w:val="64C07721"/>
    <w:rsid w:val="64CEE573"/>
    <w:rsid w:val="64CF03FE"/>
    <w:rsid w:val="64D0DE0E"/>
    <w:rsid w:val="64E06273"/>
    <w:rsid w:val="64E07CE2"/>
    <w:rsid w:val="64E4FCAC"/>
    <w:rsid w:val="64ECDF1E"/>
    <w:rsid w:val="650004B2"/>
    <w:rsid w:val="65085D97"/>
    <w:rsid w:val="650AEECE"/>
    <w:rsid w:val="6514B77C"/>
    <w:rsid w:val="6518F759"/>
    <w:rsid w:val="6538B6A5"/>
    <w:rsid w:val="65472F01"/>
    <w:rsid w:val="654EEB49"/>
    <w:rsid w:val="6552175C"/>
    <w:rsid w:val="656BC95D"/>
    <w:rsid w:val="656E2594"/>
    <w:rsid w:val="657B3BD1"/>
    <w:rsid w:val="6580F607"/>
    <w:rsid w:val="65832D42"/>
    <w:rsid w:val="65865330"/>
    <w:rsid w:val="65A2238B"/>
    <w:rsid w:val="65AF58EA"/>
    <w:rsid w:val="65B9148F"/>
    <w:rsid w:val="65C51FC0"/>
    <w:rsid w:val="65C7189E"/>
    <w:rsid w:val="65D0BE82"/>
    <w:rsid w:val="65D1968A"/>
    <w:rsid w:val="65D2265A"/>
    <w:rsid w:val="65EAFAA5"/>
    <w:rsid w:val="65F445EE"/>
    <w:rsid w:val="660028BE"/>
    <w:rsid w:val="6600DCD0"/>
    <w:rsid w:val="6610D8DA"/>
    <w:rsid w:val="661B621D"/>
    <w:rsid w:val="661D7A24"/>
    <w:rsid w:val="6631DB8A"/>
    <w:rsid w:val="66364D7C"/>
    <w:rsid w:val="663E37E1"/>
    <w:rsid w:val="664BF608"/>
    <w:rsid w:val="666B8612"/>
    <w:rsid w:val="6670E11E"/>
    <w:rsid w:val="6672B1B7"/>
    <w:rsid w:val="66835E30"/>
    <w:rsid w:val="6687ED59"/>
    <w:rsid w:val="66AA93AF"/>
    <w:rsid w:val="66AF6AB9"/>
    <w:rsid w:val="66C61A08"/>
    <w:rsid w:val="66D67B99"/>
    <w:rsid w:val="66DB231F"/>
    <w:rsid w:val="66E0285B"/>
    <w:rsid w:val="66E60BAA"/>
    <w:rsid w:val="66E7E906"/>
    <w:rsid w:val="66EAF021"/>
    <w:rsid w:val="66EDF130"/>
    <w:rsid w:val="66FA9351"/>
    <w:rsid w:val="6737ADBA"/>
    <w:rsid w:val="6745837F"/>
    <w:rsid w:val="674FB0A8"/>
    <w:rsid w:val="6758B651"/>
    <w:rsid w:val="6765F819"/>
    <w:rsid w:val="676DF4DA"/>
    <w:rsid w:val="6780B0B4"/>
    <w:rsid w:val="6784AA28"/>
    <w:rsid w:val="6787B6B2"/>
    <w:rsid w:val="678849E5"/>
    <w:rsid w:val="67AD5771"/>
    <w:rsid w:val="67B37675"/>
    <w:rsid w:val="67CA0F06"/>
    <w:rsid w:val="67D6B626"/>
    <w:rsid w:val="67D774DF"/>
    <w:rsid w:val="67E748B6"/>
    <w:rsid w:val="67E7BF90"/>
    <w:rsid w:val="67F2D03F"/>
    <w:rsid w:val="67F8CA6B"/>
    <w:rsid w:val="680F8C95"/>
    <w:rsid w:val="68132576"/>
    <w:rsid w:val="68190AE0"/>
    <w:rsid w:val="68199B13"/>
    <w:rsid w:val="68275927"/>
    <w:rsid w:val="68287A3E"/>
    <w:rsid w:val="682C4540"/>
    <w:rsid w:val="68355994"/>
    <w:rsid w:val="68420F57"/>
    <w:rsid w:val="68431152"/>
    <w:rsid w:val="6846E1C2"/>
    <w:rsid w:val="684F71B0"/>
    <w:rsid w:val="68629C15"/>
    <w:rsid w:val="686D3976"/>
    <w:rsid w:val="687B55A4"/>
    <w:rsid w:val="68812538"/>
    <w:rsid w:val="6892057F"/>
    <w:rsid w:val="689B9BE0"/>
    <w:rsid w:val="68B2923E"/>
    <w:rsid w:val="68B71E2A"/>
    <w:rsid w:val="68BBA940"/>
    <w:rsid w:val="68C26ED7"/>
    <w:rsid w:val="68C665C4"/>
    <w:rsid w:val="68D7B268"/>
    <w:rsid w:val="68DE92E7"/>
    <w:rsid w:val="68E6B029"/>
    <w:rsid w:val="68EA62EE"/>
    <w:rsid w:val="68F1DEB5"/>
    <w:rsid w:val="68F21D55"/>
    <w:rsid w:val="68F2F511"/>
    <w:rsid w:val="690503B8"/>
    <w:rsid w:val="6911043D"/>
    <w:rsid w:val="6920D4BF"/>
    <w:rsid w:val="6945C65C"/>
    <w:rsid w:val="69795175"/>
    <w:rsid w:val="69925053"/>
    <w:rsid w:val="69B24B68"/>
    <w:rsid w:val="69CB394C"/>
    <w:rsid w:val="69D1B8A1"/>
    <w:rsid w:val="69D201E2"/>
    <w:rsid w:val="69D3FBDC"/>
    <w:rsid w:val="69D664AF"/>
    <w:rsid w:val="69E5ECA2"/>
    <w:rsid w:val="69F1EE96"/>
    <w:rsid w:val="69F94A75"/>
    <w:rsid w:val="6A103FC1"/>
    <w:rsid w:val="6A249917"/>
    <w:rsid w:val="6A269DAE"/>
    <w:rsid w:val="6A30C3F2"/>
    <w:rsid w:val="6A40E8B1"/>
    <w:rsid w:val="6A488EC7"/>
    <w:rsid w:val="6A54F459"/>
    <w:rsid w:val="6A558B16"/>
    <w:rsid w:val="6A5BF138"/>
    <w:rsid w:val="6A5CEAC7"/>
    <w:rsid w:val="6A769193"/>
    <w:rsid w:val="6A82CA5F"/>
    <w:rsid w:val="6A8D6DF0"/>
    <w:rsid w:val="6AA8FAE9"/>
    <w:rsid w:val="6AB1EA1A"/>
    <w:rsid w:val="6AB46956"/>
    <w:rsid w:val="6AB51935"/>
    <w:rsid w:val="6AB7C63D"/>
    <w:rsid w:val="6ABD53A6"/>
    <w:rsid w:val="6ACD9AF0"/>
    <w:rsid w:val="6ADA8755"/>
    <w:rsid w:val="6AE11A98"/>
    <w:rsid w:val="6AE78ACC"/>
    <w:rsid w:val="6AEFBE26"/>
    <w:rsid w:val="6AFDAA6C"/>
    <w:rsid w:val="6B00ABC3"/>
    <w:rsid w:val="6B041A29"/>
    <w:rsid w:val="6B0606FE"/>
    <w:rsid w:val="6B0A857A"/>
    <w:rsid w:val="6B284998"/>
    <w:rsid w:val="6B2B39ED"/>
    <w:rsid w:val="6B2E9EE6"/>
    <w:rsid w:val="6B32835C"/>
    <w:rsid w:val="6B34D019"/>
    <w:rsid w:val="6B5AC26B"/>
    <w:rsid w:val="6B6B320D"/>
    <w:rsid w:val="6B928348"/>
    <w:rsid w:val="6B93596B"/>
    <w:rsid w:val="6B9C1ABE"/>
    <w:rsid w:val="6BA0064D"/>
    <w:rsid w:val="6BB073E6"/>
    <w:rsid w:val="6BC58BAB"/>
    <w:rsid w:val="6BD75FC1"/>
    <w:rsid w:val="6BE289A6"/>
    <w:rsid w:val="6BE844D4"/>
    <w:rsid w:val="6BF318E8"/>
    <w:rsid w:val="6C0069C5"/>
    <w:rsid w:val="6C00C8C3"/>
    <w:rsid w:val="6C0501DF"/>
    <w:rsid w:val="6C075F39"/>
    <w:rsid w:val="6C0A1F72"/>
    <w:rsid w:val="6C14F1BB"/>
    <w:rsid w:val="6C18F4A2"/>
    <w:rsid w:val="6C288771"/>
    <w:rsid w:val="6C299D9F"/>
    <w:rsid w:val="6C2D1E12"/>
    <w:rsid w:val="6C427033"/>
    <w:rsid w:val="6C52542F"/>
    <w:rsid w:val="6C57FC20"/>
    <w:rsid w:val="6C771161"/>
    <w:rsid w:val="6C7CEAF9"/>
    <w:rsid w:val="6C804C3C"/>
    <w:rsid w:val="6C8CB4A4"/>
    <w:rsid w:val="6C944D01"/>
    <w:rsid w:val="6C9FDC42"/>
    <w:rsid w:val="6CC29588"/>
    <w:rsid w:val="6CC63E79"/>
    <w:rsid w:val="6CD5ACB8"/>
    <w:rsid w:val="6CD85502"/>
    <w:rsid w:val="6CF4FC59"/>
    <w:rsid w:val="6CF75B33"/>
    <w:rsid w:val="6CF9A720"/>
    <w:rsid w:val="6D134FD5"/>
    <w:rsid w:val="6D279A60"/>
    <w:rsid w:val="6D351D76"/>
    <w:rsid w:val="6D3D5179"/>
    <w:rsid w:val="6D4680B5"/>
    <w:rsid w:val="6D47A2F4"/>
    <w:rsid w:val="6D483D20"/>
    <w:rsid w:val="6D4C7CBC"/>
    <w:rsid w:val="6D6F4AFB"/>
    <w:rsid w:val="6D78E7F3"/>
    <w:rsid w:val="6D78E9BC"/>
    <w:rsid w:val="6D7C2DB5"/>
    <w:rsid w:val="6D831869"/>
    <w:rsid w:val="6D877DC2"/>
    <w:rsid w:val="6D88A992"/>
    <w:rsid w:val="6D8A879E"/>
    <w:rsid w:val="6D8E9271"/>
    <w:rsid w:val="6D95A948"/>
    <w:rsid w:val="6D9B89BB"/>
    <w:rsid w:val="6DA87A2A"/>
    <w:rsid w:val="6DAA1001"/>
    <w:rsid w:val="6DC2FE15"/>
    <w:rsid w:val="6DC36F42"/>
    <w:rsid w:val="6DC956CC"/>
    <w:rsid w:val="6DDBA7D7"/>
    <w:rsid w:val="6DEF1C9D"/>
    <w:rsid w:val="6E05EFE2"/>
    <w:rsid w:val="6E088BDD"/>
    <w:rsid w:val="6E18BB5A"/>
    <w:rsid w:val="6E1DC2FD"/>
    <w:rsid w:val="6E25AD09"/>
    <w:rsid w:val="6E3CD624"/>
    <w:rsid w:val="6E423A40"/>
    <w:rsid w:val="6E4B1432"/>
    <w:rsid w:val="6E53BB0D"/>
    <w:rsid w:val="6E6FAFD0"/>
    <w:rsid w:val="6E7E4C86"/>
    <w:rsid w:val="6E842C3D"/>
    <w:rsid w:val="6E875F28"/>
    <w:rsid w:val="6E96FE74"/>
    <w:rsid w:val="6EA0A3C3"/>
    <w:rsid w:val="6EA4D444"/>
    <w:rsid w:val="6EA891FC"/>
    <w:rsid w:val="6EB9F070"/>
    <w:rsid w:val="6EC19DBC"/>
    <w:rsid w:val="6EC783F2"/>
    <w:rsid w:val="6EC8326A"/>
    <w:rsid w:val="6EDA054E"/>
    <w:rsid w:val="6EEB06FD"/>
    <w:rsid w:val="6EEDC8A8"/>
    <w:rsid w:val="6EF3337F"/>
    <w:rsid w:val="6F0509BA"/>
    <w:rsid w:val="6F11B260"/>
    <w:rsid w:val="6F23CEFA"/>
    <w:rsid w:val="6F2CFC28"/>
    <w:rsid w:val="6F3090B9"/>
    <w:rsid w:val="6F374792"/>
    <w:rsid w:val="6F38982E"/>
    <w:rsid w:val="6F43B536"/>
    <w:rsid w:val="6F442466"/>
    <w:rsid w:val="6F5CC282"/>
    <w:rsid w:val="6F610A54"/>
    <w:rsid w:val="6F627C58"/>
    <w:rsid w:val="6F669A03"/>
    <w:rsid w:val="6F6A1960"/>
    <w:rsid w:val="6F6E0727"/>
    <w:rsid w:val="6F6F8E7B"/>
    <w:rsid w:val="6F8A3EDC"/>
    <w:rsid w:val="6FA2EBD0"/>
    <w:rsid w:val="6FA8E8C1"/>
    <w:rsid w:val="6FADD2ED"/>
    <w:rsid w:val="6FCB0C03"/>
    <w:rsid w:val="700AF0BA"/>
    <w:rsid w:val="70132AE4"/>
    <w:rsid w:val="70189413"/>
    <w:rsid w:val="702E47AA"/>
    <w:rsid w:val="7031A689"/>
    <w:rsid w:val="703FCD2E"/>
    <w:rsid w:val="70412F0D"/>
    <w:rsid w:val="704241C1"/>
    <w:rsid w:val="705C2DF8"/>
    <w:rsid w:val="7066F788"/>
    <w:rsid w:val="706B2543"/>
    <w:rsid w:val="706B98A7"/>
    <w:rsid w:val="7074F23B"/>
    <w:rsid w:val="70935333"/>
    <w:rsid w:val="709A7CB5"/>
    <w:rsid w:val="70BD00D1"/>
    <w:rsid w:val="70CD7C7C"/>
    <w:rsid w:val="70CF7AB2"/>
    <w:rsid w:val="710C37C9"/>
    <w:rsid w:val="7116A1CF"/>
    <w:rsid w:val="711FABC2"/>
    <w:rsid w:val="71268A0F"/>
    <w:rsid w:val="713DB20C"/>
    <w:rsid w:val="71485E4C"/>
    <w:rsid w:val="71509795"/>
    <w:rsid w:val="7179AED6"/>
    <w:rsid w:val="71808A28"/>
    <w:rsid w:val="7191B10B"/>
    <w:rsid w:val="719698E2"/>
    <w:rsid w:val="71B0A7DA"/>
    <w:rsid w:val="71B246B7"/>
    <w:rsid w:val="71C329B5"/>
    <w:rsid w:val="71CF7911"/>
    <w:rsid w:val="71E6D1D1"/>
    <w:rsid w:val="7211576D"/>
    <w:rsid w:val="721E0C92"/>
    <w:rsid w:val="72294DB9"/>
    <w:rsid w:val="7232D8E8"/>
    <w:rsid w:val="723C21C5"/>
    <w:rsid w:val="724687F4"/>
    <w:rsid w:val="7252F6B0"/>
    <w:rsid w:val="72750D0D"/>
    <w:rsid w:val="727619C9"/>
    <w:rsid w:val="72987FD5"/>
    <w:rsid w:val="729931BF"/>
    <w:rsid w:val="72A6EA73"/>
    <w:rsid w:val="72ABEE0D"/>
    <w:rsid w:val="72AF93B9"/>
    <w:rsid w:val="72C02B1A"/>
    <w:rsid w:val="72CB169F"/>
    <w:rsid w:val="72D05B34"/>
    <w:rsid w:val="730C1D06"/>
    <w:rsid w:val="7327B874"/>
    <w:rsid w:val="73478531"/>
    <w:rsid w:val="7357E4B0"/>
    <w:rsid w:val="736A2B75"/>
    <w:rsid w:val="73718A98"/>
    <w:rsid w:val="7371B20F"/>
    <w:rsid w:val="738147C2"/>
    <w:rsid w:val="738A4EEC"/>
    <w:rsid w:val="73970C76"/>
    <w:rsid w:val="73AE522F"/>
    <w:rsid w:val="73B3EE0D"/>
    <w:rsid w:val="73BD3862"/>
    <w:rsid w:val="73BD5E1A"/>
    <w:rsid w:val="73C04F6E"/>
    <w:rsid w:val="73C592CD"/>
    <w:rsid w:val="73E9D65F"/>
    <w:rsid w:val="73F0E105"/>
    <w:rsid w:val="73FE60A3"/>
    <w:rsid w:val="73FF1F1B"/>
    <w:rsid w:val="74026D1C"/>
    <w:rsid w:val="74161ACE"/>
    <w:rsid w:val="743136D9"/>
    <w:rsid w:val="7440737F"/>
    <w:rsid w:val="744900B7"/>
    <w:rsid w:val="7455962A"/>
    <w:rsid w:val="747FAEF2"/>
    <w:rsid w:val="747FC5D1"/>
    <w:rsid w:val="7494510C"/>
    <w:rsid w:val="74964397"/>
    <w:rsid w:val="74A1C772"/>
    <w:rsid w:val="74AC8E69"/>
    <w:rsid w:val="74B67744"/>
    <w:rsid w:val="74C43065"/>
    <w:rsid w:val="74CE9443"/>
    <w:rsid w:val="74DAD11F"/>
    <w:rsid w:val="74DFA6C5"/>
    <w:rsid w:val="74E1D134"/>
    <w:rsid w:val="74E7AEF9"/>
    <w:rsid w:val="74E7C98C"/>
    <w:rsid w:val="74F47A19"/>
    <w:rsid w:val="74F83405"/>
    <w:rsid w:val="74F99604"/>
    <w:rsid w:val="74FE229E"/>
    <w:rsid w:val="74FF4A8A"/>
    <w:rsid w:val="750A704D"/>
    <w:rsid w:val="7522CF67"/>
    <w:rsid w:val="752A8FDB"/>
    <w:rsid w:val="7532DCD7"/>
    <w:rsid w:val="7538BFE7"/>
    <w:rsid w:val="75487689"/>
    <w:rsid w:val="754D94D8"/>
    <w:rsid w:val="755F2CBB"/>
    <w:rsid w:val="756B1BEA"/>
    <w:rsid w:val="756CEF1C"/>
    <w:rsid w:val="756E664C"/>
    <w:rsid w:val="758B9312"/>
    <w:rsid w:val="759482CF"/>
    <w:rsid w:val="75A779D2"/>
    <w:rsid w:val="75B8573D"/>
    <w:rsid w:val="75C9441F"/>
    <w:rsid w:val="75CA3CF8"/>
    <w:rsid w:val="75CFCED1"/>
    <w:rsid w:val="75F6E387"/>
    <w:rsid w:val="75FF0E07"/>
    <w:rsid w:val="760289BC"/>
    <w:rsid w:val="7602FE84"/>
    <w:rsid w:val="760CADC2"/>
    <w:rsid w:val="760F1726"/>
    <w:rsid w:val="76147AF6"/>
    <w:rsid w:val="761ABADE"/>
    <w:rsid w:val="761B9E33"/>
    <w:rsid w:val="762CBA5F"/>
    <w:rsid w:val="7636E77F"/>
    <w:rsid w:val="765CA8C3"/>
    <w:rsid w:val="766A34A2"/>
    <w:rsid w:val="766C6954"/>
    <w:rsid w:val="767EE4DF"/>
    <w:rsid w:val="7694970F"/>
    <w:rsid w:val="7697C773"/>
    <w:rsid w:val="769B6DFC"/>
    <w:rsid w:val="76B818ED"/>
    <w:rsid w:val="76BF780A"/>
    <w:rsid w:val="76C9EC11"/>
    <w:rsid w:val="76D8B9C5"/>
    <w:rsid w:val="76DE52BC"/>
    <w:rsid w:val="76E09CFF"/>
    <w:rsid w:val="76EE66C4"/>
    <w:rsid w:val="770B5F4C"/>
    <w:rsid w:val="770F92E8"/>
    <w:rsid w:val="770FB446"/>
    <w:rsid w:val="771E6A2D"/>
    <w:rsid w:val="7734C166"/>
    <w:rsid w:val="77651480"/>
    <w:rsid w:val="776B60C9"/>
    <w:rsid w:val="77774F4C"/>
    <w:rsid w:val="777E5DC6"/>
    <w:rsid w:val="7784F305"/>
    <w:rsid w:val="779ED8AA"/>
    <w:rsid w:val="77A7B935"/>
    <w:rsid w:val="77D005F4"/>
    <w:rsid w:val="77D572A0"/>
    <w:rsid w:val="77DDCC90"/>
    <w:rsid w:val="77E9247F"/>
    <w:rsid w:val="77EF0806"/>
    <w:rsid w:val="77F0F35C"/>
    <w:rsid w:val="7802DAE2"/>
    <w:rsid w:val="780516BB"/>
    <w:rsid w:val="7821604F"/>
    <w:rsid w:val="7825A7DE"/>
    <w:rsid w:val="7825EB70"/>
    <w:rsid w:val="784B2FD8"/>
    <w:rsid w:val="7850BBB1"/>
    <w:rsid w:val="785D2633"/>
    <w:rsid w:val="7860713F"/>
    <w:rsid w:val="787D25E1"/>
    <w:rsid w:val="787FF8C5"/>
    <w:rsid w:val="78860194"/>
    <w:rsid w:val="78ABA914"/>
    <w:rsid w:val="78CAEE0D"/>
    <w:rsid w:val="78CECEA2"/>
    <w:rsid w:val="78D788AE"/>
    <w:rsid w:val="78DBC58C"/>
    <w:rsid w:val="78DD975D"/>
    <w:rsid w:val="78E84EB0"/>
    <w:rsid w:val="78F2CF3B"/>
    <w:rsid w:val="79090ADF"/>
    <w:rsid w:val="791134CA"/>
    <w:rsid w:val="79150021"/>
    <w:rsid w:val="791974A1"/>
    <w:rsid w:val="791A5635"/>
    <w:rsid w:val="79471F61"/>
    <w:rsid w:val="794C35EF"/>
    <w:rsid w:val="794E603A"/>
    <w:rsid w:val="794E99D2"/>
    <w:rsid w:val="79561C87"/>
    <w:rsid w:val="795B98D7"/>
    <w:rsid w:val="798BB658"/>
    <w:rsid w:val="7995DA1B"/>
    <w:rsid w:val="79C05C11"/>
    <w:rsid w:val="79CC6CCE"/>
    <w:rsid w:val="79CCA1C8"/>
    <w:rsid w:val="79D56FF0"/>
    <w:rsid w:val="79DBF19D"/>
    <w:rsid w:val="79E98E4B"/>
    <w:rsid w:val="7A00E21B"/>
    <w:rsid w:val="7A0388D3"/>
    <w:rsid w:val="7A22256A"/>
    <w:rsid w:val="7A400FE5"/>
    <w:rsid w:val="7A4A74D6"/>
    <w:rsid w:val="7A5085DF"/>
    <w:rsid w:val="7A6AED4E"/>
    <w:rsid w:val="7A786A3D"/>
    <w:rsid w:val="7A7C59D1"/>
    <w:rsid w:val="7A7FE189"/>
    <w:rsid w:val="7A94F8CB"/>
    <w:rsid w:val="7A9D8B19"/>
    <w:rsid w:val="7AA15CED"/>
    <w:rsid w:val="7AA45B4E"/>
    <w:rsid w:val="7AA49102"/>
    <w:rsid w:val="7AB3AAAD"/>
    <w:rsid w:val="7AB622EE"/>
    <w:rsid w:val="7ACE6C6C"/>
    <w:rsid w:val="7ADE1605"/>
    <w:rsid w:val="7AE483EB"/>
    <w:rsid w:val="7AE91132"/>
    <w:rsid w:val="7AF53CEF"/>
    <w:rsid w:val="7AF7930C"/>
    <w:rsid w:val="7AFA740C"/>
    <w:rsid w:val="7B141804"/>
    <w:rsid w:val="7B281078"/>
    <w:rsid w:val="7B2D06EB"/>
    <w:rsid w:val="7B3952CA"/>
    <w:rsid w:val="7B41B9A7"/>
    <w:rsid w:val="7B43C746"/>
    <w:rsid w:val="7B52D4FE"/>
    <w:rsid w:val="7B53A597"/>
    <w:rsid w:val="7B79088D"/>
    <w:rsid w:val="7B82B0D0"/>
    <w:rsid w:val="7B8EE1FC"/>
    <w:rsid w:val="7B93BE2D"/>
    <w:rsid w:val="7BA130A0"/>
    <w:rsid w:val="7BBCDE35"/>
    <w:rsid w:val="7BCFEA6C"/>
    <w:rsid w:val="7BD57081"/>
    <w:rsid w:val="7BD7EED1"/>
    <w:rsid w:val="7BEEF43D"/>
    <w:rsid w:val="7BF2C2F2"/>
    <w:rsid w:val="7C04CC2F"/>
    <w:rsid w:val="7C0D61E4"/>
    <w:rsid w:val="7C1306BD"/>
    <w:rsid w:val="7C1E87E2"/>
    <w:rsid w:val="7C3A2379"/>
    <w:rsid w:val="7C4F7B0E"/>
    <w:rsid w:val="7C516F9C"/>
    <w:rsid w:val="7C5691AE"/>
    <w:rsid w:val="7C68D80F"/>
    <w:rsid w:val="7C7048A8"/>
    <w:rsid w:val="7C7A49B8"/>
    <w:rsid w:val="7C98BE74"/>
    <w:rsid w:val="7CA19ADD"/>
    <w:rsid w:val="7CB1A916"/>
    <w:rsid w:val="7CCBA42F"/>
    <w:rsid w:val="7CD0182C"/>
    <w:rsid w:val="7CD154F0"/>
    <w:rsid w:val="7CD57AE8"/>
    <w:rsid w:val="7CD6B1E2"/>
    <w:rsid w:val="7D15B19E"/>
    <w:rsid w:val="7D3A49AE"/>
    <w:rsid w:val="7D418173"/>
    <w:rsid w:val="7D4CF034"/>
    <w:rsid w:val="7D7E8928"/>
    <w:rsid w:val="7D8A0864"/>
    <w:rsid w:val="7D92BABD"/>
    <w:rsid w:val="7DB33F44"/>
    <w:rsid w:val="7DC08C04"/>
    <w:rsid w:val="7DC53AE7"/>
    <w:rsid w:val="7DCF48E7"/>
    <w:rsid w:val="7DD20629"/>
    <w:rsid w:val="7DDB2B04"/>
    <w:rsid w:val="7DEECB2D"/>
    <w:rsid w:val="7DF2523A"/>
    <w:rsid w:val="7E003666"/>
    <w:rsid w:val="7E05D21E"/>
    <w:rsid w:val="7E0A5554"/>
    <w:rsid w:val="7E0AA9EF"/>
    <w:rsid w:val="7E0DF565"/>
    <w:rsid w:val="7E0E1DB9"/>
    <w:rsid w:val="7E2120DE"/>
    <w:rsid w:val="7E29847D"/>
    <w:rsid w:val="7E4B8EC4"/>
    <w:rsid w:val="7E509C97"/>
    <w:rsid w:val="7E5656B0"/>
    <w:rsid w:val="7E76540C"/>
    <w:rsid w:val="7E7A7119"/>
    <w:rsid w:val="7E96F773"/>
    <w:rsid w:val="7EAE2182"/>
    <w:rsid w:val="7EC78A72"/>
    <w:rsid w:val="7EF7332A"/>
    <w:rsid w:val="7F140923"/>
    <w:rsid w:val="7F259406"/>
    <w:rsid w:val="7F25DDFD"/>
    <w:rsid w:val="7F29A74F"/>
    <w:rsid w:val="7F458D87"/>
    <w:rsid w:val="7F49E9B2"/>
    <w:rsid w:val="7F5495DE"/>
    <w:rsid w:val="7F5F1C81"/>
    <w:rsid w:val="7F68ACEA"/>
    <w:rsid w:val="7F733E5C"/>
    <w:rsid w:val="7F7468A4"/>
    <w:rsid w:val="7F8548FB"/>
    <w:rsid w:val="7F8AED79"/>
    <w:rsid w:val="7FA1F751"/>
    <w:rsid w:val="7FAC5822"/>
    <w:rsid w:val="7FACD133"/>
    <w:rsid w:val="7FB9ECAA"/>
    <w:rsid w:val="7FD56067"/>
    <w:rsid w:val="7FD6B2BF"/>
    <w:rsid w:val="7FFCC7EF"/>
    <w:rsid w:val="7FFCE0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56B15B"/>
  <w15:docId w15:val="{82D54F0B-0D8B-4F81-B724-D4B78CA98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C1F"/>
  </w:style>
  <w:style w:type="paragraph" w:styleId="Heading1">
    <w:name w:val="heading 1"/>
    <w:basedOn w:val="Normal"/>
    <w:next w:val="Text1"/>
    <w:link w:val="Heading1Char"/>
    <w:uiPriority w:val="9"/>
    <w:qFormat/>
    <w:pPr>
      <w:keepNext/>
      <w:spacing w:before="360" w:after="360" w:line="240" w:lineRule="auto"/>
      <w:jc w:val="center"/>
      <w:outlineLvl w:val="0"/>
    </w:pPr>
    <w:rPr>
      <w:rFonts w:ascii="Symbol" w:hAnsi="Symbol" w:cs="Symbol"/>
      <w:b/>
      <w:smallCaps/>
      <w:sz w:val="28"/>
    </w:rPr>
  </w:style>
  <w:style w:type="paragraph" w:styleId="Heading2">
    <w:name w:val="heading 2"/>
    <w:basedOn w:val="Normal"/>
    <w:next w:val="Text1"/>
    <w:link w:val="Heading2Char"/>
    <w:uiPriority w:val="9"/>
    <w:unhideWhenUsed/>
    <w:qFormat/>
    <w:pPr>
      <w:keepNext/>
      <w:numPr>
        <w:ilvl w:val="1"/>
        <w:numId w:val="51"/>
      </w:numPr>
      <w:spacing w:before="120" w:after="120" w:line="240" w:lineRule="auto"/>
      <w:jc w:val="both"/>
      <w:outlineLvl w:val="1"/>
    </w:pPr>
    <w:rPr>
      <w:rFonts w:ascii="Symbol" w:eastAsiaTheme="majorEastAsia" w:hAnsi="Symbol" w:cs="Symbol"/>
      <w:b/>
      <w:sz w:val="24"/>
    </w:rPr>
  </w:style>
  <w:style w:type="paragraph" w:styleId="Heading3">
    <w:name w:val="heading 3"/>
    <w:basedOn w:val="Normal"/>
    <w:next w:val="Text1"/>
    <w:link w:val="Heading3Char"/>
    <w:uiPriority w:val="9"/>
    <w:unhideWhenUsed/>
    <w:qFormat/>
    <w:pPr>
      <w:keepNext/>
      <w:numPr>
        <w:ilvl w:val="2"/>
        <w:numId w:val="51"/>
      </w:numPr>
      <w:spacing w:before="120" w:after="120" w:line="240" w:lineRule="auto"/>
      <w:jc w:val="both"/>
      <w:outlineLvl w:val="2"/>
    </w:pPr>
    <w:rPr>
      <w:rFonts w:ascii="Symbol" w:eastAsiaTheme="majorEastAsia" w:hAnsi="Symbol" w:cs="Symbol"/>
      <w:i/>
      <w:sz w:val="24"/>
    </w:rPr>
  </w:style>
  <w:style w:type="paragraph" w:styleId="Heading4">
    <w:name w:val="heading 4"/>
    <w:basedOn w:val="Normal"/>
    <w:next w:val="Text1"/>
    <w:link w:val="Heading4Char"/>
    <w:uiPriority w:val="9"/>
    <w:unhideWhenUsed/>
    <w:qFormat/>
    <w:pPr>
      <w:keepNext/>
      <w:numPr>
        <w:ilvl w:val="3"/>
        <w:numId w:val="51"/>
      </w:numPr>
      <w:spacing w:before="120" w:after="120" w:line="240" w:lineRule="auto"/>
      <w:jc w:val="both"/>
      <w:outlineLvl w:val="3"/>
    </w:pPr>
    <w:rPr>
      <w:rFonts w:ascii="Symbol" w:eastAsiaTheme="majorEastAsia" w:hAnsi="Symbol" w:cs="Symbo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Symbol" w:hAnsi="Symbol" w:cs="Symbol"/>
      <w:b/>
      <w:smallCaps/>
      <w:sz w:val="28"/>
    </w:rPr>
  </w:style>
  <w:style w:type="character" w:customStyle="1" w:styleId="Heading2Char">
    <w:name w:val="Heading 2 Char"/>
    <w:basedOn w:val="DefaultParagraphFont"/>
    <w:link w:val="Heading2"/>
    <w:uiPriority w:val="9"/>
    <w:rPr>
      <w:rFonts w:ascii="Symbol" w:eastAsiaTheme="majorEastAsia" w:hAnsi="Symbol" w:cs="Symbol"/>
      <w:b/>
      <w:sz w:val="24"/>
    </w:rPr>
  </w:style>
  <w:style w:type="character" w:customStyle="1" w:styleId="Heading3Char">
    <w:name w:val="Heading 3 Char"/>
    <w:basedOn w:val="DefaultParagraphFont"/>
    <w:link w:val="Heading3"/>
    <w:uiPriority w:val="9"/>
    <w:rPr>
      <w:rFonts w:ascii="Symbol" w:eastAsiaTheme="majorEastAsia" w:hAnsi="Symbol" w:cs="Symbol"/>
      <w:i/>
      <w:sz w:val="24"/>
    </w:rPr>
  </w:style>
  <w:style w:type="character" w:customStyle="1" w:styleId="Heading4Char">
    <w:name w:val="Heading 4 Char"/>
    <w:basedOn w:val="DefaultParagraphFont"/>
    <w:link w:val="Heading4"/>
    <w:uiPriority w:val="9"/>
    <w:rPr>
      <w:rFonts w:ascii="Symbol" w:eastAsiaTheme="majorEastAsia" w:hAnsi="Symbol" w:cs="Symbol"/>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Symbol" w:hAnsi="Symbol" w:cs="Symbol"/>
      <w:sz w:val="24"/>
    </w:rPr>
  </w:style>
  <w:style w:type="character" w:customStyle="1" w:styleId="HeaderChar">
    <w:name w:val="Header Char"/>
    <w:basedOn w:val="DefaultParagraphFont"/>
    <w:link w:val="Header"/>
    <w:uiPriority w:val="99"/>
    <w:rPr>
      <w:rFonts w:ascii="Symbol" w:hAnsi="Symbol" w:cs="Symbol"/>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Symbol" w:hAnsi="Symbol" w:cs="Symbol"/>
      <w:sz w:val="24"/>
    </w:rPr>
  </w:style>
  <w:style w:type="character" w:customStyle="1" w:styleId="FooterChar">
    <w:name w:val="Footer Char"/>
    <w:basedOn w:val="DefaultParagraphFont"/>
    <w:link w:val="Footer"/>
    <w:uiPriority w:val="99"/>
    <w:rPr>
      <w:rFonts w:ascii="Symbol" w:hAnsi="Symbol" w:cs="Symbol"/>
      <w:sz w:val="24"/>
    </w:rPr>
  </w:style>
  <w:style w:type="paragraph" w:styleId="FootnoteText">
    <w:name w:val="footnote text"/>
    <w:basedOn w:val="Normal"/>
    <w:link w:val="FootnoteTextChar"/>
    <w:uiPriority w:val="99"/>
    <w:unhideWhenUsed/>
    <w:pPr>
      <w:spacing w:after="0" w:line="240" w:lineRule="auto"/>
      <w:ind w:left="720" w:hanging="720"/>
      <w:jc w:val="both"/>
    </w:pPr>
    <w:rPr>
      <w:rFonts w:ascii="Symbol" w:hAnsi="Symbol" w:cs="Symbol"/>
      <w:sz w:val="20"/>
    </w:rPr>
  </w:style>
  <w:style w:type="character" w:customStyle="1" w:styleId="FootnoteTextChar">
    <w:name w:val="Footnote Text Char"/>
    <w:basedOn w:val="DefaultParagraphFont"/>
    <w:link w:val="FootnoteText"/>
    <w:uiPriority w:val="99"/>
    <w:rPr>
      <w:rFonts w:ascii="Symbol" w:hAnsi="Symbol" w:cs="Symbol"/>
      <w:sz w:val="20"/>
    </w:rPr>
  </w:style>
  <w:style w:type="paragraph" w:styleId="TOCHeading">
    <w:name w:val="TOC Heading"/>
    <w:basedOn w:val="Normal"/>
    <w:next w:val="Normal"/>
    <w:uiPriority w:val="39"/>
    <w:semiHidden/>
    <w:unhideWhenUsed/>
    <w:qFormat/>
    <w:pPr>
      <w:spacing w:before="120" w:after="240" w:line="240" w:lineRule="auto"/>
      <w:jc w:val="center"/>
    </w:pPr>
    <w:rPr>
      <w:rFonts w:ascii="Symbol" w:hAnsi="Symbol" w:cs="Symbol"/>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Symbol" w:hAnsi="Symbol" w:cs="Symbol"/>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Symbol" w:hAnsi="Symbol" w:cs="Symbol"/>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Symbol" w:hAnsi="Symbol" w:cs="Symbol"/>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Symbol" w:hAnsi="Symbol" w:cs="Symbol"/>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Symbol" w:hAnsi="Symbol" w:cs="Symbol"/>
      <w:sz w:val="24"/>
    </w:rPr>
  </w:style>
  <w:style w:type="paragraph" w:customStyle="1" w:styleId="HeaderLandscape">
    <w:name w:val="HeaderLandscape"/>
    <w:basedOn w:val="Normal"/>
    <w:pPr>
      <w:tabs>
        <w:tab w:val="center" w:pos="7285"/>
        <w:tab w:val="right" w:pos="14003"/>
      </w:tabs>
      <w:spacing w:after="120" w:line="240" w:lineRule="auto"/>
      <w:jc w:val="both"/>
    </w:pPr>
    <w:rPr>
      <w:rFonts w:ascii="Symbol" w:hAnsi="Symbol" w:cs="Symbol"/>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Symbol" w:hAnsi="Symbol" w:cs="Symbol"/>
      <w:sz w:val="24"/>
    </w:rPr>
  </w:style>
  <w:style w:type="character" w:styleId="FootnoteReference">
    <w:name w:val="footnote reference"/>
    <w:basedOn w:val="DefaultParagraphFont"/>
    <w:uiPriority w:val="99"/>
    <w:unhideWhenUsed/>
    <w:rPr>
      <w:shd w:val="clear" w:color="auto" w:fill="auto"/>
      <w:vertAlign w:val="superscrip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pPr>
      <w:spacing w:before="120" w:after="120" w:line="240" w:lineRule="auto"/>
      <w:ind w:left="850"/>
      <w:jc w:val="both"/>
    </w:pPr>
    <w:rPr>
      <w:rFonts w:ascii="Symbol" w:hAnsi="Symbol" w:cs="Symbol"/>
      <w:sz w:val="24"/>
    </w:rPr>
  </w:style>
  <w:style w:type="paragraph" w:customStyle="1" w:styleId="Text2">
    <w:name w:val="Text 2"/>
    <w:basedOn w:val="Normal"/>
    <w:pPr>
      <w:spacing w:before="120" w:after="120" w:line="240" w:lineRule="auto"/>
      <w:ind w:left="1417"/>
      <w:jc w:val="both"/>
    </w:pPr>
    <w:rPr>
      <w:rFonts w:ascii="Symbol" w:hAnsi="Symbol" w:cs="Symbol"/>
      <w:sz w:val="24"/>
    </w:rPr>
  </w:style>
  <w:style w:type="paragraph" w:customStyle="1" w:styleId="Text3">
    <w:name w:val="Text 3"/>
    <w:basedOn w:val="Normal"/>
    <w:pPr>
      <w:spacing w:before="120" w:after="120" w:line="240" w:lineRule="auto"/>
      <w:ind w:left="1984"/>
      <w:jc w:val="both"/>
    </w:pPr>
    <w:rPr>
      <w:rFonts w:ascii="Symbol" w:hAnsi="Symbol" w:cs="Symbol"/>
      <w:sz w:val="24"/>
    </w:rPr>
  </w:style>
  <w:style w:type="paragraph" w:customStyle="1" w:styleId="Text4">
    <w:name w:val="Text 4"/>
    <w:basedOn w:val="Normal"/>
    <w:pPr>
      <w:spacing w:before="120" w:after="120" w:line="240" w:lineRule="auto"/>
      <w:ind w:left="2551"/>
      <w:jc w:val="both"/>
    </w:pPr>
    <w:rPr>
      <w:rFonts w:ascii="Symbol" w:hAnsi="Symbol" w:cs="Symbol"/>
      <w:sz w:val="24"/>
    </w:rPr>
  </w:style>
  <w:style w:type="paragraph" w:customStyle="1" w:styleId="NormalCentered">
    <w:name w:val="Normal Centered"/>
    <w:basedOn w:val="Normal"/>
    <w:pPr>
      <w:spacing w:before="120" w:after="120" w:line="240" w:lineRule="auto"/>
      <w:jc w:val="center"/>
    </w:pPr>
    <w:rPr>
      <w:rFonts w:ascii="Symbol" w:hAnsi="Symbol" w:cs="Symbol"/>
      <w:sz w:val="24"/>
    </w:rPr>
  </w:style>
  <w:style w:type="paragraph" w:customStyle="1" w:styleId="NormalLeft">
    <w:name w:val="Normal Left"/>
    <w:basedOn w:val="Normal"/>
    <w:pPr>
      <w:spacing w:before="120" w:after="120" w:line="240" w:lineRule="auto"/>
    </w:pPr>
    <w:rPr>
      <w:rFonts w:ascii="Symbol" w:hAnsi="Symbol" w:cs="Symbol"/>
      <w:sz w:val="24"/>
    </w:rPr>
  </w:style>
  <w:style w:type="paragraph" w:customStyle="1" w:styleId="NormalRight">
    <w:name w:val="Normal Right"/>
    <w:basedOn w:val="Normal"/>
    <w:pPr>
      <w:spacing w:before="120" w:after="120" w:line="240" w:lineRule="auto"/>
      <w:jc w:val="right"/>
    </w:pPr>
    <w:rPr>
      <w:rFonts w:ascii="Symbol" w:hAnsi="Symbol" w:cs="Symbol"/>
      <w:sz w:val="24"/>
    </w:rPr>
  </w:style>
  <w:style w:type="paragraph" w:customStyle="1" w:styleId="QuotedText">
    <w:name w:val="Quoted Text"/>
    <w:basedOn w:val="Normal"/>
    <w:pPr>
      <w:spacing w:before="120" w:after="120" w:line="240" w:lineRule="auto"/>
      <w:ind w:left="1417"/>
      <w:jc w:val="both"/>
    </w:pPr>
    <w:rPr>
      <w:rFonts w:ascii="Symbol" w:hAnsi="Symbol" w:cs="Symbol"/>
      <w:sz w:val="24"/>
    </w:rPr>
  </w:style>
  <w:style w:type="paragraph" w:customStyle="1" w:styleId="Point0">
    <w:name w:val="Point 0"/>
    <w:basedOn w:val="Normal"/>
    <w:pPr>
      <w:spacing w:before="120" w:after="120" w:line="240" w:lineRule="auto"/>
      <w:ind w:left="850" w:hanging="850"/>
      <w:jc w:val="both"/>
    </w:pPr>
    <w:rPr>
      <w:rFonts w:ascii="Symbol" w:hAnsi="Symbol" w:cs="Symbol"/>
      <w:sz w:val="24"/>
    </w:rPr>
  </w:style>
  <w:style w:type="paragraph" w:customStyle="1" w:styleId="Point1">
    <w:name w:val="Point 1"/>
    <w:basedOn w:val="Normal"/>
    <w:pPr>
      <w:spacing w:before="120" w:after="120" w:line="240" w:lineRule="auto"/>
      <w:ind w:left="1417" w:hanging="567"/>
      <w:jc w:val="both"/>
    </w:pPr>
    <w:rPr>
      <w:rFonts w:ascii="Symbol" w:hAnsi="Symbol" w:cs="Symbol"/>
      <w:sz w:val="24"/>
    </w:rPr>
  </w:style>
  <w:style w:type="paragraph" w:customStyle="1" w:styleId="Point2">
    <w:name w:val="Point 2"/>
    <w:basedOn w:val="Normal"/>
    <w:pPr>
      <w:spacing w:before="120" w:after="120" w:line="240" w:lineRule="auto"/>
      <w:ind w:left="1984" w:hanging="567"/>
      <w:jc w:val="both"/>
    </w:pPr>
    <w:rPr>
      <w:rFonts w:ascii="Symbol" w:hAnsi="Symbol" w:cs="Symbol"/>
      <w:sz w:val="24"/>
    </w:rPr>
  </w:style>
  <w:style w:type="paragraph" w:customStyle="1" w:styleId="Point3">
    <w:name w:val="Point 3"/>
    <w:basedOn w:val="Normal"/>
    <w:pPr>
      <w:spacing w:before="120" w:after="120" w:line="240" w:lineRule="auto"/>
      <w:ind w:left="2551" w:hanging="567"/>
      <w:jc w:val="both"/>
    </w:pPr>
    <w:rPr>
      <w:rFonts w:ascii="Symbol" w:hAnsi="Symbol" w:cs="Symbol"/>
      <w:sz w:val="24"/>
    </w:rPr>
  </w:style>
  <w:style w:type="paragraph" w:customStyle="1" w:styleId="Point4">
    <w:name w:val="Point 4"/>
    <w:basedOn w:val="Normal"/>
    <w:pPr>
      <w:spacing w:before="120" w:after="120" w:line="240" w:lineRule="auto"/>
      <w:ind w:left="3118" w:hanging="567"/>
      <w:jc w:val="both"/>
    </w:pPr>
    <w:rPr>
      <w:rFonts w:ascii="Symbol" w:hAnsi="Symbol" w:cs="Symbol"/>
      <w:sz w:val="24"/>
    </w:rPr>
  </w:style>
  <w:style w:type="paragraph" w:customStyle="1" w:styleId="Tiret0">
    <w:name w:val="Tiret 0"/>
    <w:basedOn w:val="Point0"/>
    <w:pPr>
      <w:numPr>
        <w:numId w:val="45"/>
      </w:numPr>
    </w:pPr>
  </w:style>
  <w:style w:type="paragraph" w:customStyle="1" w:styleId="Tiret1">
    <w:name w:val="Tiret 1"/>
    <w:basedOn w:val="Point1"/>
    <w:pPr>
      <w:numPr>
        <w:numId w:val="46"/>
      </w:numPr>
    </w:pPr>
  </w:style>
  <w:style w:type="paragraph" w:customStyle="1" w:styleId="Tiret2">
    <w:name w:val="Tiret 2"/>
    <w:basedOn w:val="Point2"/>
    <w:pPr>
      <w:numPr>
        <w:numId w:val="47"/>
      </w:numPr>
    </w:pPr>
  </w:style>
  <w:style w:type="paragraph" w:customStyle="1" w:styleId="Tiret3">
    <w:name w:val="Tiret 3"/>
    <w:basedOn w:val="Point3"/>
    <w:pPr>
      <w:numPr>
        <w:numId w:val="48"/>
      </w:numPr>
    </w:pPr>
  </w:style>
  <w:style w:type="paragraph" w:customStyle="1" w:styleId="Tiret4">
    <w:name w:val="Tiret 4"/>
    <w:basedOn w:val="Point4"/>
    <w:pPr>
      <w:numPr>
        <w:numId w:val="49"/>
      </w:numPr>
    </w:pPr>
  </w:style>
  <w:style w:type="paragraph" w:customStyle="1" w:styleId="PointDouble0">
    <w:name w:val="PointDouble 0"/>
    <w:basedOn w:val="Normal"/>
    <w:pPr>
      <w:tabs>
        <w:tab w:val="left" w:pos="850"/>
      </w:tabs>
      <w:spacing w:before="120" w:after="120" w:line="240" w:lineRule="auto"/>
      <w:ind w:left="1417" w:hanging="1417"/>
      <w:jc w:val="both"/>
    </w:pPr>
    <w:rPr>
      <w:rFonts w:ascii="Symbol" w:hAnsi="Symbol" w:cs="Symbol"/>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Symbol" w:hAnsi="Symbol" w:cs="Symbol"/>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Symbol" w:hAnsi="Symbol" w:cs="Symbol"/>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Symbol" w:hAnsi="Symbol" w:cs="Symbol"/>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Symbol" w:hAnsi="Symbol" w:cs="Symbol"/>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Symbol" w:hAnsi="Symbol" w:cs="Symbol"/>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Symbol" w:hAnsi="Symbol" w:cs="Symbol"/>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Symbol" w:hAnsi="Symbol" w:cs="Symbol"/>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Symbol" w:hAnsi="Symbol" w:cs="Symbol"/>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Symbol" w:hAnsi="Symbol" w:cs="Symbol"/>
      <w:sz w:val="24"/>
    </w:rPr>
  </w:style>
  <w:style w:type="paragraph" w:customStyle="1" w:styleId="NumPar1">
    <w:name w:val="NumPar 1"/>
    <w:basedOn w:val="Normal"/>
    <w:next w:val="Text1"/>
    <w:pPr>
      <w:numPr>
        <w:numId w:val="50"/>
      </w:numPr>
      <w:spacing w:before="120" w:after="120" w:line="240" w:lineRule="auto"/>
      <w:jc w:val="both"/>
    </w:pPr>
    <w:rPr>
      <w:rFonts w:ascii="Segoe UI" w:hAnsi="Segoe UI" w:cs="Segoe UI"/>
      <w:sz w:val="24"/>
    </w:rPr>
  </w:style>
  <w:style w:type="paragraph" w:customStyle="1" w:styleId="NumPar2">
    <w:name w:val="NumPar 2"/>
    <w:basedOn w:val="Normal"/>
    <w:next w:val="Text1"/>
    <w:pPr>
      <w:numPr>
        <w:ilvl w:val="1"/>
        <w:numId w:val="50"/>
      </w:numPr>
      <w:tabs>
        <w:tab w:val="clear" w:pos="6236"/>
        <w:tab w:val="num" w:pos="850"/>
      </w:tabs>
      <w:spacing w:before="120" w:after="120" w:line="240" w:lineRule="auto"/>
      <w:ind w:left="850"/>
      <w:jc w:val="both"/>
    </w:pPr>
    <w:rPr>
      <w:rFonts w:ascii="Symbol" w:hAnsi="Symbol" w:cs="Symbol"/>
      <w:sz w:val="24"/>
    </w:rPr>
  </w:style>
  <w:style w:type="paragraph" w:customStyle="1" w:styleId="NumPar3">
    <w:name w:val="NumPar 3"/>
    <w:basedOn w:val="Normal"/>
    <w:next w:val="Text1"/>
    <w:pPr>
      <w:numPr>
        <w:ilvl w:val="2"/>
        <w:numId w:val="50"/>
      </w:numPr>
      <w:spacing w:before="120" w:after="120" w:line="240" w:lineRule="auto"/>
      <w:jc w:val="both"/>
    </w:pPr>
    <w:rPr>
      <w:rFonts w:ascii="Symbol" w:hAnsi="Symbol" w:cs="Symbol"/>
      <w:sz w:val="24"/>
    </w:rPr>
  </w:style>
  <w:style w:type="paragraph" w:customStyle="1" w:styleId="NumPar4">
    <w:name w:val="NumPar 4"/>
    <w:basedOn w:val="Normal"/>
    <w:next w:val="Text1"/>
    <w:pPr>
      <w:numPr>
        <w:ilvl w:val="3"/>
        <w:numId w:val="50"/>
      </w:numPr>
      <w:spacing w:before="120" w:after="120" w:line="240" w:lineRule="auto"/>
      <w:jc w:val="both"/>
    </w:pPr>
    <w:rPr>
      <w:rFonts w:ascii="Symbol" w:hAnsi="Symbol" w:cs="Symbol"/>
      <w:sz w:val="24"/>
    </w:rPr>
  </w:style>
  <w:style w:type="paragraph" w:customStyle="1" w:styleId="ManualNumPar1">
    <w:name w:val="Manual NumPar 1"/>
    <w:basedOn w:val="Normal"/>
    <w:next w:val="Text1"/>
    <w:pPr>
      <w:spacing w:before="120" w:after="120" w:line="240" w:lineRule="auto"/>
      <w:ind w:left="850" w:hanging="850"/>
      <w:jc w:val="both"/>
    </w:pPr>
    <w:rPr>
      <w:rFonts w:ascii="Symbol" w:hAnsi="Symbol" w:cs="Symbol"/>
      <w:sz w:val="24"/>
    </w:rPr>
  </w:style>
  <w:style w:type="paragraph" w:customStyle="1" w:styleId="ManualNumPar2">
    <w:name w:val="Manual NumPar 2"/>
    <w:basedOn w:val="Normal"/>
    <w:next w:val="Text1"/>
    <w:pPr>
      <w:spacing w:before="120" w:after="120" w:line="240" w:lineRule="auto"/>
      <w:ind w:left="850" w:hanging="850"/>
      <w:jc w:val="both"/>
    </w:pPr>
    <w:rPr>
      <w:rFonts w:ascii="Symbol" w:hAnsi="Symbol" w:cs="Symbol"/>
      <w:sz w:val="24"/>
    </w:rPr>
  </w:style>
  <w:style w:type="paragraph" w:customStyle="1" w:styleId="ManualNumPar3">
    <w:name w:val="Manual NumPar 3"/>
    <w:basedOn w:val="Normal"/>
    <w:next w:val="Text1"/>
    <w:pPr>
      <w:spacing w:before="120" w:after="120" w:line="240" w:lineRule="auto"/>
      <w:ind w:left="850" w:hanging="850"/>
      <w:jc w:val="both"/>
    </w:pPr>
    <w:rPr>
      <w:rFonts w:ascii="Symbol" w:hAnsi="Symbol" w:cs="Symbol"/>
      <w:sz w:val="24"/>
    </w:rPr>
  </w:style>
  <w:style w:type="paragraph" w:customStyle="1" w:styleId="ManualNumPar4">
    <w:name w:val="Manual NumPar 4"/>
    <w:basedOn w:val="Normal"/>
    <w:next w:val="Text1"/>
    <w:pPr>
      <w:spacing w:before="120" w:after="120" w:line="240" w:lineRule="auto"/>
      <w:ind w:left="850" w:hanging="850"/>
      <w:jc w:val="both"/>
    </w:pPr>
    <w:rPr>
      <w:rFonts w:ascii="Symbol" w:hAnsi="Symbol" w:cs="Symbol"/>
      <w:sz w:val="24"/>
    </w:rPr>
  </w:style>
  <w:style w:type="paragraph" w:customStyle="1" w:styleId="QuotedNumPar">
    <w:name w:val="Quoted NumPar"/>
    <w:basedOn w:val="Normal"/>
    <w:pPr>
      <w:spacing w:before="120" w:after="120" w:line="240" w:lineRule="auto"/>
      <w:ind w:left="1417" w:hanging="567"/>
      <w:jc w:val="both"/>
    </w:pPr>
    <w:rPr>
      <w:rFonts w:ascii="Symbol" w:hAnsi="Symbol" w:cs="Symbol"/>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Symbol" w:hAnsi="Symbol" w:cs="Symbol"/>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Symbol" w:hAnsi="Symbol" w:cs="Symbol"/>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Symbol" w:hAnsi="Symbol" w:cs="Symbol"/>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Symbol" w:hAnsi="Symbol" w:cs="Symbol"/>
      <w:sz w:val="24"/>
    </w:rPr>
  </w:style>
  <w:style w:type="paragraph" w:customStyle="1" w:styleId="ChapterTitle">
    <w:name w:val="ChapterTitle"/>
    <w:basedOn w:val="Normal"/>
    <w:next w:val="Normal"/>
    <w:pPr>
      <w:keepNext/>
      <w:spacing w:before="120" w:after="360" w:line="240" w:lineRule="auto"/>
      <w:jc w:val="center"/>
    </w:pPr>
    <w:rPr>
      <w:rFonts w:ascii="Symbol" w:hAnsi="Symbol" w:cs="Symbol"/>
      <w:b/>
      <w:sz w:val="32"/>
    </w:rPr>
  </w:style>
  <w:style w:type="paragraph" w:customStyle="1" w:styleId="PartTitle">
    <w:name w:val="PartTitle"/>
    <w:basedOn w:val="Normal"/>
    <w:next w:val="ChapterTitle"/>
    <w:pPr>
      <w:keepNext/>
      <w:pageBreakBefore/>
      <w:spacing w:before="120" w:after="360" w:line="240" w:lineRule="auto"/>
      <w:jc w:val="center"/>
    </w:pPr>
    <w:rPr>
      <w:rFonts w:ascii="Symbol" w:hAnsi="Symbol" w:cs="Symbol"/>
      <w:b/>
      <w:sz w:val="36"/>
    </w:rPr>
  </w:style>
  <w:style w:type="paragraph" w:customStyle="1" w:styleId="SectionTitle">
    <w:name w:val="SectionTitle"/>
    <w:basedOn w:val="Normal"/>
    <w:next w:val="Heading1"/>
    <w:pPr>
      <w:keepNext/>
      <w:spacing w:before="120" w:after="360" w:line="240" w:lineRule="auto"/>
      <w:jc w:val="center"/>
    </w:pPr>
    <w:rPr>
      <w:rFonts w:ascii="Symbol" w:hAnsi="Symbol" w:cs="Symbol"/>
      <w:b/>
      <w:smallCaps/>
      <w:sz w:val="28"/>
    </w:rPr>
  </w:style>
  <w:style w:type="paragraph" w:customStyle="1" w:styleId="TableTitle">
    <w:name w:val="Table Title"/>
    <w:basedOn w:val="Normal"/>
    <w:next w:val="Normal"/>
    <w:pPr>
      <w:spacing w:before="120" w:after="120" w:line="240" w:lineRule="auto"/>
      <w:jc w:val="center"/>
    </w:pPr>
    <w:rPr>
      <w:rFonts w:ascii="Symbol" w:hAnsi="Symbol" w:cs="Symbol"/>
      <w:b/>
      <w:sz w:val="24"/>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52"/>
      </w:numPr>
      <w:spacing w:before="120" w:after="120" w:line="240" w:lineRule="auto"/>
      <w:jc w:val="both"/>
    </w:pPr>
    <w:rPr>
      <w:rFonts w:ascii="Segoe UI" w:hAnsi="Segoe UI" w:cs="Segoe UI"/>
      <w:sz w:val="24"/>
    </w:rPr>
  </w:style>
  <w:style w:type="paragraph" w:customStyle="1" w:styleId="Point1number">
    <w:name w:val="Point 1 (number)"/>
    <w:basedOn w:val="Normal"/>
    <w:pPr>
      <w:numPr>
        <w:ilvl w:val="2"/>
        <w:numId w:val="52"/>
      </w:numPr>
      <w:spacing w:before="120" w:after="120" w:line="240" w:lineRule="auto"/>
      <w:jc w:val="both"/>
    </w:pPr>
    <w:rPr>
      <w:rFonts w:ascii="Symbol" w:hAnsi="Symbol" w:cs="Symbol"/>
      <w:sz w:val="24"/>
    </w:rPr>
  </w:style>
  <w:style w:type="paragraph" w:customStyle="1" w:styleId="Point2number">
    <w:name w:val="Point 2 (number)"/>
    <w:basedOn w:val="Normal"/>
    <w:pPr>
      <w:numPr>
        <w:ilvl w:val="4"/>
        <w:numId w:val="52"/>
      </w:numPr>
      <w:spacing w:before="120" w:after="120" w:line="240" w:lineRule="auto"/>
      <w:jc w:val="both"/>
    </w:pPr>
    <w:rPr>
      <w:rFonts w:ascii="Symbol" w:hAnsi="Symbol" w:cs="Symbol"/>
      <w:sz w:val="24"/>
    </w:rPr>
  </w:style>
  <w:style w:type="paragraph" w:customStyle="1" w:styleId="Point3number">
    <w:name w:val="Point 3 (number)"/>
    <w:basedOn w:val="Normal"/>
    <w:pPr>
      <w:numPr>
        <w:ilvl w:val="6"/>
        <w:numId w:val="52"/>
      </w:numPr>
      <w:spacing w:before="120" w:after="120" w:line="240" w:lineRule="auto"/>
      <w:jc w:val="both"/>
    </w:pPr>
    <w:rPr>
      <w:rFonts w:ascii="Symbol" w:hAnsi="Symbol" w:cs="Symbol"/>
      <w:sz w:val="24"/>
    </w:rPr>
  </w:style>
  <w:style w:type="paragraph" w:customStyle="1" w:styleId="Point0letter">
    <w:name w:val="Point 0 (letter)"/>
    <w:basedOn w:val="Normal"/>
    <w:pPr>
      <w:numPr>
        <w:ilvl w:val="1"/>
        <w:numId w:val="52"/>
      </w:numPr>
      <w:spacing w:before="120" w:after="120" w:line="240" w:lineRule="auto"/>
      <w:jc w:val="both"/>
    </w:pPr>
    <w:rPr>
      <w:rFonts w:ascii="Symbol" w:hAnsi="Symbol" w:cs="Symbol"/>
      <w:sz w:val="24"/>
    </w:rPr>
  </w:style>
  <w:style w:type="paragraph" w:customStyle="1" w:styleId="Point1letter">
    <w:name w:val="Point 1 (letter)"/>
    <w:basedOn w:val="Normal"/>
    <w:pPr>
      <w:numPr>
        <w:ilvl w:val="3"/>
        <w:numId w:val="52"/>
      </w:numPr>
      <w:spacing w:before="120" w:after="120" w:line="240" w:lineRule="auto"/>
      <w:jc w:val="both"/>
    </w:pPr>
    <w:rPr>
      <w:rFonts w:ascii="Symbol" w:hAnsi="Symbol" w:cs="Symbol"/>
      <w:sz w:val="24"/>
    </w:rPr>
  </w:style>
  <w:style w:type="paragraph" w:customStyle="1" w:styleId="Point2letter">
    <w:name w:val="Point 2 (letter)"/>
    <w:basedOn w:val="Normal"/>
    <w:pPr>
      <w:numPr>
        <w:ilvl w:val="5"/>
        <w:numId w:val="52"/>
      </w:numPr>
      <w:spacing w:before="120" w:after="120" w:line="240" w:lineRule="auto"/>
      <w:jc w:val="both"/>
    </w:pPr>
    <w:rPr>
      <w:rFonts w:ascii="Symbol" w:hAnsi="Symbol" w:cs="Symbol"/>
      <w:sz w:val="24"/>
    </w:rPr>
  </w:style>
  <w:style w:type="paragraph" w:customStyle="1" w:styleId="Point3letter">
    <w:name w:val="Point 3 (letter)"/>
    <w:basedOn w:val="Normal"/>
    <w:pPr>
      <w:numPr>
        <w:ilvl w:val="7"/>
        <w:numId w:val="52"/>
      </w:numPr>
      <w:spacing w:before="120" w:after="120" w:line="240" w:lineRule="auto"/>
      <w:jc w:val="both"/>
    </w:pPr>
    <w:rPr>
      <w:rFonts w:ascii="Symbol" w:hAnsi="Symbol" w:cs="Symbol"/>
      <w:sz w:val="24"/>
    </w:rPr>
  </w:style>
  <w:style w:type="paragraph" w:customStyle="1" w:styleId="Point4letter">
    <w:name w:val="Point 4 (letter)"/>
    <w:basedOn w:val="Normal"/>
    <w:pPr>
      <w:numPr>
        <w:ilvl w:val="8"/>
        <w:numId w:val="52"/>
      </w:numPr>
      <w:spacing w:before="120" w:after="120" w:line="240" w:lineRule="auto"/>
      <w:jc w:val="both"/>
    </w:pPr>
    <w:rPr>
      <w:rFonts w:ascii="Symbol" w:hAnsi="Symbol" w:cs="Symbol"/>
      <w:sz w:val="24"/>
    </w:rPr>
  </w:style>
  <w:style w:type="paragraph" w:customStyle="1" w:styleId="Bullet0">
    <w:name w:val="Bullet 0"/>
    <w:basedOn w:val="Normal"/>
    <w:pPr>
      <w:numPr>
        <w:numId w:val="53"/>
      </w:numPr>
      <w:spacing w:before="120" w:after="120" w:line="240" w:lineRule="auto"/>
      <w:jc w:val="both"/>
    </w:pPr>
    <w:rPr>
      <w:rFonts w:ascii="Segoe UI" w:hAnsi="Segoe UI" w:cs="Segoe UI"/>
      <w:sz w:val="24"/>
    </w:rPr>
  </w:style>
  <w:style w:type="paragraph" w:customStyle="1" w:styleId="Bullet1">
    <w:name w:val="Bullet 1"/>
    <w:basedOn w:val="Normal"/>
    <w:link w:val="Bullet1Char"/>
    <w:qFormat/>
    <w:pPr>
      <w:numPr>
        <w:numId w:val="54"/>
      </w:numPr>
      <w:spacing w:before="120" w:after="120" w:line="240" w:lineRule="auto"/>
      <w:jc w:val="both"/>
    </w:pPr>
    <w:rPr>
      <w:rFonts w:ascii="Segoe UI" w:hAnsi="Segoe UI" w:cs="Segoe UI"/>
      <w:sz w:val="24"/>
    </w:rPr>
  </w:style>
  <w:style w:type="paragraph" w:customStyle="1" w:styleId="Bullet20">
    <w:name w:val="Bullet 2"/>
    <w:basedOn w:val="Normal"/>
    <w:pPr>
      <w:numPr>
        <w:numId w:val="55"/>
      </w:numPr>
      <w:spacing w:before="120" w:after="120" w:line="240" w:lineRule="auto"/>
      <w:jc w:val="both"/>
    </w:pPr>
    <w:rPr>
      <w:rFonts w:ascii="Segoe UI" w:hAnsi="Segoe UI" w:cs="Segoe UI"/>
      <w:sz w:val="24"/>
    </w:rPr>
  </w:style>
  <w:style w:type="paragraph" w:customStyle="1" w:styleId="Bullet3">
    <w:name w:val="Bullet 3"/>
    <w:basedOn w:val="Normal"/>
    <w:pPr>
      <w:numPr>
        <w:numId w:val="56"/>
      </w:numPr>
      <w:spacing w:before="120" w:after="120" w:line="240" w:lineRule="auto"/>
      <w:jc w:val="both"/>
    </w:pPr>
    <w:rPr>
      <w:rFonts w:ascii="Segoe UI" w:hAnsi="Segoe UI" w:cs="Segoe UI"/>
      <w:sz w:val="24"/>
    </w:rPr>
  </w:style>
  <w:style w:type="paragraph" w:customStyle="1" w:styleId="Bullet4">
    <w:name w:val="Bullet 4"/>
    <w:basedOn w:val="Normal"/>
    <w:pPr>
      <w:numPr>
        <w:numId w:val="57"/>
      </w:numPr>
      <w:spacing w:before="120" w:after="120" w:line="240" w:lineRule="auto"/>
      <w:jc w:val="both"/>
    </w:pPr>
    <w:rPr>
      <w:rFonts w:ascii="Segoe UI" w:hAnsi="Segoe UI" w:cs="Segoe UI"/>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Symbol" w:hAnsi="Symbol" w:cs="Symbol"/>
      <w:b/>
      <w:caps/>
      <w:sz w:val="24"/>
    </w:rPr>
  </w:style>
  <w:style w:type="paragraph" w:customStyle="1" w:styleId="Nomdelinstitution">
    <w:name w:val="Nom de l'institution"/>
    <w:basedOn w:val="Normal"/>
    <w:next w:val="Emission"/>
    <w:pPr>
      <w:spacing w:after="0" w:line="240" w:lineRule="auto"/>
    </w:pPr>
    <w:rPr>
      <w:rFonts w:ascii="Aptos" w:hAnsi="Aptos" w:cs="Aptos"/>
      <w:sz w:val="24"/>
    </w:rPr>
  </w:style>
  <w:style w:type="paragraph" w:customStyle="1" w:styleId="Emission">
    <w:name w:val="Emission"/>
    <w:basedOn w:val="Normal"/>
    <w:next w:val="Rfrenceinstitutionnelle"/>
    <w:pPr>
      <w:spacing w:after="0" w:line="240" w:lineRule="auto"/>
      <w:ind w:left="5103"/>
    </w:pPr>
    <w:rPr>
      <w:rFonts w:ascii="Symbol" w:hAnsi="Symbol" w:cs="Symbol"/>
      <w:sz w:val="24"/>
    </w:rPr>
  </w:style>
  <w:style w:type="paragraph" w:customStyle="1" w:styleId="Rfrenceinstitutionnelle">
    <w:name w:val="Référence institutionnelle"/>
    <w:basedOn w:val="Normal"/>
    <w:next w:val="Confidentialit"/>
    <w:pPr>
      <w:spacing w:after="240" w:line="240" w:lineRule="auto"/>
      <w:ind w:left="5103"/>
    </w:pPr>
    <w:rPr>
      <w:rFonts w:ascii="Symbol" w:hAnsi="Symbol" w:cs="Symbol"/>
      <w:sz w:val="24"/>
    </w:rPr>
  </w:style>
  <w:style w:type="paragraph" w:customStyle="1" w:styleId="Pagedecouverture">
    <w:name w:val="Page de couverture"/>
    <w:basedOn w:val="Normal"/>
    <w:next w:val="Normal"/>
    <w:pPr>
      <w:spacing w:after="0" w:line="240" w:lineRule="auto"/>
      <w:jc w:val="both"/>
    </w:pPr>
    <w:rPr>
      <w:rFonts w:ascii="Symbol" w:hAnsi="Symbol" w:cs="Symbol"/>
      <w:sz w:val="24"/>
    </w:rPr>
  </w:style>
  <w:style w:type="paragraph" w:customStyle="1" w:styleId="Declassification">
    <w:name w:val="Declassification"/>
    <w:basedOn w:val="Normal"/>
    <w:next w:val="Normal"/>
    <w:pPr>
      <w:spacing w:after="0" w:line="240" w:lineRule="auto"/>
      <w:jc w:val="both"/>
    </w:pPr>
    <w:rPr>
      <w:rFonts w:ascii="Symbol" w:hAnsi="Symbol" w:cs="Symbol"/>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Symbol" w:hAnsi="Symbol" w:cs="Symbol"/>
      <w:sz w:val="24"/>
    </w:rPr>
  </w:style>
  <w:style w:type="paragraph" w:customStyle="1" w:styleId="SecurityMarking">
    <w:name w:val="SecurityMarking"/>
    <w:basedOn w:val="Normal"/>
    <w:pPr>
      <w:spacing w:after="0"/>
      <w:ind w:left="5103"/>
    </w:pPr>
    <w:rPr>
      <w:rFonts w:ascii="Symbol" w:hAnsi="Symbol" w:cs="Symbol"/>
      <w:sz w:val="28"/>
    </w:rPr>
  </w:style>
  <w:style w:type="paragraph" w:customStyle="1" w:styleId="DateMarking">
    <w:name w:val="DateMarking"/>
    <w:basedOn w:val="Normal"/>
    <w:pPr>
      <w:spacing w:after="0"/>
      <w:ind w:left="5103"/>
    </w:pPr>
    <w:rPr>
      <w:rFonts w:ascii="Symbol" w:hAnsi="Symbol" w:cs="Symbol"/>
      <w:i/>
      <w:sz w:val="28"/>
    </w:rPr>
  </w:style>
  <w:style w:type="paragraph" w:customStyle="1" w:styleId="ReleasableTo">
    <w:name w:val="ReleasableTo"/>
    <w:basedOn w:val="Normal"/>
    <w:pPr>
      <w:spacing w:after="0"/>
      <w:ind w:left="5103"/>
    </w:pPr>
    <w:rPr>
      <w:rFonts w:ascii="Symbol" w:hAnsi="Symbol" w:cs="Symbol"/>
      <w:i/>
      <w:sz w:val="28"/>
    </w:rPr>
  </w:style>
  <w:style w:type="paragraph" w:customStyle="1" w:styleId="Annexetitreexpos">
    <w:name w:val="Annexe titre (exposé)"/>
    <w:basedOn w:val="Normal"/>
    <w:next w:val="Normal"/>
    <w:pPr>
      <w:spacing w:before="120" w:after="120" w:line="240" w:lineRule="auto"/>
      <w:jc w:val="center"/>
    </w:pPr>
    <w:rPr>
      <w:rFonts w:ascii="Symbol" w:hAnsi="Symbol" w:cs="Symbol"/>
      <w:b/>
      <w:sz w:val="24"/>
      <w:u w:val="single"/>
    </w:rPr>
  </w:style>
  <w:style w:type="paragraph" w:customStyle="1" w:styleId="Annexetitre">
    <w:name w:val="Annexe titre"/>
    <w:basedOn w:val="Normal"/>
    <w:next w:val="Normal"/>
    <w:pPr>
      <w:spacing w:before="120" w:after="120" w:line="240" w:lineRule="auto"/>
      <w:jc w:val="center"/>
    </w:pPr>
    <w:rPr>
      <w:rFonts w:ascii="Symbol" w:hAnsi="Symbol" w:cs="Symbol"/>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Symbol" w:hAnsi="Symbol" w:cs="Symbol"/>
      <w:b/>
      <w:sz w:val="24"/>
      <w:u w:val="single"/>
    </w:rPr>
  </w:style>
  <w:style w:type="paragraph" w:customStyle="1" w:styleId="Applicationdirecte">
    <w:name w:val="Application directe"/>
    <w:basedOn w:val="Normal"/>
    <w:next w:val="Fait"/>
    <w:pPr>
      <w:spacing w:before="480" w:after="120" w:line="240" w:lineRule="auto"/>
      <w:jc w:val="both"/>
    </w:pPr>
    <w:rPr>
      <w:rFonts w:ascii="Symbol" w:hAnsi="Symbol" w:cs="Symbol"/>
      <w:sz w:val="24"/>
    </w:rPr>
  </w:style>
  <w:style w:type="paragraph" w:customStyle="1" w:styleId="Avertissementtitre">
    <w:name w:val="Avertissement titre"/>
    <w:basedOn w:val="Normal"/>
    <w:next w:val="Normal"/>
    <w:pPr>
      <w:keepNext/>
      <w:spacing w:before="480" w:after="120" w:line="240" w:lineRule="auto"/>
      <w:jc w:val="both"/>
    </w:pPr>
    <w:rPr>
      <w:rFonts w:ascii="Symbol" w:hAnsi="Symbol" w:cs="Symbol"/>
      <w:sz w:val="24"/>
      <w:u w:val="single"/>
    </w:rPr>
  </w:style>
  <w:style w:type="paragraph" w:customStyle="1" w:styleId="Confidence">
    <w:name w:val="Confidence"/>
    <w:basedOn w:val="Normal"/>
    <w:next w:val="Normal"/>
    <w:pPr>
      <w:spacing w:before="360" w:after="120" w:line="240" w:lineRule="auto"/>
      <w:jc w:val="center"/>
    </w:pPr>
    <w:rPr>
      <w:rFonts w:ascii="Symbol" w:hAnsi="Symbol" w:cs="Symbol"/>
      <w:sz w:val="24"/>
    </w:rPr>
  </w:style>
  <w:style w:type="paragraph" w:customStyle="1" w:styleId="Confidentialit">
    <w:name w:val="Confidentialité"/>
    <w:basedOn w:val="Normal"/>
    <w:next w:val="TypedudocumentPagedecouverture"/>
    <w:pPr>
      <w:spacing w:before="240" w:after="240" w:line="240" w:lineRule="auto"/>
      <w:ind w:left="5103"/>
    </w:pPr>
    <w:rPr>
      <w:rFonts w:ascii="Symbol" w:hAnsi="Symbol" w:cs="Symbol"/>
      <w:i/>
      <w:sz w:val="32"/>
    </w:rPr>
  </w:style>
  <w:style w:type="paragraph" w:customStyle="1" w:styleId="Considrant">
    <w:name w:val="Considérant"/>
    <w:basedOn w:val="Normal"/>
    <w:pPr>
      <w:numPr>
        <w:numId w:val="58"/>
      </w:numPr>
      <w:spacing w:before="120" w:after="120" w:line="240" w:lineRule="auto"/>
      <w:jc w:val="both"/>
    </w:pPr>
    <w:rPr>
      <w:rFonts w:ascii="Segoe UI" w:hAnsi="Segoe UI" w:cs="Segoe UI"/>
      <w:sz w:val="24"/>
    </w:rPr>
  </w:style>
  <w:style w:type="paragraph" w:customStyle="1" w:styleId="Corrigendum">
    <w:name w:val="Corrigendum"/>
    <w:basedOn w:val="Normal"/>
    <w:next w:val="Normal"/>
    <w:pPr>
      <w:spacing w:after="240" w:line="240" w:lineRule="auto"/>
    </w:pPr>
    <w:rPr>
      <w:rFonts w:ascii="Symbol" w:hAnsi="Symbol" w:cs="Symbol"/>
      <w:sz w:val="24"/>
    </w:rPr>
  </w:style>
  <w:style w:type="paragraph" w:customStyle="1" w:styleId="Datedadoption">
    <w:name w:val="Date d'adoption"/>
    <w:basedOn w:val="Normal"/>
    <w:next w:val="IntrtEEE"/>
    <w:pPr>
      <w:spacing w:before="360" w:after="0" w:line="240" w:lineRule="auto"/>
      <w:jc w:val="center"/>
    </w:pPr>
    <w:rPr>
      <w:rFonts w:ascii="Symbol" w:hAnsi="Symbol" w:cs="Symbol"/>
      <w:b/>
      <w:sz w:val="24"/>
    </w:rPr>
  </w:style>
  <w:style w:type="paragraph" w:customStyle="1" w:styleId="Exposdesmotifstitre">
    <w:name w:val="Exposé des motifs titre"/>
    <w:basedOn w:val="Normal"/>
    <w:next w:val="Normal"/>
    <w:pPr>
      <w:spacing w:before="120" w:after="120" w:line="240" w:lineRule="auto"/>
      <w:jc w:val="center"/>
    </w:pPr>
    <w:rPr>
      <w:rFonts w:ascii="Symbol" w:hAnsi="Symbol" w:cs="Symbol"/>
      <w:b/>
      <w:sz w:val="24"/>
      <w:u w:val="single"/>
    </w:rPr>
  </w:style>
  <w:style w:type="paragraph" w:customStyle="1" w:styleId="Fait">
    <w:name w:val="Fait à"/>
    <w:basedOn w:val="Normal"/>
    <w:next w:val="Institutionquisigne"/>
    <w:pPr>
      <w:keepNext/>
      <w:spacing w:before="120" w:after="0" w:line="240" w:lineRule="auto"/>
      <w:jc w:val="both"/>
    </w:pPr>
    <w:rPr>
      <w:rFonts w:ascii="Symbol" w:hAnsi="Symbol" w:cs="Symbol"/>
      <w:sz w:val="24"/>
    </w:rPr>
  </w:style>
  <w:style w:type="paragraph" w:customStyle="1" w:styleId="Formuledadoption">
    <w:name w:val="Formule d'adoption"/>
    <w:basedOn w:val="Normal"/>
    <w:next w:val="Titrearticle"/>
    <w:pPr>
      <w:keepNext/>
      <w:spacing w:before="120" w:after="120" w:line="240" w:lineRule="auto"/>
      <w:jc w:val="both"/>
    </w:pPr>
    <w:rPr>
      <w:rFonts w:ascii="Symbol" w:hAnsi="Symbol" w:cs="Symbol"/>
      <w:sz w:val="24"/>
    </w:rPr>
  </w:style>
  <w:style w:type="paragraph" w:customStyle="1" w:styleId="Institutionquiagit">
    <w:name w:val="Institution qui agit"/>
    <w:basedOn w:val="Normal"/>
    <w:next w:val="Normal"/>
    <w:pPr>
      <w:keepNext/>
      <w:spacing w:before="600" w:after="120" w:line="240" w:lineRule="auto"/>
      <w:jc w:val="both"/>
    </w:pPr>
    <w:rPr>
      <w:rFonts w:ascii="Symbol" w:hAnsi="Symbol" w:cs="Symbol"/>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Symbol" w:hAnsi="Symbol" w:cs="Symbol"/>
      <w:i/>
      <w:sz w:val="24"/>
    </w:rPr>
  </w:style>
  <w:style w:type="paragraph" w:customStyle="1" w:styleId="ManualConsidrant">
    <w:name w:val="Manual Considérant"/>
    <w:basedOn w:val="Normal"/>
    <w:pPr>
      <w:spacing w:before="120" w:after="120" w:line="240" w:lineRule="auto"/>
      <w:ind w:left="709" w:hanging="709"/>
      <w:jc w:val="both"/>
    </w:pPr>
    <w:rPr>
      <w:rFonts w:ascii="Symbol" w:hAnsi="Symbol" w:cs="Symbol"/>
      <w:sz w:val="24"/>
    </w:rPr>
  </w:style>
  <w:style w:type="paragraph" w:customStyle="1" w:styleId="Personnequisigne">
    <w:name w:val="Personne qui signe"/>
    <w:basedOn w:val="Normal"/>
    <w:next w:val="Institutionquisigne"/>
    <w:pPr>
      <w:tabs>
        <w:tab w:val="left" w:pos="4252"/>
      </w:tabs>
      <w:spacing w:after="0" w:line="240" w:lineRule="auto"/>
    </w:pPr>
    <w:rPr>
      <w:rFonts w:ascii="Symbol" w:hAnsi="Symbol" w:cs="Symbol"/>
      <w:i/>
      <w:sz w:val="24"/>
    </w:rPr>
  </w:style>
  <w:style w:type="paragraph" w:customStyle="1" w:styleId="Rfrenceinterinstitutionnelle">
    <w:name w:val="Référence interinstitutionnelle"/>
    <w:basedOn w:val="Normal"/>
    <w:next w:val="Statut"/>
    <w:pPr>
      <w:spacing w:after="0" w:line="240" w:lineRule="auto"/>
      <w:ind w:left="5103"/>
    </w:pPr>
    <w:rPr>
      <w:rFonts w:ascii="Symbol" w:hAnsi="Symbol" w:cs="Symbol"/>
      <w:sz w:val="24"/>
    </w:rPr>
  </w:style>
  <w:style w:type="paragraph" w:customStyle="1" w:styleId="Rfrenceinterne">
    <w:name w:val="Référence interne"/>
    <w:basedOn w:val="Normal"/>
    <w:next w:val="Rfrenceinterinstitutionnelle"/>
    <w:pPr>
      <w:spacing w:after="0" w:line="240" w:lineRule="auto"/>
      <w:ind w:left="5103"/>
    </w:pPr>
    <w:rPr>
      <w:rFonts w:ascii="Symbol" w:hAnsi="Symbol" w:cs="Symbol"/>
      <w:sz w:val="24"/>
    </w:rPr>
  </w:style>
  <w:style w:type="paragraph" w:customStyle="1" w:styleId="Statut">
    <w:name w:val="Statut"/>
    <w:basedOn w:val="Normal"/>
    <w:next w:val="Typedudocument"/>
    <w:pPr>
      <w:spacing w:after="240" w:line="240" w:lineRule="auto"/>
      <w:jc w:val="center"/>
    </w:pPr>
    <w:rPr>
      <w:rFonts w:ascii="Symbol" w:hAnsi="Symbol" w:cs="Symbol"/>
      <w:sz w:val="24"/>
    </w:rPr>
  </w:style>
  <w:style w:type="paragraph" w:customStyle="1" w:styleId="Titrearticle">
    <w:name w:val="Titre article"/>
    <w:basedOn w:val="Normal"/>
    <w:next w:val="Normal"/>
    <w:pPr>
      <w:keepNext/>
      <w:spacing w:before="360" w:after="120" w:line="240" w:lineRule="auto"/>
      <w:jc w:val="center"/>
    </w:pPr>
    <w:rPr>
      <w:rFonts w:ascii="Symbol" w:hAnsi="Symbol" w:cs="Symbol"/>
      <w:i/>
      <w:sz w:val="24"/>
    </w:rPr>
  </w:style>
  <w:style w:type="paragraph" w:customStyle="1" w:styleId="Typedudocument">
    <w:name w:val="Type du document"/>
    <w:basedOn w:val="Normal"/>
    <w:next w:val="Accompagnant"/>
    <w:pPr>
      <w:spacing w:before="360" w:after="180" w:line="240" w:lineRule="auto"/>
      <w:jc w:val="center"/>
    </w:pPr>
    <w:rPr>
      <w:rFonts w:ascii="Symbol" w:hAnsi="Symbol" w:cs="Symbol"/>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Symbol" w:hAnsi="Symbol" w:cs="Symbol"/>
      <w:sz w:val="24"/>
    </w:rPr>
  </w:style>
  <w:style w:type="paragraph" w:customStyle="1" w:styleId="Objetexterne">
    <w:name w:val="Objet externe"/>
    <w:basedOn w:val="Normal"/>
    <w:next w:val="Normal"/>
    <w:pPr>
      <w:spacing w:before="120" w:after="120" w:line="240" w:lineRule="auto"/>
      <w:jc w:val="both"/>
    </w:pPr>
    <w:rPr>
      <w:rFonts w:ascii="Symbol" w:hAnsi="Symbol" w:cs="Symbol"/>
      <w:i/>
      <w:caps/>
      <w:sz w:val="24"/>
    </w:rPr>
  </w:style>
  <w:style w:type="paragraph" w:customStyle="1" w:styleId="Supertitre">
    <w:name w:val="Supertitre"/>
    <w:basedOn w:val="Normal"/>
    <w:next w:val="Normal"/>
    <w:pPr>
      <w:spacing w:after="600" w:line="240" w:lineRule="auto"/>
      <w:jc w:val="center"/>
    </w:pPr>
    <w:rPr>
      <w:rFonts w:ascii="Symbol" w:hAnsi="Symbol" w:cs="Symbol"/>
      <w:b/>
      <w:sz w:val="24"/>
    </w:rPr>
  </w:style>
  <w:style w:type="paragraph" w:customStyle="1" w:styleId="Languesfaisantfoi">
    <w:name w:val="Langues faisant foi"/>
    <w:basedOn w:val="Normal"/>
    <w:next w:val="Normal"/>
    <w:pPr>
      <w:spacing w:before="360" w:after="0" w:line="240" w:lineRule="auto"/>
      <w:jc w:val="center"/>
    </w:pPr>
    <w:rPr>
      <w:rFonts w:ascii="Symbol" w:hAnsi="Symbol" w:cs="Symbol"/>
      <w:sz w:val="24"/>
    </w:rPr>
  </w:style>
  <w:style w:type="paragraph" w:customStyle="1" w:styleId="Rfrencecroise">
    <w:name w:val="Référence croisée"/>
    <w:basedOn w:val="Normal"/>
    <w:pPr>
      <w:spacing w:after="0" w:line="240" w:lineRule="auto"/>
      <w:jc w:val="center"/>
    </w:pPr>
    <w:rPr>
      <w:rFonts w:ascii="Symbol" w:hAnsi="Symbol" w:cs="Symbol"/>
      <w:sz w:val="24"/>
    </w:rPr>
  </w:style>
  <w:style w:type="paragraph" w:customStyle="1" w:styleId="Fichefinanciretitre">
    <w:name w:val="Fiche financière titre"/>
    <w:basedOn w:val="Normal"/>
    <w:next w:val="Normal"/>
    <w:pPr>
      <w:spacing w:before="120" w:after="120" w:line="240" w:lineRule="auto"/>
      <w:jc w:val="center"/>
    </w:pPr>
    <w:rPr>
      <w:rFonts w:ascii="Symbol" w:hAnsi="Symbol" w:cs="Symbol"/>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Symbol" w:hAnsi="Symbol" w:cs="Symbol"/>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Symbol" w:hAnsi="Symbol" w:cs="Symbol"/>
      <w:b/>
      <w:sz w:val="24"/>
    </w:rPr>
  </w:style>
  <w:style w:type="paragraph" w:customStyle="1" w:styleId="Typeacteprincipal">
    <w:name w:val="Type acte principal"/>
    <w:basedOn w:val="Normal"/>
    <w:next w:val="Objetacteprincipal"/>
    <w:pPr>
      <w:spacing w:after="240" w:line="240" w:lineRule="auto"/>
      <w:jc w:val="center"/>
    </w:pPr>
    <w:rPr>
      <w:rFonts w:ascii="Symbol" w:hAnsi="Symbol" w:cs="Symbol"/>
      <w:b/>
      <w:sz w:val="24"/>
    </w:rPr>
  </w:style>
  <w:style w:type="paragraph" w:customStyle="1" w:styleId="Objetacteprincipal">
    <w:name w:val="Objet acte principal"/>
    <w:basedOn w:val="Normal"/>
    <w:next w:val="Titrearticle"/>
    <w:pPr>
      <w:spacing w:after="360" w:line="240" w:lineRule="auto"/>
      <w:jc w:val="center"/>
    </w:pPr>
    <w:rPr>
      <w:rFonts w:ascii="Symbol" w:hAnsi="Symbol" w:cs="Symbol"/>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Symbol" w:hAnsi="Symbol" w:cs="Symbol"/>
      <w:sz w:val="24"/>
    </w:r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rsid w:val="00206C1F"/>
    <w:pPr>
      <w:spacing w:before="120" w:after="120" w:line="240" w:lineRule="auto"/>
      <w:jc w:val="both"/>
    </w:pPr>
    <w:rPr>
      <w:rFonts w:cs="Symbol"/>
      <w:sz w:val="20"/>
    </w:rPr>
  </w:style>
  <w:style w:type="character" w:customStyle="1" w:styleId="CommentTextChar">
    <w:name w:val="Comment Text Char"/>
    <w:basedOn w:val="DefaultParagraphFont"/>
    <w:link w:val="CommentText"/>
    <w:uiPriority w:val="99"/>
    <w:rsid w:val="00206C1F"/>
    <w:rPr>
      <w:rFonts w:cs="Symbol"/>
      <w:sz w:val="20"/>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spacing w:after="160" w:line="259" w:lineRule="auto"/>
      <w:ind w:left="720"/>
      <w:contextualSpacing/>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style>
  <w:style w:type="character" w:styleId="IntenseEmphasis">
    <w:name w:val="Intense Emphasis"/>
    <w:basedOn w:val="DefaultParagraphFont"/>
    <w:uiPriority w:val="21"/>
    <w:qFormat/>
    <w:rPr>
      <w:i/>
      <w:color w:val="4F81BD" w:themeColor="accent1"/>
    </w:rPr>
  </w:style>
  <w:style w:type="paragraph" w:styleId="BalloonText">
    <w:name w:val="Balloon Text"/>
    <w:basedOn w:val="Normal"/>
    <w:link w:val="BalloonTextChar"/>
    <w:uiPriority w:val="99"/>
    <w:semiHidden/>
    <w:unhideWhenUsed/>
    <w:rsid w:val="00A61727"/>
    <w:pPr>
      <w:spacing w:after="0" w:line="240" w:lineRule="auto"/>
      <w:jc w:val="both"/>
    </w:pPr>
    <w:rPr>
      <w:rFonts w:ascii="Times New Roman" w:hAnsi="Times New Roman" w:cs="MS Gothic"/>
      <w:sz w:val="18"/>
    </w:rPr>
  </w:style>
  <w:style w:type="character" w:customStyle="1" w:styleId="BalloonTextChar">
    <w:name w:val="Balloon Text Char"/>
    <w:basedOn w:val="DefaultParagraphFont"/>
    <w:link w:val="BalloonText"/>
    <w:uiPriority w:val="99"/>
    <w:semiHidden/>
    <w:rsid w:val="00A61727"/>
    <w:rPr>
      <w:rFonts w:ascii="Times New Roman" w:hAnsi="Times New Roman" w:cs="MS Gothic"/>
      <w:sz w:val="18"/>
    </w:rPr>
  </w:style>
  <w:style w:type="paragraph" w:styleId="ListBullet">
    <w:name w:val="List Bullet"/>
    <w:basedOn w:val="Normal"/>
    <w:uiPriority w:val="99"/>
    <w:semiHidden/>
    <w:unhideWhenUsed/>
    <w:pPr>
      <w:numPr>
        <w:numId w:val="59"/>
      </w:numPr>
      <w:spacing w:before="120" w:after="120" w:line="240" w:lineRule="auto"/>
      <w:contextualSpacing/>
      <w:jc w:val="both"/>
    </w:pPr>
    <w:rPr>
      <w:rFonts w:ascii="Segoe UI" w:hAnsi="Segoe UI" w:cs="Segoe UI"/>
      <w:sz w:val="24"/>
    </w:rPr>
  </w:style>
  <w:style w:type="paragraph" w:styleId="ListBullet2">
    <w:name w:val="List Bullet 2"/>
    <w:basedOn w:val="Normal"/>
    <w:uiPriority w:val="99"/>
    <w:semiHidden/>
    <w:unhideWhenUsed/>
    <w:pPr>
      <w:numPr>
        <w:numId w:val="60"/>
      </w:numPr>
      <w:spacing w:before="120" w:after="120" w:line="240" w:lineRule="auto"/>
      <w:contextualSpacing/>
      <w:jc w:val="both"/>
    </w:pPr>
    <w:rPr>
      <w:rFonts w:ascii="Segoe UI" w:hAnsi="Segoe UI" w:cs="Segoe UI"/>
      <w:sz w:val="24"/>
    </w:rPr>
  </w:style>
  <w:style w:type="paragraph" w:styleId="ListBullet3">
    <w:name w:val="List Bullet 3"/>
    <w:basedOn w:val="Normal"/>
    <w:uiPriority w:val="99"/>
    <w:semiHidden/>
    <w:unhideWhenUsed/>
    <w:pPr>
      <w:numPr>
        <w:numId w:val="61"/>
      </w:numPr>
      <w:spacing w:before="120" w:after="120" w:line="240" w:lineRule="auto"/>
      <w:contextualSpacing/>
      <w:jc w:val="both"/>
    </w:pPr>
    <w:rPr>
      <w:rFonts w:ascii="Segoe UI" w:hAnsi="Segoe UI" w:cs="Segoe UI"/>
      <w:sz w:val="24"/>
    </w:rPr>
  </w:style>
  <w:style w:type="paragraph" w:styleId="ListBullet4">
    <w:name w:val="List Bullet 4"/>
    <w:basedOn w:val="Normal"/>
    <w:uiPriority w:val="99"/>
    <w:semiHidden/>
    <w:unhideWhenUsed/>
    <w:pPr>
      <w:numPr>
        <w:numId w:val="62"/>
      </w:numPr>
      <w:spacing w:before="120" w:after="120" w:line="240" w:lineRule="auto"/>
      <w:contextualSpacing/>
      <w:jc w:val="both"/>
    </w:pPr>
    <w:rPr>
      <w:rFonts w:ascii="Segoe UI" w:hAnsi="Segoe UI" w:cs="Segoe UI"/>
      <w:sz w:val="24"/>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hAnsi="Times New Roman" w:cs="Times New Roman"/>
      <w:b/>
      <w:sz w:val="20"/>
    </w:rPr>
  </w:style>
  <w:style w:type="paragraph" w:styleId="Revision">
    <w:name w:val="Revision"/>
    <w:hidden/>
    <w:uiPriority w:val="99"/>
    <w:semiHidden/>
    <w:pPr>
      <w:spacing w:after="0" w:line="240" w:lineRule="auto"/>
    </w:pPr>
    <w:rPr>
      <w:rFonts w:ascii="Symbol" w:hAnsi="Symbol" w:cs="Symbol"/>
      <w:sz w:val="24"/>
    </w:rPr>
  </w:style>
  <w:style w:type="character" w:customStyle="1" w:styleId="Bullet1Char">
    <w:name w:val="Bullet 1 Char"/>
    <w:basedOn w:val="DefaultParagraphFont"/>
    <w:link w:val="Bullet1"/>
    <w:rPr>
      <w:rFonts w:ascii="Segoe UI" w:hAnsi="Segoe UI" w:cs="Segoe UI"/>
      <w:sz w:val="24"/>
    </w:rPr>
  </w:style>
  <w:style w:type="paragraph" w:customStyle="1" w:styleId="bullet2">
    <w:name w:val="bullet 2"/>
    <w:basedOn w:val="Normal"/>
    <w:link w:val="bullet2Char"/>
    <w:qFormat/>
    <w:pPr>
      <w:numPr>
        <w:ilvl w:val="1"/>
        <w:numId w:val="66"/>
      </w:numPr>
      <w:spacing w:before="120" w:after="120" w:line="240" w:lineRule="auto"/>
    </w:pPr>
    <w:rPr>
      <w:rFonts w:eastAsia="Arial" w:cstheme="minorHAnsi"/>
      <w:color w:val="000000" w:themeColor="text1"/>
      <w:sz w:val="24"/>
    </w:rPr>
  </w:style>
  <w:style w:type="character" w:customStyle="1" w:styleId="bullet2Char">
    <w:name w:val="bullet 2 Char"/>
    <w:basedOn w:val="DefaultParagraphFont"/>
    <w:link w:val="bullet2"/>
    <w:rPr>
      <w:rFonts w:eastAsia="Arial" w:cstheme="minorHAnsi"/>
      <w:color w:val="000000" w:themeColor="text1"/>
      <w:sz w:val="24"/>
    </w:rPr>
  </w:style>
  <w:style w:type="character" w:styleId="Hyperlink">
    <w:name w:val="Hyperlink"/>
    <w:basedOn w:val="DefaultParagraphFont"/>
    <w:uiPriority w:val="99"/>
    <w:unhideWhenUsed/>
    <w:rPr>
      <w:color w:val="0563C1"/>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Symbol" w:hAnsi="Symbol" w:cs="Symbol"/>
      <w:color w:val="000000"/>
      <w:sz w:val="24"/>
    </w:rPr>
  </w:style>
  <w:style w:type="character" w:customStyle="1" w:styleId="eop">
    <w:name w:val="eop"/>
    <w:basedOn w:val="DefaultParagraphFont"/>
  </w:style>
  <w:style w:type="paragraph" w:styleId="NormalWeb">
    <w:name w:val="Normal (Web)"/>
    <w:basedOn w:val="Normal"/>
    <w:uiPriority w:val="99"/>
    <w:unhideWhenUsed/>
    <w:pPr>
      <w:spacing w:before="100" w:beforeAutospacing="1" w:after="100" w:afterAutospacing="1" w:line="240" w:lineRule="auto"/>
    </w:pPr>
    <w:rPr>
      <w:rFonts w:ascii="Symbol" w:eastAsia="Symbol" w:hAnsi="Symbol" w:cs="Symbol"/>
      <w:sz w:val="24"/>
    </w:rPr>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line="240" w:lineRule="auto"/>
    </w:pPr>
    <w:rPr>
      <w:rFonts w:ascii="Symbol" w:eastAsia="Symbol" w:hAnsi="Symbol" w:cs="Symbol"/>
      <w:sz w:val="24"/>
    </w:rPr>
  </w:style>
  <w:style w:type="paragraph" w:customStyle="1" w:styleId="Titreobjet">
    <w:name w:val="Titre objet"/>
    <w:basedOn w:val="Normal"/>
    <w:next w:val="IntrtEEE"/>
    <w:pPr>
      <w:spacing w:before="360" w:after="360" w:line="240" w:lineRule="auto"/>
      <w:jc w:val="center"/>
    </w:pPr>
    <w:rPr>
      <w:rFonts w:ascii="Symbol" w:hAnsi="Symbol" w:cs="Symbol"/>
      <w:b/>
      <w:sz w:val="24"/>
    </w:rPr>
  </w:style>
  <w:style w:type="paragraph" w:customStyle="1" w:styleId="TitreobjetPagedecouverture">
    <w:name w:val="Titre objet (Page de couverture)"/>
    <w:basedOn w:val="Titreobjet"/>
    <w:next w:val="IntrtEEEPagedecouverture"/>
  </w:style>
  <w:style w:type="paragraph" w:customStyle="1" w:styleId="FooterCoverPage">
    <w:name w:val="Footer Cover Page"/>
    <w:basedOn w:val="Normal"/>
    <w:link w:val="FooterCoverPageChar"/>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ymbol" w:hAnsi="Courier New" w:cs="Courier New"/>
      <w:sz w:val="20"/>
    </w:rPr>
  </w:style>
  <w:style w:type="character" w:customStyle="1" w:styleId="HTMLPreformattedChar">
    <w:name w:val="HTML Preformatted Char"/>
    <w:basedOn w:val="DefaultParagraphFont"/>
    <w:link w:val="HTMLPreformatted"/>
    <w:uiPriority w:val="99"/>
    <w:semiHidden/>
    <w:rPr>
      <w:rFonts w:ascii="Courier New" w:eastAsia="Symbol" w:hAnsi="Courier New" w:cs="Courier New"/>
      <w:sz w:val="20"/>
    </w:rPr>
  </w:style>
  <w:style w:type="character" w:customStyle="1" w:styleId="y2iqfc">
    <w:name w:val="y2iqfc"/>
    <w:basedOn w:val="DefaultParagraphFont"/>
  </w:style>
  <w:style w:type="paragraph" w:styleId="ListNumber">
    <w:name w:val="List Number"/>
    <w:basedOn w:val="Normal"/>
    <w:uiPriority w:val="99"/>
    <w:semiHidden/>
    <w:unhideWhenUsed/>
    <w:pPr>
      <w:numPr>
        <w:numId w:val="192"/>
      </w:numPr>
      <w:spacing w:before="120" w:after="120" w:line="240" w:lineRule="auto"/>
      <w:contextualSpacing/>
      <w:jc w:val="both"/>
    </w:pPr>
    <w:rPr>
      <w:rFonts w:ascii="Segoe UI" w:hAnsi="Segoe UI" w:cs="Segoe UI"/>
      <w:sz w:val="24"/>
    </w:rPr>
  </w:style>
  <w:style w:type="character" w:customStyle="1" w:styleId="oj-super">
    <w:name w:val="oj-super"/>
    <w:basedOn w:val="DefaultParagraphFont"/>
  </w:style>
  <w:style w:type="paragraph" w:customStyle="1" w:styleId="xmsonormal">
    <w:name w:val="x_msonormal"/>
    <w:basedOn w:val="Normal"/>
    <w:pPr>
      <w:spacing w:after="0" w:line="240" w:lineRule="auto"/>
    </w:pPr>
    <w:rPr>
      <w:rFonts w:ascii="Wingdings" w:hAnsi="Wingdings" w:cs="Wingding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DefaultParagraphFont"/>
    <w:rsid w:val="00026F22"/>
  </w:style>
  <w:style w:type="character" w:customStyle="1" w:styleId="UnresolvedMention1">
    <w:name w:val="Unresolved Mention1"/>
    <w:basedOn w:val="DefaultParagraphFont"/>
    <w:uiPriority w:val="99"/>
    <w:unhideWhenUsed/>
    <w:rsid w:val="00F92FF4"/>
    <w:rPr>
      <w:color w:val="605E5C"/>
      <w:shd w:val="clear" w:color="auto" w:fill="E1DFDD"/>
    </w:rPr>
  </w:style>
  <w:style w:type="character" w:customStyle="1" w:styleId="Mention1">
    <w:name w:val="Mention1"/>
    <w:basedOn w:val="DefaultParagraphFont"/>
    <w:uiPriority w:val="99"/>
    <w:unhideWhenUsed/>
    <w:rsid w:val="00F92FF4"/>
    <w:rPr>
      <w:color w:val="2B579A"/>
      <w:shd w:val="clear" w:color="auto" w:fill="E1DFDD"/>
    </w:rPr>
  </w:style>
  <w:style w:type="character" w:styleId="Strong">
    <w:name w:val="Strong"/>
    <w:basedOn w:val="DefaultParagraphFont"/>
    <w:uiPriority w:val="22"/>
    <w:qFormat/>
    <w:rsid w:val="00C41254"/>
    <w:rPr>
      <w:b/>
    </w:rPr>
  </w:style>
  <w:style w:type="paragraph" w:customStyle="1" w:styleId="Heading2blue">
    <w:name w:val="Heading 2 (blue)"/>
    <w:basedOn w:val="Heading2"/>
    <w:link w:val="Heading2blueChar"/>
    <w:qFormat/>
    <w:rsid w:val="0080105E"/>
    <w:pPr>
      <w:keepNext w:val="0"/>
      <w:numPr>
        <w:ilvl w:val="0"/>
        <w:numId w:val="0"/>
      </w:numPr>
      <w:ind w:left="709"/>
    </w:pPr>
    <w:rPr>
      <w:rFonts w:ascii="Times New Roman" w:hAnsi="Times New Roman" w:cs="Times New Roman"/>
      <w:color w:val="4F81BD" w:themeColor="accent1"/>
      <w:u w:val="single"/>
    </w:rPr>
  </w:style>
  <w:style w:type="paragraph" w:customStyle="1" w:styleId="Heading3blue">
    <w:name w:val="Heading 3 (blue)"/>
    <w:basedOn w:val="Heading3"/>
    <w:link w:val="Heading3blueChar"/>
    <w:qFormat/>
    <w:rsid w:val="0080105E"/>
    <w:pPr>
      <w:numPr>
        <w:ilvl w:val="0"/>
        <w:numId w:val="0"/>
      </w:numPr>
    </w:pPr>
    <w:rPr>
      <w:rFonts w:ascii="Times New Roman" w:hAnsi="Times New Roman" w:cs="Times New Roman"/>
      <w:i w:val="0"/>
      <w:color w:val="4F81BD" w:themeColor="accent1"/>
      <w:u w:val="single"/>
    </w:rPr>
  </w:style>
  <w:style w:type="character" w:customStyle="1" w:styleId="Heading2blueChar">
    <w:name w:val="Heading 2 (blue) Char"/>
    <w:basedOn w:val="Heading2Char"/>
    <w:link w:val="Heading2blue"/>
    <w:rsid w:val="0080105E"/>
    <w:rPr>
      <w:rFonts w:ascii="Times New Roman" w:eastAsiaTheme="majorEastAsia" w:hAnsi="Times New Roman" w:cs="Times New Roman"/>
      <w:b/>
      <w:color w:val="4F81BD" w:themeColor="accent1"/>
      <w:sz w:val="24"/>
      <w:u w:val="single"/>
    </w:rPr>
  </w:style>
  <w:style w:type="paragraph" w:customStyle="1" w:styleId="maintext">
    <w:name w:val="main text"/>
    <w:basedOn w:val="Normal"/>
    <w:link w:val="maintextChar"/>
    <w:qFormat/>
    <w:rsid w:val="0080105E"/>
    <w:pPr>
      <w:keepNext/>
      <w:spacing w:before="120" w:after="120" w:line="240" w:lineRule="auto"/>
      <w:jc w:val="both"/>
    </w:pPr>
    <w:rPr>
      <w:rFonts w:ascii="Times New Roman" w:hAnsi="Times New Roman" w:cs="Times New Roman"/>
      <w:sz w:val="24"/>
    </w:rPr>
  </w:style>
  <w:style w:type="character" w:customStyle="1" w:styleId="Heading3blueChar">
    <w:name w:val="Heading 3 (blue) Char"/>
    <w:basedOn w:val="Heading3Char"/>
    <w:link w:val="Heading3blue"/>
    <w:rsid w:val="0080105E"/>
    <w:rPr>
      <w:rFonts w:ascii="Times New Roman" w:eastAsiaTheme="majorEastAsia" w:hAnsi="Times New Roman" w:cs="Times New Roman"/>
      <w:i w:val="0"/>
      <w:color w:val="4F81BD" w:themeColor="accent1"/>
      <w:sz w:val="24"/>
      <w:u w:val="single"/>
    </w:rPr>
  </w:style>
  <w:style w:type="character" w:customStyle="1" w:styleId="maintextChar">
    <w:name w:val="main text Char"/>
    <w:basedOn w:val="DefaultParagraphFont"/>
    <w:link w:val="maintext"/>
    <w:rsid w:val="0080105E"/>
    <w:rPr>
      <w:rFonts w:ascii="Times New Roman" w:hAnsi="Times New Roman" w:cs="Times New Roman"/>
      <w:sz w:val="24"/>
    </w:rPr>
  </w:style>
  <w:style w:type="paragraph" w:customStyle="1" w:styleId="P68B1DB1-Normal9">
    <w:name w:val="P68B1DB1-Normal9"/>
    <w:basedOn w:val="Normal"/>
    <w:rsid w:val="0080105E"/>
    <w:pPr>
      <w:shd w:val="clear" w:color="auto" w:fill="FF0000"/>
    </w:pPr>
    <w:rPr>
      <w:rFonts w:ascii="Times New Roman" w:hAnsi="Times New Roman"/>
      <w:color w:val="000000"/>
      <w:sz w:val="18"/>
    </w:rPr>
  </w:style>
  <w:style w:type="paragraph" w:customStyle="1" w:styleId="P68B1DB1-Normal10">
    <w:name w:val="P68B1DB1-Normal10"/>
    <w:basedOn w:val="Normal"/>
    <w:rsid w:val="0080105E"/>
    <w:rPr>
      <w:rFonts w:ascii="Times New Roman" w:hAnsi="Times New Roman"/>
      <w:color w:val="000000"/>
      <w:sz w:val="18"/>
    </w:rPr>
  </w:style>
  <w:style w:type="paragraph" w:customStyle="1" w:styleId="P68B1DB1-Normal11">
    <w:name w:val="P68B1DB1-Normal11"/>
    <w:basedOn w:val="Normal"/>
    <w:rsid w:val="0080105E"/>
    <w:pPr>
      <w:shd w:val="clear" w:color="auto" w:fill="FF0000"/>
    </w:pPr>
    <w:rPr>
      <w:rFonts w:ascii="Times New Roman" w:hAnsi="Times New Roman"/>
      <w:color w:val="000000"/>
      <w:sz w:val="18"/>
    </w:rPr>
  </w:style>
  <w:style w:type="character" w:customStyle="1" w:styleId="superscript">
    <w:name w:val="superscript"/>
    <w:basedOn w:val="DefaultParagraphFont"/>
    <w:rsid w:val="0080105E"/>
  </w:style>
  <w:style w:type="character" w:customStyle="1" w:styleId="scxw48877978">
    <w:name w:val="scxw48877978"/>
    <w:basedOn w:val="DefaultParagraphFont"/>
    <w:rsid w:val="0080105E"/>
  </w:style>
  <w:style w:type="paragraph" w:customStyle="1" w:styleId="P68B1DB1-Prrafodelista9">
    <w:name w:val="P68B1DB1-Prrafodelista9"/>
    <w:basedOn w:val="ListParagraph"/>
    <w:rsid w:val="0080105E"/>
    <w:pPr>
      <w:spacing w:before="120" w:after="120" w:line="240" w:lineRule="auto"/>
    </w:pPr>
    <w:rPr>
      <w:rFonts w:eastAsia="Times New Roman" w:cstheme="minorHAnsi"/>
    </w:rPr>
  </w:style>
  <w:style w:type="character" w:customStyle="1" w:styleId="scxw101381782">
    <w:name w:val="scxw101381782"/>
    <w:basedOn w:val="DefaultParagraphFont"/>
    <w:rsid w:val="0080105E"/>
  </w:style>
  <w:style w:type="character" w:customStyle="1" w:styleId="Mention21">
    <w:name w:val="Mention21"/>
    <w:basedOn w:val="DefaultParagraphFont"/>
    <w:uiPriority w:val="99"/>
    <w:unhideWhenUsed/>
    <w:rsid w:val="0080105E"/>
    <w:rPr>
      <w:color w:val="2B579A"/>
      <w:shd w:val="clear" w:color="auto" w:fill="E6E6E6"/>
    </w:rPr>
  </w:style>
  <w:style w:type="character" w:customStyle="1" w:styleId="Mention2">
    <w:name w:val="Mention2"/>
    <w:basedOn w:val="DefaultParagraphFont"/>
    <w:uiPriority w:val="99"/>
    <w:unhideWhenUsed/>
    <w:rsid w:val="005E4FED"/>
    <w:rPr>
      <w:color w:val="2B579A"/>
      <w:shd w:val="clear" w:color="auto" w:fill="E1DFDD"/>
    </w:rPr>
  </w:style>
  <w:style w:type="character" w:customStyle="1" w:styleId="UnresolvedMention2">
    <w:name w:val="Unresolved Mention2"/>
    <w:basedOn w:val="DefaultParagraphFont"/>
    <w:uiPriority w:val="99"/>
    <w:unhideWhenUsed/>
    <w:rsid w:val="0080105E"/>
    <w:rPr>
      <w:color w:val="605E5C"/>
      <w:shd w:val="clear" w:color="auto" w:fill="E1DFDD"/>
    </w:rPr>
  </w:style>
  <w:style w:type="character" w:customStyle="1" w:styleId="Mention20">
    <w:name w:val="Mention20"/>
    <w:basedOn w:val="DefaultParagraphFont"/>
    <w:uiPriority w:val="99"/>
    <w:unhideWhenUsed/>
    <w:rsid w:val="0080105E"/>
    <w:rPr>
      <w:color w:val="2B579A"/>
      <w:shd w:val="clear" w:color="auto" w:fill="E6E6E6"/>
    </w:rPr>
  </w:style>
  <w:style w:type="character" w:customStyle="1" w:styleId="Mention3">
    <w:name w:val="Mention3"/>
    <w:basedOn w:val="DefaultParagraphFont"/>
    <w:uiPriority w:val="99"/>
    <w:unhideWhenUsed/>
    <w:rsid w:val="0080105E"/>
    <w:rPr>
      <w:color w:val="2B579A"/>
      <w:shd w:val="clear" w:color="auto" w:fill="E1DFDD"/>
    </w:rPr>
  </w:style>
  <w:style w:type="character" w:customStyle="1" w:styleId="UnresolvedMention3">
    <w:name w:val="Unresolved Mention3"/>
    <w:basedOn w:val="DefaultParagraphFont"/>
    <w:uiPriority w:val="99"/>
    <w:unhideWhenUsed/>
    <w:rsid w:val="0080105E"/>
    <w:rPr>
      <w:color w:val="605E5C"/>
      <w:shd w:val="clear" w:color="auto" w:fill="E1DFDD"/>
    </w:rPr>
  </w:style>
  <w:style w:type="character" w:customStyle="1" w:styleId="UnresolvedMention4">
    <w:name w:val="Unresolved Mention4"/>
    <w:basedOn w:val="DefaultParagraphFont"/>
    <w:uiPriority w:val="99"/>
    <w:unhideWhenUsed/>
    <w:rsid w:val="0080105E"/>
    <w:rPr>
      <w:color w:val="605E5C"/>
      <w:shd w:val="clear" w:color="auto" w:fill="E1DFDD"/>
    </w:rPr>
  </w:style>
  <w:style w:type="character" w:customStyle="1" w:styleId="Mention4">
    <w:name w:val="Mention4"/>
    <w:basedOn w:val="DefaultParagraphFont"/>
    <w:uiPriority w:val="99"/>
    <w:unhideWhenUsed/>
    <w:rsid w:val="0080105E"/>
    <w:rPr>
      <w:color w:val="2B579A"/>
      <w:shd w:val="clear" w:color="auto" w:fill="E1DFDD"/>
    </w:rPr>
  </w:style>
  <w:style w:type="character" w:customStyle="1" w:styleId="Mention5">
    <w:name w:val="Mention5"/>
    <w:basedOn w:val="DefaultParagraphFont"/>
    <w:uiPriority w:val="99"/>
    <w:unhideWhenUsed/>
    <w:rsid w:val="0080105E"/>
    <w:rPr>
      <w:color w:val="2B579A"/>
      <w:shd w:val="clear" w:color="auto" w:fill="E6E6E6"/>
    </w:rPr>
  </w:style>
  <w:style w:type="character" w:customStyle="1" w:styleId="UnresolvedMention5">
    <w:name w:val="Unresolved Mention5"/>
    <w:basedOn w:val="DefaultParagraphFont"/>
    <w:uiPriority w:val="99"/>
    <w:unhideWhenUsed/>
    <w:rsid w:val="0080105E"/>
    <w:rPr>
      <w:color w:val="605E5C"/>
      <w:shd w:val="clear" w:color="auto" w:fill="E1DFDD"/>
    </w:rPr>
  </w:style>
  <w:style w:type="character" w:customStyle="1" w:styleId="UnresolvedMention6">
    <w:name w:val="Unresolved Mention6"/>
    <w:basedOn w:val="DefaultParagraphFont"/>
    <w:uiPriority w:val="99"/>
    <w:unhideWhenUsed/>
    <w:rsid w:val="0080105E"/>
    <w:rPr>
      <w:color w:val="605E5C"/>
      <w:shd w:val="clear" w:color="auto" w:fill="E1DFDD"/>
    </w:rPr>
  </w:style>
  <w:style w:type="character" w:customStyle="1" w:styleId="Mention6">
    <w:name w:val="Mention6"/>
    <w:basedOn w:val="DefaultParagraphFont"/>
    <w:uiPriority w:val="99"/>
    <w:unhideWhenUsed/>
    <w:rsid w:val="0080105E"/>
    <w:rPr>
      <w:color w:val="2B579A"/>
      <w:shd w:val="clear" w:color="auto" w:fill="E1DFDD"/>
    </w:rPr>
  </w:style>
  <w:style w:type="character" w:customStyle="1" w:styleId="UnresolvedMention60">
    <w:name w:val="Unresolved Mention60"/>
    <w:basedOn w:val="DefaultParagraphFont"/>
    <w:uiPriority w:val="99"/>
    <w:unhideWhenUsed/>
    <w:rsid w:val="0080105E"/>
    <w:rPr>
      <w:color w:val="605E5C"/>
      <w:shd w:val="clear" w:color="auto" w:fill="E1DFDD"/>
    </w:rPr>
  </w:style>
  <w:style w:type="character" w:customStyle="1" w:styleId="UnresolvedMention7">
    <w:name w:val="Unresolved Mention7"/>
    <w:basedOn w:val="DefaultParagraphFont"/>
    <w:uiPriority w:val="99"/>
    <w:unhideWhenUsed/>
    <w:rsid w:val="0080105E"/>
    <w:rPr>
      <w:color w:val="605E5C"/>
      <w:shd w:val="clear" w:color="auto" w:fill="E1DFDD"/>
    </w:rPr>
  </w:style>
  <w:style w:type="character" w:customStyle="1" w:styleId="Mention60">
    <w:name w:val="Mention60"/>
    <w:basedOn w:val="DefaultParagraphFont"/>
    <w:uiPriority w:val="99"/>
    <w:unhideWhenUsed/>
    <w:rsid w:val="0080105E"/>
    <w:rPr>
      <w:color w:val="2B579A"/>
      <w:shd w:val="clear" w:color="auto" w:fill="E1DFDD"/>
    </w:rPr>
  </w:style>
  <w:style w:type="character" w:customStyle="1" w:styleId="Mention7">
    <w:name w:val="Mention7"/>
    <w:basedOn w:val="DefaultParagraphFont"/>
    <w:uiPriority w:val="99"/>
    <w:unhideWhenUsed/>
    <w:rsid w:val="0080105E"/>
    <w:rPr>
      <w:color w:val="2B579A"/>
      <w:shd w:val="clear" w:color="auto" w:fill="E1DFDD"/>
    </w:rPr>
  </w:style>
  <w:style w:type="character" w:customStyle="1" w:styleId="UnresolvedMention600">
    <w:name w:val="Unresolved Mention600"/>
    <w:basedOn w:val="DefaultParagraphFont"/>
    <w:uiPriority w:val="99"/>
    <w:unhideWhenUsed/>
    <w:rsid w:val="0080105E"/>
    <w:rPr>
      <w:color w:val="605E5C"/>
      <w:shd w:val="clear" w:color="auto" w:fill="E1DFDD"/>
    </w:rPr>
  </w:style>
  <w:style w:type="character" w:customStyle="1" w:styleId="Mention600">
    <w:name w:val="Mention600"/>
    <w:basedOn w:val="DefaultParagraphFont"/>
    <w:uiPriority w:val="99"/>
    <w:unhideWhenUsed/>
    <w:rsid w:val="0080105E"/>
    <w:rPr>
      <w:color w:val="2B579A"/>
      <w:shd w:val="clear" w:color="auto" w:fill="E1DFDD"/>
    </w:rPr>
  </w:style>
  <w:style w:type="character" w:customStyle="1" w:styleId="UnresolvedMention6000">
    <w:name w:val="Unresolved Mention6000"/>
    <w:basedOn w:val="DefaultParagraphFont"/>
    <w:uiPriority w:val="99"/>
    <w:unhideWhenUsed/>
    <w:rsid w:val="0080105E"/>
    <w:rPr>
      <w:color w:val="605E5C"/>
      <w:shd w:val="clear" w:color="auto" w:fill="E1DFDD"/>
    </w:rPr>
  </w:style>
  <w:style w:type="character" w:customStyle="1" w:styleId="Mention6000">
    <w:name w:val="Mention6000"/>
    <w:basedOn w:val="DefaultParagraphFont"/>
    <w:uiPriority w:val="99"/>
    <w:unhideWhenUsed/>
    <w:rsid w:val="0080105E"/>
    <w:rPr>
      <w:color w:val="2B579A"/>
      <w:shd w:val="clear" w:color="auto" w:fill="E6E6E6"/>
    </w:rPr>
  </w:style>
  <w:style w:type="character" w:customStyle="1" w:styleId="UnresolvedMention8">
    <w:name w:val="Unresolved Mention8"/>
    <w:basedOn w:val="DefaultParagraphFont"/>
    <w:uiPriority w:val="99"/>
    <w:unhideWhenUsed/>
    <w:rsid w:val="0080105E"/>
    <w:rPr>
      <w:color w:val="605E5C"/>
      <w:shd w:val="clear" w:color="auto" w:fill="E1DFDD"/>
    </w:rPr>
  </w:style>
  <w:style w:type="character" w:customStyle="1" w:styleId="Mention8">
    <w:name w:val="Mention8"/>
    <w:basedOn w:val="DefaultParagraphFont"/>
    <w:uiPriority w:val="99"/>
    <w:unhideWhenUsed/>
    <w:rsid w:val="0080105E"/>
    <w:rPr>
      <w:color w:val="2B579A"/>
      <w:shd w:val="clear" w:color="auto" w:fill="E1DFDD"/>
    </w:rPr>
  </w:style>
  <w:style w:type="character" w:customStyle="1" w:styleId="scxw72124611">
    <w:name w:val="scxw72124611"/>
    <w:basedOn w:val="DefaultParagraphFont"/>
    <w:rsid w:val="0080105E"/>
  </w:style>
  <w:style w:type="character" w:customStyle="1" w:styleId="Mention9">
    <w:name w:val="Mention9"/>
    <w:basedOn w:val="DefaultParagraphFont"/>
    <w:uiPriority w:val="99"/>
    <w:unhideWhenUsed/>
    <w:rsid w:val="0080105E"/>
    <w:rPr>
      <w:color w:val="2B579A"/>
      <w:shd w:val="clear" w:color="auto" w:fill="E1DFDD"/>
    </w:rPr>
  </w:style>
  <w:style w:type="table" w:styleId="PlainTable2">
    <w:name w:val="Plain Table 2"/>
    <w:basedOn w:val="TableNormal"/>
    <w:uiPriority w:val="42"/>
    <w:rsid w:val="008010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90">
    <w:name w:val="Mention90"/>
    <w:basedOn w:val="DefaultParagraphFont"/>
    <w:uiPriority w:val="99"/>
    <w:unhideWhenUsed/>
    <w:rsid w:val="0080105E"/>
    <w:rPr>
      <w:color w:val="2B579A"/>
      <w:shd w:val="clear" w:color="auto" w:fill="E1DFDD"/>
    </w:rPr>
  </w:style>
  <w:style w:type="character" w:customStyle="1" w:styleId="Mention900">
    <w:name w:val="Mention900"/>
    <w:basedOn w:val="DefaultParagraphFont"/>
    <w:uiPriority w:val="99"/>
    <w:unhideWhenUsed/>
    <w:rsid w:val="0080105E"/>
    <w:rPr>
      <w:color w:val="2B579A"/>
      <w:shd w:val="clear" w:color="auto" w:fill="E1DFDD"/>
    </w:rPr>
  </w:style>
  <w:style w:type="character" w:customStyle="1" w:styleId="Mention10">
    <w:name w:val="Mention10"/>
    <w:basedOn w:val="DefaultParagraphFont"/>
    <w:uiPriority w:val="99"/>
    <w:unhideWhenUsed/>
    <w:rsid w:val="0080105E"/>
    <w:rPr>
      <w:color w:val="2B579A"/>
      <w:shd w:val="clear" w:color="auto" w:fill="E1DFDD"/>
    </w:rPr>
  </w:style>
  <w:style w:type="character" w:customStyle="1" w:styleId="Mention100">
    <w:name w:val="Mention100"/>
    <w:basedOn w:val="DefaultParagraphFont"/>
    <w:uiPriority w:val="99"/>
    <w:unhideWhenUsed/>
    <w:rsid w:val="0080105E"/>
    <w:rPr>
      <w:color w:val="2B579A"/>
      <w:shd w:val="clear" w:color="auto" w:fill="E1DFDD"/>
    </w:rPr>
  </w:style>
  <w:style w:type="paragraph" w:customStyle="1" w:styleId="P68B1DB1-Normal2">
    <w:name w:val="P68B1DB1-Normal2"/>
    <w:basedOn w:val="Normal"/>
    <w:rsid w:val="001C2EC1"/>
    <w:pPr>
      <w:spacing w:after="160" w:line="256" w:lineRule="auto"/>
    </w:pPr>
    <w:rPr>
      <w:rFonts w:ascii="Times New Roman" w:hAnsi="Times New Roman" w:cs="Times New Roman"/>
      <w:b/>
    </w:rPr>
  </w:style>
  <w:style w:type="character" w:customStyle="1" w:styleId="hwtze">
    <w:name w:val="hwtze"/>
    <w:basedOn w:val="DefaultParagraphFont"/>
    <w:rsid w:val="001C2EC1"/>
  </w:style>
  <w:style w:type="paragraph" w:customStyle="1" w:styleId="P68B1DB1-Normal3">
    <w:name w:val="P68B1DB1-Normal3"/>
    <w:basedOn w:val="Normal"/>
    <w:rsid w:val="001C2EC1"/>
    <w:pPr>
      <w:spacing w:after="160" w:line="256" w:lineRule="auto"/>
    </w:pPr>
    <w:rPr>
      <w:rFonts w:ascii="Times New Roman" w:hAnsi="Times New Roman" w:cs="Times New Roman"/>
    </w:rPr>
  </w:style>
  <w:style w:type="character" w:customStyle="1" w:styleId="Bodytext1">
    <w:name w:val="Body text|1_"/>
    <w:basedOn w:val="DefaultParagraphFont"/>
    <w:link w:val="Bodytext10"/>
    <w:rsid w:val="001C2EC1"/>
    <w:rPr>
      <w:rFonts w:ascii="Arial" w:eastAsia="Arial" w:hAnsi="Arial" w:cs="Arial"/>
      <w:sz w:val="20"/>
    </w:rPr>
  </w:style>
  <w:style w:type="paragraph" w:customStyle="1" w:styleId="Bodytext10">
    <w:name w:val="Body text|1"/>
    <w:basedOn w:val="Normal"/>
    <w:link w:val="Bodytext1"/>
    <w:rsid w:val="001C2EC1"/>
    <w:pPr>
      <w:widowControl w:val="0"/>
      <w:spacing w:after="0" w:line="252" w:lineRule="auto"/>
      <w:ind w:firstLine="360"/>
    </w:pPr>
    <w:rPr>
      <w:rFonts w:ascii="Arial" w:eastAsia="Arial" w:hAnsi="Arial" w:cs="Arial"/>
      <w:sz w:val="20"/>
    </w:rPr>
  </w:style>
  <w:style w:type="character" w:customStyle="1" w:styleId="UnresolvedMention20">
    <w:name w:val="Unresolved Mention20"/>
    <w:basedOn w:val="DefaultParagraphFont"/>
    <w:uiPriority w:val="99"/>
    <w:unhideWhenUsed/>
    <w:rsid w:val="00C936DF"/>
    <w:rPr>
      <w:color w:val="605E5C"/>
      <w:shd w:val="clear" w:color="auto" w:fill="E1DFDD"/>
    </w:rPr>
  </w:style>
  <w:style w:type="character" w:customStyle="1" w:styleId="Mention200">
    <w:name w:val="Mention200"/>
    <w:basedOn w:val="DefaultParagraphFont"/>
    <w:uiPriority w:val="99"/>
    <w:unhideWhenUsed/>
    <w:rsid w:val="00C936DF"/>
    <w:rPr>
      <w:color w:val="2B579A"/>
      <w:shd w:val="clear" w:color="auto" w:fill="E1DFDD"/>
    </w:rPr>
  </w:style>
  <w:style w:type="paragraph" w:customStyle="1" w:styleId="LegalNumPar3">
    <w:name w:val="LegalNumPar3"/>
    <w:basedOn w:val="Normal"/>
    <w:uiPriority w:val="1"/>
    <w:rsid w:val="00A34B22"/>
    <w:pPr>
      <w:numPr>
        <w:ilvl w:val="2"/>
        <w:numId w:val="12"/>
      </w:numPr>
      <w:spacing w:after="160" w:line="259" w:lineRule="auto"/>
    </w:pPr>
  </w:style>
  <w:style w:type="paragraph" w:customStyle="1" w:styleId="LegalNumPar">
    <w:name w:val="LegalNumPar"/>
    <w:basedOn w:val="Normal"/>
    <w:rsid w:val="007043A5"/>
    <w:pPr>
      <w:spacing w:after="160" w:line="259" w:lineRule="auto"/>
      <w:ind w:left="476" w:hanging="476"/>
    </w:pPr>
  </w:style>
  <w:style w:type="paragraph" w:customStyle="1" w:styleId="LegalNumPar2">
    <w:name w:val="LegalNumPar2"/>
    <w:basedOn w:val="Normal"/>
    <w:rsid w:val="007043A5"/>
    <w:pPr>
      <w:spacing w:after="160" w:line="259" w:lineRule="auto"/>
      <w:ind w:left="953" w:hanging="477"/>
    </w:pPr>
  </w:style>
  <w:style w:type="character" w:customStyle="1" w:styleId="Mention11">
    <w:name w:val="Mention11"/>
    <w:basedOn w:val="DefaultParagraphFont"/>
    <w:uiPriority w:val="99"/>
    <w:unhideWhenUsed/>
    <w:rsid w:val="00621745"/>
    <w:rPr>
      <w:color w:val="2B579A"/>
      <w:shd w:val="clear" w:color="auto" w:fill="E1DFDD"/>
    </w:rPr>
  </w:style>
  <w:style w:type="character" w:customStyle="1" w:styleId="Mention110">
    <w:name w:val="Mention110"/>
    <w:basedOn w:val="DefaultParagraphFont"/>
    <w:uiPriority w:val="99"/>
    <w:unhideWhenUsed/>
    <w:rsid w:val="00674213"/>
    <w:rPr>
      <w:color w:val="2B579A"/>
      <w:shd w:val="clear" w:color="auto" w:fill="E1DFDD"/>
    </w:rPr>
  </w:style>
  <w:style w:type="character" w:customStyle="1" w:styleId="Mention1100">
    <w:name w:val="Mention1100"/>
    <w:basedOn w:val="DefaultParagraphFont"/>
    <w:uiPriority w:val="99"/>
    <w:unhideWhenUsed/>
    <w:rsid w:val="00674213"/>
    <w:rPr>
      <w:color w:val="2B579A"/>
      <w:shd w:val="clear" w:color="auto" w:fill="E1DFDD"/>
    </w:rPr>
  </w:style>
  <w:style w:type="character" w:customStyle="1" w:styleId="Mention11000">
    <w:name w:val="Mention11000"/>
    <w:basedOn w:val="DefaultParagraphFont"/>
    <w:uiPriority w:val="99"/>
    <w:unhideWhenUsed/>
    <w:rsid w:val="00674213"/>
    <w:rPr>
      <w:color w:val="2B579A"/>
      <w:shd w:val="clear" w:color="auto" w:fill="E1DFDD"/>
    </w:rPr>
  </w:style>
  <w:style w:type="character" w:customStyle="1" w:styleId="Mention110000">
    <w:name w:val="Mention110000"/>
    <w:basedOn w:val="DefaultParagraphFont"/>
    <w:uiPriority w:val="99"/>
    <w:unhideWhenUsed/>
    <w:rsid w:val="00674213"/>
    <w:rPr>
      <w:color w:val="2B579A"/>
      <w:shd w:val="clear" w:color="auto" w:fill="E1DFDD"/>
    </w:rPr>
  </w:style>
  <w:style w:type="character" w:customStyle="1" w:styleId="Mention1100000">
    <w:name w:val="Mention1100000"/>
    <w:basedOn w:val="DefaultParagraphFont"/>
    <w:uiPriority w:val="99"/>
    <w:unhideWhenUsed/>
    <w:rsid w:val="00674213"/>
    <w:rPr>
      <w:color w:val="2B579A"/>
      <w:shd w:val="clear" w:color="auto" w:fill="E1DFDD"/>
    </w:rPr>
  </w:style>
  <w:style w:type="character" w:customStyle="1" w:styleId="Mention12">
    <w:name w:val="Mention12"/>
    <w:basedOn w:val="DefaultParagraphFont"/>
    <w:uiPriority w:val="99"/>
    <w:unhideWhenUsed/>
    <w:rsid w:val="00674213"/>
    <w:rPr>
      <w:color w:val="2B579A"/>
      <w:shd w:val="clear" w:color="auto" w:fill="E1DFDD"/>
    </w:rPr>
  </w:style>
  <w:style w:type="character" w:customStyle="1" w:styleId="Mention11000000">
    <w:name w:val="Mention11000000"/>
    <w:basedOn w:val="DefaultParagraphFont"/>
    <w:uiPriority w:val="99"/>
    <w:unhideWhenUsed/>
    <w:rsid w:val="00674213"/>
    <w:rPr>
      <w:color w:val="2B579A"/>
      <w:shd w:val="clear" w:color="auto" w:fill="E1DFDD"/>
    </w:rPr>
  </w:style>
  <w:style w:type="character" w:customStyle="1" w:styleId="Mention110000000">
    <w:name w:val="Mention110000000"/>
    <w:basedOn w:val="DefaultParagraphFont"/>
    <w:uiPriority w:val="99"/>
    <w:unhideWhenUsed/>
    <w:rsid w:val="00674213"/>
    <w:rPr>
      <w:color w:val="2B579A"/>
      <w:shd w:val="clear" w:color="auto" w:fill="E1DFDD"/>
    </w:rPr>
  </w:style>
  <w:style w:type="character" w:customStyle="1" w:styleId="Mention1100000000">
    <w:name w:val="Mention1100000000"/>
    <w:basedOn w:val="DefaultParagraphFont"/>
    <w:uiPriority w:val="99"/>
    <w:unhideWhenUsed/>
    <w:rsid w:val="00674213"/>
    <w:rPr>
      <w:color w:val="2B579A"/>
      <w:shd w:val="clear" w:color="auto" w:fill="E1DFDD"/>
    </w:rPr>
  </w:style>
  <w:style w:type="character" w:customStyle="1" w:styleId="Mention11000000000">
    <w:name w:val="Mention11000000000"/>
    <w:basedOn w:val="DefaultParagraphFont"/>
    <w:uiPriority w:val="99"/>
    <w:unhideWhenUsed/>
    <w:rsid w:val="00674213"/>
    <w:rPr>
      <w:color w:val="2B579A"/>
      <w:shd w:val="clear" w:color="auto" w:fill="E1DFDD"/>
    </w:rPr>
  </w:style>
  <w:style w:type="character" w:customStyle="1" w:styleId="Mention110000000000">
    <w:name w:val="Mention110000000000"/>
    <w:basedOn w:val="DefaultParagraphFont"/>
    <w:uiPriority w:val="99"/>
    <w:unhideWhenUsed/>
    <w:rsid w:val="00674213"/>
    <w:rPr>
      <w:color w:val="2B579A"/>
      <w:shd w:val="clear" w:color="auto" w:fill="E1DFDD"/>
    </w:rPr>
  </w:style>
  <w:style w:type="character" w:customStyle="1" w:styleId="Mention1100000000000">
    <w:name w:val="Mention1100000000000"/>
    <w:basedOn w:val="DefaultParagraphFont"/>
    <w:uiPriority w:val="99"/>
    <w:unhideWhenUsed/>
    <w:rsid w:val="00674213"/>
    <w:rPr>
      <w:color w:val="2B579A"/>
      <w:shd w:val="clear" w:color="auto" w:fill="E1DFDD"/>
    </w:rPr>
  </w:style>
  <w:style w:type="character" w:customStyle="1" w:styleId="Mention11000000000000">
    <w:name w:val="Mention11000000000000"/>
    <w:basedOn w:val="DefaultParagraphFont"/>
    <w:uiPriority w:val="99"/>
    <w:unhideWhenUsed/>
    <w:rsid w:val="008320D6"/>
    <w:rPr>
      <w:color w:val="2B579A"/>
      <w:shd w:val="clear" w:color="auto" w:fill="E1DFDD"/>
    </w:rPr>
  </w:style>
  <w:style w:type="character" w:customStyle="1" w:styleId="Mention13">
    <w:name w:val="Mention13"/>
    <w:basedOn w:val="DefaultParagraphFont"/>
    <w:uiPriority w:val="99"/>
    <w:unhideWhenUsed/>
    <w:rsid w:val="00995BE2"/>
    <w:rPr>
      <w:color w:val="2B579A"/>
      <w:shd w:val="clear" w:color="auto" w:fill="E1DFDD"/>
    </w:rPr>
  </w:style>
  <w:style w:type="character" w:customStyle="1" w:styleId="FooterSensitivityChar">
    <w:name w:val="Footer Sensitivity Char"/>
    <w:basedOn w:val="DefaultParagraphFont"/>
    <w:link w:val="FooterSensitivity"/>
    <w:rsid w:val="008616A9"/>
    <w:rPr>
      <w:rFonts w:ascii="Times New Roman" w:hAnsi="Times New Roman" w:cs="Times New Roman"/>
      <w:b/>
      <w:sz w:val="32"/>
    </w:rPr>
  </w:style>
  <w:style w:type="character" w:customStyle="1" w:styleId="HeaderSensitivityChar">
    <w:name w:val="Header Sensitivity Char"/>
    <w:basedOn w:val="DefaultParagraphFont"/>
    <w:link w:val="HeaderSensitivity"/>
    <w:rsid w:val="008616A9"/>
    <w:rPr>
      <w:rFonts w:ascii="Times New Roman" w:hAnsi="Times New Roman" w:cs="Times New Roman"/>
      <w:b/>
      <w:sz w:val="32"/>
    </w:rPr>
  </w:style>
  <w:style w:type="character" w:customStyle="1" w:styleId="HeaderSensitivityRightChar">
    <w:name w:val="Header Sensitivity Right Char"/>
    <w:basedOn w:val="DefaultParagraphFont"/>
    <w:link w:val="HeaderSensitivityRight"/>
    <w:rsid w:val="008616A9"/>
    <w:rPr>
      <w:rFonts w:ascii="Times New Roman" w:hAnsi="Times New Roman" w:cs="Times New Roman"/>
      <w:sz w:val="28"/>
    </w:rPr>
  </w:style>
  <w:style w:type="character" w:customStyle="1" w:styleId="Mention14">
    <w:name w:val="Mention14"/>
    <w:basedOn w:val="DefaultParagraphFont"/>
    <w:uiPriority w:val="99"/>
    <w:unhideWhenUsed/>
    <w:rsid w:val="005E3317"/>
    <w:rPr>
      <w:color w:val="2B579A"/>
      <w:shd w:val="clear" w:color="auto" w:fill="E1DFDD"/>
    </w:rPr>
  </w:style>
  <w:style w:type="character" w:customStyle="1" w:styleId="UnresolvedMention">
    <w:name w:val="Unresolved Mention"/>
    <w:basedOn w:val="DefaultParagraphFont"/>
    <w:uiPriority w:val="99"/>
    <w:semiHidden/>
    <w:unhideWhenUsed/>
    <w:rsid w:val="001F52FC"/>
    <w:rPr>
      <w:color w:val="605E5C"/>
      <w:shd w:val="clear" w:color="auto" w:fill="E1DFDD"/>
    </w:rPr>
  </w:style>
  <w:style w:type="paragraph" w:customStyle="1" w:styleId="P68B1DB1-Normal1">
    <w:name w:val="P68B1DB1-Normal1"/>
    <w:basedOn w:val="Normal"/>
    <w:rPr>
      <w:rFonts w:ascii="Times New Roman" w:hAnsi="Times New Roman"/>
      <w:b/>
      <w:sz w:val="28"/>
    </w:rPr>
  </w:style>
  <w:style w:type="paragraph" w:customStyle="1" w:styleId="P68B1DB1-Heading12">
    <w:name w:val="P68B1DB1-Heading12"/>
    <w:basedOn w:val="Heading1"/>
    <w:rPr>
      <w:rFonts w:ascii="Times New Roman" w:hAnsi="Times New Roman"/>
    </w:rPr>
  </w:style>
  <w:style w:type="paragraph" w:customStyle="1" w:styleId="P68B1DB1-Normal4">
    <w:name w:val="P68B1DB1-Normal4"/>
    <w:basedOn w:val="Normal"/>
    <w:rPr>
      <w:rFonts w:ascii="Times New Roman" w:hAnsi="Times New Roman"/>
      <w:sz w:val="24"/>
    </w:rPr>
  </w:style>
  <w:style w:type="paragraph" w:customStyle="1" w:styleId="P68B1DB1-Normal5">
    <w:name w:val="P68B1DB1-Normal5"/>
    <w:basedOn w:val="Normal"/>
    <w:rPr>
      <w:rFonts w:ascii="Times New Roman" w:hAnsi="Times New Roman"/>
      <w:b/>
      <w:sz w:val="24"/>
      <w:u w:val="single"/>
    </w:rPr>
  </w:style>
  <w:style w:type="paragraph" w:customStyle="1" w:styleId="P68B1DB1-Normal6">
    <w:name w:val="P68B1DB1-Normal6"/>
    <w:basedOn w:val="Normal"/>
    <w:rPr>
      <w:rFonts w:ascii="Times New Roman" w:hAnsi="Times New Roman"/>
      <w:sz w:val="24"/>
      <w:u w:val="single"/>
    </w:rPr>
  </w:style>
  <w:style w:type="paragraph" w:customStyle="1" w:styleId="P68B1DB1-ListParagraph7">
    <w:name w:val="P68B1DB1-ListParagraph7"/>
    <w:basedOn w:val="ListParagraph"/>
    <w:rPr>
      <w:rFonts w:ascii="Times New Roman" w:hAnsi="Times New Roman"/>
      <w:sz w:val="24"/>
    </w:rPr>
  </w:style>
  <w:style w:type="paragraph" w:customStyle="1" w:styleId="P68B1DB1-Normal8">
    <w:name w:val="P68B1DB1-Normal8"/>
    <w:basedOn w:val="Normal"/>
    <w:rPr>
      <w:rFonts w:ascii="Times New Roman" w:hAnsi="Times New Roman"/>
    </w:rPr>
  </w:style>
  <w:style w:type="paragraph" w:customStyle="1" w:styleId="P68B1DB1-Normal12">
    <w:name w:val="P68B1DB1-Normal12"/>
    <w:basedOn w:val="Normal"/>
    <w:rPr>
      <w:rFonts w:ascii="Times New Roman" w:hAnsi="Times New Roman"/>
      <w:b/>
      <w:sz w:val="18"/>
    </w:rPr>
  </w:style>
  <w:style w:type="paragraph" w:customStyle="1" w:styleId="P68B1DB1-Normal13">
    <w:name w:val="P68B1DB1-Normal13"/>
    <w:basedOn w:val="Normal"/>
    <w:rPr>
      <w:rFonts w:ascii="Times New Roman" w:hAnsi="Times New Roman"/>
      <w:sz w:val="18"/>
    </w:rPr>
  </w:style>
  <w:style w:type="paragraph" w:customStyle="1" w:styleId="P68B1DB1-ListParagraph14">
    <w:name w:val="P68B1DB1-ListParagraph14"/>
    <w:basedOn w:val="ListParagraph"/>
    <w:rPr>
      <w:rFonts w:ascii="Times New Roman" w:hAnsi="Times New Roman"/>
      <w:sz w:val="18"/>
    </w:rPr>
  </w:style>
  <w:style w:type="paragraph" w:customStyle="1" w:styleId="P68B1DB1-Normal15">
    <w:name w:val="P68B1DB1-Normal15"/>
    <w:basedOn w:val="Normal"/>
    <w:rPr>
      <w:rFonts w:ascii="Times New Roman" w:hAnsi="Times New Roman"/>
      <w:u w:val="single"/>
    </w:rPr>
  </w:style>
  <w:style w:type="paragraph" w:customStyle="1" w:styleId="P68B1DB1-xmsonormal16">
    <w:name w:val="P68B1DB1-xmsonormal16"/>
    <w:basedOn w:val="xmsonormal"/>
    <w:rPr>
      <w:rFonts w:ascii="Times New Roman" w:hAnsi="Times New Roman"/>
      <w:sz w:val="24"/>
    </w:rPr>
  </w:style>
  <w:style w:type="paragraph" w:customStyle="1" w:styleId="P68B1DB1-LegalNumPar317">
    <w:name w:val="P68B1DB1-LegalNumPar317"/>
    <w:basedOn w:val="LegalNumPar3"/>
    <w:rPr>
      <w:rFonts w:ascii="Times New Roman" w:hAnsi="Times New Roman"/>
      <w:sz w:val="24"/>
    </w:rPr>
  </w:style>
  <w:style w:type="paragraph" w:customStyle="1" w:styleId="P68B1DB1-Normal18">
    <w:name w:val="P68B1DB1-Normal18"/>
    <w:basedOn w:val="Normal"/>
    <w:rPr>
      <w:rFonts w:ascii="Times New Roman" w:hAnsi="Times New Roman"/>
      <w:i/>
      <w:sz w:val="24"/>
    </w:rPr>
  </w:style>
  <w:style w:type="paragraph" w:customStyle="1" w:styleId="P68B1DB1-Text119">
    <w:name w:val="P68B1DB1-Text119"/>
    <w:basedOn w:val="Text1"/>
    <w:rPr>
      <w:rFonts w:ascii="Times New Roman" w:hAnsi="Times New Roman"/>
    </w:rPr>
  </w:style>
  <w:style w:type="paragraph" w:customStyle="1" w:styleId="P68B1DB1-Text120">
    <w:name w:val="P68B1DB1-Text120"/>
    <w:basedOn w:val="Text1"/>
    <w:rPr>
      <w:rFonts w:ascii="Times New Roman" w:hAnsi="Times New Roman"/>
      <w:u w:val="single"/>
    </w:rPr>
  </w:style>
  <w:style w:type="paragraph" w:customStyle="1" w:styleId="P68B1DB1-Normal21">
    <w:name w:val="P68B1DB1-Normal21"/>
    <w:basedOn w:val="Normal"/>
    <w:rPr>
      <w:rFonts w:ascii="Times New Roman" w:hAnsi="Times New Roman"/>
      <w:i/>
      <w:sz w:val="18"/>
    </w:rPr>
  </w:style>
  <w:style w:type="paragraph" w:customStyle="1" w:styleId="P68B1DB1-Normal22">
    <w:name w:val="P68B1DB1-Normal22"/>
    <w:basedOn w:val="Normal"/>
    <w:rPr>
      <w:rFonts w:ascii="Times New Roman" w:hAnsi="Times New Roman"/>
      <w:sz w:val="24"/>
      <w:shd w:val="clear" w:color="auto" w:fill="FFFFFF"/>
    </w:rPr>
  </w:style>
  <w:style w:type="paragraph" w:customStyle="1" w:styleId="P68B1DB1-Normal23">
    <w:name w:val="P68B1DB1-Normal23"/>
    <w:basedOn w:val="Normal"/>
    <w:rPr>
      <w:rFonts w:ascii="Times New Roman" w:hAnsi="Times New Roman"/>
      <w:sz w:val="24"/>
      <w:u w:val="single"/>
      <w:shd w:val="clear" w:color="auto" w:fill="FFFFFF"/>
    </w:rPr>
  </w:style>
  <w:style w:type="paragraph" w:customStyle="1" w:styleId="P68B1DB1-ListParagraph24">
    <w:name w:val="P68B1DB1-ListParagraph24"/>
    <w:basedOn w:val="ListParagraph"/>
    <w:rPr>
      <w:rFonts w:ascii="Times New Roman" w:hAnsi="Times New Roman"/>
    </w:rPr>
  </w:style>
  <w:style w:type="paragraph" w:customStyle="1" w:styleId="P68B1DB1-paragraph25">
    <w:name w:val="P68B1DB1-paragraph25"/>
    <w:basedOn w:val="paragraph"/>
    <w:rPr>
      <w:rFonts w:ascii="Times New Roman" w:hAnsi="Times New Roman"/>
    </w:rPr>
  </w:style>
  <w:style w:type="paragraph" w:customStyle="1" w:styleId="P68B1DB1-paragraph26">
    <w:name w:val="P68B1DB1-paragraph26"/>
    <w:basedOn w:val="paragraph"/>
    <w:rPr>
      <w:rFonts w:ascii="Times New Roman" w:hAnsi="Times New Roman"/>
      <w:u w:val="single"/>
    </w:rPr>
  </w:style>
  <w:style w:type="paragraph" w:customStyle="1" w:styleId="P68B1DB1-Heading227">
    <w:name w:val="P68B1DB1-Heading227"/>
    <w:basedOn w:val="Heading2"/>
    <w:rPr>
      <w:rFonts w:ascii="Times New Roman" w:hAnsi="Times New Roman"/>
      <w:u w:val="single"/>
    </w:rPr>
  </w:style>
  <w:style w:type="paragraph" w:customStyle="1" w:styleId="P68B1DB1-Text128">
    <w:name w:val="P68B1DB1-Text128"/>
    <w:basedOn w:val="Text1"/>
    <w:rPr>
      <w:rFonts w:ascii="Times New Roman" w:hAnsi="Times New Roman"/>
      <w:sz w:val="18"/>
    </w:rPr>
  </w:style>
  <w:style w:type="paragraph" w:customStyle="1" w:styleId="P68B1DB1-LegalNumPar29">
    <w:name w:val="P68B1DB1-LegalNumPar29"/>
    <w:basedOn w:val="LegalNumPar"/>
    <w:rPr>
      <w:rFonts w:ascii="Times New Roman" w:hAnsi="Times New Roman"/>
      <w:sz w:val="24"/>
    </w:rPr>
  </w:style>
  <w:style w:type="paragraph" w:customStyle="1" w:styleId="P68B1DB1-LegalNumPar230">
    <w:name w:val="P68B1DB1-LegalNumPar230"/>
    <w:basedOn w:val="LegalNumPar2"/>
    <w:rPr>
      <w:rFonts w:ascii="Times New Roman" w:hAnsi="Times New Roman"/>
      <w:sz w:val="24"/>
    </w:rPr>
  </w:style>
  <w:style w:type="paragraph" w:customStyle="1" w:styleId="P68B1DB1-paragraph31">
    <w:name w:val="P68B1DB1-paragraph31"/>
    <w:basedOn w:val="paragraph"/>
    <w:rPr>
      <w:rFonts w:ascii="Times New Roman" w:hAnsi="Times New Roman"/>
      <w:b/>
      <w:u w:val="single"/>
    </w:rPr>
  </w:style>
  <w:style w:type="paragraph" w:customStyle="1" w:styleId="P68B1DB1-paragraph32">
    <w:name w:val="P68B1DB1-paragraph32"/>
    <w:basedOn w:val="paragraph"/>
    <w:rPr>
      <w:rFonts w:ascii="Times New Roman" w:hAnsi="Times New Roman"/>
      <w:sz w:val="18"/>
    </w:rPr>
  </w:style>
  <w:style w:type="paragraph" w:customStyle="1" w:styleId="P68B1DB1-Normal33">
    <w:name w:val="P68B1DB1-Normal33"/>
    <w:basedOn w:val="Normal"/>
    <w:rPr>
      <w:rFonts w:ascii="Times New Roman" w:hAnsi="Times New Roman"/>
      <w:b/>
      <w:u w:val="single"/>
    </w:rPr>
  </w:style>
  <w:style w:type="paragraph" w:customStyle="1" w:styleId="P68B1DB1-Normal34">
    <w:name w:val="P68B1DB1-Normal34"/>
    <w:basedOn w:val="Normal"/>
    <w:rPr>
      <w:rFonts w:ascii="Times New Roman" w:hAnsi="Times New Roman"/>
      <w:sz w:val="18"/>
      <w:shd w:val="clear" w:color="auto" w:fill="E6E6E6"/>
    </w:rPr>
  </w:style>
  <w:style w:type="paragraph" w:customStyle="1" w:styleId="P68B1DB1-Heading2blue35">
    <w:name w:val="P68B1DB1-Heading2blue35"/>
    <w:basedOn w:val="Heading2blue"/>
    <w:rPr>
      <w:color w:val="auto"/>
    </w:rPr>
  </w:style>
  <w:style w:type="paragraph" w:customStyle="1" w:styleId="P68B1DB1-Heading3blue36">
    <w:name w:val="P68B1DB1-Heading3blue36"/>
    <w:basedOn w:val="Heading3blue"/>
    <w:rPr>
      <w:color w:val="auto"/>
    </w:rPr>
  </w:style>
  <w:style w:type="paragraph" w:customStyle="1" w:styleId="P68B1DB1-Heading337">
    <w:name w:val="P68B1DB1-Heading337"/>
    <w:basedOn w:val="Heading3"/>
    <w:rPr>
      <w:rFonts w:ascii="Times New Roman" w:hAnsi="Times New Roman"/>
      <w:i w:val="0"/>
      <w:u w:val="single"/>
    </w:rPr>
  </w:style>
  <w:style w:type="paragraph" w:customStyle="1" w:styleId="P68B1DB1-Text138">
    <w:name w:val="P68B1DB1-Text138"/>
    <w:basedOn w:val="Text1"/>
    <w:rPr>
      <w:rFonts w:ascii="Times New Roman" w:hAnsi="Times New Roman"/>
      <w:b/>
      <w:u w:val="single"/>
    </w:rPr>
  </w:style>
  <w:style w:type="paragraph" w:customStyle="1" w:styleId="P68B1DB1-P68B1DB1-Normal339">
    <w:name w:val="P68B1DB1-P68B1DB1-Normal339"/>
    <w:basedOn w:val="P68B1DB1-Normal3"/>
    <w:rPr>
      <w:sz w:val="24"/>
    </w:rPr>
  </w:style>
  <w:style w:type="paragraph" w:customStyle="1" w:styleId="P68B1DB1-Text140">
    <w:name w:val="P68B1DB1-Text140"/>
    <w:basedOn w:val="Text1"/>
    <w:rPr>
      <w:rFonts w:ascii="Times New Roman" w:hAnsi="Times New Roman"/>
      <w:i/>
    </w:rPr>
  </w:style>
  <w:style w:type="paragraph" w:customStyle="1" w:styleId="P68B1DB1-Text141">
    <w:name w:val="P68B1DB1-Text141"/>
    <w:basedOn w:val="Text1"/>
    <w:rPr>
      <w:rFonts w:ascii="Times New Roman" w:hAnsi="Times New Roman"/>
      <w:b/>
    </w:rPr>
  </w:style>
  <w:style w:type="paragraph" w:customStyle="1" w:styleId="P68B1DB1-Normal42">
    <w:name w:val="P68B1DB1-Normal42"/>
    <w:basedOn w:val="Normal"/>
    <w:rPr>
      <w:u w:val="single"/>
    </w:rPr>
  </w:style>
  <w:style w:type="paragraph" w:customStyle="1" w:styleId="P68B1DB1-Normal43">
    <w:name w:val="P68B1DB1-Normal43"/>
    <w:basedOn w:val="Normal"/>
    <w:rPr>
      <w:rFonts w:ascii="Times New Roman" w:hAnsi="Times New Roman"/>
      <w:b/>
      <w:sz w:val="24"/>
    </w:rPr>
  </w:style>
  <w:style w:type="paragraph" w:customStyle="1" w:styleId="P68B1DB1-NumPar144">
    <w:name w:val="P68B1DB1-NumPar144"/>
    <w:basedOn w:val="NumPar1"/>
    <w:rPr>
      <w:rFonts w:ascii="Times New Roman" w:hAnsi="Times New Roman"/>
      <w:b/>
    </w:rPr>
  </w:style>
  <w:style w:type="paragraph" w:customStyle="1" w:styleId="P68B1DB1-Normal45">
    <w:name w:val="P68B1DB1-Normal45"/>
    <w:basedOn w:val="Normal"/>
    <w:rPr>
      <w:rFonts w:ascii="Times New Roman" w:hAnsi="Times New Roman"/>
      <w:b/>
      <w:sz w:val="20"/>
    </w:rPr>
  </w:style>
  <w:style w:type="paragraph" w:customStyle="1" w:styleId="P68B1DB1-Normal46">
    <w:name w:val="P68B1DB1-Normal46"/>
    <w:basedOn w:val="Normal"/>
    <w:rPr>
      <w:rFonts w:ascii="Times New Roman" w:hAnsi="Times New Roman"/>
      <w:sz w:val="20"/>
    </w:rPr>
  </w:style>
  <w:style w:type="paragraph" w:customStyle="1" w:styleId="P68B1DB1-FootnoteText47">
    <w:name w:val="P68B1DB1-FootnoteText47"/>
    <w:basedOn w:val="FootnoteText"/>
    <w:rPr>
      <w:rFonts w:ascii="Times New Roman" w:hAnsi="Times New Roman"/>
    </w:rPr>
  </w:style>
  <w:style w:type="paragraph" w:customStyle="1" w:styleId="P68B1DB1-Text148">
    <w:name w:val="P68B1DB1-Text148"/>
    <w:basedOn w:val="Text1"/>
    <w:rPr>
      <w:rFonts w:ascii="Times New Roman" w:hAnsi="Times New Roman"/>
      <w:sz w:val="20"/>
    </w:rPr>
  </w:style>
  <w:style w:type="paragraph" w:customStyle="1" w:styleId="P68B1DB1-Footer49">
    <w:name w:val="P68B1DB1-Footer49"/>
    <w:basedOn w:val="Footer"/>
    <w:rPr>
      <w:rFonts w:ascii="Times New Roman" w:hAnsi="Times New Roman" w:cs="Times New Roman"/>
    </w:rPr>
  </w:style>
  <w:style w:type="paragraph" w:customStyle="1" w:styleId="P68B1DB1-Footer50">
    <w:name w:val="P68B1DB1-Footer50"/>
    <w:basedOn w:val="Footer"/>
    <w:rPr>
      <w:rFonts w:ascii="Arial" w:hAnsi="Arial" w:cs="Arial"/>
      <w:sz w:val="20"/>
    </w:rPr>
  </w:style>
  <w:style w:type="paragraph" w:customStyle="1" w:styleId="P68B1DB1-Footer51">
    <w:name w:val="P68B1DB1-Footer51"/>
    <w:basedOn w:val="Footer"/>
    <w:rPr>
      <w:sz w:val="20"/>
    </w:rPr>
  </w:style>
  <w:style w:type="paragraph" w:customStyle="1" w:styleId="P68B1DB1-Footer52">
    <w:name w:val="P68B1DB1-Footer52"/>
    <w:basedOn w:val="Footer"/>
    <w:rPr>
      <w:rFonts w:ascii="Times New Roman"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8581">
      <w:bodyDiv w:val="1"/>
      <w:marLeft w:val="0"/>
      <w:marRight w:val="0"/>
      <w:marTop w:val="0"/>
      <w:marBottom w:val="0"/>
      <w:divBdr>
        <w:top w:val="none" w:sz="0" w:space="0" w:color="auto"/>
        <w:left w:val="none" w:sz="0" w:space="0" w:color="auto"/>
        <w:bottom w:val="none" w:sz="0" w:space="0" w:color="auto"/>
        <w:right w:val="none" w:sz="0" w:space="0" w:color="auto"/>
      </w:divBdr>
    </w:div>
    <w:div w:id="88818095">
      <w:bodyDiv w:val="1"/>
      <w:marLeft w:val="0"/>
      <w:marRight w:val="0"/>
      <w:marTop w:val="0"/>
      <w:marBottom w:val="0"/>
      <w:divBdr>
        <w:top w:val="none" w:sz="0" w:space="0" w:color="auto"/>
        <w:left w:val="none" w:sz="0" w:space="0" w:color="auto"/>
        <w:bottom w:val="none" w:sz="0" w:space="0" w:color="auto"/>
        <w:right w:val="none" w:sz="0" w:space="0" w:color="auto"/>
      </w:divBdr>
    </w:div>
    <w:div w:id="101993847">
      <w:bodyDiv w:val="1"/>
      <w:marLeft w:val="0"/>
      <w:marRight w:val="0"/>
      <w:marTop w:val="0"/>
      <w:marBottom w:val="0"/>
      <w:divBdr>
        <w:top w:val="none" w:sz="0" w:space="0" w:color="auto"/>
        <w:left w:val="none" w:sz="0" w:space="0" w:color="auto"/>
        <w:bottom w:val="none" w:sz="0" w:space="0" w:color="auto"/>
        <w:right w:val="none" w:sz="0" w:space="0" w:color="auto"/>
      </w:divBdr>
      <w:divsChild>
        <w:div w:id="249848255">
          <w:marLeft w:val="0"/>
          <w:marRight w:val="0"/>
          <w:marTop w:val="0"/>
          <w:marBottom w:val="0"/>
          <w:divBdr>
            <w:top w:val="none" w:sz="0" w:space="0" w:color="auto"/>
            <w:left w:val="none" w:sz="0" w:space="0" w:color="auto"/>
            <w:bottom w:val="none" w:sz="0" w:space="0" w:color="auto"/>
            <w:right w:val="none" w:sz="0" w:space="0" w:color="auto"/>
          </w:divBdr>
        </w:div>
        <w:div w:id="336690782">
          <w:marLeft w:val="0"/>
          <w:marRight w:val="0"/>
          <w:marTop w:val="0"/>
          <w:marBottom w:val="0"/>
          <w:divBdr>
            <w:top w:val="none" w:sz="0" w:space="0" w:color="auto"/>
            <w:left w:val="none" w:sz="0" w:space="0" w:color="auto"/>
            <w:bottom w:val="none" w:sz="0" w:space="0" w:color="auto"/>
            <w:right w:val="none" w:sz="0" w:space="0" w:color="auto"/>
          </w:divBdr>
        </w:div>
        <w:div w:id="533269353">
          <w:marLeft w:val="0"/>
          <w:marRight w:val="0"/>
          <w:marTop w:val="0"/>
          <w:marBottom w:val="0"/>
          <w:divBdr>
            <w:top w:val="none" w:sz="0" w:space="0" w:color="auto"/>
            <w:left w:val="none" w:sz="0" w:space="0" w:color="auto"/>
            <w:bottom w:val="none" w:sz="0" w:space="0" w:color="auto"/>
            <w:right w:val="none" w:sz="0" w:space="0" w:color="auto"/>
          </w:divBdr>
        </w:div>
        <w:div w:id="774591405">
          <w:marLeft w:val="0"/>
          <w:marRight w:val="0"/>
          <w:marTop w:val="0"/>
          <w:marBottom w:val="0"/>
          <w:divBdr>
            <w:top w:val="none" w:sz="0" w:space="0" w:color="auto"/>
            <w:left w:val="none" w:sz="0" w:space="0" w:color="auto"/>
            <w:bottom w:val="none" w:sz="0" w:space="0" w:color="auto"/>
            <w:right w:val="none" w:sz="0" w:space="0" w:color="auto"/>
          </w:divBdr>
        </w:div>
      </w:divsChild>
    </w:div>
    <w:div w:id="153767423">
      <w:bodyDiv w:val="1"/>
      <w:marLeft w:val="0"/>
      <w:marRight w:val="0"/>
      <w:marTop w:val="0"/>
      <w:marBottom w:val="0"/>
      <w:divBdr>
        <w:top w:val="none" w:sz="0" w:space="0" w:color="auto"/>
        <w:left w:val="none" w:sz="0" w:space="0" w:color="auto"/>
        <w:bottom w:val="none" w:sz="0" w:space="0" w:color="auto"/>
        <w:right w:val="none" w:sz="0" w:space="0" w:color="auto"/>
      </w:divBdr>
    </w:div>
    <w:div w:id="213470010">
      <w:bodyDiv w:val="1"/>
      <w:marLeft w:val="0"/>
      <w:marRight w:val="0"/>
      <w:marTop w:val="0"/>
      <w:marBottom w:val="0"/>
      <w:divBdr>
        <w:top w:val="none" w:sz="0" w:space="0" w:color="auto"/>
        <w:left w:val="none" w:sz="0" w:space="0" w:color="auto"/>
        <w:bottom w:val="none" w:sz="0" w:space="0" w:color="auto"/>
        <w:right w:val="none" w:sz="0" w:space="0" w:color="auto"/>
      </w:divBdr>
    </w:div>
    <w:div w:id="225646797">
      <w:bodyDiv w:val="1"/>
      <w:marLeft w:val="0"/>
      <w:marRight w:val="0"/>
      <w:marTop w:val="0"/>
      <w:marBottom w:val="0"/>
      <w:divBdr>
        <w:top w:val="none" w:sz="0" w:space="0" w:color="auto"/>
        <w:left w:val="none" w:sz="0" w:space="0" w:color="auto"/>
        <w:bottom w:val="none" w:sz="0" w:space="0" w:color="auto"/>
        <w:right w:val="none" w:sz="0" w:space="0" w:color="auto"/>
      </w:divBdr>
    </w:div>
    <w:div w:id="234516724">
      <w:bodyDiv w:val="1"/>
      <w:marLeft w:val="0"/>
      <w:marRight w:val="0"/>
      <w:marTop w:val="0"/>
      <w:marBottom w:val="0"/>
      <w:divBdr>
        <w:top w:val="none" w:sz="0" w:space="0" w:color="auto"/>
        <w:left w:val="none" w:sz="0" w:space="0" w:color="auto"/>
        <w:bottom w:val="none" w:sz="0" w:space="0" w:color="auto"/>
        <w:right w:val="none" w:sz="0" w:space="0" w:color="auto"/>
      </w:divBdr>
    </w:div>
    <w:div w:id="264113178">
      <w:bodyDiv w:val="1"/>
      <w:marLeft w:val="0"/>
      <w:marRight w:val="0"/>
      <w:marTop w:val="0"/>
      <w:marBottom w:val="0"/>
      <w:divBdr>
        <w:top w:val="none" w:sz="0" w:space="0" w:color="auto"/>
        <w:left w:val="none" w:sz="0" w:space="0" w:color="auto"/>
        <w:bottom w:val="none" w:sz="0" w:space="0" w:color="auto"/>
        <w:right w:val="none" w:sz="0" w:space="0" w:color="auto"/>
      </w:divBdr>
    </w:div>
    <w:div w:id="272782931">
      <w:bodyDiv w:val="1"/>
      <w:marLeft w:val="0"/>
      <w:marRight w:val="0"/>
      <w:marTop w:val="0"/>
      <w:marBottom w:val="0"/>
      <w:divBdr>
        <w:top w:val="none" w:sz="0" w:space="0" w:color="auto"/>
        <w:left w:val="none" w:sz="0" w:space="0" w:color="auto"/>
        <w:bottom w:val="none" w:sz="0" w:space="0" w:color="auto"/>
        <w:right w:val="none" w:sz="0" w:space="0" w:color="auto"/>
      </w:divBdr>
    </w:div>
    <w:div w:id="276840304">
      <w:bodyDiv w:val="1"/>
      <w:marLeft w:val="0"/>
      <w:marRight w:val="0"/>
      <w:marTop w:val="0"/>
      <w:marBottom w:val="0"/>
      <w:divBdr>
        <w:top w:val="none" w:sz="0" w:space="0" w:color="auto"/>
        <w:left w:val="none" w:sz="0" w:space="0" w:color="auto"/>
        <w:bottom w:val="none" w:sz="0" w:space="0" w:color="auto"/>
        <w:right w:val="none" w:sz="0" w:space="0" w:color="auto"/>
      </w:divBdr>
    </w:div>
    <w:div w:id="316883706">
      <w:bodyDiv w:val="1"/>
      <w:marLeft w:val="0"/>
      <w:marRight w:val="0"/>
      <w:marTop w:val="0"/>
      <w:marBottom w:val="0"/>
      <w:divBdr>
        <w:top w:val="none" w:sz="0" w:space="0" w:color="auto"/>
        <w:left w:val="none" w:sz="0" w:space="0" w:color="auto"/>
        <w:bottom w:val="none" w:sz="0" w:space="0" w:color="auto"/>
        <w:right w:val="none" w:sz="0" w:space="0" w:color="auto"/>
      </w:divBdr>
    </w:div>
    <w:div w:id="443230782">
      <w:bodyDiv w:val="1"/>
      <w:marLeft w:val="0"/>
      <w:marRight w:val="0"/>
      <w:marTop w:val="0"/>
      <w:marBottom w:val="0"/>
      <w:divBdr>
        <w:top w:val="none" w:sz="0" w:space="0" w:color="auto"/>
        <w:left w:val="none" w:sz="0" w:space="0" w:color="auto"/>
        <w:bottom w:val="none" w:sz="0" w:space="0" w:color="auto"/>
        <w:right w:val="none" w:sz="0" w:space="0" w:color="auto"/>
      </w:divBdr>
    </w:div>
    <w:div w:id="454952789">
      <w:bodyDiv w:val="1"/>
      <w:marLeft w:val="0"/>
      <w:marRight w:val="0"/>
      <w:marTop w:val="0"/>
      <w:marBottom w:val="0"/>
      <w:divBdr>
        <w:top w:val="none" w:sz="0" w:space="0" w:color="auto"/>
        <w:left w:val="none" w:sz="0" w:space="0" w:color="auto"/>
        <w:bottom w:val="none" w:sz="0" w:space="0" w:color="auto"/>
        <w:right w:val="none" w:sz="0" w:space="0" w:color="auto"/>
      </w:divBdr>
    </w:div>
    <w:div w:id="467209046">
      <w:bodyDiv w:val="1"/>
      <w:marLeft w:val="0"/>
      <w:marRight w:val="0"/>
      <w:marTop w:val="0"/>
      <w:marBottom w:val="0"/>
      <w:divBdr>
        <w:top w:val="none" w:sz="0" w:space="0" w:color="auto"/>
        <w:left w:val="none" w:sz="0" w:space="0" w:color="auto"/>
        <w:bottom w:val="none" w:sz="0" w:space="0" w:color="auto"/>
        <w:right w:val="none" w:sz="0" w:space="0" w:color="auto"/>
      </w:divBdr>
    </w:div>
    <w:div w:id="467286903">
      <w:bodyDiv w:val="1"/>
      <w:marLeft w:val="0"/>
      <w:marRight w:val="0"/>
      <w:marTop w:val="0"/>
      <w:marBottom w:val="0"/>
      <w:divBdr>
        <w:top w:val="none" w:sz="0" w:space="0" w:color="auto"/>
        <w:left w:val="none" w:sz="0" w:space="0" w:color="auto"/>
        <w:bottom w:val="none" w:sz="0" w:space="0" w:color="auto"/>
        <w:right w:val="none" w:sz="0" w:space="0" w:color="auto"/>
      </w:divBdr>
    </w:div>
    <w:div w:id="665594515">
      <w:bodyDiv w:val="1"/>
      <w:marLeft w:val="0"/>
      <w:marRight w:val="0"/>
      <w:marTop w:val="0"/>
      <w:marBottom w:val="0"/>
      <w:divBdr>
        <w:top w:val="none" w:sz="0" w:space="0" w:color="auto"/>
        <w:left w:val="none" w:sz="0" w:space="0" w:color="auto"/>
        <w:bottom w:val="none" w:sz="0" w:space="0" w:color="auto"/>
        <w:right w:val="none" w:sz="0" w:space="0" w:color="auto"/>
      </w:divBdr>
    </w:div>
    <w:div w:id="679158170">
      <w:bodyDiv w:val="1"/>
      <w:marLeft w:val="0"/>
      <w:marRight w:val="0"/>
      <w:marTop w:val="0"/>
      <w:marBottom w:val="0"/>
      <w:divBdr>
        <w:top w:val="none" w:sz="0" w:space="0" w:color="auto"/>
        <w:left w:val="none" w:sz="0" w:space="0" w:color="auto"/>
        <w:bottom w:val="none" w:sz="0" w:space="0" w:color="auto"/>
        <w:right w:val="none" w:sz="0" w:space="0" w:color="auto"/>
      </w:divBdr>
    </w:div>
    <w:div w:id="717585710">
      <w:bodyDiv w:val="1"/>
      <w:marLeft w:val="0"/>
      <w:marRight w:val="0"/>
      <w:marTop w:val="0"/>
      <w:marBottom w:val="0"/>
      <w:divBdr>
        <w:top w:val="none" w:sz="0" w:space="0" w:color="auto"/>
        <w:left w:val="none" w:sz="0" w:space="0" w:color="auto"/>
        <w:bottom w:val="none" w:sz="0" w:space="0" w:color="auto"/>
        <w:right w:val="none" w:sz="0" w:space="0" w:color="auto"/>
      </w:divBdr>
    </w:div>
    <w:div w:id="751897515">
      <w:bodyDiv w:val="1"/>
      <w:marLeft w:val="0"/>
      <w:marRight w:val="0"/>
      <w:marTop w:val="0"/>
      <w:marBottom w:val="0"/>
      <w:divBdr>
        <w:top w:val="none" w:sz="0" w:space="0" w:color="auto"/>
        <w:left w:val="none" w:sz="0" w:space="0" w:color="auto"/>
        <w:bottom w:val="none" w:sz="0" w:space="0" w:color="auto"/>
        <w:right w:val="none" w:sz="0" w:space="0" w:color="auto"/>
      </w:divBdr>
    </w:div>
    <w:div w:id="809857752">
      <w:bodyDiv w:val="1"/>
      <w:marLeft w:val="0"/>
      <w:marRight w:val="0"/>
      <w:marTop w:val="0"/>
      <w:marBottom w:val="0"/>
      <w:divBdr>
        <w:top w:val="none" w:sz="0" w:space="0" w:color="auto"/>
        <w:left w:val="none" w:sz="0" w:space="0" w:color="auto"/>
        <w:bottom w:val="none" w:sz="0" w:space="0" w:color="auto"/>
        <w:right w:val="none" w:sz="0" w:space="0" w:color="auto"/>
      </w:divBdr>
    </w:div>
    <w:div w:id="864371267">
      <w:bodyDiv w:val="1"/>
      <w:marLeft w:val="0"/>
      <w:marRight w:val="0"/>
      <w:marTop w:val="0"/>
      <w:marBottom w:val="0"/>
      <w:divBdr>
        <w:top w:val="none" w:sz="0" w:space="0" w:color="auto"/>
        <w:left w:val="none" w:sz="0" w:space="0" w:color="auto"/>
        <w:bottom w:val="none" w:sz="0" w:space="0" w:color="auto"/>
        <w:right w:val="none" w:sz="0" w:space="0" w:color="auto"/>
      </w:divBdr>
    </w:div>
    <w:div w:id="864750509">
      <w:bodyDiv w:val="1"/>
      <w:marLeft w:val="0"/>
      <w:marRight w:val="0"/>
      <w:marTop w:val="0"/>
      <w:marBottom w:val="0"/>
      <w:divBdr>
        <w:top w:val="none" w:sz="0" w:space="0" w:color="auto"/>
        <w:left w:val="none" w:sz="0" w:space="0" w:color="auto"/>
        <w:bottom w:val="none" w:sz="0" w:space="0" w:color="auto"/>
        <w:right w:val="none" w:sz="0" w:space="0" w:color="auto"/>
      </w:divBdr>
    </w:div>
    <w:div w:id="898634094">
      <w:bodyDiv w:val="1"/>
      <w:marLeft w:val="0"/>
      <w:marRight w:val="0"/>
      <w:marTop w:val="0"/>
      <w:marBottom w:val="0"/>
      <w:divBdr>
        <w:top w:val="none" w:sz="0" w:space="0" w:color="auto"/>
        <w:left w:val="none" w:sz="0" w:space="0" w:color="auto"/>
        <w:bottom w:val="none" w:sz="0" w:space="0" w:color="auto"/>
        <w:right w:val="none" w:sz="0" w:space="0" w:color="auto"/>
      </w:divBdr>
    </w:div>
    <w:div w:id="931088145">
      <w:bodyDiv w:val="1"/>
      <w:marLeft w:val="0"/>
      <w:marRight w:val="0"/>
      <w:marTop w:val="0"/>
      <w:marBottom w:val="0"/>
      <w:divBdr>
        <w:top w:val="none" w:sz="0" w:space="0" w:color="auto"/>
        <w:left w:val="none" w:sz="0" w:space="0" w:color="auto"/>
        <w:bottom w:val="none" w:sz="0" w:space="0" w:color="auto"/>
        <w:right w:val="none" w:sz="0" w:space="0" w:color="auto"/>
      </w:divBdr>
    </w:div>
    <w:div w:id="988555034">
      <w:bodyDiv w:val="1"/>
      <w:marLeft w:val="0"/>
      <w:marRight w:val="0"/>
      <w:marTop w:val="0"/>
      <w:marBottom w:val="0"/>
      <w:divBdr>
        <w:top w:val="none" w:sz="0" w:space="0" w:color="auto"/>
        <w:left w:val="none" w:sz="0" w:space="0" w:color="auto"/>
        <w:bottom w:val="none" w:sz="0" w:space="0" w:color="auto"/>
        <w:right w:val="none" w:sz="0" w:space="0" w:color="auto"/>
      </w:divBdr>
    </w:div>
    <w:div w:id="1069619329">
      <w:bodyDiv w:val="1"/>
      <w:marLeft w:val="0"/>
      <w:marRight w:val="0"/>
      <w:marTop w:val="0"/>
      <w:marBottom w:val="0"/>
      <w:divBdr>
        <w:top w:val="none" w:sz="0" w:space="0" w:color="auto"/>
        <w:left w:val="none" w:sz="0" w:space="0" w:color="auto"/>
        <w:bottom w:val="none" w:sz="0" w:space="0" w:color="auto"/>
        <w:right w:val="none" w:sz="0" w:space="0" w:color="auto"/>
      </w:divBdr>
    </w:div>
    <w:div w:id="1095636219">
      <w:bodyDiv w:val="1"/>
      <w:marLeft w:val="0"/>
      <w:marRight w:val="0"/>
      <w:marTop w:val="0"/>
      <w:marBottom w:val="0"/>
      <w:divBdr>
        <w:top w:val="none" w:sz="0" w:space="0" w:color="auto"/>
        <w:left w:val="none" w:sz="0" w:space="0" w:color="auto"/>
        <w:bottom w:val="none" w:sz="0" w:space="0" w:color="auto"/>
        <w:right w:val="none" w:sz="0" w:space="0" w:color="auto"/>
      </w:divBdr>
    </w:div>
    <w:div w:id="1102842384">
      <w:bodyDiv w:val="1"/>
      <w:marLeft w:val="0"/>
      <w:marRight w:val="0"/>
      <w:marTop w:val="0"/>
      <w:marBottom w:val="0"/>
      <w:divBdr>
        <w:top w:val="none" w:sz="0" w:space="0" w:color="auto"/>
        <w:left w:val="none" w:sz="0" w:space="0" w:color="auto"/>
        <w:bottom w:val="none" w:sz="0" w:space="0" w:color="auto"/>
        <w:right w:val="none" w:sz="0" w:space="0" w:color="auto"/>
      </w:divBdr>
    </w:div>
    <w:div w:id="1136753145">
      <w:bodyDiv w:val="1"/>
      <w:marLeft w:val="0"/>
      <w:marRight w:val="0"/>
      <w:marTop w:val="0"/>
      <w:marBottom w:val="0"/>
      <w:divBdr>
        <w:top w:val="none" w:sz="0" w:space="0" w:color="auto"/>
        <w:left w:val="none" w:sz="0" w:space="0" w:color="auto"/>
        <w:bottom w:val="none" w:sz="0" w:space="0" w:color="auto"/>
        <w:right w:val="none" w:sz="0" w:space="0" w:color="auto"/>
      </w:divBdr>
    </w:div>
    <w:div w:id="1164247691">
      <w:bodyDiv w:val="1"/>
      <w:marLeft w:val="0"/>
      <w:marRight w:val="0"/>
      <w:marTop w:val="0"/>
      <w:marBottom w:val="0"/>
      <w:divBdr>
        <w:top w:val="none" w:sz="0" w:space="0" w:color="auto"/>
        <w:left w:val="none" w:sz="0" w:space="0" w:color="auto"/>
        <w:bottom w:val="none" w:sz="0" w:space="0" w:color="auto"/>
        <w:right w:val="none" w:sz="0" w:space="0" w:color="auto"/>
      </w:divBdr>
    </w:div>
    <w:div w:id="1173255207">
      <w:bodyDiv w:val="1"/>
      <w:marLeft w:val="0"/>
      <w:marRight w:val="0"/>
      <w:marTop w:val="0"/>
      <w:marBottom w:val="0"/>
      <w:divBdr>
        <w:top w:val="none" w:sz="0" w:space="0" w:color="auto"/>
        <w:left w:val="none" w:sz="0" w:space="0" w:color="auto"/>
        <w:bottom w:val="none" w:sz="0" w:space="0" w:color="auto"/>
        <w:right w:val="none" w:sz="0" w:space="0" w:color="auto"/>
      </w:divBdr>
    </w:div>
    <w:div w:id="1286887197">
      <w:bodyDiv w:val="1"/>
      <w:marLeft w:val="0"/>
      <w:marRight w:val="0"/>
      <w:marTop w:val="0"/>
      <w:marBottom w:val="0"/>
      <w:divBdr>
        <w:top w:val="none" w:sz="0" w:space="0" w:color="auto"/>
        <w:left w:val="none" w:sz="0" w:space="0" w:color="auto"/>
        <w:bottom w:val="none" w:sz="0" w:space="0" w:color="auto"/>
        <w:right w:val="none" w:sz="0" w:space="0" w:color="auto"/>
      </w:divBdr>
    </w:div>
    <w:div w:id="1329480903">
      <w:bodyDiv w:val="1"/>
      <w:marLeft w:val="0"/>
      <w:marRight w:val="0"/>
      <w:marTop w:val="0"/>
      <w:marBottom w:val="0"/>
      <w:divBdr>
        <w:top w:val="none" w:sz="0" w:space="0" w:color="auto"/>
        <w:left w:val="none" w:sz="0" w:space="0" w:color="auto"/>
        <w:bottom w:val="none" w:sz="0" w:space="0" w:color="auto"/>
        <w:right w:val="none" w:sz="0" w:space="0" w:color="auto"/>
      </w:divBdr>
    </w:div>
    <w:div w:id="1362559755">
      <w:bodyDiv w:val="1"/>
      <w:marLeft w:val="0"/>
      <w:marRight w:val="0"/>
      <w:marTop w:val="0"/>
      <w:marBottom w:val="0"/>
      <w:divBdr>
        <w:top w:val="none" w:sz="0" w:space="0" w:color="auto"/>
        <w:left w:val="none" w:sz="0" w:space="0" w:color="auto"/>
        <w:bottom w:val="none" w:sz="0" w:space="0" w:color="auto"/>
        <w:right w:val="none" w:sz="0" w:space="0" w:color="auto"/>
      </w:divBdr>
    </w:div>
    <w:div w:id="1377312750">
      <w:bodyDiv w:val="1"/>
      <w:marLeft w:val="0"/>
      <w:marRight w:val="0"/>
      <w:marTop w:val="0"/>
      <w:marBottom w:val="0"/>
      <w:divBdr>
        <w:top w:val="none" w:sz="0" w:space="0" w:color="auto"/>
        <w:left w:val="none" w:sz="0" w:space="0" w:color="auto"/>
        <w:bottom w:val="none" w:sz="0" w:space="0" w:color="auto"/>
        <w:right w:val="none" w:sz="0" w:space="0" w:color="auto"/>
      </w:divBdr>
    </w:div>
    <w:div w:id="1392579075">
      <w:bodyDiv w:val="1"/>
      <w:marLeft w:val="0"/>
      <w:marRight w:val="0"/>
      <w:marTop w:val="0"/>
      <w:marBottom w:val="0"/>
      <w:divBdr>
        <w:top w:val="none" w:sz="0" w:space="0" w:color="auto"/>
        <w:left w:val="none" w:sz="0" w:space="0" w:color="auto"/>
        <w:bottom w:val="none" w:sz="0" w:space="0" w:color="auto"/>
        <w:right w:val="none" w:sz="0" w:space="0" w:color="auto"/>
      </w:divBdr>
    </w:div>
    <w:div w:id="1406686731">
      <w:bodyDiv w:val="1"/>
      <w:marLeft w:val="0"/>
      <w:marRight w:val="0"/>
      <w:marTop w:val="0"/>
      <w:marBottom w:val="0"/>
      <w:divBdr>
        <w:top w:val="none" w:sz="0" w:space="0" w:color="auto"/>
        <w:left w:val="none" w:sz="0" w:space="0" w:color="auto"/>
        <w:bottom w:val="none" w:sz="0" w:space="0" w:color="auto"/>
        <w:right w:val="none" w:sz="0" w:space="0" w:color="auto"/>
      </w:divBdr>
    </w:div>
    <w:div w:id="1463035405">
      <w:bodyDiv w:val="1"/>
      <w:marLeft w:val="0"/>
      <w:marRight w:val="0"/>
      <w:marTop w:val="0"/>
      <w:marBottom w:val="0"/>
      <w:divBdr>
        <w:top w:val="none" w:sz="0" w:space="0" w:color="auto"/>
        <w:left w:val="none" w:sz="0" w:space="0" w:color="auto"/>
        <w:bottom w:val="none" w:sz="0" w:space="0" w:color="auto"/>
        <w:right w:val="none" w:sz="0" w:space="0" w:color="auto"/>
      </w:divBdr>
    </w:div>
    <w:div w:id="1466314078">
      <w:bodyDiv w:val="1"/>
      <w:marLeft w:val="0"/>
      <w:marRight w:val="0"/>
      <w:marTop w:val="0"/>
      <w:marBottom w:val="0"/>
      <w:divBdr>
        <w:top w:val="none" w:sz="0" w:space="0" w:color="auto"/>
        <w:left w:val="none" w:sz="0" w:space="0" w:color="auto"/>
        <w:bottom w:val="none" w:sz="0" w:space="0" w:color="auto"/>
        <w:right w:val="none" w:sz="0" w:space="0" w:color="auto"/>
      </w:divBdr>
    </w:div>
    <w:div w:id="1533155139">
      <w:bodyDiv w:val="1"/>
      <w:marLeft w:val="0"/>
      <w:marRight w:val="0"/>
      <w:marTop w:val="0"/>
      <w:marBottom w:val="0"/>
      <w:divBdr>
        <w:top w:val="none" w:sz="0" w:space="0" w:color="auto"/>
        <w:left w:val="none" w:sz="0" w:space="0" w:color="auto"/>
        <w:bottom w:val="none" w:sz="0" w:space="0" w:color="auto"/>
        <w:right w:val="none" w:sz="0" w:space="0" w:color="auto"/>
      </w:divBdr>
    </w:div>
    <w:div w:id="1648590147">
      <w:bodyDiv w:val="1"/>
      <w:marLeft w:val="0"/>
      <w:marRight w:val="0"/>
      <w:marTop w:val="0"/>
      <w:marBottom w:val="0"/>
      <w:divBdr>
        <w:top w:val="none" w:sz="0" w:space="0" w:color="auto"/>
        <w:left w:val="none" w:sz="0" w:space="0" w:color="auto"/>
        <w:bottom w:val="none" w:sz="0" w:space="0" w:color="auto"/>
        <w:right w:val="none" w:sz="0" w:space="0" w:color="auto"/>
      </w:divBdr>
    </w:div>
    <w:div w:id="1814708925">
      <w:bodyDiv w:val="1"/>
      <w:marLeft w:val="0"/>
      <w:marRight w:val="0"/>
      <w:marTop w:val="0"/>
      <w:marBottom w:val="0"/>
      <w:divBdr>
        <w:top w:val="none" w:sz="0" w:space="0" w:color="auto"/>
        <w:left w:val="none" w:sz="0" w:space="0" w:color="auto"/>
        <w:bottom w:val="none" w:sz="0" w:space="0" w:color="auto"/>
        <w:right w:val="none" w:sz="0" w:space="0" w:color="auto"/>
      </w:divBdr>
    </w:div>
    <w:div w:id="1853957364">
      <w:bodyDiv w:val="1"/>
      <w:marLeft w:val="0"/>
      <w:marRight w:val="0"/>
      <w:marTop w:val="0"/>
      <w:marBottom w:val="0"/>
      <w:divBdr>
        <w:top w:val="none" w:sz="0" w:space="0" w:color="auto"/>
        <w:left w:val="none" w:sz="0" w:space="0" w:color="auto"/>
        <w:bottom w:val="none" w:sz="0" w:space="0" w:color="auto"/>
        <w:right w:val="none" w:sz="0" w:space="0" w:color="auto"/>
      </w:divBdr>
    </w:div>
    <w:div w:id="1904634433">
      <w:bodyDiv w:val="1"/>
      <w:marLeft w:val="0"/>
      <w:marRight w:val="0"/>
      <w:marTop w:val="0"/>
      <w:marBottom w:val="0"/>
      <w:divBdr>
        <w:top w:val="none" w:sz="0" w:space="0" w:color="auto"/>
        <w:left w:val="none" w:sz="0" w:space="0" w:color="auto"/>
        <w:bottom w:val="none" w:sz="0" w:space="0" w:color="auto"/>
        <w:right w:val="none" w:sz="0" w:space="0" w:color="auto"/>
      </w:divBdr>
    </w:div>
    <w:div w:id="1925989349">
      <w:bodyDiv w:val="1"/>
      <w:marLeft w:val="0"/>
      <w:marRight w:val="0"/>
      <w:marTop w:val="0"/>
      <w:marBottom w:val="0"/>
      <w:divBdr>
        <w:top w:val="none" w:sz="0" w:space="0" w:color="auto"/>
        <w:left w:val="none" w:sz="0" w:space="0" w:color="auto"/>
        <w:bottom w:val="none" w:sz="0" w:space="0" w:color="auto"/>
        <w:right w:val="none" w:sz="0" w:space="0" w:color="auto"/>
      </w:divBdr>
    </w:div>
    <w:div w:id="1950358844">
      <w:bodyDiv w:val="1"/>
      <w:marLeft w:val="0"/>
      <w:marRight w:val="0"/>
      <w:marTop w:val="0"/>
      <w:marBottom w:val="0"/>
      <w:divBdr>
        <w:top w:val="none" w:sz="0" w:space="0" w:color="auto"/>
        <w:left w:val="none" w:sz="0" w:space="0" w:color="auto"/>
        <w:bottom w:val="none" w:sz="0" w:space="0" w:color="auto"/>
        <w:right w:val="none" w:sz="0" w:space="0" w:color="auto"/>
      </w:divBdr>
    </w:div>
    <w:div w:id="2049910264">
      <w:bodyDiv w:val="1"/>
      <w:marLeft w:val="0"/>
      <w:marRight w:val="0"/>
      <w:marTop w:val="0"/>
      <w:marBottom w:val="0"/>
      <w:divBdr>
        <w:top w:val="none" w:sz="0" w:space="0" w:color="auto"/>
        <w:left w:val="none" w:sz="0" w:space="0" w:color="auto"/>
        <w:bottom w:val="none" w:sz="0" w:space="0" w:color="auto"/>
        <w:right w:val="none" w:sz="0" w:space="0" w:color="auto"/>
      </w:divBdr>
    </w:div>
    <w:div w:id="2056658042">
      <w:bodyDiv w:val="1"/>
      <w:marLeft w:val="0"/>
      <w:marRight w:val="0"/>
      <w:marTop w:val="0"/>
      <w:marBottom w:val="0"/>
      <w:divBdr>
        <w:top w:val="none" w:sz="0" w:space="0" w:color="auto"/>
        <w:left w:val="none" w:sz="0" w:space="0" w:color="auto"/>
        <w:bottom w:val="none" w:sz="0" w:space="0" w:color="auto"/>
        <w:right w:val="none" w:sz="0" w:space="0" w:color="auto"/>
      </w:divBdr>
    </w:div>
    <w:div w:id="2113743474">
      <w:bodyDiv w:val="1"/>
      <w:marLeft w:val="0"/>
      <w:marRight w:val="0"/>
      <w:marTop w:val="0"/>
      <w:marBottom w:val="0"/>
      <w:divBdr>
        <w:top w:val="none" w:sz="0" w:space="0" w:color="auto"/>
        <w:left w:val="none" w:sz="0" w:space="0" w:color="auto"/>
        <w:bottom w:val="none" w:sz="0" w:space="0" w:color="auto"/>
        <w:right w:val="none" w:sz="0" w:space="0" w:color="auto"/>
      </w:divBdr>
      <w:divsChild>
        <w:div w:id="875703359">
          <w:marLeft w:val="0"/>
          <w:marRight w:val="0"/>
          <w:marTop w:val="0"/>
          <w:marBottom w:val="0"/>
          <w:divBdr>
            <w:top w:val="none" w:sz="0" w:space="0" w:color="auto"/>
            <w:left w:val="none" w:sz="0" w:space="0" w:color="auto"/>
            <w:bottom w:val="none" w:sz="0" w:space="0" w:color="auto"/>
            <w:right w:val="none" w:sz="0" w:space="0" w:color="auto"/>
          </w:divBdr>
          <w:divsChild>
            <w:div w:id="884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3589">
      <w:bodyDiv w:val="1"/>
      <w:marLeft w:val="0"/>
      <w:marRight w:val="0"/>
      <w:marTop w:val="0"/>
      <w:marBottom w:val="0"/>
      <w:divBdr>
        <w:top w:val="none" w:sz="0" w:space="0" w:color="auto"/>
        <w:left w:val="none" w:sz="0" w:space="0" w:color="auto"/>
        <w:bottom w:val="none" w:sz="0" w:space="0" w:color="auto"/>
        <w:right w:val="none" w:sz="0" w:space="0" w:color="auto"/>
      </w:divBdr>
    </w:div>
    <w:div w:id="2135057185">
      <w:bodyDiv w:val="1"/>
      <w:marLeft w:val="0"/>
      <w:marRight w:val="0"/>
      <w:marTop w:val="0"/>
      <w:marBottom w:val="0"/>
      <w:divBdr>
        <w:top w:val="none" w:sz="0" w:space="0" w:color="auto"/>
        <w:left w:val="none" w:sz="0" w:space="0" w:color="auto"/>
        <w:bottom w:val="none" w:sz="0" w:space="0" w:color="auto"/>
        <w:right w:val="none" w:sz="0" w:space="0" w:color="auto"/>
      </w:divBdr>
    </w:div>
    <w:div w:id="2137212541">
      <w:bodyDiv w:val="1"/>
      <w:marLeft w:val="0"/>
      <w:marRight w:val="0"/>
      <w:marTop w:val="0"/>
      <w:marBottom w:val="0"/>
      <w:divBdr>
        <w:top w:val="none" w:sz="0" w:space="0" w:color="auto"/>
        <w:left w:val="none" w:sz="0" w:space="0" w:color="auto"/>
        <w:bottom w:val="none" w:sz="0" w:space="0" w:color="auto"/>
        <w:right w:val="none" w:sz="0" w:space="0" w:color="auto"/>
      </w:divBdr>
    </w:div>
    <w:div w:id="21393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footer" Target="footer176.xml"/><Relationship Id="rId531" Type="http://schemas.openxmlformats.org/officeDocument/2006/relationships/header" Target="header259.xml"/><Relationship Id="rId573" Type="http://schemas.openxmlformats.org/officeDocument/2006/relationships/header" Target="header280.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0.xml"/><Relationship Id="rId268" Type="http://schemas.openxmlformats.org/officeDocument/2006/relationships/header" Target="header129.xml"/><Relationship Id="rId475" Type="http://schemas.openxmlformats.org/officeDocument/2006/relationships/header" Target="header231.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1.xml"/><Relationship Id="rId500" Type="http://schemas.openxmlformats.org/officeDocument/2006/relationships/footer" Target="footer243.xml"/><Relationship Id="rId542" Type="http://schemas.openxmlformats.org/officeDocument/2006/relationships/footer" Target="footer264.xml"/><Relationship Id="rId584" Type="http://schemas.openxmlformats.org/officeDocument/2006/relationships/footer" Target="footer285.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footer" Target="footer194.xml"/><Relationship Id="rId279" Type="http://schemas.openxmlformats.org/officeDocument/2006/relationships/footer" Target="footer134.xml"/><Relationship Id="rId444" Type="http://schemas.openxmlformats.org/officeDocument/2006/relationships/footer" Target="footer215.xml"/><Relationship Id="rId486" Type="http://schemas.openxmlformats.org/officeDocument/2006/relationships/footer" Target="footer236.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8.xml"/><Relationship Id="rId511" Type="http://schemas.openxmlformats.org/officeDocument/2006/relationships/header" Target="header249.xml"/><Relationship Id="rId553" Type="http://schemas.openxmlformats.org/officeDocument/2006/relationships/header" Target="header270.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199.xml"/><Relationship Id="rId595" Type="http://schemas.openxmlformats.org/officeDocument/2006/relationships/header" Target="header291.xml"/><Relationship Id="rId248" Type="http://schemas.openxmlformats.org/officeDocument/2006/relationships/footer" Target="footer118.xml"/><Relationship Id="rId455" Type="http://schemas.openxmlformats.org/officeDocument/2006/relationships/footer" Target="footer220.xml"/><Relationship Id="rId497" Type="http://schemas.openxmlformats.org/officeDocument/2006/relationships/footer" Target="footer241.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footer" Target="footer254.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header" Target="header193.xml"/><Relationship Id="rId564" Type="http://schemas.openxmlformats.org/officeDocument/2006/relationships/footer" Target="footer275.xml"/><Relationship Id="rId259" Type="http://schemas.openxmlformats.org/officeDocument/2006/relationships/header" Target="header125.xml"/><Relationship Id="rId424" Type="http://schemas.openxmlformats.org/officeDocument/2006/relationships/header" Target="header206.xml"/><Relationship Id="rId466" Type="http://schemas.openxmlformats.org/officeDocument/2006/relationships/header" Target="header227.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footer" Target="footer259.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7.xml"/><Relationship Id="rId575" Type="http://schemas.openxmlformats.org/officeDocument/2006/relationships/footer" Target="footer280.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header" Target="header211.xml"/><Relationship Id="rId477" Type="http://schemas.openxmlformats.org/officeDocument/2006/relationships/header" Target="header232.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header" Target="header245.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3.xml"/><Relationship Id="rId544" Type="http://schemas.openxmlformats.org/officeDocument/2006/relationships/header" Target="header266.xml"/><Relationship Id="rId586" Type="http://schemas.openxmlformats.org/officeDocument/2006/relationships/header" Target="header287.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footer" Target="footer188.xml"/><Relationship Id="rId404" Type="http://schemas.openxmlformats.org/officeDocument/2006/relationships/footer" Target="footer195.xml"/><Relationship Id="rId446" Type="http://schemas.openxmlformats.org/officeDocument/2006/relationships/footer" Target="footer216.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footer" Target="footer237.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header" Target="header250.xml"/><Relationship Id="rId555" Type="http://schemas.openxmlformats.org/officeDocument/2006/relationships/header" Target="header271.xml"/><Relationship Id="rId597" Type="http://schemas.openxmlformats.org/officeDocument/2006/relationships/fontTable" Target="fontTable.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1.xml"/><Relationship Id="rId457" Type="http://schemas.openxmlformats.org/officeDocument/2006/relationships/header" Target="header222.xml"/><Relationship Id="rId261" Type="http://schemas.openxmlformats.org/officeDocument/2006/relationships/footer" Target="footer125.xml"/><Relationship Id="rId499" Type="http://schemas.openxmlformats.org/officeDocument/2006/relationships/header" Target="header243.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footer" Target="footer255.xml"/><Relationship Id="rId566" Type="http://schemas.openxmlformats.org/officeDocument/2006/relationships/footer" Target="footer276.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79.xml"/><Relationship Id="rId426" Type="http://schemas.openxmlformats.org/officeDocument/2006/relationships/footer" Target="footer206.xml"/><Relationship Id="rId230" Type="http://schemas.openxmlformats.org/officeDocument/2006/relationships/footer" Target="footer109.xml"/><Relationship Id="rId468" Type="http://schemas.openxmlformats.org/officeDocument/2006/relationships/footer" Target="footer227.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0.xml"/><Relationship Id="rId328" Type="http://schemas.openxmlformats.org/officeDocument/2006/relationships/header" Target="header159.xml"/><Relationship Id="rId535" Type="http://schemas.openxmlformats.org/officeDocument/2006/relationships/header" Target="header261.xml"/><Relationship Id="rId577" Type="http://schemas.openxmlformats.org/officeDocument/2006/relationships/header" Target="header282.xml"/><Relationship Id="rId132" Type="http://schemas.openxmlformats.org/officeDocument/2006/relationships/header" Target="header61.xml"/><Relationship Id="rId174" Type="http://schemas.openxmlformats.org/officeDocument/2006/relationships/header" Target="header82.xml"/><Relationship Id="rId381" Type="http://schemas.openxmlformats.org/officeDocument/2006/relationships/header" Target="header184.xml"/><Relationship Id="rId241" Type="http://schemas.openxmlformats.org/officeDocument/2006/relationships/header" Target="header116.xml"/><Relationship Id="rId437" Type="http://schemas.openxmlformats.org/officeDocument/2006/relationships/footer" Target="footer211.xml"/><Relationship Id="rId479" Type="http://schemas.openxmlformats.org/officeDocument/2006/relationships/footer" Target="footer232.xml"/><Relationship Id="rId36" Type="http://schemas.openxmlformats.org/officeDocument/2006/relationships/header" Target="header13.xml"/><Relationship Id="rId283" Type="http://schemas.openxmlformats.org/officeDocument/2006/relationships/header" Target="header137.xml"/><Relationship Id="rId339" Type="http://schemas.openxmlformats.org/officeDocument/2006/relationships/footer" Target="footer164.xml"/><Relationship Id="rId490" Type="http://schemas.openxmlformats.org/officeDocument/2006/relationships/header" Target="header239.xml"/><Relationship Id="rId504" Type="http://schemas.openxmlformats.org/officeDocument/2006/relationships/footer" Target="footer245.xml"/><Relationship Id="rId546" Type="http://schemas.openxmlformats.org/officeDocument/2006/relationships/footer" Target="footer266.xml"/><Relationship Id="rId78" Type="http://schemas.openxmlformats.org/officeDocument/2006/relationships/header" Target="header34.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footer" Target="footer169.xml"/><Relationship Id="rId406" Type="http://schemas.openxmlformats.org/officeDocument/2006/relationships/header" Target="header197.xml"/><Relationship Id="rId588" Type="http://schemas.openxmlformats.org/officeDocument/2006/relationships/footer" Target="footer287.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89.xml"/><Relationship Id="rId448" Type="http://schemas.openxmlformats.org/officeDocument/2006/relationships/header" Target="header218.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footer" Target="footer250.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557" Type="http://schemas.openxmlformats.org/officeDocument/2006/relationships/footer" Target="footer271.xml"/><Relationship Id="rId599" Type="http://schemas.microsoft.com/office/2019/05/relationships/documenttasks" Target="documenttasks/documenttasks1.xml"/><Relationship Id="rId196" Type="http://schemas.openxmlformats.org/officeDocument/2006/relationships/header" Target="header93.xml"/><Relationship Id="rId417" Type="http://schemas.openxmlformats.org/officeDocument/2006/relationships/header" Target="header202.xml"/><Relationship Id="rId459" Type="http://schemas.openxmlformats.org/officeDocument/2006/relationships/header" Target="header223.xml"/><Relationship Id="rId16" Type="http://schemas.openxmlformats.org/officeDocument/2006/relationships/header" Target="header3.xml"/><Relationship Id="rId221" Type="http://schemas.openxmlformats.org/officeDocument/2006/relationships/footer" Target="footer105.xml"/><Relationship Id="rId263" Type="http://schemas.openxmlformats.org/officeDocument/2006/relationships/footer" Target="footer126.xml"/><Relationship Id="rId319" Type="http://schemas.openxmlformats.org/officeDocument/2006/relationships/header" Target="header155.xml"/><Relationship Id="rId470" Type="http://schemas.openxmlformats.org/officeDocument/2006/relationships/footer" Target="footer228.xml"/><Relationship Id="rId526" Type="http://schemas.openxmlformats.org/officeDocument/2006/relationships/header" Target="header257.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eader" Target="header160.xml"/><Relationship Id="rId547" Type="http://schemas.openxmlformats.org/officeDocument/2006/relationships/header" Target="header267.xml"/><Relationship Id="rId568" Type="http://schemas.openxmlformats.org/officeDocument/2006/relationships/header" Target="header278.xml"/><Relationship Id="rId589" Type="http://schemas.openxmlformats.org/officeDocument/2006/relationships/header" Target="header288.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70.xml"/><Relationship Id="rId372" Type="http://schemas.openxmlformats.org/officeDocument/2006/relationships/footer" Target="footer179.xml"/><Relationship Id="rId393" Type="http://schemas.openxmlformats.org/officeDocument/2006/relationships/header" Target="header190.xml"/><Relationship Id="rId407" Type="http://schemas.openxmlformats.org/officeDocument/2006/relationships/footer" Target="footer196.xml"/><Relationship Id="rId428" Type="http://schemas.openxmlformats.org/officeDocument/2006/relationships/footer" Target="footer207.xml"/><Relationship Id="rId449" Type="http://schemas.openxmlformats.org/officeDocument/2006/relationships/footer" Target="footer217.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4.xml"/><Relationship Id="rId481" Type="http://schemas.openxmlformats.org/officeDocument/2006/relationships/header" Target="header234.xml"/><Relationship Id="rId516" Type="http://schemas.openxmlformats.org/officeDocument/2006/relationships/footer" Target="footer251.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footer" Target="footer154.xml"/><Relationship Id="rId537" Type="http://schemas.openxmlformats.org/officeDocument/2006/relationships/header" Target="header262.xml"/><Relationship Id="rId558" Type="http://schemas.openxmlformats.org/officeDocument/2006/relationships/footer" Target="footer272.xml"/><Relationship Id="rId579" Type="http://schemas.openxmlformats.org/officeDocument/2006/relationships/header" Target="header283.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footer" Target="footer165.xml"/><Relationship Id="rId362"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383" Type="http://schemas.openxmlformats.org/officeDocument/2006/relationships/footer" Target="footer184.xml"/><Relationship Id="rId418" Type="http://schemas.openxmlformats.org/officeDocument/2006/relationships/header" Target="header203.xml"/><Relationship Id="rId439" Type="http://schemas.openxmlformats.org/officeDocument/2006/relationships/header" Target="header213.xml"/><Relationship Id="rId590" Type="http://schemas.openxmlformats.org/officeDocument/2006/relationships/footer" Target="footer288.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6.xml"/><Relationship Id="rId264" Type="http://schemas.openxmlformats.org/officeDocument/2006/relationships/header" Target="header127.xml"/><Relationship Id="rId285" Type="http://schemas.openxmlformats.org/officeDocument/2006/relationships/footer" Target="footer137.xml"/><Relationship Id="rId450" Type="http://schemas.openxmlformats.org/officeDocument/2006/relationships/footer" Target="footer218.xml"/><Relationship Id="rId471" Type="http://schemas.openxmlformats.org/officeDocument/2006/relationships/header" Target="header229.xml"/><Relationship Id="rId506" Type="http://schemas.openxmlformats.org/officeDocument/2006/relationships/footer" Target="footer246.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header" Target="header150.xml"/><Relationship Id="rId492" Type="http://schemas.openxmlformats.org/officeDocument/2006/relationships/footer" Target="footer239.xml"/><Relationship Id="rId527" Type="http://schemas.openxmlformats.org/officeDocument/2006/relationships/footer" Target="footer256.xml"/><Relationship Id="rId548" Type="http://schemas.openxmlformats.org/officeDocument/2006/relationships/footer" Target="footer267.xml"/><Relationship Id="rId569" Type="http://schemas.openxmlformats.org/officeDocument/2006/relationships/footer" Target="footer277.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header" Target="header171.xml"/><Relationship Id="rId373" Type="http://schemas.openxmlformats.org/officeDocument/2006/relationships/header" Target="header180.xml"/><Relationship Id="rId394" Type="http://schemas.openxmlformats.org/officeDocument/2006/relationships/header" Target="header191.xml"/><Relationship Id="rId408" Type="http://schemas.openxmlformats.org/officeDocument/2006/relationships/footer" Target="footer197.xml"/><Relationship Id="rId429" Type="http://schemas.openxmlformats.org/officeDocument/2006/relationships/header" Target="header208.xml"/><Relationship Id="rId580" Type="http://schemas.openxmlformats.org/officeDocument/2006/relationships/header" Target="header284.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footer" Target="footer111.xml"/><Relationship Id="rId254" Type="http://schemas.openxmlformats.org/officeDocument/2006/relationships/footer" Target="footer121.xml"/><Relationship Id="rId440" Type="http://schemas.openxmlformats.org/officeDocument/2006/relationships/footer" Target="footer213.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5.xml"/><Relationship Id="rId461" Type="http://schemas.openxmlformats.org/officeDocument/2006/relationships/footer" Target="footer223.xml"/><Relationship Id="rId482" Type="http://schemas.openxmlformats.org/officeDocument/2006/relationships/footer" Target="footer234.xml"/><Relationship Id="rId517" Type="http://schemas.openxmlformats.org/officeDocument/2006/relationships/header" Target="header252.xml"/><Relationship Id="rId538" Type="http://schemas.openxmlformats.org/officeDocument/2006/relationships/header" Target="header263.xml"/><Relationship Id="rId559" Type="http://schemas.openxmlformats.org/officeDocument/2006/relationships/header" Target="header273.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5.xml"/><Relationship Id="rId342" Type="http://schemas.openxmlformats.org/officeDocument/2006/relationships/header" Target="header166.xml"/><Relationship Id="rId363" Type="http://schemas.openxmlformats.org/officeDocument/2006/relationships/header" Target="header175.xml"/><Relationship Id="rId384" Type="http://schemas.openxmlformats.org/officeDocument/2006/relationships/footer" Target="footer185.xml"/><Relationship Id="rId419" Type="http://schemas.openxmlformats.org/officeDocument/2006/relationships/footer" Target="footer202.xml"/><Relationship Id="rId570" Type="http://schemas.openxmlformats.org/officeDocument/2006/relationships/footer" Target="footer278.xml"/><Relationship Id="rId591" Type="http://schemas.openxmlformats.org/officeDocument/2006/relationships/header" Target="header289.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430" Type="http://schemas.openxmlformats.org/officeDocument/2006/relationships/header" Target="header209.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8.xml"/><Relationship Id="rId286" Type="http://schemas.openxmlformats.org/officeDocument/2006/relationships/header" Target="header138.xml"/><Relationship Id="rId451" Type="http://schemas.openxmlformats.org/officeDocument/2006/relationships/header" Target="header219.xml"/><Relationship Id="rId472" Type="http://schemas.openxmlformats.org/officeDocument/2006/relationships/header" Target="header230.xml"/><Relationship Id="rId493" Type="http://schemas.openxmlformats.org/officeDocument/2006/relationships/header" Target="header240.xml"/><Relationship Id="rId507" Type="http://schemas.openxmlformats.org/officeDocument/2006/relationships/header" Target="header247.xml"/><Relationship Id="rId528" Type="http://schemas.openxmlformats.org/officeDocument/2006/relationships/footer" Target="footer257.xml"/><Relationship Id="rId549" Type="http://schemas.openxmlformats.org/officeDocument/2006/relationships/header" Target="header268.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1.xml"/><Relationship Id="rId374" Type="http://schemas.openxmlformats.org/officeDocument/2006/relationships/footer" Target="footer180.xml"/><Relationship Id="rId395" Type="http://schemas.openxmlformats.org/officeDocument/2006/relationships/footer" Target="footer190.xml"/><Relationship Id="rId409" Type="http://schemas.openxmlformats.org/officeDocument/2006/relationships/header" Target="header198.xml"/><Relationship Id="rId560" Type="http://schemas.openxmlformats.org/officeDocument/2006/relationships/footer" Target="footer273.xml"/><Relationship Id="rId581" Type="http://schemas.openxmlformats.org/officeDocument/2006/relationships/footer" Target="footer283.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header" Target="header112.xml"/><Relationship Id="rId420" Type="http://schemas.openxmlformats.org/officeDocument/2006/relationships/footer" Target="footer203.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3.xml"/><Relationship Id="rId297" Type="http://schemas.openxmlformats.org/officeDocument/2006/relationships/footer" Target="footer143.xml"/><Relationship Id="rId441" Type="http://schemas.openxmlformats.org/officeDocument/2006/relationships/header" Target="header214.xml"/><Relationship Id="rId462" Type="http://schemas.openxmlformats.org/officeDocument/2006/relationships/footer" Target="footer224.xml"/><Relationship Id="rId483" Type="http://schemas.openxmlformats.org/officeDocument/2006/relationships/header" Target="header235.xml"/><Relationship Id="rId518" Type="http://schemas.openxmlformats.org/officeDocument/2006/relationships/footer" Target="footer252.xml"/><Relationship Id="rId539" Type="http://schemas.openxmlformats.org/officeDocument/2006/relationships/footer" Target="footer262.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header" Target="header176.xml"/><Relationship Id="rId550" Type="http://schemas.openxmlformats.org/officeDocument/2006/relationships/header" Target="header269.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header" Target="header186.xml"/><Relationship Id="rId571" Type="http://schemas.openxmlformats.org/officeDocument/2006/relationships/header" Target="header279.xml"/><Relationship Id="rId592" Type="http://schemas.openxmlformats.org/officeDocument/2006/relationships/header" Target="header290.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410" Type="http://schemas.openxmlformats.org/officeDocument/2006/relationships/footer" Target="footer198.xml"/><Relationship Id="rId431" Type="http://schemas.openxmlformats.org/officeDocument/2006/relationships/footer" Target="footer208.xml"/><Relationship Id="rId452" Type="http://schemas.openxmlformats.org/officeDocument/2006/relationships/footer" Target="footer219.xml"/><Relationship Id="rId473" Type="http://schemas.openxmlformats.org/officeDocument/2006/relationships/footer" Target="footer229.xml"/><Relationship Id="rId494" Type="http://schemas.openxmlformats.org/officeDocument/2006/relationships/footer" Target="footer240.xml"/><Relationship Id="rId508" Type="http://schemas.openxmlformats.org/officeDocument/2006/relationships/header" Target="header248.xml"/><Relationship Id="rId529" Type="http://schemas.openxmlformats.org/officeDocument/2006/relationships/header" Target="header258.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40" Type="http://schemas.openxmlformats.org/officeDocument/2006/relationships/footer" Target="footer263.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header" Target="header181.xml"/><Relationship Id="rId396" Type="http://schemas.openxmlformats.org/officeDocument/2006/relationships/footer" Target="footer191.xml"/><Relationship Id="rId561" Type="http://schemas.openxmlformats.org/officeDocument/2006/relationships/header" Target="header274.xml"/><Relationship Id="rId582" Type="http://schemas.openxmlformats.org/officeDocument/2006/relationships/footer" Target="footer284.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4.xml"/><Relationship Id="rId421" Type="http://schemas.openxmlformats.org/officeDocument/2006/relationships/header" Target="header204.xml"/><Relationship Id="rId442" Type="http://schemas.openxmlformats.org/officeDocument/2006/relationships/header" Target="header215.xml"/><Relationship Id="rId463" Type="http://schemas.openxmlformats.org/officeDocument/2006/relationships/header" Target="header225.xml"/><Relationship Id="rId484" Type="http://schemas.openxmlformats.org/officeDocument/2006/relationships/header" Target="header236.xml"/><Relationship Id="rId519" Type="http://schemas.openxmlformats.org/officeDocument/2006/relationships/header" Target="header253.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footer" Target="footer258.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5.xml"/><Relationship Id="rId386" Type="http://schemas.openxmlformats.org/officeDocument/2006/relationships/footer" Target="footer186.xml"/><Relationship Id="rId551" Type="http://schemas.openxmlformats.org/officeDocument/2006/relationships/footer" Target="footer268.xml"/><Relationship Id="rId572" Type="http://schemas.openxmlformats.org/officeDocument/2006/relationships/footer" Target="footer279.xml"/><Relationship Id="rId593" Type="http://schemas.openxmlformats.org/officeDocument/2006/relationships/footer" Target="footer289.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header" Target="header199.xml"/><Relationship Id="rId432" Type="http://schemas.openxmlformats.org/officeDocument/2006/relationships/footer" Target="footer209.xml"/><Relationship Id="rId453" Type="http://schemas.openxmlformats.org/officeDocument/2006/relationships/header" Target="header220.xml"/><Relationship Id="rId474" Type="http://schemas.openxmlformats.org/officeDocument/2006/relationships/footer" Target="footer230.xml"/><Relationship Id="rId509" Type="http://schemas.openxmlformats.org/officeDocument/2006/relationships/footer" Target="footer247.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header" Target="header241.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2.xml"/><Relationship Id="rId397" Type="http://schemas.openxmlformats.org/officeDocument/2006/relationships/header" Target="header192.xml"/><Relationship Id="rId520" Type="http://schemas.openxmlformats.org/officeDocument/2006/relationships/header" Target="header254.xml"/><Relationship Id="rId541" Type="http://schemas.openxmlformats.org/officeDocument/2006/relationships/header" Target="header264.xml"/><Relationship Id="rId562" Type="http://schemas.openxmlformats.org/officeDocument/2006/relationships/header" Target="header275.xml"/><Relationship Id="rId583" Type="http://schemas.openxmlformats.org/officeDocument/2006/relationships/header" Target="header285.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3.xml"/><Relationship Id="rId422" Type="http://schemas.openxmlformats.org/officeDocument/2006/relationships/footer" Target="footer204.xml"/><Relationship Id="rId443" Type="http://schemas.openxmlformats.org/officeDocument/2006/relationships/footer" Target="footer214.xml"/><Relationship Id="rId464" Type="http://schemas.openxmlformats.org/officeDocument/2006/relationships/footer" Target="footer225.xml"/><Relationship Id="rId303" Type="http://schemas.openxmlformats.org/officeDocument/2006/relationships/footer" Target="footer146.xml"/><Relationship Id="rId485" Type="http://schemas.openxmlformats.org/officeDocument/2006/relationships/footer" Target="footer235.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header" Target="header187.xml"/><Relationship Id="rId510" Type="http://schemas.openxmlformats.org/officeDocument/2006/relationships/footer" Target="footer248.xml"/><Relationship Id="rId552" Type="http://schemas.openxmlformats.org/officeDocument/2006/relationships/footer" Target="footer269.xml"/><Relationship Id="rId594" Type="http://schemas.openxmlformats.org/officeDocument/2006/relationships/footer" Target="footer290.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0.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1.xml"/><Relationship Id="rId496" Type="http://schemas.openxmlformats.org/officeDocument/2006/relationships/header" Target="header242.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2.xml"/><Relationship Id="rId521" Type="http://schemas.openxmlformats.org/officeDocument/2006/relationships/footer" Target="footer253.xml"/><Relationship Id="rId563" Type="http://schemas.openxmlformats.org/officeDocument/2006/relationships/footer" Target="footer274.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header" Target="header205.xml"/><Relationship Id="rId258" Type="http://schemas.openxmlformats.org/officeDocument/2006/relationships/header" Target="header124.xml"/><Relationship Id="rId465" Type="http://schemas.openxmlformats.org/officeDocument/2006/relationships/header" Target="header226.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7.xml"/><Relationship Id="rId532" Type="http://schemas.openxmlformats.org/officeDocument/2006/relationships/header" Target="header260.xml"/><Relationship Id="rId574" Type="http://schemas.openxmlformats.org/officeDocument/2006/relationships/header" Target="header281.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0.xml"/><Relationship Id="rId476" Type="http://schemas.openxmlformats.org/officeDocument/2006/relationships/footer" Target="footer231.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header" Target="header244.xml"/><Relationship Id="rId543" Type="http://schemas.openxmlformats.org/officeDocument/2006/relationships/header" Target="header265.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footer" Target="footer182.xml"/><Relationship Id="rId403" Type="http://schemas.openxmlformats.org/officeDocument/2006/relationships/header" Target="header195.xml"/><Relationship Id="rId585" Type="http://schemas.openxmlformats.org/officeDocument/2006/relationships/header" Target="header286.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6.xml"/><Relationship Id="rId487" Type="http://schemas.openxmlformats.org/officeDocument/2006/relationships/header" Target="header237.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49.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7.xml"/><Relationship Id="rId554" Type="http://schemas.openxmlformats.org/officeDocument/2006/relationships/footer" Target="footer270.xml"/><Relationship Id="rId596" Type="http://schemas.openxmlformats.org/officeDocument/2006/relationships/footer" Target="footer291.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footer" Target="footer200.xml"/><Relationship Id="rId456" Type="http://schemas.openxmlformats.org/officeDocument/2006/relationships/footer" Target="footer221.xml"/><Relationship Id="rId498" Type="http://schemas.openxmlformats.org/officeDocument/2006/relationships/footer" Target="footer242.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5.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6.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5.xml"/><Relationship Id="rId467" Type="http://schemas.openxmlformats.org/officeDocument/2006/relationships/footer" Target="footer226.xml"/><Relationship Id="rId271" Type="http://schemas.openxmlformats.org/officeDocument/2006/relationships/header" Target="header131.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header" Target="header178.xml"/><Relationship Id="rId534" Type="http://schemas.openxmlformats.org/officeDocument/2006/relationships/footer" Target="footer260.xml"/><Relationship Id="rId576" Type="http://schemas.openxmlformats.org/officeDocument/2006/relationships/footer" Target="footer281.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3.xml"/><Relationship Id="rId436" Type="http://schemas.openxmlformats.org/officeDocument/2006/relationships/header" Target="header212.xml"/><Relationship Id="rId240" Type="http://schemas.openxmlformats.org/officeDocument/2006/relationships/header" Target="header115.xml"/><Relationship Id="rId478" Type="http://schemas.openxmlformats.org/officeDocument/2006/relationships/header" Target="header233.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4.xml"/><Relationship Id="rId545" Type="http://schemas.openxmlformats.org/officeDocument/2006/relationships/footer" Target="footer265.xml"/><Relationship Id="rId587" Type="http://schemas.openxmlformats.org/officeDocument/2006/relationships/footer" Target="footer286.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89.xml"/><Relationship Id="rId405" Type="http://schemas.openxmlformats.org/officeDocument/2006/relationships/header" Target="header196.xml"/><Relationship Id="rId447" Type="http://schemas.openxmlformats.org/officeDocument/2006/relationships/header" Target="header217.xml"/><Relationship Id="rId251" Type="http://schemas.openxmlformats.org/officeDocument/2006/relationships/footer" Target="footer120.xml"/><Relationship Id="rId489" Type="http://schemas.openxmlformats.org/officeDocument/2006/relationships/header" Target="header238.xml"/><Relationship Id="rId46" Type="http://schemas.openxmlformats.org/officeDocument/2006/relationships/header" Target="head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header" Target="header251.xml"/><Relationship Id="rId556" Type="http://schemas.openxmlformats.org/officeDocument/2006/relationships/header" Target="header272.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416" Type="http://schemas.openxmlformats.org/officeDocument/2006/relationships/footer" Target="footer201.xml"/><Relationship Id="rId598" Type="http://schemas.openxmlformats.org/officeDocument/2006/relationships/theme" Target="theme/theme1.xml"/><Relationship Id="rId220" Type="http://schemas.openxmlformats.org/officeDocument/2006/relationships/header" Target="header105.xml"/><Relationship Id="rId458" Type="http://schemas.openxmlformats.org/officeDocument/2006/relationships/footer" Target="footer222.xml"/><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header" Target="header256.xml"/><Relationship Id="rId567" Type="http://schemas.openxmlformats.org/officeDocument/2006/relationships/header" Target="header277.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78.xml"/><Relationship Id="rId427" Type="http://schemas.openxmlformats.org/officeDocument/2006/relationships/header" Target="header207.xml"/><Relationship Id="rId469" Type="http://schemas.openxmlformats.org/officeDocument/2006/relationships/header" Target="header228.xml"/><Relationship Id="rId26" Type="http://schemas.openxmlformats.org/officeDocument/2006/relationships/footer" Target="footer7.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footer" Target="footer233.xml"/><Relationship Id="rId536" Type="http://schemas.openxmlformats.org/officeDocument/2006/relationships/footer" Target="footer261.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footer" Target="footer282.xml"/><Relationship Id="rId200" Type="http://schemas.openxmlformats.org/officeDocument/2006/relationships/footer" Target="footer94.xml"/><Relationship Id="rId382" Type="http://schemas.openxmlformats.org/officeDocument/2006/relationships/header" Target="header185.xml"/><Relationship Id="rId438" Type="http://schemas.openxmlformats.org/officeDocument/2006/relationships/footer" Target="footer212.xml"/><Relationship Id="rId242" Type="http://schemas.openxmlformats.org/officeDocument/2006/relationships/footer" Target="footer115.xml"/><Relationship Id="rId284" Type="http://schemas.openxmlformats.org/officeDocument/2006/relationships/footer" Target="footer136.xml"/><Relationship Id="rId491" Type="http://schemas.openxmlformats.org/officeDocument/2006/relationships/footer" Target="footer238.xml"/><Relationship Id="rId505" Type="http://schemas.openxmlformats.org/officeDocument/2006/relationships/header" Target="header246.xml"/></Relationships>
</file>

<file path=word/_rels/footnotes.xml.rels><?xml version="1.0" encoding="UTF-8" standalone="yes"?>
<Relationships xmlns="http://schemas.openxmlformats.org/package/2006/relationships"><Relationship Id="rId2" Type="http://schemas.openxmlformats.org/officeDocument/2006/relationships/hyperlink" Target="https://www.congreso.es/public_oficiales/L14/CONG/BOCG/D/BOCG-14-D-175.PDF" TargetMode="External"/><Relationship Id="rId1" Type="http://schemas.openxmlformats.org/officeDocument/2006/relationships/hyperlink" Target="https://digital-strategy.ec.europa.eu/en/activities/digital-programme" TargetMode="External"/></Relationships>
</file>

<file path=word/documenttasks/documenttasks1.xml><?xml version="1.0" encoding="utf-8"?>
<t:Tasks xmlns:t="http://schemas.microsoft.com/office/tasks/2019/documenttasks" xmlns:oel="http://schemas.microsoft.com/office/2019/extlst">
  <t:Task id="{29FB0DB6-C283-4A81-80BF-2A96CE74D748}">
    <t:Anchor>
      <t:Comment id="2088677627"/>
    </t:Anchor>
    <t:History>
      <t:Event id="{51EF8CFF-3D92-4BA5-B294-515A85816018}" time="2023-08-25T11:02:48.635Z">
        <t:Attribution userId="S::eleni.papadopoulou@ec.europa.eu::ae0b95e5-7bf9-4446-b4a1-31053ff28e21" userProvider="AD" userName="PAPADOPOULOU Eleni (ECFIN)"/>
        <t:Anchor>
          <t:Comment id="2088677627"/>
        </t:Anchor>
        <t:Create/>
      </t:Event>
      <t:Event id="{7D9D5BC4-1AB8-4368-9944-DA3A41E7F4F7}" time="2023-08-25T11:02:48.635Z">
        <t:Attribution userId="S::eleni.papadopoulou@ec.europa.eu::ae0b95e5-7bf9-4446-b4a1-31053ff28e21" userProvider="AD" userName="PAPADOPOULOU Eleni (ECFIN)"/>
        <t:Anchor>
          <t:Comment id="2088677627"/>
        </t:Anchor>
        <t:Assign userId="S::Cristina.COSTA-SALAVEDRA@ec.europa.eu::5f9a1b25-105f-456c-ab83-eefd0da24dfb" userProvider="AD" userName="COSTA SALAVEDRA Cristina (SG-RECOVER)"/>
      </t:Event>
      <t:Event id="{79B08B1A-7EEC-4C48-BDF3-A2E80B005324}" time="2023-08-25T11:02:48.635Z">
        <t:Attribution userId="S::eleni.papadopoulou@ec.europa.eu::ae0b95e5-7bf9-4446-b4a1-31053ff28e21" userProvider="AD" userName="PAPADOPOULOU Eleni (ECFIN)"/>
        <t:Anchor>
          <t:Comment id="2088677627"/>
        </t:Anchor>
        <t:SetTitle title="@COSTA SALAVEDRA Cristina (SG-RECOVER) Can you please check if this tagging is correct, according to new fich of 3.8?"/>
      </t:Event>
    </t:History>
  </t:Task>
  <t:Task id="{53DEBF43-93C4-455D-9F16-E28AE7A6E241}">
    <t:Anchor>
      <t:Comment id="726961251"/>
    </t:Anchor>
    <t:History>
      <t:Event id="{F0BB291B-2CE9-4A1A-9F2F-B3A22D50E7B8}" time="2023-08-25T11:05:44.198Z">
        <t:Attribution userId="S::eleni.papadopoulou@ec.europa.eu::ae0b95e5-7bf9-4446-b4a1-31053ff28e21" userProvider="AD" userName="PAPADOPOULOU Eleni (ECFIN)"/>
        <t:Anchor>
          <t:Comment id="726961251"/>
        </t:Anchor>
        <t:Create/>
      </t:Event>
      <t:Event id="{27571831-BBD0-461A-AA84-B1296CA11FCF}" time="2023-08-25T11:05:44.198Z">
        <t:Attribution userId="S::eleni.papadopoulou@ec.europa.eu::ae0b95e5-7bf9-4446-b4a1-31053ff28e21" userProvider="AD" userName="PAPADOPOULOU Eleni (ECFIN)"/>
        <t:Anchor>
          <t:Comment id="726961251"/>
        </t:Anchor>
        <t:Assign userId="S::Cristina.COSTA-SALAVEDRA@ec.europa.eu::5f9a1b25-105f-456c-ab83-eefd0da24dfb" userProvider="AD" userName="COSTA SALAVEDRA Cristina (SG-RECOVER)"/>
      </t:Event>
      <t:Event id="{F1083518-E601-4B8F-A8D7-8318EF203BC5}" time="2023-08-25T11:05:44.198Z">
        <t:Attribution userId="S::eleni.papadopoulou@ec.europa.eu::ae0b95e5-7bf9-4446-b4a1-31053ff28e21" userProvider="AD" userName="PAPADOPOULOU Eleni (ECFIN)"/>
        <t:Anchor>
          <t:Comment id="726961251"/>
        </t:Anchor>
        <t:SetTitle title="@COSTA SALAVEDRA Cristina (SG-RECOVER) same here for tagging according to new fich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9" ma:contentTypeDescription="Create a new document." ma:contentTypeScope="" ma:versionID="4d283028af38f1f3061e234347266dc2">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b61ac8d648b0f0a207dd99a19d880b68"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9B400-E950-4868-BACE-B00D5DCB6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1947C-E72A-4854-BFE2-635764EB9AED}">
  <ds:schemaRefs>
    <ds:schemaRef ds:uri="http://schemas.microsoft.com/sharepoint/v3/contenttype/forms"/>
  </ds:schemaRefs>
</ds:datastoreItem>
</file>

<file path=customXml/itemProps3.xml><?xml version="1.0" encoding="utf-8"?>
<ds:datastoreItem xmlns:ds="http://schemas.openxmlformats.org/officeDocument/2006/customXml" ds:itemID="{CD8C315D-7536-49D2-B370-DBB8B05589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536EDB-32E2-403D-8DF9-CAC05EE8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54</Pages>
  <Words>162331</Words>
  <Characters>925293</Characters>
  <Application>Microsoft Office Word</Application>
  <DocSecurity>0</DocSecurity>
  <Lines>7710</Lines>
  <Paragraphs>2170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1085454</CharactersWithSpaces>
  <SharedDoc>false</SharedDoc>
  <HLinks>
    <vt:vector size="24" baseType="variant">
      <vt:variant>
        <vt:i4>6553676</vt:i4>
      </vt:variant>
      <vt:variant>
        <vt:i4>6</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_ftn3</vt:lpwstr>
      </vt:variant>
      <vt:variant>
        <vt:i4>6553676</vt:i4>
      </vt:variant>
      <vt:variant>
        <vt:i4>3</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_ftn1</vt:lpwstr>
      </vt:variant>
      <vt:variant>
        <vt:i4>6553676</vt:i4>
      </vt:variant>
      <vt:variant>
        <vt:i4>0</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_ftn3</vt:lpwstr>
      </vt:variant>
      <vt:variant>
        <vt:i4>7471176</vt:i4>
      </vt:variant>
      <vt:variant>
        <vt:i4>0</vt:i4>
      </vt:variant>
      <vt:variant>
        <vt:i4>0</vt:i4>
      </vt:variant>
      <vt:variant>
        <vt:i4>5</vt:i4>
      </vt:variant>
      <vt:variant>
        <vt:lpwstr>https://www.congreso.es/public_oficiales/L14/CONG/BOCG/D/BOCG-14-D-175.PDF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DUBUSSE Christine (TAXUD)</dc:creator>
  <cp:keywords/>
  <dc:description/>
  <cp:lastModifiedBy>EC CoDe</cp:lastModifiedBy>
  <cp:revision>21</cp:revision>
  <dcterms:created xsi:type="dcterms:W3CDTF">2023-09-28T13:36:00Z</dcterms:created>
  <dcterms:modified xsi:type="dcterms:W3CDTF">2023-10-09T09:00:00Z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1</vt:lpwstr>
  </property>
  <property fmtid="{D5CDD505-2E9C-101B-9397-08002B2CF9AE}" pid="6" name="Part">
    <vt:lpwstr>1</vt:lpwstr>
  </property>
  <property fmtid="{D5CDD505-2E9C-101B-9397-08002B2CF9AE}" pid="7" name="Total parts">
    <vt:lpwstr>1</vt:lpwstr>
  </property>
  <property fmtid="{D5CDD505-2E9C-101B-9397-08002B2CF9AE}" pid="8" name="CPTemplateID">
    <vt:lpwstr>CP-036</vt:lpwstr>
  </property>
  <property fmtid="{D5CDD505-2E9C-101B-9397-08002B2CF9AE}" pid="9" name="Created using">
    <vt:lpwstr>LW 7.0.1, Build 20190916</vt:lpwstr>
  </property>
  <property fmtid="{D5CDD505-2E9C-101B-9397-08002B2CF9AE}" pid="10" name="Last edited using">
    <vt:lpwstr>LW 9.0, Build 20230317</vt:lpwstr>
  </property>
  <property fmtid="{D5CDD505-2E9C-101B-9397-08002B2CF9AE}" pid="11" name="_LW_INVALIDATED__LW_INVALIDATED__LW_INVALIDATED_ContentTypeId">
    <vt:lpwstr>0x010100258AA79CEB83498886A3A08681123250003A96FF36B9FA2B41AA2F50B89189C74B</vt:lpwstr>
  </property>
  <property fmtid="{D5CDD505-2E9C-101B-9397-08002B2CF9AE}" pid="12" name="_LW_INVALIDATED_ContentTypeId">
    <vt:lpwstr>0x010100258AA79CEB83498886A3A08681123250003A96FF36B9FA2B41AA2F50B89189C74B</vt:lpwstr>
  </property>
  <property fmtid="{D5CDD505-2E9C-101B-9397-08002B2CF9AE}" pid="13" name="ContentTypeId">
    <vt:lpwstr>0x01010062094E9F29D6C04F85860C631ABC812A</vt:lpwstr>
  </property>
  <property fmtid="{D5CDD505-2E9C-101B-9397-08002B2CF9AE}" pid="14" name="MSIP_Label_6bd9ddd1-4d20-43f6-abfa-fc3c07406f94_Enabled">
    <vt:lpwstr>true</vt:lpwstr>
  </property>
  <property fmtid="{D5CDD505-2E9C-101B-9397-08002B2CF9AE}" pid="15" name="MSIP_Label_6bd9ddd1-4d20-43f6-abfa-fc3c07406f94_SetDate">
    <vt:lpwstr>2023-03-29T10:03:47Z</vt:lpwstr>
  </property>
  <property fmtid="{D5CDD505-2E9C-101B-9397-08002B2CF9AE}" pid="16" name="MSIP_Label_6bd9ddd1-4d20-43f6-abfa-fc3c07406f94_Method">
    <vt:lpwstr>Standard</vt:lpwstr>
  </property>
  <property fmtid="{D5CDD505-2E9C-101B-9397-08002B2CF9AE}" pid="17" name="MSIP_Label_6bd9ddd1-4d20-43f6-abfa-fc3c07406f94_Name">
    <vt:lpwstr>Commission Use</vt:lpwstr>
  </property>
  <property fmtid="{D5CDD505-2E9C-101B-9397-08002B2CF9AE}" pid="18" name="MSIP_Label_6bd9ddd1-4d20-43f6-abfa-fc3c07406f94_SiteId">
    <vt:lpwstr>b24c8b06-522c-46fe-9080-70926f8dddb1</vt:lpwstr>
  </property>
  <property fmtid="{D5CDD505-2E9C-101B-9397-08002B2CF9AE}" pid="19" name="MSIP_Label_6bd9ddd1-4d20-43f6-abfa-fc3c07406f94_ActionId">
    <vt:lpwstr>ce1a9282-c4de-49a6-81b9-75d0f74bd9c8</vt:lpwstr>
  </property>
  <property fmtid="{D5CDD505-2E9C-101B-9397-08002B2CF9AE}" pid="20" name="MSIP_Label_6bd9ddd1-4d20-43f6-abfa-fc3c07406f94_ContentBits">
    <vt:lpwstr>0</vt:lpwstr>
  </property>
  <property fmtid="{D5CDD505-2E9C-101B-9397-08002B2CF9AE}" pid="21" name="DocStatus">
    <vt:lpwstr>Green</vt:lpwstr>
  </property>
</Properties>
</file>